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FB" w:rsidRPr="00D43FE5" w:rsidRDefault="00C80EFB" w:rsidP="00D43FE5">
      <w:pPr>
        <w:rPr>
          <w:b/>
          <w:color w:val="000000"/>
          <w:szCs w:val="22"/>
        </w:rPr>
      </w:pPr>
      <w:bookmarkStart w:id="0" w:name="_GoBack"/>
      <w:bookmarkEnd w:id="0"/>
    </w:p>
    <w:p w:rsidR="00C80EFB" w:rsidRDefault="00C80EFB" w:rsidP="00D43FE5">
      <w:pPr>
        <w:jc w:val="center"/>
        <w:rPr>
          <w:b/>
          <w:color w:val="000000"/>
          <w:szCs w:val="22"/>
        </w:rPr>
      </w:pPr>
    </w:p>
    <w:p w:rsidR="00C80EFB" w:rsidRPr="00D43FE5" w:rsidRDefault="00C80EFB" w:rsidP="00D43FE5">
      <w:pPr>
        <w:jc w:val="center"/>
        <w:rPr>
          <w:b/>
          <w:color w:val="000000"/>
          <w:szCs w:val="22"/>
        </w:rPr>
      </w:pPr>
      <w:r w:rsidRPr="00D43FE5">
        <w:rPr>
          <w:b/>
          <w:color w:val="000000"/>
          <w:szCs w:val="22"/>
        </w:rPr>
        <w:t>SÚHRN CHARAKTERISTICKÝCH VLASTNOSTÍ LIEKU</w:t>
      </w:r>
    </w:p>
    <w:p w:rsidR="00C80EFB" w:rsidRPr="000519CF" w:rsidRDefault="00C80EFB" w:rsidP="000519CF">
      <w:pPr>
        <w:rPr>
          <w:b/>
          <w:color w:val="000000"/>
          <w:szCs w:val="22"/>
        </w:rPr>
      </w:pPr>
    </w:p>
    <w:p w:rsidR="00C80EFB" w:rsidRPr="006C0685" w:rsidRDefault="00C80EFB" w:rsidP="006C0685">
      <w:pPr>
        <w:rPr>
          <w:b/>
          <w:color w:val="000000"/>
          <w:szCs w:val="22"/>
        </w:rPr>
      </w:pPr>
    </w:p>
    <w:p w:rsidR="00C80EFB" w:rsidRPr="006C0685" w:rsidRDefault="00C80EFB" w:rsidP="006C0685">
      <w:pPr>
        <w:rPr>
          <w:color w:val="000000"/>
          <w:szCs w:val="22"/>
        </w:rPr>
      </w:pPr>
      <w:r w:rsidRPr="006C0685">
        <w:rPr>
          <w:b/>
          <w:color w:val="000000"/>
          <w:szCs w:val="22"/>
        </w:rPr>
        <w:t>1.</w:t>
      </w:r>
      <w:r w:rsidRPr="006C0685">
        <w:rPr>
          <w:b/>
          <w:color w:val="000000"/>
          <w:szCs w:val="22"/>
        </w:rPr>
        <w:tab/>
        <w:t>NÁZOV LIEKU</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Voltaren</w:t>
      </w:r>
      <w:r w:rsidRPr="007912A9">
        <w:rPr>
          <w:color w:val="000000"/>
          <w:szCs w:val="22"/>
          <w:vertAlign w:val="superscript"/>
        </w:rPr>
        <w:t xml:space="preserve"> </w:t>
      </w:r>
      <w:r w:rsidRPr="007912A9">
        <w:rPr>
          <w:color w:val="000000"/>
          <w:szCs w:val="22"/>
        </w:rPr>
        <w:t>50</w:t>
      </w:r>
    </w:p>
    <w:p w:rsidR="00C80EFB" w:rsidRPr="00D43FE5" w:rsidRDefault="00C80EFB" w:rsidP="007912A9">
      <w:pPr>
        <w:rPr>
          <w:color w:val="000000"/>
          <w:szCs w:val="22"/>
        </w:rPr>
      </w:pPr>
      <w:r>
        <w:rPr>
          <w:color w:val="000000"/>
          <w:szCs w:val="22"/>
        </w:rPr>
        <w:t xml:space="preserve">50 mg </w:t>
      </w:r>
      <w:r w:rsidRPr="00D43FE5">
        <w:rPr>
          <w:color w:val="000000"/>
          <w:szCs w:val="22"/>
        </w:rPr>
        <w:t>gastrorezistentné tablety</w:t>
      </w:r>
    </w:p>
    <w:p w:rsidR="00C80EFB" w:rsidRPr="000519CF" w:rsidRDefault="00C80EFB" w:rsidP="007912A9">
      <w:pPr>
        <w:rPr>
          <w:color w:val="000000"/>
          <w:szCs w:val="22"/>
        </w:rPr>
      </w:pPr>
    </w:p>
    <w:p w:rsidR="00C80EFB" w:rsidRPr="006C0685" w:rsidRDefault="00C80EFB" w:rsidP="007912A9">
      <w:pPr>
        <w:rPr>
          <w:color w:val="000000"/>
          <w:szCs w:val="22"/>
        </w:rPr>
      </w:pPr>
    </w:p>
    <w:p w:rsidR="00C80EFB" w:rsidRPr="006C0685" w:rsidRDefault="00C80EFB" w:rsidP="007912A9">
      <w:pPr>
        <w:rPr>
          <w:color w:val="000000"/>
          <w:szCs w:val="22"/>
        </w:rPr>
      </w:pPr>
      <w:r w:rsidRPr="006C0685">
        <w:rPr>
          <w:b/>
          <w:color w:val="000000"/>
          <w:szCs w:val="22"/>
        </w:rPr>
        <w:t>2.</w:t>
      </w:r>
      <w:r w:rsidRPr="006C0685">
        <w:rPr>
          <w:b/>
          <w:color w:val="000000"/>
          <w:szCs w:val="22"/>
        </w:rPr>
        <w:tab/>
        <w:t>KVALITATÍVNE A KVANTITATÍVNE ZLOŽENIE</w:t>
      </w:r>
    </w:p>
    <w:p w:rsidR="00C80EFB" w:rsidRPr="007912A9" w:rsidRDefault="00C80EFB" w:rsidP="007912A9">
      <w:pPr>
        <w:ind w:left="0" w:firstLine="0"/>
        <w:rPr>
          <w:color w:val="000000"/>
          <w:szCs w:val="22"/>
        </w:rPr>
      </w:pPr>
    </w:p>
    <w:p w:rsidR="00C80EFB" w:rsidRPr="007912A9" w:rsidRDefault="00C80EFB" w:rsidP="007912A9">
      <w:pPr>
        <w:rPr>
          <w:color w:val="000000"/>
          <w:szCs w:val="22"/>
        </w:rPr>
      </w:pPr>
      <w:r w:rsidRPr="007912A9">
        <w:rPr>
          <w:color w:val="000000"/>
          <w:szCs w:val="22"/>
        </w:rPr>
        <w:t xml:space="preserve">Jedna gastrorezistentná tableta Voltaren 50 obsahuje 50 mg sodnej soli diklofenaku. </w:t>
      </w:r>
    </w:p>
    <w:p w:rsidR="00C80EFB" w:rsidRDefault="00C80EFB" w:rsidP="007912A9">
      <w:pPr>
        <w:pStyle w:val="EMEAEnBodyText"/>
        <w:autoSpaceDE w:val="0"/>
        <w:autoSpaceDN w:val="0"/>
        <w:adjustRightInd w:val="0"/>
        <w:spacing w:before="0" w:after="0"/>
        <w:jc w:val="left"/>
        <w:rPr>
          <w:bCs/>
          <w:color w:val="000000"/>
          <w:szCs w:val="22"/>
          <w:lang w:val="sk-SK"/>
        </w:rPr>
      </w:pPr>
    </w:p>
    <w:p w:rsidR="00C80EFB" w:rsidRPr="00A24FE6" w:rsidRDefault="00C80EFB" w:rsidP="007912A9">
      <w:pPr>
        <w:pStyle w:val="EMEAEnBodyText"/>
        <w:autoSpaceDE w:val="0"/>
        <w:autoSpaceDN w:val="0"/>
        <w:adjustRightInd w:val="0"/>
        <w:spacing w:before="0" w:after="0"/>
        <w:jc w:val="left"/>
        <w:rPr>
          <w:szCs w:val="22"/>
          <w:u w:val="single"/>
          <w:lang w:val="sk-SK"/>
        </w:rPr>
      </w:pPr>
      <w:r w:rsidRPr="00A24FE6">
        <w:rPr>
          <w:szCs w:val="22"/>
          <w:u w:val="single"/>
          <w:lang w:val="sk-SK"/>
        </w:rPr>
        <w:t>Pomocné látky so známym účinkom</w:t>
      </w:r>
    </w:p>
    <w:p w:rsidR="00C80EFB" w:rsidRDefault="00C80EFB" w:rsidP="007912A9">
      <w:pPr>
        <w:pStyle w:val="EMEAEnBodyText"/>
        <w:autoSpaceDE w:val="0"/>
        <w:autoSpaceDN w:val="0"/>
        <w:adjustRightInd w:val="0"/>
        <w:spacing w:before="0" w:after="0"/>
        <w:jc w:val="left"/>
        <w:rPr>
          <w:szCs w:val="22"/>
        </w:rPr>
      </w:pPr>
      <w:r w:rsidRPr="00A24FE6">
        <w:rPr>
          <w:szCs w:val="22"/>
        </w:rPr>
        <w:t xml:space="preserve">Jedna gastrorezistentná tableta </w:t>
      </w:r>
      <w:r>
        <w:rPr>
          <w:szCs w:val="22"/>
        </w:rPr>
        <w:t>Voltaren 50 obsahuje 25 mg monohydrátu laktózy.</w:t>
      </w:r>
    </w:p>
    <w:p w:rsidR="00C80EFB" w:rsidRDefault="00C80EFB" w:rsidP="007912A9">
      <w:pPr>
        <w:pStyle w:val="EMEAEnBodyText"/>
        <w:autoSpaceDE w:val="0"/>
        <w:autoSpaceDN w:val="0"/>
        <w:adjustRightInd w:val="0"/>
        <w:spacing w:before="0" w:after="0"/>
        <w:jc w:val="left"/>
        <w:rPr>
          <w:szCs w:val="22"/>
        </w:rPr>
      </w:pPr>
      <w:r>
        <w:rPr>
          <w:szCs w:val="22"/>
        </w:rPr>
        <w:t>Obsahuje aj polyoxyetylénovaný hydrogenovaný ricínovy olej.</w:t>
      </w:r>
    </w:p>
    <w:p w:rsidR="00C80EFB" w:rsidRPr="006B3EB2" w:rsidRDefault="00C80EFB" w:rsidP="007912A9">
      <w:pPr>
        <w:pStyle w:val="EMEAEnBodyText"/>
        <w:autoSpaceDE w:val="0"/>
        <w:autoSpaceDN w:val="0"/>
        <w:adjustRightInd w:val="0"/>
        <w:spacing w:before="0" w:after="0"/>
        <w:jc w:val="left"/>
        <w:rPr>
          <w:bCs/>
          <w:color w:val="000000"/>
          <w:szCs w:val="22"/>
          <w:lang w:val="sk-SK"/>
        </w:rPr>
      </w:pPr>
    </w:p>
    <w:p w:rsidR="00C80EFB" w:rsidRPr="007912A9" w:rsidRDefault="00C80EFB" w:rsidP="00D43FE5">
      <w:pPr>
        <w:outlineLvl w:val="0"/>
        <w:rPr>
          <w:color w:val="000000"/>
          <w:szCs w:val="22"/>
        </w:rPr>
      </w:pPr>
      <w:r w:rsidRPr="007912A9">
        <w:rPr>
          <w:color w:val="000000"/>
          <w:szCs w:val="22"/>
        </w:rPr>
        <w:t>Úplný zoznam pomocných látok, pozri časť 6.1.</w:t>
      </w:r>
    </w:p>
    <w:p w:rsidR="00C80EFB" w:rsidRPr="007912A9" w:rsidRDefault="00C80EFB" w:rsidP="000519CF">
      <w:pPr>
        <w:rPr>
          <w:color w:val="000000"/>
          <w:szCs w:val="22"/>
        </w:rPr>
      </w:pPr>
    </w:p>
    <w:p w:rsidR="00C80EFB" w:rsidRPr="007912A9" w:rsidRDefault="00C80EFB" w:rsidP="006C0685">
      <w:pPr>
        <w:rPr>
          <w:color w:val="000000"/>
          <w:szCs w:val="22"/>
        </w:rPr>
      </w:pPr>
    </w:p>
    <w:p w:rsidR="00C80EFB" w:rsidRPr="007912A9" w:rsidRDefault="00C80EFB" w:rsidP="006C0685">
      <w:pPr>
        <w:rPr>
          <w:caps/>
          <w:color w:val="000000"/>
          <w:szCs w:val="22"/>
        </w:rPr>
      </w:pPr>
      <w:r w:rsidRPr="007912A9">
        <w:rPr>
          <w:b/>
          <w:color w:val="000000"/>
          <w:szCs w:val="22"/>
        </w:rPr>
        <w:t>3.</w:t>
      </w:r>
      <w:r w:rsidRPr="007912A9">
        <w:rPr>
          <w:b/>
          <w:color w:val="000000"/>
          <w:szCs w:val="22"/>
        </w:rPr>
        <w:tab/>
        <w:t>LIEKOVÁ FORMA</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Gastrorezistentná tableta.</w:t>
      </w:r>
    </w:p>
    <w:p w:rsidR="00C80EFB" w:rsidRPr="007912A9" w:rsidRDefault="00C80EFB" w:rsidP="007912A9">
      <w:pPr>
        <w:rPr>
          <w:color w:val="000000"/>
          <w:szCs w:val="22"/>
        </w:rPr>
      </w:pPr>
    </w:p>
    <w:p w:rsidR="00C80EFB" w:rsidRPr="007912A9" w:rsidRDefault="00C80EFB" w:rsidP="007912A9">
      <w:pPr>
        <w:pStyle w:val="Zkladntext"/>
        <w:rPr>
          <w:b/>
          <w:color w:val="000000"/>
          <w:szCs w:val="22"/>
        </w:rPr>
      </w:pPr>
      <w:r w:rsidRPr="007912A9">
        <w:rPr>
          <w:color w:val="000000"/>
          <w:szCs w:val="22"/>
        </w:rPr>
        <w:t>Okrúhle svetlohnedé mierne bikonvexné tablety so zrezanými hranami, s označením CG na jednej a GT na druhej strane.</w:t>
      </w:r>
    </w:p>
    <w:p w:rsidR="00C80EFB" w:rsidRPr="007912A9" w:rsidRDefault="00C80EFB" w:rsidP="007912A9">
      <w:pPr>
        <w:rPr>
          <w:color w:val="000000"/>
          <w:szCs w:val="22"/>
        </w:rPr>
      </w:pPr>
    </w:p>
    <w:p w:rsidR="00C80EFB" w:rsidRPr="007912A9" w:rsidRDefault="00C80EFB" w:rsidP="007912A9">
      <w:pPr>
        <w:rPr>
          <w:color w:val="000000"/>
          <w:szCs w:val="22"/>
        </w:rPr>
      </w:pPr>
    </w:p>
    <w:p w:rsidR="00C80EFB" w:rsidRPr="007912A9" w:rsidRDefault="00C80EFB" w:rsidP="007912A9">
      <w:pPr>
        <w:rPr>
          <w:caps/>
          <w:color w:val="000000"/>
          <w:szCs w:val="22"/>
        </w:rPr>
      </w:pPr>
      <w:r w:rsidRPr="007912A9">
        <w:rPr>
          <w:b/>
          <w:caps/>
          <w:color w:val="000000"/>
          <w:szCs w:val="22"/>
        </w:rPr>
        <w:t>4.</w:t>
      </w:r>
      <w:r w:rsidRPr="007912A9">
        <w:rPr>
          <w:b/>
          <w:caps/>
          <w:color w:val="000000"/>
          <w:szCs w:val="22"/>
        </w:rPr>
        <w:tab/>
        <w:t>KLINICKÉ ÚDAJE</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4.1</w:t>
      </w:r>
      <w:r w:rsidRPr="007912A9">
        <w:rPr>
          <w:b/>
          <w:color w:val="000000"/>
          <w:szCs w:val="22"/>
        </w:rPr>
        <w:tab/>
        <w:t>Terapeutické indikácie</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Liečba</w:t>
      </w:r>
    </w:p>
    <w:p w:rsidR="00C80EFB" w:rsidRPr="007912A9" w:rsidRDefault="00C80EFB" w:rsidP="007912A9">
      <w:pPr>
        <w:numPr>
          <w:ilvl w:val="0"/>
          <w:numId w:val="20"/>
        </w:numPr>
        <w:rPr>
          <w:color w:val="000000"/>
          <w:szCs w:val="22"/>
        </w:rPr>
      </w:pPr>
      <w:r w:rsidRPr="007912A9">
        <w:rPr>
          <w:color w:val="000000"/>
          <w:szCs w:val="22"/>
        </w:rPr>
        <w:t xml:space="preserve">zápalových a degeneratívnych foriem reumatizmu: reumatoidnej artritídy, </w:t>
      </w:r>
      <w:r>
        <w:rPr>
          <w:color w:val="000000"/>
          <w:szCs w:val="22"/>
        </w:rPr>
        <w:t xml:space="preserve">juvenilnej </w:t>
      </w:r>
      <w:r w:rsidRPr="007912A9">
        <w:rPr>
          <w:color w:val="000000"/>
          <w:szCs w:val="22"/>
        </w:rPr>
        <w:t>reumatoidnej artritídy</w:t>
      </w:r>
      <w:r>
        <w:rPr>
          <w:color w:val="000000"/>
          <w:szCs w:val="22"/>
        </w:rPr>
        <w:t xml:space="preserve">, </w:t>
      </w:r>
      <w:r w:rsidRPr="007912A9">
        <w:rPr>
          <w:color w:val="000000"/>
          <w:szCs w:val="22"/>
        </w:rPr>
        <w:t>ankylozujúcej spondylitídy, osteoartrózy a spondylartritídy, bolestivých syndrómov chrbtice, mimokĺbového reumatizmu.</w:t>
      </w:r>
    </w:p>
    <w:p w:rsidR="00C80EFB" w:rsidRPr="007912A9" w:rsidRDefault="00C80EFB" w:rsidP="007912A9">
      <w:pPr>
        <w:numPr>
          <w:ilvl w:val="0"/>
          <w:numId w:val="20"/>
        </w:numPr>
        <w:rPr>
          <w:color w:val="000000"/>
          <w:szCs w:val="22"/>
        </w:rPr>
      </w:pPr>
      <w:r w:rsidRPr="007912A9">
        <w:rPr>
          <w:color w:val="000000"/>
          <w:szCs w:val="22"/>
        </w:rPr>
        <w:t>akútnych záchvatov dny.</w:t>
      </w:r>
    </w:p>
    <w:p w:rsidR="00C80EFB" w:rsidRPr="007912A9" w:rsidRDefault="00C80EFB" w:rsidP="007912A9">
      <w:pPr>
        <w:numPr>
          <w:ilvl w:val="0"/>
          <w:numId w:val="20"/>
        </w:numPr>
        <w:rPr>
          <w:color w:val="000000"/>
          <w:szCs w:val="22"/>
        </w:rPr>
      </w:pPr>
      <w:r w:rsidRPr="007912A9">
        <w:rPr>
          <w:color w:val="000000"/>
          <w:szCs w:val="22"/>
        </w:rPr>
        <w:t>poúrazovej a pooperačnej bolesti, zápalu a opuchu, napr. po chirurgických zákrokoch v stomatológii alebo ortopédii.</w:t>
      </w:r>
    </w:p>
    <w:p w:rsidR="00C80EFB" w:rsidRPr="007912A9" w:rsidRDefault="00C80EFB" w:rsidP="007912A9">
      <w:pPr>
        <w:numPr>
          <w:ilvl w:val="0"/>
          <w:numId w:val="20"/>
        </w:numPr>
        <w:rPr>
          <w:color w:val="000000"/>
          <w:szCs w:val="22"/>
        </w:rPr>
      </w:pPr>
      <w:r w:rsidRPr="007912A9">
        <w:rPr>
          <w:color w:val="000000"/>
          <w:szCs w:val="22"/>
        </w:rPr>
        <w:t>bolestivých a/alebo zápalových stavov v gynekológii, napr. primárnej dysmenorey alebo adnexitídy.</w:t>
      </w:r>
    </w:p>
    <w:p w:rsidR="00C80EFB" w:rsidRPr="007912A9" w:rsidRDefault="00C80EFB" w:rsidP="007912A9">
      <w:pPr>
        <w:numPr>
          <w:ilvl w:val="0"/>
          <w:numId w:val="20"/>
        </w:numPr>
        <w:rPr>
          <w:color w:val="000000"/>
          <w:szCs w:val="22"/>
        </w:rPr>
      </w:pPr>
      <w:r w:rsidRPr="007912A9">
        <w:rPr>
          <w:color w:val="000000"/>
          <w:szCs w:val="22"/>
        </w:rPr>
        <w:t>Ako adjuvans pri závažných bolestivých zápalových infekciách ucha, nosa alebo hrdla, napr. pri faryngotonzilitíde, otitíde. V súlade so všeobecnými terapeutickými zásadami sa má podať základná liečba základného ochorenia, ak je to potrebné. Samotná horúčka nie je indikáciou.</w:t>
      </w:r>
    </w:p>
    <w:p w:rsidR="00C80EFB" w:rsidRPr="007912A9" w:rsidRDefault="00C80EFB" w:rsidP="007912A9">
      <w:pPr>
        <w:pStyle w:val="Nadpis3"/>
        <w:spacing w:before="0" w:after="0"/>
        <w:rPr>
          <w:rFonts w:ascii="Times New Roman" w:hAnsi="Times New Roman" w:cs="Times New Roman"/>
          <w:color w:val="000000"/>
          <w:sz w:val="22"/>
          <w:szCs w:val="22"/>
        </w:rPr>
      </w:pPr>
    </w:p>
    <w:p w:rsidR="00C80EFB" w:rsidRPr="007912A9" w:rsidRDefault="00C80EFB" w:rsidP="007912A9">
      <w:pPr>
        <w:rPr>
          <w:color w:val="000000"/>
          <w:szCs w:val="22"/>
        </w:rPr>
      </w:pPr>
      <w:r w:rsidRPr="007912A9">
        <w:rPr>
          <w:b/>
          <w:color w:val="000000"/>
          <w:szCs w:val="22"/>
        </w:rPr>
        <w:t>4.2</w:t>
      </w:r>
      <w:r w:rsidRPr="007912A9">
        <w:rPr>
          <w:b/>
          <w:color w:val="000000"/>
          <w:szCs w:val="22"/>
        </w:rPr>
        <w:tab/>
        <w:t>Dávkovanie a spôsob podávania</w:t>
      </w:r>
    </w:p>
    <w:p w:rsidR="00C80EFB" w:rsidRPr="007912A9" w:rsidRDefault="00C80EFB" w:rsidP="007912A9">
      <w:pPr>
        <w:rPr>
          <w:color w:val="000000"/>
          <w:szCs w:val="22"/>
        </w:rPr>
      </w:pPr>
    </w:p>
    <w:p w:rsidR="00C80EFB" w:rsidRPr="007912A9" w:rsidRDefault="00C80EFB" w:rsidP="007912A9">
      <w:pPr>
        <w:rPr>
          <w:color w:val="000000"/>
          <w:szCs w:val="22"/>
          <w:u w:val="single"/>
        </w:rPr>
      </w:pPr>
      <w:r w:rsidRPr="007912A9">
        <w:rPr>
          <w:color w:val="000000"/>
          <w:szCs w:val="22"/>
          <w:u w:val="single"/>
        </w:rPr>
        <w:t>Dávkovanie</w:t>
      </w:r>
    </w:p>
    <w:p w:rsidR="00C80EFB" w:rsidRDefault="00C80EFB" w:rsidP="00640019">
      <w:pPr>
        <w:ind w:left="0" w:firstLine="0"/>
        <w:rPr>
          <w:bCs/>
          <w:szCs w:val="22"/>
        </w:rPr>
      </w:pPr>
      <w:r>
        <w:rPr>
          <w:bCs/>
          <w:szCs w:val="22"/>
        </w:rPr>
        <w:t>Všeobecne sa odporúča dávkovanie individuálne prispôsobiť.</w:t>
      </w:r>
    </w:p>
    <w:p w:rsidR="00C80EFB" w:rsidRPr="007912A9" w:rsidRDefault="00C80EFB" w:rsidP="007912A9">
      <w:pPr>
        <w:ind w:left="0" w:firstLine="0"/>
        <w:rPr>
          <w:bCs/>
          <w:color w:val="000000"/>
          <w:szCs w:val="22"/>
        </w:rPr>
      </w:pPr>
      <w:r w:rsidRPr="007912A9">
        <w:rPr>
          <w:bCs/>
          <w:color w:val="000000"/>
          <w:szCs w:val="22"/>
        </w:rPr>
        <w:t>Vedľajšie účinky môžu byť minimalizované použitím najnižšej účinnej dávky v najkratšom čase potrebnom na kontrolu symptómov (pozri časť 4.4).</w:t>
      </w:r>
    </w:p>
    <w:p w:rsidR="00C80EFB" w:rsidRPr="007912A9" w:rsidRDefault="00C80EFB" w:rsidP="00D43FE5">
      <w:pPr>
        <w:rPr>
          <w:color w:val="000000"/>
          <w:szCs w:val="22"/>
        </w:rPr>
      </w:pPr>
    </w:p>
    <w:p w:rsidR="00C80EFB" w:rsidRPr="007912A9" w:rsidRDefault="00C80EFB" w:rsidP="000519CF">
      <w:pPr>
        <w:ind w:left="0" w:firstLine="0"/>
        <w:rPr>
          <w:bCs/>
          <w:i/>
          <w:iCs/>
          <w:color w:val="000000"/>
          <w:szCs w:val="22"/>
        </w:rPr>
      </w:pPr>
      <w:r w:rsidRPr="007912A9">
        <w:rPr>
          <w:bCs/>
          <w:i/>
          <w:iCs/>
          <w:color w:val="000000"/>
          <w:szCs w:val="22"/>
        </w:rPr>
        <w:t xml:space="preserve">Dospelí </w:t>
      </w:r>
    </w:p>
    <w:p w:rsidR="00C80EFB" w:rsidRPr="007912A9" w:rsidRDefault="00C80EFB" w:rsidP="006C0685">
      <w:pPr>
        <w:ind w:left="0" w:firstLine="0"/>
        <w:rPr>
          <w:color w:val="000000"/>
          <w:szCs w:val="22"/>
        </w:rPr>
      </w:pPr>
      <w:r w:rsidRPr="007912A9">
        <w:rPr>
          <w:color w:val="000000"/>
          <w:szCs w:val="22"/>
        </w:rPr>
        <w:t xml:space="preserve">Odporúčaná začiatočná denná dávka je 100 až 150 mg. V menej závažných prípadoch, ako aj pri dlhodobej liečbe zvyčajne postačuje 100 mg denne. </w:t>
      </w:r>
    </w:p>
    <w:p w:rsidR="00C80EFB" w:rsidRPr="007912A9" w:rsidRDefault="00C80EFB" w:rsidP="006C0685">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Celková denná dávka sa má spravidla rozdeliť na 2 až 3 čiastkové dávky. Na zmiernenie nočnej bolesti a rannej stuhnutosti možno liečbu tabletami cez deň doplniť podaním čapíka pred spaním (až do celkovej maximálnej dennej dávky 150 mg).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Pri primárnej dysmenorei je denná dávka, ktorá sa má individuálne upraviť, obvykle 50 až 150 mg. Na začiatku sa má podať dávka 50 až 100 mg a ak je to potrebné, možno túto dávku v priebehu niekoľkých menštruačných cyklov zvýšiť až na maximum 200 mg denne. Liečba sa má začať pri objavení sa prvých príznakov a v závislosti od symptomatológie sa v nej má pokračovať niekoľko dní. </w:t>
      </w:r>
    </w:p>
    <w:p w:rsidR="00C80EFB" w:rsidRPr="007912A9" w:rsidRDefault="00C80EFB" w:rsidP="007912A9">
      <w:pPr>
        <w:ind w:left="0" w:firstLine="0"/>
        <w:rPr>
          <w:color w:val="000000"/>
          <w:szCs w:val="22"/>
        </w:rPr>
      </w:pPr>
    </w:p>
    <w:p w:rsidR="00C80EFB" w:rsidRPr="007912A9" w:rsidRDefault="00C80EFB" w:rsidP="007912A9">
      <w:pPr>
        <w:pStyle w:val="Zkladntext"/>
        <w:rPr>
          <w:bCs/>
          <w:i/>
          <w:iCs/>
          <w:color w:val="000000"/>
          <w:szCs w:val="22"/>
        </w:rPr>
      </w:pPr>
      <w:r w:rsidRPr="007912A9">
        <w:rPr>
          <w:bCs/>
          <w:i/>
          <w:iCs/>
          <w:color w:val="000000"/>
          <w:szCs w:val="22"/>
        </w:rPr>
        <w:t>Pediatrická populácia </w:t>
      </w:r>
      <w:r w:rsidRPr="00BF7A17">
        <w:rPr>
          <w:i/>
          <w:szCs w:val="22"/>
        </w:rPr>
        <w:t xml:space="preserve">(pacienti vo veku </w:t>
      </w:r>
      <w:r>
        <w:rPr>
          <w:i/>
          <w:szCs w:val="22"/>
        </w:rPr>
        <w:t>menej ako 18</w:t>
      </w:r>
      <w:r w:rsidRPr="00BF7A17">
        <w:rPr>
          <w:i/>
          <w:szCs w:val="22"/>
        </w:rPr>
        <w:t xml:space="preserve"> rokov)</w:t>
      </w:r>
    </w:p>
    <w:p w:rsidR="00C80EFB" w:rsidRPr="007912A9" w:rsidRDefault="00C80EFB" w:rsidP="007912A9">
      <w:pPr>
        <w:ind w:left="0" w:firstLine="0"/>
        <w:rPr>
          <w:color w:val="000000"/>
          <w:szCs w:val="22"/>
        </w:rPr>
      </w:pPr>
      <w:r w:rsidRPr="007912A9">
        <w:rPr>
          <w:color w:val="000000"/>
          <w:szCs w:val="22"/>
        </w:rPr>
        <w:t>Vzhľadom na dávku liečiva sa použitie gastrorezistentných tabliet Voltaren 50 neodporúča u detí a dospievajúcich mladších ako 14-ročných.</w:t>
      </w:r>
    </w:p>
    <w:p w:rsidR="00C80EFB" w:rsidRPr="007912A9" w:rsidRDefault="00C80EFB" w:rsidP="007912A9">
      <w:pPr>
        <w:pStyle w:val="Zkladntext"/>
        <w:rPr>
          <w:b/>
          <w:color w:val="000000"/>
          <w:szCs w:val="22"/>
        </w:rPr>
      </w:pPr>
    </w:p>
    <w:p w:rsidR="00C80EFB" w:rsidRPr="007912A9" w:rsidRDefault="00C80EFB" w:rsidP="007912A9">
      <w:pPr>
        <w:pStyle w:val="Zkladntext"/>
        <w:rPr>
          <w:i/>
          <w:color w:val="000000"/>
          <w:szCs w:val="22"/>
        </w:rPr>
      </w:pPr>
      <w:r w:rsidRPr="007912A9">
        <w:rPr>
          <w:i/>
          <w:color w:val="000000"/>
          <w:szCs w:val="22"/>
        </w:rPr>
        <w:t>Geriatrická populácia (pacienti vo veku 65 rokov a viac)</w:t>
      </w:r>
    </w:p>
    <w:p w:rsidR="00C80EFB" w:rsidRPr="007912A9" w:rsidRDefault="00C80EFB" w:rsidP="007912A9">
      <w:pPr>
        <w:pStyle w:val="Zkladntext"/>
        <w:rPr>
          <w:color w:val="000000"/>
          <w:szCs w:val="22"/>
        </w:rPr>
      </w:pPr>
      <w:r w:rsidRPr="007912A9">
        <w:rPr>
          <w:color w:val="000000"/>
          <w:szCs w:val="22"/>
        </w:rPr>
        <w:t xml:space="preserve">U starších pacientov </w:t>
      </w:r>
      <w:r>
        <w:rPr>
          <w:color w:val="000000"/>
          <w:szCs w:val="22"/>
        </w:rPr>
        <w:t xml:space="preserve">vo všeobecnosti </w:t>
      </w:r>
      <w:r w:rsidRPr="007912A9">
        <w:rPr>
          <w:color w:val="000000"/>
          <w:szCs w:val="22"/>
        </w:rPr>
        <w:t>nie je potrebná úprava začiatočnej dávky</w:t>
      </w:r>
      <w:r>
        <w:rPr>
          <w:color w:val="000000"/>
          <w:szCs w:val="22"/>
        </w:rPr>
        <w:t>.</w:t>
      </w:r>
      <w:r w:rsidRPr="009F0A4B">
        <w:rPr>
          <w:szCs w:val="22"/>
        </w:rPr>
        <w:t xml:space="preserve"> </w:t>
      </w:r>
      <w:r w:rsidRPr="00BF7A17">
        <w:rPr>
          <w:szCs w:val="22"/>
        </w:rPr>
        <w:t xml:space="preserve">Z principiálnych medicínskych dôvodov sa </w:t>
      </w:r>
      <w:r>
        <w:rPr>
          <w:szCs w:val="22"/>
        </w:rPr>
        <w:t xml:space="preserve">však </w:t>
      </w:r>
      <w:r w:rsidRPr="00BF7A17">
        <w:rPr>
          <w:szCs w:val="22"/>
        </w:rPr>
        <w:t>vyžaduje opatrnosť u starších pacientov</w:t>
      </w:r>
      <w:r>
        <w:rPr>
          <w:szCs w:val="22"/>
        </w:rPr>
        <w:t>, p</w:t>
      </w:r>
      <w:r w:rsidRPr="00BF7A17">
        <w:rPr>
          <w:szCs w:val="22"/>
        </w:rPr>
        <w:t xml:space="preserve">redovšetkým </w:t>
      </w:r>
      <w:r>
        <w:rPr>
          <w:szCs w:val="22"/>
        </w:rPr>
        <w:t xml:space="preserve">u </w:t>
      </w:r>
      <w:r w:rsidRPr="00BF7A17">
        <w:rPr>
          <w:szCs w:val="22"/>
        </w:rPr>
        <w:t>chorľavý</w:t>
      </w:r>
      <w:r>
        <w:rPr>
          <w:szCs w:val="22"/>
        </w:rPr>
        <w:t>ch</w:t>
      </w:r>
      <w:r w:rsidRPr="00BF7A17">
        <w:rPr>
          <w:szCs w:val="22"/>
        </w:rPr>
        <w:t xml:space="preserve"> starší</w:t>
      </w:r>
      <w:r>
        <w:rPr>
          <w:szCs w:val="22"/>
        </w:rPr>
        <w:t>ch</w:t>
      </w:r>
      <w:r w:rsidRPr="00BF7A17">
        <w:rPr>
          <w:szCs w:val="22"/>
        </w:rPr>
        <w:t xml:space="preserve"> paciento</w:t>
      </w:r>
      <w:r>
        <w:rPr>
          <w:szCs w:val="22"/>
        </w:rPr>
        <w:t>v</w:t>
      </w:r>
      <w:r w:rsidRPr="00BF7A17">
        <w:rPr>
          <w:szCs w:val="22"/>
        </w:rPr>
        <w:t xml:space="preserve"> alebo paciento</w:t>
      </w:r>
      <w:r>
        <w:rPr>
          <w:szCs w:val="22"/>
        </w:rPr>
        <w:t>v</w:t>
      </w:r>
      <w:r w:rsidRPr="00BF7A17">
        <w:rPr>
          <w:szCs w:val="22"/>
        </w:rPr>
        <w:t xml:space="preserve"> s nízkou telesnou hmotnosťou</w:t>
      </w:r>
      <w:r w:rsidRPr="007912A9">
        <w:rPr>
          <w:color w:val="000000"/>
          <w:szCs w:val="22"/>
        </w:rPr>
        <w:t xml:space="preserve"> (pozri časť 4.4).</w:t>
      </w:r>
    </w:p>
    <w:p w:rsidR="00C80EFB" w:rsidRPr="007912A9" w:rsidRDefault="00C80EFB" w:rsidP="007912A9">
      <w:pPr>
        <w:rPr>
          <w:color w:val="000000"/>
          <w:szCs w:val="22"/>
          <w:u w:val="single"/>
        </w:rPr>
      </w:pPr>
    </w:p>
    <w:p w:rsidR="00C80EFB" w:rsidRPr="007912A9" w:rsidRDefault="00C80EFB" w:rsidP="007912A9">
      <w:pPr>
        <w:rPr>
          <w:i/>
          <w:color w:val="000000"/>
          <w:szCs w:val="22"/>
        </w:rPr>
      </w:pPr>
      <w:r w:rsidRPr="007912A9">
        <w:rPr>
          <w:i/>
          <w:color w:val="000000"/>
          <w:szCs w:val="22"/>
        </w:rPr>
        <w:t>Význačné kardiovaskulárne rizikové faktory</w:t>
      </w:r>
    </w:p>
    <w:p w:rsidR="00C80EFB" w:rsidRPr="007912A9" w:rsidRDefault="00C80EFB" w:rsidP="007912A9">
      <w:pPr>
        <w:rPr>
          <w:color w:val="000000"/>
          <w:szCs w:val="22"/>
        </w:rPr>
      </w:pPr>
      <w:r w:rsidRPr="007912A9">
        <w:rPr>
          <w:color w:val="000000"/>
          <w:szCs w:val="22"/>
        </w:rPr>
        <w:t xml:space="preserve">Pacienti so signifikantnými rizikovými faktormi kardiovaskulárnych ochorení majú byť liečení </w:t>
      </w:r>
    </w:p>
    <w:p w:rsidR="00C80EFB" w:rsidRPr="00D43FE5" w:rsidRDefault="00C80EFB" w:rsidP="007912A9">
      <w:pPr>
        <w:rPr>
          <w:color w:val="000000"/>
          <w:szCs w:val="22"/>
        </w:rPr>
      </w:pPr>
      <w:r w:rsidRPr="007912A9">
        <w:rPr>
          <w:color w:val="000000"/>
          <w:szCs w:val="22"/>
        </w:rPr>
        <w:t>Voltarenom iba po starostlivom zvážení a iba pri dávkach ≤</w:t>
      </w:r>
      <w:r>
        <w:rPr>
          <w:color w:val="000000"/>
          <w:szCs w:val="22"/>
        </w:rPr>
        <w:t> </w:t>
      </w:r>
      <w:r w:rsidRPr="00D43FE5">
        <w:rPr>
          <w:color w:val="000000"/>
          <w:szCs w:val="22"/>
        </w:rPr>
        <w:t xml:space="preserve">100 mg denne, ak sú liečení dlhšie ako 4 </w:t>
      </w:r>
    </w:p>
    <w:p w:rsidR="00C80EFB" w:rsidRPr="006C0685" w:rsidRDefault="00C80EFB" w:rsidP="007912A9">
      <w:pPr>
        <w:rPr>
          <w:color w:val="000000"/>
          <w:szCs w:val="22"/>
        </w:rPr>
      </w:pPr>
      <w:r w:rsidRPr="000519CF">
        <w:rPr>
          <w:color w:val="000000"/>
          <w:szCs w:val="22"/>
        </w:rPr>
        <w:t>týždne</w:t>
      </w:r>
      <w:r w:rsidRPr="00474CB6">
        <w:rPr>
          <w:color w:val="000000"/>
          <w:szCs w:val="22"/>
        </w:rPr>
        <w:t xml:space="preserve"> (</w:t>
      </w:r>
      <w:r w:rsidRPr="006C0685">
        <w:rPr>
          <w:color w:val="000000"/>
          <w:szCs w:val="22"/>
        </w:rPr>
        <w:t>pozri časť 4.4).</w:t>
      </w:r>
    </w:p>
    <w:p w:rsidR="00C80EFB" w:rsidRPr="007912A9" w:rsidRDefault="00C80EFB" w:rsidP="007912A9">
      <w:pPr>
        <w:pStyle w:val="Zkladntext"/>
        <w:rPr>
          <w:b/>
          <w:color w:val="000000"/>
          <w:szCs w:val="22"/>
        </w:rPr>
      </w:pPr>
    </w:p>
    <w:p w:rsidR="00C80EFB" w:rsidRPr="007912A9" w:rsidRDefault="00C80EFB" w:rsidP="007912A9">
      <w:pPr>
        <w:pStyle w:val="Zkladntext"/>
        <w:rPr>
          <w:i/>
          <w:color w:val="000000"/>
          <w:szCs w:val="22"/>
        </w:rPr>
      </w:pPr>
      <w:r w:rsidRPr="007912A9">
        <w:rPr>
          <w:i/>
          <w:color w:val="000000"/>
          <w:szCs w:val="22"/>
        </w:rPr>
        <w:t>Po</w:t>
      </w:r>
      <w:r>
        <w:rPr>
          <w:i/>
          <w:color w:val="000000"/>
          <w:szCs w:val="22"/>
        </w:rPr>
        <w:t>rucha</w:t>
      </w:r>
      <w:r w:rsidRPr="007912A9">
        <w:rPr>
          <w:i/>
          <w:color w:val="000000"/>
          <w:szCs w:val="22"/>
        </w:rPr>
        <w:t xml:space="preserve"> funkcie obličiek</w:t>
      </w:r>
    </w:p>
    <w:p w:rsidR="00C80EFB" w:rsidRPr="007912A9" w:rsidRDefault="00C80EFB" w:rsidP="007912A9">
      <w:pPr>
        <w:pStyle w:val="Zkladntext"/>
        <w:rPr>
          <w:color w:val="000000"/>
          <w:szCs w:val="22"/>
        </w:rPr>
      </w:pPr>
      <w:r w:rsidRPr="007912A9">
        <w:rPr>
          <w:color w:val="000000"/>
          <w:szCs w:val="22"/>
        </w:rPr>
        <w:t xml:space="preserve">Voltaren je kontraindikovaný u pacientov so zlyhávajúcimi obličkami </w:t>
      </w:r>
      <w:r>
        <w:rPr>
          <w:szCs w:val="22"/>
        </w:rPr>
        <w:t>(</w:t>
      </w:r>
      <w:r w:rsidRPr="006E42E2">
        <w:rPr>
          <w:szCs w:val="22"/>
        </w:rPr>
        <w:t>GFR &lt;15 m</w:t>
      </w:r>
      <w:r>
        <w:rPr>
          <w:szCs w:val="22"/>
        </w:rPr>
        <w:t>l</w:t>
      </w:r>
      <w:r w:rsidRPr="006E42E2">
        <w:rPr>
          <w:szCs w:val="22"/>
        </w:rPr>
        <w:t>/min/1</w:t>
      </w:r>
      <w:r>
        <w:rPr>
          <w:szCs w:val="22"/>
        </w:rPr>
        <w:t>,</w:t>
      </w:r>
      <w:r w:rsidRPr="006E42E2">
        <w:rPr>
          <w:szCs w:val="22"/>
        </w:rPr>
        <w:t>73m</w:t>
      </w:r>
      <w:r w:rsidRPr="006E42E2">
        <w:rPr>
          <w:szCs w:val="22"/>
          <w:vertAlign w:val="superscript"/>
        </w:rPr>
        <w:t>2</w:t>
      </w:r>
      <w:r w:rsidRPr="006E42E2">
        <w:rPr>
          <w:szCs w:val="22"/>
        </w:rPr>
        <w:t xml:space="preserve">) </w:t>
      </w:r>
      <w:r w:rsidRPr="007912A9">
        <w:rPr>
          <w:color w:val="000000"/>
          <w:szCs w:val="22"/>
        </w:rPr>
        <w:t>(pozri časť 4.3).</w:t>
      </w:r>
    </w:p>
    <w:p w:rsidR="00C80EFB" w:rsidRPr="007912A9" w:rsidRDefault="00C80EFB" w:rsidP="007912A9">
      <w:pPr>
        <w:pStyle w:val="Zkladntext"/>
        <w:rPr>
          <w:i/>
          <w:color w:val="000000"/>
          <w:szCs w:val="22"/>
        </w:rPr>
      </w:pPr>
      <w:r w:rsidRPr="007912A9">
        <w:rPr>
          <w:color w:val="000000"/>
          <w:szCs w:val="22"/>
        </w:rPr>
        <w:t>U pacientov s po</w:t>
      </w:r>
      <w:r>
        <w:rPr>
          <w:color w:val="000000"/>
          <w:szCs w:val="22"/>
        </w:rPr>
        <w:t>ruš</w:t>
      </w:r>
      <w:r w:rsidRPr="007912A9">
        <w:rPr>
          <w:color w:val="000000"/>
          <w:szCs w:val="22"/>
        </w:rPr>
        <w:t>enou funkciou obličiek neboli vykonané žiadne špecifické skúšania, preto nie je možné urobiť odporúčania ohľadne úpravy dávkovania. U pacientov s miernym až stredne ťažkým po</w:t>
      </w:r>
      <w:r>
        <w:rPr>
          <w:color w:val="000000"/>
          <w:szCs w:val="22"/>
        </w:rPr>
        <w:t>ruše</w:t>
      </w:r>
      <w:r w:rsidRPr="007912A9">
        <w:rPr>
          <w:color w:val="000000"/>
          <w:szCs w:val="22"/>
        </w:rPr>
        <w:t>ním funkcie obličiek sa odporúča opatrnosť (pozri časť 4.4).</w:t>
      </w:r>
    </w:p>
    <w:p w:rsidR="00C80EFB" w:rsidRPr="007912A9" w:rsidRDefault="00C80EFB" w:rsidP="007912A9">
      <w:pPr>
        <w:pStyle w:val="Zkladntext"/>
        <w:rPr>
          <w:i/>
          <w:color w:val="000000"/>
          <w:szCs w:val="22"/>
        </w:rPr>
      </w:pPr>
    </w:p>
    <w:p w:rsidR="00C80EFB" w:rsidRPr="007912A9" w:rsidRDefault="00C80EFB" w:rsidP="007912A9">
      <w:pPr>
        <w:pStyle w:val="Zkladntext"/>
        <w:rPr>
          <w:i/>
          <w:color w:val="000000"/>
          <w:szCs w:val="22"/>
        </w:rPr>
      </w:pPr>
      <w:r w:rsidRPr="007912A9">
        <w:rPr>
          <w:i/>
          <w:color w:val="000000"/>
          <w:szCs w:val="22"/>
        </w:rPr>
        <w:t>Po</w:t>
      </w:r>
      <w:r>
        <w:rPr>
          <w:i/>
          <w:color w:val="000000"/>
          <w:szCs w:val="22"/>
        </w:rPr>
        <w:t>ruš</w:t>
      </w:r>
      <w:r w:rsidRPr="007912A9">
        <w:rPr>
          <w:i/>
          <w:color w:val="000000"/>
          <w:szCs w:val="22"/>
        </w:rPr>
        <w:t>enie funkcie pečene</w:t>
      </w:r>
    </w:p>
    <w:p w:rsidR="00C80EFB" w:rsidRPr="007912A9" w:rsidRDefault="00C80EFB" w:rsidP="007912A9">
      <w:pPr>
        <w:pStyle w:val="Zkladntext"/>
        <w:rPr>
          <w:color w:val="000000"/>
          <w:szCs w:val="22"/>
        </w:rPr>
      </w:pPr>
      <w:r w:rsidRPr="007912A9">
        <w:rPr>
          <w:color w:val="000000"/>
          <w:szCs w:val="22"/>
        </w:rPr>
        <w:t>Voltaren je kontraindikovaný u pacientov so zlyhávajúcou pečeňou (pozri časť 4.3).</w:t>
      </w:r>
    </w:p>
    <w:p w:rsidR="00C80EFB" w:rsidRPr="007912A9" w:rsidRDefault="00C80EFB" w:rsidP="007912A9">
      <w:pPr>
        <w:pStyle w:val="Zkladntext"/>
        <w:rPr>
          <w:color w:val="000000"/>
          <w:szCs w:val="22"/>
        </w:rPr>
      </w:pPr>
      <w:r w:rsidRPr="007912A9">
        <w:rPr>
          <w:color w:val="000000"/>
          <w:szCs w:val="22"/>
        </w:rPr>
        <w:t>U pacientov s po</w:t>
      </w:r>
      <w:r>
        <w:rPr>
          <w:color w:val="000000"/>
          <w:szCs w:val="22"/>
        </w:rPr>
        <w:t>ruš</w:t>
      </w:r>
      <w:r w:rsidRPr="007912A9">
        <w:rPr>
          <w:color w:val="000000"/>
          <w:szCs w:val="22"/>
        </w:rPr>
        <w:t xml:space="preserve">enou funkciou pečene neboli vykonané žiadne špecifické skúšania, preto nie je </w:t>
      </w:r>
    </w:p>
    <w:p w:rsidR="00C80EFB" w:rsidRPr="007912A9" w:rsidRDefault="00C80EFB" w:rsidP="007912A9">
      <w:pPr>
        <w:pStyle w:val="Zkladntext"/>
        <w:rPr>
          <w:color w:val="000000"/>
          <w:szCs w:val="22"/>
        </w:rPr>
      </w:pPr>
      <w:r w:rsidRPr="007912A9">
        <w:rPr>
          <w:color w:val="000000"/>
          <w:szCs w:val="22"/>
        </w:rPr>
        <w:t xml:space="preserve">možné urobiť odporúčania ohľadne úpravy dávkovania. U pacientov s miernym až stredne ťažkým </w:t>
      </w:r>
    </w:p>
    <w:p w:rsidR="00C80EFB" w:rsidRPr="007912A9" w:rsidRDefault="00C80EFB" w:rsidP="007912A9">
      <w:pPr>
        <w:rPr>
          <w:color w:val="000000"/>
          <w:szCs w:val="22"/>
          <w:u w:val="single"/>
        </w:rPr>
      </w:pPr>
      <w:r w:rsidRPr="007912A9">
        <w:rPr>
          <w:color w:val="000000"/>
          <w:szCs w:val="22"/>
        </w:rPr>
        <w:t>po</w:t>
      </w:r>
      <w:r>
        <w:rPr>
          <w:color w:val="000000"/>
          <w:szCs w:val="22"/>
        </w:rPr>
        <w:t>ruš</w:t>
      </w:r>
      <w:r w:rsidRPr="007912A9">
        <w:rPr>
          <w:color w:val="000000"/>
          <w:szCs w:val="22"/>
        </w:rPr>
        <w:t>ením funkcie pečene sa odporúča opatrnosť (pozri časť 4.4).</w:t>
      </w:r>
    </w:p>
    <w:p w:rsidR="00C80EFB" w:rsidRPr="007912A9" w:rsidRDefault="00C80EFB" w:rsidP="007912A9">
      <w:pPr>
        <w:rPr>
          <w:color w:val="000000"/>
          <w:szCs w:val="22"/>
          <w:u w:val="single"/>
        </w:rPr>
      </w:pPr>
    </w:p>
    <w:p w:rsidR="00C80EFB" w:rsidRPr="007912A9" w:rsidRDefault="00C80EFB" w:rsidP="007912A9">
      <w:pPr>
        <w:rPr>
          <w:color w:val="000000"/>
          <w:szCs w:val="22"/>
          <w:u w:val="single"/>
        </w:rPr>
      </w:pPr>
      <w:r w:rsidRPr="007912A9">
        <w:rPr>
          <w:color w:val="000000"/>
          <w:szCs w:val="22"/>
          <w:u w:val="single"/>
        </w:rPr>
        <w:t xml:space="preserve">Spôsob podávania </w:t>
      </w:r>
    </w:p>
    <w:p w:rsidR="00C80EFB" w:rsidRPr="007912A9" w:rsidRDefault="00C80EFB" w:rsidP="007912A9">
      <w:pPr>
        <w:ind w:left="0" w:firstLine="0"/>
        <w:rPr>
          <w:color w:val="000000"/>
          <w:szCs w:val="22"/>
        </w:rPr>
      </w:pPr>
      <w:r w:rsidRPr="007912A9">
        <w:rPr>
          <w:color w:val="000000"/>
          <w:szCs w:val="22"/>
        </w:rPr>
        <w:t>Tablety sa majú prehĺtať celé a zapiť tekutinou, najlepšie pred jedlom. Tablety sa nesmú lámať alebo hrýzť.</w:t>
      </w:r>
    </w:p>
    <w:p w:rsidR="00C80EFB" w:rsidRPr="007912A9" w:rsidRDefault="00C80EFB" w:rsidP="007912A9">
      <w:pPr>
        <w:pStyle w:val="Zkladntext"/>
        <w:rPr>
          <w:color w:val="000000"/>
          <w:szCs w:val="22"/>
        </w:rPr>
      </w:pPr>
    </w:p>
    <w:p w:rsidR="00C80EFB" w:rsidRPr="007912A9" w:rsidRDefault="00C80EFB" w:rsidP="007912A9">
      <w:pPr>
        <w:tabs>
          <w:tab w:val="left" w:pos="540"/>
        </w:tabs>
        <w:rPr>
          <w:color w:val="000000"/>
          <w:szCs w:val="22"/>
        </w:rPr>
      </w:pPr>
      <w:r w:rsidRPr="007912A9">
        <w:rPr>
          <w:b/>
          <w:color w:val="000000"/>
          <w:szCs w:val="22"/>
        </w:rPr>
        <w:t>4.3</w:t>
      </w:r>
      <w:r w:rsidRPr="007912A9">
        <w:rPr>
          <w:b/>
          <w:color w:val="000000"/>
          <w:szCs w:val="22"/>
        </w:rPr>
        <w:tab/>
        <w:t xml:space="preserve">Kontraindikácie </w:t>
      </w:r>
    </w:p>
    <w:p w:rsidR="00C80EFB" w:rsidRPr="007912A9" w:rsidRDefault="00C80EFB" w:rsidP="007912A9">
      <w:pPr>
        <w:rPr>
          <w:color w:val="000000"/>
          <w:szCs w:val="22"/>
        </w:rPr>
      </w:pPr>
    </w:p>
    <w:p w:rsidR="00C80EFB" w:rsidRPr="007912A9" w:rsidRDefault="00C80EFB" w:rsidP="007912A9">
      <w:pPr>
        <w:numPr>
          <w:ilvl w:val="0"/>
          <w:numId w:val="21"/>
        </w:numPr>
        <w:rPr>
          <w:color w:val="000000"/>
          <w:szCs w:val="22"/>
        </w:rPr>
      </w:pPr>
      <w:r w:rsidRPr="007912A9">
        <w:rPr>
          <w:color w:val="000000"/>
          <w:szCs w:val="22"/>
        </w:rPr>
        <w:t>Známa precitlivenosť na liečivo alebo na ktorúkoľvek z pomocných látok.</w:t>
      </w:r>
    </w:p>
    <w:p w:rsidR="00C80EFB" w:rsidRPr="007912A9" w:rsidRDefault="00C80EFB" w:rsidP="007912A9">
      <w:pPr>
        <w:numPr>
          <w:ilvl w:val="0"/>
          <w:numId w:val="21"/>
        </w:numPr>
        <w:rPr>
          <w:color w:val="000000"/>
          <w:szCs w:val="22"/>
        </w:rPr>
      </w:pPr>
      <w:r w:rsidRPr="007912A9">
        <w:rPr>
          <w:color w:val="000000"/>
          <w:szCs w:val="22"/>
        </w:rPr>
        <w:t xml:space="preserve">Aktívny vred žalúdka alebo dvanástnika, krvácanie alebo perforácia. </w:t>
      </w:r>
    </w:p>
    <w:p w:rsidR="00C80EFB" w:rsidRPr="007912A9" w:rsidRDefault="00C80EFB" w:rsidP="007912A9">
      <w:pPr>
        <w:numPr>
          <w:ilvl w:val="0"/>
          <w:numId w:val="21"/>
        </w:numPr>
        <w:autoSpaceDE w:val="0"/>
        <w:autoSpaceDN w:val="0"/>
        <w:adjustRightInd w:val="0"/>
        <w:rPr>
          <w:color w:val="000000"/>
          <w:szCs w:val="22"/>
        </w:rPr>
      </w:pPr>
      <w:r w:rsidRPr="007912A9">
        <w:rPr>
          <w:color w:val="000000"/>
          <w:szCs w:val="22"/>
        </w:rPr>
        <w:t>Gastrointestinálne krvácanie alebo perforácia v spojitosti s predošlou liečbou nesteroidnými antiflogistikami v anamnéze (pozri časti 4.4 a 4.8). Anamnéza alebo aktívny peptický vred/krvácanie (dve alebo viac zreteľných epizód s preukázanou ulceráciou alebo krvácaním).</w:t>
      </w:r>
    </w:p>
    <w:p w:rsidR="00C80EFB" w:rsidRPr="007912A9" w:rsidRDefault="00C80EFB" w:rsidP="00D43FE5">
      <w:pPr>
        <w:numPr>
          <w:ilvl w:val="0"/>
          <w:numId w:val="21"/>
        </w:numPr>
        <w:rPr>
          <w:color w:val="000000"/>
          <w:szCs w:val="22"/>
        </w:rPr>
      </w:pPr>
      <w:r w:rsidRPr="007912A9">
        <w:rPr>
          <w:color w:val="000000"/>
          <w:szCs w:val="22"/>
        </w:rPr>
        <w:t>Posledný trimester gravidity (pozri časť 4.6).</w:t>
      </w:r>
    </w:p>
    <w:p w:rsidR="00C80EFB" w:rsidRDefault="00C80EFB" w:rsidP="000519CF">
      <w:pPr>
        <w:numPr>
          <w:ilvl w:val="0"/>
          <w:numId w:val="21"/>
        </w:numPr>
        <w:rPr>
          <w:color w:val="000000"/>
          <w:szCs w:val="22"/>
        </w:rPr>
      </w:pPr>
      <w:r w:rsidRPr="007912A9">
        <w:rPr>
          <w:color w:val="000000"/>
          <w:szCs w:val="22"/>
        </w:rPr>
        <w:t xml:space="preserve">Zlyhanie pečene </w:t>
      </w:r>
    </w:p>
    <w:p w:rsidR="00C80EFB" w:rsidRDefault="00C80EFB" w:rsidP="000519CF">
      <w:pPr>
        <w:numPr>
          <w:ilvl w:val="0"/>
          <w:numId w:val="21"/>
        </w:numPr>
        <w:rPr>
          <w:color w:val="000000"/>
          <w:szCs w:val="22"/>
        </w:rPr>
      </w:pPr>
      <w:r>
        <w:rPr>
          <w:color w:val="000000"/>
          <w:szCs w:val="22"/>
        </w:rPr>
        <w:t xml:space="preserve">Zlyhanie </w:t>
      </w:r>
      <w:r w:rsidRPr="007912A9">
        <w:rPr>
          <w:color w:val="000000"/>
          <w:szCs w:val="22"/>
        </w:rPr>
        <w:t xml:space="preserve">obličiek </w:t>
      </w:r>
      <w:r>
        <w:rPr>
          <w:szCs w:val="22"/>
        </w:rPr>
        <w:t>(</w:t>
      </w:r>
      <w:r w:rsidRPr="006E42E2">
        <w:rPr>
          <w:szCs w:val="22"/>
        </w:rPr>
        <w:t>GFR &lt;15 m</w:t>
      </w:r>
      <w:r>
        <w:rPr>
          <w:szCs w:val="22"/>
        </w:rPr>
        <w:t>l</w:t>
      </w:r>
      <w:r w:rsidRPr="006E42E2">
        <w:rPr>
          <w:szCs w:val="22"/>
        </w:rPr>
        <w:t>/min/1</w:t>
      </w:r>
      <w:r>
        <w:rPr>
          <w:szCs w:val="22"/>
        </w:rPr>
        <w:t>,</w:t>
      </w:r>
      <w:r w:rsidRPr="006E42E2">
        <w:rPr>
          <w:szCs w:val="22"/>
        </w:rPr>
        <w:t>73m</w:t>
      </w:r>
      <w:r w:rsidRPr="006E42E2">
        <w:rPr>
          <w:szCs w:val="22"/>
          <w:vertAlign w:val="superscript"/>
        </w:rPr>
        <w:t>2</w:t>
      </w:r>
      <w:r w:rsidRPr="006E42E2">
        <w:rPr>
          <w:szCs w:val="22"/>
        </w:rPr>
        <w:t>)</w:t>
      </w:r>
      <w:r w:rsidRPr="00BF7A17">
        <w:rPr>
          <w:szCs w:val="22"/>
        </w:rPr>
        <w:t xml:space="preserve"> </w:t>
      </w:r>
      <w:r w:rsidRPr="007912A9">
        <w:rPr>
          <w:color w:val="000000"/>
          <w:szCs w:val="22"/>
        </w:rPr>
        <w:t xml:space="preserve">(pozri časť 4.4). </w:t>
      </w:r>
    </w:p>
    <w:p w:rsidR="00C80EFB" w:rsidRPr="007912A9" w:rsidRDefault="00C80EFB" w:rsidP="000519CF">
      <w:pPr>
        <w:numPr>
          <w:ilvl w:val="0"/>
          <w:numId w:val="21"/>
        </w:numPr>
        <w:rPr>
          <w:color w:val="000000"/>
          <w:szCs w:val="22"/>
        </w:rPr>
      </w:pPr>
      <w:r>
        <w:rPr>
          <w:color w:val="000000"/>
          <w:szCs w:val="22"/>
        </w:rPr>
        <w:t xml:space="preserve">Závažné srdcové zlyhávanie </w:t>
      </w:r>
      <w:r w:rsidRPr="007912A9">
        <w:rPr>
          <w:color w:val="000000"/>
          <w:szCs w:val="22"/>
        </w:rPr>
        <w:t>(pozri časť 4.4).</w:t>
      </w:r>
    </w:p>
    <w:p w:rsidR="00C80EFB" w:rsidRDefault="00C80EFB" w:rsidP="006C0685">
      <w:pPr>
        <w:numPr>
          <w:ilvl w:val="0"/>
          <w:numId w:val="21"/>
        </w:numPr>
        <w:rPr>
          <w:color w:val="000000"/>
          <w:szCs w:val="22"/>
        </w:rPr>
      </w:pPr>
      <w:r w:rsidRPr="007912A9">
        <w:rPr>
          <w:color w:val="000000"/>
          <w:szCs w:val="22"/>
        </w:rPr>
        <w:t xml:space="preserve">Tak ako iné nesteroidové antiflogistiká (NSAID), Voltaren je kontraindikovaný aj u pacientov, u ktorých kyselina acetylsalicylová alebo iné NSAID vyvolali záchvaty astmy, urtikáriu alebo akútnu rinitídu (pozri časti 4.4 a 4.8). </w:t>
      </w:r>
    </w:p>
    <w:p w:rsidR="00C80EFB" w:rsidRPr="007912A9" w:rsidRDefault="00C80EFB" w:rsidP="009F0A4B">
      <w:pPr>
        <w:numPr>
          <w:ilvl w:val="0"/>
          <w:numId w:val="21"/>
        </w:numPr>
        <w:rPr>
          <w:color w:val="000000"/>
          <w:szCs w:val="22"/>
        </w:rPr>
      </w:pPr>
      <w:r w:rsidRPr="009F0A4B">
        <w:rPr>
          <w:color w:val="000000"/>
          <w:szCs w:val="22"/>
        </w:rPr>
        <w:t>Preukázané kongestívne zlyhanie srdca (NYHA II-IV), ischemická choroba srdca, periférne arteriálne ochorenie a/alebo cerebrovaskulárne ochorenie.</w:t>
      </w:r>
    </w:p>
    <w:p w:rsidR="00C80EFB" w:rsidRPr="007912A9" w:rsidRDefault="00C80EFB" w:rsidP="00D43FE5">
      <w:pPr>
        <w:rPr>
          <w:b/>
          <w:color w:val="000000"/>
          <w:szCs w:val="22"/>
        </w:rPr>
      </w:pPr>
    </w:p>
    <w:p w:rsidR="00C80EFB" w:rsidRPr="007912A9" w:rsidRDefault="00C80EFB" w:rsidP="000519CF">
      <w:pPr>
        <w:rPr>
          <w:color w:val="000000"/>
          <w:szCs w:val="22"/>
        </w:rPr>
      </w:pPr>
      <w:r w:rsidRPr="007912A9">
        <w:rPr>
          <w:b/>
          <w:color w:val="000000"/>
          <w:szCs w:val="22"/>
        </w:rPr>
        <w:t>4.4</w:t>
      </w:r>
      <w:r w:rsidRPr="007912A9">
        <w:rPr>
          <w:b/>
          <w:color w:val="000000"/>
          <w:szCs w:val="22"/>
        </w:rPr>
        <w:tab/>
        <w:t>Osobitné upozornenia a opatrenia pri používaní</w:t>
      </w:r>
    </w:p>
    <w:p w:rsidR="00C80EFB" w:rsidRPr="007912A9" w:rsidRDefault="00C80EFB" w:rsidP="006C0685">
      <w:pPr>
        <w:pStyle w:val="Nadpis3"/>
        <w:spacing w:before="0" w:after="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
          <w:iCs/>
          <w:color w:val="000000"/>
          <w:sz w:val="22"/>
          <w:szCs w:val="22"/>
        </w:rPr>
      </w:pPr>
      <w:r w:rsidRPr="007912A9">
        <w:rPr>
          <w:rFonts w:ascii="Times New Roman" w:hAnsi="Times New Roman" w:cs="Times New Roman"/>
          <w:b w:val="0"/>
          <w:bCs w:val="0"/>
          <w:i/>
          <w:iCs/>
          <w:color w:val="000000"/>
          <w:sz w:val="22"/>
          <w:szCs w:val="22"/>
        </w:rPr>
        <w:t>Upozornenia</w:t>
      </w:r>
    </w:p>
    <w:p w:rsidR="00C80EFB" w:rsidRPr="007912A9" w:rsidRDefault="00C80EFB" w:rsidP="007912A9">
      <w:pPr>
        <w:ind w:left="0" w:firstLine="0"/>
        <w:rPr>
          <w:color w:val="000000"/>
          <w:szCs w:val="22"/>
        </w:rPr>
      </w:pPr>
      <w:r w:rsidRPr="007912A9">
        <w:rPr>
          <w:color w:val="000000"/>
          <w:szCs w:val="22"/>
        </w:rPr>
        <w:t xml:space="preserve">Gastrointestinálne krvácanie, ulcerácia alebo perforácia, ktoré môžu byť smrteľné, boli hlásené pri všetkých NSAID vrátane diklofenaku a môžu sa vyskytnúť kedykoľvek počas liečby, s varovnými symptómami alebo závažnými gastrointestinálnymi udalosťami v anamnéze, alebo bez nich. Všeobecne mávajú závažnejšie následky u starších pacientov. Ak sa gastrointestinálne krvácanie alebo ulcerácia vyskytnú u pacientov, ktorí dostávajú Voltaren, liek sa má vysadiť. </w:t>
      </w:r>
    </w:p>
    <w:p w:rsidR="00C80EFB" w:rsidRPr="007912A9" w:rsidRDefault="00C80EFB" w:rsidP="007912A9">
      <w:pPr>
        <w:pStyle w:val="Text"/>
        <w:spacing w:before="0"/>
        <w:jc w:val="left"/>
        <w:rPr>
          <w:sz w:val="22"/>
          <w:szCs w:val="22"/>
          <w:lang w:val="sk-SK"/>
        </w:rPr>
      </w:pPr>
    </w:p>
    <w:p w:rsidR="00C80EFB" w:rsidRPr="007912A9" w:rsidRDefault="00C80EFB" w:rsidP="007912A9">
      <w:pPr>
        <w:pStyle w:val="Text"/>
        <w:spacing w:before="0"/>
        <w:jc w:val="left"/>
        <w:rPr>
          <w:sz w:val="22"/>
          <w:szCs w:val="22"/>
          <w:u w:val="single"/>
          <w:lang w:val="sk-SK"/>
        </w:rPr>
      </w:pPr>
      <w:r w:rsidRPr="007912A9">
        <w:rPr>
          <w:sz w:val="22"/>
          <w:szCs w:val="22"/>
          <w:u w:val="single"/>
          <w:lang w:val="sk-SK"/>
        </w:rPr>
        <w:t>Kožné reakcie</w:t>
      </w:r>
    </w:p>
    <w:p w:rsidR="00C80EFB" w:rsidRPr="007912A9" w:rsidRDefault="00C80EFB" w:rsidP="007912A9">
      <w:pPr>
        <w:pStyle w:val="Text"/>
        <w:spacing w:before="0"/>
        <w:jc w:val="left"/>
        <w:rPr>
          <w:sz w:val="22"/>
          <w:szCs w:val="22"/>
          <w:lang w:val="sk-SK"/>
        </w:rPr>
      </w:pPr>
      <w:r w:rsidRPr="007912A9">
        <w:rPr>
          <w:sz w:val="22"/>
          <w:szCs w:val="22"/>
          <w:lang w:val="sk-SK"/>
        </w:rPr>
        <w:t>Závažné kožné reakcie, niektoré smrteľné, vrátane exfoliatívnej dermatitídy, Stevensovho-Johnsonovho syndrómu a toxickej epidermálnej nekrolýzy, boli veľmi zriedkavo hlásené v súvislosti s použitím NSAID vrátane Voltarenu (pozri časť 4.8). Zdá sa, že najvyššie riziko týchto reakcií je u pacientov na začiatku liečby, vo väčšine prípadov nastupuje reakcia počas prvého mesiaca liečby. Voltaren sa má vysadiť pri prvom objavení sa kožnej vyrážky, slizničných lézií alebo akéhokoľvek iného príznaku precitlivenosti.</w:t>
      </w:r>
      <w:r>
        <w:rPr>
          <w:sz w:val="22"/>
          <w:szCs w:val="22"/>
          <w:lang w:val="sk-SK"/>
        </w:rPr>
        <w:t xml:space="preserve">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Tak ako pri iných NSAID, v zriedkavých prípadoch môžu vzniknúť alergické reakcie vrátane anafylaktických/anafylaktoidných reakcií aj bez predošlej expozície diklofenaku. </w:t>
      </w:r>
      <w:r w:rsidRPr="004C740C">
        <w:rPr>
          <w:u w:val="single"/>
        </w:rPr>
        <w:t>Reakcie z precitlivenosti môžu dokonca vyústiť do Kounisovho syndrómu, závažnej alergickej reakcie, ktorá môže viesť k infarktu myokardu. Príznaky takýchto reakcií môžu zahŕňať bolesť na hrudi vyskytujúcu sa v spojení s alergickou reakciou na diklofenak.</w:t>
      </w:r>
    </w:p>
    <w:p w:rsidR="00C80EFB" w:rsidRPr="007912A9" w:rsidRDefault="00C80EFB" w:rsidP="007912A9">
      <w:pPr>
        <w:pStyle w:val="Zkladntext"/>
        <w:rPr>
          <w:color w:val="000000"/>
          <w:szCs w:val="22"/>
        </w:rPr>
      </w:pPr>
    </w:p>
    <w:p w:rsidR="00C80EFB" w:rsidRPr="007912A9" w:rsidRDefault="00C80EFB" w:rsidP="007912A9">
      <w:pPr>
        <w:pStyle w:val="Zkladntext"/>
        <w:rPr>
          <w:color w:val="000000"/>
          <w:szCs w:val="22"/>
          <w:u w:val="single"/>
        </w:rPr>
      </w:pPr>
      <w:r w:rsidRPr="007912A9">
        <w:rPr>
          <w:color w:val="000000"/>
          <w:szCs w:val="22"/>
          <w:u w:val="single"/>
        </w:rPr>
        <w:t>Maskovanie príznakov infekcie</w:t>
      </w:r>
    </w:p>
    <w:p w:rsidR="00C80EFB" w:rsidRPr="007912A9" w:rsidRDefault="00C80EFB" w:rsidP="007912A9">
      <w:pPr>
        <w:pStyle w:val="Zkladntext"/>
        <w:rPr>
          <w:color w:val="000000"/>
          <w:szCs w:val="22"/>
        </w:rPr>
      </w:pPr>
      <w:r w:rsidRPr="007912A9">
        <w:rPr>
          <w:color w:val="000000"/>
          <w:szCs w:val="22"/>
        </w:rPr>
        <w:t xml:space="preserve">Tak ako iné NSAID, </w:t>
      </w:r>
      <w:r>
        <w:rPr>
          <w:color w:val="000000"/>
          <w:szCs w:val="22"/>
        </w:rPr>
        <w:t>diklofenak</w:t>
      </w:r>
      <w:r w:rsidRPr="007912A9">
        <w:rPr>
          <w:color w:val="000000"/>
          <w:szCs w:val="22"/>
        </w:rPr>
        <w:t xml:space="preserve"> môže vzhľadom na svoje farmakodynamické vlastnosti potlačiť príznaky a prejavy infekcie. </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
          <w:iCs/>
          <w:color w:val="000000"/>
          <w:sz w:val="22"/>
          <w:szCs w:val="22"/>
        </w:rPr>
      </w:pPr>
      <w:r w:rsidRPr="007912A9">
        <w:rPr>
          <w:rFonts w:ascii="Times New Roman" w:hAnsi="Times New Roman" w:cs="Times New Roman"/>
          <w:b w:val="0"/>
          <w:bCs w:val="0"/>
          <w:i/>
          <w:iCs/>
          <w:color w:val="000000"/>
          <w:sz w:val="22"/>
          <w:szCs w:val="22"/>
        </w:rPr>
        <w:t>Bezpečnostné opatrenia</w:t>
      </w:r>
    </w:p>
    <w:p w:rsidR="00C80EFB" w:rsidRPr="007912A9" w:rsidRDefault="00C80EFB" w:rsidP="007912A9">
      <w:pPr>
        <w:ind w:left="0" w:firstLine="0"/>
        <w:rPr>
          <w:bCs/>
          <w:color w:val="000000"/>
          <w:szCs w:val="22"/>
          <w:u w:val="single"/>
        </w:rPr>
      </w:pPr>
      <w:r w:rsidRPr="007912A9">
        <w:rPr>
          <w:bCs/>
          <w:color w:val="000000"/>
          <w:szCs w:val="22"/>
          <w:u w:val="single"/>
        </w:rPr>
        <w:t>Všeobecné</w:t>
      </w:r>
    </w:p>
    <w:p w:rsidR="00C80EFB" w:rsidRPr="007912A9" w:rsidRDefault="00C80EFB" w:rsidP="007912A9">
      <w:pPr>
        <w:ind w:left="0" w:firstLine="0"/>
        <w:rPr>
          <w:bCs/>
          <w:color w:val="000000"/>
          <w:szCs w:val="22"/>
        </w:rPr>
      </w:pPr>
      <w:r w:rsidRPr="007912A9">
        <w:rPr>
          <w:bCs/>
          <w:color w:val="000000"/>
          <w:szCs w:val="22"/>
        </w:rPr>
        <w:t xml:space="preserve">Nežiaduce účinky sa môžu minimalizovať použitím najmenšej účinnej dávky počas najkratšieho obdobia, ktoré je potrebné na kontrolu symptómov (pozri časť </w:t>
      </w:r>
      <w:smartTag w:uri="urn:schemas-microsoft-com:office:smarttags" w:element="metricconverter">
        <w:smartTagPr>
          <w:attr w:name="ProductID" w:val="4.2 a"/>
        </w:smartTagPr>
        <w:r w:rsidRPr="007912A9">
          <w:rPr>
            <w:bCs/>
            <w:color w:val="000000"/>
            <w:szCs w:val="22"/>
          </w:rPr>
          <w:t>4.2 a</w:t>
        </w:r>
      </w:smartTag>
      <w:r w:rsidRPr="007912A9">
        <w:rPr>
          <w:bCs/>
          <w:color w:val="000000"/>
          <w:szCs w:val="22"/>
        </w:rPr>
        <w:t xml:space="preserve"> GI a kardiovaskulárne riziko nižšie).</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Interakcie s NSAID</w:t>
      </w:r>
    </w:p>
    <w:p w:rsidR="00C80EFB" w:rsidRPr="007912A9" w:rsidRDefault="00C80EFB" w:rsidP="007912A9">
      <w:pPr>
        <w:ind w:left="0" w:firstLine="0"/>
        <w:rPr>
          <w:color w:val="000000"/>
          <w:szCs w:val="22"/>
        </w:rPr>
      </w:pPr>
      <w:r w:rsidRPr="007912A9">
        <w:rPr>
          <w:color w:val="000000"/>
          <w:szCs w:val="22"/>
        </w:rPr>
        <w:t xml:space="preserve">Z dôvodu nežiaducich účinkov je potrebné vyhnúť sa súčasnému použitiu Voltarenu a systémových NSAID vrátane selektívnych inhibítorov cyklooxygenázy-2 (pozri časť 4.5).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Geriatrická populácia</w:t>
      </w:r>
    </w:p>
    <w:p w:rsidR="00C80EFB" w:rsidRPr="007912A9" w:rsidRDefault="00C80EFB" w:rsidP="007912A9">
      <w:pPr>
        <w:ind w:left="0" w:firstLine="0"/>
        <w:rPr>
          <w:color w:val="000000"/>
          <w:szCs w:val="22"/>
        </w:rPr>
      </w:pPr>
      <w:r w:rsidRPr="007912A9">
        <w:rPr>
          <w:color w:val="000000"/>
          <w:szCs w:val="22"/>
        </w:rPr>
        <w:t>Z principiálnych medicínskych dôvodov sa vyžaduje opatrnosť u starších pacientov</w:t>
      </w:r>
      <w:r>
        <w:rPr>
          <w:color w:val="000000"/>
          <w:szCs w:val="22"/>
        </w:rPr>
        <w:t>, p</w:t>
      </w:r>
      <w:r w:rsidRPr="007912A9">
        <w:rPr>
          <w:color w:val="000000"/>
          <w:szCs w:val="22"/>
        </w:rPr>
        <w:t xml:space="preserve">redovšetkým </w:t>
      </w:r>
      <w:r>
        <w:rPr>
          <w:color w:val="000000"/>
          <w:szCs w:val="22"/>
        </w:rPr>
        <w:t xml:space="preserve">u </w:t>
      </w:r>
      <w:r w:rsidRPr="007912A9">
        <w:rPr>
          <w:color w:val="000000"/>
          <w:szCs w:val="22"/>
        </w:rPr>
        <w:t>chorľavý</w:t>
      </w:r>
      <w:r>
        <w:rPr>
          <w:color w:val="000000"/>
          <w:szCs w:val="22"/>
        </w:rPr>
        <w:t>ch</w:t>
      </w:r>
      <w:r w:rsidRPr="007912A9">
        <w:rPr>
          <w:color w:val="000000"/>
          <w:szCs w:val="22"/>
        </w:rPr>
        <w:t xml:space="preserve"> starší</w:t>
      </w:r>
      <w:r>
        <w:rPr>
          <w:color w:val="000000"/>
          <w:szCs w:val="22"/>
        </w:rPr>
        <w:t>ch</w:t>
      </w:r>
      <w:r w:rsidRPr="007912A9">
        <w:rPr>
          <w:color w:val="000000"/>
          <w:szCs w:val="22"/>
        </w:rPr>
        <w:t xml:space="preserve"> paciento</w:t>
      </w:r>
      <w:r>
        <w:rPr>
          <w:color w:val="000000"/>
          <w:szCs w:val="22"/>
        </w:rPr>
        <w:t>v</w:t>
      </w:r>
      <w:r w:rsidRPr="007912A9">
        <w:rPr>
          <w:color w:val="000000"/>
          <w:szCs w:val="22"/>
        </w:rPr>
        <w:t xml:space="preserve"> alebo pacientom s nízkou telesnou hmotnosťou sa odporúča podávať najnižšiu účinnú dávku.</w:t>
      </w:r>
    </w:p>
    <w:p w:rsidR="00C80EFB" w:rsidRPr="007912A9" w:rsidRDefault="00C80EFB" w:rsidP="007912A9">
      <w:pPr>
        <w:ind w:left="0" w:firstLine="0"/>
        <w:rPr>
          <w:b/>
          <w:color w:val="000000"/>
          <w:szCs w:val="22"/>
        </w:rPr>
      </w:pPr>
    </w:p>
    <w:p w:rsidR="00C80EFB" w:rsidRPr="007912A9" w:rsidRDefault="00C80EFB" w:rsidP="007912A9">
      <w:pPr>
        <w:ind w:left="0" w:firstLine="0"/>
        <w:rPr>
          <w:bCs/>
          <w:color w:val="000000"/>
          <w:szCs w:val="22"/>
          <w:u w:val="single"/>
        </w:rPr>
      </w:pPr>
      <w:r w:rsidRPr="007912A9">
        <w:rPr>
          <w:bCs/>
          <w:color w:val="000000"/>
          <w:szCs w:val="22"/>
          <w:u w:val="single"/>
        </w:rPr>
        <w:t>Existujúca astma</w:t>
      </w:r>
    </w:p>
    <w:p w:rsidR="00C80EFB" w:rsidRPr="007912A9" w:rsidRDefault="00C80EFB" w:rsidP="007912A9">
      <w:pPr>
        <w:ind w:left="0" w:firstLine="0"/>
        <w:rPr>
          <w:color w:val="000000"/>
          <w:szCs w:val="22"/>
        </w:rPr>
      </w:pPr>
      <w:r w:rsidRPr="007912A9">
        <w:rPr>
          <w:color w:val="000000"/>
          <w:szCs w:val="22"/>
        </w:rPr>
        <w:t xml:space="preserve">U pacientov s astmou, sezónnou alergickou nádchou, zdurením nosovej sliznice (t.j. nosovými polypmi), chronickou obštrukčnou chorobou pľúc alebo chronickými infekciami dýchacej sústavy (najmä ak sú spojené so symptómami podobnými alergickej nádche), sú reakcie na NSAID ako exacerbácie astmy (tzv. intolerancia na analgetiká/aspirínová astma), angioneurotický edém alebo urtikária častejšie ako u iných pacientov. Preto sa u takýchto pacientov odporúčajú osobitné bezpečnostné opatrenia (pripravenosť na urgentný zásah). Platí to aj pre pacientov s alergickými reakciami na iné látky, napr. s kožnými reakciami, pruritom alebo urtikáriou. </w:t>
      </w:r>
    </w:p>
    <w:p w:rsidR="00C80EFB" w:rsidRPr="007912A9" w:rsidRDefault="00C80EFB" w:rsidP="007912A9">
      <w:pPr>
        <w:ind w:left="0" w:firstLine="0"/>
        <w:rPr>
          <w:color w:val="000000"/>
          <w:szCs w:val="22"/>
        </w:rPr>
      </w:pPr>
    </w:p>
    <w:p w:rsidR="00C80EFB" w:rsidRPr="007912A9" w:rsidRDefault="00C80EFB" w:rsidP="007912A9">
      <w:pPr>
        <w:ind w:left="0" w:firstLine="0"/>
        <w:rPr>
          <w:bCs/>
          <w:color w:val="000000"/>
          <w:szCs w:val="22"/>
          <w:u w:val="single"/>
        </w:rPr>
      </w:pPr>
      <w:r w:rsidRPr="007912A9">
        <w:rPr>
          <w:bCs/>
          <w:color w:val="000000"/>
          <w:szCs w:val="22"/>
          <w:u w:val="single"/>
        </w:rPr>
        <w:t>Gastrointestinálne účinky</w:t>
      </w:r>
    </w:p>
    <w:p w:rsidR="00C80EFB" w:rsidRDefault="00C80EFB" w:rsidP="00754C32">
      <w:pPr>
        <w:ind w:left="0" w:firstLine="0"/>
        <w:rPr>
          <w:szCs w:val="22"/>
        </w:rPr>
      </w:pPr>
      <w:r>
        <w:rPr>
          <w:szCs w:val="22"/>
        </w:rPr>
        <w:t>Používanie NSAID vrátane diklofenaku môže súvisieť so zvýšeným rizikom gastrointestinálneho anastomotického leaku (presakovania). Pri použití diklofenaku po gastrointestinálnom chirurgickom zákroku sa odporúča starostlivý lekársky dohľad a opatrnosť.</w:t>
      </w:r>
    </w:p>
    <w:p w:rsidR="00C80EFB" w:rsidRDefault="00C80EFB" w:rsidP="007912A9">
      <w:pPr>
        <w:autoSpaceDE w:val="0"/>
        <w:autoSpaceDN w:val="0"/>
        <w:adjustRightInd w:val="0"/>
        <w:rPr>
          <w:color w:val="000000"/>
          <w:szCs w:val="22"/>
        </w:rPr>
      </w:pPr>
    </w:p>
    <w:p w:rsidR="00C80EFB" w:rsidRPr="007912A9" w:rsidRDefault="00C80EFB" w:rsidP="007912A9">
      <w:pPr>
        <w:autoSpaceDE w:val="0"/>
        <w:autoSpaceDN w:val="0"/>
        <w:adjustRightInd w:val="0"/>
        <w:rPr>
          <w:color w:val="000000"/>
          <w:szCs w:val="22"/>
        </w:rPr>
      </w:pPr>
      <w:r w:rsidRPr="007912A9">
        <w:rPr>
          <w:color w:val="000000"/>
          <w:szCs w:val="22"/>
        </w:rPr>
        <w:lastRenderedPageBreak/>
        <w:t>Tak ako pri všetkých NSAID, vrátane diklofenaku, je nevyhnutné starostlivé sledovanie a mimoriadne</w:t>
      </w:r>
    </w:p>
    <w:p w:rsidR="00C80EFB" w:rsidRPr="007912A9" w:rsidRDefault="00C80EFB" w:rsidP="007912A9">
      <w:pPr>
        <w:autoSpaceDE w:val="0"/>
        <w:autoSpaceDN w:val="0"/>
        <w:adjustRightInd w:val="0"/>
        <w:rPr>
          <w:color w:val="000000"/>
          <w:szCs w:val="22"/>
        </w:rPr>
      </w:pPr>
      <w:r w:rsidRPr="007912A9">
        <w:rPr>
          <w:color w:val="000000"/>
          <w:szCs w:val="22"/>
        </w:rPr>
        <w:t xml:space="preserve">opatrný prístup, keď sa Voltaren predpisuje pacientom so symptómami poukazujúcimi na </w:t>
      </w:r>
    </w:p>
    <w:p w:rsidR="00C80EFB" w:rsidRPr="007912A9" w:rsidRDefault="00C80EFB" w:rsidP="007912A9">
      <w:pPr>
        <w:autoSpaceDE w:val="0"/>
        <w:autoSpaceDN w:val="0"/>
        <w:adjustRightInd w:val="0"/>
        <w:rPr>
          <w:color w:val="000000"/>
          <w:szCs w:val="22"/>
        </w:rPr>
      </w:pPr>
      <w:r w:rsidRPr="007912A9">
        <w:rPr>
          <w:color w:val="000000"/>
          <w:szCs w:val="22"/>
        </w:rPr>
        <w:t xml:space="preserve">gastrointestinálne ochorenia alebo s anamnestickými údajmi naznačujúcimi ulceráciu žalúdka alebo </w:t>
      </w:r>
    </w:p>
    <w:p w:rsidR="00C80EFB" w:rsidRPr="007912A9" w:rsidRDefault="00C80EFB" w:rsidP="007912A9">
      <w:pPr>
        <w:autoSpaceDE w:val="0"/>
        <w:autoSpaceDN w:val="0"/>
        <w:adjustRightInd w:val="0"/>
        <w:rPr>
          <w:color w:val="000000"/>
          <w:szCs w:val="22"/>
        </w:rPr>
      </w:pPr>
      <w:r w:rsidRPr="007912A9">
        <w:rPr>
          <w:color w:val="000000"/>
          <w:szCs w:val="22"/>
        </w:rPr>
        <w:t xml:space="preserve">dvanástnika, krvácanie alebo perforáciu (pozri časť 4.8). Riziko gastrointestinálneho krvácania je </w:t>
      </w:r>
    </w:p>
    <w:p w:rsidR="00C80EFB" w:rsidRPr="007912A9" w:rsidRDefault="00C80EFB" w:rsidP="007912A9">
      <w:pPr>
        <w:autoSpaceDE w:val="0"/>
        <w:autoSpaceDN w:val="0"/>
        <w:adjustRightInd w:val="0"/>
        <w:rPr>
          <w:color w:val="000000"/>
          <w:szCs w:val="22"/>
        </w:rPr>
      </w:pPr>
      <w:r w:rsidRPr="007912A9">
        <w:rPr>
          <w:color w:val="000000"/>
          <w:szCs w:val="22"/>
        </w:rPr>
        <w:t xml:space="preserve">vyššie pri zvyšujúcich sa dávkach NSAID a u pacientov s vredom v anamnéze, najmä ak bol </w:t>
      </w:r>
    </w:p>
    <w:p w:rsidR="00C80EFB" w:rsidRPr="007912A9" w:rsidRDefault="00C80EFB" w:rsidP="007912A9">
      <w:pPr>
        <w:autoSpaceDE w:val="0"/>
        <w:autoSpaceDN w:val="0"/>
        <w:adjustRightInd w:val="0"/>
        <w:rPr>
          <w:color w:val="000000"/>
          <w:szCs w:val="22"/>
        </w:rPr>
      </w:pPr>
      <w:r w:rsidRPr="007912A9">
        <w:rPr>
          <w:color w:val="000000"/>
          <w:szCs w:val="22"/>
        </w:rPr>
        <w:t xml:space="preserve">komplikovaný krvácaním alebo perforáciou. U starších ľudí je zvýšená frekvencia </w:t>
      </w:r>
    </w:p>
    <w:p w:rsidR="00C80EFB" w:rsidRPr="007912A9" w:rsidRDefault="00C80EFB" w:rsidP="007912A9">
      <w:pPr>
        <w:autoSpaceDE w:val="0"/>
        <w:autoSpaceDN w:val="0"/>
        <w:adjustRightInd w:val="0"/>
        <w:rPr>
          <w:color w:val="000000"/>
          <w:szCs w:val="22"/>
        </w:rPr>
      </w:pPr>
      <w:r w:rsidRPr="007912A9">
        <w:rPr>
          <w:color w:val="000000"/>
          <w:szCs w:val="22"/>
        </w:rPr>
        <w:t xml:space="preserve">nežiaducich účinkov na NSAID, najmä gastrointestinálne krvácanie a perforácia, ktoré môžu byť </w:t>
      </w:r>
    </w:p>
    <w:p w:rsidR="00C80EFB" w:rsidRPr="007912A9" w:rsidRDefault="00C80EFB" w:rsidP="007912A9">
      <w:pPr>
        <w:autoSpaceDE w:val="0"/>
        <w:autoSpaceDN w:val="0"/>
        <w:adjustRightInd w:val="0"/>
        <w:rPr>
          <w:color w:val="000000"/>
          <w:szCs w:val="22"/>
        </w:rPr>
      </w:pPr>
      <w:r w:rsidRPr="007912A9">
        <w:rPr>
          <w:color w:val="000000"/>
          <w:szCs w:val="22"/>
        </w:rPr>
        <w:t>fatálne.</w:t>
      </w:r>
    </w:p>
    <w:p w:rsidR="00C80EFB" w:rsidRPr="007912A9" w:rsidRDefault="00C80EFB" w:rsidP="00D43FE5">
      <w:pPr>
        <w:ind w:left="0" w:firstLine="0"/>
        <w:rPr>
          <w:color w:val="000000"/>
          <w:szCs w:val="22"/>
        </w:rPr>
      </w:pPr>
    </w:p>
    <w:p w:rsidR="00C80EFB" w:rsidRPr="007912A9" w:rsidRDefault="00C80EFB" w:rsidP="000519CF">
      <w:pPr>
        <w:ind w:left="0" w:firstLine="0"/>
        <w:rPr>
          <w:color w:val="000000"/>
          <w:szCs w:val="22"/>
        </w:rPr>
      </w:pPr>
      <w:r w:rsidRPr="007912A9">
        <w:rPr>
          <w:color w:val="000000"/>
          <w:szCs w:val="22"/>
        </w:rPr>
        <w:t>Na zníženie rizika gastrointestinálnej toxicity u pacientov s vredom v anamnéze, najmä ak bol komplikovaný krvácaním alebo perforáciou, a u starších ľudí je potrebné liečbu začať a udržiavať na najnižšej účinnej dávke.</w:t>
      </w:r>
    </w:p>
    <w:p w:rsidR="00C80EFB" w:rsidRPr="007912A9" w:rsidRDefault="00C80EFB" w:rsidP="006C0685">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Kombinovaná liečba s protektívnymi látkami (napr. inhibítormi protónovej pumpy alebo misoprostolom) sa má uvážiť u týchto pacientov, ako aj u pacientov, ktorí potrebujú súčasne užívať nízke dávky kyseliny acetylsalicylovej (ASA), alebo iné lieky, ktoré pravdepodobne zvyšujú gastrointestinálne riziko.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Pacienti s gastrointestinálnou toxicitou v anamnéze, najmä starší, majú ohlásiť akékoľvek nezvyčajné príznaky v bruchu (zvlášť gastrointestinálne krvácanie). Opatrnosť sa odporúča u pacientov súčasne používajúcich lieky, ktoré môžu zvýšiť riziko ulcerácie alebo krvácania, napr. systémové kortikosteroidy, antikoagulanciá, antitrombocytárne látky alebo selektívne inhibítory spätného vychytávania sérotonínu (pozri časť 4.5).</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Starostlivý lekársky dohľad a opatrnosť sa vyžadujú aj u pacientov s ulceróznou kolitídou alebo Crohnovou chorobou, pretože môže dôjsť k exacerbácii ich ochorenia (pozri časť 4.8).</w:t>
      </w:r>
    </w:p>
    <w:p w:rsidR="00C80EFB" w:rsidRPr="007912A9" w:rsidRDefault="00C80EFB" w:rsidP="007912A9">
      <w:pPr>
        <w:ind w:left="0" w:firstLine="0"/>
        <w:rPr>
          <w:color w:val="000000"/>
          <w:szCs w:val="22"/>
        </w:rPr>
      </w:pPr>
    </w:p>
    <w:p w:rsidR="00C80EFB" w:rsidRPr="007912A9" w:rsidRDefault="00C80EFB" w:rsidP="007912A9">
      <w:pPr>
        <w:rPr>
          <w:color w:val="000000"/>
          <w:szCs w:val="22"/>
          <w:u w:val="single"/>
        </w:rPr>
      </w:pPr>
      <w:r w:rsidRPr="007912A9">
        <w:rPr>
          <w:color w:val="000000"/>
          <w:szCs w:val="22"/>
          <w:u w:val="single"/>
        </w:rPr>
        <w:t>Kardiovaskulárne a cerebrovaskulárne účinky</w:t>
      </w:r>
    </w:p>
    <w:p w:rsidR="00C80EFB" w:rsidRPr="007912A9" w:rsidRDefault="00C80EFB" w:rsidP="007912A9">
      <w:pPr>
        <w:ind w:left="0" w:firstLine="0"/>
        <w:rPr>
          <w:bCs/>
          <w:color w:val="000000"/>
          <w:szCs w:val="22"/>
        </w:rPr>
      </w:pPr>
      <w:r w:rsidRPr="007912A9">
        <w:rPr>
          <w:bCs/>
          <w:color w:val="000000"/>
          <w:szCs w:val="22"/>
        </w:rPr>
        <w:t>Vhodné monitorovanie a usmernenie sa vyžaduje u pacientov s hypertenziou a/alebo zlyhaním srdca (NYHA-I), pretože v súvislosti s terapiou NSAID boli hlásené edémy a retencia tekutín.</w:t>
      </w:r>
    </w:p>
    <w:p w:rsidR="00C80EFB" w:rsidRPr="007912A9" w:rsidRDefault="00C80EFB" w:rsidP="007912A9">
      <w:pPr>
        <w:ind w:left="0" w:firstLine="0"/>
        <w:rPr>
          <w:bCs/>
          <w:color w:val="000000"/>
          <w:szCs w:val="22"/>
        </w:rPr>
      </w:pPr>
    </w:p>
    <w:p w:rsidR="00C80EFB" w:rsidRPr="007912A9" w:rsidRDefault="00C80EFB" w:rsidP="007912A9">
      <w:pPr>
        <w:pStyle w:val="Text"/>
        <w:jc w:val="left"/>
        <w:rPr>
          <w:sz w:val="22"/>
          <w:szCs w:val="22"/>
          <w:lang w:val="sk-SK"/>
        </w:rPr>
      </w:pPr>
      <w:r w:rsidRPr="007912A9">
        <w:rPr>
          <w:bCs/>
          <w:sz w:val="22"/>
          <w:szCs w:val="22"/>
          <w:lang w:val="sk-SK"/>
        </w:rPr>
        <w:t xml:space="preserve">Liečba s NSAID, vrátane diklofenaku, obzvlášť liečba vysokými dávkami (150 mg/deň) a dlhodobá liečba môže byť spojená s malým zvýšením rizika arteriálnej trombotickej príhody (napr. infarkt myokardu, mozgová príhoda). </w:t>
      </w:r>
      <w:r w:rsidRPr="007912A9">
        <w:rPr>
          <w:sz w:val="22"/>
          <w:szCs w:val="22"/>
          <w:lang w:val="sk-SK"/>
        </w:rPr>
        <w:t>Pre zníženie rizika kardiovaskulárnych príhod počas užívania NSAID, najmä u pacientov s rizikovými faktormi, sa má používať najnižšia účinná dávka a dĺžka liečby má byť čo najkratšia.</w:t>
      </w:r>
    </w:p>
    <w:p w:rsidR="00C80EFB" w:rsidRPr="007912A9" w:rsidRDefault="00C80EFB" w:rsidP="00D43FE5">
      <w:pPr>
        <w:ind w:left="0" w:firstLine="0"/>
        <w:rPr>
          <w:bCs/>
          <w:color w:val="000000"/>
          <w:szCs w:val="22"/>
        </w:rPr>
      </w:pPr>
    </w:p>
    <w:p w:rsidR="00C80EFB" w:rsidRPr="007912A9" w:rsidRDefault="00C80EFB" w:rsidP="000519CF">
      <w:pPr>
        <w:rPr>
          <w:bCs/>
          <w:color w:val="000000"/>
          <w:szCs w:val="22"/>
        </w:rPr>
      </w:pPr>
      <w:r w:rsidRPr="007912A9">
        <w:rPr>
          <w:bCs/>
          <w:color w:val="000000"/>
          <w:szCs w:val="22"/>
        </w:rPr>
        <w:t>Pacienti s kongestívnym zlyhaním srdca (NYHA</w:t>
      </w:r>
      <w:r w:rsidRPr="007912A9">
        <w:rPr>
          <w:color w:val="000000"/>
          <w:szCs w:val="22"/>
        </w:rPr>
        <w:t>-I</w:t>
      </w:r>
      <w:r w:rsidRPr="007912A9">
        <w:rPr>
          <w:bCs/>
          <w:color w:val="000000"/>
          <w:szCs w:val="22"/>
        </w:rPr>
        <w:t xml:space="preserve">) a pacienti so signifikantnými rizikovými </w:t>
      </w:r>
    </w:p>
    <w:p w:rsidR="00C80EFB" w:rsidRPr="007912A9" w:rsidRDefault="00C80EFB" w:rsidP="006C0685">
      <w:pPr>
        <w:rPr>
          <w:bCs/>
          <w:color w:val="000000"/>
          <w:szCs w:val="22"/>
        </w:rPr>
      </w:pPr>
      <w:r w:rsidRPr="007912A9">
        <w:rPr>
          <w:bCs/>
          <w:color w:val="000000"/>
          <w:szCs w:val="22"/>
        </w:rPr>
        <w:t xml:space="preserve">faktormi kardiovaskulárnych príhod (napr. hypertenzia, hyperlipidémia, diabetes mellitus, fajčenie) </w:t>
      </w:r>
    </w:p>
    <w:p w:rsidR="00C80EFB" w:rsidRPr="007912A9" w:rsidRDefault="00C80EFB" w:rsidP="007912A9">
      <w:pPr>
        <w:rPr>
          <w:color w:val="000000"/>
          <w:szCs w:val="22"/>
        </w:rPr>
      </w:pPr>
      <w:r w:rsidRPr="007912A9">
        <w:rPr>
          <w:bCs/>
          <w:color w:val="000000"/>
          <w:szCs w:val="22"/>
        </w:rPr>
        <w:t xml:space="preserve">musia byť liečení diklofenakom len po starostlivom zvážení </w:t>
      </w:r>
      <w:r w:rsidRPr="007912A9">
        <w:rPr>
          <w:color w:val="000000"/>
          <w:szCs w:val="22"/>
        </w:rPr>
        <w:t xml:space="preserve">a iba pri dávkach ≤100 mg denne, ak sú </w:t>
      </w:r>
    </w:p>
    <w:p w:rsidR="00C80EFB" w:rsidRPr="007912A9" w:rsidRDefault="00C80EFB" w:rsidP="007912A9">
      <w:pPr>
        <w:rPr>
          <w:bCs/>
          <w:color w:val="000000"/>
          <w:szCs w:val="22"/>
        </w:rPr>
      </w:pPr>
      <w:r w:rsidRPr="007912A9">
        <w:rPr>
          <w:color w:val="000000"/>
          <w:szCs w:val="22"/>
        </w:rPr>
        <w:t>liečení dlhšie ako 4 týždne</w:t>
      </w:r>
      <w:r w:rsidRPr="007912A9">
        <w:rPr>
          <w:bCs/>
          <w:color w:val="000000"/>
          <w:szCs w:val="22"/>
        </w:rPr>
        <w:t>.</w:t>
      </w:r>
    </w:p>
    <w:p w:rsidR="00C80EFB" w:rsidRPr="007912A9" w:rsidRDefault="00C80EFB" w:rsidP="007912A9">
      <w:pPr>
        <w:rPr>
          <w:bCs/>
          <w:color w:val="000000"/>
          <w:szCs w:val="22"/>
        </w:rPr>
      </w:pPr>
    </w:p>
    <w:p w:rsidR="00C80EFB" w:rsidRPr="007912A9" w:rsidRDefault="00C80EFB" w:rsidP="007912A9">
      <w:pPr>
        <w:rPr>
          <w:bCs/>
          <w:color w:val="000000"/>
          <w:szCs w:val="22"/>
        </w:rPr>
      </w:pPr>
      <w:r w:rsidRPr="007912A9">
        <w:rPr>
          <w:bCs/>
          <w:color w:val="000000"/>
          <w:szCs w:val="22"/>
        </w:rPr>
        <w:t xml:space="preserve">Keďže kardiovaskulárne riziká diklofenaku sa zvyšujú s dávkou a trvaním expozície, trvanie liečby </w:t>
      </w:r>
    </w:p>
    <w:p w:rsidR="00C80EFB" w:rsidRPr="007912A9" w:rsidRDefault="00C80EFB" w:rsidP="007912A9">
      <w:pPr>
        <w:rPr>
          <w:bCs/>
          <w:color w:val="000000"/>
          <w:szCs w:val="22"/>
        </w:rPr>
      </w:pPr>
      <w:r w:rsidRPr="007912A9">
        <w:rPr>
          <w:bCs/>
          <w:color w:val="000000"/>
          <w:szCs w:val="22"/>
        </w:rPr>
        <w:t xml:space="preserve">má byť čo najkratšie a účinná denná dávka čo najnižšia. Pacientova potreba úľavy od symptómov a </w:t>
      </w:r>
    </w:p>
    <w:p w:rsidR="00C80EFB" w:rsidRPr="007912A9" w:rsidRDefault="00C80EFB" w:rsidP="007912A9">
      <w:pPr>
        <w:rPr>
          <w:bCs/>
          <w:color w:val="000000"/>
          <w:szCs w:val="22"/>
        </w:rPr>
      </w:pPr>
      <w:r w:rsidRPr="007912A9">
        <w:rPr>
          <w:bCs/>
          <w:color w:val="000000"/>
          <w:szCs w:val="22"/>
        </w:rPr>
        <w:t>odpoveď na liečbu sa musí periodicky prehodnocovať.</w:t>
      </w:r>
    </w:p>
    <w:p w:rsidR="00C80EFB" w:rsidRPr="007912A9" w:rsidRDefault="00C80EFB" w:rsidP="007912A9">
      <w:pPr>
        <w:rPr>
          <w:color w:val="000000"/>
          <w:szCs w:val="22"/>
        </w:rPr>
      </w:pPr>
    </w:p>
    <w:p w:rsidR="00C80EFB" w:rsidRPr="00D43FE5" w:rsidRDefault="00C80EFB" w:rsidP="007912A9">
      <w:pPr>
        <w:rPr>
          <w:color w:val="000000"/>
          <w:szCs w:val="22"/>
        </w:rPr>
      </w:pPr>
      <w:r w:rsidRPr="00D43FE5">
        <w:rPr>
          <w:color w:val="000000"/>
          <w:szCs w:val="22"/>
        </w:rPr>
        <w:t xml:space="preserve">Pacientov je potrebné upozorniť, aby sledovali príznaky a prejavy závažných artériových </w:t>
      </w:r>
    </w:p>
    <w:p w:rsidR="00C80EFB" w:rsidRPr="000519CF" w:rsidRDefault="00C80EFB" w:rsidP="007912A9">
      <w:pPr>
        <w:rPr>
          <w:color w:val="000000"/>
          <w:szCs w:val="22"/>
        </w:rPr>
      </w:pPr>
      <w:r w:rsidRPr="000519CF">
        <w:rPr>
          <w:color w:val="000000"/>
          <w:szCs w:val="22"/>
        </w:rPr>
        <w:t xml:space="preserve">trombotických príhod (napr. bolesť na hrudi, dýchavičnosť, slabosť, spomalenie reči), ktoré sa </w:t>
      </w:r>
    </w:p>
    <w:p w:rsidR="00C80EFB" w:rsidRPr="006C0685" w:rsidRDefault="00C80EFB" w:rsidP="007912A9">
      <w:pPr>
        <w:rPr>
          <w:color w:val="000000"/>
          <w:szCs w:val="22"/>
        </w:rPr>
      </w:pPr>
      <w:r w:rsidRPr="006C0685">
        <w:rPr>
          <w:color w:val="000000"/>
          <w:szCs w:val="22"/>
        </w:rPr>
        <w:t xml:space="preserve">môžu vyskytnúť bez predošlého varovania. Pacientov treba poučiť, aby v takom prípade ihneď </w:t>
      </w:r>
    </w:p>
    <w:p w:rsidR="00C80EFB" w:rsidRPr="007912A9" w:rsidRDefault="00C80EFB" w:rsidP="007912A9">
      <w:pPr>
        <w:rPr>
          <w:color w:val="000000"/>
          <w:szCs w:val="22"/>
        </w:rPr>
      </w:pPr>
      <w:r w:rsidRPr="007912A9">
        <w:rPr>
          <w:color w:val="000000"/>
          <w:szCs w:val="22"/>
        </w:rPr>
        <w:t>vyhľadali lekára.</w:t>
      </w:r>
    </w:p>
    <w:p w:rsidR="00C80EFB" w:rsidRPr="007912A9" w:rsidRDefault="00C80EFB" w:rsidP="007912A9">
      <w:pPr>
        <w:ind w:left="0" w:firstLine="0"/>
        <w:rPr>
          <w:b/>
          <w:color w:val="000000"/>
          <w:szCs w:val="22"/>
        </w:rPr>
      </w:pPr>
    </w:p>
    <w:p w:rsidR="00C80EFB" w:rsidRPr="007912A9" w:rsidRDefault="00C80EFB" w:rsidP="00A24FE6">
      <w:pPr>
        <w:keepNext/>
        <w:ind w:left="0" w:firstLine="0"/>
        <w:rPr>
          <w:bCs/>
          <w:color w:val="000000"/>
          <w:szCs w:val="22"/>
          <w:u w:val="single"/>
        </w:rPr>
      </w:pPr>
      <w:r w:rsidRPr="007912A9">
        <w:rPr>
          <w:bCs/>
          <w:color w:val="000000"/>
          <w:szCs w:val="22"/>
          <w:u w:val="single"/>
        </w:rPr>
        <w:t>Účinky na pečeň</w:t>
      </w:r>
    </w:p>
    <w:p w:rsidR="00C80EFB" w:rsidRPr="007912A9" w:rsidRDefault="00C80EFB" w:rsidP="00A24FE6">
      <w:pPr>
        <w:keepNext/>
        <w:ind w:left="0" w:firstLine="0"/>
        <w:rPr>
          <w:color w:val="000000"/>
          <w:szCs w:val="22"/>
        </w:rPr>
      </w:pPr>
      <w:r w:rsidRPr="007912A9">
        <w:rPr>
          <w:color w:val="000000"/>
          <w:szCs w:val="22"/>
        </w:rPr>
        <w:t xml:space="preserve">Starostlivý lekársky dohľad sa vyžaduje pri predpisovaní Voltarenu pacientom so zhoršenou funkciou pečene, pretože môže dôjsť k exacerbácii ich ochorenia.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lastRenderedPageBreak/>
        <w:t xml:space="preserve">Tak ako pri iných NSAID, aj pri diklofenaku sa môžu zvýšiť hodnoty jedného alebo viacerých pečeňových enzýmov. Pri dlhodobej liečbe Voltarenom sa ako preventívne opatrenie odporúča pravidelne kontrolovať funkciu pečene. Ak pretrvávajú alebo sa zhoršujú abnormálne hodnoty testov funkcie pečene, ak vzniknú klinické príznaky alebo prejavy poukazujúce na ochorenie pečene, alebo ak sa vyskytnú iné prejavy (napr. eozinofília, exantém), Voltaren sa má vysadiť. Hepatitída môže vzniknúť pri použití diklofenaku bez prodromálnych symptómov.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Opatrnosť je potrebná pri podaní Voltarenu pacientom s hepatickou porfýriou, pretože Voltaren môže vyvolať záchvat. </w:t>
      </w:r>
    </w:p>
    <w:p w:rsidR="00C80EFB" w:rsidRPr="007912A9" w:rsidRDefault="00C80EFB" w:rsidP="007912A9">
      <w:pPr>
        <w:ind w:left="0" w:firstLine="0"/>
        <w:rPr>
          <w:color w:val="000000"/>
          <w:szCs w:val="22"/>
        </w:rPr>
      </w:pPr>
    </w:p>
    <w:p w:rsidR="00C80EFB" w:rsidRPr="007912A9" w:rsidRDefault="00C80EFB" w:rsidP="007912A9">
      <w:pPr>
        <w:ind w:left="0" w:firstLine="0"/>
        <w:rPr>
          <w:bCs/>
          <w:color w:val="000000"/>
          <w:szCs w:val="22"/>
          <w:u w:val="single"/>
        </w:rPr>
      </w:pPr>
      <w:r w:rsidRPr="007912A9">
        <w:rPr>
          <w:bCs/>
          <w:color w:val="000000"/>
          <w:szCs w:val="22"/>
          <w:u w:val="single"/>
        </w:rPr>
        <w:t>Účinky na obličky</w:t>
      </w:r>
    </w:p>
    <w:p w:rsidR="00C80EFB" w:rsidRPr="007912A9" w:rsidRDefault="00C80EFB" w:rsidP="007912A9">
      <w:pPr>
        <w:ind w:left="0" w:firstLine="0"/>
        <w:rPr>
          <w:color w:val="000000"/>
          <w:szCs w:val="22"/>
        </w:rPr>
      </w:pPr>
      <w:r w:rsidRPr="007912A9">
        <w:rPr>
          <w:color w:val="000000"/>
          <w:szCs w:val="22"/>
        </w:rPr>
        <w:t xml:space="preserve">Pretože sa v súvislosti s liečbou NSAID, vrátane diklofenaku, zaznamenali retencia tekutiny a edémy, mimoriadna opatrnosť sa vyžaduje u pacientov so zhoršenou funkciou srdca alebo obličiek, hypertenziou v anamnéze, u starších pacientov, u pacientov súčasne liečených diuretikami alebo liekmi, ktoré môžu významne ovplyvniť funkciu obličiek, a u pacientov s podstatným znížením extracelulárneho objemu akejkoľvek etiológie, napr. pred alebo po veľkých chirurgických zákrokoch (pozri časť 4.3). Keď sa Voltaren podáva v takýchto prípadoch, odporúča sa ako preventívne opatrenie monitorovať funkciu obličiek. Po ukončení liečby zvyčajne nasleduje zotavenie na stav pred liečbou. </w:t>
      </w:r>
    </w:p>
    <w:p w:rsidR="00C80EFB" w:rsidRPr="007912A9" w:rsidRDefault="00C80EFB" w:rsidP="007912A9">
      <w:pPr>
        <w:ind w:left="0" w:firstLine="0"/>
        <w:rPr>
          <w:color w:val="000000"/>
          <w:szCs w:val="22"/>
        </w:rPr>
      </w:pPr>
    </w:p>
    <w:p w:rsidR="00C80EFB" w:rsidRPr="007912A9" w:rsidRDefault="00C80EFB" w:rsidP="007912A9">
      <w:pPr>
        <w:ind w:left="0" w:firstLine="0"/>
        <w:rPr>
          <w:bCs/>
          <w:color w:val="000000"/>
          <w:szCs w:val="22"/>
          <w:u w:val="single"/>
        </w:rPr>
      </w:pPr>
      <w:r w:rsidRPr="007912A9">
        <w:rPr>
          <w:bCs/>
          <w:color w:val="000000"/>
          <w:szCs w:val="22"/>
          <w:u w:val="single"/>
        </w:rPr>
        <w:t>Hematologické účinky</w:t>
      </w:r>
    </w:p>
    <w:p w:rsidR="00C80EFB" w:rsidRPr="007912A9" w:rsidRDefault="00C80EFB" w:rsidP="007912A9">
      <w:pPr>
        <w:ind w:left="0" w:firstLine="0"/>
        <w:rPr>
          <w:color w:val="000000"/>
          <w:szCs w:val="22"/>
        </w:rPr>
      </w:pPr>
      <w:r w:rsidRPr="007912A9">
        <w:rPr>
          <w:color w:val="000000"/>
          <w:szCs w:val="22"/>
        </w:rPr>
        <w:t>Tak ako pri iných NSAID, pri dlhodobej liečbe Voltarenom sa odporúča monitorovanie krvného obrazu.</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Tak ako iné NSAID, </w:t>
      </w:r>
      <w:r>
        <w:rPr>
          <w:color w:val="000000"/>
          <w:szCs w:val="22"/>
        </w:rPr>
        <w:t>diklofenak</w:t>
      </w:r>
      <w:r w:rsidRPr="007912A9">
        <w:rPr>
          <w:color w:val="000000"/>
          <w:szCs w:val="22"/>
        </w:rPr>
        <w:t xml:space="preserve"> môže dočasne inhibovať agregáciu trombocytov. Pacientov s poruchami zrážavosti krvi je potrebné starostlivo sledovať. </w:t>
      </w:r>
    </w:p>
    <w:p w:rsidR="00C80EFB" w:rsidRPr="007912A9" w:rsidRDefault="00C80EFB" w:rsidP="007912A9">
      <w:pPr>
        <w:pStyle w:val="Text"/>
        <w:tabs>
          <w:tab w:val="left" w:pos="567"/>
        </w:tabs>
        <w:spacing w:before="0"/>
        <w:jc w:val="left"/>
        <w:rPr>
          <w:sz w:val="22"/>
          <w:szCs w:val="22"/>
          <w:lang w:val="sk-SK"/>
        </w:rPr>
      </w:pPr>
    </w:p>
    <w:p w:rsidR="00C80EFB" w:rsidRPr="007912A9" w:rsidRDefault="00C80EFB" w:rsidP="007912A9">
      <w:pPr>
        <w:ind w:left="0" w:firstLine="0"/>
        <w:rPr>
          <w:color w:val="000000"/>
          <w:szCs w:val="22"/>
          <w:u w:val="single"/>
        </w:rPr>
      </w:pPr>
      <w:r w:rsidRPr="007912A9">
        <w:rPr>
          <w:color w:val="000000"/>
          <w:szCs w:val="22"/>
          <w:u w:val="single"/>
        </w:rPr>
        <w:t>Pomocné látky</w:t>
      </w:r>
    </w:p>
    <w:p w:rsidR="00C80EFB" w:rsidRPr="007912A9" w:rsidRDefault="00C80EFB" w:rsidP="007912A9">
      <w:pPr>
        <w:autoSpaceDE w:val="0"/>
        <w:autoSpaceDN w:val="0"/>
        <w:adjustRightInd w:val="0"/>
        <w:ind w:left="0" w:firstLine="0"/>
        <w:rPr>
          <w:color w:val="000000"/>
          <w:szCs w:val="22"/>
          <w:lang w:eastAsia="en-US"/>
        </w:rPr>
      </w:pPr>
      <w:r w:rsidRPr="007912A9">
        <w:rPr>
          <w:color w:val="000000"/>
          <w:szCs w:val="22"/>
        </w:rPr>
        <w:t>Gastrorezistentné tablety Voltaren 50 obsahujú laktózu</w:t>
      </w:r>
      <w:r w:rsidRPr="007912A9">
        <w:rPr>
          <w:color w:val="000000"/>
          <w:szCs w:val="22"/>
          <w:lang w:eastAsia="en-US"/>
        </w:rPr>
        <w:t xml:space="preserve">. </w:t>
      </w:r>
      <w:r w:rsidRPr="00D43FE5">
        <w:rPr>
          <w:color w:val="000000"/>
          <w:szCs w:val="22"/>
          <w:lang w:eastAsia="en-US"/>
        </w:rPr>
        <w:t xml:space="preserve">Pacienti so zriedkavými dedičnými problémami galaktózovej intolerancie, </w:t>
      </w:r>
      <w:r>
        <w:rPr>
          <w:color w:val="000000"/>
          <w:szCs w:val="22"/>
          <w:lang w:eastAsia="en-US"/>
        </w:rPr>
        <w:t>celkovým</w:t>
      </w:r>
      <w:r w:rsidRPr="00D43FE5">
        <w:rPr>
          <w:color w:val="000000"/>
          <w:szCs w:val="22"/>
          <w:lang w:eastAsia="en-US"/>
        </w:rPr>
        <w:t xml:space="preserve"> defici</w:t>
      </w:r>
      <w:r>
        <w:rPr>
          <w:color w:val="000000"/>
          <w:szCs w:val="22"/>
          <w:lang w:eastAsia="en-US"/>
        </w:rPr>
        <w:t>tom</w:t>
      </w:r>
      <w:r w:rsidRPr="000519CF">
        <w:rPr>
          <w:color w:val="000000"/>
          <w:szCs w:val="22"/>
          <w:lang w:eastAsia="en-US"/>
        </w:rPr>
        <w:t xml:space="preserve"> laktázy alebo glukózo</w:t>
      </w:r>
      <w:r>
        <w:rPr>
          <w:color w:val="000000"/>
          <w:szCs w:val="22"/>
          <w:lang w:eastAsia="en-US"/>
        </w:rPr>
        <w:t>-</w:t>
      </w:r>
      <w:r w:rsidRPr="000519CF">
        <w:rPr>
          <w:color w:val="000000"/>
          <w:szCs w:val="22"/>
          <w:lang w:eastAsia="en-US"/>
        </w:rPr>
        <w:t>galaktózov</w:t>
      </w:r>
      <w:r>
        <w:rPr>
          <w:color w:val="000000"/>
          <w:szCs w:val="22"/>
          <w:lang w:eastAsia="en-US"/>
        </w:rPr>
        <w:t>ou</w:t>
      </w:r>
      <w:r w:rsidRPr="000519CF">
        <w:rPr>
          <w:color w:val="000000"/>
          <w:szCs w:val="22"/>
          <w:lang w:eastAsia="en-US"/>
        </w:rPr>
        <w:t xml:space="preserve"> malabsorpci</w:t>
      </w:r>
      <w:r>
        <w:rPr>
          <w:color w:val="000000"/>
          <w:szCs w:val="22"/>
          <w:lang w:eastAsia="en-US"/>
        </w:rPr>
        <w:t>ou</w:t>
      </w:r>
      <w:r w:rsidRPr="000519CF">
        <w:rPr>
          <w:color w:val="000000"/>
          <w:szCs w:val="22"/>
          <w:lang w:eastAsia="en-US"/>
        </w:rPr>
        <w:t xml:space="preserve"> nesmú užívať tento liek.</w:t>
      </w:r>
    </w:p>
    <w:p w:rsidR="00C80EFB" w:rsidRPr="00D43FE5" w:rsidRDefault="00C80EFB" w:rsidP="007912A9">
      <w:pPr>
        <w:rPr>
          <w:color w:val="000000"/>
          <w:szCs w:val="22"/>
        </w:rPr>
      </w:pPr>
    </w:p>
    <w:p w:rsidR="00C80EFB" w:rsidRPr="00474CB6" w:rsidRDefault="00C80EFB" w:rsidP="007912A9">
      <w:pPr>
        <w:rPr>
          <w:color w:val="000000"/>
          <w:szCs w:val="22"/>
        </w:rPr>
      </w:pPr>
      <w:r w:rsidRPr="000519CF">
        <w:rPr>
          <w:b/>
          <w:color w:val="000000"/>
          <w:szCs w:val="22"/>
        </w:rPr>
        <w:t>4.5</w:t>
      </w:r>
      <w:r w:rsidRPr="000519CF">
        <w:rPr>
          <w:b/>
          <w:color w:val="000000"/>
          <w:szCs w:val="22"/>
        </w:rPr>
        <w:tab/>
        <w:t>Liekové a iné interakcie</w:t>
      </w:r>
    </w:p>
    <w:p w:rsidR="00C80EFB" w:rsidRPr="006C0685" w:rsidRDefault="00C80EFB" w:rsidP="007912A9">
      <w:pPr>
        <w:rPr>
          <w:color w:val="000000"/>
          <w:szCs w:val="22"/>
        </w:rPr>
      </w:pPr>
    </w:p>
    <w:p w:rsidR="00C80EFB" w:rsidRPr="007912A9" w:rsidRDefault="00C80EFB" w:rsidP="007912A9">
      <w:pPr>
        <w:ind w:left="0" w:firstLine="0"/>
        <w:rPr>
          <w:b/>
          <w:color w:val="000000"/>
          <w:szCs w:val="22"/>
        </w:rPr>
      </w:pPr>
      <w:r w:rsidRPr="007912A9">
        <w:rPr>
          <w:color w:val="000000"/>
          <w:szCs w:val="22"/>
        </w:rPr>
        <w:t>Nasledujúce interakcie zahŕňajú interakcie pozorované pri gastrorezistentných tabletách Voltaren a/alebo iných liekových formách diklofenaku.</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u w:val="single"/>
        </w:rPr>
      </w:pPr>
      <w:r w:rsidRPr="007912A9">
        <w:rPr>
          <w:color w:val="000000"/>
          <w:szCs w:val="22"/>
          <w:u w:val="single"/>
        </w:rPr>
        <w:t>Zaznamenané interakcie, ktoré je potrebné zvážiť</w:t>
      </w:r>
    </w:p>
    <w:p w:rsidR="00C80EFB" w:rsidRPr="007912A9" w:rsidRDefault="00C80EFB" w:rsidP="007912A9">
      <w:pPr>
        <w:ind w:left="0" w:firstLine="0"/>
        <w:rPr>
          <w:i/>
          <w:color w:val="000000"/>
          <w:szCs w:val="22"/>
        </w:rPr>
      </w:pPr>
      <w:r w:rsidRPr="007912A9">
        <w:rPr>
          <w:i/>
          <w:color w:val="000000"/>
          <w:szCs w:val="22"/>
        </w:rPr>
        <w:t>CYP2C9</w:t>
      </w:r>
      <w:r>
        <w:rPr>
          <w:i/>
          <w:color w:val="000000"/>
          <w:szCs w:val="22"/>
        </w:rPr>
        <w:t xml:space="preserve"> inhibítory</w:t>
      </w:r>
      <w:r w:rsidRPr="007912A9">
        <w:rPr>
          <w:i/>
          <w:color w:val="000000"/>
          <w:szCs w:val="22"/>
        </w:rPr>
        <w:t xml:space="preserve">: </w:t>
      </w:r>
      <w:r w:rsidRPr="007912A9">
        <w:rPr>
          <w:color w:val="000000"/>
          <w:szCs w:val="22"/>
        </w:rPr>
        <w:t xml:space="preserve">Pri predpisovaní diklofenaku spolu s inhibítormi CYP2C9 (ako napr. vorikonazol) sa odporúča opatrnosť, pretože  môže dôjsť k výraznému zvýšeniu maximálnych plazmatických koncentrácií </w:t>
      </w:r>
      <w:r>
        <w:rPr>
          <w:color w:val="000000"/>
          <w:szCs w:val="22"/>
        </w:rPr>
        <w:t xml:space="preserve">diklofenaku </w:t>
      </w:r>
      <w:r w:rsidRPr="007912A9">
        <w:rPr>
          <w:color w:val="000000"/>
          <w:szCs w:val="22"/>
        </w:rPr>
        <w:t>a expozícii diklofenaku.</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 xml:space="preserve">Lítium: </w:t>
      </w:r>
      <w:r w:rsidRPr="007912A9">
        <w:rPr>
          <w:color w:val="000000"/>
          <w:szCs w:val="22"/>
        </w:rPr>
        <w:t>Pri súčasnom použití môže diklofenak zvýšiť koncentrácie lítia v plazme. Odporúča sa monitorovať sérovú hladinu lítia.</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Digoxín:</w:t>
      </w:r>
      <w:r w:rsidRPr="007912A9">
        <w:rPr>
          <w:color w:val="000000"/>
          <w:szCs w:val="22"/>
        </w:rPr>
        <w:t xml:space="preserve"> Pri súčasnom použití môže diklofenak zvýšiť koncentrácie digoxínu v plazme. Odporúča sa monitorovať sérovú hladinu digoxínu.</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Diuretiká a antihypertenzíva:</w:t>
      </w:r>
      <w:r w:rsidRPr="007912A9">
        <w:rPr>
          <w:color w:val="000000"/>
          <w:szCs w:val="22"/>
        </w:rPr>
        <w:t xml:space="preserve"> Tak ako iné NSAID, diklofenak pri súčasnom použití s diuretikami alebo antihypertenzívami (napr. betablokátormi, inhibítormi ACE) môže zoslabiť ich antihypertenzívny účinok. Preto je pri podávaní tejto kombinácie potrebná opatrnosť a u pacientov, zvlášť starších, sa má pravidelne kontrolovať krvný tlak. Pacienti majú byť primerane hydratovaní a vzhľadom na zvýšené riziko nefrotoxicity sa má uvážiť monitorovanie funkcie obličiek po začatí súbežnej liečby a neskôr v pravidelných intervaloch najmä pri diuretikách a inhibítoroch ACE (pozri časť 4.4).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i/>
          <w:color w:val="000000"/>
          <w:szCs w:val="22"/>
        </w:rPr>
        <w:lastRenderedPageBreak/>
        <w:t>Lieky spôsobujúce hyperkaliémiu</w:t>
      </w:r>
      <w:r w:rsidRPr="007912A9">
        <w:rPr>
          <w:color w:val="000000"/>
          <w:szCs w:val="22"/>
        </w:rPr>
        <w:t>: Súčasné podávanie s liekmi šetriacimi draslík, cyklosporínom, takrolimom alebo trimetoprimom môže zvýšiť hladinu draslíka v sére, preto je potrebné ju často kontrolovať (pozri časť 4.4).</w:t>
      </w:r>
    </w:p>
    <w:p w:rsidR="00C80EFB" w:rsidRPr="007912A9" w:rsidRDefault="00C80EFB" w:rsidP="007912A9">
      <w:pPr>
        <w:ind w:left="0" w:firstLine="0"/>
        <w:rPr>
          <w:color w:val="000000"/>
          <w:szCs w:val="22"/>
        </w:rPr>
      </w:pPr>
    </w:p>
    <w:p w:rsidR="00C80EFB" w:rsidRPr="007912A9" w:rsidRDefault="00C80EFB" w:rsidP="007912A9">
      <w:pPr>
        <w:pStyle w:val="Zkladntext"/>
        <w:rPr>
          <w:color w:val="000000"/>
          <w:szCs w:val="22"/>
        </w:rPr>
      </w:pPr>
      <w:r w:rsidRPr="007912A9">
        <w:rPr>
          <w:i/>
          <w:color w:val="000000"/>
          <w:szCs w:val="22"/>
        </w:rPr>
        <w:t>Chinolónové protibakteriálne liečivá:</w:t>
      </w:r>
      <w:r w:rsidRPr="007912A9">
        <w:rPr>
          <w:color w:val="000000"/>
          <w:szCs w:val="22"/>
        </w:rPr>
        <w:t xml:space="preserve"> Vyskytli sa ojedinelé hlásenia o záchvatoch kŕčov, ktoré mohli byť vyvolané súčasným použitím chinolónov a NSAID. </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u w:val="single"/>
        </w:rPr>
      </w:pPr>
      <w:r w:rsidRPr="007912A9">
        <w:rPr>
          <w:color w:val="000000"/>
          <w:szCs w:val="22"/>
          <w:u w:val="single"/>
        </w:rPr>
        <w:t>Predpokladané interakcie, ktoré je potrebné zvážiť</w:t>
      </w:r>
    </w:p>
    <w:p w:rsidR="00C80EFB" w:rsidRPr="007912A9" w:rsidRDefault="00C80EFB" w:rsidP="007912A9">
      <w:pPr>
        <w:ind w:left="0" w:firstLine="0"/>
        <w:rPr>
          <w:color w:val="000000"/>
          <w:szCs w:val="22"/>
        </w:rPr>
      </w:pPr>
      <w:r w:rsidRPr="007912A9">
        <w:rPr>
          <w:i/>
          <w:color w:val="000000"/>
          <w:szCs w:val="22"/>
        </w:rPr>
        <w:t xml:space="preserve">Iné NSAID a kortikosteroidy: </w:t>
      </w:r>
      <w:r w:rsidRPr="007912A9">
        <w:rPr>
          <w:color w:val="000000"/>
          <w:szCs w:val="22"/>
        </w:rPr>
        <w:t xml:space="preserve">Súčasné podávanie diklofenaku a iných systémových NSAID alebo kortikosteroidov môže zvýšiť výskyt gastrointestinálnych nežiaducich účinkov (pozri časť 4.4). </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Antikoagulanty a protidoštičkové lieky:</w:t>
      </w:r>
      <w:r w:rsidRPr="007912A9">
        <w:rPr>
          <w:color w:val="000000"/>
          <w:szCs w:val="22"/>
        </w:rPr>
        <w:t xml:space="preserve"> Odporúča sa obozretnosť, lebo súbežné podávanie by mohlo zvýšiť riziko krvácania. Aj keď z klinických výskumov nevyplýva, že diklofenak ovplyvňuje účinok antikoagulantov, u pacientov užívajúcich súbežne diklofenak a antikoagulanty boli hlásené prípady zvýšeného rizika krvácania. Preto sa odporúča pozorné sledovanie takýchto pacientov. </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 xml:space="preserve">Selektívne inhibítory spätného vychytávania sérotonínu (SSRI): </w:t>
      </w:r>
      <w:r w:rsidRPr="007912A9">
        <w:rPr>
          <w:color w:val="000000"/>
          <w:szCs w:val="22"/>
        </w:rPr>
        <w:t xml:space="preserve">Súčasné podávanie systémových NSAID, vrátane diklofenaku, a SSRI môže zvýšiť riziko gastrointestinálneho krvácania (pozri časť 4.4). </w:t>
      </w:r>
    </w:p>
    <w:p w:rsidR="00C80EFB" w:rsidRPr="007912A9" w:rsidRDefault="00C80EFB" w:rsidP="007912A9">
      <w:pPr>
        <w:ind w:left="0" w:firstLine="0"/>
        <w:rPr>
          <w:i/>
          <w:color w:val="000000"/>
          <w:szCs w:val="22"/>
        </w:rPr>
      </w:pPr>
    </w:p>
    <w:p w:rsidR="00C80EFB" w:rsidRPr="00BF7A17" w:rsidRDefault="00C80EFB" w:rsidP="00A76147">
      <w:pPr>
        <w:ind w:left="0" w:firstLine="0"/>
        <w:rPr>
          <w:szCs w:val="22"/>
        </w:rPr>
      </w:pPr>
      <w:r w:rsidRPr="007912A9">
        <w:rPr>
          <w:i/>
          <w:color w:val="000000"/>
          <w:szCs w:val="22"/>
        </w:rPr>
        <w:t xml:space="preserve">Antidiabetiká: </w:t>
      </w:r>
      <w:r w:rsidRPr="007912A9">
        <w:rPr>
          <w:color w:val="000000"/>
          <w:szCs w:val="22"/>
        </w:rPr>
        <w:t>Klinické štúdie ukázali, že diklofenak sa môže podávať súčasne s perorálnymi antidiabetikami bez toho, aby to ovplyvnilo ich klinický účinok. Ojedinele však boli hlásené hypoglykemické aj hyperglykemické účinky, ktoré si vyžiadali zmenu dávkovania antidiabetík počas liečby diklofenakom. Preto sa ako bezpečnostné opatrenie počas súčasnej liečby odporúča monitorovať hladinu glukózy v krvi.</w:t>
      </w:r>
      <w:r w:rsidRPr="00A76147">
        <w:t xml:space="preserve"> </w:t>
      </w:r>
      <w:r>
        <w:t>Pri súbežnom užívaní diklofenaku s metformínom boli u pacientov s už jestvujúcou poruchou funkcie obličiek ojedinele hlásené prípady metabolickej acidózy.</w:t>
      </w:r>
    </w:p>
    <w:p w:rsidR="00C80EFB" w:rsidRPr="007912A9" w:rsidRDefault="00C80EFB" w:rsidP="007912A9">
      <w:pPr>
        <w:ind w:left="0" w:firstLine="0"/>
        <w:rPr>
          <w:i/>
          <w:color w:val="000000"/>
          <w:szCs w:val="22"/>
        </w:rPr>
      </w:pPr>
    </w:p>
    <w:p w:rsidR="00C80EFB" w:rsidRPr="006C0685" w:rsidRDefault="00C80EFB" w:rsidP="007912A9">
      <w:pPr>
        <w:ind w:left="0" w:firstLine="0"/>
        <w:rPr>
          <w:color w:val="000000"/>
          <w:szCs w:val="22"/>
        </w:rPr>
      </w:pPr>
      <w:r w:rsidRPr="007912A9">
        <w:rPr>
          <w:i/>
          <w:color w:val="000000"/>
          <w:szCs w:val="22"/>
        </w:rPr>
        <w:t xml:space="preserve">Metotrexát: </w:t>
      </w:r>
      <w:r w:rsidRPr="007912A9">
        <w:rPr>
          <w:color w:val="000000"/>
          <w:szCs w:val="22"/>
        </w:rPr>
        <w:t xml:space="preserve">Diklofenak môže inhibovať </w:t>
      </w:r>
      <w:bookmarkStart w:id="1" w:name="OLE_LINK3"/>
      <w:bookmarkStart w:id="2" w:name="OLE_LINK4"/>
      <w:r w:rsidRPr="007912A9">
        <w:rPr>
          <w:color w:val="000000"/>
          <w:szCs w:val="22"/>
        </w:rPr>
        <w:t>v tubuloch obličiek klírens</w:t>
      </w:r>
      <w:bookmarkEnd w:id="1"/>
      <w:bookmarkEnd w:id="2"/>
      <w:r w:rsidRPr="007912A9">
        <w:rPr>
          <w:color w:val="000000"/>
          <w:szCs w:val="22"/>
        </w:rPr>
        <w:t xml:space="preserve"> metotrexátu a tým zvýšiť jeho hladinu. </w:t>
      </w:r>
      <w:r w:rsidRPr="00D43FE5">
        <w:rPr>
          <w:color w:val="000000"/>
          <w:szCs w:val="22"/>
        </w:rPr>
        <w:t xml:space="preserve">Odporúča sa opatrnosť, keď sa NSAID, vrátane diklofenaku, podávajú menej ako 24 hodín pred alebo po liečbe metotrexátom, pretože </w:t>
      </w:r>
      <w:r w:rsidRPr="000519CF">
        <w:rPr>
          <w:color w:val="000000"/>
          <w:szCs w:val="22"/>
        </w:rPr>
        <w:t>koncentrácie</w:t>
      </w:r>
      <w:r w:rsidRPr="00474CB6">
        <w:rPr>
          <w:color w:val="000000"/>
          <w:szCs w:val="22"/>
        </w:rPr>
        <w:t xml:space="preserve"> metotrexátu v krvi môžu stúpnuť a môže sa zvý</w:t>
      </w:r>
      <w:r w:rsidRPr="006C0685">
        <w:rPr>
          <w:color w:val="000000"/>
          <w:szCs w:val="22"/>
        </w:rPr>
        <w:t>šiť jeho toxicita.</w:t>
      </w:r>
    </w:p>
    <w:p w:rsidR="00C80EFB" w:rsidRPr="007912A9" w:rsidRDefault="00C80EFB" w:rsidP="007912A9">
      <w:pPr>
        <w:ind w:left="0" w:firstLine="0"/>
        <w:rPr>
          <w:i/>
          <w:color w:val="000000"/>
          <w:szCs w:val="22"/>
        </w:rPr>
      </w:pPr>
    </w:p>
    <w:p w:rsidR="00C80EFB" w:rsidRPr="007912A9" w:rsidRDefault="00C80EFB" w:rsidP="007912A9">
      <w:pPr>
        <w:ind w:left="0" w:firstLine="0"/>
        <w:rPr>
          <w:color w:val="000000"/>
          <w:szCs w:val="22"/>
        </w:rPr>
      </w:pPr>
      <w:r w:rsidRPr="007912A9">
        <w:rPr>
          <w:i/>
          <w:color w:val="000000"/>
          <w:szCs w:val="22"/>
        </w:rPr>
        <w:t>Cyklosporín</w:t>
      </w:r>
      <w:r>
        <w:rPr>
          <w:i/>
          <w:color w:val="000000"/>
          <w:szCs w:val="22"/>
        </w:rPr>
        <w:t xml:space="preserve"> a takrolimus</w:t>
      </w:r>
      <w:r w:rsidRPr="007912A9">
        <w:rPr>
          <w:i/>
          <w:color w:val="000000"/>
          <w:szCs w:val="22"/>
        </w:rPr>
        <w:t>:</w:t>
      </w:r>
      <w:r w:rsidRPr="007912A9">
        <w:rPr>
          <w:color w:val="000000"/>
          <w:szCs w:val="22"/>
        </w:rPr>
        <w:t xml:space="preserve"> Diklofenak, tak ako iné NSAID, môže účinkom na obličkové prostaglandíny zvýšiť nefrotoxicitu cyklosporínu</w:t>
      </w:r>
      <w:r>
        <w:rPr>
          <w:color w:val="000000"/>
          <w:szCs w:val="22"/>
        </w:rPr>
        <w:t xml:space="preserve"> a takrolimu</w:t>
      </w:r>
      <w:r w:rsidRPr="007912A9">
        <w:rPr>
          <w:color w:val="000000"/>
          <w:szCs w:val="22"/>
        </w:rPr>
        <w:t>. Preto sa má podávať v nižších dávkach, ako sa používajú u pacientov, ktorí nedostávajú cyklosporín</w:t>
      </w:r>
      <w:r>
        <w:rPr>
          <w:color w:val="000000"/>
          <w:szCs w:val="22"/>
        </w:rPr>
        <w:t xml:space="preserve"> a takrolimus</w:t>
      </w:r>
      <w:r w:rsidRPr="007912A9">
        <w:rPr>
          <w:color w:val="000000"/>
          <w:szCs w:val="22"/>
        </w:rPr>
        <w:t>.</w:t>
      </w:r>
    </w:p>
    <w:p w:rsidR="00C80EFB" w:rsidRPr="007912A9" w:rsidRDefault="00C80EFB" w:rsidP="007912A9">
      <w:pPr>
        <w:pStyle w:val="Zkladntext"/>
        <w:rPr>
          <w:color w:val="000000"/>
          <w:szCs w:val="22"/>
        </w:rPr>
      </w:pPr>
    </w:p>
    <w:p w:rsidR="00C80EFB" w:rsidRPr="007912A9" w:rsidRDefault="00C80EFB" w:rsidP="007912A9">
      <w:pPr>
        <w:pStyle w:val="Zkladntext"/>
        <w:rPr>
          <w:color w:val="000000"/>
          <w:szCs w:val="22"/>
        </w:rPr>
      </w:pPr>
      <w:r w:rsidRPr="007912A9">
        <w:rPr>
          <w:i/>
          <w:color w:val="000000"/>
          <w:szCs w:val="22"/>
        </w:rPr>
        <w:t xml:space="preserve">Fenytoín: </w:t>
      </w:r>
      <w:r w:rsidRPr="007912A9">
        <w:rPr>
          <w:color w:val="000000"/>
          <w:szCs w:val="22"/>
        </w:rPr>
        <w:t>Pri súbežnom použití fenytoínu s diklofenakom sa odporúča monitorovanie koncentrácie fenytoínu v plazme vzhľadom na očakávané zvýšenie expozície fenytoínu.</w:t>
      </w:r>
    </w:p>
    <w:p w:rsidR="00C80EFB" w:rsidRDefault="00C80EFB" w:rsidP="007912A9">
      <w:pPr>
        <w:pStyle w:val="Zkladntext"/>
        <w:rPr>
          <w:color w:val="000000"/>
          <w:szCs w:val="22"/>
        </w:rPr>
      </w:pPr>
    </w:p>
    <w:p w:rsidR="00C80EFB" w:rsidRDefault="00C80EFB" w:rsidP="0026175A">
      <w:pPr>
        <w:ind w:left="0" w:firstLine="0"/>
        <w:rPr>
          <w:szCs w:val="22"/>
        </w:rPr>
      </w:pPr>
      <w:r w:rsidRPr="00BF7A17">
        <w:rPr>
          <w:i/>
          <w:szCs w:val="22"/>
        </w:rPr>
        <w:t>CYP2C9</w:t>
      </w:r>
      <w:r w:rsidRPr="00D92C87">
        <w:rPr>
          <w:i/>
          <w:szCs w:val="22"/>
        </w:rPr>
        <w:t xml:space="preserve"> </w:t>
      </w:r>
      <w:r w:rsidRPr="00BF7A17">
        <w:rPr>
          <w:i/>
          <w:szCs w:val="22"/>
        </w:rPr>
        <w:t>in</w:t>
      </w:r>
      <w:r>
        <w:rPr>
          <w:i/>
          <w:szCs w:val="22"/>
        </w:rPr>
        <w:t>duktory</w:t>
      </w:r>
      <w:r w:rsidRPr="00BF7A17">
        <w:rPr>
          <w:i/>
          <w:szCs w:val="22"/>
        </w:rPr>
        <w:t xml:space="preserve">: </w:t>
      </w:r>
      <w:r w:rsidRPr="00BF7A17">
        <w:rPr>
          <w:szCs w:val="22"/>
        </w:rPr>
        <w:t>Pri predpisovaní diklofenaku spolu s in</w:t>
      </w:r>
      <w:r>
        <w:rPr>
          <w:szCs w:val="22"/>
        </w:rPr>
        <w:t>duktormi</w:t>
      </w:r>
      <w:r w:rsidRPr="00BF7A17">
        <w:rPr>
          <w:szCs w:val="22"/>
        </w:rPr>
        <w:t xml:space="preserve"> CYP2C9 (ako napr. </w:t>
      </w:r>
      <w:r>
        <w:rPr>
          <w:szCs w:val="22"/>
        </w:rPr>
        <w:t>rifampicín</w:t>
      </w:r>
      <w:r w:rsidRPr="00BF7A17">
        <w:rPr>
          <w:szCs w:val="22"/>
        </w:rPr>
        <w:t>) sa odporúča opatrnosť, pretože môže dôjsť k výraznému z</w:t>
      </w:r>
      <w:r>
        <w:rPr>
          <w:szCs w:val="22"/>
        </w:rPr>
        <w:t>níženiu</w:t>
      </w:r>
      <w:r w:rsidRPr="00BF7A17">
        <w:rPr>
          <w:szCs w:val="22"/>
        </w:rPr>
        <w:t xml:space="preserve"> maximálnych plazmatických koncentrácií </w:t>
      </w:r>
      <w:r>
        <w:rPr>
          <w:szCs w:val="22"/>
        </w:rPr>
        <w:t xml:space="preserve">diklofenaku </w:t>
      </w:r>
      <w:r w:rsidRPr="00BF7A17">
        <w:rPr>
          <w:szCs w:val="22"/>
        </w:rPr>
        <w:t>a expozícii diklofenaku.</w:t>
      </w:r>
    </w:p>
    <w:p w:rsidR="00C80EFB" w:rsidRPr="007912A9" w:rsidRDefault="00C80EFB" w:rsidP="007912A9">
      <w:pPr>
        <w:pStyle w:val="Zkladntext"/>
        <w:rPr>
          <w:color w:val="000000"/>
          <w:szCs w:val="22"/>
        </w:rPr>
      </w:pPr>
    </w:p>
    <w:p w:rsidR="00C80EFB" w:rsidRPr="007912A9" w:rsidRDefault="00C80EFB" w:rsidP="007912A9">
      <w:pPr>
        <w:spacing w:line="280" w:lineRule="exact"/>
        <w:rPr>
          <w:color w:val="000000"/>
          <w:szCs w:val="22"/>
        </w:rPr>
      </w:pPr>
      <w:r>
        <w:rPr>
          <w:i/>
          <w:color w:val="000000"/>
          <w:szCs w:val="22"/>
        </w:rPr>
        <w:t>K</w:t>
      </w:r>
      <w:r w:rsidRPr="007912A9">
        <w:rPr>
          <w:i/>
          <w:color w:val="000000"/>
          <w:szCs w:val="22"/>
        </w:rPr>
        <w:t>olestipol a cholestyramín</w:t>
      </w:r>
      <w:r w:rsidRPr="007912A9">
        <w:rPr>
          <w:color w:val="000000"/>
          <w:szCs w:val="22"/>
        </w:rPr>
        <w:t xml:space="preserve">: Tieto liečivá môžu spôsobiť oneskorenú alebo zníženú absorpciu </w:t>
      </w:r>
    </w:p>
    <w:p w:rsidR="00C80EFB" w:rsidRPr="007912A9" w:rsidRDefault="00C80EFB" w:rsidP="007912A9">
      <w:pPr>
        <w:spacing w:line="280" w:lineRule="exact"/>
        <w:rPr>
          <w:color w:val="000000"/>
          <w:szCs w:val="22"/>
        </w:rPr>
      </w:pPr>
      <w:r w:rsidRPr="007912A9">
        <w:rPr>
          <w:color w:val="000000"/>
          <w:szCs w:val="22"/>
        </w:rPr>
        <w:t xml:space="preserve">diklofenaku. Diklofenak sa preto odporúča podávať jednu hodinu pred alebo 4 – 6 hodín po podaní </w:t>
      </w:r>
    </w:p>
    <w:p w:rsidR="00C80EFB" w:rsidRPr="007912A9" w:rsidRDefault="00C80EFB" w:rsidP="007912A9">
      <w:pPr>
        <w:spacing w:line="280" w:lineRule="exact"/>
        <w:rPr>
          <w:color w:val="000000"/>
          <w:szCs w:val="22"/>
        </w:rPr>
      </w:pPr>
      <w:r>
        <w:rPr>
          <w:color w:val="000000"/>
          <w:szCs w:val="22"/>
        </w:rPr>
        <w:t>k</w:t>
      </w:r>
      <w:r w:rsidRPr="007912A9">
        <w:rPr>
          <w:color w:val="000000"/>
          <w:szCs w:val="22"/>
        </w:rPr>
        <w:t>olestipolu/cholestyramínu.</w:t>
      </w:r>
    </w:p>
    <w:p w:rsidR="00C80EFB" w:rsidRPr="007912A9" w:rsidRDefault="00C80EFB" w:rsidP="007912A9">
      <w:pPr>
        <w:rPr>
          <w:color w:val="000000"/>
          <w:szCs w:val="22"/>
        </w:rPr>
      </w:pPr>
    </w:p>
    <w:p w:rsidR="00C80EFB" w:rsidRPr="007912A9" w:rsidRDefault="00C80EFB" w:rsidP="00A24FE6">
      <w:pPr>
        <w:keepNext/>
        <w:rPr>
          <w:color w:val="000000"/>
          <w:szCs w:val="22"/>
        </w:rPr>
      </w:pPr>
      <w:r w:rsidRPr="007912A9">
        <w:rPr>
          <w:b/>
          <w:color w:val="000000"/>
          <w:szCs w:val="22"/>
        </w:rPr>
        <w:t>4.6</w:t>
      </w:r>
      <w:r w:rsidRPr="007912A9">
        <w:rPr>
          <w:b/>
          <w:color w:val="000000"/>
          <w:szCs w:val="22"/>
        </w:rPr>
        <w:tab/>
        <w:t>Fertilita, gravidita a laktácia</w:t>
      </w:r>
    </w:p>
    <w:p w:rsidR="00C80EFB" w:rsidRPr="007912A9" w:rsidRDefault="00C80EFB" w:rsidP="00A24FE6">
      <w:pPr>
        <w:pStyle w:val="Zkladntext"/>
        <w:keepNext/>
        <w:rPr>
          <w:b/>
          <w:color w:val="000000"/>
          <w:szCs w:val="22"/>
          <w:highlight w:val="yellow"/>
        </w:rPr>
      </w:pPr>
    </w:p>
    <w:p w:rsidR="00C80EFB" w:rsidRPr="00A24FE6" w:rsidRDefault="00C80EFB" w:rsidP="007912A9">
      <w:pPr>
        <w:pStyle w:val="Zkladntext"/>
        <w:rPr>
          <w:bCs/>
          <w:iCs/>
          <w:color w:val="000000"/>
          <w:szCs w:val="22"/>
          <w:u w:val="single"/>
        </w:rPr>
      </w:pPr>
      <w:r w:rsidRPr="00A24FE6">
        <w:rPr>
          <w:bCs/>
          <w:iCs/>
          <w:color w:val="000000"/>
          <w:szCs w:val="22"/>
          <w:u w:val="single"/>
        </w:rPr>
        <w:t>Gravidita</w:t>
      </w:r>
    </w:p>
    <w:p w:rsidR="00C80EFB" w:rsidRPr="007912A9" w:rsidRDefault="00C80EFB" w:rsidP="007912A9">
      <w:pPr>
        <w:pStyle w:val="Zkladntext"/>
        <w:rPr>
          <w:color w:val="000000"/>
          <w:szCs w:val="22"/>
        </w:rPr>
      </w:pPr>
      <w:r w:rsidRPr="007912A9">
        <w:rPr>
          <w:color w:val="000000"/>
          <w:szCs w:val="22"/>
        </w:rPr>
        <w:t xml:space="preserve">Inhibícia syntézy prostaglandínov môže mať nežiaduci vplyv na graviditu a/alebo vývoj embrya/plodu. Údaje z epidemiologických štúdií naznačujú zvýšené riziko potratu a malformácií srdca a </w:t>
      </w:r>
      <w:bookmarkStart w:id="3" w:name="OLE_LINK7"/>
      <w:bookmarkStart w:id="4" w:name="OLE_LINK8"/>
      <w:r w:rsidRPr="007912A9">
        <w:rPr>
          <w:color w:val="000000"/>
          <w:szCs w:val="22"/>
        </w:rPr>
        <w:t>gastroschízy</w:t>
      </w:r>
      <w:bookmarkEnd w:id="3"/>
      <w:bookmarkEnd w:id="4"/>
      <w:r w:rsidRPr="007912A9">
        <w:rPr>
          <w:color w:val="000000"/>
          <w:szCs w:val="22"/>
        </w:rPr>
        <w:t xml:space="preserve"> po užívaní inhibítorov syntézy prostaglandínov v počiatočnom štádiu gravidity. Absolútne riziko malformácií srdca bolo zvýšené z menej ako 1 % na približne 1,5 %. </w:t>
      </w:r>
    </w:p>
    <w:p w:rsidR="00C80EFB" w:rsidRPr="007912A9" w:rsidRDefault="00C80EFB" w:rsidP="007912A9">
      <w:pPr>
        <w:pStyle w:val="Zkladntext"/>
        <w:rPr>
          <w:color w:val="000000"/>
          <w:szCs w:val="22"/>
        </w:rPr>
      </w:pPr>
      <w:r w:rsidRPr="007912A9">
        <w:rPr>
          <w:color w:val="000000"/>
          <w:szCs w:val="22"/>
        </w:rPr>
        <w:lastRenderedPageBreak/>
        <w:t xml:space="preserve">Predpokladá sa, že riziko sa zvyšuje s dávkou a dĺžkou liečby. U zvierat bolo preukázané, že podávanie inhibítorov syntézy prostaglandínov malo za následok zvýšené pre- a post-implantačné straty a embryo-fetálnu úmrtnosť.  </w:t>
      </w:r>
    </w:p>
    <w:p w:rsidR="00C80EFB" w:rsidRPr="007912A9" w:rsidRDefault="00C80EFB" w:rsidP="007912A9">
      <w:pPr>
        <w:pStyle w:val="Zkladntext"/>
        <w:rPr>
          <w:color w:val="000000"/>
          <w:szCs w:val="22"/>
        </w:rPr>
      </w:pPr>
      <w:r w:rsidRPr="007912A9">
        <w:rPr>
          <w:color w:val="000000"/>
          <w:szCs w:val="22"/>
        </w:rPr>
        <w:t xml:space="preserve">Okrem toho bola po podaní inhibítorov syntézy prostaglandínov zvieratám v období organogenézy zaznamenaná zvýšená incidencia viacerých malformácií, vrátane kardiovaskulárnych. Počas prvého a druhého trimestra gravidity sa má diklofenak podať iba ak je to nevyhnutné. Pokiaľ diklofenak užíva žena, ktorá sa pokúša otehotnieť, alebo je v prvom a druhom trimestri gravidity, dávka má byť čo najnižšia a dĺžka liečby čo najkratšia. </w:t>
      </w:r>
    </w:p>
    <w:p w:rsidR="00C80EFB" w:rsidRPr="007912A9" w:rsidRDefault="00C80EFB" w:rsidP="007912A9">
      <w:pPr>
        <w:rPr>
          <w:color w:val="000000"/>
          <w:szCs w:val="22"/>
        </w:rPr>
      </w:pPr>
    </w:p>
    <w:p w:rsidR="00C80EFB" w:rsidRPr="007912A9" w:rsidRDefault="00C80EFB" w:rsidP="00D43FE5">
      <w:pPr>
        <w:rPr>
          <w:color w:val="000000"/>
          <w:szCs w:val="22"/>
        </w:rPr>
      </w:pPr>
      <w:r w:rsidRPr="007912A9">
        <w:rPr>
          <w:color w:val="000000"/>
          <w:szCs w:val="22"/>
        </w:rPr>
        <w:t xml:space="preserve">Počas tretieho trimestra gravidity môžu všetky inhibítory syntézy prostaglandínov zapríčiniť u plodu: </w:t>
      </w:r>
    </w:p>
    <w:p w:rsidR="00C80EFB" w:rsidRPr="007912A9" w:rsidRDefault="00C80EFB" w:rsidP="000519CF">
      <w:pPr>
        <w:pStyle w:val="Zarkazkladnhotextu"/>
        <w:numPr>
          <w:ilvl w:val="0"/>
          <w:numId w:val="25"/>
        </w:numPr>
        <w:spacing w:after="0"/>
        <w:rPr>
          <w:color w:val="000000"/>
          <w:szCs w:val="22"/>
        </w:rPr>
      </w:pPr>
      <w:r w:rsidRPr="007912A9">
        <w:rPr>
          <w:color w:val="000000"/>
          <w:szCs w:val="22"/>
        </w:rPr>
        <w:t xml:space="preserve">srdcovo-pľúcnu toxicitu (s predčasným uzatvorením </w:t>
      </w:r>
      <w:r w:rsidRPr="007912A9">
        <w:rPr>
          <w:i/>
          <w:color w:val="000000"/>
          <w:szCs w:val="22"/>
        </w:rPr>
        <w:t>ductus arteriosus</w:t>
      </w:r>
      <w:r w:rsidRPr="007912A9">
        <w:rPr>
          <w:color w:val="000000"/>
          <w:szCs w:val="22"/>
        </w:rPr>
        <w:t xml:space="preserve"> a pľúcnou hypertenziou);</w:t>
      </w:r>
    </w:p>
    <w:p w:rsidR="00C80EFB" w:rsidRPr="007912A9" w:rsidRDefault="00C80EFB" w:rsidP="006C0685">
      <w:pPr>
        <w:pStyle w:val="Zarkazkladnhotextu"/>
        <w:numPr>
          <w:ilvl w:val="0"/>
          <w:numId w:val="25"/>
        </w:numPr>
        <w:spacing w:after="60"/>
        <w:ind w:left="641" w:hanging="357"/>
        <w:rPr>
          <w:color w:val="000000"/>
          <w:szCs w:val="22"/>
        </w:rPr>
      </w:pPr>
      <w:r w:rsidRPr="007912A9">
        <w:rPr>
          <w:color w:val="000000"/>
          <w:szCs w:val="22"/>
        </w:rPr>
        <w:t>poruchu činnosti obličiek, ktorá môže progredovať do zlyhania obličiek s oligohydramniónom;</w:t>
      </w:r>
    </w:p>
    <w:p w:rsidR="00C80EFB" w:rsidRPr="007912A9" w:rsidRDefault="00C80EFB" w:rsidP="007912A9">
      <w:pPr>
        <w:pStyle w:val="Zarkazkladnhotextu"/>
        <w:spacing w:after="0"/>
        <w:ind w:left="0" w:firstLine="0"/>
        <w:rPr>
          <w:color w:val="000000"/>
          <w:szCs w:val="22"/>
        </w:rPr>
      </w:pPr>
      <w:r w:rsidRPr="007912A9">
        <w:rPr>
          <w:color w:val="000000"/>
          <w:szCs w:val="22"/>
        </w:rPr>
        <w:t xml:space="preserve">Na konci gravidity môžu všetky inhibítory syntézy prostaglandínov zapríčiniť u matky a novorodenca: </w:t>
      </w:r>
    </w:p>
    <w:p w:rsidR="00C80EFB" w:rsidRPr="007912A9" w:rsidRDefault="00C80EFB" w:rsidP="007912A9">
      <w:pPr>
        <w:numPr>
          <w:ilvl w:val="0"/>
          <w:numId w:val="25"/>
        </w:numPr>
        <w:rPr>
          <w:color w:val="000000"/>
          <w:szCs w:val="22"/>
        </w:rPr>
      </w:pPr>
      <w:r w:rsidRPr="007912A9">
        <w:rPr>
          <w:color w:val="000000"/>
          <w:szCs w:val="22"/>
        </w:rPr>
        <w:t>možné predĺženie doby krvácania, protidoštičkový účinok sa môže vyskytnúť aj pri veľmi nízkych dávkach.</w:t>
      </w:r>
    </w:p>
    <w:p w:rsidR="00C80EFB" w:rsidRPr="007912A9" w:rsidRDefault="00C80EFB" w:rsidP="007912A9">
      <w:pPr>
        <w:numPr>
          <w:ilvl w:val="0"/>
          <w:numId w:val="25"/>
        </w:numPr>
        <w:spacing w:after="60"/>
        <w:ind w:left="641" w:hanging="357"/>
        <w:rPr>
          <w:color w:val="000000"/>
          <w:szCs w:val="22"/>
        </w:rPr>
      </w:pPr>
      <w:r w:rsidRPr="007912A9">
        <w:rPr>
          <w:color w:val="000000"/>
          <w:szCs w:val="22"/>
        </w:rPr>
        <w:t xml:space="preserve">inhibíciu kontrakcií maternice majúcej za následok oneskorený alebo predĺžený pôrod. </w:t>
      </w:r>
    </w:p>
    <w:p w:rsidR="00C80EFB" w:rsidRPr="007912A9" w:rsidRDefault="00C80EFB" w:rsidP="007912A9">
      <w:pPr>
        <w:rPr>
          <w:color w:val="000000"/>
          <w:szCs w:val="22"/>
        </w:rPr>
      </w:pPr>
      <w:r w:rsidRPr="007912A9">
        <w:rPr>
          <w:color w:val="000000"/>
          <w:szCs w:val="22"/>
        </w:rPr>
        <w:t>Diklofenak je preto počas tretieho trimestra gravidity kontraindikovaný.</w:t>
      </w:r>
    </w:p>
    <w:p w:rsidR="00C80EFB" w:rsidRPr="007912A9" w:rsidRDefault="00C80EFB" w:rsidP="007912A9">
      <w:pPr>
        <w:pStyle w:val="Zkladntext"/>
        <w:rPr>
          <w:color w:val="000000"/>
          <w:szCs w:val="22"/>
        </w:rPr>
      </w:pPr>
    </w:p>
    <w:p w:rsidR="00C80EFB" w:rsidRPr="00A24FE6" w:rsidRDefault="00C80EFB" w:rsidP="007912A9">
      <w:pPr>
        <w:pStyle w:val="Zkladntext"/>
        <w:rPr>
          <w:bCs/>
          <w:iCs/>
          <w:color w:val="000000"/>
          <w:szCs w:val="22"/>
          <w:u w:val="single"/>
        </w:rPr>
      </w:pPr>
      <w:r w:rsidRPr="00A24FE6">
        <w:rPr>
          <w:bCs/>
          <w:iCs/>
          <w:color w:val="000000"/>
          <w:szCs w:val="22"/>
          <w:u w:val="single"/>
        </w:rPr>
        <w:t>Dojčenie</w:t>
      </w:r>
    </w:p>
    <w:p w:rsidR="00C80EFB" w:rsidRPr="007912A9" w:rsidRDefault="00C80EFB" w:rsidP="007912A9">
      <w:pPr>
        <w:pStyle w:val="Zkladntext"/>
        <w:rPr>
          <w:color w:val="000000"/>
          <w:szCs w:val="22"/>
        </w:rPr>
      </w:pPr>
      <w:r w:rsidRPr="007912A9">
        <w:rPr>
          <w:color w:val="000000"/>
          <w:szCs w:val="22"/>
        </w:rPr>
        <w:t xml:space="preserve">Tak ako iné NSAID, diklofenak v malých množstvách prestupuje do materského mlieka. Preto sa Voltaren nemá podávať v období dojčenia, aby sa zabránilo nežiaducim účinkom na dojča. </w:t>
      </w:r>
    </w:p>
    <w:p w:rsidR="00C80EFB" w:rsidRPr="007912A9" w:rsidRDefault="00C80EFB" w:rsidP="007912A9">
      <w:pPr>
        <w:pStyle w:val="Zkladntext"/>
        <w:rPr>
          <w:b/>
          <w:color w:val="000000"/>
          <w:szCs w:val="22"/>
        </w:rPr>
      </w:pPr>
    </w:p>
    <w:p w:rsidR="00C80EFB" w:rsidRPr="00A24FE6" w:rsidRDefault="00C80EFB" w:rsidP="007912A9">
      <w:pPr>
        <w:pStyle w:val="Zkladntext"/>
        <w:rPr>
          <w:bCs/>
          <w:iCs/>
          <w:color w:val="000000"/>
          <w:szCs w:val="22"/>
          <w:u w:val="single"/>
        </w:rPr>
      </w:pPr>
      <w:r w:rsidRPr="00A24FE6">
        <w:rPr>
          <w:bCs/>
          <w:iCs/>
          <w:color w:val="000000"/>
          <w:szCs w:val="22"/>
          <w:u w:val="single"/>
        </w:rPr>
        <w:t>Fertilita</w:t>
      </w:r>
    </w:p>
    <w:p w:rsidR="00C80EFB" w:rsidRPr="007912A9" w:rsidRDefault="00C80EFB" w:rsidP="007912A9">
      <w:pPr>
        <w:pStyle w:val="Zkladntext"/>
        <w:rPr>
          <w:color w:val="000000"/>
          <w:szCs w:val="22"/>
        </w:rPr>
      </w:pPr>
      <w:r w:rsidRPr="007912A9">
        <w:rPr>
          <w:color w:val="000000"/>
          <w:szCs w:val="22"/>
        </w:rPr>
        <w:t xml:space="preserve">Tak ako iné NSAID, použitie Voltarenu môže zhoršiť fertilitu žien a neodporúča sa podávať ho ženám, ktoré sa pokúšajú otehotnieť. U žien, ktoré majú ťažkosti s otehotnením alebo podstupujú vyšetrenia pre infertilitu, sa má zvážiť vysadenie Voltarenu. </w:t>
      </w:r>
    </w:p>
    <w:p w:rsidR="00C80EFB" w:rsidRPr="007912A9" w:rsidRDefault="00C80EFB" w:rsidP="007912A9">
      <w:pPr>
        <w:pStyle w:val="Zkladntext"/>
        <w:rPr>
          <w:color w:val="000000"/>
          <w:szCs w:val="22"/>
        </w:rPr>
      </w:pPr>
    </w:p>
    <w:p w:rsidR="00C80EFB" w:rsidRPr="007912A9" w:rsidRDefault="00C80EFB" w:rsidP="007912A9">
      <w:pPr>
        <w:pStyle w:val="Zkladntext"/>
        <w:rPr>
          <w:i/>
          <w:color w:val="000000"/>
          <w:szCs w:val="22"/>
        </w:rPr>
      </w:pPr>
      <w:r w:rsidRPr="007912A9">
        <w:rPr>
          <w:i/>
          <w:color w:val="000000"/>
          <w:szCs w:val="22"/>
        </w:rPr>
        <w:t>Ženy v reprodukčnom veku</w:t>
      </w:r>
    </w:p>
    <w:p w:rsidR="00C80EFB" w:rsidRPr="007912A9" w:rsidRDefault="00C80EFB" w:rsidP="007912A9">
      <w:pPr>
        <w:pStyle w:val="Zkladntext"/>
        <w:rPr>
          <w:color w:val="000000"/>
          <w:szCs w:val="22"/>
        </w:rPr>
      </w:pPr>
      <w:r w:rsidRPr="007912A9">
        <w:rPr>
          <w:color w:val="000000"/>
          <w:szCs w:val="22"/>
        </w:rPr>
        <w:t>K dispozícii nie sú údaje umožňujúce vykonať odporúčania pre ženy v reprodukčnom veku.</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4.7</w:t>
      </w:r>
      <w:r w:rsidRPr="007912A9">
        <w:rPr>
          <w:b/>
          <w:color w:val="000000"/>
          <w:szCs w:val="22"/>
        </w:rPr>
        <w:tab/>
        <w:t>Ovplyvnenie schopnosti viesť vozidlá a obsluhovať stroje</w:t>
      </w:r>
    </w:p>
    <w:p w:rsidR="00C80EFB" w:rsidRPr="007912A9" w:rsidRDefault="00C80EFB" w:rsidP="007912A9">
      <w:pPr>
        <w:rPr>
          <w:color w:val="000000"/>
          <w:szCs w:val="22"/>
        </w:rPr>
      </w:pPr>
    </w:p>
    <w:p w:rsidR="00C80EFB" w:rsidRPr="007912A9" w:rsidRDefault="00C80EFB" w:rsidP="007912A9">
      <w:pPr>
        <w:ind w:left="0" w:firstLine="0"/>
        <w:rPr>
          <w:color w:val="000000"/>
          <w:szCs w:val="22"/>
        </w:rPr>
      </w:pPr>
      <w:r w:rsidRPr="007912A9">
        <w:rPr>
          <w:color w:val="000000"/>
          <w:szCs w:val="22"/>
        </w:rPr>
        <w:t xml:space="preserve">Pacienti, u ktorých sa počas používania Voltarenu vyskytnú poruchy videnia, závraty, vertigo, somnolencia alebo iné poruchy CNS, nemajú viesť vozidlo alebo obsluhovať stroje. </w:t>
      </w:r>
    </w:p>
    <w:p w:rsidR="00C80EFB" w:rsidRPr="007912A9" w:rsidRDefault="00C80EFB" w:rsidP="007912A9">
      <w:pPr>
        <w:ind w:left="0" w:firstLine="0"/>
        <w:rPr>
          <w:color w:val="000000"/>
          <w:szCs w:val="22"/>
        </w:rPr>
      </w:pPr>
    </w:p>
    <w:p w:rsidR="00C80EFB" w:rsidRPr="007912A9" w:rsidRDefault="00C80EFB" w:rsidP="007912A9">
      <w:pPr>
        <w:rPr>
          <w:b/>
          <w:color w:val="000000"/>
          <w:szCs w:val="22"/>
        </w:rPr>
      </w:pPr>
      <w:r w:rsidRPr="007912A9">
        <w:rPr>
          <w:b/>
          <w:color w:val="000000"/>
          <w:szCs w:val="22"/>
        </w:rPr>
        <w:t>4.8</w:t>
      </w:r>
      <w:r w:rsidRPr="007912A9">
        <w:rPr>
          <w:b/>
          <w:color w:val="000000"/>
          <w:szCs w:val="22"/>
        </w:rPr>
        <w:tab/>
        <w:t>Nežiaduce účinky</w:t>
      </w:r>
    </w:p>
    <w:p w:rsidR="00C80EFB" w:rsidRPr="007912A9" w:rsidRDefault="00C80EFB" w:rsidP="007912A9">
      <w:pPr>
        <w:rPr>
          <w:color w:val="000000"/>
          <w:szCs w:val="22"/>
        </w:rPr>
      </w:pPr>
    </w:p>
    <w:p w:rsidR="00C80EFB" w:rsidRPr="007912A9" w:rsidRDefault="00C80EFB" w:rsidP="007912A9">
      <w:pPr>
        <w:rPr>
          <w:bCs/>
          <w:color w:val="000000"/>
          <w:szCs w:val="22"/>
        </w:rPr>
      </w:pPr>
      <w:r w:rsidRPr="007912A9">
        <w:rPr>
          <w:bCs/>
          <w:color w:val="000000"/>
          <w:szCs w:val="22"/>
        </w:rPr>
        <w:t>V súvislosti s používaním NSAID boli hlásené edémy, hypertenzia a zlyhanie srdca.</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 xml:space="preserve">Nežiaduce reakcie (tabuľka 1) z klinických skúšaní a/alebo spontánnych hlásení a prípadov z </w:t>
      </w:r>
    </w:p>
    <w:p w:rsidR="00C80EFB" w:rsidRPr="007912A9" w:rsidRDefault="00C80EFB" w:rsidP="007912A9">
      <w:pPr>
        <w:rPr>
          <w:color w:val="000000"/>
          <w:szCs w:val="22"/>
        </w:rPr>
      </w:pPr>
      <w:r w:rsidRPr="007912A9">
        <w:rPr>
          <w:color w:val="000000"/>
          <w:szCs w:val="22"/>
        </w:rPr>
        <w:t xml:space="preserve">literatúry sú zoradené podľa tried orgánových systémov konvencie MedDRA. V rámci každej triedy sú </w:t>
      </w:r>
    </w:p>
    <w:p w:rsidR="00C80EFB" w:rsidRPr="007912A9" w:rsidRDefault="00C80EFB" w:rsidP="007912A9">
      <w:pPr>
        <w:rPr>
          <w:color w:val="000000"/>
          <w:szCs w:val="22"/>
        </w:rPr>
      </w:pPr>
      <w:r w:rsidRPr="007912A9">
        <w:rPr>
          <w:color w:val="000000"/>
          <w:szCs w:val="22"/>
        </w:rPr>
        <w:t xml:space="preserve">nežiaduce reakcie na liek zoradené podľa frekvencie, najčastejšie ako prvé. V rámci každej skupiny </w:t>
      </w:r>
    </w:p>
    <w:p w:rsidR="00C80EFB" w:rsidRPr="007912A9" w:rsidRDefault="00C80EFB" w:rsidP="007912A9">
      <w:pPr>
        <w:rPr>
          <w:color w:val="000000"/>
          <w:szCs w:val="22"/>
        </w:rPr>
      </w:pPr>
      <w:r w:rsidRPr="007912A9">
        <w:rPr>
          <w:color w:val="000000"/>
          <w:szCs w:val="22"/>
        </w:rPr>
        <w:t xml:space="preserve">frekvencie sú nežiaduce reakcie zoradené podľa klesajúcej závažnosti, pričom sú rozdelené do </w:t>
      </w:r>
    </w:p>
    <w:p w:rsidR="00C80EFB" w:rsidRPr="007912A9" w:rsidRDefault="00C80EFB" w:rsidP="007912A9">
      <w:pPr>
        <w:rPr>
          <w:color w:val="000000"/>
          <w:szCs w:val="22"/>
        </w:rPr>
      </w:pPr>
      <w:r w:rsidRPr="007912A9">
        <w:rPr>
          <w:color w:val="000000"/>
          <w:szCs w:val="22"/>
        </w:rPr>
        <w:t xml:space="preserve">nasledujúcich skupín podľa konvencie CIOMS III: veľmi časté (&gt;1/10), časté (≥1/100 až &lt;1/10), </w:t>
      </w:r>
    </w:p>
    <w:p w:rsidR="00C80EFB" w:rsidRPr="007912A9" w:rsidRDefault="00C80EFB" w:rsidP="007912A9">
      <w:pPr>
        <w:rPr>
          <w:color w:val="000000"/>
          <w:szCs w:val="22"/>
        </w:rPr>
      </w:pPr>
      <w:r w:rsidRPr="007912A9">
        <w:rPr>
          <w:color w:val="000000"/>
          <w:szCs w:val="22"/>
        </w:rPr>
        <w:t>menej časté (≥1/1 000 až &lt;1/100), zriedkavé (≥1/10 000 až &lt;1/1 000), veľmi zriedkavé (&lt;1/10 000)</w:t>
      </w:r>
      <w:r w:rsidRPr="007912A9">
        <w:rPr>
          <w:iCs/>
          <w:color w:val="000000"/>
          <w:szCs w:val="22"/>
        </w:rPr>
        <w:t>.</w:t>
      </w:r>
    </w:p>
    <w:p w:rsidR="00C80EFB" w:rsidRPr="007912A9" w:rsidRDefault="00C80EFB" w:rsidP="00D43FE5">
      <w:pPr>
        <w:ind w:left="0" w:firstLine="0"/>
        <w:rPr>
          <w:color w:val="000000"/>
          <w:szCs w:val="22"/>
        </w:rPr>
      </w:pPr>
    </w:p>
    <w:p w:rsidR="00C80EFB" w:rsidRPr="007912A9" w:rsidRDefault="00C80EFB" w:rsidP="000519CF">
      <w:pPr>
        <w:ind w:left="0" w:firstLine="0"/>
        <w:rPr>
          <w:color w:val="000000"/>
          <w:szCs w:val="22"/>
        </w:rPr>
      </w:pPr>
      <w:r w:rsidRPr="007912A9">
        <w:rPr>
          <w:color w:val="000000"/>
          <w:szCs w:val="22"/>
        </w:rPr>
        <w:t xml:space="preserve">Nasledujúce nežiaduce účinky zahŕňajú nežiaduce účinky hlásené pri gastrorezistentných tabletách Voltaren a/alebo iných liekových formách diklofenaku, pri krátkodobom alebo dlhodobom používaní. </w:t>
      </w:r>
    </w:p>
    <w:p w:rsidR="00C80EFB" w:rsidRPr="007912A9" w:rsidRDefault="00C80EFB" w:rsidP="006C0685">
      <w:pPr>
        <w:ind w:left="0" w:firstLine="0"/>
        <w:rPr>
          <w:color w:val="000000"/>
          <w:szCs w:val="22"/>
        </w:rPr>
      </w:pPr>
    </w:p>
    <w:p w:rsidR="00C80EFB" w:rsidRPr="007912A9" w:rsidRDefault="00C80EFB" w:rsidP="007912A9">
      <w:pPr>
        <w:ind w:left="0" w:firstLine="0"/>
        <w:rPr>
          <w:b/>
          <w:color w:val="000000"/>
          <w:szCs w:val="22"/>
        </w:rPr>
      </w:pPr>
      <w:r w:rsidRPr="007912A9">
        <w:rPr>
          <w:b/>
          <w:color w:val="000000"/>
          <w:szCs w:val="22"/>
        </w:rPr>
        <w:t>Tabuľka 1</w:t>
      </w:r>
      <w:r w:rsidRPr="007912A9">
        <w:rPr>
          <w:b/>
          <w:color w:val="000000"/>
          <w:szCs w:val="22"/>
        </w:rPr>
        <w:tab/>
        <w:t>Nežiaduce reakcie na liek</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C80EFB" w:rsidRPr="007912A9">
        <w:trPr>
          <w:cantSplit/>
        </w:trPr>
        <w:tc>
          <w:tcPr>
            <w:tcW w:w="9072" w:type="dxa"/>
            <w:gridSpan w:val="3"/>
            <w:tcBorders>
              <w:top w:val="single" w:sz="4" w:space="0" w:color="auto"/>
            </w:tcBorders>
          </w:tcPr>
          <w:p w:rsidR="00C80EFB" w:rsidRPr="007912A9" w:rsidRDefault="00C80EFB" w:rsidP="007912A9">
            <w:pPr>
              <w:pStyle w:val="Table"/>
              <w:keepNext w:val="0"/>
              <w:keepLines w:val="0"/>
              <w:rPr>
                <w:rFonts w:ascii="Times New Roman" w:hAnsi="Times New Roman"/>
                <w:b/>
                <w:color w:val="000000"/>
                <w:sz w:val="22"/>
                <w:szCs w:val="22"/>
                <w:lang w:val="sk-SK"/>
              </w:rPr>
            </w:pPr>
            <w:r w:rsidRPr="007912A9">
              <w:rPr>
                <w:rFonts w:ascii="Times New Roman" w:hAnsi="Times New Roman"/>
                <w:b/>
                <w:bCs/>
                <w:color w:val="000000"/>
                <w:sz w:val="22"/>
                <w:szCs w:val="22"/>
                <w:lang w:val="sk-SK"/>
              </w:rPr>
              <w:t>Poruchy krvi a lymfatického systému</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6C0685">
            <w:pPr>
              <w:ind w:left="0" w:firstLine="0"/>
              <w:rPr>
                <w:color w:val="000000"/>
                <w:szCs w:val="22"/>
              </w:rPr>
            </w:pPr>
            <w:r w:rsidRPr="006C0685">
              <w:rPr>
                <w:color w:val="000000"/>
                <w:szCs w:val="22"/>
              </w:rPr>
              <w:t xml:space="preserve">Trombocytopénia, leukopénia, anémia (vrátane hemolytickej a </w:t>
            </w:r>
            <w:r w:rsidRPr="007912A9">
              <w:rPr>
                <w:color w:val="000000"/>
                <w:szCs w:val="22"/>
              </w:rPr>
              <w:t>aplastickej anémie), agranulocytóza</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imunitného systému</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Precitlivenosť, anafylaktické/anafylaktoidné reakcie (vrátane </w:t>
            </w:r>
            <w:r w:rsidRPr="006C0685">
              <w:rPr>
                <w:rFonts w:ascii="Times New Roman" w:hAnsi="Times New Roman"/>
                <w:color w:val="000000"/>
                <w:sz w:val="22"/>
                <w:szCs w:val="22"/>
                <w:lang w:val="sk-SK"/>
              </w:rPr>
              <w:lastRenderedPageBreak/>
              <w:t>hypotenzie a šok</w:t>
            </w:r>
            <w:r w:rsidRPr="007912A9">
              <w:rPr>
                <w:rFonts w:ascii="Times New Roman" w:hAnsi="Times New Roman"/>
                <w:color w:val="000000"/>
                <w:sz w:val="22"/>
                <w:szCs w:val="22"/>
                <w:lang w:val="sk-SK"/>
              </w:rPr>
              <w:t>u)</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6C0685"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Angioedém (vrátane edému tváre) </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Psychické poruchy</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Dezorientácia, depresia, nespavosť, zlé sny, podráždenosť, psychotické poruchy</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nervového systému</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Časté:</w:t>
            </w:r>
          </w:p>
        </w:tc>
        <w:tc>
          <w:tcPr>
            <w:tcW w:w="5953" w:type="dxa"/>
          </w:tcPr>
          <w:p w:rsidR="00C80EFB" w:rsidRPr="00D43FE5" w:rsidRDefault="00C80EFB" w:rsidP="007912A9">
            <w:pPr>
              <w:pStyle w:val="Table"/>
              <w:keepNext w:val="0"/>
              <w:keepLines w:val="0"/>
              <w:rPr>
                <w:rFonts w:ascii="Times New Roman" w:hAnsi="Times New Roman"/>
                <w:color w:val="000000"/>
                <w:sz w:val="22"/>
                <w:szCs w:val="22"/>
                <w:lang w:val="sk-SK"/>
              </w:rPr>
            </w:pPr>
            <w:r w:rsidRPr="007912A9">
              <w:rPr>
                <w:rFonts w:ascii="Times New Roman" w:hAnsi="Times New Roman"/>
                <w:color w:val="000000"/>
                <w:sz w:val="22"/>
                <w:szCs w:val="22"/>
                <w:lang w:val="sk-SK"/>
              </w:rPr>
              <w:t>B</w:t>
            </w:r>
            <w:r w:rsidRPr="00D43FE5">
              <w:rPr>
                <w:rFonts w:ascii="Times New Roman" w:hAnsi="Times New Roman"/>
                <w:color w:val="000000"/>
                <w:sz w:val="22"/>
                <w:szCs w:val="22"/>
                <w:lang w:val="sk-SK"/>
              </w:rPr>
              <w:t>olesť hlavy, závraty</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6C0685" w:rsidRDefault="00C80EFB" w:rsidP="007912A9">
            <w:pPr>
              <w:pStyle w:val="Table"/>
              <w:keepNext w:val="0"/>
              <w:keepLines w:val="0"/>
              <w:rPr>
                <w:rFonts w:ascii="Times New Roman" w:hAnsi="Times New Roman"/>
                <w:color w:val="000000"/>
                <w:sz w:val="22"/>
                <w:szCs w:val="22"/>
                <w:lang w:val="sk-SK"/>
              </w:rPr>
            </w:pPr>
            <w:r w:rsidRPr="00474CB6">
              <w:rPr>
                <w:rFonts w:ascii="Times New Roman" w:hAnsi="Times New Roman"/>
                <w:color w:val="000000"/>
                <w:sz w:val="22"/>
                <w:szCs w:val="22"/>
                <w:lang w:val="sk-SK"/>
              </w:rPr>
              <w:t>Somnolenc</w:t>
            </w:r>
            <w:r w:rsidRPr="006C0685">
              <w:rPr>
                <w:rFonts w:ascii="Times New Roman" w:hAnsi="Times New Roman"/>
                <w:color w:val="000000"/>
                <w:sz w:val="22"/>
                <w:szCs w:val="22"/>
                <w:lang w:val="sk-SK"/>
              </w:rPr>
              <w:t>ia</w:t>
            </w:r>
          </w:p>
        </w:tc>
      </w:tr>
      <w:tr w:rsidR="00C80EFB" w:rsidRPr="007912A9">
        <w:tc>
          <w:tcPr>
            <w:tcW w:w="567" w:type="dxa"/>
          </w:tcPr>
          <w:p w:rsidR="00C80EFB" w:rsidRPr="00D43FE5" w:rsidRDefault="00C80EFB" w:rsidP="00D43FE5">
            <w:pPr>
              <w:pStyle w:val="Table"/>
              <w:keepNext w:val="0"/>
              <w:keepLines w:val="0"/>
              <w:spacing w:before="0" w:after="0"/>
              <w:rPr>
                <w:rFonts w:ascii="Times New Roman" w:hAnsi="Times New Roman"/>
                <w:color w:val="000000"/>
                <w:sz w:val="22"/>
                <w:szCs w:val="22"/>
                <w:lang w:val="sk-SK"/>
              </w:rPr>
            </w:pPr>
          </w:p>
        </w:tc>
        <w:tc>
          <w:tcPr>
            <w:tcW w:w="2552" w:type="dxa"/>
          </w:tcPr>
          <w:p w:rsidR="00C80EFB" w:rsidRPr="00474CB6" w:rsidRDefault="00C80EFB" w:rsidP="000519CF">
            <w:pPr>
              <w:pStyle w:val="Table"/>
              <w:keepNext w:val="0"/>
              <w:keepLines w:val="0"/>
              <w:spacing w:before="0" w:after="0"/>
              <w:rPr>
                <w:rFonts w:ascii="Times New Roman" w:hAnsi="Times New Roman"/>
                <w:color w:val="000000"/>
                <w:sz w:val="22"/>
                <w:szCs w:val="22"/>
                <w:lang w:val="sk-SK"/>
              </w:rPr>
            </w:pPr>
            <w:r w:rsidRPr="000519CF">
              <w:rPr>
                <w:rFonts w:ascii="Times New Roman" w:hAnsi="Times New Roman"/>
                <w:color w:val="000000"/>
                <w:sz w:val="22"/>
                <w:szCs w:val="22"/>
                <w:lang w:val="sk-SK"/>
              </w:rPr>
              <w:t>Ve</w:t>
            </w:r>
            <w:r w:rsidRPr="00474CB6">
              <w:rPr>
                <w:rFonts w:ascii="Times New Roman" w:hAnsi="Times New Roman"/>
                <w:color w:val="000000"/>
                <w:sz w:val="22"/>
                <w:szCs w:val="22"/>
                <w:lang w:val="sk-SK"/>
              </w:rPr>
              <w:t>ľmi zriedkavé:</w:t>
            </w:r>
          </w:p>
        </w:tc>
        <w:tc>
          <w:tcPr>
            <w:tcW w:w="5953" w:type="dxa"/>
          </w:tcPr>
          <w:p w:rsidR="00C80EFB" w:rsidRPr="007912A9" w:rsidRDefault="00C80EFB" w:rsidP="006C0685">
            <w:pPr>
              <w:pStyle w:val="Table"/>
              <w:keepNext w:val="0"/>
              <w:keepLines w:val="0"/>
              <w:spacing w:before="0" w:after="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Parestézie, zhoršenie pamäti, kŕče, úzkosť, tremor, aseptická meningitída, </w:t>
            </w:r>
            <w:r w:rsidRPr="007912A9">
              <w:rPr>
                <w:rFonts w:ascii="Times New Roman" w:hAnsi="Times New Roman"/>
                <w:color w:val="000000"/>
                <w:sz w:val="22"/>
                <w:szCs w:val="22"/>
                <w:lang w:val="sk-SK"/>
              </w:rPr>
              <w:t>dysgeúzia, cerebrovaskulárna príhoda</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oka</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6C0685" w:rsidRDefault="00C80EFB" w:rsidP="006C0685">
            <w:pPr>
              <w:pStyle w:val="Table"/>
              <w:keepNext w:val="0"/>
              <w:keepLines w:val="0"/>
              <w:rPr>
                <w:rFonts w:ascii="Times New Roman" w:hAnsi="Times New Roman"/>
                <w:bCs/>
                <w:color w:val="000000"/>
                <w:sz w:val="22"/>
                <w:szCs w:val="22"/>
                <w:lang w:val="sk-SK"/>
              </w:rPr>
            </w:pPr>
            <w:r w:rsidRPr="006C0685">
              <w:rPr>
                <w:rFonts w:ascii="Times New Roman" w:hAnsi="Times New Roman"/>
                <w:color w:val="000000"/>
                <w:sz w:val="22"/>
                <w:szCs w:val="22"/>
                <w:lang w:val="sk-SK"/>
              </w:rPr>
              <w:t>Zhoršenie zraku, neostré videnie, diplopia</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ucha a labyrintu</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Časté:</w:t>
            </w:r>
          </w:p>
        </w:tc>
        <w:tc>
          <w:tcPr>
            <w:tcW w:w="5953" w:type="dxa"/>
          </w:tcPr>
          <w:p w:rsidR="00C80EFB" w:rsidRPr="006C0685"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Vertigo </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474CB6"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w:t>
            </w:r>
            <w:r w:rsidRPr="00474CB6">
              <w:rPr>
                <w:rFonts w:ascii="Times New Roman" w:hAnsi="Times New Roman"/>
                <w:color w:val="000000"/>
                <w:sz w:val="22"/>
                <w:szCs w:val="22"/>
                <w:lang w:val="sk-SK"/>
              </w:rPr>
              <w:t>iedkavé:</w:t>
            </w:r>
          </w:p>
        </w:tc>
        <w:tc>
          <w:tcPr>
            <w:tcW w:w="5953" w:type="dxa"/>
          </w:tcPr>
          <w:p w:rsidR="00C80EFB" w:rsidRPr="006C0685"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Tinnitus, zhoršenie sluchu</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srdca a srdcovej činnosti</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7912A9"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Menej časté</w:t>
            </w:r>
            <w:r w:rsidRPr="00474CB6">
              <w:rPr>
                <w:rFonts w:ascii="Times New Roman" w:hAnsi="Times New Roman"/>
                <w:color w:val="000000"/>
                <w:sz w:val="22"/>
                <w:szCs w:val="22"/>
                <w:lang w:val="sk-SK"/>
              </w:rPr>
              <w:t>*</w:t>
            </w:r>
            <w:r w:rsidRPr="007912A9">
              <w:rPr>
                <w:rFonts w:ascii="Times New Roman" w:hAnsi="Times New Roman"/>
                <w:color w:val="000000"/>
                <w:sz w:val="22"/>
                <w:szCs w:val="22"/>
                <w:lang w:val="sk-SK"/>
              </w:rPr>
              <w:t>:</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7912A9">
              <w:rPr>
                <w:rFonts w:ascii="Times New Roman" w:hAnsi="Times New Roman"/>
                <w:color w:val="000000"/>
                <w:sz w:val="22"/>
                <w:szCs w:val="22"/>
                <w:lang w:val="sk-SK"/>
              </w:rPr>
              <w:t xml:space="preserve">Infarkt myokardu, srdcové zlyhanie, palpitácie, bolesť na hrudi </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Pr>
                <w:rFonts w:ascii="Times New Roman" w:hAnsi="Times New Roman"/>
                <w:color w:val="000000"/>
                <w:sz w:val="22"/>
                <w:szCs w:val="22"/>
                <w:lang w:val="sk-SK"/>
              </w:rPr>
              <w:t>Neznáme:</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A804A2">
              <w:rPr>
                <w:rFonts w:ascii="Times New Roman" w:hAnsi="Times New Roman"/>
                <w:sz w:val="22"/>
                <w:szCs w:val="22"/>
                <w:lang w:val="sk-SK"/>
              </w:rPr>
              <w:t>Kounisov syndróm</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ciev</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6C0685"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Hypertenzia, vaskulitída</w:t>
            </w:r>
          </w:p>
        </w:tc>
      </w:tr>
      <w:tr w:rsidR="00C80EFB" w:rsidRPr="007912A9">
        <w:trPr>
          <w:cantSplit/>
        </w:trPr>
        <w:tc>
          <w:tcPr>
            <w:tcW w:w="9072" w:type="dxa"/>
            <w:gridSpan w:val="3"/>
          </w:tcPr>
          <w:p w:rsidR="00C80EFB" w:rsidRPr="00D43FE5" w:rsidRDefault="00C80EFB" w:rsidP="00D43FE5">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dýchacej sústavy, hrudníka a mediastína</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6C0685"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Astma (vrátane dyspnoe) </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6C0685"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Pneumonitída</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gastrointestinálneho traktu</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Časté:</w:t>
            </w:r>
          </w:p>
        </w:tc>
        <w:tc>
          <w:tcPr>
            <w:tcW w:w="5953" w:type="dxa"/>
          </w:tcPr>
          <w:p w:rsidR="00C80EFB" w:rsidRPr="007912A9" w:rsidRDefault="00C80EFB" w:rsidP="006C0685">
            <w:pPr>
              <w:ind w:left="0" w:firstLine="0"/>
              <w:rPr>
                <w:color w:val="000000"/>
                <w:szCs w:val="22"/>
              </w:rPr>
            </w:pPr>
            <w:r w:rsidRPr="006C0685">
              <w:rPr>
                <w:color w:val="000000"/>
                <w:szCs w:val="22"/>
              </w:rPr>
              <w:t xml:space="preserve">Nauzea, vracanie, hnačka, dyspepsia, bolesť brucha, flatulencia, </w:t>
            </w:r>
            <w:r w:rsidRPr="007912A9">
              <w:rPr>
                <w:color w:val="000000"/>
                <w:szCs w:val="22"/>
              </w:rPr>
              <w:t>znížená chuť do jedla</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Gastritída, gastrointestinálne krvácanie, hemateméza, krvavá hnačka, meléna, vred žalúdka alebo dvanástnika (s krvácaním alebo perforáciou alebo bez nich)</w:t>
            </w:r>
            <w:r>
              <w:rPr>
                <w:rFonts w:ascii="Times New Roman" w:hAnsi="Times New Roman"/>
                <w:color w:val="000000"/>
                <w:sz w:val="22"/>
                <w:szCs w:val="22"/>
                <w:lang w:val="sk-SK"/>
              </w:rPr>
              <w:t xml:space="preserve">, </w:t>
            </w:r>
            <w:r w:rsidRPr="0022397F">
              <w:rPr>
                <w:rFonts w:ascii="Times New Roman" w:hAnsi="Times New Roman"/>
                <w:sz w:val="22"/>
                <w:szCs w:val="22"/>
                <w:lang w:val="sk-SK"/>
              </w:rPr>
              <w:t>gastrointestin</w:t>
            </w:r>
            <w:r>
              <w:rPr>
                <w:rFonts w:ascii="Times New Roman" w:hAnsi="Times New Roman"/>
                <w:sz w:val="22"/>
                <w:szCs w:val="22"/>
                <w:lang w:val="sk-SK"/>
              </w:rPr>
              <w:t xml:space="preserve">álna </w:t>
            </w:r>
            <w:r w:rsidRPr="0022397F">
              <w:rPr>
                <w:rFonts w:ascii="Times New Roman" w:hAnsi="Times New Roman"/>
                <w:sz w:val="22"/>
                <w:szCs w:val="22"/>
                <w:lang w:val="sk-SK"/>
              </w:rPr>
              <w:t>sten</w:t>
            </w:r>
            <w:r>
              <w:rPr>
                <w:rFonts w:ascii="Times New Roman" w:hAnsi="Times New Roman"/>
                <w:sz w:val="22"/>
                <w:szCs w:val="22"/>
                <w:lang w:val="sk-SK"/>
              </w:rPr>
              <w:t>óza alebo perforácia, ktorá môže viesť k peritonitíde</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Kolitída</w:t>
            </w:r>
            <w:r w:rsidRPr="007912A9">
              <w:rPr>
                <w:rFonts w:ascii="Times New Roman" w:hAnsi="Times New Roman"/>
                <w:color w:val="000000"/>
                <w:sz w:val="22"/>
                <w:szCs w:val="22"/>
                <w:lang w:val="sk-SK"/>
              </w:rPr>
              <w:t xml:space="preserve"> (vrátane hemoragickej kolitídy</w:t>
            </w:r>
            <w:r>
              <w:rPr>
                <w:rFonts w:ascii="Times New Roman" w:hAnsi="Times New Roman"/>
                <w:color w:val="000000"/>
                <w:sz w:val="22"/>
                <w:szCs w:val="22"/>
                <w:lang w:val="sk-SK"/>
              </w:rPr>
              <w:t xml:space="preserve">, </w:t>
            </w:r>
            <w:r>
              <w:rPr>
                <w:rFonts w:ascii="Times New Roman" w:hAnsi="Times New Roman"/>
                <w:sz w:val="22"/>
                <w:szCs w:val="22"/>
                <w:lang w:val="sk-SK"/>
              </w:rPr>
              <w:t>ischemickej kolitídy</w:t>
            </w:r>
            <w:r w:rsidRPr="007912A9">
              <w:rPr>
                <w:rFonts w:ascii="Times New Roman" w:hAnsi="Times New Roman"/>
                <w:color w:val="000000"/>
                <w:sz w:val="22"/>
                <w:szCs w:val="22"/>
                <w:lang w:val="sk-SK"/>
              </w:rPr>
              <w:t xml:space="preserve"> a exacerbácie ulceróznej kolitídy alebo Crohnovej choroby), zápcha, stomatitída (vrátane ulceróznej stomatitídy), glositída, ezofágové poruchy, pablanovité ochorenie čriev, pankreatitída</w:t>
            </w:r>
          </w:p>
        </w:tc>
      </w:tr>
      <w:tr w:rsidR="00C80EFB" w:rsidRPr="007912A9">
        <w:tc>
          <w:tcPr>
            <w:tcW w:w="567" w:type="dxa"/>
          </w:tcPr>
          <w:p w:rsidR="00C80EFB" w:rsidRPr="00D43FE5" w:rsidRDefault="00C80EFB" w:rsidP="00D43FE5">
            <w:pPr>
              <w:pStyle w:val="Table"/>
              <w:keepNext w:val="0"/>
              <w:keepLines w:val="0"/>
              <w:rPr>
                <w:rFonts w:ascii="Times New Roman" w:hAnsi="Times New Roman"/>
                <w:color w:val="000000"/>
                <w:sz w:val="22"/>
                <w:szCs w:val="22"/>
                <w:lang w:val="sk-SK"/>
              </w:rPr>
            </w:pPr>
          </w:p>
        </w:tc>
        <w:tc>
          <w:tcPr>
            <w:tcW w:w="2552" w:type="dxa"/>
          </w:tcPr>
          <w:p w:rsidR="00C80EFB" w:rsidRPr="00474CB6" w:rsidRDefault="00C80EFB" w:rsidP="000519CF">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Neznáme</w:t>
            </w:r>
          </w:p>
        </w:tc>
        <w:tc>
          <w:tcPr>
            <w:tcW w:w="5953" w:type="dxa"/>
          </w:tcPr>
          <w:p w:rsidR="00C80EFB" w:rsidRPr="006C0685" w:rsidRDefault="00C80EFB" w:rsidP="006C0685">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Ischemická kolitída</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bCs/>
                <w:color w:val="000000"/>
                <w:sz w:val="22"/>
                <w:szCs w:val="22"/>
                <w:lang w:val="sk-SK"/>
              </w:rPr>
            </w:pPr>
            <w:r w:rsidRPr="00D43FE5">
              <w:rPr>
                <w:rFonts w:ascii="Times New Roman" w:hAnsi="Times New Roman"/>
                <w:b/>
                <w:bCs/>
                <w:color w:val="000000"/>
                <w:sz w:val="22"/>
                <w:szCs w:val="22"/>
                <w:lang w:val="sk-SK"/>
              </w:rPr>
              <w:t>Poruchy pečene a žlčových ciest</w:t>
            </w:r>
          </w:p>
        </w:tc>
      </w:tr>
      <w:tr w:rsidR="00C80EFB" w:rsidRPr="007912A9">
        <w:tc>
          <w:tcPr>
            <w:tcW w:w="567" w:type="dxa"/>
          </w:tcPr>
          <w:p w:rsidR="00C80EFB" w:rsidRPr="00D43FE5" w:rsidRDefault="00C80EFB" w:rsidP="007912A9">
            <w:pPr>
              <w:pStyle w:val="Table"/>
              <w:keepNext w:val="0"/>
              <w:keepLines w:val="0"/>
              <w:rPr>
                <w:rFonts w:ascii="Times New Roman" w:hAnsi="Times New Roman"/>
                <w:b/>
                <w:bCs/>
                <w:color w:val="000000"/>
                <w:sz w:val="22"/>
                <w:szCs w:val="22"/>
                <w:lang w:val="sk-SK"/>
              </w:rPr>
            </w:pPr>
          </w:p>
        </w:tc>
        <w:tc>
          <w:tcPr>
            <w:tcW w:w="2552" w:type="dxa"/>
          </w:tcPr>
          <w:p w:rsidR="00C80EFB" w:rsidRPr="00474CB6" w:rsidRDefault="00C80EFB" w:rsidP="007912A9">
            <w:pPr>
              <w:pStyle w:val="Table"/>
              <w:keepNext w:val="0"/>
              <w:keepLines w:val="0"/>
              <w:rPr>
                <w:rFonts w:ascii="Times New Roman" w:hAnsi="Times New Roman"/>
                <w:bCs/>
                <w:color w:val="000000"/>
                <w:sz w:val="22"/>
                <w:szCs w:val="22"/>
                <w:lang w:val="sk-SK"/>
              </w:rPr>
            </w:pPr>
            <w:r w:rsidRPr="000519CF">
              <w:rPr>
                <w:rFonts w:ascii="Times New Roman" w:hAnsi="Times New Roman"/>
                <w:color w:val="000000"/>
                <w:sz w:val="22"/>
                <w:szCs w:val="22"/>
                <w:lang w:val="sk-SK"/>
              </w:rPr>
              <w:t>Časté:</w:t>
            </w:r>
          </w:p>
        </w:tc>
        <w:tc>
          <w:tcPr>
            <w:tcW w:w="5953" w:type="dxa"/>
          </w:tcPr>
          <w:p w:rsidR="00C80EFB" w:rsidRPr="006C0685" w:rsidRDefault="00C80EFB" w:rsidP="007912A9">
            <w:pPr>
              <w:ind w:left="0" w:firstLine="0"/>
              <w:rPr>
                <w:color w:val="000000"/>
                <w:szCs w:val="22"/>
              </w:rPr>
            </w:pPr>
            <w:r w:rsidRPr="006C0685">
              <w:rPr>
                <w:color w:val="000000"/>
                <w:szCs w:val="22"/>
              </w:rPr>
              <w:t xml:space="preserve">Zvýšenie hodnôt aminotransferáz </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7912A9"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Hepatitída, žltačka, porucha funkcie </w:t>
            </w:r>
            <w:r w:rsidRPr="007912A9">
              <w:rPr>
                <w:rFonts w:ascii="Times New Roman" w:hAnsi="Times New Roman"/>
                <w:color w:val="000000"/>
                <w:sz w:val="22"/>
                <w:szCs w:val="22"/>
                <w:lang w:val="sk-SK"/>
              </w:rPr>
              <w:t>pečene</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Fulminantná </w:t>
            </w:r>
            <w:r w:rsidRPr="007912A9">
              <w:rPr>
                <w:rFonts w:ascii="Times New Roman" w:hAnsi="Times New Roman"/>
                <w:color w:val="000000"/>
                <w:sz w:val="22"/>
                <w:szCs w:val="22"/>
                <w:lang w:val="sk-SK"/>
              </w:rPr>
              <w:t>hepatitída, nekróza pečene, zlyhanie pečene</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t>Poruchy kože a podkožného tkaniva</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Časté:</w:t>
            </w:r>
          </w:p>
        </w:tc>
        <w:tc>
          <w:tcPr>
            <w:tcW w:w="5953" w:type="dxa"/>
          </w:tcPr>
          <w:p w:rsidR="00C80EFB" w:rsidRPr="006C0685"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Exantém</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Pr>
          <w:p w:rsidR="00C80EFB" w:rsidRPr="006C0685"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 xml:space="preserve">Urtikária </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D43FE5">
            <w:pPr>
              <w:pStyle w:val="Table"/>
              <w:keepNext w:val="0"/>
              <w:keepLines w:val="0"/>
              <w:rPr>
                <w:rFonts w:ascii="Times New Roman" w:hAnsi="Times New Roman"/>
                <w:color w:val="000000"/>
                <w:sz w:val="22"/>
                <w:szCs w:val="22"/>
                <w:lang w:val="sk-SK"/>
              </w:rPr>
            </w:pPr>
            <w:r w:rsidRPr="007912A9">
              <w:rPr>
                <w:rFonts w:ascii="Times New Roman" w:hAnsi="Times New Roman"/>
                <w:color w:val="000000"/>
                <w:sz w:val="22"/>
                <w:szCs w:val="22"/>
                <w:lang w:val="sk-SK"/>
              </w:rPr>
              <w:t>Bulózna dermatitída, ekzém, erytém, multiformný erytém, Stevensov-Johnsonov syndróm, toxická epidermálna nekrolýza (Lyellov syndróm), exfoliatívna dermatitída, alopécia, reakcie z fotosenzitivity, purpura, Henochova-Scho</w:t>
            </w:r>
            <w:r>
              <w:rPr>
                <w:rFonts w:ascii="Times New Roman" w:hAnsi="Times New Roman"/>
                <w:color w:val="000000"/>
                <w:sz w:val="22"/>
                <w:szCs w:val="22"/>
                <w:lang w:val="sk-SK"/>
              </w:rPr>
              <w:t>e</w:t>
            </w:r>
            <w:r w:rsidRPr="007912A9">
              <w:rPr>
                <w:rFonts w:ascii="Times New Roman" w:hAnsi="Times New Roman"/>
                <w:color w:val="000000"/>
                <w:sz w:val="22"/>
                <w:szCs w:val="22"/>
                <w:lang w:val="sk-SK"/>
              </w:rPr>
              <w:t>nleinova purpura, pruritus</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bCs/>
                <w:color w:val="000000"/>
                <w:sz w:val="22"/>
                <w:szCs w:val="22"/>
                <w:lang w:val="sk-SK"/>
              </w:rPr>
            </w:pPr>
            <w:r w:rsidRPr="00D43FE5">
              <w:rPr>
                <w:rFonts w:ascii="Times New Roman" w:hAnsi="Times New Roman"/>
                <w:b/>
                <w:bCs/>
                <w:color w:val="000000"/>
                <w:sz w:val="22"/>
                <w:szCs w:val="22"/>
                <w:lang w:val="sk-SK"/>
              </w:rPr>
              <w:t>Poruchy obličiek a močových ciest</w:t>
            </w:r>
          </w:p>
        </w:tc>
      </w:tr>
      <w:tr w:rsidR="00C80EFB" w:rsidRPr="007912A9">
        <w:tc>
          <w:tcPr>
            <w:tcW w:w="567" w:type="dxa"/>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Veľmi zriedkavé:</w:t>
            </w:r>
          </w:p>
        </w:tc>
        <w:tc>
          <w:tcPr>
            <w:tcW w:w="5953" w:type="dxa"/>
          </w:tcPr>
          <w:p w:rsidR="00C80EFB" w:rsidRPr="007912A9" w:rsidRDefault="00C80EFB" w:rsidP="00D43FE5">
            <w:pPr>
              <w:pStyle w:val="Table"/>
              <w:keepNext w:val="0"/>
              <w:keepLines w:val="0"/>
              <w:rPr>
                <w:rFonts w:ascii="Times New Roman" w:hAnsi="Times New Roman"/>
                <w:color w:val="000000"/>
                <w:sz w:val="22"/>
                <w:szCs w:val="22"/>
                <w:lang w:val="sk-SK"/>
              </w:rPr>
            </w:pPr>
            <w:r w:rsidRPr="007912A9">
              <w:rPr>
                <w:rFonts w:ascii="Times New Roman" w:hAnsi="Times New Roman"/>
                <w:color w:val="000000"/>
                <w:sz w:val="22"/>
                <w:szCs w:val="22"/>
                <w:lang w:val="sk-SK"/>
              </w:rPr>
              <w:t xml:space="preserve">Akútne </w:t>
            </w:r>
            <w:r>
              <w:rPr>
                <w:rFonts w:ascii="Times New Roman" w:hAnsi="Times New Roman"/>
                <w:color w:val="000000"/>
                <w:sz w:val="22"/>
                <w:szCs w:val="22"/>
                <w:lang w:val="sk-SK"/>
              </w:rPr>
              <w:t xml:space="preserve">poškodenie obličiek (akútne </w:t>
            </w:r>
            <w:r w:rsidRPr="007912A9">
              <w:rPr>
                <w:rFonts w:ascii="Times New Roman" w:hAnsi="Times New Roman"/>
                <w:color w:val="000000"/>
                <w:sz w:val="22"/>
                <w:szCs w:val="22"/>
                <w:lang w:val="sk-SK"/>
              </w:rPr>
              <w:t>zlyhanie obličiek</w:t>
            </w:r>
            <w:r>
              <w:rPr>
                <w:rFonts w:ascii="Times New Roman" w:hAnsi="Times New Roman"/>
                <w:color w:val="000000"/>
                <w:sz w:val="22"/>
                <w:szCs w:val="22"/>
                <w:lang w:val="sk-SK"/>
              </w:rPr>
              <w:t>)</w:t>
            </w:r>
            <w:r w:rsidRPr="007912A9">
              <w:rPr>
                <w:rFonts w:ascii="Times New Roman" w:hAnsi="Times New Roman"/>
                <w:color w:val="000000"/>
                <w:sz w:val="22"/>
                <w:szCs w:val="22"/>
                <w:lang w:val="sk-SK"/>
              </w:rPr>
              <w:t xml:space="preserve">, </w:t>
            </w:r>
            <w:r w:rsidRPr="007912A9">
              <w:rPr>
                <w:rFonts w:ascii="Times New Roman" w:hAnsi="Times New Roman"/>
                <w:color w:val="000000"/>
                <w:sz w:val="22"/>
                <w:szCs w:val="22"/>
                <w:lang w:val="sk-SK"/>
              </w:rPr>
              <w:lastRenderedPageBreak/>
              <w:t>hematúria, proteinúria, nefrotický syndróm, tubulointersticiálna nefritída, nekróza obličkovej papily</w:t>
            </w:r>
          </w:p>
        </w:tc>
      </w:tr>
      <w:tr w:rsidR="00C80EFB" w:rsidRPr="007912A9">
        <w:trPr>
          <w:cantSplit/>
        </w:trPr>
        <w:tc>
          <w:tcPr>
            <w:tcW w:w="9072" w:type="dxa"/>
            <w:gridSpan w:val="3"/>
          </w:tcPr>
          <w:p w:rsidR="00C80EFB" w:rsidRPr="00D43FE5" w:rsidRDefault="00C80EFB" w:rsidP="007912A9">
            <w:pPr>
              <w:pStyle w:val="Table"/>
              <w:keepNext w:val="0"/>
              <w:keepLines w:val="0"/>
              <w:rPr>
                <w:rFonts w:ascii="Times New Roman" w:hAnsi="Times New Roman"/>
                <w:b/>
                <w:color w:val="000000"/>
                <w:sz w:val="22"/>
                <w:szCs w:val="22"/>
                <w:lang w:val="sk-SK"/>
              </w:rPr>
            </w:pPr>
            <w:r w:rsidRPr="00D43FE5">
              <w:rPr>
                <w:rFonts w:ascii="Times New Roman" w:hAnsi="Times New Roman"/>
                <w:b/>
                <w:bCs/>
                <w:color w:val="000000"/>
                <w:sz w:val="22"/>
                <w:szCs w:val="22"/>
                <w:lang w:val="sk-SK"/>
              </w:rPr>
              <w:lastRenderedPageBreak/>
              <w:t>Celkové poruchy a reakcie v mieste podania</w:t>
            </w:r>
          </w:p>
        </w:tc>
      </w:tr>
      <w:tr w:rsidR="00C80EFB" w:rsidRPr="007912A9">
        <w:tc>
          <w:tcPr>
            <w:tcW w:w="567" w:type="dxa"/>
            <w:tcBorders>
              <w:bottom w:val="single" w:sz="4" w:space="0" w:color="auto"/>
            </w:tcBorders>
          </w:tcPr>
          <w:p w:rsidR="00C80EFB" w:rsidRPr="00D43FE5" w:rsidRDefault="00C80EFB" w:rsidP="007912A9">
            <w:pPr>
              <w:pStyle w:val="Table"/>
              <w:keepNext w:val="0"/>
              <w:keepLines w:val="0"/>
              <w:rPr>
                <w:rFonts w:ascii="Times New Roman" w:hAnsi="Times New Roman"/>
                <w:color w:val="000000"/>
                <w:sz w:val="22"/>
                <w:szCs w:val="22"/>
                <w:lang w:val="sk-SK"/>
              </w:rPr>
            </w:pPr>
          </w:p>
        </w:tc>
        <w:tc>
          <w:tcPr>
            <w:tcW w:w="2552" w:type="dxa"/>
            <w:tcBorders>
              <w:bottom w:val="single" w:sz="4" w:space="0" w:color="auto"/>
            </w:tcBorders>
          </w:tcPr>
          <w:p w:rsidR="00C80EFB" w:rsidRPr="000519CF" w:rsidRDefault="00C80EFB" w:rsidP="007912A9">
            <w:pPr>
              <w:pStyle w:val="Table"/>
              <w:keepNext w:val="0"/>
              <w:keepLines w:val="0"/>
              <w:rPr>
                <w:rFonts w:ascii="Times New Roman" w:hAnsi="Times New Roman"/>
                <w:color w:val="000000"/>
                <w:sz w:val="22"/>
                <w:szCs w:val="22"/>
                <w:lang w:val="sk-SK"/>
              </w:rPr>
            </w:pPr>
            <w:r w:rsidRPr="000519CF">
              <w:rPr>
                <w:rFonts w:ascii="Times New Roman" w:hAnsi="Times New Roman"/>
                <w:color w:val="000000"/>
                <w:sz w:val="22"/>
                <w:szCs w:val="22"/>
                <w:lang w:val="sk-SK"/>
              </w:rPr>
              <w:t>Zriedkavé:</w:t>
            </w:r>
          </w:p>
        </w:tc>
        <w:tc>
          <w:tcPr>
            <w:tcW w:w="5953" w:type="dxa"/>
            <w:tcBorders>
              <w:bottom w:val="single" w:sz="4" w:space="0" w:color="auto"/>
            </w:tcBorders>
          </w:tcPr>
          <w:p w:rsidR="00C80EFB" w:rsidRPr="007912A9" w:rsidRDefault="00C80EFB" w:rsidP="007912A9">
            <w:pPr>
              <w:pStyle w:val="Table"/>
              <w:keepNext w:val="0"/>
              <w:keepLines w:val="0"/>
              <w:rPr>
                <w:rFonts w:ascii="Times New Roman" w:hAnsi="Times New Roman"/>
                <w:color w:val="000000"/>
                <w:sz w:val="22"/>
                <w:szCs w:val="22"/>
                <w:lang w:val="sk-SK"/>
              </w:rPr>
            </w:pPr>
            <w:r w:rsidRPr="006C0685">
              <w:rPr>
                <w:rFonts w:ascii="Times New Roman" w:hAnsi="Times New Roman"/>
                <w:color w:val="000000"/>
                <w:sz w:val="22"/>
                <w:szCs w:val="22"/>
                <w:lang w:val="sk-SK"/>
              </w:rPr>
              <w:t>Edé</w:t>
            </w:r>
            <w:r w:rsidRPr="007912A9">
              <w:rPr>
                <w:rFonts w:ascii="Times New Roman" w:hAnsi="Times New Roman"/>
                <w:color w:val="000000"/>
                <w:sz w:val="22"/>
                <w:szCs w:val="22"/>
                <w:lang w:val="sk-SK"/>
              </w:rPr>
              <w:t>m</w:t>
            </w:r>
          </w:p>
        </w:tc>
      </w:tr>
    </w:tbl>
    <w:p w:rsidR="00C80EFB" w:rsidRPr="007912A9" w:rsidRDefault="00C80EFB" w:rsidP="00D43FE5">
      <w:pPr>
        <w:ind w:left="0" w:firstLine="0"/>
        <w:rPr>
          <w:bCs/>
          <w:color w:val="000000"/>
          <w:szCs w:val="22"/>
        </w:rPr>
      </w:pPr>
      <w:r w:rsidRPr="007912A9">
        <w:rPr>
          <w:bCs/>
          <w:color w:val="000000"/>
          <w:szCs w:val="22"/>
        </w:rPr>
        <w:t>* frekvencia na základe údajov z dlhodobej liečby pri vysokých dávkach (150 mg/denne).</w:t>
      </w:r>
    </w:p>
    <w:p w:rsidR="00C80EFB" w:rsidRPr="00D43FE5" w:rsidRDefault="00C80EFB" w:rsidP="00D43FE5">
      <w:pPr>
        <w:ind w:left="0" w:firstLine="0"/>
        <w:rPr>
          <w:bCs/>
          <w:color w:val="000000"/>
          <w:szCs w:val="22"/>
        </w:rPr>
      </w:pPr>
    </w:p>
    <w:p w:rsidR="00C80EFB" w:rsidRPr="0066143A" w:rsidRDefault="00C80EFB" w:rsidP="00E66243">
      <w:pPr>
        <w:ind w:left="0" w:firstLine="0"/>
        <w:rPr>
          <w:b/>
          <w:bCs/>
          <w:szCs w:val="22"/>
        </w:rPr>
      </w:pPr>
      <w:r w:rsidRPr="0066143A">
        <w:rPr>
          <w:b/>
          <w:bCs/>
          <w:szCs w:val="22"/>
        </w:rPr>
        <w:t>Popis vybraných nežiaducich reak</w:t>
      </w:r>
      <w:r>
        <w:rPr>
          <w:b/>
          <w:bCs/>
          <w:szCs w:val="22"/>
        </w:rPr>
        <w:t>c</w:t>
      </w:r>
      <w:r w:rsidRPr="0066143A">
        <w:rPr>
          <w:b/>
          <w:bCs/>
          <w:szCs w:val="22"/>
        </w:rPr>
        <w:t>ií na liek</w:t>
      </w:r>
    </w:p>
    <w:p w:rsidR="00C80EFB" w:rsidRPr="0066143A" w:rsidRDefault="00C80EFB" w:rsidP="00E66243">
      <w:pPr>
        <w:ind w:left="0" w:firstLine="0"/>
        <w:rPr>
          <w:bCs/>
          <w:szCs w:val="22"/>
          <w:u w:val="single"/>
        </w:rPr>
      </w:pPr>
      <w:r w:rsidRPr="0066143A">
        <w:rPr>
          <w:bCs/>
          <w:szCs w:val="22"/>
          <w:u w:val="single"/>
        </w:rPr>
        <w:t xml:space="preserve">Arteriálne trombotické príhody </w:t>
      </w:r>
    </w:p>
    <w:p w:rsidR="00C80EFB" w:rsidRPr="006C0685" w:rsidRDefault="00C80EFB" w:rsidP="000519CF">
      <w:pPr>
        <w:ind w:left="0" w:firstLine="0"/>
        <w:rPr>
          <w:bCs/>
          <w:color w:val="000000"/>
          <w:szCs w:val="22"/>
        </w:rPr>
      </w:pPr>
      <w:r w:rsidRPr="000519CF">
        <w:rPr>
          <w:bCs/>
          <w:color w:val="000000"/>
          <w:szCs w:val="22"/>
        </w:rPr>
        <w:t>Klin</w:t>
      </w:r>
      <w:r w:rsidRPr="00474CB6">
        <w:rPr>
          <w:bCs/>
          <w:color w:val="000000"/>
          <w:szCs w:val="22"/>
        </w:rPr>
        <w:t>ické štúdie a epidemiologické údaje stále poukazujú na zvýšené riziko arteriálnych trombotických príhod (napríklad infarkt myokardu alebo mozgovocievna príhoda) spojených s použitím diklofenaku, najmä vo vysokej dávke (150 mg denne) a pri dlhodobej liečbe</w:t>
      </w:r>
      <w:r w:rsidRPr="006C0685">
        <w:rPr>
          <w:bCs/>
          <w:color w:val="000000"/>
          <w:szCs w:val="22"/>
        </w:rPr>
        <w:t xml:space="preserve"> (pozri časti </w:t>
      </w:r>
      <w:smartTag w:uri="urn:schemas-microsoft-com:office:smarttags" w:element="metricconverter">
        <w:smartTagPr>
          <w:attr w:name="ProductID" w:val="4.3 a"/>
        </w:smartTagPr>
        <w:r w:rsidRPr="006C0685">
          <w:rPr>
            <w:bCs/>
            <w:color w:val="000000"/>
            <w:szCs w:val="22"/>
          </w:rPr>
          <w:t>4.3 a</w:t>
        </w:r>
      </w:smartTag>
      <w:r w:rsidRPr="006C0685">
        <w:rPr>
          <w:bCs/>
          <w:color w:val="000000"/>
          <w:szCs w:val="22"/>
        </w:rPr>
        <w:t xml:space="preserve"> 4.4).</w:t>
      </w:r>
    </w:p>
    <w:p w:rsidR="00C80EFB" w:rsidRDefault="00C80EFB" w:rsidP="006C0685">
      <w:pPr>
        <w:rPr>
          <w:color w:val="000000"/>
          <w:szCs w:val="22"/>
        </w:rPr>
      </w:pPr>
    </w:p>
    <w:p w:rsidR="00C80EFB" w:rsidRPr="0066143A" w:rsidRDefault="00C80EFB" w:rsidP="00E66243">
      <w:pPr>
        <w:ind w:left="0" w:firstLine="0"/>
        <w:rPr>
          <w:bCs/>
          <w:szCs w:val="22"/>
          <w:u w:val="single"/>
        </w:rPr>
      </w:pPr>
      <w:r>
        <w:rPr>
          <w:bCs/>
          <w:szCs w:val="22"/>
          <w:u w:val="single"/>
        </w:rPr>
        <w:t>Účinky na zrak</w:t>
      </w:r>
    </w:p>
    <w:p w:rsidR="00C80EFB" w:rsidRDefault="00C80EFB" w:rsidP="00E66243">
      <w:pPr>
        <w:ind w:left="0" w:firstLine="0"/>
        <w:rPr>
          <w:bCs/>
          <w:szCs w:val="22"/>
        </w:rPr>
      </w:pPr>
      <w:r>
        <w:rPr>
          <w:bCs/>
          <w:szCs w:val="22"/>
        </w:rPr>
        <w:t>Poruchy zraku, ako zhoršenie zraku, neostré videnie alebo diplopia sa vyskytujú ako účinok triedy NSAID a po ukončení liečby sú zvyčajne reverzibilné. Pravdepodobným mechanizmom účinku je inhibícia syntézy prostaglandínov a ďalších príbuzných zložiek, ktoré ovplyvňujú reguláciu prúdenia krvi v sietnici, čo môže mať za následok zmeny videnia.</w:t>
      </w:r>
      <w:r w:rsidRPr="0066143A">
        <w:rPr>
          <w:bCs/>
          <w:szCs w:val="22"/>
        </w:rPr>
        <w:t xml:space="preserve"> </w:t>
      </w:r>
      <w:r>
        <w:rPr>
          <w:bCs/>
          <w:szCs w:val="22"/>
        </w:rPr>
        <w:t>Ak sa takéto príznaky vyskytnú počas liečby diklofenakom, môže byť potrebné očné vyšetrenie, aby sa vylúčili iné príčiny.</w:t>
      </w:r>
    </w:p>
    <w:p w:rsidR="00C80EFB" w:rsidRPr="006C0685" w:rsidRDefault="00C80EFB" w:rsidP="006C0685">
      <w:pPr>
        <w:rPr>
          <w:color w:val="000000"/>
          <w:szCs w:val="22"/>
        </w:rPr>
      </w:pPr>
    </w:p>
    <w:p w:rsidR="00C80EFB" w:rsidRPr="007912A9" w:rsidRDefault="00C80EFB" w:rsidP="007912A9">
      <w:pPr>
        <w:autoSpaceDE w:val="0"/>
        <w:autoSpaceDN w:val="0"/>
        <w:adjustRightInd w:val="0"/>
        <w:rPr>
          <w:color w:val="000000"/>
          <w:szCs w:val="22"/>
          <w:u w:val="single"/>
        </w:rPr>
      </w:pPr>
      <w:r w:rsidRPr="007912A9">
        <w:rPr>
          <w:noProof/>
          <w:color w:val="000000"/>
          <w:szCs w:val="22"/>
          <w:u w:val="single"/>
        </w:rPr>
        <w:t>Hlásenie podozrení na nežiaduce reakcie</w:t>
      </w:r>
    </w:p>
    <w:p w:rsidR="00C80EFB" w:rsidRPr="007912A9" w:rsidRDefault="00C80EFB" w:rsidP="007912A9">
      <w:pPr>
        <w:autoSpaceDE w:val="0"/>
        <w:autoSpaceDN w:val="0"/>
        <w:adjustRightInd w:val="0"/>
        <w:rPr>
          <w:noProof/>
          <w:color w:val="000000"/>
          <w:szCs w:val="22"/>
        </w:rPr>
      </w:pPr>
      <w:r w:rsidRPr="007912A9">
        <w:rPr>
          <w:noProof/>
          <w:color w:val="000000"/>
          <w:szCs w:val="22"/>
        </w:rPr>
        <w:t>Hlásenie podozrení na nežiaduce reakcie po registrácii lieku je dôležité.</w:t>
      </w:r>
      <w:r w:rsidRPr="007912A9">
        <w:rPr>
          <w:color w:val="000000"/>
          <w:szCs w:val="22"/>
        </w:rPr>
        <w:t xml:space="preserve"> </w:t>
      </w:r>
      <w:r w:rsidRPr="007912A9">
        <w:rPr>
          <w:noProof/>
          <w:color w:val="000000"/>
          <w:szCs w:val="22"/>
        </w:rPr>
        <w:t xml:space="preserve">Umožňuje priebežné </w:t>
      </w:r>
    </w:p>
    <w:p w:rsidR="00C80EFB" w:rsidRPr="007912A9" w:rsidRDefault="00C80EFB" w:rsidP="007912A9">
      <w:pPr>
        <w:autoSpaceDE w:val="0"/>
        <w:autoSpaceDN w:val="0"/>
        <w:adjustRightInd w:val="0"/>
        <w:rPr>
          <w:noProof/>
          <w:color w:val="000000"/>
          <w:szCs w:val="22"/>
        </w:rPr>
      </w:pPr>
      <w:r w:rsidRPr="007912A9">
        <w:rPr>
          <w:noProof/>
          <w:color w:val="000000"/>
          <w:szCs w:val="22"/>
        </w:rPr>
        <w:t>monitorovanie pomeru prínosu</w:t>
      </w:r>
      <w:r w:rsidRPr="007912A9">
        <w:rPr>
          <w:color w:val="000000"/>
          <w:szCs w:val="22"/>
        </w:rPr>
        <w:t xml:space="preserve"> a</w:t>
      </w:r>
      <w:r w:rsidRPr="007912A9">
        <w:rPr>
          <w:noProof/>
          <w:color w:val="000000"/>
          <w:szCs w:val="22"/>
        </w:rPr>
        <w:t> rizika lieku.</w:t>
      </w:r>
      <w:r w:rsidRPr="007912A9">
        <w:rPr>
          <w:color w:val="000000"/>
          <w:szCs w:val="22"/>
        </w:rPr>
        <w:t xml:space="preserve"> Od </w:t>
      </w:r>
      <w:r w:rsidRPr="007912A9">
        <w:rPr>
          <w:noProof/>
          <w:color w:val="000000"/>
          <w:szCs w:val="22"/>
        </w:rPr>
        <w:t xml:space="preserve">zdravotníckych pracovníkov sa vyžaduje, aby hlásili </w:t>
      </w:r>
    </w:p>
    <w:p w:rsidR="00C80EFB" w:rsidRPr="00D43FE5" w:rsidRDefault="00C80EFB" w:rsidP="007912A9">
      <w:pPr>
        <w:autoSpaceDE w:val="0"/>
        <w:autoSpaceDN w:val="0"/>
        <w:adjustRightInd w:val="0"/>
        <w:rPr>
          <w:noProof/>
          <w:color w:val="000000"/>
          <w:szCs w:val="22"/>
        </w:rPr>
      </w:pPr>
      <w:r w:rsidRPr="007912A9">
        <w:rPr>
          <w:noProof/>
          <w:color w:val="000000"/>
          <w:szCs w:val="22"/>
        </w:rPr>
        <w:t xml:space="preserve">akékoľvek podozrenia na nežiaduce reakcie </w:t>
      </w:r>
      <w:r>
        <w:rPr>
          <w:noProof/>
          <w:color w:val="000000"/>
          <w:szCs w:val="22"/>
        </w:rPr>
        <w:t>na</w:t>
      </w:r>
      <w:r w:rsidRPr="007912A9">
        <w:rPr>
          <w:noProof/>
          <w:color w:val="000000"/>
          <w:szCs w:val="22"/>
        </w:rPr>
        <w:t xml:space="preserve"> </w:t>
      </w:r>
      <w:r w:rsidRPr="007912A9">
        <w:rPr>
          <w:noProof/>
          <w:color w:val="000000"/>
          <w:szCs w:val="22"/>
          <w:highlight w:val="lightGray"/>
        </w:rPr>
        <w:t xml:space="preserve">národné </w:t>
      </w:r>
      <w:r>
        <w:rPr>
          <w:noProof/>
          <w:color w:val="000000"/>
          <w:szCs w:val="22"/>
          <w:highlight w:val="lightGray"/>
        </w:rPr>
        <w:t>centrum</w:t>
      </w:r>
      <w:r w:rsidRPr="007912A9">
        <w:rPr>
          <w:noProof/>
          <w:color w:val="000000"/>
          <w:szCs w:val="22"/>
          <w:highlight w:val="lightGray"/>
        </w:rPr>
        <w:t xml:space="preserve"> hlásenia uvedené v </w:t>
      </w:r>
      <w:hyperlink r:id="rId8" w:history="1">
        <w:r w:rsidRPr="00D43FE5">
          <w:rPr>
            <w:rStyle w:val="Hypertextovprepojenie"/>
            <w:noProof/>
            <w:color w:val="000000"/>
            <w:szCs w:val="22"/>
            <w:highlight w:val="lightGray"/>
          </w:rPr>
          <w:t>P</w:t>
        </w:r>
        <w:r w:rsidRPr="00D43FE5">
          <w:rPr>
            <w:rStyle w:val="Hypertextovprepojenie"/>
            <w:color w:val="000000"/>
            <w:szCs w:val="22"/>
            <w:highlight w:val="lightGray"/>
          </w:rPr>
          <w:t>rílohe</w:t>
        </w:r>
        <w:r w:rsidRPr="007912A9">
          <w:rPr>
            <w:noProof/>
            <w:color w:val="000000"/>
            <w:szCs w:val="22"/>
            <w:highlight w:val="lightGray"/>
          </w:rPr>
          <w:t> </w:t>
        </w:r>
        <w:r w:rsidRPr="00D43FE5">
          <w:rPr>
            <w:rStyle w:val="Hypertextovprepojenie"/>
            <w:noProof/>
            <w:color w:val="000000"/>
            <w:szCs w:val="22"/>
            <w:highlight w:val="lightGray"/>
          </w:rPr>
          <w:t>V</w:t>
        </w:r>
      </w:hyperlink>
      <w:r w:rsidRPr="00D43FE5">
        <w:rPr>
          <w:noProof/>
          <w:color w:val="000000"/>
          <w:szCs w:val="22"/>
        </w:rPr>
        <w:t>.</w:t>
      </w:r>
    </w:p>
    <w:p w:rsidR="00C80EFB" w:rsidRPr="000519CF" w:rsidRDefault="00C80EFB" w:rsidP="007912A9">
      <w:pPr>
        <w:rPr>
          <w:color w:val="000000"/>
          <w:szCs w:val="22"/>
        </w:rPr>
      </w:pPr>
    </w:p>
    <w:p w:rsidR="00C80EFB" w:rsidRPr="006C0685" w:rsidRDefault="00C80EFB" w:rsidP="007912A9">
      <w:pPr>
        <w:rPr>
          <w:color w:val="000000"/>
          <w:szCs w:val="22"/>
        </w:rPr>
      </w:pPr>
      <w:r w:rsidRPr="006C0685">
        <w:rPr>
          <w:b/>
          <w:color w:val="000000"/>
          <w:szCs w:val="22"/>
        </w:rPr>
        <w:t>4.9</w:t>
      </w:r>
      <w:r w:rsidRPr="006C0685">
        <w:rPr>
          <w:b/>
          <w:color w:val="000000"/>
          <w:szCs w:val="22"/>
        </w:rPr>
        <w:tab/>
        <w:t>Predávkovanie</w:t>
      </w:r>
    </w:p>
    <w:p w:rsidR="00C80EFB" w:rsidRPr="007912A9" w:rsidRDefault="00C80EFB" w:rsidP="007912A9">
      <w:pPr>
        <w:rPr>
          <w:color w:val="000000"/>
          <w:szCs w:val="22"/>
        </w:rPr>
      </w:pPr>
    </w:p>
    <w:p w:rsidR="00C80EFB" w:rsidRPr="007912A9" w:rsidRDefault="00C80EFB" w:rsidP="007912A9">
      <w:pPr>
        <w:ind w:left="0" w:firstLine="0"/>
        <w:rPr>
          <w:bCs/>
          <w:i/>
          <w:iCs/>
          <w:color w:val="000000"/>
          <w:szCs w:val="22"/>
        </w:rPr>
      </w:pPr>
      <w:r w:rsidRPr="007912A9">
        <w:rPr>
          <w:bCs/>
          <w:i/>
          <w:iCs/>
          <w:color w:val="000000"/>
          <w:szCs w:val="22"/>
        </w:rPr>
        <w:t>Symptómy</w:t>
      </w:r>
    </w:p>
    <w:p w:rsidR="00C80EFB" w:rsidRPr="007912A9" w:rsidRDefault="00C80EFB" w:rsidP="007912A9">
      <w:pPr>
        <w:ind w:left="0" w:firstLine="0"/>
        <w:rPr>
          <w:color w:val="000000"/>
          <w:szCs w:val="22"/>
        </w:rPr>
      </w:pPr>
      <w:r w:rsidRPr="007912A9">
        <w:rPr>
          <w:color w:val="000000"/>
          <w:szCs w:val="22"/>
        </w:rPr>
        <w:t xml:space="preserve">Predávkovanie diklofenakom nevyvoláva typický klinický obraz. Predávkovanie môže vyvolať symptómy ako vracanie, gastrointestinálne krvácanie, hnačka, závraty, tinnitus alebo kŕče. Pri závažnej otrave je možné akútne zlyhanie obličiek a poškodenie pečene. </w:t>
      </w:r>
    </w:p>
    <w:p w:rsidR="00C80EFB" w:rsidRPr="007912A9" w:rsidRDefault="00C80EFB" w:rsidP="007912A9">
      <w:pPr>
        <w:ind w:left="0" w:firstLine="0"/>
        <w:rPr>
          <w:color w:val="000000"/>
          <w:szCs w:val="22"/>
        </w:rPr>
      </w:pPr>
    </w:p>
    <w:p w:rsidR="00C80EFB" w:rsidRPr="007912A9" w:rsidRDefault="00C80EFB" w:rsidP="007912A9">
      <w:pPr>
        <w:ind w:left="0" w:firstLine="0"/>
        <w:rPr>
          <w:bCs/>
          <w:i/>
          <w:iCs/>
          <w:color w:val="000000"/>
          <w:szCs w:val="22"/>
        </w:rPr>
      </w:pPr>
      <w:r w:rsidRPr="007912A9">
        <w:rPr>
          <w:bCs/>
          <w:i/>
          <w:iCs/>
          <w:color w:val="000000"/>
          <w:szCs w:val="22"/>
        </w:rPr>
        <w:t>Terapeutické opatrenia</w:t>
      </w:r>
    </w:p>
    <w:p w:rsidR="00C80EFB" w:rsidRPr="007912A9" w:rsidRDefault="00C80EFB" w:rsidP="007912A9">
      <w:pPr>
        <w:ind w:left="0" w:firstLine="0"/>
        <w:rPr>
          <w:color w:val="000000"/>
          <w:szCs w:val="22"/>
        </w:rPr>
      </w:pPr>
      <w:r w:rsidRPr="007912A9">
        <w:rPr>
          <w:color w:val="000000"/>
          <w:szCs w:val="22"/>
        </w:rPr>
        <w:t>Liečba akútnej otravy NSAID, vrátane diklofenaku, pozostáva predovšetkým z podporných opatrení a symptomatickej liečby. Podporné opatrenia a symptomatická liečba sú indikované pri komplikáciách ako hypotenzia, zlyhanie obličiek, kŕče, gastrointestinálne poruchy a útlm dýchania.</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Mimoriadne opatrenia ako nútená diuréza, dialýza alebo hemoperfúzia pravdepodobne nepomáhajú pri eliminácii NSAID, vrátane diklofenaku, vzhľadom na ich vysoký podiel viazaný na bielkoviny a rozsiahly metabolizmus.</w:t>
      </w:r>
    </w:p>
    <w:p w:rsidR="00C80EFB" w:rsidRPr="007912A9" w:rsidRDefault="00C80EFB" w:rsidP="007912A9">
      <w:pPr>
        <w:rPr>
          <w:color w:val="000000"/>
          <w:szCs w:val="22"/>
        </w:rPr>
      </w:pPr>
    </w:p>
    <w:p w:rsidR="00C80EFB" w:rsidRPr="007912A9" w:rsidRDefault="00C80EFB" w:rsidP="007912A9">
      <w:pPr>
        <w:ind w:left="0" w:firstLine="0"/>
        <w:rPr>
          <w:color w:val="000000"/>
          <w:szCs w:val="22"/>
        </w:rPr>
      </w:pPr>
      <w:r w:rsidRPr="007912A9">
        <w:rPr>
          <w:color w:val="000000"/>
          <w:szCs w:val="22"/>
        </w:rPr>
        <w:t>Podanie aktívneho uhlia možno uvážiť po požití potenciálne toxickej vysokej dávky a dekontamináciu žalúdka (napr. vyvolanie vracania, výplach žalúdka) po požití vysokej dávky potenciálne ohrozujúcej život.</w:t>
      </w:r>
    </w:p>
    <w:p w:rsidR="00C80EFB" w:rsidRPr="007912A9" w:rsidRDefault="00C80EFB" w:rsidP="007912A9">
      <w:pPr>
        <w:rPr>
          <w:color w:val="000000"/>
          <w:szCs w:val="22"/>
        </w:rPr>
      </w:pP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5.</w:t>
      </w:r>
      <w:r w:rsidRPr="007912A9">
        <w:rPr>
          <w:b/>
          <w:color w:val="000000"/>
          <w:szCs w:val="22"/>
        </w:rPr>
        <w:tab/>
        <w:t>FARMAKOLOGICKÉ VLASTNOSTI</w:t>
      </w:r>
    </w:p>
    <w:p w:rsidR="00C80EFB" w:rsidRPr="007912A9" w:rsidRDefault="00C80EFB" w:rsidP="007912A9">
      <w:pPr>
        <w:rPr>
          <w:bCs/>
          <w:color w:val="000000"/>
          <w:szCs w:val="22"/>
        </w:rPr>
      </w:pPr>
    </w:p>
    <w:p w:rsidR="00C80EFB" w:rsidRPr="007912A9" w:rsidRDefault="00C80EFB" w:rsidP="007912A9">
      <w:pPr>
        <w:rPr>
          <w:b/>
          <w:color w:val="000000"/>
          <w:szCs w:val="22"/>
        </w:rPr>
      </w:pPr>
      <w:r w:rsidRPr="007912A9">
        <w:rPr>
          <w:b/>
          <w:color w:val="000000"/>
          <w:szCs w:val="22"/>
        </w:rPr>
        <w:t>5.1</w:t>
      </w:r>
      <w:r w:rsidRPr="007912A9">
        <w:rPr>
          <w:b/>
          <w:color w:val="000000"/>
          <w:szCs w:val="22"/>
        </w:rPr>
        <w:tab/>
        <w:t>Farmakodynamické vlastnosti</w:t>
      </w:r>
    </w:p>
    <w:p w:rsidR="00C80EFB" w:rsidRPr="007912A9" w:rsidRDefault="00C80EFB" w:rsidP="007912A9">
      <w:pPr>
        <w:pStyle w:val="Zkladntext"/>
        <w:rPr>
          <w:color w:val="000000"/>
          <w:szCs w:val="22"/>
        </w:rPr>
      </w:pPr>
    </w:p>
    <w:p w:rsidR="00C80EFB" w:rsidRPr="007912A9" w:rsidRDefault="00C80EFB" w:rsidP="007912A9">
      <w:pPr>
        <w:pStyle w:val="Zkladntext"/>
        <w:rPr>
          <w:color w:val="000000"/>
          <w:szCs w:val="22"/>
        </w:rPr>
      </w:pPr>
      <w:r w:rsidRPr="007912A9">
        <w:rPr>
          <w:color w:val="000000"/>
          <w:szCs w:val="22"/>
        </w:rPr>
        <w:t>Farmakoterapeutická skupina: antiflogistiká a antireumatiká, nesteroidové, deriváty kyseliny octovej a príbuzné látky, ATC kód: M01AB05</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Mechanizmus účinku</w:t>
      </w:r>
    </w:p>
    <w:p w:rsidR="00C80EFB" w:rsidRPr="007912A9" w:rsidRDefault="00C80EFB" w:rsidP="007912A9">
      <w:pPr>
        <w:ind w:left="0" w:firstLine="0"/>
        <w:rPr>
          <w:color w:val="000000"/>
          <w:szCs w:val="22"/>
        </w:rPr>
      </w:pPr>
      <w:r w:rsidRPr="007912A9">
        <w:rPr>
          <w:color w:val="000000"/>
          <w:szCs w:val="22"/>
        </w:rPr>
        <w:t xml:space="preserve">Voltaren obsahuje sodnú soľ diklofenaku, nesteroidovú zlúčeninu s výraznými antireumatickými, antiflogistickými, analgetickými a antipyretickými vlastnosťami. Experimentálne dokázaná inhibícia </w:t>
      </w:r>
      <w:r w:rsidRPr="007912A9">
        <w:rPr>
          <w:color w:val="000000"/>
          <w:szCs w:val="22"/>
        </w:rPr>
        <w:lastRenderedPageBreak/>
        <w:t xml:space="preserve">biosyntézy prostaglandínov sa považuje za základnú zložku jeho mechanizmu účinku. Prostaglandíny zohrávajú dôležitú úlohu pri patogenéze zápalu, bolesti a horúčky.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Sodná soľ diklofenaku </w:t>
      </w:r>
      <w:r w:rsidRPr="007912A9">
        <w:rPr>
          <w:i/>
          <w:color w:val="000000"/>
          <w:szCs w:val="22"/>
        </w:rPr>
        <w:t>in vitro</w:t>
      </w:r>
      <w:r w:rsidRPr="007912A9">
        <w:rPr>
          <w:color w:val="000000"/>
          <w:szCs w:val="22"/>
        </w:rPr>
        <w:t xml:space="preserve"> nepotláča biosyntézu proteoglykánov v chrupavke v koncentráciách, ktoré sa dosahujú v ľudskom organizme.</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Farmakodynamické účinky</w:t>
      </w:r>
    </w:p>
    <w:p w:rsidR="00C80EFB" w:rsidRPr="007912A9" w:rsidRDefault="00C80EFB" w:rsidP="007912A9">
      <w:pPr>
        <w:ind w:left="0" w:firstLine="0"/>
        <w:rPr>
          <w:color w:val="000000"/>
          <w:szCs w:val="22"/>
        </w:rPr>
      </w:pPr>
      <w:r w:rsidRPr="007912A9">
        <w:rPr>
          <w:color w:val="000000"/>
          <w:szCs w:val="22"/>
        </w:rPr>
        <w:t>Pri reumatických ochoreniach vyvolávajú protizápalové a analgetické vlastnosti diklofenaku klinickú odpoveď, pre ktorú je charakteristické výrazné zmiernenie príznakov a prejavov, ako je bolesť v kľude a bolesť pri pohybe, ranná stuhnutosť a opuch kĺbov, ako aj zlepšenie funkcie.</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Pri poúrazových a pooperačných zápalových stavoch Voltaren rýchlo zmierňuje bolesť v kľude aj bolesť pri pohybe a zmenšuje zápalový opuch a edém rany.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V klinických skúšaniach sa tiež zistilo, že Voltaren má výrazný analgetický účinok pri stredne silnej a silnej bolesti iného ako reumatického pôvodu. Klinické skúšania tiež ukázali, že Voltaren zmierňuje bolesť a zmenšuje rozsah krvácania pri primárnej dysmenorei. </w:t>
      </w:r>
    </w:p>
    <w:p w:rsidR="00C80EFB" w:rsidRPr="007912A9" w:rsidRDefault="00C80EFB" w:rsidP="007912A9">
      <w:pPr>
        <w:ind w:left="0" w:firstLine="0"/>
        <w:rPr>
          <w:color w:val="000000"/>
          <w:szCs w:val="22"/>
        </w:rPr>
      </w:pPr>
    </w:p>
    <w:p w:rsidR="00C80EFB" w:rsidRPr="007912A9" w:rsidRDefault="00C80EFB" w:rsidP="007912A9">
      <w:pPr>
        <w:pStyle w:val="Default"/>
        <w:rPr>
          <w:iCs/>
          <w:sz w:val="22"/>
          <w:szCs w:val="22"/>
          <w:lang w:val="sk-SK"/>
        </w:rPr>
      </w:pPr>
      <w:r w:rsidRPr="007912A9">
        <w:rPr>
          <w:iCs/>
          <w:sz w:val="22"/>
          <w:szCs w:val="22"/>
          <w:lang w:val="sk-SK"/>
        </w:rPr>
        <w:t xml:space="preserve">Z klinických štúdií sú k dispozícii obmedzené skúsenosti s použitím diklofenaku v liečbe </w:t>
      </w:r>
      <w:r w:rsidRPr="007912A9">
        <w:rPr>
          <w:sz w:val="22"/>
          <w:szCs w:val="22"/>
          <w:lang w:val="sk-SK"/>
        </w:rPr>
        <w:t>juvenilnej reumatoidnej artritídy</w:t>
      </w:r>
      <w:r w:rsidRPr="007912A9">
        <w:rPr>
          <w:iCs/>
          <w:sz w:val="22"/>
          <w:szCs w:val="22"/>
          <w:lang w:val="sk-SK"/>
        </w:rPr>
        <w:t>/</w:t>
      </w:r>
      <w:r w:rsidRPr="007912A9">
        <w:rPr>
          <w:sz w:val="22"/>
          <w:szCs w:val="22"/>
          <w:lang w:val="sk-SK"/>
        </w:rPr>
        <w:t>juvenilnej idiopatickej artritídy u pediatrických pacientov. U</w:t>
      </w:r>
      <w:r w:rsidRPr="007912A9">
        <w:rPr>
          <w:iCs/>
          <w:sz w:val="22"/>
          <w:szCs w:val="22"/>
          <w:lang w:val="sk-SK"/>
        </w:rPr>
        <w:t xml:space="preserve"> detí s </w:t>
      </w:r>
      <w:r w:rsidRPr="007912A9">
        <w:rPr>
          <w:sz w:val="22"/>
          <w:szCs w:val="22"/>
          <w:lang w:val="sk-SK"/>
        </w:rPr>
        <w:t>juvenilnou reumatoidnou artritídou</w:t>
      </w:r>
      <w:r w:rsidRPr="007912A9">
        <w:rPr>
          <w:iCs/>
          <w:sz w:val="22"/>
          <w:szCs w:val="22"/>
          <w:lang w:val="sk-SK"/>
        </w:rPr>
        <w:t>/</w:t>
      </w:r>
      <w:r w:rsidRPr="007912A9">
        <w:rPr>
          <w:sz w:val="22"/>
          <w:szCs w:val="22"/>
          <w:lang w:val="sk-SK"/>
        </w:rPr>
        <w:t>juvenilnou idiopatickou artritídou</w:t>
      </w:r>
      <w:r w:rsidRPr="007912A9">
        <w:rPr>
          <w:iCs/>
          <w:sz w:val="22"/>
          <w:szCs w:val="22"/>
          <w:lang w:val="sk-SK"/>
        </w:rPr>
        <w:t xml:space="preserve"> vo veku 3-15 rokov sa účinnosť a bezpečnosť použitia diklofenaku v dennej dávke 2-3 mg/kg telesnej hmotnosti porovnávala v randomizovanej, dvojito zaslepenej, dvojtýždňovej paralelnej štúdii oproti kyseline acetylsalicylovej (denná dávka 50-100 mg/kg telesnej hmotnosti) a placebu, s 15 pacientmi v každej skupine. V celkovom vyhodnotení sa preukázalo štatisticky významné zlepšenie (p &lt; 0,05) u 11 z 15 pacientov liečených diklofenakom, u 6 z 12 pacientov liečených kyselinou acetylsalicylovou a u 4 z 15 pacientov užívajúcich placebo. </w:t>
      </w:r>
      <w:bookmarkStart w:id="5" w:name="OLE_LINK1"/>
      <w:bookmarkStart w:id="6" w:name="OLE_LINK2"/>
      <w:r w:rsidRPr="007912A9">
        <w:rPr>
          <w:iCs/>
          <w:sz w:val="22"/>
          <w:szCs w:val="22"/>
          <w:lang w:val="sk-SK"/>
        </w:rPr>
        <w:t xml:space="preserve">Počet citlivých kĺbov </w:t>
      </w:r>
      <w:bookmarkEnd w:id="5"/>
      <w:bookmarkEnd w:id="6"/>
      <w:r w:rsidRPr="007912A9">
        <w:rPr>
          <w:iCs/>
          <w:sz w:val="22"/>
          <w:szCs w:val="22"/>
          <w:lang w:val="sk-SK"/>
        </w:rPr>
        <w:t xml:space="preserve">sa pri liečbe diklofenakom a kyselinou acetylsalicylovou znížil, zatiaľ čo pri placebe došlo k jeho zvýšeniu. V ďalšej randomizovanej, dvojito zaslepenej, šesťtýždňovej paralelnej štúdii u detí s </w:t>
      </w:r>
      <w:r w:rsidRPr="007912A9">
        <w:rPr>
          <w:sz w:val="22"/>
          <w:szCs w:val="22"/>
          <w:lang w:val="sk-SK"/>
        </w:rPr>
        <w:t>juvenilnou reumatoidnou artritídou</w:t>
      </w:r>
      <w:r w:rsidRPr="007912A9">
        <w:rPr>
          <w:iCs/>
          <w:sz w:val="22"/>
          <w:szCs w:val="22"/>
          <w:lang w:val="sk-SK"/>
        </w:rPr>
        <w:t>/</w:t>
      </w:r>
      <w:r w:rsidRPr="007912A9">
        <w:rPr>
          <w:sz w:val="22"/>
          <w:szCs w:val="22"/>
          <w:lang w:val="sk-SK"/>
        </w:rPr>
        <w:t>juvenilnou idiopatickou artritídou</w:t>
      </w:r>
      <w:r w:rsidRPr="007912A9">
        <w:rPr>
          <w:iCs/>
          <w:sz w:val="22"/>
          <w:szCs w:val="22"/>
          <w:lang w:val="sk-SK"/>
        </w:rPr>
        <w:t xml:space="preserve"> vo veku 4-15 rokov bola účinnosť diklofenaku (denná dávka 2-3 mg/kg telesnej hmotnosti, n=22) porovnateľná s indometacínom (denná dávka 2-3 mg/kg telesnej hmotnosti, n=23). </w:t>
      </w:r>
    </w:p>
    <w:p w:rsidR="00C80EFB" w:rsidRPr="007912A9" w:rsidRDefault="00C80EFB" w:rsidP="007912A9">
      <w:pPr>
        <w:ind w:left="0" w:firstLine="0"/>
        <w:rPr>
          <w:color w:val="000000"/>
          <w:szCs w:val="22"/>
        </w:rPr>
      </w:pPr>
    </w:p>
    <w:p w:rsidR="00C80EFB" w:rsidRPr="007912A9" w:rsidRDefault="00C80EFB" w:rsidP="007912A9">
      <w:pPr>
        <w:rPr>
          <w:color w:val="000000"/>
          <w:szCs w:val="22"/>
        </w:rPr>
      </w:pPr>
      <w:r w:rsidRPr="007912A9">
        <w:rPr>
          <w:b/>
          <w:color w:val="000000"/>
          <w:szCs w:val="22"/>
        </w:rPr>
        <w:t>5.2</w:t>
      </w:r>
      <w:r w:rsidRPr="007912A9">
        <w:rPr>
          <w:b/>
          <w:color w:val="000000"/>
          <w:szCs w:val="22"/>
        </w:rPr>
        <w:tab/>
        <w:t>Farmakokinetické vlastnosti</w:t>
      </w:r>
    </w:p>
    <w:p w:rsidR="00C80EFB" w:rsidRPr="007912A9" w:rsidRDefault="00C80EFB" w:rsidP="007912A9">
      <w:pPr>
        <w:pStyle w:val="Nadpis3"/>
        <w:spacing w:before="0" w:after="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Absorpcia</w:t>
      </w:r>
    </w:p>
    <w:p w:rsidR="00C80EFB" w:rsidRPr="007912A9" w:rsidRDefault="00C80EFB" w:rsidP="007912A9">
      <w:pPr>
        <w:pStyle w:val="Zkladntext"/>
        <w:rPr>
          <w:color w:val="000000"/>
          <w:szCs w:val="22"/>
        </w:rPr>
      </w:pPr>
      <w:r w:rsidRPr="007912A9">
        <w:rPr>
          <w:color w:val="000000"/>
          <w:szCs w:val="22"/>
        </w:rPr>
        <w:t xml:space="preserve">Diklofenak sa úplne absorbuje z gastrorezistentných tabliet po ich prechode cez žalúdok. Hoci je absorpcia rýchla, gastrorezistentná obalová vrstva tabliet môže oddialiť jej nástup. </w:t>
      </w:r>
    </w:p>
    <w:p w:rsidR="00C80EFB" w:rsidRPr="007912A9" w:rsidRDefault="00C80EFB" w:rsidP="007912A9">
      <w:pPr>
        <w:pStyle w:val="Zkladntext"/>
        <w:rPr>
          <w:color w:val="000000"/>
          <w:szCs w:val="22"/>
        </w:rPr>
      </w:pPr>
    </w:p>
    <w:p w:rsidR="00C80EFB" w:rsidRPr="00D43FE5" w:rsidRDefault="00C80EFB" w:rsidP="007912A9">
      <w:pPr>
        <w:pStyle w:val="Zkladntext"/>
        <w:rPr>
          <w:color w:val="000000"/>
          <w:szCs w:val="22"/>
        </w:rPr>
      </w:pPr>
      <w:r w:rsidRPr="007912A9">
        <w:rPr>
          <w:color w:val="000000"/>
          <w:szCs w:val="22"/>
        </w:rPr>
        <w:t xml:space="preserve">Priemerné maximálne koncentrácie v plazme 1,5 </w:t>
      </w:r>
      <w:r w:rsidRPr="00D43FE5">
        <w:rPr>
          <w:color w:val="000000"/>
          <w:szCs w:val="22"/>
        </w:rPr>
        <w:sym w:font="Symbol" w:char="F06D"/>
      </w:r>
      <w:r w:rsidRPr="00D43FE5">
        <w:rPr>
          <w:color w:val="000000"/>
          <w:szCs w:val="22"/>
        </w:rPr>
        <w:t xml:space="preserve">g/ml (5 </w:t>
      </w:r>
      <w:r w:rsidRPr="00D43FE5">
        <w:rPr>
          <w:color w:val="000000"/>
          <w:szCs w:val="22"/>
        </w:rPr>
        <w:sym w:font="Symbol" w:char="F06D"/>
      </w:r>
      <w:r w:rsidRPr="00D43FE5">
        <w:rPr>
          <w:color w:val="000000"/>
          <w:szCs w:val="22"/>
        </w:rPr>
        <w:t xml:space="preserve">mol/l) sa dosiahnu v priemere 2 hodiny po požití jednej 50 mg tablety. Absorbované množstvo je lineárne úmerné veľkosti dávky. </w:t>
      </w:r>
    </w:p>
    <w:p w:rsidR="00C80EFB" w:rsidRPr="000519CF" w:rsidRDefault="00C80EFB" w:rsidP="007912A9">
      <w:pPr>
        <w:pStyle w:val="Zkladntext"/>
        <w:rPr>
          <w:color w:val="000000"/>
          <w:szCs w:val="22"/>
        </w:rPr>
      </w:pPr>
    </w:p>
    <w:p w:rsidR="00C80EFB" w:rsidRPr="007912A9" w:rsidRDefault="00C80EFB" w:rsidP="007912A9">
      <w:pPr>
        <w:pStyle w:val="Zkladntext"/>
        <w:rPr>
          <w:color w:val="000000"/>
          <w:szCs w:val="22"/>
        </w:rPr>
      </w:pPr>
      <w:r w:rsidRPr="006C0685">
        <w:rPr>
          <w:color w:val="000000"/>
          <w:szCs w:val="22"/>
        </w:rPr>
        <w:t xml:space="preserve">Prechod tablety cez žalúdok je pomalší, keď sa tableta požije pri alebo po jedle, ako keď sa užije pred jedlom, množstvo </w:t>
      </w:r>
      <w:r w:rsidRPr="007912A9">
        <w:rPr>
          <w:color w:val="000000"/>
          <w:szCs w:val="22"/>
        </w:rPr>
        <w:t xml:space="preserve">absorbovaného diklofenaku však zostáva rovnaké. </w:t>
      </w:r>
    </w:p>
    <w:p w:rsidR="00C80EFB" w:rsidRPr="007912A9" w:rsidRDefault="00C80EFB" w:rsidP="007912A9">
      <w:pPr>
        <w:pStyle w:val="Zkladntext"/>
        <w:rPr>
          <w:color w:val="000000"/>
          <w:szCs w:val="22"/>
        </w:rPr>
      </w:pPr>
    </w:p>
    <w:p w:rsidR="00C80EFB" w:rsidRPr="007912A9" w:rsidRDefault="00C80EFB" w:rsidP="007912A9">
      <w:pPr>
        <w:pStyle w:val="Zkladntext"/>
        <w:rPr>
          <w:color w:val="000000"/>
          <w:szCs w:val="22"/>
        </w:rPr>
      </w:pPr>
      <w:r w:rsidRPr="007912A9">
        <w:rPr>
          <w:color w:val="000000"/>
          <w:szCs w:val="22"/>
        </w:rPr>
        <w:t xml:space="preserve">Pretože asi polovica diklofenaku sa metabolizuje počas prvého prechodu pečeňou, plocha pod krivkou koncentrácie (AUC) po perorálnom alebo rektálnom podaní je asi polovičná ako po ekvivalentnej parenterálnej dávke. </w:t>
      </w:r>
    </w:p>
    <w:p w:rsidR="00C80EFB" w:rsidRPr="007912A9" w:rsidRDefault="00C80EFB" w:rsidP="007912A9">
      <w:pPr>
        <w:pStyle w:val="Zkladntext"/>
        <w:rPr>
          <w:color w:val="000000"/>
          <w:szCs w:val="22"/>
        </w:rPr>
      </w:pPr>
    </w:p>
    <w:p w:rsidR="00C80EFB" w:rsidRPr="007912A9" w:rsidRDefault="00C80EFB" w:rsidP="007912A9">
      <w:pPr>
        <w:ind w:left="0" w:firstLine="0"/>
        <w:rPr>
          <w:i/>
          <w:color w:val="000000"/>
          <w:szCs w:val="22"/>
        </w:rPr>
      </w:pPr>
      <w:r w:rsidRPr="007912A9">
        <w:rPr>
          <w:color w:val="000000"/>
          <w:szCs w:val="22"/>
        </w:rPr>
        <w:t xml:space="preserve">Farmakokinetika sa nemení po opakovanom podávaní. K akumulácii liečiva nedochádza, ak sa dodržujú odporúčané intervaly medzi dávkami. </w:t>
      </w:r>
    </w:p>
    <w:p w:rsidR="00C80EFB" w:rsidRPr="007912A9" w:rsidRDefault="00C80EFB" w:rsidP="007912A9">
      <w:pPr>
        <w:rPr>
          <w:color w:val="000000"/>
          <w:szCs w:val="22"/>
        </w:rPr>
      </w:pPr>
    </w:p>
    <w:p w:rsidR="00C80EFB" w:rsidRPr="007912A9" w:rsidRDefault="00C80EFB" w:rsidP="007912A9">
      <w:pPr>
        <w:ind w:left="0" w:firstLine="0"/>
        <w:rPr>
          <w:i/>
          <w:color w:val="000000"/>
          <w:szCs w:val="22"/>
        </w:rPr>
      </w:pPr>
      <w:r w:rsidRPr="007912A9">
        <w:rPr>
          <w:color w:val="000000"/>
          <w:szCs w:val="22"/>
        </w:rPr>
        <w:t xml:space="preserve">Plazmatické koncentrácie, ktoré sa dosahujú u detí po podaní ekvivalentných dávok (mg/kg telesnej hmotnosti), sú podobné ako u dospelých. </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Distribúcia</w:t>
      </w:r>
    </w:p>
    <w:p w:rsidR="00C80EFB" w:rsidRPr="007912A9" w:rsidRDefault="00C80EFB" w:rsidP="007912A9">
      <w:pPr>
        <w:ind w:left="0" w:firstLine="0"/>
        <w:rPr>
          <w:color w:val="000000"/>
          <w:szCs w:val="22"/>
        </w:rPr>
      </w:pPr>
      <w:r w:rsidRPr="007912A9">
        <w:rPr>
          <w:color w:val="000000"/>
          <w:szCs w:val="22"/>
        </w:rPr>
        <w:t>99,7 % diklofenaku sa viaže na sérové bielkoviny, hlavne na albumín (99,4 %). Vypočítaný zdanlivý distribučný objem je 0,12 až 0,17 l/kg.</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Diklofenak preniká do synoviálnej tekutiny, kde sa maximálne koncentrácie namerajú 2 až 4 hodiny po dosiahnutí maximálnych hladín v plazme. Zdanlivý polčas eliminácie zo synoviálnej tekutiny je 3 až 6 hodín. Dve hodiny po dosiahnutí maximálnych hladín v plazme sú koncentrácie liečiva už vyššie v synoviálnej tekutine ako v plazme a zostávajú vyššie až 12 hodín. </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rPr>
          <w:color w:val="000000"/>
          <w:szCs w:val="22"/>
        </w:rPr>
      </w:pPr>
      <w:r w:rsidRPr="007912A9">
        <w:rPr>
          <w:color w:val="000000"/>
          <w:szCs w:val="22"/>
        </w:rPr>
        <w:t xml:space="preserve">Nízke hladiny diklofenaku (100 ng/ml) sa zaznamenali v materskom mlieku jednej dojčiacej matky. </w:t>
      </w:r>
    </w:p>
    <w:p w:rsidR="00C80EFB" w:rsidRPr="007912A9" w:rsidRDefault="00C80EFB" w:rsidP="007912A9">
      <w:pPr>
        <w:rPr>
          <w:color w:val="000000"/>
          <w:szCs w:val="22"/>
        </w:rPr>
      </w:pPr>
      <w:r w:rsidRPr="007912A9">
        <w:rPr>
          <w:color w:val="000000"/>
          <w:szCs w:val="22"/>
        </w:rPr>
        <w:t>Odhadovaná dávka užitá dojčiacim dieťaťom predstavuje dávku 0,03 mg/kg/deň.</w:t>
      </w:r>
    </w:p>
    <w:p w:rsidR="00C80EFB" w:rsidRPr="007912A9" w:rsidRDefault="00C80EFB" w:rsidP="007912A9">
      <w:pPr>
        <w:rPr>
          <w:color w:val="000000"/>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Biotransformácia</w:t>
      </w:r>
    </w:p>
    <w:p w:rsidR="00C80EFB" w:rsidRPr="007912A9" w:rsidRDefault="00C80EFB" w:rsidP="007912A9">
      <w:pPr>
        <w:ind w:left="0" w:firstLine="0"/>
        <w:rPr>
          <w:color w:val="000000"/>
          <w:szCs w:val="22"/>
        </w:rPr>
      </w:pPr>
      <w:r w:rsidRPr="007912A9">
        <w:rPr>
          <w:color w:val="000000"/>
          <w:szCs w:val="22"/>
        </w:rPr>
        <w:t xml:space="preserve">Biotransformácia diklofenaku prebieha čiastočne ako glukuronidácia neporušenej molekuly, ale hlavne ako jednorazová a viacnásobná hydroxylácia a metoxylácia, čím vzniká niekoľko fenolických metabolitov (3´-hydroxy-, 4´-hydroxy, 5-hydroxy-, 4´,5-dihydroxy- a 3´-hydroxy-4´-metoxydiklofenak), z ktorých sa väčšina premieňa na glukuronidové konjugáty. Dva z týchto fenolických metabolitov sú biologicky aktívne, ale v oveľa menšej miere ako diklofenak. </w:t>
      </w:r>
    </w:p>
    <w:p w:rsidR="00C80EFB" w:rsidRPr="007912A9" w:rsidRDefault="00C80EFB" w:rsidP="007912A9">
      <w:pPr>
        <w:pStyle w:val="Nadpis3"/>
        <w:spacing w:before="0" w:after="0"/>
        <w:ind w:left="0" w:firstLine="0"/>
        <w:rPr>
          <w:rFonts w:ascii="Times New Roman" w:hAnsi="Times New Roman" w:cs="Times New Roman"/>
          <w:color w:val="000000"/>
          <w:sz w:val="22"/>
          <w:szCs w:val="22"/>
        </w:rPr>
      </w:pPr>
    </w:p>
    <w:p w:rsidR="00C80EFB" w:rsidRPr="007912A9" w:rsidRDefault="00C80EFB" w:rsidP="007912A9">
      <w:pPr>
        <w:pStyle w:val="Nadpis3"/>
        <w:spacing w:before="0" w:after="0"/>
        <w:ind w:left="0" w:firstLine="0"/>
        <w:rPr>
          <w:rFonts w:ascii="Times New Roman" w:hAnsi="Times New Roman" w:cs="Times New Roman"/>
          <w:b w:val="0"/>
          <w:bCs w:val="0"/>
          <w:iCs/>
          <w:color w:val="000000"/>
          <w:sz w:val="22"/>
          <w:szCs w:val="22"/>
          <w:u w:val="single"/>
        </w:rPr>
      </w:pPr>
      <w:r w:rsidRPr="007912A9">
        <w:rPr>
          <w:rFonts w:ascii="Times New Roman" w:hAnsi="Times New Roman" w:cs="Times New Roman"/>
          <w:b w:val="0"/>
          <w:bCs w:val="0"/>
          <w:iCs/>
          <w:color w:val="000000"/>
          <w:sz w:val="22"/>
          <w:szCs w:val="22"/>
          <w:u w:val="single"/>
        </w:rPr>
        <w:t>Eliminácia</w:t>
      </w:r>
    </w:p>
    <w:p w:rsidR="00C80EFB" w:rsidRPr="007912A9" w:rsidRDefault="00C80EFB" w:rsidP="007912A9">
      <w:pPr>
        <w:pStyle w:val="Zkladntext"/>
        <w:rPr>
          <w:color w:val="000000"/>
          <w:szCs w:val="22"/>
        </w:rPr>
      </w:pPr>
      <w:r w:rsidRPr="007912A9">
        <w:rPr>
          <w:color w:val="000000"/>
          <w:szCs w:val="22"/>
        </w:rPr>
        <w:t xml:space="preserve">Celkový systémový klírens diklofenaku z plazmy je 263 </w:t>
      </w:r>
      <w:r w:rsidRPr="00D43FE5">
        <w:rPr>
          <w:color w:val="000000"/>
          <w:szCs w:val="22"/>
        </w:rPr>
        <w:sym w:font="Symbol" w:char="F0B1"/>
      </w:r>
      <w:r w:rsidRPr="00D43FE5">
        <w:rPr>
          <w:color w:val="000000"/>
          <w:szCs w:val="22"/>
        </w:rPr>
        <w:t xml:space="preserve"> 56 ml/min (priemerná hodnota </w:t>
      </w:r>
      <w:r w:rsidRPr="00D43FE5">
        <w:rPr>
          <w:color w:val="000000"/>
          <w:szCs w:val="22"/>
        </w:rPr>
        <w:sym w:font="Symbol" w:char="F0B1"/>
      </w:r>
      <w:r w:rsidRPr="00D43FE5">
        <w:rPr>
          <w:color w:val="000000"/>
          <w:szCs w:val="22"/>
        </w:rPr>
        <w:t xml:space="preserve"> SD). Konečný polčas v plazme je 1 </w:t>
      </w:r>
      <w:r w:rsidRPr="000519CF">
        <w:rPr>
          <w:color w:val="000000"/>
          <w:szCs w:val="22"/>
        </w:rPr>
        <w:t>až</w:t>
      </w:r>
      <w:r w:rsidRPr="00474CB6">
        <w:rPr>
          <w:color w:val="000000"/>
          <w:szCs w:val="22"/>
        </w:rPr>
        <w:t xml:space="preserve"> 2 hodiny. Štyri metabolity, vrátane dvoch </w:t>
      </w:r>
      <w:r w:rsidRPr="006C0685">
        <w:rPr>
          <w:color w:val="000000"/>
          <w:szCs w:val="22"/>
        </w:rPr>
        <w:t>aktívnych, majú tiež kratšie plazmatické polča</w:t>
      </w:r>
      <w:r w:rsidRPr="007912A9">
        <w:rPr>
          <w:color w:val="000000"/>
          <w:szCs w:val="22"/>
        </w:rPr>
        <w:t xml:space="preserve">sy, a to 1 až 3 hodiny. Jeden metabolit, 3´-hydroxy-4´-metoxydiklofenak, má oveľa dlhší plazmatický polčas. Tento metabolit je však prakticky neaktívny.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Približne 60 % podanej dávky sa vylúči močom ako glukuronidový konjugát intaktnej molekuly a ako metabolity, z ktorých väčšina sa tiež premieňa na glukuronidové konjugáty. Menej ako 1 % sa vylúči ako nezmenená látka. Zvyšok dávky sa vylúči ako metabolity cez žlč do stolice. </w:t>
      </w:r>
    </w:p>
    <w:p w:rsidR="00C80EFB" w:rsidRPr="007912A9" w:rsidRDefault="00C80EFB" w:rsidP="007912A9">
      <w:pPr>
        <w:pStyle w:val="Nadpis3"/>
        <w:spacing w:before="0" w:after="0"/>
        <w:ind w:left="0" w:firstLine="0"/>
        <w:rPr>
          <w:rFonts w:ascii="Times New Roman" w:hAnsi="Times New Roman" w:cs="Times New Roman"/>
          <w:color w:val="000000"/>
          <w:sz w:val="22"/>
          <w:szCs w:val="22"/>
          <w:u w:val="single"/>
        </w:rPr>
      </w:pPr>
    </w:p>
    <w:p w:rsidR="00C80EFB" w:rsidRPr="007912A9" w:rsidRDefault="00C80EFB" w:rsidP="007912A9">
      <w:pPr>
        <w:pStyle w:val="Nadpis3"/>
        <w:spacing w:before="0" w:after="0"/>
        <w:ind w:left="0" w:firstLine="0"/>
        <w:rPr>
          <w:rFonts w:ascii="Times New Roman" w:hAnsi="Times New Roman" w:cs="Times New Roman"/>
          <w:b w:val="0"/>
          <w:color w:val="000000"/>
          <w:sz w:val="22"/>
          <w:szCs w:val="22"/>
          <w:u w:val="single"/>
        </w:rPr>
      </w:pPr>
      <w:r w:rsidRPr="007912A9">
        <w:rPr>
          <w:rFonts w:ascii="Times New Roman" w:hAnsi="Times New Roman" w:cs="Times New Roman"/>
          <w:b w:val="0"/>
          <w:color w:val="000000"/>
          <w:sz w:val="22"/>
          <w:szCs w:val="22"/>
          <w:u w:val="single"/>
        </w:rPr>
        <w:t>Linearita/nelinearita</w:t>
      </w:r>
    </w:p>
    <w:p w:rsidR="00C80EFB" w:rsidRPr="007912A9" w:rsidRDefault="00C80EFB" w:rsidP="007912A9">
      <w:pPr>
        <w:rPr>
          <w:color w:val="000000"/>
          <w:szCs w:val="22"/>
        </w:rPr>
      </w:pPr>
      <w:r w:rsidRPr="007912A9">
        <w:rPr>
          <w:color w:val="000000"/>
          <w:szCs w:val="22"/>
        </w:rPr>
        <w:t>Množstvo absorbovaného liečiva je lineárne úmerne podanej dávke.</w:t>
      </w:r>
    </w:p>
    <w:p w:rsidR="00C80EFB" w:rsidRPr="007912A9" w:rsidRDefault="00C80EFB" w:rsidP="007912A9">
      <w:pPr>
        <w:rPr>
          <w:color w:val="000000"/>
          <w:szCs w:val="22"/>
        </w:rPr>
      </w:pPr>
    </w:p>
    <w:p w:rsidR="00C80EFB" w:rsidRPr="007912A9" w:rsidRDefault="00C80EFB" w:rsidP="007912A9">
      <w:pPr>
        <w:pStyle w:val="Nadpis3"/>
        <w:spacing w:before="0" w:after="0"/>
        <w:ind w:left="0" w:firstLine="0"/>
        <w:rPr>
          <w:rFonts w:ascii="Times New Roman" w:hAnsi="Times New Roman" w:cs="Times New Roman"/>
          <w:b w:val="0"/>
          <w:bCs w:val="0"/>
          <w:i/>
          <w:iCs/>
          <w:color w:val="000000"/>
          <w:sz w:val="22"/>
          <w:szCs w:val="22"/>
        </w:rPr>
      </w:pPr>
      <w:r w:rsidRPr="007912A9">
        <w:rPr>
          <w:rFonts w:ascii="Times New Roman" w:hAnsi="Times New Roman" w:cs="Times New Roman"/>
          <w:b w:val="0"/>
          <w:bCs w:val="0"/>
          <w:i/>
          <w:iCs/>
          <w:color w:val="000000"/>
          <w:sz w:val="22"/>
          <w:szCs w:val="22"/>
        </w:rPr>
        <w:t>Charakteristika u osobitných skupín pacientov</w:t>
      </w:r>
    </w:p>
    <w:p w:rsidR="00C80EFB" w:rsidRPr="007912A9" w:rsidRDefault="00C80EFB" w:rsidP="007912A9">
      <w:pPr>
        <w:ind w:left="0" w:firstLine="0"/>
        <w:rPr>
          <w:color w:val="000000"/>
          <w:szCs w:val="22"/>
        </w:rPr>
      </w:pPr>
      <w:r w:rsidRPr="007912A9">
        <w:rPr>
          <w:color w:val="000000"/>
          <w:szCs w:val="22"/>
        </w:rPr>
        <w:t xml:space="preserve">Nepozorovali sa významné rozdiely v absorpcii, metabolizme a vylučovaní závislé od veku.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U pacientov so zhoršenou funkciou obličiek nemožno usudzovať z kinetiky po jednorazovom podaní pri obvyklej dávkovacej schéme na akumuláciu nezmeneného liečiva. Pri klírense kreatinínu nižšom ako 10 ml/min sú vypočítané rovnovážne hladiny hydroxymetabolitov v plazme asi 4-krát vyššie ako u zdravých jedincov. Metabolity sa však napokon vylúčia cez žlč. </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U pacientov s chronickou hepatitídou alebo kompenzovanou cirhózou pečene sú kinetika a metabolizmus diklofenaku rovnaké ako u pacientov bez ochorenia pečene. </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5.3</w:t>
      </w:r>
      <w:r w:rsidRPr="007912A9">
        <w:rPr>
          <w:b/>
          <w:color w:val="000000"/>
          <w:szCs w:val="22"/>
        </w:rPr>
        <w:tab/>
        <w:t>Predklinické údaje o bezpečnosti</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Predklinické údaje získané zo štúdií akútnej a chronickej toxicity, ako aj zo štúdií genotoxicity, mutagenity a karcinogenity diklofenaku nepreukázali pri predpokladaných terapeutických dávkach osobitné riziko pre ľudí. Na základe obvyklých predklinických štúdií u zvierat neboli zistené dôkazy o teratogénnom potenciále u myší, potkanov alebo králikov.</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 xml:space="preserve">Diklofenak nemal vplyv na fertilitu potkanov. S výnimkou minimálnych fetálnych účinkov pri dávkach toxických pre matku neovplyvnil diklofenak prenatálny, perinatálny a postnatálny vývoj ich potomstva. </w:t>
      </w:r>
    </w:p>
    <w:p w:rsidR="00C80EFB" w:rsidRPr="007912A9" w:rsidRDefault="00C80EFB" w:rsidP="007912A9">
      <w:pPr>
        <w:rPr>
          <w:color w:val="000000"/>
          <w:szCs w:val="22"/>
        </w:rPr>
      </w:pPr>
    </w:p>
    <w:p w:rsidR="00C80EFB" w:rsidRPr="007912A9" w:rsidRDefault="00C80EFB" w:rsidP="007912A9">
      <w:pPr>
        <w:pStyle w:val="Text"/>
        <w:spacing w:before="0"/>
        <w:jc w:val="left"/>
        <w:rPr>
          <w:sz w:val="22"/>
          <w:szCs w:val="22"/>
          <w:lang w:val="sk-SK"/>
        </w:rPr>
      </w:pPr>
      <w:r w:rsidRPr="007912A9">
        <w:rPr>
          <w:sz w:val="22"/>
          <w:szCs w:val="22"/>
          <w:lang w:val="sk-SK"/>
        </w:rPr>
        <w:t xml:space="preserve">Podávanie NSAID (vrátane diklofenaku) brzdilo u králikov ovuláciu, u potkanov implantáciu a placentáciu a viedlo k predčasnému uzatvoreniu </w:t>
      </w:r>
      <w:r w:rsidRPr="007912A9">
        <w:rPr>
          <w:i/>
          <w:sz w:val="22"/>
          <w:szCs w:val="22"/>
          <w:lang w:val="sk-SK"/>
        </w:rPr>
        <w:t>ductus arteriosus</w:t>
      </w:r>
      <w:r w:rsidRPr="007912A9">
        <w:rPr>
          <w:sz w:val="22"/>
          <w:szCs w:val="22"/>
          <w:lang w:val="sk-SK"/>
        </w:rPr>
        <w:t xml:space="preserve"> u tehotných potkaních samíc. Dávky toxické pre matku boli u potkanov spájané s dystóciou, predĺženou gestáciou, zníženým prežívaním plodu a retardáciou vnútromaternicového rastu. Mierne účinky diklofenaku na reprodukčné parametre, pôrod a konstrikciu </w:t>
      </w:r>
      <w:r w:rsidRPr="007912A9">
        <w:rPr>
          <w:i/>
          <w:sz w:val="22"/>
          <w:szCs w:val="22"/>
          <w:lang w:val="sk-SK"/>
        </w:rPr>
        <w:t>ductus arteriosus in utero</w:t>
      </w:r>
      <w:r w:rsidRPr="007912A9">
        <w:rPr>
          <w:sz w:val="22"/>
          <w:szCs w:val="22"/>
          <w:lang w:val="sk-SK"/>
        </w:rPr>
        <w:t xml:space="preserve"> sú následkom farmakologických účinkov tejto triedy inhibítorov syntézy prostaglandínov (pozri časť 4.6).</w:t>
      </w:r>
    </w:p>
    <w:p w:rsidR="00C80EFB" w:rsidRPr="007912A9" w:rsidRDefault="00C80EFB" w:rsidP="00D43FE5">
      <w:pPr>
        <w:rPr>
          <w:color w:val="000000"/>
          <w:szCs w:val="22"/>
        </w:rPr>
      </w:pPr>
    </w:p>
    <w:p w:rsidR="00C80EFB" w:rsidRPr="007912A9" w:rsidRDefault="00C80EFB" w:rsidP="000519CF">
      <w:pPr>
        <w:rPr>
          <w:color w:val="000000"/>
          <w:szCs w:val="22"/>
        </w:rPr>
      </w:pPr>
    </w:p>
    <w:p w:rsidR="00C80EFB" w:rsidRPr="007912A9" w:rsidRDefault="00C80EFB" w:rsidP="006C0685">
      <w:pPr>
        <w:rPr>
          <w:b/>
          <w:color w:val="000000"/>
          <w:szCs w:val="22"/>
        </w:rPr>
      </w:pPr>
      <w:r w:rsidRPr="007912A9">
        <w:rPr>
          <w:b/>
          <w:color w:val="000000"/>
          <w:szCs w:val="22"/>
        </w:rPr>
        <w:t>6.</w:t>
      </w:r>
      <w:r w:rsidRPr="007912A9">
        <w:rPr>
          <w:b/>
          <w:color w:val="000000"/>
          <w:szCs w:val="22"/>
        </w:rPr>
        <w:tab/>
        <w:t>FARMACEUTICKÉ INFORMÁCIE</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6.1</w:t>
      </w:r>
      <w:r w:rsidRPr="007912A9">
        <w:rPr>
          <w:b/>
          <w:color w:val="000000"/>
          <w:szCs w:val="22"/>
        </w:rPr>
        <w:tab/>
        <w:t>Zoznam pomocných látok</w:t>
      </w:r>
    </w:p>
    <w:p w:rsidR="00C80EFB" w:rsidRPr="007912A9" w:rsidRDefault="00C80EFB" w:rsidP="007912A9">
      <w:pPr>
        <w:rPr>
          <w:color w:val="000000"/>
          <w:szCs w:val="22"/>
        </w:rPr>
      </w:pPr>
    </w:p>
    <w:p w:rsidR="00C80EFB" w:rsidRPr="007912A9" w:rsidRDefault="00C80EFB" w:rsidP="007912A9">
      <w:pPr>
        <w:pStyle w:val="Zkladntext"/>
        <w:rPr>
          <w:bCs/>
          <w:i/>
          <w:iCs/>
          <w:color w:val="000000"/>
          <w:szCs w:val="22"/>
        </w:rPr>
      </w:pPr>
      <w:r w:rsidRPr="007912A9">
        <w:rPr>
          <w:bCs/>
          <w:i/>
          <w:iCs/>
          <w:color w:val="000000"/>
          <w:szCs w:val="22"/>
        </w:rPr>
        <w:t>Jadro tablety</w:t>
      </w:r>
    </w:p>
    <w:p w:rsidR="00C80EFB" w:rsidRPr="007912A9" w:rsidRDefault="00C80EFB" w:rsidP="007912A9">
      <w:pPr>
        <w:pStyle w:val="Zkladntext"/>
        <w:rPr>
          <w:color w:val="000000"/>
          <w:szCs w:val="22"/>
        </w:rPr>
      </w:pPr>
      <w:r>
        <w:rPr>
          <w:szCs w:val="22"/>
        </w:rPr>
        <w:t xml:space="preserve">Koloidný </w:t>
      </w:r>
      <w:r w:rsidRPr="007912A9">
        <w:rPr>
          <w:szCs w:val="22"/>
        </w:rPr>
        <w:t>oxid kremičitý</w:t>
      </w:r>
      <w:r>
        <w:rPr>
          <w:szCs w:val="22"/>
        </w:rPr>
        <w:t xml:space="preserve"> </w:t>
      </w:r>
      <w:r w:rsidRPr="00051BC6">
        <w:rPr>
          <w:szCs w:val="22"/>
        </w:rPr>
        <w:t>bezvodý</w:t>
      </w:r>
      <w:r w:rsidRPr="007912A9">
        <w:rPr>
          <w:color w:val="000000"/>
          <w:szCs w:val="22"/>
        </w:rPr>
        <w:t xml:space="preserve">, </w:t>
      </w:r>
      <w:r>
        <w:rPr>
          <w:color w:val="000000"/>
          <w:szCs w:val="22"/>
        </w:rPr>
        <w:t xml:space="preserve">monohydrát </w:t>
      </w:r>
      <w:r w:rsidRPr="007912A9">
        <w:rPr>
          <w:color w:val="000000"/>
          <w:szCs w:val="22"/>
        </w:rPr>
        <w:t>laktóz</w:t>
      </w:r>
      <w:r>
        <w:rPr>
          <w:color w:val="000000"/>
          <w:szCs w:val="22"/>
        </w:rPr>
        <w:t>y</w:t>
      </w:r>
      <w:r w:rsidRPr="007912A9">
        <w:rPr>
          <w:color w:val="000000"/>
          <w:szCs w:val="22"/>
        </w:rPr>
        <w:t>, kukuričný škrob, sodná soľ karboxymetylškrobu</w:t>
      </w:r>
      <w:r>
        <w:rPr>
          <w:color w:val="000000"/>
          <w:szCs w:val="22"/>
        </w:rPr>
        <w:t xml:space="preserve"> (typ A)</w:t>
      </w:r>
      <w:r w:rsidRPr="007912A9">
        <w:rPr>
          <w:color w:val="000000"/>
          <w:szCs w:val="22"/>
        </w:rPr>
        <w:t>, povidón</w:t>
      </w:r>
      <w:r>
        <w:rPr>
          <w:color w:val="000000"/>
          <w:szCs w:val="22"/>
        </w:rPr>
        <w:t xml:space="preserve"> K 30</w:t>
      </w:r>
      <w:r w:rsidRPr="007912A9">
        <w:rPr>
          <w:color w:val="000000"/>
          <w:szCs w:val="22"/>
        </w:rPr>
        <w:t xml:space="preserve">, mikrokryštalická celulóza, </w:t>
      </w:r>
      <w:r>
        <w:rPr>
          <w:szCs w:val="22"/>
        </w:rPr>
        <w:t>stearan horečnatý</w:t>
      </w:r>
    </w:p>
    <w:p w:rsidR="00C80EFB" w:rsidRPr="007912A9" w:rsidRDefault="00C80EFB" w:rsidP="007912A9">
      <w:pPr>
        <w:pStyle w:val="Zkladntext"/>
        <w:rPr>
          <w:color w:val="000000"/>
          <w:szCs w:val="22"/>
        </w:rPr>
      </w:pPr>
    </w:p>
    <w:p w:rsidR="00C80EFB" w:rsidRPr="007912A9" w:rsidRDefault="00C80EFB" w:rsidP="007912A9">
      <w:pPr>
        <w:pStyle w:val="Zkladntext"/>
        <w:rPr>
          <w:bCs/>
          <w:i/>
          <w:iCs/>
          <w:color w:val="000000"/>
          <w:szCs w:val="22"/>
        </w:rPr>
      </w:pPr>
      <w:r w:rsidRPr="007912A9">
        <w:rPr>
          <w:bCs/>
          <w:i/>
          <w:iCs/>
          <w:color w:val="000000"/>
          <w:szCs w:val="22"/>
        </w:rPr>
        <w:t>Obal tablety</w:t>
      </w:r>
    </w:p>
    <w:p w:rsidR="00C80EFB" w:rsidRPr="007912A9" w:rsidRDefault="00C80EFB" w:rsidP="007912A9">
      <w:pPr>
        <w:pStyle w:val="Zkladntext"/>
        <w:rPr>
          <w:color w:val="000000"/>
          <w:szCs w:val="22"/>
        </w:rPr>
      </w:pPr>
      <w:r w:rsidRPr="007912A9">
        <w:rPr>
          <w:szCs w:val="22"/>
        </w:rPr>
        <w:t>hypromelóza</w:t>
      </w:r>
      <w:r w:rsidRPr="007912A9">
        <w:rPr>
          <w:color w:val="000000"/>
          <w:szCs w:val="22"/>
        </w:rPr>
        <w:t xml:space="preserve">, žltý oxid železitý (E172), </w:t>
      </w:r>
      <w:r w:rsidRPr="007912A9">
        <w:rPr>
          <w:szCs w:val="22"/>
        </w:rPr>
        <w:t>mastenec</w:t>
      </w:r>
      <w:r w:rsidRPr="007912A9">
        <w:rPr>
          <w:color w:val="000000"/>
          <w:szCs w:val="22"/>
        </w:rPr>
        <w:t>, oxid titaničitý</w:t>
      </w:r>
      <w:r w:rsidRPr="007912A9" w:rsidDel="007B0219">
        <w:rPr>
          <w:color w:val="000000"/>
          <w:szCs w:val="22"/>
        </w:rPr>
        <w:t xml:space="preserve"> </w:t>
      </w:r>
      <w:r w:rsidRPr="007912A9">
        <w:rPr>
          <w:color w:val="000000"/>
          <w:szCs w:val="22"/>
        </w:rPr>
        <w:t xml:space="preserve">(E171), </w:t>
      </w:r>
      <w:r>
        <w:rPr>
          <w:color w:val="000000"/>
          <w:szCs w:val="22"/>
        </w:rPr>
        <w:t>kyselina metakrylová s etylakrylátom 1:1, 30% disperzia kopolyméru</w:t>
      </w:r>
      <w:r w:rsidRPr="007912A9">
        <w:rPr>
          <w:color w:val="000000"/>
          <w:szCs w:val="22"/>
        </w:rPr>
        <w:t xml:space="preserve">, </w:t>
      </w:r>
      <w:r w:rsidRPr="007912A9">
        <w:rPr>
          <w:szCs w:val="22"/>
        </w:rPr>
        <w:t>makrogol 8000</w:t>
      </w:r>
      <w:r>
        <w:rPr>
          <w:szCs w:val="22"/>
        </w:rPr>
        <w:t>/polyetylénglykol 8000</w:t>
      </w:r>
      <w:r w:rsidRPr="007912A9">
        <w:rPr>
          <w:szCs w:val="22"/>
        </w:rPr>
        <w:t>, silikónová emulzia SE 2</w:t>
      </w:r>
      <w:r w:rsidRPr="007912A9">
        <w:rPr>
          <w:color w:val="000000"/>
          <w:szCs w:val="22"/>
        </w:rPr>
        <w:t xml:space="preserve">, </w:t>
      </w:r>
      <w:r w:rsidRPr="007912A9">
        <w:rPr>
          <w:szCs w:val="22"/>
        </w:rPr>
        <w:t>červený oxid železitý</w:t>
      </w:r>
      <w:r w:rsidRPr="007912A9">
        <w:rPr>
          <w:color w:val="000000"/>
          <w:szCs w:val="22"/>
        </w:rPr>
        <w:t xml:space="preserve"> (E172), </w:t>
      </w:r>
      <w:r>
        <w:rPr>
          <w:szCs w:val="22"/>
        </w:rPr>
        <w:t>hydroxystearoylmakrogol-glycerol/polyoxol-40-hydrogénovaný ricínový olej.</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6.2</w:t>
      </w:r>
      <w:r w:rsidRPr="007912A9">
        <w:rPr>
          <w:b/>
          <w:color w:val="000000"/>
          <w:szCs w:val="22"/>
        </w:rPr>
        <w:tab/>
        <w:t>Inkompatibility</w:t>
      </w:r>
    </w:p>
    <w:p w:rsidR="00C80EFB" w:rsidRPr="007912A9" w:rsidRDefault="00C80EFB" w:rsidP="007912A9">
      <w:pPr>
        <w:ind w:left="0" w:firstLine="0"/>
        <w:rPr>
          <w:color w:val="000000"/>
          <w:szCs w:val="22"/>
        </w:rPr>
      </w:pPr>
    </w:p>
    <w:p w:rsidR="00C80EFB" w:rsidRPr="007912A9" w:rsidRDefault="00C80EFB" w:rsidP="007912A9">
      <w:pPr>
        <w:ind w:left="0" w:firstLine="0"/>
        <w:rPr>
          <w:color w:val="000000"/>
          <w:szCs w:val="22"/>
        </w:rPr>
      </w:pPr>
      <w:r w:rsidRPr="007912A9">
        <w:rPr>
          <w:color w:val="000000"/>
          <w:szCs w:val="22"/>
        </w:rPr>
        <w:t>Neaplikovateľné.</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6.3</w:t>
      </w:r>
      <w:r w:rsidRPr="007912A9">
        <w:rPr>
          <w:b/>
          <w:color w:val="000000"/>
          <w:szCs w:val="22"/>
        </w:rPr>
        <w:tab/>
        <w:t>Čas použiteľnosti</w:t>
      </w:r>
    </w:p>
    <w:p w:rsidR="00C80EFB" w:rsidRPr="007912A9" w:rsidRDefault="00C80EFB" w:rsidP="007912A9">
      <w:pPr>
        <w:pStyle w:val="Zkladntext"/>
        <w:rPr>
          <w:color w:val="000000"/>
          <w:szCs w:val="22"/>
        </w:rPr>
      </w:pPr>
    </w:p>
    <w:p w:rsidR="00C80EFB" w:rsidRPr="007912A9" w:rsidRDefault="00C80EFB" w:rsidP="007912A9">
      <w:pPr>
        <w:pStyle w:val="Zkladntext"/>
        <w:rPr>
          <w:color w:val="000000"/>
          <w:szCs w:val="22"/>
        </w:rPr>
      </w:pPr>
      <w:r w:rsidRPr="007912A9">
        <w:rPr>
          <w:color w:val="000000"/>
          <w:szCs w:val="22"/>
        </w:rPr>
        <w:t>3 roky</w:t>
      </w:r>
    </w:p>
    <w:p w:rsidR="00C80EFB" w:rsidRPr="007912A9" w:rsidRDefault="00C80EFB" w:rsidP="007912A9">
      <w:pPr>
        <w:pStyle w:val="Zkladntext"/>
        <w:rPr>
          <w:color w:val="000000"/>
          <w:szCs w:val="22"/>
        </w:rPr>
      </w:pPr>
    </w:p>
    <w:p w:rsidR="00C80EFB" w:rsidRPr="007912A9" w:rsidRDefault="00C80EFB" w:rsidP="007912A9">
      <w:pPr>
        <w:rPr>
          <w:color w:val="000000"/>
          <w:szCs w:val="22"/>
        </w:rPr>
      </w:pPr>
      <w:r w:rsidRPr="007912A9">
        <w:rPr>
          <w:b/>
          <w:color w:val="000000"/>
          <w:szCs w:val="22"/>
        </w:rPr>
        <w:t>6.4</w:t>
      </w:r>
      <w:r w:rsidRPr="007912A9">
        <w:rPr>
          <w:b/>
          <w:color w:val="000000"/>
          <w:szCs w:val="22"/>
        </w:rPr>
        <w:tab/>
        <w:t>Špeciálne upozornenia na uchovávanie</w:t>
      </w:r>
    </w:p>
    <w:p w:rsidR="00C80EFB" w:rsidRPr="007912A9" w:rsidRDefault="00C80EFB" w:rsidP="007912A9">
      <w:pPr>
        <w:rPr>
          <w:color w:val="000000"/>
          <w:szCs w:val="22"/>
        </w:rPr>
      </w:pPr>
    </w:p>
    <w:p w:rsidR="00C80EFB" w:rsidRPr="007912A9" w:rsidRDefault="00C80EFB" w:rsidP="007912A9">
      <w:pPr>
        <w:rPr>
          <w:b/>
          <w:color w:val="000000"/>
          <w:szCs w:val="22"/>
        </w:rPr>
      </w:pPr>
      <w:r w:rsidRPr="007912A9">
        <w:rPr>
          <w:color w:val="000000"/>
          <w:szCs w:val="22"/>
        </w:rPr>
        <w:t xml:space="preserve">Uchovávajte pri teplote do </w:t>
      </w:r>
      <w:smartTag w:uri="urn:schemas-microsoft-com:office:smarttags" w:element="metricconverter">
        <w:smartTagPr>
          <w:attr w:name="ProductID" w:val="30ﾠﾰC"/>
        </w:smartTagPr>
        <w:r w:rsidRPr="007912A9">
          <w:rPr>
            <w:color w:val="000000"/>
            <w:szCs w:val="22"/>
          </w:rPr>
          <w:t>30 °C</w:t>
        </w:r>
      </w:smartTag>
      <w:r w:rsidRPr="007912A9">
        <w:rPr>
          <w:color w:val="000000"/>
          <w:szCs w:val="22"/>
        </w:rPr>
        <w:t>.</w:t>
      </w:r>
    </w:p>
    <w:p w:rsidR="00C80EFB" w:rsidRPr="007912A9" w:rsidRDefault="00C80EFB" w:rsidP="007912A9">
      <w:pPr>
        <w:rPr>
          <w:b/>
          <w:color w:val="000000"/>
          <w:szCs w:val="22"/>
        </w:rPr>
      </w:pPr>
    </w:p>
    <w:p w:rsidR="00C80EFB" w:rsidRPr="007912A9" w:rsidRDefault="00C80EFB" w:rsidP="007912A9">
      <w:pPr>
        <w:rPr>
          <w:color w:val="000000"/>
          <w:szCs w:val="22"/>
        </w:rPr>
      </w:pPr>
      <w:r w:rsidRPr="007912A9">
        <w:rPr>
          <w:b/>
          <w:color w:val="000000"/>
          <w:szCs w:val="22"/>
        </w:rPr>
        <w:t>6.5</w:t>
      </w:r>
      <w:r w:rsidRPr="007912A9">
        <w:rPr>
          <w:b/>
          <w:color w:val="000000"/>
          <w:szCs w:val="22"/>
        </w:rPr>
        <w:tab/>
        <w:t xml:space="preserve">Druh obalu a obsah balenia </w:t>
      </w:r>
    </w:p>
    <w:p w:rsidR="00C80EFB" w:rsidRPr="007912A9" w:rsidRDefault="00C80EFB" w:rsidP="007912A9">
      <w:pPr>
        <w:rPr>
          <w:color w:val="000000"/>
          <w:szCs w:val="22"/>
        </w:rPr>
      </w:pPr>
    </w:p>
    <w:p w:rsidR="00C80EFB" w:rsidRPr="007912A9" w:rsidRDefault="00C80EFB" w:rsidP="007912A9">
      <w:pPr>
        <w:pStyle w:val="Zkladntext"/>
        <w:rPr>
          <w:color w:val="000000"/>
          <w:szCs w:val="22"/>
        </w:rPr>
      </w:pPr>
      <w:r w:rsidRPr="007912A9">
        <w:rPr>
          <w:color w:val="000000"/>
          <w:szCs w:val="22"/>
        </w:rPr>
        <w:t>Blister Al a PVC/PE/PVDC, papierová škatuľa, písomná informácia pre používateľa</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20 x 50 mg</w:t>
      </w:r>
    </w:p>
    <w:p w:rsidR="00C80EFB" w:rsidRPr="007912A9" w:rsidRDefault="00C80EFB" w:rsidP="007912A9">
      <w:pPr>
        <w:rPr>
          <w:color w:val="000000"/>
          <w:szCs w:val="22"/>
        </w:rPr>
      </w:pPr>
    </w:p>
    <w:p w:rsidR="00C80EFB" w:rsidRPr="007912A9" w:rsidRDefault="00C80EFB" w:rsidP="007912A9">
      <w:pPr>
        <w:rPr>
          <w:b/>
          <w:color w:val="000000"/>
          <w:szCs w:val="22"/>
        </w:rPr>
      </w:pPr>
      <w:r w:rsidRPr="007912A9">
        <w:rPr>
          <w:b/>
          <w:color w:val="000000"/>
          <w:szCs w:val="22"/>
        </w:rPr>
        <w:t>6.6</w:t>
      </w:r>
      <w:r w:rsidRPr="007912A9">
        <w:rPr>
          <w:b/>
          <w:color w:val="000000"/>
          <w:szCs w:val="22"/>
        </w:rPr>
        <w:tab/>
      </w:r>
      <w:r w:rsidRPr="007912A9">
        <w:rPr>
          <w:b/>
          <w:bCs/>
          <w:color w:val="000000"/>
          <w:szCs w:val="22"/>
        </w:rPr>
        <w:t>Špeciálne opatrenia na likvidáciu</w:t>
      </w: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color w:val="000000"/>
          <w:szCs w:val="22"/>
        </w:rPr>
        <w:t>Žiadne zvláštne požiadavky.</w:t>
      </w:r>
    </w:p>
    <w:p w:rsidR="00C80EFB" w:rsidRPr="007912A9" w:rsidRDefault="00C80EFB" w:rsidP="007912A9">
      <w:pPr>
        <w:pStyle w:val="Zkladntext"/>
        <w:rPr>
          <w:color w:val="000000"/>
          <w:szCs w:val="22"/>
        </w:rPr>
      </w:pP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7.</w:t>
      </w:r>
      <w:r w:rsidRPr="007912A9">
        <w:rPr>
          <w:b/>
          <w:color w:val="000000"/>
          <w:szCs w:val="22"/>
        </w:rPr>
        <w:tab/>
        <w:t>DRŽITEĽ ROZHODNUTIA O REGISTRÁCII</w:t>
      </w:r>
    </w:p>
    <w:p w:rsidR="00C80EFB" w:rsidRPr="007912A9" w:rsidRDefault="00C80EFB" w:rsidP="007912A9">
      <w:pPr>
        <w:rPr>
          <w:color w:val="000000"/>
          <w:szCs w:val="22"/>
        </w:rPr>
      </w:pPr>
    </w:p>
    <w:p w:rsidR="00C80EFB" w:rsidRDefault="00C80EFB" w:rsidP="003E3209">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Novartis Slovakia s.r.o.</w:t>
      </w:r>
    </w:p>
    <w:p w:rsidR="00C80EFB" w:rsidRDefault="00C80EFB" w:rsidP="003E3209">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rsidR="00C80EFB" w:rsidRDefault="00C80EFB" w:rsidP="003E3209">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rsidR="00C80EFB" w:rsidRDefault="00C80EFB" w:rsidP="003E3209">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rsidR="00C80EFB" w:rsidRPr="00D43FE5" w:rsidRDefault="00C80EFB" w:rsidP="007912A9">
      <w:pPr>
        <w:rPr>
          <w:color w:val="000000"/>
          <w:szCs w:val="22"/>
        </w:rPr>
      </w:pPr>
    </w:p>
    <w:p w:rsidR="00C80EFB" w:rsidRPr="000519CF" w:rsidRDefault="00C80EFB" w:rsidP="007912A9">
      <w:pPr>
        <w:rPr>
          <w:color w:val="000000"/>
          <w:szCs w:val="22"/>
        </w:rPr>
      </w:pPr>
    </w:p>
    <w:p w:rsidR="00C80EFB" w:rsidRPr="006C0685" w:rsidRDefault="00C80EFB" w:rsidP="007912A9">
      <w:pPr>
        <w:rPr>
          <w:b/>
          <w:color w:val="000000"/>
          <w:szCs w:val="22"/>
        </w:rPr>
      </w:pPr>
      <w:r w:rsidRPr="006C0685">
        <w:rPr>
          <w:b/>
          <w:color w:val="000000"/>
          <w:szCs w:val="22"/>
        </w:rPr>
        <w:t>8.</w:t>
      </w:r>
      <w:r w:rsidRPr="006C0685">
        <w:rPr>
          <w:b/>
          <w:color w:val="000000"/>
          <w:szCs w:val="22"/>
        </w:rPr>
        <w:tab/>
        <w:t xml:space="preserve">REGISTRAČNÉ ČÍSLO </w:t>
      </w:r>
    </w:p>
    <w:p w:rsidR="00C80EFB" w:rsidRPr="007912A9" w:rsidRDefault="00C80EFB" w:rsidP="007912A9">
      <w:pPr>
        <w:rPr>
          <w:color w:val="000000"/>
          <w:szCs w:val="22"/>
        </w:rPr>
      </w:pPr>
    </w:p>
    <w:p w:rsidR="00C80EFB" w:rsidRPr="007912A9" w:rsidRDefault="00C80EFB" w:rsidP="007912A9">
      <w:pPr>
        <w:rPr>
          <w:caps/>
          <w:color w:val="000000"/>
          <w:szCs w:val="22"/>
        </w:rPr>
      </w:pPr>
      <w:r w:rsidRPr="007912A9">
        <w:rPr>
          <w:caps/>
          <w:color w:val="000000"/>
          <w:szCs w:val="22"/>
        </w:rPr>
        <w:t>29/0294/91-CS</w:t>
      </w:r>
    </w:p>
    <w:p w:rsidR="00C80EFB" w:rsidRPr="007912A9" w:rsidRDefault="00C80EFB" w:rsidP="007912A9">
      <w:pPr>
        <w:rPr>
          <w:caps/>
          <w:color w:val="000000"/>
          <w:szCs w:val="22"/>
        </w:rPr>
      </w:pPr>
    </w:p>
    <w:p w:rsidR="00C80EFB" w:rsidRPr="007912A9" w:rsidRDefault="00C80EFB" w:rsidP="007912A9">
      <w:pPr>
        <w:rPr>
          <w:color w:val="000000"/>
          <w:szCs w:val="22"/>
        </w:rPr>
      </w:pPr>
    </w:p>
    <w:p w:rsidR="00C80EFB" w:rsidRPr="007912A9" w:rsidRDefault="00C80EFB" w:rsidP="007912A9">
      <w:pPr>
        <w:rPr>
          <w:color w:val="000000"/>
          <w:szCs w:val="22"/>
        </w:rPr>
      </w:pPr>
      <w:r w:rsidRPr="007912A9">
        <w:rPr>
          <w:b/>
          <w:color w:val="000000"/>
          <w:szCs w:val="22"/>
        </w:rPr>
        <w:t>9.</w:t>
      </w:r>
      <w:r w:rsidRPr="007912A9">
        <w:rPr>
          <w:b/>
          <w:color w:val="000000"/>
          <w:szCs w:val="22"/>
        </w:rPr>
        <w:tab/>
        <w:t>DÁTUM PRVEJ REGISTRÁCIE/PREDĹŽENIA REGISTRÁCIE</w:t>
      </w:r>
    </w:p>
    <w:p w:rsidR="00C80EFB" w:rsidRPr="007912A9" w:rsidRDefault="00C80EFB" w:rsidP="007912A9">
      <w:pPr>
        <w:rPr>
          <w:color w:val="000000"/>
          <w:szCs w:val="22"/>
        </w:rPr>
      </w:pPr>
    </w:p>
    <w:p w:rsidR="00C80EFB" w:rsidRPr="00D43FE5" w:rsidRDefault="00C80EFB" w:rsidP="007912A9">
      <w:pPr>
        <w:rPr>
          <w:color w:val="000000"/>
          <w:szCs w:val="22"/>
        </w:rPr>
      </w:pPr>
      <w:r w:rsidRPr="007912A9">
        <w:rPr>
          <w:color w:val="000000"/>
          <w:szCs w:val="22"/>
        </w:rPr>
        <w:t>Dátum prvej registrácie: 04.</w:t>
      </w:r>
      <w:r>
        <w:rPr>
          <w:color w:val="000000"/>
          <w:szCs w:val="22"/>
        </w:rPr>
        <w:t xml:space="preserve"> septembra </w:t>
      </w:r>
      <w:r w:rsidRPr="00D43FE5">
        <w:rPr>
          <w:color w:val="000000"/>
          <w:szCs w:val="22"/>
        </w:rPr>
        <w:t>1991</w:t>
      </w:r>
    </w:p>
    <w:p w:rsidR="00C80EFB" w:rsidRPr="00D43FE5" w:rsidRDefault="00C80EFB" w:rsidP="007912A9">
      <w:pPr>
        <w:rPr>
          <w:color w:val="000000"/>
          <w:szCs w:val="22"/>
        </w:rPr>
      </w:pPr>
      <w:r>
        <w:rPr>
          <w:color w:val="000000"/>
          <w:szCs w:val="22"/>
        </w:rPr>
        <w:t xml:space="preserve">Dátum posledného predĺženia registrácie: </w:t>
      </w:r>
      <w:r w:rsidRPr="00D43FE5">
        <w:rPr>
          <w:color w:val="000000"/>
          <w:szCs w:val="22"/>
        </w:rPr>
        <w:t>17.</w:t>
      </w:r>
      <w:r>
        <w:rPr>
          <w:color w:val="000000"/>
          <w:szCs w:val="22"/>
        </w:rPr>
        <w:t xml:space="preserve"> mája </w:t>
      </w:r>
      <w:r w:rsidRPr="00D43FE5">
        <w:rPr>
          <w:color w:val="000000"/>
          <w:szCs w:val="22"/>
        </w:rPr>
        <w:t>2007</w:t>
      </w:r>
    </w:p>
    <w:p w:rsidR="00C80EFB" w:rsidRPr="000519CF" w:rsidRDefault="00C80EFB" w:rsidP="007912A9">
      <w:pPr>
        <w:rPr>
          <w:color w:val="000000"/>
          <w:szCs w:val="22"/>
        </w:rPr>
      </w:pPr>
    </w:p>
    <w:p w:rsidR="00C80EFB" w:rsidRPr="006C0685" w:rsidRDefault="00C80EFB" w:rsidP="007912A9">
      <w:pPr>
        <w:rPr>
          <w:color w:val="000000"/>
          <w:szCs w:val="22"/>
        </w:rPr>
      </w:pPr>
    </w:p>
    <w:p w:rsidR="00C80EFB" w:rsidRPr="007912A9" w:rsidRDefault="00C80EFB" w:rsidP="007912A9">
      <w:pPr>
        <w:numPr>
          <w:ilvl w:val="12"/>
          <w:numId w:val="0"/>
        </w:numPr>
        <w:ind w:right="-2"/>
        <w:outlineLvl w:val="0"/>
        <w:rPr>
          <w:b/>
          <w:color w:val="000000"/>
          <w:szCs w:val="22"/>
        </w:rPr>
      </w:pPr>
      <w:r w:rsidRPr="007912A9">
        <w:rPr>
          <w:b/>
          <w:color w:val="000000"/>
          <w:szCs w:val="22"/>
        </w:rPr>
        <w:t>10.</w:t>
      </w:r>
      <w:r w:rsidRPr="007912A9">
        <w:rPr>
          <w:b/>
          <w:color w:val="000000"/>
          <w:szCs w:val="22"/>
        </w:rPr>
        <w:tab/>
        <w:t>DÁTUM REVÍZIE TEXTU</w:t>
      </w:r>
    </w:p>
    <w:p w:rsidR="00C80EFB" w:rsidRPr="007912A9" w:rsidRDefault="00C80EFB" w:rsidP="007912A9">
      <w:pPr>
        <w:numPr>
          <w:ilvl w:val="12"/>
          <w:numId w:val="0"/>
        </w:numPr>
        <w:ind w:right="-2"/>
        <w:outlineLvl w:val="0"/>
        <w:rPr>
          <w:color w:val="000000"/>
          <w:szCs w:val="22"/>
        </w:rPr>
      </w:pPr>
    </w:p>
    <w:p w:rsidR="00C80EFB" w:rsidRPr="00D43FE5" w:rsidRDefault="00C80EFB" w:rsidP="007912A9">
      <w:pPr>
        <w:numPr>
          <w:ilvl w:val="12"/>
          <w:numId w:val="0"/>
        </w:numPr>
        <w:ind w:right="-2"/>
        <w:outlineLvl w:val="0"/>
        <w:rPr>
          <w:color w:val="000000"/>
          <w:szCs w:val="22"/>
        </w:rPr>
      </w:pPr>
      <w:r>
        <w:rPr>
          <w:color w:val="000000"/>
          <w:szCs w:val="22"/>
        </w:rPr>
        <w:t>0</w:t>
      </w:r>
      <w:r w:rsidR="00F3233E">
        <w:rPr>
          <w:color w:val="000000"/>
          <w:szCs w:val="22"/>
        </w:rPr>
        <w:t>9</w:t>
      </w:r>
      <w:r>
        <w:rPr>
          <w:color w:val="000000"/>
          <w:szCs w:val="22"/>
        </w:rPr>
        <w:t>/2019</w:t>
      </w:r>
    </w:p>
    <w:sectPr w:rsidR="00C80EFB" w:rsidRPr="00D43FE5" w:rsidSect="00A24FE6">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FB" w:rsidRDefault="00C80EFB">
      <w:r>
        <w:separator/>
      </w:r>
    </w:p>
  </w:endnote>
  <w:endnote w:type="continuationSeparator" w:id="0">
    <w:p w:rsidR="00C80EFB" w:rsidRDefault="00C8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EE"/>
    <w:family w:val="roman"/>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FB" w:rsidRDefault="00C80EFB" w:rsidP="00C015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80EFB" w:rsidRDefault="00C80EFB" w:rsidP="000D159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FB" w:rsidRPr="002D7B4A" w:rsidRDefault="00F3233E" w:rsidP="002D7B4A">
    <w:pPr>
      <w:pStyle w:val="Pta"/>
      <w:jc w:val="center"/>
      <w:rPr>
        <w:sz w:val="18"/>
        <w:szCs w:val="18"/>
      </w:rPr>
    </w:pPr>
    <w:r w:rsidRPr="002D7B4A">
      <w:rPr>
        <w:sz w:val="18"/>
        <w:szCs w:val="18"/>
      </w:rPr>
      <w:fldChar w:fldCharType="begin"/>
    </w:r>
    <w:r w:rsidRPr="002D7B4A">
      <w:rPr>
        <w:sz w:val="18"/>
        <w:szCs w:val="18"/>
      </w:rPr>
      <w:instrText>PAGE   \* MERGEFORMAT</w:instrText>
    </w:r>
    <w:r w:rsidRPr="002D7B4A">
      <w:rPr>
        <w:sz w:val="18"/>
        <w:szCs w:val="18"/>
      </w:rPr>
      <w:fldChar w:fldCharType="separate"/>
    </w:r>
    <w:r w:rsidR="002D7B4A">
      <w:rPr>
        <w:noProof/>
        <w:sz w:val="18"/>
        <w:szCs w:val="18"/>
      </w:rPr>
      <w:t>12</w:t>
    </w:r>
    <w:r w:rsidRPr="002D7B4A">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FB" w:rsidRPr="007912A9" w:rsidRDefault="00C80EFB">
    <w:pPr>
      <w:pStyle w:val="Pta"/>
      <w:jc w:val="center"/>
      <w:rPr>
        <w:sz w:val="18"/>
        <w:szCs w:val="18"/>
      </w:rPr>
    </w:pPr>
    <w:r w:rsidRPr="007912A9">
      <w:rPr>
        <w:sz w:val="18"/>
        <w:szCs w:val="18"/>
      </w:rPr>
      <w:fldChar w:fldCharType="begin"/>
    </w:r>
    <w:r w:rsidRPr="007912A9">
      <w:rPr>
        <w:sz w:val="18"/>
        <w:szCs w:val="18"/>
      </w:rPr>
      <w:instrText>PAGE   \* MERGEFORMAT</w:instrText>
    </w:r>
    <w:r w:rsidRPr="007912A9">
      <w:rPr>
        <w:sz w:val="18"/>
        <w:szCs w:val="18"/>
      </w:rPr>
      <w:fldChar w:fldCharType="separate"/>
    </w:r>
    <w:r>
      <w:rPr>
        <w:noProof/>
        <w:sz w:val="18"/>
        <w:szCs w:val="18"/>
      </w:rPr>
      <w:t>1</w:t>
    </w:r>
    <w:r w:rsidRPr="007912A9">
      <w:rPr>
        <w:sz w:val="18"/>
        <w:szCs w:val="18"/>
      </w:rPr>
      <w:fldChar w:fldCharType="end"/>
    </w:r>
  </w:p>
  <w:p w:rsidR="00C80EFB" w:rsidRDefault="00C80EF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FB" w:rsidRDefault="00C80EFB">
      <w:r>
        <w:separator/>
      </w:r>
    </w:p>
  </w:footnote>
  <w:footnote w:type="continuationSeparator" w:id="0">
    <w:p w:rsidR="00C80EFB" w:rsidRDefault="00C8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FB" w:rsidRDefault="00C80EFB" w:rsidP="002D7B4A">
    <w:pPr>
      <w:pStyle w:val="Hlavika"/>
      <w:tabs>
        <w:tab w:val="clear" w:pos="9072"/>
      </w:tabs>
    </w:pPr>
    <w:r>
      <w:rPr>
        <w:sz w:val="18"/>
        <w:szCs w:val="18"/>
      </w:rPr>
      <w:t xml:space="preserve">Príloha č.1 k notifikácii o zmene, ev. č: </w:t>
    </w:r>
    <w:r w:rsidR="00F3233E">
      <w:rPr>
        <w:sz w:val="18"/>
        <w:szCs w:val="18"/>
      </w:rPr>
      <w:t>2019/04791-Z1A</w:t>
    </w:r>
  </w:p>
  <w:p w:rsidR="00C80EFB" w:rsidRDefault="00C80EF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FB" w:rsidRDefault="00C80EFB" w:rsidP="00421CA6">
    <w:pPr>
      <w:pStyle w:val="Hlavika"/>
      <w:rPr>
        <w:sz w:val="18"/>
        <w:szCs w:val="18"/>
      </w:rPr>
    </w:pPr>
    <w:r w:rsidRPr="00F1325B">
      <w:rPr>
        <w:sz w:val="18"/>
        <w:szCs w:val="18"/>
      </w:rPr>
      <w:t xml:space="preserve">Schválený text k rozhodnutiu o zmene, </w:t>
    </w:r>
    <w:r>
      <w:rPr>
        <w:sz w:val="18"/>
        <w:szCs w:val="18"/>
      </w:rPr>
      <w:t>ev.č.:2018/01940-ZME</w:t>
    </w:r>
  </w:p>
  <w:p w:rsidR="00C80EFB" w:rsidRDefault="00C80EFB" w:rsidP="0066501B">
    <w:pPr>
      <w:pStyle w:val="Hlavika"/>
      <w:rPr>
        <w:sz w:val="18"/>
        <w:szCs w:val="18"/>
      </w:rPr>
    </w:pPr>
    <w:r>
      <w:rPr>
        <w:sz w:val="18"/>
        <w:szCs w:val="18"/>
      </w:rPr>
      <w:t>Príloha č. 1 k notifikácii</w:t>
    </w:r>
    <w:r w:rsidRPr="00F1325B">
      <w:rPr>
        <w:sz w:val="18"/>
        <w:szCs w:val="18"/>
      </w:rPr>
      <w:t xml:space="preserve"> o zmene, </w:t>
    </w:r>
    <w:r>
      <w:rPr>
        <w:sz w:val="18"/>
        <w:szCs w:val="18"/>
      </w:rPr>
      <w:t>ev. č.:2018/01482-Z1B</w:t>
    </w:r>
  </w:p>
  <w:p w:rsidR="00C80EFB" w:rsidRPr="00F1325B" w:rsidRDefault="00C80EFB" w:rsidP="0066501B">
    <w:pPr>
      <w:pStyle w:val="Hlavika"/>
      <w:rPr>
        <w:sz w:val="18"/>
        <w:szCs w:val="18"/>
      </w:rPr>
    </w:pPr>
    <w:r>
      <w:rPr>
        <w:sz w:val="18"/>
        <w:szCs w:val="18"/>
      </w:rPr>
      <w:t>Schválený text k rozhodnutiu o prevode: Var sy: 8891456341</w:t>
    </w:r>
  </w:p>
  <w:p w:rsidR="00C80EFB" w:rsidRDefault="00C80EF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100F35"/>
    <w:multiLevelType w:val="hybridMultilevel"/>
    <w:tmpl w:val="31AC1EB0"/>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DA3D49"/>
    <w:multiLevelType w:val="hybridMultilevel"/>
    <w:tmpl w:val="95AECA4A"/>
    <w:lvl w:ilvl="0" w:tplc="09A07A50">
      <w:start w:val="1"/>
      <w:numFmt w:val="bullet"/>
      <w:lvlText w:val=""/>
      <w:lvlJc w:val="left"/>
      <w:pPr>
        <w:tabs>
          <w:tab w:val="num" w:pos="567"/>
        </w:tabs>
        <w:ind w:left="567" w:hanging="567"/>
      </w:pPr>
      <w:rPr>
        <w:rFonts w:ascii="Symbol" w:hAnsi="Symbol"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4248D9"/>
    <w:multiLevelType w:val="hybridMultilevel"/>
    <w:tmpl w:val="BB9493C8"/>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536A55"/>
    <w:multiLevelType w:val="hybridMultilevel"/>
    <w:tmpl w:val="246A78F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A338BA"/>
    <w:multiLevelType w:val="hybridMultilevel"/>
    <w:tmpl w:val="03A89DBE"/>
    <w:lvl w:ilvl="0" w:tplc="09A07A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4E5180"/>
    <w:multiLevelType w:val="hybridMultilevel"/>
    <w:tmpl w:val="AA3C45A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BB73B4"/>
    <w:multiLevelType w:val="hybridMultilevel"/>
    <w:tmpl w:val="2286B4F0"/>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854FE9"/>
    <w:multiLevelType w:val="hybridMultilevel"/>
    <w:tmpl w:val="0A7A4F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353E56C1"/>
    <w:multiLevelType w:val="hybridMultilevel"/>
    <w:tmpl w:val="DED2D3CC"/>
    <w:lvl w:ilvl="0" w:tplc="C62E8BAC">
      <w:numFmt w:val="bullet"/>
      <w:lvlText w:val="-"/>
      <w:lvlJc w:val="left"/>
      <w:pPr>
        <w:tabs>
          <w:tab w:val="num" w:pos="1275"/>
        </w:tabs>
        <w:ind w:left="1275" w:hanging="567"/>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nsid w:val="363B21B2"/>
    <w:multiLevelType w:val="hybridMultilevel"/>
    <w:tmpl w:val="AD3452A4"/>
    <w:lvl w:ilvl="0" w:tplc="97449C80">
      <w:numFmt w:val="bullet"/>
      <w:lvlText w:val="-"/>
      <w:lvlJc w:val="left"/>
      <w:pPr>
        <w:tabs>
          <w:tab w:val="num" w:pos="397"/>
        </w:tabs>
        <w:ind w:left="397" w:hanging="39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24044A"/>
    <w:multiLevelType w:val="hybridMultilevel"/>
    <w:tmpl w:val="85E2AC98"/>
    <w:lvl w:ilvl="0" w:tplc="5C1893B0">
      <w:numFmt w:val="bullet"/>
      <w:lvlText w:val="-"/>
      <w:lvlJc w:val="left"/>
      <w:pPr>
        <w:tabs>
          <w:tab w:val="num" w:pos="397"/>
        </w:tabs>
        <w:ind w:left="397" w:hanging="39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85630A"/>
    <w:multiLevelType w:val="hybridMultilevel"/>
    <w:tmpl w:val="649C412A"/>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3E0B7CB6"/>
    <w:multiLevelType w:val="hybridMultilevel"/>
    <w:tmpl w:val="1D28D1E6"/>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9631F4"/>
    <w:multiLevelType w:val="hybridMultilevel"/>
    <w:tmpl w:val="238ACF22"/>
    <w:lvl w:ilvl="0" w:tplc="31C47778">
      <w:start w:val="1"/>
      <w:numFmt w:val="bullet"/>
      <w:lvlText w:val=""/>
      <w:lvlJc w:val="left"/>
      <w:pPr>
        <w:tabs>
          <w:tab w:val="num" w:pos="567"/>
        </w:tabs>
        <w:ind w:left="567" w:hanging="567"/>
      </w:pPr>
      <w:rPr>
        <w:rFonts w:ascii="Symbol" w:hAnsi="Symbol"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196AD5"/>
    <w:multiLevelType w:val="multilevel"/>
    <w:tmpl w:val="85E2AC98"/>
    <w:lvl w:ilvl="0">
      <w:numFmt w:val="bullet"/>
      <w:lvlText w:val="-"/>
      <w:lvlJc w:val="left"/>
      <w:pPr>
        <w:tabs>
          <w:tab w:val="num" w:pos="397"/>
        </w:tabs>
        <w:ind w:left="397" w:hanging="397"/>
      </w:pPr>
      <w:rPr>
        <w:rFonts w:ascii="Sabon" w:eastAsia="Times New Roman" w:hAnsi="Sabon" w:hint="default"/>
        <w:b/>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A7510A7"/>
    <w:multiLevelType w:val="multilevel"/>
    <w:tmpl w:val="238ACF22"/>
    <w:lvl w:ilvl="0">
      <w:start w:val="1"/>
      <w:numFmt w:val="bullet"/>
      <w:lvlText w:val=""/>
      <w:lvlJc w:val="left"/>
      <w:pPr>
        <w:tabs>
          <w:tab w:val="num" w:pos="567"/>
        </w:tabs>
        <w:ind w:left="567" w:hanging="567"/>
      </w:pPr>
      <w:rPr>
        <w:rFonts w:ascii="Symbol" w:hAnsi="Symbol" w:hint="default"/>
        <w:b/>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066660"/>
    <w:multiLevelType w:val="hybridMultilevel"/>
    <w:tmpl w:val="CA2A60D2"/>
    <w:lvl w:ilvl="0" w:tplc="F68266DE">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3E0319"/>
    <w:multiLevelType w:val="multilevel"/>
    <w:tmpl w:val="6D023F0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9CB3DA9"/>
    <w:multiLevelType w:val="hybridMultilevel"/>
    <w:tmpl w:val="6D023F04"/>
    <w:lvl w:ilvl="0" w:tplc="09A07A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6"/>
  </w:num>
  <w:num w:numId="5">
    <w:abstractNumId w:val="15"/>
  </w:num>
  <w:num w:numId="6">
    <w:abstractNumId w:val="17"/>
  </w:num>
  <w:num w:numId="7">
    <w:abstractNumId w:val="2"/>
  </w:num>
  <w:num w:numId="8">
    <w:abstractNumId w:val="22"/>
  </w:num>
  <w:num w:numId="9">
    <w:abstractNumId w:val="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8"/>
  </w:num>
  <w:num w:numId="12">
    <w:abstractNumId w:val="14"/>
  </w:num>
  <w:num w:numId="13">
    <w:abstractNumId w:val="9"/>
  </w:num>
  <w:num w:numId="14">
    <w:abstractNumId w:val="12"/>
  </w:num>
  <w:num w:numId="15">
    <w:abstractNumId w:val="1"/>
  </w:num>
  <w:num w:numId="16">
    <w:abstractNumId w:val="4"/>
  </w:num>
  <w:num w:numId="17">
    <w:abstractNumId w:val="6"/>
  </w:num>
  <w:num w:numId="18">
    <w:abstractNumId w:val="20"/>
  </w:num>
  <w:num w:numId="19">
    <w:abstractNumId w:val="21"/>
  </w:num>
  <w:num w:numId="20">
    <w:abstractNumId w:val="7"/>
  </w:num>
  <w:num w:numId="21">
    <w:abstractNumId w:val="3"/>
  </w:num>
  <w:num w:numId="22">
    <w:abstractNumId w:val="10"/>
  </w:num>
  <w:num w:numId="23">
    <w:abstractNumId w:val="19"/>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0D"/>
    <w:rsid w:val="00003FFF"/>
    <w:rsid w:val="00005D29"/>
    <w:rsid w:val="0001612F"/>
    <w:rsid w:val="0002163F"/>
    <w:rsid w:val="00021C61"/>
    <w:rsid w:val="00022246"/>
    <w:rsid w:val="000234D7"/>
    <w:rsid w:val="00043C6F"/>
    <w:rsid w:val="00050D43"/>
    <w:rsid w:val="00051193"/>
    <w:rsid w:val="000519CF"/>
    <w:rsid w:val="00051BC6"/>
    <w:rsid w:val="00053D9A"/>
    <w:rsid w:val="000620AD"/>
    <w:rsid w:val="000624FD"/>
    <w:rsid w:val="0006368E"/>
    <w:rsid w:val="00065CCB"/>
    <w:rsid w:val="00067642"/>
    <w:rsid w:val="00070A8A"/>
    <w:rsid w:val="00076D89"/>
    <w:rsid w:val="00077002"/>
    <w:rsid w:val="00077988"/>
    <w:rsid w:val="000800AA"/>
    <w:rsid w:val="000862BF"/>
    <w:rsid w:val="00086749"/>
    <w:rsid w:val="00090D09"/>
    <w:rsid w:val="00091B1D"/>
    <w:rsid w:val="00091E25"/>
    <w:rsid w:val="00096F1C"/>
    <w:rsid w:val="000A50CC"/>
    <w:rsid w:val="000B10DE"/>
    <w:rsid w:val="000B675B"/>
    <w:rsid w:val="000D12C7"/>
    <w:rsid w:val="000D1591"/>
    <w:rsid w:val="000D3085"/>
    <w:rsid w:val="000D35C4"/>
    <w:rsid w:val="000D4CD7"/>
    <w:rsid w:val="000E4B7B"/>
    <w:rsid w:val="000F0800"/>
    <w:rsid w:val="0010091E"/>
    <w:rsid w:val="00114ED5"/>
    <w:rsid w:val="001219B7"/>
    <w:rsid w:val="00122CE8"/>
    <w:rsid w:val="001276A0"/>
    <w:rsid w:val="00133C28"/>
    <w:rsid w:val="00136216"/>
    <w:rsid w:val="00137791"/>
    <w:rsid w:val="0014432D"/>
    <w:rsid w:val="0014502A"/>
    <w:rsid w:val="00151C29"/>
    <w:rsid w:val="0015601D"/>
    <w:rsid w:val="0016182B"/>
    <w:rsid w:val="00161E2D"/>
    <w:rsid w:val="001719D9"/>
    <w:rsid w:val="001736B5"/>
    <w:rsid w:val="001744D1"/>
    <w:rsid w:val="001762C2"/>
    <w:rsid w:val="00182374"/>
    <w:rsid w:val="0018324B"/>
    <w:rsid w:val="00183289"/>
    <w:rsid w:val="00195B00"/>
    <w:rsid w:val="001A1957"/>
    <w:rsid w:val="001A47B5"/>
    <w:rsid w:val="001B2D4D"/>
    <w:rsid w:val="001B77AD"/>
    <w:rsid w:val="001C214B"/>
    <w:rsid w:val="001C2D02"/>
    <w:rsid w:val="001C2EA8"/>
    <w:rsid w:val="001D125A"/>
    <w:rsid w:val="00200A4C"/>
    <w:rsid w:val="002033DD"/>
    <w:rsid w:val="0021364F"/>
    <w:rsid w:val="002178B5"/>
    <w:rsid w:val="0022113C"/>
    <w:rsid w:val="00221AD2"/>
    <w:rsid w:val="0022397F"/>
    <w:rsid w:val="002249E7"/>
    <w:rsid w:val="00232210"/>
    <w:rsid w:val="00233941"/>
    <w:rsid w:val="002370C1"/>
    <w:rsid w:val="002420C6"/>
    <w:rsid w:val="0024620E"/>
    <w:rsid w:val="0025289E"/>
    <w:rsid w:val="0026175A"/>
    <w:rsid w:val="00265CCB"/>
    <w:rsid w:val="00281577"/>
    <w:rsid w:val="00287A31"/>
    <w:rsid w:val="00294DA3"/>
    <w:rsid w:val="002B1BD4"/>
    <w:rsid w:val="002C207D"/>
    <w:rsid w:val="002C3E78"/>
    <w:rsid w:val="002D7B4A"/>
    <w:rsid w:val="002E5E14"/>
    <w:rsid w:val="002F0178"/>
    <w:rsid w:val="002F2AB3"/>
    <w:rsid w:val="002F3391"/>
    <w:rsid w:val="002F46C1"/>
    <w:rsid w:val="00302359"/>
    <w:rsid w:val="00303B2A"/>
    <w:rsid w:val="003067F2"/>
    <w:rsid w:val="00307922"/>
    <w:rsid w:val="00311A1F"/>
    <w:rsid w:val="00312A2F"/>
    <w:rsid w:val="0032019C"/>
    <w:rsid w:val="003272AB"/>
    <w:rsid w:val="00327371"/>
    <w:rsid w:val="0033458A"/>
    <w:rsid w:val="00336F2E"/>
    <w:rsid w:val="00343FE0"/>
    <w:rsid w:val="00345E0A"/>
    <w:rsid w:val="003478AE"/>
    <w:rsid w:val="003508AA"/>
    <w:rsid w:val="003516B3"/>
    <w:rsid w:val="00354ABA"/>
    <w:rsid w:val="00357F4C"/>
    <w:rsid w:val="0036085E"/>
    <w:rsid w:val="0036292A"/>
    <w:rsid w:val="0037246A"/>
    <w:rsid w:val="00374484"/>
    <w:rsid w:val="00381E65"/>
    <w:rsid w:val="00382B3E"/>
    <w:rsid w:val="003A2E0D"/>
    <w:rsid w:val="003A74CA"/>
    <w:rsid w:val="003B1198"/>
    <w:rsid w:val="003B5528"/>
    <w:rsid w:val="003B64EF"/>
    <w:rsid w:val="003B6FB1"/>
    <w:rsid w:val="003C2255"/>
    <w:rsid w:val="003C66BE"/>
    <w:rsid w:val="003D19BE"/>
    <w:rsid w:val="003D1C76"/>
    <w:rsid w:val="003D4C5A"/>
    <w:rsid w:val="003E3209"/>
    <w:rsid w:val="003E4216"/>
    <w:rsid w:val="003E4AC0"/>
    <w:rsid w:val="003E4DCB"/>
    <w:rsid w:val="003F137D"/>
    <w:rsid w:val="003F2DA9"/>
    <w:rsid w:val="003F3833"/>
    <w:rsid w:val="00400514"/>
    <w:rsid w:val="00404904"/>
    <w:rsid w:val="004050AC"/>
    <w:rsid w:val="004128C6"/>
    <w:rsid w:val="00421CA6"/>
    <w:rsid w:val="00424F55"/>
    <w:rsid w:val="0043221D"/>
    <w:rsid w:val="00433F31"/>
    <w:rsid w:val="00446DEC"/>
    <w:rsid w:val="00451FEB"/>
    <w:rsid w:val="0045209A"/>
    <w:rsid w:val="00452BF9"/>
    <w:rsid w:val="00454D55"/>
    <w:rsid w:val="004615DC"/>
    <w:rsid w:val="004627A4"/>
    <w:rsid w:val="00463F17"/>
    <w:rsid w:val="0046618A"/>
    <w:rsid w:val="0047430C"/>
    <w:rsid w:val="0047467E"/>
    <w:rsid w:val="00474CB6"/>
    <w:rsid w:val="004916C3"/>
    <w:rsid w:val="00496581"/>
    <w:rsid w:val="004978A0"/>
    <w:rsid w:val="00497F17"/>
    <w:rsid w:val="004B0447"/>
    <w:rsid w:val="004B52C9"/>
    <w:rsid w:val="004B56D8"/>
    <w:rsid w:val="004B7690"/>
    <w:rsid w:val="004C0865"/>
    <w:rsid w:val="004C740C"/>
    <w:rsid w:val="004D1074"/>
    <w:rsid w:val="004D181D"/>
    <w:rsid w:val="004D3FB2"/>
    <w:rsid w:val="004E7FC9"/>
    <w:rsid w:val="004F0BE4"/>
    <w:rsid w:val="004F4E3D"/>
    <w:rsid w:val="004F5445"/>
    <w:rsid w:val="0052348D"/>
    <w:rsid w:val="00532277"/>
    <w:rsid w:val="00541D2B"/>
    <w:rsid w:val="00554CE7"/>
    <w:rsid w:val="00561584"/>
    <w:rsid w:val="00562B72"/>
    <w:rsid w:val="005630FF"/>
    <w:rsid w:val="0058507C"/>
    <w:rsid w:val="00591148"/>
    <w:rsid w:val="005924A2"/>
    <w:rsid w:val="005A21C3"/>
    <w:rsid w:val="005A4A43"/>
    <w:rsid w:val="005B1A25"/>
    <w:rsid w:val="005B71D5"/>
    <w:rsid w:val="005B7B44"/>
    <w:rsid w:val="005C5D36"/>
    <w:rsid w:val="005D0921"/>
    <w:rsid w:val="005D25CC"/>
    <w:rsid w:val="005D266F"/>
    <w:rsid w:val="005D4BBA"/>
    <w:rsid w:val="005D6E89"/>
    <w:rsid w:val="005D7FB2"/>
    <w:rsid w:val="005E08FD"/>
    <w:rsid w:val="005E1727"/>
    <w:rsid w:val="005F17F5"/>
    <w:rsid w:val="00610AD3"/>
    <w:rsid w:val="00611C73"/>
    <w:rsid w:val="006133BD"/>
    <w:rsid w:val="006150CA"/>
    <w:rsid w:val="00617136"/>
    <w:rsid w:val="006215A5"/>
    <w:rsid w:val="00622BF7"/>
    <w:rsid w:val="0062370D"/>
    <w:rsid w:val="00627419"/>
    <w:rsid w:val="00631D24"/>
    <w:rsid w:val="00633800"/>
    <w:rsid w:val="00633D61"/>
    <w:rsid w:val="00634177"/>
    <w:rsid w:val="00635585"/>
    <w:rsid w:val="00640019"/>
    <w:rsid w:val="006429F2"/>
    <w:rsid w:val="0065071B"/>
    <w:rsid w:val="00652856"/>
    <w:rsid w:val="0065690C"/>
    <w:rsid w:val="00661302"/>
    <w:rsid w:val="0066143A"/>
    <w:rsid w:val="0066501B"/>
    <w:rsid w:val="00682264"/>
    <w:rsid w:val="00682277"/>
    <w:rsid w:val="006867F6"/>
    <w:rsid w:val="00690165"/>
    <w:rsid w:val="00691FA0"/>
    <w:rsid w:val="0069722F"/>
    <w:rsid w:val="006A1065"/>
    <w:rsid w:val="006B074D"/>
    <w:rsid w:val="006B3EB2"/>
    <w:rsid w:val="006C0685"/>
    <w:rsid w:val="006C3175"/>
    <w:rsid w:val="006D4B0A"/>
    <w:rsid w:val="006E05E7"/>
    <w:rsid w:val="006E42E2"/>
    <w:rsid w:val="006E4DD3"/>
    <w:rsid w:val="006F4E1F"/>
    <w:rsid w:val="007031A8"/>
    <w:rsid w:val="007200CD"/>
    <w:rsid w:val="007245C9"/>
    <w:rsid w:val="0072692F"/>
    <w:rsid w:val="00726EB6"/>
    <w:rsid w:val="00733229"/>
    <w:rsid w:val="007405CC"/>
    <w:rsid w:val="00741344"/>
    <w:rsid w:val="00754C32"/>
    <w:rsid w:val="00754EE0"/>
    <w:rsid w:val="0075556F"/>
    <w:rsid w:val="0075643F"/>
    <w:rsid w:val="0076035B"/>
    <w:rsid w:val="007609CC"/>
    <w:rsid w:val="00777002"/>
    <w:rsid w:val="007825A6"/>
    <w:rsid w:val="00782AA5"/>
    <w:rsid w:val="00784034"/>
    <w:rsid w:val="00786260"/>
    <w:rsid w:val="00787A1D"/>
    <w:rsid w:val="007912A9"/>
    <w:rsid w:val="007A0FDE"/>
    <w:rsid w:val="007A63E9"/>
    <w:rsid w:val="007B0219"/>
    <w:rsid w:val="007B13E8"/>
    <w:rsid w:val="007B2768"/>
    <w:rsid w:val="007B4EEE"/>
    <w:rsid w:val="007D290D"/>
    <w:rsid w:val="007D498E"/>
    <w:rsid w:val="007E4650"/>
    <w:rsid w:val="007E6380"/>
    <w:rsid w:val="007F27B5"/>
    <w:rsid w:val="007F5507"/>
    <w:rsid w:val="007F6579"/>
    <w:rsid w:val="00803181"/>
    <w:rsid w:val="00812AC9"/>
    <w:rsid w:val="00814A8F"/>
    <w:rsid w:val="0081662E"/>
    <w:rsid w:val="00821706"/>
    <w:rsid w:val="00824D76"/>
    <w:rsid w:val="0082510A"/>
    <w:rsid w:val="00830272"/>
    <w:rsid w:val="00831517"/>
    <w:rsid w:val="008340D7"/>
    <w:rsid w:val="00837F3C"/>
    <w:rsid w:val="0084163D"/>
    <w:rsid w:val="00842E21"/>
    <w:rsid w:val="00847E47"/>
    <w:rsid w:val="008536F3"/>
    <w:rsid w:val="00854E94"/>
    <w:rsid w:val="008552A3"/>
    <w:rsid w:val="0085583C"/>
    <w:rsid w:val="008601ED"/>
    <w:rsid w:val="008623EA"/>
    <w:rsid w:val="008648A2"/>
    <w:rsid w:val="00877B30"/>
    <w:rsid w:val="00882A4B"/>
    <w:rsid w:val="00887BCF"/>
    <w:rsid w:val="00890204"/>
    <w:rsid w:val="00890A73"/>
    <w:rsid w:val="008916FC"/>
    <w:rsid w:val="00892455"/>
    <w:rsid w:val="008A1C9F"/>
    <w:rsid w:val="008A332A"/>
    <w:rsid w:val="008A5ADF"/>
    <w:rsid w:val="008A7A3E"/>
    <w:rsid w:val="008B3E88"/>
    <w:rsid w:val="008B7EE1"/>
    <w:rsid w:val="008C08AF"/>
    <w:rsid w:val="008C3529"/>
    <w:rsid w:val="008D411F"/>
    <w:rsid w:val="008D74B3"/>
    <w:rsid w:val="008D753D"/>
    <w:rsid w:val="008E14D7"/>
    <w:rsid w:val="008F5369"/>
    <w:rsid w:val="00907D07"/>
    <w:rsid w:val="0092395A"/>
    <w:rsid w:val="00924EA1"/>
    <w:rsid w:val="009318F8"/>
    <w:rsid w:val="00942794"/>
    <w:rsid w:val="0095071B"/>
    <w:rsid w:val="00951BFC"/>
    <w:rsid w:val="00953383"/>
    <w:rsid w:val="009561D5"/>
    <w:rsid w:val="00957152"/>
    <w:rsid w:val="0095735F"/>
    <w:rsid w:val="00970FFF"/>
    <w:rsid w:val="00975BB0"/>
    <w:rsid w:val="00975F81"/>
    <w:rsid w:val="0097719A"/>
    <w:rsid w:val="009779AE"/>
    <w:rsid w:val="00977EA7"/>
    <w:rsid w:val="00983AA8"/>
    <w:rsid w:val="00987BE3"/>
    <w:rsid w:val="00990EE3"/>
    <w:rsid w:val="009A30A0"/>
    <w:rsid w:val="009A4EB7"/>
    <w:rsid w:val="009B09B5"/>
    <w:rsid w:val="009B13AC"/>
    <w:rsid w:val="009B55DA"/>
    <w:rsid w:val="009E16C1"/>
    <w:rsid w:val="009E3C7B"/>
    <w:rsid w:val="009E6CDA"/>
    <w:rsid w:val="009F0A4B"/>
    <w:rsid w:val="009F40E4"/>
    <w:rsid w:val="00A0502E"/>
    <w:rsid w:val="00A07CEF"/>
    <w:rsid w:val="00A24FE6"/>
    <w:rsid w:val="00A31544"/>
    <w:rsid w:val="00A31F58"/>
    <w:rsid w:val="00A51377"/>
    <w:rsid w:val="00A57E5C"/>
    <w:rsid w:val="00A61D14"/>
    <w:rsid w:val="00A61DE6"/>
    <w:rsid w:val="00A63FC8"/>
    <w:rsid w:val="00A67EC4"/>
    <w:rsid w:val="00A72F26"/>
    <w:rsid w:val="00A76147"/>
    <w:rsid w:val="00A8033C"/>
    <w:rsid w:val="00A804A2"/>
    <w:rsid w:val="00A827E5"/>
    <w:rsid w:val="00A84CBA"/>
    <w:rsid w:val="00A85A5F"/>
    <w:rsid w:val="00A86420"/>
    <w:rsid w:val="00A87072"/>
    <w:rsid w:val="00A9416D"/>
    <w:rsid w:val="00A94D42"/>
    <w:rsid w:val="00A962C5"/>
    <w:rsid w:val="00A97B1A"/>
    <w:rsid w:val="00AA14D6"/>
    <w:rsid w:val="00AA33D8"/>
    <w:rsid w:val="00AA46BE"/>
    <w:rsid w:val="00AB00AE"/>
    <w:rsid w:val="00AB1E0A"/>
    <w:rsid w:val="00AC556C"/>
    <w:rsid w:val="00AC6E4A"/>
    <w:rsid w:val="00AD0D76"/>
    <w:rsid w:val="00AD67F5"/>
    <w:rsid w:val="00AF3DD9"/>
    <w:rsid w:val="00B13DF6"/>
    <w:rsid w:val="00B13E02"/>
    <w:rsid w:val="00B24B6F"/>
    <w:rsid w:val="00B3236B"/>
    <w:rsid w:val="00B331A7"/>
    <w:rsid w:val="00B33F8B"/>
    <w:rsid w:val="00B3529E"/>
    <w:rsid w:val="00B3760D"/>
    <w:rsid w:val="00B54F25"/>
    <w:rsid w:val="00B72416"/>
    <w:rsid w:val="00B76749"/>
    <w:rsid w:val="00B770EF"/>
    <w:rsid w:val="00B8602D"/>
    <w:rsid w:val="00B90DF6"/>
    <w:rsid w:val="00B9404D"/>
    <w:rsid w:val="00B97614"/>
    <w:rsid w:val="00B9780B"/>
    <w:rsid w:val="00BA4792"/>
    <w:rsid w:val="00BA6CA0"/>
    <w:rsid w:val="00BB0540"/>
    <w:rsid w:val="00BC5EB7"/>
    <w:rsid w:val="00BD7704"/>
    <w:rsid w:val="00BE187F"/>
    <w:rsid w:val="00BE1FB4"/>
    <w:rsid w:val="00BF02C1"/>
    <w:rsid w:val="00BF7A17"/>
    <w:rsid w:val="00C01541"/>
    <w:rsid w:val="00C034AF"/>
    <w:rsid w:val="00C041EB"/>
    <w:rsid w:val="00C05C1B"/>
    <w:rsid w:val="00C262E8"/>
    <w:rsid w:val="00C3053C"/>
    <w:rsid w:val="00C41993"/>
    <w:rsid w:val="00C4565D"/>
    <w:rsid w:val="00C45DFC"/>
    <w:rsid w:val="00C521E0"/>
    <w:rsid w:val="00C54643"/>
    <w:rsid w:val="00C57056"/>
    <w:rsid w:val="00C5744C"/>
    <w:rsid w:val="00C64489"/>
    <w:rsid w:val="00C657C7"/>
    <w:rsid w:val="00C746BF"/>
    <w:rsid w:val="00C80EFB"/>
    <w:rsid w:val="00C84667"/>
    <w:rsid w:val="00C905A9"/>
    <w:rsid w:val="00C9503F"/>
    <w:rsid w:val="00CA18F6"/>
    <w:rsid w:val="00CA4E76"/>
    <w:rsid w:val="00CA6544"/>
    <w:rsid w:val="00CA7B17"/>
    <w:rsid w:val="00CC3447"/>
    <w:rsid w:val="00CD5236"/>
    <w:rsid w:val="00CD700D"/>
    <w:rsid w:val="00CE1A3D"/>
    <w:rsid w:val="00CF1C5A"/>
    <w:rsid w:val="00CF27B3"/>
    <w:rsid w:val="00D02462"/>
    <w:rsid w:val="00D0298D"/>
    <w:rsid w:val="00D03109"/>
    <w:rsid w:val="00D12C91"/>
    <w:rsid w:val="00D235FE"/>
    <w:rsid w:val="00D276E7"/>
    <w:rsid w:val="00D3117B"/>
    <w:rsid w:val="00D340AA"/>
    <w:rsid w:val="00D351D5"/>
    <w:rsid w:val="00D36F49"/>
    <w:rsid w:val="00D41087"/>
    <w:rsid w:val="00D43FE5"/>
    <w:rsid w:val="00D46EF1"/>
    <w:rsid w:val="00D526D8"/>
    <w:rsid w:val="00D5586B"/>
    <w:rsid w:val="00D7125F"/>
    <w:rsid w:val="00D8132A"/>
    <w:rsid w:val="00D82014"/>
    <w:rsid w:val="00D8329C"/>
    <w:rsid w:val="00D84F77"/>
    <w:rsid w:val="00D90BBF"/>
    <w:rsid w:val="00D92C87"/>
    <w:rsid w:val="00D95458"/>
    <w:rsid w:val="00DA180A"/>
    <w:rsid w:val="00DA3E22"/>
    <w:rsid w:val="00DB0E39"/>
    <w:rsid w:val="00DB350F"/>
    <w:rsid w:val="00DD5715"/>
    <w:rsid w:val="00DD633A"/>
    <w:rsid w:val="00DE1BA3"/>
    <w:rsid w:val="00DE1FF7"/>
    <w:rsid w:val="00DE7134"/>
    <w:rsid w:val="00E009FE"/>
    <w:rsid w:val="00E025DD"/>
    <w:rsid w:val="00E04C60"/>
    <w:rsid w:val="00E06051"/>
    <w:rsid w:val="00E12B2B"/>
    <w:rsid w:val="00E13342"/>
    <w:rsid w:val="00E14185"/>
    <w:rsid w:val="00E21143"/>
    <w:rsid w:val="00E2145A"/>
    <w:rsid w:val="00E25371"/>
    <w:rsid w:val="00E26BA2"/>
    <w:rsid w:val="00E2762D"/>
    <w:rsid w:val="00E30E09"/>
    <w:rsid w:val="00E32017"/>
    <w:rsid w:val="00E35276"/>
    <w:rsid w:val="00E37130"/>
    <w:rsid w:val="00E42CFF"/>
    <w:rsid w:val="00E43AEC"/>
    <w:rsid w:val="00E44C44"/>
    <w:rsid w:val="00E462A1"/>
    <w:rsid w:val="00E51830"/>
    <w:rsid w:val="00E51DFB"/>
    <w:rsid w:val="00E56232"/>
    <w:rsid w:val="00E57560"/>
    <w:rsid w:val="00E66243"/>
    <w:rsid w:val="00E702AF"/>
    <w:rsid w:val="00E71F62"/>
    <w:rsid w:val="00E76DE4"/>
    <w:rsid w:val="00E854CD"/>
    <w:rsid w:val="00E92987"/>
    <w:rsid w:val="00EB0609"/>
    <w:rsid w:val="00EB57C5"/>
    <w:rsid w:val="00EB702D"/>
    <w:rsid w:val="00EB76E9"/>
    <w:rsid w:val="00ED04D0"/>
    <w:rsid w:val="00ED0A6D"/>
    <w:rsid w:val="00ED7DB2"/>
    <w:rsid w:val="00EE366B"/>
    <w:rsid w:val="00F0267D"/>
    <w:rsid w:val="00F04303"/>
    <w:rsid w:val="00F062E9"/>
    <w:rsid w:val="00F1325B"/>
    <w:rsid w:val="00F3233E"/>
    <w:rsid w:val="00F43269"/>
    <w:rsid w:val="00F47476"/>
    <w:rsid w:val="00F509C4"/>
    <w:rsid w:val="00F64BA2"/>
    <w:rsid w:val="00F65C54"/>
    <w:rsid w:val="00F73350"/>
    <w:rsid w:val="00F76315"/>
    <w:rsid w:val="00F76A2E"/>
    <w:rsid w:val="00F82D01"/>
    <w:rsid w:val="00F83FC6"/>
    <w:rsid w:val="00F910B8"/>
    <w:rsid w:val="00F936DB"/>
    <w:rsid w:val="00F942EC"/>
    <w:rsid w:val="00FA1B47"/>
    <w:rsid w:val="00FB5791"/>
    <w:rsid w:val="00FB6FA3"/>
    <w:rsid w:val="00FC7F44"/>
    <w:rsid w:val="00FD2323"/>
    <w:rsid w:val="00FE035B"/>
    <w:rsid w:val="00FE2E8F"/>
    <w:rsid w:val="00FF6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2">
    <w:name w:val="heading 2"/>
    <w:basedOn w:val="Normlny"/>
    <w:next w:val="Normlny"/>
    <w:link w:val="Nadpis2Char"/>
    <w:uiPriority w:val="9"/>
    <w:qFormat/>
    <w:rsid w:val="00133C28"/>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8D74B3"/>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8D74B3"/>
    <w:pPr>
      <w:spacing w:before="240" w:after="60"/>
      <w:outlineLvl w:val="4"/>
    </w:pPr>
    <w:rPr>
      <w:b/>
      <w:bCs/>
      <w:i/>
      <w:iCs/>
      <w:sz w:val="26"/>
      <w:szCs w:val="26"/>
    </w:rPr>
  </w:style>
  <w:style w:type="paragraph" w:styleId="Nadpis7">
    <w:name w:val="heading 7"/>
    <w:basedOn w:val="Normlny"/>
    <w:next w:val="Normlny"/>
    <w:link w:val="Nadpis7Char"/>
    <w:uiPriority w:val="9"/>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ED28C3"/>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ED28C3"/>
    <w:rPr>
      <w:rFonts w:asciiTheme="majorHAnsi" w:eastAsiaTheme="majorEastAsia" w:hAnsiTheme="majorHAnsi" w:cstheme="majorBidi"/>
      <w:b/>
      <w:bCs/>
      <w:sz w:val="26"/>
      <w:szCs w:val="26"/>
    </w:rPr>
  </w:style>
  <w:style w:type="character" w:customStyle="1" w:styleId="Nadpis5Char">
    <w:name w:val="Nadpis 5 Char"/>
    <w:basedOn w:val="Predvolenpsmoodseku"/>
    <w:link w:val="Nadpis5"/>
    <w:uiPriority w:val="9"/>
    <w:semiHidden/>
    <w:rsid w:val="00ED28C3"/>
    <w:rPr>
      <w:rFonts w:asciiTheme="minorHAnsi" w:eastAsiaTheme="minorEastAsia" w:hAnsiTheme="minorHAnsi" w:cstheme="minorBidi"/>
      <w:b/>
      <w:bCs/>
      <w:i/>
      <w:iCs/>
      <w:sz w:val="26"/>
      <w:szCs w:val="26"/>
    </w:rPr>
  </w:style>
  <w:style w:type="character" w:customStyle="1" w:styleId="Nadpis7Char">
    <w:name w:val="Nadpis 7 Char"/>
    <w:basedOn w:val="Predvolenpsmoodseku"/>
    <w:link w:val="Nadpis7"/>
    <w:uiPriority w:val="9"/>
    <w:semiHidden/>
    <w:rsid w:val="00ED28C3"/>
    <w:rPr>
      <w:rFonts w:asciiTheme="minorHAnsi" w:eastAsiaTheme="minorEastAsia" w:hAnsiTheme="minorHAnsi" w:cstheme="minorBidi"/>
      <w:sz w:val="24"/>
      <w:szCs w:val="24"/>
    </w:rPr>
  </w:style>
  <w:style w:type="character" w:styleId="Hypertextovprepojenie">
    <w:name w:val="Hyperlink"/>
    <w:basedOn w:val="Predvolenpsmoodseku"/>
    <w:uiPriority w:val="99"/>
    <w:rPr>
      <w:color w:val="0000FF"/>
      <w:u w:val="single"/>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basedOn w:val="Predvolenpsmoodseku"/>
    <w:uiPriority w:val="99"/>
    <w:semiHidden/>
    <w:rPr>
      <w:sz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locked/>
    <w:rsid w:val="00343FE0"/>
    <w:rPr>
      <w:lang w:val="sk-SK" w:eastAsia="sk-SK"/>
    </w:rPr>
  </w:style>
  <w:style w:type="paragraph" w:customStyle="1" w:styleId="Predmetkomentra1">
    <w:name w:val="Predmet komentára1"/>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uiPriority w:val="99"/>
    <w:pPr>
      <w:ind w:left="0" w:firstLine="0"/>
    </w:pPr>
  </w:style>
  <w:style w:type="character" w:customStyle="1" w:styleId="ZkladntextChar">
    <w:name w:val="Základný text Char"/>
    <w:basedOn w:val="Predvolenpsmoodseku"/>
    <w:link w:val="Zkladntext"/>
    <w:uiPriority w:val="99"/>
    <w:locked/>
    <w:rsid w:val="0052348D"/>
    <w:rPr>
      <w:sz w:val="24"/>
      <w:lang w:val="sk-SK" w:eastAsia="sk-SK"/>
    </w:rPr>
  </w:style>
  <w:style w:type="paragraph" w:customStyle="1" w:styleId="Text">
    <w:name w:val="Text"/>
    <w:basedOn w:val="Normlny"/>
    <w:link w:val="TextChar"/>
    <w:rsid w:val="00D5586B"/>
    <w:pPr>
      <w:spacing w:before="120"/>
      <w:ind w:left="0" w:firstLine="0"/>
      <w:jc w:val="both"/>
    </w:pPr>
    <w:rPr>
      <w:color w:val="000000"/>
      <w:sz w:val="24"/>
      <w:lang w:val="en-US" w:eastAsia="en-US"/>
    </w:rPr>
  </w:style>
  <w:style w:type="character" w:customStyle="1" w:styleId="TextChar">
    <w:name w:val="Text Char"/>
    <w:link w:val="Text"/>
    <w:locked/>
    <w:rsid w:val="00D5586B"/>
    <w:rPr>
      <w:color w:val="000000"/>
      <w:sz w:val="24"/>
      <w:lang w:val="en-US" w:eastAsia="en-US"/>
    </w:rPr>
  </w:style>
  <w:style w:type="paragraph" w:customStyle="1" w:styleId="Table">
    <w:name w:val="Table"/>
    <w:basedOn w:val="Normlny"/>
    <w:rsid w:val="00AC556C"/>
    <w:pPr>
      <w:keepNext/>
      <w:keepLines/>
      <w:tabs>
        <w:tab w:val="left" w:pos="284"/>
      </w:tabs>
      <w:spacing w:before="40" w:after="20"/>
      <w:ind w:left="0" w:firstLine="0"/>
    </w:pPr>
    <w:rPr>
      <w:rFonts w:ascii="Arial" w:hAnsi="Arial"/>
      <w:sz w:val="20"/>
      <w:szCs w:val="20"/>
      <w:lang w:val="en-US" w:eastAsia="en-US"/>
    </w:rPr>
  </w:style>
  <w:style w:type="character" w:customStyle="1" w:styleId="TableChar">
    <w:name w:val="Table Char"/>
    <w:rsid w:val="00AC556C"/>
    <w:rPr>
      <w:rFonts w:ascii="Arial" w:hAnsi="Arial"/>
      <w:lang w:val="en-US" w:eastAsia="en-US"/>
    </w:rPr>
  </w:style>
  <w:style w:type="paragraph" w:styleId="Pta">
    <w:name w:val="footer"/>
    <w:basedOn w:val="Normlny"/>
    <w:link w:val="PtaChar"/>
    <w:uiPriority w:val="99"/>
    <w:rsid w:val="000D1591"/>
    <w:pPr>
      <w:tabs>
        <w:tab w:val="center" w:pos="4536"/>
        <w:tab w:val="right" w:pos="9072"/>
      </w:tabs>
    </w:pPr>
  </w:style>
  <w:style w:type="character" w:customStyle="1" w:styleId="PtaChar">
    <w:name w:val="Päta Char"/>
    <w:basedOn w:val="Predvolenpsmoodseku"/>
    <w:link w:val="Pta"/>
    <w:uiPriority w:val="99"/>
    <w:locked/>
    <w:rsid w:val="00C9503F"/>
    <w:rPr>
      <w:sz w:val="24"/>
      <w:lang w:val="sk-SK" w:eastAsia="sk-SK"/>
    </w:rPr>
  </w:style>
  <w:style w:type="character" w:styleId="slostrany">
    <w:name w:val="page number"/>
    <w:basedOn w:val="Predvolenpsmoodseku"/>
    <w:uiPriority w:val="99"/>
    <w:rsid w:val="000D1591"/>
    <w:rPr>
      <w:rFonts w:cs="Times New Roman"/>
    </w:rPr>
  </w:style>
  <w:style w:type="paragraph" w:styleId="Hlavika">
    <w:name w:val="header"/>
    <w:basedOn w:val="Normlny"/>
    <w:link w:val="HlavikaChar"/>
    <w:uiPriority w:val="99"/>
    <w:rsid w:val="0037246A"/>
    <w:pPr>
      <w:tabs>
        <w:tab w:val="center" w:pos="4536"/>
        <w:tab w:val="right" w:pos="9072"/>
      </w:tabs>
    </w:pPr>
  </w:style>
  <w:style w:type="character" w:customStyle="1" w:styleId="HlavikaChar">
    <w:name w:val="Hlavička Char"/>
    <w:basedOn w:val="Predvolenpsmoodseku"/>
    <w:link w:val="Hlavika"/>
    <w:uiPriority w:val="99"/>
    <w:locked/>
    <w:rsid w:val="00754C32"/>
    <w:rPr>
      <w:sz w:val="24"/>
      <w:lang w:val="sk-SK" w:eastAsia="sk-SK"/>
    </w:rPr>
  </w:style>
  <w:style w:type="paragraph" w:styleId="Zkladntext2">
    <w:name w:val="Body Text 2"/>
    <w:basedOn w:val="Normlny"/>
    <w:link w:val="Zkladntext2Char"/>
    <w:uiPriority w:val="99"/>
    <w:rsid w:val="003D1C76"/>
    <w:pPr>
      <w:spacing w:after="120" w:line="480" w:lineRule="auto"/>
    </w:pPr>
  </w:style>
  <w:style w:type="character" w:customStyle="1" w:styleId="Zkladntext2Char">
    <w:name w:val="Základný text 2 Char"/>
    <w:basedOn w:val="Predvolenpsmoodseku"/>
    <w:link w:val="Zkladntext2"/>
    <w:uiPriority w:val="99"/>
    <w:semiHidden/>
    <w:rsid w:val="00ED28C3"/>
    <w:rPr>
      <w:sz w:val="22"/>
      <w:szCs w:val="24"/>
    </w:rPr>
  </w:style>
  <w:style w:type="paragraph" w:customStyle="1" w:styleId="Texttelo">
    <w:name w:val="Text telo"/>
    <w:rsid w:val="00652856"/>
    <w:pPr>
      <w:tabs>
        <w:tab w:val="left" w:pos="170"/>
      </w:tabs>
      <w:jc w:val="both"/>
    </w:pPr>
    <w:rPr>
      <w:rFonts w:ascii="TimesE" w:hAnsi="TimesE"/>
      <w:color w:val="000000"/>
      <w:spacing w:val="15"/>
      <w:sz w:val="16"/>
      <w:lang w:val="cs-CZ" w:eastAsia="en-US"/>
    </w:rPr>
  </w:style>
  <w:style w:type="paragraph" w:styleId="Textbubliny">
    <w:name w:val="Balloon Text"/>
    <w:basedOn w:val="Normlny"/>
    <w:link w:val="TextbublinyChar"/>
    <w:uiPriority w:val="99"/>
    <w:semiHidden/>
    <w:rsid w:val="000B675B"/>
    <w:rPr>
      <w:rFonts w:ascii="Tahoma" w:hAnsi="Tahoma" w:cs="Tahoma"/>
      <w:sz w:val="16"/>
      <w:szCs w:val="16"/>
    </w:rPr>
  </w:style>
  <w:style w:type="character" w:customStyle="1" w:styleId="TextbublinyChar">
    <w:name w:val="Text bubliny Char"/>
    <w:basedOn w:val="Predvolenpsmoodseku"/>
    <w:link w:val="Textbubliny"/>
    <w:uiPriority w:val="99"/>
    <w:semiHidden/>
    <w:rsid w:val="00ED28C3"/>
    <w:rPr>
      <w:sz w:val="0"/>
      <w:szCs w:val="0"/>
    </w:rPr>
  </w:style>
  <w:style w:type="paragraph" w:customStyle="1" w:styleId="Default">
    <w:name w:val="Default"/>
    <w:rsid w:val="003D19BE"/>
    <w:pPr>
      <w:autoSpaceDE w:val="0"/>
      <w:autoSpaceDN w:val="0"/>
      <w:adjustRightInd w:val="0"/>
    </w:pPr>
    <w:rPr>
      <w:color w:val="000000"/>
      <w:sz w:val="24"/>
      <w:szCs w:val="24"/>
      <w:lang w:val="en-US" w:eastAsia="en-US"/>
    </w:rPr>
  </w:style>
  <w:style w:type="paragraph" w:styleId="Zarkazkladnhotextu">
    <w:name w:val="Body Text Indent"/>
    <w:basedOn w:val="Normlny"/>
    <w:link w:val="ZarkazkladnhotextuChar"/>
    <w:uiPriority w:val="99"/>
    <w:rsid w:val="005D25CC"/>
    <w:pPr>
      <w:spacing w:after="120"/>
      <w:ind w:left="283"/>
    </w:pPr>
  </w:style>
  <w:style w:type="character" w:customStyle="1" w:styleId="ZarkazkladnhotextuChar">
    <w:name w:val="Zarážka základného textu Char"/>
    <w:basedOn w:val="Predvolenpsmoodseku"/>
    <w:link w:val="Zarkazkladnhotextu"/>
    <w:uiPriority w:val="99"/>
    <w:locked/>
    <w:rsid w:val="005D25CC"/>
    <w:rPr>
      <w:sz w:val="24"/>
      <w:lang w:val="sk-SK" w:eastAsia="sk-SK"/>
    </w:rPr>
  </w:style>
  <w:style w:type="paragraph" w:styleId="Revzia">
    <w:name w:val="Revision"/>
    <w:hidden/>
    <w:uiPriority w:val="99"/>
    <w:semiHidden/>
    <w:rsid w:val="00043C6F"/>
    <w:rPr>
      <w:sz w:val="22"/>
      <w:szCs w:val="24"/>
    </w:rPr>
  </w:style>
  <w:style w:type="paragraph" w:styleId="Predmetkomentra">
    <w:name w:val="annotation subject"/>
    <w:basedOn w:val="Textkomentra"/>
    <w:next w:val="Textkomentra"/>
    <w:link w:val="PredmetkomentraChar"/>
    <w:uiPriority w:val="99"/>
    <w:rsid w:val="00343FE0"/>
    <w:rPr>
      <w:b/>
      <w:bCs/>
    </w:rPr>
  </w:style>
  <w:style w:type="character" w:customStyle="1" w:styleId="PredmetkomentraChar">
    <w:name w:val="Predmet komentára Char"/>
    <w:basedOn w:val="TextkomentraChar"/>
    <w:link w:val="Predmetkomentra"/>
    <w:uiPriority w:val="99"/>
    <w:locked/>
    <w:rsid w:val="00343FE0"/>
    <w:rPr>
      <w:b/>
      <w:lang w:val="sk-SK" w:eastAsia="sk-SK"/>
    </w:rPr>
  </w:style>
  <w:style w:type="paragraph" w:customStyle="1" w:styleId="CM11">
    <w:name w:val="CM11"/>
    <w:basedOn w:val="Normlny"/>
    <w:next w:val="Normlny"/>
    <w:rsid w:val="003E3209"/>
    <w:pPr>
      <w:widowControl w:val="0"/>
      <w:autoSpaceDE w:val="0"/>
      <w:autoSpaceDN w:val="0"/>
      <w:adjustRightInd w:val="0"/>
      <w:ind w:left="0" w:firstLine="0"/>
    </w:pPr>
    <w:rPr>
      <w:rFonts w:ascii="Arial" w:hAnsi="Arial" w:cs="Arial"/>
      <w:sz w:val="24"/>
    </w:rPr>
  </w:style>
  <w:style w:type="character" w:styleId="PouitHypertextovPrepojenie">
    <w:name w:val="FollowedHyperlink"/>
    <w:basedOn w:val="Predvolenpsmoodseku"/>
    <w:uiPriority w:val="99"/>
    <w:rsid w:val="00265CC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2">
    <w:name w:val="heading 2"/>
    <w:basedOn w:val="Normlny"/>
    <w:next w:val="Normlny"/>
    <w:link w:val="Nadpis2Char"/>
    <w:uiPriority w:val="9"/>
    <w:qFormat/>
    <w:rsid w:val="00133C28"/>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8D74B3"/>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8D74B3"/>
    <w:pPr>
      <w:spacing w:before="240" w:after="60"/>
      <w:outlineLvl w:val="4"/>
    </w:pPr>
    <w:rPr>
      <w:b/>
      <w:bCs/>
      <w:i/>
      <w:iCs/>
      <w:sz w:val="26"/>
      <w:szCs w:val="26"/>
    </w:rPr>
  </w:style>
  <w:style w:type="paragraph" w:styleId="Nadpis7">
    <w:name w:val="heading 7"/>
    <w:basedOn w:val="Normlny"/>
    <w:next w:val="Normlny"/>
    <w:link w:val="Nadpis7Char"/>
    <w:uiPriority w:val="9"/>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ED28C3"/>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ED28C3"/>
    <w:rPr>
      <w:rFonts w:asciiTheme="majorHAnsi" w:eastAsiaTheme="majorEastAsia" w:hAnsiTheme="majorHAnsi" w:cstheme="majorBidi"/>
      <w:b/>
      <w:bCs/>
      <w:sz w:val="26"/>
      <w:szCs w:val="26"/>
    </w:rPr>
  </w:style>
  <w:style w:type="character" w:customStyle="1" w:styleId="Nadpis5Char">
    <w:name w:val="Nadpis 5 Char"/>
    <w:basedOn w:val="Predvolenpsmoodseku"/>
    <w:link w:val="Nadpis5"/>
    <w:uiPriority w:val="9"/>
    <w:semiHidden/>
    <w:rsid w:val="00ED28C3"/>
    <w:rPr>
      <w:rFonts w:asciiTheme="minorHAnsi" w:eastAsiaTheme="minorEastAsia" w:hAnsiTheme="minorHAnsi" w:cstheme="minorBidi"/>
      <w:b/>
      <w:bCs/>
      <w:i/>
      <w:iCs/>
      <w:sz w:val="26"/>
      <w:szCs w:val="26"/>
    </w:rPr>
  </w:style>
  <w:style w:type="character" w:customStyle="1" w:styleId="Nadpis7Char">
    <w:name w:val="Nadpis 7 Char"/>
    <w:basedOn w:val="Predvolenpsmoodseku"/>
    <w:link w:val="Nadpis7"/>
    <w:uiPriority w:val="9"/>
    <w:semiHidden/>
    <w:rsid w:val="00ED28C3"/>
    <w:rPr>
      <w:rFonts w:asciiTheme="minorHAnsi" w:eastAsiaTheme="minorEastAsia" w:hAnsiTheme="minorHAnsi" w:cstheme="minorBidi"/>
      <w:sz w:val="24"/>
      <w:szCs w:val="24"/>
    </w:rPr>
  </w:style>
  <w:style w:type="character" w:styleId="Hypertextovprepojenie">
    <w:name w:val="Hyperlink"/>
    <w:basedOn w:val="Predvolenpsmoodseku"/>
    <w:uiPriority w:val="99"/>
    <w:rPr>
      <w:color w:val="0000FF"/>
      <w:u w:val="single"/>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basedOn w:val="Predvolenpsmoodseku"/>
    <w:uiPriority w:val="99"/>
    <w:semiHidden/>
    <w:rPr>
      <w:sz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locked/>
    <w:rsid w:val="00343FE0"/>
    <w:rPr>
      <w:lang w:val="sk-SK" w:eastAsia="sk-SK"/>
    </w:rPr>
  </w:style>
  <w:style w:type="paragraph" w:customStyle="1" w:styleId="Predmetkomentra1">
    <w:name w:val="Predmet komentára1"/>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uiPriority w:val="99"/>
    <w:pPr>
      <w:ind w:left="0" w:firstLine="0"/>
    </w:pPr>
  </w:style>
  <w:style w:type="character" w:customStyle="1" w:styleId="ZkladntextChar">
    <w:name w:val="Základný text Char"/>
    <w:basedOn w:val="Predvolenpsmoodseku"/>
    <w:link w:val="Zkladntext"/>
    <w:uiPriority w:val="99"/>
    <w:locked/>
    <w:rsid w:val="0052348D"/>
    <w:rPr>
      <w:sz w:val="24"/>
      <w:lang w:val="sk-SK" w:eastAsia="sk-SK"/>
    </w:rPr>
  </w:style>
  <w:style w:type="paragraph" w:customStyle="1" w:styleId="Text">
    <w:name w:val="Text"/>
    <w:basedOn w:val="Normlny"/>
    <w:link w:val="TextChar"/>
    <w:rsid w:val="00D5586B"/>
    <w:pPr>
      <w:spacing w:before="120"/>
      <w:ind w:left="0" w:firstLine="0"/>
      <w:jc w:val="both"/>
    </w:pPr>
    <w:rPr>
      <w:color w:val="000000"/>
      <w:sz w:val="24"/>
      <w:lang w:val="en-US" w:eastAsia="en-US"/>
    </w:rPr>
  </w:style>
  <w:style w:type="character" w:customStyle="1" w:styleId="TextChar">
    <w:name w:val="Text Char"/>
    <w:link w:val="Text"/>
    <w:locked/>
    <w:rsid w:val="00D5586B"/>
    <w:rPr>
      <w:color w:val="000000"/>
      <w:sz w:val="24"/>
      <w:lang w:val="en-US" w:eastAsia="en-US"/>
    </w:rPr>
  </w:style>
  <w:style w:type="paragraph" w:customStyle="1" w:styleId="Table">
    <w:name w:val="Table"/>
    <w:basedOn w:val="Normlny"/>
    <w:rsid w:val="00AC556C"/>
    <w:pPr>
      <w:keepNext/>
      <w:keepLines/>
      <w:tabs>
        <w:tab w:val="left" w:pos="284"/>
      </w:tabs>
      <w:spacing w:before="40" w:after="20"/>
      <w:ind w:left="0" w:firstLine="0"/>
    </w:pPr>
    <w:rPr>
      <w:rFonts w:ascii="Arial" w:hAnsi="Arial"/>
      <w:sz w:val="20"/>
      <w:szCs w:val="20"/>
      <w:lang w:val="en-US" w:eastAsia="en-US"/>
    </w:rPr>
  </w:style>
  <w:style w:type="character" w:customStyle="1" w:styleId="TableChar">
    <w:name w:val="Table Char"/>
    <w:rsid w:val="00AC556C"/>
    <w:rPr>
      <w:rFonts w:ascii="Arial" w:hAnsi="Arial"/>
      <w:lang w:val="en-US" w:eastAsia="en-US"/>
    </w:rPr>
  </w:style>
  <w:style w:type="paragraph" w:styleId="Pta">
    <w:name w:val="footer"/>
    <w:basedOn w:val="Normlny"/>
    <w:link w:val="PtaChar"/>
    <w:uiPriority w:val="99"/>
    <w:rsid w:val="000D1591"/>
    <w:pPr>
      <w:tabs>
        <w:tab w:val="center" w:pos="4536"/>
        <w:tab w:val="right" w:pos="9072"/>
      </w:tabs>
    </w:pPr>
  </w:style>
  <w:style w:type="character" w:customStyle="1" w:styleId="PtaChar">
    <w:name w:val="Päta Char"/>
    <w:basedOn w:val="Predvolenpsmoodseku"/>
    <w:link w:val="Pta"/>
    <w:uiPriority w:val="99"/>
    <w:locked/>
    <w:rsid w:val="00C9503F"/>
    <w:rPr>
      <w:sz w:val="24"/>
      <w:lang w:val="sk-SK" w:eastAsia="sk-SK"/>
    </w:rPr>
  </w:style>
  <w:style w:type="character" w:styleId="slostrany">
    <w:name w:val="page number"/>
    <w:basedOn w:val="Predvolenpsmoodseku"/>
    <w:uiPriority w:val="99"/>
    <w:rsid w:val="000D1591"/>
    <w:rPr>
      <w:rFonts w:cs="Times New Roman"/>
    </w:rPr>
  </w:style>
  <w:style w:type="paragraph" w:styleId="Hlavika">
    <w:name w:val="header"/>
    <w:basedOn w:val="Normlny"/>
    <w:link w:val="HlavikaChar"/>
    <w:uiPriority w:val="99"/>
    <w:rsid w:val="0037246A"/>
    <w:pPr>
      <w:tabs>
        <w:tab w:val="center" w:pos="4536"/>
        <w:tab w:val="right" w:pos="9072"/>
      </w:tabs>
    </w:pPr>
  </w:style>
  <w:style w:type="character" w:customStyle="1" w:styleId="HlavikaChar">
    <w:name w:val="Hlavička Char"/>
    <w:basedOn w:val="Predvolenpsmoodseku"/>
    <w:link w:val="Hlavika"/>
    <w:uiPriority w:val="99"/>
    <w:locked/>
    <w:rsid w:val="00754C32"/>
    <w:rPr>
      <w:sz w:val="24"/>
      <w:lang w:val="sk-SK" w:eastAsia="sk-SK"/>
    </w:rPr>
  </w:style>
  <w:style w:type="paragraph" w:styleId="Zkladntext2">
    <w:name w:val="Body Text 2"/>
    <w:basedOn w:val="Normlny"/>
    <w:link w:val="Zkladntext2Char"/>
    <w:uiPriority w:val="99"/>
    <w:rsid w:val="003D1C76"/>
    <w:pPr>
      <w:spacing w:after="120" w:line="480" w:lineRule="auto"/>
    </w:pPr>
  </w:style>
  <w:style w:type="character" w:customStyle="1" w:styleId="Zkladntext2Char">
    <w:name w:val="Základný text 2 Char"/>
    <w:basedOn w:val="Predvolenpsmoodseku"/>
    <w:link w:val="Zkladntext2"/>
    <w:uiPriority w:val="99"/>
    <w:semiHidden/>
    <w:rsid w:val="00ED28C3"/>
    <w:rPr>
      <w:sz w:val="22"/>
      <w:szCs w:val="24"/>
    </w:rPr>
  </w:style>
  <w:style w:type="paragraph" w:customStyle="1" w:styleId="Texttelo">
    <w:name w:val="Text telo"/>
    <w:rsid w:val="00652856"/>
    <w:pPr>
      <w:tabs>
        <w:tab w:val="left" w:pos="170"/>
      </w:tabs>
      <w:jc w:val="both"/>
    </w:pPr>
    <w:rPr>
      <w:rFonts w:ascii="TimesE" w:hAnsi="TimesE"/>
      <w:color w:val="000000"/>
      <w:spacing w:val="15"/>
      <w:sz w:val="16"/>
      <w:lang w:val="cs-CZ" w:eastAsia="en-US"/>
    </w:rPr>
  </w:style>
  <w:style w:type="paragraph" w:styleId="Textbubliny">
    <w:name w:val="Balloon Text"/>
    <w:basedOn w:val="Normlny"/>
    <w:link w:val="TextbublinyChar"/>
    <w:uiPriority w:val="99"/>
    <w:semiHidden/>
    <w:rsid w:val="000B675B"/>
    <w:rPr>
      <w:rFonts w:ascii="Tahoma" w:hAnsi="Tahoma" w:cs="Tahoma"/>
      <w:sz w:val="16"/>
      <w:szCs w:val="16"/>
    </w:rPr>
  </w:style>
  <w:style w:type="character" w:customStyle="1" w:styleId="TextbublinyChar">
    <w:name w:val="Text bubliny Char"/>
    <w:basedOn w:val="Predvolenpsmoodseku"/>
    <w:link w:val="Textbubliny"/>
    <w:uiPriority w:val="99"/>
    <w:semiHidden/>
    <w:rsid w:val="00ED28C3"/>
    <w:rPr>
      <w:sz w:val="0"/>
      <w:szCs w:val="0"/>
    </w:rPr>
  </w:style>
  <w:style w:type="paragraph" w:customStyle="1" w:styleId="Default">
    <w:name w:val="Default"/>
    <w:rsid w:val="003D19BE"/>
    <w:pPr>
      <w:autoSpaceDE w:val="0"/>
      <w:autoSpaceDN w:val="0"/>
      <w:adjustRightInd w:val="0"/>
    </w:pPr>
    <w:rPr>
      <w:color w:val="000000"/>
      <w:sz w:val="24"/>
      <w:szCs w:val="24"/>
      <w:lang w:val="en-US" w:eastAsia="en-US"/>
    </w:rPr>
  </w:style>
  <w:style w:type="paragraph" w:styleId="Zarkazkladnhotextu">
    <w:name w:val="Body Text Indent"/>
    <w:basedOn w:val="Normlny"/>
    <w:link w:val="ZarkazkladnhotextuChar"/>
    <w:uiPriority w:val="99"/>
    <w:rsid w:val="005D25CC"/>
    <w:pPr>
      <w:spacing w:after="120"/>
      <w:ind w:left="283"/>
    </w:pPr>
  </w:style>
  <w:style w:type="character" w:customStyle="1" w:styleId="ZarkazkladnhotextuChar">
    <w:name w:val="Zarážka základného textu Char"/>
    <w:basedOn w:val="Predvolenpsmoodseku"/>
    <w:link w:val="Zarkazkladnhotextu"/>
    <w:uiPriority w:val="99"/>
    <w:locked/>
    <w:rsid w:val="005D25CC"/>
    <w:rPr>
      <w:sz w:val="24"/>
      <w:lang w:val="sk-SK" w:eastAsia="sk-SK"/>
    </w:rPr>
  </w:style>
  <w:style w:type="paragraph" w:styleId="Revzia">
    <w:name w:val="Revision"/>
    <w:hidden/>
    <w:uiPriority w:val="99"/>
    <w:semiHidden/>
    <w:rsid w:val="00043C6F"/>
    <w:rPr>
      <w:sz w:val="22"/>
      <w:szCs w:val="24"/>
    </w:rPr>
  </w:style>
  <w:style w:type="paragraph" w:styleId="Predmetkomentra">
    <w:name w:val="annotation subject"/>
    <w:basedOn w:val="Textkomentra"/>
    <w:next w:val="Textkomentra"/>
    <w:link w:val="PredmetkomentraChar"/>
    <w:uiPriority w:val="99"/>
    <w:rsid w:val="00343FE0"/>
    <w:rPr>
      <w:b/>
      <w:bCs/>
    </w:rPr>
  </w:style>
  <w:style w:type="character" w:customStyle="1" w:styleId="PredmetkomentraChar">
    <w:name w:val="Predmet komentára Char"/>
    <w:basedOn w:val="TextkomentraChar"/>
    <w:link w:val="Predmetkomentra"/>
    <w:uiPriority w:val="99"/>
    <w:locked/>
    <w:rsid w:val="00343FE0"/>
    <w:rPr>
      <w:b/>
      <w:lang w:val="sk-SK" w:eastAsia="sk-SK"/>
    </w:rPr>
  </w:style>
  <w:style w:type="paragraph" w:customStyle="1" w:styleId="CM11">
    <w:name w:val="CM11"/>
    <w:basedOn w:val="Normlny"/>
    <w:next w:val="Normlny"/>
    <w:rsid w:val="003E3209"/>
    <w:pPr>
      <w:widowControl w:val="0"/>
      <w:autoSpaceDE w:val="0"/>
      <w:autoSpaceDN w:val="0"/>
      <w:adjustRightInd w:val="0"/>
      <w:ind w:left="0" w:firstLine="0"/>
    </w:pPr>
    <w:rPr>
      <w:rFonts w:ascii="Arial" w:hAnsi="Arial" w:cs="Arial"/>
      <w:sz w:val="24"/>
    </w:rPr>
  </w:style>
  <w:style w:type="character" w:styleId="PouitHypertextovPrepojenie">
    <w:name w:val="FollowedHyperlink"/>
    <w:basedOn w:val="Predvolenpsmoodseku"/>
    <w:uiPriority w:val="99"/>
    <w:rsid w:val="00265C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6543">
      <w:marLeft w:val="0"/>
      <w:marRight w:val="0"/>
      <w:marTop w:val="0"/>
      <w:marBottom w:val="0"/>
      <w:divBdr>
        <w:top w:val="none" w:sz="0" w:space="0" w:color="auto"/>
        <w:left w:val="none" w:sz="0" w:space="0" w:color="auto"/>
        <w:bottom w:val="none" w:sz="0" w:space="0" w:color="auto"/>
        <w:right w:val="none" w:sz="0" w:space="0" w:color="auto"/>
      </w:divBdr>
    </w:div>
    <w:div w:id="105126544">
      <w:marLeft w:val="0"/>
      <w:marRight w:val="0"/>
      <w:marTop w:val="0"/>
      <w:marBottom w:val="0"/>
      <w:divBdr>
        <w:top w:val="none" w:sz="0" w:space="0" w:color="auto"/>
        <w:left w:val="none" w:sz="0" w:space="0" w:color="auto"/>
        <w:bottom w:val="none" w:sz="0" w:space="0" w:color="auto"/>
        <w:right w:val="none" w:sz="0" w:space="0" w:color="auto"/>
      </w:divBdr>
    </w:div>
    <w:div w:id="105126545">
      <w:marLeft w:val="0"/>
      <w:marRight w:val="0"/>
      <w:marTop w:val="0"/>
      <w:marBottom w:val="0"/>
      <w:divBdr>
        <w:top w:val="none" w:sz="0" w:space="0" w:color="auto"/>
        <w:left w:val="none" w:sz="0" w:space="0" w:color="auto"/>
        <w:bottom w:val="none" w:sz="0" w:space="0" w:color="auto"/>
        <w:right w:val="none" w:sz="0" w:space="0" w:color="auto"/>
      </w:divBdr>
    </w:div>
    <w:div w:id="105126546">
      <w:marLeft w:val="0"/>
      <w:marRight w:val="0"/>
      <w:marTop w:val="0"/>
      <w:marBottom w:val="0"/>
      <w:divBdr>
        <w:top w:val="none" w:sz="0" w:space="0" w:color="auto"/>
        <w:left w:val="none" w:sz="0" w:space="0" w:color="auto"/>
        <w:bottom w:val="none" w:sz="0" w:space="0" w:color="auto"/>
        <w:right w:val="none" w:sz="0" w:space="0" w:color="auto"/>
      </w:divBdr>
    </w:div>
    <w:div w:id="105126547">
      <w:marLeft w:val="0"/>
      <w:marRight w:val="0"/>
      <w:marTop w:val="0"/>
      <w:marBottom w:val="0"/>
      <w:divBdr>
        <w:top w:val="none" w:sz="0" w:space="0" w:color="auto"/>
        <w:left w:val="none" w:sz="0" w:space="0" w:color="auto"/>
        <w:bottom w:val="none" w:sz="0" w:space="0" w:color="auto"/>
        <w:right w:val="none" w:sz="0" w:space="0" w:color="auto"/>
      </w:divBdr>
    </w:div>
    <w:div w:id="1051265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4507</Words>
  <Characters>30566</Characters>
  <Application>Microsoft Office Word</Application>
  <DocSecurity>0</DocSecurity>
  <Lines>254</Lines>
  <Paragraphs>70</Paragraphs>
  <ScaleCrop>false</ScaleCrop>
  <HeadingPairs>
    <vt:vector size="2" baseType="variant">
      <vt:variant>
        <vt:lpstr>Názov</vt:lpstr>
      </vt:variant>
      <vt:variant>
        <vt:i4>1</vt:i4>
      </vt:variant>
    </vt:vector>
  </HeadingPairs>
  <TitlesOfParts>
    <vt:vector size="1" baseType="lpstr">
      <vt:lpstr>[Version 7, 07/2005]</vt:lpstr>
    </vt:vector>
  </TitlesOfParts>
  <Company>Štátny ústav pre kontrolu liečiv</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 07/2005]</dc:title>
  <dc:subject>General-EMEA/230916/2005</dc:subject>
  <dc:creator>Potucek, Peter</dc:creator>
  <cp:lastModifiedBy>Uhnáková Milota</cp:lastModifiedBy>
  <cp:revision>2</cp:revision>
  <cp:lastPrinted>2016-08-05T13:43:00Z</cp:lastPrinted>
  <dcterms:created xsi:type="dcterms:W3CDTF">2019-09-24T12:02:00Z</dcterms:created>
  <dcterms:modified xsi:type="dcterms:W3CDTF">2019-09-24T12:02:00Z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General-EMEA/230916/2005</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 final 250705</vt:lpwstr>
  </property>
  <property fmtid="{D5CDD505-2E9C-101B-9397-08002B2CF9AE}" pid="9" name="DM_Owner">
    <vt:lpwstr>Prizzi Monica</vt:lpwstr>
  </property>
  <property fmtid="{D5CDD505-2E9C-101B-9397-08002B2CF9AE}" pid="10" name="DM_Creation_Date">
    <vt:lpwstr>25/07/2005 11:43:36</vt:lpwstr>
  </property>
  <property fmtid="{D5CDD505-2E9C-101B-9397-08002B2CF9AE}" pid="11" name="DM_Creator_Name">
    <vt:lpwstr>Prizzi Monica</vt:lpwstr>
  </property>
  <property fmtid="{D5CDD505-2E9C-101B-9397-08002B2CF9AE}" pid="12" name="DM_Modifer_Name">
    <vt:lpwstr>Prizzi Monica</vt:lpwstr>
  </property>
  <property fmtid="{D5CDD505-2E9C-101B-9397-08002B2CF9AE}" pid="13" name="DM_Modified_Date">
    <vt:lpwstr>25/07/2005 11:44:01</vt:lpwstr>
  </property>
  <property fmtid="{D5CDD505-2E9C-101B-9397-08002B2CF9AE}" pid="14" name="DM_Type">
    <vt:lpwstr>emea_document</vt:lpwstr>
  </property>
  <property fmtid="{D5CDD505-2E9C-101B-9397-08002B2CF9AE}" pid="15" name="DM_Version">
    <vt:lpwstr>1.0, CURRENT</vt:lpwstr>
  </property>
  <property fmtid="{D5CDD505-2E9C-101B-9397-08002B2CF9AE}" pid="16" name="DM_emea_doc_ref_id">
    <vt:lpwstr>EMEA/230916/2005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230916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MSIP_Label_4929bff8-5b33-42aa-95d2-28f72e792cb0_Enabled">
    <vt:lpwstr>True</vt:lpwstr>
  </property>
  <property fmtid="{D5CDD505-2E9C-101B-9397-08002B2CF9AE}" pid="33" name="MSIP_Label_4929bff8-5b33-42aa-95d2-28f72e792cb0_SiteId">
    <vt:lpwstr>f35a6974-607f-47d4-82d7-ff31d7dc53a5</vt:lpwstr>
  </property>
  <property fmtid="{D5CDD505-2E9C-101B-9397-08002B2CF9AE}" pid="34" name="MSIP_Label_4929bff8-5b33-42aa-95d2-28f72e792cb0_Owner">
    <vt:lpwstr>JOZSOMI1@novartis.net</vt:lpwstr>
  </property>
  <property fmtid="{D5CDD505-2E9C-101B-9397-08002B2CF9AE}" pid="35" name="MSIP_Label_4929bff8-5b33-42aa-95d2-28f72e792cb0_SetDate">
    <vt:lpwstr>2018-09-24T11:11:54.0322105Z</vt:lpwstr>
  </property>
  <property fmtid="{D5CDD505-2E9C-101B-9397-08002B2CF9AE}" pid="36" name="MSIP_Label_4929bff8-5b33-42aa-95d2-28f72e792cb0_Name">
    <vt:lpwstr>Business Use Only</vt:lpwstr>
  </property>
  <property fmtid="{D5CDD505-2E9C-101B-9397-08002B2CF9AE}" pid="37" name="MSIP_Label_4929bff8-5b33-42aa-95d2-28f72e792cb0_Application">
    <vt:lpwstr>Microsoft Azure Information Protection</vt:lpwstr>
  </property>
  <property fmtid="{D5CDD505-2E9C-101B-9397-08002B2CF9AE}" pid="38" name="MSIP_Label_4929bff8-5b33-42aa-95d2-28f72e792cb0_Extended_MSFT_Method">
    <vt:lpwstr>Automatic</vt:lpwstr>
  </property>
  <property fmtid="{D5CDD505-2E9C-101B-9397-08002B2CF9AE}" pid="39" name="Confidentiality">
    <vt:lpwstr>Business Use Only</vt:lpwstr>
  </property>
</Properties>
</file>