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1AA74" w14:textId="77777777" w:rsidR="003A191A" w:rsidRDefault="003A191A" w:rsidP="00D51B1B">
      <w:pPr>
        <w:pStyle w:val="SPCaPILhlavika"/>
        <w:rPr>
          <w:lang w:val="sk-SK"/>
        </w:rPr>
      </w:pPr>
      <w:bookmarkStart w:id="0" w:name="_GoBack"/>
      <w:bookmarkEnd w:id="0"/>
    </w:p>
    <w:p w14:paraId="25B5A3E8" w14:textId="77777777" w:rsidR="002800E5" w:rsidRDefault="002800E5" w:rsidP="00D51B1B">
      <w:pPr>
        <w:pStyle w:val="SPCaPILhlavika"/>
        <w:rPr>
          <w:lang w:val="sk-SK"/>
        </w:rPr>
      </w:pPr>
    </w:p>
    <w:p w14:paraId="528506DC" w14:textId="77777777" w:rsidR="00F75BDF" w:rsidRPr="00D51B1B" w:rsidRDefault="00F75BDF" w:rsidP="00D51B1B">
      <w:pPr>
        <w:pStyle w:val="SPCaPILhlavika"/>
        <w:rPr>
          <w:b w:val="0"/>
          <w:lang w:val="sk-SK"/>
        </w:rPr>
      </w:pPr>
      <w:r w:rsidRPr="00D51B1B">
        <w:rPr>
          <w:lang w:val="sk-SK"/>
        </w:rPr>
        <w:t>SÚHRN CHARAKTERISTICKÝCH VLASTNOSTÍ LIEKU</w:t>
      </w:r>
    </w:p>
    <w:p w14:paraId="5464F87E" w14:textId="77777777" w:rsidR="00D52A6F" w:rsidRPr="00D51B1B" w:rsidRDefault="00D52A6F" w:rsidP="00D51B1B">
      <w:pPr>
        <w:pStyle w:val="SPCaPILhlavika"/>
        <w:rPr>
          <w:lang w:val="sk-SK"/>
        </w:rPr>
      </w:pPr>
    </w:p>
    <w:p w14:paraId="409DDA0E" w14:textId="77777777" w:rsidR="00F75BDF" w:rsidRPr="00D51B1B" w:rsidRDefault="00F75BDF" w:rsidP="00D51B1B">
      <w:pPr>
        <w:pStyle w:val="Styl1"/>
        <w:rPr>
          <w:b w:val="0"/>
          <w:lang w:val="sk-SK"/>
        </w:rPr>
      </w:pPr>
      <w:r w:rsidRPr="007466D1">
        <w:rPr>
          <w:lang w:val="sk-SK"/>
        </w:rPr>
        <w:t>1.</w:t>
      </w:r>
      <w:r w:rsidRPr="007466D1">
        <w:rPr>
          <w:lang w:val="sk-SK"/>
        </w:rPr>
        <w:tab/>
      </w:r>
      <w:r w:rsidRPr="00D51B1B">
        <w:rPr>
          <w:lang w:val="sk-SK"/>
        </w:rPr>
        <w:t>NÁZOV LIEKU</w:t>
      </w:r>
    </w:p>
    <w:p w14:paraId="02C33497" w14:textId="77777777" w:rsidR="00F75BDF" w:rsidRPr="00D51B1B" w:rsidRDefault="00F75BDF" w:rsidP="00317A57">
      <w:pPr>
        <w:pStyle w:val="Normlndobloku"/>
      </w:pPr>
      <w:r w:rsidRPr="00D51B1B">
        <w:t>DAPRIL 5 mg</w:t>
      </w:r>
    </w:p>
    <w:p w14:paraId="15C52EBE" w14:textId="77777777" w:rsidR="00F75BDF" w:rsidRPr="003D2594" w:rsidRDefault="00F75BDF" w:rsidP="00317A57">
      <w:pPr>
        <w:pStyle w:val="Normlndobloku"/>
      </w:pPr>
      <w:r w:rsidRPr="003D2594">
        <w:t>DAPRIL 10 mg</w:t>
      </w:r>
    </w:p>
    <w:p w14:paraId="489EF71B" w14:textId="77777777" w:rsidR="00F75BDF" w:rsidRPr="002800E5" w:rsidRDefault="00F75BDF" w:rsidP="00317A57">
      <w:pPr>
        <w:pStyle w:val="Normlndobloku"/>
      </w:pPr>
      <w:r w:rsidRPr="003D2594">
        <w:t>DAPRIL 20 mg</w:t>
      </w:r>
    </w:p>
    <w:p w14:paraId="157AAD9D" w14:textId="77777777" w:rsidR="00F75BDF" w:rsidRPr="007466D1" w:rsidRDefault="00F75BDF" w:rsidP="00317A57">
      <w:pPr>
        <w:pStyle w:val="Normlndobloku"/>
      </w:pPr>
      <w:r w:rsidRPr="002800E5">
        <w:t>tablety</w:t>
      </w:r>
    </w:p>
    <w:p w14:paraId="1E631B9B" w14:textId="77777777" w:rsidR="00F75BDF" w:rsidRPr="00D51B1B" w:rsidRDefault="00F75BDF" w:rsidP="00D51B1B">
      <w:pPr>
        <w:pStyle w:val="Styl1"/>
        <w:rPr>
          <w:b w:val="0"/>
          <w:lang w:val="sk-SK"/>
        </w:rPr>
      </w:pPr>
      <w:r w:rsidRPr="007466D1">
        <w:rPr>
          <w:lang w:val="sk-SK"/>
        </w:rPr>
        <w:t>2.</w:t>
      </w:r>
      <w:r w:rsidRPr="007466D1">
        <w:rPr>
          <w:lang w:val="sk-SK"/>
        </w:rPr>
        <w:tab/>
      </w:r>
      <w:r w:rsidRPr="00D51B1B">
        <w:rPr>
          <w:lang w:val="sk-SK"/>
        </w:rPr>
        <w:t>KVALITATÍVNE A KVANTITATÍVNE ZLOŽENIE</w:t>
      </w:r>
    </w:p>
    <w:p w14:paraId="5B26CC4B" w14:textId="77777777" w:rsidR="00F75BDF" w:rsidRPr="007466D1" w:rsidRDefault="00F75BDF" w:rsidP="00317A57">
      <w:pPr>
        <w:pStyle w:val="Normlndobloku"/>
      </w:pPr>
      <w:r w:rsidRPr="007466D1">
        <w:t>DAPRIL 5 mg: Jedna</w:t>
      </w:r>
      <w:r w:rsidRPr="00E3367C">
        <w:t xml:space="preserve"> tableta obsahuje </w:t>
      </w:r>
      <w:r w:rsidRPr="007466D1">
        <w:t xml:space="preserve">5 mg </w:t>
      </w:r>
      <w:proofErr w:type="spellStart"/>
      <w:r w:rsidRPr="007466D1">
        <w:t>lizinoprilu</w:t>
      </w:r>
      <w:proofErr w:type="spellEnd"/>
      <w:r w:rsidRPr="007466D1">
        <w:t xml:space="preserve"> (vo forme </w:t>
      </w:r>
      <w:proofErr w:type="spellStart"/>
      <w:r w:rsidRPr="007466D1">
        <w:t>dihydrátu</w:t>
      </w:r>
      <w:proofErr w:type="spellEnd"/>
      <w:r w:rsidRPr="007466D1">
        <w:t xml:space="preserve"> </w:t>
      </w:r>
      <w:proofErr w:type="spellStart"/>
      <w:r w:rsidRPr="007466D1">
        <w:t>lizinoprilu</w:t>
      </w:r>
      <w:proofErr w:type="spellEnd"/>
      <w:r w:rsidRPr="007466D1">
        <w:t>)</w:t>
      </w:r>
    </w:p>
    <w:p w14:paraId="7A7841EB" w14:textId="77777777" w:rsidR="00F75BDF" w:rsidRPr="003D2594" w:rsidRDefault="00F75BDF" w:rsidP="00317A57">
      <w:pPr>
        <w:pStyle w:val="Normlndobloku"/>
      </w:pPr>
      <w:r w:rsidRPr="003D2594">
        <w:t xml:space="preserve">DAPRIL 10 mg: Jedna tableta obsahuje 10 mg </w:t>
      </w:r>
      <w:proofErr w:type="spellStart"/>
      <w:r w:rsidRPr="003D2594">
        <w:t>lizinoprilu</w:t>
      </w:r>
      <w:proofErr w:type="spellEnd"/>
      <w:r w:rsidRPr="003D2594">
        <w:t xml:space="preserve"> (vo forme </w:t>
      </w:r>
      <w:proofErr w:type="spellStart"/>
      <w:r w:rsidRPr="003D2594">
        <w:t>dihydrátu</w:t>
      </w:r>
      <w:proofErr w:type="spellEnd"/>
      <w:r w:rsidRPr="003D2594">
        <w:t xml:space="preserve"> </w:t>
      </w:r>
      <w:proofErr w:type="spellStart"/>
      <w:r w:rsidRPr="003D2594">
        <w:t>lizinoprilu</w:t>
      </w:r>
      <w:proofErr w:type="spellEnd"/>
      <w:r w:rsidRPr="003D2594">
        <w:t>)</w:t>
      </w:r>
    </w:p>
    <w:p w14:paraId="7285CB0E" w14:textId="77777777" w:rsidR="00F75BDF" w:rsidRPr="002800E5" w:rsidRDefault="00F75BDF" w:rsidP="00317A57">
      <w:pPr>
        <w:pStyle w:val="Normlndobloku"/>
      </w:pPr>
      <w:r w:rsidRPr="003D2594">
        <w:t xml:space="preserve">DAPRIL 20 mg: Jedna tableta obsahuje 20 mg </w:t>
      </w:r>
      <w:proofErr w:type="spellStart"/>
      <w:r w:rsidRPr="003D2594">
        <w:t>lizinoprilu</w:t>
      </w:r>
      <w:proofErr w:type="spellEnd"/>
      <w:r w:rsidRPr="003D2594">
        <w:t xml:space="preserve"> (vo forme </w:t>
      </w:r>
      <w:proofErr w:type="spellStart"/>
      <w:r w:rsidRPr="003D2594">
        <w:t>dihydrátu</w:t>
      </w:r>
      <w:proofErr w:type="spellEnd"/>
      <w:r w:rsidRPr="003D2594">
        <w:t xml:space="preserve"> </w:t>
      </w:r>
      <w:proofErr w:type="spellStart"/>
      <w:r w:rsidRPr="003D2594">
        <w:t>lizinoprilu</w:t>
      </w:r>
      <w:proofErr w:type="spellEnd"/>
      <w:r w:rsidRPr="002800E5">
        <w:t>)</w:t>
      </w:r>
    </w:p>
    <w:p w14:paraId="11CBCD80" w14:textId="77777777" w:rsidR="00F75BDF" w:rsidRPr="007466D1" w:rsidRDefault="00F75BDF" w:rsidP="00317A57">
      <w:pPr>
        <w:pStyle w:val="Normlndobloku"/>
      </w:pPr>
      <w:r w:rsidRPr="002800E5">
        <w:t>Úplný zoznam pomocných látok, pozri časť 6.1.</w:t>
      </w:r>
    </w:p>
    <w:p w14:paraId="52977340" w14:textId="77777777" w:rsidR="00F75BDF" w:rsidRPr="00D51B1B" w:rsidRDefault="00F75BDF" w:rsidP="00D51B1B">
      <w:pPr>
        <w:pStyle w:val="Styl1"/>
        <w:rPr>
          <w:b w:val="0"/>
          <w:lang w:val="sk-SK"/>
        </w:rPr>
      </w:pPr>
      <w:r w:rsidRPr="007466D1">
        <w:rPr>
          <w:lang w:val="sk-SK"/>
        </w:rPr>
        <w:t>3.</w:t>
      </w:r>
      <w:r w:rsidRPr="007466D1">
        <w:rPr>
          <w:lang w:val="sk-SK"/>
        </w:rPr>
        <w:tab/>
      </w:r>
      <w:r w:rsidRPr="00D51B1B">
        <w:rPr>
          <w:lang w:val="sk-SK"/>
        </w:rPr>
        <w:t>LIEKOVÁ FORMA</w:t>
      </w:r>
    </w:p>
    <w:p w14:paraId="172D5098" w14:textId="77777777" w:rsidR="00F75BDF" w:rsidRPr="00DF23CD" w:rsidRDefault="00F75BDF" w:rsidP="00317A57">
      <w:pPr>
        <w:pStyle w:val="Normlndobloku"/>
      </w:pPr>
      <w:r w:rsidRPr="00E3367C">
        <w:t>Tableta</w:t>
      </w:r>
    </w:p>
    <w:p w14:paraId="407991BD" w14:textId="77777777" w:rsidR="00D52A6F" w:rsidRPr="00E3367C" w:rsidRDefault="00F75BDF" w:rsidP="00317A57">
      <w:pPr>
        <w:pStyle w:val="Normlndobloku"/>
      </w:pPr>
      <w:r w:rsidRPr="007466D1">
        <w:t>DAPRIL</w:t>
      </w:r>
      <w:r w:rsidRPr="00E3367C">
        <w:t xml:space="preserve"> 5 mg</w:t>
      </w:r>
      <w:r w:rsidRPr="007466D1">
        <w:t>:</w:t>
      </w:r>
      <w:r w:rsidRPr="00E3367C">
        <w:t xml:space="preserve"> okrúhle ružové tablety s broskyňovou príchuťou s priemerom</w:t>
      </w:r>
      <w:r w:rsidRPr="00D51B1B">
        <w:t xml:space="preserve"> 6 mm</w:t>
      </w:r>
    </w:p>
    <w:p w14:paraId="12D8D42F" w14:textId="77777777" w:rsidR="00F75BDF" w:rsidRPr="003D2594" w:rsidRDefault="00F75BDF" w:rsidP="00317A57">
      <w:pPr>
        <w:pStyle w:val="Normlndobloku"/>
      </w:pPr>
      <w:r w:rsidRPr="003D2594">
        <w:t>DAPRIL 10 mg: okrúhle ružové tablety s broskyňovou príchuťou s priemerom 7 mm</w:t>
      </w:r>
    </w:p>
    <w:p w14:paraId="2350BE5B" w14:textId="77777777" w:rsidR="00F75BDF" w:rsidRPr="002800E5" w:rsidRDefault="00F75BDF" w:rsidP="00317A57">
      <w:pPr>
        <w:pStyle w:val="Normlndobloku"/>
      </w:pPr>
      <w:r w:rsidRPr="003D2594">
        <w:t>DAPRIL 20 mg: okrúhle červené tablety s broskyňovou príchuťou s priemerom 8 mm</w:t>
      </w:r>
    </w:p>
    <w:p w14:paraId="6BA37422" w14:textId="77777777" w:rsidR="00F75BDF" w:rsidRPr="00D51B1B" w:rsidRDefault="00F75BDF" w:rsidP="00D51B1B">
      <w:pPr>
        <w:pStyle w:val="Styl1"/>
        <w:rPr>
          <w:b w:val="0"/>
          <w:lang w:val="sk-SK"/>
        </w:rPr>
      </w:pPr>
      <w:r w:rsidRPr="002800E5">
        <w:rPr>
          <w:lang w:val="sk-SK"/>
        </w:rPr>
        <w:t>4.</w:t>
      </w:r>
      <w:r w:rsidRPr="002800E5">
        <w:rPr>
          <w:lang w:val="sk-SK"/>
        </w:rPr>
        <w:tab/>
        <w:t>KLINICKÉ ÚDAJE</w:t>
      </w:r>
    </w:p>
    <w:p w14:paraId="78AB3CB3" w14:textId="77777777" w:rsidR="00F75BDF" w:rsidRPr="00D51B1B" w:rsidRDefault="00F75BDF" w:rsidP="00D51B1B">
      <w:pPr>
        <w:pStyle w:val="Styl2"/>
        <w:rPr>
          <w:b w:val="0"/>
          <w:lang w:val="sk-SK"/>
        </w:rPr>
      </w:pPr>
      <w:r w:rsidRPr="007466D1">
        <w:rPr>
          <w:lang w:val="sk-SK"/>
        </w:rPr>
        <w:t>4.1</w:t>
      </w:r>
      <w:r w:rsidRPr="007466D1">
        <w:rPr>
          <w:lang w:val="sk-SK"/>
        </w:rPr>
        <w:tab/>
      </w:r>
      <w:r w:rsidRPr="00D51B1B">
        <w:rPr>
          <w:lang w:val="sk-SK"/>
        </w:rPr>
        <w:t>Terapeutické indikácie</w:t>
      </w:r>
    </w:p>
    <w:p w14:paraId="5C44A513" w14:textId="77777777" w:rsidR="00F75BDF" w:rsidRPr="00D51B1B" w:rsidRDefault="00F75BDF" w:rsidP="00D51B1B">
      <w:pPr>
        <w:pStyle w:val="Styl3"/>
        <w:rPr>
          <w:lang w:val="sk-SK"/>
        </w:rPr>
      </w:pPr>
      <w:r w:rsidRPr="007466D1">
        <w:rPr>
          <w:lang w:val="sk-SK"/>
        </w:rPr>
        <w:t>Hypertenzia</w:t>
      </w:r>
    </w:p>
    <w:p w14:paraId="507DA218" w14:textId="77777777" w:rsidR="00CA79E2" w:rsidRPr="007466D1" w:rsidRDefault="00F75BDF" w:rsidP="00317A57">
      <w:pPr>
        <w:pStyle w:val="Normlndobloku"/>
      </w:pPr>
      <w:r w:rsidRPr="00E3367C">
        <w:t>Liečba hypertenzie</w:t>
      </w:r>
    </w:p>
    <w:p w14:paraId="7EC04489" w14:textId="77777777" w:rsidR="00F75BDF" w:rsidRPr="007466D1" w:rsidRDefault="00F75BDF" w:rsidP="00CA79E2">
      <w:pPr>
        <w:pStyle w:val="Styl3"/>
        <w:rPr>
          <w:lang w:val="sk-SK"/>
        </w:rPr>
      </w:pPr>
      <w:r w:rsidRPr="007466D1">
        <w:rPr>
          <w:lang w:val="sk-SK"/>
        </w:rPr>
        <w:t>Srdcové zlyhanie</w:t>
      </w:r>
    </w:p>
    <w:p w14:paraId="31124976" w14:textId="77777777" w:rsidR="00CA79E2" w:rsidRPr="00E3367C" w:rsidRDefault="00F75BDF" w:rsidP="00317A57">
      <w:pPr>
        <w:pStyle w:val="Normlndobloku"/>
      </w:pPr>
      <w:r w:rsidRPr="007466D1">
        <w:t>Liečba sym</w:t>
      </w:r>
      <w:r w:rsidR="00CA79E2" w:rsidRPr="007466D1">
        <w:t>ptomatického srdcového</w:t>
      </w:r>
      <w:r w:rsidR="00CA79E2" w:rsidRPr="00E3367C">
        <w:t xml:space="preserve"> zlyhania</w:t>
      </w:r>
    </w:p>
    <w:p w14:paraId="2598F9ED" w14:textId="77777777" w:rsidR="00F75BDF" w:rsidRPr="00D51B1B" w:rsidRDefault="00F75BDF" w:rsidP="00D51B1B">
      <w:pPr>
        <w:pStyle w:val="Styl3"/>
        <w:rPr>
          <w:lang w:val="sk-SK"/>
        </w:rPr>
      </w:pPr>
      <w:r w:rsidRPr="00D51B1B">
        <w:rPr>
          <w:lang w:val="sk-SK"/>
        </w:rPr>
        <w:t>Akútny infarkt myokardu</w:t>
      </w:r>
    </w:p>
    <w:p w14:paraId="78B8CC91" w14:textId="77777777" w:rsidR="00CA79E2" w:rsidRPr="007466D1" w:rsidRDefault="00F75BDF" w:rsidP="00317A57">
      <w:pPr>
        <w:pStyle w:val="Normlndobloku"/>
      </w:pPr>
      <w:r w:rsidRPr="007466D1">
        <w:t xml:space="preserve">Krátkodobá (6 týždňová) liečba </w:t>
      </w:r>
      <w:proofErr w:type="spellStart"/>
      <w:r w:rsidRPr="007466D1">
        <w:t>hemodynamicky</w:t>
      </w:r>
      <w:proofErr w:type="spellEnd"/>
      <w:r w:rsidRPr="007466D1">
        <w:t xml:space="preserve"> stabilného pacienta v priebehu 24 hod</w:t>
      </w:r>
      <w:r w:rsidR="00CA79E2" w:rsidRPr="007466D1">
        <w:t>ín po akútnom infarkte myokardu</w:t>
      </w:r>
    </w:p>
    <w:p w14:paraId="648CBDDA" w14:textId="77777777" w:rsidR="00F75BDF" w:rsidRPr="007466D1" w:rsidRDefault="00F75BDF" w:rsidP="00CA79E2">
      <w:pPr>
        <w:pStyle w:val="Styl3"/>
        <w:rPr>
          <w:lang w:val="sk-SK"/>
        </w:rPr>
      </w:pPr>
      <w:proofErr w:type="spellStart"/>
      <w:r w:rsidRPr="007466D1">
        <w:rPr>
          <w:lang w:val="sk-SK"/>
        </w:rPr>
        <w:t>Renálne</w:t>
      </w:r>
      <w:proofErr w:type="spellEnd"/>
      <w:r w:rsidRPr="007466D1">
        <w:rPr>
          <w:lang w:val="sk-SK"/>
        </w:rPr>
        <w:t xml:space="preserve"> komplikácie pri ochorení diabetes </w:t>
      </w:r>
      <w:proofErr w:type="spellStart"/>
      <w:r w:rsidRPr="007466D1">
        <w:rPr>
          <w:lang w:val="sk-SK"/>
        </w:rPr>
        <w:t>mellitus</w:t>
      </w:r>
      <w:proofErr w:type="spellEnd"/>
    </w:p>
    <w:p w14:paraId="065C32AF" w14:textId="77777777" w:rsidR="00F75BDF" w:rsidRDefault="00F75BDF" w:rsidP="00317A57">
      <w:pPr>
        <w:pStyle w:val="Normlndobloku"/>
      </w:pPr>
      <w:r w:rsidRPr="007466D1">
        <w:t xml:space="preserve">Liečba ochorenia obličiek u pacienta s hypertenziou s 2. typom diabetes </w:t>
      </w:r>
      <w:proofErr w:type="spellStart"/>
      <w:r w:rsidRPr="007466D1">
        <w:t>mellitus</w:t>
      </w:r>
      <w:proofErr w:type="spellEnd"/>
      <w:r w:rsidRPr="007466D1">
        <w:t xml:space="preserve"> a počiatočnou </w:t>
      </w:r>
      <w:proofErr w:type="spellStart"/>
      <w:r w:rsidRPr="007466D1">
        <w:t>nefropatiou</w:t>
      </w:r>
      <w:proofErr w:type="spellEnd"/>
      <w:r w:rsidRPr="007466D1">
        <w:t xml:space="preserve"> (pozri časť 5.1).</w:t>
      </w:r>
    </w:p>
    <w:p w14:paraId="1A1118ED" w14:textId="77777777" w:rsidR="00740CED" w:rsidRPr="007466D1" w:rsidRDefault="00740CED" w:rsidP="00317A57">
      <w:pPr>
        <w:pStyle w:val="Normlndobloku"/>
      </w:pPr>
    </w:p>
    <w:p w14:paraId="1CF5FC2A" w14:textId="77777777" w:rsidR="00F75BDF" w:rsidRPr="00D51B1B" w:rsidRDefault="00F75BDF" w:rsidP="00D51B1B">
      <w:pPr>
        <w:pStyle w:val="Styl2"/>
        <w:rPr>
          <w:b w:val="0"/>
          <w:lang w:val="sk-SK"/>
        </w:rPr>
      </w:pPr>
      <w:r w:rsidRPr="007466D1">
        <w:rPr>
          <w:lang w:val="sk-SK"/>
        </w:rPr>
        <w:t>4.2</w:t>
      </w:r>
      <w:r w:rsidRPr="007466D1">
        <w:rPr>
          <w:lang w:val="sk-SK"/>
        </w:rPr>
        <w:tab/>
      </w:r>
      <w:r w:rsidRPr="00D51B1B">
        <w:rPr>
          <w:lang w:val="sk-SK"/>
        </w:rPr>
        <w:t>Dávkovanie a spôsob podávania</w:t>
      </w:r>
    </w:p>
    <w:p w14:paraId="23D79659" w14:textId="77777777" w:rsidR="00F75BDF" w:rsidRPr="00DF23CD" w:rsidRDefault="00F75BDF">
      <w:pPr>
        <w:pStyle w:val="Styl2-2"/>
      </w:pPr>
      <w:r w:rsidRPr="00D51B1B">
        <w:rPr>
          <w:i w:val="0"/>
          <w:u w:val="single"/>
        </w:rPr>
        <w:t>Dávkovanie</w:t>
      </w:r>
    </w:p>
    <w:p w14:paraId="20AFABED" w14:textId="77777777" w:rsidR="00F75BDF" w:rsidRPr="00DF23CD" w:rsidRDefault="00F75BDF">
      <w:pPr>
        <w:pStyle w:val="Styl2-2"/>
      </w:pPr>
      <w:r w:rsidRPr="00DF23CD">
        <w:t>Hypertenzia</w:t>
      </w:r>
    </w:p>
    <w:p w14:paraId="0E63638A" w14:textId="77777777" w:rsidR="00D52A6F" w:rsidRPr="007466D1" w:rsidRDefault="00F75BDF" w:rsidP="00317A57">
      <w:pPr>
        <w:pStyle w:val="Normlndobloku"/>
      </w:pPr>
      <w:r w:rsidRPr="007466D1">
        <w:t xml:space="preserve">DAPRIL sa môže </w:t>
      </w:r>
      <w:r w:rsidR="00A84BB2">
        <w:t>po</w:t>
      </w:r>
      <w:r w:rsidRPr="007466D1">
        <w:t xml:space="preserve">užívať v </w:t>
      </w:r>
      <w:proofErr w:type="spellStart"/>
      <w:r w:rsidRPr="007466D1">
        <w:t>monoterapii</w:t>
      </w:r>
      <w:proofErr w:type="spellEnd"/>
      <w:r w:rsidRPr="007466D1">
        <w:t xml:space="preserve"> alebo v kombinovanej liečbe s inými </w:t>
      </w:r>
      <w:proofErr w:type="spellStart"/>
      <w:r w:rsidRPr="007466D1">
        <w:t>antihypertenzívami</w:t>
      </w:r>
      <w:proofErr w:type="spellEnd"/>
      <w:r w:rsidRPr="007466D1">
        <w:t xml:space="preserve"> (pozri časti 4.3, 4.4, 4.5 a 5.1).</w:t>
      </w:r>
    </w:p>
    <w:p w14:paraId="15EE60B4" w14:textId="77777777" w:rsidR="00D52A6F" w:rsidRPr="007466D1" w:rsidRDefault="00F75BDF" w:rsidP="00D52A6F">
      <w:pPr>
        <w:pStyle w:val="Styl3"/>
        <w:rPr>
          <w:lang w:val="sk-SK"/>
        </w:rPr>
      </w:pPr>
      <w:r w:rsidRPr="007466D1">
        <w:rPr>
          <w:lang w:val="sk-SK"/>
        </w:rPr>
        <w:lastRenderedPageBreak/>
        <w:t>Úvodná dávka</w:t>
      </w:r>
    </w:p>
    <w:p w14:paraId="75009C60" w14:textId="77777777" w:rsidR="00F75BDF" w:rsidRPr="007466D1" w:rsidRDefault="00F75BDF" w:rsidP="00317A57">
      <w:pPr>
        <w:pStyle w:val="Normlndobloku"/>
      </w:pPr>
      <w:r w:rsidRPr="007466D1">
        <w:t xml:space="preserve">U pacientov s hypertenziou sa zvyčajne odporúča úvodná dávka 10 mg. U pacientov s výrazne aktivovaným systémom </w:t>
      </w:r>
      <w:proofErr w:type="spellStart"/>
      <w:r w:rsidRPr="007466D1">
        <w:t>renín-angiotenzín-aldosterón</w:t>
      </w:r>
      <w:proofErr w:type="spellEnd"/>
      <w:r w:rsidRPr="007466D1">
        <w:t xml:space="preserve"> (najmä pri </w:t>
      </w:r>
      <w:proofErr w:type="spellStart"/>
      <w:r w:rsidRPr="007466D1">
        <w:t>renovaskulárnej</w:t>
      </w:r>
      <w:proofErr w:type="spellEnd"/>
      <w:r w:rsidRPr="007466D1">
        <w:t xml:space="preserve"> hypertenzii, </w:t>
      </w:r>
      <w:proofErr w:type="spellStart"/>
      <w:r w:rsidRPr="007466D1">
        <w:t>deplécii</w:t>
      </w:r>
      <w:proofErr w:type="spellEnd"/>
      <w:r w:rsidRPr="007466D1">
        <w:t xml:space="preserve"> solí a/alebo tekutín, dekompenzácii srdca alebo závažnej hypertenzii) môže nastať po úvodnej dávke prílišný pokles krvného tlaku. U týchto pacientov sa preto odporúčajú úvodné dávky 2,5 – 5 mg, pričom liečba by sa mala začať pod lekárskym dohľadom. Ak je prítomná porucha funkcie obličiek, sú potrebné nižšie úvodné dávky (pozri tab. 1).</w:t>
      </w:r>
    </w:p>
    <w:p w14:paraId="337BF78D" w14:textId="77777777" w:rsidR="00D52A6F" w:rsidRPr="007466D1" w:rsidRDefault="00F75BDF" w:rsidP="00D52A6F">
      <w:pPr>
        <w:pStyle w:val="Styl3"/>
        <w:rPr>
          <w:lang w:val="sk-SK"/>
        </w:rPr>
      </w:pPr>
      <w:r w:rsidRPr="007466D1">
        <w:rPr>
          <w:lang w:val="sk-SK"/>
        </w:rPr>
        <w:t>Udržiavacia dávka</w:t>
      </w:r>
    </w:p>
    <w:p w14:paraId="35D4AC9F" w14:textId="77777777" w:rsidR="00D52A6F" w:rsidRPr="00DF23CD" w:rsidRDefault="00F75BDF" w:rsidP="00317A57">
      <w:pPr>
        <w:pStyle w:val="Normlndobloku"/>
      </w:pPr>
      <w:r w:rsidRPr="007466D1">
        <w:t>Obvyklá účinná</w:t>
      </w:r>
      <w:r w:rsidRPr="00E3367C">
        <w:t xml:space="preserve"> udržiavacia dávka je 20 mg jedenkrát denne. </w:t>
      </w:r>
      <w:r w:rsidRPr="007466D1">
        <w:t>Všeobecne platí, že ak sa žiadaný terapeutický účinok nedosiahne v priebehu 2 až 4 týždňov s určitou dávkou, dávka sa môže zvýšiť. Najvyššia maximálna dávka použitá v kontrolovaných dlhodobých klinických skúšaniach bola 80 mg denne</w:t>
      </w:r>
      <w:r w:rsidRPr="00E3367C">
        <w:t>.</w:t>
      </w:r>
    </w:p>
    <w:p w14:paraId="3AEF25C8" w14:textId="77777777" w:rsidR="00F75BDF" w:rsidRPr="007466D1" w:rsidRDefault="00F75BDF" w:rsidP="00D52A6F">
      <w:pPr>
        <w:pStyle w:val="Styl3"/>
        <w:rPr>
          <w:lang w:val="sk-SK"/>
        </w:rPr>
      </w:pPr>
      <w:r w:rsidRPr="007466D1">
        <w:rPr>
          <w:lang w:val="sk-SK"/>
        </w:rPr>
        <w:t>Pacienti liečení diuretikami</w:t>
      </w:r>
    </w:p>
    <w:p w14:paraId="03893137" w14:textId="54AADF94" w:rsidR="00D52A6F" w:rsidRPr="007466D1" w:rsidRDefault="00F75BDF" w:rsidP="00317A57">
      <w:pPr>
        <w:pStyle w:val="Normlndobloku"/>
      </w:pPr>
      <w:r w:rsidRPr="007466D1">
        <w:t>Po začatí liečby DAPRILOM sa môže vyskytnúť symptomatická hypotenzia. Pravdepodobnosť je vyššia u pacientov, ktorí sú sú</w:t>
      </w:r>
      <w:r w:rsidR="0029775F">
        <w:t>bež</w:t>
      </w:r>
      <w:r w:rsidRPr="007466D1">
        <w:t xml:space="preserve">ne liečení diuretikami. U týchto pacientov sa odporúča opatrnosť, nakoľko môžu mať </w:t>
      </w:r>
      <w:proofErr w:type="spellStart"/>
      <w:r w:rsidRPr="007466D1">
        <w:t>depléciu</w:t>
      </w:r>
      <w:proofErr w:type="spellEnd"/>
      <w:r w:rsidRPr="007466D1">
        <w:t xml:space="preserve"> solí a/alebo tekutín. Liečbu diuretikami treba prerušiť 2 – 3 dni pred začatím podávania DAPRILU. U </w:t>
      </w:r>
      <w:proofErr w:type="spellStart"/>
      <w:r w:rsidRPr="007466D1">
        <w:t>hypertenzných</w:t>
      </w:r>
      <w:proofErr w:type="spellEnd"/>
      <w:r w:rsidRPr="007466D1">
        <w:t xml:space="preserve"> pacientov, u ktorých nie je možné prerušiť podávanie diuretika treba začať terapiu DAPRILOM dávkou 5 mg. Je potrebné monitorovanie </w:t>
      </w:r>
      <w:proofErr w:type="spellStart"/>
      <w:r w:rsidRPr="007466D1">
        <w:t>renálnych</w:t>
      </w:r>
      <w:proofErr w:type="spellEnd"/>
      <w:r w:rsidRPr="007466D1">
        <w:t xml:space="preserve"> funkcií a hladiny sérového draslíka. Nasledujúce dávkovanie DAPRILU treba upraviť podľa reakcie krvného tlaku. Ak je to potrebné, môže sa pokračovať v podávaní diuretík (pozri časti 4.4 a 4.5).</w:t>
      </w:r>
    </w:p>
    <w:p w14:paraId="4131D05D" w14:textId="77777777" w:rsidR="00F75BDF" w:rsidRPr="007466D1" w:rsidRDefault="00F75BDF" w:rsidP="00D52A6F">
      <w:pPr>
        <w:pStyle w:val="Styl3"/>
        <w:rPr>
          <w:lang w:val="sk-SK"/>
        </w:rPr>
      </w:pPr>
      <w:r w:rsidRPr="007466D1">
        <w:rPr>
          <w:lang w:val="sk-SK"/>
        </w:rPr>
        <w:t xml:space="preserve">Úprava dávkovania pri </w:t>
      </w:r>
      <w:proofErr w:type="spellStart"/>
      <w:r w:rsidRPr="007466D1">
        <w:rPr>
          <w:lang w:val="sk-SK"/>
        </w:rPr>
        <w:t>renálnej</w:t>
      </w:r>
      <w:proofErr w:type="spellEnd"/>
      <w:r w:rsidRPr="007466D1">
        <w:rPr>
          <w:lang w:val="sk-SK"/>
        </w:rPr>
        <w:t xml:space="preserve"> </w:t>
      </w:r>
      <w:proofErr w:type="spellStart"/>
      <w:r w:rsidRPr="007466D1">
        <w:rPr>
          <w:lang w:val="sk-SK"/>
        </w:rPr>
        <w:t>insuficiencii</w:t>
      </w:r>
      <w:proofErr w:type="spellEnd"/>
    </w:p>
    <w:p w14:paraId="2F136145" w14:textId="77777777" w:rsidR="00D52A6F" w:rsidRPr="007466D1" w:rsidRDefault="00F75BDF" w:rsidP="00317A57">
      <w:pPr>
        <w:pStyle w:val="Normlndobloku"/>
      </w:pPr>
      <w:r w:rsidRPr="007466D1">
        <w:t>Dávkovanie u pacientov s</w:t>
      </w:r>
      <w:r w:rsidR="00A84BB2">
        <w:t xml:space="preserve"> </w:t>
      </w:r>
      <w:proofErr w:type="spellStart"/>
      <w:r w:rsidR="00A84BB2">
        <w:t>renálnou</w:t>
      </w:r>
      <w:proofErr w:type="spellEnd"/>
      <w:r w:rsidR="00A84BB2">
        <w:t xml:space="preserve"> </w:t>
      </w:r>
      <w:proofErr w:type="spellStart"/>
      <w:r w:rsidR="00A84BB2">
        <w:t>insuficienciou</w:t>
      </w:r>
      <w:proofErr w:type="spellEnd"/>
      <w:r w:rsidR="00A84BB2">
        <w:t xml:space="preserve"> má</w:t>
      </w:r>
      <w:r w:rsidRPr="007466D1">
        <w:t xml:space="preserve"> byť založené na </w:t>
      </w:r>
      <w:proofErr w:type="spellStart"/>
      <w:r w:rsidRPr="007466D1">
        <w:t>klírense</w:t>
      </w:r>
      <w:proofErr w:type="spellEnd"/>
      <w:r w:rsidRPr="007466D1">
        <w:t xml:space="preserve"> </w:t>
      </w:r>
      <w:proofErr w:type="spellStart"/>
      <w:r w:rsidRPr="007466D1">
        <w:t>kreatinínu</w:t>
      </w:r>
      <w:proofErr w:type="spellEnd"/>
      <w:r w:rsidRPr="007466D1">
        <w:t xml:space="preserve"> ako je to uvedené v tabuľke č. 1</w:t>
      </w:r>
      <w:r w:rsidR="00DC25C6">
        <w:t>.</w:t>
      </w:r>
    </w:p>
    <w:p w14:paraId="1587539C" w14:textId="77777777" w:rsidR="00F75BDF" w:rsidRPr="007466D1" w:rsidRDefault="00F75BDF" w:rsidP="00317A57">
      <w:pPr>
        <w:pStyle w:val="Normlndobloku"/>
      </w:pPr>
      <w:r w:rsidRPr="007466D1">
        <w:t>Tabuľka 1 - Úprava dávkovania u pacientov s poruchou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D52A6F" w:rsidRPr="007E585E" w14:paraId="0045A9F7" w14:textId="77777777" w:rsidTr="007E585E">
        <w:tc>
          <w:tcPr>
            <w:tcW w:w="4605" w:type="dxa"/>
            <w:shd w:val="clear" w:color="auto" w:fill="auto"/>
          </w:tcPr>
          <w:p w14:paraId="039F3C5A" w14:textId="77777777" w:rsidR="00D52A6F" w:rsidRPr="007466D1" w:rsidRDefault="00D52A6F" w:rsidP="00317A57">
            <w:pPr>
              <w:pStyle w:val="Normlndobloku"/>
            </w:pPr>
            <w:proofErr w:type="spellStart"/>
            <w:r w:rsidRPr="007466D1">
              <w:t>Klírens</w:t>
            </w:r>
            <w:proofErr w:type="spellEnd"/>
            <w:r w:rsidRPr="007466D1">
              <w:t xml:space="preserve"> </w:t>
            </w:r>
            <w:proofErr w:type="spellStart"/>
            <w:r w:rsidRPr="007466D1">
              <w:t>kreatinínu</w:t>
            </w:r>
            <w:proofErr w:type="spellEnd"/>
            <w:r w:rsidRPr="007466D1">
              <w:t xml:space="preserve"> (ml/min)</w:t>
            </w:r>
          </w:p>
        </w:tc>
        <w:tc>
          <w:tcPr>
            <w:tcW w:w="4605" w:type="dxa"/>
            <w:shd w:val="clear" w:color="auto" w:fill="auto"/>
          </w:tcPr>
          <w:p w14:paraId="0EDAF069" w14:textId="77777777" w:rsidR="00D52A6F" w:rsidRPr="007466D1" w:rsidRDefault="00D52A6F" w:rsidP="00317A57">
            <w:pPr>
              <w:pStyle w:val="Normlndobloku"/>
            </w:pPr>
            <w:r w:rsidRPr="007466D1">
              <w:t>Úvodná dávka (mg/deň)</w:t>
            </w:r>
          </w:p>
        </w:tc>
      </w:tr>
      <w:tr w:rsidR="00D52A6F" w:rsidRPr="007E585E" w14:paraId="076DDC11" w14:textId="77777777" w:rsidTr="007E585E">
        <w:tc>
          <w:tcPr>
            <w:tcW w:w="4605" w:type="dxa"/>
            <w:shd w:val="clear" w:color="auto" w:fill="auto"/>
          </w:tcPr>
          <w:p w14:paraId="0B961697" w14:textId="77777777" w:rsidR="00D52A6F" w:rsidRPr="007466D1" w:rsidRDefault="00D52A6F" w:rsidP="00317A57">
            <w:pPr>
              <w:pStyle w:val="Normlndobloku"/>
            </w:pPr>
            <w:r w:rsidRPr="007466D1">
              <w:t>&lt; 10 ml/min (vrátane dialyzovaných pacientov)</w:t>
            </w:r>
          </w:p>
        </w:tc>
        <w:tc>
          <w:tcPr>
            <w:tcW w:w="4605" w:type="dxa"/>
            <w:shd w:val="clear" w:color="auto" w:fill="auto"/>
          </w:tcPr>
          <w:p w14:paraId="17ED58A1" w14:textId="77777777" w:rsidR="00D52A6F" w:rsidRPr="007466D1" w:rsidRDefault="00D52A6F" w:rsidP="00317A57">
            <w:pPr>
              <w:pStyle w:val="Normlndobloku"/>
            </w:pPr>
            <w:r w:rsidRPr="007466D1">
              <w:t>2,5 mg *</w:t>
            </w:r>
          </w:p>
        </w:tc>
      </w:tr>
      <w:tr w:rsidR="00D52A6F" w:rsidRPr="007E585E" w14:paraId="75B6CE3A" w14:textId="77777777" w:rsidTr="007E585E">
        <w:tc>
          <w:tcPr>
            <w:tcW w:w="4605" w:type="dxa"/>
            <w:shd w:val="clear" w:color="auto" w:fill="auto"/>
          </w:tcPr>
          <w:p w14:paraId="1CA03CA0" w14:textId="77777777" w:rsidR="00D52A6F" w:rsidRPr="007466D1" w:rsidRDefault="00D52A6F" w:rsidP="00317A57">
            <w:pPr>
              <w:pStyle w:val="Normlndobloku"/>
            </w:pPr>
            <w:r w:rsidRPr="007466D1">
              <w:t>10 – 30 ml/min</w:t>
            </w:r>
          </w:p>
        </w:tc>
        <w:tc>
          <w:tcPr>
            <w:tcW w:w="4605" w:type="dxa"/>
            <w:shd w:val="clear" w:color="auto" w:fill="auto"/>
          </w:tcPr>
          <w:p w14:paraId="4A428A0C" w14:textId="77777777" w:rsidR="00D52A6F" w:rsidRPr="007466D1" w:rsidRDefault="00D52A6F" w:rsidP="00317A57">
            <w:pPr>
              <w:pStyle w:val="Normlndobloku"/>
            </w:pPr>
            <w:r w:rsidRPr="007466D1">
              <w:t>2,5 – 5 mg</w:t>
            </w:r>
          </w:p>
        </w:tc>
      </w:tr>
      <w:tr w:rsidR="00D52A6F" w:rsidRPr="007E585E" w14:paraId="678BFFF9" w14:textId="77777777" w:rsidTr="007E585E">
        <w:tc>
          <w:tcPr>
            <w:tcW w:w="4605" w:type="dxa"/>
            <w:shd w:val="clear" w:color="auto" w:fill="auto"/>
          </w:tcPr>
          <w:p w14:paraId="011283C1" w14:textId="77777777" w:rsidR="00D52A6F" w:rsidRPr="007466D1" w:rsidRDefault="00D52A6F" w:rsidP="00317A57">
            <w:pPr>
              <w:pStyle w:val="Normlndobloku"/>
            </w:pPr>
            <w:r w:rsidRPr="007466D1">
              <w:t>31 – 80 ml/min</w:t>
            </w:r>
          </w:p>
        </w:tc>
        <w:tc>
          <w:tcPr>
            <w:tcW w:w="4605" w:type="dxa"/>
            <w:shd w:val="clear" w:color="auto" w:fill="auto"/>
          </w:tcPr>
          <w:p w14:paraId="3E55402E" w14:textId="77777777" w:rsidR="00D52A6F" w:rsidRPr="007466D1" w:rsidRDefault="00D52A6F" w:rsidP="00317A57">
            <w:pPr>
              <w:pStyle w:val="Normlndobloku"/>
            </w:pPr>
            <w:r w:rsidRPr="007466D1">
              <w:t>5 – 10 mg</w:t>
            </w:r>
          </w:p>
        </w:tc>
      </w:tr>
    </w:tbl>
    <w:p w14:paraId="00E7E1E8" w14:textId="77777777" w:rsidR="00D52A6F" w:rsidRPr="007466D1" w:rsidRDefault="00F75BDF" w:rsidP="00317A57">
      <w:pPr>
        <w:pStyle w:val="Normlndobloku"/>
      </w:pPr>
      <w:r w:rsidRPr="007466D1">
        <w:t>* Dávkovanie, resp. frekvenciu podávania treba upraviť podľa reakcie krvného tlaku.</w:t>
      </w:r>
    </w:p>
    <w:p w14:paraId="5AD22AB7" w14:textId="77777777" w:rsidR="00D52A6F" w:rsidRPr="007466D1" w:rsidRDefault="00F75BDF" w:rsidP="00317A57">
      <w:pPr>
        <w:pStyle w:val="Normlndobloku"/>
      </w:pPr>
      <w:r w:rsidRPr="007466D1">
        <w:t xml:space="preserve">Dávkovanie sa môže </w:t>
      </w:r>
      <w:proofErr w:type="spellStart"/>
      <w:r w:rsidRPr="007466D1">
        <w:t>titrovať</w:t>
      </w:r>
      <w:proofErr w:type="spellEnd"/>
      <w:r w:rsidRPr="007466D1">
        <w:t xml:space="preserve"> smerom nahor, až kým nie je krvný tlak kontrolovaný alebo na maximálnu dávku 40 mg denne.</w:t>
      </w:r>
    </w:p>
    <w:p w14:paraId="4BBD997B" w14:textId="77777777" w:rsidR="00765601" w:rsidRPr="007466D1" w:rsidRDefault="00F75BDF" w:rsidP="00D52A6F">
      <w:pPr>
        <w:pStyle w:val="Styl3"/>
        <w:rPr>
          <w:lang w:val="sk-SK"/>
        </w:rPr>
      </w:pPr>
      <w:r w:rsidRPr="007466D1">
        <w:rPr>
          <w:lang w:val="sk-SK"/>
        </w:rPr>
        <w:t>Pediatrická populácia</w:t>
      </w:r>
    </w:p>
    <w:p w14:paraId="43B5D14F" w14:textId="77777777" w:rsidR="00F75BDF" w:rsidRPr="007466D1" w:rsidRDefault="00765601" w:rsidP="00D52A6F">
      <w:pPr>
        <w:pStyle w:val="Styl3"/>
        <w:rPr>
          <w:lang w:val="sk-SK"/>
        </w:rPr>
      </w:pPr>
      <w:r w:rsidRPr="007466D1">
        <w:rPr>
          <w:lang w:val="sk-SK"/>
        </w:rPr>
        <w:t>P</w:t>
      </w:r>
      <w:r w:rsidR="00F75BDF" w:rsidRPr="007466D1">
        <w:rPr>
          <w:lang w:val="sk-SK"/>
        </w:rPr>
        <w:t>oužitie u detí a dospievajúcich s hypertenziou vo veku od 6 do 16 rokov</w:t>
      </w:r>
    </w:p>
    <w:p w14:paraId="312BA46F" w14:textId="77777777" w:rsidR="00F75BDF" w:rsidRPr="007466D1" w:rsidRDefault="00F75BDF" w:rsidP="00317A57">
      <w:pPr>
        <w:pStyle w:val="Normlndobloku"/>
      </w:pPr>
      <w:r w:rsidRPr="007466D1">
        <w:t>Odporúčaná počiatočná dávka je 2,5 mg jedenkrát denne u pacientov s hmotnosťou od 20 kg do 50 kg a 5 mg raz denne u pacientov s hmotnosťou ≥50 kg. Dávkovanie je potrebné individuálne upraviť do maximálnej dennej dávky 20 mg u pacientov s telesnou hmotnosťou od 20 kg do 50 kg a 40 mg u</w:t>
      </w:r>
      <w:r w:rsidR="00D52A6F" w:rsidRPr="007466D1">
        <w:t> </w:t>
      </w:r>
      <w:r w:rsidRPr="007466D1">
        <w:t>pacientov s telesnou hmotnosťou ≥50 kg. Dávky vyššie ako 0,61 mg/kg (alebo prevyšujúce 40 mg) neboli u pediatrických pacientov skúmané (pozri časť 5.1).</w:t>
      </w:r>
    </w:p>
    <w:p w14:paraId="724FFCE7" w14:textId="77777777" w:rsidR="00F75BDF" w:rsidRPr="007466D1" w:rsidRDefault="00F75BDF" w:rsidP="00317A57">
      <w:pPr>
        <w:pStyle w:val="Normlndobloku"/>
      </w:pPr>
      <w:r w:rsidRPr="007466D1">
        <w:t>U detí so zníženou funkciou obličiek sa má zvážiť nižšia počiatočná dávka alebo predĺžený interval dávkovania.</w:t>
      </w:r>
    </w:p>
    <w:p w14:paraId="01A62E2C" w14:textId="77777777" w:rsidR="00F75BDF" w:rsidRPr="007466D1" w:rsidRDefault="00F75BDF">
      <w:pPr>
        <w:pStyle w:val="Styl2-2"/>
      </w:pPr>
      <w:r w:rsidRPr="007466D1">
        <w:t>Srdcové zlyhanie</w:t>
      </w:r>
    </w:p>
    <w:p w14:paraId="5F45F206" w14:textId="77777777" w:rsidR="00D52A6F" w:rsidRPr="007466D1" w:rsidRDefault="00F75BDF" w:rsidP="00317A57">
      <w:pPr>
        <w:pStyle w:val="Normlndobloku"/>
      </w:pPr>
      <w:r w:rsidRPr="007466D1">
        <w:t>U pacientov so symptomatickým srdcovým zlyhaním sa má DAPRIL užívať ako prídavná liečba k</w:t>
      </w:r>
      <w:r w:rsidR="00D52A6F" w:rsidRPr="007466D1">
        <w:t> </w:t>
      </w:r>
      <w:r w:rsidRPr="007466D1">
        <w:t xml:space="preserve">diuretikám a ak je to vhodné, aj k </w:t>
      </w:r>
      <w:proofErr w:type="spellStart"/>
      <w:r w:rsidRPr="007466D1">
        <w:t>digoxínu</w:t>
      </w:r>
      <w:proofErr w:type="spellEnd"/>
      <w:r w:rsidRPr="007466D1">
        <w:t xml:space="preserve"> alebo </w:t>
      </w:r>
      <w:proofErr w:type="spellStart"/>
      <w:r w:rsidRPr="007466D1">
        <w:t>betablokátorom</w:t>
      </w:r>
      <w:proofErr w:type="spellEnd"/>
      <w:r w:rsidRPr="007466D1">
        <w:t>. Úvodná dávka DAPRILU je</w:t>
      </w:r>
      <w:r w:rsidR="00D52A6F" w:rsidRPr="007466D1">
        <w:t xml:space="preserve"> </w:t>
      </w:r>
      <w:r w:rsidRPr="007466D1">
        <w:t>2,5</w:t>
      </w:r>
      <w:r w:rsidR="00765601" w:rsidRPr="007466D1">
        <w:t> </w:t>
      </w:r>
      <w:r w:rsidRPr="007466D1">
        <w:t>mg jedenkrát denne, pod lekárskym dohľadom, aby sa zistil účinok na krvný tlak. Dávkovanie DAPRILU by sa malo zvyšovať:</w:t>
      </w:r>
    </w:p>
    <w:p w14:paraId="1962B82F" w14:textId="77777777" w:rsidR="00F75BDF" w:rsidRPr="007466D1" w:rsidRDefault="00F75BDF" w:rsidP="00317A57">
      <w:pPr>
        <w:pStyle w:val="Normlndoblokusodrkami"/>
      </w:pPr>
      <w:r w:rsidRPr="007466D1">
        <w:t>o prírastky nie väčšie ako 10 mg</w:t>
      </w:r>
    </w:p>
    <w:p w14:paraId="7B40A682" w14:textId="77777777" w:rsidR="00F75BDF" w:rsidRPr="007466D1" w:rsidRDefault="00F75BDF" w:rsidP="00317A57">
      <w:pPr>
        <w:pStyle w:val="Normlndoblokusodrkami"/>
      </w:pPr>
      <w:r w:rsidRPr="007466D1">
        <w:lastRenderedPageBreak/>
        <w:t>v intervaloch nie kratších ako 2 týždne</w:t>
      </w:r>
    </w:p>
    <w:p w14:paraId="7A40B558" w14:textId="77777777" w:rsidR="00F75BDF" w:rsidRPr="007466D1" w:rsidRDefault="00F75BDF" w:rsidP="00317A57">
      <w:pPr>
        <w:pStyle w:val="Normlndoblokusodrkami"/>
      </w:pPr>
      <w:r w:rsidRPr="007466D1">
        <w:t>do najvyššej pacientom tolerovanej dávky, maximálne však do dávky 35 mg jedenkrát denne</w:t>
      </w:r>
    </w:p>
    <w:p w14:paraId="1F79F55F" w14:textId="77777777" w:rsidR="00F75BDF" w:rsidRPr="007466D1" w:rsidRDefault="00F75BDF" w:rsidP="00317A57">
      <w:pPr>
        <w:pStyle w:val="Normlndobloku"/>
      </w:pPr>
      <w:r w:rsidRPr="007466D1">
        <w:t>Úpravu dávkovania je potrebné prevádzať podľa klinickej odpovede každého jednotlivého pacienta. U</w:t>
      </w:r>
      <w:r w:rsidR="00765601" w:rsidRPr="007466D1">
        <w:t> </w:t>
      </w:r>
      <w:r w:rsidRPr="007466D1">
        <w:t xml:space="preserve">pacientov s vysokým rizikom symptomatickej hypotenzie, napr. pacienti s </w:t>
      </w:r>
      <w:proofErr w:type="spellStart"/>
      <w:r w:rsidRPr="007466D1">
        <w:t>depléciou</w:t>
      </w:r>
      <w:proofErr w:type="spellEnd"/>
      <w:r w:rsidRPr="007466D1">
        <w:t xml:space="preserve"> soli s alebo bez </w:t>
      </w:r>
      <w:proofErr w:type="spellStart"/>
      <w:r w:rsidRPr="007466D1">
        <w:t>hyponatriémie</w:t>
      </w:r>
      <w:proofErr w:type="spellEnd"/>
      <w:r w:rsidRPr="007466D1">
        <w:t xml:space="preserve"> alebo pacienti, ktorí dostávali vysoké dávky diuretík, je potrebné tieto stavy korigovať pred začiatkom podávania DAPRILU. Je nevyhnutné monitorovať obličkové funkcie a hladiny sérového draslíka (pozri časť 4.4).</w:t>
      </w:r>
    </w:p>
    <w:p w14:paraId="24C6EF7E" w14:textId="77777777" w:rsidR="00F75BDF" w:rsidRPr="007466D1" w:rsidRDefault="00F75BDF">
      <w:pPr>
        <w:pStyle w:val="Styl2-2"/>
      </w:pPr>
      <w:r w:rsidRPr="007466D1">
        <w:t>Akútny infarkt myokardu</w:t>
      </w:r>
    </w:p>
    <w:p w14:paraId="7EDE6E2A" w14:textId="77777777" w:rsidR="00D52A6F" w:rsidRPr="007466D1" w:rsidRDefault="00F75BDF" w:rsidP="00317A57">
      <w:pPr>
        <w:pStyle w:val="Normlndobloku"/>
      </w:pPr>
      <w:r w:rsidRPr="007466D1">
        <w:t xml:space="preserve">Pacientom má byť poskytnutá primeraná, štandardne odporúčaná liečba, ako sú </w:t>
      </w:r>
      <w:proofErr w:type="spellStart"/>
      <w:r w:rsidRPr="007466D1">
        <w:t>trombolytiká</w:t>
      </w:r>
      <w:proofErr w:type="spellEnd"/>
      <w:r w:rsidRPr="007466D1">
        <w:t xml:space="preserve">, kyselina </w:t>
      </w:r>
      <w:proofErr w:type="spellStart"/>
      <w:r w:rsidRPr="007466D1">
        <w:t>acetylsalicylová</w:t>
      </w:r>
      <w:proofErr w:type="spellEnd"/>
      <w:r w:rsidRPr="007466D1">
        <w:t xml:space="preserve"> a </w:t>
      </w:r>
      <w:proofErr w:type="spellStart"/>
      <w:r w:rsidRPr="007466D1">
        <w:t>betablokátory</w:t>
      </w:r>
      <w:proofErr w:type="spellEnd"/>
      <w:r w:rsidRPr="007466D1">
        <w:t xml:space="preserve">. Spolu s DAPRILOM môže byť podávaný intravenózne alebo </w:t>
      </w:r>
      <w:proofErr w:type="spellStart"/>
      <w:r w:rsidRPr="007466D1">
        <w:t>transdermálne</w:t>
      </w:r>
      <w:proofErr w:type="spellEnd"/>
      <w:r w:rsidRPr="007466D1">
        <w:t xml:space="preserve"> nitroglycerín.</w:t>
      </w:r>
    </w:p>
    <w:p w14:paraId="363546B5" w14:textId="77777777" w:rsidR="00D52A6F" w:rsidRPr="007466D1" w:rsidRDefault="00F75BDF" w:rsidP="00D52A6F">
      <w:pPr>
        <w:pStyle w:val="Styl3"/>
        <w:rPr>
          <w:lang w:val="sk-SK"/>
        </w:rPr>
      </w:pPr>
      <w:r w:rsidRPr="007466D1">
        <w:rPr>
          <w:lang w:val="sk-SK"/>
        </w:rPr>
        <w:t>Úvodná dávka (prvé tri dni po infarkte)</w:t>
      </w:r>
    </w:p>
    <w:p w14:paraId="34E65490" w14:textId="77777777" w:rsidR="00F75BDF" w:rsidRPr="007466D1" w:rsidRDefault="00F75BDF" w:rsidP="00317A57">
      <w:pPr>
        <w:pStyle w:val="Normlndobloku"/>
      </w:pPr>
      <w:r w:rsidRPr="007466D1">
        <w:t xml:space="preserve">Liečba DAPRILOM sa môže začať v priebehu 24 hodín od objavenia sa príznakov. Liečba sa nemá začať, ak je </w:t>
      </w:r>
      <w:proofErr w:type="spellStart"/>
      <w:r w:rsidRPr="007466D1">
        <w:t>systolický</w:t>
      </w:r>
      <w:proofErr w:type="spellEnd"/>
      <w:r w:rsidRPr="007466D1">
        <w:t xml:space="preserve"> tlak krvi nižší ako 100 </w:t>
      </w:r>
      <w:proofErr w:type="spellStart"/>
      <w:r w:rsidRPr="007466D1">
        <w:t>mmHg</w:t>
      </w:r>
      <w:proofErr w:type="spellEnd"/>
      <w:r w:rsidRPr="007466D1">
        <w:t xml:space="preserve">. Prvá dávka DAPRILU je 5 mg podaná perorálne, po 24 hodinách nasleduje dávka 5 mg, po 48 hodinách 10 mg a ďalej 10 mg jedenkrát denne. U pacientov s nízkym </w:t>
      </w:r>
      <w:proofErr w:type="spellStart"/>
      <w:r w:rsidRPr="007466D1">
        <w:t>systolickým</w:t>
      </w:r>
      <w:proofErr w:type="spellEnd"/>
      <w:r w:rsidRPr="007466D1">
        <w:t xml:space="preserve"> tlakom (120 </w:t>
      </w:r>
      <w:proofErr w:type="spellStart"/>
      <w:r w:rsidRPr="007466D1">
        <w:t>mmHg</w:t>
      </w:r>
      <w:proofErr w:type="spellEnd"/>
      <w:r w:rsidRPr="007466D1">
        <w:t xml:space="preserve"> alebo menej) na začiatku liečby alebo počas prvých troch dní po infarkte by mala byť podaná nižšia dávka - 2,5 mg perorálne (pozri časť 4.4).</w:t>
      </w:r>
    </w:p>
    <w:p w14:paraId="0346E4BE" w14:textId="77777777" w:rsidR="00D52A6F" w:rsidRPr="007466D1" w:rsidRDefault="00F75BDF" w:rsidP="00317A57">
      <w:pPr>
        <w:pStyle w:val="Normlndobloku"/>
      </w:pPr>
      <w:r w:rsidRPr="007466D1">
        <w:t>V prípadoch poruchy funkcie obličiek (</w:t>
      </w:r>
      <w:proofErr w:type="spellStart"/>
      <w:r w:rsidRPr="007466D1">
        <w:t>klírens</w:t>
      </w:r>
      <w:proofErr w:type="spellEnd"/>
      <w:r w:rsidRPr="007466D1">
        <w:t xml:space="preserve"> </w:t>
      </w:r>
      <w:proofErr w:type="spellStart"/>
      <w:r w:rsidRPr="007466D1">
        <w:t>kreatinínu</w:t>
      </w:r>
      <w:proofErr w:type="spellEnd"/>
      <w:r w:rsidRPr="007466D1">
        <w:t xml:space="preserve"> &lt; 80 ml/min ) je potrebné úvodnú dávku DAPRILU prispôsobiť </w:t>
      </w:r>
      <w:proofErr w:type="spellStart"/>
      <w:r w:rsidRPr="007466D1">
        <w:t>klírensu</w:t>
      </w:r>
      <w:proofErr w:type="spellEnd"/>
      <w:r w:rsidRPr="007466D1">
        <w:t xml:space="preserve"> </w:t>
      </w:r>
      <w:proofErr w:type="spellStart"/>
      <w:r w:rsidRPr="007466D1">
        <w:t>kreatinínu</w:t>
      </w:r>
      <w:proofErr w:type="spellEnd"/>
      <w:r w:rsidRPr="007466D1">
        <w:t xml:space="preserve"> pacienta (pozri tab. 1).</w:t>
      </w:r>
    </w:p>
    <w:p w14:paraId="51C20AFD" w14:textId="77777777" w:rsidR="00F75BDF" w:rsidRPr="007466D1" w:rsidRDefault="00F75BDF" w:rsidP="00D52A6F">
      <w:pPr>
        <w:pStyle w:val="Styl3"/>
        <w:rPr>
          <w:lang w:val="sk-SK"/>
        </w:rPr>
      </w:pPr>
      <w:r w:rsidRPr="007466D1">
        <w:rPr>
          <w:lang w:val="sk-SK"/>
        </w:rPr>
        <w:t>Udržiavacia dávka</w:t>
      </w:r>
    </w:p>
    <w:p w14:paraId="1C2C6E12" w14:textId="77777777" w:rsidR="00D52A6F" w:rsidRPr="00D51B1B" w:rsidRDefault="00F75BDF" w:rsidP="00317A57">
      <w:pPr>
        <w:pStyle w:val="Normlndobloku"/>
      </w:pPr>
      <w:r w:rsidRPr="007466D1">
        <w:t>Udržiavacia dávka je 10 mg jedenkrát denne.</w:t>
      </w:r>
    </w:p>
    <w:p w14:paraId="6F877111" w14:textId="77777777" w:rsidR="00D52A6F" w:rsidRPr="007466D1" w:rsidRDefault="00F75BDF" w:rsidP="00317A57">
      <w:pPr>
        <w:pStyle w:val="Normlndobloku"/>
      </w:pPr>
      <w:r w:rsidRPr="00E3367C">
        <w:t xml:space="preserve">Ak </w:t>
      </w:r>
      <w:r w:rsidRPr="007466D1">
        <w:t>sa objaví hypotenzia (</w:t>
      </w:r>
      <w:proofErr w:type="spellStart"/>
      <w:r w:rsidRPr="007466D1">
        <w:t>systolický</w:t>
      </w:r>
      <w:proofErr w:type="spellEnd"/>
      <w:r w:rsidRPr="007466D1">
        <w:t xml:space="preserve"> tlak krvi nižší alebo rovný 100 </w:t>
      </w:r>
      <w:proofErr w:type="spellStart"/>
      <w:r w:rsidRPr="007466D1">
        <w:t>mmHg</w:t>
      </w:r>
      <w:proofErr w:type="spellEnd"/>
      <w:r w:rsidRPr="007466D1">
        <w:t>), denná udržiavacia dávka má byť znížená na 5 mg, alebo prechodne až na 2,5 mg. Ak hypotenzia pretrváva (</w:t>
      </w:r>
      <w:proofErr w:type="spellStart"/>
      <w:r w:rsidRPr="007466D1">
        <w:t>systolický</w:t>
      </w:r>
      <w:proofErr w:type="spellEnd"/>
      <w:r w:rsidRPr="007466D1">
        <w:t xml:space="preserve"> tlak krvi menej ako 90 </w:t>
      </w:r>
      <w:proofErr w:type="spellStart"/>
      <w:r w:rsidRPr="007466D1">
        <w:t>mmHg</w:t>
      </w:r>
      <w:proofErr w:type="spellEnd"/>
      <w:r w:rsidRPr="007466D1">
        <w:t xml:space="preserve"> pretrvávajúci viac ako 1 hodinu), liečba DAPRILOM sa má ukončiť.</w:t>
      </w:r>
    </w:p>
    <w:p w14:paraId="3A0992C9" w14:textId="77777777" w:rsidR="00D52A6F" w:rsidRPr="007466D1" w:rsidRDefault="00F75BDF" w:rsidP="00317A57">
      <w:pPr>
        <w:pStyle w:val="Normlndobloku"/>
      </w:pPr>
      <w:r w:rsidRPr="007466D1">
        <w:t>Liečba má pokračovať 6 týždňov, potom sa má zdravotný stav pacienta znova vyhodnotiť. Pacienti, u</w:t>
      </w:r>
      <w:r w:rsidR="00D52A6F" w:rsidRPr="007466D1">
        <w:t> </w:t>
      </w:r>
      <w:r w:rsidRPr="007466D1">
        <w:t>ktorých sa vyvinuli symptómy srdcového zlyhania, majú v liečbe DAPRILOM pokračovať (pozri časť 4.2).</w:t>
      </w:r>
    </w:p>
    <w:p w14:paraId="1C50FB5E" w14:textId="77777777" w:rsidR="00D52A6F" w:rsidRPr="007466D1" w:rsidRDefault="00A84BB2">
      <w:pPr>
        <w:pStyle w:val="Styl2-2"/>
      </w:pPr>
      <w:proofErr w:type="spellStart"/>
      <w:r>
        <w:t>Renálne</w:t>
      </w:r>
      <w:proofErr w:type="spellEnd"/>
      <w:r>
        <w:t xml:space="preserve"> komplikácie diabetu</w:t>
      </w:r>
      <w:r w:rsidR="00F75BDF" w:rsidRPr="007466D1">
        <w:t xml:space="preserve"> </w:t>
      </w:r>
      <w:proofErr w:type="spellStart"/>
      <w:r w:rsidR="00F75BDF" w:rsidRPr="007466D1">
        <w:t>mellitus</w:t>
      </w:r>
      <w:proofErr w:type="spellEnd"/>
    </w:p>
    <w:p w14:paraId="69C81086" w14:textId="77777777" w:rsidR="00D52A6F" w:rsidRPr="007466D1" w:rsidRDefault="00F75BDF" w:rsidP="00317A57">
      <w:pPr>
        <w:pStyle w:val="Normlndobloku"/>
      </w:pPr>
      <w:r w:rsidRPr="007466D1">
        <w:t xml:space="preserve">U </w:t>
      </w:r>
      <w:proofErr w:type="spellStart"/>
      <w:r w:rsidRPr="007466D1">
        <w:t>hy</w:t>
      </w:r>
      <w:r w:rsidR="00A84BB2">
        <w:t>pertenzných</w:t>
      </w:r>
      <w:proofErr w:type="spellEnd"/>
      <w:r w:rsidR="00A84BB2">
        <w:t xml:space="preserve"> pacientov s diabetom</w:t>
      </w:r>
      <w:r w:rsidRPr="007466D1">
        <w:t xml:space="preserve"> </w:t>
      </w:r>
      <w:proofErr w:type="spellStart"/>
      <w:r w:rsidRPr="007466D1">
        <w:t>mellitus</w:t>
      </w:r>
      <w:proofErr w:type="spellEnd"/>
      <w:r w:rsidRPr="007466D1">
        <w:t xml:space="preserve"> typu 2 a začínajúcou </w:t>
      </w:r>
      <w:proofErr w:type="spellStart"/>
      <w:r w:rsidRPr="007466D1">
        <w:t>nefropatiou</w:t>
      </w:r>
      <w:proofErr w:type="spellEnd"/>
      <w:r w:rsidRPr="007466D1">
        <w:t xml:space="preserve"> je dávka 10 mg DAPRILU jedenkrát denne, pričom sa v prípade potreby môže zvýšiť na 20 mg jedenkrát denne, aby sa dosiahol diastolický krvný tlak v sede nižší ako 90 </w:t>
      </w:r>
      <w:proofErr w:type="spellStart"/>
      <w:r w:rsidRPr="007466D1">
        <w:t>mmHg</w:t>
      </w:r>
      <w:proofErr w:type="spellEnd"/>
      <w:r w:rsidRPr="007466D1">
        <w:t>.</w:t>
      </w:r>
    </w:p>
    <w:p w14:paraId="3B2EDA8B" w14:textId="77777777" w:rsidR="00D52A6F" w:rsidRPr="007466D1" w:rsidRDefault="00F75BDF" w:rsidP="00317A57">
      <w:pPr>
        <w:pStyle w:val="Normlndobloku"/>
      </w:pPr>
      <w:r w:rsidRPr="007466D1">
        <w:t>V prípadoch poruchy funkcie obličiek (</w:t>
      </w:r>
      <w:proofErr w:type="spellStart"/>
      <w:r w:rsidRPr="007466D1">
        <w:t>klírens</w:t>
      </w:r>
      <w:proofErr w:type="spellEnd"/>
      <w:r w:rsidRPr="007466D1">
        <w:t xml:space="preserve"> </w:t>
      </w:r>
      <w:proofErr w:type="spellStart"/>
      <w:r w:rsidRPr="007466D1">
        <w:t>kreatinínu</w:t>
      </w:r>
      <w:proofErr w:type="spellEnd"/>
      <w:r w:rsidRPr="007466D1">
        <w:t xml:space="preserve"> &lt; 80 ml/min) je potrebné úvodnú dávku DAPRILU prispôsobiť </w:t>
      </w:r>
      <w:proofErr w:type="spellStart"/>
      <w:r w:rsidRPr="007466D1">
        <w:t>klírensu</w:t>
      </w:r>
      <w:proofErr w:type="spellEnd"/>
      <w:r w:rsidRPr="007466D1">
        <w:t xml:space="preserve"> </w:t>
      </w:r>
      <w:proofErr w:type="spellStart"/>
      <w:r w:rsidRPr="007466D1">
        <w:t>kreatinínu</w:t>
      </w:r>
      <w:proofErr w:type="spellEnd"/>
      <w:r w:rsidRPr="007466D1">
        <w:t xml:space="preserve"> pacienta (pozri tab. 1).</w:t>
      </w:r>
    </w:p>
    <w:p w14:paraId="0F82D5A0" w14:textId="77777777" w:rsidR="00F75BDF" w:rsidRPr="007466D1" w:rsidRDefault="00F75BDF" w:rsidP="00D52A6F">
      <w:pPr>
        <w:pStyle w:val="Styl3"/>
        <w:rPr>
          <w:lang w:val="sk-SK"/>
        </w:rPr>
      </w:pPr>
      <w:r w:rsidRPr="007466D1">
        <w:rPr>
          <w:lang w:val="sk-SK"/>
        </w:rPr>
        <w:t>Užívanie u detí a dospievajúcich</w:t>
      </w:r>
    </w:p>
    <w:p w14:paraId="294A0769" w14:textId="77777777" w:rsidR="00D52A6F" w:rsidRPr="007466D1" w:rsidRDefault="00F75BDF" w:rsidP="00317A57">
      <w:pPr>
        <w:pStyle w:val="Normlndobloku"/>
      </w:pPr>
      <w:r w:rsidRPr="007466D1">
        <w:t xml:space="preserve">K dispozícii sú len obmedzené skúsenosti s účinnosťou a bezpečnosťou u </w:t>
      </w:r>
      <w:proofErr w:type="spellStart"/>
      <w:r w:rsidRPr="007466D1">
        <w:t>hypertenzných</w:t>
      </w:r>
      <w:proofErr w:type="spellEnd"/>
      <w:r w:rsidRPr="007466D1">
        <w:t xml:space="preserve"> detí starších ako 6 rokov, pričom s inými indikáciami nie sú žiadne skúsenosti (pozri časť 5.1). </w:t>
      </w:r>
      <w:proofErr w:type="spellStart"/>
      <w:r w:rsidRPr="007466D1">
        <w:t>Lizinopril</w:t>
      </w:r>
      <w:proofErr w:type="spellEnd"/>
      <w:r w:rsidRPr="007466D1">
        <w:t xml:space="preserve"> sa neodporúča u detí s indikáciami inými, ako je hypertenzia.</w:t>
      </w:r>
    </w:p>
    <w:p w14:paraId="180B0809" w14:textId="77777777" w:rsidR="00D52A6F" w:rsidRPr="007466D1" w:rsidRDefault="00F75BDF" w:rsidP="00317A57">
      <w:pPr>
        <w:pStyle w:val="Normlndobloku"/>
      </w:pPr>
      <w:proofErr w:type="spellStart"/>
      <w:r w:rsidRPr="007466D1">
        <w:t>Lizinopril</w:t>
      </w:r>
      <w:proofErr w:type="spellEnd"/>
      <w:r w:rsidRPr="007466D1">
        <w:t xml:space="preserve"> sa neodporúča u detí mladších ako 6 rokov, ani u detí s ťažkou poruchou obličiek (GFR &lt;30</w:t>
      </w:r>
      <w:r w:rsidR="00DF23CD">
        <w:t> </w:t>
      </w:r>
      <w:r w:rsidRPr="007466D1">
        <w:t>ml/min/1,73m</w:t>
      </w:r>
      <w:r w:rsidRPr="00D51B1B">
        <w:rPr>
          <w:vertAlign w:val="superscript"/>
        </w:rPr>
        <w:t>2</w:t>
      </w:r>
      <w:r w:rsidRPr="007466D1">
        <w:t>) (pozri časť 5.2).</w:t>
      </w:r>
    </w:p>
    <w:p w14:paraId="7A400048" w14:textId="77777777" w:rsidR="00D52A6F" w:rsidRPr="007466D1" w:rsidRDefault="00F75BDF" w:rsidP="00D52A6F">
      <w:pPr>
        <w:pStyle w:val="Styl3"/>
        <w:rPr>
          <w:lang w:val="sk-SK"/>
        </w:rPr>
      </w:pPr>
      <w:r w:rsidRPr="007466D1">
        <w:rPr>
          <w:lang w:val="sk-SK"/>
        </w:rPr>
        <w:t>Použitie u starších osôb</w:t>
      </w:r>
    </w:p>
    <w:p w14:paraId="0457C125" w14:textId="77777777" w:rsidR="00F75BDF" w:rsidRPr="007466D1" w:rsidRDefault="00F75BDF" w:rsidP="00317A57">
      <w:pPr>
        <w:pStyle w:val="Normlndobloku"/>
      </w:pPr>
      <w:r w:rsidRPr="007466D1">
        <w:t>V klinických štúdiách sa nezaznamenali zmeny v účinnosti a bezpečnosti lieku vzhľadom na vek.</w:t>
      </w:r>
    </w:p>
    <w:p w14:paraId="35996D00" w14:textId="77777777" w:rsidR="00D52A6F" w:rsidRPr="007466D1" w:rsidRDefault="00F75BDF" w:rsidP="00317A57">
      <w:pPr>
        <w:pStyle w:val="Normlndobloku"/>
      </w:pPr>
      <w:r w:rsidRPr="007466D1">
        <w:t xml:space="preserve">Ak je však vyšší vek spojený so znížením </w:t>
      </w:r>
      <w:proofErr w:type="spellStart"/>
      <w:r w:rsidRPr="007466D1">
        <w:t>renálnej</w:t>
      </w:r>
      <w:proofErr w:type="spellEnd"/>
      <w:r w:rsidRPr="007466D1">
        <w:t xml:space="preserve"> funkcie, na určenie počiatočnej dávky DAPRILU sa má použiť odporúčanie uvedené v tabuľke 1. Následne sa má dávkovanie upraviť podľa reakcie krvného tlaku.</w:t>
      </w:r>
    </w:p>
    <w:p w14:paraId="59F77A8E" w14:textId="77777777" w:rsidR="00F75BDF" w:rsidRPr="007466D1" w:rsidRDefault="00F75BDF" w:rsidP="00D52A6F">
      <w:pPr>
        <w:pStyle w:val="Styl3"/>
        <w:rPr>
          <w:lang w:val="sk-SK"/>
        </w:rPr>
      </w:pPr>
      <w:r w:rsidRPr="007466D1">
        <w:rPr>
          <w:lang w:val="sk-SK"/>
        </w:rPr>
        <w:lastRenderedPageBreak/>
        <w:t>Použitie u pacientov po transplantácii obličiek</w:t>
      </w:r>
    </w:p>
    <w:p w14:paraId="06258676" w14:textId="77777777" w:rsidR="00F75BDF" w:rsidRPr="007466D1" w:rsidRDefault="00F75BDF" w:rsidP="00317A57">
      <w:pPr>
        <w:pStyle w:val="Normlndobloku"/>
      </w:pPr>
      <w:r w:rsidRPr="007466D1">
        <w:t>Nie sú skúsenosti s podávaním DAPRILU pacientom, ktorí sa nedávno podrobili transplantácii obličky. Liečba DAPRILOM sa preto u nich neodporúča.</w:t>
      </w:r>
    </w:p>
    <w:p w14:paraId="68A40D6B" w14:textId="77777777" w:rsidR="00F75BDF" w:rsidRPr="007466D1" w:rsidRDefault="00F75BDF">
      <w:pPr>
        <w:pStyle w:val="Styl2-2"/>
      </w:pPr>
      <w:r w:rsidRPr="007466D1">
        <w:t>Spôsob podávania</w:t>
      </w:r>
    </w:p>
    <w:p w14:paraId="78A3B6AE" w14:textId="77777777" w:rsidR="00F75BDF" w:rsidRDefault="00F75BDF" w:rsidP="00317A57">
      <w:pPr>
        <w:pStyle w:val="Normlndobloku"/>
      </w:pPr>
      <w:r w:rsidRPr="007466D1">
        <w:t xml:space="preserve">DAPRIL sa má podávať perorálne v jednej dennej dávke. Podobne ako iné lieky s dávkovaním jedenkrát denne a DAPRIL sa má užívať každý deň približne v tom istom čase. Absorpcia tabliet </w:t>
      </w:r>
      <w:proofErr w:type="spellStart"/>
      <w:r w:rsidRPr="007466D1">
        <w:t>lizinoprilu</w:t>
      </w:r>
      <w:proofErr w:type="spellEnd"/>
      <w:r w:rsidRPr="007466D1">
        <w:t xml:space="preserve"> nie je ovplyvnená jedlom. Dávkovanie má byť individuálne, podľa typu pacienta a</w:t>
      </w:r>
      <w:r w:rsidR="00D52A6F" w:rsidRPr="007466D1">
        <w:t> </w:t>
      </w:r>
      <w:r w:rsidRPr="007466D1">
        <w:t>odpovede krvného tlaku (pozri časť 4.4).</w:t>
      </w:r>
    </w:p>
    <w:p w14:paraId="3BA4383B" w14:textId="77777777" w:rsidR="00740CED" w:rsidRPr="007466D1" w:rsidRDefault="00740CED" w:rsidP="00317A57">
      <w:pPr>
        <w:pStyle w:val="Normlndobloku"/>
      </w:pPr>
    </w:p>
    <w:p w14:paraId="260E1590" w14:textId="77777777" w:rsidR="00F75BDF" w:rsidRPr="007466D1" w:rsidRDefault="00F75BDF" w:rsidP="00F75BDF">
      <w:pPr>
        <w:pStyle w:val="Styl2"/>
        <w:rPr>
          <w:lang w:val="sk-SK"/>
        </w:rPr>
      </w:pPr>
      <w:r w:rsidRPr="007466D1">
        <w:rPr>
          <w:lang w:val="sk-SK"/>
        </w:rPr>
        <w:t>4.3</w:t>
      </w:r>
      <w:r w:rsidRPr="007466D1">
        <w:rPr>
          <w:lang w:val="sk-SK"/>
        </w:rPr>
        <w:tab/>
        <w:t>Kontraindikácie</w:t>
      </w:r>
    </w:p>
    <w:p w14:paraId="055DFEE5" w14:textId="77777777" w:rsidR="00F75BDF" w:rsidRPr="007466D1" w:rsidRDefault="00F75BDF" w:rsidP="00317A57">
      <w:pPr>
        <w:pStyle w:val="Normlndoblokusodrkami"/>
      </w:pPr>
      <w:r w:rsidRPr="007466D1">
        <w:t>Precitlivenosť na lizinopril alebo na ktorúkoľvek z pomocných látok uvedených v časti 6.1</w:t>
      </w:r>
    </w:p>
    <w:p w14:paraId="020858E8" w14:textId="77777777" w:rsidR="00F75BDF" w:rsidRPr="007466D1" w:rsidRDefault="00F75BDF" w:rsidP="00317A57">
      <w:pPr>
        <w:pStyle w:val="Normlndoblokusodrkami"/>
      </w:pPr>
      <w:r w:rsidRPr="007466D1">
        <w:t>Precitlivenosť na akýkoľvek inhibítor angiotenzín konvertujúceho enzýmu (ACE)</w:t>
      </w:r>
    </w:p>
    <w:p w14:paraId="15477B39" w14:textId="77777777" w:rsidR="00F75BDF" w:rsidRPr="007466D1" w:rsidRDefault="00765601" w:rsidP="00317A57">
      <w:pPr>
        <w:pStyle w:val="Normlndoblokusodrkami"/>
      </w:pPr>
      <w:r w:rsidRPr="007466D1">
        <w:t>A</w:t>
      </w:r>
      <w:r w:rsidR="00F75BDF" w:rsidRPr="007466D1">
        <w:t>ngioneurotický edém, spojený s predchádzajúcou liečbou ACE inhibítorom v anamnéze</w:t>
      </w:r>
    </w:p>
    <w:p w14:paraId="724F035C" w14:textId="77777777" w:rsidR="00F75BDF" w:rsidRPr="007466D1" w:rsidRDefault="00765601" w:rsidP="00317A57">
      <w:pPr>
        <w:pStyle w:val="Normlndoblokusodrkami"/>
      </w:pPr>
      <w:r w:rsidRPr="007466D1">
        <w:t>H</w:t>
      </w:r>
      <w:r w:rsidR="00F75BDF" w:rsidRPr="007466D1">
        <w:t>ereditárny alebo angioneurotický edém</w:t>
      </w:r>
    </w:p>
    <w:p w14:paraId="5C40E678" w14:textId="77777777" w:rsidR="00F75BDF" w:rsidRPr="007466D1" w:rsidRDefault="00765601" w:rsidP="00317A57">
      <w:pPr>
        <w:pStyle w:val="Normlndoblokusodrkami"/>
      </w:pPr>
      <w:r w:rsidRPr="007466D1">
        <w:t>D</w:t>
      </w:r>
      <w:r w:rsidR="00F75BDF" w:rsidRPr="007466D1">
        <w:t>ruhý a tretí trimester gravidity (pozri časti 4.4 a 4.6)</w:t>
      </w:r>
    </w:p>
    <w:p w14:paraId="40D661C9" w14:textId="77777777" w:rsidR="00F75BDF" w:rsidRDefault="00765601" w:rsidP="00317A57">
      <w:pPr>
        <w:pStyle w:val="Normlndoblokusodrkami"/>
      </w:pPr>
      <w:r w:rsidRPr="007466D1">
        <w:t>S</w:t>
      </w:r>
      <w:r w:rsidR="00F75BDF" w:rsidRPr="007466D1">
        <w:t>úbežné používanie DAPRILU s liekmi obsahujúcimi aliskirén je kontraindikované u</w:t>
      </w:r>
      <w:r w:rsidRPr="007466D1">
        <w:t> </w:t>
      </w:r>
      <w:r w:rsidR="00F75BDF" w:rsidRPr="007466D1">
        <w:t>pacientov s diabet</w:t>
      </w:r>
      <w:r w:rsidR="00DF23CD">
        <w:t>om</w:t>
      </w:r>
      <w:r w:rsidR="00F75BDF" w:rsidRPr="007466D1">
        <w:t xml:space="preserve"> mellitus alebo poruchou funkcie obličiek (GFR &lt;60</w:t>
      </w:r>
      <w:r w:rsidR="00DF23CD">
        <w:t> </w:t>
      </w:r>
      <w:r w:rsidR="00F75BDF" w:rsidRPr="007466D1">
        <w:t>ml/min/1,73</w:t>
      </w:r>
      <w:r w:rsidR="00DF23CD">
        <w:t> </w:t>
      </w:r>
      <w:r w:rsidR="00F75BDF" w:rsidRPr="007466D1">
        <w:t>m</w:t>
      </w:r>
      <w:r w:rsidR="00F75BDF" w:rsidRPr="00D51B1B">
        <w:rPr>
          <w:vertAlign w:val="superscript"/>
        </w:rPr>
        <w:t>2</w:t>
      </w:r>
      <w:r w:rsidR="00F75BDF" w:rsidRPr="007466D1">
        <w:t>) (pozri časti 4.5 a 5.1).</w:t>
      </w:r>
    </w:p>
    <w:p w14:paraId="7B722DD7" w14:textId="3A500416" w:rsidR="005B3814" w:rsidRPr="005B3814" w:rsidRDefault="005B3814" w:rsidP="005B3814">
      <w:pPr>
        <w:pStyle w:val="Normlndoblokusodrkami"/>
      </w:pPr>
      <w:r w:rsidRPr="005B3814">
        <w:t xml:space="preserve">Súbežná liečba sakubitrilom/valsartanom. Liečba </w:t>
      </w:r>
      <w:r w:rsidR="002800E5">
        <w:t>lizinopri</w:t>
      </w:r>
      <w:r w:rsidRPr="005B3814">
        <w:t>lom sa nesmie začať skôr ako po 36 hodinách od poslednej dávky sakubitrilu/valsartanu (pozri tiež časti 4.4 a 4.5).</w:t>
      </w:r>
    </w:p>
    <w:p w14:paraId="6655786E" w14:textId="77777777" w:rsidR="00740CED" w:rsidRPr="00D415BB" w:rsidRDefault="00740CED" w:rsidP="006133D6">
      <w:pPr>
        <w:pStyle w:val="Normlndobloku"/>
      </w:pPr>
    </w:p>
    <w:p w14:paraId="77FA0061" w14:textId="77777777" w:rsidR="00D52A6F" w:rsidRPr="007466D1" w:rsidRDefault="00F75BDF" w:rsidP="00F75BDF">
      <w:pPr>
        <w:pStyle w:val="Styl2"/>
        <w:rPr>
          <w:lang w:val="sk-SK"/>
        </w:rPr>
      </w:pPr>
      <w:r w:rsidRPr="007466D1">
        <w:rPr>
          <w:lang w:val="sk-SK"/>
        </w:rPr>
        <w:t>4.4</w:t>
      </w:r>
      <w:r w:rsidRPr="007466D1">
        <w:rPr>
          <w:lang w:val="sk-SK"/>
        </w:rPr>
        <w:tab/>
        <w:t>Osobitné upozornenia a opatrenia pri používaní</w:t>
      </w:r>
    </w:p>
    <w:p w14:paraId="4CED8312" w14:textId="77777777" w:rsidR="00F75BDF" w:rsidRPr="007466D1" w:rsidRDefault="00F75BDF" w:rsidP="00765601">
      <w:pPr>
        <w:pStyle w:val="Styl3"/>
        <w:rPr>
          <w:lang w:val="sk-SK"/>
        </w:rPr>
      </w:pPr>
      <w:r w:rsidRPr="007466D1">
        <w:rPr>
          <w:lang w:val="sk-SK"/>
        </w:rPr>
        <w:t>Symptomatická hypotenzia</w:t>
      </w:r>
    </w:p>
    <w:p w14:paraId="4ECA30DD" w14:textId="77777777" w:rsidR="00765601" w:rsidRPr="007466D1" w:rsidRDefault="00F75BDF" w:rsidP="00317A57">
      <w:pPr>
        <w:pStyle w:val="Normlndobloku"/>
      </w:pPr>
      <w:r w:rsidRPr="007466D1">
        <w:t xml:space="preserve">Symptomatická hypotenzia bola zriedkavo pozorovaná u nekomplikovaných </w:t>
      </w:r>
      <w:proofErr w:type="spellStart"/>
      <w:r w:rsidRPr="007466D1">
        <w:t>hypertonikov</w:t>
      </w:r>
      <w:proofErr w:type="spellEnd"/>
      <w:r w:rsidRPr="007466D1">
        <w:t>. U</w:t>
      </w:r>
      <w:r w:rsidR="00765601" w:rsidRPr="007466D1">
        <w:t> </w:t>
      </w:r>
      <w:r w:rsidRPr="007466D1">
        <w:t xml:space="preserve">hypertonických pacientov, liečených DAPRILOM, nastáva hypotenzia s väčšou pravdepodobnosťou, ak je pacient v objemovej </w:t>
      </w:r>
      <w:proofErr w:type="spellStart"/>
      <w:r w:rsidRPr="007466D1">
        <w:t>deplécii</w:t>
      </w:r>
      <w:proofErr w:type="spellEnd"/>
      <w:r w:rsidRPr="007466D1">
        <w:t xml:space="preserve">, napr. pri diuretickej terapii, diétnom obmedzení soli, pri dialýze, hnačke alebo vracaní, alebo u pacientov s ťažkou </w:t>
      </w:r>
      <w:proofErr w:type="spellStart"/>
      <w:r w:rsidRPr="007466D1">
        <w:t>renín-dependentnou</w:t>
      </w:r>
      <w:proofErr w:type="spellEnd"/>
      <w:r w:rsidRPr="007466D1">
        <w:t xml:space="preserve"> hypertenziou (pozri časti 4.5 a</w:t>
      </w:r>
      <w:r w:rsidR="00375736">
        <w:t> </w:t>
      </w:r>
      <w:r w:rsidRPr="007466D1">
        <w:t xml:space="preserve">4.8). Výskyt symptomatickej hypotenzie bol pozorovaný u pacientov so zlyhaním srdca s alebo bez </w:t>
      </w:r>
      <w:proofErr w:type="spellStart"/>
      <w:r w:rsidRPr="007466D1">
        <w:t>renálnej</w:t>
      </w:r>
      <w:proofErr w:type="spellEnd"/>
      <w:r w:rsidRPr="007466D1">
        <w:t xml:space="preserve"> </w:t>
      </w:r>
      <w:proofErr w:type="spellStart"/>
      <w:r w:rsidRPr="007466D1">
        <w:t>insuficiencie</w:t>
      </w:r>
      <w:proofErr w:type="spellEnd"/>
      <w:r w:rsidRPr="007466D1">
        <w:t xml:space="preserve">. Najpravdepodobnejšie nastáva u pacientov s ťažkým stupňom zlyhania srdca, ktorí dostávali vysoké dávky diuretík účinkujúcich v </w:t>
      </w:r>
      <w:proofErr w:type="spellStart"/>
      <w:r w:rsidRPr="007466D1">
        <w:t>Henleho</w:t>
      </w:r>
      <w:proofErr w:type="spellEnd"/>
      <w:r w:rsidRPr="007466D1">
        <w:t xml:space="preserve"> kľučke, pri </w:t>
      </w:r>
      <w:proofErr w:type="spellStart"/>
      <w:r w:rsidRPr="007466D1">
        <w:t>hyponatriémii</w:t>
      </w:r>
      <w:proofErr w:type="spellEnd"/>
      <w:r w:rsidRPr="007466D1">
        <w:t xml:space="preserve"> alebo poruche funkcie obličiek. U pacientov so zvýšeným rizikom symptomatickej hypotenzie sa má starostlivo sledovať začiatok liečby a úprava dávky. Podobnú pozornosť vyžadujú pacienti s ischemickým srdcovým alebo </w:t>
      </w:r>
      <w:proofErr w:type="spellStart"/>
      <w:r w:rsidRPr="007466D1">
        <w:t>cerebrovaskulárnym</w:t>
      </w:r>
      <w:proofErr w:type="spellEnd"/>
      <w:r w:rsidRPr="007466D1">
        <w:t xml:space="preserve"> ochorením, u ktorých by výrazný pokles krvného tlaku mohol mať za následok infarkt myokardu alebo </w:t>
      </w:r>
      <w:proofErr w:type="spellStart"/>
      <w:r w:rsidRPr="007466D1">
        <w:t>cerebrovaskulárnu</w:t>
      </w:r>
      <w:proofErr w:type="spellEnd"/>
      <w:r w:rsidRPr="007466D1">
        <w:t xml:space="preserve"> príhodu.</w:t>
      </w:r>
    </w:p>
    <w:p w14:paraId="3DC17AA2" w14:textId="77777777" w:rsidR="00765601" w:rsidRPr="007466D1" w:rsidRDefault="00F75BDF" w:rsidP="00317A57">
      <w:pPr>
        <w:pStyle w:val="Normlndobloku"/>
      </w:pPr>
      <w:r w:rsidRPr="007466D1">
        <w:t>Ak dôjde k hypotenzii treba pacienta uložiť do polohy na znak a ak je to potrebné, má sa mu intravenózne podať infúzia fyziologického roztoku. Prechodná hypotenzia, ako odpoveď na liečbu, nie je kontraindikáciou pre ďalšie dávky, ktoré sa zvyčajne môžu podať bez komplikácií, ako náhle sa po expanzii objemu zvýši krvný tlak.</w:t>
      </w:r>
    </w:p>
    <w:p w14:paraId="428A655B" w14:textId="77777777" w:rsidR="00765601" w:rsidRPr="00D51B1B" w:rsidRDefault="00F75BDF" w:rsidP="00317A57">
      <w:pPr>
        <w:pStyle w:val="Normlndobloku"/>
      </w:pPr>
      <w:r w:rsidRPr="007466D1">
        <w:t>U niektorých pacientov so zlyhaním srdca, ktorí majú normálny alebo nízky krvný tlak, môže po podaní DAPRILU dôjsť k ďalšiemu poklesu systémového krvného tlaku. Tento účinok môžeme očakávať a nie je zvyčajne dôvodom k prerušeniu liečby. Keď sa hypotenzia stáva symptomatickou, môže byť nevyhnutné znížiť dávkovanie alebo prerušiť podávanie DAPRILU.</w:t>
      </w:r>
    </w:p>
    <w:p w14:paraId="525F18FE" w14:textId="77777777" w:rsidR="00F75BDF" w:rsidRPr="007466D1" w:rsidRDefault="00F75BDF" w:rsidP="00765601">
      <w:pPr>
        <w:pStyle w:val="Styl3"/>
        <w:rPr>
          <w:lang w:val="sk-SK"/>
        </w:rPr>
      </w:pPr>
      <w:r w:rsidRPr="00D51B1B">
        <w:rPr>
          <w:lang w:val="sk-SK"/>
        </w:rPr>
        <w:t>Hypotenzia</w:t>
      </w:r>
      <w:r w:rsidRPr="007466D1">
        <w:rPr>
          <w:lang w:val="sk-SK"/>
        </w:rPr>
        <w:t xml:space="preserve"> pri akútnom infarkte myokardu</w:t>
      </w:r>
    </w:p>
    <w:p w14:paraId="254EA64F" w14:textId="77777777" w:rsidR="00F75BDF" w:rsidRPr="007466D1" w:rsidRDefault="00F75BDF" w:rsidP="00317A57">
      <w:pPr>
        <w:pStyle w:val="Normlndobloku"/>
      </w:pPr>
      <w:r w:rsidRPr="007466D1">
        <w:t xml:space="preserve">Liečba DAPRILOM nesmie byť začatá u pacientov s akútnym infarktom myokardu, u ktorých je riziko ďalšieho vážneho zhoršenia </w:t>
      </w:r>
      <w:proofErr w:type="spellStart"/>
      <w:r w:rsidRPr="007466D1">
        <w:t>hemodynamiky</w:t>
      </w:r>
      <w:proofErr w:type="spellEnd"/>
      <w:r w:rsidRPr="007466D1">
        <w:t xml:space="preserve"> po liečbe </w:t>
      </w:r>
      <w:proofErr w:type="spellStart"/>
      <w:r w:rsidRPr="007466D1">
        <w:t>vazodilatanciami</w:t>
      </w:r>
      <w:proofErr w:type="spellEnd"/>
      <w:r w:rsidRPr="007466D1">
        <w:t>.</w:t>
      </w:r>
    </w:p>
    <w:p w14:paraId="554EFCF7" w14:textId="77777777" w:rsidR="00F75BDF" w:rsidRPr="00DF23CD" w:rsidRDefault="00F75BDF" w:rsidP="00317A57">
      <w:pPr>
        <w:pStyle w:val="Normlndobloku"/>
      </w:pPr>
      <w:r w:rsidRPr="007466D1">
        <w:lastRenderedPageBreak/>
        <w:t xml:space="preserve">Sú to pacienti so </w:t>
      </w:r>
      <w:proofErr w:type="spellStart"/>
      <w:r w:rsidRPr="007466D1">
        <w:t>systolickým</w:t>
      </w:r>
      <w:proofErr w:type="spellEnd"/>
      <w:r w:rsidRPr="007466D1">
        <w:t xml:space="preserve"> tlakom 100 </w:t>
      </w:r>
      <w:proofErr w:type="spellStart"/>
      <w:r w:rsidRPr="007466D1">
        <w:t>mmHg</w:t>
      </w:r>
      <w:proofErr w:type="spellEnd"/>
      <w:r w:rsidRPr="007466D1">
        <w:t xml:space="preserve"> alebo nižším, alebo pacienti v </w:t>
      </w:r>
      <w:proofErr w:type="spellStart"/>
      <w:r w:rsidRPr="007466D1">
        <w:t>kardiogénnom</w:t>
      </w:r>
      <w:proofErr w:type="spellEnd"/>
      <w:r w:rsidRPr="007466D1">
        <w:t xml:space="preserve"> šoku. Počas prvých troch dní po infarkte je potrebné znížiť dávku, ak je </w:t>
      </w:r>
      <w:proofErr w:type="spellStart"/>
      <w:r w:rsidRPr="007466D1">
        <w:t>systolický</w:t>
      </w:r>
      <w:proofErr w:type="spellEnd"/>
      <w:r w:rsidRPr="007466D1">
        <w:t xml:space="preserve"> tlak 120mmHg alebo nižší. Udržiavacie dávky treba znížiť na 5mg, alebo prechodne na 2,5 mg, ak je </w:t>
      </w:r>
      <w:proofErr w:type="spellStart"/>
      <w:r w:rsidRPr="007466D1">
        <w:t>systolický</w:t>
      </w:r>
      <w:proofErr w:type="spellEnd"/>
      <w:r w:rsidRPr="007466D1">
        <w:t xml:space="preserve"> tlak 100</w:t>
      </w:r>
      <w:r w:rsidR="007466D1">
        <w:t> </w:t>
      </w:r>
      <w:proofErr w:type="spellStart"/>
      <w:r w:rsidRPr="007466D1">
        <w:t>mmHg</w:t>
      </w:r>
      <w:proofErr w:type="spellEnd"/>
      <w:r w:rsidRPr="007466D1">
        <w:t xml:space="preserve"> alebo menej. Keď hypotenzia pretrváva (</w:t>
      </w:r>
      <w:proofErr w:type="spellStart"/>
      <w:r w:rsidRPr="007466D1">
        <w:t>systolický</w:t>
      </w:r>
      <w:proofErr w:type="spellEnd"/>
      <w:r w:rsidRPr="007466D1">
        <w:t xml:space="preserve"> tlak je nižší ako 90 </w:t>
      </w:r>
      <w:proofErr w:type="spellStart"/>
      <w:r w:rsidRPr="007466D1">
        <w:t>mmHg</w:t>
      </w:r>
      <w:proofErr w:type="spellEnd"/>
      <w:r w:rsidRPr="007466D1">
        <w:t xml:space="preserve"> viac ako jednu hodinu), podávanie DAPRILU treba prerušiť</w:t>
      </w:r>
      <w:r w:rsidRPr="00E3367C">
        <w:t>.</w:t>
      </w:r>
    </w:p>
    <w:p w14:paraId="524B6885" w14:textId="77777777" w:rsidR="00F75BDF" w:rsidRPr="007466D1" w:rsidRDefault="00F75BDF" w:rsidP="00765601">
      <w:pPr>
        <w:pStyle w:val="Styl3"/>
        <w:rPr>
          <w:lang w:val="sk-SK"/>
        </w:rPr>
      </w:pPr>
      <w:r w:rsidRPr="00D51B1B">
        <w:rPr>
          <w:lang w:val="sk-SK"/>
        </w:rPr>
        <w:t xml:space="preserve">Aortálna </w:t>
      </w:r>
      <w:r w:rsidRPr="007466D1">
        <w:rPr>
          <w:lang w:val="sk-SK"/>
        </w:rPr>
        <w:t xml:space="preserve">a </w:t>
      </w:r>
      <w:proofErr w:type="spellStart"/>
      <w:r w:rsidRPr="007466D1">
        <w:rPr>
          <w:lang w:val="sk-SK"/>
        </w:rPr>
        <w:t>mitrálna</w:t>
      </w:r>
      <w:proofErr w:type="spellEnd"/>
      <w:r w:rsidRPr="007466D1">
        <w:rPr>
          <w:lang w:val="sk-SK"/>
        </w:rPr>
        <w:t xml:space="preserve"> </w:t>
      </w:r>
      <w:proofErr w:type="spellStart"/>
      <w:r w:rsidRPr="007466D1">
        <w:rPr>
          <w:lang w:val="sk-SK"/>
        </w:rPr>
        <w:t>stenóza</w:t>
      </w:r>
      <w:proofErr w:type="spellEnd"/>
      <w:r w:rsidRPr="007466D1">
        <w:rPr>
          <w:lang w:val="sk-SK"/>
        </w:rPr>
        <w:t xml:space="preserve">/hypertrofická </w:t>
      </w:r>
      <w:proofErr w:type="spellStart"/>
      <w:r w:rsidRPr="007466D1">
        <w:rPr>
          <w:lang w:val="sk-SK"/>
        </w:rPr>
        <w:t>kardiomyopatia</w:t>
      </w:r>
      <w:proofErr w:type="spellEnd"/>
    </w:p>
    <w:p w14:paraId="31F59986" w14:textId="77777777" w:rsidR="00765601" w:rsidRPr="007466D1" w:rsidRDefault="00F75BDF" w:rsidP="00317A57">
      <w:pPr>
        <w:pStyle w:val="Normlndobloku"/>
      </w:pPr>
      <w:r w:rsidRPr="007466D1">
        <w:t xml:space="preserve">Podobne ako iné ACE inhibítory aj DAPRIL sa má podávať s opatrnosťou u pacientov so </w:t>
      </w:r>
      <w:proofErr w:type="spellStart"/>
      <w:r w:rsidRPr="007466D1">
        <w:t>stenózou</w:t>
      </w:r>
      <w:proofErr w:type="spellEnd"/>
      <w:r w:rsidRPr="007466D1">
        <w:t xml:space="preserve"> </w:t>
      </w:r>
      <w:proofErr w:type="spellStart"/>
      <w:r w:rsidRPr="007466D1">
        <w:t>mitrálnej</w:t>
      </w:r>
      <w:proofErr w:type="spellEnd"/>
      <w:r w:rsidRPr="007466D1">
        <w:t xml:space="preserve"> chlopne a obštrukciou výtokovej časti ľavej komory, ako je aortálna </w:t>
      </w:r>
      <w:proofErr w:type="spellStart"/>
      <w:r w:rsidRPr="007466D1">
        <w:t>stenóza</w:t>
      </w:r>
      <w:proofErr w:type="spellEnd"/>
      <w:r w:rsidRPr="007466D1">
        <w:t xml:space="preserve"> alebo hypertrofická </w:t>
      </w:r>
      <w:proofErr w:type="spellStart"/>
      <w:r w:rsidRPr="007466D1">
        <w:t>kardiomyopatia</w:t>
      </w:r>
      <w:proofErr w:type="spellEnd"/>
      <w:r w:rsidRPr="007466D1">
        <w:t>.</w:t>
      </w:r>
    </w:p>
    <w:p w14:paraId="360F700A" w14:textId="77777777" w:rsidR="00F75BDF" w:rsidRPr="007466D1" w:rsidRDefault="00DF23CD" w:rsidP="00765601">
      <w:pPr>
        <w:pStyle w:val="Styl3"/>
        <w:rPr>
          <w:lang w:val="sk-SK"/>
        </w:rPr>
      </w:pPr>
      <w:r>
        <w:rPr>
          <w:lang w:val="sk-SK"/>
        </w:rPr>
        <w:t>Porucha</w:t>
      </w:r>
      <w:r w:rsidR="00F75BDF" w:rsidRPr="007466D1">
        <w:rPr>
          <w:lang w:val="sk-SK"/>
        </w:rPr>
        <w:t xml:space="preserve"> funkcie obličiek</w:t>
      </w:r>
    </w:p>
    <w:p w14:paraId="0949F89E" w14:textId="77777777" w:rsidR="00765601" w:rsidRPr="007466D1" w:rsidRDefault="00F75BDF" w:rsidP="00317A57">
      <w:pPr>
        <w:pStyle w:val="Normlndobloku"/>
      </w:pPr>
      <w:r w:rsidRPr="007466D1">
        <w:t>Pri poruche funkcie obličiek (</w:t>
      </w:r>
      <w:proofErr w:type="spellStart"/>
      <w:r w:rsidRPr="007466D1">
        <w:t>klírens</w:t>
      </w:r>
      <w:proofErr w:type="spellEnd"/>
      <w:r w:rsidRPr="007466D1">
        <w:t xml:space="preserve"> </w:t>
      </w:r>
      <w:proofErr w:type="spellStart"/>
      <w:r w:rsidRPr="007466D1">
        <w:t>kreatinínu</w:t>
      </w:r>
      <w:proofErr w:type="spellEnd"/>
      <w:r w:rsidRPr="007466D1">
        <w:t xml:space="preserve"> &lt;80</w:t>
      </w:r>
      <w:r w:rsidR="00DF23CD">
        <w:t> </w:t>
      </w:r>
      <w:r w:rsidRPr="007466D1">
        <w:t xml:space="preserve">ml/min) je potrebné úvodné dávkovanie DAPRILU prispôsobiť </w:t>
      </w:r>
      <w:proofErr w:type="spellStart"/>
      <w:r w:rsidRPr="007466D1">
        <w:t>klírensu</w:t>
      </w:r>
      <w:proofErr w:type="spellEnd"/>
      <w:r w:rsidRPr="007466D1">
        <w:t xml:space="preserve"> </w:t>
      </w:r>
      <w:proofErr w:type="spellStart"/>
      <w:r w:rsidRPr="007466D1">
        <w:t>kreatinínu</w:t>
      </w:r>
      <w:proofErr w:type="spellEnd"/>
      <w:r w:rsidRPr="007466D1">
        <w:t xml:space="preserve"> pacienta (pozri tab. 1 v časti 4.2) a potom v závislosti od reakcie pacienta na liečbu. K bežnej lekárskej praxi u týchto pacientov patrí rutinné monitorovanie hladín draslíka a</w:t>
      </w:r>
      <w:r w:rsidR="00375736">
        <w:t> </w:t>
      </w:r>
      <w:proofErr w:type="spellStart"/>
      <w:r w:rsidRPr="007466D1">
        <w:t>kreatinínu</w:t>
      </w:r>
      <w:proofErr w:type="spellEnd"/>
      <w:r w:rsidRPr="007466D1">
        <w:t>.</w:t>
      </w:r>
    </w:p>
    <w:p w14:paraId="75D375B9" w14:textId="77777777" w:rsidR="00765601" w:rsidRPr="007466D1" w:rsidRDefault="00F75BDF" w:rsidP="00317A57">
      <w:pPr>
        <w:pStyle w:val="Normlndobloku"/>
      </w:pPr>
      <w:r w:rsidRPr="007466D1">
        <w:t>U pacientov so zlyhaním srdca môže hypotenzia po začatí terapie ACE inhibítormi viesť k ďalšiemu zhoršeniu funkcie obličiek. Akútne zlyhanie obličiek, ktoré bolo hlásené v týchto prípadoch bolo obvykle reverzibilné.</w:t>
      </w:r>
    </w:p>
    <w:p w14:paraId="4C58407A" w14:textId="77777777" w:rsidR="00765601" w:rsidRPr="00E3367C" w:rsidRDefault="00F75BDF" w:rsidP="00317A57">
      <w:pPr>
        <w:pStyle w:val="Normlndobloku"/>
      </w:pPr>
      <w:r w:rsidRPr="007466D1">
        <w:t xml:space="preserve">U niektorých pacientov s bilaterálnou </w:t>
      </w:r>
      <w:proofErr w:type="spellStart"/>
      <w:r w:rsidRPr="007466D1">
        <w:t>stenózou</w:t>
      </w:r>
      <w:proofErr w:type="spellEnd"/>
      <w:r w:rsidRPr="007466D1">
        <w:t xml:space="preserve"> </w:t>
      </w:r>
      <w:proofErr w:type="spellStart"/>
      <w:r w:rsidRPr="007466D1">
        <w:t>renálnych</w:t>
      </w:r>
      <w:proofErr w:type="spellEnd"/>
      <w:r w:rsidRPr="007466D1">
        <w:t xml:space="preserve"> tepien alebo </w:t>
      </w:r>
      <w:proofErr w:type="spellStart"/>
      <w:r w:rsidRPr="007466D1">
        <w:t>stenózou</w:t>
      </w:r>
      <w:proofErr w:type="spellEnd"/>
      <w:r w:rsidRPr="007466D1">
        <w:t xml:space="preserve"> artérie solitárnej obličky, ktorí boli liečení inhibítormi </w:t>
      </w:r>
      <w:proofErr w:type="spellStart"/>
      <w:r w:rsidRPr="007466D1">
        <w:t>angiotenzín</w:t>
      </w:r>
      <w:proofErr w:type="spellEnd"/>
      <w:r w:rsidRPr="007466D1">
        <w:t xml:space="preserve">- konvertujúceho enzýmu, bol pozorovaný vzostup sérovej </w:t>
      </w:r>
      <w:proofErr w:type="spellStart"/>
      <w:r w:rsidRPr="007466D1">
        <w:t>urey</w:t>
      </w:r>
      <w:proofErr w:type="spellEnd"/>
      <w:r w:rsidRPr="007466D1">
        <w:t xml:space="preserve"> a sérového </w:t>
      </w:r>
      <w:proofErr w:type="spellStart"/>
      <w:r w:rsidRPr="007466D1">
        <w:t>kreatínu</w:t>
      </w:r>
      <w:proofErr w:type="spellEnd"/>
      <w:r w:rsidRPr="007466D1">
        <w:t xml:space="preserve">. Tieto zmeny boli po prerušení terapie reverzibilné. Vyskytujú sa najmä u pacientov s </w:t>
      </w:r>
      <w:proofErr w:type="spellStart"/>
      <w:r w:rsidRPr="007466D1">
        <w:t>renálnou</w:t>
      </w:r>
      <w:proofErr w:type="spellEnd"/>
      <w:r w:rsidRPr="007466D1">
        <w:t xml:space="preserve"> </w:t>
      </w:r>
      <w:proofErr w:type="spellStart"/>
      <w:r w:rsidRPr="007466D1">
        <w:t>insuficienciou</w:t>
      </w:r>
      <w:proofErr w:type="spellEnd"/>
      <w:r w:rsidRPr="007466D1">
        <w:t xml:space="preserve">. Ak je prítomná aj </w:t>
      </w:r>
      <w:proofErr w:type="spellStart"/>
      <w:r w:rsidRPr="007466D1">
        <w:t>renovaskulárna</w:t>
      </w:r>
      <w:proofErr w:type="spellEnd"/>
      <w:r w:rsidRPr="007466D1">
        <w:t xml:space="preserve"> hypertenzia, je zvýšené riziko závažnej hypotenzie a </w:t>
      </w:r>
      <w:proofErr w:type="spellStart"/>
      <w:r w:rsidRPr="007466D1">
        <w:t>renálnej</w:t>
      </w:r>
      <w:proofErr w:type="spellEnd"/>
      <w:r w:rsidRPr="007466D1">
        <w:t xml:space="preserve"> </w:t>
      </w:r>
      <w:proofErr w:type="spellStart"/>
      <w:r w:rsidRPr="007466D1">
        <w:t>insuficiencie</w:t>
      </w:r>
      <w:proofErr w:type="spellEnd"/>
      <w:r w:rsidRPr="007466D1">
        <w:t>. U týchto pacientov musí byť liečba začatá nízkymi dávkami, starostlivou titráciou a pod prísnym lekárskym dohľadom. Keďže liečba diuretikami môže prispievať k uvedeným komplikáciám, liečba diuretikami musí byť prerušená a funkcia obličiek musí byť počas prvých týždňov liečby DAPRILOM monitorovaná.</w:t>
      </w:r>
    </w:p>
    <w:p w14:paraId="70AE7557" w14:textId="2D385316" w:rsidR="00765601" w:rsidRPr="007466D1" w:rsidRDefault="00F75BDF" w:rsidP="00317A57">
      <w:pPr>
        <w:pStyle w:val="Normlndobloku"/>
      </w:pPr>
      <w:r w:rsidRPr="00E3367C">
        <w:t xml:space="preserve">U niektorých </w:t>
      </w:r>
      <w:proofErr w:type="spellStart"/>
      <w:r w:rsidRPr="007466D1">
        <w:t>hypertenzných</w:t>
      </w:r>
      <w:proofErr w:type="spellEnd"/>
      <w:r w:rsidRPr="007466D1">
        <w:t xml:space="preserve"> pacientov, ktorí predtým nemali zjavné </w:t>
      </w:r>
      <w:proofErr w:type="spellStart"/>
      <w:r w:rsidRPr="007466D1">
        <w:t>renovaskulárne</w:t>
      </w:r>
      <w:proofErr w:type="spellEnd"/>
      <w:r w:rsidRPr="007466D1">
        <w:t xml:space="preserve"> ochorenie obličiek došlo k miernemu prechodnému zvýšeniu sérovej </w:t>
      </w:r>
      <w:proofErr w:type="spellStart"/>
      <w:r w:rsidRPr="007466D1">
        <w:t>urey</w:t>
      </w:r>
      <w:proofErr w:type="spellEnd"/>
      <w:r w:rsidRPr="007466D1">
        <w:t xml:space="preserve"> a sérového </w:t>
      </w:r>
      <w:proofErr w:type="spellStart"/>
      <w:r w:rsidRPr="007466D1">
        <w:t>kreatínu</w:t>
      </w:r>
      <w:proofErr w:type="spellEnd"/>
      <w:r w:rsidRPr="007466D1">
        <w:t xml:space="preserve">, najmä keď bol </w:t>
      </w:r>
      <w:proofErr w:type="spellStart"/>
      <w:r w:rsidR="00B023FC">
        <w:t>lizinopril</w:t>
      </w:r>
      <w:proofErr w:type="spellEnd"/>
      <w:r w:rsidR="00B023FC" w:rsidRPr="007466D1">
        <w:t xml:space="preserve"> </w:t>
      </w:r>
      <w:r w:rsidRPr="007466D1">
        <w:t>podávaný sú</w:t>
      </w:r>
      <w:r w:rsidR="00B023FC">
        <w:t>bež</w:t>
      </w:r>
      <w:r w:rsidRPr="007466D1">
        <w:t>ne s diuretikami. Vyskytuje sa to najmä u pacientov s už existujúcim poškodením obličiek. Je potrebné znížiť dávkovanie alebo prerušiť podávanie diuretika a/alebo DAPRILU.</w:t>
      </w:r>
    </w:p>
    <w:p w14:paraId="6FD86F75" w14:textId="77777777" w:rsidR="00765601" w:rsidRPr="007466D1" w:rsidRDefault="00F75BDF" w:rsidP="00317A57">
      <w:pPr>
        <w:pStyle w:val="Normlndobloku"/>
      </w:pPr>
      <w:r w:rsidRPr="007466D1">
        <w:t xml:space="preserve">Pri akútnom infarkte myokardu sa neodporúča začať liečbu DAPRILOM u pacientov, u ktorých je </w:t>
      </w:r>
      <w:proofErr w:type="spellStart"/>
      <w:r w:rsidRPr="007466D1">
        <w:t>renálna</w:t>
      </w:r>
      <w:proofErr w:type="spellEnd"/>
      <w:r w:rsidRPr="007466D1">
        <w:t xml:space="preserve"> dysfunkcia stanovená zvýšenými hodnotami sérového </w:t>
      </w:r>
      <w:proofErr w:type="spellStart"/>
      <w:r w:rsidRPr="007466D1">
        <w:t>kreatínu</w:t>
      </w:r>
      <w:proofErr w:type="spellEnd"/>
      <w:r w:rsidRPr="007466D1">
        <w:t xml:space="preserve"> nad 177 mol/1 a/alebo </w:t>
      </w:r>
      <w:proofErr w:type="spellStart"/>
      <w:r w:rsidRPr="007466D1">
        <w:t>proteinúriou</w:t>
      </w:r>
      <w:proofErr w:type="spellEnd"/>
      <w:r w:rsidRPr="007466D1">
        <w:t xml:space="preserve"> nad 500 mg/24 hod. Keď sa </w:t>
      </w:r>
      <w:proofErr w:type="spellStart"/>
      <w:r w:rsidRPr="007466D1">
        <w:t>renálna</w:t>
      </w:r>
      <w:proofErr w:type="spellEnd"/>
      <w:r w:rsidRPr="007466D1">
        <w:t xml:space="preserve"> dysfunkcia vyvinie počas liečby DAPRILOM (sérová koncentrácia </w:t>
      </w:r>
      <w:proofErr w:type="spellStart"/>
      <w:r w:rsidRPr="007466D1">
        <w:t>kreatínu</w:t>
      </w:r>
      <w:proofErr w:type="spellEnd"/>
      <w:r w:rsidRPr="007466D1">
        <w:t xml:space="preserve"> sa zvýši nad 265 µmol/l alebo na dvojnásobok hodnoty pred začatím terapie), lekár má zvážiť vysadenie DAPRILU.</w:t>
      </w:r>
    </w:p>
    <w:p w14:paraId="5D38C839" w14:textId="77777777" w:rsidR="00F75BDF" w:rsidRPr="007466D1" w:rsidRDefault="00F75BDF" w:rsidP="00765601">
      <w:pPr>
        <w:pStyle w:val="Styl3"/>
        <w:rPr>
          <w:lang w:val="sk-SK"/>
        </w:rPr>
      </w:pPr>
      <w:r w:rsidRPr="007466D1">
        <w:rPr>
          <w:lang w:val="sk-SK"/>
        </w:rPr>
        <w:t>Precitlivenosť/</w:t>
      </w:r>
      <w:proofErr w:type="spellStart"/>
      <w:r w:rsidRPr="007466D1">
        <w:rPr>
          <w:lang w:val="sk-SK"/>
        </w:rPr>
        <w:t>angioedém</w:t>
      </w:r>
      <w:proofErr w:type="spellEnd"/>
    </w:p>
    <w:p w14:paraId="66662220" w14:textId="16D8DDA5" w:rsidR="00765601" w:rsidRPr="007466D1" w:rsidRDefault="00F75BDF" w:rsidP="00317A57">
      <w:pPr>
        <w:pStyle w:val="Normlndobloku"/>
      </w:pPr>
      <w:proofErr w:type="spellStart"/>
      <w:r w:rsidRPr="007466D1">
        <w:t>Angioedém</w:t>
      </w:r>
      <w:proofErr w:type="spellEnd"/>
      <w:r w:rsidRPr="007466D1">
        <w:t xml:space="preserve"> tváre, končatín, pier, jazyka, hlasiviek a/alebo hrtana sa menej často zaznamenal u</w:t>
      </w:r>
      <w:r w:rsidR="007466D1" w:rsidRPr="007466D1">
        <w:t> </w:t>
      </w:r>
      <w:r w:rsidRPr="007466D1">
        <w:t xml:space="preserve">pacientov liečených inhibítormi </w:t>
      </w:r>
      <w:proofErr w:type="spellStart"/>
      <w:r w:rsidRPr="007466D1">
        <w:t>angiotenzín</w:t>
      </w:r>
      <w:proofErr w:type="spellEnd"/>
      <w:r w:rsidRPr="007466D1">
        <w:t xml:space="preserve"> konvertujúceho enzýmu, vrátane DAPRILU. Ich rozvoj môže nastať kedykoľvek počas liečby. V takom prípade </w:t>
      </w:r>
      <w:r w:rsidR="00B023FC">
        <w:t>má</w:t>
      </w:r>
      <w:r w:rsidRPr="007466D1">
        <w:t xml:space="preserve"> byť liečba DAPRILOM okamžite prerušená a m</w:t>
      </w:r>
      <w:r w:rsidR="00B023FC">
        <w:t>á</w:t>
      </w:r>
      <w:r w:rsidRPr="007466D1">
        <w:t xml:space="preserve"> byť </w:t>
      </w:r>
      <w:r w:rsidR="00B023FC" w:rsidRPr="007466D1">
        <w:t>za</w:t>
      </w:r>
      <w:r w:rsidR="00B023FC">
        <w:t>čatá</w:t>
      </w:r>
      <w:r w:rsidR="00B023FC" w:rsidRPr="007466D1">
        <w:t xml:space="preserve"> </w:t>
      </w:r>
      <w:r w:rsidRPr="007466D1">
        <w:t xml:space="preserve">liečba a príslušné monitorovanie na zaistenie úplného vymiznutia príznakov pred prepustím pacientov. Aj v prípade, keď edém postihol len jazyk bez respiračných problémov, je nutné pacienta podrobiť dlhšiemu sledovaniu, pretože liečba </w:t>
      </w:r>
      <w:proofErr w:type="spellStart"/>
      <w:r w:rsidRPr="007466D1">
        <w:t>antihistaminikami</w:t>
      </w:r>
      <w:proofErr w:type="spellEnd"/>
      <w:r w:rsidRPr="007466D1">
        <w:t xml:space="preserve"> a</w:t>
      </w:r>
      <w:r w:rsidR="00765601" w:rsidRPr="007466D1">
        <w:t> </w:t>
      </w:r>
      <w:proofErr w:type="spellStart"/>
      <w:r w:rsidRPr="007466D1">
        <w:t>kortikosteroidmi</w:t>
      </w:r>
      <w:proofErr w:type="spellEnd"/>
      <w:r w:rsidRPr="007466D1">
        <w:t xml:space="preserve"> nemusí byť vždy účinná.</w:t>
      </w:r>
    </w:p>
    <w:p w14:paraId="77380348" w14:textId="77777777" w:rsidR="00765601" w:rsidRPr="007466D1" w:rsidRDefault="00F75BDF" w:rsidP="00317A57">
      <w:pPr>
        <w:pStyle w:val="Normlndobloku"/>
      </w:pPr>
      <w:r w:rsidRPr="007466D1">
        <w:t xml:space="preserve">Veľmi zriedkavo boli hlásené prípady úmrtia v súvislosti s </w:t>
      </w:r>
      <w:proofErr w:type="spellStart"/>
      <w:r w:rsidRPr="007466D1">
        <w:t>angioedémom</w:t>
      </w:r>
      <w:proofErr w:type="spellEnd"/>
      <w:r w:rsidRPr="007466D1">
        <w:t xml:space="preserve">, spojeným s edémom </w:t>
      </w:r>
      <w:proofErr w:type="spellStart"/>
      <w:r w:rsidRPr="007466D1">
        <w:t>laryngu</w:t>
      </w:r>
      <w:proofErr w:type="spellEnd"/>
      <w:r w:rsidRPr="007466D1">
        <w:t xml:space="preserve"> alebo jazyka. U pacientov s postihnutím jazyka, hlasiviek alebo hrtana je pravdepodobná blokáda dýchacích ciest, najmä u tých, ktorí majú v anamnéze prekonaný chirurgický zákrok na dýchacích cestách. V takýchto prípadoch je potrebné urýchlene poskytnúť príslušnú liečbu. Tá môže zahŕňať podávanie adrenalínu a/alebo zabezpečenie priechodnosti dýchacích ciest. Pacient musí byť pod prísnym lekárskym dohľadom až do úplného a pretrvávajúceho ústupu príznakov.</w:t>
      </w:r>
    </w:p>
    <w:p w14:paraId="3AE2E34F" w14:textId="77777777" w:rsidR="00765601" w:rsidRPr="00DF23CD" w:rsidRDefault="00F75BDF" w:rsidP="00317A57">
      <w:pPr>
        <w:pStyle w:val="Normlndobloku"/>
      </w:pPr>
      <w:r w:rsidRPr="007466D1">
        <w:lastRenderedPageBreak/>
        <w:t xml:space="preserve">Inhibítory </w:t>
      </w:r>
      <w:proofErr w:type="spellStart"/>
      <w:r w:rsidRPr="007466D1">
        <w:t>angiotenzín</w:t>
      </w:r>
      <w:proofErr w:type="spellEnd"/>
      <w:r w:rsidRPr="007466D1">
        <w:t xml:space="preserve"> konvertujúceho enzýmu spôsobujú vyšší výskyt </w:t>
      </w:r>
      <w:proofErr w:type="spellStart"/>
      <w:r w:rsidRPr="007466D1">
        <w:t>angioedému</w:t>
      </w:r>
      <w:proofErr w:type="spellEnd"/>
      <w:r w:rsidRPr="007466D1">
        <w:t xml:space="preserve"> u pacientov čiernej pleti ako u ostatných pacientov</w:t>
      </w:r>
      <w:r w:rsidRPr="00E3367C">
        <w:t>.</w:t>
      </w:r>
    </w:p>
    <w:p w14:paraId="2D3714CF" w14:textId="77777777" w:rsidR="00F75BDF" w:rsidRDefault="00F75BDF" w:rsidP="00317A57">
      <w:pPr>
        <w:pStyle w:val="Normlndobloku"/>
      </w:pPr>
      <w:r w:rsidRPr="00D51B1B">
        <w:t xml:space="preserve">Pacienti s </w:t>
      </w:r>
      <w:r w:rsidRPr="007466D1">
        <w:t xml:space="preserve">anamnézou </w:t>
      </w:r>
      <w:proofErr w:type="spellStart"/>
      <w:r w:rsidRPr="007466D1">
        <w:t>angioedému</w:t>
      </w:r>
      <w:proofErr w:type="spellEnd"/>
      <w:r w:rsidRPr="007466D1">
        <w:t xml:space="preserve"> bez vzťahu k terapii ACE inhibítormi môžu mať zvýšené riziko </w:t>
      </w:r>
      <w:proofErr w:type="spellStart"/>
      <w:r w:rsidRPr="007466D1">
        <w:t>angioedému</w:t>
      </w:r>
      <w:proofErr w:type="spellEnd"/>
      <w:r w:rsidRPr="007466D1">
        <w:t xml:space="preserve"> pri užívaní ACE inhibítora (pozri časť 4.3).</w:t>
      </w:r>
    </w:p>
    <w:p w14:paraId="35260B23" w14:textId="69B60CFF" w:rsidR="005B3814" w:rsidRDefault="005B3814" w:rsidP="005B3814">
      <w:pPr>
        <w:pStyle w:val="Normlndobloku"/>
      </w:pPr>
      <w:r>
        <w:t xml:space="preserve">Súbežné užívanie inhibítorov </w:t>
      </w:r>
      <w:proofErr w:type="spellStart"/>
      <w:r>
        <w:t>angiotenzín</w:t>
      </w:r>
      <w:proofErr w:type="spellEnd"/>
      <w:r>
        <w:t xml:space="preserve"> konvertujúceho enzýmu (ACE) so </w:t>
      </w:r>
      <w:proofErr w:type="spellStart"/>
      <w:r>
        <w:t>sakubitrilom</w:t>
      </w:r>
      <w:proofErr w:type="spellEnd"/>
      <w:r>
        <w:t>/</w:t>
      </w:r>
      <w:proofErr w:type="spellStart"/>
      <w:r>
        <w:t>valsartanom</w:t>
      </w:r>
      <w:proofErr w:type="spellEnd"/>
      <w:r>
        <w:t xml:space="preserve"> je kontraindikované v dôsledku zvýšeného rizika </w:t>
      </w:r>
      <w:proofErr w:type="spellStart"/>
      <w:r>
        <w:t>angioedému</w:t>
      </w:r>
      <w:proofErr w:type="spellEnd"/>
      <w:r>
        <w:t xml:space="preserve">. Liečba </w:t>
      </w:r>
      <w:proofErr w:type="spellStart"/>
      <w:r>
        <w:t>sakubitrilom</w:t>
      </w:r>
      <w:proofErr w:type="spellEnd"/>
      <w:r>
        <w:t>/</w:t>
      </w:r>
      <w:proofErr w:type="spellStart"/>
      <w:r>
        <w:t>valsartanom</w:t>
      </w:r>
      <w:proofErr w:type="spellEnd"/>
      <w:r>
        <w:t xml:space="preserve"> sa nesmie začať skôr ako po 36 hodinách od poslednej dávky </w:t>
      </w:r>
      <w:proofErr w:type="spellStart"/>
      <w:r w:rsidR="002800E5">
        <w:t>lizino</w:t>
      </w:r>
      <w:r>
        <w:t>prilu</w:t>
      </w:r>
      <w:proofErr w:type="spellEnd"/>
      <w:r>
        <w:t xml:space="preserve">. Liečba </w:t>
      </w:r>
      <w:proofErr w:type="spellStart"/>
      <w:r w:rsidR="002800E5">
        <w:t>lizino</w:t>
      </w:r>
      <w:r>
        <w:t>prilom</w:t>
      </w:r>
      <w:proofErr w:type="spellEnd"/>
      <w:r>
        <w:t xml:space="preserve"> sa nesmie začať skôr ako po 36 hodinách od poslednej dávky </w:t>
      </w:r>
      <w:proofErr w:type="spellStart"/>
      <w:r>
        <w:t>sakubitrilu</w:t>
      </w:r>
      <w:proofErr w:type="spellEnd"/>
      <w:r>
        <w:t>/</w:t>
      </w:r>
      <w:proofErr w:type="spellStart"/>
      <w:r>
        <w:t>valsartanu</w:t>
      </w:r>
      <w:proofErr w:type="spellEnd"/>
      <w:r>
        <w:t xml:space="preserve"> (pozri časti 4.3 a 4.5).</w:t>
      </w:r>
    </w:p>
    <w:p w14:paraId="0F861190" w14:textId="6FA5CA26" w:rsidR="005B3814" w:rsidRDefault="005B3814" w:rsidP="005B3814">
      <w:pPr>
        <w:pStyle w:val="Normlndobloku"/>
      </w:pPr>
      <w:r>
        <w:t xml:space="preserve">Súbežné užívanie inhibítorov ACE s </w:t>
      </w:r>
      <w:proofErr w:type="spellStart"/>
      <w:r>
        <w:t>racekadotrilom</w:t>
      </w:r>
      <w:proofErr w:type="spellEnd"/>
      <w:r>
        <w:t xml:space="preserve">, inhibítormi </w:t>
      </w:r>
      <w:proofErr w:type="spellStart"/>
      <w:r>
        <w:t>mTOR</w:t>
      </w:r>
      <w:proofErr w:type="spellEnd"/>
      <w:r>
        <w:t xml:space="preserve"> (</w:t>
      </w:r>
      <w:proofErr w:type="spellStart"/>
      <w:r>
        <w:t>mammalian</w:t>
      </w:r>
      <w:proofErr w:type="spellEnd"/>
      <w:r>
        <w:t xml:space="preserve"> </w:t>
      </w:r>
      <w:proofErr w:type="spellStart"/>
      <w:r>
        <w:t>target</w:t>
      </w:r>
      <w:proofErr w:type="spellEnd"/>
      <w:r>
        <w:t xml:space="preserve"> </w:t>
      </w:r>
      <w:proofErr w:type="spellStart"/>
      <w:r>
        <w:t>of</w:t>
      </w:r>
      <w:proofErr w:type="spellEnd"/>
      <w:r>
        <w:t xml:space="preserve"> </w:t>
      </w:r>
      <w:proofErr w:type="spellStart"/>
      <w:r>
        <w:t>rapamycin</w:t>
      </w:r>
      <w:proofErr w:type="spellEnd"/>
      <w:r>
        <w:t xml:space="preserve">, cicavčia cieľová </w:t>
      </w:r>
      <w:proofErr w:type="spellStart"/>
      <w:r>
        <w:t>kináza</w:t>
      </w:r>
      <w:proofErr w:type="spellEnd"/>
      <w:r>
        <w:t xml:space="preserve"> </w:t>
      </w:r>
      <w:proofErr w:type="spellStart"/>
      <w:r>
        <w:t>rapamycínu</w:t>
      </w:r>
      <w:proofErr w:type="spellEnd"/>
      <w:r>
        <w:t xml:space="preserve">) (napr. </w:t>
      </w:r>
      <w:proofErr w:type="spellStart"/>
      <w:r>
        <w:t>sirolimus</w:t>
      </w:r>
      <w:proofErr w:type="spellEnd"/>
      <w:r>
        <w:t xml:space="preserve">, </w:t>
      </w:r>
      <w:proofErr w:type="spellStart"/>
      <w:r>
        <w:t>everolimus</w:t>
      </w:r>
      <w:proofErr w:type="spellEnd"/>
      <w:r>
        <w:t xml:space="preserve">, </w:t>
      </w:r>
      <w:proofErr w:type="spellStart"/>
      <w:r>
        <w:t>temsirolimus</w:t>
      </w:r>
      <w:proofErr w:type="spellEnd"/>
      <w:r>
        <w:t>) a</w:t>
      </w:r>
      <w:r w:rsidR="00486640">
        <w:t> </w:t>
      </w:r>
      <w:proofErr w:type="spellStart"/>
      <w:r>
        <w:t>vildagliptínom</w:t>
      </w:r>
      <w:proofErr w:type="spellEnd"/>
      <w:r>
        <w:t xml:space="preserve"> môže viesť k zvýšenému riziku </w:t>
      </w:r>
      <w:proofErr w:type="spellStart"/>
      <w:r>
        <w:t>angioedému</w:t>
      </w:r>
      <w:proofErr w:type="spellEnd"/>
      <w:r>
        <w:t xml:space="preserve"> (napr. opuch dýchacích ciest alebo jazyka, s poruchou respiračnej funkcie alebo bez nej) (pozri časť 4.5). Pri začatí liečby </w:t>
      </w:r>
      <w:proofErr w:type="spellStart"/>
      <w:r>
        <w:t>racekadotrilom</w:t>
      </w:r>
      <w:proofErr w:type="spellEnd"/>
      <w:r>
        <w:t xml:space="preserve">, inhibítormi </w:t>
      </w:r>
      <w:proofErr w:type="spellStart"/>
      <w:r>
        <w:t>mTOR</w:t>
      </w:r>
      <w:proofErr w:type="spellEnd"/>
      <w:r>
        <w:t xml:space="preserve"> (napr. </w:t>
      </w:r>
      <w:proofErr w:type="spellStart"/>
      <w:r>
        <w:t>sirolimus</w:t>
      </w:r>
      <w:proofErr w:type="spellEnd"/>
      <w:r>
        <w:t xml:space="preserve">, </w:t>
      </w:r>
      <w:proofErr w:type="spellStart"/>
      <w:r>
        <w:t>everolimus</w:t>
      </w:r>
      <w:proofErr w:type="spellEnd"/>
      <w:r>
        <w:t xml:space="preserve">, </w:t>
      </w:r>
      <w:proofErr w:type="spellStart"/>
      <w:r>
        <w:t>temsirolimus</w:t>
      </w:r>
      <w:proofErr w:type="spellEnd"/>
      <w:r>
        <w:t xml:space="preserve">) a </w:t>
      </w:r>
      <w:proofErr w:type="spellStart"/>
      <w:r>
        <w:t>vildagliptínom</w:t>
      </w:r>
      <w:proofErr w:type="spellEnd"/>
      <w:r>
        <w:t xml:space="preserve"> u pacientov, ktorí už užívajú inhibítor ACE, je potrebná opatrnosť.</w:t>
      </w:r>
    </w:p>
    <w:p w14:paraId="255C7E9B" w14:textId="77777777" w:rsidR="00DC25C6" w:rsidRPr="007466D1" w:rsidRDefault="00F75BDF" w:rsidP="00317A57">
      <w:pPr>
        <w:pStyle w:val="Styl3"/>
      </w:pPr>
      <w:proofErr w:type="spellStart"/>
      <w:r w:rsidRPr="007466D1">
        <w:t>Anafylaktoidné</w:t>
      </w:r>
      <w:proofErr w:type="spellEnd"/>
      <w:r w:rsidRPr="007466D1">
        <w:t xml:space="preserve"> </w:t>
      </w:r>
      <w:proofErr w:type="spellStart"/>
      <w:r w:rsidRPr="007466D1">
        <w:t>reakcie</w:t>
      </w:r>
      <w:proofErr w:type="spellEnd"/>
      <w:r w:rsidRPr="007466D1">
        <w:t xml:space="preserve"> u </w:t>
      </w:r>
      <w:proofErr w:type="spellStart"/>
      <w:r w:rsidRPr="007466D1">
        <w:t>pacientov</w:t>
      </w:r>
      <w:proofErr w:type="spellEnd"/>
      <w:r w:rsidRPr="007466D1">
        <w:t xml:space="preserve"> </w:t>
      </w:r>
      <w:proofErr w:type="spellStart"/>
      <w:r w:rsidRPr="007466D1">
        <w:t>podrobujúcich</w:t>
      </w:r>
      <w:proofErr w:type="spellEnd"/>
      <w:r w:rsidRPr="007466D1">
        <w:t xml:space="preserve"> </w:t>
      </w:r>
      <w:proofErr w:type="spellStart"/>
      <w:r w:rsidRPr="007466D1">
        <w:t>sa</w:t>
      </w:r>
      <w:proofErr w:type="spellEnd"/>
      <w:r w:rsidRPr="007466D1">
        <w:t xml:space="preserve"> hemodialýze</w:t>
      </w:r>
    </w:p>
    <w:p w14:paraId="6871CA1C" w14:textId="46490399" w:rsidR="00765601" w:rsidRPr="007466D1" w:rsidRDefault="00F75BDF" w:rsidP="00317A57">
      <w:pPr>
        <w:pStyle w:val="Normlndobloku"/>
      </w:pPr>
      <w:proofErr w:type="spellStart"/>
      <w:r w:rsidRPr="007466D1">
        <w:t>Anafylaktoidné</w:t>
      </w:r>
      <w:proofErr w:type="spellEnd"/>
      <w:r w:rsidRPr="007466D1">
        <w:t xml:space="preserve"> reakcie boli hlásené u pacientov liečených dialýzou s použitím vysoko prietokových membrán (napr. AN 69 ) a sú</w:t>
      </w:r>
      <w:r w:rsidR="0029775F">
        <w:t>bež</w:t>
      </w:r>
      <w:r w:rsidRPr="007466D1">
        <w:t xml:space="preserve">ne liečených ACE inhibítorom. U týchto pacientov je potrebné zvážiť použitie iného typu dialyzačnej membrány alebo inej skupiny </w:t>
      </w:r>
      <w:proofErr w:type="spellStart"/>
      <w:r w:rsidRPr="007466D1">
        <w:t>antihypertenzných</w:t>
      </w:r>
      <w:proofErr w:type="spellEnd"/>
      <w:r w:rsidRPr="007466D1">
        <w:t xml:space="preserve"> látok.</w:t>
      </w:r>
    </w:p>
    <w:p w14:paraId="70639126" w14:textId="77777777" w:rsidR="00F75BDF" w:rsidRPr="007466D1" w:rsidRDefault="00F75BDF" w:rsidP="00765601">
      <w:pPr>
        <w:pStyle w:val="Styl3"/>
        <w:rPr>
          <w:lang w:val="sk-SK"/>
        </w:rPr>
      </w:pPr>
      <w:proofErr w:type="spellStart"/>
      <w:r w:rsidRPr="007466D1">
        <w:rPr>
          <w:lang w:val="sk-SK"/>
        </w:rPr>
        <w:t>Anafylaktoidné</w:t>
      </w:r>
      <w:proofErr w:type="spellEnd"/>
      <w:r w:rsidRPr="007466D1">
        <w:rPr>
          <w:lang w:val="sk-SK"/>
        </w:rPr>
        <w:t xml:space="preserve"> reakcie počas aferézy LDL (</w:t>
      </w:r>
      <w:proofErr w:type="spellStart"/>
      <w:r w:rsidRPr="007466D1">
        <w:rPr>
          <w:lang w:val="sk-SK"/>
        </w:rPr>
        <w:t>lipoproteínmi</w:t>
      </w:r>
      <w:proofErr w:type="spellEnd"/>
      <w:r w:rsidRPr="007466D1">
        <w:rPr>
          <w:lang w:val="sk-SK"/>
        </w:rPr>
        <w:t xml:space="preserve"> s nízkou hustotou)</w:t>
      </w:r>
    </w:p>
    <w:p w14:paraId="36C45E1C" w14:textId="77777777" w:rsidR="00765601" w:rsidRPr="007466D1" w:rsidRDefault="00F75BDF" w:rsidP="00317A57">
      <w:pPr>
        <w:pStyle w:val="Normlndobloku"/>
      </w:pPr>
      <w:r w:rsidRPr="007466D1">
        <w:t xml:space="preserve">Život ohrozujúce </w:t>
      </w:r>
      <w:proofErr w:type="spellStart"/>
      <w:r w:rsidRPr="007466D1">
        <w:t>anafylaktoidné</w:t>
      </w:r>
      <w:proofErr w:type="spellEnd"/>
      <w:r w:rsidRPr="007466D1">
        <w:t xml:space="preserve"> reakcie sa vzácne objavili u pacientov užívajúcich ACE inhibítory počas LDL aferézy (</w:t>
      </w:r>
      <w:proofErr w:type="spellStart"/>
      <w:r w:rsidRPr="007466D1">
        <w:t>lipoproteínmi</w:t>
      </w:r>
      <w:proofErr w:type="spellEnd"/>
      <w:r w:rsidRPr="007466D1">
        <w:t xml:space="preserve"> s nízkou hustotou) s </w:t>
      </w:r>
      <w:proofErr w:type="spellStart"/>
      <w:r w:rsidRPr="007466D1">
        <w:t>dextránsulfátom</w:t>
      </w:r>
      <w:proofErr w:type="spellEnd"/>
      <w:r w:rsidRPr="007466D1">
        <w:t>. Týmto reakciám sa zabránilo dočasným prerušením liečby ACE inhibítormi pred každou aferézou.</w:t>
      </w:r>
    </w:p>
    <w:p w14:paraId="265B2307" w14:textId="77777777" w:rsidR="00F75BDF" w:rsidRPr="007466D1" w:rsidRDefault="00F75BDF" w:rsidP="00765601">
      <w:pPr>
        <w:pStyle w:val="Styl3"/>
        <w:rPr>
          <w:lang w:val="sk-SK"/>
        </w:rPr>
      </w:pPr>
      <w:proofErr w:type="spellStart"/>
      <w:r w:rsidRPr="007466D1">
        <w:rPr>
          <w:lang w:val="sk-SK"/>
        </w:rPr>
        <w:t>Desenzibilizácia</w:t>
      </w:r>
      <w:proofErr w:type="spellEnd"/>
    </w:p>
    <w:p w14:paraId="115B88A1" w14:textId="77777777" w:rsidR="00765601" w:rsidRPr="007466D1" w:rsidRDefault="00F75BDF" w:rsidP="00317A57">
      <w:pPr>
        <w:pStyle w:val="Normlndobloku"/>
      </w:pPr>
      <w:r w:rsidRPr="007466D1">
        <w:t xml:space="preserve">U pacientov, ktorí používajú ACE inhibítory sa vyskytli život ohrozujúce </w:t>
      </w:r>
      <w:proofErr w:type="spellStart"/>
      <w:r w:rsidRPr="007466D1">
        <w:t>anafylaktoidné</w:t>
      </w:r>
      <w:proofErr w:type="spellEnd"/>
      <w:r w:rsidRPr="007466D1">
        <w:t xml:space="preserve"> reakcie počas </w:t>
      </w:r>
      <w:proofErr w:type="spellStart"/>
      <w:r w:rsidRPr="007466D1">
        <w:t>desenzibilizácie</w:t>
      </w:r>
      <w:proofErr w:type="spellEnd"/>
      <w:r w:rsidRPr="007466D1">
        <w:t xml:space="preserve"> (napr. jedom blanokrídleho hmyzu). U niektorých pacientov sa dá vyhnúť týmto reakciám dočasným prerušením terapie ACE inhibítormi pred každou </w:t>
      </w:r>
      <w:proofErr w:type="spellStart"/>
      <w:r w:rsidRPr="007466D1">
        <w:t>desenzibilizáciou</w:t>
      </w:r>
      <w:proofErr w:type="spellEnd"/>
      <w:r w:rsidRPr="007466D1">
        <w:t>, avšak znovu sa objavili po neuváženom opätovnom podaní lieku.</w:t>
      </w:r>
    </w:p>
    <w:p w14:paraId="7F954E18" w14:textId="77777777" w:rsidR="00F75BDF" w:rsidRPr="007466D1" w:rsidRDefault="00F75BDF" w:rsidP="00765601">
      <w:pPr>
        <w:pStyle w:val="Styl3"/>
        <w:rPr>
          <w:lang w:val="sk-SK"/>
        </w:rPr>
      </w:pPr>
      <w:r w:rsidRPr="007466D1">
        <w:rPr>
          <w:lang w:val="sk-SK"/>
        </w:rPr>
        <w:t>Zlyhanie pečene</w:t>
      </w:r>
    </w:p>
    <w:p w14:paraId="1DE1E51C" w14:textId="77777777" w:rsidR="00765601" w:rsidRPr="007466D1" w:rsidRDefault="00F75BDF" w:rsidP="00317A57">
      <w:pPr>
        <w:pStyle w:val="Normlndobloku"/>
      </w:pPr>
      <w:r w:rsidRPr="007466D1">
        <w:t xml:space="preserve">Veľmi zriedkavo boli ACE inhibítory spájané s rozvojom syndrómu, ktorý sa začína </w:t>
      </w:r>
      <w:proofErr w:type="spellStart"/>
      <w:r w:rsidRPr="007466D1">
        <w:t>cholestatickou</w:t>
      </w:r>
      <w:proofErr w:type="spellEnd"/>
      <w:r w:rsidRPr="007466D1">
        <w:t xml:space="preserve"> žltačkou a </w:t>
      </w:r>
      <w:proofErr w:type="spellStart"/>
      <w:r w:rsidRPr="007466D1">
        <w:t>progreduje</w:t>
      </w:r>
      <w:proofErr w:type="spellEnd"/>
      <w:r w:rsidRPr="007466D1">
        <w:t xml:space="preserve"> do fulminantnej </w:t>
      </w:r>
      <w:proofErr w:type="spellStart"/>
      <w:r w:rsidRPr="007466D1">
        <w:t>nekrózy</w:t>
      </w:r>
      <w:proofErr w:type="spellEnd"/>
      <w:r w:rsidRPr="007466D1">
        <w:t xml:space="preserve"> končiacou niekedy smrťou. Mechanizmus tohto syndrómu nie je známy. Pacienti užívajúci DAPRIL, u ktorých sa vyvinie žltačka alebo výrazný vzostup pečeňových enzýmov, musia prerušiť liečbu DAPRILOM a podrobiť sa vhodnej liečbe.</w:t>
      </w:r>
    </w:p>
    <w:p w14:paraId="7E1F1658" w14:textId="77777777" w:rsidR="00F75BDF" w:rsidRPr="007466D1" w:rsidRDefault="00F75BDF" w:rsidP="00765601">
      <w:pPr>
        <w:pStyle w:val="Styl3"/>
        <w:rPr>
          <w:lang w:val="sk-SK"/>
        </w:rPr>
      </w:pPr>
      <w:proofErr w:type="spellStart"/>
      <w:r w:rsidRPr="00D51B1B">
        <w:rPr>
          <w:lang w:val="sk-SK"/>
        </w:rPr>
        <w:t>Neutropénia</w:t>
      </w:r>
      <w:proofErr w:type="spellEnd"/>
      <w:r w:rsidRPr="00D51B1B">
        <w:rPr>
          <w:lang w:val="sk-SK"/>
        </w:rPr>
        <w:t>/</w:t>
      </w:r>
      <w:proofErr w:type="spellStart"/>
      <w:r w:rsidRPr="00D51B1B">
        <w:rPr>
          <w:lang w:val="sk-SK"/>
        </w:rPr>
        <w:t>agranulocytóza</w:t>
      </w:r>
      <w:proofErr w:type="spellEnd"/>
    </w:p>
    <w:p w14:paraId="09A9307F" w14:textId="77777777" w:rsidR="00765601" w:rsidRPr="007466D1" w:rsidRDefault="00F75BDF" w:rsidP="00317A57">
      <w:pPr>
        <w:pStyle w:val="Normlndobloku"/>
      </w:pPr>
      <w:proofErr w:type="spellStart"/>
      <w:r w:rsidRPr="007466D1">
        <w:t>Neutropénia</w:t>
      </w:r>
      <w:proofErr w:type="spellEnd"/>
      <w:r w:rsidRPr="007466D1">
        <w:t>/</w:t>
      </w:r>
      <w:proofErr w:type="spellStart"/>
      <w:r w:rsidRPr="007466D1">
        <w:t>agranulocytóza</w:t>
      </w:r>
      <w:proofErr w:type="spellEnd"/>
      <w:r w:rsidRPr="007466D1">
        <w:t xml:space="preserve">, </w:t>
      </w:r>
      <w:proofErr w:type="spellStart"/>
      <w:r w:rsidRPr="007466D1">
        <w:t>trombocytopénia</w:t>
      </w:r>
      <w:proofErr w:type="spellEnd"/>
      <w:r w:rsidRPr="007466D1">
        <w:t xml:space="preserve"> a anémia boli hlásené u pacientov užívajúcich ACE inhibítory. U pacientov s normálnymi </w:t>
      </w:r>
      <w:proofErr w:type="spellStart"/>
      <w:r w:rsidRPr="007466D1">
        <w:t>renálnymi</w:t>
      </w:r>
      <w:proofErr w:type="spellEnd"/>
      <w:r w:rsidRPr="007466D1">
        <w:t xml:space="preserve"> funkciami a bez iných komplikujúcich faktorov sa </w:t>
      </w:r>
      <w:proofErr w:type="spellStart"/>
      <w:r w:rsidRPr="007466D1">
        <w:t>neutropénia</w:t>
      </w:r>
      <w:proofErr w:type="spellEnd"/>
      <w:r w:rsidRPr="007466D1">
        <w:t xml:space="preserve"> rozvinie zriedka. </w:t>
      </w:r>
      <w:proofErr w:type="spellStart"/>
      <w:r w:rsidRPr="007466D1">
        <w:t>Neutropénia</w:t>
      </w:r>
      <w:proofErr w:type="spellEnd"/>
      <w:r w:rsidRPr="007466D1">
        <w:t xml:space="preserve"> a </w:t>
      </w:r>
      <w:proofErr w:type="spellStart"/>
      <w:r w:rsidRPr="007466D1">
        <w:t>agranulocytóza</w:t>
      </w:r>
      <w:proofErr w:type="spellEnd"/>
      <w:r w:rsidRPr="007466D1">
        <w:t xml:space="preserve"> sú po vysadení liečby ACE inhibítorom reverzibilné. DAPRIL by mali s mimoriadnou opatrnosťou užívať pacienti s </w:t>
      </w:r>
      <w:proofErr w:type="spellStart"/>
      <w:r w:rsidRPr="007466D1">
        <w:t>kolagénovými</w:t>
      </w:r>
      <w:proofErr w:type="spellEnd"/>
      <w:r w:rsidRPr="007466D1">
        <w:t xml:space="preserve"> </w:t>
      </w:r>
      <w:proofErr w:type="spellStart"/>
      <w:r w:rsidRPr="007466D1">
        <w:t>vaskulárnymi</w:t>
      </w:r>
      <w:proofErr w:type="spellEnd"/>
      <w:r w:rsidRPr="007466D1">
        <w:t xml:space="preserve"> ochoreniami, </w:t>
      </w:r>
      <w:proofErr w:type="spellStart"/>
      <w:r w:rsidRPr="007466D1">
        <w:t>imunosupresívnou</w:t>
      </w:r>
      <w:proofErr w:type="spellEnd"/>
      <w:r w:rsidRPr="007466D1">
        <w:t xml:space="preserve"> liečbou, liečbou </w:t>
      </w:r>
      <w:proofErr w:type="spellStart"/>
      <w:r w:rsidRPr="007466D1">
        <w:t>alopurinolom</w:t>
      </w:r>
      <w:proofErr w:type="spellEnd"/>
      <w:r w:rsidRPr="007466D1">
        <w:t xml:space="preserve"> alebo </w:t>
      </w:r>
      <w:proofErr w:type="spellStart"/>
      <w:r w:rsidRPr="007466D1">
        <w:t>prokaínamidom</w:t>
      </w:r>
      <w:proofErr w:type="spellEnd"/>
      <w:r w:rsidRPr="007466D1">
        <w:t>, alebo kombináciou týchto komplikujúcich faktorov, najmä ak je už pred liečbou prítomná porucha funkcie obličiek. U niektorých pacientov nastal rozvoj závažných infekcií, ktoré v niekoľkých prípadoch nereagovali na intenzívnu antibiotickú liečbu. Ak DAPRIL užívajú takýto pacienti, sú nutné pravidelné kontroly počtu bielych krviniek a pacientov treba poučiť, že majú hlásiť akýkoľvek príznak infekcie.</w:t>
      </w:r>
    </w:p>
    <w:p w14:paraId="3AB63BCC" w14:textId="77777777" w:rsidR="00F75BDF" w:rsidRPr="007466D1" w:rsidRDefault="00F75BDF" w:rsidP="00765601">
      <w:pPr>
        <w:pStyle w:val="Styl3"/>
        <w:rPr>
          <w:lang w:val="sk-SK"/>
        </w:rPr>
      </w:pPr>
      <w:r w:rsidRPr="007466D1">
        <w:rPr>
          <w:lang w:val="sk-SK"/>
        </w:rPr>
        <w:t>Rasa</w:t>
      </w:r>
    </w:p>
    <w:p w14:paraId="7C20DBC5" w14:textId="77777777" w:rsidR="00765601" w:rsidRPr="007466D1" w:rsidRDefault="00F75BDF" w:rsidP="00317A57">
      <w:pPr>
        <w:pStyle w:val="Normlndobloku"/>
      </w:pPr>
      <w:r w:rsidRPr="007466D1">
        <w:t xml:space="preserve">Inhibítory </w:t>
      </w:r>
      <w:proofErr w:type="spellStart"/>
      <w:r w:rsidRPr="007466D1">
        <w:t>angiotenzín</w:t>
      </w:r>
      <w:proofErr w:type="spellEnd"/>
      <w:r w:rsidRPr="007466D1">
        <w:t xml:space="preserve"> konvertujúceho enzýmu spôsobujú vyšší výskyt </w:t>
      </w:r>
      <w:proofErr w:type="spellStart"/>
      <w:r w:rsidRPr="007466D1">
        <w:t>angioedému</w:t>
      </w:r>
      <w:proofErr w:type="spellEnd"/>
      <w:r w:rsidRPr="007466D1">
        <w:t xml:space="preserve"> u pacientov čiernej pleti ako u ostatných pacientov.</w:t>
      </w:r>
    </w:p>
    <w:p w14:paraId="139C0C88" w14:textId="77777777" w:rsidR="00765601" w:rsidRPr="007466D1" w:rsidRDefault="00F75BDF" w:rsidP="00317A57">
      <w:pPr>
        <w:pStyle w:val="Normlndobloku"/>
      </w:pPr>
      <w:r w:rsidRPr="007466D1">
        <w:t>Podobne ako iné ACE inhibítory aj DAPRIL môže byť menej účinný pri znižovaní krvného tlaku u</w:t>
      </w:r>
      <w:r w:rsidR="007466D1" w:rsidRPr="007466D1">
        <w:t> </w:t>
      </w:r>
      <w:r w:rsidRPr="007466D1">
        <w:t xml:space="preserve">pacientov čiernej pleti v porovnaní s ostatnou populáciou, pravdepodobne z dôvodu vyššej </w:t>
      </w:r>
      <w:proofErr w:type="spellStart"/>
      <w:r w:rsidRPr="007466D1">
        <w:t>prevalencie</w:t>
      </w:r>
      <w:proofErr w:type="spellEnd"/>
      <w:r w:rsidRPr="007466D1">
        <w:t xml:space="preserve"> stavov s nízkou hladinou </w:t>
      </w:r>
      <w:proofErr w:type="spellStart"/>
      <w:r w:rsidRPr="007466D1">
        <w:t>renínu</w:t>
      </w:r>
      <w:proofErr w:type="spellEnd"/>
      <w:r w:rsidRPr="007466D1">
        <w:t xml:space="preserve"> v </w:t>
      </w:r>
      <w:proofErr w:type="spellStart"/>
      <w:r w:rsidRPr="007466D1">
        <w:t>hypertenznej</w:t>
      </w:r>
      <w:proofErr w:type="spellEnd"/>
      <w:r w:rsidRPr="007466D1">
        <w:t xml:space="preserve"> populácie čiernej pleti.</w:t>
      </w:r>
    </w:p>
    <w:p w14:paraId="6499698A" w14:textId="77777777" w:rsidR="00F75BDF" w:rsidRPr="007466D1" w:rsidRDefault="00F75BDF" w:rsidP="00765601">
      <w:pPr>
        <w:pStyle w:val="Styl3"/>
        <w:rPr>
          <w:lang w:val="sk-SK"/>
        </w:rPr>
      </w:pPr>
      <w:r w:rsidRPr="00D51B1B">
        <w:rPr>
          <w:lang w:val="sk-SK"/>
        </w:rPr>
        <w:lastRenderedPageBreak/>
        <w:t>Kašeľ</w:t>
      </w:r>
    </w:p>
    <w:p w14:paraId="6C72AC72" w14:textId="77777777" w:rsidR="00765601" w:rsidRPr="007466D1" w:rsidRDefault="00F75BDF" w:rsidP="00317A57">
      <w:pPr>
        <w:pStyle w:val="Normlndobloku"/>
      </w:pPr>
      <w:r w:rsidRPr="007466D1">
        <w:t>Kašeľ bol hlásený pri použití ACE inhibítorov. Charakteristický je trvalý neproduktívny kašeľ, ktorý prestáva po prerušení liečby. Kašeľ vyvolaný ACE inhibítormi treba vziať do úvahy ako súčasť diferenciálnej diagnostiky kašľa.</w:t>
      </w:r>
    </w:p>
    <w:p w14:paraId="064E7F0A" w14:textId="77777777" w:rsidR="00F75BDF" w:rsidRPr="007466D1" w:rsidRDefault="00F75BDF" w:rsidP="00765601">
      <w:pPr>
        <w:pStyle w:val="Styl3"/>
        <w:rPr>
          <w:lang w:val="sk-SK"/>
        </w:rPr>
      </w:pPr>
      <w:r w:rsidRPr="007466D1">
        <w:rPr>
          <w:lang w:val="sk-SK"/>
        </w:rPr>
        <w:t>Chirurgia / anestézia</w:t>
      </w:r>
    </w:p>
    <w:p w14:paraId="0C6C4C39" w14:textId="77777777" w:rsidR="00765601" w:rsidRPr="007466D1" w:rsidRDefault="00F75BDF" w:rsidP="00317A57">
      <w:pPr>
        <w:pStyle w:val="Normlndobloku"/>
      </w:pPr>
      <w:r w:rsidRPr="007466D1">
        <w:t xml:space="preserve">U pacientov, ktorí sa podrobujú väčšiemu chirurgickému zákroku, alebo počas anestézie látkami vyvolávajúcimi hypotenziu, môže DAPRIL blokovať tvorbu </w:t>
      </w:r>
      <w:proofErr w:type="spellStart"/>
      <w:r w:rsidRPr="007466D1">
        <w:t>angiotenzínu</w:t>
      </w:r>
      <w:proofErr w:type="spellEnd"/>
      <w:r w:rsidRPr="007466D1">
        <w:t xml:space="preserve"> II pri druhotnom kompenzačnom uvoľnení </w:t>
      </w:r>
      <w:proofErr w:type="spellStart"/>
      <w:r w:rsidRPr="007466D1">
        <w:t>renínu</w:t>
      </w:r>
      <w:proofErr w:type="spellEnd"/>
      <w:r w:rsidRPr="007466D1">
        <w:t>. Ak dôjde k hypotenzii a predpokladá sa, že je spôsobená uvedeným mechanizmom, môže byť upravená zvýšením objemu.</w:t>
      </w:r>
    </w:p>
    <w:p w14:paraId="31B4D2EA" w14:textId="1A3C2664" w:rsidR="00F75BDF" w:rsidRPr="007466D1" w:rsidRDefault="00F75BDF" w:rsidP="00E44C70">
      <w:pPr>
        <w:pStyle w:val="Styl3"/>
        <w:rPr>
          <w:lang w:val="sk-SK"/>
        </w:rPr>
      </w:pPr>
      <w:r w:rsidRPr="00D51B1B">
        <w:rPr>
          <w:lang w:val="sk-SK"/>
        </w:rPr>
        <w:t>H</w:t>
      </w:r>
      <w:r w:rsidR="005B3814">
        <w:rPr>
          <w:lang w:val="sk-SK"/>
        </w:rPr>
        <w:t xml:space="preserve">ladiny draslíka v sére </w:t>
      </w:r>
    </w:p>
    <w:p w14:paraId="26D873DC" w14:textId="42928764" w:rsidR="006E5016" w:rsidRPr="00E3367C" w:rsidRDefault="005B3814" w:rsidP="00317A57">
      <w:pPr>
        <w:pStyle w:val="Normlndobloku"/>
      </w:pPr>
      <w:r w:rsidRPr="005B3814">
        <w:t xml:space="preserve">Inhibítory ACE môžu spôsobiť </w:t>
      </w:r>
      <w:proofErr w:type="spellStart"/>
      <w:r w:rsidRPr="005B3814">
        <w:t>hyperkaliémiu</w:t>
      </w:r>
      <w:proofErr w:type="spellEnd"/>
      <w:r w:rsidRPr="005B3814">
        <w:t xml:space="preserve">, pretože </w:t>
      </w:r>
      <w:proofErr w:type="spellStart"/>
      <w:r w:rsidRPr="005B3814">
        <w:t>inhibujú</w:t>
      </w:r>
      <w:proofErr w:type="spellEnd"/>
      <w:r w:rsidRPr="005B3814">
        <w:t xml:space="preserve"> uvoľňovanie </w:t>
      </w:r>
      <w:proofErr w:type="spellStart"/>
      <w:r w:rsidRPr="005B3814">
        <w:t>aldosterónu</w:t>
      </w:r>
      <w:proofErr w:type="spellEnd"/>
      <w:r w:rsidRPr="005B3814">
        <w:t xml:space="preserve">. Účinok zvyčajne nie je významný u pacientov s normálnou funkciou obličiek. Avšak </w:t>
      </w:r>
      <w:proofErr w:type="spellStart"/>
      <w:r w:rsidRPr="005B3814">
        <w:t>hyperkaliémia</w:t>
      </w:r>
      <w:proofErr w:type="spellEnd"/>
      <w:r w:rsidRPr="005B3814">
        <w:t xml:space="preserve"> sa môže vyskytnúť u pacientov s poruchou funkcie obličiek a/alebo u pacientov užívajúcich doplnky draslíka (vrátane náhrad solí), draslík šetriace diuretiká, </w:t>
      </w:r>
      <w:proofErr w:type="spellStart"/>
      <w:r w:rsidRPr="005B3814">
        <w:t>trimetoprim</w:t>
      </w:r>
      <w:proofErr w:type="spellEnd"/>
      <w:r w:rsidRPr="005B3814">
        <w:t xml:space="preserve"> alebo </w:t>
      </w:r>
      <w:proofErr w:type="spellStart"/>
      <w:r w:rsidRPr="005B3814">
        <w:t>kotrimoxazol</w:t>
      </w:r>
      <w:proofErr w:type="spellEnd"/>
      <w:r w:rsidRPr="005B3814">
        <w:t xml:space="preserve"> známy tiež ako </w:t>
      </w:r>
      <w:proofErr w:type="spellStart"/>
      <w:r w:rsidRPr="005B3814">
        <w:t>trimetoprim</w:t>
      </w:r>
      <w:proofErr w:type="spellEnd"/>
      <w:r w:rsidRPr="005B3814">
        <w:t>/</w:t>
      </w:r>
      <w:proofErr w:type="spellStart"/>
      <w:r w:rsidRPr="005B3814">
        <w:t>sulfametoxazol</w:t>
      </w:r>
      <w:proofErr w:type="spellEnd"/>
      <w:r w:rsidRPr="005B3814">
        <w:t xml:space="preserve"> a predovšetkým </w:t>
      </w:r>
      <w:proofErr w:type="spellStart"/>
      <w:r w:rsidRPr="005B3814">
        <w:t>antagonisty</w:t>
      </w:r>
      <w:proofErr w:type="spellEnd"/>
      <w:r w:rsidRPr="005B3814">
        <w:t xml:space="preserve"> </w:t>
      </w:r>
      <w:proofErr w:type="spellStart"/>
      <w:r w:rsidRPr="005B3814">
        <w:t>aldosterónu</w:t>
      </w:r>
      <w:proofErr w:type="spellEnd"/>
      <w:r w:rsidRPr="005B3814">
        <w:t xml:space="preserve"> alebo </w:t>
      </w:r>
      <w:proofErr w:type="spellStart"/>
      <w:r w:rsidRPr="005B3814">
        <w:t>blokátory</w:t>
      </w:r>
      <w:proofErr w:type="spellEnd"/>
      <w:r w:rsidRPr="005B3814">
        <w:t xml:space="preserve"> receptorov </w:t>
      </w:r>
      <w:proofErr w:type="spellStart"/>
      <w:r w:rsidRPr="005B3814">
        <w:t>angiotenzínu</w:t>
      </w:r>
      <w:proofErr w:type="spellEnd"/>
      <w:r w:rsidRPr="005B3814">
        <w:t xml:space="preserve">. Draslík šetriace diuretiká a </w:t>
      </w:r>
      <w:proofErr w:type="spellStart"/>
      <w:r w:rsidRPr="005B3814">
        <w:t>blokátory</w:t>
      </w:r>
      <w:proofErr w:type="spellEnd"/>
      <w:r w:rsidRPr="005B3814">
        <w:t xml:space="preserve"> receptorov </w:t>
      </w:r>
      <w:proofErr w:type="spellStart"/>
      <w:r w:rsidRPr="005B3814">
        <w:t>angiotenzínu</w:t>
      </w:r>
      <w:proofErr w:type="spellEnd"/>
      <w:r w:rsidRPr="005B3814">
        <w:t xml:space="preserve"> sa majú používať s</w:t>
      </w:r>
      <w:r>
        <w:t> </w:t>
      </w:r>
      <w:r w:rsidRPr="005B3814">
        <w:t>opatrnosťou u pacientov užívajúcich inhibítory ACE a u týchto pacientov sa má sledovať hladina draslíka v sére a funkcia obličiek (pozri časť 4.5).</w:t>
      </w:r>
    </w:p>
    <w:p w14:paraId="010C3B4B" w14:textId="2932E905" w:rsidR="00F75BDF" w:rsidRPr="00036D19" w:rsidRDefault="00F75BDF" w:rsidP="00036D19">
      <w:pPr>
        <w:pStyle w:val="Normlndobloku"/>
      </w:pPr>
      <w:r w:rsidRPr="00036D19">
        <w:t>Pacienti s diabet</w:t>
      </w:r>
      <w:r w:rsidR="008349F3" w:rsidRPr="00036D19">
        <w:t>om</w:t>
      </w:r>
      <w:r w:rsidRPr="00036D19">
        <w:t xml:space="preserve"> </w:t>
      </w:r>
      <w:proofErr w:type="spellStart"/>
      <w:r w:rsidRPr="00036D19">
        <w:t>mellitus</w:t>
      </w:r>
      <w:proofErr w:type="spellEnd"/>
    </w:p>
    <w:p w14:paraId="4D4B6F62" w14:textId="77777777" w:rsidR="00765601" w:rsidRPr="007466D1" w:rsidRDefault="00F75BDF" w:rsidP="00317A57">
      <w:pPr>
        <w:pStyle w:val="Normlndobloku"/>
      </w:pPr>
      <w:r w:rsidRPr="007466D1">
        <w:t xml:space="preserve">Počas prvého mesiaca liečby ACE inhibítorom u diabetických pacientov liečených perorálnymi </w:t>
      </w:r>
      <w:proofErr w:type="spellStart"/>
      <w:r w:rsidRPr="007466D1">
        <w:t>antidiabetikami</w:t>
      </w:r>
      <w:proofErr w:type="spellEnd"/>
      <w:r w:rsidRPr="007466D1">
        <w:t xml:space="preserve"> alebo inzulínom je potrebné pravidelné monitorovanie glykémie (pozri časť 4.5 ).</w:t>
      </w:r>
    </w:p>
    <w:p w14:paraId="61FCD2D9" w14:textId="77777777" w:rsidR="00F75BDF" w:rsidRPr="007466D1" w:rsidRDefault="00F75BDF" w:rsidP="00765601">
      <w:pPr>
        <w:pStyle w:val="Styl3"/>
        <w:rPr>
          <w:lang w:val="sk-SK"/>
        </w:rPr>
      </w:pPr>
      <w:r w:rsidRPr="007466D1">
        <w:rPr>
          <w:lang w:val="sk-SK"/>
        </w:rPr>
        <w:t>Lítium</w:t>
      </w:r>
    </w:p>
    <w:p w14:paraId="3B31C8BE" w14:textId="77777777" w:rsidR="00765601" w:rsidRPr="007466D1" w:rsidRDefault="00F75BDF" w:rsidP="00317A57">
      <w:pPr>
        <w:pStyle w:val="Normlndobloku"/>
      </w:pPr>
      <w:r w:rsidRPr="007466D1">
        <w:t>Kombinácia lítia a DAPRILU sa všeobecne neodporúča (pozri časť 4.5).</w:t>
      </w:r>
    </w:p>
    <w:p w14:paraId="7FEEE8CD" w14:textId="77777777" w:rsidR="00F75BDF" w:rsidRPr="007466D1" w:rsidRDefault="00F75BDF" w:rsidP="00765601">
      <w:pPr>
        <w:pStyle w:val="Styl3"/>
        <w:rPr>
          <w:lang w:val="sk-SK"/>
        </w:rPr>
      </w:pPr>
      <w:r w:rsidRPr="007466D1">
        <w:rPr>
          <w:lang w:val="sk-SK"/>
        </w:rPr>
        <w:t xml:space="preserve">Duálna inhibícia systému </w:t>
      </w:r>
      <w:proofErr w:type="spellStart"/>
      <w:r w:rsidRPr="007466D1">
        <w:rPr>
          <w:lang w:val="sk-SK"/>
        </w:rPr>
        <w:t>renín-angiotenzín-aldosterón</w:t>
      </w:r>
      <w:proofErr w:type="spellEnd"/>
      <w:r w:rsidRPr="007466D1">
        <w:rPr>
          <w:lang w:val="sk-SK"/>
        </w:rPr>
        <w:t xml:space="preserve"> (RAAS)</w:t>
      </w:r>
    </w:p>
    <w:p w14:paraId="0B660121" w14:textId="77777777" w:rsidR="00765601" w:rsidRPr="007466D1" w:rsidRDefault="00F75BDF" w:rsidP="00317A57">
      <w:pPr>
        <w:pStyle w:val="Normlndobloku"/>
      </w:pPr>
      <w:r w:rsidRPr="007466D1">
        <w:t xml:space="preserve">Preukázalo sa, že súbežné použitie inhibítorov ACE, </w:t>
      </w:r>
      <w:proofErr w:type="spellStart"/>
      <w:r w:rsidRPr="007466D1">
        <w:t>blokátorov</w:t>
      </w:r>
      <w:proofErr w:type="spellEnd"/>
      <w:r w:rsidRPr="007466D1">
        <w:t xml:space="preserve"> receptorov </w:t>
      </w:r>
      <w:proofErr w:type="spellStart"/>
      <w:r w:rsidRPr="007466D1">
        <w:t>angiotenzínu</w:t>
      </w:r>
      <w:proofErr w:type="spellEnd"/>
      <w:r w:rsidRPr="007466D1">
        <w:t xml:space="preserve"> II alebo </w:t>
      </w:r>
      <w:proofErr w:type="spellStart"/>
      <w:r w:rsidRPr="007466D1">
        <w:t>aliskirénu</w:t>
      </w:r>
      <w:proofErr w:type="spellEnd"/>
      <w:r w:rsidRPr="007466D1">
        <w:t xml:space="preserve"> zvyšuje riziko hypotenzie, </w:t>
      </w:r>
      <w:proofErr w:type="spellStart"/>
      <w:r w:rsidRPr="007466D1">
        <w:t>hyperkaliémie</w:t>
      </w:r>
      <w:proofErr w:type="spellEnd"/>
      <w:r w:rsidRPr="007466D1">
        <w:t xml:space="preserve"> a zníženia funkcie obličiek (vrátane akútneho zlyhania obličiek). Duálna inhibícia RAAS kombinovaným použitím inhibítorov ACE, </w:t>
      </w:r>
      <w:proofErr w:type="spellStart"/>
      <w:r w:rsidRPr="007466D1">
        <w:t>blokátorov</w:t>
      </w:r>
      <w:proofErr w:type="spellEnd"/>
      <w:r w:rsidRPr="007466D1">
        <w:t xml:space="preserve"> receptorov </w:t>
      </w:r>
      <w:proofErr w:type="spellStart"/>
      <w:r w:rsidRPr="007466D1">
        <w:t>angiotenzínu</w:t>
      </w:r>
      <w:proofErr w:type="spellEnd"/>
      <w:r w:rsidRPr="007466D1">
        <w:t xml:space="preserve"> II alebo </w:t>
      </w:r>
      <w:proofErr w:type="spellStart"/>
      <w:r w:rsidRPr="007466D1">
        <w:t>aliskirénu</w:t>
      </w:r>
      <w:proofErr w:type="spellEnd"/>
      <w:r w:rsidRPr="007466D1">
        <w:t xml:space="preserve"> sa preto neodporúča (pozri časti 4.5 a 5.1).</w:t>
      </w:r>
    </w:p>
    <w:p w14:paraId="6345FDD1" w14:textId="77777777" w:rsidR="00765601" w:rsidRPr="007466D1" w:rsidRDefault="00F75BDF" w:rsidP="00317A57">
      <w:pPr>
        <w:pStyle w:val="Normlndobloku"/>
      </w:pPr>
      <w:r w:rsidRPr="007466D1">
        <w:t xml:space="preserve">Ak sa liečba duálnou inhibíciou považuje za absolútne nevyhnutnú, má sa podať iba pod dohľadom odborníka a u pacienta sa majú často a dôsledne kontrolovať funkcia obličiek, elektrolyty a krvný tlak. Inhibítory ACE a </w:t>
      </w:r>
      <w:proofErr w:type="spellStart"/>
      <w:r w:rsidRPr="007466D1">
        <w:t>blokátory</w:t>
      </w:r>
      <w:proofErr w:type="spellEnd"/>
      <w:r w:rsidRPr="007466D1">
        <w:t xml:space="preserve"> receptorov </w:t>
      </w:r>
      <w:proofErr w:type="spellStart"/>
      <w:r w:rsidRPr="007466D1">
        <w:t>angiotenzínu</w:t>
      </w:r>
      <w:proofErr w:type="spellEnd"/>
      <w:r w:rsidRPr="007466D1">
        <w:t xml:space="preserve"> II sa nemajú súbežne používať u pacientov s</w:t>
      </w:r>
      <w:r w:rsidR="00765601" w:rsidRPr="007466D1">
        <w:t> </w:t>
      </w:r>
      <w:r w:rsidRPr="007466D1">
        <w:t xml:space="preserve">diabetickou </w:t>
      </w:r>
      <w:proofErr w:type="spellStart"/>
      <w:r w:rsidRPr="007466D1">
        <w:t>nefropatiou</w:t>
      </w:r>
      <w:proofErr w:type="spellEnd"/>
      <w:r w:rsidRPr="007466D1">
        <w:t>.</w:t>
      </w:r>
    </w:p>
    <w:p w14:paraId="0F2728EC" w14:textId="77777777" w:rsidR="00F75BDF" w:rsidRPr="007466D1" w:rsidRDefault="00F75BDF" w:rsidP="00765601">
      <w:pPr>
        <w:pStyle w:val="Styl3"/>
        <w:rPr>
          <w:lang w:val="sk-SK"/>
        </w:rPr>
      </w:pPr>
      <w:r w:rsidRPr="007466D1">
        <w:rPr>
          <w:lang w:val="sk-SK"/>
        </w:rPr>
        <w:t>Gravidita</w:t>
      </w:r>
    </w:p>
    <w:p w14:paraId="6C59B215" w14:textId="77777777" w:rsidR="00F75BDF" w:rsidRDefault="00F75BDF" w:rsidP="00317A57">
      <w:pPr>
        <w:pStyle w:val="Normlndobloku"/>
      </w:pPr>
      <w:r w:rsidRPr="007466D1">
        <w:t xml:space="preserve">Počas gravidity nemá byť začatá liečba ACE inhibítormi. Ak nepretržitá liečba ACE inhibítormi nie je nevyhnutná, pacientky plánujúce otehotnieť majú prejsť na alternatívnu </w:t>
      </w:r>
      <w:proofErr w:type="spellStart"/>
      <w:r w:rsidRPr="007466D1">
        <w:t>antihypertenznú</w:t>
      </w:r>
      <w:proofErr w:type="spellEnd"/>
      <w:r w:rsidRPr="007466D1">
        <w:t xml:space="preserve"> liečbu, ktorá má potvrdený bezpečnostný profil pre použitie v gravidite. V prípade potvrdenej gravidity je potrebné liečbu ACE inhibítormi ihneď prerušiť a ak je to vhodné, treba začať alternatívnu liečbu (pozri časti 4.3 a 4.6).</w:t>
      </w:r>
    </w:p>
    <w:p w14:paraId="4811D35A" w14:textId="77777777" w:rsidR="00740CED" w:rsidRPr="007466D1" w:rsidRDefault="00740CED" w:rsidP="00317A57">
      <w:pPr>
        <w:pStyle w:val="Normlndobloku"/>
      </w:pPr>
    </w:p>
    <w:p w14:paraId="6EE60A1F" w14:textId="77777777" w:rsidR="00F75BDF" w:rsidRPr="007466D1" w:rsidRDefault="00F75BDF" w:rsidP="00F75BDF">
      <w:pPr>
        <w:pStyle w:val="Styl2"/>
        <w:rPr>
          <w:lang w:val="sk-SK"/>
        </w:rPr>
      </w:pPr>
      <w:r w:rsidRPr="007466D1">
        <w:rPr>
          <w:lang w:val="sk-SK"/>
        </w:rPr>
        <w:t>4.5</w:t>
      </w:r>
      <w:r w:rsidRPr="007466D1">
        <w:rPr>
          <w:lang w:val="sk-SK"/>
        </w:rPr>
        <w:tab/>
        <w:t>Liekové a iné interakcie</w:t>
      </w:r>
    </w:p>
    <w:p w14:paraId="0A1F2CB8" w14:textId="77777777" w:rsidR="00F75BDF" w:rsidRPr="007466D1" w:rsidRDefault="00F75BDF" w:rsidP="008C3304">
      <w:pPr>
        <w:pStyle w:val="Styl3"/>
        <w:rPr>
          <w:lang w:val="sk-SK"/>
        </w:rPr>
      </w:pPr>
      <w:r w:rsidRPr="007466D1">
        <w:rPr>
          <w:lang w:val="sk-SK"/>
        </w:rPr>
        <w:t>Diuretiká</w:t>
      </w:r>
    </w:p>
    <w:p w14:paraId="69034038" w14:textId="0A60CDEA" w:rsidR="008C3304" w:rsidRPr="007466D1" w:rsidRDefault="00F75BDF" w:rsidP="00317A57">
      <w:pPr>
        <w:pStyle w:val="Normlndobloku"/>
      </w:pPr>
      <w:r w:rsidRPr="007466D1">
        <w:t xml:space="preserve">Keď sa pacientovi, ktorý užíva </w:t>
      </w:r>
      <w:proofErr w:type="spellStart"/>
      <w:r w:rsidR="00D40E62">
        <w:t>lizinopril</w:t>
      </w:r>
      <w:proofErr w:type="spellEnd"/>
      <w:r w:rsidR="00D40E62" w:rsidRPr="007466D1">
        <w:t xml:space="preserve"> </w:t>
      </w:r>
      <w:r w:rsidRPr="007466D1">
        <w:t xml:space="preserve">pridáva k terapii diuretikum, </w:t>
      </w:r>
      <w:proofErr w:type="spellStart"/>
      <w:r w:rsidRPr="007466D1">
        <w:t>antihypertenzný</w:t>
      </w:r>
      <w:proofErr w:type="spellEnd"/>
      <w:r w:rsidRPr="007466D1">
        <w:t xml:space="preserve"> účinok je zvyčajne aditívny.</w:t>
      </w:r>
    </w:p>
    <w:p w14:paraId="3CC39915" w14:textId="2386C8BD" w:rsidR="008C3304" w:rsidRDefault="00F75BDF" w:rsidP="00317A57">
      <w:pPr>
        <w:pStyle w:val="Normlndobloku"/>
      </w:pPr>
      <w:r w:rsidRPr="007466D1">
        <w:t>U pacientov, ktorí už užívajú diuretiká, najmä u tých, ktorí ich začali práve užívať, môže občas</w:t>
      </w:r>
      <w:r w:rsidR="008C3304" w:rsidRPr="007466D1">
        <w:t> </w:t>
      </w:r>
      <w:r w:rsidRPr="007466D1">
        <w:t>dôjsť k</w:t>
      </w:r>
      <w:r w:rsidR="008C3304" w:rsidRPr="007466D1">
        <w:t> </w:t>
      </w:r>
      <w:r w:rsidRPr="007466D1">
        <w:t xml:space="preserve">nadmernému poklesu krvného tlaku, pokiaľ je k terapii pridaný DAPRIL. Možnosť výskytu symptomatickej hypotenzie po liečbe </w:t>
      </w:r>
      <w:proofErr w:type="spellStart"/>
      <w:r w:rsidR="00D40E62">
        <w:t>lizinoprilom</w:t>
      </w:r>
      <w:proofErr w:type="spellEnd"/>
      <w:r w:rsidR="00D40E62" w:rsidRPr="007466D1">
        <w:t xml:space="preserve"> </w:t>
      </w:r>
      <w:r w:rsidRPr="007466D1">
        <w:t xml:space="preserve">sa dá znížiť na minimum prerušením podávania diuretika pred začatím liečby </w:t>
      </w:r>
      <w:proofErr w:type="spellStart"/>
      <w:r w:rsidR="00D40E62">
        <w:t>lizinoprilom</w:t>
      </w:r>
      <w:proofErr w:type="spellEnd"/>
      <w:r w:rsidR="00D40E62" w:rsidRPr="007466D1" w:rsidDel="00D40E62">
        <w:t xml:space="preserve"> </w:t>
      </w:r>
      <w:r w:rsidRPr="007466D1">
        <w:t>(pozri časti 4.4 a 4.2).</w:t>
      </w:r>
    </w:p>
    <w:p w14:paraId="36D49452" w14:textId="04CFB555" w:rsidR="005B3814" w:rsidRPr="00736DF7" w:rsidRDefault="005B3814" w:rsidP="00736DF7">
      <w:pPr>
        <w:pStyle w:val="Styl3"/>
        <w:rPr>
          <w:lang w:val="sk-SK"/>
        </w:rPr>
      </w:pPr>
      <w:r w:rsidRPr="00736DF7">
        <w:rPr>
          <w:lang w:val="sk-SK"/>
        </w:rPr>
        <w:lastRenderedPageBreak/>
        <w:t xml:space="preserve">Lieky zvyšujúce riziko </w:t>
      </w:r>
      <w:proofErr w:type="spellStart"/>
      <w:r w:rsidRPr="00736DF7">
        <w:rPr>
          <w:lang w:val="sk-SK"/>
        </w:rPr>
        <w:t>angioedému</w:t>
      </w:r>
      <w:proofErr w:type="spellEnd"/>
    </w:p>
    <w:p w14:paraId="29DAC5BB" w14:textId="77777777" w:rsidR="00B023FC" w:rsidRDefault="005B3814" w:rsidP="005B3814">
      <w:pPr>
        <w:pStyle w:val="Normlndobloku"/>
      </w:pPr>
      <w:r>
        <w:t xml:space="preserve">Súbežné užívanie inhibítorov ACE so </w:t>
      </w:r>
      <w:proofErr w:type="spellStart"/>
      <w:r>
        <w:t>sakubitrilom</w:t>
      </w:r>
      <w:proofErr w:type="spellEnd"/>
      <w:r>
        <w:t>/</w:t>
      </w:r>
      <w:proofErr w:type="spellStart"/>
      <w:r>
        <w:t>valsartanom</w:t>
      </w:r>
      <w:proofErr w:type="spellEnd"/>
      <w:r>
        <w:t xml:space="preserve"> je kontraindikované, pretože sa zvyšuje riziko </w:t>
      </w:r>
      <w:proofErr w:type="spellStart"/>
      <w:r>
        <w:t>angioedému</w:t>
      </w:r>
      <w:proofErr w:type="spellEnd"/>
      <w:r>
        <w:t xml:space="preserve"> (pozri časť 4.3 a 4.4). </w:t>
      </w:r>
    </w:p>
    <w:p w14:paraId="144AD187" w14:textId="48E05E7D" w:rsidR="005B3814" w:rsidRDefault="005B3814" w:rsidP="005B3814">
      <w:pPr>
        <w:pStyle w:val="Normlndobloku"/>
      </w:pPr>
      <w:r w:rsidRPr="005B3814">
        <w:t xml:space="preserve">Súbežné užívanie inhibítorov ACE s </w:t>
      </w:r>
      <w:proofErr w:type="spellStart"/>
      <w:r w:rsidRPr="005B3814">
        <w:t>racekadotrilom</w:t>
      </w:r>
      <w:proofErr w:type="spellEnd"/>
      <w:r w:rsidRPr="005B3814">
        <w:t xml:space="preserve">, inhibítormi </w:t>
      </w:r>
      <w:proofErr w:type="spellStart"/>
      <w:r w:rsidRPr="005B3814">
        <w:t>mTOR</w:t>
      </w:r>
      <w:proofErr w:type="spellEnd"/>
      <w:r w:rsidRPr="005B3814">
        <w:t xml:space="preserve"> (napr. </w:t>
      </w:r>
      <w:proofErr w:type="spellStart"/>
      <w:r w:rsidRPr="005B3814">
        <w:t>sirolimus</w:t>
      </w:r>
      <w:proofErr w:type="spellEnd"/>
      <w:r w:rsidRPr="005B3814">
        <w:t xml:space="preserve">, </w:t>
      </w:r>
      <w:proofErr w:type="spellStart"/>
      <w:r w:rsidRPr="005B3814">
        <w:t>everolimus</w:t>
      </w:r>
      <w:proofErr w:type="spellEnd"/>
      <w:r w:rsidRPr="005B3814">
        <w:t xml:space="preserve">, </w:t>
      </w:r>
      <w:proofErr w:type="spellStart"/>
      <w:r w:rsidRPr="005B3814">
        <w:t>temsirolimus</w:t>
      </w:r>
      <w:proofErr w:type="spellEnd"/>
      <w:r w:rsidRPr="005B3814">
        <w:t xml:space="preserve">) a </w:t>
      </w:r>
      <w:proofErr w:type="spellStart"/>
      <w:r w:rsidRPr="005B3814">
        <w:t>vildagliptínom</w:t>
      </w:r>
      <w:proofErr w:type="spellEnd"/>
      <w:r w:rsidRPr="005B3814">
        <w:t xml:space="preserve"> môže viesť k zvýšenému riziku </w:t>
      </w:r>
      <w:proofErr w:type="spellStart"/>
      <w:r w:rsidRPr="005B3814">
        <w:t>angioedému</w:t>
      </w:r>
      <w:proofErr w:type="spellEnd"/>
      <w:r w:rsidRPr="005B3814">
        <w:t xml:space="preserve"> (pozri časť 4.4).</w:t>
      </w:r>
    </w:p>
    <w:p w14:paraId="1554E350" w14:textId="2F6C39F9" w:rsidR="005036F5" w:rsidRPr="00736DF7" w:rsidRDefault="005036F5" w:rsidP="00736DF7">
      <w:pPr>
        <w:pStyle w:val="Styl3"/>
        <w:rPr>
          <w:lang w:val="sk-SK"/>
        </w:rPr>
      </w:pPr>
      <w:r w:rsidRPr="00736DF7">
        <w:rPr>
          <w:lang w:val="sk-SK"/>
        </w:rPr>
        <w:t>Draslík šetriace diuretiká, doplnky draslíka alebo náhrady solí obsahujúce draslík</w:t>
      </w:r>
    </w:p>
    <w:p w14:paraId="74A14189" w14:textId="7F70C94E" w:rsidR="005036F5" w:rsidRDefault="005036F5" w:rsidP="005036F5">
      <w:pPr>
        <w:pStyle w:val="Normlndobloku"/>
      </w:pPr>
      <w:r>
        <w:t xml:space="preserve">Hoci hladiny draslíka v sére zvyčajne zostávajú v rámci normálnych hodnôt, u niektorých pacientov liečených </w:t>
      </w:r>
      <w:proofErr w:type="spellStart"/>
      <w:r w:rsidR="00D40E62">
        <w:t>lizino</w:t>
      </w:r>
      <w:r>
        <w:t>prilom</w:t>
      </w:r>
      <w:proofErr w:type="spellEnd"/>
      <w:r>
        <w:t xml:space="preserve"> sa môže vyskytnúť </w:t>
      </w:r>
      <w:proofErr w:type="spellStart"/>
      <w:r>
        <w:t>hyperkaliémia</w:t>
      </w:r>
      <w:proofErr w:type="spellEnd"/>
      <w:r>
        <w:t xml:space="preserve">. Užívanie draslík šetriacich diuretík (napr. </w:t>
      </w:r>
      <w:proofErr w:type="spellStart"/>
      <w:r>
        <w:t>spironolaktón</w:t>
      </w:r>
      <w:proofErr w:type="spellEnd"/>
      <w:r>
        <w:t xml:space="preserve">, </w:t>
      </w:r>
      <w:proofErr w:type="spellStart"/>
      <w:r>
        <w:t>triamterén</w:t>
      </w:r>
      <w:proofErr w:type="spellEnd"/>
      <w:r>
        <w:t xml:space="preserve"> alebo </w:t>
      </w:r>
      <w:proofErr w:type="spellStart"/>
      <w:r>
        <w:t>amilorid</w:t>
      </w:r>
      <w:proofErr w:type="spellEnd"/>
      <w:r>
        <w:t xml:space="preserve">), doplnkov draslíka alebo náhrad solí obsahujúcich draslík môže viesť k významnému zvýšeniu hladín draslíka v sére. Opatrnosť je tiež potrebná pri súbežnom podávaní </w:t>
      </w:r>
      <w:proofErr w:type="spellStart"/>
      <w:r w:rsidR="00D40E62">
        <w:t>lizino</w:t>
      </w:r>
      <w:r>
        <w:t>prilu</w:t>
      </w:r>
      <w:proofErr w:type="spellEnd"/>
      <w:r>
        <w:t xml:space="preserve"> s inými liekmi, ktoré zvyšujú hladinu draslíka v sére, napríklad </w:t>
      </w:r>
      <w:proofErr w:type="spellStart"/>
      <w:r>
        <w:t>trimetoprim</w:t>
      </w:r>
      <w:proofErr w:type="spellEnd"/>
      <w:r>
        <w:t xml:space="preserve"> a </w:t>
      </w:r>
      <w:proofErr w:type="spellStart"/>
      <w:r>
        <w:t>kotrimoxazol</w:t>
      </w:r>
      <w:proofErr w:type="spellEnd"/>
      <w:r>
        <w:t xml:space="preserve"> (</w:t>
      </w:r>
      <w:proofErr w:type="spellStart"/>
      <w:r>
        <w:t>trimetoprim</w:t>
      </w:r>
      <w:proofErr w:type="spellEnd"/>
      <w:r>
        <w:t>/</w:t>
      </w:r>
      <w:proofErr w:type="spellStart"/>
      <w:r>
        <w:t>sulfametoxazol</w:t>
      </w:r>
      <w:proofErr w:type="spellEnd"/>
      <w:r>
        <w:t xml:space="preserve">), </w:t>
      </w:r>
      <w:r w:rsidR="00736DF7">
        <w:t>keďže</w:t>
      </w:r>
      <w:r>
        <w:t xml:space="preserve"> </w:t>
      </w:r>
      <w:proofErr w:type="spellStart"/>
      <w:r>
        <w:t>trimetoprim</w:t>
      </w:r>
      <w:proofErr w:type="spellEnd"/>
      <w:r>
        <w:t xml:space="preserve"> pôsobí ako draslík šetriace diuretikum, rovnako ako </w:t>
      </w:r>
      <w:proofErr w:type="spellStart"/>
      <w:r>
        <w:t>amilorid</w:t>
      </w:r>
      <w:proofErr w:type="spellEnd"/>
      <w:r>
        <w:t xml:space="preserve">. Preto sa užívanie </w:t>
      </w:r>
      <w:proofErr w:type="spellStart"/>
      <w:r w:rsidR="00D40E62">
        <w:t>lizino</w:t>
      </w:r>
      <w:r>
        <w:t>prilu</w:t>
      </w:r>
      <w:proofErr w:type="spellEnd"/>
      <w:r>
        <w:t xml:space="preserve"> v kombinácii s vyššie uvedenými liekmi neodporúča. Ak je indikované ich súbežné užívanie, majú sa užívať s opatrnosťou a majú sa často sledovať hladiny draslíka v sére.</w:t>
      </w:r>
    </w:p>
    <w:p w14:paraId="695C1DED" w14:textId="77777777" w:rsidR="005036F5" w:rsidRPr="00736DF7" w:rsidRDefault="005036F5" w:rsidP="00736DF7">
      <w:pPr>
        <w:pStyle w:val="Styl3"/>
        <w:rPr>
          <w:lang w:val="sk-SK"/>
        </w:rPr>
      </w:pPr>
      <w:proofErr w:type="spellStart"/>
      <w:r w:rsidRPr="00736DF7">
        <w:rPr>
          <w:lang w:val="sk-SK"/>
        </w:rPr>
        <w:t>Cyklosporín</w:t>
      </w:r>
      <w:proofErr w:type="spellEnd"/>
    </w:p>
    <w:p w14:paraId="0DF5025D" w14:textId="77777777" w:rsidR="005036F5" w:rsidRDefault="005036F5" w:rsidP="005036F5">
      <w:pPr>
        <w:pStyle w:val="Normlndobloku"/>
      </w:pPr>
      <w:r>
        <w:t xml:space="preserve">Pri súbežnom užívaní inhibítorov ACE s </w:t>
      </w:r>
      <w:proofErr w:type="spellStart"/>
      <w:r>
        <w:t>cyklosporínom</w:t>
      </w:r>
      <w:proofErr w:type="spellEnd"/>
      <w:r>
        <w:t xml:space="preserve"> sa môže vyskytnúť </w:t>
      </w:r>
      <w:proofErr w:type="spellStart"/>
      <w:r>
        <w:t>hyperkaliémia</w:t>
      </w:r>
      <w:proofErr w:type="spellEnd"/>
      <w:r>
        <w:t>. Odporúča sa monitorovanie hladiny draslíka v sére.</w:t>
      </w:r>
    </w:p>
    <w:p w14:paraId="0B686788" w14:textId="77777777" w:rsidR="005036F5" w:rsidRPr="00736DF7" w:rsidRDefault="005036F5" w:rsidP="00736DF7">
      <w:pPr>
        <w:pStyle w:val="Styl3"/>
        <w:rPr>
          <w:lang w:val="sk-SK"/>
        </w:rPr>
      </w:pPr>
      <w:proofErr w:type="spellStart"/>
      <w:r w:rsidRPr="00736DF7">
        <w:rPr>
          <w:lang w:val="sk-SK"/>
        </w:rPr>
        <w:t>Heparín</w:t>
      </w:r>
      <w:proofErr w:type="spellEnd"/>
    </w:p>
    <w:p w14:paraId="3F58734B" w14:textId="77777777" w:rsidR="005036F5" w:rsidRPr="007466D1" w:rsidRDefault="005036F5" w:rsidP="005036F5">
      <w:pPr>
        <w:pStyle w:val="Normlndobloku"/>
      </w:pPr>
      <w:proofErr w:type="spellStart"/>
      <w:r>
        <w:t>Hyperkaliémia</w:t>
      </w:r>
      <w:proofErr w:type="spellEnd"/>
      <w:r>
        <w:t xml:space="preserve"> sa môže vyskytnúť pri súbežnom užívaní inhibítorov ACE s </w:t>
      </w:r>
      <w:proofErr w:type="spellStart"/>
      <w:r>
        <w:t>heparínom</w:t>
      </w:r>
      <w:proofErr w:type="spellEnd"/>
      <w:r>
        <w:t>. Odporúča sa monitorovanie hladiny draslíka v sére.</w:t>
      </w:r>
    </w:p>
    <w:p w14:paraId="3F4BE880" w14:textId="77777777" w:rsidR="00F75BDF" w:rsidRPr="007466D1" w:rsidRDefault="00F75BDF" w:rsidP="008C3304">
      <w:pPr>
        <w:pStyle w:val="Styl3"/>
        <w:rPr>
          <w:lang w:val="sk-SK"/>
        </w:rPr>
      </w:pPr>
      <w:r w:rsidRPr="007466D1">
        <w:rPr>
          <w:lang w:val="sk-SK"/>
        </w:rPr>
        <w:t>Lítium</w:t>
      </w:r>
    </w:p>
    <w:p w14:paraId="5E2351B0" w14:textId="697C91AC" w:rsidR="008C3304" w:rsidRPr="007466D1" w:rsidRDefault="00F75BDF" w:rsidP="00317A57">
      <w:pPr>
        <w:pStyle w:val="Normlndobloku"/>
      </w:pPr>
      <w:r w:rsidRPr="007466D1">
        <w:t xml:space="preserve">Počas </w:t>
      </w:r>
      <w:r w:rsidR="00D40E62" w:rsidRPr="007466D1">
        <w:t>sú</w:t>
      </w:r>
      <w:r w:rsidR="00D40E62">
        <w:t>bež</w:t>
      </w:r>
      <w:r w:rsidR="00D40E62" w:rsidRPr="007466D1">
        <w:t xml:space="preserve">ného </w:t>
      </w:r>
      <w:r w:rsidRPr="007466D1">
        <w:t>podávania lítia s ACE inhibítormi bolo hlásené reverzibilné zvýšenie hladiny</w:t>
      </w:r>
      <w:r w:rsidR="008C3304" w:rsidRPr="007466D1">
        <w:t xml:space="preserve"> </w:t>
      </w:r>
      <w:r w:rsidRPr="007466D1">
        <w:t>sérových koncentrácií lítia a jeho toxicity. Sú</w:t>
      </w:r>
      <w:r w:rsidR="0029775F">
        <w:t>bež</w:t>
      </w:r>
      <w:r w:rsidRPr="007466D1">
        <w:t xml:space="preserve">né podávanie s </w:t>
      </w:r>
      <w:proofErr w:type="spellStart"/>
      <w:r w:rsidRPr="007466D1">
        <w:t>tiazidovými</w:t>
      </w:r>
      <w:proofErr w:type="spellEnd"/>
      <w:r w:rsidRPr="007466D1">
        <w:t xml:space="preserve"> diuretikami</w:t>
      </w:r>
      <w:r w:rsidR="008C3304" w:rsidRPr="007466D1">
        <w:t xml:space="preserve"> </w:t>
      </w:r>
      <w:r w:rsidRPr="007466D1">
        <w:t>môže zvýšiť riziko toxicity lítia, ako aj zvýšiť už existujúcu toxicitu lítia ACE inhibítormi. Užívanie DAPRILU s</w:t>
      </w:r>
      <w:r w:rsidR="008C3304" w:rsidRPr="007466D1">
        <w:t> </w:t>
      </w:r>
      <w:r w:rsidRPr="007466D1">
        <w:t>lítiom sa neodporúča, ale pokiaľ je táto kombinácia nevyhnutná, treba starostlivo monitorovať sérové hladiny lítia (pozri časť 4.4).</w:t>
      </w:r>
    </w:p>
    <w:p w14:paraId="0C01A8F4" w14:textId="77777777" w:rsidR="00F75BDF" w:rsidRPr="007466D1" w:rsidRDefault="00F75BDF" w:rsidP="008C3304">
      <w:pPr>
        <w:pStyle w:val="Styl3"/>
        <w:rPr>
          <w:lang w:val="sk-SK"/>
        </w:rPr>
      </w:pPr>
      <w:proofErr w:type="spellStart"/>
      <w:r w:rsidRPr="007466D1">
        <w:rPr>
          <w:lang w:val="sk-SK"/>
        </w:rPr>
        <w:t>Nesteroidové</w:t>
      </w:r>
      <w:proofErr w:type="spellEnd"/>
      <w:r w:rsidRPr="007466D1">
        <w:rPr>
          <w:lang w:val="sk-SK"/>
        </w:rPr>
        <w:t xml:space="preserve"> </w:t>
      </w:r>
      <w:proofErr w:type="spellStart"/>
      <w:r w:rsidRPr="007466D1">
        <w:rPr>
          <w:lang w:val="sk-SK"/>
        </w:rPr>
        <w:t>antireumatiká</w:t>
      </w:r>
      <w:proofErr w:type="spellEnd"/>
      <w:r w:rsidRPr="007466D1">
        <w:rPr>
          <w:lang w:val="sk-SK"/>
        </w:rPr>
        <w:t xml:space="preserve"> (NSA) vrátane </w:t>
      </w:r>
      <w:proofErr w:type="spellStart"/>
      <w:r w:rsidRPr="007466D1">
        <w:rPr>
          <w:lang w:val="sk-SK"/>
        </w:rPr>
        <w:t>acetylsalicylovej</w:t>
      </w:r>
      <w:proofErr w:type="spellEnd"/>
      <w:r w:rsidRPr="007466D1">
        <w:rPr>
          <w:lang w:val="sk-SK"/>
        </w:rPr>
        <w:t xml:space="preserve"> kyseliny ≥ 3 g/deň</w:t>
      </w:r>
    </w:p>
    <w:p w14:paraId="36BB4E37" w14:textId="77777777" w:rsidR="008C3304" w:rsidRPr="007466D1" w:rsidRDefault="00F75BDF" w:rsidP="00317A57">
      <w:pPr>
        <w:pStyle w:val="Normlndobloku"/>
      </w:pPr>
      <w:r w:rsidRPr="007466D1">
        <w:t xml:space="preserve">Chronické podávanie NSA môže znížiť </w:t>
      </w:r>
      <w:proofErr w:type="spellStart"/>
      <w:r w:rsidRPr="007466D1">
        <w:t>antihypertenzný</w:t>
      </w:r>
      <w:proofErr w:type="spellEnd"/>
      <w:r w:rsidRPr="007466D1">
        <w:t xml:space="preserve"> účinok ACE inhibítorov. NSA a ACE inhibítory vykazujú aditívny efekt vo zvyšovaní hladiny sérového draslíka a môžu spôsobiť zhoršenie </w:t>
      </w:r>
      <w:proofErr w:type="spellStart"/>
      <w:r w:rsidRPr="007466D1">
        <w:t>renálnych</w:t>
      </w:r>
      <w:proofErr w:type="spellEnd"/>
      <w:r w:rsidRPr="007466D1">
        <w:t xml:space="preserve"> funkcií. Tento účinok je zvyčajne reverzibilný. Ojedinele môže nastať akútne </w:t>
      </w:r>
      <w:proofErr w:type="spellStart"/>
      <w:r w:rsidRPr="007466D1">
        <w:t>renálne</w:t>
      </w:r>
      <w:proofErr w:type="spellEnd"/>
      <w:r w:rsidRPr="007466D1">
        <w:t xml:space="preserve"> zlyhanie, najmä u pacientov so zníženou funkciou obličiek, napríklad u starších alebo dehydratovaných pacientov.</w:t>
      </w:r>
    </w:p>
    <w:p w14:paraId="4AB468F3" w14:textId="77777777" w:rsidR="00F75BDF" w:rsidRPr="007466D1" w:rsidRDefault="00F75BDF" w:rsidP="008C3304">
      <w:pPr>
        <w:pStyle w:val="Styl3"/>
        <w:rPr>
          <w:lang w:val="sk-SK"/>
        </w:rPr>
      </w:pPr>
      <w:r w:rsidRPr="007466D1">
        <w:rPr>
          <w:lang w:val="sk-SK"/>
        </w:rPr>
        <w:t>Zlato</w:t>
      </w:r>
    </w:p>
    <w:p w14:paraId="062B0B5F" w14:textId="77777777" w:rsidR="008C3304" w:rsidRPr="007466D1" w:rsidRDefault="00F75BDF" w:rsidP="00317A57">
      <w:pPr>
        <w:pStyle w:val="Normlndobloku"/>
      </w:pPr>
      <w:proofErr w:type="spellStart"/>
      <w:r w:rsidRPr="007466D1">
        <w:t>Nitritoidné</w:t>
      </w:r>
      <w:proofErr w:type="spellEnd"/>
      <w:r w:rsidRPr="007466D1">
        <w:t xml:space="preserve"> reakcie (symptómy </w:t>
      </w:r>
      <w:proofErr w:type="spellStart"/>
      <w:r w:rsidRPr="007466D1">
        <w:t>vazodilatácie</w:t>
      </w:r>
      <w:proofErr w:type="spellEnd"/>
      <w:r w:rsidRPr="007466D1">
        <w:t xml:space="preserve"> vrátane začervenania, nevoľnosti, závratov a hypotenzia, ktoré môžu byť veľmi závažné) po injekčnom podaní zlata (napríklad </w:t>
      </w:r>
      <w:proofErr w:type="spellStart"/>
      <w:r w:rsidRPr="007466D1">
        <w:t>aurotiomalátu</w:t>
      </w:r>
      <w:proofErr w:type="spellEnd"/>
      <w:r w:rsidRPr="007466D1">
        <w:t xml:space="preserve"> sodného) boli hlásené častejšie u pacientov liečených ACE inhibítormi.</w:t>
      </w:r>
    </w:p>
    <w:p w14:paraId="3C5FEDDD" w14:textId="77777777" w:rsidR="00F75BDF" w:rsidRPr="007466D1" w:rsidRDefault="00F75BDF" w:rsidP="008C3304">
      <w:pPr>
        <w:pStyle w:val="Styl3"/>
        <w:rPr>
          <w:lang w:val="sk-SK"/>
        </w:rPr>
      </w:pPr>
      <w:r w:rsidRPr="007466D1">
        <w:rPr>
          <w:lang w:val="sk-SK"/>
        </w:rPr>
        <w:t xml:space="preserve">Iné </w:t>
      </w:r>
      <w:proofErr w:type="spellStart"/>
      <w:r w:rsidRPr="007466D1">
        <w:rPr>
          <w:lang w:val="sk-SK"/>
        </w:rPr>
        <w:t>antihypertenzíva</w:t>
      </w:r>
      <w:proofErr w:type="spellEnd"/>
    </w:p>
    <w:p w14:paraId="47351386" w14:textId="694C789B" w:rsidR="008C3304" w:rsidRPr="007466D1" w:rsidRDefault="00D40E62" w:rsidP="00317A57">
      <w:pPr>
        <w:pStyle w:val="Normlndobloku"/>
      </w:pPr>
      <w:r w:rsidRPr="007466D1">
        <w:t>Sú</w:t>
      </w:r>
      <w:r>
        <w:t>bež</w:t>
      </w:r>
      <w:r w:rsidRPr="007466D1">
        <w:t xml:space="preserve">né </w:t>
      </w:r>
      <w:r w:rsidR="00F75BDF" w:rsidRPr="007466D1">
        <w:t xml:space="preserve">užívanie týchto liekov s </w:t>
      </w:r>
      <w:proofErr w:type="spellStart"/>
      <w:r w:rsidR="00F75BDF" w:rsidRPr="007466D1">
        <w:t>lizinoprilom</w:t>
      </w:r>
      <w:proofErr w:type="spellEnd"/>
      <w:r w:rsidR="00F75BDF" w:rsidRPr="007466D1">
        <w:t xml:space="preserve"> môže zvýšiť </w:t>
      </w:r>
      <w:proofErr w:type="spellStart"/>
      <w:r w:rsidR="00F75BDF" w:rsidRPr="007466D1">
        <w:t>hypotenzný</w:t>
      </w:r>
      <w:proofErr w:type="spellEnd"/>
      <w:r w:rsidR="00F75BDF" w:rsidRPr="007466D1">
        <w:t xml:space="preserve"> účinok </w:t>
      </w:r>
      <w:proofErr w:type="spellStart"/>
      <w:r w:rsidR="00F75BDF" w:rsidRPr="007466D1">
        <w:t>lizinoprilu</w:t>
      </w:r>
      <w:proofErr w:type="spellEnd"/>
      <w:r w:rsidR="00F75BDF" w:rsidRPr="007466D1">
        <w:t>. Sú</w:t>
      </w:r>
      <w:r w:rsidR="00B023FC">
        <w:t>bež</w:t>
      </w:r>
      <w:r w:rsidR="00F75BDF" w:rsidRPr="007466D1">
        <w:t xml:space="preserve">né užívanie s nitroglycerínom a inými nitrátmi, alebo inými </w:t>
      </w:r>
      <w:proofErr w:type="spellStart"/>
      <w:r w:rsidR="00F75BDF" w:rsidRPr="007466D1">
        <w:t>vazodilatanciami</w:t>
      </w:r>
      <w:proofErr w:type="spellEnd"/>
      <w:r w:rsidR="00F75BDF" w:rsidRPr="007466D1">
        <w:t xml:space="preserve"> môže ešte viac znížiť krvný tlak.</w:t>
      </w:r>
    </w:p>
    <w:p w14:paraId="5A3AC628" w14:textId="77777777" w:rsidR="00F75BDF" w:rsidRPr="007466D1" w:rsidRDefault="00F75BDF" w:rsidP="008C3304">
      <w:pPr>
        <w:pStyle w:val="Styl3"/>
        <w:rPr>
          <w:lang w:val="sk-SK"/>
        </w:rPr>
      </w:pPr>
      <w:proofErr w:type="spellStart"/>
      <w:r w:rsidRPr="007466D1">
        <w:rPr>
          <w:lang w:val="sk-SK"/>
        </w:rPr>
        <w:t>Tricyklické</w:t>
      </w:r>
      <w:proofErr w:type="spellEnd"/>
      <w:r w:rsidRPr="007466D1">
        <w:rPr>
          <w:lang w:val="sk-SK"/>
        </w:rPr>
        <w:t xml:space="preserve"> </w:t>
      </w:r>
      <w:proofErr w:type="spellStart"/>
      <w:r w:rsidRPr="007466D1">
        <w:rPr>
          <w:lang w:val="sk-SK"/>
        </w:rPr>
        <w:t>antidepresíva</w:t>
      </w:r>
      <w:proofErr w:type="spellEnd"/>
      <w:r w:rsidRPr="007466D1">
        <w:rPr>
          <w:lang w:val="sk-SK"/>
        </w:rPr>
        <w:t>/</w:t>
      </w:r>
      <w:proofErr w:type="spellStart"/>
      <w:r w:rsidRPr="007466D1">
        <w:rPr>
          <w:lang w:val="sk-SK"/>
        </w:rPr>
        <w:t>antipsychotiká</w:t>
      </w:r>
      <w:proofErr w:type="spellEnd"/>
      <w:r w:rsidRPr="007466D1">
        <w:rPr>
          <w:lang w:val="sk-SK"/>
        </w:rPr>
        <w:t>/anestetiká</w:t>
      </w:r>
    </w:p>
    <w:p w14:paraId="1BD0DB81" w14:textId="01681EB0" w:rsidR="008C3304" w:rsidRPr="007466D1" w:rsidRDefault="00D40E62" w:rsidP="00317A57">
      <w:pPr>
        <w:pStyle w:val="Normlndobloku"/>
      </w:pPr>
      <w:r w:rsidRPr="007466D1">
        <w:t>Sú</w:t>
      </w:r>
      <w:r>
        <w:t>bež</w:t>
      </w:r>
      <w:r w:rsidRPr="007466D1">
        <w:t xml:space="preserve">né </w:t>
      </w:r>
      <w:r w:rsidR="00F75BDF" w:rsidRPr="007466D1">
        <w:t>užívanie určitých anestet</w:t>
      </w:r>
      <w:r w:rsidR="00B023FC">
        <w:t>ík</w:t>
      </w:r>
      <w:r w:rsidR="00F75BDF" w:rsidRPr="007466D1">
        <w:t xml:space="preserve">, </w:t>
      </w:r>
      <w:proofErr w:type="spellStart"/>
      <w:r w:rsidR="00F75BDF" w:rsidRPr="007466D1">
        <w:t>tricyklických</w:t>
      </w:r>
      <w:proofErr w:type="spellEnd"/>
      <w:r w:rsidR="00F75BDF" w:rsidRPr="007466D1">
        <w:t xml:space="preserve"> </w:t>
      </w:r>
      <w:proofErr w:type="spellStart"/>
      <w:r w:rsidR="00F75BDF" w:rsidRPr="007466D1">
        <w:t>antidepresív</w:t>
      </w:r>
      <w:proofErr w:type="spellEnd"/>
      <w:r w:rsidR="00F75BDF" w:rsidRPr="007466D1">
        <w:t xml:space="preserve"> a </w:t>
      </w:r>
      <w:proofErr w:type="spellStart"/>
      <w:r w:rsidR="00F75BDF" w:rsidRPr="007466D1">
        <w:t>antipsychotík</w:t>
      </w:r>
      <w:proofErr w:type="spellEnd"/>
      <w:r w:rsidR="00F75BDF" w:rsidRPr="007466D1">
        <w:t xml:space="preserve"> s ACE inhibítormi môže spôsobiť ďalší pokles krvného tlaku (pozri časť 4.4).</w:t>
      </w:r>
    </w:p>
    <w:p w14:paraId="368197B7" w14:textId="77777777" w:rsidR="00F75BDF" w:rsidRPr="007466D1" w:rsidRDefault="00F75BDF" w:rsidP="008C3304">
      <w:pPr>
        <w:pStyle w:val="Styl3"/>
        <w:rPr>
          <w:lang w:val="sk-SK"/>
        </w:rPr>
      </w:pPr>
      <w:proofErr w:type="spellStart"/>
      <w:r w:rsidRPr="007466D1">
        <w:rPr>
          <w:lang w:val="sk-SK"/>
        </w:rPr>
        <w:t>Sympatomimetiká</w:t>
      </w:r>
      <w:proofErr w:type="spellEnd"/>
    </w:p>
    <w:p w14:paraId="24A615A2" w14:textId="77777777" w:rsidR="008C3304" w:rsidRPr="007466D1" w:rsidRDefault="00F75BDF" w:rsidP="00317A57">
      <w:pPr>
        <w:pStyle w:val="Normlndobloku"/>
      </w:pPr>
      <w:proofErr w:type="spellStart"/>
      <w:r w:rsidRPr="007466D1">
        <w:t>Sympatomimetiká</w:t>
      </w:r>
      <w:proofErr w:type="spellEnd"/>
      <w:r w:rsidRPr="007466D1">
        <w:t xml:space="preserve"> môžu znižovať </w:t>
      </w:r>
      <w:proofErr w:type="spellStart"/>
      <w:r w:rsidRPr="007466D1">
        <w:t>antihypertenzný</w:t>
      </w:r>
      <w:proofErr w:type="spellEnd"/>
      <w:r w:rsidRPr="007466D1">
        <w:t xml:space="preserve"> účinok ACE inhibítorov.</w:t>
      </w:r>
    </w:p>
    <w:p w14:paraId="1298ACA4" w14:textId="77777777" w:rsidR="00F75BDF" w:rsidRPr="007466D1" w:rsidRDefault="00F75BDF" w:rsidP="008C3304">
      <w:pPr>
        <w:pStyle w:val="Styl3"/>
        <w:rPr>
          <w:lang w:val="sk-SK"/>
        </w:rPr>
      </w:pPr>
      <w:proofErr w:type="spellStart"/>
      <w:r w:rsidRPr="007466D1">
        <w:rPr>
          <w:lang w:val="sk-SK"/>
        </w:rPr>
        <w:lastRenderedPageBreak/>
        <w:t>Antidiabetiká</w:t>
      </w:r>
      <w:proofErr w:type="spellEnd"/>
    </w:p>
    <w:p w14:paraId="0623B951" w14:textId="126DFFEF" w:rsidR="008C3304" w:rsidRPr="007466D1" w:rsidRDefault="00F75BDF" w:rsidP="00317A57">
      <w:pPr>
        <w:pStyle w:val="Normlndobloku"/>
      </w:pPr>
      <w:r w:rsidRPr="007466D1">
        <w:t xml:space="preserve">Epidemiologické štúdie dokazujú, že </w:t>
      </w:r>
      <w:r w:rsidR="00D40E62" w:rsidRPr="007466D1">
        <w:t>sú</w:t>
      </w:r>
      <w:r w:rsidR="00D40E62">
        <w:t>bež</w:t>
      </w:r>
      <w:r w:rsidR="00D40E62" w:rsidRPr="007466D1">
        <w:t xml:space="preserve">né </w:t>
      </w:r>
      <w:r w:rsidRPr="007466D1">
        <w:t xml:space="preserve">podávanie ACE inhibítorov a </w:t>
      </w:r>
      <w:proofErr w:type="spellStart"/>
      <w:r w:rsidRPr="007466D1">
        <w:t>antidiabetík</w:t>
      </w:r>
      <w:proofErr w:type="spellEnd"/>
      <w:r w:rsidRPr="007466D1">
        <w:t xml:space="preserve"> (inzulínu, perorálnych </w:t>
      </w:r>
      <w:proofErr w:type="spellStart"/>
      <w:r w:rsidRPr="007466D1">
        <w:t>antidiabetík</w:t>
      </w:r>
      <w:proofErr w:type="spellEnd"/>
      <w:r w:rsidRPr="007466D1">
        <w:t xml:space="preserve">) môže viesť k prehĺbeniu </w:t>
      </w:r>
      <w:proofErr w:type="spellStart"/>
      <w:r w:rsidRPr="007466D1">
        <w:t>hypoglykemického</w:t>
      </w:r>
      <w:proofErr w:type="spellEnd"/>
      <w:r w:rsidRPr="007466D1">
        <w:t xml:space="preserve"> účinku s rizikom vzniku </w:t>
      </w:r>
      <w:proofErr w:type="spellStart"/>
      <w:r w:rsidRPr="007466D1">
        <w:t>hypoglykémie</w:t>
      </w:r>
      <w:proofErr w:type="spellEnd"/>
      <w:r w:rsidRPr="007466D1">
        <w:t xml:space="preserve">. Rozvoj tohto fenoménu sa zdá pravdepodobnejší počas prvých týždňov kombinovanej liečby a u pacientov s </w:t>
      </w:r>
      <w:proofErr w:type="spellStart"/>
      <w:r w:rsidRPr="007466D1">
        <w:t>renálnym</w:t>
      </w:r>
      <w:proofErr w:type="spellEnd"/>
      <w:r w:rsidRPr="007466D1">
        <w:t xml:space="preserve"> poškodením.</w:t>
      </w:r>
    </w:p>
    <w:p w14:paraId="23891292" w14:textId="77777777" w:rsidR="00F75BDF" w:rsidRPr="007466D1" w:rsidRDefault="00F75BDF" w:rsidP="008C3304">
      <w:pPr>
        <w:pStyle w:val="Styl3"/>
        <w:rPr>
          <w:lang w:val="sk-SK"/>
        </w:rPr>
      </w:pPr>
      <w:r w:rsidRPr="007466D1">
        <w:rPr>
          <w:lang w:val="sk-SK"/>
        </w:rPr>
        <w:t xml:space="preserve">Kyselina </w:t>
      </w:r>
      <w:proofErr w:type="spellStart"/>
      <w:r w:rsidRPr="007466D1">
        <w:rPr>
          <w:lang w:val="sk-SK"/>
        </w:rPr>
        <w:t>acetylsalicylová</w:t>
      </w:r>
      <w:proofErr w:type="spellEnd"/>
      <w:r w:rsidRPr="007466D1">
        <w:rPr>
          <w:lang w:val="sk-SK"/>
        </w:rPr>
        <w:t xml:space="preserve">, </w:t>
      </w:r>
      <w:proofErr w:type="spellStart"/>
      <w:r w:rsidRPr="007466D1">
        <w:rPr>
          <w:lang w:val="sk-SK"/>
        </w:rPr>
        <w:t>trombolytiká</w:t>
      </w:r>
      <w:proofErr w:type="spellEnd"/>
      <w:r w:rsidRPr="007466D1">
        <w:rPr>
          <w:lang w:val="sk-SK"/>
        </w:rPr>
        <w:t xml:space="preserve">, </w:t>
      </w:r>
      <w:proofErr w:type="spellStart"/>
      <w:r w:rsidRPr="007466D1">
        <w:rPr>
          <w:lang w:val="sk-SK"/>
        </w:rPr>
        <w:t>betablokátory</w:t>
      </w:r>
      <w:proofErr w:type="spellEnd"/>
      <w:r w:rsidRPr="007466D1">
        <w:rPr>
          <w:lang w:val="sk-SK"/>
        </w:rPr>
        <w:t>, nitráty</w:t>
      </w:r>
    </w:p>
    <w:p w14:paraId="5C9A4314" w14:textId="2154AB17" w:rsidR="008C3304" w:rsidRPr="007466D1" w:rsidRDefault="00B023FC" w:rsidP="00317A57">
      <w:pPr>
        <w:pStyle w:val="Normlndobloku"/>
      </w:pPr>
      <w:proofErr w:type="spellStart"/>
      <w:r>
        <w:t>Lizinopril</w:t>
      </w:r>
      <w:proofErr w:type="spellEnd"/>
      <w:r w:rsidRPr="007466D1">
        <w:t xml:space="preserve"> </w:t>
      </w:r>
      <w:r w:rsidR="00F75BDF" w:rsidRPr="007466D1">
        <w:t xml:space="preserve">sa môže užívať </w:t>
      </w:r>
      <w:r w:rsidR="00D40E62" w:rsidRPr="007466D1">
        <w:t>sú</w:t>
      </w:r>
      <w:r w:rsidR="00D40E62">
        <w:t>bež</w:t>
      </w:r>
      <w:r w:rsidR="00D40E62" w:rsidRPr="007466D1">
        <w:t xml:space="preserve">ne </w:t>
      </w:r>
      <w:r w:rsidR="00F75BDF" w:rsidRPr="007466D1">
        <w:t xml:space="preserve">s kyselinou </w:t>
      </w:r>
      <w:proofErr w:type="spellStart"/>
      <w:r w:rsidR="00F75BDF" w:rsidRPr="007466D1">
        <w:t>acetylsalicylovou</w:t>
      </w:r>
      <w:proofErr w:type="spellEnd"/>
      <w:r w:rsidR="00F75BDF" w:rsidRPr="007466D1">
        <w:t xml:space="preserve"> (v kardiologických dávkach), </w:t>
      </w:r>
      <w:proofErr w:type="spellStart"/>
      <w:r w:rsidR="00F75BDF" w:rsidRPr="007466D1">
        <w:t>trombolytikami</w:t>
      </w:r>
      <w:proofErr w:type="spellEnd"/>
      <w:r w:rsidR="00F75BDF" w:rsidRPr="007466D1">
        <w:t xml:space="preserve">, </w:t>
      </w:r>
      <w:proofErr w:type="spellStart"/>
      <w:r w:rsidR="00F75BDF" w:rsidRPr="007466D1">
        <w:t>betablokátormi</w:t>
      </w:r>
      <w:proofErr w:type="spellEnd"/>
      <w:r w:rsidR="00F75BDF" w:rsidRPr="007466D1">
        <w:t xml:space="preserve"> a/alebo nitrátmi.</w:t>
      </w:r>
    </w:p>
    <w:p w14:paraId="250C4084" w14:textId="77777777" w:rsidR="00F75BDF" w:rsidRPr="007466D1" w:rsidRDefault="00F75BDF" w:rsidP="008C3304">
      <w:pPr>
        <w:pStyle w:val="Styl3"/>
        <w:rPr>
          <w:lang w:val="sk-SK"/>
        </w:rPr>
      </w:pPr>
      <w:r w:rsidRPr="007466D1">
        <w:rPr>
          <w:lang w:val="sk-SK"/>
        </w:rPr>
        <w:t xml:space="preserve">Duálna inhibícia systému </w:t>
      </w:r>
      <w:proofErr w:type="spellStart"/>
      <w:r w:rsidRPr="007466D1">
        <w:rPr>
          <w:lang w:val="sk-SK"/>
        </w:rPr>
        <w:t>renín-angiotenzín-aldosterón</w:t>
      </w:r>
      <w:proofErr w:type="spellEnd"/>
      <w:r w:rsidRPr="007466D1">
        <w:rPr>
          <w:lang w:val="sk-SK"/>
        </w:rPr>
        <w:t xml:space="preserve"> (RAAS)</w:t>
      </w:r>
    </w:p>
    <w:p w14:paraId="6213D128" w14:textId="77777777" w:rsidR="00F75BDF" w:rsidRDefault="00F75BDF" w:rsidP="00317A57">
      <w:pPr>
        <w:pStyle w:val="Normlndobloku"/>
      </w:pPr>
      <w:r w:rsidRPr="007466D1">
        <w:t xml:space="preserve">Údaje z klinických skúšaní ukázali, že duálna inhibícia systému </w:t>
      </w:r>
      <w:proofErr w:type="spellStart"/>
      <w:r w:rsidRPr="007466D1">
        <w:t>renín-angiotenzín-aldosterón</w:t>
      </w:r>
      <w:proofErr w:type="spellEnd"/>
      <w:r w:rsidRPr="007466D1">
        <w:t xml:space="preserve"> (RAAS) kombinovaným použitím inhibítorov ACE, </w:t>
      </w:r>
      <w:proofErr w:type="spellStart"/>
      <w:r w:rsidRPr="007466D1">
        <w:t>blokátorov</w:t>
      </w:r>
      <w:proofErr w:type="spellEnd"/>
      <w:r w:rsidRPr="007466D1">
        <w:t xml:space="preserve"> receptorov </w:t>
      </w:r>
      <w:proofErr w:type="spellStart"/>
      <w:r w:rsidRPr="007466D1">
        <w:t>angiotenzínu</w:t>
      </w:r>
      <w:proofErr w:type="spellEnd"/>
      <w:r w:rsidRPr="007466D1">
        <w:t xml:space="preserve"> II alebo </w:t>
      </w:r>
      <w:proofErr w:type="spellStart"/>
      <w:r w:rsidRPr="007466D1">
        <w:t>aliskirénu</w:t>
      </w:r>
      <w:proofErr w:type="spellEnd"/>
      <w:r w:rsidRPr="007466D1">
        <w:t xml:space="preserve"> sa spája s vyššou frekvenciou nežiaducich udalostí, ako sú hypotenzia, </w:t>
      </w:r>
      <w:proofErr w:type="spellStart"/>
      <w:r w:rsidRPr="007466D1">
        <w:t>hyperkaliémia</w:t>
      </w:r>
      <w:proofErr w:type="spellEnd"/>
      <w:r w:rsidRPr="007466D1">
        <w:t xml:space="preserve"> a znížená funkcia obličiek (vrátane akútneho zlyhania obličiek), v porovnaní s použitím látky ovplyvňujúcej RAAS v</w:t>
      </w:r>
      <w:r w:rsidR="008C3304" w:rsidRPr="007466D1">
        <w:t> </w:t>
      </w:r>
      <w:proofErr w:type="spellStart"/>
      <w:r w:rsidRPr="007466D1">
        <w:t>monoterapii</w:t>
      </w:r>
      <w:proofErr w:type="spellEnd"/>
      <w:r w:rsidRPr="007466D1">
        <w:t xml:space="preserve"> (pozri časti 4.3, 4.4 a 5.1).</w:t>
      </w:r>
    </w:p>
    <w:p w14:paraId="13188653" w14:textId="4996A934" w:rsidR="00B023FC" w:rsidRDefault="00B023FC" w:rsidP="00D51B1B">
      <w:pPr>
        <w:pStyle w:val="Styl2"/>
        <w:rPr>
          <w:lang w:val="sk-SK"/>
        </w:rPr>
      </w:pPr>
    </w:p>
    <w:p w14:paraId="3DB162C8" w14:textId="77777777" w:rsidR="00F75BDF" w:rsidRPr="00D51B1B" w:rsidRDefault="00F75BDF" w:rsidP="00D51B1B">
      <w:pPr>
        <w:pStyle w:val="Styl2"/>
        <w:rPr>
          <w:b w:val="0"/>
          <w:lang w:val="sk-SK"/>
        </w:rPr>
      </w:pPr>
      <w:r w:rsidRPr="007466D1">
        <w:rPr>
          <w:lang w:val="sk-SK"/>
        </w:rPr>
        <w:t>4.6</w:t>
      </w:r>
      <w:r w:rsidRPr="007466D1">
        <w:rPr>
          <w:lang w:val="sk-SK"/>
        </w:rPr>
        <w:tab/>
      </w:r>
      <w:proofErr w:type="spellStart"/>
      <w:r w:rsidRPr="00D51B1B">
        <w:rPr>
          <w:lang w:val="sk-SK"/>
        </w:rPr>
        <w:t>Fertilita</w:t>
      </w:r>
      <w:proofErr w:type="spellEnd"/>
      <w:r w:rsidRPr="00D51B1B">
        <w:rPr>
          <w:lang w:val="sk-SK"/>
        </w:rPr>
        <w:t>, gravidita a laktácia</w:t>
      </w:r>
    </w:p>
    <w:p w14:paraId="59276334" w14:textId="77777777" w:rsidR="00F75BDF" w:rsidRPr="007466D1" w:rsidRDefault="00F75BDF" w:rsidP="008C3304">
      <w:pPr>
        <w:pStyle w:val="Styl3"/>
        <w:rPr>
          <w:lang w:val="sk-SK"/>
        </w:rPr>
      </w:pPr>
      <w:r w:rsidRPr="007466D1">
        <w:rPr>
          <w:lang w:val="sk-SK"/>
        </w:rPr>
        <w:t>Gravidita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C3304" w:rsidRPr="007E585E" w14:paraId="74883525" w14:textId="77777777" w:rsidTr="007E585E">
        <w:tc>
          <w:tcPr>
            <w:tcW w:w="9210" w:type="dxa"/>
            <w:shd w:val="clear" w:color="auto" w:fill="auto"/>
          </w:tcPr>
          <w:p w14:paraId="5715A5D8" w14:textId="77777777" w:rsidR="008C3304" w:rsidRPr="007466D1" w:rsidRDefault="008C3304" w:rsidP="00317A57">
            <w:pPr>
              <w:pStyle w:val="Normlndobloku"/>
            </w:pPr>
            <w:r w:rsidRPr="007466D1">
              <w:t xml:space="preserve">Užívanie ACE inhibítorov sa neodporúča počas prvého </w:t>
            </w:r>
            <w:proofErr w:type="spellStart"/>
            <w:r w:rsidRPr="007466D1">
              <w:t>trimestra</w:t>
            </w:r>
            <w:proofErr w:type="spellEnd"/>
            <w:r w:rsidRPr="007466D1">
              <w:t xml:space="preserve"> gravidity (pozri časť 4.4). Užívanie ACE inhibítorov je kontraindikované počas druhého a tretieho </w:t>
            </w:r>
            <w:proofErr w:type="spellStart"/>
            <w:r w:rsidRPr="007466D1">
              <w:t>trimestra</w:t>
            </w:r>
            <w:proofErr w:type="spellEnd"/>
            <w:r w:rsidRPr="007466D1">
              <w:t xml:space="preserve"> gravidity (pozri časti 4.3 a 4.4).</w:t>
            </w:r>
          </w:p>
        </w:tc>
      </w:tr>
    </w:tbl>
    <w:p w14:paraId="286BB8F0" w14:textId="77777777" w:rsidR="008C3304" w:rsidRPr="007466D1" w:rsidRDefault="008C3304" w:rsidP="00317A57">
      <w:pPr>
        <w:pStyle w:val="Normlndobloku"/>
      </w:pPr>
    </w:p>
    <w:p w14:paraId="47A2A9A0" w14:textId="77777777" w:rsidR="008C3304" w:rsidRPr="007466D1" w:rsidRDefault="00F75BDF" w:rsidP="00317A57">
      <w:pPr>
        <w:pStyle w:val="Normlndobloku"/>
      </w:pPr>
      <w:r w:rsidRPr="007466D1">
        <w:t xml:space="preserve">Epidemiologický dôkaz rizika </w:t>
      </w:r>
      <w:proofErr w:type="spellStart"/>
      <w:r w:rsidRPr="007466D1">
        <w:t>teratogenicity</w:t>
      </w:r>
      <w:proofErr w:type="spellEnd"/>
      <w:r w:rsidRPr="007466D1">
        <w:t xml:space="preserve"> po expozícii ACE inhibítorom počas prvého </w:t>
      </w:r>
      <w:proofErr w:type="spellStart"/>
      <w:r w:rsidRPr="007466D1">
        <w:t>trimestra</w:t>
      </w:r>
      <w:proofErr w:type="spellEnd"/>
      <w:r w:rsidRPr="007466D1">
        <w:t xml:space="preserve"> gravidity nebol výrazný; malé zvýšenie rizika sa však nedá vylúčiť.</w:t>
      </w:r>
    </w:p>
    <w:p w14:paraId="4652422E" w14:textId="77777777" w:rsidR="008C3304" w:rsidRPr="007466D1" w:rsidRDefault="00F75BDF" w:rsidP="00317A57">
      <w:pPr>
        <w:pStyle w:val="Normlndobloku"/>
      </w:pPr>
      <w:r w:rsidRPr="007466D1">
        <w:t xml:space="preserve">Ak nepretržitá liečba ACE inhibítormi nie je nevyhnutná, pacientky plánujúce otehotnieť majú prejsť na alternatívnu </w:t>
      </w:r>
      <w:proofErr w:type="spellStart"/>
      <w:r w:rsidRPr="007466D1">
        <w:t>antihypertenznú</w:t>
      </w:r>
      <w:proofErr w:type="spellEnd"/>
      <w:r w:rsidRPr="007466D1">
        <w:t xml:space="preserve"> liečbu, ktorá má potvrdený bezpečnostný profil pre použitie v</w:t>
      </w:r>
      <w:r w:rsidR="007466D1" w:rsidRPr="007466D1">
        <w:t> </w:t>
      </w:r>
      <w:r w:rsidRPr="007466D1">
        <w:t>gravidite. V prípade potvrdenej gravidity je potrebné liečbu ACE inhibítormi ihneď prerušiť a ak je to vhodné, treba začať alternatívnu liečbu.</w:t>
      </w:r>
    </w:p>
    <w:p w14:paraId="5CC1BD7E" w14:textId="77777777" w:rsidR="008C3304" w:rsidRPr="007466D1" w:rsidRDefault="00F75BDF" w:rsidP="00317A57">
      <w:pPr>
        <w:pStyle w:val="Normlndobloku"/>
      </w:pPr>
      <w:r w:rsidRPr="007466D1">
        <w:t xml:space="preserve">Je známe, že expozícia ACE inhibítorom počas druhého a tretieho </w:t>
      </w:r>
      <w:proofErr w:type="spellStart"/>
      <w:r w:rsidRPr="007466D1">
        <w:t>trimestra</w:t>
      </w:r>
      <w:proofErr w:type="spellEnd"/>
      <w:r w:rsidRPr="007466D1">
        <w:t xml:space="preserve"> vyvoláva u človeka </w:t>
      </w:r>
      <w:proofErr w:type="spellStart"/>
      <w:r w:rsidRPr="007466D1">
        <w:t>fetotoxicitu</w:t>
      </w:r>
      <w:proofErr w:type="spellEnd"/>
      <w:r w:rsidRPr="007466D1">
        <w:t xml:space="preserve"> (znížená </w:t>
      </w:r>
      <w:proofErr w:type="spellStart"/>
      <w:r w:rsidRPr="007466D1">
        <w:t>renálna</w:t>
      </w:r>
      <w:proofErr w:type="spellEnd"/>
      <w:r w:rsidRPr="007466D1">
        <w:t xml:space="preserve"> funkcia, </w:t>
      </w:r>
      <w:proofErr w:type="spellStart"/>
      <w:r w:rsidRPr="007466D1">
        <w:t>oligohydramnión</w:t>
      </w:r>
      <w:proofErr w:type="spellEnd"/>
      <w:r w:rsidRPr="007466D1">
        <w:t xml:space="preserve">, retardácia osifikácie lebky) a </w:t>
      </w:r>
      <w:proofErr w:type="spellStart"/>
      <w:r w:rsidRPr="007466D1">
        <w:t>neonatálnu</w:t>
      </w:r>
      <w:proofErr w:type="spellEnd"/>
      <w:r w:rsidRPr="007466D1">
        <w:t xml:space="preserve"> toxicitu (zlyhanie obličiek, hypotenzia, </w:t>
      </w:r>
      <w:proofErr w:type="spellStart"/>
      <w:r w:rsidRPr="007466D1">
        <w:t>hyperkaliémia</w:t>
      </w:r>
      <w:proofErr w:type="spellEnd"/>
      <w:r w:rsidRPr="007466D1">
        <w:t>) (pozri tiež časť 5.3).</w:t>
      </w:r>
    </w:p>
    <w:p w14:paraId="0F8F825D" w14:textId="77777777" w:rsidR="00F75BDF" w:rsidRPr="007466D1" w:rsidRDefault="00F75BDF" w:rsidP="00317A57">
      <w:pPr>
        <w:pStyle w:val="Normlndobloku"/>
      </w:pPr>
      <w:r w:rsidRPr="007466D1">
        <w:t xml:space="preserve">Ak by sa od druhého </w:t>
      </w:r>
      <w:proofErr w:type="spellStart"/>
      <w:r w:rsidRPr="007466D1">
        <w:t>trimestra</w:t>
      </w:r>
      <w:proofErr w:type="spellEnd"/>
      <w:r w:rsidRPr="007466D1">
        <w:t xml:space="preserve"> gravidity vyskytla expozícia ACE inhibítorom, odporúča sa ultrazvuková kontrola </w:t>
      </w:r>
      <w:proofErr w:type="spellStart"/>
      <w:r w:rsidRPr="007466D1">
        <w:t>renálnej</w:t>
      </w:r>
      <w:proofErr w:type="spellEnd"/>
      <w:r w:rsidRPr="007466D1">
        <w:t xml:space="preserve"> funkcie a lebky.</w:t>
      </w:r>
    </w:p>
    <w:p w14:paraId="0F88D95E" w14:textId="77777777" w:rsidR="008C3304" w:rsidRPr="007466D1" w:rsidRDefault="00F75BDF" w:rsidP="00317A57">
      <w:pPr>
        <w:pStyle w:val="Normlndobloku"/>
      </w:pPr>
      <w:r w:rsidRPr="007466D1">
        <w:t>Dojčatá, ktorých matky užívali ACE inhibítory majú byť pozorne sledované na hypotenziu (pozri tiež časti 4.3 a 4.4).</w:t>
      </w:r>
    </w:p>
    <w:p w14:paraId="1007ABBD" w14:textId="77777777" w:rsidR="00F75BDF" w:rsidRPr="007466D1" w:rsidRDefault="008349F3" w:rsidP="008C3304">
      <w:pPr>
        <w:pStyle w:val="Styl3"/>
        <w:rPr>
          <w:lang w:val="sk-SK"/>
        </w:rPr>
      </w:pPr>
      <w:r>
        <w:rPr>
          <w:lang w:val="sk-SK"/>
        </w:rPr>
        <w:t>Dojčenie</w:t>
      </w:r>
    </w:p>
    <w:p w14:paraId="11543B2B" w14:textId="77777777" w:rsidR="00F75BDF" w:rsidRDefault="00F75BDF" w:rsidP="00317A57">
      <w:pPr>
        <w:pStyle w:val="Normlndobloku"/>
      </w:pPr>
      <w:r w:rsidRPr="007466D1">
        <w:t xml:space="preserve">Pretože nie je k dispozícii dostatok informácií o používaní DAPRILU počas dojčenia, neodporúča sa užívanie DAPRILU počas dojčenia. Je vhodnejšie prejsť na alternatívnu </w:t>
      </w:r>
      <w:proofErr w:type="spellStart"/>
      <w:r w:rsidRPr="007466D1">
        <w:t>antihypertenznú</w:t>
      </w:r>
      <w:proofErr w:type="spellEnd"/>
      <w:r w:rsidRPr="007466D1">
        <w:t xml:space="preserve"> liečbu, ktorá má potvrdený bezpečnostný profil pre použitie počas dojčenia, najmä ak sa jedná o dojčenie novorodenca alebo predčasne narodeného dieťaťa.</w:t>
      </w:r>
    </w:p>
    <w:p w14:paraId="676E9B5D" w14:textId="77777777" w:rsidR="00740CED" w:rsidRPr="007466D1" w:rsidRDefault="00740CED" w:rsidP="00317A57">
      <w:pPr>
        <w:pStyle w:val="Normlndobloku"/>
      </w:pPr>
    </w:p>
    <w:p w14:paraId="194B2836" w14:textId="77777777" w:rsidR="00F75BDF" w:rsidRPr="00D51B1B" w:rsidRDefault="00F75BDF" w:rsidP="00D51B1B">
      <w:pPr>
        <w:pStyle w:val="Styl2"/>
        <w:rPr>
          <w:b w:val="0"/>
          <w:lang w:val="sk-SK"/>
        </w:rPr>
      </w:pPr>
      <w:r w:rsidRPr="007466D1">
        <w:rPr>
          <w:lang w:val="sk-SK"/>
        </w:rPr>
        <w:t>4.7</w:t>
      </w:r>
      <w:r w:rsidRPr="007466D1">
        <w:rPr>
          <w:lang w:val="sk-SK"/>
        </w:rPr>
        <w:tab/>
      </w:r>
      <w:r w:rsidRPr="00D51B1B">
        <w:rPr>
          <w:lang w:val="sk-SK"/>
        </w:rPr>
        <w:t>Ovplyvnenie schopnosti viesť vozidlá a obsluhovať stroje</w:t>
      </w:r>
    </w:p>
    <w:p w14:paraId="735268E5" w14:textId="77777777" w:rsidR="008C3304" w:rsidRPr="007466D1" w:rsidRDefault="00F75BDF" w:rsidP="00317A57">
      <w:pPr>
        <w:pStyle w:val="Normlndobloku"/>
      </w:pPr>
      <w:r w:rsidRPr="007466D1">
        <w:t xml:space="preserve">Je nepravdepodobné, že </w:t>
      </w:r>
      <w:r w:rsidRPr="00E3367C">
        <w:t xml:space="preserve">by </w:t>
      </w:r>
      <w:r w:rsidRPr="007466D1">
        <w:t>DAPRIL mal vplyv</w:t>
      </w:r>
      <w:r w:rsidRPr="00E3367C">
        <w:t xml:space="preserve"> na schopnosť </w:t>
      </w:r>
      <w:r w:rsidRPr="007466D1">
        <w:t>viesť vozidlá a obsluhovať stroje.</w:t>
      </w:r>
    </w:p>
    <w:p w14:paraId="3B8F0BC2" w14:textId="77777777" w:rsidR="00F75BDF" w:rsidRDefault="00F75BDF" w:rsidP="00317A57">
      <w:pPr>
        <w:pStyle w:val="Normlndobloku"/>
      </w:pPr>
      <w:r w:rsidRPr="007466D1">
        <w:t>Pri vedení</w:t>
      </w:r>
      <w:r w:rsidRPr="00E3367C">
        <w:t xml:space="preserve"> vozidiel alebo </w:t>
      </w:r>
      <w:r w:rsidRPr="007466D1">
        <w:t>práci so strojmi je nevyhnutné</w:t>
      </w:r>
      <w:r w:rsidRPr="00E3367C">
        <w:t xml:space="preserve"> vziať do úvahy, že sa </w:t>
      </w:r>
      <w:r w:rsidRPr="007466D1">
        <w:t xml:space="preserve">môžu </w:t>
      </w:r>
      <w:r w:rsidRPr="00E3367C">
        <w:t xml:space="preserve">občas </w:t>
      </w:r>
      <w:r w:rsidRPr="007466D1">
        <w:t>dostaviť závraty alebo únava</w:t>
      </w:r>
      <w:r w:rsidRPr="00E3367C">
        <w:t>.</w:t>
      </w:r>
    </w:p>
    <w:p w14:paraId="79C2E0F9" w14:textId="77777777" w:rsidR="00740CED" w:rsidRPr="00E3367C" w:rsidRDefault="00740CED" w:rsidP="00317A57">
      <w:pPr>
        <w:pStyle w:val="Normlndobloku"/>
      </w:pPr>
    </w:p>
    <w:p w14:paraId="443DA5F2" w14:textId="77777777" w:rsidR="00F75BDF" w:rsidRPr="00D51B1B" w:rsidRDefault="00F75BDF" w:rsidP="00D51B1B">
      <w:pPr>
        <w:pStyle w:val="Styl2"/>
        <w:rPr>
          <w:b w:val="0"/>
          <w:lang w:val="sk-SK"/>
        </w:rPr>
      </w:pPr>
      <w:r w:rsidRPr="007466D1">
        <w:rPr>
          <w:lang w:val="sk-SK"/>
        </w:rPr>
        <w:lastRenderedPageBreak/>
        <w:t>4.8</w:t>
      </w:r>
      <w:r w:rsidRPr="007466D1">
        <w:rPr>
          <w:lang w:val="sk-SK"/>
        </w:rPr>
        <w:tab/>
      </w:r>
      <w:r w:rsidRPr="00D51B1B">
        <w:rPr>
          <w:lang w:val="sk-SK"/>
        </w:rPr>
        <w:t>Nežiaduce účinky</w:t>
      </w:r>
    </w:p>
    <w:p w14:paraId="0C140790" w14:textId="77777777" w:rsidR="008C3304" w:rsidRPr="00DF23CD" w:rsidRDefault="00F75BDF" w:rsidP="00317A57">
      <w:pPr>
        <w:pStyle w:val="Normlndobloku"/>
      </w:pPr>
      <w:r w:rsidRPr="007466D1">
        <w:t>Nasledujúce</w:t>
      </w:r>
      <w:r w:rsidRPr="00E3367C">
        <w:t xml:space="preserve"> nežiaduce účinky</w:t>
      </w:r>
      <w:r w:rsidRPr="007466D1">
        <w:t xml:space="preserve"> boli sledované a hlásené</w:t>
      </w:r>
      <w:r w:rsidRPr="00E3367C">
        <w:t xml:space="preserve"> počas liečby </w:t>
      </w:r>
      <w:proofErr w:type="spellStart"/>
      <w:r w:rsidRPr="007466D1">
        <w:t>lizinoprilom</w:t>
      </w:r>
      <w:proofErr w:type="spellEnd"/>
      <w:r w:rsidRPr="007466D1">
        <w:t xml:space="preserve"> a inými ACE inhibítormi s následnou frekvenciou:</w:t>
      </w:r>
    </w:p>
    <w:p w14:paraId="7772E033" w14:textId="77777777" w:rsidR="00F75BDF" w:rsidRPr="007466D1" w:rsidRDefault="00F75BDF" w:rsidP="00317A57">
      <w:pPr>
        <w:pStyle w:val="Normlndobloku"/>
      </w:pPr>
      <w:r w:rsidRPr="007466D1">
        <w:t>Veľmi časté: (≥1/10)</w:t>
      </w:r>
    </w:p>
    <w:p w14:paraId="0D0FE9E9" w14:textId="77777777" w:rsidR="00F75BDF" w:rsidRPr="007466D1" w:rsidRDefault="00F75BDF" w:rsidP="00317A57">
      <w:pPr>
        <w:pStyle w:val="Normlndobloku"/>
      </w:pPr>
      <w:r w:rsidRPr="007466D1">
        <w:t>Časté: (≥1/100 až &lt;1/10)</w:t>
      </w:r>
    </w:p>
    <w:p w14:paraId="368D39FB" w14:textId="77777777" w:rsidR="00F75BDF" w:rsidRPr="007466D1" w:rsidRDefault="00F75BDF" w:rsidP="00317A57">
      <w:pPr>
        <w:pStyle w:val="Normlndobloku"/>
      </w:pPr>
      <w:r w:rsidRPr="007466D1">
        <w:t>Menej časté: (≥1/1</w:t>
      </w:r>
      <w:r w:rsidR="008349F3">
        <w:t> </w:t>
      </w:r>
      <w:r w:rsidRPr="007466D1">
        <w:t>000 až &lt;1/100)</w:t>
      </w:r>
    </w:p>
    <w:p w14:paraId="62F61DB6" w14:textId="77777777" w:rsidR="00F75BDF" w:rsidRPr="007466D1" w:rsidRDefault="00F75BDF" w:rsidP="00317A57">
      <w:pPr>
        <w:pStyle w:val="Normlndobloku"/>
      </w:pPr>
      <w:r w:rsidRPr="007466D1">
        <w:t>Zriedkavé: (≥1/10</w:t>
      </w:r>
      <w:r w:rsidR="008349F3">
        <w:t> </w:t>
      </w:r>
      <w:r w:rsidRPr="007466D1">
        <w:t>000 až &lt;1/1000)</w:t>
      </w:r>
    </w:p>
    <w:p w14:paraId="16DEAC8E" w14:textId="77777777" w:rsidR="00F75BDF" w:rsidRPr="007466D1" w:rsidRDefault="00F75BDF" w:rsidP="00317A57">
      <w:pPr>
        <w:pStyle w:val="Normlndobloku"/>
      </w:pPr>
      <w:r w:rsidRPr="007466D1">
        <w:t>Veľmi zriedkavé: (≥1/10</w:t>
      </w:r>
      <w:r w:rsidR="008349F3">
        <w:t> </w:t>
      </w:r>
      <w:r w:rsidRPr="007466D1">
        <w:t>000)</w:t>
      </w:r>
    </w:p>
    <w:p w14:paraId="778E8A77" w14:textId="77777777" w:rsidR="008C3304" w:rsidRDefault="00F75BDF" w:rsidP="00317A57">
      <w:pPr>
        <w:pStyle w:val="Normlndobloku"/>
      </w:pPr>
      <w:r w:rsidRPr="007466D1">
        <w:t>Neznáme: (nemožno odhadnúť z dostupných údajov)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1044"/>
        <w:gridCol w:w="1276"/>
        <w:gridCol w:w="1809"/>
        <w:gridCol w:w="1877"/>
        <w:gridCol w:w="1701"/>
      </w:tblGrid>
      <w:tr w:rsidR="006812AF" w:rsidRPr="007E585E" w14:paraId="70A017C8" w14:textId="77777777" w:rsidTr="00E3367C">
        <w:tc>
          <w:tcPr>
            <w:tcW w:w="1899" w:type="dxa"/>
            <w:shd w:val="clear" w:color="auto" w:fill="auto"/>
          </w:tcPr>
          <w:p w14:paraId="3262F0FD" w14:textId="77777777" w:rsidR="006812AF" w:rsidRPr="006812AF" w:rsidRDefault="006812AF" w:rsidP="00317A57">
            <w:pPr>
              <w:pStyle w:val="Normlndobloku"/>
            </w:pPr>
            <w:r w:rsidRPr="006812AF">
              <w:t>Trieda orgánových systémov</w:t>
            </w:r>
          </w:p>
        </w:tc>
        <w:tc>
          <w:tcPr>
            <w:tcW w:w="1044" w:type="dxa"/>
            <w:shd w:val="clear" w:color="auto" w:fill="auto"/>
          </w:tcPr>
          <w:p w14:paraId="18C3FA32" w14:textId="77777777" w:rsidR="006812AF" w:rsidRPr="006812AF" w:rsidRDefault="006812AF" w:rsidP="00317A57">
            <w:pPr>
              <w:pStyle w:val="Normlndobloku"/>
            </w:pPr>
            <w:r w:rsidRPr="006812AF">
              <w:t>Časté</w:t>
            </w:r>
          </w:p>
        </w:tc>
        <w:tc>
          <w:tcPr>
            <w:tcW w:w="1276" w:type="dxa"/>
            <w:shd w:val="clear" w:color="auto" w:fill="auto"/>
          </w:tcPr>
          <w:p w14:paraId="3162134D" w14:textId="77777777" w:rsidR="006812AF" w:rsidRPr="006812AF" w:rsidRDefault="006812AF" w:rsidP="00317A57">
            <w:pPr>
              <w:pStyle w:val="Normlndobloku"/>
            </w:pPr>
            <w:r w:rsidRPr="006812AF">
              <w:t>Menej časté</w:t>
            </w:r>
          </w:p>
        </w:tc>
        <w:tc>
          <w:tcPr>
            <w:tcW w:w="1809" w:type="dxa"/>
            <w:shd w:val="clear" w:color="auto" w:fill="auto"/>
          </w:tcPr>
          <w:p w14:paraId="1A8B4139" w14:textId="77777777" w:rsidR="006812AF" w:rsidRPr="006812AF" w:rsidRDefault="006812AF" w:rsidP="00317A57">
            <w:pPr>
              <w:pStyle w:val="Normlndobloku"/>
            </w:pPr>
            <w:r w:rsidRPr="006812AF">
              <w:t>Zriedkavé</w:t>
            </w:r>
          </w:p>
        </w:tc>
        <w:tc>
          <w:tcPr>
            <w:tcW w:w="1877" w:type="dxa"/>
          </w:tcPr>
          <w:p w14:paraId="6B51EFC9" w14:textId="77777777" w:rsidR="006812AF" w:rsidRPr="006812AF" w:rsidRDefault="006812AF" w:rsidP="00317A57">
            <w:pPr>
              <w:pStyle w:val="Normlndobloku"/>
            </w:pPr>
            <w:r w:rsidRPr="006812AF">
              <w:t>Veľmi zriedkavé</w:t>
            </w:r>
          </w:p>
        </w:tc>
        <w:tc>
          <w:tcPr>
            <w:tcW w:w="1701" w:type="dxa"/>
          </w:tcPr>
          <w:p w14:paraId="4168E82F" w14:textId="77777777" w:rsidR="006812AF" w:rsidRPr="006812AF" w:rsidRDefault="006812AF" w:rsidP="00317A57">
            <w:pPr>
              <w:pStyle w:val="Normlndobloku"/>
            </w:pPr>
            <w:r w:rsidRPr="006812AF">
              <w:t>Neznáme</w:t>
            </w:r>
          </w:p>
        </w:tc>
      </w:tr>
      <w:tr w:rsidR="006812AF" w:rsidRPr="007E585E" w14:paraId="44AB965C" w14:textId="77777777" w:rsidTr="00E3367C">
        <w:tc>
          <w:tcPr>
            <w:tcW w:w="1899" w:type="dxa"/>
            <w:shd w:val="clear" w:color="auto" w:fill="auto"/>
          </w:tcPr>
          <w:p w14:paraId="48BD4326" w14:textId="77777777" w:rsidR="006812AF" w:rsidRPr="006812AF" w:rsidRDefault="006812AF" w:rsidP="00317A57">
            <w:pPr>
              <w:pStyle w:val="Normlndobloku"/>
            </w:pPr>
            <w:r w:rsidRPr="006812AF">
              <w:t>Poruchy krvi a lymfatického systému</w:t>
            </w:r>
          </w:p>
        </w:tc>
        <w:tc>
          <w:tcPr>
            <w:tcW w:w="1044" w:type="dxa"/>
            <w:shd w:val="clear" w:color="auto" w:fill="auto"/>
          </w:tcPr>
          <w:p w14:paraId="1FC5ED70" w14:textId="77777777" w:rsidR="006812AF" w:rsidRPr="006812AF" w:rsidRDefault="006812AF" w:rsidP="00317A57">
            <w:pPr>
              <w:pStyle w:val="Normlndobloku"/>
            </w:pPr>
          </w:p>
        </w:tc>
        <w:tc>
          <w:tcPr>
            <w:tcW w:w="1276" w:type="dxa"/>
            <w:shd w:val="clear" w:color="auto" w:fill="auto"/>
          </w:tcPr>
          <w:p w14:paraId="073292FE" w14:textId="77777777" w:rsidR="006812AF" w:rsidRPr="006812AF" w:rsidRDefault="006812AF" w:rsidP="00317A57">
            <w:pPr>
              <w:pStyle w:val="Normlndobloku"/>
            </w:pPr>
          </w:p>
        </w:tc>
        <w:tc>
          <w:tcPr>
            <w:tcW w:w="1809" w:type="dxa"/>
            <w:shd w:val="clear" w:color="auto" w:fill="auto"/>
          </w:tcPr>
          <w:p w14:paraId="3A3DE1AE" w14:textId="77777777" w:rsidR="006812AF" w:rsidRPr="006812AF" w:rsidRDefault="006812AF" w:rsidP="00317A57">
            <w:pPr>
              <w:pStyle w:val="Normlndobloku"/>
            </w:pPr>
            <w:r w:rsidRPr="00E3367C">
              <w:t xml:space="preserve">pokles hemoglobínu, pokles </w:t>
            </w:r>
            <w:proofErr w:type="spellStart"/>
            <w:r w:rsidRPr="00E3367C">
              <w:t>hematokritu</w:t>
            </w:r>
            <w:proofErr w:type="spellEnd"/>
          </w:p>
        </w:tc>
        <w:tc>
          <w:tcPr>
            <w:tcW w:w="1877" w:type="dxa"/>
          </w:tcPr>
          <w:p w14:paraId="7307AE05" w14:textId="77777777" w:rsidR="006812AF" w:rsidRPr="00E3367C" w:rsidRDefault="006812AF" w:rsidP="00317A57">
            <w:pPr>
              <w:pStyle w:val="Normlndobloku"/>
            </w:pPr>
            <w:r w:rsidRPr="00E3367C">
              <w:t xml:space="preserve">depresia kostnej drene, anémia, </w:t>
            </w:r>
            <w:proofErr w:type="spellStart"/>
            <w:r w:rsidRPr="00E3367C">
              <w:t>trombocytopénia</w:t>
            </w:r>
            <w:proofErr w:type="spellEnd"/>
            <w:r w:rsidRPr="00E3367C">
              <w:t xml:space="preserve">, </w:t>
            </w:r>
            <w:proofErr w:type="spellStart"/>
            <w:r w:rsidRPr="00E3367C">
              <w:t>leukopénia</w:t>
            </w:r>
            <w:proofErr w:type="spellEnd"/>
            <w:r w:rsidRPr="00E3367C">
              <w:t xml:space="preserve">, </w:t>
            </w:r>
            <w:proofErr w:type="spellStart"/>
            <w:r w:rsidRPr="00E3367C">
              <w:t>neutropénia</w:t>
            </w:r>
            <w:proofErr w:type="spellEnd"/>
            <w:r w:rsidRPr="00E3367C">
              <w:t xml:space="preserve">, </w:t>
            </w:r>
            <w:proofErr w:type="spellStart"/>
            <w:r w:rsidRPr="00E3367C">
              <w:t>agranulocytóza</w:t>
            </w:r>
            <w:proofErr w:type="spellEnd"/>
            <w:r w:rsidRPr="00E3367C">
              <w:t xml:space="preserve"> (pozri časť 4.4), </w:t>
            </w:r>
            <w:proofErr w:type="spellStart"/>
            <w:r w:rsidRPr="00E3367C">
              <w:t>hemolytická</w:t>
            </w:r>
            <w:proofErr w:type="spellEnd"/>
            <w:r w:rsidRPr="00E3367C">
              <w:t xml:space="preserve"> anémia, </w:t>
            </w:r>
            <w:proofErr w:type="spellStart"/>
            <w:r w:rsidRPr="00E3367C">
              <w:t>lymfadenopatia</w:t>
            </w:r>
            <w:proofErr w:type="spellEnd"/>
            <w:r w:rsidRPr="00E3367C">
              <w:t xml:space="preserve">, </w:t>
            </w:r>
            <w:proofErr w:type="spellStart"/>
            <w:r w:rsidRPr="00E3367C">
              <w:t>autoimúnne</w:t>
            </w:r>
            <w:proofErr w:type="spellEnd"/>
            <w:r w:rsidRPr="00E3367C">
              <w:t xml:space="preserve"> ochorenie</w:t>
            </w:r>
          </w:p>
        </w:tc>
        <w:tc>
          <w:tcPr>
            <w:tcW w:w="1701" w:type="dxa"/>
          </w:tcPr>
          <w:p w14:paraId="08ABDF8B" w14:textId="77777777" w:rsidR="006812AF" w:rsidRPr="006812AF" w:rsidRDefault="006812AF" w:rsidP="00317A57">
            <w:pPr>
              <w:pStyle w:val="Normlndobloku"/>
            </w:pPr>
          </w:p>
        </w:tc>
      </w:tr>
      <w:tr w:rsidR="006812AF" w:rsidRPr="007E585E" w14:paraId="5AB41724" w14:textId="77777777" w:rsidTr="00E3367C">
        <w:tc>
          <w:tcPr>
            <w:tcW w:w="1899" w:type="dxa"/>
            <w:shd w:val="clear" w:color="auto" w:fill="auto"/>
          </w:tcPr>
          <w:p w14:paraId="05B4307A" w14:textId="77777777" w:rsidR="006812AF" w:rsidRPr="006812AF" w:rsidRDefault="006812AF" w:rsidP="00317A57">
            <w:pPr>
              <w:pStyle w:val="Normlndobloku"/>
            </w:pPr>
            <w:r w:rsidRPr="006812AF">
              <w:t>Poruchy endokrinného systému</w:t>
            </w:r>
          </w:p>
        </w:tc>
        <w:tc>
          <w:tcPr>
            <w:tcW w:w="1044" w:type="dxa"/>
            <w:shd w:val="clear" w:color="auto" w:fill="auto"/>
          </w:tcPr>
          <w:p w14:paraId="6CB45EC2" w14:textId="77777777" w:rsidR="006812AF" w:rsidRPr="006812AF" w:rsidRDefault="006812AF" w:rsidP="00317A57">
            <w:pPr>
              <w:pStyle w:val="Normlndobloku"/>
            </w:pPr>
          </w:p>
        </w:tc>
        <w:tc>
          <w:tcPr>
            <w:tcW w:w="1276" w:type="dxa"/>
            <w:shd w:val="clear" w:color="auto" w:fill="auto"/>
          </w:tcPr>
          <w:p w14:paraId="5EA41948" w14:textId="77777777" w:rsidR="006812AF" w:rsidRPr="006812AF" w:rsidRDefault="006812AF" w:rsidP="00317A57">
            <w:pPr>
              <w:pStyle w:val="Normlndobloku"/>
            </w:pPr>
          </w:p>
        </w:tc>
        <w:tc>
          <w:tcPr>
            <w:tcW w:w="1809" w:type="dxa"/>
            <w:shd w:val="clear" w:color="auto" w:fill="auto"/>
          </w:tcPr>
          <w:p w14:paraId="586AD312" w14:textId="77777777" w:rsidR="006812AF" w:rsidRPr="006812AF" w:rsidRDefault="006812AF" w:rsidP="00317A57">
            <w:pPr>
              <w:pStyle w:val="Normlndobloku"/>
            </w:pPr>
          </w:p>
        </w:tc>
        <w:tc>
          <w:tcPr>
            <w:tcW w:w="1877" w:type="dxa"/>
          </w:tcPr>
          <w:p w14:paraId="1530334E" w14:textId="77777777" w:rsidR="006812AF" w:rsidRPr="006812AF" w:rsidRDefault="006812AF" w:rsidP="00317A57">
            <w:pPr>
              <w:pStyle w:val="Normlndobloku"/>
            </w:pPr>
          </w:p>
        </w:tc>
        <w:tc>
          <w:tcPr>
            <w:tcW w:w="1701" w:type="dxa"/>
          </w:tcPr>
          <w:p w14:paraId="752D0209" w14:textId="77777777" w:rsidR="006812AF" w:rsidRPr="006812AF" w:rsidRDefault="006812AF" w:rsidP="00317A57">
            <w:pPr>
              <w:pStyle w:val="Normlndobloku"/>
            </w:pPr>
            <w:r w:rsidRPr="00E3367C">
              <w:t>neprim</w:t>
            </w:r>
            <w:r w:rsidRPr="006812AF">
              <w:t xml:space="preserve">eraná sekrécia </w:t>
            </w:r>
            <w:proofErr w:type="spellStart"/>
            <w:r w:rsidRPr="006812AF">
              <w:t>antidiuretického</w:t>
            </w:r>
            <w:proofErr w:type="spellEnd"/>
            <w:r w:rsidRPr="006812AF">
              <w:t xml:space="preserve"> </w:t>
            </w:r>
            <w:r w:rsidRPr="00E3367C">
              <w:t>hormónu</w:t>
            </w:r>
          </w:p>
        </w:tc>
      </w:tr>
      <w:tr w:rsidR="006812AF" w:rsidRPr="007E585E" w14:paraId="5B8486C4" w14:textId="77777777" w:rsidTr="00E3367C">
        <w:tc>
          <w:tcPr>
            <w:tcW w:w="1899" w:type="dxa"/>
            <w:shd w:val="clear" w:color="auto" w:fill="auto"/>
          </w:tcPr>
          <w:p w14:paraId="49E8B44B" w14:textId="77777777" w:rsidR="006812AF" w:rsidRPr="00E3367C" w:rsidRDefault="006812AF" w:rsidP="00317A57">
            <w:pPr>
              <w:pStyle w:val="Normlndobloku"/>
            </w:pPr>
            <w:r w:rsidRPr="006812AF">
              <w:rPr>
                <w:lang w:val="x-none"/>
              </w:rPr>
              <w:t xml:space="preserve">Poruchy </w:t>
            </w:r>
            <w:r w:rsidRPr="006812AF">
              <w:t>metabolizmu a výživy</w:t>
            </w:r>
          </w:p>
        </w:tc>
        <w:tc>
          <w:tcPr>
            <w:tcW w:w="1044" w:type="dxa"/>
            <w:shd w:val="clear" w:color="auto" w:fill="auto"/>
          </w:tcPr>
          <w:p w14:paraId="7F597084" w14:textId="77777777" w:rsidR="006812AF" w:rsidRPr="006812AF" w:rsidRDefault="006812AF" w:rsidP="00317A57">
            <w:pPr>
              <w:pStyle w:val="Normlndobloku"/>
            </w:pPr>
          </w:p>
        </w:tc>
        <w:tc>
          <w:tcPr>
            <w:tcW w:w="1276" w:type="dxa"/>
            <w:shd w:val="clear" w:color="auto" w:fill="auto"/>
          </w:tcPr>
          <w:p w14:paraId="253E7EE7" w14:textId="77777777" w:rsidR="006812AF" w:rsidRPr="006812AF" w:rsidRDefault="006812AF" w:rsidP="00317A57">
            <w:pPr>
              <w:pStyle w:val="Normlndobloku"/>
            </w:pPr>
          </w:p>
        </w:tc>
        <w:tc>
          <w:tcPr>
            <w:tcW w:w="1809" w:type="dxa"/>
            <w:shd w:val="clear" w:color="auto" w:fill="auto"/>
          </w:tcPr>
          <w:p w14:paraId="69971CA3" w14:textId="77777777" w:rsidR="006812AF" w:rsidRPr="006812AF" w:rsidRDefault="006812AF" w:rsidP="00317A57">
            <w:pPr>
              <w:pStyle w:val="Normlndobloku"/>
            </w:pPr>
          </w:p>
        </w:tc>
        <w:tc>
          <w:tcPr>
            <w:tcW w:w="1877" w:type="dxa"/>
          </w:tcPr>
          <w:p w14:paraId="6532864F" w14:textId="77777777" w:rsidR="006812AF" w:rsidRPr="006812AF" w:rsidRDefault="008349F3" w:rsidP="00317A57">
            <w:pPr>
              <w:pStyle w:val="Normlndobloku"/>
              <w:rPr>
                <w:lang w:val="x-none"/>
              </w:rPr>
            </w:pPr>
            <w:proofErr w:type="spellStart"/>
            <w:r w:rsidRPr="006812AF">
              <w:t>hypoglykémia</w:t>
            </w:r>
            <w:proofErr w:type="spellEnd"/>
          </w:p>
        </w:tc>
        <w:tc>
          <w:tcPr>
            <w:tcW w:w="1701" w:type="dxa"/>
          </w:tcPr>
          <w:p w14:paraId="5E577085" w14:textId="77777777" w:rsidR="006812AF" w:rsidRPr="00E3367C" w:rsidRDefault="006812AF" w:rsidP="00317A57">
            <w:pPr>
              <w:pStyle w:val="Normlndobloku"/>
            </w:pPr>
          </w:p>
        </w:tc>
      </w:tr>
      <w:tr w:rsidR="006812AF" w:rsidRPr="007E585E" w14:paraId="691F68E5" w14:textId="77777777" w:rsidTr="00E3367C">
        <w:tc>
          <w:tcPr>
            <w:tcW w:w="1899" w:type="dxa"/>
            <w:shd w:val="clear" w:color="auto" w:fill="auto"/>
          </w:tcPr>
          <w:p w14:paraId="0632EEFD" w14:textId="77777777" w:rsidR="006812AF" w:rsidRPr="00E3367C" w:rsidRDefault="006812AF" w:rsidP="00317A57">
            <w:pPr>
              <w:pStyle w:val="Normlndobloku"/>
            </w:pPr>
            <w:r w:rsidRPr="006812AF">
              <w:rPr>
                <w:lang w:val="x-none"/>
              </w:rPr>
              <w:t>P</w:t>
            </w:r>
            <w:r w:rsidRPr="006812AF">
              <w:t>sychické poruchy</w:t>
            </w:r>
          </w:p>
        </w:tc>
        <w:tc>
          <w:tcPr>
            <w:tcW w:w="1044" w:type="dxa"/>
            <w:shd w:val="clear" w:color="auto" w:fill="auto"/>
          </w:tcPr>
          <w:p w14:paraId="6B0714F5" w14:textId="77777777" w:rsidR="006812AF" w:rsidRPr="00E3367C" w:rsidRDefault="006812AF" w:rsidP="00317A57">
            <w:pPr>
              <w:pStyle w:val="Normlndobloku"/>
            </w:pPr>
          </w:p>
        </w:tc>
        <w:tc>
          <w:tcPr>
            <w:tcW w:w="1276" w:type="dxa"/>
            <w:shd w:val="clear" w:color="auto" w:fill="auto"/>
          </w:tcPr>
          <w:p w14:paraId="09BBEBED" w14:textId="77777777" w:rsidR="006812AF" w:rsidRPr="006812AF" w:rsidRDefault="006812AF" w:rsidP="00317A57">
            <w:pPr>
              <w:pStyle w:val="Normlndobloku"/>
              <w:rPr>
                <w:lang w:val="x-none"/>
              </w:rPr>
            </w:pPr>
            <w:r w:rsidRPr="006812AF">
              <w:t>zmeny nálady</w:t>
            </w:r>
          </w:p>
        </w:tc>
        <w:tc>
          <w:tcPr>
            <w:tcW w:w="1809" w:type="dxa"/>
            <w:shd w:val="clear" w:color="auto" w:fill="auto"/>
          </w:tcPr>
          <w:p w14:paraId="09568C63" w14:textId="77777777" w:rsidR="006812AF" w:rsidRPr="00E3367C" w:rsidRDefault="006812AF" w:rsidP="00317A57">
            <w:pPr>
              <w:pStyle w:val="Normlndobloku"/>
            </w:pPr>
            <w:r w:rsidRPr="006812AF">
              <w:t>zmätenosť</w:t>
            </w:r>
          </w:p>
        </w:tc>
        <w:tc>
          <w:tcPr>
            <w:tcW w:w="1877" w:type="dxa"/>
          </w:tcPr>
          <w:p w14:paraId="585468A9" w14:textId="77777777" w:rsidR="006812AF" w:rsidRPr="006812AF" w:rsidRDefault="006812AF" w:rsidP="00317A57">
            <w:pPr>
              <w:pStyle w:val="Normlndobloku"/>
            </w:pPr>
          </w:p>
        </w:tc>
        <w:tc>
          <w:tcPr>
            <w:tcW w:w="1701" w:type="dxa"/>
          </w:tcPr>
          <w:p w14:paraId="39400C2A" w14:textId="77777777" w:rsidR="006812AF" w:rsidRPr="00E3367C" w:rsidRDefault="006812AF" w:rsidP="00317A57">
            <w:pPr>
              <w:pStyle w:val="Normlndobloku"/>
            </w:pPr>
            <w:r w:rsidRPr="006812AF">
              <w:t>depresívne symptómy</w:t>
            </w:r>
          </w:p>
        </w:tc>
      </w:tr>
      <w:tr w:rsidR="006812AF" w:rsidRPr="007E585E" w14:paraId="74E3CFF6" w14:textId="77777777" w:rsidTr="00E3367C">
        <w:tc>
          <w:tcPr>
            <w:tcW w:w="1899" w:type="dxa"/>
            <w:shd w:val="clear" w:color="auto" w:fill="auto"/>
          </w:tcPr>
          <w:p w14:paraId="7507F786" w14:textId="77777777" w:rsidR="006812AF" w:rsidRPr="00E3367C" w:rsidRDefault="006812AF" w:rsidP="00317A57">
            <w:pPr>
              <w:pStyle w:val="Normlndobloku"/>
            </w:pPr>
            <w:r w:rsidRPr="006812AF">
              <w:rPr>
                <w:lang w:val="x-none"/>
              </w:rPr>
              <w:t xml:space="preserve">Poruchy </w:t>
            </w:r>
            <w:r w:rsidRPr="006812AF">
              <w:t>nervového systému</w:t>
            </w:r>
          </w:p>
        </w:tc>
        <w:tc>
          <w:tcPr>
            <w:tcW w:w="1044" w:type="dxa"/>
            <w:shd w:val="clear" w:color="auto" w:fill="auto"/>
          </w:tcPr>
          <w:p w14:paraId="4DAFC3D1" w14:textId="77777777" w:rsidR="006812AF" w:rsidRPr="00E3367C" w:rsidRDefault="006812AF" w:rsidP="00317A57">
            <w:pPr>
              <w:pStyle w:val="Normlndobloku"/>
            </w:pPr>
            <w:r w:rsidRPr="006812AF">
              <w:t>závraty, bolesti hlavy</w:t>
            </w:r>
          </w:p>
        </w:tc>
        <w:tc>
          <w:tcPr>
            <w:tcW w:w="1276" w:type="dxa"/>
            <w:shd w:val="clear" w:color="auto" w:fill="auto"/>
          </w:tcPr>
          <w:p w14:paraId="6AF817BE" w14:textId="77777777" w:rsidR="006812AF" w:rsidRPr="006812AF" w:rsidRDefault="006812AF" w:rsidP="00317A57">
            <w:pPr>
              <w:pStyle w:val="Normlndobloku"/>
            </w:pPr>
            <w:proofErr w:type="spellStart"/>
            <w:r w:rsidRPr="006812AF">
              <w:t>parestézie</w:t>
            </w:r>
            <w:proofErr w:type="spellEnd"/>
            <w:r w:rsidRPr="006812AF">
              <w:t xml:space="preserve">, </w:t>
            </w:r>
            <w:proofErr w:type="spellStart"/>
            <w:r w:rsidRPr="006812AF">
              <w:t>vertigo</w:t>
            </w:r>
            <w:proofErr w:type="spellEnd"/>
            <w:r w:rsidRPr="006812AF">
              <w:t>, zmena chuti, poruchy spánku, cievna mozgová príhoda</w:t>
            </w:r>
          </w:p>
        </w:tc>
        <w:tc>
          <w:tcPr>
            <w:tcW w:w="1809" w:type="dxa"/>
            <w:shd w:val="clear" w:color="auto" w:fill="auto"/>
          </w:tcPr>
          <w:p w14:paraId="4AB3C6AA" w14:textId="77777777" w:rsidR="006812AF" w:rsidRPr="00E3367C" w:rsidRDefault="006812AF" w:rsidP="00317A57">
            <w:pPr>
              <w:pStyle w:val="Normlndobloku"/>
            </w:pPr>
            <w:r w:rsidRPr="006812AF">
              <w:t>poruchy čuchu</w:t>
            </w:r>
          </w:p>
        </w:tc>
        <w:tc>
          <w:tcPr>
            <w:tcW w:w="1877" w:type="dxa"/>
          </w:tcPr>
          <w:p w14:paraId="6DD93E4C" w14:textId="77777777" w:rsidR="006812AF" w:rsidRPr="006812AF" w:rsidRDefault="006812AF" w:rsidP="00317A57">
            <w:pPr>
              <w:pStyle w:val="Normlndobloku"/>
            </w:pPr>
          </w:p>
        </w:tc>
        <w:tc>
          <w:tcPr>
            <w:tcW w:w="1701" w:type="dxa"/>
          </w:tcPr>
          <w:p w14:paraId="4237E1F2" w14:textId="77777777" w:rsidR="006812AF" w:rsidRPr="00E3367C" w:rsidRDefault="006812AF" w:rsidP="00317A57">
            <w:pPr>
              <w:pStyle w:val="Normlndobloku"/>
            </w:pPr>
            <w:r w:rsidRPr="006812AF">
              <w:t>synkopa</w:t>
            </w:r>
          </w:p>
        </w:tc>
      </w:tr>
      <w:tr w:rsidR="006812AF" w:rsidRPr="007E585E" w14:paraId="629DEF1F" w14:textId="77777777" w:rsidTr="00E3367C">
        <w:tc>
          <w:tcPr>
            <w:tcW w:w="1899" w:type="dxa"/>
            <w:shd w:val="clear" w:color="auto" w:fill="auto"/>
          </w:tcPr>
          <w:p w14:paraId="62AE0268" w14:textId="77777777" w:rsidR="006812AF" w:rsidRPr="00E3367C" w:rsidRDefault="006812AF" w:rsidP="00317A57">
            <w:pPr>
              <w:pStyle w:val="Normlndobloku"/>
            </w:pPr>
            <w:r w:rsidRPr="006812AF">
              <w:rPr>
                <w:lang w:val="x-none"/>
              </w:rPr>
              <w:t>Poruchy</w:t>
            </w:r>
            <w:r w:rsidRPr="006812AF">
              <w:t xml:space="preserve"> srdca a srdcovej činnosti</w:t>
            </w:r>
          </w:p>
        </w:tc>
        <w:tc>
          <w:tcPr>
            <w:tcW w:w="1044" w:type="dxa"/>
            <w:shd w:val="clear" w:color="auto" w:fill="auto"/>
          </w:tcPr>
          <w:p w14:paraId="489F3B4E" w14:textId="77777777" w:rsidR="006812AF" w:rsidRPr="006812AF" w:rsidRDefault="006812AF" w:rsidP="00317A57">
            <w:pPr>
              <w:pStyle w:val="Normlndobloku"/>
            </w:pPr>
          </w:p>
        </w:tc>
        <w:tc>
          <w:tcPr>
            <w:tcW w:w="1276" w:type="dxa"/>
            <w:shd w:val="clear" w:color="auto" w:fill="auto"/>
          </w:tcPr>
          <w:p w14:paraId="1FB2EBEA" w14:textId="77777777" w:rsidR="006812AF" w:rsidRPr="006812AF" w:rsidRDefault="006812AF" w:rsidP="00317A57">
            <w:pPr>
              <w:pStyle w:val="Normlndobloku"/>
            </w:pPr>
            <w:r w:rsidRPr="006812AF">
              <w:t xml:space="preserve">infarkt myokardu, alebo mozgová príhoda, pravdepodobne </w:t>
            </w:r>
            <w:r w:rsidRPr="006812AF">
              <w:lastRenderedPageBreak/>
              <w:t xml:space="preserve">sekundárne v dôsledku nadmernej hypotenzie u vysokorizikových pacientov (pozri časť 4.4), </w:t>
            </w:r>
            <w:proofErr w:type="spellStart"/>
            <w:r w:rsidRPr="006812AF">
              <w:t>palpitácie</w:t>
            </w:r>
            <w:proofErr w:type="spellEnd"/>
            <w:r w:rsidRPr="006812AF">
              <w:t xml:space="preserve">, </w:t>
            </w:r>
            <w:proofErr w:type="spellStart"/>
            <w:r w:rsidRPr="006812AF">
              <w:t>tachykardia</w:t>
            </w:r>
            <w:proofErr w:type="spellEnd"/>
          </w:p>
        </w:tc>
        <w:tc>
          <w:tcPr>
            <w:tcW w:w="1809" w:type="dxa"/>
            <w:shd w:val="clear" w:color="auto" w:fill="auto"/>
          </w:tcPr>
          <w:p w14:paraId="2E113BE9" w14:textId="77777777" w:rsidR="006812AF" w:rsidRPr="006812AF" w:rsidRDefault="006812AF" w:rsidP="00317A57">
            <w:pPr>
              <w:pStyle w:val="Normlndobloku"/>
            </w:pPr>
          </w:p>
        </w:tc>
        <w:tc>
          <w:tcPr>
            <w:tcW w:w="1877" w:type="dxa"/>
          </w:tcPr>
          <w:p w14:paraId="6634338E" w14:textId="77777777" w:rsidR="006812AF" w:rsidRPr="006812AF" w:rsidRDefault="006812AF" w:rsidP="00317A57">
            <w:pPr>
              <w:pStyle w:val="Normlndobloku"/>
            </w:pPr>
          </w:p>
        </w:tc>
        <w:tc>
          <w:tcPr>
            <w:tcW w:w="1701" w:type="dxa"/>
          </w:tcPr>
          <w:p w14:paraId="7BAACD96" w14:textId="77777777" w:rsidR="006812AF" w:rsidRPr="006812AF" w:rsidRDefault="006812AF" w:rsidP="00317A57">
            <w:pPr>
              <w:pStyle w:val="Normlndobloku"/>
            </w:pPr>
          </w:p>
        </w:tc>
      </w:tr>
      <w:tr w:rsidR="006812AF" w:rsidRPr="007E585E" w14:paraId="1D866502" w14:textId="77777777"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14:paraId="5FEB6D5F" w14:textId="77777777" w:rsidR="006812AF" w:rsidRPr="00E3367C" w:rsidRDefault="006812AF" w:rsidP="00317A57">
            <w:pPr>
              <w:pStyle w:val="Normlndobloku"/>
            </w:pPr>
            <w:r w:rsidRPr="006812AF">
              <w:lastRenderedPageBreak/>
              <w:t>Poruchy ciev</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65CFD20A" w14:textId="77777777" w:rsidR="006812AF" w:rsidRPr="00E3367C" w:rsidRDefault="006812AF" w:rsidP="00317A57">
            <w:pPr>
              <w:pStyle w:val="Normlndobloku"/>
            </w:pPr>
            <w:proofErr w:type="spellStart"/>
            <w:r w:rsidRPr="006812AF">
              <w:t>ortostatické</w:t>
            </w:r>
            <w:proofErr w:type="spellEnd"/>
            <w:r w:rsidRPr="006812AF">
              <w:t xml:space="preserve"> účinky (vrátane </w:t>
            </w:r>
            <w:proofErr w:type="spellStart"/>
            <w:r w:rsidRPr="006812AF">
              <w:t>hypoten</w:t>
            </w:r>
            <w:r w:rsidR="008349F3">
              <w:t>-</w:t>
            </w:r>
            <w:r w:rsidRPr="006812AF">
              <w:t>zie</w:t>
            </w:r>
            <w:proofErr w:type="spellEnd"/>
            <w:r w:rsidRPr="006812AF">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B9C57D" w14:textId="77777777" w:rsidR="006812AF" w:rsidRPr="006812AF" w:rsidRDefault="006812AF" w:rsidP="00317A57">
            <w:pPr>
              <w:pStyle w:val="Normlndobloku"/>
            </w:pPr>
            <w:proofErr w:type="spellStart"/>
            <w:r w:rsidRPr="006812AF">
              <w:t>Raynaudov</w:t>
            </w:r>
            <w:proofErr w:type="spellEnd"/>
            <w:r w:rsidRPr="006812AF">
              <w:t xml:space="preserve"> fenomén</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21DA2FEB" w14:textId="77777777" w:rsidR="006812AF" w:rsidRPr="006812AF" w:rsidRDefault="006812AF" w:rsidP="00317A57">
            <w:pPr>
              <w:pStyle w:val="Normlndobloku"/>
            </w:pPr>
          </w:p>
        </w:tc>
        <w:tc>
          <w:tcPr>
            <w:tcW w:w="1877" w:type="dxa"/>
            <w:tcBorders>
              <w:top w:val="single" w:sz="4" w:space="0" w:color="auto"/>
              <w:left w:val="single" w:sz="4" w:space="0" w:color="auto"/>
              <w:bottom w:val="single" w:sz="4" w:space="0" w:color="auto"/>
              <w:right w:val="single" w:sz="4" w:space="0" w:color="auto"/>
            </w:tcBorders>
          </w:tcPr>
          <w:p w14:paraId="4A6D063D" w14:textId="77777777" w:rsidR="006812AF" w:rsidRPr="006812AF" w:rsidRDefault="006812AF" w:rsidP="00317A57">
            <w:pPr>
              <w:pStyle w:val="Normlndobloku"/>
            </w:pPr>
          </w:p>
        </w:tc>
        <w:tc>
          <w:tcPr>
            <w:tcW w:w="1701" w:type="dxa"/>
            <w:tcBorders>
              <w:top w:val="single" w:sz="4" w:space="0" w:color="auto"/>
              <w:left w:val="single" w:sz="4" w:space="0" w:color="auto"/>
              <w:bottom w:val="single" w:sz="4" w:space="0" w:color="auto"/>
              <w:right w:val="single" w:sz="4" w:space="0" w:color="auto"/>
            </w:tcBorders>
          </w:tcPr>
          <w:p w14:paraId="53953105" w14:textId="77777777" w:rsidR="006812AF" w:rsidRPr="006812AF" w:rsidRDefault="006812AF" w:rsidP="00317A57">
            <w:pPr>
              <w:pStyle w:val="Normlndobloku"/>
            </w:pPr>
          </w:p>
        </w:tc>
      </w:tr>
      <w:tr w:rsidR="006812AF" w:rsidRPr="007E585E" w14:paraId="084B94E2" w14:textId="77777777"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14:paraId="47DDCF8C" w14:textId="77777777" w:rsidR="006812AF" w:rsidRPr="00E3367C" w:rsidRDefault="006812AF" w:rsidP="00317A57">
            <w:pPr>
              <w:pStyle w:val="Normlndobloku"/>
            </w:pPr>
            <w:r w:rsidRPr="006812AF">
              <w:t>Poruchy dýchacej sústavy, hrudníka a </w:t>
            </w:r>
            <w:proofErr w:type="spellStart"/>
            <w:r w:rsidRPr="006812AF">
              <w:t>mediastína</w:t>
            </w:r>
            <w:proofErr w:type="spellEnd"/>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23701530" w14:textId="77777777" w:rsidR="006812AF" w:rsidRPr="00E3367C" w:rsidRDefault="006812AF" w:rsidP="00317A57">
            <w:pPr>
              <w:pStyle w:val="Normlndobloku"/>
            </w:pPr>
            <w:r w:rsidRPr="006812AF">
              <w:t>kašeľ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E9986C" w14:textId="77777777" w:rsidR="006812AF" w:rsidRPr="006812AF" w:rsidRDefault="006812AF" w:rsidP="00317A57">
            <w:pPr>
              <w:pStyle w:val="Normlndobloku"/>
            </w:pPr>
            <w:r w:rsidRPr="006812AF">
              <w:t>nádcha</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258933BD" w14:textId="77777777" w:rsidR="006812AF" w:rsidRPr="006812AF" w:rsidRDefault="006812AF" w:rsidP="00317A57">
            <w:pPr>
              <w:pStyle w:val="Normlndobloku"/>
            </w:pPr>
          </w:p>
        </w:tc>
        <w:tc>
          <w:tcPr>
            <w:tcW w:w="1877" w:type="dxa"/>
            <w:tcBorders>
              <w:top w:val="single" w:sz="4" w:space="0" w:color="auto"/>
              <w:left w:val="single" w:sz="4" w:space="0" w:color="auto"/>
              <w:bottom w:val="single" w:sz="4" w:space="0" w:color="auto"/>
              <w:right w:val="single" w:sz="4" w:space="0" w:color="auto"/>
            </w:tcBorders>
          </w:tcPr>
          <w:p w14:paraId="1B929E99" w14:textId="77777777" w:rsidR="006812AF" w:rsidRPr="00E3367C" w:rsidRDefault="006812AF" w:rsidP="00317A57">
            <w:pPr>
              <w:pStyle w:val="Normlndobloku"/>
            </w:pPr>
            <w:proofErr w:type="spellStart"/>
            <w:r w:rsidRPr="006812AF">
              <w:t>bronchospazmus</w:t>
            </w:r>
            <w:proofErr w:type="spellEnd"/>
            <w:r w:rsidRPr="006812AF">
              <w:t xml:space="preserve">, </w:t>
            </w:r>
            <w:proofErr w:type="spellStart"/>
            <w:r w:rsidRPr="006812AF">
              <w:t>sinusitída</w:t>
            </w:r>
            <w:proofErr w:type="spellEnd"/>
            <w:r w:rsidRPr="006812AF">
              <w:t xml:space="preserve">, alergická </w:t>
            </w:r>
            <w:proofErr w:type="spellStart"/>
            <w:r w:rsidRPr="006812AF">
              <w:t>alveolit</w:t>
            </w:r>
            <w:r w:rsidR="008349F3">
              <w:t>ída</w:t>
            </w:r>
            <w:proofErr w:type="spellEnd"/>
            <w:r w:rsidRPr="006812AF">
              <w:t>/</w:t>
            </w:r>
            <w:proofErr w:type="spellStart"/>
            <w:r w:rsidRPr="006812AF">
              <w:t>eo</w:t>
            </w:r>
            <w:r w:rsidR="008349F3">
              <w:t>z</w:t>
            </w:r>
            <w:r w:rsidRPr="006812AF">
              <w:t>ino</w:t>
            </w:r>
            <w:r w:rsidR="008349F3">
              <w:t>-</w:t>
            </w:r>
            <w:r w:rsidRPr="006812AF">
              <w:t>filná</w:t>
            </w:r>
            <w:proofErr w:type="spellEnd"/>
            <w:r w:rsidRPr="006812AF">
              <w:t xml:space="preserve"> pneumónia</w:t>
            </w:r>
          </w:p>
        </w:tc>
        <w:tc>
          <w:tcPr>
            <w:tcW w:w="1701" w:type="dxa"/>
            <w:tcBorders>
              <w:top w:val="single" w:sz="4" w:space="0" w:color="auto"/>
              <w:left w:val="single" w:sz="4" w:space="0" w:color="auto"/>
              <w:bottom w:val="single" w:sz="4" w:space="0" w:color="auto"/>
              <w:right w:val="single" w:sz="4" w:space="0" w:color="auto"/>
            </w:tcBorders>
          </w:tcPr>
          <w:p w14:paraId="62DB0B41" w14:textId="77777777" w:rsidR="006812AF" w:rsidRPr="006812AF" w:rsidRDefault="006812AF" w:rsidP="00317A57">
            <w:pPr>
              <w:pStyle w:val="Normlndobloku"/>
            </w:pPr>
          </w:p>
        </w:tc>
      </w:tr>
      <w:tr w:rsidR="006812AF" w:rsidRPr="007E585E" w14:paraId="0148218A" w14:textId="77777777"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14:paraId="569B5487" w14:textId="77777777" w:rsidR="006812AF" w:rsidRPr="00E3367C" w:rsidRDefault="006812AF" w:rsidP="00317A57">
            <w:pPr>
              <w:pStyle w:val="Normlndobloku"/>
            </w:pPr>
            <w:r w:rsidRPr="006812AF">
              <w:t xml:space="preserve">Poruchy </w:t>
            </w:r>
            <w:proofErr w:type="spellStart"/>
            <w:r w:rsidRPr="006812AF">
              <w:t>gastrointestinálne</w:t>
            </w:r>
            <w:r w:rsidR="008349F3">
              <w:t>-</w:t>
            </w:r>
            <w:r w:rsidRPr="006812AF">
              <w:t>ho</w:t>
            </w:r>
            <w:proofErr w:type="spellEnd"/>
            <w:r w:rsidRPr="006812AF">
              <w:t xml:space="preserve"> traktu</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2006A240" w14:textId="77777777" w:rsidR="006812AF" w:rsidRPr="00E3367C" w:rsidRDefault="006812AF" w:rsidP="00317A57">
            <w:pPr>
              <w:pStyle w:val="Normlndobloku"/>
            </w:pPr>
            <w:r w:rsidRPr="006812AF">
              <w:t>hnačky, vracanie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8B379C" w14:textId="77777777" w:rsidR="006812AF" w:rsidRPr="006812AF" w:rsidRDefault="006812AF" w:rsidP="00317A57">
            <w:pPr>
              <w:pStyle w:val="Normlndobloku"/>
              <w:rPr>
                <w:lang w:val="cs-CZ"/>
              </w:rPr>
            </w:pPr>
            <w:proofErr w:type="spellStart"/>
            <w:r w:rsidRPr="006812AF">
              <w:t>nauzea</w:t>
            </w:r>
            <w:proofErr w:type="spellEnd"/>
            <w:r w:rsidRPr="006812AF">
              <w:t>, bolesti brucha</w:t>
            </w:r>
            <w:r w:rsidR="008349F3">
              <w:t>,</w:t>
            </w:r>
            <w:r w:rsidRPr="006812AF">
              <w:t xml:space="preserve"> ťažkosti s trávením</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2CE124A7" w14:textId="77777777" w:rsidR="006812AF" w:rsidRPr="00E3367C" w:rsidRDefault="006812AF" w:rsidP="00317A57">
            <w:pPr>
              <w:pStyle w:val="Normlndobloku"/>
            </w:pPr>
            <w:r w:rsidRPr="006812AF">
              <w:t>sucho v ústach</w:t>
            </w:r>
          </w:p>
        </w:tc>
        <w:tc>
          <w:tcPr>
            <w:tcW w:w="1877" w:type="dxa"/>
            <w:tcBorders>
              <w:top w:val="single" w:sz="4" w:space="0" w:color="auto"/>
              <w:left w:val="single" w:sz="4" w:space="0" w:color="auto"/>
              <w:bottom w:val="single" w:sz="4" w:space="0" w:color="auto"/>
              <w:right w:val="single" w:sz="4" w:space="0" w:color="auto"/>
            </w:tcBorders>
          </w:tcPr>
          <w:p w14:paraId="5447F15C" w14:textId="77777777" w:rsidR="006812AF" w:rsidRPr="006812AF" w:rsidRDefault="006812AF" w:rsidP="00317A57">
            <w:pPr>
              <w:pStyle w:val="Normlndobloku"/>
            </w:pPr>
            <w:proofErr w:type="spellStart"/>
            <w:r w:rsidRPr="006812AF">
              <w:t>pankreatitída</w:t>
            </w:r>
            <w:proofErr w:type="spellEnd"/>
            <w:r w:rsidRPr="006812AF">
              <w:t xml:space="preserve">, </w:t>
            </w:r>
            <w:proofErr w:type="spellStart"/>
            <w:r w:rsidRPr="006812AF">
              <w:t>intestinálny</w:t>
            </w:r>
            <w:proofErr w:type="spellEnd"/>
            <w:r w:rsidRPr="006812AF">
              <w:t xml:space="preserve"> </w:t>
            </w:r>
            <w:proofErr w:type="spellStart"/>
            <w:r w:rsidRPr="006812AF">
              <w:t>angioedém</w:t>
            </w:r>
            <w:proofErr w:type="spellEnd"/>
            <w:r w:rsidRPr="006812AF">
              <w:t xml:space="preserve">, hepatitída – </w:t>
            </w:r>
            <w:proofErr w:type="spellStart"/>
            <w:r w:rsidRPr="006812AF">
              <w:t>hepatocelulárna</w:t>
            </w:r>
            <w:proofErr w:type="spellEnd"/>
            <w:r w:rsidRPr="006812AF">
              <w:t xml:space="preserve"> alebo </w:t>
            </w:r>
            <w:proofErr w:type="spellStart"/>
            <w:r w:rsidRPr="006812AF">
              <w:t>cholestatická</w:t>
            </w:r>
            <w:proofErr w:type="spellEnd"/>
            <w:r w:rsidRPr="006812AF">
              <w:t>, žltačka a zlyhanie pečene (pozri časť 4.4)</w:t>
            </w:r>
          </w:p>
        </w:tc>
        <w:tc>
          <w:tcPr>
            <w:tcW w:w="1701" w:type="dxa"/>
            <w:tcBorders>
              <w:top w:val="single" w:sz="4" w:space="0" w:color="auto"/>
              <w:left w:val="single" w:sz="4" w:space="0" w:color="auto"/>
              <w:bottom w:val="single" w:sz="4" w:space="0" w:color="auto"/>
              <w:right w:val="single" w:sz="4" w:space="0" w:color="auto"/>
            </w:tcBorders>
          </w:tcPr>
          <w:p w14:paraId="67033654" w14:textId="77777777" w:rsidR="006812AF" w:rsidRPr="006812AF" w:rsidRDefault="006812AF" w:rsidP="00317A57">
            <w:pPr>
              <w:pStyle w:val="Normlndobloku"/>
            </w:pPr>
          </w:p>
        </w:tc>
      </w:tr>
      <w:tr w:rsidR="006812AF" w:rsidRPr="007E585E" w14:paraId="272FB073" w14:textId="77777777"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14:paraId="473B699F" w14:textId="77777777" w:rsidR="006812AF" w:rsidRPr="00E3367C" w:rsidRDefault="006812AF" w:rsidP="00317A57">
            <w:pPr>
              <w:pStyle w:val="Normlndobloku"/>
            </w:pPr>
            <w:r w:rsidRPr="006812AF">
              <w:t>Poruchy kože a podkožného tkaniva</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4D4FE555" w14:textId="77777777" w:rsidR="006812AF" w:rsidRPr="006812AF" w:rsidRDefault="006812AF" w:rsidP="00317A57">
            <w:pPr>
              <w:pStyle w:val="Normlndobloku"/>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1DDAC1" w14:textId="77777777" w:rsidR="006812AF" w:rsidRPr="006812AF" w:rsidRDefault="006812AF" w:rsidP="00317A57">
            <w:pPr>
              <w:pStyle w:val="Normlndobloku"/>
            </w:pPr>
            <w:r w:rsidRPr="006812AF">
              <w:t xml:space="preserve">vyrážka, </w:t>
            </w:r>
            <w:proofErr w:type="spellStart"/>
            <w:r w:rsidRPr="006812AF">
              <w:t>pruritus</w:t>
            </w:r>
            <w:proofErr w:type="spellEnd"/>
            <w:r w:rsidRPr="006812AF">
              <w:t xml:space="preserve">, </w:t>
            </w:r>
            <w:proofErr w:type="spellStart"/>
            <w:r w:rsidRPr="006812AF">
              <w:t>precitlive</w:t>
            </w:r>
            <w:r w:rsidR="008349F3">
              <w:t>-</w:t>
            </w:r>
            <w:r w:rsidRPr="006812AF">
              <w:t>nosť</w:t>
            </w:r>
            <w:proofErr w:type="spellEnd"/>
            <w:r w:rsidRPr="006812AF">
              <w:t>/</w:t>
            </w:r>
            <w:proofErr w:type="spellStart"/>
            <w:r w:rsidRPr="006812AF">
              <w:t>angio</w:t>
            </w:r>
            <w:r w:rsidR="008349F3">
              <w:t>-</w:t>
            </w:r>
            <w:r w:rsidRPr="006812AF">
              <w:t>neurotický</w:t>
            </w:r>
            <w:proofErr w:type="spellEnd"/>
            <w:r w:rsidRPr="006812AF">
              <w:t xml:space="preserve"> edém: </w:t>
            </w:r>
            <w:proofErr w:type="spellStart"/>
            <w:r w:rsidRPr="006812AF">
              <w:t>angioneu</w:t>
            </w:r>
            <w:r w:rsidR="008349F3">
              <w:t>-</w:t>
            </w:r>
            <w:r w:rsidRPr="006812AF">
              <w:t>rotický</w:t>
            </w:r>
            <w:proofErr w:type="spellEnd"/>
            <w:r w:rsidRPr="006812AF">
              <w:t xml:space="preserve"> edém tváre, končatín, pier, jazyka, hlasiviek a/alebo hrtana (pozri časť 4.4)</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4D5DCEAB" w14:textId="77777777" w:rsidR="006812AF" w:rsidRPr="006812AF" w:rsidRDefault="006812AF" w:rsidP="00317A57">
            <w:pPr>
              <w:pStyle w:val="Normlndobloku"/>
            </w:pPr>
            <w:proofErr w:type="spellStart"/>
            <w:r w:rsidRPr="006812AF">
              <w:t>urtikária</w:t>
            </w:r>
            <w:proofErr w:type="spellEnd"/>
            <w:r w:rsidRPr="006812AF">
              <w:t xml:space="preserve">, </w:t>
            </w:r>
            <w:proofErr w:type="spellStart"/>
            <w:r w:rsidRPr="006812AF">
              <w:t>alopécia</w:t>
            </w:r>
            <w:proofErr w:type="spellEnd"/>
            <w:r w:rsidRPr="006812AF">
              <w:t>, psoriáza</w:t>
            </w:r>
          </w:p>
          <w:p w14:paraId="22CE4493" w14:textId="77777777" w:rsidR="006812AF" w:rsidRPr="00E3367C" w:rsidRDefault="006812AF" w:rsidP="00317A57">
            <w:pPr>
              <w:pStyle w:val="Normlndobloku"/>
            </w:pPr>
          </w:p>
        </w:tc>
        <w:tc>
          <w:tcPr>
            <w:tcW w:w="1877" w:type="dxa"/>
            <w:tcBorders>
              <w:top w:val="single" w:sz="4" w:space="0" w:color="auto"/>
              <w:left w:val="single" w:sz="4" w:space="0" w:color="auto"/>
              <w:bottom w:val="single" w:sz="4" w:space="0" w:color="auto"/>
              <w:right w:val="single" w:sz="4" w:space="0" w:color="auto"/>
            </w:tcBorders>
          </w:tcPr>
          <w:p w14:paraId="5E2975B2" w14:textId="77777777" w:rsidR="006812AF" w:rsidRPr="006812AF" w:rsidRDefault="006812AF" w:rsidP="00317A57">
            <w:pPr>
              <w:pStyle w:val="Normlndobloku"/>
            </w:pPr>
            <w:r w:rsidRPr="006812AF">
              <w:t xml:space="preserve">potenie, </w:t>
            </w:r>
            <w:proofErr w:type="spellStart"/>
            <w:r w:rsidRPr="006812AF">
              <w:t>pemfigus</w:t>
            </w:r>
            <w:proofErr w:type="spellEnd"/>
            <w:r w:rsidRPr="006812AF">
              <w:t xml:space="preserve">, toxická </w:t>
            </w:r>
            <w:proofErr w:type="spellStart"/>
            <w:r w:rsidRPr="006812AF">
              <w:t>epidermálna</w:t>
            </w:r>
            <w:proofErr w:type="spellEnd"/>
            <w:r w:rsidRPr="006812AF">
              <w:t xml:space="preserve"> </w:t>
            </w:r>
            <w:proofErr w:type="spellStart"/>
            <w:r w:rsidRPr="006812AF">
              <w:t>nekrolýza</w:t>
            </w:r>
            <w:proofErr w:type="spellEnd"/>
            <w:r w:rsidRPr="006812AF">
              <w:t xml:space="preserve">, </w:t>
            </w:r>
            <w:proofErr w:type="spellStart"/>
            <w:r w:rsidRPr="006812AF">
              <w:t>Stevensov-Johnsonov</w:t>
            </w:r>
            <w:proofErr w:type="spellEnd"/>
            <w:r w:rsidRPr="006812AF">
              <w:t xml:space="preserve"> syndróm, </w:t>
            </w:r>
            <w:proofErr w:type="spellStart"/>
            <w:r w:rsidRPr="006812AF">
              <w:t>multiformný</w:t>
            </w:r>
            <w:proofErr w:type="spellEnd"/>
            <w:r w:rsidRPr="006812AF">
              <w:t xml:space="preserve"> </w:t>
            </w:r>
            <w:proofErr w:type="spellStart"/>
            <w:r w:rsidRPr="006812AF">
              <w:t>erytém</w:t>
            </w:r>
            <w:proofErr w:type="spellEnd"/>
            <w:r w:rsidRPr="006812AF">
              <w:t xml:space="preserve">, kožný </w:t>
            </w:r>
            <w:proofErr w:type="spellStart"/>
            <w:r w:rsidRPr="006812AF">
              <w:t>pseudolymfóm</w:t>
            </w:r>
            <w:proofErr w:type="spellEnd"/>
          </w:p>
          <w:p w14:paraId="779513A3" w14:textId="77777777" w:rsidR="006812AF" w:rsidRPr="00E3367C" w:rsidRDefault="006812AF" w:rsidP="00317A57">
            <w:pPr>
              <w:pStyle w:val="Normlndobloku"/>
            </w:pPr>
          </w:p>
        </w:tc>
        <w:tc>
          <w:tcPr>
            <w:tcW w:w="1701" w:type="dxa"/>
            <w:tcBorders>
              <w:top w:val="single" w:sz="4" w:space="0" w:color="auto"/>
              <w:left w:val="single" w:sz="4" w:space="0" w:color="auto"/>
              <w:bottom w:val="single" w:sz="4" w:space="0" w:color="auto"/>
              <w:right w:val="single" w:sz="4" w:space="0" w:color="auto"/>
            </w:tcBorders>
          </w:tcPr>
          <w:p w14:paraId="2D1F5C96" w14:textId="77777777" w:rsidR="006812AF" w:rsidRPr="006812AF" w:rsidRDefault="006812AF" w:rsidP="00317A57">
            <w:pPr>
              <w:pStyle w:val="Normlndobloku"/>
            </w:pPr>
          </w:p>
        </w:tc>
      </w:tr>
      <w:tr w:rsidR="006812AF" w:rsidRPr="007E585E" w14:paraId="725AD332" w14:textId="77777777"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14:paraId="6B90E9F7" w14:textId="77777777" w:rsidR="006812AF" w:rsidRPr="00E3367C" w:rsidRDefault="006812AF" w:rsidP="00317A57">
            <w:pPr>
              <w:pStyle w:val="Normlndobloku"/>
            </w:pPr>
            <w:r w:rsidRPr="006812AF">
              <w:t>Poruchy obličiek a močových ciest</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316C9FCB" w14:textId="77777777" w:rsidR="006812AF" w:rsidRPr="00E3367C" w:rsidRDefault="006812AF" w:rsidP="00317A57">
            <w:pPr>
              <w:pStyle w:val="Normlndobloku"/>
            </w:pPr>
            <w:r w:rsidRPr="006812AF">
              <w:t>porucha funkcie obličiek</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3AFA5A" w14:textId="77777777" w:rsidR="006812AF" w:rsidRPr="006812AF" w:rsidRDefault="006812AF" w:rsidP="00317A57">
            <w:pPr>
              <w:pStyle w:val="Normlndobloku"/>
            </w:pP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04A30CBD" w14:textId="77777777" w:rsidR="006812AF" w:rsidRPr="00E3367C" w:rsidRDefault="006812AF" w:rsidP="00317A57">
            <w:pPr>
              <w:pStyle w:val="Normlndobloku"/>
            </w:pPr>
            <w:r w:rsidRPr="006812AF">
              <w:t xml:space="preserve">urémia, akútne </w:t>
            </w:r>
            <w:proofErr w:type="spellStart"/>
            <w:r w:rsidRPr="006812AF">
              <w:t>renálne</w:t>
            </w:r>
            <w:proofErr w:type="spellEnd"/>
            <w:r w:rsidRPr="006812AF">
              <w:t xml:space="preserve"> zlyhanie</w:t>
            </w:r>
          </w:p>
        </w:tc>
        <w:tc>
          <w:tcPr>
            <w:tcW w:w="1877" w:type="dxa"/>
            <w:tcBorders>
              <w:top w:val="single" w:sz="4" w:space="0" w:color="auto"/>
              <w:left w:val="single" w:sz="4" w:space="0" w:color="auto"/>
              <w:bottom w:val="single" w:sz="4" w:space="0" w:color="auto"/>
              <w:right w:val="single" w:sz="4" w:space="0" w:color="auto"/>
            </w:tcBorders>
          </w:tcPr>
          <w:p w14:paraId="7E2C716B" w14:textId="77777777" w:rsidR="006812AF" w:rsidRPr="00E3367C" w:rsidRDefault="006812AF" w:rsidP="00317A57">
            <w:pPr>
              <w:pStyle w:val="Normlndobloku"/>
            </w:pPr>
            <w:proofErr w:type="spellStart"/>
            <w:r w:rsidRPr="006812AF">
              <w:t>oligúria</w:t>
            </w:r>
            <w:proofErr w:type="spellEnd"/>
            <w:r w:rsidRPr="006812AF">
              <w:t>/</w:t>
            </w:r>
            <w:proofErr w:type="spellStart"/>
            <w:r w:rsidRPr="006812AF">
              <w:t>anúria</w:t>
            </w:r>
            <w:proofErr w:type="spellEnd"/>
          </w:p>
        </w:tc>
        <w:tc>
          <w:tcPr>
            <w:tcW w:w="1701" w:type="dxa"/>
            <w:tcBorders>
              <w:top w:val="single" w:sz="4" w:space="0" w:color="auto"/>
              <w:left w:val="single" w:sz="4" w:space="0" w:color="auto"/>
              <w:bottom w:val="single" w:sz="4" w:space="0" w:color="auto"/>
              <w:right w:val="single" w:sz="4" w:space="0" w:color="auto"/>
            </w:tcBorders>
          </w:tcPr>
          <w:p w14:paraId="0A081002" w14:textId="77777777" w:rsidR="006812AF" w:rsidRPr="006812AF" w:rsidRDefault="006812AF" w:rsidP="00317A57">
            <w:pPr>
              <w:pStyle w:val="Normlndobloku"/>
            </w:pPr>
          </w:p>
        </w:tc>
      </w:tr>
      <w:tr w:rsidR="006812AF" w:rsidRPr="007E585E" w14:paraId="7AE2D87B" w14:textId="77777777"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14:paraId="21652764" w14:textId="77777777" w:rsidR="006812AF" w:rsidRPr="00E3367C" w:rsidRDefault="006812AF" w:rsidP="00317A57">
            <w:pPr>
              <w:pStyle w:val="Normlndobloku"/>
            </w:pPr>
            <w:r w:rsidRPr="006812AF">
              <w:lastRenderedPageBreak/>
              <w:t>Poruchy reprodukčného systému a prsníkov</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40A4F57B" w14:textId="77777777" w:rsidR="006812AF" w:rsidRPr="006812AF" w:rsidRDefault="006812AF" w:rsidP="00317A57">
            <w:pPr>
              <w:pStyle w:val="Normlndobloku"/>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6A3479" w14:textId="77777777" w:rsidR="006812AF" w:rsidRPr="006812AF" w:rsidRDefault="006812AF" w:rsidP="00317A57">
            <w:pPr>
              <w:pStyle w:val="Normlndobloku"/>
            </w:pPr>
            <w:r w:rsidRPr="006812AF">
              <w:t>impotencia</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6C6BAFB1" w14:textId="77777777" w:rsidR="006812AF" w:rsidRPr="00E3367C" w:rsidRDefault="006812AF" w:rsidP="00317A57">
            <w:pPr>
              <w:pStyle w:val="Normlndobloku"/>
            </w:pPr>
            <w:proofErr w:type="spellStart"/>
            <w:r w:rsidRPr="006812AF">
              <w:t>gynekomastia</w:t>
            </w:r>
            <w:proofErr w:type="spellEnd"/>
          </w:p>
        </w:tc>
        <w:tc>
          <w:tcPr>
            <w:tcW w:w="1877" w:type="dxa"/>
            <w:tcBorders>
              <w:top w:val="single" w:sz="4" w:space="0" w:color="auto"/>
              <w:left w:val="single" w:sz="4" w:space="0" w:color="auto"/>
              <w:bottom w:val="single" w:sz="4" w:space="0" w:color="auto"/>
              <w:right w:val="single" w:sz="4" w:space="0" w:color="auto"/>
            </w:tcBorders>
          </w:tcPr>
          <w:p w14:paraId="7A3FF9CE" w14:textId="77777777" w:rsidR="006812AF" w:rsidRPr="006812AF" w:rsidRDefault="006812AF" w:rsidP="00317A57">
            <w:pPr>
              <w:pStyle w:val="Normlndobloku"/>
            </w:pPr>
          </w:p>
        </w:tc>
        <w:tc>
          <w:tcPr>
            <w:tcW w:w="1701" w:type="dxa"/>
            <w:tcBorders>
              <w:top w:val="single" w:sz="4" w:space="0" w:color="auto"/>
              <w:left w:val="single" w:sz="4" w:space="0" w:color="auto"/>
              <w:bottom w:val="single" w:sz="4" w:space="0" w:color="auto"/>
              <w:right w:val="single" w:sz="4" w:space="0" w:color="auto"/>
            </w:tcBorders>
          </w:tcPr>
          <w:p w14:paraId="035F523E" w14:textId="77777777" w:rsidR="006812AF" w:rsidRPr="006812AF" w:rsidRDefault="006812AF" w:rsidP="00317A57">
            <w:pPr>
              <w:pStyle w:val="Normlndobloku"/>
            </w:pPr>
          </w:p>
        </w:tc>
      </w:tr>
      <w:tr w:rsidR="006812AF" w:rsidRPr="007E585E" w14:paraId="03288DAD" w14:textId="77777777"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14:paraId="6B97DD38" w14:textId="77777777" w:rsidR="006812AF" w:rsidRPr="006812AF" w:rsidRDefault="006812AF" w:rsidP="00317A57">
            <w:pPr>
              <w:pStyle w:val="Normlndobloku"/>
            </w:pPr>
            <w:r w:rsidRPr="006812AF">
              <w:t>Celkové poruchy a reakcie v mieste podania</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3C0E94F8" w14:textId="77777777" w:rsidR="006812AF" w:rsidRPr="006812AF" w:rsidRDefault="006812AF" w:rsidP="00317A57">
            <w:pPr>
              <w:pStyle w:val="Normlndobloku"/>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75D007" w14:textId="77777777" w:rsidR="006812AF" w:rsidRPr="006812AF" w:rsidRDefault="006812AF" w:rsidP="00317A57">
            <w:pPr>
              <w:pStyle w:val="Normlndobloku"/>
            </w:pPr>
            <w:r w:rsidRPr="006812AF">
              <w:t>únava, asténia</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40BA5F87" w14:textId="77777777" w:rsidR="006812AF" w:rsidRPr="006812AF" w:rsidRDefault="006812AF" w:rsidP="00317A57">
            <w:pPr>
              <w:pStyle w:val="Normlndobloku"/>
            </w:pPr>
          </w:p>
        </w:tc>
        <w:tc>
          <w:tcPr>
            <w:tcW w:w="1877" w:type="dxa"/>
            <w:tcBorders>
              <w:top w:val="single" w:sz="4" w:space="0" w:color="auto"/>
              <w:left w:val="single" w:sz="4" w:space="0" w:color="auto"/>
              <w:bottom w:val="single" w:sz="4" w:space="0" w:color="auto"/>
              <w:right w:val="single" w:sz="4" w:space="0" w:color="auto"/>
            </w:tcBorders>
          </w:tcPr>
          <w:p w14:paraId="48EFA6B8" w14:textId="77777777" w:rsidR="006812AF" w:rsidRPr="006812AF" w:rsidRDefault="006812AF" w:rsidP="00317A57">
            <w:pPr>
              <w:pStyle w:val="Normlndobloku"/>
            </w:pPr>
          </w:p>
        </w:tc>
        <w:tc>
          <w:tcPr>
            <w:tcW w:w="1701" w:type="dxa"/>
            <w:tcBorders>
              <w:top w:val="single" w:sz="4" w:space="0" w:color="auto"/>
              <w:left w:val="single" w:sz="4" w:space="0" w:color="auto"/>
              <w:bottom w:val="single" w:sz="4" w:space="0" w:color="auto"/>
              <w:right w:val="single" w:sz="4" w:space="0" w:color="auto"/>
            </w:tcBorders>
          </w:tcPr>
          <w:p w14:paraId="2CDBB12B" w14:textId="77777777" w:rsidR="006812AF" w:rsidRPr="006812AF" w:rsidRDefault="006812AF" w:rsidP="00317A57">
            <w:pPr>
              <w:pStyle w:val="Normlndobloku"/>
            </w:pPr>
          </w:p>
        </w:tc>
      </w:tr>
      <w:tr w:rsidR="006812AF" w:rsidRPr="007E585E" w14:paraId="5AEEEE38" w14:textId="77777777" w:rsidTr="00DF23CD">
        <w:tc>
          <w:tcPr>
            <w:tcW w:w="1899" w:type="dxa"/>
            <w:tcBorders>
              <w:top w:val="single" w:sz="4" w:space="0" w:color="auto"/>
              <w:left w:val="single" w:sz="4" w:space="0" w:color="auto"/>
              <w:bottom w:val="single" w:sz="4" w:space="0" w:color="auto"/>
              <w:right w:val="single" w:sz="4" w:space="0" w:color="auto"/>
            </w:tcBorders>
            <w:shd w:val="clear" w:color="auto" w:fill="auto"/>
          </w:tcPr>
          <w:p w14:paraId="45CFCB29" w14:textId="77777777" w:rsidR="006812AF" w:rsidRPr="006812AF" w:rsidRDefault="006812AF" w:rsidP="00317A57">
            <w:pPr>
              <w:pStyle w:val="Normlndobloku"/>
            </w:pPr>
            <w:r w:rsidRPr="006812AF">
              <w:t>Laboratórne a funkčné vyšetrenia</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4FB1CF45" w14:textId="77777777" w:rsidR="006812AF" w:rsidRPr="006812AF" w:rsidRDefault="006812AF" w:rsidP="00317A57">
            <w:pPr>
              <w:pStyle w:val="Normlndobloku"/>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695FB5" w14:textId="77777777" w:rsidR="006812AF" w:rsidRPr="006812AF" w:rsidRDefault="006812AF" w:rsidP="00317A57">
            <w:pPr>
              <w:pStyle w:val="Normlndobloku"/>
            </w:pPr>
            <w:r w:rsidRPr="006812AF">
              <w:t xml:space="preserve">zvýšenie sérovej </w:t>
            </w:r>
            <w:proofErr w:type="spellStart"/>
            <w:r w:rsidRPr="006812AF">
              <w:t>urey</w:t>
            </w:r>
            <w:proofErr w:type="spellEnd"/>
            <w:r w:rsidRPr="006812AF">
              <w:t xml:space="preserve"> a sérového </w:t>
            </w:r>
            <w:proofErr w:type="spellStart"/>
            <w:r w:rsidRPr="006812AF">
              <w:t>kreatinínu</w:t>
            </w:r>
            <w:proofErr w:type="spellEnd"/>
            <w:r w:rsidRPr="006812AF">
              <w:t xml:space="preserve">, zvýšenie hodnôt </w:t>
            </w:r>
            <w:proofErr w:type="spellStart"/>
            <w:r w:rsidRPr="006812AF">
              <w:t>hepatál</w:t>
            </w:r>
            <w:r w:rsidR="008349F3">
              <w:t>-</w:t>
            </w:r>
            <w:r w:rsidRPr="006812AF">
              <w:t>nych</w:t>
            </w:r>
            <w:proofErr w:type="spellEnd"/>
            <w:r w:rsidRPr="006812AF">
              <w:t xml:space="preserve"> enzýmov, </w:t>
            </w:r>
            <w:proofErr w:type="spellStart"/>
            <w:r w:rsidRPr="006812AF">
              <w:t>hyperka</w:t>
            </w:r>
            <w:r w:rsidR="008349F3">
              <w:t>-</w:t>
            </w:r>
            <w:r w:rsidRPr="006812AF">
              <w:t>liémia</w:t>
            </w:r>
            <w:proofErr w:type="spellEnd"/>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2C899432" w14:textId="77777777" w:rsidR="006812AF" w:rsidRPr="006812AF" w:rsidRDefault="006812AF" w:rsidP="00317A57">
            <w:pPr>
              <w:pStyle w:val="Normlndobloku"/>
            </w:pPr>
            <w:r w:rsidRPr="006812AF">
              <w:t xml:space="preserve">zvýšené hodnoty sérového </w:t>
            </w:r>
            <w:proofErr w:type="spellStart"/>
            <w:r w:rsidRPr="006812AF">
              <w:t>bilirubínu</w:t>
            </w:r>
            <w:proofErr w:type="spellEnd"/>
            <w:r w:rsidRPr="006812AF">
              <w:t xml:space="preserve">, </w:t>
            </w:r>
            <w:proofErr w:type="spellStart"/>
            <w:r w:rsidRPr="006812AF">
              <w:t>hyponatriémia</w:t>
            </w:r>
            <w:proofErr w:type="spellEnd"/>
          </w:p>
        </w:tc>
        <w:tc>
          <w:tcPr>
            <w:tcW w:w="1877" w:type="dxa"/>
            <w:tcBorders>
              <w:top w:val="single" w:sz="4" w:space="0" w:color="auto"/>
              <w:left w:val="single" w:sz="4" w:space="0" w:color="auto"/>
              <w:bottom w:val="single" w:sz="4" w:space="0" w:color="auto"/>
              <w:right w:val="single" w:sz="4" w:space="0" w:color="auto"/>
            </w:tcBorders>
          </w:tcPr>
          <w:p w14:paraId="35071C4E" w14:textId="77777777" w:rsidR="006812AF" w:rsidRPr="006812AF" w:rsidRDefault="006812AF" w:rsidP="00317A57">
            <w:pPr>
              <w:pStyle w:val="Normlndobloku"/>
            </w:pPr>
          </w:p>
        </w:tc>
        <w:tc>
          <w:tcPr>
            <w:tcW w:w="1701" w:type="dxa"/>
            <w:tcBorders>
              <w:top w:val="single" w:sz="4" w:space="0" w:color="auto"/>
              <w:left w:val="single" w:sz="4" w:space="0" w:color="auto"/>
              <w:bottom w:val="single" w:sz="4" w:space="0" w:color="auto"/>
              <w:right w:val="single" w:sz="4" w:space="0" w:color="auto"/>
            </w:tcBorders>
          </w:tcPr>
          <w:p w14:paraId="6CD5A384" w14:textId="77777777" w:rsidR="006812AF" w:rsidRPr="006812AF" w:rsidRDefault="006812AF" w:rsidP="00317A57">
            <w:pPr>
              <w:pStyle w:val="Normlndobloku"/>
            </w:pPr>
          </w:p>
        </w:tc>
      </w:tr>
    </w:tbl>
    <w:p w14:paraId="1B35D082" w14:textId="77777777" w:rsidR="006812AF" w:rsidRPr="007466D1" w:rsidRDefault="006812AF" w:rsidP="00317A57">
      <w:pPr>
        <w:pStyle w:val="Normlndobloku"/>
      </w:pPr>
    </w:p>
    <w:p w14:paraId="7A8CCFDC" w14:textId="77777777" w:rsidR="00C073A3" w:rsidRPr="007466D1" w:rsidRDefault="00F75BDF" w:rsidP="00317A57">
      <w:pPr>
        <w:pStyle w:val="Normlndobloku"/>
      </w:pPr>
      <w:r w:rsidRPr="007466D1">
        <w:t xml:space="preserve">Zaznamenal sa komplex príznakov, ktorý môže zahŕňať jeden alebo viacero z týchto príznakov: horúčka, </w:t>
      </w:r>
      <w:proofErr w:type="spellStart"/>
      <w:r w:rsidRPr="007466D1">
        <w:t>vaskulitída</w:t>
      </w:r>
      <w:proofErr w:type="spellEnd"/>
      <w:r w:rsidRPr="007466D1">
        <w:t xml:space="preserve">, </w:t>
      </w:r>
      <w:proofErr w:type="spellStart"/>
      <w:r w:rsidRPr="007466D1">
        <w:t>myalgia</w:t>
      </w:r>
      <w:proofErr w:type="spellEnd"/>
      <w:r w:rsidRPr="007466D1">
        <w:t xml:space="preserve">, </w:t>
      </w:r>
      <w:proofErr w:type="spellStart"/>
      <w:r w:rsidRPr="007466D1">
        <w:t>artralgia</w:t>
      </w:r>
      <w:proofErr w:type="spellEnd"/>
      <w:r w:rsidRPr="007466D1">
        <w:t xml:space="preserve">/artritída, pozitívne </w:t>
      </w:r>
      <w:proofErr w:type="spellStart"/>
      <w:r w:rsidRPr="007466D1">
        <w:t>antinukleárne</w:t>
      </w:r>
      <w:proofErr w:type="spellEnd"/>
      <w:r w:rsidRPr="007466D1">
        <w:t xml:space="preserve"> protilátky (ANA), zvýšená sedimentácia červených krviniek, </w:t>
      </w:r>
      <w:proofErr w:type="spellStart"/>
      <w:r w:rsidRPr="007466D1">
        <w:t>eozinofília</w:t>
      </w:r>
      <w:proofErr w:type="spellEnd"/>
      <w:r w:rsidRPr="007466D1">
        <w:t xml:space="preserve"> a leukocytóza, vyrážky, </w:t>
      </w:r>
      <w:proofErr w:type="spellStart"/>
      <w:r w:rsidRPr="007466D1">
        <w:t>fotosenzitivita</w:t>
      </w:r>
      <w:proofErr w:type="spellEnd"/>
      <w:r w:rsidRPr="007466D1">
        <w:t xml:space="preserve"> alebo iné kožné prejavy.</w:t>
      </w:r>
    </w:p>
    <w:p w14:paraId="070F1373" w14:textId="77777777" w:rsidR="00F75BDF" w:rsidRPr="007466D1" w:rsidRDefault="00F75BDF" w:rsidP="00C073A3">
      <w:pPr>
        <w:pStyle w:val="Styl3"/>
        <w:rPr>
          <w:lang w:val="sk-SK"/>
        </w:rPr>
      </w:pPr>
      <w:r w:rsidRPr="007466D1">
        <w:rPr>
          <w:lang w:val="sk-SK"/>
        </w:rPr>
        <w:t>Pediatrická populácia</w:t>
      </w:r>
    </w:p>
    <w:p w14:paraId="6869E53D" w14:textId="77777777" w:rsidR="00C073A3" w:rsidRPr="00E3367C" w:rsidRDefault="00F75BDF" w:rsidP="00317A57">
      <w:pPr>
        <w:pStyle w:val="Normlndobloku"/>
      </w:pPr>
      <w:r w:rsidRPr="007466D1">
        <w:t xml:space="preserve">Bezpečnostné údaje z klinických štúdií naznačujú, že </w:t>
      </w:r>
      <w:proofErr w:type="spellStart"/>
      <w:r w:rsidRPr="007466D1">
        <w:t>lizinopril</w:t>
      </w:r>
      <w:proofErr w:type="spellEnd"/>
      <w:r w:rsidRPr="007466D1">
        <w:t xml:space="preserve"> je všeobecne dobre znášaný u detí a</w:t>
      </w:r>
      <w:r w:rsidR="007466D1" w:rsidRPr="007466D1">
        <w:t> </w:t>
      </w:r>
      <w:r w:rsidRPr="007466D1">
        <w:t>dospievajúcich s hypertenziou a že bezpečnostný profil u tejto vekovej skupiny je porovnateľný s</w:t>
      </w:r>
      <w:r w:rsidR="007466D1" w:rsidRPr="007466D1">
        <w:t> </w:t>
      </w:r>
      <w:r w:rsidRPr="007466D1">
        <w:t>profilom u dospelých.</w:t>
      </w:r>
    </w:p>
    <w:p w14:paraId="418C336C" w14:textId="77777777" w:rsidR="00F75BDF" w:rsidRPr="00D51B1B" w:rsidRDefault="00F75BDF" w:rsidP="00D51B1B">
      <w:pPr>
        <w:pStyle w:val="Styl3"/>
        <w:rPr>
          <w:lang w:val="sk-SK"/>
        </w:rPr>
      </w:pPr>
      <w:r w:rsidRPr="00D51B1B">
        <w:rPr>
          <w:lang w:val="sk-SK"/>
        </w:rPr>
        <w:t>Hlásenie podozrení na nežiaduce reakcie</w:t>
      </w:r>
    </w:p>
    <w:p w14:paraId="3A9D7D0B" w14:textId="77777777" w:rsidR="00F75BDF" w:rsidRDefault="00F75BDF" w:rsidP="00317A57">
      <w:pPr>
        <w:pStyle w:val="Normlndobloku"/>
      </w:pPr>
      <w:r w:rsidRPr="00E3367C">
        <w:t>Hlásenie podozrení na nežiaduce reakcie po registrácii lieku je dôležité. Umožňuje priebežné monitorovanie pomeru prínosu a</w:t>
      </w:r>
      <w:r w:rsidRPr="007466D1">
        <w:t xml:space="preserve"> </w:t>
      </w:r>
      <w:r w:rsidRPr="00E3367C">
        <w:t xml:space="preserve">rizika lieku. Od zdravotníckych pracovníkov sa vyžaduje, aby hlásili akékoľvek podozrenia na nežiaduce reakcie </w:t>
      </w:r>
      <w:r w:rsidR="008342AC">
        <w:t>na</w:t>
      </w:r>
      <w:r w:rsidR="008342AC" w:rsidRPr="00D51B1B">
        <w:t xml:space="preserve"> </w:t>
      </w:r>
      <w:r w:rsidRPr="007E585E">
        <w:rPr>
          <w:highlight w:val="lightGray"/>
        </w:rPr>
        <w:t>národné</w:t>
      </w:r>
      <w:r w:rsidR="008342AC">
        <w:rPr>
          <w:highlight w:val="lightGray"/>
        </w:rPr>
        <w:t xml:space="preserve"> centrum</w:t>
      </w:r>
      <w:r w:rsidRPr="007E585E">
        <w:rPr>
          <w:highlight w:val="lightGray"/>
        </w:rPr>
        <w:t xml:space="preserve"> hlásenia uvedené v</w:t>
      </w:r>
      <w:r w:rsidR="006E7611" w:rsidRPr="007E585E">
        <w:rPr>
          <w:highlight w:val="lightGray"/>
        </w:rPr>
        <w:t> </w:t>
      </w:r>
      <w:hyperlink r:id="rId9" w:history="1">
        <w:r w:rsidR="00D74806" w:rsidRPr="007E585E">
          <w:rPr>
            <w:rStyle w:val="Hypertextovprepojenie"/>
            <w:noProof/>
            <w:szCs w:val="22"/>
            <w:highlight w:val="lightGray"/>
          </w:rPr>
          <w:t>Prílohe V</w:t>
        </w:r>
      </w:hyperlink>
      <w:r w:rsidRPr="007E585E">
        <w:rPr>
          <w:highlight w:val="lightGray"/>
        </w:rPr>
        <w:t>.</w:t>
      </w:r>
    </w:p>
    <w:p w14:paraId="46D2DB6C" w14:textId="77777777" w:rsidR="00740CED" w:rsidRPr="00E3367C" w:rsidRDefault="00740CED" w:rsidP="00317A57">
      <w:pPr>
        <w:pStyle w:val="Normlndobloku"/>
      </w:pPr>
    </w:p>
    <w:p w14:paraId="2238A291" w14:textId="77777777" w:rsidR="00F75BDF" w:rsidRPr="00D51B1B" w:rsidRDefault="00F75BDF" w:rsidP="00D51B1B">
      <w:pPr>
        <w:pStyle w:val="Styl2"/>
        <w:rPr>
          <w:b w:val="0"/>
          <w:lang w:val="sk-SK"/>
        </w:rPr>
      </w:pPr>
      <w:r w:rsidRPr="007466D1">
        <w:rPr>
          <w:lang w:val="sk-SK"/>
        </w:rPr>
        <w:t>4.9</w:t>
      </w:r>
      <w:r w:rsidRPr="007466D1">
        <w:rPr>
          <w:lang w:val="sk-SK"/>
        </w:rPr>
        <w:tab/>
      </w:r>
      <w:r w:rsidRPr="00D51B1B">
        <w:rPr>
          <w:lang w:val="sk-SK"/>
        </w:rPr>
        <w:t>Predávkovanie</w:t>
      </w:r>
    </w:p>
    <w:p w14:paraId="71C15077" w14:textId="77777777" w:rsidR="00F75BDF" w:rsidRDefault="00F75BDF" w:rsidP="00317A57">
      <w:pPr>
        <w:pStyle w:val="Normlndobloku"/>
      </w:pPr>
      <w:r w:rsidRPr="007466D1">
        <w:t xml:space="preserve">Dostupné údaje pre predávkovaní u ľudí sú obmedzené. Príznaky spájané s predávkovaním ACE inhibítormi môžu zahŕňať hypotenziu, obehový šok, poruchy rovnováhy elektrolytov, </w:t>
      </w:r>
      <w:proofErr w:type="spellStart"/>
      <w:r w:rsidRPr="007466D1">
        <w:t>renálne</w:t>
      </w:r>
      <w:proofErr w:type="spellEnd"/>
      <w:r w:rsidRPr="007466D1">
        <w:t xml:space="preserve"> zlyhanie, </w:t>
      </w:r>
      <w:proofErr w:type="spellStart"/>
      <w:r w:rsidRPr="007466D1">
        <w:t>hyperventiláciu</w:t>
      </w:r>
      <w:proofErr w:type="spellEnd"/>
      <w:r w:rsidRPr="007466D1">
        <w:t xml:space="preserve">, </w:t>
      </w:r>
      <w:proofErr w:type="spellStart"/>
      <w:r w:rsidRPr="007466D1">
        <w:t>tachykardiu</w:t>
      </w:r>
      <w:proofErr w:type="spellEnd"/>
      <w:r w:rsidRPr="007466D1">
        <w:t xml:space="preserve">, </w:t>
      </w:r>
      <w:proofErr w:type="spellStart"/>
      <w:r w:rsidRPr="007466D1">
        <w:t>palpitácie</w:t>
      </w:r>
      <w:proofErr w:type="spellEnd"/>
      <w:r w:rsidRPr="007466D1">
        <w:t xml:space="preserve">, bradykardiu, závraty, úzkosť a kašeľ. Odporúčaná liečba predávkovania je intravenózna infúzia fyziologického roztoku. Ak je prítomná hypotenzia, pacient sa má uložiť do </w:t>
      </w:r>
      <w:proofErr w:type="spellStart"/>
      <w:r w:rsidRPr="007466D1">
        <w:t>protišokovej</w:t>
      </w:r>
      <w:proofErr w:type="spellEnd"/>
      <w:r w:rsidRPr="007466D1">
        <w:t xml:space="preserve"> polohy. Možno tiež zvážiť </w:t>
      </w:r>
      <w:proofErr w:type="spellStart"/>
      <w:r w:rsidRPr="007466D1">
        <w:t>infúznu</w:t>
      </w:r>
      <w:proofErr w:type="spellEnd"/>
      <w:r w:rsidRPr="007466D1">
        <w:t xml:space="preserve"> liečbu </w:t>
      </w:r>
      <w:proofErr w:type="spellStart"/>
      <w:r w:rsidRPr="007466D1">
        <w:t>angiotenzínom</w:t>
      </w:r>
      <w:proofErr w:type="spellEnd"/>
      <w:r w:rsidRPr="007466D1">
        <w:t xml:space="preserve"> II a/alebo intravenóznymi </w:t>
      </w:r>
      <w:proofErr w:type="spellStart"/>
      <w:r w:rsidRPr="007466D1">
        <w:t>katecholamínmi</w:t>
      </w:r>
      <w:proofErr w:type="spellEnd"/>
      <w:r w:rsidRPr="007466D1">
        <w:t xml:space="preserve">, ak je k dispozícii. Pokiaľ k predávkovaniu došlo iba nedávno, je potrebné prijať opatrenia k odstráneniu DAPRILU (napríklad vyvolanie vracania, </w:t>
      </w:r>
      <w:proofErr w:type="spellStart"/>
      <w:r w:rsidRPr="007466D1">
        <w:t>laváž</w:t>
      </w:r>
      <w:proofErr w:type="spellEnd"/>
      <w:r w:rsidRPr="007466D1">
        <w:t xml:space="preserve"> žalúdka, podanie </w:t>
      </w:r>
      <w:proofErr w:type="spellStart"/>
      <w:r w:rsidRPr="007466D1">
        <w:t>absorbentov</w:t>
      </w:r>
      <w:proofErr w:type="spellEnd"/>
      <w:r w:rsidRPr="007466D1">
        <w:t xml:space="preserve"> a síranu sodného). DAPRIL možno odstrániť z cirkulácie hemodialýzou (pozri časť 4.4). Liečba kardiostimulátorom je indikovaná v prípadoch bradykardie, rezistentnej na liečbu. Je nevyhnutné časté monitorovanie vitálnych funkcií, koncentrácie sérových elektrolytov a</w:t>
      </w:r>
      <w:r w:rsidR="00C073A3" w:rsidRPr="007466D1">
        <w:t> </w:t>
      </w:r>
      <w:proofErr w:type="spellStart"/>
      <w:r w:rsidRPr="007466D1">
        <w:t>kreatinínu</w:t>
      </w:r>
      <w:proofErr w:type="spellEnd"/>
      <w:r w:rsidRPr="007466D1">
        <w:t>.</w:t>
      </w:r>
    </w:p>
    <w:p w14:paraId="2038E37D" w14:textId="77777777" w:rsidR="00740CED" w:rsidRPr="007466D1" w:rsidRDefault="00740CED" w:rsidP="00317A57">
      <w:pPr>
        <w:pStyle w:val="Normlndobloku"/>
      </w:pPr>
    </w:p>
    <w:p w14:paraId="417BE86F" w14:textId="77777777" w:rsidR="00F75BDF" w:rsidRPr="00D51B1B" w:rsidRDefault="00F75BDF" w:rsidP="00D51B1B">
      <w:pPr>
        <w:pStyle w:val="Styl1"/>
        <w:rPr>
          <w:b w:val="0"/>
          <w:lang w:val="sk-SK"/>
        </w:rPr>
      </w:pPr>
      <w:r w:rsidRPr="007466D1">
        <w:rPr>
          <w:lang w:val="sk-SK"/>
        </w:rPr>
        <w:lastRenderedPageBreak/>
        <w:t>5.</w:t>
      </w:r>
      <w:r w:rsidRPr="007466D1">
        <w:rPr>
          <w:lang w:val="sk-SK"/>
        </w:rPr>
        <w:tab/>
      </w:r>
      <w:r w:rsidRPr="00D51B1B">
        <w:rPr>
          <w:lang w:val="sk-SK"/>
        </w:rPr>
        <w:t>FARMAKOLOGICKÉ VLASTNOSTI</w:t>
      </w:r>
    </w:p>
    <w:p w14:paraId="4990C2BD" w14:textId="77777777" w:rsidR="00F75BDF" w:rsidRPr="007466D1" w:rsidRDefault="00F75BDF" w:rsidP="00F75BDF">
      <w:pPr>
        <w:pStyle w:val="Styl2"/>
        <w:rPr>
          <w:lang w:val="sk-SK"/>
        </w:rPr>
      </w:pPr>
      <w:r w:rsidRPr="007466D1">
        <w:rPr>
          <w:lang w:val="sk-SK"/>
        </w:rPr>
        <w:t>5.1</w:t>
      </w:r>
      <w:r w:rsidRPr="007466D1">
        <w:rPr>
          <w:lang w:val="sk-SK"/>
        </w:rPr>
        <w:tab/>
      </w:r>
      <w:proofErr w:type="spellStart"/>
      <w:r w:rsidRPr="007466D1">
        <w:rPr>
          <w:lang w:val="sk-SK"/>
        </w:rPr>
        <w:t>Farmakodynamické</w:t>
      </w:r>
      <w:proofErr w:type="spellEnd"/>
      <w:r w:rsidRPr="007466D1">
        <w:rPr>
          <w:lang w:val="sk-SK"/>
        </w:rPr>
        <w:t xml:space="preserve"> vlastnosti</w:t>
      </w:r>
    </w:p>
    <w:p w14:paraId="518BB363" w14:textId="77777777" w:rsidR="00D74806" w:rsidRPr="00FA3992" w:rsidRDefault="00F75BDF" w:rsidP="00317A57">
      <w:pPr>
        <w:pStyle w:val="Normlndobloku"/>
        <w:rPr>
          <w:b/>
        </w:rPr>
      </w:pPr>
      <w:proofErr w:type="spellStart"/>
      <w:r w:rsidRPr="00E3367C">
        <w:t>Farmakoterapeutická</w:t>
      </w:r>
      <w:proofErr w:type="spellEnd"/>
      <w:r w:rsidRPr="00E3367C">
        <w:t xml:space="preserve"> skupina: </w:t>
      </w:r>
      <w:r w:rsidR="00D74806">
        <w:t xml:space="preserve">inhibítory enzýmu konvertujúceho </w:t>
      </w:r>
      <w:proofErr w:type="spellStart"/>
      <w:r w:rsidR="00D74806">
        <w:t>angiotenzín</w:t>
      </w:r>
      <w:proofErr w:type="spellEnd"/>
      <w:r w:rsidR="00D74806">
        <w:t>, samotné</w:t>
      </w:r>
    </w:p>
    <w:p w14:paraId="776DB7ED" w14:textId="77777777" w:rsidR="00C073A3" w:rsidRPr="00DF23CD" w:rsidRDefault="00F75BDF" w:rsidP="00317A57">
      <w:pPr>
        <w:pStyle w:val="Normlndobloku"/>
      </w:pPr>
      <w:r w:rsidRPr="00DF23CD">
        <w:t>ATC kód: C09AA03</w:t>
      </w:r>
    </w:p>
    <w:p w14:paraId="4735EC91" w14:textId="77777777" w:rsidR="00C073A3" w:rsidRPr="007466D1" w:rsidRDefault="00F75BDF" w:rsidP="00317A57">
      <w:pPr>
        <w:pStyle w:val="Normlndobloku"/>
      </w:pPr>
      <w:proofErr w:type="spellStart"/>
      <w:r w:rsidRPr="007466D1">
        <w:t>Lizinopril</w:t>
      </w:r>
      <w:proofErr w:type="spellEnd"/>
      <w:r w:rsidRPr="007466D1">
        <w:t xml:space="preserve"> je inhibítor </w:t>
      </w:r>
      <w:proofErr w:type="spellStart"/>
      <w:r w:rsidRPr="007466D1">
        <w:t>peptidyl</w:t>
      </w:r>
      <w:proofErr w:type="spellEnd"/>
      <w:r w:rsidRPr="007466D1">
        <w:t xml:space="preserve"> </w:t>
      </w:r>
      <w:proofErr w:type="spellStart"/>
      <w:r w:rsidRPr="007466D1">
        <w:t>dipeptidázy</w:t>
      </w:r>
      <w:proofErr w:type="spellEnd"/>
      <w:r w:rsidRPr="007466D1">
        <w:t xml:space="preserve">. </w:t>
      </w:r>
      <w:proofErr w:type="spellStart"/>
      <w:r w:rsidRPr="007466D1">
        <w:t>Inhibuje</w:t>
      </w:r>
      <w:proofErr w:type="spellEnd"/>
      <w:r w:rsidRPr="007466D1">
        <w:t xml:space="preserve"> </w:t>
      </w:r>
      <w:proofErr w:type="spellStart"/>
      <w:r w:rsidRPr="007466D1">
        <w:t>angiotenzín</w:t>
      </w:r>
      <w:proofErr w:type="spellEnd"/>
      <w:r w:rsidRPr="007466D1">
        <w:t xml:space="preserve"> konvertujúci enzým (ACE), ktorý </w:t>
      </w:r>
      <w:proofErr w:type="spellStart"/>
      <w:r w:rsidRPr="007466D1">
        <w:t>katalyzuje</w:t>
      </w:r>
      <w:proofErr w:type="spellEnd"/>
      <w:r w:rsidRPr="007466D1">
        <w:t xml:space="preserve"> premenu </w:t>
      </w:r>
      <w:proofErr w:type="spellStart"/>
      <w:r w:rsidRPr="007466D1">
        <w:t>angiotenzínu</w:t>
      </w:r>
      <w:proofErr w:type="spellEnd"/>
      <w:r w:rsidRPr="007466D1">
        <w:t xml:space="preserve"> I na </w:t>
      </w:r>
      <w:proofErr w:type="spellStart"/>
      <w:r w:rsidRPr="007466D1">
        <w:t>vazokonstrikčný</w:t>
      </w:r>
      <w:proofErr w:type="spellEnd"/>
      <w:r w:rsidRPr="007466D1">
        <w:t xml:space="preserve"> </w:t>
      </w:r>
      <w:proofErr w:type="spellStart"/>
      <w:r w:rsidRPr="007466D1">
        <w:t>peptid</w:t>
      </w:r>
      <w:proofErr w:type="spellEnd"/>
      <w:r w:rsidRPr="007466D1">
        <w:t xml:space="preserve">, </w:t>
      </w:r>
      <w:proofErr w:type="spellStart"/>
      <w:r w:rsidRPr="007466D1">
        <w:t>angiotenzín</w:t>
      </w:r>
      <w:proofErr w:type="spellEnd"/>
      <w:r w:rsidRPr="007466D1">
        <w:t xml:space="preserve"> II. </w:t>
      </w:r>
      <w:proofErr w:type="spellStart"/>
      <w:r w:rsidRPr="007466D1">
        <w:t>Angiotenzín</w:t>
      </w:r>
      <w:proofErr w:type="spellEnd"/>
      <w:r w:rsidRPr="007466D1">
        <w:t xml:space="preserve"> II stimuluje aj sekréciu </w:t>
      </w:r>
      <w:proofErr w:type="spellStart"/>
      <w:r w:rsidRPr="007466D1">
        <w:t>aldosterónu</w:t>
      </w:r>
      <w:proofErr w:type="spellEnd"/>
      <w:r w:rsidRPr="007466D1">
        <w:t xml:space="preserve"> v kôre nadobličiek. Inhibícia ACE aktivity vedie k zníženiu koncentrácie </w:t>
      </w:r>
      <w:proofErr w:type="spellStart"/>
      <w:r w:rsidRPr="007466D1">
        <w:t>angiotenzínu</w:t>
      </w:r>
      <w:proofErr w:type="spellEnd"/>
      <w:r w:rsidRPr="007466D1">
        <w:t xml:space="preserve"> II s následným poklesom </w:t>
      </w:r>
      <w:proofErr w:type="spellStart"/>
      <w:r w:rsidRPr="007466D1">
        <w:t>vazokonstrikčnej</w:t>
      </w:r>
      <w:proofErr w:type="spellEnd"/>
      <w:r w:rsidRPr="007466D1">
        <w:t xml:space="preserve"> aktivity a k zníženej sekrécii </w:t>
      </w:r>
      <w:proofErr w:type="spellStart"/>
      <w:r w:rsidRPr="007466D1">
        <w:t>aldosterónu</w:t>
      </w:r>
      <w:proofErr w:type="spellEnd"/>
      <w:r w:rsidRPr="007466D1">
        <w:t xml:space="preserve">. Znížená koncentrácia </w:t>
      </w:r>
      <w:proofErr w:type="spellStart"/>
      <w:r w:rsidRPr="007466D1">
        <w:t>aldosterónu</w:t>
      </w:r>
      <w:proofErr w:type="spellEnd"/>
      <w:r w:rsidRPr="007466D1">
        <w:t xml:space="preserve"> môže viesť k vzostupu sérových koncentrácií draslíka.</w:t>
      </w:r>
    </w:p>
    <w:p w14:paraId="7AC15F0C" w14:textId="77777777" w:rsidR="00C073A3" w:rsidRPr="007466D1" w:rsidRDefault="00F75BDF" w:rsidP="00317A57">
      <w:pPr>
        <w:pStyle w:val="Normlndobloku"/>
      </w:pPr>
      <w:r w:rsidRPr="007466D1">
        <w:t xml:space="preserve">Zatiaľ čo mechanizmus, ktorým </w:t>
      </w:r>
      <w:proofErr w:type="spellStart"/>
      <w:r w:rsidRPr="007466D1">
        <w:t>lizinopril</w:t>
      </w:r>
      <w:proofErr w:type="spellEnd"/>
      <w:r w:rsidRPr="007466D1">
        <w:t xml:space="preserve"> znižuje krvný tlak </w:t>
      </w:r>
      <w:proofErr w:type="spellStart"/>
      <w:r w:rsidRPr="007466D1">
        <w:t>supresiou</w:t>
      </w:r>
      <w:proofErr w:type="spellEnd"/>
      <w:r w:rsidRPr="007466D1">
        <w:t xml:space="preserve"> </w:t>
      </w:r>
      <w:proofErr w:type="spellStart"/>
      <w:r w:rsidRPr="007466D1">
        <w:t>renín-angiotenzín-aldosterónového</w:t>
      </w:r>
      <w:proofErr w:type="spellEnd"/>
      <w:r w:rsidRPr="007466D1">
        <w:t xml:space="preserve"> systému je považovaný za primárny, </w:t>
      </w:r>
      <w:proofErr w:type="spellStart"/>
      <w:r w:rsidRPr="007466D1">
        <w:t>lizinopril</w:t>
      </w:r>
      <w:proofErr w:type="spellEnd"/>
      <w:r w:rsidRPr="007466D1">
        <w:t xml:space="preserve"> má </w:t>
      </w:r>
      <w:proofErr w:type="spellStart"/>
      <w:r w:rsidRPr="007466D1">
        <w:t>antihypertenzný</w:t>
      </w:r>
      <w:proofErr w:type="spellEnd"/>
      <w:r w:rsidRPr="007466D1">
        <w:t xml:space="preserve"> účinok aj u</w:t>
      </w:r>
      <w:r w:rsidR="00C073A3" w:rsidRPr="007466D1">
        <w:t> </w:t>
      </w:r>
      <w:proofErr w:type="spellStart"/>
      <w:r w:rsidRPr="007466D1">
        <w:t>hypertenzných</w:t>
      </w:r>
      <w:proofErr w:type="spellEnd"/>
      <w:r w:rsidRPr="007466D1">
        <w:t xml:space="preserve"> pacientov s nízkou hladinou </w:t>
      </w:r>
      <w:proofErr w:type="spellStart"/>
      <w:r w:rsidRPr="007466D1">
        <w:t>renínu</w:t>
      </w:r>
      <w:proofErr w:type="spellEnd"/>
      <w:r w:rsidRPr="007466D1">
        <w:t xml:space="preserve">. ACE je identický s </w:t>
      </w:r>
      <w:proofErr w:type="spellStart"/>
      <w:r w:rsidRPr="007466D1">
        <w:t>kininázou</w:t>
      </w:r>
      <w:proofErr w:type="spellEnd"/>
      <w:r w:rsidRPr="007466D1">
        <w:t xml:space="preserve"> II, enzýmom, ktorý rozkladá </w:t>
      </w:r>
      <w:proofErr w:type="spellStart"/>
      <w:r w:rsidRPr="007466D1">
        <w:t>bradykinín</w:t>
      </w:r>
      <w:proofErr w:type="spellEnd"/>
      <w:r w:rsidRPr="007466D1">
        <w:t xml:space="preserve">. Nie je zatiaľ známe, či zvýšené hladiny </w:t>
      </w:r>
      <w:proofErr w:type="spellStart"/>
      <w:r w:rsidRPr="007466D1">
        <w:t>bradykinínu</w:t>
      </w:r>
      <w:proofErr w:type="spellEnd"/>
      <w:r w:rsidRPr="007466D1">
        <w:t xml:space="preserve">, silného </w:t>
      </w:r>
      <w:proofErr w:type="spellStart"/>
      <w:r w:rsidRPr="007466D1">
        <w:t>vazodilatačného</w:t>
      </w:r>
      <w:proofErr w:type="spellEnd"/>
      <w:r w:rsidRPr="007466D1">
        <w:t xml:space="preserve"> </w:t>
      </w:r>
      <w:proofErr w:type="spellStart"/>
      <w:r w:rsidRPr="007466D1">
        <w:t>peptidu</w:t>
      </w:r>
      <w:proofErr w:type="spellEnd"/>
      <w:r w:rsidRPr="007466D1">
        <w:t xml:space="preserve">, zohrávajú úlohu v terapeutických účinkoch </w:t>
      </w:r>
      <w:proofErr w:type="spellStart"/>
      <w:r w:rsidRPr="007466D1">
        <w:t>lizinoprilu</w:t>
      </w:r>
      <w:proofErr w:type="spellEnd"/>
      <w:r w:rsidRPr="007466D1">
        <w:t>.</w:t>
      </w:r>
    </w:p>
    <w:p w14:paraId="67685089" w14:textId="77777777" w:rsidR="00C073A3" w:rsidRPr="007466D1" w:rsidRDefault="00F75BDF" w:rsidP="00317A57">
      <w:pPr>
        <w:pStyle w:val="Normlndobloku"/>
      </w:pPr>
      <w:r w:rsidRPr="007466D1">
        <w:t xml:space="preserve">Účinok </w:t>
      </w:r>
      <w:proofErr w:type="spellStart"/>
      <w:r w:rsidRPr="007466D1">
        <w:t>lizinoprilu</w:t>
      </w:r>
      <w:proofErr w:type="spellEnd"/>
      <w:r w:rsidRPr="007466D1">
        <w:t xml:space="preserve"> na mortalitu a morbiditu u pacientov so srdcovým zlyhaním bol skúmaný porovnávaním vysokých dávok (32,5 mg alebo 35 mg jedenkrát denne) s nízkymi dávkami (2,5 mg alebo 5 mg jedenkrát denne). V štúdii s 3 164 pacientmi s mediánom doby sledovania prežívajúcich pacientov 46 mesiacov, vysoké dávky </w:t>
      </w:r>
      <w:proofErr w:type="spellStart"/>
      <w:r w:rsidRPr="007466D1">
        <w:t>lizinoprilu</w:t>
      </w:r>
      <w:proofErr w:type="spellEnd"/>
      <w:r w:rsidRPr="007466D1">
        <w:t xml:space="preserve"> v porovnaní s nízkymi dávkami spôsobili zníženie rizika o 12 % pri kombinovanom hodnotení akejkoľvek mortality a hospitalizácie z akejkoľvek príčiny (p=0,002) a 8 % zníženie rizika akejkoľvek mortality a hospitalizácie z kardiovaskulárnych príčin (p=0,036). Zaznamenalo sa zníženie rizika mortality z akejkoľvek príčiny (8 %; p = 0,128) a</w:t>
      </w:r>
      <w:r w:rsidR="00C073A3" w:rsidRPr="007466D1">
        <w:t> </w:t>
      </w:r>
      <w:r w:rsidRPr="007466D1">
        <w:t>z</w:t>
      </w:r>
      <w:r w:rsidR="00C073A3" w:rsidRPr="007466D1">
        <w:t> </w:t>
      </w:r>
      <w:r w:rsidRPr="007466D1">
        <w:t xml:space="preserve">kardiovaskulárnej príčiny (10 %; p = 0,073). V </w:t>
      </w:r>
      <w:proofErr w:type="spellStart"/>
      <w:r w:rsidRPr="007466D1">
        <w:t>post-hoc</w:t>
      </w:r>
      <w:proofErr w:type="spellEnd"/>
      <w:r w:rsidRPr="007466D1">
        <w:t xml:space="preserve"> analýze sa u pacientov liečených vysokou dávkou </w:t>
      </w:r>
      <w:proofErr w:type="spellStart"/>
      <w:r w:rsidRPr="007466D1">
        <w:t>lizinoprilu</w:t>
      </w:r>
      <w:proofErr w:type="spellEnd"/>
      <w:r w:rsidRPr="007466D1">
        <w:t xml:space="preserve"> znížil počet hospitalizácii v dôsledku srdcového zlyhania o 24 % (p=0,002) v</w:t>
      </w:r>
      <w:r w:rsidR="00C073A3" w:rsidRPr="007466D1">
        <w:t> </w:t>
      </w:r>
      <w:r w:rsidRPr="007466D1">
        <w:t xml:space="preserve">porovnaní s nízkou dávkou. Symptomatické prínosy boli u pacientov liečených vysokými a nízkymi dávkami </w:t>
      </w:r>
      <w:proofErr w:type="spellStart"/>
      <w:r w:rsidRPr="007466D1">
        <w:t>lizinoprilu</w:t>
      </w:r>
      <w:proofErr w:type="spellEnd"/>
      <w:r w:rsidRPr="007466D1">
        <w:t xml:space="preserve"> podobné. Výsledky štúdie ukázali, že celkový profil nežiaducich účinkov u</w:t>
      </w:r>
      <w:r w:rsidR="00C073A3" w:rsidRPr="007466D1">
        <w:t> </w:t>
      </w:r>
      <w:r w:rsidRPr="007466D1">
        <w:t xml:space="preserve">pacientov liečených vysokými alebo nízkymi dávkami </w:t>
      </w:r>
      <w:proofErr w:type="spellStart"/>
      <w:r w:rsidRPr="007466D1">
        <w:t>lizinoprilu</w:t>
      </w:r>
      <w:proofErr w:type="spellEnd"/>
      <w:r w:rsidRPr="007466D1">
        <w:t xml:space="preserve"> boli podobné, čo sa týka ich charakteru aj počtu. Predpokladané predvídateľné účinky ACE inhibítorov, ako napríklad hypotenzia alebo porucha obličkových funkcií, boli zvládnuté a vzácne viedli k vysadeniu liečby. Kašeľ bol menej častý u pacientov liečených vysokými dávkami </w:t>
      </w:r>
      <w:proofErr w:type="spellStart"/>
      <w:r w:rsidRPr="007466D1">
        <w:t>lizinoprilu</w:t>
      </w:r>
      <w:proofErr w:type="spellEnd"/>
      <w:r w:rsidRPr="007466D1">
        <w:t xml:space="preserve"> v porovnaní s nízkymi dávkami.</w:t>
      </w:r>
    </w:p>
    <w:p w14:paraId="27E6774E" w14:textId="77777777" w:rsidR="00C073A3" w:rsidRPr="007466D1" w:rsidRDefault="00F75BDF" w:rsidP="00317A57">
      <w:pPr>
        <w:pStyle w:val="Normlndobloku"/>
      </w:pPr>
      <w:r w:rsidRPr="007466D1">
        <w:t xml:space="preserve">V štúdii GISSI-3 bol použitý 2 x 2 </w:t>
      </w:r>
      <w:proofErr w:type="spellStart"/>
      <w:r w:rsidRPr="007466D1">
        <w:t>faktoriálový</w:t>
      </w:r>
      <w:proofErr w:type="spellEnd"/>
      <w:r w:rsidRPr="007466D1">
        <w:t xml:space="preserve"> plán pre porovnanie účinkov </w:t>
      </w:r>
      <w:proofErr w:type="spellStart"/>
      <w:r w:rsidRPr="007466D1">
        <w:t>lizinoprilu</w:t>
      </w:r>
      <w:proofErr w:type="spellEnd"/>
      <w:r w:rsidRPr="007466D1">
        <w:t xml:space="preserve"> a</w:t>
      </w:r>
      <w:r w:rsidR="00C073A3" w:rsidRPr="007466D1">
        <w:t> </w:t>
      </w:r>
      <w:r w:rsidRPr="007466D1">
        <w:t xml:space="preserve">nitroglycerínu podávaných samostatne alebo v kombinácii počas 6 týždňov v porovnaní s kontrolnou skupinou 19 394 pacientov, podrobených liečbe počas 24 hodín po akútnom infarkte myokardu. </w:t>
      </w:r>
      <w:proofErr w:type="spellStart"/>
      <w:r w:rsidRPr="007466D1">
        <w:t>Lizinopril</w:t>
      </w:r>
      <w:proofErr w:type="spellEnd"/>
      <w:r w:rsidRPr="007466D1">
        <w:t xml:space="preserve"> štatisticky významne znížil riziko mortality o 11 %, oproti kontrole (2p = 0,03). Zníženie rizika s nitroglycerínom nebolo </w:t>
      </w:r>
      <w:proofErr w:type="spellStart"/>
      <w:r w:rsidRPr="007466D1">
        <w:t>signifikantne</w:t>
      </w:r>
      <w:proofErr w:type="spellEnd"/>
      <w:r w:rsidRPr="007466D1">
        <w:t xml:space="preserve"> významné, ale jeho kombinácia s </w:t>
      </w:r>
      <w:proofErr w:type="spellStart"/>
      <w:r w:rsidRPr="007466D1">
        <w:t>lizinoprilom</w:t>
      </w:r>
      <w:proofErr w:type="spellEnd"/>
      <w:r w:rsidRPr="007466D1">
        <w:t xml:space="preserve"> znížila </w:t>
      </w:r>
      <w:proofErr w:type="spellStart"/>
      <w:r w:rsidRPr="007466D1">
        <w:t>signifikantne</w:t>
      </w:r>
      <w:proofErr w:type="spellEnd"/>
      <w:r w:rsidRPr="007466D1">
        <w:t xml:space="preserve"> riziko mortality o 17 % v porovnaní s kontrolnou skupinou (2p = 0,02). V podskupine starších pacientov (vek &gt; 70 rokov) a žien, predefinovaných ako pacienti s vysokým rizikom mortality, bol významný </w:t>
      </w:r>
      <w:proofErr w:type="spellStart"/>
      <w:r w:rsidRPr="007466D1">
        <w:t>benefit</w:t>
      </w:r>
      <w:proofErr w:type="spellEnd"/>
      <w:r w:rsidRPr="007466D1">
        <w:t xml:space="preserve"> pozorovaný pri posudzovaní kombinovaného ovplyvnenia mortality a</w:t>
      </w:r>
      <w:r w:rsidR="00C073A3" w:rsidRPr="007466D1">
        <w:t> </w:t>
      </w:r>
      <w:r w:rsidRPr="007466D1">
        <w:t xml:space="preserve">srdcových funkcií. Výsledok ukázal pre všetkých pacientov, i z veľmi rizikovej podskupiny významný prínos u pacientov užívajúcich </w:t>
      </w:r>
      <w:proofErr w:type="spellStart"/>
      <w:r w:rsidRPr="007466D1">
        <w:t>lizinopril</w:t>
      </w:r>
      <w:proofErr w:type="spellEnd"/>
      <w:r w:rsidRPr="007466D1">
        <w:t xml:space="preserve"> po dobu 6 mesiacov alebo liečených kombináciou </w:t>
      </w:r>
      <w:proofErr w:type="spellStart"/>
      <w:r w:rsidRPr="007466D1">
        <w:t>lizinoprilu</w:t>
      </w:r>
      <w:proofErr w:type="spellEnd"/>
      <w:r w:rsidRPr="007466D1">
        <w:t xml:space="preserve"> a nitroglycerínu po dobu 6</w:t>
      </w:r>
      <w:r w:rsidR="00E927B4">
        <w:t> </w:t>
      </w:r>
      <w:r w:rsidRPr="007466D1">
        <w:t xml:space="preserve">týždňov, čo dokazuje preventívne pôsobenie </w:t>
      </w:r>
      <w:proofErr w:type="spellStart"/>
      <w:r w:rsidRPr="007466D1">
        <w:t>lizinoprilu</w:t>
      </w:r>
      <w:proofErr w:type="spellEnd"/>
      <w:r w:rsidRPr="007466D1">
        <w:t xml:space="preserve">. Ako možno očakávať, pri každej </w:t>
      </w:r>
      <w:proofErr w:type="spellStart"/>
      <w:r w:rsidRPr="007466D1">
        <w:t>vazodilatačnej</w:t>
      </w:r>
      <w:proofErr w:type="spellEnd"/>
      <w:r w:rsidRPr="007466D1">
        <w:t xml:space="preserve"> liečbe, liečba </w:t>
      </w:r>
      <w:proofErr w:type="spellStart"/>
      <w:r w:rsidRPr="007466D1">
        <w:t>lizinoprilom</w:t>
      </w:r>
      <w:proofErr w:type="spellEnd"/>
      <w:r w:rsidRPr="007466D1">
        <w:t xml:space="preserve"> bola spojená so zvýšeným výskytom hypotenzie a </w:t>
      </w:r>
      <w:proofErr w:type="spellStart"/>
      <w:r w:rsidRPr="007466D1">
        <w:t>renálnej</w:t>
      </w:r>
      <w:proofErr w:type="spellEnd"/>
      <w:r w:rsidRPr="007466D1">
        <w:t xml:space="preserve"> dysfunkcie, ale nesúvisela s proporcionálnym nárastom mortality.</w:t>
      </w:r>
    </w:p>
    <w:p w14:paraId="4F7BB584" w14:textId="77777777" w:rsidR="00C073A3" w:rsidRPr="007466D1" w:rsidRDefault="00F75BDF" w:rsidP="00317A57">
      <w:pPr>
        <w:pStyle w:val="Normlndobloku"/>
      </w:pPr>
      <w:r w:rsidRPr="007466D1">
        <w:t xml:space="preserve">V dvojitej zaslepenej, </w:t>
      </w:r>
      <w:proofErr w:type="spellStart"/>
      <w:r w:rsidRPr="007466D1">
        <w:t>randomizovanej</w:t>
      </w:r>
      <w:proofErr w:type="spellEnd"/>
      <w:r w:rsidRPr="007466D1">
        <w:t xml:space="preserve"> </w:t>
      </w:r>
      <w:proofErr w:type="spellStart"/>
      <w:r w:rsidRPr="007466D1">
        <w:t>multicentrickej</w:t>
      </w:r>
      <w:proofErr w:type="spellEnd"/>
      <w:r w:rsidRPr="007466D1">
        <w:t xml:space="preserve"> štúdii, ktorá porovnávala </w:t>
      </w:r>
      <w:proofErr w:type="spellStart"/>
      <w:r w:rsidRPr="007466D1">
        <w:t>lizinopril</w:t>
      </w:r>
      <w:proofErr w:type="spellEnd"/>
      <w:r w:rsidRPr="007466D1">
        <w:t xml:space="preserve"> s </w:t>
      </w:r>
      <w:proofErr w:type="spellStart"/>
      <w:r w:rsidRPr="007466D1">
        <w:t>blokátormi</w:t>
      </w:r>
      <w:proofErr w:type="spellEnd"/>
      <w:r w:rsidRPr="007466D1">
        <w:t xml:space="preserve"> kalciových kanálov u 335 pacientov s hypertenziou a diabetes </w:t>
      </w:r>
      <w:proofErr w:type="spellStart"/>
      <w:r w:rsidRPr="007466D1">
        <w:t>mellitus</w:t>
      </w:r>
      <w:proofErr w:type="spellEnd"/>
      <w:r w:rsidRPr="007466D1">
        <w:t xml:space="preserve"> 2. typu so začínajúcou </w:t>
      </w:r>
      <w:proofErr w:type="spellStart"/>
      <w:r w:rsidRPr="007466D1">
        <w:t>nefropatiou</w:t>
      </w:r>
      <w:proofErr w:type="spellEnd"/>
      <w:r w:rsidRPr="007466D1">
        <w:t xml:space="preserve"> charakterizovanou </w:t>
      </w:r>
      <w:proofErr w:type="spellStart"/>
      <w:r w:rsidRPr="007466D1">
        <w:t>mikroalbuminúriou</w:t>
      </w:r>
      <w:proofErr w:type="spellEnd"/>
      <w:r w:rsidRPr="007466D1">
        <w:t xml:space="preserve">, </w:t>
      </w:r>
      <w:proofErr w:type="spellStart"/>
      <w:r w:rsidRPr="007466D1">
        <w:t>lizinopril</w:t>
      </w:r>
      <w:proofErr w:type="spellEnd"/>
      <w:r w:rsidRPr="007466D1">
        <w:t xml:space="preserve"> užívaný v dávke 10 mg až 20 mg jedenkrát denne po dobu 12 mesiacov, znížil </w:t>
      </w:r>
      <w:proofErr w:type="spellStart"/>
      <w:r w:rsidRPr="007466D1">
        <w:t>systolický</w:t>
      </w:r>
      <w:proofErr w:type="spellEnd"/>
      <w:r w:rsidRPr="007466D1">
        <w:t xml:space="preserve">/diastolický krvný tlak o 13/10 </w:t>
      </w:r>
      <w:proofErr w:type="spellStart"/>
      <w:r w:rsidRPr="007466D1">
        <w:t>mmHg</w:t>
      </w:r>
      <w:proofErr w:type="spellEnd"/>
      <w:r w:rsidRPr="007466D1">
        <w:t xml:space="preserve"> a straty albumínu močom o 40 %. V porovnaní s </w:t>
      </w:r>
      <w:proofErr w:type="spellStart"/>
      <w:r w:rsidRPr="007466D1">
        <w:t>blokátormi</w:t>
      </w:r>
      <w:proofErr w:type="spellEnd"/>
      <w:r w:rsidRPr="007466D1">
        <w:t xml:space="preserve"> kalciových kanálov, ktoré vedú k podobnému poklesu krvného tlaku, sa u liečených </w:t>
      </w:r>
      <w:proofErr w:type="spellStart"/>
      <w:r w:rsidRPr="007466D1">
        <w:t>lizinoprilom</w:t>
      </w:r>
      <w:proofErr w:type="spellEnd"/>
      <w:r w:rsidRPr="007466D1">
        <w:t xml:space="preserve"> zaznamenal </w:t>
      </w:r>
      <w:proofErr w:type="spellStart"/>
      <w:r w:rsidRPr="007466D1">
        <w:t>signifikantne</w:t>
      </w:r>
      <w:proofErr w:type="spellEnd"/>
      <w:r w:rsidRPr="007466D1">
        <w:t xml:space="preserve"> výraznejší pokles strát albumínu močom, čo dokazuje, že ACE inhibičný účinok </w:t>
      </w:r>
      <w:proofErr w:type="spellStart"/>
      <w:r w:rsidRPr="007466D1">
        <w:t>lizinoprilu</w:t>
      </w:r>
      <w:proofErr w:type="spellEnd"/>
      <w:r w:rsidRPr="007466D1">
        <w:t xml:space="preserve"> znižuje </w:t>
      </w:r>
      <w:proofErr w:type="spellStart"/>
      <w:r w:rsidRPr="007466D1">
        <w:t>mikroalbuminúriu</w:t>
      </w:r>
      <w:proofErr w:type="spellEnd"/>
      <w:r w:rsidRPr="007466D1">
        <w:t xml:space="preserve"> priamym mechanizmom na tkanivo obličiek spolu s </w:t>
      </w:r>
      <w:proofErr w:type="spellStart"/>
      <w:r w:rsidRPr="007466D1">
        <w:t>hypotenzným</w:t>
      </w:r>
      <w:proofErr w:type="spellEnd"/>
      <w:r w:rsidRPr="007466D1">
        <w:t xml:space="preserve"> účinkom.</w:t>
      </w:r>
    </w:p>
    <w:p w14:paraId="57EF5C0C" w14:textId="77777777" w:rsidR="00C073A3" w:rsidRPr="007466D1" w:rsidRDefault="00F75BDF" w:rsidP="00317A57">
      <w:pPr>
        <w:pStyle w:val="Normlndobloku"/>
      </w:pPr>
      <w:r w:rsidRPr="007466D1">
        <w:lastRenderedPageBreak/>
        <w:t xml:space="preserve">Liečba </w:t>
      </w:r>
      <w:proofErr w:type="spellStart"/>
      <w:r w:rsidRPr="007466D1">
        <w:t>lizinoprilom</w:t>
      </w:r>
      <w:proofErr w:type="spellEnd"/>
      <w:r w:rsidRPr="00E3367C">
        <w:t xml:space="preserve"> neovplyvňuje</w:t>
      </w:r>
      <w:r w:rsidRPr="007466D1">
        <w:t xml:space="preserve"> kontrolu glykémie, ako bolo dokázané </w:t>
      </w:r>
      <w:proofErr w:type="spellStart"/>
      <w:r w:rsidRPr="007466D1">
        <w:t>nesignifikantne</w:t>
      </w:r>
      <w:proofErr w:type="spellEnd"/>
      <w:r w:rsidRPr="007466D1">
        <w:t xml:space="preserve"> významným účinkom na hladiny </w:t>
      </w:r>
      <w:proofErr w:type="spellStart"/>
      <w:r w:rsidRPr="007466D1">
        <w:t>glykozidového</w:t>
      </w:r>
      <w:proofErr w:type="spellEnd"/>
      <w:r w:rsidRPr="007466D1">
        <w:t xml:space="preserve"> hemoglobínu (HbA1c).</w:t>
      </w:r>
    </w:p>
    <w:p w14:paraId="14AB230F" w14:textId="77777777" w:rsidR="00C073A3" w:rsidRPr="007466D1" w:rsidRDefault="00F75BDF" w:rsidP="00317A57">
      <w:pPr>
        <w:pStyle w:val="Normlndobloku"/>
      </w:pPr>
      <w:r w:rsidRPr="007466D1">
        <w:t xml:space="preserve">V klinickej štúdii zahŕňajúcej 115 detí a dospievajúcich s hypertenziou vo veku od 6 do 16 rokov, dostávali pacienti s telesnou hmotnosťou menej ako 50 kg, 0,625 mg, 2,5 mg alebo 20 mg </w:t>
      </w:r>
      <w:proofErr w:type="spellStart"/>
      <w:r w:rsidRPr="007466D1">
        <w:t>lizinoprilu</w:t>
      </w:r>
      <w:proofErr w:type="spellEnd"/>
      <w:r w:rsidRPr="007466D1">
        <w:t xml:space="preserve"> jedenkrát denne a pacienti, s telesnou hmotnosťou 50 kg a viac, dostávali buď 1,25 mg, 5 mg alebo 40</w:t>
      </w:r>
      <w:r w:rsidR="00C073A3" w:rsidRPr="007466D1">
        <w:t> </w:t>
      </w:r>
      <w:r w:rsidRPr="007466D1">
        <w:t xml:space="preserve">mg </w:t>
      </w:r>
      <w:proofErr w:type="spellStart"/>
      <w:r w:rsidRPr="007466D1">
        <w:t>lizinoprilu</w:t>
      </w:r>
      <w:proofErr w:type="spellEnd"/>
      <w:r w:rsidRPr="007466D1">
        <w:t xml:space="preserve"> jedenkrát denne. Na konci 2. týždňa </w:t>
      </w:r>
      <w:proofErr w:type="spellStart"/>
      <w:r w:rsidRPr="007466D1">
        <w:t>lizinopril</w:t>
      </w:r>
      <w:proofErr w:type="spellEnd"/>
      <w:r w:rsidRPr="007466D1">
        <w:t xml:space="preserve"> podávaný raz denne znížil dolný krvný tlak v závislosti od dávky s konzistentnou </w:t>
      </w:r>
      <w:proofErr w:type="spellStart"/>
      <w:r w:rsidRPr="007466D1">
        <w:t>antihypertenznou</w:t>
      </w:r>
      <w:proofErr w:type="spellEnd"/>
      <w:r w:rsidRPr="007466D1">
        <w:t xml:space="preserve"> účinnosťou preukázanou pri dávkach vyšších ako 1,25 mg.</w:t>
      </w:r>
    </w:p>
    <w:p w14:paraId="046CC31B" w14:textId="77777777" w:rsidR="00C073A3" w:rsidRPr="007466D1" w:rsidRDefault="00F75BDF" w:rsidP="00317A57">
      <w:pPr>
        <w:pStyle w:val="Normlndobloku"/>
      </w:pPr>
      <w:r w:rsidRPr="007466D1">
        <w:t xml:space="preserve">Tento účinok sa potvrdil vo fáze vysadenia lieku, keď diastolický tlak krvi stúpol približne o 9 mm HG viac u pacientov užívajúcich </w:t>
      </w:r>
      <w:proofErr w:type="spellStart"/>
      <w:r w:rsidRPr="007466D1">
        <w:t>placebo</w:t>
      </w:r>
      <w:proofErr w:type="spellEnd"/>
      <w:r w:rsidRPr="007466D1">
        <w:t xml:space="preserve"> v porovnaní s pacientmi, ktorí dostávali sústavne stredné a</w:t>
      </w:r>
      <w:r w:rsidR="00C073A3" w:rsidRPr="007466D1">
        <w:t> </w:t>
      </w:r>
      <w:r w:rsidRPr="007466D1">
        <w:t xml:space="preserve">vysoké dávky </w:t>
      </w:r>
      <w:proofErr w:type="spellStart"/>
      <w:r w:rsidRPr="007466D1">
        <w:t>lizinoprilu</w:t>
      </w:r>
      <w:proofErr w:type="spellEnd"/>
      <w:r w:rsidRPr="007466D1">
        <w:t xml:space="preserve">. Od dávky závislý </w:t>
      </w:r>
      <w:proofErr w:type="spellStart"/>
      <w:r w:rsidRPr="007466D1">
        <w:t>antihypertenzný</w:t>
      </w:r>
      <w:proofErr w:type="spellEnd"/>
      <w:r w:rsidRPr="007466D1">
        <w:t xml:space="preserve"> účinok </w:t>
      </w:r>
      <w:proofErr w:type="spellStart"/>
      <w:r w:rsidRPr="007466D1">
        <w:t>lizinoprilu</w:t>
      </w:r>
      <w:proofErr w:type="spellEnd"/>
      <w:r w:rsidRPr="007466D1">
        <w:t xml:space="preserve"> bol konzistentný v</w:t>
      </w:r>
      <w:r w:rsidR="00C073A3" w:rsidRPr="007466D1">
        <w:t> </w:t>
      </w:r>
      <w:r w:rsidRPr="007466D1">
        <w:t xml:space="preserve">niekoľkých demografických podskupinách: vek, </w:t>
      </w:r>
      <w:proofErr w:type="spellStart"/>
      <w:r w:rsidRPr="007466D1">
        <w:t>Tannerovo</w:t>
      </w:r>
      <w:proofErr w:type="spellEnd"/>
      <w:r w:rsidRPr="007466D1">
        <w:t xml:space="preserve"> štádium, pohlavie a rasa.</w:t>
      </w:r>
    </w:p>
    <w:p w14:paraId="5B858F51" w14:textId="77777777" w:rsidR="00C073A3" w:rsidRPr="007466D1" w:rsidRDefault="00F75BDF" w:rsidP="00317A57">
      <w:pPr>
        <w:pStyle w:val="Normlndobloku"/>
      </w:pPr>
      <w:r w:rsidRPr="007466D1">
        <w:t xml:space="preserve">Dve rozsiahle </w:t>
      </w:r>
      <w:proofErr w:type="spellStart"/>
      <w:r w:rsidRPr="007466D1">
        <w:t>randomizované</w:t>
      </w:r>
      <w:proofErr w:type="spellEnd"/>
      <w:r w:rsidRPr="007466D1">
        <w:t>, kontrolované klinické skúšania (ONTARGET (</w:t>
      </w:r>
      <w:proofErr w:type="spellStart"/>
      <w:r w:rsidRPr="007466D1">
        <w:t>ONgoing</w:t>
      </w:r>
      <w:proofErr w:type="spellEnd"/>
      <w:r w:rsidRPr="007466D1">
        <w:t xml:space="preserve"> </w:t>
      </w:r>
      <w:proofErr w:type="spellStart"/>
      <w:r w:rsidRPr="007466D1">
        <w:t>Telmisartan</w:t>
      </w:r>
      <w:proofErr w:type="spellEnd"/>
      <w:r w:rsidRPr="007466D1">
        <w:t xml:space="preserve"> </w:t>
      </w:r>
      <w:proofErr w:type="spellStart"/>
      <w:r w:rsidRPr="007466D1">
        <w:t>Alone</w:t>
      </w:r>
      <w:proofErr w:type="spellEnd"/>
      <w:r w:rsidRPr="007466D1">
        <w:t xml:space="preserve"> and in </w:t>
      </w:r>
      <w:proofErr w:type="spellStart"/>
      <w:r w:rsidRPr="007466D1">
        <w:t>combination</w:t>
      </w:r>
      <w:proofErr w:type="spellEnd"/>
      <w:r w:rsidRPr="007466D1">
        <w:t xml:space="preserve"> </w:t>
      </w:r>
      <w:proofErr w:type="spellStart"/>
      <w:r w:rsidRPr="007466D1">
        <w:t>with</w:t>
      </w:r>
      <w:proofErr w:type="spellEnd"/>
      <w:r w:rsidRPr="007466D1">
        <w:t xml:space="preserve"> </w:t>
      </w:r>
      <w:proofErr w:type="spellStart"/>
      <w:r w:rsidRPr="007466D1">
        <w:t>Ramipril</w:t>
      </w:r>
      <w:proofErr w:type="spellEnd"/>
      <w:r w:rsidRPr="007466D1">
        <w:t xml:space="preserve"> </w:t>
      </w:r>
      <w:proofErr w:type="spellStart"/>
      <w:r w:rsidRPr="007466D1">
        <w:t>Global</w:t>
      </w:r>
      <w:proofErr w:type="spellEnd"/>
      <w:r w:rsidRPr="007466D1">
        <w:t xml:space="preserve"> </w:t>
      </w:r>
      <w:proofErr w:type="spellStart"/>
      <w:r w:rsidRPr="007466D1">
        <w:t>Endpoint</w:t>
      </w:r>
      <w:proofErr w:type="spellEnd"/>
      <w:r w:rsidRPr="007466D1">
        <w:t xml:space="preserve"> Trial) a VA NEPHRON-D (</w:t>
      </w:r>
      <w:proofErr w:type="spellStart"/>
      <w:r w:rsidRPr="007466D1">
        <w:t>The</w:t>
      </w:r>
      <w:proofErr w:type="spellEnd"/>
      <w:r w:rsidRPr="007466D1">
        <w:t xml:space="preserve"> </w:t>
      </w:r>
      <w:proofErr w:type="spellStart"/>
      <w:r w:rsidRPr="007466D1">
        <w:t>Veterans</w:t>
      </w:r>
      <w:proofErr w:type="spellEnd"/>
      <w:r w:rsidRPr="007466D1">
        <w:t xml:space="preserve"> </w:t>
      </w:r>
      <w:proofErr w:type="spellStart"/>
      <w:r w:rsidRPr="007466D1">
        <w:t>Affairs</w:t>
      </w:r>
      <w:proofErr w:type="spellEnd"/>
      <w:r w:rsidRPr="007466D1">
        <w:t xml:space="preserve"> </w:t>
      </w:r>
      <w:proofErr w:type="spellStart"/>
      <w:r w:rsidRPr="007466D1">
        <w:t>Nephropathy</w:t>
      </w:r>
      <w:proofErr w:type="spellEnd"/>
      <w:r w:rsidRPr="007466D1">
        <w:t xml:space="preserve"> in Diabetes)) skúmali použitie kombinácie inhibítora ACE a </w:t>
      </w:r>
      <w:proofErr w:type="spellStart"/>
      <w:r w:rsidRPr="007466D1">
        <w:t>blokátora</w:t>
      </w:r>
      <w:proofErr w:type="spellEnd"/>
      <w:r w:rsidRPr="007466D1">
        <w:t xml:space="preserve"> receptorov </w:t>
      </w:r>
      <w:proofErr w:type="spellStart"/>
      <w:r w:rsidRPr="007466D1">
        <w:t>angiotenzínu</w:t>
      </w:r>
      <w:proofErr w:type="spellEnd"/>
      <w:r w:rsidRPr="007466D1">
        <w:t xml:space="preserve"> II.</w:t>
      </w:r>
    </w:p>
    <w:p w14:paraId="2DD7EC38" w14:textId="77777777" w:rsidR="00C073A3" w:rsidRPr="007466D1" w:rsidRDefault="00F75BDF" w:rsidP="00317A57">
      <w:pPr>
        <w:pStyle w:val="Normlndobloku"/>
      </w:pPr>
      <w:r w:rsidRPr="007466D1">
        <w:t xml:space="preserve">Skúšanie ONTARGET sa vykonalo u pacientov s kardiovaskulárnym alebo </w:t>
      </w:r>
      <w:proofErr w:type="spellStart"/>
      <w:r w:rsidRPr="007466D1">
        <w:t>cerebrovaskulárnym</w:t>
      </w:r>
      <w:proofErr w:type="spellEnd"/>
      <w:r w:rsidRPr="007466D1">
        <w:t xml:space="preserve"> ochorením v anamnéze, alebo u pacientov s diabetes </w:t>
      </w:r>
      <w:proofErr w:type="spellStart"/>
      <w:r w:rsidRPr="007466D1">
        <w:t>mellitus</w:t>
      </w:r>
      <w:proofErr w:type="spellEnd"/>
      <w:r w:rsidRPr="007466D1">
        <w:t xml:space="preserve"> 2. typu, u ktorých sa preukázalo poškodenie cieľových orgánov. Skúšanie VA NEPHRON-D sa vykonalo u pacientov s diabetes </w:t>
      </w:r>
      <w:proofErr w:type="spellStart"/>
      <w:r w:rsidRPr="007466D1">
        <w:t>mellitus</w:t>
      </w:r>
      <w:proofErr w:type="spellEnd"/>
      <w:r w:rsidRPr="007466D1">
        <w:t xml:space="preserve"> 2. typu a diabetickou </w:t>
      </w:r>
      <w:proofErr w:type="spellStart"/>
      <w:r w:rsidRPr="007466D1">
        <w:t>nefropatiou</w:t>
      </w:r>
      <w:proofErr w:type="spellEnd"/>
      <w:r w:rsidRPr="007466D1">
        <w:t>.</w:t>
      </w:r>
    </w:p>
    <w:p w14:paraId="4F8DF95C" w14:textId="77777777" w:rsidR="00C073A3" w:rsidRPr="007466D1" w:rsidRDefault="00F75BDF" w:rsidP="00317A57">
      <w:pPr>
        <w:pStyle w:val="Normlndobloku"/>
      </w:pPr>
      <w:r w:rsidRPr="007466D1">
        <w:t xml:space="preserve">Tieto skúšania neukázali významný priaznivý účinok na </w:t>
      </w:r>
      <w:proofErr w:type="spellStart"/>
      <w:r w:rsidRPr="007466D1">
        <w:t>renálne</w:t>
      </w:r>
      <w:proofErr w:type="spellEnd"/>
      <w:r w:rsidRPr="007466D1">
        <w:t xml:space="preserve"> a/alebo kardiovaskulárne ukazovatele a mortalitu, zatiaľ čo v porovnaní s </w:t>
      </w:r>
      <w:proofErr w:type="spellStart"/>
      <w:r w:rsidRPr="007466D1">
        <w:t>monoterapiou</w:t>
      </w:r>
      <w:proofErr w:type="spellEnd"/>
      <w:r w:rsidRPr="007466D1">
        <w:t xml:space="preserve"> sa pozorovalo zvýšené riziko </w:t>
      </w:r>
      <w:proofErr w:type="spellStart"/>
      <w:r w:rsidRPr="007466D1">
        <w:t>hyperkaliémie</w:t>
      </w:r>
      <w:proofErr w:type="spellEnd"/>
      <w:r w:rsidRPr="007466D1">
        <w:t xml:space="preserve">, akútneho poškodenia obličiek a/alebo hypotenzie. Vzhľadom na podobné </w:t>
      </w:r>
      <w:proofErr w:type="spellStart"/>
      <w:r w:rsidRPr="007466D1">
        <w:t>farmakodynamické</w:t>
      </w:r>
      <w:proofErr w:type="spellEnd"/>
      <w:r w:rsidRPr="007466D1">
        <w:t xml:space="preserve"> vlastnosti sú tieto výsledky relevantné aj pre ostatné inhibítory ACE a </w:t>
      </w:r>
      <w:proofErr w:type="spellStart"/>
      <w:r w:rsidRPr="007466D1">
        <w:t>blokátory</w:t>
      </w:r>
      <w:proofErr w:type="spellEnd"/>
      <w:r w:rsidRPr="007466D1">
        <w:t xml:space="preserve"> receptorov </w:t>
      </w:r>
      <w:proofErr w:type="spellStart"/>
      <w:r w:rsidRPr="007466D1">
        <w:t>angiotenzínu</w:t>
      </w:r>
      <w:proofErr w:type="spellEnd"/>
      <w:r w:rsidRPr="007466D1">
        <w:t xml:space="preserve"> II.</w:t>
      </w:r>
    </w:p>
    <w:p w14:paraId="14A4102C" w14:textId="77777777" w:rsidR="00C073A3" w:rsidRPr="007466D1" w:rsidRDefault="00F75BDF" w:rsidP="00317A57">
      <w:pPr>
        <w:pStyle w:val="Normlndobloku"/>
      </w:pPr>
      <w:r w:rsidRPr="007466D1">
        <w:t xml:space="preserve">Inhibítory ACE a </w:t>
      </w:r>
      <w:proofErr w:type="spellStart"/>
      <w:r w:rsidRPr="007466D1">
        <w:t>blokátory</w:t>
      </w:r>
      <w:proofErr w:type="spellEnd"/>
      <w:r w:rsidRPr="007466D1">
        <w:t xml:space="preserve"> receptorov </w:t>
      </w:r>
      <w:proofErr w:type="spellStart"/>
      <w:r w:rsidRPr="007466D1">
        <w:t>angiotenzínu</w:t>
      </w:r>
      <w:proofErr w:type="spellEnd"/>
      <w:r w:rsidRPr="007466D1">
        <w:t xml:space="preserve"> II sa preto nemajú používať súbežne u pacientov s</w:t>
      </w:r>
      <w:r w:rsidR="00E927B4">
        <w:t> </w:t>
      </w:r>
      <w:r w:rsidRPr="007466D1">
        <w:t xml:space="preserve">diabetickou </w:t>
      </w:r>
      <w:proofErr w:type="spellStart"/>
      <w:r w:rsidRPr="007466D1">
        <w:t>nefropatiou</w:t>
      </w:r>
      <w:proofErr w:type="spellEnd"/>
      <w:r w:rsidRPr="007466D1">
        <w:t>.</w:t>
      </w:r>
    </w:p>
    <w:p w14:paraId="750D21FA" w14:textId="77777777" w:rsidR="00F75BDF" w:rsidRDefault="00F75BDF" w:rsidP="00317A57">
      <w:pPr>
        <w:pStyle w:val="Normlndobloku"/>
      </w:pPr>
      <w:r w:rsidRPr="007466D1">
        <w:t>Skúšanie ALTITUDE (</w:t>
      </w:r>
      <w:proofErr w:type="spellStart"/>
      <w:r w:rsidRPr="007466D1">
        <w:t>Aliskiren</w:t>
      </w:r>
      <w:proofErr w:type="spellEnd"/>
      <w:r w:rsidRPr="007466D1">
        <w:t xml:space="preserve"> Trial in Type 2 Diabetes </w:t>
      </w:r>
      <w:proofErr w:type="spellStart"/>
      <w:r w:rsidRPr="007466D1">
        <w:t>Using</w:t>
      </w:r>
      <w:proofErr w:type="spellEnd"/>
      <w:r w:rsidRPr="007466D1">
        <w:t xml:space="preserve"> </w:t>
      </w:r>
      <w:proofErr w:type="spellStart"/>
      <w:r w:rsidRPr="007466D1">
        <w:t>Cardiovascular</w:t>
      </w:r>
      <w:proofErr w:type="spellEnd"/>
      <w:r w:rsidRPr="007466D1">
        <w:t xml:space="preserve"> and </w:t>
      </w:r>
      <w:proofErr w:type="spellStart"/>
      <w:r w:rsidRPr="007466D1">
        <w:t>Renal</w:t>
      </w:r>
      <w:proofErr w:type="spellEnd"/>
      <w:r w:rsidRPr="007466D1">
        <w:t xml:space="preserve"> </w:t>
      </w:r>
      <w:proofErr w:type="spellStart"/>
      <w:r w:rsidRPr="007466D1">
        <w:t>Disease</w:t>
      </w:r>
      <w:proofErr w:type="spellEnd"/>
      <w:r w:rsidRPr="007466D1">
        <w:t xml:space="preserve"> </w:t>
      </w:r>
      <w:proofErr w:type="spellStart"/>
      <w:r w:rsidRPr="007466D1">
        <w:t>Endpoints</w:t>
      </w:r>
      <w:proofErr w:type="spellEnd"/>
      <w:r w:rsidRPr="007466D1">
        <w:t xml:space="preserve">) bolo navrhnuté na otestovanie prínosu pridania </w:t>
      </w:r>
      <w:proofErr w:type="spellStart"/>
      <w:r w:rsidRPr="007466D1">
        <w:t>aliskirénu</w:t>
      </w:r>
      <w:proofErr w:type="spellEnd"/>
      <w:r w:rsidRPr="007466D1">
        <w:t xml:space="preserve"> k štandardnej liečbe inhibítorom ACE alebo </w:t>
      </w:r>
      <w:proofErr w:type="spellStart"/>
      <w:r w:rsidRPr="007466D1">
        <w:t>blokátorom</w:t>
      </w:r>
      <w:proofErr w:type="spellEnd"/>
      <w:r w:rsidRPr="007466D1">
        <w:t xml:space="preserve"> receptorov </w:t>
      </w:r>
      <w:proofErr w:type="spellStart"/>
      <w:r w:rsidRPr="007466D1">
        <w:t>angiotenzínu</w:t>
      </w:r>
      <w:proofErr w:type="spellEnd"/>
      <w:r w:rsidRPr="007466D1">
        <w:t xml:space="preserve"> II u pacientov s diabetes </w:t>
      </w:r>
      <w:proofErr w:type="spellStart"/>
      <w:r w:rsidRPr="007466D1">
        <w:t>mellitus</w:t>
      </w:r>
      <w:proofErr w:type="spellEnd"/>
      <w:r w:rsidRPr="007466D1">
        <w:t xml:space="preserve"> 2. typu a</w:t>
      </w:r>
      <w:r w:rsidR="00C073A3" w:rsidRPr="007466D1">
        <w:t> </w:t>
      </w:r>
      <w:r w:rsidRPr="007466D1">
        <w:t xml:space="preserve">chronickým ochorením obličiek, kardiovaskulárnym ochorením, alebo oboma ochoreniami. Skúšanie bolo predčasne ukončené pre zvýšené riziko nežiaducich udalostí. V skupine </w:t>
      </w:r>
      <w:proofErr w:type="spellStart"/>
      <w:r w:rsidRPr="007466D1">
        <w:t>aliskirénu</w:t>
      </w:r>
      <w:proofErr w:type="spellEnd"/>
      <w:r w:rsidRPr="007466D1">
        <w:t xml:space="preserve"> bolo numericky viac úmrtí z</w:t>
      </w:r>
      <w:r w:rsidR="00E927B4">
        <w:t> </w:t>
      </w:r>
      <w:r w:rsidRPr="007466D1">
        <w:t xml:space="preserve">kardiovaskulárnej príčiny a cievnych mozgových príhod ako v skupine </w:t>
      </w:r>
      <w:proofErr w:type="spellStart"/>
      <w:r w:rsidRPr="007466D1">
        <w:t>placeba</w:t>
      </w:r>
      <w:proofErr w:type="spellEnd"/>
      <w:r w:rsidRPr="007466D1">
        <w:t xml:space="preserve"> a v skupine </w:t>
      </w:r>
      <w:proofErr w:type="spellStart"/>
      <w:r w:rsidRPr="007466D1">
        <w:t>aliskirénu</w:t>
      </w:r>
      <w:proofErr w:type="spellEnd"/>
      <w:r w:rsidRPr="007466D1">
        <w:t xml:space="preserve"> boli častejšie hlásené sledované nežiaduce udalosti a závažné nežiaduce udalosti (</w:t>
      </w:r>
      <w:proofErr w:type="spellStart"/>
      <w:r w:rsidRPr="007466D1">
        <w:t>hyperkaliémia</w:t>
      </w:r>
      <w:proofErr w:type="spellEnd"/>
      <w:r w:rsidRPr="007466D1">
        <w:t xml:space="preserve">, hypotenzia a </w:t>
      </w:r>
      <w:proofErr w:type="spellStart"/>
      <w:r w:rsidRPr="007466D1">
        <w:t>renálna</w:t>
      </w:r>
      <w:proofErr w:type="spellEnd"/>
      <w:r w:rsidRPr="007466D1">
        <w:t xml:space="preserve"> dysfunkcia) ako v skupine </w:t>
      </w:r>
      <w:proofErr w:type="spellStart"/>
      <w:r w:rsidRPr="007466D1">
        <w:t>placeba</w:t>
      </w:r>
      <w:proofErr w:type="spellEnd"/>
      <w:r w:rsidRPr="007466D1">
        <w:t>.</w:t>
      </w:r>
    </w:p>
    <w:p w14:paraId="13DD644A" w14:textId="77777777" w:rsidR="003A191A" w:rsidRPr="007466D1" w:rsidRDefault="003A191A" w:rsidP="00317A57">
      <w:pPr>
        <w:pStyle w:val="Normlndobloku"/>
      </w:pPr>
    </w:p>
    <w:p w14:paraId="2F5D3716" w14:textId="77777777" w:rsidR="00F75BDF" w:rsidRPr="007466D1" w:rsidRDefault="00F75BDF" w:rsidP="00F75BDF">
      <w:pPr>
        <w:pStyle w:val="Styl2"/>
        <w:rPr>
          <w:lang w:val="sk-SK"/>
        </w:rPr>
      </w:pPr>
      <w:r w:rsidRPr="007466D1">
        <w:rPr>
          <w:lang w:val="sk-SK"/>
        </w:rPr>
        <w:t>5.2</w:t>
      </w:r>
      <w:r w:rsidRPr="007466D1">
        <w:rPr>
          <w:lang w:val="sk-SK"/>
        </w:rPr>
        <w:tab/>
      </w:r>
      <w:proofErr w:type="spellStart"/>
      <w:r w:rsidRPr="007466D1">
        <w:rPr>
          <w:lang w:val="sk-SK"/>
        </w:rPr>
        <w:t>Farmakokinetické</w:t>
      </w:r>
      <w:proofErr w:type="spellEnd"/>
      <w:r w:rsidRPr="007466D1">
        <w:rPr>
          <w:lang w:val="sk-SK"/>
        </w:rPr>
        <w:t xml:space="preserve"> vlastnosti</w:t>
      </w:r>
    </w:p>
    <w:p w14:paraId="2617166B" w14:textId="77777777" w:rsidR="00C073A3" w:rsidRPr="007466D1" w:rsidRDefault="00F75BDF" w:rsidP="00317A57">
      <w:pPr>
        <w:pStyle w:val="Normlndobloku"/>
      </w:pPr>
      <w:proofErr w:type="spellStart"/>
      <w:r w:rsidRPr="007466D1">
        <w:t>Lizinopril</w:t>
      </w:r>
      <w:proofErr w:type="spellEnd"/>
      <w:r w:rsidRPr="007466D1">
        <w:t xml:space="preserve"> je perorálne účinný ACE inhibítor, neobsahuje </w:t>
      </w:r>
      <w:proofErr w:type="spellStart"/>
      <w:r w:rsidRPr="007466D1">
        <w:t>sulfhydrylovú</w:t>
      </w:r>
      <w:proofErr w:type="spellEnd"/>
      <w:r w:rsidRPr="007466D1">
        <w:t xml:space="preserve"> skupinu.</w:t>
      </w:r>
    </w:p>
    <w:p w14:paraId="5EC3CF07" w14:textId="77777777" w:rsidR="00F75BDF" w:rsidRPr="007466D1" w:rsidRDefault="00F75BDF" w:rsidP="00C073A3">
      <w:pPr>
        <w:pStyle w:val="Styl3"/>
        <w:rPr>
          <w:lang w:val="sk-SK"/>
        </w:rPr>
      </w:pPr>
      <w:r w:rsidRPr="007466D1">
        <w:rPr>
          <w:lang w:val="sk-SK"/>
        </w:rPr>
        <w:t>Absorpcia</w:t>
      </w:r>
    </w:p>
    <w:p w14:paraId="18EA1650" w14:textId="77777777" w:rsidR="00C073A3" w:rsidRPr="007466D1" w:rsidRDefault="00F75BDF" w:rsidP="00317A57">
      <w:pPr>
        <w:pStyle w:val="Normlndobloku"/>
      </w:pPr>
      <w:r w:rsidRPr="007466D1">
        <w:t xml:space="preserve">Po perorálnom podaní </w:t>
      </w:r>
      <w:proofErr w:type="spellStart"/>
      <w:r w:rsidRPr="007466D1">
        <w:t>lizinoprilu</w:t>
      </w:r>
      <w:proofErr w:type="spellEnd"/>
      <w:r w:rsidRPr="007466D1">
        <w:t xml:space="preserve"> sa maximálne sérové koncentrácie dosahujú v priebehu približne 7</w:t>
      </w:r>
      <w:r w:rsidR="00C073A3" w:rsidRPr="007466D1">
        <w:t> </w:t>
      </w:r>
      <w:r w:rsidRPr="007466D1">
        <w:t>hodín, hoci u pacientov s akútnym infarktom myokardu sa zaznamenala tendencia mierneho predĺženia času potrebného na dosiahnutie maximálnych sérových koncentrácií. Na základe obsahu v</w:t>
      </w:r>
      <w:r w:rsidR="00C073A3" w:rsidRPr="007466D1">
        <w:t> </w:t>
      </w:r>
      <w:r w:rsidRPr="007466D1">
        <w:t xml:space="preserve">moči sa zistilo, že priemerná miera absorpcie </w:t>
      </w:r>
      <w:proofErr w:type="spellStart"/>
      <w:r w:rsidRPr="007466D1">
        <w:t>lizinoprilu</w:t>
      </w:r>
      <w:proofErr w:type="spellEnd"/>
      <w:r w:rsidRPr="007466D1">
        <w:t xml:space="preserve"> je približne 25 % s </w:t>
      </w:r>
      <w:proofErr w:type="spellStart"/>
      <w:r w:rsidRPr="007466D1">
        <w:t>interindividuálnou</w:t>
      </w:r>
      <w:proofErr w:type="spellEnd"/>
      <w:r w:rsidRPr="007466D1">
        <w:t xml:space="preserve"> variabilitou 6 – 60 % v sledovanom rozsahu dávkovania (5 – 80 mg). Absolútna biologická dostupnosť je u pacientov so srdcovým zlyhaním znížená približne o 16 %. Absorpcia </w:t>
      </w:r>
      <w:proofErr w:type="spellStart"/>
      <w:r w:rsidRPr="007466D1">
        <w:t>lizinoprilu</w:t>
      </w:r>
      <w:proofErr w:type="spellEnd"/>
      <w:r w:rsidRPr="007466D1">
        <w:t xml:space="preserve"> nie je ovplyvnená jedlom.</w:t>
      </w:r>
    </w:p>
    <w:p w14:paraId="6766BB93" w14:textId="77777777" w:rsidR="00F75BDF" w:rsidRPr="007466D1" w:rsidRDefault="00F75BDF" w:rsidP="00C073A3">
      <w:pPr>
        <w:pStyle w:val="Styl3"/>
        <w:rPr>
          <w:lang w:val="sk-SK"/>
        </w:rPr>
      </w:pPr>
      <w:r w:rsidRPr="007466D1">
        <w:rPr>
          <w:lang w:val="sk-SK"/>
        </w:rPr>
        <w:lastRenderedPageBreak/>
        <w:t>Distribúcia</w:t>
      </w:r>
    </w:p>
    <w:p w14:paraId="6B36DF4D" w14:textId="77777777" w:rsidR="00C073A3" w:rsidRPr="00DF23CD" w:rsidRDefault="00F75BDF" w:rsidP="00317A57">
      <w:pPr>
        <w:pStyle w:val="Normlndobloku"/>
      </w:pPr>
      <w:proofErr w:type="spellStart"/>
      <w:r w:rsidRPr="007466D1">
        <w:t>Lizinopril</w:t>
      </w:r>
      <w:proofErr w:type="spellEnd"/>
      <w:r w:rsidRPr="007466D1">
        <w:t xml:space="preserve"> sa pravdepodobne neviaže na iné plazmatické bielkoviny ale</w:t>
      </w:r>
      <w:r w:rsidRPr="00E3367C">
        <w:t xml:space="preserve"> na </w:t>
      </w:r>
      <w:r w:rsidRPr="007466D1">
        <w:t xml:space="preserve">cirkulujúci </w:t>
      </w:r>
      <w:proofErr w:type="spellStart"/>
      <w:r w:rsidRPr="007466D1">
        <w:t>angiotenzín</w:t>
      </w:r>
      <w:proofErr w:type="spellEnd"/>
      <w:r w:rsidRPr="007466D1">
        <w:t xml:space="preserve"> konvertujúci enzým (ACE). Štúdie na potkanoch ukazujú, že </w:t>
      </w:r>
      <w:proofErr w:type="spellStart"/>
      <w:r w:rsidRPr="007466D1">
        <w:t>lizinopril</w:t>
      </w:r>
      <w:proofErr w:type="spellEnd"/>
      <w:r w:rsidRPr="00E3367C">
        <w:t xml:space="preserve"> slabo prechádza </w:t>
      </w:r>
      <w:proofErr w:type="spellStart"/>
      <w:r w:rsidRPr="007466D1">
        <w:t>hematoencefalickou</w:t>
      </w:r>
      <w:proofErr w:type="spellEnd"/>
      <w:r w:rsidRPr="00E3367C">
        <w:t xml:space="preserve"> bariérou.</w:t>
      </w:r>
    </w:p>
    <w:p w14:paraId="33217234" w14:textId="77777777" w:rsidR="00F75BDF" w:rsidRPr="007466D1" w:rsidRDefault="00F75BDF" w:rsidP="00C073A3">
      <w:pPr>
        <w:pStyle w:val="Styl3"/>
        <w:rPr>
          <w:lang w:val="sk-SK"/>
        </w:rPr>
      </w:pPr>
      <w:r w:rsidRPr="007466D1">
        <w:rPr>
          <w:lang w:val="sk-SK"/>
        </w:rPr>
        <w:t>Eliminácia</w:t>
      </w:r>
    </w:p>
    <w:p w14:paraId="2526F7A7" w14:textId="77777777" w:rsidR="00C073A3" w:rsidRPr="007466D1" w:rsidRDefault="00F75BDF" w:rsidP="00317A57">
      <w:pPr>
        <w:pStyle w:val="Normlndobloku"/>
      </w:pPr>
      <w:proofErr w:type="spellStart"/>
      <w:r w:rsidRPr="007466D1">
        <w:t>Lizinopril</w:t>
      </w:r>
      <w:proofErr w:type="spellEnd"/>
      <w:r w:rsidRPr="007466D1">
        <w:t xml:space="preserve"> nepodlieha metabolizmu a vylučuje sa v nezmenenom stave močom. Pri opakovanom podaní </w:t>
      </w:r>
      <w:proofErr w:type="spellStart"/>
      <w:r w:rsidRPr="007466D1">
        <w:t>lizinoprilu</w:t>
      </w:r>
      <w:proofErr w:type="spellEnd"/>
      <w:r w:rsidRPr="007466D1">
        <w:t xml:space="preserve"> bol účinný polčas akumulácie stanovený na 12,6 hodiny. </w:t>
      </w:r>
      <w:proofErr w:type="spellStart"/>
      <w:r w:rsidRPr="007466D1">
        <w:t>Klírens</w:t>
      </w:r>
      <w:proofErr w:type="spellEnd"/>
      <w:r w:rsidRPr="007466D1">
        <w:t xml:space="preserve"> </w:t>
      </w:r>
      <w:proofErr w:type="spellStart"/>
      <w:r w:rsidRPr="007466D1">
        <w:t>lizinoprilu</w:t>
      </w:r>
      <w:proofErr w:type="spellEnd"/>
      <w:r w:rsidRPr="007466D1">
        <w:t xml:space="preserve"> u</w:t>
      </w:r>
      <w:r w:rsidR="00C073A3" w:rsidRPr="007466D1">
        <w:t> </w:t>
      </w:r>
      <w:r w:rsidRPr="007466D1">
        <w:t xml:space="preserve">zdravých osôb je približne 50 ml/min. Počas poklesu sérovej hladiny bola zaznamenaná prolongovaná terminálna fáza, ktorá však neviedla k akumulácii liečiva. Táto terminálna fáza pravdepodobne odráža </w:t>
      </w:r>
      <w:proofErr w:type="spellStart"/>
      <w:r w:rsidRPr="007466D1">
        <w:t>saturovateľnosť</w:t>
      </w:r>
      <w:proofErr w:type="spellEnd"/>
      <w:r w:rsidRPr="007466D1">
        <w:t xml:space="preserve"> väzby na ACE a je neúmerná k podanej dávke.</w:t>
      </w:r>
    </w:p>
    <w:p w14:paraId="62F79570" w14:textId="77777777" w:rsidR="00F75BDF" w:rsidRPr="007466D1" w:rsidRDefault="00F75BDF" w:rsidP="00C073A3">
      <w:pPr>
        <w:pStyle w:val="Styl3"/>
        <w:rPr>
          <w:lang w:val="sk-SK"/>
        </w:rPr>
      </w:pPr>
      <w:proofErr w:type="spellStart"/>
      <w:r w:rsidRPr="007466D1">
        <w:rPr>
          <w:lang w:val="sk-SK"/>
        </w:rPr>
        <w:t>Hepatálna</w:t>
      </w:r>
      <w:proofErr w:type="spellEnd"/>
      <w:r w:rsidRPr="007466D1">
        <w:rPr>
          <w:lang w:val="sk-SK"/>
        </w:rPr>
        <w:t xml:space="preserve"> </w:t>
      </w:r>
      <w:proofErr w:type="spellStart"/>
      <w:r w:rsidRPr="007466D1">
        <w:rPr>
          <w:lang w:val="sk-SK"/>
        </w:rPr>
        <w:t>insuficiencia</w:t>
      </w:r>
      <w:proofErr w:type="spellEnd"/>
    </w:p>
    <w:p w14:paraId="4F2CC660" w14:textId="77777777" w:rsidR="00C073A3" w:rsidRPr="007466D1" w:rsidRDefault="00F75BDF" w:rsidP="00317A57">
      <w:pPr>
        <w:pStyle w:val="Normlndobloku"/>
      </w:pPr>
      <w:r w:rsidRPr="007466D1">
        <w:t xml:space="preserve">Porucha funkcie pečene u pacientov s cirhózou spôsobuje zníženie absorpcie </w:t>
      </w:r>
      <w:proofErr w:type="spellStart"/>
      <w:r w:rsidRPr="007466D1">
        <w:t>lizinoprilu</w:t>
      </w:r>
      <w:proofErr w:type="spellEnd"/>
      <w:r w:rsidRPr="007466D1">
        <w:t xml:space="preserve"> (približne 30</w:t>
      </w:r>
      <w:r w:rsidR="00C073A3" w:rsidRPr="007466D1">
        <w:t> </w:t>
      </w:r>
      <w:r w:rsidRPr="007466D1">
        <w:t>%, stanovené z obsahu v moči), ale v porovnaní so zdravými osobami, zvyšuje expozíciu (približne o</w:t>
      </w:r>
      <w:r w:rsidR="00E927B4">
        <w:t> </w:t>
      </w:r>
      <w:r w:rsidRPr="007466D1">
        <w:t>50</w:t>
      </w:r>
      <w:r w:rsidR="00E927B4">
        <w:t> </w:t>
      </w:r>
      <w:r w:rsidRPr="007466D1">
        <w:t xml:space="preserve">%) v dôsledku zníženého </w:t>
      </w:r>
      <w:proofErr w:type="spellStart"/>
      <w:r w:rsidRPr="007466D1">
        <w:t>klírensu</w:t>
      </w:r>
      <w:proofErr w:type="spellEnd"/>
      <w:r w:rsidRPr="007466D1">
        <w:t>.</w:t>
      </w:r>
    </w:p>
    <w:p w14:paraId="03C31ECE" w14:textId="77777777" w:rsidR="00F75BDF" w:rsidRPr="007466D1" w:rsidRDefault="00F75BDF" w:rsidP="00C073A3">
      <w:pPr>
        <w:pStyle w:val="Styl3"/>
        <w:rPr>
          <w:lang w:val="sk-SK"/>
        </w:rPr>
      </w:pPr>
      <w:r w:rsidRPr="007466D1">
        <w:rPr>
          <w:lang w:val="sk-SK"/>
        </w:rPr>
        <w:t>Porucha funkcie obličiek</w:t>
      </w:r>
    </w:p>
    <w:p w14:paraId="6F8174B6" w14:textId="77777777" w:rsidR="00C073A3" w:rsidRPr="007466D1" w:rsidRDefault="00F75BDF" w:rsidP="00317A57">
      <w:pPr>
        <w:pStyle w:val="Normlndobloku"/>
      </w:pPr>
      <w:r w:rsidRPr="007466D1">
        <w:t xml:space="preserve">Poškodenie </w:t>
      </w:r>
      <w:proofErr w:type="spellStart"/>
      <w:r w:rsidRPr="007466D1">
        <w:t>renálnych</w:t>
      </w:r>
      <w:proofErr w:type="spellEnd"/>
      <w:r w:rsidRPr="007466D1">
        <w:t xml:space="preserve"> funkcií znižuje elimináciu </w:t>
      </w:r>
      <w:proofErr w:type="spellStart"/>
      <w:r w:rsidRPr="007466D1">
        <w:t>lizinoprilu</w:t>
      </w:r>
      <w:proofErr w:type="spellEnd"/>
      <w:r w:rsidRPr="007466D1">
        <w:t xml:space="preserve">, ktorý je vylučovaný obličkami, ale toto zníženie je klinicky významné len vtedy keď je </w:t>
      </w:r>
      <w:proofErr w:type="spellStart"/>
      <w:r w:rsidRPr="007466D1">
        <w:t>glomerulárna</w:t>
      </w:r>
      <w:proofErr w:type="spellEnd"/>
      <w:r w:rsidRPr="007466D1">
        <w:t xml:space="preserve"> filtrácia 30 ml/min a menej. Pri miernej až stredne ťažkej poruche funkcie obličiek (</w:t>
      </w:r>
      <w:proofErr w:type="spellStart"/>
      <w:r w:rsidRPr="007466D1">
        <w:t>klírens</w:t>
      </w:r>
      <w:proofErr w:type="spellEnd"/>
      <w:r w:rsidRPr="007466D1">
        <w:t xml:space="preserve"> </w:t>
      </w:r>
      <w:proofErr w:type="spellStart"/>
      <w:r w:rsidRPr="007466D1">
        <w:t>kreatinínu</w:t>
      </w:r>
      <w:proofErr w:type="spellEnd"/>
      <w:r w:rsidRPr="007466D1">
        <w:t xml:space="preserve"> 30 – 80 ml/min) bola priemerná AUC zvýšená len o 13 %, ale pri ťažkej poruche funkcie obličiek (</w:t>
      </w:r>
      <w:proofErr w:type="spellStart"/>
      <w:r w:rsidRPr="007466D1">
        <w:t>klírens</w:t>
      </w:r>
      <w:proofErr w:type="spellEnd"/>
      <w:r w:rsidRPr="007466D1">
        <w:t xml:space="preserve"> </w:t>
      </w:r>
      <w:proofErr w:type="spellStart"/>
      <w:r w:rsidRPr="007466D1">
        <w:t>kreatinínu</w:t>
      </w:r>
      <w:proofErr w:type="spellEnd"/>
      <w:r w:rsidRPr="007466D1">
        <w:t xml:space="preserve"> 5 – 30 ml/min) bolo zvýšenie priemerných AUC 4 – 5násobné. </w:t>
      </w:r>
      <w:proofErr w:type="spellStart"/>
      <w:r w:rsidRPr="007466D1">
        <w:t>Lizinopril</w:t>
      </w:r>
      <w:proofErr w:type="spellEnd"/>
      <w:r w:rsidRPr="007466D1">
        <w:t xml:space="preserve"> možno odstrániť dialýzou. Počas 4 hodín hemodialýzy plazmatické koncentrácie </w:t>
      </w:r>
      <w:proofErr w:type="spellStart"/>
      <w:r w:rsidRPr="007466D1">
        <w:t>lizinoprilu</w:t>
      </w:r>
      <w:proofErr w:type="spellEnd"/>
      <w:r w:rsidRPr="007466D1">
        <w:t xml:space="preserve"> poklesli priemerne o 60 % s </w:t>
      </w:r>
      <w:proofErr w:type="spellStart"/>
      <w:r w:rsidRPr="007466D1">
        <w:t>klírensom</w:t>
      </w:r>
      <w:proofErr w:type="spellEnd"/>
      <w:r w:rsidRPr="007466D1">
        <w:t xml:space="preserve"> dialýzy medzi 40 a 55 ml/min.</w:t>
      </w:r>
    </w:p>
    <w:p w14:paraId="54676CF1" w14:textId="77777777" w:rsidR="00F75BDF" w:rsidRPr="007466D1" w:rsidRDefault="00F75BDF" w:rsidP="00C073A3">
      <w:pPr>
        <w:pStyle w:val="Styl3"/>
        <w:rPr>
          <w:lang w:val="sk-SK"/>
        </w:rPr>
      </w:pPr>
      <w:r w:rsidRPr="007466D1">
        <w:rPr>
          <w:lang w:val="sk-SK"/>
        </w:rPr>
        <w:t>Srdcové zlyhanie</w:t>
      </w:r>
    </w:p>
    <w:p w14:paraId="1ECB3916" w14:textId="77777777" w:rsidR="00C073A3" w:rsidRPr="007466D1" w:rsidRDefault="00F75BDF" w:rsidP="00317A57">
      <w:pPr>
        <w:pStyle w:val="Normlndobloku"/>
      </w:pPr>
      <w:r w:rsidRPr="007466D1">
        <w:t xml:space="preserve">U pacientov so srdcovým zlyhaním je dlhšia expozícia </w:t>
      </w:r>
      <w:proofErr w:type="spellStart"/>
      <w:r w:rsidRPr="007466D1">
        <w:t>lizinoprilom</w:t>
      </w:r>
      <w:proofErr w:type="spellEnd"/>
      <w:r w:rsidRPr="007466D1">
        <w:t xml:space="preserve"> v porovnaní so zdravými osobami (zvýšenie AUC na priemerne 125 %), ale na základe obsahu </w:t>
      </w:r>
      <w:proofErr w:type="spellStart"/>
      <w:r w:rsidRPr="007466D1">
        <w:t>lizinoprilu</w:t>
      </w:r>
      <w:proofErr w:type="spellEnd"/>
      <w:r w:rsidRPr="007466D1">
        <w:t xml:space="preserve"> v moči je u týchto pacientov znížená absorpcia približne o 16 % v porovnaní so zdravými osobami.</w:t>
      </w:r>
    </w:p>
    <w:p w14:paraId="7559CB2B" w14:textId="77777777" w:rsidR="00F75BDF" w:rsidRPr="007466D1" w:rsidRDefault="00F75BDF" w:rsidP="00C073A3">
      <w:pPr>
        <w:pStyle w:val="Styl3"/>
        <w:rPr>
          <w:lang w:val="sk-SK"/>
        </w:rPr>
      </w:pPr>
      <w:r w:rsidRPr="007466D1">
        <w:rPr>
          <w:lang w:val="sk-SK"/>
        </w:rPr>
        <w:t>Deti a dospievajúci</w:t>
      </w:r>
    </w:p>
    <w:p w14:paraId="10D42A15" w14:textId="77777777" w:rsidR="00C073A3" w:rsidRPr="007466D1" w:rsidRDefault="00F75BDF" w:rsidP="00317A57">
      <w:pPr>
        <w:pStyle w:val="Normlndobloku"/>
      </w:pPr>
      <w:proofErr w:type="spellStart"/>
      <w:r w:rsidRPr="007466D1">
        <w:t>Farmakokinetický</w:t>
      </w:r>
      <w:proofErr w:type="spellEnd"/>
      <w:r w:rsidRPr="007466D1">
        <w:t xml:space="preserve"> profil </w:t>
      </w:r>
      <w:proofErr w:type="spellStart"/>
      <w:r w:rsidRPr="007466D1">
        <w:t>lizinoprilu</w:t>
      </w:r>
      <w:proofErr w:type="spellEnd"/>
      <w:r w:rsidRPr="007466D1">
        <w:t xml:space="preserve"> sa sledoval u 29 pediatrických pacientov s hypertenziou vo veku od 6 do 16 rokov, s GFR nad 30 ml/min/1,73 m2. Po dávkach 0,1 až 0,2 mg/kg sa maximálne plazmatické koncentrácie </w:t>
      </w:r>
      <w:proofErr w:type="spellStart"/>
      <w:r w:rsidRPr="007466D1">
        <w:t>lizinoprilu</w:t>
      </w:r>
      <w:proofErr w:type="spellEnd"/>
      <w:r w:rsidRPr="007466D1">
        <w:t xml:space="preserve"> v rovnovážnom stave dosiahli v priebehu 6 hodín a rozsah absorpcie na základe izolácie z moču bol približne 28 %.</w:t>
      </w:r>
    </w:p>
    <w:p w14:paraId="365F2C0A" w14:textId="77777777" w:rsidR="00C073A3" w:rsidRPr="007466D1" w:rsidRDefault="00F75BDF" w:rsidP="00317A57">
      <w:pPr>
        <w:pStyle w:val="Normlndobloku"/>
      </w:pPr>
      <w:r w:rsidRPr="007466D1">
        <w:t xml:space="preserve">Tieto hodnoty sú podobné tým, ktoré sa už skôr získali u dospelých pacientov. Hodnoty AUC a </w:t>
      </w:r>
      <w:proofErr w:type="spellStart"/>
      <w:r w:rsidRPr="007466D1">
        <w:t>C</w:t>
      </w:r>
      <w:r w:rsidRPr="007466D1">
        <w:rPr>
          <w:vertAlign w:val="subscript"/>
        </w:rPr>
        <w:t>max</w:t>
      </w:r>
      <w:proofErr w:type="spellEnd"/>
      <w:r w:rsidRPr="007466D1">
        <w:t xml:space="preserve"> u</w:t>
      </w:r>
      <w:r w:rsidR="007466D1">
        <w:t> </w:t>
      </w:r>
      <w:r w:rsidRPr="007466D1">
        <w:t>detí sa v tejto štúdii zhodovali s tými, ktoré sa pozorovali u dospelých pacientov.</w:t>
      </w:r>
    </w:p>
    <w:p w14:paraId="7C294F40" w14:textId="77777777" w:rsidR="00F75BDF" w:rsidRPr="007466D1" w:rsidRDefault="00F75BDF" w:rsidP="00C073A3">
      <w:pPr>
        <w:pStyle w:val="Styl3"/>
        <w:rPr>
          <w:lang w:val="sk-SK"/>
        </w:rPr>
      </w:pPr>
      <w:r w:rsidRPr="00D51B1B">
        <w:rPr>
          <w:lang w:val="sk-SK"/>
        </w:rPr>
        <w:t>Starší pacienti</w:t>
      </w:r>
    </w:p>
    <w:p w14:paraId="57D23F5D" w14:textId="77777777" w:rsidR="00F75BDF" w:rsidRDefault="00F75BDF" w:rsidP="00317A57">
      <w:pPr>
        <w:pStyle w:val="Normlndobloku"/>
      </w:pPr>
      <w:r w:rsidRPr="007466D1">
        <w:t>U starších pacientov je vyššia koncentrácia liečiva v krvi a vyššie hodnoty plochy pod krivkou (zvýšené približne o 60 %) v porovnaní s mladšími osobami.</w:t>
      </w:r>
    </w:p>
    <w:p w14:paraId="37D5A907" w14:textId="77777777" w:rsidR="003A191A" w:rsidRPr="007466D1" w:rsidRDefault="003A191A" w:rsidP="00317A57">
      <w:pPr>
        <w:pStyle w:val="Normlndobloku"/>
      </w:pPr>
    </w:p>
    <w:p w14:paraId="1AC24E02" w14:textId="77777777" w:rsidR="00F75BDF" w:rsidRPr="00D51B1B" w:rsidRDefault="00F75BDF" w:rsidP="00D51B1B">
      <w:pPr>
        <w:pStyle w:val="Styl2"/>
        <w:rPr>
          <w:b w:val="0"/>
          <w:lang w:val="sk-SK"/>
        </w:rPr>
      </w:pPr>
      <w:r w:rsidRPr="007466D1">
        <w:rPr>
          <w:lang w:val="sk-SK"/>
        </w:rPr>
        <w:t>5.3</w:t>
      </w:r>
      <w:r w:rsidRPr="007466D1">
        <w:rPr>
          <w:lang w:val="sk-SK"/>
        </w:rPr>
        <w:tab/>
      </w:r>
      <w:r w:rsidRPr="00D51B1B">
        <w:rPr>
          <w:lang w:val="sk-SK"/>
        </w:rPr>
        <w:t>Predklinické údaje o bezpečnosti</w:t>
      </w:r>
    </w:p>
    <w:p w14:paraId="2B375BC0" w14:textId="77777777" w:rsidR="00F75BDF" w:rsidRDefault="00F75BDF" w:rsidP="00317A57">
      <w:pPr>
        <w:pStyle w:val="Normlndobloku"/>
      </w:pPr>
      <w:r w:rsidRPr="007466D1">
        <w:t xml:space="preserve">Predklinické údaje založené na konvenčných štúdiách všeobecnej farmakológie, toxicity po opakovanom podávaní, </w:t>
      </w:r>
      <w:proofErr w:type="spellStart"/>
      <w:r w:rsidRPr="007466D1">
        <w:t>genotoxicity</w:t>
      </w:r>
      <w:proofErr w:type="spellEnd"/>
      <w:r w:rsidRPr="007466D1">
        <w:t xml:space="preserve"> a karcinogénneho potenciálu, nepreukázali žiadne zvláštne riziko pre človeka. Inhibítory </w:t>
      </w:r>
      <w:proofErr w:type="spellStart"/>
      <w:r w:rsidRPr="007466D1">
        <w:t>angiotenzín</w:t>
      </w:r>
      <w:proofErr w:type="spellEnd"/>
      <w:r w:rsidRPr="007466D1">
        <w:t xml:space="preserve"> konvertujúceho enzýmu, ako skupina, spôsobujú nežiaduce účinky v neskorej fáze vývoja plodu, čo vedie k úmrtiu plodu a </w:t>
      </w:r>
      <w:proofErr w:type="spellStart"/>
      <w:r w:rsidRPr="007466D1">
        <w:t>kongenitálnym</w:t>
      </w:r>
      <w:proofErr w:type="spellEnd"/>
      <w:r w:rsidRPr="007466D1">
        <w:t xml:space="preserve"> účinkom, postihujúcim predovšetkým lebku. Bola tiež hlásená </w:t>
      </w:r>
      <w:proofErr w:type="spellStart"/>
      <w:r w:rsidRPr="007466D1">
        <w:t>fetotoxicita</w:t>
      </w:r>
      <w:proofErr w:type="spellEnd"/>
      <w:r w:rsidRPr="007466D1">
        <w:t xml:space="preserve">, retardácia </w:t>
      </w:r>
      <w:proofErr w:type="spellStart"/>
      <w:r w:rsidRPr="007466D1">
        <w:t>intrauterinného</w:t>
      </w:r>
      <w:proofErr w:type="spellEnd"/>
      <w:r w:rsidRPr="007466D1">
        <w:t xml:space="preserve"> rastu a perzistujúci </w:t>
      </w:r>
      <w:proofErr w:type="spellStart"/>
      <w:r w:rsidRPr="007466D1">
        <w:t>arteriálny</w:t>
      </w:r>
      <w:proofErr w:type="spellEnd"/>
      <w:r w:rsidRPr="007466D1">
        <w:t xml:space="preserve"> </w:t>
      </w:r>
      <w:proofErr w:type="spellStart"/>
      <w:r w:rsidRPr="007466D1">
        <w:t>duktus</w:t>
      </w:r>
      <w:proofErr w:type="spellEnd"/>
      <w:r w:rsidRPr="007466D1">
        <w:t xml:space="preserve">. Predpokladá sa, že tieto vývojové anomálie sú čiastočne spôsobené priamym účinkom ACE inhibítorov na </w:t>
      </w:r>
      <w:proofErr w:type="spellStart"/>
      <w:r w:rsidRPr="007466D1">
        <w:t>renín-angiotenzínový</w:t>
      </w:r>
      <w:proofErr w:type="spellEnd"/>
      <w:r w:rsidRPr="007466D1">
        <w:t xml:space="preserve"> systém plodu a čiastočne ischémiou spôsobenou hypotenziou matky ako aj poklesom </w:t>
      </w:r>
      <w:proofErr w:type="spellStart"/>
      <w:r w:rsidRPr="007466D1">
        <w:t>feto-placentárneho</w:t>
      </w:r>
      <w:proofErr w:type="spellEnd"/>
      <w:r w:rsidRPr="007466D1">
        <w:t xml:space="preserve"> prietoku krvi a dodávok kyslíka/živín plodu.</w:t>
      </w:r>
    </w:p>
    <w:p w14:paraId="05C790FF" w14:textId="77777777" w:rsidR="00D415BB" w:rsidRDefault="00D415BB" w:rsidP="00317A57">
      <w:pPr>
        <w:pStyle w:val="Normlndobloku"/>
      </w:pPr>
    </w:p>
    <w:p w14:paraId="39289682" w14:textId="77777777" w:rsidR="0037751C" w:rsidRPr="007466D1" w:rsidRDefault="0037751C" w:rsidP="00317A57">
      <w:pPr>
        <w:pStyle w:val="Normlndobloku"/>
      </w:pPr>
    </w:p>
    <w:p w14:paraId="54123B9C" w14:textId="77777777" w:rsidR="00F75BDF" w:rsidRPr="00D51B1B" w:rsidRDefault="00F75BDF" w:rsidP="00D51B1B">
      <w:pPr>
        <w:pStyle w:val="Styl1"/>
        <w:rPr>
          <w:b w:val="0"/>
          <w:lang w:val="sk-SK"/>
        </w:rPr>
      </w:pPr>
      <w:r w:rsidRPr="007466D1">
        <w:rPr>
          <w:lang w:val="sk-SK"/>
        </w:rPr>
        <w:lastRenderedPageBreak/>
        <w:t>6.</w:t>
      </w:r>
      <w:r w:rsidRPr="007466D1">
        <w:rPr>
          <w:lang w:val="sk-SK"/>
        </w:rPr>
        <w:tab/>
      </w:r>
      <w:r w:rsidRPr="00D51B1B">
        <w:rPr>
          <w:lang w:val="sk-SK"/>
        </w:rPr>
        <w:t xml:space="preserve">FARMACEUTICKÉ </w:t>
      </w:r>
      <w:r w:rsidR="00F459BD">
        <w:rPr>
          <w:lang w:val="sk-SK"/>
        </w:rPr>
        <w:t>INFORMÁCIE</w:t>
      </w:r>
    </w:p>
    <w:p w14:paraId="5A85B99F" w14:textId="77777777" w:rsidR="00F75BDF" w:rsidRPr="00D51B1B" w:rsidRDefault="00F75BDF" w:rsidP="00D51B1B">
      <w:pPr>
        <w:pStyle w:val="Styl2"/>
        <w:rPr>
          <w:b w:val="0"/>
          <w:lang w:val="sk-SK"/>
        </w:rPr>
      </w:pPr>
      <w:r w:rsidRPr="007466D1">
        <w:rPr>
          <w:lang w:val="sk-SK"/>
        </w:rPr>
        <w:t>6.1</w:t>
      </w:r>
      <w:r w:rsidRPr="007466D1">
        <w:rPr>
          <w:lang w:val="sk-SK"/>
        </w:rPr>
        <w:tab/>
      </w:r>
      <w:r w:rsidRPr="00D51B1B">
        <w:rPr>
          <w:lang w:val="sk-SK"/>
        </w:rPr>
        <w:t>Zoznam pomocných látok</w:t>
      </w:r>
    </w:p>
    <w:p w14:paraId="572EDC75" w14:textId="77777777" w:rsidR="00F75BDF" w:rsidRPr="007466D1" w:rsidRDefault="000B3F4C" w:rsidP="00317A57">
      <w:pPr>
        <w:pStyle w:val="Normlndobloku"/>
      </w:pPr>
      <w:proofErr w:type="spellStart"/>
      <w:r>
        <w:t>m</w:t>
      </w:r>
      <w:r w:rsidR="00F75BDF" w:rsidRPr="007466D1">
        <w:t>anitol</w:t>
      </w:r>
      <w:proofErr w:type="spellEnd"/>
    </w:p>
    <w:p w14:paraId="3BCC4A39" w14:textId="77777777" w:rsidR="00F75BDF" w:rsidRPr="007466D1" w:rsidRDefault="000B3F4C" w:rsidP="00317A57">
      <w:pPr>
        <w:pStyle w:val="Normlndobloku"/>
      </w:pPr>
      <w:proofErr w:type="spellStart"/>
      <w:r>
        <w:t>d</w:t>
      </w:r>
      <w:r w:rsidR="00F75BDF" w:rsidRPr="007466D1">
        <w:t>ihydrát</w:t>
      </w:r>
      <w:proofErr w:type="spellEnd"/>
      <w:r w:rsidR="00F75BDF" w:rsidRPr="007466D1">
        <w:t xml:space="preserve"> </w:t>
      </w:r>
      <w:proofErr w:type="spellStart"/>
      <w:r w:rsidR="00F75BDF" w:rsidRPr="007466D1">
        <w:t>hydrogenfosforečnanu</w:t>
      </w:r>
      <w:proofErr w:type="spellEnd"/>
      <w:r w:rsidR="00F75BDF" w:rsidRPr="007466D1">
        <w:t xml:space="preserve"> vápenatého</w:t>
      </w:r>
    </w:p>
    <w:p w14:paraId="27483EC1" w14:textId="77777777" w:rsidR="00F75BDF" w:rsidRPr="007466D1" w:rsidRDefault="000B3F4C" w:rsidP="00317A57">
      <w:pPr>
        <w:pStyle w:val="Normlndobloku"/>
      </w:pPr>
      <w:r>
        <w:t>č</w:t>
      </w:r>
      <w:r w:rsidR="00F75BDF" w:rsidRPr="007466D1">
        <w:t>ervený oxid železitý (E 172)</w:t>
      </w:r>
    </w:p>
    <w:p w14:paraId="199C47FC" w14:textId="77777777" w:rsidR="00F75BDF" w:rsidRPr="007466D1" w:rsidRDefault="000B3F4C" w:rsidP="00317A57">
      <w:pPr>
        <w:pStyle w:val="Normlndobloku"/>
      </w:pPr>
      <w:r>
        <w:t>k</w:t>
      </w:r>
      <w:r w:rsidR="00F75BDF" w:rsidRPr="007466D1">
        <w:t>ukuričný škrob</w:t>
      </w:r>
    </w:p>
    <w:p w14:paraId="1B82482B" w14:textId="77777777" w:rsidR="00F75BDF" w:rsidRPr="007466D1" w:rsidRDefault="000B3F4C" w:rsidP="00317A57">
      <w:pPr>
        <w:pStyle w:val="Normlndobloku"/>
      </w:pPr>
      <w:proofErr w:type="spellStart"/>
      <w:r>
        <w:t>p</w:t>
      </w:r>
      <w:r w:rsidR="00F75BDF" w:rsidRPr="007466D1">
        <w:t>redželatínov</w:t>
      </w:r>
      <w:r>
        <w:t>an</w:t>
      </w:r>
      <w:r w:rsidR="00F75BDF" w:rsidRPr="007466D1">
        <w:t>ý</w:t>
      </w:r>
      <w:proofErr w:type="spellEnd"/>
      <w:r w:rsidR="00F75BDF" w:rsidRPr="007466D1">
        <w:t xml:space="preserve"> škrob</w:t>
      </w:r>
    </w:p>
    <w:p w14:paraId="7017673F" w14:textId="77777777" w:rsidR="00F75BDF" w:rsidRDefault="000B3F4C" w:rsidP="00317A57">
      <w:pPr>
        <w:pStyle w:val="Normlndobloku"/>
      </w:pPr>
      <w:proofErr w:type="spellStart"/>
      <w:r>
        <w:t>m</w:t>
      </w:r>
      <w:r w:rsidR="00F75BDF" w:rsidRPr="007466D1">
        <w:t>agnéziumstearát</w:t>
      </w:r>
      <w:proofErr w:type="spellEnd"/>
    </w:p>
    <w:p w14:paraId="4CE0BC9E" w14:textId="77777777" w:rsidR="003A191A" w:rsidRPr="007466D1" w:rsidRDefault="003A191A" w:rsidP="00317A57">
      <w:pPr>
        <w:pStyle w:val="Normlndobloku"/>
      </w:pPr>
    </w:p>
    <w:p w14:paraId="64B0E66B" w14:textId="77777777" w:rsidR="00F75BDF" w:rsidRPr="00D51B1B" w:rsidRDefault="00F75BDF" w:rsidP="00D51B1B">
      <w:pPr>
        <w:pStyle w:val="Styl2"/>
        <w:rPr>
          <w:b w:val="0"/>
          <w:lang w:val="sk-SK"/>
        </w:rPr>
      </w:pPr>
      <w:r w:rsidRPr="007466D1">
        <w:rPr>
          <w:lang w:val="sk-SK"/>
        </w:rPr>
        <w:t>6.2</w:t>
      </w:r>
      <w:r w:rsidRPr="007466D1">
        <w:rPr>
          <w:lang w:val="sk-SK"/>
        </w:rPr>
        <w:tab/>
      </w:r>
      <w:r w:rsidRPr="00D51B1B">
        <w:rPr>
          <w:lang w:val="sk-SK"/>
        </w:rPr>
        <w:t>Inkompatibility</w:t>
      </w:r>
    </w:p>
    <w:p w14:paraId="71847BB9" w14:textId="77777777" w:rsidR="00F75BDF" w:rsidRDefault="00F75BDF" w:rsidP="00317A57">
      <w:pPr>
        <w:pStyle w:val="Normlndobloku"/>
      </w:pPr>
      <w:r w:rsidRPr="007466D1">
        <w:t>Neaplikovateľné.</w:t>
      </w:r>
    </w:p>
    <w:p w14:paraId="028B54C8" w14:textId="77777777" w:rsidR="003A191A" w:rsidRPr="007466D1" w:rsidRDefault="003A191A" w:rsidP="00317A57">
      <w:pPr>
        <w:pStyle w:val="Normlndobloku"/>
      </w:pPr>
    </w:p>
    <w:p w14:paraId="364037C7" w14:textId="77777777" w:rsidR="00D52A6F" w:rsidRPr="00D51B1B" w:rsidRDefault="00F75BDF" w:rsidP="00D51B1B">
      <w:pPr>
        <w:pStyle w:val="Styl2"/>
        <w:rPr>
          <w:b w:val="0"/>
          <w:lang w:val="sk-SK"/>
        </w:rPr>
      </w:pPr>
      <w:r w:rsidRPr="007466D1">
        <w:rPr>
          <w:lang w:val="sk-SK"/>
        </w:rPr>
        <w:t>6.3</w:t>
      </w:r>
      <w:r w:rsidRPr="007466D1">
        <w:rPr>
          <w:lang w:val="sk-SK"/>
        </w:rPr>
        <w:tab/>
      </w:r>
      <w:r w:rsidRPr="00D51B1B">
        <w:rPr>
          <w:lang w:val="sk-SK"/>
        </w:rPr>
        <w:t>Čas použiteľnosti</w:t>
      </w:r>
    </w:p>
    <w:p w14:paraId="58A88CD5" w14:textId="77777777" w:rsidR="00F75BDF" w:rsidRDefault="00F75BDF" w:rsidP="00317A57">
      <w:pPr>
        <w:pStyle w:val="Normlndobloku"/>
      </w:pPr>
      <w:r w:rsidRPr="007466D1">
        <w:t>3</w:t>
      </w:r>
      <w:r w:rsidRPr="00E3367C">
        <w:t xml:space="preserve"> roky</w:t>
      </w:r>
    </w:p>
    <w:p w14:paraId="552FB96B" w14:textId="77777777" w:rsidR="003A191A" w:rsidRPr="00DF23CD" w:rsidRDefault="003A191A" w:rsidP="00317A57">
      <w:pPr>
        <w:pStyle w:val="Normlndobloku"/>
      </w:pPr>
    </w:p>
    <w:p w14:paraId="22E9293F" w14:textId="77777777" w:rsidR="00F75BDF" w:rsidRPr="00D51B1B" w:rsidRDefault="00F75BDF" w:rsidP="00D51B1B">
      <w:pPr>
        <w:pStyle w:val="Styl2"/>
        <w:rPr>
          <w:b w:val="0"/>
          <w:lang w:val="sk-SK"/>
        </w:rPr>
      </w:pPr>
      <w:r w:rsidRPr="007466D1">
        <w:rPr>
          <w:lang w:val="sk-SK"/>
        </w:rPr>
        <w:t>6.4</w:t>
      </w:r>
      <w:r w:rsidRPr="007466D1">
        <w:rPr>
          <w:lang w:val="sk-SK"/>
        </w:rPr>
        <w:tab/>
      </w:r>
      <w:r w:rsidRPr="00D51B1B">
        <w:rPr>
          <w:lang w:val="sk-SK"/>
        </w:rPr>
        <w:t>Špeciálne upozornenia na uchovávanie</w:t>
      </w:r>
    </w:p>
    <w:p w14:paraId="65E01486" w14:textId="77777777" w:rsidR="00F75BDF" w:rsidRDefault="00F75BDF" w:rsidP="00317A57">
      <w:pPr>
        <w:pStyle w:val="Normlndobloku"/>
      </w:pPr>
      <w:r w:rsidRPr="00E3367C">
        <w:t>Uchovávajte pri teplote do 25</w:t>
      </w:r>
      <w:r w:rsidR="006E7611">
        <w:t> </w:t>
      </w:r>
      <w:r w:rsidRPr="00E3367C">
        <w:t>°C.</w:t>
      </w:r>
      <w:r w:rsidRPr="007466D1">
        <w:t xml:space="preserve"> </w:t>
      </w:r>
      <w:r w:rsidRPr="00E3367C">
        <w:t>Uchovávajte v pôvodnom obale na ochranu pred svetlom a</w:t>
      </w:r>
      <w:r w:rsidR="007466D1" w:rsidRPr="007466D1">
        <w:t> </w:t>
      </w:r>
      <w:r w:rsidRPr="00E3367C">
        <w:t>vlhkosťou.</w:t>
      </w:r>
    </w:p>
    <w:p w14:paraId="60805330" w14:textId="77777777" w:rsidR="003A191A" w:rsidRPr="00E3367C" w:rsidRDefault="003A191A" w:rsidP="00317A57">
      <w:pPr>
        <w:pStyle w:val="Normlndobloku"/>
      </w:pPr>
    </w:p>
    <w:p w14:paraId="3604319A" w14:textId="77777777" w:rsidR="00F75BDF" w:rsidRPr="00D51B1B" w:rsidRDefault="00F75BDF" w:rsidP="00D51B1B">
      <w:pPr>
        <w:pStyle w:val="Styl2"/>
        <w:rPr>
          <w:b w:val="0"/>
          <w:lang w:val="sk-SK"/>
        </w:rPr>
      </w:pPr>
      <w:r w:rsidRPr="007466D1">
        <w:rPr>
          <w:lang w:val="sk-SK"/>
        </w:rPr>
        <w:t>6.5</w:t>
      </w:r>
      <w:r w:rsidRPr="007466D1">
        <w:rPr>
          <w:lang w:val="sk-SK"/>
        </w:rPr>
        <w:tab/>
      </w:r>
      <w:r w:rsidRPr="00D51B1B">
        <w:rPr>
          <w:lang w:val="sk-SK"/>
        </w:rPr>
        <w:t>Druh obalu a obsah balenia</w:t>
      </w:r>
    </w:p>
    <w:p w14:paraId="59EFC0A1" w14:textId="77777777" w:rsidR="00C073A3" w:rsidRPr="007466D1" w:rsidRDefault="00F75BDF" w:rsidP="00317A57">
      <w:pPr>
        <w:pStyle w:val="Normlndobloku"/>
      </w:pPr>
      <w:r w:rsidRPr="00E3367C">
        <w:t>a) PVDC/</w:t>
      </w:r>
      <w:r w:rsidRPr="007466D1">
        <w:t xml:space="preserve">AL </w:t>
      </w:r>
      <w:proofErr w:type="spellStart"/>
      <w:r w:rsidRPr="007466D1">
        <w:t>blister</w:t>
      </w:r>
      <w:proofErr w:type="spellEnd"/>
      <w:r w:rsidRPr="007466D1">
        <w:t>,</w:t>
      </w:r>
      <w:r w:rsidRPr="00E3367C">
        <w:t xml:space="preserve"> </w:t>
      </w:r>
      <w:r w:rsidRPr="00D51B1B">
        <w:t>škatuľka</w:t>
      </w:r>
    </w:p>
    <w:p w14:paraId="5DBDB89A" w14:textId="77777777" w:rsidR="00F75BDF" w:rsidRPr="00D51B1B" w:rsidRDefault="00F75BDF" w:rsidP="00D51B1B">
      <w:pPr>
        <w:pStyle w:val="Styl3"/>
        <w:rPr>
          <w:lang w:val="sk-SK"/>
        </w:rPr>
      </w:pPr>
      <w:r w:rsidRPr="00D51B1B">
        <w:rPr>
          <w:lang w:val="sk-SK"/>
        </w:rPr>
        <w:t>Veľkosť balenia</w:t>
      </w:r>
    </w:p>
    <w:p w14:paraId="525FDD29" w14:textId="77777777" w:rsidR="00F75BDF" w:rsidRPr="00E3367C" w:rsidRDefault="00F75BDF" w:rsidP="00317A57">
      <w:pPr>
        <w:pStyle w:val="Normlndobloku"/>
      </w:pPr>
      <w:r w:rsidRPr="007466D1">
        <w:t xml:space="preserve">DAPRIL </w:t>
      </w:r>
      <w:r w:rsidRPr="00E3367C">
        <w:t>5 mg</w:t>
      </w:r>
      <w:r w:rsidRPr="007466D1">
        <w:t>:</w:t>
      </w:r>
      <w:r w:rsidRPr="00E3367C">
        <w:t xml:space="preserve"> 30 </w:t>
      </w:r>
      <w:r w:rsidRPr="007466D1">
        <w:t>a</w:t>
      </w:r>
      <w:r w:rsidRPr="00E3367C">
        <w:t xml:space="preserve"> 60 </w:t>
      </w:r>
      <w:r w:rsidRPr="007466D1">
        <w:t>tabliet</w:t>
      </w:r>
    </w:p>
    <w:p w14:paraId="42B45958" w14:textId="77777777" w:rsidR="00F75BDF" w:rsidRPr="00D51B1B" w:rsidRDefault="00F75BDF" w:rsidP="00317A57">
      <w:pPr>
        <w:pStyle w:val="Normlndobloku"/>
      </w:pPr>
      <w:r w:rsidRPr="00D51B1B">
        <w:t>DAPRIL 10</w:t>
      </w:r>
      <w:r w:rsidRPr="000B3F4C">
        <w:t xml:space="preserve"> mg</w:t>
      </w:r>
      <w:r w:rsidRPr="00D51B1B">
        <w:t>: 30 a 60 tabliet</w:t>
      </w:r>
    </w:p>
    <w:p w14:paraId="1BD44A94" w14:textId="77777777" w:rsidR="00C073A3" w:rsidRPr="00DF23CD" w:rsidRDefault="00F75BDF" w:rsidP="00317A57">
      <w:pPr>
        <w:pStyle w:val="Normlndobloku"/>
      </w:pPr>
      <w:r w:rsidRPr="00D51B1B">
        <w:t>DAPRIL 20 mg: 20 a 30 tabliet</w:t>
      </w:r>
    </w:p>
    <w:p w14:paraId="3A3DDFCA" w14:textId="77777777" w:rsidR="00F75BDF" w:rsidRPr="00E3367C" w:rsidRDefault="00F75BDF" w:rsidP="00317A57">
      <w:pPr>
        <w:pStyle w:val="Normlndobloku"/>
      </w:pPr>
      <w:r w:rsidRPr="00D51B1B">
        <w:t>b) Fľaša z</w:t>
      </w:r>
      <w:r w:rsidRPr="007466D1">
        <w:t xml:space="preserve"> </w:t>
      </w:r>
      <w:r w:rsidRPr="00E3367C">
        <w:t xml:space="preserve">plastickej hmoty, </w:t>
      </w:r>
      <w:r w:rsidRPr="00D51B1B">
        <w:t>škatuľka</w:t>
      </w:r>
    </w:p>
    <w:p w14:paraId="72BF21EB" w14:textId="77777777" w:rsidR="00F75BDF" w:rsidRPr="00D51B1B" w:rsidRDefault="00F75BDF" w:rsidP="00E44C70">
      <w:pPr>
        <w:pStyle w:val="Styl3"/>
        <w:rPr>
          <w:lang w:val="sk-SK"/>
        </w:rPr>
      </w:pPr>
      <w:r w:rsidRPr="00D51B1B">
        <w:rPr>
          <w:lang w:val="sk-SK"/>
        </w:rPr>
        <w:t xml:space="preserve">Veľkosť </w:t>
      </w:r>
      <w:proofErr w:type="spellStart"/>
      <w:r w:rsidRPr="00317A57">
        <w:t>balenia</w:t>
      </w:r>
      <w:proofErr w:type="spellEnd"/>
    </w:p>
    <w:p w14:paraId="298536E6" w14:textId="77777777" w:rsidR="00F75BDF" w:rsidRPr="00E3367C" w:rsidRDefault="00F75BDF" w:rsidP="00317A57">
      <w:pPr>
        <w:pStyle w:val="Normlndobloku"/>
      </w:pPr>
      <w:r w:rsidRPr="007466D1">
        <w:t xml:space="preserve">DAPRIL </w:t>
      </w:r>
      <w:r w:rsidRPr="00E3367C">
        <w:t>5 mg</w:t>
      </w:r>
      <w:r w:rsidRPr="007466D1">
        <w:t xml:space="preserve">: </w:t>
      </w:r>
      <w:r w:rsidRPr="00E3367C">
        <w:t xml:space="preserve">100 </w:t>
      </w:r>
      <w:r w:rsidRPr="007466D1">
        <w:t>tabliet</w:t>
      </w:r>
    </w:p>
    <w:p w14:paraId="7697D936" w14:textId="77777777" w:rsidR="00F75BDF" w:rsidRPr="00A1085F" w:rsidRDefault="00F75BDF" w:rsidP="00317A57">
      <w:pPr>
        <w:pStyle w:val="Normlndobloku"/>
      </w:pPr>
      <w:r w:rsidRPr="00D51B1B">
        <w:t>DAPRIL 10 mg: 100 tabliet</w:t>
      </w:r>
    </w:p>
    <w:p w14:paraId="3A74EDA5" w14:textId="77777777" w:rsidR="00C073A3" w:rsidRPr="00DF23CD" w:rsidRDefault="00F75BDF" w:rsidP="00317A57">
      <w:pPr>
        <w:pStyle w:val="Normlndobloku"/>
      </w:pPr>
      <w:r w:rsidRPr="00D51B1B">
        <w:t>DAPRIL 20 mg: 100 tabliet</w:t>
      </w:r>
    </w:p>
    <w:p w14:paraId="32CDA4B0" w14:textId="77777777" w:rsidR="00F75BDF" w:rsidRDefault="00F75BDF" w:rsidP="00317A57">
      <w:pPr>
        <w:pStyle w:val="Normlndobloku"/>
      </w:pPr>
      <w:r w:rsidRPr="007466D1">
        <w:t>Na trh nemusia byť uvedené všetky veľkosti balenia.</w:t>
      </w:r>
    </w:p>
    <w:p w14:paraId="1633D44C" w14:textId="77777777" w:rsidR="003A191A" w:rsidRPr="007466D1" w:rsidRDefault="003A191A" w:rsidP="00317A57">
      <w:pPr>
        <w:pStyle w:val="Normlndobloku"/>
      </w:pPr>
    </w:p>
    <w:p w14:paraId="5D6431B6" w14:textId="77777777" w:rsidR="00F75BDF" w:rsidRPr="00D51B1B" w:rsidRDefault="00F75BDF" w:rsidP="00D51B1B">
      <w:pPr>
        <w:pStyle w:val="Styl2"/>
        <w:rPr>
          <w:b w:val="0"/>
          <w:lang w:val="sk-SK"/>
        </w:rPr>
      </w:pPr>
      <w:r w:rsidRPr="007466D1">
        <w:rPr>
          <w:lang w:val="sk-SK"/>
        </w:rPr>
        <w:t>6.6.</w:t>
      </w:r>
      <w:r w:rsidRPr="007466D1">
        <w:rPr>
          <w:lang w:val="sk-SK"/>
        </w:rPr>
        <w:tab/>
      </w:r>
      <w:r w:rsidRPr="00D51B1B">
        <w:rPr>
          <w:lang w:val="sk-SK"/>
        </w:rPr>
        <w:t>Špeciálne opatrenia na likvidáciu</w:t>
      </w:r>
      <w:r w:rsidRPr="007466D1">
        <w:rPr>
          <w:lang w:val="sk-SK"/>
        </w:rPr>
        <w:t xml:space="preserve"> a iné zaobchádzanie s liekom</w:t>
      </w:r>
    </w:p>
    <w:p w14:paraId="67D4059B" w14:textId="77777777" w:rsidR="00F75BDF" w:rsidRDefault="00F75BDF" w:rsidP="00317A57">
      <w:pPr>
        <w:pStyle w:val="Normlndobloku"/>
      </w:pPr>
      <w:r w:rsidRPr="007466D1">
        <w:t>Žiadne zvláštne požiadavky na likvidáciu.</w:t>
      </w:r>
    </w:p>
    <w:p w14:paraId="4BE7FA21" w14:textId="77777777" w:rsidR="00F75BDF" w:rsidRPr="00D51B1B" w:rsidRDefault="00F75BDF" w:rsidP="00D51B1B">
      <w:pPr>
        <w:pStyle w:val="Styl1"/>
        <w:rPr>
          <w:b w:val="0"/>
          <w:lang w:val="sk-SK"/>
        </w:rPr>
      </w:pPr>
      <w:r w:rsidRPr="007466D1">
        <w:rPr>
          <w:lang w:val="sk-SK"/>
        </w:rPr>
        <w:t>7.</w:t>
      </w:r>
      <w:r w:rsidRPr="007466D1">
        <w:rPr>
          <w:lang w:val="sk-SK"/>
        </w:rPr>
        <w:tab/>
      </w:r>
      <w:r w:rsidRPr="00D51B1B">
        <w:rPr>
          <w:lang w:val="sk-SK"/>
        </w:rPr>
        <w:t>DRŽITEĽ ROZHODNUTIA O REGISTRÁCII</w:t>
      </w:r>
    </w:p>
    <w:p w14:paraId="1D739045" w14:textId="77777777" w:rsidR="000B3F4C" w:rsidRDefault="00F75BDF" w:rsidP="00317A57">
      <w:pPr>
        <w:pStyle w:val="Normlndobloku"/>
      </w:pPr>
      <w:r w:rsidRPr="007466D1">
        <w:t>MEDOCHEMIE</w:t>
      </w:r>
      <w:r w:rsidRPr="00E3367C">
        <w:t xml:space="preserve"> </w:t>
      </w:r>
      <w:proofErr w:type="spellStart"/>
      <w:r w:rsidRPr="00E3367C">
        <w:t>Ltd</w:t>
      </w:r>
      <w:proofErr w:type="spellEnd"/>
      <w:r w:rsidRPr="00E3367C">
        <w:t>.</w:t>
      </w:r>
    </w:p>
    <w:p w14:paraId="75725718" w14:textId="77777777" w:rsidR="000B3F4C" w:rsidRDefault="00F75BDF" w:rsidP="00317A57">
      <w:pPr>
        <w:pStyle w:val="Normlndobloku"/>
      </w:pPr>
      <w:r w:rsidRPr="007466D1">
        <w:t xml:space="preserve">1-10 </w:t>
      </w:r>
      <w:proofErr w:type="spellStart"/>
      <w:r w:rsidRPr="007466D1">
        <w:t>Constantinoupoleos</w:t>
      </w:r>
      <w:proofErr w:type="spellEnd"/>
      <w:r w:rsidRPr="007466D1">
        <w:t xml:space="preserve"> </w:t>
      </w:r>
      <w:proofErr w:type="spellStart"/>
      <w:r w:rsidRPr="007466D1">
        <w:t>Street</w:t>
      </w:r>
      <w:proofErr w:type="spellEnd"/>
    </w:p>
    <w:p w14:paraId="3E841E1E" w14:textId="77777777" w:rsidR="000B3F4C" w:rsidRDefault="00F75BDF" w:rsidP="00317A57">
      <w:pPr>
        <w:pStyle w:val="Normlndobloku"/>
      </w:pPr>
      <w:r w:rsidRPr="007466D1">
        <w:lastRenderedPageBreak/>
        <w:t xml:space="preserve">3011 </w:t>
      </w:r>
      <w:proofErr w:type="spellStart"/>
      <w:r w:rsidRPr="00E3367C">
        <w:t>Limassol</w:t>
      </w:r>
      <w:proofErr w:type="spellEnd"/>
    </w:p>
    <w:p w14:paraId="6D843C0A" w14:textId="77777777" w:rsidR="00F75BDF" w:rsidRDefault="00F75BDF" w:rsidP="00317A57">
      <w:pPr>
        <w:pStyle w:val="Normlndobloku"/>
      </w:pPr>
      <w:r w:rsidRPr="00E3367C">
        <w:t>Cyprus</w:t>
      </w:r>
    </w:p>
    <w:p w14:paraId="05002EFE" w14:textId="77777777" w:rsidR="00F75BDF" w:rsidRPr="00D51B1B" w:rsidRDefault="00F75BDF" w:rsidP="00D51B1B">
      <w:pPr>
        <w:pStyle w:val="Styl1"/>
        <w:rPr>
          <w:b w:val="0"/>
          <w:lang w:val="sk-SK"/>
        </w:rPr>
      </w:pPr>
      <w:r w:rsidRPr="007466D1">
        <w:rPr>
          <w:lang w:val="sk-SK"/>
        </w:rPr>
        <w:t>8.</w:t>
      </w:r>
      <w:r w:rsidRPr="007466D1">
        <w:rPr>
          <w:lang w:val="sk-SK"/>
        </w:rPr>
        <w:tab/>
      </w:r>
      <w:r w:rsidRPr="00D51B1B">
        <w:rPr>
          <w:lang w:val="sk-SK"/>
        </w:rPr>
        <w:t xml:space="preserve">REGISTRAČNÉ </w:t>
      </w:r>
      <w:r w:rsidRPr="007466D1">
        <w:rPr>
          <w:lang w:val="sk-SK"/>
        </w:rPr>
        <w:t>ČÍSLA</w:t>
      </w:r>
    </w:p>
    <w:p w14:paraId="7317745A" w14:textId="77777777" w:rsidR="00F75BDF" w:rsidRPr="00DF23CD" w:rsidRDefault="00F75BDF" w:rsidP="00317A57">
      <w:pPr>
        <w:pStyle w:val="Normlndobloku"/>
      </w:pPr>
      <w:r w:rsidRPr="00E3367C">
        <w:t>DAPRIL 5 mg</w:t>
      </w:r>
      <w:r w:rsidRPr="007466D1">
        <w:t>:</w:t>
      </w:r>
      <w:r w:rsidR="00C073A3" w:rsidRPr="00E3367C">
        <w:t xml:space="preserve"> </w:t>
      </w:r>
      <w:r w:rsidRPr="00D51B1B">
        <w:t>58/0017/93-S</w:t>
      </w:r>
    </w:p>
    <w:p w14:paraId="65D795BB" w14:textId="77777777" w:rsidR="00F75BDF" w:rsidRPr="00A1085F" w:rsidRDefault="00F75BDF" w:rsidP="00317A57">
      <w:pPr>
        <w:pStyle w:val="Normlndobloku"/>
      </w:pPr>
      <w:r w:rsidRPr="00D51B1B">
        <w:t>DAPRIL 10 mg: 58/0285/13-S</w:t>
      </w:r>
    </w:p>
    <w:p w14:paraId="1A981CA6" w14:textId="77777777" w:rsidR="00F75BDF" w:rsidRDefault="00F75BDF" w:rsidP="00317A57">
      <w:pPr>
        <w:pStyle w:val="Normlndobloku"/>
      </w:pPr>
      <w:r w:rsidRPr="00D51B1B">
        <w:t>DAPRIL 20 mg: 58/0286/13-S</w:t>
      </w:r>
    </w:p>
    <w:p w14:paraId="588FCD7E" w14:textId="77777777" w:rsidR="00D415BB" w:rsidRPr="00A1085F" w:rsidRDefault="00D415BB" w:rsidP="00317A57">
      <w:pPr>
        <w:pStyle w:val="Normlndobloku"/>
      </w:pPr>
    </w:p>
    <w:p w14:paraId="1FCB35AA" w14:textId="77777777" w:rsidR="00F75BDF" w:rsidRPr="00D51B1B" w:rsidRDefault="00F75BDF" w:rsidP="00D51B1B">
      <w:pPr>
        <w:pStyle w:val="Styl1"/>
        <w:rPr>
          <w:b w:val="0"/>
          <w:lang w:val="sk-SK"/>
        </w:rPr>
      </w:pPr>
      <w:r w:rsidRPr="00D51B1B">
        <w:rPr>
          <w:lang w:val="sk-SK"/>
        </w:rPr>
        <w:t>9.</w:t>
      </w:r>
      <w:r w:rsidRPr="00D51B1B">
        <w:rPr>
          <w:lang w:val="sk-SK"/>
        </w:rPr>
        <w:tab/>
        <w:t>DÁTUM PRVEJ REGISTRÁCIE/PREDĹŽENIA REGISTRÁCIE</w:t>
      </w:r>
    </w:p>
    <w:p w14:paraId="51D67AE5" w14:textId="4B121068" w:rsidR="00F75BDF" w:rsidRPr="00DF23CD" w:rsidRDefault="00F75BDF" w:rsidP="00317A57">
      <w:pPr>
        <w:pStyle w:val="Normlndobloku"/>
      </w:pPr>
      <w:r w:rsidRPr="00E3367C">
        <w:t xml:space="preserve">Dátum prvej registrácie: </w:t>
      </w:r>
      <w:r w:rsidRPr="00D51B1B">
        <w:t>15.</w:t>
      </w:r>
      <w:r w:rsidR="004D37ED">
        <w:t xml:space="preserve"> </w:t>
      </w:r>
      <w:r w:rsidR="003A191A">
        <w:t>apríl</w:t>
      </w:r>
      <w:r w:rsidR="00BE5C4A">
        <w:t xml:space="preserve"> </w:t>
      </w:r>
      <w:r w:rsidRPr="00D51B1B">
        <w:t>1993</w:t>
      </w:r>
    </w:p>
    <w:p w14:paraId="2C358F9D" w14:textId="77777777" w:rsidR="00F75BDF" w:rsidRPr="00DF23CD" w:rsidRDefault="00F75BDF" w:rsidP="00317A57">
      <w:pPr>
        <w:pStyle w:val="Normlndobloku"/>
      </w:pPr>
      <w:r w:rsidRPr="00D51B1B">
        <w:t xml:space="preserve">Dátum posledného predĺženia registrácie: </w:t>
      </w:r>
      <w:r w:rsidRPr="007466D1">
        <w:t>4</w:t>
      </w:r>
      <w:r w:rsidRPr="00E3367C">
        <w:t>.</w:t>
      </w:r>
      <w:r w:rsidR="003A191A">
        <w:t xml:space="preserve"> jún </w:t>
      </w:r>
      <w:r w:rsidRPr="00E3367C">
        <w:t>2004</w:t>
      </w:r>
    </w:p>
    <w:p w14:paraId="1DD34D82" w14:textId="77777777" w:rsidR="00F75BDF" w:rsidRPr="00D51B1B" w:rsidRDefault="00F75BDF" w:rsidP="00D51B1B">
      <w:pPr>
        <w:pStyle w:val="Styl1"/>
        <w:rPr>
          <w:b w:val="0"/>
          <w:lang w:val="sk-SK"/>
        </w:rPr>
      </w:pPr>
      <w:r w:rsidRPr="007466D1">
        <w:rPr>
          <w:lang w:val="sk-SK"/>
        </w:rPr>
        <w:t>10.</w:t>
      </w:r>
      <w:r w:rsidRPr="007466D1">
        <w:rPr>
          <w:lang w:val="sk-SK"/>
        </w:rPr>
        <w:tab/>
      </w:r>
      <w:r w:rsidRPr="00D51B1B">
        <w:rPr>
          <w:lang w:val="sk-SK"/>
        </w:rPr>
        <w:t>DÁTUM REVÍZIE TEXTU</w:t>
      </w:r>
    </w:p>
    <w:p w14:paraId="4E51350A" w14:textId="33E60F33" w:rsidR="00DF23CD" w:rsidRPr="00E3367C" w:rsidRDefault="00BE5C4A" w:rsidP="00317A57">
      <w:pPr>
        <w:pStyle w:val="Normlndobloku"/>
      </w:pPr>
      <w:r>
        <w:t>09/2019</w:t>
      </w:r>
    </w:p>
    <w:sectPr w:rsidR="00DF23CD" w:rsidRPr="00E3367C" w:rsidSect="006133D6">
      <w:headerReference w:type="default" r:id="rId10"/>
      <w:footerReference w:type="default" r:id="rId11"/>
      <w:headerReference w:type="first" r:id="rId12"/>
      <w:footerReference w:type="first" r:id="rId1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28936" w14:textId="77777777" w:rsidR="006C2F2E" w:rsidRDefault="006C2F2E" w:rsidP="00E3367C">
      <w:pPr>
        <w:spacing w:after="0" w:line="240" w:lineRule="auto"/>
      </w:pPr>
      <w:r>
        <w:separator/>
      </w:r>
    </w:p>
  </w:endnote>
  <w:endnote w:type="continuationSeparator" w:id="0">
    <w:p w14:paraId="5C056273" w14:textId="77777777" w:rsidR="006C2F2E" w:rsidRDefault="006C2F2E" w:rsidP="00E3367C">
      <w:pPr>
        <w:spacing w:after="0" w:line="240" w:lineRule="auto"/>
      </w:pPr>
      <w:r>
        <w:continuationSeparator/>
      </w:r>
    </w:p>
  </w:endnote>
  <w:endnote w:type="continuationNotice" w:id="1">
    <w:p w14:paraId="436DD5F3" w14:textId="77777777" w:rsidR="006C2F2E" w:rsidRDefault="006C2F2E" w:rsidP="00E33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4E456" w14:textId="77777777" w:rsidR="00317A57" w:rsidRPr="006133D6" w:rsidRDefault="00317A57" w:rsidP="00317A57">
    <w:pPr>
      <w:pStyle w:val="Pta"/>
      <w:jc w:val="center"/>
      <w:rPr>
        <w:rFonts w:ascii="Times New Roman" w:hAnsi="Times New Roman"/>
      </w:rPr>
    </w:pPr>
    <w:r w:rsidRPr="006133D6">
      <w:rPr>
        <w:rFonts w:ascii="Times New Roman" w:hAnsi="Times New Roman"/>
        <w:sz w:val="18"/>
        <w:szCs w:val="18"/>
      </w:rPr>
      <w:fldChar w:fldCharType="begin"/>
    </w:r>
    <w:r w:rsidRPr="006133D6">
      <w:rPr>
        <w:rFonts w:ascii="Times New Roman" w:hAnsi="Times New Roman"/>
        <w:bCs/>
        <w:sz w:val="18"/>
        <w:szCs w:val="18"/>
      </w:rPr>
      <w:instrText>PAGE</w:instrText>
    </w:r>
    <w:r w:rsidRPr="006133D6">
      <w:rPr>
        <w:rFonts w:ascii="Times New Roman" w:hAnsi="Times New Roman"/>
        <w:sz w:val="18"/>
        <w:szCs w:val="18"/>
      </w:rPr>
      <w:fldChar w:fldCharType="separate"/>
    </w:r>
    <w:r w:rsidR="003D2594">
      <w:rPr>
        <w:rFonts w:ascii="Times New Roman" w:hAnsi="Times New Roman"/>
        <w:bCs/>
        <w:noProof/>
        <w:sz w:val="18"/>
        <w:szCs w:val="18"/>
      </w:rPr>
      <w:t>1</w:t>
    </w:r>
    <w:r w:rsidRPr="006133D6">
      <w:rPr>
        <w:rFonts w:ascii="Times New Roman" w:hAnsi="Times New Roman"/>
        <w:sz w:val="18"/>
        <w:szCs w:val="18"/>
      </w:rPr>
      <w:fldChar w:fldCharType="end"/>
    </w:r>
    <w:r w:rsidRPr="006133D6">
      <w:rPr>
        <w:rFonts w:ascii="Times New Roman" w:hAnsi="Times New Roman"/>
        <w:bCs/>
        <w:sz w:val="18"/>
        <w:szCs w:val="18"/>
      </w:rPr>
      <w:t>/</w:t>
    </w:r>
    <w:r w:rsidRPr="006133D6">
      <w:rPr>
        <w:rFonts w:ascii="Times New Roman" w:hAnsi="Times New Roman"/>
        <w:bCs/>
        <w:sz w:val="18"/>
        <w:szCs w:val="18"/>
      </w:rPr>
      <w:fldChar w:fldCharType="begin"/>
    </w:r>
    <w:r w:rsidRPr="006133D6">
      <w:rPr>
        <w:rFonts w:ascii="Times New Roman" w:hAnsi="Times New Roman"/>
        <w:bCs/>
        <w:sz w:val="18"/>
        <w:szCs w:val="18"/>
      </w:rPr>
      <w:instrText>NUMPAGES</w:instrText>
    </w:r>
    <w:r w:rsidRPr="006133D6">
      <w:rPr>
        <w:rFonts w:ascii="Times New Roman" w:hAnsi="Times New Roman"/>
        <w:bCs/>
        <w:sz w:val="18"/>
        <w:szCs w:val="18"/>
      </w:rPr>
      <w:fldChar w:fldCharType="separate"/>
    </w:r>
    <w:r w:rsidR="003D2594">
      <w:rPr>
        <w:rFonts w:ascii="Times New Roman" w:hAnsi="Times New Roman"/>
        <w:bCs/>
        <w:noProof/>
        <w:sz w:val="18"/>
        <w:szCs w:val="18"/>
      </w:rPr>
      <w:t>17</w:t>
    </w:r>
    <w:r w:rsidRPr="006133D6">
      <w:rPr>
        <w:rFonts w:ascii="Times New Roman" w:hAnsi="Times New Roman"/>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CA2F7" w14:textId="77777777" w:rsidR="00317A57" w:rsidRPr="006133D6" w:rsidRDefault="00317A57" w:rsidP="00317A57">
    <w:pPr>
      <w:pStyle w:val="Pta"/>
      <w:jc w:val="center"/>
      <w:rPr>
        <w:rFonts w:ascii="Times New Roman" w:hAnsi="Times New Roman"/>
      </w:rPr>
    </w:pPr>
    <w:r w:rsidRPr="00317A57">
      <w:rPr>
        <w:rFonts w:ascii="Times New Roman" w:hAnsi="Times New Roman"/>
        <w:bCs/>
      </w:rPr>
      <w:fldChar w:fldCharType="begin"/>
    </w:r>
    <w:r w:rsidRPr="00317A57">
      <w:rPr>
        <w:rFonts w:ascii="Times New Roman" w:hAnsi="Times New Roman"/>
        <w:bCs/>
      </w:rPr>
      <w:instrText>PAGE</w:instrText>
    </w:r>
    <w:r w:rsidRPr="00317A57">
      <w:rPr>
        <w:rFonts w:ascii="Times New Roman" w:hAnsi="Times New Roman"/>
        <w:bCs/>
      </w:rPr>
      <w:fldChar w:fldCharType="separate"/>
    </w:r>
    <w:r w:rsidR="00510520">
      <w:rPr>
        <w:rFonts w:ascii="Times New Roman" w:hAnsi="Times New Roman"/>
        <w:bCs/>
        <w:noProof/>
      </w:rPr>
      <w:t>1</w:t>
    </w:r>
    <w:r w:rsidRPr="00317A57">
      <w:rPr>
        <w:rFonts w:ascii="Times New Roman" w:hAnsi="Times New Roman"/>
        <w:bCs/>
      </w:rPr>
      <w:fldChar w:fldCharType="end"/>
    </w:r>
    <w:r w:rsidRPr="00317A57">
      <w:rPr>
        <w:rFonts w:ascii="Times New Roman" w:hAnsi="Times New Roman"/>
        <w:bCs/>
      </w:rPr>
      <w:t>/</w:t>
    </w:r>
    <w:r w:rsidRPr="00317A57">
      <w:rPr>
        <w:rFonts w:ascii="Times New Roman" w:hAnsi="Times New Roman"/>
        <w:bCs/>
      </w:rPr>
      <w:fldChar w:fldCharType="begin"/>
    </w:r>
    <w:r w:rsidRPr="00317A57">
      <w:rPr>
        <w:rFonts w:ascii="Times New Roman" w:hAnsi="Times New Roman"/>
        <w:bCs/>
      </w:rPr>
      <w:instrText>NUMPAGES</w:instrText>
    </w:r>
    <w:r w:rsidRPr="00317A57">
      <w:rPr>
        <w:rFonts w:ascii="Times New Roman" w:hAnsi="Times New Roman"/>
        <w:bCs/>
      </w:rPr>
      <w:fldChar w:fldCharType="separate"/>
    </w:r>
    <w:r w:rsidR="00914708">
      <w:rPr>
        <w:rFonts w:ascii="Times New Roman" w:hAnsi="Times New Roman"/>
        <w:bCs/>
        <w:noProof/>
      </w:rPr>
      <w:t>17</w:t>
    </w:r>
    <w:r w:rsidRPr="00317A57">
      <w:rPr>
        <w:rFonts w:ascii="Times New Roman" w:hAnsi="Times New Roman"/>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62AFC" w14:textId="77777777" w:rsidR="006C2F2E" w:rsidRDefault="006C2F2E" w:rsidP="00E3367C">
      <w:pPr>
        <w:spacing w:after="0" w:line="240" w:lineRule="auto"/>
      </w:pPr>
      <w:r>
        <w:separator/>
      </w:r>
    </w:p>
  </w:footnote>
  <w:footnote w:type="continuationSeparator" w:id="0">
    <w:p w14:paraId="29186F8E" w14:textId="77777777" w:rsidR="006C2F2E" w:rsidRDefault="006C2F2E" w:rsidP="00E3367C">
      <w:pPr>
        <w:spacing w:after="0" w:line="240" w:lineRule="auto"/>
      </w:pPr>
      <w:r>
        <w:continuationSeparator/>
      </w:r>
    </w:p>
  </w:footnote>
  <w:footnote w:type="continuationNotice" w:id="1">
    <w:p w14:paraId="213308D5" w14:textId="77777777" w:rsidR="006C2F2E" w:rsidRDefault="006C2F2E" w:rsidP="00E3367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C9F0C" w14:textId="4B29630E" w:rsidR="009F4880" w:rsidRDefault="009F4880" w:rsidP="009F4880">
    <w:pPr>
      <w:spacing w:after="0"/>
      <w:rPr>
        <w:rFonts w:ascii="Times New Roman" w:hAnsi="Times New Roman"/>
        <w:sz w:val="18"/>
        <w:lang w:val="sk-SK"/>
      </w:rPr>
    </w:pPr>
    <w:r w:rsidRPr="00D51B1B">
      <w:rPr>
        <w:rFonts w:ascii="Times New Roman" w:hAnsi="Times New Roman"/>
        <w:sz w:val="18"/>
        <w:lang w:val="sk-SK"/>
      </w:rPr>
      <w:t>Príloha č.</w:t>
    </w:r>
    <w:r w:rsidRPr="007466D1">
      <w:rPr>
        <w:rFonts w:ascii="Times New Roman" w:hAnsi="Times New Roman"/>
        <w:sz w:val="18"/>
        <w:szCs w:val="18"/>
        <w:lang w:val="sk-SK"/>
      </w:rPr>
      <w:t>1</w:t>
    </w:r>
    <w:r w:rsidRPr="00D51B1B">
      <w:rPr>
        <w:rFonts w:ascii="Times New Roman" w:hAnsi="Times New Roman"/>
        <w:sz w:val="18"/>
        <w:lang w:val="sk-SK"/>
      </w:rPr>
      <w:t xml:space="preserve"> k</w:t>
    </w:r>
    <w:r w:rsidRPr="007466D1">
      <w:rPr>
        <w:rFonts w:ascii="Times New Roman" w:hAnsi="Times New Roman"/>
        <w:sz w:val="18"/>
        <w:szCs w:val="18"/>
        <w:lang w:val="sk-SK"/>
      </w:rPr>
      <w:t xml:space="preserve"> </w:t>
    </w:r>
    <w:r w:rsidRPr="00D51B1B">
      <w:rPr>
        <w:rFonts w:ascii="Times New Roman" w:hAnsi="Times New Roman"/>
        <w:sz w:val="18"/>
        <w:lang w:val="sk-SK"/>
      </w:rPr>
      <w:t>notifikácii o</w:t>
    </w:r>
    <w:r w:rsidRPr="007466D1">
      <w:rPr>
        <w:rFonts w:ascii="Times New Roman" w:hAnsi="Times New Roman"/>
        <w:sz w:val="18"/>
        <w:szCs w:val="18"/>
        <w:lang w:val="sk-SK"/>
      </w:rPr>
      <w:t xml:space="preserve"> </w:t>
    </w:r>
    <w:r w:rsidRPr="00D51B1B">
      <w:rPr>
        <w:rFonts w:ascii="Times New Roman" w:hAnsi="Times New Roman"/>
        <w:sz w:val="18"/>
        <w:lang w:val="sk-SK"/>
      </w:rPr>
      <w:t>zmene, ev.</w:t>
    </w:r>
    <w:r w:rsidRPr="001D4E4F">
      <w:rPr>
        <w:rFonts w:ascii="Times New Roman" w:hAnsi="Times New Roman"/>
        <w:sz w:val="18"/>
        <w:lang w:val="sk-SK"/>
      </w:rPr>
      <w:t xml:space="preserve"> </w:t>
    </w:r>
    <w:r w:rsidRPr="00D51B1B">
      <w:rPr>
        <w:rFonts w:ascii="Times New Roman" w:hAnsi="Times New Roman"/>
        <w:sz w:val="18"/>
        <w:lang w:val="sk-SK"/>
      </w:rPr>
      <w:t>č.:</w:t>
    </w:r>
    <w:r w:rsidR="001D4E4F">
      <w:rPr>
        <w:rFonts w:ascii="Times New Roman" w:hAnsi="Times New Roman"/>
        <w:sz w:val="18"/>
        <w:lang w:val="sk-SK"/>
      </w:rPr>
      <w:t xml:space="preserve"> </w:t>
    </w:r>
    <w:r w:rsidR="002800E5">
      <w:rPr>
        <w:rFonts w:ascii="Times New Roman" w:hAnsi="Times New Roman"/>
        <w:sz w:val="18"/>
        <w:lang w:val="sk-SK"/>
      </w:rPr>
      <w:t>2019/04528-Z1A</w:t>
    </w:r>
  </w:p>
  <w:p w14:paraId="0A597A4D" w14:textId="77777777" w:rsidR="002800E5" w:rsidRPr="007466D1" w:rsidRDefault="002800E5" w:rsidP="009F4880">
    <w:pPr>
      <w:spacing w:after="0"/>
      <w:rPr>
        <w:rFonts w:ascii="Times New Roman" w:hAnsi="Times New Roman"/>
        <w:sz w:val="18"/>
        <w:szCs w:val="18"/>
        <w:lang w:val="sk-SK"/>
      </w:rPr>
    </w:pPr>
  </w:p>
  <w:p w14:paraId="0E1E3DBE" w14:textId="77777777" w:rsidR="009F4880" w:rsidRPr="006133D6" w:rsidRDefault="009F4880">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3C451" w14:textId="77777777" w:rsidR="009F4880" w:rsidRDefault="00317A57" w:rsidP="00317A57">
    <w:pPr>
      <w:spacing w:after="0"/>
      <w:rPr>
        <w:rFonts w:ascii="Times New Roman" w:hAnsi="Times New Roman"/>
        <w:sz w:val="18"/>
        <w:szCs w:val="18"/>
        <w:lang w:val="sk-SK"/>
      </w:rPr>
    </w:pPr>
    <w:r w:rsidRPr="00D51B1B">
      <w:rPr>
        <w:rFonts w:ascii="Times New Roman" w:hAnsi="Times New Roman"/>
        <w:sz w:val="18"/>
        <w:lang w:val="sk-SK"/>
      </w:rPr>
      <w:t>Príloha č.</w:t>
    </w:r>
    <w:r w:rsidRPr="007466D1">
      <w:rPr>
        <w:rFonts w:ascii="Times New Roman" w:hAnsi="Times New Roman"/>
        <w:sz w:val="18"/>
        <w:szCs w:val="18"/>
        <w:lang w:val="sk-SK"/>
      </w:rPr>
      <w:t>1</w:t>
    </w:r>
    <w:r w:rsidRPr="00D51B1B">
      <w:rPr>
        <w:rFonts w:ascii="Times New Roman" w:hAnsi="Times New Roman"/>
        <w:sz w:val="18"/>
        <w:lang w:val="sk-SK"/>
      </w:rPr>
      <w:t xml:space="preserve"> k</w:t>
    </w:r>
    <w:r w:rsidRPr="007466D1">
      <w:rPr>
        <w:rFonts w:ascii="Times New Roman" w:hAnsi="Times New Roman"/>
        <w:sz w:val="18"/>
        <w:szCs w:val="18"/>
        <w:lang w:val="sk-SK"/>
      </w:rPr>
      <w:t xml:space="preserve"> </w:t>
    </w:r>
    <w:r w:rsidRPr="00D51B1B">
      <w:rPr>
        <w:rFonts w:ascii="Times New Roman" w:hAnsi="Times New Roman"/>
        <w:sz w:val="18"/>
        <w:lang w:val="sk-SK"/>
      </w:rPr>
      <w:t>notifikácii o</w:t>
    </w:r>
    <w:r w:rsidRPr="007466D1">
      <w:rPr>
        <w:rFonts w:ascii="Times New Roman" w:hAnsi="Times New Roman"/>
        <w:sz w:val="18"/>
        <w:szCs w:val="18"/>
        <w:lang w:val="sk-SK"/>
      </w:rPr>
      <w:t xml:space="preserve"> </w:t>
    </w:r>
    <w:r w:rsidRPr="00D51B1B">
      <w:rPr>
        <w:rFonts w:ascii="Times New Roman" w:hAnsi="Times New Roman"/>
        <w:sz w:val="18"/>
        <w:lang w:val="sk-SK"/>
      </w:rPr>
      <w:t>zmene, ev.</w:t>
    </w:r>
    <w:r w:rsidRPr="007466D1">
      <w:rPr>
        <w:rFonts w:ascii="Times New Roman" w:hAnsi="Times New Roman"/>
        <w:sz w:val="18"/>
        <w:szCs w:val="18"/>
        <w:lang w:val="sk-SK"/>
      </w:rPr>
      <w:t xml:space="preserve"> </w:t>
    </w:r>
    <w:r w:rsidRPr="00D51B1B">
      <w:rPr>
        <w:rFonts w:ascii="Times New Roman" w:hAnsi="Times New Roman"/>
        <w:sz w:val="18"/>
        <w:lang w:val="sk-SK"/>
      </w:rPr>
      <w:t xml:space="preserve">č.: </w:t>
    </w:r>
    <w:r w:rsidRPr="007466D1">
      <w:rPr>
        <w:rFonts w:ascii="Times New Roman" w:hAnsi="Times New Roman"/>
        <w:sz w:val="18"/>
        <w:szCs w:val="18"/>
        <w:lang w:val="sk-SK"/>
      </w:rPr>
      <w:t>2014/05752-ZIB, 2016/02348-ZIB</w:t>
    </w:r>
  </w:p>
  <w:p w14:paraId="30BF378F" w14:textId="77777777" w:rsidR="00317A57" w:rsidRPr="007466D1" w:rsidRDefault="00317A57" w:rsidP="00317A57">
    <w:pPr>
      <w:spacing w:after="0"/>
      <w:rPr>
        <w:rFonts w:ascii="Times New Roman" w:hAnsi="Times New Roman"/>
        <w:sz w:val="18"/>
        <w:szCs w:val="18"/>
        <w:lang w:val="sk-SK"/>
      </w:rPr>
    </w:pPr>
    <w:r w:rsidRPr="00D51B1B">
      <w:rPr>
        <w:rFonts w:ascii="Times New Roman" w:hAnsi="Times New Roman"/>
        <w:sz w:val="18"/>
        <w:lang w:val="sk-SK"/>
      </w:rPr>
      <w:t>Príloha č.</w:t>
    </w:r>
    <w:r w:rsidRPr="007466D1">
      <w:rPr>
        <w:rFonts w:ascii="Times New Roman" w:hAnsi="Times New Roman"/>
        <w:sz w:val="18"/>
        <w:szCs w:val="18"/>
        <w:lang w:val="sk-SK"/>
      </w:rPr>
      <w:t>1</w:t>
    </w:r>
    <w:r w:rsidRPr="00D51B1B">
      <w:rPr>
        <w:rFonts w:ascii="Times New Roman" w:hAnsi="Times New Roman"/>
        <w:sz w:val="18"/>
        <w:lang w:val="sk-SK"/>
      </w:rPr>
      <w:t xml:space="preserve"> k</w:t>
    </w:r>
    <w:r w:rsidRPr="007466D1">
      <w:rPr>
        <w:rFonts w:ascii="Times New Roman" w:hAnsi="Times New Roman"/>
        <w:sz w:val="18"/>
        <w:szCs w:val="18"/>
        <w:lang w:val="sk-SK"/>
      </w:rPr>
      <w:t xml:space="preserve"> </w:t>
    </w:r>
    <w:r w:rsidRPr="00D51B1B">
      <w:rPr>
        <w:rFonts w:ascii="Times New Roman" w:hAnsi="Times New Roman"/>
        <w:sz w:val="18"/>
        <w:lang w:val="sk-SK"/>
      </w:rPr>
      <w:t>notifikácii o</w:t>
    </w:r>
    <w:r w:rsidRPr="007466D1">
      <w:rPr>
        <w:rFonts w:ascii="Times New Roman" w:hAnsi="Times New Roman"/>
        <w:sz w:val="18"/>
        <w:szCs w:val="18"/>
        <w:lang w:val="sk-SK"/>
      </w:rPr>
      <w:t xml:space="preserve"> </w:t>
    </w:r>
    <w:r w:rsidRPr="00D51B1B">
      <w:rPr>
        <w:rFonts w:ascii="Times New Roman" w:hAnsi="Times New Roman"/>
        <w:sz w:val="18"/>
        <w:lang w:val="sk-SK"/>
      </w:rPr>
      <w:t>zmene, ev.</w:t>
    </w:r>
    <w:r w:rsidRPr="007466D1">
      <w:rPr>
        <w:rFonts w:ascii="Times New Roman" w:hAnsi="Times New Roman"/>
        <w:sz w:val="18"/>
        <w:szCs w:val="18"/>
        <w:lang w:val="sk-SK"/>
      </w:rPr>
      <w:t xml:space="preserve"> </w:t>
    </w:r>
    <w:r w:rsidRPr="00D51B1B">
      <w:rPr>
        <w:rFonts w:ascii="Times New Roman" w:hAnsi="Times New Roman"/>
        <w:sz w:val="18"/>
        <w:lang w:val="sk-SK"/>
      </w:rPr>
      <w:t>č.:</w:t>
    </w:r>
  </w:p>
  <w:p w14:paraId="32C34483" w14:textId="77777777" w:rsidR="00317A57" w:rsidRPr="006133D6" w:rsidRDefault="00317A57" w:rsidP="006133D6">
    <w:pPr>
      <w:spacing w:after="0"/>
      <w:rPr>
        <w:rFonts w:ascii="Times New Roman" w:hAnsi="Times New Roman"/>
        <w:sz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38C"/>
    <w:multiLevelType w:val="hybridMultilevel"/>
    <w:tmpl w:val="7A882B42"/>
    <w:lvl w:ilvl="0" w:tplc="041B000F">
      <w:start w:val="4"/>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157D006A"/>
    <w:multiLevelType w:val="singleLevel"/>
    <w:tmpl w:val="0E540EAE"/>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2">
    <w:nsid w:val="16AA1F97"/>
    <w:multiLevelType w:val="multilevel"/>
    <w:tmpl w:val="98EC09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52C5178"/>
    <w:multiLevelType w:val="hybridMultilevel"/>
    <w:tmpl w:val="5B2E83E2"/>
    <w:lvl w:ilvl="0" w:tplc="C6AE84FE">
      <w:start w:val="1"/>
      <w:numFmt w:val="decimal"/>
      <w:lvlText w:val="%1."/>
      <w:lvlJc w:val="left"/>
      <w:pPr>
        <w:tabs>
          <w:tab w:val="num" w:pos="360"/>
        </w:tabs>
        <w:ind w:left="360" w:hanging="360"/>
      </w:pPr>
      <w:rPr>
        <w:rFonts w:ascii="Arial" w:hAnsi="Arial" w:hint="default"/>
        <w:b/>
        <w:i w:val="0"/>
        <w:sz w:val="2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296B1817"/>
    <w:multiLevelType w:val="singleLevel"/>
    <w:tmpl w:val="B3764E70"/>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6">
    <w:nsid w:val="2C225E5A"/>
    <w:multiLevelType w:val="hybridMultilevel"/>
    <w:tmpl w:val="26A62DF8"/>
    <w:lvl w:ilvl="0" w:tplc="041B000F">
      <w:start w:val="4"/>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33BC7113"/>
    <w:multiLevelType w:val="singleLevel"/>
    <w:tmpl w:val="79A67A52"/>
    <w:lvl w:ilvl="0">
      <w:start w:val="1"/>
      <w:numFmt w:val="decimal"/>
      <w:lvlText w:val="6.%1. "/>
      <w:legacy w:legacy="1" w:legacySpace="0" w:legacyIndent="283"/>
      <w:lvlJc w:val="left"/>
      <w:pPr>
        <w:ind w:left="283" w:hanging="283"/>
      </w:pPr>
      <w:rPr>
        <w:rFonts w:ascii="Times New Roman" w:hAnsi="Times New Roman" w:hint="default"/>
        <w:b w:val="0"/>
        <w:i w:val="0"/>
        <w:sz w:val="24"/>
        <w:u w:val="none"/>
      </w:rPr>
    </w:lvl>
  </w:abstractNum>
  <w:abstractNum w:abstractNumId="8">
    <w:nsid w:val="34001DB7"/>
    <w:multiLevelType w:val="hybridMultilevel"/>
    <w:tmpl w:val="36A2763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48DA1B39"/>
    <w:multiLevelType w:val="singleLevel"/>
    <w:tmpl w:val="102A8B88"/>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nsid w:val="4D7120D1"/>
    <w:multiLevelType w:val="multilevel"/>
    <w:tmpl w:val="594055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224082E"/>
    <w:multiLevelType w:val="singleLevel"/>
    <w:tmpl w:val="E64CA2A0"/>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nsid w:val="56110BD7"/>
    <w:multiLevelType w:val="multilevel"/>
    <w:tmpl w:val="AC5E427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AF10EE3"/>
    <w:multiLevelType w:val="multilevel"/>
    <w:tmpl w:val="862CE4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63243901"/>
    <w:multiLevelType w:val="singleLevel"/>
    <w:tmpl w:val="5A6094E4"/>
    <w:lvl w:ilvl="0">
      <w:numFmt w:val="bullet"/>
      <w:lvlText w:val="-"/>
      <w:lvlJc w:val="left"/>
      <w:pPr>
        <w:tabs>
          <w:tab w:val="num" w:pos="360"/>
        </w:tabs>
        <w:ind w:left="360" w:hanging="360"/>
      </w:pPr>
      <w:rPr>
        <w:rFonts w:hint="default"/>
      </w:rPr>
    </w:lvl>
  </w:abstractNum>
  <w:abstractNum w:abstractNumId="15">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AAD4AA7"/>
    <w:multiLevelType w:val="multilevel"/>
    <w:tmpl w:val="10747A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706E7C2E"/>
    <w:multiLevelType w:val="multilevel"/>
    <w:tmpl w:val="98EC09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9B0306F"/>
    <w:multiLevelType w:val="hybridMultilevel"/>
    <w:tmpl w:val="9AC04102"/>
    <w:lvl w:ilvl="0" w:tplc="041B000F">
      <w:start w:val="4"/>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7D923103"/>
    <w:multiLevelType w:val="singleLevel"/>
    <w:tmpl w:val="F4EE0B7E"/>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7E55478D"/>
    <w:multiLevelType w:val="singleLevel"/>
    <w:tmpl w:val="70061E0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16"/>
  </w:num>
  <w:num w:numId="2">
    <w:abstractNumId w:val="16"/>
  </w:num>
  <w:num w:numId="3">
    <w:abstractNumId w:val="3"/>
  </w:num>
  <w:num w:numId="4">
    <w:abstractNumId w:val="15"/>
  </w:num>
  <w:num w:numId="5">
    <w:abstractNumId w:val="13"/>
  </w:num>
  <w:num w:numId="6">
    <w:abstractNumId w:val="20"/>
  </w:num>
  <w:num w:numId="7">
    <w:abstractNumId w:val="1"/>
  </w:num>
  <w:num w:numId="8">
    <w:abstractNumId w:val="11"/>
  </w:num>
  <w:num w:numId="9">
    <w:abstractNumId w:val="5"/>
  </w:num>
  <w:num w:numId="10">
    <w:abstractNumId w:val="9"/>
  </w:num>
  <w:num w:numId="11">
    <w:abstractNumId w:val="7"/>
  </w:num>
  <w:num w:numId="12">
    <w:abstractNumId w:val="19"/>
  </w:num>
  <w:num w:numId="13">
    <w:abstractNumId w:val="19"/>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4">
    <w:abstractNumId w:val="14"/>
  </w:num>
  <w:num w:numId="15">
    <w:abstractNumId w:val="18"/>
  </w:num>
  <w:num w:numId="16">
    <w:abstractNumId w:val="6"/>
  </w:num>
  <w:num w:numId="17">
    <w:abstractNumId w:val="0"/>
  </w:num>
  <w:num w:numId="18">
    <w:abstractNumId w:val="8"/>
  </w:num>
  <w:num w:numId="19">
    <w:abstractNumId w:val="12"/>
  </w:num>
  <w:num w:numId="20">
    <w:abstractNumId w:val="10"/>
  </w:num>
  <w:num w:numId="21">
    <w:abstractNumId w:val="17"/>
  </w:num>
  <w:num w:numId="22">
    <w:abstractNumId w:val="2"/>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07"/>
    <w:rsid w:val="00007B94"/>
    <w:rsid w:val="00036D19"/>
    <w:rsid w:val="000611FE"/>
    <w:rsid w:val="000B29F7"/>
    <w:rsid w:val="000B3F4C"/>
    <w:rsid w:val="000C1675"/>
    <w:rsid w:val="000E68F1"/>
    <w:rsid w:val="00111A07"/>
    <w:rsid w:val="001236F7"/>
    <w:rsid w:val="001D4E4F"/>
    <w:rsid w:val="0020697A"/>
    <w:rsid w:val="00214164"/>
    <w:rsid w:val="00217403"/>
    <w:rsid w:val="00227708"/>
    <w:rsid w:val="0023583B"/>
    <w:rsid w:val="00264C27"/>
    <w:rsid w:val="002800E5"/>
    <w:rsid w:val="00293F53"/>
    <w:rsid w:val="0029775F"/>
    <w:rsid w:val="002B1CEC"/>
    <w:rsid w:val="002D5332"/>
    <w:rsid w:val="00317A57"/>
    <w:rsid w:val="00320407"/>
    <w:rsid w:val="003223DF"/>
    <w:rsid w:val="003229F8"/>
    <w:rsid w:val="003354DC"/>
    <w:rsid w:val="00342111"/>
    <w:rsid w:val="00350C8C"/>
    <w:rsid w:val="00375736"/>
    <w:rsid w:val="0037751C"/>
    <w:rsid w:val="003A191A"/>
    <w:rsid w:val="003B14E0"/>
    <w:rsid w:val="003D2594"/>
    <w:rsid w:val="004452DB"/>
    <w:rsid w:val="00446E95"/>
    <w:rsid w:val="004531AF"/>
    <w:rsid w:val="00486640"/>
    <w:rsid w:val="004959D2"/>
    <w:rsid w:val="00496240"/>
    <w:rsid w:val="004B5E8F"/>
    <w:rsid w:val="004D37ED"/>
    <w:rsid w:val="004D4456"/>
    <w:rsid w:val="004F6E73"/>
    <w:rsid w:val="005036F5"/>
    <w:rsid w:val="00510520"/>
    <w:rsid w:val="00511F2D"/>
    <w:rsid w:val="0053570C"/>
    <w:rsid w:val="005536C7"/>
    <w:rsid w:val="00567C8F"/>
    <w:rsid w:val="005B3814"/>
    <w:rsid w:val="005C18A6"/>
    <w:rsid w:val="0060132A"/>
    <w:rsid w:val="006133D6"/>
    <w:rsid w:val="006261EC"/>
    <w:rsid w:val="006276FB"/>
    <w:rsid w:val="00637CCA"/>
    <w:rsid w:val="0065241A"/>
    <w:rsid w:val="00654CC6"/>
    <w:rsid w:val="00656608"/>
    <w:rsid w:val="006812AF"/>
    <w:rsid w:val="00691041"/>
    <w:rsid w:val="006A6EED"/>
    <w:rsid w:val="006C2F2E"/>
    <w:rsid w:val="006D6B70"/>
    <w:rsid w:val="006E5016"/>
    <w:rsid w:val="006E7611"/>
    <w:rsid w:val="006F1380"/>
    <w:rsid w:val="00703FF8"/>
    <w:rsid w:val="007239F9"/>
    <w:rsid w:val="00736DF7"/>
    <w:rsid w:val="00740CED"/>
    <w:rsid w:val="007466D1"/>
    <w:rsid w:val="007473C1"/>
    <w:rsid w:val="0076190C"/>
    <w:rsid w:val="00765601"/>
    <w:rsid w:val="007A04FD"/>
    <w:rsid w:val="007A198E"/>
    <w:rsid w:val="007E354D"/>
    <w:rsid w:val="007E585E"/>
    <w:rsid w:val="007E6992"/>
    <w:rsid w:val="008045CE"/>
    <w:rsid w:val="00806A5E"/>
    <w:rsid w:val="008342AC"/>
    <w:rsid w:val="008349F3"/>
    <w:rsid w:val="00843781"/>
    <w:rsid w:val="00862780"/>
    <w:rsid w:val="00891BC5"/>
    <w:rsid w:val="008B1157"/>
    <w:rsid w:val="008C3304"/>
    <w:rsid w:val="00902501"/>
    <w:rsid w:val="00904E68"/>
    <w:rsid w:val="00911598"/>
    <w:rsid w:val="00914708"/>
    <w:rsid w:val="00937FA5"/>
    <w:rsid w:val="00943D2C"/>
    <w:rsid w:val="00972082"/>
    <w:rsid w:val="009D6DEF"/>
    <w:rsid w:val="009E2C0D"/>
    <w:rsid w:val="009F4880"/>
    <w:rsid w:val="00A1085F"/>
    <w:rsid w:val="00A352E2"/>
    <w:rsid w:val="00A84BB2"/>
    <w:rsid w:val="00AA575E"/>
    <w:rsid w:val="00AA6E0E"/>
    <w:rsid w:val="00AB585E"/>
    <w:rsid w:val="00AB7265"/>
    <w:rsid w:val="00AD5A07"/>
    <w:rsid w:val="00AF2768"/>
    <w:rsid w:val="00AF682A"/>
    <w:rsid w:val="00B023FC"/>
    <w:rsid w:val="00B05E9F"/>
    <w:rsid w:val="00B1205E"/>
    <w:rsid w:val="00B2792F"/>
    <w:rsid w:val="00B819DB"/>
    <w:rsid w:val="00BA198D"/>
    <w:rsid w:val="00BA210C"/>
    <w:rsid w:val="00BE5C4A"/>
    <w:rsid w:val="00BF372B"/>
    <w:rsid w:val="00C01A76"/>
    <w:rsid w:val="00C073A3"/>
    <w:rsid w:val="00C3100B"/>
    <w:rsid w:val="00C411B2"/>
    <w:rsid w:val="00C53D1D"/>
    <w:rsid w:val="00C74E70"/>
    <w:rsid w:val="00CA79E2"/>
    <w:rsid w:val="00CE3204"/>
    <w:rsid w:val="00D06812"/>
    <w:rsid w:val="00D21B21"/>
    <w:rsid w:val="00D22504"/>
    <w:rsid w:val="00D2324C"/>
    <w:rsid w:val="00D40E62"/>
    <w:rsid w:val="00D415BB"/>
    <w:rsid w:val="00D417C9"/>
    <w:rsid w:val="00D46143"/>
    <w:rsid w:val="00D51B1B"/>
    <w:rsid w:val="00D52A6F"/>
    <w:rsid w:val="00D6362D"/>
    <w:rsid w:val="00D724FE"/>
    <w:rsid w:val="00D74806"/>
    <w:rsid w:val="00DB4D28"/>
    <w:rsid w:val="00DB72EA"/>
    <w:rsid w:val="00DC25C6"/>
    <w:rsid w:val="00DC7101"/>
    <w:rsid w:val="00DD395A"/>
    <w:rsid w:val="00DD3A8D"/>
    <w:rsid w:val="00DF1A2D"/>
    <w:rsid w:val="00DF23CD"/>
    <w:rsid w:val="00E00D19"/>
    <w:rsid w:val="00E16E35"/>
    <w:rsid w:val="00E3367C"/>
    <w:rsid w:val="00E44C70"/>
    <w:rsid w:val="00E819AB"/>
    <w:rsid w:val="00E927B4"/>
    <w:rsid w:val="00EB5115"/>
    <w:rsid w:val="00EF4C13"/>
    <w:rsid w:val="00F33ED8"/>
    <w:rsid w:val="00F459BD"/>
    <w:rsid w:val="00F67E95"/>
    <w:rsid w:val="00F73D2C"/>
    <w:rsid w:val="00F75BDF"/>
    <w:rsid w:val="00F769C6"/>
    <w:rsid w:val="00FA445B"/>
    <w:rsid w:val="00FC6955"/>
    <w:rsid w:val="00FD2B8E"/>
    <w:rsid w:val="00FE1E97"/>
    <w:rsid w:val="00FE1E99"/>
    <w:rsid w:val="00FE4817"/>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2792F"/>
    <w:pPr>
      <w:spacing w:after="200" w:line="276" w:lineRule="auto"/>
    </w:pPr>
    <w:rPr>
      <w:sz w:val="22"/>
      <w:szCs w:val="22"/>
      <w:lang w:val="cs-CZ" w:eastAsia="en-US"/>
    </w:rPr>
  </w:style>
  <w:style w:type="paragraph" w:styleId="Nadpis1">
    <w:name w:val="heading 1"/>
    <w:basedOn w:val="Normlny"/>
    <w:next w:val="Normlny"/>
    <w:link w:val="Nadpis1Char"/>
    <w:qFormat/>
    <w:rsid w:val="00E3367C"/>
    <w:pPr>
      <w:keepNext/>
      <w:spacing w:after="0" w:line="360" w:lineRule="auto"/>
      <w:jc w:val="both"/>
      <w:outlineLvl w:val="0"/>
    </w:pPr>
    <w:rPr>
      <w:rFonts w:ascii="Times New Roman" w:eastAsia="Times New Roman" w:hAnsi="Times New Roman"/>
      <w:b/>
      <w:sz w:val="24"/>
      <w:szCs w:val="20"/>
      <w:lang w:val="sk-SK" w:eastAsia="sk-SK"/>
    </w:rPr>
  </w:style>
  <w:style w:type="paragraph" w:styleId="Nadpis2">
    <w:name w:val="heading 2"/>
    <w:basedOn w:val="Normlny"/>
    <w:next w:val="Normlny"/>
    <w:link w:val="Nadpis2Char"/>
    <w:qFormat/>
    <w:rsid w:val="00E3367C"/>
    <w:pPr>
      <w:keepNext/>
      <w:spacing w:after="0" w:line="240" w:lineRule="auto"/>
      <w:outlineLvl w:val="1"/>
    </w:pPr>
    <w:rPr>
      <w:rFonts w:ascii="Times New Roman" w:eastAsia="Times New Roman" w:hAnsi="Times New Roman"/>
      <w:sz w:val="24"/>
      <w:szCs w:val="20"/>
      <w:lang w:val="en-US" w:eastAsia="sk-SK"/>
    </w:rPr>
  </w:style>
  <w:style w:type="paragraph" w:styleId="Nadpis3">
    <w:name w:val="heading 3"/>
    <w:basedOn w:val="Normlny"/>
    <w:next w:val="Normlny"/>
    <w:link w:val="Nadpis3Char"/>
    <w:qFormat/>
    <w:rsid w:val="00E3367C"/>
    <w:pPr>
      <w:keepNext/>
      <w:spacing w:after="0" w:line="240" w:lineRule="auto"/>
      <w:jc w:val="both"/>
      <w:outlineLvl w:val="2"/>
    </w:pPr>
    <w:rPr>
      <w:rFonts w:ascii="Arial" w:eastAsia="Times New Roman" w:hAnsi="Arial" w:cs="Arial"/>
      <w:b/>
      <w:sz w:val="20"/>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F75BDF"/>
    <w:pPr>
      <w:keepNext/>
      <w:spacing w:before="360" w:after="120" w:line="240" w:lineRule="auto"/>
    </w:pPr>
    <w:rPr>
      <w:rFonts w:ascii="Times New Roman" w:eastAsia="Times New Roman" w:hAnsi="Times New Roman"/>
      <w:b/>
      <w:bCs/>
      <w:caps/>
      <w:szCs w:val="24"/>
    </w:rPr>
  </w:style>
  <w:style w:type="paragraph" w:customStyle="1" w:styleId="Styl2">
    <w:name w:val="Styl2"/>
    <w:basedOn w:val="Normlny"/>
    <w:autoRedefine/>
    <w:rsid w:val="00F75BDF"/>
    <w:pPr>
      <w:keepNext/>
      <w:spacing w:before="120" w:after="120" w:line="240" w:lineRule="auto"/>
    </w:pPr>
    <w:rPr>
      <w:rFonts w:ascii="Times New Roman" w:eastAsia="Times New Roman" w:hAnsi="Times New Roman"/>
      <w:b/>
      <w:bCs/>
      <w:szCs w:val="20"/>
    </w:rPr>
  </w:style>
  <w:style w:type="paragraph" w:customStyle="1" w:styleId="Styl2-2">
    <w:name w:val="Styl2-2"/>
    <w:basedOn w:val="Styl2"/>
    <w:next w:val="Normlny"/>
    <w:autoRedefine/>
    <w:qFormat/>
    <w:rsid w:val="00DF23CD"/>
    <w:rPr>
      <w:b w:val="0"/>
      <w:i/>
      <w:lang w:val="sk-SK"/>
    </w:rPr>
  </w:style>
  <w:style w:type="paragraph" w:customStyle="1" w:styleId="Styl3">
    <w:name w:val="Styl3"/>
    <w:basedOn w:val="Normlny"/>
    <w:link w:val="Styl3Char"/>
    <w:rsid w:val="00DC25C6"/>
    <w:pPr>
      <w:keepNext/>
      <w:tabs>
        <w:tab w:val="left" w:pos="6946"/>
      </w:tabs>
      <w:spacing w:before="120" w:after="60" w:line="240" w:lineRule="auto"/>
      <w:jc w:val="both"/>
    </w:pPr>
    <w:rPr>
      <w:rFonts w:ascii="Times New Roman" w:hAnsi="Times New Roman"/>
      <w:szCs w:val="24"/>
      <w:u w:val="single"/>
    </w:rPr>
  </w:style>
  <w:style w:type="character" w:customStyle="1" w:styleId="Styl3Char">
    <w:name w:val="Styl3 Char"/>
    <w:link w:val="Styl3"/>
    <w:rsid w:val="00DC25C6"/>
    <w:rPr>
      <w:rFonts w:ascii="Times New Roman" w:hAnsi="Times New Roman"/>
      <w:sz w:val="22"/>
      <w:szCs w:val="24"/>
      <w:u w:val="single"/>
      <w:lang w:val="cs-CZ" w:eastAsia="en-US"/>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20697A"/>
    <w:pPr>
      <w:suppressAutoHyphens/>
      <w:spacing w:after="120" w:line="240" w:lineRule="auto"/>
      <w:jc w:val="both"/>
    </w:pPr>
    <w:rPr>
      <w:rFonts w:ascii="Times New Roman" w:hAnsi="Times New Roman"/>
      <w:szCs w:val="24"/>
      <w:lang w:val="sk-SK"/>
    </w:rPr>
  </w:style>
  <w:style w:type="character" w:customStyle="1" w:styleId="NormlndoblokuChar">
    <w:name w:val="Normální do bloku Char"/>
    <w:link w:val="Normlndobloku"/>
    <w:rsid w:val="0020697A"/>
    <w:rPr>
      <w:rFonts w:ascii="Times New Roman" w:hAnsi="Times New Roman"/>
      <w:sz w:val="22"/>
      <w:szCs w:val="24"/>
      <w:lang w:eastAsia="en-US"/>
    </w:rPr>
  </w:style>
  <w:style w:type="paragraph" w:customStyle="1" w:styleId="Normlndoblokusodrkami">
    <w:name w:val="Normální do bloku s odrážkami"/>
    <w:basedOn w:val="Normlndobloku"/>
    <w:next w:val="Normlndobloku"/>
    <w:autoRedefine/>
    <w:qFormat/>
    <w:rsid w:val="00DB72EA"/>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52A6F"/>
    <w:pPr>
      <w:spacing w:after="0" w:line="240" w:lineRule="auto"/>
      <w:jc w:val="center"/>
    </w:pPr>
    <w:rPr>
      <w:rFonts w:ascii="Times New Roman" w:eastAsia="Times New Roman" w:hAnsi="Times New Roman"/>
      <w:b/>
      <w:szCs w:val="20"/>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line="240" w:lineRule="auto"/>
    </w:pPr>
    <w:rPr>
      <w:rFonts w:ascii="TimesNewRoman" w:hAnsi="TimesNewRoman" w:cs="TimesNewRoman"/>
      <w:szCs w:val="20"/>
    </w:rPr>
  </w:style>
  <w:style w:type="paragraph" w:styleId="Hlavika">
    <w:name w:val="header"/>
    <w:basedOn w:val="Normlny"/>
    <w:link w:val="HlavikaChar"/>
    <w:unhideWhenUsed/>
    <w:rsid w:val="00E3367C"/>
    <w:pPr>
      <w:tabs>
        <w:tab w:val="center" w:pos="4536"/>
        <w:tab w:val="right" w:pos="9072"/>
      </w:tabs>
      <w:spacing w:after="0" w:line="240" w:lineRule="auto"/>
    </w:pPr>
  </w:style>
  <w:style w:type="character" w:customStyle="1" w:styleId="HlavikaChar">
    <w:name w:val="Hlavička Char"/>
    <w:basedOn w:val="Predvolenpsmoodseku"/>
    <w:link w:val="Hlavika"/>
    <w:rsid w:val="00F75BDF"/>
  </w:style>
  <w:style w:type="paragraph" w:styleId="Pta">
    <w:name w:val="footer"/>
    <w:basedOn w:val="Normlny"/>
    <w:link w:val="PtaChar"/>
    <w:unhideWhenUsed/>
    <w:rsid w:val="00E3367C"/>
    <w:pPr>
      <w:tabs>
        <w:tab w:val="center" w:pos="4536"/>
        <w:tab w:val="right" w:pos="9072"/>
      </w:tabs>
      <w:spacing w:after="0" w:line="240" w:lineRule="auto"/>
    </w:pPr>
  </w:style>
  <w:style w:type="character" w:customStyle="1" w:styleId="PtaChar">
    <w:name w:val="Päta Char"/>
    <w:basedOn w:val="Predvolenpsmoodseku"/>
    <w:link w:val="Pta"/>
    <w:rsid w:val="00F75BDF"/>
  </w:style>
  <w:style w:type="table" w:styleId="Mriekatabuky">
    <w:name w:val="Table Grid"/>
    <w:basedOn w:val="Normlnatabuka"/>
    <w:uiPriority w:val="59"/>
    <w:rsid w:val="00D5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812A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812AF"/>
    <w:rPr>
      <w:rFonts w:ascii="Tahoma" w:hAnsi="Tahoma" w:cs="Tahoma"/>
      <w:sz w:val="16"/>
      <w:szCs w:val="16"/>
    </w:rPr>
  </w:style>
  <w:style w:type="character" w:customStyle="1" w:styleId="Nadpis1Char">
    <w:name w:val="Nadpis 1 Char"/>
    <w:link w:val="Nadpis1"/>
    <w:rsid w:val="00E3367C"/>
    <w:rPr>
      <w:rFonts w:ascii="Times New Roman" w:eastAsia="Times New Roman" w:hAnsi="Times New Roman" w:cs="Times New Roman"/>
      <w:b/>
      <w:sz w:val="24"/>
      <w:szCs w:val="20"/>
      <w:lang w:val="sk-SK" w:eastAsia="sk-SK"/>
    </w:rPr>
  </w:style>
  <w:style w:type="character" w:customStyle="1" w:styleId="Nadpis2Char">
    <w:name w:val="Nadpis 2 Char"/>
    <w:link w:val="Nadpis2"/>
    <w:rsid w:val="00E3367C"/>
    <w:rPr>
      <w:rFonts w:ascii="Times New Roman" w:eastAsia="Times New Roman" w:hAnsi="Times New Roman" w:cs="Times New Roman"/>
      <w:sz w:val="24"/>
      <w:szCs w:val="20"/>
      <w:lang w:val="en-US" w:eastAsia="sk-SK"/>
    </w:rPr>
  </w:style>
  <w:style w:type="character" w:customStyle="1" w:styleId="Nadpis3Char">
    <w:name w:val="Nadpis 3 Char"/>
    <w:link w:val="Nadpis3"/>
    <w:rsid w:val="00E3367C"/>
    <w:rPr>
      <w:rFonts w:ascii="Arial" w:eastAsia="Times New Roman" w:hAnsi="Arial" w:cs="Arial"/>
      <w:b/>
      <w:sz w:val="20"/>
      <w:szCs w:val="20"/>
      <w:lang w:val="sk-SK" w:eastAsia="sk-SK"/>
    </w:rPr>
  </w:style>
  <w:style w:type="paragraph" w:styleId="Zkladntext">
    <w:name w:val="Body Text"/>
    <w:basedOn w:val="Normlny"/>
    <w:link w:val="ZkladntextChar"/>
    <w:semiHidden/>
    <w:rsid w:val="00E3367C"/>
    <w:pPr>
      <w:spacing w:after="0" w:line="360" w:lineRule="auto"/>
      <w:jc w:val="both"/>
    </w:pPr>
    <w:rPr>
      <w:rFonts w:ascii="Times New Roman" w:eastAsia="Times New Roman" w:hAnsi="Times New Roman"/>
      <w:sz w:val="24"/>
      <w:szCs w:val="20"/>
      <w:lang w:val="sk-SK" w:eastAsia="sk-SK"/>
    </w:rPr>
  </w:style>
  <w:style w:type="character" w:customStyle="1" w:styleId="ZkladntextChar">
    <w:name w:val="Základný text Char"/>
    <w:link w:val="Zkladntext"/>
    <w:semiHidden/>
    <w:rsid w:val="00E3367C"/>
    <w:rPr>
      <w:rFonts w:ascii="Times New Roman" w:eastAsia="Times New Roman" w:hAnsi="Times New Roman" w:cs="Times New Roman"/>
      <w:sz w:val="24"/>
      <w:szCs w:val="20"/>
      <w:lang w:val="sk-SK" w:eastAsia="sk-SK"/>
    </w:rPr>
  </w:style>
  <w:style w:type="character" w:styleId="slostrany">
    <w:name w:val="page number"/>
    <w:basedOn w:val="Predvolenpsmoodseku"/>
    <w:semiHidden/>
    <w:rsid w:val="00E3367C"/>
  </w:style>
  <w:style w:type="paragraph" w:styleId="Zkladntext2">
    <w:name w:val="Body Text 2"/>
    <w:basedOn w:val="Normlny"/>
    <w:link w:val="Zkladntext2Char"/>
    <w:semiHidden/>
    <w:rsid w:val="00E3367C"/>
    <w:pPr>
      <w:spacing w:after="0" w:line="240" w:lineRule="auto"/>
      <w:jc w:val="both"/>
    </w:pPr>
    <w:rPr>
      <w:rFonts w:ascii="Arial" w:eastAsia="Times New Roman" w:hAnsi="Arial" w:cs="Arial"/>
      <w:sz w:val="20"/>
      <w:szCs w:val="20"/>
      <w:lang w:val="sk-SK" w:eastAsia="sk-SK"/>
    </w:rPr>
  </w:style>
  <w:style w:type="character" w:customStyle="1" w:styleId="Zkladntext2Char">
    <w:name w:val="Základný text 2 Char"/>
    <w:link w:val="Zkladntext2"/>
    <w:semiHidden/>
    <w:rsid w:val="00E3367C"/>
    <w:rPr>
      <w:rFonts w:ascii="Arial" w:eastAsia="Times New Roman" w:hAnsi="Arial" w:cs="Arial"/>
      <w:sz w:val="20"/>
      <w:szCs w:val="20"/>
      <w:lang w:val="sk-SK" w:eastAsia="sk-SK"/>
    </w:rPr>
  </w:style>
  <w:style w:type="character" w:styleId="Odkaznakomentr">
    <w:name w:val="annotation reference"/>
    <w:uiPriority w:val="99"/>
    <w:semiHidden/>
    <w:unhideWhenUsed/>
    <w:rsid w:val="00E3367C"/>
    <w:rPr>
      <w:sz w:val="16"/>
      <w:szCs w:val="16"/>
    </w:rPr>
  </w:style>
  <w:style w:type="paragraph" w:styleId="Textkomentra">
    <w:name w:val="annotation text"/>
    <w:basedOn w:val="Normlny"/>
    <w:link w:val="TextkomentraChar"/>
    <w:uiPriority w:val="99"/>
    <w:semiHidden/>
    <w:unhideWhenUsed/>
    <w:rsid w:val="00E3367C"/>
    <w:pPr>
      <w:spacing w:after="0" w:line="240" w:lineRule="auto"/>
    </w:pPr>
    <w:rPr>
      <w:rFonts w:ascii="Times New Roman" w:eastAsia="Times New Roman" w:hAnsi="Times New Roman"/>
      <w:sz w:val="20"/>
      <w:szCs w:val="20"/>
      <w:lang w:val="sk-SK" w:eastAsia="sk-SK"/>
    </w:rPr>
  </w:style>
  <w:style w:type="character" w:customStyle="1" w:styleId="TextkomentraChar">
    <w:name w:val="Text komentára Char"/>
    <w:link w:val="Textkomentra"/>
    <w:uiPriority w:val="99"/>
    <w:semiHidden/>
    <w:rsid w:val="00E3367C"/>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E3367C"/>
    <w:rPr>
      <w:b/>
      <w:bCs/>
    </w:rPr>
  </w:style>
  <w:style w:type="character" w:customStyle="1" w:styleId="PredmetkomentraChar">
    <w:name w:val="Predmet komentára Char"/>
    <w:link w:val="Predmetkomentra"/>
    <w:uiPriority w:val="99"/>
    <w:semiHidden/>
    <w:rsid w:val="00E3367C"/>
    <w:rPr>
      <w:rFonts w:ascii="Times New Roman" w:eastAsia="Times New Roman" w:hAnsi="Times New Roman" w:cs="Times New Roman"/>
      <w:b/>
      <w:bCs/>
      <w:sz w:val="20"/>
      <w:szCs w:val="20"/>
      <w:lang w:val="sk-SK" w:eastAsia="sk-SK"/>
    </w:rPr>
  </w:style>
  <w:style w:type="character" w:styleId="Hypertextovprepojenie">
    <w:name w:val="Hyperlink"/>
    <w:rsid w:val="00E336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2792F"/>
    <w:pPr>
      <w:spacing w:after="200" w:line="276" w:lineRule="auto"/>
    </w:pPr>
    <w:rPr>
      <w:sz w:val="22"/>
      <w:szCs w:val="22"/>
      <w:lang w:val="cs-CZ" w:eastAsia="en-US"/>
    </w:rPr>
  </w:style>
  <w:style w:type="paragraph" w:styleId="Nadpis1">
    <w:name w:val="heading 1"/>
    <w:basedOn w:val="Normlny"/>
    <w:next w:val="Normlny"/>
    <w:link w:val="Nadpis1Char"/>
    <w:qFormat/>
    <w:rsid w:val="00E3367C"/>
    <w:pPr>
      <w:keepNext/>
      <w:spacing w:after="0" w:line="360" w:lineRule="auto"/>
      <w:jc w:val="both"/>
      <w:outlineLvl w:val="0"/>
    </w:pPr>
    <w:rPr>
      <w:rFonts w:ascii="Times New Roman" w:eastAsia="Times New Roman" w:hAnsi="Times New Roman"/>
      <w:b/>
      <w:sz w:val="24"/>
      <w:szCs w:val="20"/>
      <w:lang w:val="sk-SK" w:eastAsia="sk-SK"/>
    </w:rPr>
  </w:style>
  <w:style w:type="paragraph" w:styleId="Nadpis2">
    <w:name w:val="heading 2"/>
    <w:basedOn w:val="Normlny"/>
    <w:next w:val="Normlny"/>
    <w:link w:val="Nadpis2Char"/>
    <w:qFormat/>
    <w:rsid w:val="00E3367C"/>
    <w:pPr>
      <w:keepNext/>
      <w:spacing w:after="0" w:line="240" w:lineRule="auto"/>
      <w:outlineLvl w:val="1"/>
    </w:pPr>
    <w:rPr>
      <w:rFonts w:ascii="Times New Roman" w:eastAsia="Times New Roman" w:hAnsi="Times New Roman"/>
      <w:sz w:val="24"/>
      <w:szCs w:val="20"/>
      <w:lang w:val="en-US" w:eastAsia="sk-SK"/>
    </w:rPr>
  </w:style>
  <w:style w:type="paragraph" w:styleId="Nadpis3">
    <w:name w:val="heading 3"/>
    <w:basedOn w:val="Normlny"/>
    <w:next w:val="Normlny"/>
    <w:link w:val="Nadpis3Char"/>
    <w:qFormat/>
    <w:rsid w:val="00E3367C"/>
    <w:pPr>
      <w:keepNext/>
      <w:spacing w:after="0" w:line="240" w:lineRule="auto"/>
      <w:jc w:val="both"/>
      <w:outlineLvl w:val="2"/>
    </w:pPr>
    <w:rPr>
      <w:rFonts w:ascii="Arial" w:eastAsia="Times New Roman" w:hAnsi="Arial" w:cs="Arial"/>
      <w:b/>
      <w:sz w:val="20"/>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F75BDF"/>
    <w:pPr>
      <w:keepNext/>
      <w:spacing w:before="360" w:after="120" w:line="240" w:lineRule="auto"/>
    </w:pPr>
    <w:rPr>
      <w:rFonts w:ascii="Times New Roman" w:eastAsia="Times New Roman" w:hAnsi="Times New Roman"/>
      <w:b/>
      <w:bCs/>
      <w:caps/>
      <w:szCs w:val="24"/>
    </w:rPr>
  </w:style>
  <w:style w:type="paragraph" w:customStyle="1" w:styleId="Styl2">
    <w:name w:val="Styl2"/>
    <w:basedOn w:val="Normlny"/>
    <w:autoRedefine/>
    <w:rsid w:val="00F75BDF"/>
    <w:pPr>
      <w:keepNext/>
      <w:spacing w:before="120" w:after="120" w:line="240" w:lineRule="auto"/>
    </w:pPr>
    <w:rPr>
      <w:rFonts w:ascii="Times New Roman" w:eastAsia="Times New Roman" w:hAnsi="Times New Roman"/>
      <w:b/>
      <w:bCs/>
      <w:szCs w:val="20"/>
    </w:rPr>
  </w:style>
  <w:style w:type="paragraph" w:customStyle="1" w:styleId="Styl2-2">
    <w:name w:val="Styl2-2"/>
    <w:basedOn w:val="Styl2"/>
    <w:next w:val="Normlny"/>
    <w:autoRedefine/>
    <w:qFormat/>
    <w:rsid w:val="00DF23CD"/>
    <w:rPr>
      <w:b w:val="0"/>
      <w:i/>
      <w:lang w:val="sk-SK"/>
    </w:rPr>
  </w:style>
  <w:style w:type="paragraph" w:customStyle="1" w:styleId="Styl3">
    <w:name w:val="Styl3"/>
    <w:basedOn w:val="Normlny"/>
    <w:link w:val="Styl3Char"/>
    <w:rsid w:val="00DC25C6"/>
    <w:pPr>
      <w:keepNext/>
      <w:tabs>
        <w:tab w:val="left" w:pos="6946"/>
      </w:tabs>
      <w:spacing w:before="120" w:after="60" w:line="240" w:lineRule="auto"/>
      <w:jc w:val="both"/>
    </w:pPr>
    <w:rPr>
      <w:rFonts w:ascii="Times New Roman" w:hAnsi="Times New Roman"/>
      <w:szCs w:val="24"/>
      <w:u w:val="single"/>
    </w:rPr>
  </w:style>
  <w:style w:type="character" w:customStyle="1" w:styleId="Styl3Char">
    <w:name w:val="Styl3 Char"/>
    <w:link w:val="Styl3"/>
    <w:rsid w:val="00DC25C6"/>
    <w:rPr>
      <w:rFonts w:ascii="Times New Roman" w:hAnsi="Times New Roman"/>
      <w:sz w:val="22"/>
      <w:szCs w:val="24"/>
      <w:u w:val="single"/>
      <w:lang w:val="cs-CZ" w:eastAsia="en-US"/>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20697A"/>
    <w:pPr>
      <w:suppressAutoHyphens/>
      <w:spacing w:after="120" w:line="240" w:lineRule="auto"/>
      <w:jc w:val="both"/>
    </w:pPr>
    <w:rPr>
      <w:rFonts w:ascii="Times New Roman" w:hAnsi="Times New Roman"/>
      <w:szCs w:val="24"/>
      <w:lang w:val="sk-SK"/>
    </w:rPr>
  </w:style>
  <w:style w:type="character" w:customStyle="1" w:styleId="NormlndoblokuChar">
    <w:name w:val="Normální do bloku Char"/>
    <w:link w:val="Normlndobloku"/>
    <w:rsid w:val="0020697A"/>
    <w:rPr>
      <w:rFonts w:ascii="Times New Roman" w:hAnsi="Times New Roman"/>
      <w:sz w:val="22"/>
      <w:szCs w:val="24"/>
      <w:lang w:eastAsia="en-US"/>
    </w:rPr>
  </w:style>
  <w:style w:type="paragraph" w:customStyle="1" w:styleId="Normlndoblokusodrkami">
    <w:name w:val="Normální do bloku s odrážkami"/>
    <w:basedOn w:val="Normlndobloku"/>
    <w:next w:val="Normlndobloku"/>
    <w:autoRedefine/>
    <w:qFormat/>
    <w:rsid w:val="00DB72EA"/>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52A6F"/>
    <w:pPr>
      <w:spacing w:after="0" w:line="240" w:lineRule="auto"/>
      <w:jc w:val="center"/>
    </w:pPr>
    <w:rPr>
      <w:rFonts w:ascii="Times New Roman" w:eastAsia="Times New Roman" w:hAnsi="Times New Roman"/>
      <w:b/>
      <w:szCs w:val="20"/>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line="240" w:lineRule="auto"/>
    </w:pPr>
    <w:rPr>
      <w:rFonts w:ascii="TimesNewRoman" w:hAnsi="TimesNewRoman" w:cs="TimesNewRoman"/>
      <w:szCs w:val="20"/>
    </w:rPr>
  </w:style>
  <w:style w:type="paragraph" w:styleId="Hlavika">
    <w:name w:val="header"/>
    <w:basedOn w:val="Normlny"/>
    <w:link w:val="HlavikaChar"/>
    <w:unhideWhenUsed/>
    <w:rsid w:val="00E3367C"/>
    <w:pPr>
      <w:tabs>
        <w:tab w:val="center" w:pos="4536"/>
        <w:tab w:val="right" w:pos="9072"/>
      </w:tabs>
      <w:spacing w:after="0" w:line="240" w:lineRule="auto"/>
    </w:pPr>
  </w:style>
  <w:style w:type="character" w:customStyle="1" w:styleId="HlavikaChar">
    <w:name w:val="Hlavička Char"/>
    <w:basedOn w:val="Predvolenpsmoodseku"/>
    <w:link w:val="Hlavika"/>
    <w:rsid w:val="00F75BDF"/>
  </w:style>
  <w:style w:type="paragraph" w:styleId="Pta">
    <w:name w:val="footer"/>
    <w:basedOn w:val="Normlny"/>
    <w:link w:val="PtaChar"/>
    <w:unhideWhenUsed/>
    <w:rsid w:val="00E3367C"/>
    <w:pPr>
      <w:tabs>
        <w:tab w:val="center" w:pos="4536"/>
        <w:tab w:val="right" w:pos="9072"/>
      </w:tabs>
      <w:spacing w:after="0" w:line="240" w:lineRule="auto"/>
    </w:pPr>
  </w:style>
  <w:style w:type="character" w:customStyle="1" w:styleId="PtaChar">
    <w:name w:val="Päta Char"/>
    <w:basedOn w:val="Predvolenpsmoodseku"/>
    <w:link w:val="Pta"/>
    <w:rsid w:val="00F75BDF"/>
  </w:style>
  <w:style w:type="table" w:styleId="Mriekatabuky">
    <w:name w:val="Table Grid"/>
    <w:basedOn w:val="Normlnatabuka"/>
    <w:uiPriority w:val="59"/>
    <w:rsid w:val="00D5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812A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812AF"/>
    <w:rPr>
      <w:rFonts w:ascii="Tahoma" w:hAnsi="Tahoma" w:cs="Tahoma"/>
      <w:sz w:val="16"/>
      <w:szCs w:val="16"/>
    </w:rPr>
  </w:style>
  <w:style w:type="character" w:customStyle="1" w:styleId="Nadpis1Char">
    <w:name w:val="Nadpis 1 Char"/>
    <w:link w:val="Nadpis1"/>
    <w:rsid w:val="00E3367C"/>
    <w:rPr>
      <w:rFonts w:ascii="Times New Roman" w:eastAsia="Times New Roman" w:hAnsi="Times New Roman" w:cs="Times New Roman"/>
      <w:b/>
      <w:sz w:val="24"/>
      <w:szCs w:val="20"/>
      <w:lang w:val="sk-SK" w:eastAsia="sk-SK"/>
    </w:rPr>
  </w:style>
  <w:style w:type="character" w:customStyle="1" w:styleId="Nadpis2Char">
    <w:name w:val="Nadpis 2 Char"/>
    <w:link w:val="Nadpis2"/>
    <w:rsid w:val="00E3367C"/>
    <w:rPr>
      <w:rFonts w:ascii="Times New Roman" w:eastAsia="Times New Roman" w:hAnsi="Times New Roman" w:cs="Times New Roman"/>
      <w:sz w:val="24"/>
      <w:szCs w:val="20"/>
      <w:lang w:val="en-US" w:eastAsia="sk-SK"/>
    </w:rPr>
  </w:style>
  <w:style w:type="character" w:customStyle="1" w:styleId="Nadpis3Char">
    <w:name w:val="Nadpis 3 Char"/>
    <w:link w:val="Nadpis3"/>
    <w:rsid w:val="00E3367C"/>
    <w:rPr>
      <w:rFonts w:ascii="Arial" w:eastAsia="Times New Roman" w:hAnsi="Arial" w:cs="Arial"/>
      <w:b/>
      <w:sz w:val="20"/>
      <w:szCs w:val="20"/>
      <w:lang w:val="sk-SK" w:eastAsia="sk-SK"/>
    </w:rPr>
  </w:style>
  <w:style w:type="paragraph" w:styleId="Zkladntext">
    <w:name w:val="Body Text"/>
    <w:basedOn w:val="Normlny"/>
    <w:link w:val="ZkladntextChar"/>
    <w:semiHidden/>
    <w:rsid w:val="00E3367C"/>
    <w:pPr>
      <w:spacing w:after="0" w:line="360" w:lineRule="auto"/>
      <w:jc w:val="both"/>
    </w:pPr>
    <w:rPr>
      <w:rFonts w:ascii="Times New Roman" w:eastAsia="Times New Roman" w:hAnsi="Times New Roman"/>
      <w:sz w:val="24"/>
      <w:szCs w:val="20"/>
      <w:lang w:val="sk-SK" w:eastAsia="sk-SK"/>
    </w:rPr>
  </w:style>
  <w:style w:type="character" w:customStyle="1" w:styleId="ZkladntextChar">
    <w:name w:val="Základný text Char"/>
    <w:link w:val="Zkladntext"/>
    <w:semiHidden/>
    <w:rsid w:val="00E3367C"/>
    <w:rPr>
      <w:rFonts w:ascii="Times New Roman" w:eastAsia="Times New Roman" w:hAnsi="Times New Roman" w:cs="Times New Roman"/>
      <w:sz w:val="24"/>
      <w:szCs w:val="20"/>
      <w:lang w:val="sk-SK" w:eastAsia="sk-SK"/>
    </w:rPr>
  </w:style>
  <w:style w:type="character" w:styleId="slostrany">
    <w:name w:val="page number"/>
    <w:basedOn w:val="Predvolenpsmoodseku"/>
    <w:semiHidden/>
    <w:rsid w:val="00E3367C"/>
  </w:style>
  <w:style w:type="paragraph" w:styleId="Zkladntext2">
    <w:name w:val="Body Text 2"/>
    <w:basedOn w:val="Normlny"/>
    <w:link w:val="Zkladntext2Char"/>
    <w:semiHidden/>
    <w:rsid w:val="00E3367C"/>
    <w:pPr>
      <w:spacing w:after="0" w:line="240" w:lineRule="auto"/>
      <w:jc w:val="both"/>
    </w:pPr>
    <w:rPr>
      <w:rFonts w:ascii="Arial" w:eastAsia="Times New Roman" w:hAnsi="Arial" w:cs="Arial"/>
      <w:sz w:val="20"/>
      <w:szCs w:val="20"/>
      <w:lang w:val="sk-SK" w:eastAsia="sk-SK"/>
    </w:rPr>
  </w:style>
  <w:style w:type="character" w:customStyle="1" w:styleId="Zkladntext2Char">
    <w:name w:val="Základný text 2 Char"/>
    <w:link w:val="Zkladntext2"/>
    <w:semiHidden/>
    <w:rsid w:val="00E3367C"/>
    <w:rPr>
      <w:rFonts w:ascii="Arial" w:eastAsia="Times New Roman" w:hAnsi="Arial" w:cs="Arial"/>
      <w:sz w:val="20"/>
      <w:szCs w:val="20"/>
      <w:lang w:val="sk-SK" w:eastAsia="sk-SK"/>
    </w:rPr>
  </w:style>
  <w:style w:type="character" w:styleId="Odkaznakomentr">
    <w:name w:val="annotation reference"/>
    <w:uiPriority w:val="99"/>
    <w:semiHidden/>
    <w:unhideWhenUsed/>
    <w:rsid w:val="00E3367C"/>
    <w:rPr>
      <w:sz w:val="16"/>
      <w:szCs w:val="16"/>
    </w:rPr>
  </w:style>
  <w:style w:type="paragraph" w:styleId="Textkomentra">
    <w:name w:val="annotation text"/>
    <w:basedOn w:val="Normlny"/>
    <w:link w:val="TextkomentraChar"/>
    <w:uiPriority w:val="99"/>
    <w:semiHidden/>
    <w:unhideWhenUsed/>
    <w:rsid w:val="00E3367C"/>
    <w:pPr>
      <w:spacing w:after="0" w:line="240" w:lineRule="auto"/>
    </w:pPr>
    <w:rPr>
      <w:rFonts w:ascii="Times New Roman" w:eastAsia="Times New Roman" w:hAnsi="Times New Roman"/>
      <w:sz w:val="20"/>
      <w:szCs w:val="20"/>
      <w:lang w:val="sk-SK" w:eastAsia="sk-SK"/>
    </w:rPr>
  </w:style>
  <w:style w:type="character" w:customStyle="1" w:styleId="TextkomentraChar">
    <w:name w:val="Text komentára Char"/>
    <w:link w:val="Textkomentra"/>
    <w:uiPriority w:val="99"/>
    <w:semiHidden/>
    <w:rsid w:val="00E3367C"/>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E3367C"/>
    <w:rPr>
      <w:b/>
      <w:bCs/>
    </w:rPr>
  </w:style>
  <w:style w:type="character" w:customStyle="1" w:styleId="PredmetkomentraChar">
    <w:name w:val="Predmet komentára Char"/>
    <w:link w:val="Predmetkomentra"/>
    <w:uiPriority w:val="99"/>
    <w:semiHidden/>
    <w:rsid w:val="00E3367C"/>
    <w:rPr>
      <w:rFonts w:ascii="Times New Roman" w:eastAsia="Times New Roman" w:hAnsi="Times New Roman" w:cs="Times New Roman"/>
      <w:b/>
      <w:bCs/>
      <w:sz w:val="20"/>
      <w:szCs w:val="20"/>
      <w:lang w:val="sk-SK" w:eastAsia="sk-SK"/>
    </w:rPr>
  </w:style>
  <w:style w:type="character" w:styleId="Hypertextovprepojenie">
    <w:name w:val="Hyperlink"/>
    <w:rsid w:val="00E336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871336">
      <w:bodyDiv w:val="1"/>
      <w:marLeft w:val="0"/>
      <w:marRight w:val="0"/>
      <w:marTop w:val="0"/>
      <w:marBottom w:val="0"/>
      <w:divBdr>
        <w:top w:val="none" w:sz="0" w:space="0" w:color="auto"/>
        <w:left w:val="none" w:sz="0" w:space="0" w:color="auto"/>
        <w:bottom w:val="none" w:sz="0" w:space="0" w:color="auto"/>
        <w:right w:val="none" w:sz="0" w:space="0" w:color="auto"/>
      </w:divBdr>
    </w:div>
    <w:div w:id="1256598714">
      <w:bodyDiv w:val="1"/>
      <w:marLeft w:val="0"/>
      <w:marRight w:val="0"/>
      <w:marTop w:val="0"/>
      <w:marBottom w:val="0"/>
      <w:divBdr>
        <w:top w:val="none" w:sz="0" w:space="0" w:color="auto"/>
        <w:left w:val="none" w:sz="0" w:space="0" w:color="auto"/>
        <w:bottom w:val="none" w:sz="0" w:space="0" w:color="auto"/>
        <w:right w:val="none" w:sz="0" w:space="0" w:color="auto"/>
      </w:divBdr>
      <w:divsChild>
        <w:div w:id="262959466">
          <w:marLeft w:val="0"/>
          <w:marRight w:val="0"/>
          <w:marTop w:val="0"/>
          <w:marBottom w:val="0"/>
          <w:divBdr>
            <w:top w:val="none" w:sz="0" w:space="0" w:color="auto"/>
            <w:left w:val="none" w:sz="0" w:space="0" w:color="auto"/>
            <w:bottom w:val="none" w:sz="0" w:space="0" w:color="auto"/>
            <w:right w:val="none" w:sz="0" w:space="0" w:color="auto"/>
          </w:divBdr>
        </w:div>
        <w:div w:id="317151534">
          <w:marLeft w:val="0"/>
          <w:marRight w:val="0"/>
          <w:marTop w:val="0"/>
          <w:marBottom w:val="0"/>
          <w:divBdr>
            <w:top w:val="none" w:sz="0" w:space="0" w:color="auto"/>
            <w:left w:val="none" w:sz="0" w:space="0" w:color="auto"/>
            <w:bottom w:val="none" w:sz="0" w:space="0" w:color="auto"/>
            <w:right w:val="none" w:sz="0" w:space="0" w:color="auto"/>
          </w:divBdr>
        </w:div>
        <w:div w:id="446435463">
          <w:marLeft w:val="0"/>
          <w:marRight w:val="0"/>
          <w:marTop w:val="0"/>
          <w:marBottom w:val="0"/>
          <w:divBdr>
            <w:top w:val="none" w:sz="0" w:space="0" w:color="auto"/>
            <w:left w:val="none" w:sz="0" w:space="0" w:color="auto"/>
            <w:bottom w:val="none" w:sz="0" w:space="0" w:color="auto"/>
            <w:right w:val="none" w:sz="0" w:space="0" w:color="auto"/>
          </w:divBdr>
        </w:div>
        <w:div w:id="647635525">
          <w:marLeft w:val="0"/>
          <w:marRight w:val="0"/>
          <w:marTop w:val="0"/>
          <w:marBottom w:val="0"/>
          <w:divBdr>
            <w:top w:val="none" w:sz="0" w:space="0" w:color="auto"/>
            <w:left w:val="none" w:sz="0" w:space="0" w:color="auto"/>
            <w:bottom w:val="none" w:sz="0" w:space="0" w:color="auto"/>
            <w:right w:val="none" w:sz="0" w:space="0" w:color="auto"/>
          </w:divBdr>
        </w:div>
        <w:div w:id="963535352">
          <w:marLeft w:val="0"/>
          <w:marRight w:val="0"/>
          <w:marTop w:val="0"/>
          <w:marBottom w:val="0"/>
          <w:divBdr>
            <w:top w:val="none" w:sz="0" w:space="0" w:color="auto"/>
            <w:left w:val="none" w:sz="0" w:space="0" w:color="auto"/>
            <w:bottom w:val="none" w:sz="0" w:space="0" w:color="auto"/>
            <w:right w:val="none" w:sz="0" w:space="0" w:color="auto"/>
          </w:divBdr>
        </w:div>
        <w:div w:id="1393776748">
          <w:marLeft w:val="0"/>
          <w:marRight w:val="0"/>
          <w:marTop w:val="0"/>
          <w:marBottom w:val="0"/>
          <w:divBdr>
            <w:top w:val="none" w:sz="0" w:space="0" w:color="auto"/>
            <w:left w:val="none" w:sz="0" w:space="0" w:color="auto"/>
            <w:bottom w:val="none" w:sz="0" w:space="0" w:color="auto"/>
            <w:right w:val="none" w:sz="0" w:space="0" w:color="auto"/>
          </w:divBdr>
        </w:div>
        <w:div w:id="1832452608">
          <w:marLeft w:val="0"/>
          <w:marRight w:val="0"/>
          <w:marTop w:val="0"/>
          <w:marBottom w:val="0"/>
          <w:divBdr>
            <w:top w:val="none" w:sz="0" w:space="0" w:color="auto"/>
            <w:left w:val="none" w:sz="0" w:space="0" w:color="auto"/>
            <w:bottom w:val="none" w:sz="0" w:space="0" w:color="auto"/>
            <w:right w:val="none" w:sz="0" w:space="0" w:color="auto"/>
          </w:divBdr>
        </w:div>
        <w:div w:id="1966157834">
          <w:marLeft w:val="0"/>
          <w:marRight w:val="0"/>
          <w:marTop w:val="0"/>
          <w:marBottom w:val="0"/>
          <w:divBdr>
            <w:top w:val="none" w:sz="0" w:space="0" w:color="auto"/>
            <w:left w:val="none" w:sz="0" w:space="0" w:color="auto"/>
            <w:bottom w:val="none" w:sz="0" w:space="0" w:color="auto"/>
            <w:right w:val="none" w:sz="0" w:space="0" w:color="auto"/>
          </w:divBdr>
        </w:div>
      </w:divsChild>
    </w:div>
    <w:div w:id="1357267620">
      <w:bodyDiv w:val="1"/>
      <w:marLeft w:val="0"/>
      <w:marRight w:val="0"/>
      <w:marTop w:val="0"/>
      <w:marBottom w:val="0"/>
      <w:divBdr>
        <w:top w:val="none" w:sz="0" w:space="0" w:color="auto"/>
        <w:left w:val="none" w:sz="0" w:space="0" w:color="auto"/>
        <w:bottom w:val="none" w:sz="0" w:space="0" w:color="auto"/>
        <w:right w:val="none" w:sz="0" w:space="0" w:color="auto"/>
      </w:divBdr>
      <w:divsChild>
        <w:div w:id="1318611898">
          <w:marLeft w:val="0"/>
          <w:marRight w:val="0"/>
          <w:marTop w:val="0"/>
          <w:marBottom w:val="0"/>
          <w:divBdr>
            <w:top w:val="none" w:sz="0" w:space="0" w:color="auto"/>
            <w:left w:val="none" w:sz="0" w:space="0" w:color="auto"/>
            <w:bottom w:val="none" w:sz="0" w:space="0" w:color="auto"/>
            <w:right w:val="none" w:sz="0" w:space="0" w:color="auto"/>
          </w:divBdr>
        </w:div>
        <w:div w:id="1811702499">
          <w:marLeft w:val="0"/>
          <w:marRight w:val="0"/>
          <w:marTop w:val="0"/>
          <w:marBottom w:val="0"/>
          <w:divBdr>
            <w:top w:val="none" w:sz="0" w:space="0" w:color="auto"/>
            <w:left w:val="none" w:sz="0" w:space="0" w:color="auto"/>
            <w:bottom w:val="none" w:sz="0" w:space="0" w:color="auto"/>
            <w:right w:val="none" w:sz="0" w:space="0" w:color="auto"/>
          </w:divBdr>
        </w:div>
        <w:div w:id="1847012081">
          <w:marLeft w:val="0"/>
          <w:marRight w:val="0"/>
          <w:marTop w:val="0"/>
          <w:marBottom w:val="0"/>
          <w:divBdr>
            <w:top w:val="none" w:sz="0" w:space="0" w:color="auto"/>
            <w:left w:val="none" w:sz="0" w:space="0" w:color="auto"/>
            <w:bottom w:val="none" w:sz="0" w:space="0" w:color="auto"/>
            <w:right w:val="none" w:sz="0" w:space="0" w:color="auto"/>
          </w:divBdr>
        </w:div>
      </w:divsChild>
    </w:div>
    <w:div w:id="1542129064">
      <w:bodyDiv w:val="1"/>
      <w:marLeft w:val="0"/>
      <w:marRight w:val="0"/>
      <w:marTop w:val="0"/>
      <w:marBottom w:val="0"/>
      <w:divBdr>
        <w:top w:val="none" w:sz="0" w:space="0" w:color="auto"/>
        <w:left w:val="none" w:sz="0" w:space="0" w:color="auto"/>
        <w:bottom w:val="none" w:sz="0" w:space="0" w:color="auto"/>
        <w:right w:val="none" w:sz="0" w:space="0" w:color="auto"/>
      </w:divBdr>
      <w:divsChild>
        <w:div w:id="410079809">
          <w:marLeft w:val="0"/>
          <w:marRight w:val="0"/>
          <w:marTop w:val="0"/>
          <w:marBottom w:val="0"/>
          <w:divBdr>
            <w:top w:val="none" w:sz="0" w:space="0" w:color="auto"/>
            <w:left w:val="none" w:sz="0" w:space="0" w:color="auto"/>
            <w:bottom w:val="none" w:sz="0" w:space="0" w:color="auto"/>
            <w:right w:val="none" w:sz="0" w:space="0" w:color="auto"/>
          </w:divBdr>
        </w:div>
        <w:div w:id="568736761">
          <w:marLeft w:val="0"/>
          <w:marRight w:val="0"/>
          <w:marTop w:val="0"/>
          <w:marBottom w:val="0"/>
          <w:divBdr>
            <w:top w:val="none" w:sz="0" w:space="0" w:color="auto"/>
            <w:left w:val="none" w:sz="0" w:space="0" w:color="auto"/>
            <w:bottom w:val="none" w:sz="0" w:space="0" w:color="auto"/>
            <w:right w:val="none" w:sz="0" w:space="0" w:color="auto"/>
          </w:divBdr>
        </w:div>
        <w:div w:id="915558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D8D8B-F8C9-4AA7-BBBF-D6001366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6785</Words>
  <Characters>38676</Characters>
  <Application>Microsoft Office Word</Application>
  <DocSecurity>0</DocSecurity>
  <Lines>322</Lines>
  <Paragraphs>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45371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Grančaiová, Zuzana</cp:lastModifiedBy>
  <cp:revision>10</cp:revision>
  <cp:lastPrinted>2019-09-18T10:38:00Z</cp:lastPrinted>
  <dcterms:created xsi:type="dcterms:W3CDTF">2019-09-16T11:02:00Z</dcterms:created>
  <dcterms:modified xsi:type="dcterms:W3CDTF">2019-09-26T05:59:00Z</dcterms:modified>
</cp:coreProperties>
</file>