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667DE" w14:textId="77777777" w:rsidR="008A742D" w:rsidRDefault="008A742D">
      <w:pPr>
        <w:pStyle w:val="Nzov"/>
        <w:jc w:val="left"/>
        <w:rPr>
          <w:sz w:val="22"/>
          <w:szCs w:val="22"/>
          <w:u w:val="none"/>
          <w:lang w:val="sk-SK"/>
        </w:rPr>
      </w:pPr>
      <w:bookmarkStart w:id="0" w:name="_GoBack"/>
      <w:bookmarkEnd w:id="0"/>
    </w:p>
    <w:p w14:paraId="63AB82E4" w14:textId="77777777" w:rsidR="008A742D" w:rsidRDefault="008A742D">
      <w:pPr>
        <w:pStyle w:val="Nzov"/>
        <w:rPr>
          <w:sz w:val="22"/>
          <w:szCs w:val="22"/>
          <w:u w:val="none"/>
          <w:lang w:val="sk-SK"/>
        </w:rPr>
      </w:pPr>
      <w:r>
        <w:rPr>
          <w:sz w:val="22"/>
          <w:szCs w:val="22"/>
          <w:u w:val="none"/>
          <w:lang w:val="sk-SK"/>
        </w:rPr>
        <w:t>SÚHRN CHARAKTERISTICKýCH VLASTNOSTÍ LIEKU</w:t>
      </w:r>
    </w:p>
    <w:p w14:paraId="45C95D76" w14:textId="77777777" w:rsidR="008A742D" w:rsidRDefault="008A742D">
      <w:pPr>
        <w:pStyle w:val="Nadpis1"/>
        <w:spacing w:before="0"/>
        <w:rPr>
          <w:lang w:val="sk-SK"/>
        </w:rPr>
      </w:pPr>
    </w:p>
    <w:p w14:paraId="591362A4" w14:textId="77777777" w:rsidR="008A742D" w:rsidRDefault="008A742D">
      <w:pPr>
        <w:pStyle w:val="Nadpis1"/>
        <w:spacing w:before="0"/>
        <w:rPr>
          <w:lang w:val="sk-SK"/>
        </w:rPr>
      </w:pPr>
    </w:p>
    <w:p w14:paraId="57BC0132" w14:textId="77777777" w:rsidR="008A742D" w:rsidRDefault="008A742D">
      <w:pPr>
        <w:pStyle w:val="Nadpis1"/>
        <w:spacing w:before="0"/>
        <w:rPr>
          <w:lang w:val="sk-SK"/>
        </w:rPr>
      </w:pPr>
      <w:r>
        <w:rPr>
          <w:lang w:val="sk-SK"/>
        </w:rPr>
        <w:t>1.</w:t>
      </w:r>
      <w:r>
        <w:rPr>
          <w:lang w:val="sk-SK"/>
        </w:rPr>
        <w:tab/>
        <w:t>NÁZOV LIEKU</w:t>
      </w:r>
    </w:p>
    <w:p w14:paraId="6286D046" w14:textId="77777777" w:rsidR="008A742D" w:rsidRDefault="008A742D">
      <w:pPr>
        <w:tabs>
          <w:tab w:val="right" w:pos="4253"/>
        </w:tabs>
        <w:rPr>
          <w:szCs w:val="22"/>
          <w:lang w:val="sk-SK"/>
        </w:rPr>
      </w:pPr>
    </w:p>
    <w:p w14:paraId="68F109F5" w14:textId="77777777" w:rsidR="008A742D" w:rsidRDefault="008A742D">
      <w:pPr>
        <w:tabs>
          <w:tab w:val="right" w:pos="4253"/>
        </w:tabs>
        <w:rPr>
          <w:szCs w:val="22"/>
          <w:lang w:val="sk-SK"/>
        </w:rPr>
      </w:pP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B. </w:t>
      </w:r>
      <w:proofErr w:type="spellStart"/>
      <w:r>
        <w:rPr>
          <w:szCs w:val="22"/>
          <w:lang w:val="sk-SK"/>
        </w:rPr>
        <w:t>Braun</w:t>
      </w:r>
      <w:proofErr w:type="spellEnd"/>
      <w:r>
        <w:rPr>
          <w:szCs w:val="22"/>
          <w:lang w:val="sk-SK"/>
        </w:rPr>
        <w:t xml:space="preserve"> 5 mg/ml  </w:t>
      </w:r>
    </w:p>
    <w:p w14:paraId="0217F7DD" w14:textId="77777777" w:rsidR="008A742D" w:rsidRDefault="008A742D">
      <w:pPr>
        <w:pStyle w:val="Nadpis1"/>
        <w:spacing w:before="0"/>
        <w:rPr>
          <w:b w:val="0"/>
          <w:caps w:val="0"/>
          <w:lang w:val="sk-SK"/>
        </w:rPr>
      </w:pPr>
      <w:r>
        <w:rPr>
          <w:b w:val="0"/>
          <w:caps w:val="0"/>
          <w:lang w:val="sk-SK"/>
        </w:rPr>
        <w:t>infúzny roztok</w:t>
      </w:r>
    </w:p>
    <w:p w14:paraId="6C8C966D" w14:textId="77777777" w:rsidR="008A742D" w:rsidRDefault="008A742D">
      <w:pPr>
        <w:pStyle w:val="Nadpis1"/>
        <w:spacing w:before="0"/>
        <w:rPr>
          <w:lang w:val="sk-SK"/>
        </w:rPr>
      </w:pPr>
    </w:p>
    <w:p w14:paraId="6873B5D4" w14:textId="77777777" w:rsidR="008A742D" w:rsidRDefault="008A742D">
      <w:pPr>
        <w:rPr>
          <w:lang w:val="sk-SK"/>
        </w:rPr>
      </w:pPr>
    </w:p>
    <w:p w14:paraId="3A137BE1" w14:textId="77777777" w:rsidR="008A742D" w:rsidRDefault="008A742D">
      <w:pPr>
        <w:pStyle w:val="Nadpis1"/>
        <w:spacing w:before="0"/>
        <w:rPr>
          <w:lang w:val="sk-SK"/>
        </w:rPr>
      </w:pPr>
      <w:r>
        <w:rPr>
          <w:lang w:val="sk-SK"/>
        </w:rPr>
        <w:t>2.</w:t>
      </w:r>
      <w:r>
        <w:rPr>
          <w:lang w:val="sk-SK"/>
        </w:rPr>
        <w:tab/>
        <w:t>KVALITATÍVNE A KVANTITATÍVNE ZLOŽENIE</w:t>
      </w:r>
    </w:p>
    <w:p w14:paraId="188435DE" w14:textId="77777777" w:rsidR="008A742D" w:rsidRDefault="008A742D">
      <w:pPr>
        <w:rPr>
          <w:szCs w:val="22"/>
          <w:lang w:val="sk-SK"/>
        </w:rPr>
      </w:pPr>
    </w:p>
    <w:p w14:paraId="231331EF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1 ml roztoku obsahuje 5 mg </w:t>
      </w:r>
      <w:proofErr w:type="spellStart"/>
      <w:r>
        <w:rPr>
          <w:szCs w:val="22"/>
          <w:lang w:val="sk-SK"/>
        </w:rPr>
        <w:t>metronidazolu</w:t>
      </w:r>
      <w:proofErr w:type="spellEnd"/>
    </w:p>
    <w:p w14:paraId="326F5EB7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100 ml roztoku obsahuje 500 mg </w:t>
      </w:r>
      <w:proofErr w:type="spellStart"/>
      <w:r>
        <w:rPr>
          <w:szCs w:val="22"/>
          <w:lang w:val="sk-SK"/>
        </w:rPr>
        <w:t>metronidazolu</w:t>
      </w:r>
      <w:proofErr w:type="spellEnd"/>
    </w:p>
    <w:p w14:paraId="7591517E" w14:textId="77777777" w:rsidR="008A742D" w:rsidRDefault="008A742D">
      <w:pPr>
        <w:rPr>
          <w:i/>
          <w:szCs w:val="22"/>
          <w:lang w:val="sk-SK"/>
        </w:rPr>
      </w:pPr>
    </w:p>
    <w:p w14:paraId="62F045C2" w14:textId="77777777" w:rsidR="008A742D" w:rsidRDefault="008A742D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>Pomocné látky so známym účinkom:</w:t>
      </w:r>
    </w:p>
    <w:p w14:paraId="6D47C1EE" w14:textId="1797C230" w:rsidR="00200B86" w:rsidRDefault="008A742D">
      <w:pPr>
        <w:tabs>
          <w:tab w:val="left" w:pos="4253"/>
        </w:tabs>
        <w:rPr>
          <w:szCs w:val="22"/>
          <w:lang w:val="sk-SK"/>
        </w:rPr>
      </w:pPr>
      <w:r>
        <w:rPr>
          <w:szCs w:val="22"/>
          <w:lang w:val="sk-SK"/>
        </w:rPr>
        <w:t>1 ml roztoku obsahuje</w:t>
      </w:r>
      <w:r w:rsidR="002C19E1">
        <w:rPr>
          <w:szCs w:val="22"/>
          <w:lang w:val="sk-SK"/>
        </w:rPr>
        <w:t xml:space="preserve"> 0,14 mmol (alebo 3,22 mg) sodíka</w:t>
      </w:r>
    </w:p>
    <w:p w14:paraId="4182409D" w14:textId="7ABDB508" w:rsidR="008A742D" w:rsidRDefault="008A742D" w:rsidP="00000913">
      <w:pPr>
        <w:tabs>
          <w:tab w:val="left" w:pos="4253"/>
        </w:tabs>
        <w:rPr>
          <w:szCs w:val="22"/>
          <w:lang w:val="sk-SK"/>
        </w:rPr>
      </w:pPr>
    </w:p>
    <w:p w14:paraId="3CF58D8B" w14:textId="12AD0535" w:rsidR="008A742D" w:rsidDel="009D0C50" w:rsidRDefault="008A742D">
      <w:pPr>
        <w:tabs>
          <w:tab w:val="left" w:pos="3969"/>
        </w:tabs>
        <w:rPr>
          <w:i/>
          <w:szCs w:val="22"/>
          <w:lang w:val="sk-SK"/>
        </w:rPr>
      </w:pPr>
      <w:r w:rsidDel="009D0C50">
        <w:rPr>
          <w:lang w:val="sk-SK"/>
        </w:rPr>
        <w:t>Úplný zoznam pomocných látok, pozri časť 6.1.</w:t>
      </w:r>
    </w:p>
    <w:p w14:paraId="5FBF186D" w14:textId="77777777" w:rsidR="002C19E1" w:rsidRDefault="002C19E1">
      <w:pPr>
        <w:tabs>
          <w:tab w:val="left" w:pos="3969"/>
        </w:tabs>
        <w:rPr>
          <w:i/>
          <w:szCs w:val="22"/>
          <w:lang w:val="sk-SK"/>
        </w:rPr>
      </w:pPr>
    </w:p>
    <w:p w14:paraId="4E9E84F5" w14:textId="77777777" w:rsidR="008A742D" w:rsidRDefault="008A742D">
      <w:pPr>
        <w:tabs>
          <w:tab w:val="left" w:pos="3969"/>
        </w:tabs>
        <w:rPr>
          <w:i/>
          <w:szCs w:val="22"/>
          <w:lang w:val="sk-SK"/>
        </w:rPr>
      </w:pPr>
      <w:r>
        <w:rPr>
          <w:i/>
          <w:szCs w:val="22"/>
          <w:lang w:val="sk-SK"/>
        </w:rPr>
        <w:t>Obsah elektrolytov (v 100 ml):</w:t>
      </w:r>
    </w:p>
    <w:p w14:paraId="325F8BAA" w14:textId="5AD6FCCD" w:rsidR="008A742D" w:rsidRDefault="008A742D" w:rsidP="009D0C50">
      <w:pPr>
        <w:tabs>
          <w:tab w:val="left" w:pos="0"/>
          <w:tab w:val="left" w:pos="3402"/>
        </w:tabs>
        <w:rPr>
          <w:szCs w:val="22"/>
          <w:lang w:val="sk-SK"/>
        </w:rPr>
      </w:pPr>
      <w:r>
        <w:rPr>
          <w:szCs w:val="22"/>
          <w:lang w:val="sk-SK"/>
        </w:rPr>
        <w:t>sodík</w:t>
      </w:r>
      <w:r>
        <w:rPr>
          <w:szCs w:val="22"/>
          <w:lang w:val="sk-SK"/>
        </w:rPr>
        <w:tab/>
        <w:t>14 mmol</w:t>
      </w:r>
    </w:p>
    <w:p w14:paraId="167DB860" w14:textId="04AD18EC" w:rsidR="008A742D" w:rsidRDefault="008A742D" w:rsidP="009D0C50">
      <w:pPr>
        <w:tabs>
          <w:tab w:val="left" w:pos="0"/>
          <w:tab w:val="left" w:pos="3402"/>
        </w:tabs>
        <w:rPr>
          <w:szCs w:val="22"/>
          <w:lang w:val="sk-SK"/>
        </w:rPr>
      </w:pPr>
      <w:r>
        <w:rPr>
          <w:szCs w:val="22"/>
          <w:lang w:val="sk-SK"/>
        </w:rPr>
        <w:t>chlorid</w:t>
      </w:r>
      <w:r>
        <w:rPr>
          <w:szCs w:val="22"/>
          <w:lang w:val="sk-SK"/>
        </w:rPr>
        <w:tab/>
        <w:t>13 mmol</w:t>
      </w:r>
    </w:p>
    <w:p w14:paraId="7016F684" w14:textId="77777777" w:rsidR="008A742D" w:rsidRDefault="008A742D">
      <w:pPr>
        <w:rPr>
          <w:szCs w:val="22"/>
          <w:lang w:val="sk-SK"/>
        </w:rPr>
      </w:pPr>
    </w:p>
    <w:p w14:paraId="3BFC1645" w14:textId="77777777" w:rsidR="008A742D" w:rsidRDefault="008A742D">
      <w:pPr>
        <w:rPr>
          <w:szCs w:val="22"/>
          <w:lang w:val="sk-SK"/>
        </w:rPr>
      </w:pPr>
    </w:p>
    <w:p w14:paraId="50EF39B2" w14:textId="77777777" w:rsidR="008A742D" w:rsidRDefault="008A742D">
      <w:pPr>
        <w:rPr>
          <w:b/>
          <w:szCs w:val="22"/>
          <w:lang w:val="sk-SK"/>
        </w:rPr>
      </w:pPr>
      <w:r>
        <w:rPr>
          <w:b/>
          <w:szCs w:val="22"/>
          <w:lang w:val="sk-SK"/>
        </w:rPr>
        <w:t>3.</w:t>
      </w:r>
      <w:r>
        <w:rPr>
          <w:b/>
          <w:szCs w:val="22"/>
          <w:lang w:val="sk-SK"/>
        </w:rPr>
        <w:tab/>
        <w:t>LIEKOVÁ FORMA</w:t>
      </w:r>
    </w:p>
    <w:p w14:paraId="04853956" w14:textId="77777777" w:rsidR="008A742D" w:rsidRDefault="008A742D">
      <w:pPr>
        <w:rPr>
          <w:szCs w:val="22"/>
          <w:lang w:val="sk-SK"/>
        </w:rPr>
      </w:pPr>
    </w:p>
    <w:p w14:paraId="05F5394A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infúzny roztok</w:t>
      </w:r>
    </w:p>
    <w:p w14:paraId="2BA38355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číry, bezfarebný alebo jemne žltkastý vodný roztok</w:t>
      </w:r>
    </w:p>
    <w:p w14:paraId="3AF2173D" w14:textId="77777777" w:rsidR="008A742D" w:rsidRDefault="008A742D">
      <w:pPr>
        <w:pStyle w:val="Nadpis1"/>
        <w:spacing w:before="0"/>
        <w:rPr>
          <w:lang w:val="sk-SK"/>
        </w:rPr>
      </w:pPr>
    </w:p>
    <w:p w14:paraId="7472644F" w14:textId="77777777" w:rsidR="008A742D" w:rsidRDefault="008A742D">
      <w:pPr>
        <w:pStyle w:val="Nadpis1"/>
        <w:spacing w:before="0"/>
        <w:rPr>
          <w:lang w:val="sk-SK"/>
        </w:rPr>
      </w:pPr>
    </w:p>
    <w:p w14:paraId="637F3324" w14:textId="77777777" w:rsidR="008A742D" w:rsidRDefault="008A742D">
      <w:pPr>
        <w:pStyle w:val="Nadpis1"/>
        <w:spacing w:before="0"/>
        <w:rPr>
          <w:lang w:val="sk-SK"/>
        </w:rPr>
      </w:pPr>
      <w:r>
        <w:rPr>
          <w:lang w:val="sk-SK"/>
        </w:rPr>
        <w:t>4.</w:t>
      </w:r>
      <w:r>
        <w:rPr>
          <w:lang w:val="sk-SK"/>
        </w:rPr>
        <w:tab/>
        <w:t>KLINICKÉ ÚDAJE</w:t>
      </w:r>
    </w:p>
    <w:p w14:paraId="21D9E371" w14:textId="77777777" w:rsidR="008A742D" w:rsidRDefault="008A742D">
      <w:pPr>
        <w:pStyle w:val="Nadpis2"/>
        <w:spacing w:before="0"/>
        <w:rPr>
          <w:lang w:val="sk-SK"/>
        </w:rPr>
      </w:pPr>
    </w:p>
    <w:p w14:paraId="3EF72717" w14:textId="77777777"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4.1</w:t>
      </w:r>
      <w:r>
        <w:rPr>
          <w:lang w:val="sk-SK"/>
        </w:rPr>
        <w:tab/>
        <w:t>Terapeutické indikácie</w:t>
      </w:r>
    </w:p>
    <w:p w14:paraId="2AA36A4F" w14:textId="77777777" w:rsidR="008A742D" w:rsidRDefault="008A742D">
      <w:pPr>
        <w:rPr>
          <w:szCs w:val="22"/>
          <w:lang w:val="sk-SK"/>
        </w:rPr>
      </w:pPr>
    </w:p>
    <w:p w14:paraId="5A322114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Liečba a profylaxia infekcií, ktoré sú zapríčinené mikroorganizmami citlivými na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(najmä anaeróbne baktérie).</w:t>
      </w:r>
    </w:p>
    <w:p w14:paraId="502BE7F0" w14:textId="7FA1BE0B" w:rsidR="008A742D" w:rsidRDefault="008A742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> sa používa u dospelých a detí pri nasledujúcich indikáciách:</w:t>
      </w:r>
    </w:p>
    <w:p w14:paraId="3F6DBCB4" w14:textId="77777777"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infekcie centrálneho nervového systému (napr. mozgový absces, </w:t>
      </w:r>
      <w:proofErr w:type="spellStart"/>
      <w:r>
        <w:rPr>
          <w:szCs w:val="22"/>
          <w:lang w:val="sk-SK"/>
        </w:rPr>
        <w:t>meningitída</w:t>
      </w:r>
      <w:proofErr w:type="spellEnd"/>
      <w:r>
        <w:rPr>
          <w:szCs w:val="22"/>
          <w:lang w:val="sk-SK"/>
        </w:rPr>
        <w:t>),</w:t>
      </w:r>
    </w:p>
    <w:p w14:paraId="6FED090C" w14:textId="77777777"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infekcie pľúc a </w:t>
      </w:r>
      <w:proofErr w:type="spellStart"/>
      <w:r>
        <w:rPr>
          <w:szCs w:val="22"/>
          <w:lang w:val="sk-SK"/>
        </w:rPr>
        <w:t>pleury</w:t>
      </w:r>
      <w:proofErr w:type="spellEnd"/>
      <w:r>
        <w:rPr>
          <w:szCs w:val="22"/>
          <w:lang w:val="sk-SK"/>
        </w:rPr>
        <w:t xml:space="preserve"> (napr. </w:t>
      </w:r>
      <w:proofErr w:type="spellStart"/>
      <w:r>
        <w:rPr>
          <w:szCs w:val="22"/>
          <w:lang w:val="sk-SK"/>
        </w:rPr>
        <w:t>nekrotizujúca</w:t>
      </w:r>
      <w:proofErr w:type="spellEnd"/>
      <w:r>
        <w:rPr>
          <w:szCs w:val="22"/>
          <w:lang w:val="sk-SK"/>
        </w:rPr>
        <w:t xml:space="preserve"> pneumónia, aspiračná pneumónia, pľúcny absces),</w:t>
      </w:r>
    </w:p>
    <w:p w14:paraId="73811262" w14:textId="77777777"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endokarditída</w:t>
      </w:r>
      <w:proofErr w:type="spellEnd"/>
      <w:r>
        <w:rPr>
          <w:szCs w:val="22"/>
          <w:lang w:val="sk-SK"/>
        </w:rPr>
        <w:t>,</w:t>
      </w:r>
    </w:p>
    <w:p w14:paraId="39AB31B6" w14:textId="77777777"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infekcie </w:t>
      </w:r>
      <w:proofErr w:type="spellStart"/>
      <w:r>
        <w:rPr>
          <w:szCs w:val="22"/>
          <w:lang w:val="sk-SK"/>
        </w:rPr>
        <w:t>gastrointestinálneho</w:t>
      </w:r>
      <w:proofErr w:type="spellEnd"/>
      <w:r>
        <w:rPr>
          <w:szCs w:val="22"/>
          <w:lang w:val="sk-SK"/>
        </w:rPr>
        <w:t xml:space="preserve"> traktu a </w:t>
      </w:r>
      <w:proofErr w:type="spellStart"/>
      <w:r>
        <w:rPr>
          <w:szCs w:val="22"/>
          <w:lang w:val="sk-SK"/>
        </w:rPr>
        <w:t>abdominálnej</w:t>
      </w:r>
      <w:proofErr w:type="spellEnd"/>
      <w:r>
        <w:rPr>
          <w:szCs w:val="22"/>
          <w:lang w:val="sk-SK"/>
        </w:rPr>
        <w:t xml:space="preserve"> oblasti (napr. </w:t>
      </w:r>
      <w:proofErr w:type="spellStart"/>
      <w:r>
        <w:rPr>
          <w:szCs w:val="22"/>
          <w:lang w:val="sk-SK"/>
        </w:rPr>
        <w:t>peritonitída</w:t>
      </w:r>
      <w:proofErr w:type="spellEnd"/>
      <w:r>
        <w:rPr>
          <w:szCs w:val="22"/>
          <w:lang w:val="sk-SK"/>
        </w:rPr>
        <w:t>, pečeňový absces, pooperačné infekcie po črevnej a </w:t>
      </w:r>
      <w:proofErr w:type="spellStart"/>
      <w:r>
        <w:rPr>
          <w:szCs w:val="22"/>
          <w:lang w:val="sk-SK"/>
        </w:rPr>
        <w:t>rektálnej</w:t>
      </w:r>
      <w:proofErr w:type="spellEnd"/>
      <w:r>
        <w:rPr>
          <w:szCs w:val="22"/>
          <w:lang w:val="sk-SK"/>
        </w:rPr>
        <w:t xml:space="preserve"> operácii, hnisavé ochorenia v </w:t>
      </w:r>
      <w:proofErr w:type="spellStart"/>
      <w:r>
        <w:rPr>
          <w:szCs w:val="22"/>
          <w:lang w:val="sk-SK"/>
        </w:rPr>
        <w:t>abdominálnej</w:t>
      </w:r>
      <w:proofErr w:type="spellEnd"/>
      <w:r>
        <w:rPr>
          <w:szCs w:val="22"/>
          <w:lang w:val="sk-SK"/>
        </w:rPr>
        <w:t xml:space="preserve"> a panvovej dutine),</w:t>
      </w:r>
    </w:p>
    <w:p w14:paraId="779EF38C" w14:textId="77777777"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gynekologické infekcie (napr. </w:t>
      </w:r>
      <w:proofErr w:type="spellStart"/>
      <w:r>
        <w:rPr>
          <w:szCs w:val="22"/>
          <w:lang w:val="sk-SK"/>
        </w:rPr>
        <w:t>endometritída</w:t>
      </w:r>
      <w:proofErr w:type="spellEnd"/>
      <w:r>
        <w:rPr>
          <w:szCs w:val="22"/>
          <w:lang w:val="sk-SK"/>
        </w:rPr>
        <w:t xml:space="preserve">, po </w:t>
      </w:r>
      <w:proofErr w:type="spellStart"/>
      <w:r>
        <w:rPr>
          <w:szCs w:val="22"/>
          <w:lang w:val="sk-SK"/>
        </w:rPr>
        <w:t>hysterektómii</w:t>
      </w:r>
      <w:proofErr w:type="spellEnd"/>
      <w:r>
        <w:rPr>
          <w:szCs w:val="22"/>
          <w:lang w:val="sk-SK"/>
        </w:rPr>
        <w:t xml:space="preserve"> alebo cisárskom reze, </w:t>
      </w:r>
      <w:proofErr w:type="spellStart"/>
      <w:r>
        <w:rPr>
          <w:szCs w:val="22"/>
          <w:lang w:val="sk-SK"/>
        </w:rPr>
        <w:t>puerperálna</w:t>
      </w:r>
      <w:proofErr w:type="spellEnd"/>
      <w:r>
        <w:rPr>
          <w:szCs w:val="22"/>
          <w:lang w:val="sk-SK"/>
        </w:rPr>
        <w:t xml:space="preserve"> (popôrodná) horúčka, septický potrat),</w:t>
      </w:r>
    </w:p>
    <w:p w14:paraId="27F2394C" w14:textId="77777777"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infekcie v oblasti uší-nosa-hrtana a zubov-úst-sánky (napr. </w:t>
      </w:r>
      <w:proofErr w:type="spellStart"/>
      <w:r>
        <w:rPr>
          <w:szCs w:val="22"/>
          <w:lang w:val="sk-SK"/>
        </w:rPr>
        <w:t>Plautova</w:t>
      </w:r>
      <w:proofErr w:type="spellEnd"/>
      <w:r>
        <w:rPr>
          <w:szCs w:val="22"/>
          <w:lang w:val="sk-SK"/>
        </w:rPr>
        <w:t>-Vincentova angína),</w:t>
      </w:r>
    </w:p>
    <w:p w14:paraId="128CE0C5" w14:textId="77777777"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infekcie kostí a kĺbov (napr. </w:t>
      </w:r>
      <w:proofErr w:type="spellStart"/>
      <w:r>
        <w:rPr>
          <w:szCs w:val="22"/>
          <w:lang w:val="sk-SK"/>
        </w:rPr>
        <w:t>osteomyelitída</w:t>
      </w:r>
      <w:proofErr w:type="spellEnd"/>
      <w:r>
        <w:rPr>
          <w:szCs w:val="22"/>
          <w:lang w:val="sk-SK"/>
        </w:rPr>
        <w:t>),</w:t>
      </w:r>
    </w:p>
    <w:p w14:paraId="419795F8" w14:textId="77777777"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plynová gangréna,</w:t>
      </w:r>
    </w:p>
    <w:p w14:paraId="6F6131F8" w14:textId="77777777" w:rsidR="008A742D" w:rsidRDefault="008A742D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septikémia</w:t>
      </w:r>
      <w:proofErr w:type="spellEnd"/>
      <w:r>
        <w:rPr>
          <w:szCs w:val="22"/>
          <w:lang w:val="sk-SK"/>
        </w:rPr>
        <w:t xml:space="preserve"> (otrava krvi) s tromboflebitídou.</w:t>
      </w:r>
    </w:p>
    <w:p w14:paraId="7EC6DFFD" w14:textId="77777777" w:rsidR="008A742D" w:rsidRDefault="008A742D">
      <w:pPr>
        <w:rPr>
          <w:szCs w:val="22"/>
          <w:lang w:val="sk-SK"/>
        </w:rPr>
      </w:pPr>
    </w:p>
    <w:p w14:paraId="2E8BF881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Pri zmiešaných aeróbnych a anaeróbnych infekciách sa musia spolu s 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B. </w:t>
      </w:r>
      <w:proofErr w:type="spellStart"/>
      <w:r>
        <w:rPr>
          <w:szCs w:val="22"/>
          <w:lang w:val="sk-SK"/>
        </w:rPr>
        <w:t>Braun</w:t>
      </w:r>
      <w:proofErr w:type="spellEnd"/>
      <w:r>
        <w:rPr>
          <w:szCs w:val="22"/>
          <w:lang w:val="sk-SK"/>
        </w:rPr>
        <w:t xml:space="preserve"> 5 mg/ml použiť vhodné antibiotiká na liečbu aeróbnej infekcie.</w:t>
      </w:r>
    </w:p>
    <w:p w14:paraId="4AC92FA0" w14:textId="77777777" w:rsidR="008A742D" w:rsidRDefault="008A742D">
      <w:pPr>
        <w:rPr>
          <w:szCs w:val="22"/>
          <w:lang w:val="sk-SK"/>
        </w:rPr>
      </w:pPr>
    </w:p>
    <w:p w14:paraId="2334E0E6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Profylaktické použitie je indikované vždy pred operáciami s vysokým rizikom anaeróbnych infekcií (gynekologické a </w:t>
      </w:r>
      <w:proofErr w:type="spellStart"/>
      <w:r>
        <w:rPr>
          <w:szCs w:val="22"/>
          <w:lang w:val="sk-SK"/>
        </w:rPr>
        <w:t>intraabdominálne</w:t>
      </w:r>
      <w:proofErr w:type="spellEnd"/>
      <w:r>
        <w:rPr>
          <w:szCs w:val="22"/>
          <w:lang w:val="sk-SK"/>
        </w:rPr>
        <w:t xml:space="preserve"> operácie).</w:t>
      </w:r>
    </w:p>
    <w:p w14:paraId="3EA48DE1" w14:textId="77777777" w:rsidR="008A742D" w:rsidRPr="007C3F4B" w:rsidRDefault="008A742D">
      <w:pPr>
        <w:rPr>
          <w:szCs w:val="22"/>
          <w:lang w:val="sk-SK"/>
        </w:rPr>
      </w:pPr>
    </w:p>
    <w:p w14:paraId="49E3BEAA" w14:textId="77777777" w:rsidR="008A742D" w:rsidRDefault="008A742D">
      <w:pPr>
        <w:rPr>
          <w:szCs w:val="22"/>
          <w:lang w:val="sk-SK"/>
        </w:rPr>
      </w:pPr>
      <w:r w:rsidRPr="007C3F4B">
        <w:rPr>
          <w:szCs w:val="22"/>
          <w:lang w:val="sk-SK"/>
        </w:rPr>
        <w:lastRenderedPageBreak/>
        <w:t>Do úvahy sa musia vziať odporúčania, ktoré sa týkajú správneho používania antibakteriálnych liekov.</w:t>
      </w:r>
    </w:p>
    <w:p w14:paraId="41165600" w14:textId="77777777" w:rsidR="008A742D" w:rsidRDefault="008A742D">
      <w:pPr>
        <w:pStyle w:val="Nadpis2"/>
        <w:spacing w:before="0"/>
        <w:rPr>
          <w:lang w:val="sk-SK"/>
        </w:rPr>
      </w:pPr>
    </w:p>
    <w:p w14:paraId="10EE1A77" w14:textId="77777777"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4.2</w:t>
      </w:r>
      <w:r>
        <w:rPr>
          <w:lang w:val="sk-SK"/>
        </w:rPr>
        <w:tab/>
      </w:r>
      <w:r w:rsidR="009E2C4E">
        <w:rPr>
          <w:lang w:val="sk-SK"/>
        </w:rPr>
        <w:t xml:space="preserve"> </w:t>
      </w:r>
      <w:r>
        <w:rPr>
          <w:lang w:val="sk-SK"/>
        </w:rPr>
        <w:t>Dávkovanie a spôsob podávania</w:t>
      </w:r>
    </w:p>
    <w:p w14:paraId="197A0041" w14:textId="77777777" w:rsidR="008A742D" w:rsidRDefault="008A742D">
      <w:pPr>
        <w:rPr>
          <w:szCs w:val="22"/>
          <w:lang w:val="sk-SK"/>
        </w:rPr>
      </w:pPr>
    </w:p>
    <w:p w14:paraId="786879DA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Dávkovanie sa upravuje podľa individuálnej reakcie pacienta na liečbu, jeho veku a telesnej hmotnosti a podľa charakteru a závažnosti ochorenia.</w:t>
      </w:r>
    </w:p>
    <w:p w14:paraId="5B17A1E5" w14:textId="77777777" w:rsidR="008A742D" w:rsidRDefault="008A742D">
      <w:pPr>
        <w:rPr>
          <w:szCs w:val="22"/>
          <w:lang w:val="sk-SK"/>
        </w:rPr>
      </w:pPr>
    </w:p>
    <w:p w14:paraId="34AAB837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Má sa dodržať nasledovné dávkovanie: </w:t>
      </w:r>
    </w:p>
    <w:p w14:paraId="1469F0A6" w14:textId="77777777" w:rsidR="008A742D" w:rsidRDefault="008A742D">
      <w:pPr>
        <w:rPr>
          <w:i/>
          <w:szCs w:val="22"/>
          <w:lang w:val="sk-SK"/>
        </w:rPr>
      </w:pPr>
    </w:p>
    <w:p w14:paraId="3F41BB8A" w14:textId="77777777" w:rsidR="008A742D" w:rsidRDefault="008A742D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>Dospelí a dospievajúci</w:t>
      </w:r>
    </w:p>
    <w:p w14:paraId="57C46F8E" w14:textId="77777777" w:rsidR="008A742D" w:rsidRDefault="008A742D">
      <w:pPr>
        <w:rPr>
          <w:szCs w:val="22"/>
          <w:lang w:val="sk-SK"/>
        </w:rPr>
      </w:pPr>
    </w:p>
    <w:p w14:paraId="25F86CEF" w14:textId="77777777" w:rsidR="008A742D" w:rsidRDefault="008A742D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Liečba anaeróbnych infekcií</w:t>
      </w:r>
    </w:p>
    <w:p w14:paraId="4677D834" w14:textId="75CFDE18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Zvyčajne sa podáva najprv jednorazová počiatočná dávka 1</w:t>
      </w:r>
      <w:r w:rsidR="002C19E1">
        <w:rPr>
          <w:szCs w:val="22"/>
          <w:lang w:val="sk-SK"/>
        </w:rPr>
        <w:t xml:space="preserve"> </w:t>
      </w:r>
      <w:r>
        <w:rPr>
          <w:szCs w:val="22"/>
          <w:lang w:val="sk-SK"/>
        </w:rPr>
        <w:t>500 mg (300 ml) a v nasledujúcich dňoch následné jednotlivé dávky 1</w:t>
      </w:r>
      <w:r w:rsidR="002C19E1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000 mg (200 ml). </w:t>
      </w:r>
    </w:p>
    <w:p w14:paraId="7EAE1263" w14:textId="77777777" w:rsidR="008A742D" w:rsidRDefault="008A742D">
      <w:pPr>
        <w:rPr>
          <w:szCs w:val="22"/>
          <w:u w:val="single"/>
          <w:lang w:val="sk-SK"/>
        </w:rPr>
      </w:pPr>
      <w:r>
        <w:rPr>
          <w:szCs w:val="22"/>
          <w:lang w:val="sk-SK"/>
        </w:rPr>
        <w:t xml:space="preserve">Alternatívne sa môže podávať 500 mg (100 ml) každých 8 hodín. Ak to indikuje lekár, na začiatku liečby môže byť podaná </w:t>
      </w:r>
      <w:proofErr w:type="spellStart"/>
      <w:r>
        <w:rPr>
          <w:szCs w:val="22"/>
          <w:lang w:val="sk-SK"/>
        </w:rPr>
        <w:t>nasycovacia</w:t>
      </w:r>
      <w:proofErr w:type="spellEnd"/>
      <w:r>
        <w:rPr>
          <w:szCs w:val="22"/>
          <w:lang w:val="sk-SK"/>
        </w:rPr>
        <w:t xml:space="preserve"> úvodná dávka 15 mg/kg telesnej hmotnosti. </w:t>
      </w:r>
      <w:r w:rsidRPr="007C3F4B">
        <w:rPr>
          <w:szCs w:val="22"/>
          <w:lang w:val="sk-SK"/>
        </w:rPr>
        <w:t>Dĺžka trvania liečby závisí od účinku liečby. Vo väčšine prípadov je postačujúcich 7 dní. Ak to však klinický stav vyžaduje, liečba môže pokračovať ďalej (pozri časť 4.4).</w:t>
      </w:r>
    </w:p>
    <w:p w14:paraId="77045573" w14:textId="77777777" w:rsidR="008A742D" w:rsidRDefault="008A742D">
      <w:pPr>
        <w:rPr>
          <w:szCs w:val="22"/>
          <w:u w:val="single"/>
          <w:lang w:val="sk-SK"/>
        </w:rPr>
      </w:pPr>
    </w:p>
    <w:p w14:paraId="7C4F15C8" w14:textId="77777777" w:rsidR="008A742D" w:rsidRDefault="008A742D">
      <w:pPr>
        <w:rPr>
          <w:szCs w:val="22"/>
          <w:lang w:val="sk-SK"/>
        </w:rPr>
      </w:pPr>
      <w:r>
        <w:rPr>
          <w:szCs w:val="22"/>
          <w:u w:val="single"/>
          <w:lang w:val="sk-SK"/>
        </w:rPr>
        <w:t>Profylaxia pooperačných infekcií vyvolaných anaeróbnymi baktériami:</w:t>
      </w:r>
    </w:p>
    <w:p w14:paraId="0103A75A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Podanie dávky 500 mg jednu hodinu pred operáciou. Dávka sa opakuje po 8 a 16 hodinách.</w:t>
      </w:r>
    </w:p>
    <w:p w14:paraId="0437C765" w14:textId="77777777" w:rsidR="008A742D" w:rsidRDefault="008A742D">
      <w:pPr>
        <w:rPr>
          <w:i/>
          <w:szCs w:val="22"/>
          <w:lang w:val="sk-SK"/>
        </w:rPr>
      </w:pPr>
    </w:p>
    <w:p w14:paraId="6AE91ACC" w14:textId="77777777"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Pediatrická populácia</w:t>
      </w:r>
    </w:p>
    <w:p w14:paraId="0BB5F6C9" w14:textId="77777777" w:rsidR="008A742D" w:rsidRDefault="008A742D">
      <w:pPr>
        <w:rPr>
          <w:szCs w:val="22"/>
          <w:u w:val="single"/>
          <w:lang w:val="sk-SK"/>
        </w:rPr>
      </w:pPr>
    </w:p>
    <w:p w14:paraId="5EC93C2F" w14:textId="77777777" w:rsidR="008A742D" w:rsidRDefault="008A742D">
      <w:pPr>
        <w:rPr>
          <w:szCs w:val="22"/>
          <w:lang w:val="sk-SK"/>
        </w:rPr>
      </w:pPr>
      <w:r>
        <w:rPr>
          <w:szCs w:val="22"/>
          <w:u w:val="single"/>
          <w:lang w:val="sk-SK"/>
        </w:rPr>
        <w:t>Liečba anaeróbnych infekcií</w:t>
      </w:r>
    </w:p>
    <w:p w14:paraId="6916B5A2" w14:textId="77777777" w:rsidR="008A742D" w:rsidRDefault="008A742D">
      <w:pPr>
        <w:numPr>
          <w:ilvl w:val="0"/>
          <w:numId w:val="3"/>
        </w:numPr>
        <w:ind w:left="567" w:hanging="567"/>
        <w:rPr>
          <w:lang w:val="sk-SK"/>
        </w:rPr>
      </w:pPr>
      <w:r>
        <w:rPr>
          <w:lang w:val="sk-SK"/>
        </w:rPr>
        <w:t>Deti vo veku &gt; 8 týždňov až 12 rokov:</w:t>
      </w:r>
    </w:p>
    <w:p w14:paraId="2742EA89" w14:textId="77777777" w:rsidR="008A742D" w:rsidRDefault="008A742D">
      <w:pPr>
        <w:ind w:left="567"/>
        <w:rPr>
          <w:color w:val="000000"/>
          <w:szCs w:val="22"/>
          <w:lang w:val="sk-SK"/>
        </w:rPr>
      </w:pPr>
      <w:r>
        <w:rPr>
          <w:szCs w:val="22"/>
          <w:lang w:val="sk-SK"/>
        </w:rPr>
        <w:t xml:space="preserve">Bežná denná dávka je 20 – 30 mg/kg telesnej hmotnosti denne v jednej dávke alebo v rozdelenej dávke 7,5 mg/kg telesnej hmotnosti každých 8 hodín. </w:t>
      </w:r>
      <w:r>
        <w:rPr>
          <w:color w:val="000000"/>
          <w:szCs w:val="22"/>
          <w:lang w:val="sk-SK"/>
        </w:rPr>
        <w:t>V</w:t>
      </w:r>
      <w:r>
        <w:rPr>
          <w:szCs w:val="22"/>
          <w:lang w:val="sk-SK"/>
        </w:rPr>
        <w:t> </w:t>
      </w:r>
      <w:r>
        <w:rPr>
          <w:color w:val="000000"/>
          <w:szCs w:val="22"/>
          <w:lang w:val="sk-SK"/>
        </w:rPr>
        <w:t>závislosti od závažnosti infekcie je možné dennú dávku zvýšiť na 40 mg/kg telesnej hmotnosti.</w:t>
      </w:r>
    </w:p>
    <w:p w14:paraId="4D2C45B6" w14:textId="77777777" w:rsidR="008A742D" w:rsidRDefault="008A742D">
      <w:pPr>
        <w:ind w:left="567" w:hanging="567"/>
        <w:rPr>
          <w:color w:val="000000"/>
          <w:szCs w:val="22"/>
          <w:lang w:val="sk-SK"/>
        </w:rPr>
      </w:pPr>
    </w:p>
    <w:p w14:paraId="367B3CF2" w14:textId="77777777" w:rsidR="008A742D" w:rsidRDefault="008A742D">
      <w:pPr>
        <w:numPr>
          <w:ilvl w:val="0"/>
          <w:numId w:val="3"/>
        </w:num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Deti vo veku &lt; 8 týždňov:</w:t>
      </w:r>
    </w:p>
    <w:p w14:paraId="30DDE3FC" w14:textId="77777777" w:rsidR="008A742D" w:rsidRDefault="008A742D">
      <w:pPr>
        <w:ind w:left="567"/>
        <w:rPr>
          <w:szCs w:val="22"/>
          <w:lang w:val="sk-SK"/>
        </w:rPr>
      </w:pPr>
      <w:r>
        <w:rPr>
          <w:szCs w:val="22"/>
          <w:lang w:val="sk-SK"/>
        </w:rPr>
        <w:t>15 mg/kg telesnej hmotnosti denne v jednej dávke alebo v rozdelenej dávke 7,5 mg/kg telesnej hmotnosti každých 12 hodín.</w:t>
      </w:r>
    </w:p>
    <w:p w14:paraId="4B800CBE" w14:textId="77777777" w:rsidR="008A742D" w:rsidRDefault="008A742D">
      <w:pPr>
        <w:ind w:left="567" w:hanging="567"/>
        <w:rPr>
          <w:szCs w:val="22"/>
          <w:lang w:val="sk-SK"/>
        </w:rPr>
      </w:pPr>
    </w:p>
    <w:p w14:paraId="0A75B8D5" w14:textId="77777777" w:rsidR="008A742D" w:rsidRDefault="008A742D">
      <w:pPr>
        <w:numPr>
          <w:ilvl w:val="0"/>
          <w:numId w:val="3"/>
        </w:num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U novorodencov s </w:t>
      </w:r>
      <w:proofErr w:type="spellStart"/>
      <w:r>
        <w:rPr>
          <w:szCs w:val="22"/>
          <w:lang w:val="sk-SK"/>
        </w:rPr>
        <w:t>gestačným</w:t>
      </w:r>
      <w:proofErr w:type="spellEnd"/>
      <w:r>
        <w:rPr>
          <w:szCs w:val="22"/>
          <w:lang w:val="sk-SK"/>
        </w:rPr>
        <w:t xml:space="preserve"> vekom &lt;</w:t>
      </w:r>
      <w:r w:rsidR="00E172EE">
        <w:rPr>
          <w:szCs w:val="22"/>
          <w:lang w:val="sk-SK"/>
        </w:rPr>
        <w:t xml:space="preserve"> </w:t>
      </w:r>
      <w:r>
        <w:rPr>
          <w:szCs w:val="22"/>
          <w:lang w:val="sk-SK"/>
        </w:rPr>
        <w:t>40 týždňov:</w:t>
      </w:r>
    </w:p>
    <w:p w14:paraId="614074C1" w14:textId="77777777" w:rsidR="008A742D" w:rsidRDefault="008A742D">
      <w:pPr>
        <w:ind w:left="567"/>
        <w:rPr>
          <w:szCs w:val="22"/>
          <w:lang w:val="sk-SK"/>
        </w:rPr>
      </w:pPr>
      <w:r>
        <w:rPr>
          <w:szCs w:val="22"/>
          <w:lang w:val="sk-SK"/>
        </w:rPr>
        <w:t xml:space="preserve">V priebehu prvého týždňa života môže dochádzať k hromadeniu 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, preto bude najlepšie, ak sa koncentrácia 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 v krvi skontroluje po niekoľkých dňoch liečby. </w:t>
      </w:r>
    </w:p>
    <w:p w14:paraId="00CC04DB" w14:textId="77777777" w:rsidR="008A742D" w:rsidRDefault="008A742D">
      <w:pPr>
        <w:rPr>
          <w:szCs w:val="22"/>
          <w:lang w:val="sk-SK"/>
        </w:rPr>
      </w:pPr>
    </w:p>
    <w:p w14:paraId="2DE2F8E3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Dĺžka trvania liečby je spravidla 7 dní.</w:t>
      </w:r>
    </w:p>
    <w:p w14:paraId="7772E033" w14:textId="77777777" w:rsidR="008A742D" w:rsidRDefault="008A742D">
      <w:pPr>
        <w:rPr>
          <w:szCs w:val="22"/>
          <w:u w:val="single"/>
          <w:lang w:val="sk-SK"/>
        </w:rPr>
      </w:pPr>
    </w:p>
    <w:p w14:paraId="0D0FF1AA" w14:textId="77777777" w:rsidR="008A742D" w:rsidRDefault="008A742D">
      <w:pPr>
        <w:rPr>
          <w:szCs w:val="22"/>
          <w:lang w:val="sk-SK"/>
        </w:rPr>
      </w:pPr>
      <w:r>
        <w:rPr>
          <w:szCs w:val="22"/>
          <w:u w:val="single"/>
          <w:lang w:val="sk-SK"/>
        </w:rPr>
        <w:t>Profylaxia pooperačných infekcií vyvolaných anaeróbnymi baktériami:</w:t>
      </w:r>
    </w:p>
    <w:p w14:paraId="37B6BCA2" w14:textId="77777777" w:rsidR="008A742D" w:rsidRDefault="008A742D">
      <w:pPr>
        <w:numPr>
          <w:ilvl w:val="0"/>
          <w:numId w:val="3"/>
        </w:num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Deti &lt; 12 rokov:</w:t>
      </w:r>
    </w:p>
    <w:p w14:paraId="786F5D54" w14:textId="77777777" w:rsidR="008A742D" w:rsidRDefault="008A742D">
      <w:pPr>
        <w:ind w:left="567"/>
        <w:rPr>
          <w:szCs w:val="22"/>
          <w:lang w:val="sk-SK"/>
        </w:rPr>
      </w:pPr>
      <w:r>
        <w:rPr>
          <w:szCs w:val="22"/>
          <w:lang w:val="sk-SK"/>
        </w:rPr>
        <w:t>20 – 30 mg/kg telesnej hmotnosti v jednej dávke podávanej 1 – 2 hodiny pred operáciou.</w:t>
      </w:r>
    </w:p>
    <w:p w14:paraId="635C4E7C" w14:textId="77777777" w:rsidR="008A742D" w:rsidRDefault="008A742D">
      <w:pPr>
        <w:ind w:left="567"/>
        <w:rPr>
          <w:color w:val="000000"/>
          <w:szCs w:val="22"/>
          <w:lang w:val="sk-SK"/>
        </w:rPr>
      </w:pPr>
    </w:p>
    <w:p w14:paraId="673BC555" w14:textId="77777777" w:rsidR="008A742D" w:rsidRDefault="008A742D">
      <w:pPr>
        <w:numPr>
          <w:ilvl w:val="0"/>
          <w:numId w:val="3"/>
        </w:num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Novorodenci s </w:t>
      </w:r>
      <w:proofErr w:type="spellStart"/>
      <w:r>
        <w:rPr>
          <w:szCs w:val="22"/>
          <w:lang w:val="sk-SK"/>
        </w:rPr>
        <w:t>gestačným</w:t>
      </w:r>
      <w:proofErr w:type="spellEnd"/>
      <w:r>
        <w:rPr>
          <w:szCs w:val="22"/>
          <w:lang w:val="sk-SK"/>
        </w:rPr>
        <w:t xml:space="preserve"> vekom &lt; 40 týždňov:</w:t>
      </w:r>
    </w:p>
    <w:p w14:paraId="7B0E495C" w14:textId="77777777" w:rsidR="008A742D" w:rsidRDefault="008A742D">
      <w:pPr>
        <w:ind w:left="567"/>
        <w:rPr>
          <w:szCs w:val="22"/>
          <w:lang w:val="sk-SK"/>
        </w:rPr>
      </w:pPr>
      <w:r>
        <w:rPr>
          <w:szCs w:val="22"/>
          <w:lang w:val="sk-SK"/>
        </w:rPr>
        <w:t>10 mg/kg telesnej hmotnosti v jednej dávke pred operáciou</w:t>
      </w:r>
    </w:p>
    <w:p w14:paraId="6E213572" w14:textId="77777777" w:rsidR="008A742D" w:rsidRDefault="008A742D">
      <w:pPr>
        <w:ind w:left="708"/>
        <w:rPr>
          <w:szCs w:val="22"/>
          <w:lang w:val="sk-SK"/>
        </w:rPr>
      </w:pPr>
    </w:p>
    <w:p w14:paraId="0B0C4D54" w14:textId="77777777" w:rsidR="008A742D" w:rsidRDefault="008A742D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>Pacienti s poruchou funkcie obličiek</w:t>
      </w:r>
    </w:p>
    <w:p w14:paraId="71FF4D2E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Zníženie dávky nie je potrebné, pozri časť 5.2.</w:t>
      </w:r>
    </w:p>
    <w:p w14:paraId="6A40CA5B" w14:textId="77777777" w:rsidR="008A742D" w:rsidRDefault="008A742D">
      <w:pPr>
        <w:rPr>
          <w:b/>
          <w:szCs w:val="22"/>
          <w:u w:val="single"/>
          <w:lang w:val="sk-SK"/>
        </w:rPr>
      </w:pPr>
    </w:p>
    <w:p w14:paraId="529FED95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U pacientov podstupujúcich hemodialýzu sa má konvenčná dávka 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 naplánovať v deň dialýzy po hemodialýze na vykompenzovanie úniku 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 v priebehu dialýzy.</w:t>
      </w:r>
    </w:p>
    <w:p w14:paraId="5C6A55E1" w14:textId="77777777" w:rsidR="008A742D" w:rsidRDefault="008A742D">
      <w:pPr>
        <w:rPr>
          <w:i/>
          <w:szCs w:val="22"/>
          <w:lang w:val="sk-SK"/>
        </w:rPr>
      </w:pPr>
    </w:p>
    <w:p w14:paraId="766D7007" w14:textId="77777777"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Pacienti s poruchou funkcie pečene</w:t>
      </w:r>
    </w:p>
    <w:p w14:paraId="5F6FADD5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Keďže v prípade závažnej poruchy funkcie pečene je biologický polčas 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 v sére predĺžený a </w:t>
      </w:r>
      <w:proofErr w:type="spellStart"/>
      <w:r>
        <w:rPr>
          <w:szCs w:val="22"/>
          <w:lang w:val="sk-SK"/>
        </w:rPr>
        <w:t>klírens</w:t>
      </w:r>
      <w:proofErr w:type="spellEnd"/>
      <w:r>
        <w:rPr>
          <w:szCs w:val="22"/>
          <w:lang w:val="sk-SK"/>
        </w:rPr>
        <w:t xml:space="preserve"> plazmy oneskorený, pacientom so závažným ochorením pečene sa musia podávať nižšie dávky (pozri časť 5.2).</w:t>
      </w:r>
    </w:p>
    <w:p w14:paraId="5A6CB6CB" w14:textId="77777777" w:rsidR="008A742D" w:rsidRDefault="008A742D">
      <w:pPr>
        <w:rPr>
          <w:i/>
          <w:szCs w:val="22"/>
          <w:lang w:val="sk-SK"/>
        </w:rPr>
      </w:pPr>
    </w:p>
    <w:p w14:paraId="17AD7199" w14:textId="77777777" w:rsidR="008A742D" w:rsidRDefault="008A742D">
      <w:pPr>
        <w:pStyle w:val="Nadpis3"/>
        <w:spacing w:before="0"/>
        <w:rPr>
          <w:lang w:val="sk-SK"/>
        </w:rPr>
      </w:pPr>
      <w:r>
        <w:rPr>
          <w:lang w:val="sk-SK"/>
        </w:rPr>
        <w:t>Spôsob podávania</w:t>
      </w:r>
    </w:p>
    <w:p w14:paraId="73EBCAFA" w14:textId="77777777" w:rsidR="008A742D" w:rsidRDefault="008A742D">
      <w:pPr>
        <w:rPr>
          <w:szCs w:val="22"/>
          <w:lang w:val="sk-SK"/>
        </w:rPr>
      </w:pPr>
    </w:p>
    <w:p w14:paraId="37D6D534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Intravenózne použitie.</w:t>
      </w:r>
    </w:p>
    <w:p w14:paraId="47BDF372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Obsah jednej fľaše sa má podávať pomalou infúziou </w:t>
      </w:r>
      <w:proofErr w:type="spellStart"/>
      <w:r>
        <w:rPr>
          <w:szCs w:val="22"/>
          <w:lang w:val="sk-SK"/>
        </w:rPr>
        <w:t>i.v</w:t>
      </w:r>
      <w:proofErr w:type="spellEnd"/>
      <w:r>
        <w:rPr>
          <w:szCs w:val="22"/>
          <w:lang w:val="sk-SK"/>
        </w:rPr>
        <w:t xml:space="preserve">., napr. 100 ml nie kratšie ako 20 minút, ale zvyčajne dlhšie ako hodinu. </w:t>
      </w:r>
    </w:p>
    <w:p w14:paraId="5D314829" w14:textId="7B04A18E" w:rsidR="008A742D" w:rsidRDefault="008A742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B. </w:t>
      </w:r>
      <w:proofErr w:type="spellStart"/>
      <w:r>
        <w:rPr>
          <w:szCs w:val="22"/>
          <w:lang w:val="sk-SK"/>
        </w:rPr>
        <w:t>Braun</w:t>
      </w:r>
      <w:proofErr w:type="spellEnd"/>
      <w:r>
        <w:rPr>
          <w:szCs w:val="22"/>
          <w:lang w:val="sk-SK"/>
        </w:rPr>
        <w:t xml:space="preserve"> 5 mg/ml sa môže pred podaním nariediť pridaním do </w:t>
      </w:r>
      <w:proofErr w:type="spellStart"/>
      <w:r>
        <w:rPr>
          <w:szCs w:val="22"/>
          <w:lang w:val="sk-SK"/>
        </w:rPr>
        <w:t>i.v</w:t>
      </w:r>
      <w:proofErr w:type="spellEnd"/>
      <w:r>
        <w:rPr>
          <w:szCs w:val="22"/>
          <w:lang w:val="sk-SK"/>
        </w:rPr>
        <w:t>. roztoku ako je napr. 0,9</w:t>
      </w:r>
      <w:r w:rsidR="000C3E6D">
        <w:rPr>
          <w:szCs w:val="22"/>
          <w:lang w:val="sk-SK"/>
        </w:rPr>
        <w:t xml:space="preserve"> </w:t>
      </w:r>
      <w:r>
        <w:rPr>
          <w:szCs w:val="22"/>
          <w:lang w:val="sk-SK"/>
        </w:rPr>
        <w:t>% chlorid sodný, alebo 5</w:t>
      </w:r>
      <w:r w:rsidR="000C3E6D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% infúzny roztok glukózy. Súbežne predpísané antibiotiká sa odporúča podávať samostatne. </w:t>
      </w:r>
    </w:p>
    <w:p w14:paraId="46AA2E60" w14:textId="77777777" w:rsidR="008A742D" w:rsidRDefault="008A742D">
      <w:pPr>
        <w:pStyle w:val="Nadpis2"/>
        <w:spacing w:before="0"/>
        <w:rPr>
          <w:lang w:val="sk-SK"/>
        </w:rPr>
      </w:pPr>
    </w:p>
    <w:p w14:paraId="09C1FEC8" w14:textId="77777777" w:rsidR="008A742D" w:rsidRDefault="008A742D" w:rsidP="00BD3EBD">
      <w:pPr>
        <w:pStyle w:val="Nadpis2"/>
        <w:spacing w:before="0"/>
        <w:rPr>
          <w:lang w:val="sk-SK"/>
        </w:rPr>
      </w:pPr>
      <w:r>
        <w:rPr>
          <w:lang w:val="sk-SK"/>
        </w:rPr>
        <w:t>4.3</w:t>
      </w:r>
      <w:r>
        <w:rPr>
          <w:lang w:val="sk-SK"/>
        </w:rPr>
        <w:tab/>
        <w:t>Kontraindikácie</w:t>
      </w:r>
    </w:p>
    <w:p w14:paraId="7257F354" w14:textId="77777777" w:rsidR="008A742D" w:rsidRDefault="008A742D">
      <w:pPr>
        <w:rPr>
          <w:szCs w:val="22"/>
          <w:lang w:val="sk-SK"/>
        </w:rPr>
      </w:pPr>
    </w:p>
    <w:p w14:paraId="331ED1F5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Precitlivenosť na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alebo na iné deriváty </w:t>
      </w:r>
      <w:proofErr w:type="spellStart"/>
      <w:r>
        <w:rPr>
          <w:szCs w:val="22"/>
          <w:lang w:val="sk-SK"/>
        </w:rPr>
        <w:t>nitroimidazolu</w:t>
      </w:r>
      <w:proofErr w:type="spellEnd"/>
      <w:r>
        <w:rPr>
          <w:szCs w:val="22"/>
          <w:lang w:val="sk-SK"/>
        </w:rPr>
        <w:t xml:space="preserve"> alebo na ktorúkoľvek z pomocných látok uvedených v časti 6.1. </w:t>
      </w:r>
    </w:p>
    <w:p w14:paraId="406961F8" w14:textId="77777777" w:rsidR="008A742D" w:rsidRDefault="008A742D">
      <w:pPr>
        <w:pStyle w:val="Nadpis2"/>
        <w:spacing w:before="0"/>
        <w:rPr>
          <w:lang w:val="sk-SK"/>
        </w:rPr>
      </w:pPr>
    </w:p>
    <w:p w14:paraId="25E04940" w14:textId="77777777"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4.4</w:t>
      </w:r>
      <w:r>
        <w:rPr>
          <w:lang w:val="sk-SK"/>
        </w:rPr>
        <w:tab/>
        <w:t>Osobitné upozornenia a opatrenia pri používaní</w:t>
      </w:r>
    </w:p>
    <w:p w14:paraId="2866F425" w14:textId="77777777" w:rsidR="008A742D" w:rsidRDefault="008A742D">
      <w:pPr>
        <w:rPr>
          <w:szCs w:val="22"/>
          <w:lang w:val="sk-SK"/>
        </w:rPr>
      </w:pPr>
    </w:p>
    <w:p w14:paraId="10B0E565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U pacientov so závažným poškodením pečene alebo zhoršenou </w:t>
      </w:r>
      <w:proofErr w:type="spellStart"/>
      <w:r>
        <w:rPr>
          <w:szCs w:val="22"/>
          <w:lang w:val="sk-SK"/>
        </w:rPr>
        <w:t>hematopoézou</w:t>
      </w:r>
      <w:proofErr w:type="spellEnd"/>
      <w:r>
        <w:rPr>
          <w:szCs w:val="22"/>
          <w:lang w:val="sk-SK"/>
        </w:rPr>
        <w:t xml:space="preserve"> (napr. </w:t>
      </w:r>
      <w:proofErr w:type="spellStart"/>
      <w:r>
        <w:rPr>
          <w:szCs w:val="22"/>
          <w:lang w:val="sk-SK"/>
        </w:rPr>
        <w:t>granulocytopénia</w:t>
      </w:r>
      <w:proofErr w:type="spellEnd"/>
      <w:r>
        <w:rPr>
          <w:szCs w:val="22"/>
          <w:lang w:val="sk-SK"/>
        </w:rPr>
        <w:t xml:space="preserve">) sa má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používať len ak očakávaný úžitok nepochybne prevýši možné riziká.</w:t>
      </w:r>
    </w:p>
    <w:p w14:paraId="6D5CFEC6" w14:textId="77777777" w:rsidR="008A742D" w:rsidRDefault="008A742D">
      <w:pPr>
        <w:rPr>
          <w:szCs w:val="22"/>
          <w:lang w:val="sk-SK"/>
        </w:rPr>
      </w:pPr>
    </w:p>
    <w:p w14:paraId="23A6DCC8" w14:textId="77777777" w:rsidR="008A742D" w:rsidRDefault="008A742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sa, vzhľadom na riziko zhoršenia, môže použiť u pacientov s akútnym alebo chronickým závažným ochorením periférneho a centrálneho nervového systému iba vtedy, ak očakávaný prínos nepochybne prevýši možné riziká.</w:t>
      </w:r>
    </w:p>
    <w:p w14:paraId="53709908" w14:textId="77777777" w:rsidR="008A742D" w:rsidRDefault="008A742D">
      <w:pPr>
        <w:rPr>
          <w:szCs w:val="22"/>
          <w:lang w:val="sk-SK"/>
        </w:rPr>
      </w:pPr>
    </w:p>
    <w:p w14:paraId="21ABA079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U pacientov liečených 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boli pozorované záchvaty kŕčov, </w:t>
      </w:r>
      <w:proofErr w:type="spellStart"/>
      <w:r>
        <w:rPr>
          <w:szCs w:val="22"/>
          <w:lang w:val="sk-SK"/>
        </w:rPr>
        <w:t>myoklonická</w:t>
      </w:r>
      <w:proofErr w:type="spellEnd"/>
      <w:r>
        <w:rPr>
          <w:szCs w:val="22"/>
          <w:lang w:val="sk-SK"/>
        </w:rPr>
        <w:t xml:space="preserve"> a periférna </w:t>
      </w:r>
      <w:proofErr w:type="spellStart"/>
      <w:r>
        <w:rPr>
          <w:szCs w:val="22"/>
          <w:lang w:val="sk-SK"/>
        </w:rPr>
        <w:t>neuropatia</w:t>
      </w:r>
      <w:proofErr w:type="spellEnd"/>
      <w:r>
        <w:rPr>
          <w:szCs w:val="22"/>
          <w:lang w:val="sk-SK"/>
        </w:rPr>
        <w:t xml:space="preserve">, z ktorých je periférna </w:t>
      </w:r>
      <w:proofErr w:type="spellStart"/>
      <w:r>
        <w:rPr>
          <w:szCs w:val="22"/>
          <w:lang w:val="sk-SK"/>
        </w:rPr>
        <w:t>neuropatia</w:t>
      </w:r>
      <w:proofErr w:type="spellEnd"/>
      <w:r>
        <w:rPr>
          <w:szCs w:val="22"/>
          <w:lang w:val="sk-SK"/>
        </w:rPr>
        <w:t xml:space="preserve"> charakterizovaná najmä zníženou citlivosťou alebo </w:t>
      </w:r>
      <w:proofErr w:type="spellStart"/>
      <w:r>
        <w:rPr>
          <w:szCs w:val="22"/>
          <w:lang w:val="sk-SK"/>
        </w:rPr>
        <w:t>parestéziou</w:t>
      </w:r>
      <w:proofErr w:type="spellEnd"/>
      <w:r>
        <w:rPr>
          <w:szCs w:val="22"/>
          <w:lang w:val="sk-SK"/>
        </w:rPr>
        <w:t xml:space="preserve"> v končatinách. Výskyt abnormálnych neurologických prejavov vyžaduje okamžité prehodnotenie pomeru prínosu/rizika a pokračovania liečby. Pozri tiež časť 4.8.</w:t>
      </w:r>
    </w:p>
    <w:p w14:paraId="50381042" w14:textId="77777777" w:rsidR="008A742D" w:rsidRDefault="008A742D">
      <w:pPr>
        <w:rPr>
          <w:szCs w:val="22"/>
          <w:lang w:val="sk-SK"/>
        </w:rPr>
      </w:pPr>
    </w:p>
    <w:p w14:paraId="11D486B3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V prípade závažných </w:t>
      </w:r>
      <w:proofErr w:type="spellStart"/>
      <w:r>
        <w:rPr>
          <w:szCs w:val="22"/>
          <w:lang w:val="sk-SK"/>
        </w:rPr>
        <w:t>hypersenzitívnych</w:t>
      </w:r>
      <w:proofErr w:type="spellEnd"/>
      <w:r>
        <w:rPr>
          <w:szCs w:val="22"/>
          <w:lang w:val="sk-SK"/>
        </w:rPr>
        <w:t xml:space="preserve"> reakcií (napr. </w:t>
      </w:r>
      <w:proofErr w:type="spellStart"/>
      <w:r>
        <w:rPr>
          <w:szCs w:val="22"/>
          <w:lang w:val="sk-SK"/>
        </w:rPr>
        <w:t>anafylaktický</w:t>
      </w:r>
      <w:proofErr w:type="spellEnd"/>
      <w:r>
        <w:rPr>
          <w:szCs w:val="22"/>
          <w:lang w:val="sk-SK"/>
        </w:rPr>
        <w:t xml:space="preserve"> šok; pozri tiež časť 4.8) sa musí liečba 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B. </w:t>
      </w:r>
      <w:proofErr w:type="spellStart"/>
      <w:r>
        <w:rPr>
          <w:szCs w:val="22"/>
          <w:lang w:val="sk-SK"/>
        </w:rPr>
        <w:t>Braun</w:t>
      </w:r>
      <w:proofErr w:type="spellEnd"/>
      <w:r>
        <w:rPr>
          <w:szCs w:val="22"/>
          <w:lang w:val="sk-SK"/>
        </w:rPr>
        <w:t xml:space="preserve"> 5 mg/ml ihneď ukončiť a lekár musí začať okamžitú liečbu.</w:t>
      </w:r>
    </w:p>
    <w:p w14:paraId="214048E3" w14:textId="77777777" w:rsidR="008A742D" w:rsidRDefault="008A742D">
      <w:pPr>
        <w:rPr>
          <w:szCs w:val="22"/>
          <w:lang w:val="sk-SK"/>
        </w:rPr>
      </w:pPr>
    </w:p>
    <w:p w14:paraId="3A38E75C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Závažná a pretrvávajúca hnačka počas liečby alebo počas nasledujúcich týždňov môže byť spôsobená </w:t>
      </w:r>
      <w:proofErr w:type="spellStart"/>
      <w:r>
        <w:rPr>
          <w:szCs w:val="22"/>
          <w:lang w:val="sk-SK"/>
        </w:rPr>
        <w:t>pseudomembranóznou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kolitídou</w:t>
      </w:r>
      <w:proofErr w:type="spellEnd"/>
      <w:r>
        <w:rPr>
          <w:szCs w:val="22"/>
          <w:lang w:val="sk-SK"/>
        </w:rPr>
        <w:t xml:space="preserve"> (vo väčšine prípadov zapríčinenou </w:t>
      </w:r>
      <w:proofErr w:type="spellStart"/>
      <w:r>
        <w:rPr>
          <w:i/>
          <w:szCs w:val="22"/>
          <w:lang w:val="sk-SK"/>
        </w:rPr>
        <w:t>Clostridium</w:t>
      </w:r>
      <w:proofErr w:type="spellEnd"/>
      <w:r>
        <w:rPr>
          <w:i/>
          <w:szCs w:val="22"/>
          <w:lang w:val="sk-SK"/>
        </w:rPr>
        <w:t xml:space="preserve"> </w:t>
      </w:r>
      <w:proofErr w:type="spellStart"/>
      <w:r>
        <w:rPr>
          <w:i/>
          <w:szCs w:val="22"/>
          <w:lang w:val="sk-SK"/>
        </w:rPr>
        <w:t>difficile</w:t>
      </w:r>
      <w:proofErr w:type="spellEnd"/>
      <w:r>
        <w:rPr>
          <w:szCs w:val="22"/>
          <w:lang w:val="sk-SK"/>
        </w:rPr>
        <w:t xml:space="preserve">), pozri časť 4.8. Toto črevné ochorenie vyvolané antibiotickou liečbou môže byť životu nebezpečné a vyžaduje si okamžitú vhodnú liečbu. Nesmú sa podávať </w:t>
      </w:r>
      <w:proofErr w:type="spellStart"/>
      <w:r>
        <w:rPr>
          <w:szCs w:val="22"/>
          <w:lang w:val="sk-SK"/>
        </w:rPr>
        <w:t>antiperistaltiká</w:t>
      </w:r>
      <w:proofErr w:type="spellEnd"/>
      <w:r>
        <w:rPr>
          <w:szCs w:val="22"/>
          <w:lang w:val="sk-SK"/>
        </w:rPr>
        <w:t>.</w:t>
      </w:r>
    </w:p>
    <w:p w14:paraId="3410856C" w14:textId="77777777" w:rsidR="008A742D" w:rsidRDefault="008A742D">
      <w:pPr>
        <w:rPr>
          <w:szCs w:val="22"/>
          <w:lang w:val="sk-SK"/>
        </w:rPr>
      </w:pPr>
    </w:p>
    <w:p w14:paraId="78DB4145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Dĺžka liečby 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alebo liekmi obsahujúcimi iné </w:t>
      </w:r>
      <w:proofErr w:type="spellStart"/>
      <w:r>
        <w:rPr>
          <w:szCs w:val="22"/>
          <w:lang w:val="sk-SK"/>
        </w:rPr>
        <w:t>nitroimidazoly</w:t>
      </w:r>
      <w:proofErr w:type="spellEnd"/>
      <w:r>
        <w:rPr>
          <w:szCs w:val="22"/>
          <w:lang w:val="sk-SK"/>
        </w:rPr>
        <w:t xml:space="preserve"> nemá presiahnuť 10 dní. Iba v špecificky vybraných prípadoch, a ak je to nevyhnutne potrebné, liečba môže byť predĺžená spolu s náležitým klinickým a laboratórnym sledovaním. Opakovaná liečba sa má obmedziť na najvyššiu možnú mieru a má byť vyhradená len pre špecificky vybrané prípady. Tieto obmedzenia musia byť striktne dodržiavané, pretože nemožno s určitosťou vylúčiť možnosť 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navodenej mutagénnej aktivity, a tiež aj z dôvodu, že v experimentoch na zvieratách bol zaznamenaný nárast výskytu niektorých nádorov.</w:t>
      </w:r>
    </w:p>
    <w:p w14:paraId="0E63E762" w14:textId="77777777" w:rsidR="008A742D" w:rsidRDefault="008A742D">
      <w:pPr>
        <w:rPr>
          <w:szCs w:val="22"/>
          <w:lang w:val="sk-SK"/>
        </w:rPr>
      </w:pPr>
    </w:p>
    <w:p w14:paraId="29B0630F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Pri liekoch obsahujúcich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na systémové použitie boli hlásené prípady </w:t>
      </w:r>
      <w:r w:rsidR="00613416">
        <w:rPr>
          <w:szCs w:val="22"/>
          <w:lang w:val="sk-SK"/>
        </w:rPr>
        <w:t>závažnej</w:t>
      </w:r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hepatálnej</w:t>
      </w:r>
      <w:proofErr w:type="spellEnd"/>
      <w:r>
        <w:rPr>
          <w:szCs w:val="22"/>
          <w:lang w:val="sk-SK"/>
        </w:rPr>
        <w:t xml:space="preserve"> toxicity/akútneho zlyhania pečene vrátane prípadov so smrteľnými následkami s veľmi rýchlym nástupom po začatí liečby u pacientov so syndrómom </w:t>
      </w:r>
      <w:proofErr w:type="spellStart"/>
      <w:r>
        <w:rPr>
          <w:szCs w:val="22"/>
          <w:lang w:val="sk-SK"/>
        </w:rPr>
        <w:t>Cockayne</w:t>
      </w:r>
      <w:proofErr w:type="spellEnd"/>
      <w:r>
        <w:rPr>
          <w:szCs w:val="22"/>
          <w:lang w:val="sk-SK"/>
        </w:rPr>
        <w:t xml:space="preserve">. U tejto skupiny osôb sa má preto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použiť po starostlivom posúdení prínosov a rizík a iba v prípade, ak nie je dostupná alternatívna liečba. Pred začiatkom liečby, počas nej a po jej skončení sa musia vykonať pečeňové testy až kým nebude funkcia pečene v normálnom rozsahu alebo kým nebudú dosiahnuté východiskové hodnoty. Ak budú počas liečby pečeňové testy výrazne zvýšené, je potrebné </w:t>
      </w:r>
      <w:r w:rsidR="0047073E">
        <w:rPr>
          <w:szCs w:val="22"/>
          <w:lang w:val="sk-SK"/>
        </w:rPr>
        <w:t>ukončiť</w:t>
      </w:r>
      <w:r>
        <w:rPr>
          <w:szCs w:val="22"/>
          <w:lang w:val="sk-SK"/>
        </w:rPr>
        <w:t xml:space="preserve"> liečbu.</w:t>
      </w:r>
    </w:p>
    <w:p w14:paraId="6ED502B9" w14:textId="77777777" w:rsidR="008A742D" w:rsidRDefault="008A742D">
      <w:pPr>
        <w:rPr>
          <w:szCs w:val="22"/>
          <w:lang w:val="sk-SK"/>
        </w:rPr>
      </w:pPr>
    </w:p>
    <w:p w14:paraId="7CD66FF6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Pacienti so syndrómom </w:t>
      </w:r>
      <w:proofErr w:type="spellStart"/>
      <w:r>
        <w:rPr>
          <w:szCs w:val="22"/>
          <w:lang w:val="sk-SK"/>
        </w:rPr>
        <w:t>Cockayne</w:t>
      </w:r>
      <w:proofErr w:type="spellEnd"/>
      <w:r>
        <w:rPr>
          <w:szCs w:val="22"/>
          <w:lang w:val="sk-SK"/>
        </w:rPr>
        <w:t xml:space="preserve"> musia byť upozornení na to, že akékoľvek príznaky možného poškodenia pečene musia </w:t>
      </w:r>
      <w:r w:rsidR="00613416">
        <w:rPr>
          <w:szCs w:val="22"/>
          <w:lang w:val="sk-SK"/>
        </w:rPr>
        <w:t xml:space="preserve">okamžite </w:t>
      </w:r>
      <w:r>
        <w:rPr>
          <w:szCs w:val="22"/>
          <w:lang w:val="sk-SK"/>
        </w:rPr>
        <w:t xml:space="preserve">nahlásiť svojmu lekárovi a musia prestať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užívať.</w:t>
      </w:r>
    </w:p>
    <w:p w14:paraId="49921AD7" w14:textId="77777777" w:rsidR="008A742D" w:rsidRDefault="008A742D">
      <w:pPr>
        <w:rPr>
          <w:szCs w:val="22"/>
          <w:lang w:val="sk-SK"/>
        </w:rPr>
      </w:pPr>
    </w:p>
    <w:p w14:paraId="051C884B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Dlhodobá liečba 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sa môže spájať s útlmom kostnej drene, ktorý vedie k zhoršeniu </w:t>
      </w:r>
      <w:proofErr w:type="spellStart"/>
      <w:r>
        <w:rPr>
          <w:szCs w:val="22"/>
          <w:lang w:val="sk-SK"/>
        </w:rPr>
        <w:t>haematopoézy</w:t>
      </w:r>
      <w:proofErr w:type="spellEnd"/>
      <w:r>
        <w:rPr>
          <w:szCs w:val="22"/>
          <w:lang w:val="sk-SK"/>
        </w:rPr>
        <w:t xml:space="preserve">. Prejavy, pozri časť 4.8. Počty červených krviniek sa majú počas dlhodobej liečby starostlivo sledovať. </w:t>
      </w:r>
    </w:p>
    <w:p w14:paraId="32A56516" w14:textId="77777777" w:rsidR="008A742D" w:rsidRDefault="008A742D">
      <w:pPr>
        <w:pStyle w:val="Nadpis5"/>
        <w:spacing w:before="0"/>
        <w:jc w:val="left"/>
        <w:rPr>
          <w:u w:val="none"/>
          <w:lang w:val="sk-SK"/>
        </w:rPr>
      </w:pPr>
    </w:p>
    <w:p w14:paraId="0E23CD8B" w14:textId="77777777" w:rsidR="00510CE2" w:rsidRPr="00000913" w:rsidRDefault="00510CE2">
      <w:pPr>
        <w:pStyle w:val="Nadpis5"/>
        <w:spacing w:before="0"/>
        <w:jc w:val="left"/>
        <w:rPr>
          <w:lang w:val="sk-SK"/>
        </w:rPr>
      </w:pPr>
      <w:r w:rsidRPr="00000913">
        <w:rPr>
          <w:lang w:val="sk-SK"/>
        </w:rPr>
        <w:t>Osobitné upozornenia/opatrenia týkajúce sa pomocných látok</w:t>
      </w:r>
    </w:p>
    <w:p w14:paraId="0E910B17" w14:textId="1CAB8CE7" w:rsidR="008A742D" w:rsidRDefault="008A742D">
      <w:pPr>
        <w:pStyle w:val="Nadpis5"/>
        <w:spacing w:before="0"/>
        <w:jc w:val="left"/>
        <w:rPr>
          <w:u w:val="none"/>
          <w:lang w:val="sk-SK"/>
        </w:rPr>
      </w:pPr>
      <w:r>
        <w:rPr>
          <w:u w:val="none"/>
          <w:lang w:val="sk-SK"/>
        </w:rPr>
        <w:t>Tento liek obsahuje 3</w:t>
      </w:r>
      <w:r w:rsidR="00510CE2">
        <w:rPr>
          <w:u w:val="none"/>
          <w:lang w:val="sk-SK"/>
        </w:rPr>
        <w:t>,</w:t>
      </w:r>
      <w:r>
        <w:rPr>
          <w:u w:val="none"/>
          <w:lang w:val="sk-SK"/>
        </w:rPr>
        <w:t>22 mg sodíka na ml</w:t>
      </w:r>
      <w:r w:rsidR="00510CE2">
        <w:rPr>
          <w:u w:val="none"/>
          <w:lang w:val="sk-SK"/>
        </w:rPr>
        <w:t>, čo zodpovedá 0,16 % WHO odporúčaného maximálneho denného príjmu 2 g sodíka pre dospelú osobu</w:t>
      </w:r>
      <w:r>
        <w:rPr>
          <w:u w:val="none"/>
          <w:lang w:val="sk-SK"/>
        </w:rPr>
        <w:t xml:space="preserve">. </w:t>
      </w:r>
    </w:p>
    <w:p w14:paraId="6D6330AB" w14:textId="77777777" w:rsidR="008A742D" w:rsidRDefault="008A742D">
      <w:pPr>
        <w:pStyle w:val="Nadpis5"/>
        <w:spacing w:before="0"/>
        <w:jc w:val="left"/>
        <w:rPr>
          <w:u w:val="none"/>
          <w:lang w:val="sk-SK"/>
        </w:rPr>
      </w:pPr>
      <w:r>
        <w:rPr>
          <w:u w:val="none"/>
          <w:lang w:val="sk-SK"/>
        </w:rPr>
        <w:t xml:space="preserve"> </w:t>
      </w:r>
    </w:p>
    <w:p w14:paraId="114EFC9F" w14:textId="77777777" w:rsidR="008A742D" w:rsidRDefault="008A742D">
      <w:pPr>
        <w:pStyle w:val="Nadpis5"/>
        <w:spacing w:before="0"/>
        <w:jc w:val="left"/>
        <w:rPr>
          <w:lang w:val="sk-SK"/>
        </w:rPr>
      </w:pPr>
      <w:r>
        <w:rPr>
          <w:lang w:val="sk-SK"/>
        </w:rPr>
        <w:t>Vplyv na laboratórne testy</w:t>
      </w:r>
    </w:p>
    <w:p w14:paraId="1E3E13D7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ovplyvňuje enzymaticko-</w:t>
      </w:r>
      <w:proofErr w:type="spellStart"/>
      <w:r>
        <w:rPr>
          <w:sz w:val="22"/>
          <w:szCs w:val="22"/>
          <w:lang w:val="sk-SK"/>
        </w:rPr>
        <w:t>spektrofotometrické</w:t>
      </w:r>
      <w:proofErr w:type="spellEnd"/>
      <w:r>
        <w:rPr>
          <w:sz w:val="22"/>
          <w:szCs w:val="22"/>
          <w:lang w:val="sk-SK"/>
        </w:rPr>
        <w:t xml:space="preserve"> stanovenie </w:t>
      </w:r>
      <w:proofErr w:type="spellStart"/>
      <w:r>
        <w:rPr>
          <w:sz w:val="22"/>
          <w:szCs w:val="22"/>
          <w:lang w:val="sk-SK"/>
        </w:rPr>
        <w:t>aspartátaminotransferázy</w:t>
      </w:r>
      <w:proofErr w:type="spellEnd"/>
      <w:r>
        <w:rPr>
          <w:sz w:val="22"/>
          <w:szCs w:val="22"/>
          <w:lang w:val="sk-SK"/>
        </w:rPr>
        <w:t xml:space="preserve"> (AST), </w:t>
      </w:r>
      <w:proofErr w:type="spellStart"/>
      <w:r>
        <w:rPr>
          <w:sz w:val="22"/>
          <w:szCs w:val="22"/>
          <w:lang w:val="sk-SK"/>
        </w:rPr>
        <w:t>alanínaminotransferázy</w:t>
      </w:r>
      <w:proofErr w:type="spellEnd"/>
      <w:r>
        <w:rPr>
          <w:sz w:val="22"/>
          <w:szCs w:val="22"/>
          <w:lang w:val="sk-SK"/>
        </w:rPr>
        <w:t xml:space="preserve"> (ALT), </w:t>
      </w:r>
      <w:proofErr w:type="spellStart"/>
      <w:r>
        <w:rPr>
          <w:sz w:val="22"/>
          <w:szCs w:val="22"/>
          <w:lang w:val="sk-SK"/>
        </w:rPr>
        <w:t>laktátdehydrogenázy</w:t>
      </w:r>
      <w:proofErr w:type="spellEnd"/>
      <w:r>
        <w:rPr>
          <w:sz w:val="22"/>
          <w:szCs w:val="22"/>
          <w:lang w:val="sk-SK"/>
        </w:rPr>
        <w:t xml:space="preserve"> (LDH), </w:t>
      </w:r>
      <w:proofErr w:type="spellStart"/>
      <w:r>
        <w:rPr>
          <w:sz w:val="22"/>
          <w:szCs w:val="22"/>
          <w:lang w:val="sk-SK"/>
        </w:rPr>
        <w:t>triglyceridov</w:t>
      </w:r>
      <w:proofErr w:type="spellEnd"/>
      <w:r>
        <w:rPr>
          <w:sz w:val="22"/>
          <w:szCs w:val="22"/>
          <w:lang w:val="sk-SK"/>
        </w:rPr>
        <w:t xml:space="preserve"> a </w:t>
      </w:r>
      <w:proofErr w:type="spellStart"/>
      <w:r>
        <w:rPr>
          <w:sz w:val="22"/>
          <w:szCs w:val="22"/>
          <w:lang w:val="sk-SK"/>
        </w:rPr>
        <w:t>hexokinázy</w:t>
      </w:r>
      <w:proofErr w:type="spellEnd"/>
      <w:r>
        <w:rPr>
          <w:sz w:val="22"/>
          <w:szCs w:val="22"/>
          <w:lang w:val="sk-SK"/>
        </w:rPr>
        <w:t xml:space="preserve"> glukózy (</w:t>
      </w:r>
      <w:proofErr w:type="spellStart"/>
      <w:r>
        <w:rPr>
          <w:sz w:val="22"/>
          <w:szCs w:val="22"/>
          <w:lang w:val="sk-SK"/>
        </w:rPr>
        <w:t>glukokinázy</w:t>
      </w:r>
      <w:proofErr w:type="spellEnd"/>
      <w:r>
        <w:rPr>
          <w:sz w:val="22"/>
          <w:szCs w:val="22"/>
          <w:lang w:val="sk-SK"/>
        </w:rPr>
        <w:t>) s následkom zníženia ich hodnôt (možno až na nulu).</w:t>
      </w:r>
    </w:p>
    <w:p w14:paraId="4E8BDBCC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má vysokú </w:t>
      </w:r>
      <w:proofErr w:type="spellStart"/>
      <w:r>
        <w:rPr>
          <w:sz w:val="22"/>
          <w:szCs w:val="22"/>
          <w:lang w:val="sk-SK"/>
        </w:rPr>
        <w:t>absorbanciu</w:t>
      </w:r>
      <w:proofErr w:type="spellEnd"/>
      <w:r>
        <w:rPr>
          <w:sz w:val="22"/>
          <w:szCs w:val="22"/>
          <w:lang w:val="sk-SK"/>
        </w:rPr>
        <w:t xml:space="preserve"> pri vlnovej dĺžke, pri ktorej je stanovovaný </w:t>
      </w:r>
      <w:proofErr w:type="spellStart"/>
      <w:r>
        <w:rPr>
          <w:sz w:val="22"/>
          <w:szCs w:val="22"/>
          <w:lang w:val="sk-SK"/>
        </w:rPr>
        <w:t>nikotínamidadeníndinukleotid</w:t>
      </w:r>
      <w:proofErr w:type="spellEnd"/>
      <w:r>
        <w:rPr>
          <w:sz w:val="22"/>
          <w:szCs w:val="22"/>
          <w:lang w:val="sk-SK"/>
        </w:rPr>
        <w:t xml:space="preserve"> (NADH). Z tohto dôvodu môžu byť zvýšené koncentrácie pečeňových enzýmov maskované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pri meraní metódou kontinuálneho toku založenou na znížení koncového bodu pri zníženom NADH. Boli hlásené nezvyčajne nízke koncentrácie pečeňových enzýmov vrátane nulových hodnôt.</w:t>
      </w:r>
    </w:p>
    <w:p w14:paraId="667BFFE4" w14:textId="77777777" w:rsidR="008A742D" w:rsidRDefault="008A742D">
      <w:pPr>
        <w:pStyle w:val="Nadpis2"/>
        <w:spacing w:before="0"/>
        <w:rPr>
          <w:lang w:val="sk-SK"/>
        </w:rPr>
      </w:pPr>
    </w:p>
    <w:p w14:paraId="3E14C56A" w14:textId="77777777"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4.5</w:t>
      </w:r>
      <w:r>
        <w:rPr>
          <w:lang w:val="sk-SK"/>
        </w:rPr>
        <w:tab/>
        <w:t>Liekové a iné interakcie</w:t>
      </w:r>
    </w:p>
    <w:p w14:paraId="3DE64973" w14:textId="77777777" w:rsidR="008A742D" w:rsidRDefault="008A742D">
      <w:pPr>
        <w:pStyle w:val="Nadpis4"/>
        <w:spacing w:before="0"/>
        <w:jc w:val="left"/>
        <w:rPr>
          <w:b/>
          <w:i w:val="0"/>
          <w:lang w:val="sk-SK"/>
        </w:rPr>
      </w:pPr>
    </w:p>
    <w:p w14:paraId="469CA7BB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r>
        <w:rPr>
          <w:b/>
          <w:i w:val="0"/>
          <w:lang w:val="sk-SK"/>
        </w:rPr>
        <w:t>Liekové interakcie</w:t>
      </w:r>
      <w:r>
        <w:rPr>
          <w:i w:val="0"/>
          <w:lang w:val="sk-SK"/>
        </w:rPr>
        <w:t xml:space="preserve"> </w:t>
      </w:r>
    </w:p>
    <w:p w14:paraId="02DB7A71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38F4FBCC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Amiodarón</w:t>
      </w:r>
      <w:proofErr w:type="spellEnd"/>
    </w:p>
    <w:p w14:paraId="296C842D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súbežnom podávaní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amiodarónu</w:t>
      </w:r>
      <w:proofErr w:type="spellEnd"/>
      <w:r>
        <w:rPr>
          <w:sz w:val="22"/>
          <w:szCs w:val="22"/>
          <w:lang w:val="sk-SK"/>
        </w:rPr>
        <w:t xml:space="preserve"> bolo zaznamenané predĺženie QT intervalu a </w:t>
      </w:r>
      <w:proofErr w:type="spellStart"/>
      <w:r>
        <w:rPr>
          <w:sz w:val="22"/>
          <w:szCs w:val="22"/>
          <w:lang w:val="sk-SK"/>
        </w:rPr>
        <w:t>torsade</w:t>
      </w:r>
      <w:proofErr w:type="spellEnd"/>
      <w:r>
        <w:rPr>
          <w:sz w:val="22"/>
          <w:szCs w:val="22"/>
          <w:lang w:val="sk-SK"/>
        </w:rPr>
        <w:t xml:space="preserve"> de </w:t>
      </w:r>
      <w:proofErr w:type="spellStart"/>
      <w:r>
        <w:rPr>
          <w:sz w:val="22"/>
          <w:szCs w:val="22"/>
          <w:lang w:val="sk-SK"/>
        </w:rPr>
        <w:t>pointes</w:t>
      </w:r>
      <w:proofErr w:type="spellEnd"/>
      <w:r>
        <w:rPr>
          <w:sz w:val="22"/>
          <w:szCs w:val="22"/>
          <w:lang w:val="sk-SK"/>
        </w:rPr>
        <w:t xml:space="preserve">. Preto je vhodné pri podávaní </w:t>
      </w:r>
      <w:proofErr w:type="spellStart"/>
      <w:r>
        <w:rPr>
          <w:sz w:val="22"/>
          <w:szCs w:val="22"/>
          <w:lang w:val="sk-SK"/>
        </w:rPr>
        <w:t>amiodarónu</w:t>
      </w:r>
      <w:proofErr w:type="spellEnd"/>
      <w:r>
        <w:rPr>
          <w:sz w:val="22"/>
          <w:szCs w:val="22"/>
          <w:lang w:val="sk-SK"/>
        </w:rPr>
        <w:t xml:space="preserve"> v kombinácií s 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sledovať QT interval na EKG. Pacienti liečení ambulantne musia byť poučení, aby vyhľadali lekára, ak sa vyskytnú prejavy </w:t>
      </w:r>
      <w:proofErr w:type="spellStart"/>
      <w:r>
        <w:rPr>
          <w:sz w:val="22"/>
          <w:szCs w:val="22"/>
          <w:lang w:val="sk-SK"/>
        </w:rPr>
        <w:t>torsade</w:t>
      </w:r>
      <w:proofErr w:type="spellEnd"/>
      <w:r>
        <w:rPr>
          <w:sz w:val="22"/>
          <w:szCs w:val="22"/>
          <w:lang w:val="sk-SK"/>
        </w:rPr>
        <w:t xml:space="preserve"> de </w:t>
      </w:r>
      <w:proofErr w:type="spellStart"/>
      <w:r>
        <w:rPr>
          <w:sz w:val="22"/>
          <w:szCs w:val="22"/>
          <w:lang w:val="sk-SK"/>
        </w:rPr>
        <w:t>pointes</w:t>
      </w:r>
      <w:proofErr w:type="spellEnd"/>
      <w:r>
        <w:rPr>
          <w:sz w:val="22"/>
          <w:szCs w:val="22"/>
          <w:lang w:val="sk-SK"/>
        </w:rPr>
        <w:t xml:space="preserve"> ako závraty, búšenie srdca alebo synkopa.</w:t>
      </w:r>
    </w:p>
    <w:p w14:paraId="43176C44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74A15633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r>
        <w:rPr>
          <w:lang w:val="sk-SK"/>
        </w:rPr>
        <w:t>Barbituráty</w:t>
      </w:r>
    </w:p>
    <w:p w14:paraId="6C74D923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Fenobarbital</w:t>
      </w:r>
      <w:proofErr w:type="spellEnd"/>
      <w:r>
        <w:rPr>
          <w:sz w:val="22"/>
          <w:szCs w:val="22"/>
          <w:lang w:val="sk-SK"/>
        </w:rPr>
        <w:t xml:space="preserve"> môže zvýšiť metabolizmus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 v pečeni, a tým znížiť jeho plazmatický polčas na 3 hodiny.</w:t>
      </w:r>
    </w:p>
    <w:p w14:paraId="59BB023C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76518EA3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Busulfán</w:t>
      </w:r>
      <w:proofErr w:type="spellEnd"/>
    </w:p>
    <w:p w14:paraId="31D9F110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 podávanie s 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môže výrazne zvýšiť koncentrácie </w:t>
      </w:r>
      <w:proofErr w:type="spellStart"/>
      <w:r>
        <w:rPr>
          <w:sz w:val="22"/>
          <w:szCs w:val="22"/>
          <w:lang w:val="sk-SK"/>
        </w:rPr>
        <w:t>busulfánu</w:t>
      </w:r>
      <w:proofErr w:type="spellEnd"/>
      <w:r>
        <w:rPr>
          <w:sz w:val="22"/>
          <w:szCs w:val="22"/>
          <w:lang w:val="sk-SK"/>
        </w:rPr>
        <w:t xml:space="preserve"> v plazme. Mechanizmus interakcie nebol popísaný. Z dôvodu možnej závažnej toxicity a úmrtnosti spojenej so zvýšenými hladinami </w:t>
      </w:r>
      <w:proofErr w:type="spellStart"/>
      <w:r>
        <w:rPr>
          <w:sz w:val="22"/>
          <w:szCs w:val="22"/>
          <w:lang w:val="sk-SK"/>
        </w:rPr>
        <w:t>busulfánu</w:t>
      </w:r>
      <w:proofErr w:type="spellEnd"/>
      <w:r>
        <w:rPr>
          <w:sz w:val="22"/>
          <w:szCs w:val="22"/>
          <w:lang w:val="sk-SK"/>
        </w:rPr>
        <w:t xml:space="preserve"> v plazme je potrebné predchádzať súbežnému podávaniu </w:t>
      </w:r>
      <w:proofErr w:type="spellStart"/>
      <w:r>
        <w:rPr>
          <w:sz w:val="22"/>
          <w:szCs w:val="22"/>
          <w:lang w:val="sk-SK"/>
        </w:rPr>
        <w:t>busulfánu</w:t>
      </w:r>
      <w:proofErr w:type="spellEnd"/>
      <w:r>
        <w:rPr>
          <w:sz w:val="22"/>
          <w:szCs w:val="22"/>
          <w:lang w:val="sk-SK"/>
        </w:rPr>
        <w:t xml:space="preserve"> s 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>.</w:t>
      </w:r>
    </w:p>
    <w:p w14:paraId="1101B161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08FEA36B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Karbamazepín</w:t>
      </w:r>
      <w:proofErr w:type="spellEnd"/>
    </w:p>
    <w:p w14:paraId="2BCFF6CC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môže </w:t>
      </w:r>
      <w:proofErr w:type="spellStart"/>
      <w:r>
        <w:rPr>
          <w:sz w:val="22"/>
          <w:szCs w:val="22"/>
          <w:lang w:val="sk-SK"/>
        </w:rPr>
        <w:t>inhibovať</w:t>
      </w:r>
      <w:proofErr w:type="spellEnd"/>
      <w:r>
        <w:rPr>
          <w:sz w:val="22"/>
          <w:szCs w:val="22"/>
          <w:lang w:val="sk-SK"/>
        </w:rPr>
        <w:t xml:space="preserve"> metabolizmus </w:t>
      </w:r>
      <w:proofErr w:type="spellStart"/>
      <w:r>
        <w:rPr>
          <w:sz w:val="22"/>
          <w:szCs w:val="22"/>
          <w:lang w:val="sk-SK"/>
        </w:rPr>
        <w:t>karbamazepínu</w:t>
      </w:r>
      <w:proofErr w:type="spellEnd"/>
      <w:r>
        <w:rPr>
          <w:sz w:val="22"/>
          <w:szCs w:val="22"/>
          <w:lang w:val="sk-SK"/>
        </w:rPr>
        <w:t xml:space="preserve"> a zvyšovať tak jeho koncentráciu v plazme.</w:t>
      </w:r>
    </w:p>
    <w:p w14:paraId="643BA90E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5FD159B9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Cimetidín</w:t>
      </w:r>
      <w:proofErr w:type="spellEnd"/>
    </w:p>
    <w:p w14:paraId="7D6BEDAA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Súbežne podávaný </w:t>
      </w:r>
      <w:proofErr w:type="spellStart"/>
      <w:r>
        <w:rPr>
          <w:sz w:val="22"/>
          <w:szCs w:val="22"/>
          <w:lang w:val="sk-SK"/>
        </w:rPr>
        <w:t>cimetidín</w:t>
      </w:r>
      <w:proofErr w:type="spellEnd"/>
      <w:r>
        <w:rPr>
          <w:sz w:val="22"/>
          <w:szCs w:val="22"/>
          <w:lang w:val="sk-SK"/>
        </w:rPr>
        <w:t xml:space="preserve"> môže v ojedinelých prípadoch znižovať elimináciu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, a následne viesť k zvýšenej koncentrácii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 v sére.</w:t>
      </w:r>
    </w:p>
    <w:p w14:paraId="30897C55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2573A02C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Kontraceptíva</w:t>
      </w:r>
      <w:proofErr w:type="spellEnd"/>
    </w:p>
    <w:p w14:paraId="5FD482E9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Niektoré antibiotiká môžu v niektorých výnimočných prípadoch znížiť účinok antikoncepčných tabliet zásahom do bakteriálnej hydrolýzy </w:t>
      </w:r>
      <w:proofErr w:type="spellStart"/>
      <w:r>
        <w:rPr>
          <w:sz w:val="22"/>
          <w:szCs w:val="22"/>
          <w:lang w:val="sk-SK"/>
        </w:rPr>
        <w:t>steroidných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konjugátov</w:t>
      </w:r>
      <w:proofErr w:type="spellEnd"/>
      <w:r>
        <w:rPr>
          <w:sz w:val="22"/>
          <w:szCs w:val="22"/>
          <w:lang w:val="sk-SK"/>
        </w:rPr>
        <w:t xml:space="preserve"> v čreve a znižovať tak spätné vstrebávanie </w:t>
      </w:r>
      <w:proofErr w:type="spellStart"/>
      <w:r>
        <w:rPr>
          <w:sz w:val="22"/>
          <w:szCs w:val="22"/>
          <w:lang w:val="sk-SK"/>
        </w:rPr>
        <w:t>nekonjugovaného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steroidu</w:t>
      </w:r>
      <w:proofErr w:type="spellEnd"/>
      <w:r>
        <w:rPr>
          <w:sz w:val="22"/>
          <w:szCs w:val="22"/>
          <w:lang w:val="sk-SK"/>
        </w:rPr>
        <w:t xml:space="preserve">. Z tohto dôvodu plazmatické hladiny aktívneho </w:t>
      </w:r>
      <w:proofErr w:type="spellStart"/>
      <w:r>
        <w:rPr>
          <w:sz w:val="22"/>
          <w:szCs w:val="22"/>
          <w:lang w:val="sk-SK"/>
        </w:rPr>
        <w:t>steroidu</w:t>
      </w:r>
      <w:proofErr w:type="spellEnd"/>
      <w:r>
        <w:rPr>
          <w:sz w:val="22"/>
          <w:szCs w:val="22"/>
          <w:lang w:val="sk-SK"/>
        </w:rPr>
        <w:t xml:space="preserve"> klesajú. Táto nezvyčajná interakcia sa môže vyskytnúť u žien s významným vylučovaním </w:t>
      </w:r>
      <w:proofErr w:type="spellStart"/>
      <w:r>
        <w:rPr>
          <w:sz w:val="22"/>
          <w:szCs w:val="22"/>
          <w:lang w:val="sk-SK"/>
        </w:rPr>
        <w:t>steroidných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konjugátov</w:t>
      </w:r>
      <w:proofErr w:type="spellEnd"/>
      <w:r>
        <w:rPr>
          <w:sz w:val="22"/>
          <w:szCs w:val="22"/>
          <w:lang w:val="sk-SK"/>
        </w:rPr>
        <w:t xml:space="preserve"> žlčou. Zlyhanie perorálnych </w:t>
      </w:r>
      <w:proofErr w:type="spellStart"/>
      <w:r>
        <w:rPr>
          <w:sz w:val="22"/>
          <w:szCs w:val="22"/>
          <w:lang w:val="sk-SK"/>
        </w:rPr>
        <w:t>kontraceptív</w:t>
      </w:r>
      <w:proofErr w:type="spellEnd"/>
      <w:r>
        <w:rPr>
          <w:sz w:val="22"/>
          <w:szCs w:val="22"/>
          <w:lang w:val="sk-SK"/>
        </w:rPr>
        <w:t xml:space="preserve"> bolo hlásené v spojitosti s rôznymi antibiotikami, napr. </w:t>
      </w:r>
      <w:proofErr w:type="spellStart"/>
      <w:r>
        <w:rPr>
          <w:sz w:val="22"/>
          <w:szCs w:val="22"/>
          <w:lang w:val="sk-SK"/>
        </w:rPr>
        <w:t>ampicilínom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amoxicilínom</w:t>
      </w:r>
      <w:proofErr w:type="spellEnd"/>
      <w:r>
        <w:rPr>
          <w:sz w:val="22"/>
          <w:szCs w:val="22"/>
          <w:lang w:val="sk-SK"/>
        </w:rPr>
        <w:t xml:space="preserve">, tetracyklínmi a tiež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. </w:t>
      </w:r>
    </w:p>
    <w:p w14:paraId="76AF170F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3614824D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r>
        <w:rPr>
          <w:lang w:val="sk-SK"/>
        </w:rPr>
        <w:t xml:space="preserve">Deriváty </w:t>
      </w:r>
      <w:proofErr w:type="spellStart"/>
      <w:r>
        <w:rPr>
          <w:lang w:val="sk-SK"/>
        </w:rPr>
        <w:t>kumarínu</w:t>
      </w:r>
      <w:proofErr w:type="spellEnd"/>
    </w:p>
    <w:p w14:paraId="4BD79485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Súbežná liečba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môže </w:t>
      </w:r>
      <w:proofErr w:type="spellStart"/>
      <w:r>
        <w:rPr>
          <w:sz w:val="22"/>
          <w:szCs w:val="22"/>
          <w:lang w:val="sk-SK"/>
        </w:rPr>
        <w:t>potencovať</w:t>
      </w:r>
      <w:proofErr w:type="spellEnd"/>
      <w:r>
        <w:rPr>
          <w:sz w:val="22"/>
          <w:szCs w:val="22"/>
          <w:lang w:val="sk-SK"/>
        </w:rPr>
        <w:t xml:space="preserve"> ich </w:t>
      </w:r>
      <w:proofErr w:type="spellStart"/>
      <w:r>
        <w:rPr>
          <w:sz w:val="22"/>
          <w:szCs w:val="22"/>
          <w:lang w:val="sk-SK"/>
        </w:rPr>
        <w:t>antikoagulačný</w:t>
      </w:r>
      <w:proofErr w:type="spellEnd"/>
      <w:r>
        <w:rPr>
          <w:sz w:val="22"/>
          <w:szCs w:val="22"/>
          <w:lang w:val="sk-SK"/>
        </w:rPr>
        <w:t xml:space="preserve"> účinok a zvýšiť riziko krvácania v dôsledku zníženej degradácie v pečeni. V takomto prípade môže byť potrebná úprava dávkovania </w:t>
      </w:r>
      <w:proofErr w:type="spellStart"/>
      <w:r>
        <w:rPr>
          <w:sz w:val="22"/>
          <w:szCs w:val="22"/>
          <w:lang w:val="sk-SK"/>
        </w:rPr>
        <w:t>antikoagulancií</w:t>
      </w:r>
      <w:proofErr w:type="spellEnd"/>
      <w:r>
        <w:rPr>
          <w:sz w:val="22"/>
          <w:szCs w:val="22"/>
          <w:lang w:val="sk-SK"/>
        </w:rPr>
        <w:t>.</w:t>
      </w:r>
    </w:p>
    <w:p w14:paraId="28699646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75B6BABE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Cyklosporín</w:t>
      </w:r>
      <w:proofErr w:type="spellEnd"/>
    </w:p>
    <w:p w14:paraId="7E26F784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súbežnej liečbe </w:t>
      </w:r>
      <w:proofErr w:type="spellStart"/>
      <w:r>
        <w:rPr>
          <w:sz w:val="22"/>
          <w:szCs w:val="22"/>
          <w:lang w:val="sk-SK"/>
        </w:rPr>
        <w:t>cyklosporínom</w:t>
      </w:r>
      <w:proofErr w:type="spellEnd"/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existuje riziko zvýšenej koncentrácie </w:t>
      </w:r>
      <w:proofErr w:type="spellStart"/>
      <w:r>
        <w:rPr>
          <w:sz w:val="22"/>
          <w:szCs w:val="22"/>
          <w:lang w:val="sk-SK"/>
        </w:rPr>
        <w:t>cyklosporínu</w:t>
      </w:r>
      <w:proofErr w:type="spellEnd"/>
      <w:r>
        <w:rPr>
          <w:sz w:val="22"/>
          <w:szCs w:val="22"/>
          <w:lang w:val="sk-SK"/>
        </w:rPr>
        <w:t xml:space="preserve"> v sére. Je potrebné časté sledovanie hladiny </w:t>
      </w:r>
      <w:proofErr w:type="spellStart"/>
      <w:r>
        <w:rPr>
          <w:sz w:val="22"/>
          <w:szCs w:val="22"/>
          <w:lang w:val="sk-SK"/>
        </w:rPr>
        <w:t>cyklosporínu</w:t>
      </w:r>
      <w:proofErr w:type="spellEnd"/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kreatinínu</w:t>
      </w:r>
      <w:proofErr w:type="spellEnd"/>
      <w:r>
        <w:rPr>
          <w:sz w:val="22"/>
          <w:szCs w:val="22"/>
          <w:lang w:val="sk-SK"/>
        </w:rPr>
        <w:t>.</w:t>
      </w:r>
    </w:p>
    <w:p w14:paraId="37F283C1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6DB5663E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Disulfiram</w:t>
      </w:r>
      <w:proofErr w:type="spellEnd"/>
    </w:p>
    <w:p w14:paraId="63203E46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Súbežné podávanie </w:t>
      </w:r>
      <w:proofErr w:type="spellStart"/>
      <w:r>
        <w:rPr>
          <w:sz w:val="22"/>
          <w:szCs w:val="22"/>
          <w:lang w:val="sk-SK"/>
        </w:rPr>
        <w:t>disulfiramu</w:t>
      </w:r>
      <w:proofErr w:type="spellEnd"/>
      <w:r>
        <w:rPr>
          <w:sz w:val="22"/>
          <w:szCs w:val="22"/>
          <w:lang w:val="sk-SK"/>
        </w:rPr>
        <w:t xml:space="preserve"> môže zapríčiniť stavy zmätenosti alebo dokonca psychotické reakcie. Je potrebné vyhnúť sa kombinácii oboch látok.</w:t>
      </w:r>
    </w:p>
    <w:p w14:paraId="6701F70B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516F4540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Fluorouracil</w:t>
      </w:r>
      <w:proofErr w:type="spellEnd"/>
    </w:p>
    <w:p w14:paraId="34C08370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inhibuje</w:t>
      </w:r>
      <w:proofErr w:type="spellEnd"/>
      <w:r>
        <w:rPr>
          <w:sz w:val="22"/>
          <w:szCs w:val="22"/>
          <w:lang w:val="sk-SK"/>
        </w:rPr>
        <w:t xml:space="preserve"> metabolizmus súbežne podávaného </w:t>
      </w:r>
      <w:proofErr w:type="spellStart"/>
      <w:r>
        <w:rPr>
          <w:sz w:val="22"/>
          <w:szCs w:val="22"/>
          <w:lang w:val="sk-SK"/>
        </w:rPr>
        <w:t>fluorouracilu</w:t>
      </w:r>
      <w:proofErr w:type="spellEnd"/>
      <w:r>
        <w:rPr>
          <w:sz w:val="22"/>
          <w:szCs w:val="22"/>
          <w:lang w:val="sk-SK"/>
        </w:rPr>
        <w:t xml:space="preserve">, takže zvyšuje koncentráciu </w:t>
      </w:r>
      <w:proofErr w:type="spellStart"/>
      <w:r>
        <w:rPr>
          <w:sz w:val="22"/>
          <w:szCs w:val="22"/>
          <w:lang w:val="sk-SK"/>
        </w:rPr>
        <w:t>fluorouracilu</w:t>
      </w:r>
      <w:proofErr w:type="spellEnd"/>
      <w:r>
        <w:rPr>
          <w:sz w:val="22"/>
          <w:szCs w:val="22"/>
          <w:lang w:val="sk-SK"/>
        </w:rPr>
        <w:t xml:space="preserve"> v plazme.</w:t>
      </w:r>
    </w:p>
    <w:p w14:paraId="587F3BB3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24221DF7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r>
        <w:rPr>
          <w:lang w:val="sk-SK"/>
        </w:rPr>
        <w:t>Lítium</w:t>
      </w:r>
    </w:p>
    <w:p w14:paraId="4BE461B3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sa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podáva súbežne s lítiovými soľami, je potrebná zvýšená opatrnosť, pretože počas súbežnej liečby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boli pozorované zvýšené koncentrácie lítia v sére.</w:t>
      </w:r>
    </w:p>
    <w:p w14:paraId="1384E91F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6CEFFC9C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Mofetilmykofenolát</w:t>
      </w:r>
      <w:proofErr w:type="spellEnd"/>
    </w:p>
    <w:p w14:paraId="4DBAEF45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Látky, ktoré menia </w:t>
      </w:r>
      <w:proofErr w:type="spellStart"/>
      <w:r>
        <w:rPr>
          <w:sz w:val="22"/>
          <w:szCs w:val="22"/>
          <w:lang w:val="sk-SK"/>
        </w:rPr>
        <w:t>gastrointestinálnu</w:t>
      </w:r>
      <w:proofErr w:type="spellEnd"/>
      <w:r>
        <w:rPr>
          <w:sz w:val="22"/>
          <w:szCs w:val="22"/>
          <w:lang w:val="sk-SK"/>
        </w:rPr>
        <w:t xml:space="preserve"> flóru (napr. antibiotiká), môžu znižovať perorálnu biologickú dostupnosť produktov kyseliny </w:t>
      </w:r>
      <w:proofErr w:type="spellStart"/>
      <w:r>
        <w:rPr>
          <w:sz w:val="22"/>
          <w:szCs w:val="22"/>
          <w:lang w:val="sk-SK"/>
        </w:rPr>
        <w:t>mykofenolovej</w:t>
      </w:r>
      <w:proofErr w:type="spellEnd"/>
      <w:r>
        <w:rPr>
          <w:sz w:val="22"/>
          <w:szCs w:val="22"/>
          <w:lang w:val="sk-SK"/>
        </w:rPr>
        <w:t>. Pri súbežnej liečbe s </w:t>
      </w:r>
      <w:proofErr w:type="spellStart"/>
      <w:r>
        <w:rPr>
          <w:sz w:val="22"/>
          <w:szCs w:val="22"/>
          <w:lang w:val="sk-SK"/>
        </w:rPr>
        <w:t>antiinfektívnymi</w:t>
      </w:r>
      <w:proofErr w:type="spellEnd"/>
      <w:r>
        <w:rPr>
          <w:sz w:val="22"/>
          <w:szCs w:val="22"/>
          <w:lang w:val="sk-SK"/>
        </w:rPr>
        <w:t xml:space="preserve"> látkami sa odporúča dôkladné klinické a laboratórne sledovanie zníženého </w:t>
      </w:r>
      <w:proofErr w:type="spellStart"/>
      <w:r>
        <w:rPr>
          <w:sz w:val="22"/>
          <w:szCs w:val="22"/>
          <w:lang w:val="sk-SK"/>
        </w:rPr>
        <w:t>imunosupresívneho</w:t>
      </w:r>
      <w:proofErr w:type="spellEnd"/>
      <w:r>
        <w:rPr>
          <w:sz w:val="22"/>
          <w:szCs w:val="22"/>
          <w:lang w:val="sk-SK"/>
        </w:rPr>
        <w:t xml:space="preserve"> účinku kyseliny </w:t>
      </w:r>
      <w:proofErr w:type="spellStart"/>
      <w:r>
        <w:rPr>
          <w:sz w:val="22"/>
          <w:szCs w:val="22"/>
          <w:lang w:val="sk-SK"/>
        </w:rPr>
        <w:t>mykofenolovej</w:t>
      </w:r>
      <w:proofErr w:type="spellEnd"/>
      <w:r>
        <w:rPr>
          <w:sz w:val="22"/>
          <w:szCs w:val="22"/>
          <w:lang w:val="sk-SK"/>
        </w:rPr>
        <w:t>.</w:t>
      </w:r>
    </w:p>
    <w:p w14:paraId="177A1AFC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426A051F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Fenytoín</w:t>
      </w:r>
      <w:proofErr w:type="spellEnd"/>
    </w:p>
    <w:p w14:paraId="78534C5A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inhibuje</w:t>
      </w:r>
      <w:proofErr w:type="spellEnd"/>
      <w:r>
        <w:rPr>
          <w:sz w:val="22"/>
          <w:szCs w:val="22"/>
          <w:lang w:val="sk-SK"/>
        </w:rPr>
        <w:t xml:space="preserve"> metabolizmus súbežne podávaného </w:t>
      </w:r>
      <w:proofErr w:type="spellStart"/>
      <w:r>
        <w:rPr>
          <w:sz w:val="22"/>
          <w:szCs w:val="22"/>
          <w:lang w:val="sk-SK"/>
        </w:rPr>
        <w:t>fenytoínu</w:t>
      </w:r>
      <w:proofErr w:type="spellEnd"/>
      <w:r>
        <w:rPr>
          <w:sz w:val="22"/>
          <w:szCs w:val="22"/>
          <w:lang w:val="sk-SK"/>
        </w:rPr>
        <w:t xml:space="preserve">, takže koncentrácia </w:t>
      </w:r>
      <w:proofErr w:type="spellStart"/>
      <w:r>
        <w:rPr>
          <w:sz w:val="22"/>
          <w:szCs w:val="22"/>
          <w:lang w:val="sk-SK"/>
        </w:rPr>
        <w:t>fenytoínu</w:t>
      </w:r>
      <w:proofErr w:type="spellEnd"/>
      <w:r>
        <w:rPr>
          <w:sz w:val="22"/>
          <w:szCs w:val="22"/>
          <w:lang w:val="sk-SK"/>
        </w:rPr>
        <w:t xml:space="preserve"> v plazme je zvýšená. Pri súbežnom podávaní </w:t>
      </w:r>
      <w:proofErr w:type="spellStart"/>
      <w:r>
        <w:rPr>
          <w:sz w:val="22"/>
          <w:szCs w:val="22"/>
          <w:lang w:val="sk-SK"/>
        </w:rPr>
        <w:t>fenytoínu</w:t>
      </w:r>
      <w:proofErr w:type="spellEnd"/>
      <w:r>
        <w:rPr>
          <w:sz w:val="22"/>
          <w:szCs w:val="22"/>
          <w:lang w:val="sk-SK"/>
        </w:rPr>
        <w:t xml:space="preserve"> je zároveň znížená účinnosť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>.</w:t>
      </w:r>
    </w:p>
    <w:p w14:paraId="2EA50D96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0D06F4C2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Takrolimus</w:t>
      </w:r>
      <w:proofErr w:type="spellEnd"/>
    </w:p>
    <w:p w14:paraId="5EE871F8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Súbežné podávanie s 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môže zvýšiť koncentrácie </w:t>
      </w:r>
      <w:proofErr w:type="spellStart"/>
      <w:r>
        <w:rPr>
          <w:szCs w:val="22"/>
          <w:lang w:val="sk-SK"/>
        </w:rPr>
        <w:t>takrolimu</w:t>
      </w:r>
      <w:proofErr w:type="spellEnd"/>
      <w:r>
        <w:rPr>
          <w:szCs w:val="22"/>
          <w:lang w:val="sk-SK"/>
        </w:rPr>
        <w:t xml:space="preserve"> v plazme. Navrhovaný mechanizmus je inhibícia metabolizmu </w:t>
      </w:r>
      <w:proofErr w:type="spellStart"/>
      <w:r>
        <w:rPr>
          <w:szCs w:val="22"/>
          <w:lang w:val="sk-SK"/>
        </w:rPr>
        <w:t>takrolimu</w:t>
      </w:r>
      <w:proofErr w:type="spellEnd"/>
      <w:r>
        <w:rPr>
          <w:szCs w:val="22"/>
          <w:lang w:val="sk-SK"/>
        </w:rPr>
        <w:t xml:space="preserve"> v pečeni pomocou CYP3A4. Hladina </w:t>
      </w:r>
      <w:proofErr w:type="spellStart"/>
      <w:r>
        <w:rPr>
          <w:szCs w:val="22"/>
          <w:lang w:val="sk-SK"/>
        </w:rPr>
        <w:t>takrolimu</w:t>
      </w:r>
      <w:proofErr w:type="spellEnd"/>
      <w:r>
        <w:rPr>
          <w:szCs w:val="22"/>
          <w:lang w:val="sk-SK"/>
        </w:rPr>
        <w:t xml:space="preserve"> v krvi a funkcia obličiek musia byť pravidelne kontrolované a podľa toho sa má upraviť dávkovanie, najmä po začatí alebo ukončení liečby 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u pacientov, ktorí sú stabilizovaní na schéme liečby </w:t>
      </w:r>
      <w:proofErr w:type="spellStart"/>
      <w:r>
        <w:rPr>
          <w:szCs w:val="22"/>
          <w:lang w:val="sk-SK"/>
        </w:rPr>
        <w:t>takrolimom</w:t>
      </w:r>
      <w:proofErr w:type="spellEnd"/>
      <w:r>
        <w:rPr>
          <w:szCs w:val="22"/>
          <w:lang w:val="sk-SK"/>
        </w:rPr>
        <w:t>.</w:t>
      </w:r>
    </w:p>
    <w:p w14:paraId="1669197A" w14:textId="77777777" w:rsidR="008A742D" w:rsidRDefault="008A742D">
      <w:pPr>
        <w:rPr>
          <w:b/>
          <w:szCs w:val="22"/>
          <w:lang w:val="sk-SK"/>
        </w:rPr>
      </w:pPr>
    </w:p>
    <w:p w14:paraId="590323C0" w14:textId="77777777" w:rsidR="008A742D" w:rsidRDefault="008A742D">
      <w:pPr>
        <w:rPr>
          <w:szCs w:val="22"/>
          <w:lang w:val="sk-SK"/>
        </w:rPr>
      </w:pPr>
      <w:r>
        <w:rPr>
          <w:b/>
          <w:szCs w:val="22"/>
          <w:lang w:val="sk-SK"/>
        </w:rPr>
        <w:t>Iné formy interakcií</w:t>
      </w:r>
    </w:p>
    <w:p w14:paraId="687F730F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7C6DFF61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r>
        <w:rPr>
          <w:lang w:val="sk-SK"/>
        </w:rPr>
        <w:t>Alkohol</w:t>
      </w:r>
    </w:p>
    <w:p w14:paraId="22EB32E3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Počas liečby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je potrebné vyhýbať sa požívaniu alkoholických nápojov, pretože sa môžu vyskytnúť nežiaduce účinky ako závraty a vracanie (</w:t>
      </w:r>
      <w:proofErr w:type="spellStart"/>
      <w:r>
        <w:rPr>
          <w:sz w:val="22"/>
          <w:szCs w:val="22"/>
          <w:lang w:val="sk-SK"/>
        </w:rPr>
        <w:t>disulfiramový</w:t>
      </w:r>
      <w:proofErr w:type="spellEnd"/>
      <w:r>
        <w:rPr>
          <w:sz w:val="22"/>
          <w:szCs w:val="22"/>
          <w:lang w:val="sk-SK"/>
        </w:rPr>
        <w:t xml:space="preserve"> efekt).</w:t>
      </w:r>
    </w:p>
    <w:p w14:paraId="340BF1AD" w14:textId="77777777" w:rsidR="008A742D" w:rsidRDefault="008A742D">
      <w:pPr>
        <w:pStyle w:val="Nadpis2"/>
        <w:spacing w:before="0"/>
        <w:rPr>
          <w:lang w:val="sk-SK"/>
        </w:rPr>
      </w:pPr>
    </w:p>
    <w:p w14:paraId="49435110" w14:textId="77777777" w:rsidR="008A742D" w:rsidRDefault="008A742D">
      <w:pPr>
        <w:pStyle w:val="Nadpis2"/>
        <w:spacing w:before="0"/>
        <w:rPr>
          <w:b w:val="0"/>
          <w:lang w:val="sk-SK"/>
        </w:rPr>
      </w:pPr>
      <w:r>
        <w:rPr>
          <w:lang w:val="sk-SK"/>
        </w:rPr>
        <w:t>4.6</w:t>
      </w:r>
      <w:r>
        <w:rPr>
          <w:lang w:val="sk-SK"/>
        </w:rPr>
        <w:tab/>
      </w:r>
      <w:proofErr w:type="spellStart"/>
      <w:r>
        <w:rPr>
          <w:lang w:val="sk-SK"/>
        </w:rPr>
        <w:t>Fertilita</w:t>
      </w:r>
      <w:proofErr w:type="spellEnd"/>
      <w:r>
        <w:rPr>
          <w:lang w:val="sk-SK"/>
        </w:rPr>
        <w:t>, gravidita a laktácia</w:t>
      </w:r>
    </w:p>
    <w:p w14:paraId="3689BD23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5D29B7E3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r>
        <w:rPr>
          <w:lang w:val="sk-SK"/>
        </w:rPr>
        <w:t>Antikoncepcia u mužov a žien</w:t>
      </w:r>
    </w:p>
    <w:p w14:paraId="248066F1" w14:textId="77777777" w:rsidR="008A742D" w:rsidRDefault="008A742D">
      <w:pPr>
        <w:pStyle w:val="Normlnysozarkami"/>
        <w:ind w:left="0"/>
        <w:rPr>
          <w:lang w:val="sk-SK"/>
        </w:rPr>
      </w:pPr>
      <w:r>
        <w:rPr>
          <w:lang w:val="sk-SK"/>
        </w:rPr>
        <w:t>Pozri časť 4.5 „</w:t>
      </w:r>
      <w:proofErr w:type="spellStart"/>
      <w:r>
        <w:rPr>
          <w:lang w:val="sk-SK"/>
        </w:rPr>
        <w:t>Kontraceptíva</w:t>
      </w:r>
      <w:proofErr w:type="spellEnd"/>
      <w:r>
        <w:rPr>
          <w:lang w:val="sk-SK"/>
        </w:rPr>
        <w:t>“.</w:t>
      </w:r>
    </w:p>
    <w:p w14:paraId="6CF9FF78" w14:textId="77777777" w:rsidR="008A742D" w:rsidRDefault="008A742D">
      <w:pPr>
        <w:pStyle w:val="Nadpis2"/>
        <w:spacing w:before="0"/>
        <w:rPr>
          <w:lang w:val="sk-SK"/>
        </w:rPr>
      </w:pPr>
    </w:p>
    <w:p w14:paraId="4DCA8937" w14:textId="77777777" w:rsidR="008A742D" w:rsidRDefault="008A742D">
      <w:pPr>
        <w:pStyle w:val="Nadpis2"/>
        <w:spacing w:before="0"/>
        <w:rPr>
          <w:b w:val="0"/>
          <w:i/>
          <w:lang w:val="sk-SK"/>
        </w:rPr>
      </w:pPr>
      <w:r>
        <w:rPr>
          <w:b w:val="0"/>
          <w:i/>
          <w:lang w:val="sk-SK"/>
        </w:rPr>
        <w:t>Gravidita</w:t>
      </w:r>
    </w:p>
    <w:p w14:paraId="6DFEEF19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Bezpečnosť používania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 v gravidite nebola dostatočne preukázaná. Predovšetkým záznamy o užívaní v skorých štádiách tehotenstva sú protichodné. Niektoré štúdie poukazujú na zvýšené množstvo </w:t>
      </w:r>
      <w:proofErr w:type="spellStart"/>
      <w:r>
        <w:rPr>
          <w:sz w:val="22"/>
          <w:szCs w:val="22"/>
          <w:lang w:val="sk-SK"/>
        </w:rPr>
        <w:t>malformácií</w:t>
      </w:r>
      <w:proofErr w:type="spellEnd"/>
      <w:r>
        <w:rPr>
          <w:sz w:val="22"/>
          <w:szCs w:val="22"/>
          <w:lang w:val="sk-SK"/>
        </w:rPr>
        <w:t xml:space="preserve">. V experimentoch na zvieratách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nevyvolával </w:t>
      </w:r>
      <w:proofErr w:type="spellStart"/>
      <w:r>
        <w:rPr>
          <w:sz w:val="22"/>
          <w:szCs w:val="22"/>
          <w:lang w:val="sk-SK"/>
        </w:rPr>
        <w:t>teratogénne</w:t>
      </w:r>
      <w:proofErr w:type="spellEnd"/>
      <w:r>
        <w:rPr>
          <w:sz w:val="22"/>
          <w:szCs w:val="22"/>
          <w:lang w:val="sk-SK"/>
        </w:rPr>
        <w:t xml:space="preserve"> účinky (pozri časť 5.3). V prípade, že neexistuje bezpečnejšia alternatíva, môže sa v prvom </w:t>
      </w:r>
      <w:proofErr w:type="spellStart"/>
      <w:r>
        <w:rPr>
          <w:sz w:val="22"/>
          <w:szCs w:val="22"/>
          <w:lang w:val="sk-SK"/>
        </w:rPr>
        <w:t>trimestri</w:t>
      </w:r>
      <w:proofErr w:type="spellEnd"/>
      <w:r>
        <w:rPr>
          <w:sz w:val="22"/>
          <w:szCs w:val="22"/>
          <w:lang w:val="sk-SK"/>
        </w:rPr>
        <w:t xml:space="preserve"> tehotenstva použiť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B. </w:t>
      </w:r>
      <w:proofErr w:type="spellStart"/>
      <w:r>
        <w:rPr>
          <w:sz w:val="22"/>
          <w:szCs w:val="22"/>
          <w:lang w:val="sk-SK"/>
        </w:rPr>
        <w:t>Braun</w:t>
      </w:r>
      <w:proofErr w:type="spellEnd"/>
      <w:r>
        <w:rPr>
          <w:sz w:val="22"/>
          <w:szCs w:val="22"/>
          <w:lang w:val="sk-SK"/>
        </w:rPr>
        <w:t xml:space="preserve"> 5 mg/ml len na liečbu závažných život ohrozujúcich </w:t>
      </w:r>
      <w:r>
        <w:rPr>
          <w:sz w:val="22"/>
          <w:szCs w:val="22"/>
          <w:lang w:val="sk-SK"/>
        </w:rPr>
        <w:lastRenderedPageBreak/>
        <w:t xml:space="preserve">infekcií . V druhom a treťom </w:t>
      </w:r>
      <w:proofErr w:type="spellStart"/>
      <w:r>
        <w:rPr>
          <w:sz w:val="22"/>
          <w:szCs w:val="22"/>
          <w:lang w:val="sk-SK"/>
        </w:rPr>
        <w:t>trimestri</w:t>
      </w:r>
      <w:proofErr w:type="spellEnd"/>
      <w:r>
        <w:rPr>
          <w:sz w:val="22"/>
          <w:szCs w:val="22"/>
          <w:lang w:val="sk-SK"/>
        </w:rPr>
        <w:t xml:space="preserve"> sa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B. </w:t>
      </w:r>
      <w:proofErr w:type="spellStart"/>
      <w:r>
        <w:rPr>
          <w:sz w:val="22"/>
          <w:szCs w:val="22"/>
          <w:lang w:val="sk-SK"/>
        </w:rPr>
        <w:t>Braun</w:t>
      </w:r>
      <w:proofErr w:type="spellEnd"/>
      <w:r>
        <w:rPr>
          <w:sz w:val="22"/>
          <w:szCs w:val="22"/>
          <w:lang w:val="sk-SK"/>
        </w:rPr>
        <w:t xml:space="preserve"> 5 mg/ml môže použiť aj na liečbu iných infekcií, ak jeho očakávaný prínos prevýši všetky možné riziká. </w:t>
      </w:r>
    </w:p>
    <w:p w14:paraId="68279667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51C1E53A" w14:textId="7C4948F7" w:rsidR="008A742D" w:rsidRDefault="00B711D4">
      <w:pPr>
        <w:pStyle w:val="Nadpis4"/>
        <w:spacing w:before="0"/>
        <w:jc w:val="left"/>
        <w:rPr>
          <w:lang w:val="sk-SK"/>
        </w:rPr>
      </w:pPr>
      <w:r>
        <w:rPr>
          <w:lang w:val="sk-SK"/>
        </w:rPr>
        <w:t>Dojčenie</w:t>
      </w:r>
    </w:p>
    <w:p w14:paraId="1683CCEC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Keďže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je vylučovaný do materského mlieka u ľudí, dojčenie sa má počas liečby prerušiť. Taktiež po skončení liečby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nemá dojčenie začať skôr ako 2 – 3 dni po skončení liečby kvôli predĺženému biologickému polčasu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. </w:t>
      </w:r>
    </w:p>
    <w:p w14:paraId="59592DF5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4D4500FF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proofErr w:type="spellStart"/>
      <w:r>
        <w:rPr>
          <w:lang w:val="sk-SK"/>
        </w:rPr>
        <w:t>Fertilita</w:t>
      </w:r>
      <w:proofErr w:type="spellEnd"/>
    </w:p>
    <w:p w14:paraId="6B440D2D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Štúdie na zvieratách naznačujú možnosť negatívneho vplyvu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 na mužský reprodukčný systém pri podávaní vysokých dávok, výrazne prevyšujúcich maximálnu odporúčanú dávku u ľudí.</w:t>
      </w:r>
    </w:p>
    <w:p w14:paraId="2CBA6FAF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14:paraId="075B5BA1" w14:textId="77777777"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4.7</w:t>
      </w:r>
      <w:r>
        <w:rPr>
          <w:lang w:val="sk-SK"/>
        </w:rPr>
        <w:tab/>
        <w:t xml:space="preserve">Ovplyvnenie schopnosti viesť vozidlá a obsluhovať stroje </w:t>
      </w:r>
    </w:p>
    <w:p w14:paraId="56D6D4CD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14:paraId="0AAEA7D9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Aj pri správnom užívaní, </w:t>
      </w:r>
      <w:proofErr w:type="spellStart"/>
      <w:r>
        <w:rPr>
          <w:sz w:val="22"/>
          <w:szCs w:val="22"/>
          <w:lang w:val="sk-SK"/>
        </w:rPr>
        <w:t>metronidazol</w:t>
      </w:r>
      <w:proofErr w:type="spellEnd"/>
      <w:r>
        <w:rPr>
          <w:sz w:val="22"/>
          <w:szCs w:val="22"/>
          <w:lang w:val="sk-SK"/>
        </w:rPr>
        <w:t xml:space="preserve"> môže ovplyvniť reaktivitu až do tej miery, že zhoršuje schopnosť viesť vozidlá alebo obsluhovať stroje. Platí to na začiatku liečby, alebo pri súbežnom požívaní alkoholu. </w:t>
      </w:r>
    </w:p>
    <w:p w14:paraId="6969EE78" w14:textId="77777777" w:rsidR="008A742D" w:rsidRDefault="008A742D">
      <w:pPr>
        <w:pStyle w:val="Nadpis2"/>
        <w:spacing w:before="0"/>
        <w:rPr>
          <w:lang w:val="sk-SK"/>
        </w:rPr>
      </w:pPr>
    </w:p>
    <w:p w14:paraId="1FEE6C1B" w14:textId="77777777"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4.8</w:t>
      </w:r>
      <w:r>
        <w:rPr>
          <w:lang w:val="sk-SK"/>
        </w:rPr>
        <w:tab/>
        <w:t>Nežiaduce účinky</w:t>
      </w:r>
    </w:p>
    <w:p w14:paraId="18B5FA9D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14:paraId="185C125C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Nežiaduce účinky sú spojené najmä s dlhodobým užívaním alebo vysokými dávkami. Najčastejšie pozorovanými nežiaducimi účinkami sú nauzea, abnormálne chuťové vnemy a riziko </w:t>
      </w:r>
      <w:proofErr w:type="spellStart"/>
      <w:r>
        <w:rPr>
          <w:sz w:val="22"/>
          <w:szCs w:val="22"/>
          <w:lang w:val="sk-SK"/>
        </w:rPr>
        <w:t>neuropatie</w:t>
      </w:r>
      <w:proofErr w:type="spellEnd"/>
      <w:r>
        <w:rPr>
          <w:sz w:val="22"/>
          <w:szCs w:val="22"/>
          <w:lang w:val="sk-SK"/>
        </w:rPr>
        <w:t xml:space="preserve"> v prípade dlhodobej liečby. </w:t>
      </w:r>
    </w:p>
    <w:p w14:paraId="1F39052D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14:paraId="69885A33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Nasledujúci zoznam obsahuje výrazy použité na popis frekvencií nežiaducich účinkov: </w:t>
      </w:r>
    </w:p>
    <w:p w14:paraId="2EF941FA" w14:textId="77777777" w:rsidR="008A742D" w:rsidRDefault="008A742D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Veľmi časté</w:t>
      </w:r>
      <w:r>
        <w:rPr>
          <w:sz w:val="22"/>
          <w:szCs w:val="22"/>
          <w:lang w:val="sk-SK"/>
        </w:rPr>
        <w:tab/>
        <w:t>:</w:t>
      </w:r>
      <w:r>
        <w:rPr>
          <w:sz w:val="22"/>
          <w:szCs w:val="22"/>
          <w:lang w:val="sk-SK"/>
        </w:rPr>
        <w:tab/>
        <w:t>≥ 1/10</w:t>
      </w:r>
    </w:p>
    <w:p w14:paraId="2B64D96E" w14:textId="77777777" w:rsidR="008A742D" w:rsidRDefault="008A742D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Časté</w:t>
      </w:r>
      <w:r>
        <w:rPr>
          <w:sz w:val="22"/>
          <w:szCs w:val="22"/>
          <w:lang w:val="sk-SK"/>
        </w:rPr>
        <w:tab/>
        <w:t>:</w:t>
      </w:r>
      <w:r>
        <w:rPr>
          <w:sz w:val="22"/>
          <w:szCs w:val="22"/>
          <w:lang w:val="sk-SK"/>
        </w:rPr>
        <w:tab/>
        <w:t>≥ 1/100 až &lt; 1/10</w:t>
      </w:r>
    </w:p>
    <w:p w14:paraId="56F620FC" w14:textId="77777777" w:rsidR="008A742D" w:rsidRDefault="008A742D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Menej časté </w:t>
      </w:r>
      <w:r>
        <w:rPr>
          <w:sz w:val="22"/>
          <w:szCs w:val="22"/>
          <w:lang w:val="sk-SK"/>
        </w:rPr>
        <w:tab/>
        <w:t>:</w:t>
      </w:r>
      <w:r>
        <w:rPr>
          <w:sz w:val="22"/>
          <w:szCs w:val="22"/>
          <w:lang w:val="sk-SK"/>
        </w:rPr>
        <w:tab/>
        <w:t>≥ 1/1000 až &lt; 1/100</w:t>
      </w:r>
    </w:p>
    <w:p w14:paraId="3B5C3D16" w14:textId="77777777" w:rsidR="008A742D" w:rsidRDefault="008A742D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Zriedkavé</w:t>
      </w:r>
      <w:r>
        <w:rPr>
          <w:sz w:val="22"/>
          <w:szCs w:val="22"/>
          <w:lang w:val="sk-SK"/>
        </w:rPr>
        <w:tab/>
        <w:t>:</w:t>
      </w:r>
      <w:r>
        <w:rPr>
          <w:sz w:val="22"/>
          <w:szCs w:val="22"/>
          <w:lang w:val="sk-SK"/>
        </w:rPr>
        <w:tab/>
        <w:t>≥ 1/10 000 až &lt; 1/1000</w:t>
      </w:r>
    </w:p>
    <w:p w14:paraId="5CA05127" w14:textId="77777777" w:rsidR="008A742D" w:rsidRDefault="008A742D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Veľmi zriedkavé : &lt; 1/10 000</w:t>
      </w:r>
    </w:p>
    <w:p w14:paraId="0D562F0C" w14:textId="77777777" w:rsidR="008A742D" w:rsidRDefault="008A742D">
      <w:pPr>
        <w:pStyle w:val="Zarkazkladnhotextu"/>
        <w:tabs>
          <w:tab w:val="left" w:pos="1276"/>
          <w:tab w:val="left" w:pos="1418"/>
        </w:tabs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</w:t>
      </w:r>
      <w:r>
        <w:rPr>
          <w:sz w:val="22"/>
          <w:szCs w:val="22"/>
          <w:lang w:val="sk-SK"/>
        </w:rPr>
        <w:tab/>
        <w:t>:</w:t>
      </w:r>
      <w:r>
        <w:rPr>
          <w:sz w:val="22"/>
          <w:szCs w:val="22"/>
          <w:lang w:val="sk-SK"/>
        </w:rPr>
        <w:tab/>
        <w:t>frekvencia sa nedá odhadnúť z dostupných údajov</w:t>
      </w:r>
    </w:p>
    <w:p w14:paraId="3E5785B9" w14:textId="77777777"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14:paraId="3EB1E40C" w14:textId="77777777"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Infekcie a nákazy</w:t>
      </w:r>
    </w:p>
    <w:p w14:paraId="49867208" w14:textId="77777777" w:rsidR="008A742D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Časté:</w:t>
      </w:r>
      <w:r>
        <w:rPr>
          <w:sz w:val="22"/>
          <w:szCs w:val="22"/>
          <w:lang w:val="sk-SK"/>
        </w:rPr>
        <w:tab/>
      </w:r>
      <w:proofErr w:type="spellStart"/>
      <w:r>
        <w:rPr>
          <w:sz w:val="22"/>
          <w:szCs w:val="22"/>
          <w:lang w:val="sk-SK"/>
        </w:rPr>
        <w:t>Superinfekcie</w:t>
      </w:r>
      <w:proofErr w:type="spellEnd"/>
      <w:r>
        <w:rPr>
          <w:sz w:val="22"/>
          <w:szCs w:val="22"/>
          <w:lang w:val="sk-SK"/>
        </w:rPr>
        <w:t xml:space="preserve"> vyvolané </w:t>
      </w:r>
      <w:proofErr w:type="spellStart"/>
      <w:r>
        <w:rPr>
          <w:sz w:val="22"/>
          <w:szCs w:val="22"/>
          <w:lang w:val="sk-SK"/>
        </w:rPr>
        <w:t>kandidou</w:t>
      </w:r>
      <w:proofErr w:type="spellEnd"/>
      <w:r>
        <w:rPr>
          <w:sz w:val="22"/>
          <w:szCs w:val="22"/>
          <w:lang w:val="sk-SK"/>
        </w:rPr>
        <w:t xml:space="preserve"> (napr. genitálne infekcie)</w:t>
      </w:r>
    </w:p>
    <w:p w14:paraId="45D1764C" w14:textId="77777777" w:rsidR="008A742D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Zriedkavé:</w:t>
      </w:r>
      <w:r>
        <w:rPr>
          <w:color w:val="000000"/>
          <w:sz w:val="22"/>
          <w:szCs w:val="22"/>
          <w:lang w:val="sk-SK"/>
        </w:rPr>
        <w:tab/>
      </w:r>
      <w:proofErr w:type="spellStart"/>
      <w:r>
        <w:rPr>
          <w:color w:val="000000"/>
          <w:sz w:val="22"/>
          <w:szCs w:val="22"/>
          <w:lang w:val="sk-SK"/>
        </w:rPr>
        <w:t>Pseudomembranózna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kolitída</w:t>
      </w:r>
      <w:proofErr w:type="spellEnd"/>
      <w:r>
        <w:rPr>
          <w:color w:val="000000"/>
          <w:sz w:val="22"/>
          <w:szCs w:val="22"/>
          <w:lang w:val="sk-SK"/>
        </w:rPr>
        <w:t>, ktorá sa môže objaviť v priebehu alebo po ukončení liečby, prejavujúca sa ako závažná pretrvávajúca hnačka. Podrobnosti o okamžitej liečbe, pozri časť 4.4.</w:t>
      </w:r>
    </w:p>
    <w:p w14:paraId="0FB40FD6" w14:textId="77777777"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14:paraId="09D05080" w14:textId="77777777"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krvi a lymfatického systému</w:t>
      </w:r>
    </w:p>
    <w:p w14:paraId="17ACE41E" w14:textId="77777777" w:rsidR="008A742D" w:rsidRDefault="008A742D">
      <w:pPr>
        <w:pStyle w:val="Zarkazkladnhotextu"/>
        <w:ind w:left="1276" w:hanging="1276"/>
        <w:jc w:val="left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Veľmi zriedkavé:</w:t>
      </w:r>
      <w:r>
        <w:rPr>
          <w:sz w:val="22"/>
          <w:szCs w:val="22"/>
          <w:lang w:val="sk-SK"/>
        </w:rPr>
        <w:t xml:space="preserve"> Zníženie počtu leukocytov a trombocytov počas liečby </w:t>
      </w:r>
      <w:proofErr w:type="spellStart"/>
      <w:r>
        <w:rPr>
          <w:sz w:val="22"/>
          <w:szCs w:val="22"/>
          <w:lang w:val="sk-SK"/>
        </w:rPr>
        <w:t>metronidazolom</w:t>
      </w:r>
      <w:proofErr w:type="spellEnd"/>
      <w:r>
        <w:rPr>
          <w:sz w:val="22"/>
          <w:szCs w:val="22"/>
          <w:lang w:val="sk-SK"/>
        </w:rPr>
        <w:t xml:space="preserve"> (</w:t>
      </w:r>
      <w:proofErr w:type="spellStart"/>
      <w:r>
        <w:rPr>
          <w:sz w:val="22"/>
          <w:szCs w:val="22"/>
          <w:lang w:val="sk-SK"/>
        </w:rPr>
        <w:t>granulocytopénia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agranulocytóza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pancytopénia</w:t>
      </w:r>
      <w:proofErr w:type="spellEnd"/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trombocytopénia</w:t>
      </w:r>
      <w:proofErr w:type="spellEnd"/>
      <w:r>
        <w:rPr>
          <w:sz w:val="22"/>
          <w:szCs w:val="22"/>
          <w:lang w:val="sk-SK"/>
        </w:rPr>
        <w:t xml:space="preserve">). Pozri časť 4.4. </w:t>
      </w:r>
    </w:p>
    <w:p w14:paraId="5EB80D6A" w14:textId="77777777" w:rsidR="008A742D" w:rsidRDefault="008A742D">
      <w:pPr>
        <w:pStyle w:val="Zarkazkladnhotextu"/>
        <w:ind w:left="1276" w:hanging="127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Neznáme:</w:t>
      </w:r>
      <w:r>
        <w:rPr>
          <w:color w:val="000000"/>
          <w:sz w:val="22"/>
          <w:szCs w:val="22"/>
          <w:lang w:val="sk-SK"/>
        </w:rPr>
        <w:tab/>
      </w:r>
      <w:proofErr w:type="spellStart"/>
      <w:r>
        <w:rPr>
          <w:color w:val="000000"/>
          <w:sz w:val="22"/>
          <w:szCs w:val="22"/>
          <w:lang w:val="sk-SK"/>
        </w:rPr>
        <w:t>Leukopénia</w:t>
      </w:r>
      <w:proofErr w:type="spellEnd"/>
      <w:r>
        <w:rPr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color w:val="000000"/>
          <w:sz w:val="22"/>
          <w:szCs w:val="22"/>
          <w:lang w:val="sk-SK"/>
        </w:rPr>
        <w:t>aplastická</w:t>
      </w:r>
      <w:proofErr w:type="spellEnd"/>
      <w:r>
        <w:rPr>
          <w:color w:val="000000"/>
          <w:sz w:val="22"/>
          <w:szCs w:val="22"/>
          <w:lang w:val="sk-SK"/>
        </w:rPr>
        <w:t xml:space="preserve"> anémia.</w:t>
      </w:r>
    </w:p>
    <w:p w14:paraId="55E79664" w14:textId="792C5D97" w:rsidR="008A742D" w:rsidRPr="00000913" w:rsidRDefault="004F0977">
      <w:pPr>
        <w:pStyle w:val="Zarkazkladnhotextu"/>
        <w:ind w:left="1276" w:hanging="1276"/>
        <w:jc w:val="left"/>
        <w:rPr>
          <w:sz w:val="22"/>
          <w:szCs w:val="22"/>
          <w:lang w:val="sk-SK"/>
        </w:rPr>
      </w:pPr>
      <w:r w:rsidRPr="00000913">
        <w:rPr>
          <w:sz w:val="22"/>
          <w:szCs w:val="22"/>
          <w:lang w:val="sk-SK"/>
        </w:rPr>
        <w:t>Počas dlhodobého podávania je potrebné pravidelné monitorovanie počtu krvných buniek.</w:t>
      </w:r>
    </w:p>
    <w:p w14:paraId="6092C214" w14:textId="77777777" w:rsidR="004F0977" w:rsidRDefault="004F0977">
      <w:pPr>
        <w:pStyle w:val="Zarkazkladnhotextu"/>
        <w:ind w:left="1276" w:hanging="1276"/>
        <w:jc w:val="left"/>
        <w:rPr>
          <w:lang w:val="sk-SK"/>
        </w:rPr>
      </w:pPr>
    </w:p>
    <w:p w14:paraId="30814FF9" w14:textId="77777777"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imunitného systému</w:t>
      </w:r>
    </w:p>
    <w:p w14:paraId="6BE5CE88" w14:textId="77777777" w:rsidR="008A742D" w:rsidRDefault="008A742D">
      <w:pPr>
        <w:pStyle w:val="Zarkazkladnhotextu"/>
        <w:tabs>
          <w:tab w:val="left" w:pos="1276"/>
        </w:tabs>
        <w:ind w:left="1560" w:hanging="1560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Zriedkavé:</w:t>
      </w:r>
      <w:r>
        <w:rPr>
          <w:sz w:val="22"/>
          <w:szCs w:val="22"/>
          <w:lang w:val="sk-SK"/>
        </w:rPr>
        <w:tab/>
        <w:t xml:space="preserve">Závažné akútne systémové reakcie precitlivenosti: </w:t>
      </w:r>
      <w:proofErr w:type="spellStart"/>
      <w:r>
        <w:rPr>
          <w:sz w:val="22"/>
          <w:szCs w:val="22"/>
          <w:lang w:val="sk-SK"/>
        </w:rPr>
        <w:t>anafylaxia</w:t>
      </w:r>
      <w:proofErr w:type="spellEnd"/>
      <w:r>
        <w:rPr>
          <w:sz w:val="22"/>
          <w:szCs w:val="22"/>
          <w:lang w:val="sk-SK"/>
        </w:rPr>
        <w:t xml:space="preserve"> až </w:t>
      </w:r>
      <w:proofErr w:type="spellStart"/>
      <w:r>
        <w:rPr>
          <w:sz w:val="22"/>
          <w:szCs w:val="22"/>
          <w:lang w:val="sk-SK"/>
        </w:rPr>
        <w:t>anafylaktický</w:t>
      </w:r>
      <w:proofErr w:type="spellEnd"/>
      <w:r>
        <w:rPr>
          <w:sz w:val="22"/>
          <w:szCs w:val="22"/>
          <w:lang w:val="sk-SK"/>
        </w:rPr>
        <w:t xml:space="preserve"> šok.</w:t>
      </w:r>
    </w:p>
    <w:p w14:paraId="6A3137C2" w14:textId="77777777" w:rsidR="008A742D" w:rsidRDefault="008A742D">
      <w:pPr>
        <w:pStyle w:val="Zarkazkladnhotextu"/>
        <w:tabs>
          <w:tab w:val="left" w:pos="1560"/>
        </w:tabs>
        <w:ind w:left="1276"/>
        <w:jc w:val="left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Závažné kožné reakcie, pozri „</w:t>
      </w:r>
      <w:r>
        <w:rPr>
          <w:i/>
          <w:sz w:val="22"/>
          <w:szCs w:val="22"/>
          <w:lang w:val="sk-SK"/>
        </w:rPr>
        <w:t>Poruchy kože a podkožného tkaniva</w:t>
      </w:r>
      <w:r>
        <w:rPr>
          <w:sz w:val="22"/>
          <w:szCs w:val="22"/>
          <w:lang w:val="sk-SK"/>
        </w:rPr>
        <w:t xml:space="preserve">“ nižšie. </w:t>
      </w:r>
    </w:p>
    <w:p w14:paraId="7D34ED28" w14:textId="4E5FFA17" w:rsidR="008A742D" w:rsidRPr="00000913" w:rsidRDefault="008A742D">
      <w:pPr>
        <w:pStyle w:val="Zarkazkladnhotextu"/>
        <w:ind w:left="1276"/>
        <w:jc w:val="left"/>
        <w:rPr>
          <w:b/>
          <w:sz w:val="22"/>
          <w:szCs w:val="22"/>
          <w:lang w:val="sk-SK"/>
        </w:rPr>
      </w:pPr>
      <w:r w:rsidRPr="00000913">
        <w:rPr>
          <w:b/>
          <w:sz w:val="22"/>
          <w:szCs w:val="22"/>
          <w:lang w:val="sk-SK"/>
        </w:rPr>
        <w:t xml:space="preserve">Tieto závažné reakcie si vyžadujú okamžitý liečebný zásah </w:t>
      </w:r>
      <w:r w:rsidR="00D8366C" w:rsidRPr="00000913">
        <w:rPr>
          <w:b/>
          <w:sz w:val="22"/>
          <w:szCs w:val="22"/>
          <w:lang w:val="sk-SK"/>
        </w:rPr>
        <w:t>(p</w:t>
      </w:r>
      <w:r w:rsidRPr="00000913">
        <w:rPr>
          <w:b/>
          <w:sz w:val="22"/>
          <w:szCs w:val="22"/>
          <w:lang w:val="sk-SK"/>
        </w:rPr>
        <w:t>ozri časť 4.4</w:t>
      </w:r>
      <w:r w:rsidR="00D8366C" w:rsidRPr="00000913">
        <w:rPr>
          <w:b/>
          <w:sz w:val="22"/>
          <w:szCs w:val="22"/>
          <w:lang w:val="sk-SK"/>
        </w:rPr>
        <w:t>)</w:t>
      </w:r>
      <w:r w:rsidRPr="00000913">
        <w:rPr>
          <w:b/>
          <w:sz w:val="22"/>
          <w:szCs w:val="22"/>
          <w:lang w:val="sk-SK"/>
        </w:rPr>
        <w:t>.</w:t>
      </w:r>
    </w:p>
    <w:p w14:paraId="727B1602" w14:textId="77777777" w:rsidR="008A742D" w:rsidRDefault="008A742D">
      <w:pPr>
        <w:pStyle w:val="Zarkazkladnhotextu"/>
        <w:tabs>
          <w:tab w:val="left" w:pos="1276"/>
        </w:tabs>
        <w:ind w:left="1276" w:hanging="1276"/>
        <w:jc w:val="left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Neznáme:</w:t>
      </w:r>
      <w:r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ab/>
        <w:t xml:space="preserve">Slabé až mierne reakcie precitlivenosti, napr. kožné reakcie (pozri nižšie </w:t>
      </w:r>
      <w:r>
        <w:rPr>
          <w:i/>
          <w:sz w:val="22"/>
          <w:szCs w:val="22"/>
          <w:lang w:val="sk-SK"/>
        </w:rPr>
        <w:t>Poruchy kože a podkožného tkaniva</w:t>
      </w:r>
      <w:r>
        <w:rPr>
          <w:sz w:val="22"/>
          <w:szCs w:val="22"/>
          <w:lang w:val="sk-SK"/>
        </w:rPr>
        <w:t xml:space="preserve">), </w:t>
      </w:r>
      <w:proofErr w:type="spellStart"/>
      <w:r>
        <w:rPr>
          <w:sz w:val="22"/>
          <w:szCs w:val="22"/>
          <w:lang w:val="sk-SK"/>
        </w:rPr>
        <w:t>angioedém</w:t>
      </w:r>
      <w:proofErr w:type="spellEnd"/>
      <w:r>
        <w:rPr>
          <w:sz w:val="22"/>
          <w:szCs w:val="22"/>
          <w:lang w:val="sk-SK"/>
        </w:rPr>
        <w:t>.</w:t>
      </w:r>
    </w:p>
    <w:p w14:paraId="77083BF1" w14:textId="77777777"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14:paraId="11F07813" w14:textId="77777777"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metabolizmu a výživy</w:t>
      </w:r>
    </w:p>
    <w:p w14:paraId="513B3D8E" w14:textId="77777777" w:rsidR="008A742D" w:rsidRDefault="008A742D">
      <w:pPr>
        <w:pStyle w:val="Normlnysozarkami"/>
        <w:ind w:left="1276" w:hanging="1276"/>
        <w:rPr>
          <w:lang w:val="sk-SK"/>
        </w:rPr>
      </w:pPr>
      <w:r>
        <w:rPr>
          <w:u w:val="single"/>
          <w:lang w:val="sk-SK"/>
        </w:rPr>
        <w:t>Neznáme:</w:t>
      </w:r>
      <w:r>
        <w:rPr>
          <w:lang w:val="sk-SK"/>
        </w:rPr>
        <w:t xml:space="preserve"> </w:t>
      </w:r>
      <w:r>
        <w:rPr>
          <w:lang w:val="sk-SK"/>
        </w:rPr>
        <w:tab/>
      </w:r>
      <w:proofErr w:type="spellStart"/>
      <w:r>
        <w:rPr>
          <w:lang w:val="sk-SK"/>
        </w:rPr>
        <w:t>Anorexia</w:t>
      </w:r>
      <w:proofErr w:type="spellEnd"/>
    </w:p>
    <w:p w14:paraId="68B54374" w14:textId="77777777"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14:paraId="0CE9B54D" w14:textId="77777777"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Psychické poruchy</w:t>
      </w:r>
    </w:p>
    <w:p w14:paraId="7CDCFD9F" w14:textId="77777777" w:rsidR="008A742D" w:rsidRDefault="008A742D">
      <w:pPr>
        <w:pStyle w:val="Zarkazkladnhotextu"/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Veľmi zriedkavé:</w:t>
      </w:r>
      <w:r>
        <w:rPr>
          <w:sz w:val="22"/>
          <w:szCs w:val="22"/>
          <w:lang w:val="sk-SK"/>
        </w:rPr>
        <w:t xml:space="preserve"> Psychotické poruchy, vrátane stavov zmätenosti, halucinácie</w:t>
      </w:r>
    </w:p>
    <w:p w14:paraId="44FAB4DF" w14:textId="77777777" w:rsidR="008A742D" w:rsidRDefault="008A742D">
      <w:pPr>
        <w:pStyle w:val="Zarkazkladnhotextu"/>
        <w:ind w:left="1276" w:hanging="127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Neznáme:</w:t>
      </w:r>
      <w:r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ab/>
        <w:t>Depresia</w:t>
      </w:r>
    </w:p>
    <w:p w14:paraId="60F9AF71" w14:textId="77777777"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14:paraId="65CC797C" w14:textId="77777777"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nervového systému</w:t>
      </w:r>
    </w:p>
    <w:p w14:paraId="705D786A" w14:textId="77777777" w:rsidR="008A742D" w:rsidRDefault="008A742D">
      <w:pPr>
        <w:pStyle w:val="Zarkazkladnhotextu"/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Veľmi zriedkavé: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Encefalopatia</w:t>
      </w:r>
      <w:proofErr w:type="spellEnd"/>
      <w:r>
        <w:rPr>
          <w:sz w:val="22"/>
          <w:szCs w:val="22"/>
          <w:lang w:val="sk-SK"/>
        </w:rPr>
        <w:t xml:space="preserve">, bolesti hlavy, horúčka, ospalosť, závraty, poruchy zraku a pohybu, </w:t>
      </w:r>
      <w:proofErr w:type="spellStart"/>
      <w:r>
        <w:rPr>
          <w:sz w:val="22"/>
          <w:szCs w:val="22"/>
          <w:lang w:val="sk-SK"/>
        </w:rPr>
        <w:t>vertigo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ataxia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dyzartria</w:t>
      </w:r>
      <w:proofErr w:type="spellEnd"/>
      <w:r>
        <w:rPr>
          <w:sz w:val="22"/>
          <w:szCs w:val="22"/>
          <w:lang w:val="sk-SK"/>
        </w:rPr>
        <w:t xml:space="preserve">, kŕče. </w:t>
      </w:r>
    </w:p>
    <w:p w14:paraId="4CE169B3" w14:textId="77777777" w:rsidR="008A742D" w:rsidRDefault="008A742D">
      <w:pPr>
        <w:pStyle w:val="Zarkazkladnhotextu"/>
        <w:tabs>
          <w:tab w:val="left" w:pos="1276"/>
        </w:tabs>
        <w:ind w:left="1560" w:hanging="1560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Neznáme:</w:t>
      </w:r>
      <w:r>
        <w:rPr>
          <w:sz w:val="22"/>
          <w:szCs w:val="22"/>
          <w:lang w:val="sk-SK"/>
        </w:rPr>
        <w:tab/>
        <w:t xml:space="preserve">Ospalosť alebo nespavosť, </w:t>
      </w:r>
      <w:proofErr w:type="spellStart"/>
      <w:r>
        <w:rPr>
          <w:sz w:val="22"/>
          <w:szCs w:val="22"/>
          <w:lang w:val="sk-SK"/>
        </w:rPr>
        <w:t>myoklónia</w:t>
      </w:r>
      <w:proofErr w:type="spellEnd"/>
      <w:r>
        <w:rPr>
          <w:sz w:val="22"/>
          <w:szCs w:val="22"/>
          <w:lang w:val="sk-SK"/>
        </w:rPr>
        <w:t xml:space="preserve">, kŕče, periférna </w:t>
      </w:r>
      <w:proofErr w:type="spellStart"/>
      <w:r>
        <w:rPr>
          <w:sz w:val="22"/>
          <w:szCs w:val="22"/>
          <w:lang w:val="sk-SK"/>
        </w:rPr>
        <w:t>neuropatia</w:t>
      </w:r>
      <w:proofErr w:type="spellEnd"/>
      <w:r>
        <w:rPr>
          <w:sz w:val="22"/>
          <w:szCs w:val="22"/>
          <w:lang w:val="sk-SK"/>
        </w:rPr>
        <w:t xml:space="preserve"> prejavujúca sa ako </w:t>
      </w:r>
    </w:p>
    <w:p w14:paraId="7EA0E724" w14:textId="77777777" w:rsidR="008A742D" w:rsidRDefault="008A742D">
      <w:pPr>
        <w:pStyle w:val="Zarkazkladnhotextu"/>
        <w:tabs>
          <w:tab w:val="left" w:pos="1276"/>
        </w:tabs>
        <w:ind w:left="1560" w:hanging="156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proofErr w:type="spellStart"/>
      <w:r>
        <w:rPr>
          <w:sz w:val="22"/>
          <w:szCs w:val="22"/>
          <w:lang w:val="sk-SK"/>
        </w:rPr>
        <w:t>parestézia</w:t>
      </w:r>
      <w:proofErr w:type="spellEnd"/>
      <w:r>
        <w:rPr>
          <w:sz w:val="22"/>
          <w:szCs w:val="22"/>
          <w:lang w:val="sk-SK"/>
        </w:rPr>
        <w:t>, bolesť, neobvyklé pocity v končatinách a brnenie v končatinách</w:t>
      </w:r>
    </w:p>
    <w:p w14:paraId="7DD05E97" w14:textId="77777777" w:rsidR="008A742D" w:rsidRDefault="008A742D">
      <w:pPr>
        <w:pStyle w:val="Zarkazkladnhotextu"/>
        <w:tabs>
          <w:tab w:val="left" w:pos="1560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  <w:t xml:space="preserve">Aseptická </w:t>
      </w:r>
      <w:proofErr w:type="spellStart"/>
      <w:r>
        <w:rPr>
          <w:sz w:val="22"/>
          <w:szCs w:val="22"/>
          <w:lang w:val="sk-SK"/>
        </w:rPr>
        <w:t>meningitída</w:t>
      </w:r>
      <w:proofErr w:type="spellEnd"/>
    </w:p>
    <w:p w14:paraId="3DC9B347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výskyte záchvatov alebo prejavov periférnej </w:t>
      </w:r>
      <w:proofErr w:type="spellStart"/>
      <w:r>
        <w:rPr>
          <w:sz w:val="22"/>
          <w:szCs w:val="22"/>
          <w:lang w:val="sk-SK"/>
        </w:rPr>
        <w:t>neuropatie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>
        <w:rPr>
          <w:sz w:val="22"/>
          <w:szCs w:val="22"/>
          <w:lang w:val="sk-SK"/>
        </w:rPr>
        <w:t>encefalopatie</w:t>
      </w:r>
      <w:proofErr w:type="spellEnd"/>
      <w:r>
        <w:rPr>
          <w:sz w:val="22"/>
          <w:szCs w:val="22"/>
          <w:lang w:val="sk-SK"/>
        </w:rPr>
        <w:t xml:space="preserve"> treba okamžite informovať ošetrujúceho lekára. Pozri časť 4.4.</w:t>
      </w:r>
    </w:p>
    <w:p w14:paraId="7DEF7E56" w14:textId="77777777"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14:paraId="67CE9762" w14:textId="77777777"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oka</w:t>
      </w:r>
    </w:p>
    <w:p w14:paraId="7B928B66" w14:textId="77777777" w:rsidR="008A742D" w:rsidRDefault="008A742D">
      <w:pPr>
        <w:pStyle w:val="Zarkazkladnhotextu"/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Veľmi zriedkavé:</w:t>
      </w:r>
      <w:r>
        <w:rPr>
          <w:sz w:val="22"/>
          <w:szCs w:val="22"/>
          <w:lang w:val="sk-SK"/>
        </w:rPr>
        <w:t xml:space="preserve"> Poruchy videnia, napríklad </w:t>
      </w:r>
      <w:proofErr w:type="spellStart"/>
      <w:r>
        <w:rPr>
          <w:sz w:val="22"/>
          <w:szCs w:val="22"/>
          <w:lang w:val="sk-SK"/>
        </w:rPr>
        <w:t>diplopia</w:t>
      </w:r>
      <w:proofErr w:type="spellEnd"/>
      <w:r>
        <w:rPr>
          <w:sz w:val="22"/>
          <w:szCs w:val="22"/>
          <w:lang w:val="sk-SK"/>
        </w:rPr>
        <w:t>, krátkozrakosť.</w:t>
      </w:r>
    </w:p>
    <w:p w14:paraId="3FFAD179" w14:textId="5C33AFFD" w:rsidR="008A742D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Neznáme:</w:t>
      </w:r>
      <w:r>
        <w:rPr>
          <w:sz w:val="22"/>
          <w:szCs w:val="22"/>
          <w:lang w:val="sk-SK"/>
        </w:rPr>
        <w:tab/>
      </w:r>
      <w:proofErr w:type="spellStart"/>
      <w:r>
        <w:rPr>
          <w:sz w:val="22"/>
          <w:szCs w:val="22"/>
          <w:lang w:val="sk-SK"/>
        </w:rPr>
        <w:t>Okulogyrická</w:t>
      </w:r>
      <w:proofErr w:type="spellEnd"/>
      <w:r>
        <w:rPr>
          <w:sz w:val="22"/>
          <w:szCs w:val="22"/>
          <w:lang w:val="sk-SK"/>
        </w:rPr>
        <w:t xml:space="preserve"> kríza, optická </w:t>
      </w:r>
      <w:proofErr w:type="spellStart"/>
      <w:r>
        <w:rPr>
          <w:sz w:val="22"/>
          <w:szCs w:val="22"/>
          <w:lang w:val="sk-SK"/>
        </w:rPr>
        <w:t>neuropatia</w:t>
      </w:r>
      <w:proofErr w:type="spellEnd"/>
      <w:r>
        <w:rPr>
          <w:sz w:val="22"/>
          <w:szCs w:val="22"/>
          <w:lang w:val="sk-SK"/>
        </w:rPr>
        <w:t xml:space="preserve">/neuritída </w:t>
      </w:r>
      <w:r w:rsidR="004F0977">
        <w:rPr>
          <w:sz w:val="22"/>
          <w:szCs w:val="22"/>
          <w:lang w:val="sk-SK"/>
        </w:rPr>
        <w:t>(ojedinelé prípady)</w:t>
      </w:r>
    </w:p>
    <w:p w14:paraId="1442EDE5" w14:textId="77777777"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14:paraId="66AD22FC" w14:textId="77777777"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srdca a srdcovej činnosti</w:t>
      </w:r>
    </w:p>
    <w:p w14:paraId="1B24119D" w14:textId="77777777" w:rsidR="008A742D" w:rsidRDefault="008A742D">
      <w:pPr>
        <w:pStyle w:val="Zarkazkladnhotextu"/>
        <w:ind w:left="1276" w:hanging="1276"/>
        <w:jc w:val="left"/>
        <w:rPr>
          <w:b/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Zriedkavé:</w:t>
      </w:r>
      <w:r>
        <w:rPr>
          <w:sz w:val="22"/>
          <w:szCs w:val="22"/>
          <w:lang w:val="sk-SK"/>
        </w:rPr>
        <w:tab/>
        <w:t>Zmeny EKG, ako je sploštenie vlny T</w:t>
      </w:r>
    </w:p>
    <w:p w14:paraId="51C4755F" w14:textId="77777777"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14:paraId="78D7A655" w14:textId="77777777"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 xml:space="preserve">Poruchy </w:t>
      </w:r>
      <w:proofErr w:type="spellStart"/>
      <w:r>
        <w:rPr>
          <w:lang w:val="sk-SK"/>
        </w:rPr>
        <w:t>gastrointestinálneho</w:t>
      </w:r>
      <w:proofErr w:type="spellEnd"/>
      <w:r>
        <w:rPr>
          <w:lang w:val="sk-SK"/>
        </w:rPr>
        <w:t xml:space="preserve"> traktu</w:t>
      </w:r>
    </w:p>
    <w:p w14:paraId="04150F82" w14:textId="77777777" w:rsidR="003622D0" w:rsidRDefault="003622D0" w:rsidP="003622D0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  <w:r w:rsidRPr="001825E5">
        <w:rPr>
          <w:sz w:val="22"/>
          <w:szCs w:val="22"/>
          <w:u w:val="single"/>
          <w:lang w:val="sk-SK"/>
        </w:rPr>
        <w:t>Veľmi zriedkavé:</w:t>
      </w:r>
      <w:r>
        <w:rPr>
          <w:sz w:val="22"/>
          <w:szCs w:val="22"/>
          <w:lang w:val="sk-SK"/>
        </w:rPr>
        <w:t xml:space="preserve"> zápal pankreasu</w:t>
      </w:r>
    </w:p>
    <w:p w14:paraId="37008ED2" w14:textId="77777777" w:rsidR="008A742D" w:rsidRDefault="008A742D">
      <w:pPr>
        <w:pStyle w:val="Zarkazkladnhotextu"/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Neznáme:</w:t>
      </w:r>
      <w:r>
        <w:rPr>
          <w:sz w:val="22"/>
          <w:szCs w:val="22"/>
          <w:lang w:val="sk-SK"/>
        </w:rPr>
        <w:tab/>
        <w:t xml:space="preserve">Vracanie, nevoľnosť, hnačka, </w:t>
      </w:r>
      <w:proofErr w:type="spellStart"/>
      <w:r>
        <w:rPr>
          <w:sz w:val="22"/>
          <w:szCs w:val="22"/>
          <w:lang w:val="sk-SK"/>
        </w:rPr>
        <w:t>stomatitída</w:t>
      </w:r>
      <w:proofErr w:type="spellEnd"/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glositída</w:t>
      </w:r>
      <w:proofErr w:type="spellEnd"/>
      <w:r>
        <w:rPr>
          <w:sz w:val="22"/>
          <w:szCs w:val="22"/>
          <w:lang w:val="sk-SK"/>
        </w:rPr>
        <w:t xml:space="preserve">, grganie s horkou chuťou, </w:t>
      </w:r>
      <w:proofErr w:type="spellStart"/>
      <w:r>
        <w:rPr>
          <w:sz w:val="22"/>
          <w:szCs w:val="22"/>
          <w:lang w:val="sk-SK"/>
        </w:rPr>
        <w:t>epigastrický</w:t>
      </w:r>
      <w:proofErr w:type="spellEnd"/>
      <w:r>
        <w:rPr>
          <w:sz w:val="22"/>
          <w:szCs w:val="22"/>
          <w:lang w:val="sk-SK"/>
        </w:rPr>
        <w:t xml:space="preserve"> tlak, kovová chuť, povlak na jazyku.</w:t>
      </w:r>
    </w:p>
    <w:p w14:paraId="2B73E8A7" w14:textId="77777777" w:rsidR="008A742D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proofErr w:type="spellStart"/>
      <w:r>
        <w:rPr>
          <w:sz w:val="22"/>
          <w:szCs w:val="22"/>
          <w:lang w:val="sk-SK"/>
        </w:rPr>
        <w:t>Dysfágia</w:t>
      </w:r>
      <w:proofErr w:type="spellEnd"/>
      <w:r>
        <w:rPr>
          <w:sz w:val="22"/>
          <w:szCs w:val="22"/>
          <w:lang w:val="sk-SK"/>
        </w:rPr>
        <w:t xml:space="preserve"> (spôsobená účinkami </w:t>
      </w:r>
      <w:proofErr w:type="spellStart"/>
      <w:r>
        <w:rPr>
          <w:sz w:val="22"/>
          <w:szCs w:val="22"/>
          <w:lang w:val="sk-SK"/>
        </w:rPr>
        <w:t>metronidazolu</w:t>
      </w:r>
      <w:proofErr w:type="spellEnd"/>
      <w:r>
        <w:rPr>
          <w:sz w:val="22"/>
          <w:szCs w:val="22"/>
          <w:lang w:val="sk-SK"/>
        </w:rPr>
        <w:t xml:space="preserve"> na centrálny nervový systém)</w:t>
      </w:r>
    </w:p>
    <w:p w14:paraId="5FC21104" w14:textId="77777777"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14:paraId="3313BDAA" w14:textId="77777777"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pečene a žlčových ciest</w:t>
      </w:r>
    </w:p>
    <w:p w14:paraId="175FFC3A" w14:textId="77777777" w:rsidR="008A742D" w:rsidRDefault="008A742D">
      <w:pPr>
        <w:pStyle w:val="Zarkazkladnhotextu"/>
        <w:tabs>
          <w:tab w:val="left" w:pos="1560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Veľmi zriedkavé:</w:t>
      </w:r>
      <w:r>
        <w:rPr>
          <w:sz w:val="22"/>
          <w:szCs w:val="22"/>
          <w:lang w:val="sk-SK"/>
        </w:rPr>
        <w:tab/>
        <w:t xml:space="preserve"> Abnormálne hladiny pečeňových enzýmov a </w:t>
      </w:r>
      <w:proofErr w:type="spellStart"/>
      <w:r>
        <w:rPr>
          <w:sz w:val="22"/>
          <w:szCs w:val="22"/>
          <w:lang w:val="sk-SK"/>
        </w:rPr>
        <w:t>bilirubínu</w:t>
      </w:r>
      <w:proofErr w:type="spellEnd"/>
    </w:p>
    <w:p w14:paraId="585BEBE6" w14:textId="43AFF57C" w:rsidR="008A742D" w:rsidRDefault="008A742D">
      <w:pPr>
        <w:pStyle w:val="Zarkazkladnhotextu"/>
        <w:tabs>
          <w:tab w:val="left" w:pos="1560"/>
        </w:tabs>
        <w:ind w:left="1560" w:hanging="156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  <w:t>Hepatitída, žltačka</w:t>
      </w:r>
    </w:p>
    <w:p w14:paraId="5975C48C" w14:textId="77777777"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14:paraId="16022194" w14:textId="77777777"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kože a podkožného tkaniva</w:t>
      </w:r>
    </w:p>
    <w:p w14:paraId="6ACEE1C3" w14:textId="77777777" w:rsidR="008A742D" w:rsidRDefault="008A742D">
      <w:pPr>
        <w:pStyle w:val="Zarkazkladnhotextu"/>
        <w:tabs>
          <w:tab w:val="left" w:pos="1560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Veľmi zriedkavé:</w:t>
      </w:r>
      <w:r>
        <w:rPr>
          <w:lang w:val="sk-SK"/>
        </w:rPr>
        <w:tab/>
        <w:t xml:space="preserve"> </w:t>
      </w:r>
      <w:r>
        <w:rPr>
          <w:sz w:val="22"/>
          <w:szCs w:val="22"/>
          <w:lang w:val="sk-SK"/>
        </w:rPr>
        <w:t>Alergické kožné reakcie, napr. svrbenie, žihľavka</w:t>
      </w:r>
    </w:p>
    <w:p w14:paraId="1DB7DC1F" w14:textId="77777777" w:rsidR="008A742D" w:rsidRDefault="008A742D">
      <w:pPr>
        <w:pStyle w:val="Zarkazkladnhotextu"/>
        <w:tabs>
          <w:tab w:val="left" w:pos="1560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proofErr w:type="spellStart"/>
      <w:r>
        <w:rPr>
          <w:sz w:val="22"/>
          <w:szCs w:val="22"/>
          <w:lang w:val="sk-SK"/>
        </w:rPr>
        <w:t>Stevensov-Johnsonov</w:t>
      </w:r>
      <w:proofErr w:type="spellEnd"/>
      <w:r>
        <w:rPr>
          <w:sz w:val="22"/>
          <w:szCs w:val="22"/>
          <w:lang w:val="sk-SK"/>
        </w:rPr>
        <w:t xml:space="preserve"> syndróm </w:t>
      </w:r>
    </w:p>
    <w:p w14:paraId="3184427E" w14:textId="77C82B34" w:rsidR="008A742D" w:rsidRDefault="008A742D">
      <w:pPr>
        <w:pStyle w:val="Zarkazkladnhotextu"/>
        <w:tabs>
          <w:tab w:val="left" w:pos="1276"/>
        </w:tabs>
        <w:ind w:left="1560" w:hanging="1560"/>
        <w:jc w:val="left"/>
        <w:rPr>
          <w:color w:val="000000"/>
          <w:sz w:val="22"/>
          <w:szCs w:val="22"/>
          <w:lang w:val="sk-SK"/>
        </w:rPr>
      </w:pPr>
      <w:r>
        <w:rPr>
          <w:sz w:val="22"/>
          <w:lang w:val="sk-SK"/>
        </w:rPr>
        <w:tab/>
        <w:t xml:space="preserve">toxická </w:t>
      </w:r>
      <w:proofErr w:type="spellStart"/>
      <w:r>
        <w:rPr>
          <w:sz w:val="22"/>
          <w:lang w:val="sk-SK"/>
        </w:rPr>
        <w:t>epidermálna</w:t>
      </w:r>
      <w:proofErr w:type="spellEnd"/>
      <w:r>
        <w:rPr>
          <w:sz w:val="22"/>
          <w:lang w:val="sk-SK"/>
        </w:rPr>
        <w:t xml:space="preserve"> </w:t>
      </w:r>
      <w:proofErr w:type="spellStart"/>
      <w:r>
        <w:rPr>
          <w:sz w:val="22"/>
          <w:lang w:val="sk-SK"/>
        </w:rPr>
        <w:t>nekrolýza</w:t>
      </w:r>
      <w:proofErr w:type="spellEnd"/>
      <w:r w:rsidR="004C33BA">
        <w:rPr>
          <w:sz w:val="22"/>
          <w:lang w:val="sk-SK"/>
        </w:rPr>
        <w:t xml:space="preserve"> (ojedinelé hlásenia)</w:t>
      </w:r>
    </w:p>
    <w:p w14:paraId="39F79C36" w14:textId="77777777" w:rsidR="008A742D" w:rsidRDefault="008A742D" w:rsidP="00CE4F09">
      <w:pPr>
        <w:pStyle w:val="Zarkazkladnhotextu"/>
        <w:ind w:left="1560"/>
        <w:jc w:val="left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Dve </w:t>
      </w:r>
      <w:proofErr w:type="spellStart"/>
      <w:r>
        <w:rPr>
          <w:b/>
          <w:sz w:val="22"/>
          <w:szCs w:val="22"/>
          <w:lang w:val="sk-SK"/>
        </w:rPr>
        <w:t>posledne</w:t>
      </w:r>
      <w:proofErr w:type="spellEnd"/>
      <w:r>
        <w:rPr>
          <w:b/>
          <w:sz w:val="22"/>
          <w:szCs w:val="22"/>
          <w:lang w:val="sk-SK"/>
        </w:rPr>
        <w:t xml:space="preserve"> menované reakcie si vyžadujú okamžitú liečebnú intervenciu</w:t>
      </w:r>
      <w:r w:rsidR="00CE4F09">
        <w:rPr>
          <w:b/>
          <w:sz w:val="22"/>
          <w:szCs w:val="22"/>
          <w:lang w:val="sk-SK"/>
        </w:rPr>
        <w:t xml:space="preserve"> (pozri časť 4.4)</w:t>
      </w:r>
      <w:r>
        <w:rPr>
          <w:b/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 xml:space="preserve"> </w:t>
      </w:r>
    </w:p>
    <w:p w14:paraId="6B30A58C" w14:textId="77777777" w:rsidR="008A742D" w:rsidRDefault="008A742D">
      <w:pPr>
        <w:pStyle w:val="Normlnysozarkami"/>
        <w:tabs>
          <w:tab w:val="left" w:pos="1560"/>
        </w:tabs>
        <w:ind w:left="0"/>
        <w:rPr>
          <w:lang w:val="sk-SK"/>
        </w:rPr>
      </w:pPr>
      <w:r>
        <w:rPr>
          <w:u w:val="single"/>
          <w:lang w:val="sk-SK"/>
        </w:rPr>
        <w:t>Neznáme</w:t>
      </w:r>
      <w:r>
        <w:rPr>
          <w:b/>
          <w:szCs w:val="22"/>
          <w:lang w:val="sk-SK"/>
        </w:rPr>
        <w:tab/>
      </w:r>
      <w:proofErr w:type="spellStart"/>
      <w:r>
        <w:rPr>
          <w:szCs w:val="22"/>
          <w:lang w:val="sk-SK"/>
        </w:rPr>
        <w:t>multiformný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erytém</w:t>
      </w:r>
      <w:proofErr w:type="spellEnd"/>
    </w:p>
    <w:p w14:paraId="444BD535" w14:textId="77777777"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14:paraId="2C3F3B15" w14:textId="77777777"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kostrovej a svalovej sústavy a spojivového tkaniva</w:t>
      </w:r>
    </w:p>
    <w:p w14:paraId="10CA4C87" w14:textId="77777777" w:rsidR="008A742D" w:rsidRDefault="008A742D">
      <w:pPr>
        <w:pStyle w:val="Zarkazkladnhotextu"/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Veľmi zriedkavé: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artralgia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myalgia</w:t>
      </w:r>
      <w:proofErr w:type="spellEnd"/>
      <w:r>
        <w:rPr>
          <w:sz w:val="22"/>
          <w:szCs w:val="22"/>
          <w:lang w:val="sk-SK"/>
        </w:rPr>
        <w:t xml:space="preserve"> </w:t>
      </w:r>
    </w:p>
    <w:p w14:paraId="3BE69DDA" w14:textId="77777777"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14:paraId="194280A0" w14:textId="77777777"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Poruchy obličiek a močových ciest</w:t>
      </w:r>
    </w:p>
    <w:p w14:paraId="274D3818" w14:textId="77777777" w:rsidR="008A742D" w:rsidRDefault="008A742D">
      <w:pPr>
        <w:pStyle w:val="Zarkazkladnhotextu"/>
        <w:ind w:left="1560" w:hanging="1560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Menej časté:</w:t>
      </w:r>
      <w:r>
        <w:rPr>
          <w:sz w:val="22"/>
          <w:szCs w:val="22"/>
          <w:lang w:val="sk-SK"/>
        </w:rPr>
        <w:tab/>
        <w:t xml:space="preserve">Tmavšia farba moču (zapríčinená </w:t>
      </w:r>
      <w:proofErr w:type="spellStart"/>
      <w:r>
        <w:rPr>
          <w:sz w:val="22"/>
          <w:szCs w:val="22"/>
          <w:lang w:val="sk-SK"/>
        </w:rPr>
        <w:t>metronidazolovým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metabolitom</w:t>
      </w:r>
      <w:proofErr w:type="spellEnd"/>
      <w:r>
        <w:rPr>
          <w:sz w:val="22"/>
          <w:szCs w:val="22"/>
          <w:lang w:val="sk-SK"/>
        </w:rPr>
        <w:t xml:space="preserve">) </w:t>
      </w:r>
    </w:p>
    <w:p w14:paraId="586DAC83" w14:textId="77777777" w:rsidR="008A742D" w:rsidRDefault="008A742D">
      <w:pPr>
        <w:pStyle w:val="Nadpis4"/>
        <w:spacing w:before="0"/>
        <w:ind w:left="1276" w:hanging="1276"/>
        <w:jc w:val="left"/>
        <w:rPr>
          <w:lang w:val="sk-SK"/>
        </w:rPr>
      </w:pPr>
    </w:p>
    <w:p w14:paraId="027FF57C" w14:textId="77777777" w:rsidR="008A742D" w:rsidRDefault="008A742D">
      <w:pPr>
        <w:pStyle w:val="Nadpis4"/>
        <w:spacing w:before="0"/>
        <w:ind w:left="1276" w:hanging="1276"/>
        <w:jc w:val="left"/>
        <w:rPr>
          <w:i w:val="0"/>
          <w:lang w:val="sk-SK"/>
        </w:rPr>
      </w:pPr>
      <w:r>
        <w:rPr>
          <w:lang w:val="sk-SK"/>
        </w:rPr>
        <w:t>Celkové poruchy a reakcie v mieste podania</w:t>
      </w:r>
    </w:p>
    <w:p w14:paraId="01F94C00" w14:textId="77777777" w:rsidR="008A742D" w:rsidRDefault="008A742D">
      <w:pPr>
        <w:pStyle w:val="Zarkazkladnhotextu"/>
        <w:tabs>
          <w:tab w:val="left" w:pos="1843"/>
        </w:tabs>
        <w:ind w:left="1560" w:hanging="1560"/>
        <w:jc w:val="left"/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Neznáme:</w:t>
      </w:r>
      <w:r>
        <w:rPr>
          <w:sz w:val="22"/>
          <w:szCs w:val="22"/>
          <w:lang w:val="sk-SK"/>
        </w:rPr>
        <w:tab/>
        <w:t>Podráždenie žíl (až tromboflebitída) po intravenóznom podaní, stavy slabosti, horúčka</w:t>
      </w:r>
    </w:p>
    <w:p w14:paraId="53E54716" w14:textId="77777777" w:rsidR="008A742D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b/>
          <w:sz w:val="22"/>
          <w:szCs w:val="22"/>
          <w:lang w:val="sk-SK"/>
        </w:rPr>
      </w:pPr>
    </w:p>
    <w:p w14:paraId="1DE4F27A" w14:textId="77777777" w:rsidR="008A742D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Pediatrická populácia</w:t>
      </w:r>
    </w:p>
    <w:p w14:paraId="7336FC32" w14:textId="77777777" w:rsidR="008A742D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Frekvencia, typ a závažnosť nežiaducich účinkov u detí je rovnaká ako u dospelých.</w:t>
      </w:r>
    </w:p>
    <w:p w14:paraId="1F760E1D" w14:textId="77777777" w:rsidR="008A742D" w:rsidRDefault="008A742D">
      <w:pPr>
        <w:pStyle w:val="Zarkazkladnhotextu"/>
        <w:tabs>
          <w:tab w:val="left" w:pos="1276"/>
          <w:tab w:val="left" w:pos="1418"/>
        </w:tabs>
        <w:ind w:left="1276" w:hanging="1276"/>
        <w:jc w:val="left"/>
        <w:rPr>
          <w:sz w:val="22"/>
          <w:szCs w:val="22"/>
          <w:lang w:val="sk-SK"/>
        </w:rPr>
      </w:pPr>
    </w:p>
    <w:p w14:paraId="0F08436F" w14:textId="77777777" w:rsidR="008A742D" w:rsidRPr="00392FBE" w:rsidRDefault="008A742D">
      <w:pPr>
        <w:pStyle w:val="Nadpis4"/>
        <w:spacing w:before="0"/>
        <w:ind w:left="1276" w:hanging="1276"/>
        <w:jc w:val="left"/>
        <w:rPr>
          <w:i w:val="0"/>
          <w:u w:val="single"/>
          <w:lang w:val="sk-SK"/>
        </w:rPr>
      </w:pPr>
      <w:r w:rsidRPr="0025656B">
        <w:rPr>
          <w:i w:val="0"/>
          <w:u w:val="single"/>
          <w:lang w:val="sk-SK"/>
        </w:rPr>
        <w:t xml:space="preserve">Hlásenie </w:t>
      </w:r>
      <w:r w:rsidRPr="00392FBE">
        <w:rPr>
          <w:i w:val="0"/>
          <w:u w:val="single"/>
          <w:lang w:val="sk-SK"/>
        </w:rPr>
        <w:t>podozrení na nežiaduce reakcie</w:t>
      </w:r>
    </w:p>
    <w:p w14:paraId="4B0FA515" w14:textId="544F798B" w:rsidR="008A742D" w:rsidRPr="0025656B" w:rsidRDefault="008A742D">
      <w:pPr>
        <w:pStyle w:val="Normlnywebov"/>
        <w:spacing w:before="0" w:beforeAutospacing="0" w:after="0" w:afterAutospacing="0"/>
        <w:rPr>
          <w:bCs/>
          <w:iCs/>
          <w:sz w:val="22"/>
          <w:szCs w:val="22"/>
          <w:lang w:val="sk-SK"/>
        </w:rPr>
      </w:pPr>
      <w:r w:rsidRPr="00000913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3E6636">
        <w:rPr>
          <w:sz w:val="22"/>
          <w:szCs w:val="22"/>
          <w:lang w:val="sk-SK"/>
        </w:rPr>
        <w:t>na</w:t>
      </w:r>
      <w:r w:rsidRPr="0025656B">
        <w:rPr>
          <w:bCs/>
          <w:iCs/>
          <w:sz w:val="22"/>
          <w:szCs w:val="22"/>
          <w:lang w:val="sk-SK"/>
        </w:rPr>
        <w:t xml:space="preserve"> </w:t>
      </w:r>
      <w:r w:rsidRPr="00392FBE">
        <w:rPr>
          <w:bCs/>
          <w:iCs/>
          <w:sz w:val="22"/>
          <w:szCs w:val="22"/>
          <w:highlight w:val="lightGray"/>
          <w:lang w:val="sk-SK"/>
        </w:rPr>
        <w:t xml:space="preserve">národné </w:t>
      </w:r>
      <w:r w:rsidR="003E6636">
        <w:rPr>
          <w:bCs/>
          <w:iCs/>
          <w:sz w:val="22"/>
          <w:szCs w:val="22"/>
          <w:highlight w:val="lightGray"/>
          <w:lang w:val="sk-SK"/>
        </w:rPr>
        <w:t>centrum</w:t>
      </w:r>
      <w:r w:rsidRPr="00392FBE">
        <w:rPr>
          <w:bCs/>
          <w:iCs/>
          <w:sz w:val="22"/>
          <w:szCs w:val="22"/>
          <w:highlight w:val="lightGray"/>
          <w:lang w:val="sk-SK"/>
        </w:rPr>
        <w:t xml:space="preserve"> hlásenia uvedené </w:t>
      </w:r>
      <w:r w:rsidRPr="00392FBE">
        <w:rPr>
          <w:noProof/>
          <w:sz w:val="22"/>
          <w:szCs w:val="22"/>
          <w:highlight w:val="lightGray"/>
          <w:lang w:val="sk-SK"/>
        </w:rPr>
        <w:t>v </w:t>
      </w:r>
      <w:hyperlink r:id="rId7" w:history="1">
        <w:r w:rsidRPr="0025656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25656B">
        <w:rPr>
          <w:bCs/>
          <w:iCs/>
          <w:sz w:val="22"/>
          <w:szCs w:val="22"/>
          <w:highlight w:val="lightGray"/>
          <w:lang w:val="sk-SK"/>
        </w:rPr>
        <w:t>.</w:t>
      </w:r>
    </w:p>
    <w:p w14:paraId="323CF377" w14:textId="77777777" w:rsidR="008A742D" w:rsidRDefault="008A742D">
      <w:pPr>
        <w:autoSpaceDE w:val="0"/>
        <w:autoSpaceDN w:val="0"/>
        <w:adjustRightInd w:val="0"/>
        <w:rPr>
          <w:szCs w:val="22"/>
          <w:lang w:val="sk-SK"/>
        </w:rPr>
      </w:pPr>
    </w:p>
    <w:p w14:paraId="6754F817" w14:textId="77777777"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4.9</w:t>
      </w:r>
      <w:r>
        <w:rPr>
          <w:lang w:val="sk-SK"/>
        </w:rPr>
        <w:tab/>
        <w:t>Predávkovanie</w:t>
      </w:r>
    </w:p>
    <w:p w14:paraId="41BE7EB8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4410360E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r>
        <w:rPr>
          <w:lang w:val="sk-SK"/>
        </w:rPr>
        <w:t>Príznaky</w:t>
      </w:r>
    </w:p>
    <w:p w14:paraId="3CF68F6D" w14:textId="77777777" w:rsidR="008A742D" w:rsidRDefault="008A742D">
      <w:pPr>
        <w:rPr>
          <w:lang w:val="sk-SK"/>
        </w:rPr>
      </w:pPr>
      <w:r>
        <w:rPr>
          <w:lang w:val="sk-SK"/>
        </w:rPr>
        <w:t>Ako prejavy a príznaky predávkovania sa môžu objaviť nežiaduce účinky popísané v časti 4.8.</w:t>
      </w:r>
    </w:p>
    <w:p w14:paraId="59E9285B" w14:textId="77777777" w:rsidR="008A742D" w:rsidRDefault="008A742D">
      <w:pPr>
        <w:pStyle w:val="Nadpis4"/>
        <w:spacing w:before="0"/>
        <w:jc w:val="left"/>
        <w:rPr>
          <w:lang w:val="sk-SK"/>
        </w:rPr>
      </w:pPr>
    </w:p>
    <w:p w14:paraId="60BE0A24" w14:textId="77777777" w:rsidR="008A742D" w:rsidRDefault="008A742D">
      <w:pPr>
        <w:pStyle w:val="Nadpis4"/>
        <w:spacing w:before="0"/>
        <w:jc w:val="left"/>
        <w:rPr>
          <w:i w:val="0"/>
          <w:lang w:val="sk-SK"/>
        </w:rPr>
      </w:pPr>
      <w:r>
        <w:rPr>
          <w:lang w:val="sk-SK"/>
        </w:rPr>
        <w:t>Liečba</w:t>
      </w:r>
    </w:p>
    <w:p w14:paraId="7597F42C" w14:textId="77777777" w:rsidR="008A742D" w:rsidRDefault="008A742D">
      <w:pPr>
        <w:rPr>
          <w:lang w:val="sk-SK"/>
        </w:rPr>
      </w:pPr>
      <w:r>
        <w:rPr>
          <w:lang w:val="sk-SK"/>
        </w:rPr>
        <w:t xml:space="preserve">V prípade závažného predávkovania </w:t>
      </w:r>
      <w:proofErr w:type="spellStart"/>
      <w:r>
        <w:rPr>
          <w:lang w:val="sk-SK"/>
        </w:rPr>
        <w:t>metronidazolom</w:t>
      </w:r>
      <w:proofErr w:type="spellEnd"/>
      <w:r>
        <w:rPr>
          <w:lang w:val="sk-SK"/>
        </w:rPr>
        <w:t xml:space="preserve"> neexistuje žiadna špecifická liečba ani </w:t>
      </w:r>
      <w:proofErr w:type="spellStart"/>
      <w:r>
        <w:rPr>
          <w:lang w:val="sk-SK"/>
        </w:rPr>
        <w:t>antidotum</w:t>
      </w:r>
      <w:proofErr w:type="spellEnd"/>
      <w:r>
        <w:rPr>
          <w:lang w:val="sk-SK"/>
        </w:rPr>
        <w:t xml:space="preserve">. Ak je to nevyhnutné, </w:t>
      </w:r>
      <w:proofErr w:type="spellStart"/>
      <w:r>
        <w:rPr>
          <w:lang w:val="sk-SK"/>
        </w:rPr>
        <w:t>metronidazol</w:t>
      </w:r>
      <w:proofErr w:type="spellEnd"/>
      <w:r>
        <w:rPr>
          <w:lang w:val="sk-SK"/>
        </w:rPr>
        <w:t xml:space="preserve"> môže byť účinne eliminovaný hemodialýzou.</w:t>
      </w:r>
    </w:p>
    <w:p w14:paraId="617F27CE" w14:textId="77777777" w:rsidR="008A742D" w:rsidRDefault="008A742D">
      <w:pPr>
        <w:rPr>
          <w:lang w:val="sk-SK"/>
        </w:rPr>
      </w:pPr>
    </w:p>
    <w:p w14:paraId="6626F25C" w14:textId="77777777" w:rsidR="008A742D" w:rsidRDefault="008A742D">
      <w:pPr>
        <w:rPr>
          <w:szCs w:val="22"/>
          <w:lang w:val="sk-SK"/>
        </w:rPr>
      </w:pPr>
    </w:p>
    <w:p w14:paraId="7F2C9C2B" w14:textId="77777777" w:rsidR="008A742D" w:rsidRDefault="008A742D">
      <w:pPr>
        <w:pStyle w:val="Nadpis1"/>
        <w:spacing w:before="0"/>
        <w:rPr>
          <w:lang w:val="sk-SK"/>
        </w:rPr>
      </w:pPr>
      <w:r>
        <w:rPr>
          <w:lang w:val="sk-SK"/>
        </w:rPr>
        <w:t>5.</w:t>
      </w:r>
      <w:r>
        <w:rPr>
          <w:lang w:val="sk-SK"/>
        </w:rPr>
        <w:tab/>
        <w:t>FARMAKOLOGICKÉ VLASTNOSTI</w:t>
      </w:r>
    </w:p>
    <w:p w14:paraId="6D701B46" w14:textId="77777777" w:rsidR="008A742D" w:rsidRDefault="008A742D">
      <w:pPr>
        <w:pStyle w:val="Nadpis2"/>
        <w:spacing w:before="0"/>
        <w:rPr>
          <w:lang w:val="sk-SK"/>
        </w:rPr>
      </w:pPr>
    </w:p>
    <w:p w14:paraId="00D33DCD" w14:textId="77777777"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5.1</w:t>
      </w:r>
      <w:r>
        <w:rPr>
          <w:lang w:val="sk-SK"/>
        </w:rPr>
        <w:tab/>
      </w:r>
      <w:proofErr w:type="spellStart"/>
      <w:r>
        <w:rPr>
          <w:lang w:val="sk-SK"/>
        </w:rPr>
        <w:t>Farmakodynamické</w:t>
      </w:r>
      <w:proofErr w:type="spellEnd"/>
      <w:r>
        <w:rPr>
          <w:lang w:val="sk-SK"/>
        </w:rPr>
        <w:t xml:space="preserve"> vlastnosti</w:t>
      </w:r>
    </w:p>
    <w:p w14:paraId="42F68E34" w14:textId="77777777" w:rsidR="008A742D" w:rsidRDefault="008A742D">
      <w:pPr>
        <w:tabs>
          <w:tab w:val="left" w:pos="2835"/>
        </w:tabs>
        <w:rPr>
          <w:szCs w:val="22"/>
          <w:lang w:val="sk-SK"/>
        </w:rPr>
      </w:pPr>
    </w:p>
    <w:p w14:paraId="07BA4B98" w14:textId="77777777" w:rsidR="008A742D" w:rsidRDefault="008A742D">
      <w:pPr>
        <w:tabs>
          <w:tab w:val="left" w:pos="2835"/>
        </w:tabs>
        <w:rPr>
          <w:szCs w:val="22"/>
          <w:lang w:val="sk-SK"/>
        </w:rPr>
      </w:pPr>
      <w:proofErr w:type="spellStart"/>
      <w:r>
        <w:rPr>
          <w:szCs w:val="22"/>
          <w:lang w:val="sk-SK"/>
        </w:rPr>
        <w:t>Farmakoterapeutická</w:t>
      </w:r>
      <w:proofErr w:type="spellEnd"/>
      <w:r>
        <w:rPr>
          <w:szCs w:val="22"/>
          <w:lang w:val="sk-SK"/>
        </w:rPr>
        <w:t xml:space="preserve"> skupina:</w:t>
      </w:r>
      <w:r>
        <w:rPr>
          <w:szCs w:val="22"/>
          <w:lang w:val="sk-SK"/>
        </w:rPr>
        <w:tab/>
      </w:r>
      <w:proofErr w:type="spellStart"/>
      <w:r>
        <w:rPr>
          <w:szCs w:val="22"/>
          <w:lang w:val="sk-SK"/>
        </w:rPr>
        <w:t>Antiinfektíva</w:t>
      </w:r>
      <w:proofErr w:type="spellEnd"/>
      <w:r>
        <w:rPr>
          <w:szCs w:val="22"/>
          <w:lang w:val="sk-SK"/>
        </w:rPr>
        <w:t xml:space="preserve"> na systémové použitie – </w:t>
      </w:r>
      <w:proofErr w:type="spellStart"/>
      <w:r>
        <w:rPr>
          <w:szCs w:val="22"/>
          <w:lang w:val="sk-SK"/>
        </w:rPr>
        <w:t>imidazol</w:t>
      </w:r>
      <w:r w:rsidR="0025656B">
        <w:rPr>
          <w:szCs w:val="22"/>
          <w:lang w:val="sk-SK"/>
        </w:rPr>
        <w:t>o</w:t>
      </w:r>
      <w:r>
        <w:rPr>
          <w:szCs w:val="22"/>
          <w:lang w:val="sk-SK"/>
        </w:rPr>
        <w:t>vé</w:t>
      </w:r>
      <w:proofErr w:type="spellEnd"/>
      <w:r>
        <w:rPr>
          <w:szCs w:val="22"/>
          <w:lang w:val="sk-SK"/>
        </w:rPr>
        <w:t xml:space="preserve"> deriváty</w:t>
      </w:r>
    </w:p>
    <w:p w14:paraId="10F2B7F9" w14:textId="77777777" w:rsidR="008A742D" w:rsidRDefault="008A742D">
      <w:pPr>
        <w:tabs>
          <w:tab w:val="left" w:pos="2835"/>
        </w:tabs>
        <w:rPr>
          <w:szCs w:val="22"/>
          <w:lang w:val="sk-SK"/>
        </w:rPr>
      </w:pPr>
      <w:r>
        <w:rPr>
          <w:szCs w:val="22"/>
          <w:lang w:val="sk-SK"/>
        </w:rPr>
        <w:t>ATC</w:t>
      </w:r>
      <w:r w:rsidR="0025656B">
        <w:rPr>
          <w:szCs w:val="22"/>
          <w:lang w:val="sk-SK"/>
        </w:rPr>
        <w:t xml:space="preserve"> </w:t>
      </w:r>
      <w:r>
        <w:rPr>
          <w:szCs w:val="22"/>
          <w:lang w:val="sk-SK"/>
        </w:rPr>
        <w:t>kód:</w:t>
      </w:r>
      <w:r>
        <w:rPr>
          <w:szCs w:val="22"/>
          <w:lang w:val="sk-SK"/>
        </w:rPr>
        <w:tab/>
        <w:t>J01XD01</w:t>
      </w:r>
    </w:p>
    <w:p w14:paraId="4A88964F" w14:textId="77777777" w:rsidR="008A742D" w:rsidRDefault="008A742D">
      <w:pPr>
        <w:rPr>
          <w:i/>
          <w:szCs w:val="22"/>
          <w:lang w:val="sk-SK"/>
        </w:rPr>
      </w:pPr>
    </w:p>
    <w:p w14:paraId="74FB4025" w14:textId="77777777"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Mechanizmus účinku</w:t>
      </w:r>
    </w:p>
    <w:p w14:paraId="65D8B769" w14:textId="07F6B339" w:rsidR="008A742D" w:rsidRDefault="008A742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je sám o sebe neúčinný. Je to stabilná zlúčenina, ktorá dokáže preniknúť do mikroorganizmov. V anaeróbnych podmienkach sa pomocou mikrobiálnej </w:t>
      </w:r>
      <w:proofErr w:type="spellStart"/>
      <w:r>
        <w:rPr>
          <w:szCs w:val="22"/>
          <w:lang w:val="sk-SK"/>
        </w:rPr>
        <w:t>pyruvát-ferredoxín-oxidoreduktázy</w:t>
      </w:r>
      <w:proofErr w:type="spellEnd"/>
      <w:r>
        <w:rPr>
          <w:szCs w:val="22"/>
          <w:lang w:val="sk-SK"/>
        </w:rPr>
        <w:t xml:space="preserve"> tvoria z 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nitrózové</w:t>
      </w:r>
      <w:proofErr w:type="spellEnd"/>
      <w:r>
        <w:rPr>
          <w:szCs w:val="22"/>
          <w:lang w:val="sk-SK"/>
        </w:rPr>
        <w:t xml:space="preserve"> radikály, ktoré pôsobia na DNA mikroorganizmu, pričom dochádza k oxidácii </w:t>
      </w:r>
      <w:proofErr w:type="spellStart"/>
      <w:r>
        <w:rPr>
          <w:szCs w:val="22"/>
          <w:lang w:val="sk-SK"/>
        </w:rPr>
        <w:t>ferredoxínu</w:t>
      </w:r>
      <w:proofErr w:type="spellEnd"/>
      <w:r>
        <w:rPr>
          <w:szCs w:val="22"/>
          <w:lang w:val="sk-SK"/>
        </w:rPr>
        <w:t xml:space="preserve"> a </w:t>
      </w:r>
      <w:proofErr w:type="spellStart"/>
      <w:r>
        <w:rPr>
          <w:szCs w:val="22"/>
          <w:lang w:val="sk-SK"/>
        </w:rPr>
        <w:t>flavodoxínu</w:t>
      </w:r>
      <w:proofErr w:type="spellEnd"/>
      <w:r>
        <w:rPr>
          <w:szCs w:val="22"/>
          <w:lang w:val="sk-SK"/>
        </w:rPr>
        <w:t xml:space="preserve">. </w:t>
      </w:r>
      <w:proofErr w:type="spellStart"/>
      <w:r>
        <w:rPr>
          <w:szCs w:val="22"/>
          <w:lang w:val="sk-SK"/>
        </w:rPr>
        <w:t>Nitrózové</w:t>
      </w:r>
      <w:proofErr w:type="spellEnd"/>
      <w:r>
        <w:rPr>
          <w:szCs w:val="22"/>
          <w:lang w:val="sk-SK"/>
        </w:rPr>
        <w:t xml:space="preserve"> radikály tvoria spoje (</w:t>
      </w:r>
      <w:proofErr w:type="spellStart"/>
      <w:r>
        <w:rPr>
          <w:szCs w:val="22"/>
          <w:lang w:val="sk-SK"/>
        </w:rPr>
        <w:t>adukty</w:t>
      </w:r>
      <w:proofErr w:type="spellEnd"/>
      <w:r>
        <w:rPr>
          <w:szCs w:val="22"/>
          <w:lang w:val="sk-SK"/>
        </w:rPr>
        <w:t>) s pármi báz DNA, čo vedie k narušeniu reťazca DNA a následne k bunkovej smrti.</w:t>
      </w:r>
    </w:p>
    <w:p w14:paraId="46012D9B" w14:textId="77777777" w:rsidR="008A742D" w:rsidRDefault="008A742D">
      <w:pPr>
        <w:rPr>
          <w:i/>
          <w:szCs w:val="22"/>
          <w:lang w:val="sk-SK"/>
        </w:rPr>
      </w:pPr>
    </w:p>
    <w:p w14:paraId="363F73D1" w14:textId="77777777" w:rsidR="008A742D" w:rsidRDefault="008A742D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 xml:space="preserve">Vzťah </w:t>
      </w:r>
      <w:r>
        <w:rPr>
          <w:bCs/>
          <w:i/>
          <w:szCs w:val="22"/>
          <w:lang w:val="sk-SK"/>
        </w:rPr>
        <w:t xml:space="preserve">medzi </w:t>
      </w:r>
      <w:proofErr w:type="spellStart"/>
      <w:r>
        <w:rPr>
          <w:bCs/>
          <w:i/>
          <w:szCs w:val="22"/>
          <w:lang w:val="sk-SK"/>
        </w:rPr>
        <w:t>farmakokinetikou</w:t>
      </w:r>
      <w:proofErr w:type="spellEnd"/>
      <w:r>
        <w:rPr>
          <w:bCs/>
          <w:i/>
          <w:szCs w:val="22"/>
          <w:lang w:val="sk-SK"/>
        </w:rPr>
        <w:t xml:space="preserve"> a </w:t>
      </w:r>
      <w:proofErr w:type="spellStart"/>
      <w:r>
        <w:rPr>
          <w:bCs/>
          <w:i/>
          <w:szCs w:val="22"/>
          <w:lang w:val="sk-SK"/>
        </w:rPr>
        <w:t>farmakodynamikou</w:t>
      </w:r>
      <w:proofErr w:type="spellEnd"/>
      <w:r>
        <w:rPr>
          <w:bCs/>
          <w:i/>
          <w:szCs w:val="22"/>
          <w:lang w:val="sk-SK"/>
        </w:rPr>
        <w:t xml:space="preserve"> (FK/FD)</w:t>
      </w:r>
    </w:p>
    <w:p w14:paraId="3B4AF0F8" w14:textId="77777777" w:rsidR="008A742D" w:rsidRDefault="008A742D">
      <w:pPr>
        <w:rPr>
          <w:color w:val="000000"/>
          <w:szCs w:val="22"/>
          <w:lang w:val="sk-SK"/>
        </w:rPr>
      </w:pPr>
      <w:r>
        <w:rPr>
          <w:szCs w:val="22"/>
          <w:lang w:val="sk-SK"/>
        </w:rPr>
        <w:t xml:space="preserve">Účinnosť 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 závisí najmä od pomeru maximálnej sérovej koncentrácie (</w:t>
      </w:r>
      <w:proofErr w:type="spellStart"/>
      <w:r>
        <w:rPr>
          <w:szCs w:val="22"/>
          <w:lang w:val="sk-SK"/>
        </w:rPr>
        <w:t>c</w:t>
      </w:r>
      <w:r>
        <w:rPr>
          <w:szCs w:val="22"/>
          <w:vertAlign w:val="subscript"/>
          <w:lang w:val="sk-SK"/>
        </w:rPr>
        <w:t>max</w:t>
      </w:r>
      <w:proofErr w:type="spellEnd"/>
      <w:r>
        <w:rPr>
          <w:szCs w:val="22"/>
          <w:lang w:val="sk-SK"/>
        </w:rPr>
        <w:t>) a minimálnej inhibičnej koncentrácie (MIC) pre daný mikroorganizmus.</w:t>
      </w:r>
    </w:p>
    <w:p w14:paraId="450B1DFB" w14:textId="77777777" w:rsidR="008A742D" w:rsidRDefault="008A742D">
      <w:pPr>
        <w:rPr>
          <w:i/>
          <w:szCs w:val="22"/>
          <w:lang w:val="sk-SK"/>
        </w:rPr>
      </w:pPr>
    </w:p>
    <w:p w14:paraId="5689EF63" w14:textId="77777777"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Hraničné hodnoty (</w:t>
      </w:r>
      <w:proofErr w:type="spellStart"/>
      <w:r>
        <w:rPr>
          <w:i/>
          <w:szCs w:val="22"/>
          <w:lang w:val="sk-SK"/>
        </w:rPr>
        <w:t>Breakpoints</w:t>
      </w:r>
      <w:proofErr w:type="spellEnd"/>
      <w:r>
        <w:rPr>
          <w:i/>
          <w:szCs w:val="22"/>
          <w:lang w:val="sk-SK"/>
        </w:rPr>
        <w:t>)</w:t>
      </w:r>
    </w:p>
    <w:p w14:paraId="04B19491" w14:textId="77777777" w:rsidR="008A742D" w:rsidRDefault="008A742D">
      <w:pPr>
        <w:rPr>
          <w:color w:val="000000"/>
          <w:szCs w:val="22"/>
          <w:lang w:val="sk-SK"/>
        </w:rPr>
      </w:pPr>
      <w:r>
        <w:rPr>
          <w:szCs w:val="22"/>
          <w:lang w:val="sk-SK"/>
        </w:rPr>
        <w:t xml:space="preserve">Pri testovaní 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 sa používajú obvyklé série riedení. Bola stanovená nasledujúca minimálna inhibičná koncentrácia na rozlíšenie citlivých mikroorganizmov od rezistentných: </w:t>
      </w:r>
    </w:p>
    <w:p w14:paraId="2B9D2BDC" w14:textId="77777777" w:rsidR="008A742D" w:rsidRDefault="008A742D">
      <w:pPr>
        <w:rPr>
          <w:iCs/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Hraničné hodnoty EUCAST </w:t>
      </w:r>
      <w:r>
        <w:rPr>
          <w:rFonts w:ascii="TimesNewRoman,Italic" w:hAnsi="TimesNewRoman,Italic" w:cs="TimesNewRoman,Italic"/>
          <w:iCs/>
          <w:color w:val="000000"/>
          <w:szCs w:val="22"/>
          <w:lang w:val="sk-SK"/>
        </w:rPr>
        <w:t xml:space="preserve">(Európsky výbor na testovanie </w:t>
      </w:r>
      <w:proofErr w:type="spellStart"/>
      <w:r>
        <w:rPr>
          <w:rFonts w:ascii="TimesNewRoman,Italic" w:hAnsi="TimesNewRoman,Italic" w:cs="TimesNewRoman,Italic"/>
          <w:iCs/>
          <w:color w:val="000000"/>
          <w:szCs w:val="22"/>
          <w:lang w:val="sk-SK"/>
        </w:rPr>
        <w:t>antimikrobiálnej</w:t>
      </w:r>
      <w:proofErr w:type="spellEnd"/>
      <w:r>
        <w:rPr>
          <w:rFonts w:ascii="TimesNewRoman,Italic" w:hAnsi="TimesNewRoman,Italic" w:cs="TimesNewRoman,Italic"/>
          <w:iCs/>
          <w:color w:val="000000"/>
          <w:szCs w:val="22"/>
          <w:lang w:val="sk-SK"/>
        </w:rPr>
        <w:t xml:space="preserve"> citlivosti)</w:t>
      </w:r>
      <w:r>
        <w:rPr>
          <w:iCs/>
          <w:color w:val="000000"/>
          <w:szCs w:val="22"/>
          <w:lang w:val="sk-SK"/>
        </w:rPr>
        <w:t xml:space="preserve"> odlišujúce citlivé (C) od rezistentných organizmov (R) sú nasledovné:</w:t>
      </w:r>
    </w:p>
    <w:p w14:paraId="47A85EB4" w14:textId="77777777" w:rsidR="008A742D" w:rsidRDefault="008A742D">
      <w:pPr>
        <w:keepNext/>
        <w:rPr>
          <w:szCs w:val="22"/>
          <w:lang w:val="sk-SK"/>
        </w:rPr>
      </w:pPr>
    </w:p>
    <w:p w14:paraId="2145F9AE" w14:textId="77777777" w:rsidR="008A742D" w:rsidRDefault="008A742D">
      <w:pPr>
        <w:keepNext/>
        <w:rPr>
          <w:szCs w:val="22"/>
          <w:lang w:val="sk-SK"/>
        </w:rPr>
      </w:pPr>
      <w:proofErr w:type="spellStart"/>
      <w:r>
        <w:rPr>
          <w:szCs w:val="22"/>
          <w:lang w:val="sk-SK"/>
        </w:rPr>
        <w:t>Grampozitívne</w:t>
      </w:r>
      <w:proofErr w:type="spellEnd"/>
      <w:r>
        <w:rPr>
          <w:szCs w:val="22"/>
          <w:lang w:val="sk-SK"/>
        </w:rPr>
        <w:t xml:space="preserve"> anaeróby (C ≤ 4 mg/l, R &gt; 4 mg/l)</w:t>
      </w:r>
    </w:p>
    <w:p w14:paraId="14885D55" w14:textId="77777777" w:rsidR="008A742D" w:rsidRDefault="008A742D">
      <w:pPr>
        <w:keepNext/>
        <w:rPr>
          <w:szCs w:val="22"/>
          <w:lang w:val="sk-SK"/>
        </w:rPr>
      </w:pPr>
      <w:proofErr w:type="spellStart"/>
      <w:r>
        <w:rPr>
          <w:szCs w:val="22"/>
          <w:lang w:val="sk-SK"/>
        </w:rPr>
        <w:t>Gramnegatívne</w:t>
      </w:r>
      <w:proofErr w:type="spellEnd"/>
      <w:r>
        <w:rPr>
          <w:szCs w:val="22"/>
          <w:lang w:val="sk-SK"/>
        </w:rPr>
        <w:t xml:space="preserve"> anaeróby (C ≤ 4 mg/l, R &gt; 4 mg/l)</w:t>
      </w:r>
    </w:p>
    <w:p w14:paraId="4E71468B" w14:textId="77777777" w:rsidR="008A742D" w:rsidRDefault="008A742D">
      <w:pPr>
        <w:keepNext/>
        <w:rPr>
          <w:szCs w:val="22"/>
          <w:lang w:val="sk-SK"/>
        </w:rPr>
      </w:pPr>
    </w:p>
    <w:p w14:paraId="6AAC12F8" w14:textId="77777777" w:rsidR="008A742D" w:rsidRDefault="008A742D">
      <w:pPr>
        <w:keepNext/>
        <w:rPr>
          <w:szCs w:val="22"/>
          <w:lang w:val="sk-SK"/>
        </w:rPr>
      </w:pPr>
      <w:r>
        <w:rPr>
          <w:i/>
          <w:szCs w:val="22"/>
          <w:lang w:val="sk-SK"/>
        </w:rPr>
        <w:t>Zoznam citlivých a rezistentných organizmov</w:t>
      </w:r>
      <w:r>
        <w:rPr>
          <w:i/>
          <w:iCs/>
          <w:szCs w:val="22"/>
          <w:lang w:val="sk-SK"/>
        </w:rPr>
        <w:t xml:space="preserve"> </w:t>
      </w:r>
    </w:p>
    <w:p w14:paraId="66609114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Zdroj: </w:t>
      </w:r>
      <w:proofErr w:type="spellStart"/>
      <w:r>
        <w:rPr>
          <w:szCs w:val="22"/>
          <w:lang w:val="sk-SK"/>
        </w:rPr>
        <w:t>Zentralstelle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für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die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Auswertung</w:t>
      </w:r>
      <w:proofErr w:type="spellEnd"/>
      <w:r>
        <w:rPr>
          <w:szCs w:val="22"/>
          <w:lang w:val="sk-SK"/>
        </w:rPr>
        <w:t xml:space="preserve"> von </w:t>
      </w:r>
      <w:proofErr w:type="spellStart"/>
      <w:r>
        <w:rPr>
          <w:szCs w:val="22"/>
          <w:lang w:val="sk-SK"/>
        </w:rPr>
        <w:t>Resistenzdaten</w:t>
      </w:r>
      <w:proofErr w:type="spellEnd"/>
      <w:r>
        <w:rPr>
          <w:szCs w:val="22"/>
          <w:lang w:val="sk-SK"/>
        </w:rPr>
        <w:t xml:space="preserve"> (Z.A.R.S.) </w:t>
      </w:r>
      <w:proofErr w:type="spellStart"/>
      <w:r>
        <w:rPr>
          <w:szCs w:val="22"/>
          <w:lang w:val="sk-SK"/>
        </w:rPr>
        <w:t>bei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systemisch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wirkenden</w:t>
      </w:r>
      <w:proofErr w:type="spellEnd"/>
      <w:r>
        <w:rPr>
          <w:szCs w:val="22"/>
          <w:lang w:val="sk-SK"/>
        </w:rPr>
        <w:t xml:space="preserve"> Antibiotika, Nemecko, január 2011:</w:t>
      </w:r>
    </w:p>
    <w:p w14:paraId="21AA9611" w14:textId="77777777" w:rsidR="006D1E78" w:rsidRDefault="006D1E78">
      <w:pPr>
        <w:rPr>
          <w:szCs w:val="22"/>
          <w:lang w:val="sk-SK"/>
        </w:rPr>
      </w:pPr>
    </w:p>
    <w:tbl>
      <w:tblPr>
        <w:tblW w:w="6169" w:type="dxa"/>
        <w:tblInd w:w="709" w:type="dxa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6169"/>
      </w:tblGrid>
      <w:tr w:rsidR="008A742D" w14:paraId="7F74E1C8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BCFF0" w14:textId="77777777" w:rsidR="008A742D" w:rsidRDefault="008A742D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lang w:val="sk-SK"/>
              </w:rPr>
              <w:t>Obvykle citlivé druhy</w:t>
            </w:r>
          </w:p>
        </w:tc>
      </w:tr>
      <w:tr w:rsidR="008A742D" w14:paraId="1533D96A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6AD51" w14:textId="77777777" w:rsidR="008A742D" w:rsidRDefault="008A742D">
            <w:pPr>
              <w:ind w:left="284"/>
              <w:rPr>
                <w:b/>
                <w:bCs/>
                <w:i/>
                <w:szCs w:val="22"/>
                <w:lang w:val="sk-SK"/>
              </w:rPr>
            </w:pPr>
            <w:r>
              <w:rPr>
                <w:b/>
                <w:bCs/>
                <w:i/>
                <w:szCs w:val="22"/>
                <w:lang w:val="sk-SK"/>
              </w:rPr>
              <w:t>Anaeróby</w:t>
            </w:r>
          </w:p>
        </w:tc>
      </w:tr>
      <w:tr w:rsidR="008A742D" w14:paraId="09015BAD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87AF3" w14:textId="77777777"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Bacteroides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fragilis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8A742D" w14:paraId="2BBEF937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6B373" w14:textId="77777777" w:rsidR="008A742D" w:rsidRDefault="008A742D">
            <w:pPr>
              <w:ind w:left="709"/>
              <w:rPr>
                <w:b/>
                <w:bCs/>
                <w:i/>
                <w:szCs w:val="22"/>
                <w:lang w:val="sk-SK"/>
              </w:rPr>
            </w:pPr>
            <w:proofErr w:type="spellStart"/>
            <w:r>
              <w:rPr>
                <w:i/>
                <w:iCs/>
                <w:szCs w:val="22"/>
                <w:lang w:val="sk-SK"/>
              </w:rPr>
              <w:t>Clostridium</w:t>
            </w:r>
            <w:proofErr w:type="spellEnd"/>
            <w:r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>
              <w:rPr>
                <w:i/>
                <w:iCs/>
                <w:szCs w:val="22"/>
                <w:lang w:val="sk-SK"/>
              </w:rPr>
              <w:t>difficile</w:t>
            </w:r>
            <w:proofErr w:type="spellEnd"/>
            <w:r>
              <w:rPr>
                <w:iCs/>
                <w:szCs w:val="22"/>
                <w:lang w:val="sk-SK"/>
              </w:rPr>
              <w:t xml:space="preserve">° </w:t>
            </w:r>
          </w:p>
        </w:tc>
      </w:tr>
      <w:tr w:rsidR="008A742D" w14:paraId="2DEE3997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B782D" w14:textId="77777777"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Clostridium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perfringens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°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  <w:t>∆</w:t>
            </w:r>
          </w:p>
        </w:tc>
      </w:tr>
      <w:tr w:rsidR="008A742D" w14:paraId="32C22BC7" w14:textId="77777777" w:rsidTr="00000913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432EB" w14:textId="77777777"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Fusobacterium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spp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.° </w:t>
            </w:r>
          </w:p>
        </w:tc>
      </w:tr>
      <w:tr w:rsidR="008A742D" w14:paraId="14ACB2CC" w14:textId="77777777" w:rsidTr="00000913">
        <w:tc>
          <w:tcPr>
            <w:tcW w:w="61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E1632EE" w14:textId="77777777"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Peptoniphilus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spp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.°</w:t>
            </w:r>
          </w:p>
        </w:tc>
      </w:tr>
      <w:tr w:rsidR="008A742D" w14:paraId="730C11C5" w14:textId="77777777" w:rsidTr="00000913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409E3" w14:textId="77777777"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Peptostreptococcus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spp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.° </w:t>
            </w:r>
          </w:p>
        </w:tc>
      </w:tr>
      <w:tr w:rsidR="008A742D" w14:paraId="314210B4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29745" w14:textId="77777777"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Porphyromonas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spp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.° </w:t>
            </w:r>
          </w:p>
        </w:tc>
      </w:tr>
      <w:tr w:rsidR="008A742D" w14:paraId="412CA708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78CAD" w14:textId="77777777"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Prevotella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spp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. </w:t>
            </w:r>
          </w:p>
        </w:tc>
      </w:tr>
      <w:tr w:rsidR="008A742D" w14:paraId="434036B8" w14:textId="77777777">
        <w:trPr>
          <w:trHeight w:val="50"/>
        </w:trPr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0C41B" w14:textId="77777777"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Veillonella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>spp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.° </w:t>
            </w:r>
          </w:p>
        </w:tc>
      </w:tr>
      <w:tr w:rsidR="008A742D" w14:paraId="79AABBC9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014CD" w14:textId="77777777" w:rsidR="008A742D" w:rsidRDefault="008A742D">
            <w:pPr>
              <w:pStyle w:val="Default"/>
              <w:ind w:left="28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sk-SK"/>
              </w:rPr>
              <w:t>Iné mikroorganizmy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sk-SK"/>
              </w:rPr>
              <w:t xml:space="preserve"> </w:t>
            </w:r>
          </w:p>
        </w:tc>
      </w:tr>
      <w:tr w:rsidR="008A742D" w14:paraId="75817463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2FA85" w14:textId="77777777"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Entamoeba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histolytica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° </w:t>
            </w:r>
          </w:p>
        </w:tc>
      </w:tr>
      <w:tr w:rsidR="008A742D" w14:paraId="789DA588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B0363" w14:textId="77777777"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Gardnerella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vaginalis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° </w:t>
            </w:r>
          </w:p>
        </w:tc>
      </w:tr>
      <w:tr w:rsidR="008A742D" w14:paraId="1D0E2A3E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457EE" w14:textId="77777777" w:rsidR="008A742D" w:rsidRDefault="008A742D">
            <w:pPr>
              <w:ind w:left="709"/>
              <w:rPr>
                <w:b/>
                <w:bCs/>
                <w:i/>
                <w:szCs w:val="22"/>
                <w:lang w:val="sk-SK"/>
              </w:rPr>
            </w:pPr>
            <w:proofErr w:type="spellStart"/>
            <w:r>
              <w:rPr>
                <w:i/>
                <w:iCs/>
                <w:szCs w:val="22"/>
                <w:lang w:val="sk-SK"/>
              </w:rPr>
              <w:t>Giardia</w:t>
            </w:r>
            <w:proofErr w:type="spellEnd"/>
            <w:r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>
              <w:rPr>
                <w:i/>
                <w:iCs/>
                <w:szCs w:val="22"/>
                <w:lang w:val="sk-SK"/>
              </w:rPr>
              <w:t>lamblia</w:t>
            </w:r>
            <w:proofErr w:type="spellEnd"/>
            <w:r>
              <w:rPr>
                <w:i/>
                <w:iCs/>
                <w:szCs w:val="22"/>
                <w:lang w:val="sk-SK"/>
              </w:rPr>
              <w:t>°</w:t>
            </w:r>
            <w:r>
              <w:rPr>
                <w:iCs/>
                <w:szCs w:val="22"/>
                <w:lang w:val="sk-SK"/>
              </w:rPr>
              <w:t xml:space="preserve"> </w:t>
            </w:r>
          </w:p>
        </w:tc>
      </w:tr>
      <w:tr w:rsidR="008A742D" w14:paraId="52A25D5E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774BC3" w14:textId="77777777"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Trichomonas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vaginalis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  <w:lang w:val="sk-SK"/>
              </w:rPr>
              <w:t xml:space="preserve">° </w:t>
            </w:r>
          </w:p>
        </w:tc>
      </w:tr>
      <w:tr w:rsidR="008A742D" w14:paraId="174EAB70" w14:textId="77777777"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4BDB5" w14:textId="77777777"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 w:rsidR="008A742D" w14:paraId="4C793D51" w14:textId="77777777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A3A1" w14:textId="77777777" w:rsidR="008A742D" w:rsidRDefault="008A742D">
            <w:pPr>
              <w:pStyle w:val="Default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lang w:val="sk-SK"/>
              </w:rPr>
              <w:t>Druhy, u ktorých môže byť problémom získaná rezistencia</w:t>
            </w:r>
          </w:p>
        </w:tc>
      </w:tr>
      <w:tr w:rsidR="008A742D" w14:paraId="38157A55" w14:textId="77777777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232207E" w14:textId="77777777" w:rsidR="008A742D" w:rsidRDefault="008A742D">
            <w:pPr>
              <w:ind w:left="284"/>
              <w:rPr>
                <w:szCs w:val="22"/>
                <w:lang w:val="sk-SK"/>
              </w:rPr>
            </w:pPr>
            <w:proofErr w:type="spellStart"/>
            <w:r>
              <w:rPr>
                <w:b/>
                <w:bCs/>
                <w:i/>
                <w:szCs w:val="22"/>
                <w:lang w:val="sk-SK"/>
              </w:rPr>
              <w:lastRenderedPageBreak/>
              <w:t>Gramnegatívne</w:t>
            </w:r>
            <w:proofErr w:type="spellEnd"/>
            <w:r>
              <w:rPr>
                <w:b/>
                <w:bCs/>
                <w:i/>
                <w:szCs w:val="22"/>
                <w:lang w:val="sk-SK"/>
              </w:rPr>
              <w:t xml:space="preserve"> </w:t>
            </w:r>
            <w:proofErr w:type="spellStart"/>
            <w:r>
              <w:rPr>
                <w:b/>
                <w:bCs/>
                <w:i/>
                <w:szCs w:val="22"/>
                <w:lang w:val="sk-SK"/>
              </w:rPr>
              <w:t>aeróby</w:t>
            </w:r>
            <w:proofErr w:type="spellEnd"/>
          </w:p>
        </w:tc>
      </w:tr>
      <w:tr w:rsidR="008A742D" w14:paraId="2B24FB51" w14:textId="77777777"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02F2AF" w14:textId="77777777" w:rsidR="008A742D" w:rsidRDefault="008A742D">
            <w:pPr>
              <w:pStyle w:val="Default"/>
              <w:ind w:left="709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Helicobacter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pylori</w:t>
            </w:r>
            <w:proofErr w:type="spellEnd"/>
          </w:p>
        </w:tc>
      </w:tr>
      <w:tr w:rsidR="008A742D" w14:paraId="1959322A" w14:textId="77777777"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A20CD" w14:textId="77777777" w:rsidR="008A742D" w:rsidRDefault="008A742D">
            <w:pPr>
              <w:ind w:left="284"/>
              <w:rPr>
                <w:b/>
                <w:bCs/>
                <w:i/>
                <w:szCs w:val="22"/>
                <w:lang w:val="sk-SK"/>
              </w:rPr>
            </w:pPr>
          </w:p>
        </w:tc>
      </w:tr>
      <w:tr w:rsidR="008A742D" w14:paraId="542549E7" w14:textId="77777777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38FF" w14:textId="77777777" w:rsidR="008A742D" w:rsidRDefault="008A742D">
            <w:pPr>
              <w:pStyle w:val="Default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Inherentne rezistentné organizmy</w:t>
            </w:r>
          </w:p>
        </w:tc>
      </w:tr>
      <w:tr w:rsidR="008A742D" w14:paraId="1A22E346" w14:textId="77777777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16C2" w14:textId="77777777" w:rsidR="008A742D" w:rsidRDefault="008A742D">
            <w:pPr>
              <w:ind w:left="709"/>
              <w:rPr>
                <w:i/>
                <w:szCs w:val="22"/>
                <w:lang w:val="sk-SK"/>
              </w:rPr>
            </w:pPr>
            <w:r>
              <w:rPr>
                <w:i/>
                <w:lang w:val="sk-SK"/>
              </w:rPr>
              <w:t xml:space="preserve">Všetky obligátne </w:t>
            </w:r>
            <w:proofErr w:type="spellStart"/>
            <w:r>
              <w:rPr>
                <w:i/>
                <w:lang w:val="sk-SK"/>
              </w:rPr>
              <w:t>aeróby</w:t>
            </w:r>
            <w:proofErr w:type="spellEnd"/>
            <w:r>
              <w:rPr>
                <w:i/>
                <w:lang w:val="sk-SK"/>
              </w:rPr>
              <w:t xml:space="preserve"> </w:t>
            </w:r>
          </w:p>
        </w:tc>
      </w:tr>
      <w:tr w:rsidR="008A742D" w14:paraId="0BD071C1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C341" w14:textId="77777777" w:rsidR="008A742D" w:rsidRDefault="008A742D">
            <w:pPr>
              <w:ind w:left="287"/>
              <w:rPr>
                <w:b/>
                <w:bCs/>
                <w:szCs w:val="22"/>
                <w:lang w:val="sk-SK"/>
              </w:rPr>
            </w:pPr>
            <w:proofErr w:type="spellStart"/>
            <w:r>
              <w:rPr>
                <w:b/>
                <w:bCs/>
                <w:i/>
                <w:szCs w:val="22"/>
                <w:lang w:val="sk-SK"/>
              </w:rPr>
              <w:t>Grampozitívne</w:t>
            </w:r>
            <w:proofErr w:type="spellEnd"/>
            <w:r>
              <w:rPr>
                <w:b/>
                <w:bCs/>
                <w:i/>
                <w:szCs w:val="22"/>
                <w:lang w:val="sk-SK"/>
              </w:rPr>
              <w:t xml:space="preserve"> mikroorganizmy</w:t>
            </w:r>
          </w:p>
        </w:tc>
      </w:tr>
      <w:tr w:rsidR="008A742D" w14:paraId="1EAD1D25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A41F" w14:textId="77777777" w:rsidR="008A742D" w:rsidRDefault="008A742D">
            <w:pPr>
              <w:ind w:left="712"/>
              <w:rPr>
                <w:b/>
                <w:bCs/>
                <w:i/>
                <w:szCs w:val="22"/>
                <w:lang w:val="sk-SK"/>
              </w:rPr>
            </w:pPr>
            <w:proofErr w:type="spellStart"/>
            <w:r>
              <w:rPr>
                <w:i/>
                <w:iCs/>
                <w:szCs w:val="22"/>
                <w:lang w:val="sk-SK"/>
              </w:rPr>
              <w:t>Enterococcus</w:t>
            </w:r>
            <w:proofErr w:type="spellEnd"/>
            <w:r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>
              <w:rPr>
                <w:iCs/>
                <w:szCs w:val="22"/>
                <w:lang w:val="sk-SK"/>
              </w:rPr>
              <w:t>spp</w:t>
            </w:r>
            <w:proofErr w:type="spellEnd"/>
            <w:r>
              <w:rPr>
                <w:iCs/>
                <w:szCs w:val="22"/>
                <w:lang w:val="sk-SK"/>
              </w:rPr>
              <w:t>.</w:t>
            </w:r>
          </w:p>
        </w:tc>
      </w:tr>
      <w:tr w:rsidR="008A742D" w14:paraId="2E142BA3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CCC9" w14:textId="77777777" w:rsidR="008A742D" w:rsidRDefault="008A742D">
            <w:pPr>
              <w:ind w:left="712"/>
              <w:rPr>
                <w:i/>
                <w:iCs/>
                <w:szCs w:val="22"/>
                <w:lang w:val="sk-SK"/>
              </w:rPr>
            </w:pPr>
            <w:proofErr w:type="spellStart"/>
            <w:r>
              <w:rPr>
                <w:i/>
                <w:iCs/>
                <w:szCs w:val="22"/>
                <w:lang w:val="sk-SK"/>
              </w:rPr>
              <w:t>Staphylococcus</w:t>
            </w:r>
            <w:proofErr w:type="spellEnd"/>
            <w:r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>
              <w:rPr>
                <w:iCs/>
                <w:szCs w:val="22"/>
                <w:lang w:val="sk-SK"/>
              </w:rPr>
              <w:t>spp</w:t>
            </w:r>
            <w:proofErr w:type="spellEnd"/>
            <w:r>
              <w:rPr>
                <w:i/>
                <w:iCs/>
                <w:szCs w:val="22"/>
                <w:lang w:val="sk-SK"/>
              </w:rPr>
              <w:t>.</w:t>
            </w:r>
          </w:p>
        </w:tc>
      </w:tr>
      <w:tr w:rsidR="008A742D" w14:paraId="26C3F83E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E65A" w14:textId="77777777" w:rsidR="008A742D" w:rsidRDefault="008A742D">
            <w:pPr>
              <w:ind w:left="712"/>
              <w:rPr>
                <w:i/>
                <w:iCs/>
                <w:szCs w:val="22"/>
                <w:lang w:val="sk-SK"/>
              </w:rPr>
            </w:pPr>
            <w:proofErr w:type="spellStart"/>
            <w:r>
              <w:rPr>
                <w:i/>
                <w:iCs/>
                <w:szCs w:val="22"/>
                <w:lang w:val="sk-SK"/>
              </w:rPr>
              <w:t>Streptococcus</w:t>
            </w:r>
            <w:proofErr w:type="spellEnd"/>
            <w:r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>
              <w:rPr>
                <w:iCs/>
                <w:szCs w:val="22"/>
                <w:lang w:val="sk-SK"/>
              </w:rPr>
              <w:t>spp</w:t>
            </w:r>
            <w:proofErr w:type="spellEnd"/>
            <w:r>
              <w:rPr>
                <w:iCs/>
                <w:szCs w:val="22"/>
                <w:lang w:val="sk-SK"/>
              </w:rPr>
              <w:t>.</w:t>
            </w:r>
          </w:p>
        </w:tc>
      </w:tr>
      <w:tr w:rsidR="008A742D" w14:paraId="5EE9EAAF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2B6E" w14:textId="77777777" w:rsidR="008A742D" w:rsidRDefault="008A742D">
            <w:pPr>
              <w:ind w:left="284"/>
              <w:rPr>
                <w:i/>
                <w:iCs/>
                <w:szCs w:val="22"/>
                <w:lang w:val="sk-SK"/>
              </w:rPr>
            </w:pPr>
            <w:proofErr w:type="spellStart"/>
            <w:r>
              <w:rPr>
                <w:b/>
                <w:bCs/>
                <w:i/>
                <w:szCs w:val="22"/>
                <w:lang w:val="sk-SK"/>
              </w:rPr>
              <w:t>Gramnegatívne</w:t>
            </w:r>
            <w:proofErr w:type="spellEnd"/>
            <w:r>
              <w:rPr>
                <w:b/>
                <w:bCs/>
                <w:i/>
                <w:szCs w:val="22"/>
                <w:lang w:val="sk-SK"/>
              </w:rPr>
              <w:t xml:space="preserve"> mikroorganizmy</w:t>
            </w:r>
          </w:p>
        </w:tc>
      </w:tr>
      <w:tr w:rsidR="008A742D" w14:paraId="14124398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1F9A" w14:textId="77777777" w:rsidR="008A742D" w:rsidRDefault="008A742D">
            <w:pPr>
              <w:ind w:left="712"/>
              <w:rPr>
                <w:b/>
                <w:bCs/>
                <w:i/>
                <w:szCs w:val="22"/>
                <w:lang w:val="sk-SK"/>
              </w:rPr>
            </w:pPr>
            <w:proofErr w:type="spellStart"/>
            <w:r>
              <w:rPr>
                <w:i/>
                <w:iCs/>
                <w:szCs w:val="22"/>
                <w:lang w:val="sk-SK"/>
              </w:rPr>
              <w:t>Enterobacteriaceae</w:t>
            </w:r>
            <w:proofErr w:type="spellEnd"/>
          </w:p>
        </w:tc>
      </w:tr>
      <w:tr w:rsidR="008A742D" w14:paraId="7822123E" w14:textId="77777777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6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E03C" w14:textId="77777777" w:rsidR="008A742D" w:rsidRDefault="008A742D">
            <w:pPr>
              <w:ind w:left="712"/>
              <w:rPr>
                <w:i/>
                <w:iCs/>
                <w:szCs w:val="22"/>
                <w:lang w:val="sk-SK"/>
              </w:rPr>
            </w:pPr>
            <w:proofErr w:type="spellStart"/>
            <w:r>
              <w:rPr>
                <w:i/>
                <w:iCs/>
                <w:szCs w:val="22"/>
                <w:lang w:val="sk-SK"/>
              </w:rPr>
              <w:t>Haemophilus</w:t>
            </w:r>
            <w:proofErr w:type="spellEnd"/>
            <w:r>
              <w:rPr>
                <w:iCs/>
                <w:szCs w:val="22"/>
                <w:lang w:val="sk-SK"/>
              </w:rPr>
              <w:t xml:space="preserve"> </w:t>
            </w:r>
            <w:proofErr w:type="spellStart"/>
            <w:r>
              <w:rPr>
                <w:iCs/>
                <w:szCs w:val="22"/>
                <w:lang w:val="sk-SK"/>
              </w:rPr>
              <w:t>spp</w:t>
            </w:r>
            <w:proofErr w:type="spellEnd"/>
            <w:r>
              <w:rPr>
                <w:iCs/>
                <w:szCs w:val="22"/>
                <w:lang w:val="sk-SK"/>
              </w:rPr>
              <w:t>.</w:t>
            </w:r>
          </w:p>
        </w:tc>
      </w:tr>
    </w:tbl>
    <w:p w14:paraId="4E22DA6B" w14:textId="77777777" w:rsidR="008A742D" w:rsidRDefault="008A742D">
      <w:pPr>
        <w:ind w:left="851" w:hanging="142"/>
        <w:rPr>
          <w:szCs w:val="22"/>
          <w:lang w:val="sk-SK"/>
        </w:rPr>
      </w:pPr>
    </w:p>
    <w:p w14:paraId="2A222B7D" w14:textId="77777777" w:rsidR="008A742D" w:rsidRDefault="008A742D">
      <w:pPr>
        <w:ind w:left="851" w:hanging="142"/>
        <w:rPr>
          <w:szCs w:val="22"/>
          <w:lang w:val="sk-SK"/>
        </w:rPr>
      </w:pPr>
      <w:r>
        <w:rPr>
          <w:szCs w:val="22"/>
          <w:lang w:val="sk-SK"/>
        </w:rPr>
        <w:t>°</w:t>
      </w:r>
      <w:r>
        <w:rPr>
          <w:szCs w:val="22"/>
          <w:lang w:val="sk-SK"/>
        </w:rPr>
        <w:tab/>
        <w:t xml:space="preserve">V čase zverejnenia tejto tabuľky neboli dostupné aktualizované údaje. V primárnej literatúre, publikovaných štandardných odkazoch a liečebných odporúčaniach je predpokladaná citlivosť príslušných uvedených kmeňov. </w:t>
      </w:r>
    </w:p>
    <w:p w14:paraId="7BEB3478" w14:textId="77777777" w:rsidR="008A742D" w:rsidRDefault="008A742D">
      <w:pPr>
        <w:ind w:left="851" w:hanging="142"/>
        <w:rPr>
          <w:szCs w:val="22"/>
          <w:lang w:val="sk-SK"/>
        </w:rPr>
      </w:pPr>
      <w:r>
        <w:rPr>
          <w:szCs w:val="22"/>
          <w:vertAlign w:val="superscript"/>
          <w:lang w:val="sk-SK"/>
        </w:rPr>
        <w:t>Δ</w:t>
      </w:r>
      <w:r>
        <w:rPr>
          <w:szCs w:val="22"/>
          <w:lang w:val="sk-SK"/>
        </w:rPr>
        <w:tab/>
        <w:t xml:space="preserve">Použitie iba u pacientov s alergiou na penicilín. </w:t>
      </w:r>
    </w:p>
    <w:p w14:paraId="0948EC8A" w14:textId="77777777" w:rsidR="008A742D" w:rsidRDefault="008A742D">
      <w:pPr>
        <w:keepNext/>
        <w:rPr>
          <w:i/>
          <w:iCs/>
          <w:szCs w:val="22"/>
          <w:lang w:val="sk-SK"/>
        </w:rPr>
      </w:pPr>
    </w:p>
    <w:p w14:paraId="4DA710DF" w14:textId="77777777" w:rsidR="008A742D" w:rsidRDefault="008A742D">
      <w:pPr>
        <w:keepNext/>
        <w:rPr>
          <w:i/>
          <w:iCs/>
          <w:szCs w:val="22"/>
          <w:lang w:val="sk-SK"/>
        </w:rPr>
      </w:pPr>
      <w:r>
        <w:rPr>
          <w:i/>
          <w:iCs/>
          <w:szCs w:val="22"/>
          <w:lang w:val="sk-SK"/>
        </w:rPr>
        <w:t xml:space="preserve">Mechanizmus rezistencie na </w:t>
      </w:r>
      <w:proofErr w:type="spellStart"/>
      <w:r>
        <w:rPr>
          <w:i/>
          <w:iCs/>
          <w:szCs w:val="22"/>
          <w:lang w:val="sk-SK"/>
        </w:rPr>
        <w:t>metronidazol</w:t>
      </w:r>
      <w:proofErr w:type="spellEnd"/>
    </w:p>
    <w:p w14:paraId="1D3F1155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Mechanizmus rezistencie na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je objasnený iba čiastočne.</w:t>
      </w:r>
    </w:p>
    <w:p w14:paraId="1788A6F3" w14:textId="77777777" w:rsidR="008A742D" w:rsidRDefault="008A742D">
      <w:pPr>
        <w:rPr>
          <w:iCs/>
          <w:color w:val="000000"/>
          <w:szCs w:val="22"/>
          <w:lang w:val="sk-SK"/>
        </w:rPr>
      </w:pPr>
      <w:r>
        <w:rPr>
          <w:szCs w:val="22"/>
          <w:lang w:val="sk-SK"/>
        </w:rPr>
        <w:t xml:space="preserve">U </w:t>
      </w:r>
      <w:r>
        <w:rPr>
          <w:i/>
          <w:szCs w:val="22"/>
          <w:lang w:val="sk-SK"/>
        </w:rPr>
        <w:t xml:space="preserve">H. </w:t>
      </w:r>
      <w:proofErr w:type="spellStart"/>
      <w:r>
        <w:rPr>
          <w:i/>
          <w:szCs w:val="22"/>
          <w:lang w:val="sk-SK"/>
        </w:rPr>
        <w:t>pylori</w:t>
      </w:r>
      <w:proofErr w:type="spellEnd"/>
      <w:r>
        <w:rPr>
          <w:i/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spôsobujú rezistenciu na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mutácie génu, ktorý kóduje </w:t>
      </w:r>
      <w:proofErr w:type="spellStart"/>
      <w:r>
        <w:rPr>
          <w:szCs w:val="22"/>
          <w:lang w:val="sk-SK"/>
        </w:rPr>
        <w:t>nitroreduktázu</w:t>
      </w:r>
      <w:proofErr w:type="spellEnd"/>
      <w:r>
        <w:rPr>
          <w:szCs w:val="22"/>
          <w:lang w:val="sk-SK"/>
        </w:rPr>
        <w:t xml:space="preserve"> NADPH. </w:t>
      </w:r>
      <w:r>
        <w:rPr>
          <w:iCs/>
          <w:color w:val="000000"/>
          <w:szCs w:val="22"/>
          <w:lang w:val="sk-SK"/>
        </w:rPr>
        <w:t xml:space="preserve">Tieto mutácie vedú k výmene aminokyselín, čo spôsobuje </w:t>
      </w:r>
      <w:proofErr w:type="spellStart"/>
      <w:r>
        <w:rPr>
          <w:iCs/>
          <w:color w:val="000000"/>
          <w:szCs w:val="22"/>
          <w:lang w:val="sk-SK"/>
        </w:rPr>
        <w:t>inaktiváciu</w:t>
      </w:r>
      <w:proofErr w:type="spellEnd"/>
      <w:r>
        <w:rPr>
          <w:iCs/>
          <w:color w:val="000000"/>
          <w:szCs w:val="22"/>
          <w:lang w:val="sk-SK"/>
        </w:rPr>
        <w:t xml:space="preserve"> enzýmu. V dôsledku toho neprebehne krok aktivácie </w:t>
      </w:r>
      <w:proofErr w:type="spellStart"/>
      <w:r>
        <w:rPr>
          <w:iCs/>
          <w:color w:val="000000"/>
          <w:szCs w:val="22"/>
          <w:lang w:val="sk-SK"/>
        </w:rPr>
        <w:t>metronidazolu</w:t>
      </w:r>
      <w:proofErr w:type="spellEnd"/>
      <w:r>
        <w:rPr>
          <w:iCs/>
          <w:color w:val="000000"/>
          <w:szCs w:val="22"/>
          <w:lang w:val="sk-SK"/>
        </w:rPr>
        <w:t xml:space="preserve"> na aktívny </w:t>
      </w:r>
      <w:proofErr w:type="spellStart"/>
      <w:r>
        <w:rPr>
          <w:iCs/>
          <w:color w:val="000000"/>
          <w:szCs w:val="22"/>
          <w:lang w:val="sk-SK"/>
        </w:rPr>
        <w:t>nitrózový</w:t>
      </w:r>
      <w:proofErr w:type="spellEnd"/>
      <w:r>
        <w:rPr>
          <w:iCs/>
          <w:color w:val="000000"/>
          <w:szCs w:val="22"/>
          <w:lang w:val="sk-SK"/>
        </w:rPr>
        <w:t xml:space="preserve"> radikál.</w:t>
      </w:r>
    </w:p>
    <w:p w14:paraId="70796D2D" w14:textId="77777777" w:rsidR="008A742D" w:rsidRDefault="008A742D">
      <w:pPr>
        <w:rPr>
          <w:iCs/>
          <w:color w:val="000000"/>
          <w:szCs w:val="22"/>
          <w:lang w:val="sk-SK"/>
        </w:rPr>
      </w:pPr>
      <w:r>
        <w:rPr>
          <w:iCs/>
          <w:color w:val="000000"/>
          <w:szCs w:val="22"/>
          <w:lang w:val="sk-SK"/>
        </w:rPr>
        <w:t xml:space="preserve">Kmene </w:t>
      </w:r>
      <w:proofErr w:type="spellStart"/>
      <w:r>
        <w:rPr>
          <w:i/>
          <w:iCs/>
          <w:color w:val="000000"/>
          <w:szCs w:val="22"/>
          <w:lang w:val="sk-SK"/>
        </w:rPr>
        <w:t>Bacteroides</w:t>
      </w:r>
      <w:proofErr w:type="spellEnd"/>
      <w:r>
        <w:rPr>
          <w:i/>
          <w:iCs/>
          <w:color w:val="000000"/>
          <w:szCs w:val="22"/>
          <w:lang w:val="sk-SK"/>
        </w:rPr>
        <w:t xml:space="preserve"> </w:t>
      </w:r>
      <w:r>
        <w:rPr>
          <w:iCs/>
          <w:color w:val="000000"/>
          <w:szCs w:val="22"/>
          <w:lang w:val="sk-SK"/>
        </w:rPr>
        <w:t xml:space="preserve">rezistentné voči </w:t>
      </w:r>
      <w:proofErr w:type="spellStart"/>
      <w:r>
        <w:rPr>
          <w:iCs/>
          <w:color w:val="000000"/>
          <w:szCs w:val="22"/>
          <w:lang w:val="sk-SK"/>
        </w:rPr>
        <w:t>metronidazolu</w:t>
      </w:r>
      <w:proofErr w:type="spellEnd"/>
      <w:r>
        <w:rPr>
          <w:iCs/>
          <w:color w:val="000000"/>
          <w:szCs w:val="22"/>
          <w:lang w:val="sk-SK"/>
        </w:rPr>
        <w:t xml:space="preserve"> disponujú génmi kódujúcimi </w:t>
      </w:r>
      <w:proofErr w:type="spellStart"/>
      <w:r>
        <w:rPr>
          <w:iCs/>
          <w:color w:val="000000"/>
          <w:szCs w:val="22"/>
          <w:lang w:val="sk-SK"/>
        </w:rPr>
        <w:t>nitroimidazolreduktázy</w:t>
      </w:r>
      <w:proofErr w:type="spellEnd"/>
      <w:r>
        <w:rPr>
          <w:iCs/>
          <w:color w:val="000000"/>
          <w:szCs w:val="22"/>
          <w:lang w:val="sk-SK"/>
        </w:rPr>
        <w:t xml:space="preserve">, ktoré konvertujú </w:t>
      </w:r>
      <w:proofErr w:type="spellStart"/>
      <w:r>
        <w:rPr>
          <w:iCs/>
          <w:color w:val="000000"/>
          <w:szCs w:val="22"/>
          <w:lang w:val="sk-SK"/>
        </w:rPr>
        <w:t>nitroimidazoly</w:t>
      </w:r>
      <w:proofErr w:type="spellEnd"/>
      <w:r>
        <w:rPr>
          <w:iCs/>
          <w:color w:val="000000"/>
          <w:szCs w:val="22"/>
          <w:lang w:val="sk-SK"/>
        </w:rPr>
        <w:t xml:space="preserve"> na </w:t>
      </w:r>
      <w:proofErr w:type="spellStart"/>
      <w:r>
        <w:rPr>
          <w:iCs/>
          <w:color w:val="000000"/>
          <w:szCs w:val="22"/>
          <w:lang w:val="sk-SK"/>
        </w:rPr>
        <w:t>aminoimidazoly</w:t>
      </w:r>
      <w:proofErr w:type="spellEnd"/>
      <w:r>
        <w:rPr>
          <w:iCs/>
          <w:color w:val="000000"/>
          <w:szCs w:val="22"/>
          <w:lang w:val="sk-SK"/>
        </w:rPr>
        <w:t xml:space="preserve">. Takto je </w:t>
      </w:r>
      <w:proofErr w:type="spellStart"/>
      <w:r>
        <w:rPr>
          <w:iCs/>
          <w:color w:val="000000"/>
          <w:szCs w:val="22"/>
          <w:lang w:val="sk-SK"/>
        </w:rPr>
        <w:t>inhibovaná</w:t>
      </w:r>
      <w:proofErr w:type="spellEnd"/>
      <w:r>
        <w:rPr>
          <w:iCs/>
          <w:color w:val="000000"/>
          <w:szCs w:val="22"/>
          <w:lang w:val="sk-SK"/>
        </w:rPr>
        <w:t xml:space="preserve"> tvorba antibakteriálne účinných </w:t>
      </w:r>
      <w:proofErr w:type="spellStart"/>
      <w:r>
        <w:rPr>
          <w:iCs/>
          <w:color w:val="000000"/>
          <w:szCs w:val="22"/>
          <w:lang w:val="sk-SK"/>
        </w:rPr>
        <w:t>nitrózových</w:t>
      </w:r>
      <w:proofErr w:type="spellEnd"/>
      <w:r>
        <w:rPr>
          <w:iCs/>
          <w:color w:val="000000"/>
          <w:szCs w:val="22"/>
          <w:lang w:val="sk-SK"/>
        </w:rPr>
        <w:t xml:space="preserve"> radikálov.</w:t>
      </w:r>
    </w:p>
    <w:p w14:paraId="7D5E3A53" w14:textId="77777777" w:rsidR="008A742D" w:rsidRDefault="008A742D">
      <w:pPr>
        <w:rPr>
          <w:iCs/>
          <w:color w:val="000000"/>
          <w:szCs w:val="22"/>
          <w:lang w:val="sk-SK"/>
        </w:rPr>
      </w:pPr>
      <w:r>
        <w:rPr>
          <w:iCs/>
          <w:color w:val="000000"/>
          <w:szCs w:val="22"/>
          <w:lang w:val="sk-SK"/>
        </w:rPr>
        <w:t xml:space="preserve">Existuje úplná krížová rezistencia medzi </w:t>
      </w:r>
      <w:proofErr w:type="spellStart"/>
      <w:r>
        <w:rPr>
          <w:iCs/>
          <w:color w:val="000000"/>
          <w:szCs w:val="22"/>
          <w:lang w:val="sk-SK"/>
        </w:rPr>
        <w:t>metronidazolom</w:t>
      </w:r>
      <w:proofErr w:type="spellEnd"/>
      <w:r>
        <w:rPr>
          <w:iCs/>
          <w:color w:val="000000"/>
          <w:szCs w:val="22"/>
          <w:lang w:val="sk-SK"/>
        </w:rPr>
        <w:t xml:space="preserve"> a inými derivátmi </w:t>
      </w:r>
      <w:proofErr w:type="spellStart"/>
      <w:r>
        <w:rPr>
          <w:iCs/>
          <w:color w:val="000000"/>
          <w:szCs w:val="22"/>
          <w:lang w:val="sk-SK"/>
        </w:rPr>
        <w:t>nitroimidazolu</w:t>
      </w:r>
      <w:proofErr w:type="spellEnd"/>
      <w:r>
        <w:rPr>
          <w:iCs/>
          <w:color w:val="000000"/>
          <w:szCs w:val="22"/>
          <w:lang w:val="sk-SK"/>
        </w:rPr>
        <w:t xml:space="preserve"> (</w:t>
      </w:r>
      <w:proofErr w:type="spellStart"/>
      <w:r>
        <w:rPr>
          <w:iCs/>
          <w:color w:val="000000"/>
          <w:szCs w:val="22"/>
          <w:lang w:val="sk-SK"/>
        </w:rPr>
        <w:t>tinidazol</w:t>
      </w:r>
      <w:proofErr w:type="spellEnd"/>
      <w:r>
        <w:rPr>
          <w:iCs/>
          <w:color w:val="000000"/>
          <w:szCs w:val="22"/>
          <w:lang w:val="sk-SK"/>
        </w:rPr>
        <w:t xml:space="preserve">, </w:t>
      </w:r>
      <w:proofErr w:type="spellStart"/>
      <w:r>
        <w:rPr>
          <w:iCs/>
          <w:color w:val="000000"/>
          <w:szCs w:val="22"/>
          <w:lang w:val="sk-SK"/>
        </w:rPr>
        <w:t>ornidazol</w:t>
      </w:r>
      <w:proofErr w:type="spellEnd"/>
      <w:r>
        <w:rPr>
          <w:iCs/>
          <w:color w:val="000000"/>
          <w:szCs w:val="22"/>
          <w:lang w:val="sk-SK"/>
        </w:rPr>
        <w:t xml:space="preserve">, </w:t>
      </w:r>
      <w:proofErr w:type="spellStart"/>
      <w:r>
        <w:rPr>
          <w:iCs/>
          <w:color w:val="000000"/>
          <w:szCs w:val="22"/>
          <w:lang w:val="sk-SK"/>
        </w:rPr>
        <w:t>nimorazol</w:t>
      </w:r>
      <w:proofErr w:type="spellEnd"/>
      <w:r>
        <w:rPr>
          <w:iCs/>
          <w:color w:val="000000"/>
          <w:szCs w:val="22"/>
          <w:lang w:val="sk-SK"/>
        </w:rPr>
        <w:t>).</w:t>
      </w:r>
    </w:p>
    <w:p w14:paraId="22F08069" w14:textId="77777777" w:rsidR="008A742D" w:rsidRDefault="008A742D">
      <w:pPr>
        <w:rPr>
          <w:iCs/>
          <w:color w:val="000000"/>
          <w:szCs w:val="22"/>
          <w:lang w:val="sk-SK"/>
        </w:rPr>
      </w:pPr>
      <w:proofErr w:type="spellStart"/>
      <w:r>
        <w:rPr>
          <w:iCs/>
          <w:color w:val="000000"/>
          <w:szCs w:val="22"/>
          <w:lang w:val="sk-SK"/>
        </w:rPr>
        <w:t>Prevalencia</w:t>
      </w:r>
      <w:proofErr w:type="spellEnd"/>
      <w:r>
        <w:rPr>
          <w:iCs/>
          <w:color w:val="000000"/>
          <w:szCs w:val="22"/>
          <w:lang w:val="sk-SK"/>
        </w:rPr>
        <w:t xml:space="preserve"> získanej rezistencie sa u jednotlivých druhov môže líšiť v závislosti od geografickej polohy a času. Z tohto dôvodu by na adekvátnu liečbu závažných infekcií mali byť k dispozícii špecifické miestne informácie ohľadom rezistencie. Ak sú pochybnosti o účinnosti </w:t>
      </w:r>
      <w:proofErr w:type="spellStart"/>
      <w:r>
        <w:rPr>
          <w:iCs/>
          <w:color w:val="000000"/>
          <w:szCs w:val="22"/>
          <w:lang w:val="sk-SK"/>
        </w:rPr>
        <w:t>metronidazolu</w:t>
      </w:r>
      <w:proofErr w:type="spellEnd"/>
      <w:r>
        <w:rPr>
          <w:iCs/>
          <w:color w:val="000000"/>
          <w:szCs w:val="22"/>
          <w:lang w:val="sk-SK"/>
        </w:rPr>
        <w:t xml:space="preserve"> z dôvodu lokálnej rezistencie, </w:t>
      </w:r>
      <w:r w:rsidRPr="007C3F4B">
        <w:rPr>
          <w:lang w:val="sk-SK"/>
        </w:rPr>
        <w:t>je potrebné sa poradiť s odborníkom</w:t>
      </w:r>
      <w:r>
        <w:rPr>
          <w:iCs/>
          <w:color w:val="000000"/>
          <w:szCs w:val="22"/>
          <w:lang w:val="sk-SK"/>
        </w:rPr>
        <w:t xml:space="preserve">. Najmä pri závažných infekciách alebo pri neúspešnej liečbe je potrebná mikrobiologická diagnóza vrátane stanovenia druhu mikroorganizmu a jeho citlivosti na </w:t>
      </w:r>
      <w:proofErr w:type="spellStart"/>
      <w:r>
        <w:rPr>
          <w:iCs/>
          <w:color w:val="000000"/>
          <w:szCs w:val="22"/>
          <w:lang w:val="sk-SK"/>
        </w:rPr>
        <w:t>metronidazol</w:t>
      </w:r>
      <w:proofErr w:type="spellEnd"/>
      <w:r>
        <w:rPr>
          <w:iCs/>
          <w:color w:val="000000"/>
          <w:szCs w:val="22"/>
          <w:lang w:val="sk-SK"/>
        </w:rPr>
        <w:t>.</w:t>
      </w:r>
    </w:p>
    <w:p w14:paraId="7F7AF22A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 </w:t>
      </w:r>
    </w:p>
    <w:p w14:paraId="2AA9340A" w14:textId="77777777"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5.2</w:t>
      </w:r>
      <w:r>
        <w:rPr>
          <w:lang w:val="sk-SK"/>
        </w:rPr>
        <w:tab/>
      </w:r>
      <w:proofErr w:type="spellStart"/>
      <w:r>
        <w:rPr>
          <w:lang w:val="sk-SK"/>
        </w:rPr>
        <w:t>Farmakokinetické</w:t>
      </w:r>
      <w:proofErr w:type="spellEnd"/>
      <w:r>
        <w:rPr>
          <w:lang w:val="sk-SK"/>
        </w:rPr>
        <w:t xml:space="preserve"> vlastnosti</w:t>
      </w:r>
    </w:p>
    <w:p w14:paraId="383E23FF" w14:textId="77777777" w:rsidR="008A742D" w:rsidRDefault="008A742D">
      <w:pPr>
        <w:pStyle w:val="Zarkazkladnhotextu"/>
        <w:ind w:left="0"/>
        <w:jc w:val="left"/>
        <w:rPr>
          <w:i/>
          <w:sz w:val="22"/>
          <w:szCs w:val="22"/>
          <w:lang w:val="sk-SK"/>
        </w:rPr>
      </w:pPr>
    </w:p>
    <w:p w14:paraId="42F7C89A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Absorpcia</w:t>
      </w:r>
    </w:p>
    <w:p w14:paraId="36D7830E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Keďže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B. </w:t>
      </w:r>
      <w:proofErr w:type="spellStart"/>
      <w:r>
        <w:rPr>
          <w:szCs w:val="22"/>
          <w:lang w:val="sk-SK"/>
        </w:rPr>
        <w:t>Braun</w:t>
      </w:r>
      <w:proofErr w:type="spellEnd"/>
      <w:r>
        <w:rPr>
          <w:szCs w:val="22"/>
          <w:lang w:val="sk-SK"/>
        </w:rPr>
        <w:t xml:space="preserve"> 5 mg/ml sa podáva intravenózne, bi</w:t>
      </w:r>
      <w:smartTag w:uri="urn:schemas-microsoft-com:office:smarttags" w:element="PersonName">
        <w:r>
          <w:rPr>
            <w:szCs w:val="22"/>
            <w:lang w:val="sk-SK"/>
          </w:rPr>
          <w:t>olo</w:t>
        </w:r>
      </w:smartTag>
      <w:r>
        <w:rPr>
          <w:szCs w:val="22"/>
          <w:lang w:val="sk-SK"/>
        </w:rPr>
        <w:t>gická dostupnosť je 100 %.</w:t>
      </w:r>
    </w:p>
    <w:p w14:paraId="04CB7207" w14:textId="77777777" w:rsidR="008A742D" w:rsidRDefault="008A742D">
      <w:pPr>
        <w:rPr>
          <w:i/>
          <w:szCs w:val="22"/>
          <w:lang w:val="sk-SK"/>
        </w:rPr>
      </w:pPr>
    </w:p>
    <w:p w14:paraId="0BE22407" w14:textId="77777777" w:rsidR="008A742D" w:rsidRDefault="008A742D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>Distribúcia</w:t>
      </w:r>
    </w:p>
    <w:p w14:paraId="7D8CDDD5" w14:textId="77777777" w:rsidR="008A742D" w:rsidRDefault="008A742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je po injekcii značne distribuovaný do tkanív. </w:t>
      </w: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preniká do väčšiny telesných tkanív a tekutín vrátane žlče, kostí, mozgového abscesu, </w:t>
      </w:r>
      <w:proofErr w:type="spellStart"/>
      <w:r>
        <w:rPr>
          <w:szCs w:val="22"/>
          <w:lang w:val="sk-SK"/>
        </w:rPr>
        <w:t>cerebrospinálnej</w:t>
      </w:r>
      <w:proofErr w:type="spellEnd"/>
      <w:r>
        <w:rPr>
          <w:szCs w:val="22"/>
          <w:lang w:val="sk-SK"/>
        </w:rPr>
        <w:t xml:space="preserve"> tekutiny, pečene, slín, semennej tekutiny a vaginálneho sekrétu a dosahuje koncentrácie podobné koncentráciám v plazme. Taktiež prechádza placentou a nachádza sa v materskom mlieku dojčiacich matiek v rovnakých koncentráciách ako v sére. Väzba na proteíny je menej než 20 % a zdanlivý distribučný objem je </w:t>
      </w:r>
      <w:smartTag w:uri="urn:schemas-microsoft-com:office:smarttags" w:element="metricconverter">
        <w:smartTagPr>
          <w:attr w:name="ProductID" w:val="36 litrov"/>
        </w:smartTagPr>
        <w:r>
          <w:rPr>
            <w:szCs w:val="22"/>
            <w:lang w:val="sk-SK"/>
          </w:rPr>
          <w:t>36 litrov</w:t>
        </w:r>
      </w:smartTag>
      <w:r>
        <w:rPr>
          <w:szCs w:val="22"/>
          <w:lang w:val="sk-SK"/>
        </w:rPr>
        <w:t>.</w:t>
      </w:r>
    </w:p>
    <w:p w14:paraId="2027248D" w14:textId="77777777" w:rsidR="008A742D" w:rsidRDefault="008A742D">
      <w:pPr>
        <w:rPr>
          <w:szCs w:val="22"/>
          <w:lang w:val="sk-SK"/>
        </w:rPr>
      </w:pPr>
    </w:p>
    <w:p w14:paraId="18B1E58E" w14:textId="77777777" w:rsidR="008A742D" w:rsidRDefault="008A742D">
      <w:pPr>
        <w:rPr>
          <w:szCs w:val="22"/>
          <w:lang w:val="sk-SK"/>
        </w:rPr>
      </w:pPr>
      <w:proofErr w:type="spellStart"/>
      <w:r>
        <w:rPr>
          <w:i/>
          <w:szCs w:val="22"/>
          <w:lang w:val="sk-SK"/>
        </w:rPr>
        <w:t>Biotransformácia</w:t>
      </w:r>
      <w:proofErr w:type="spellEnd"/>
      <w:r>
        <w:rPr>
          <w:szCs w:val="22"/>
          <w:lang w:val="sk-SK"/>
        </w:rPr>
        <w:t xml:space="preserve"> </w:t>
      </w:r>
    </w:p>
    <w:p w14:paraId="7BC03221" w14:textId="77777777" w:rsidR="008A742D" w:rsidRDefault="008A742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sa metabolizuje v pečeni oxidáciou postranného reťazca a tvorbou </w:t>
      </w:r>
      <w:proofErr w:type="spellStart"/>
      <w:r>
        <w:rPr>
          <w:szCs w:val="22"/>
          <w:lang w:val="sk-SK"/>
        </w:rPr>
        <w:t>glukuronidu</w:t>
      </w:r>
      <w:proofErr w:type="spellEnd"/>
      <w:r>
        <w:rPr>
          <w:szCs w:val="22"/>
          <w:lang w:val="sk-SK"/>
        </w:rPr>
        <w:t xml:space="preserve">. Jeho </w:t>
      </w:r>
      <w:proofErr w:type="spellStart"/>
      <w:r>
        <w:rPr>
          <w:szCs w:val="22"/>
          <w:lang w:val="sk-SK"/>
        </w:rPr>
        <w:t>metabolity</w:t>
      </w:r>
      <w:proofErr w:type="spellEnd"/>
      <w:r>
        <w:rPr>
          <w:szCs w:val="22"/>
          <w:lang w:val="sk-SK"/>
        </w:rPr>
        <w:t xml:space="preserve"> obsahujú produkt oxidácie kyseliny, </w:t>
      </w:r>
      <w:proofErr w:type="spellStart"/>
      <w:r>
        <w:rPr>
          <w:szCs w:val="22"/>
          <w:lang w:val="sk-SK"/>
        </w:rPr>
        <w:t>hydroxyderivát</w:t>
      </w:r>
      <w:proofErr w:type="spellEnd"/>
      <w:r>
        <w:rPr>
          <w:szCs w:val="22"/>
          <w:lang w:val="sk-SK"/>
        </w:rPr>
        <w:t xml:space="preserve"> a </w:t>
      </w:r>
      <w:proofErr w:type="spellStart"/>
      <w:r>
        <w:rPr>
          <w:szCs w:val="22"/>
          <w:lang w:val="sk-SK"/>
        </w:rPr>
        <w:t>glukuronid</w:t>
      </w:r>
      <w:proofErr w:type="spellEnd"/>
      <w:r>
        <w:rPr>
          <w:szCs w:val="22"/>
          <w:lang w:val="sk-SK"/>
        </w:rPr>
        <w:t xml:space="preserve">. Hlavný </w:t>
      </w:r>
      <w:proofErr w:type="spellStart"/>
      <w:r>
        <w:rPr>
          <w:szCs w:val="22"/>
          <w:lang w:val="sk-SK"/>
        </w:rPr>
        <w:t>metabolit</w:t>
      </w:r>
      <w:proofErr w:type="spellEnd"/>
      <w:r>
        <w:rPr>
          <w:szCs w:val="22"/>
          <w:lang w:val="sk-SK"/>
        </w:rPr>
        <w:t xml:space="preserve"> v sére je </w:t>
      </w:r>
      <w:proofErr w:type="spellStart"/>
      <w:r>
        <w:rPr>
          <w:szCs w:val="22"/>
          <w:lang w:val="sk-SK"/>
        </w:rPr>
        <w:t>hydroxylovaný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metabolit</w:t>
      </w:r>
      <w:proofErr w:type="spellEnd"/>
      <w:r>
        <w:rPr>
          <w:szCs w:val="22"/>
          <w:lang w:val="sk-SK"/>
        </w:rPr>
        <w:t xml:space="preserve">, hlavný </w:t>
      </w:r>
      <w:proofErr w:type="spellStart"/>
      <w:r>
        <w:rPr>
          <w:szCs w:val="22"/>
          <w:lang w:val="sk-SK"/>
        </w:rPr>
        <w:t>metabolit</w:t>
      </w:r>
      <w:proofErr w:type="spellEnd"/>
      <w:r>
        <w:rPr>
          <w:szCs w:val="22"/>
          <w:lang w:val="sk-SK"/>
        </w:rPr>
        <w:t xml:space="preserve"> v moči je kyslý </w:t>
      </w:r>
      <w:proofErr w:type="spellStart"/>
      <w:r>
        <w:rPr>
          <w:szCs w:val="22"/>
          <w:lang w:val="sk-SK"/>
        </w:rPr>
        <w:t>metabolit</w:t>
      </w:r>
      <w:proofErr w:type="spellEnd"/>
      <w:r>
        <w:rPr>
          <w:szCs w:val="22"/>
          <w:lang w:val="sk-SK"/>
        </w:rPr>
        <w:t>.</w:t>
      </w:r>
    </w:p>
    <w:p w14:paraId="17500903" w14:textId="77777777" w:rsidR="008A742D" w:rsidRDefault="008A742D">
      <w:pPr>
        <w:rPr>
          <w:szCs w:val="22"/>
          <w:lang w:val="sk-SK"/>
        </w:rPr>
      </w:pPr>
    </w:p>
    <w:p w14:paraId="747676A7" w14:textId="77777777"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Eliminácia</w:t>
      </w:r>
      <w:r>
        <w:rPr>
          <w:szCs w:val="22"/>
          <w:lang w:val="sk-SK"/>
        </w:rPr>
        <w:t xml:space="preserve"> </w:t>
      </w:r>
    </w:p>
    <w:p w14:paraId="7FB2D834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Asi 80 % látky sa vylučuje močom, z toho menej ako 10 % liečiva v nezmenenej forme. Malé množstvá sú vylučované pečeňou. Polčas eliminácie je približne 8 (6 - 10) hodín.</w:t>
      </w:r>
    </w:p>
    <w:p w14:paraId="0B1D46B1" w14:textId="77777777" w:rsidR="008A742D" w:rsidRDefault="008A742D">
      <w:pPr>
        <w:pStyle w:val="Zarkazkladnhotextu"/>
        <w:ind w:left="0"/>
        <w:jc w:val="left"/>
        <w:rPr>
          <w:i/>
          <w:sz w:val="22"/>
          <w:szCs w:val="22"/>
          <w:lang w:val="sk-SK"/>
        </w:rPr>
      </w:pPr>
    </w:p>
    <w:p w14:paraId="7D2DBB41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Pediatrická populácia</w:t>
      </w:r>
    </w:p>
    <w:p w14:paraId="5E75AD57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Pozri časť 4.2.</w:t>
      </w:r>
    </w:p>
    <w:p w14:paraId="6387BED7" w14:textId="77777777" w:rsidR="008A742D" w:rsidRDefault="008A742D">
      <w:pPr>
        <w:pStyle w:val="Zarkazkladnhotextu"/>
        <w:ind w:left="0"/>
        <w:jc w:val="left"/>
        <w:rPr>
          <w:sz w:val="22"/>
          <w:szCs w:val="22"/>
          <w:lang w:val="sk-SK"/>
        </w:rPr>
      </w:pPr>
    </w:p>
    <w:p w14:paraId="69B12EF2" w14:textId="77777777" w:rsidR="008A742D" w:rsidRDefault="008A742D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 xml:space="preserve">Vlastnosti u osobitných skupín pacientov </w:t>
      </w:r>
    </w:p>
    <w:p w14:paraId="4D62E8E2" w14:textId="77777777" w:rsidR="008A742D" w:rsidRDefault="008A742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Renálna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insuficiencia</w:t>
      </w:r>
      <w:proofErr w:type="spellEnd"/>
      <w:r>
        <w:rPr>
          <w:szCs w:val="22"/>
          <w:lang w:val="sk-SK"/>
        </w:rPr>
        <w:t xml:space="preserve"> len nevýznamne spomaľuje vylučovanie. </w:t>
      </w:r>
    </w:p>
    <w:p w14:paraId="668D0050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V prípade závažných pečeňových ochorení je možné predpokladať oneskorený </w:t>
      </w:r>
      <w:proofErr w:type="spellStart"/>
      <w:r>
        <w:rPr>
          <w:szCs w:val="22"/>
          <w:lang w:val="sk-SK"/>
        </w:rPr>
        <w:t>klírens</w:t>
      </w:r>
      <w:proofErr w:type="spellEnd"/>
      <w:r>
        <w:rPr>
          <w:szCs w:val="22"/>
          <w:lang w:val="sk-SK"/>
        </w:rPr>
        <w:t xml:space="preserve"> plazmy a predĺžený polčas rozpadu v sére (až na 30 hodín). </w:t>
      </w:r>
    </w:p>
    <w:p w14:paraId="4A51F193" w14:textId="77777777" w:rsidR="008A742D" w:rsidRDefault="008A742D">
      <w:pPr>
        <w:pStyle w:val="Nadpis2"/>
        <w:spacing w:before="0"/>
        <w:rPr>
          <w:lang w:val="sk-SK"/>
        </w:rPr>
      </w:pPr>
    </w:p>
    <w:p w14:paraId="44AD7F8D" w14:textId="77777777"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5.3</w:t>
      </w:r>
      <w:r>
        <w:rPr>
          <w:lang w:val="sk-SK"/>
        </w:rPr>
        <w:tab/>
        <w:t>Predklinické údaje o bezpečnosti</w:t>
      </w:r>
    </w:p>
    <w:p w14:paraId="4F031452" w14:textId="77777777" w:rsidR="008A742D" w:rsidRDefault="008A742D">
      <w:pPr>
        <w:rPr>
          <w:i/>
          <w:szCs w:val="22"/>
          <w:lang w:val="sk-SK"/>
        </w:rPr>
      </w:pPr>
    </w:p>
    <w:p w14:paraId="442F6E4C" w14:textId="77777777"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Toxicita po jednorazovom podaní</w:t>
      </w:r>
    </w:p>
    <w:p w14:paraId="6AA731A6" w14:textId="77777777" w:rsidR="008A742D" w:rsidRDefault="008A742D">
      <w:pPr>
        <w:rPr>
          <w:lang w:val="sk-SK"/>
        </w:rPr>
      </w:pPr>
      <w:r>
        <w:rPr>
          <w:lang w:val="sk-SK"/>
        </w:rPr>
        <w:t xml:space="preserve">Najnižšia uverejnená toxická dávka intravenózne podaného </w:t>
      </w:r>
      <w:proofErr w:type="spellStart"/>
      <w:r>
        <w:rPr>
          <w:lang w:val="sk-SK"/>
        </w:rPr>
        <w:t>metronidazolu</w:t>
      </w:r>
      <w:proofErr w:type="spellEnd"/>
      <w:r>
        <w:rPr>
          <w:lang w:val="sk-SK"/>
        </w:rPr>
        <w:t xml:space="preserve"> bola 30 mg/kg telesnej hmotnosti.</w:t>
      </w:r>
    </w:p>
    <w:p w14:paraId="2B28978E" w14:textId="77777777" w:rsidR="008A742D" w:rsidRDefault="008A742D">
      <w:pPr>
        <w:rPr>
          <w:i/>
          <w:szCs w:val="22"/>
          <w:lang w:val="sk-SK"/>
        </w:rPr>
      </w:pPr>
    </w:p>
    <w:p w14:paraId="4F4AEBCA" w14:textId="77777777"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Toxicita po opakovanej dávke</w:t>
      </w:r>
    </w:p>
    <w:p w14:paraId="08448FFC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Po opakovanom podávaní u psov sa toxický účinok prejavil vo forme </w:t>
      </w:r>
      <w:proofErr w:type="spellStart"/>
      <w:r>
        <w:rPr>
          <w:szCs w:val="22"/>
          <w:lang w:val="sk-SK"/>
        </w:rPr>
        <w:t>ataxie</w:t>
      </w:r>
      <w:proofErr w:type="spellEnd"/>
      <w:r>
        <w:rPr>
          <w:szCs w:val="22"/>
          <w:lang w:val="sk-SK"/>
        </w:rPr>
        <w:t xml:space="preserve"> alebo </w:t>
      </w:r>
      <w:proofErr w:type="spellStart"/>
      <w:r>
        <w:rPr>
          <w:szCs w:val="22"/>
          <w:lang w:val="sk-SK"/>
        </w:rPr>
        <w:t>tremoru</w:t>
      </w:r>
      <w:proofErr w:type="spellEnd"/>
      <w:r>
        <w:rPr>
          <w:szCs w:val="22"/>
          <w:lang w:val="sk-SK"/>
        </w:rPr>
        <w:t xml:space="preserve">. Po podávaní dlhšom ako jeden rok bolo u opíc pozorované zvýšenie </w:t>
      </w:r>
      <w:proofErr w:type="spellStart"/>
      <w:r>
        <w:rPr>
          <w:szCs w:val="22"/>
          <w:lang w:val="sk-SK"/>
        </w:rPr>
        <w:t>hepatocelulárnej</w:t>
      </w:r>
      <w:proofErr w:type="spellEnd"/>
      <w:r>
        <w:rPr>
          <w:szCs w:val="22"/>
          <w:lang w:val="sk-SK"/>
        </w:rPr>
        <w:t xml:space="preserve"> degenerácie závislé od dávky. </w:t>
      </w:r>
    </w:p>
    <w:p w14:paraId="495463BA" w14:textId="77777777" w:rsidR="008A742D" w:rsidRDefault="008A742D">
      <w:pPr>
        <w:rPr>
          <w:i/>
          <w:szCs w:val="22"/>
          <w:lang w:val="sk-SK"/>
        </w:rPr>
      </w:pPr>
    </w:p>
    <w:p w14:paraId="4582C4B7" w14:textId="77777777"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Mutagénny a karcinogénny potenciál</w:t>
      </w:r>
    </w:p>
    <w:p w14:paraId="44C17AC5" w14:textId="77777777" w:rsidR="008A742D" w:rsidRDefault="008A742D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Metronidazol</w:t>
      </w:r>
      <w:proofErr w:type="spellEnd"/>
      <w:r>
        <w:rPr>
          <w:szCs w:val="22"/>
          <w:lang w:val="sk-SK"/>
        </w:rPr>
        <w:t xml:space="preserve"> má mutagénny účinok v baktériách po </w:t>
      </w:r>
      <w:proofErr w:type="spellStart"/>
      <w:r>
        <w:rPr>
          <w:szCs w:val="22"/>
          <w:lang w:val="sk-SK"/>
        </w:rPr>
        <w:t>nitroredukcii</w:t>
      </w:r>
      <w:proofErr w:type="spellEnd"/>
      <w:r>
        <w:rPr>
          <w:szCs w:val="22"/>
          <w:lang w:val="sk-SK"/>
        </w:rPr>
        <w:t>. Metodologicky validované výskumy nepreukázali žiadne zistenia, ktoré by poukazovali na mutagénny účinok na bunkách cicavcov</w:t>
      </w:r>
      <w:r>
        <w:rPr>
          <w:i/>
          <w:szCs w:val="22"/>
          <w:lang w:val="sk-SK"/>
        </w:rPr>
        <w:t xml:space="preserve"> in vitro</w:t>
      </w:r>
      <w:r>
        <w:rPr>
          <w:szCs w:val="22"/>
          <w:lang w:val="sk-SK"/>
        </w:rPr>
        <w:t xml:space="preserve"> a </w:t>
      </w:r>
      <w:r>
        <w:rPr>
          <w:i/>
          <w:szCs w:val="22"/>
          <w:lang w:val="sk-SK"/>
        </w:rPr>
        <w:t xml:space="preserve">in </w:t>
      </w:r>
      <w:proofErr w:type="spellStart"/>
      <w:r>
        <w:rPr>
          <w:i/>
          <w:szCs w:val="22"/>
          <w:lang w:val="sk-SK"/>
        </w:rPr>
        <w:t>vivo</w:t>
      </w:r>
      <w:proofErr w:type="spellEnd"/>
      <w:r>
        <w:rPr>
          <w:szCs w:val="22"/>
          <w:lang w:val="sk-SK"/>
        </w:rPr>
        <w:t xml:space="preserve">. Výskum </w:t>
      </w:r>
      <w:proofErr w:type="spellStart"/>
      <w:r>
        <w:rPr>
          <w:szCs w:val="22"/>
          <w:lang w:val="sk-SK"/>
        </w:rPr>
        <w:t>lymfocytov</w:t>
      </w:r>
      <w:proofErr w:type="spellEnd"/>
      <w:r>
        <w:rPr>
          <w:szCs w:val="22"/>
          <w:lang w:val="sk-SK"/>
        </w:rPr>
        <w:t xml:space="preserve"> u pacientov liečených </w:t>
      </w:r>
      <w:proofErr w:type="spellStart"/>
      <w:r>
        <w:rPr>
          <w:szCs w:val="22"/>
          <w:lang w:val="sk-SK"/>
        </w:rPr>
        <w:t>metronidazolom</w:t>
      </w:r>
      <w:proofErr w:type="spellEnd"/>
      <w:r>
        <w:rPr>
          <w:szCs w:val="22"/>
          <w:lang w:val="sk-SK"/>
        </w:rPr>
        <w:t xml:space="preserve"> neodhalil žiadne relevantné zistenie naznačujúce škodlivé účinky na DNA.</w:t>
      </w:r>
    </w:p>
    <w:p w14:paraId="4D8FACAF" w14:textId="77777777" w:rsidR="008A742D" w:rsidRDefault="008A742D">
      <w:pPr>
        <w:rPr>
          <w:szCs w:val="22"/>
          <w:lang w:val="sk-SK"/>
        </w:rPr>
      </w:pPr>
    </w:p>
    <w:p w14:paraId="1BE09C9A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Sú k dispozícii výsledky, ktoré naznačujú karcinogénny účinok u potkanov a u myší. Významné bolo zvýšené množstvo pľúcnych tumorov u myší po perorálnom podávaní. Nič však nenasvedčuje tomu, že tento fakt bol zapríčinený </w:t>
      </w:r>
      <w:proofErr w:type="spellStart"/>
      <w:r>
        <w:rPr>
          <w:szCs w:val="22"/>
          <w:lang w:val="sk-SK"/>
        </w:rPr>
        <w:t>genotoxickým</w:t>
      </w:r>
      <w:proofErr w:type="spellEnd"/>
      <w:r>
        <w:rPr>
          <w:szCs w:val="22"/>
          <w:lang w:val="sk-SK"/>
        </w:rPr>
        <w:t xml:space="preserve"> mechanizmom, pretože u </w:t>
      </w:r>
      <w:proofErr w:type="spellStart"/>
      <w:r>
        <w:rPr>
          <w:szCs w:val="22"/>
          <w:lang w:val="sk-SK"/>
        </w:rPr>
        <w:t>transgénnych</w:t>
      </w:r>
      <w:proofErr w:type="spellEnd"/>
      <w:r>
        <w:rPr>
          <w:szCs w:val="22"/>
          <w:lang w:val="sk-SK"/>
        </w:rPr>
        <w:t xml:space="preserve"> myší po vysokých dávkach </w:t>
      </w:r>
      <w:proofErr w:type="spellStart"/>
      <w:r>
        <w:rPr>
          <w:szCs w:val="22"/>
          <w:lang w:val="sk-SK"/>
        </w:rPr>
        <w:t>metronidazolu</w:t>
      </w:r>
      <w:proofErr w:type="spellEnd"/>
      <w:r>
        <w:rPr>
          <w:szCs w:val="22"/>
          <w:lang w:val="sk-SK"/>
        </w:rPr>
        <w:t xml:space="preserve"> nebol pozorovaný zvýšený počet mutácií v rôznych orgánoch vrátane pľúc.</w:t>
      </w:r>
    </w:p>
    <w:p w14:paraId="12E4906C" w14:textId="77777777" w:rsidR="008A742D" w:rsidRDefault="008A742D">
      <w:pPr>
        <w:rPr>
          <w:i/>
          <w:szCs w:val="22"/>
          <w:lang w:val="sk-SK"/>
        </w:rPr>
      </w:pPr>
    </w:p>
    <w:p w14:paraId="658535DB" w14:textId="77777777" w:rsidR="008A742D" w:rsidRDefault="008A742D">
      <w:pPr>
        <w:rPr>
          <w:szCs w:val="22"/>
          <w:lang w:val="sk-SK"/>
        </w:rPr>
      </w:pPr>
      <w:r>
        <w:rPr>
          <w:i/>
          <w:szCs w:val="22"/>
          <w:lang w:val="sk-SK"/>
        </w:rPr>
        <w:t>Reprodukčná toxicita</w:t>
      </w:r>
    </w:p>
    <w:p w14:paraId="426FFC5C" w14:textId="77777777" w:rsidR="008A742D" w:rsidRDefault="008A742D">
      <w:pPr>
        <w:rPr>
          <w:lang w:val="sk-SK"/>
        </w:rPr>
      </w:pPr>
      <w:r>
        <w:rPr>
          <w:lang w:val="sk-SK"/>
        </w:rPr>
        <w:t xml:space="preserve">Neboli zistené žiadne </w:t>
      </w:r>
      <w:proofErr w:type="spellStart"/>
      <w:r>
        <w:rPr>
          <w:lang w:val="sk-SK"/>
        </w:rPr>
        <w:t>teratogénne</w:t>
      </w:r>
      <w:proofErr w:type="spellEnd"/>
      <w:r>
        <w:rPr>
          <w:lang w:val="sk-SK"/>
        </w:rPr>
        <w:t xml:space="preserve"> ani iné </w:t>
      </w:r>
      <w:proofErr w:type="spellStart"/>
      <w:r>
        <w:rPr>
          <w:lang w:val="sk-SK"/>
        </w:rPr>
        <w:t>embryotoxické</w:t>
      </w:r>
      <w:proofErr w:type="spellEnd"/>
      <w:r>
        <w:rPr>
          <w:lang w:val="sk-SK"/>
        </w:rPr>
        <w:t xml:space="preserve"> účinky počas výskumov na potkanoch a králikoch.</w:t>
      </w:r>
    </w:p>
    <w:p w14:paraId="5D311B2E" w14:textId="77777777" w:rsidR="008A742D" w:rsidRDefault="008A742D">
      <w:pPr>
        <w:rPr>
          <w:lang w:val="sk-SK"/>
        </w:rPr>
      </w:pPr>
      <w:r>
        <w:rPr>
          <w:lang w:val="sk-SK"/>
        </w:rPr>
        <w:t xml:space="preserve">Po opakovanom podávaní </w:t>
      </w:r>
      <w:proofErr w:type="spellStart"/>
      <w:r>
        <w:rPr>
          <w:lang w:val="sk-SK"/>
        </w:rPr>
        <w:t>metronidazolu</w:t>
      </w:r>
      <w:proofErr w:type="spellEnd"/>
      <w:r>
        <w:rPr>
          <w:lang w:val="sk-SK"/>
        </w:rPr>
        <w:t xml:space="preserve"> 26 - 80 týždňov potkanom bola dystrofia semenníkov a prostaty pozorovaná len pri podávaní vysokých dávok.</w:t>
      </w:r>
    </w:p>
    <w:p w14:paraId="3FEC91AC" w14:textId="77777777" w:rsidR="008A742D" w:rsidRDefault="008A742D">
      <w:pPr>
        <w:rPr>
          <w:szCs w:val="22"/>
          <w:lang w:val="sk-SK"/>
        </w:rPr>
      </w:pPr>
    </w:p>
    <w:p w14:paraId="719D44C7" w14:textId="77777777" w:rsidR="008A742D" w:rsidRDefault="008A742D">
      <w:pPr>
        <w:rPr>
          <w:szCs w:val="22"/>
          <w:lang w:val="sk-SK"/>
        </w:rPr>
      </w:pPr>
    </w:p>
    <w:p w14:paraId="39648991" w14:textId="77777777" w:rsidR="008A742D" w:rsidRDefault="008A742D">
      <w:pPr>
        <w:ind w:left="567" w:hanging="567"/>
        <w:rPr>
          <w:b/>
          <w:szCs w:val="22"/>
          <w:lang w:val="sk-SK"/>
        </w:rPr>
      </w:pPr>
      <w:r>
        <w:rPr>
          <w:b/>
          <w:szCs w:val="22"/>
          <w:lang w:val="sk-SK"/>
        </w:rPr>
        <w:t>6.</w:t>
      </w:r>
      <w:r>
        <w:rPr>
          <w:b/>
          <w:szCs w:val="22"/>
          <w:lang w:val="sk-SK"/>
        </w:rPr>
        <w:tab/>
        <w:t>FARMACEUTICKÉ INFORMÁCIE</w:t>
      </w:r>
    </w:p>
    <w:p w14:paraId="60FE6281" w14:textId="77777777" w:rsidR="008A742D" w:rsidRDefault="008A742D">
      <w:pPr>
        <w:pStyle w:val="Nadpis2"/>
        <w:spacing w:before="0"/>
        <w:rPr>
          <w:lang w:val="sk-SK"/>
        </w:rPr>
      </w:pPr>
    </w:p>
    <w:p w14:paraId="1A15DF1C" w14:textId="77777777"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6.1</w:t>
      </w:r>
      <w:r>
        <w:rPr>
          <w:lang w:val="sk-SK"/>
        </w:rPr>
        <w:tab/>
        <w:t>Zoznam pomocných látok</w:t>
      </w:r>
    </w:p>
    <w:p w14:paraId="541CEC65" w14:textId="77777777" w:rsidR="008A742D" w:rsidRDefault="008A742D">
      <w:pPr>
        <w:rPr>
          <w:szCs w:val="22"/>
          <w:lang w:val="sk-SK"/>
        </w:rPr>
      </w:pPr>
    </w:p>
    <w:p w14:paraId="74A5B382" w14:textId="1E465080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chlorid sodný </w:t>
      </w:r>
      <w:r>
        <w:rPr>
          <w:szCs w:val="22"/>
          <w:lang w:val="sk-SK"/>
        </w:rPr>
        <w:br/>
      </w:r>
      <w:proofErr w:type="spellStart"/>
      <w:r>
        <w:rPr>
          <w:szCs w:val="22"/>
          <w:lang w:val="sk-SK"/>
        </w:rPr>
        <w:t>dodekahydrát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hydrogenfosforečnanu</w:t>
      </w:r>
      <w:proofErr w:type="spellEnd"/>
      <w:r>
        <w:rPr>
          <w:szCs w:val="22"/>
          <w:lang w:val="sk-SK"/>
        </w:rPr>
        <w:t xml:space="preserve"> sodného </w:t>
      </w:r>
      <w:r>
        <w:rPr>
          <w:szCs w:val="22"/>
          <w:lang w:val="sk-SK"/>
        </w:rPr>
        <w:br/>
      </w:r>
      <w:proofErr w:type="spellStart"/>
      <w:r>
        <w:rPr>
          <w:szCs w:val="22"/>
          <w:lang w:val="sk-SK"/>
        </w:rPr>
        <w:t>monohydrát</w:t>
      </w:r>
      <w:proofErr w:type="spellEnd"/>
      <w:r>
        <w:rPr>
          <w:szCs w:val="22"/>
          <w:lang w:val="sk-SK"/>
        </w:rPr>
        <w:t xml:space="preserve"> kyseliny citrónovej</w:t>
      </w:r>
      <w:r>
        <w:rPr>
          <w:szCs w:val="22"/>
          <w:lang w:val="sk-SK"/>
        </w:rPr>
        <w:br/>
        <w:t>voda na injekcie</w:t>
      </w:r>
    </w:p>
    <w:p w14:paraId="13E473BF" w14:textId="77777777" w:rsidR="008A742D" w:rsidRDefault="008A742D">
      <w:pPr>
        <w:pStyle w:val="Nadpis2"/>
        <w:spacing w:before="0"/>
        <w:rPr>
          <w:lang w:val="sk-SK"/>
        </w:rPr>
      </w:pPr>
    </w:p>
    <w:p w14:paraId="3E39210E" w14:textId="77777777"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6.2</w:t>
      </w:r>
      <w:r>
        <w:rPr>
          <w:lang w:val="sk-SK"/>
        </w:rPr>
        <w:tab/>
        <w:t>Inkompatibility</w:t>
      </w:r>
    </w:p>
    <w:p w14:paraId="30B5F88B" w14:textId="77777777" w:rsidR="008A742D" w:rsidRDefault="008A742D">
      <w:pPr>
        <w:rPr>
          <w:szCs w:val="22"/>
          <w:lang w:val="sk-SK"/>
        </w:rPr>
      </w:pPr>
    </w:p>
    <w:p w14:paraId="500CB9E5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Tento liek sa nesmie miešať s inými liekmi okrem tých, ktoré sú uvedené v časti 6.6.</w:t>
      </w:r>
    </w:p>
    <w:p w14:paraId="13447863" w14:textId="77777777" w:rsidR="008A742D" w:rsidRDefault="008A742D">
      <w:pPr>
        <w:pStyle w:val="Nadpis2"/>
        <w:spacing w:before="0"/>
        <w:rPr>
          <w:lang w:val="sk-SK"/>
        </w:rPr>
      </w:pPr>
    </w:p>
    <w:p w14:paraId="44CB1A8C" w14:textId="77777777"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6.3</w:t>
      </w:r>
      <w:r>
        <w:rPr>
          <w:lang w:val="sk-SK"/>
        </w:rPr>
        <w:tab/>
        <w:t>Čas použiteľnosti</w:t>
      </w:r>
    </w:p>
    <w:p w14:paraId="3EC6499F" w14:textId="77777777" w:rsidR="008A742D" w:rsidRDefault="008A742D">
      <w:pPr>
        <w:pStyle w:val="Nadpis3"/>
        <w:spacing w:before="0"/>
        <w:rPr>
          <w:lang w:val="sk-SK"/>
        </w:rPr>
      </w:pPr>
    </w:p>
    <w:p w14:paraId="58032DA8" w14:textId="77777777" w:rsidR="008A742D" w:rsidRDefault="008A742D">
      <w:pPr>
        <w:pStyle w:val="Nadpis3"/>
        <w:spacing w:before="0"/>
        <w:rPr>
          <w:b w:val="0"/>
          <w:i w:val="0"/>
          <w:lang w:val="sk-SK"/>
        </w:rPr>
      </w:pPr>
      <w:r>
        <w:rPr>
          <w:lang w:val="sk-SK"/>
        </w:rPr>
        <w:t>Neotvorené balenie</w:t>
      </w:r>
    </w:p>
    <w:p w14:paraId="0CFB5828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3 roky.</w:t>
      </w:r>
    </w:p>
    <w:p w14:paraId="2171AD02" w14:textId="77777777" w:rsidR="008A742D" w:rsidRDefault="008A742D">
      <w:pPr>
        <w:pStyle w:val="Nadpis3"/>
        <w:spacing w:before="0"/>
        <w:rPr>
          <w:lang w:val="sk-SK" w:eastAsia="de-DE"/>
        </w:rPr>
      </w:pPr>
    </w:p>
    <w:p w14:paraId="2106DB3A" w14:textId="77777777" w:rsidR="008A742D" w:rsidRDefault="008A742D">
      <w:pPr>
        <w:pStyle w:val="Nadpis3"/>
        <w:spacing w:before="0"/>
        <w:rPr>
          <w:b w:val="0"/>
          <w:i w:val="0"/>
          <w:lang w:val="sk-SK" w:eastAsia="de-DE"/>
        </w:rPr>
      </w:pPr>
      <w:r>
        <w:rPr>
          <w:lang w:val="sk-SK" w:eastAsia="de-DE"/>
        </w:rPr>
        <w:t>Po prvom otvorení obalu</w:t>
      </w:r>
    </w:p>
    <w:p w14:paraId="1F150E13" w14:textId="77777777" w:rsidR="008A742D" w:rsidRDefault="008A742D">
      <w:pPr>
        <w:pStyle w:val="Nadpis3"/>
        <w:spacing w:before="0"/>
        <w:rPr>
          <w:lang w:val="sk-SK"/>
        </w:rPr>
      </w:pPr>
      <w:r>
        <w:rPr>
          <w:b w:val="0"/>
          <w:i w:val="0"/>
          <w:snapToGrid w:val="0"/>
          <w:lang w:val="sk-SK" w:eastAsia="de-DE"/>
        </w:rPr>
        <w:t>Všetok n</w:t>
      </w:r>
      <w:r>
        <w:rPr>
          <w:b w:val="0"/>
          <w:i w:val="0"/>
          <w:lang w:val="sk-SK"/>
        </w:rPr>
        <w:t xml:space="preserve">epoužitý liek musí byť zlikvidovaný a nesmie sa uchovávať na neskoršie použitie. </w:t>
      </w:r>
      <w:r>
        <w:rPr>
          <w:lang w:val="sk-SK"/>
        </w:rPr>
        <w:t xml:space="preserve"> </w:t>
      </w:r>
    </w:p>
    <w:p w14:paraId="05C9A5C1" w14:textId="77777777" w:rsidR="008A742D" w:rsidRDefault="008A742D">
      <w:pPr>
        <w:pStyle w:val="Nadpis3"/>
        <w:spacing w:before="0"/>
        <w:rPr>
          <w:snapToGrid w:val="0"/>
          <w:lang w:val="sk-SK" w:eastAsia="de-DE"/>
        </w:rPr>
      </w:pPr>
    </w:p>
    <w:p w14:paraId="23E88F18" w14:textId="77777777" w:rsidR="008A742D" w:rsidRDefault="008A742D">
      <w:pPr>
        <w:pStyle w:val="Nadpis3"/>
        <w:spacing w:before="0"/>
        <w:rPr>
          <w:snapToGrid w:val="0"/>
          <w:lang w:val="sk-SK" w:eastAsia="de-DE"/>
        </w:rPr>
      </w:pPr>
      <w:r>
        <w:rPr>
          <w:snapToGrid w:val="0"/>
          <w:lang w:val="sk-SK" w:eastAsia="de-DE"/>
        </w:rPr>
        <w:t>Po nariedení podľa návodu</w:t>
      </w:r>
    </w:p>
    <w:p w14:paraId="2BC6451E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Z mikrobiologického hľadiska sa musia nariedené roztoky použiť okamžite. Ak sa nepoužijú okamžite, za čas použiteľnosti a podmienky uchovávania pred použitím zodpovedá používateľ a za normálnych okolností by nemali presiahnuť 24 hodín pri teplote 2 až 8 </w:t>
      </w:r>
      <w:proofErr w:type="spellStart"/>
      <w:r>
        <w:rPr>
          <w:szCs w:val="22"/>
          <w:vertAlign w:val="superscript"/>
          <w:lang w:val="sk-SK"/>
        </w:rPr>
        <w:t>o</w:t>
      </w:r>
      <w:r>
        <w:rPr>
          <w:szCs w:val="22"/>
          <w:lang w:val="sk-SK"/>
        </w:rPr>
        <w:t>C</w:t>
      </w:r>
      <w:proofErr w:type="spellEnd"/>
      <w:r>
        <w:rPr>
          <w:szCs w:val="22"/>
          <w:lang w:val="sk-SK"/>
        </w:rPr>
        <w:t xml:space="preserve">, </w:t>
      </w:r>
      <w:r w:rsidRPr="007C3F4B">
        <w:rPr>
          <w:szCs w:val="22"/>
          <w:lang w:val="sk-SK"/>
        </w:rPr>
        <w:t>pokiaľ riedenie neprebehlo za kontr</w:t>
      </w:r>
      <w:smartTag w:uri="urn:schemas-microsoft-com:office:smarttags" w:element="PersonName">
        <w:r w:rsidRPr="007C3F4B">
          <w:rPr>
            <w:szCs w:val="22"/>
            <w:lang w:val="sk-SK"/>
          </w:rPr>
          <w:t>olo</w:t>
        </w:r>
      </w:smartTag>
      <w:r w:rsidRPr="007C3F4B">
        <w:rPr>
          <w:szCs w:val="22"/>
          <w:lang w:val="sk-SK"/>
        </w:rPr>
        <w:t>vaných a validovaných aseptických podmienok</w:t>
      </w:r>
      <w:r>
        <w:rPr>
          <w:szCs w:val="22"/>
          <w:lang w:val="sk-SK"/>
        </w:rPr>
        <w:t xml:space="preserve">. </w:t>
      </w:r>
    </w:p>
    <w:p w14:paraId="7056489E" w14:textId="77777777" w:rsidR="008A742D" w:rsidRDefault="008A742D">
      <w:pPr>
        <w:pStyle w:val="Nadpis2"/>
        <w:spacing w:before="0"/>
        <w:rPr>
          <w:lang w:val="sk-SK"/>
        </w:rPr>
      </w:pPr>
    </w:p>
    <w:p w14:paraId="392CC27F" w14:textId="77777777"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6.4</w:t>
      </w:r>
      <w:r>
        <w:rPr>
          <w:lang w:val="sk-SK"/>
        </w:rPr>
        <w:tab/>
        <w:t>Špeciálne upozornenia na uchovávanie</w:t>
      </w:r>
    </w:p>
    <w:p w14:paraId="052E4799" w14:textId="77777777" w:rsidR="008A742D" w:rsidRDefault="008A742D">
      <w:pPr>
        <w:rPr>
          <w:szCs w:val="22"/>
          <w:lang w:val="sk-SK"/>
        </w:rPr>
      </w:pPr>
    </w:p>
    <w:p w14:paraId="5B7D7AAB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Uchovávajte vo vonkajšom obale na ochranu pred svetlom.</w:t>
      </w:r>
    </w:p>
    <w:p w14:paraId="77D7D3E6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Podmienky na uchovávanie nariedeného lieku, pozri časť 6.3.</w:t>
      </w:r>
    </w:p>
    <w:p w14:paraId="2DE92055" w14:textId="77777777" w:rsidR="008A742D" w:rsidRDefault="008A742D">
      <w:pPr>
        <w:pStyle w:val="Nadpis2"/>
        <w:spacing w:before="0"/>
        <w:rPr>
          <w:lang w:val="sk-SK"/>
        </w:rPr>
      </w:pPr>
    </w:p>
    <w:p w14:paraId="638A276E" w14:textId="77777777"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6.5</w:t>
      </w:r>
      <w:r>
        <w:rPr>
          <w:lang w:val="sk-SK"/>
        </w:rPr>
        <w:tab/>
        <w:t>Druh obalu a obsah balenia</w:t>
      </w:r>
    </w:p>
    <w:p w14:paraId="46179CE6" w14:textId="77777777" w:rsidR="008A742D" w:rsidRDefault="008A742D">
      <w:pPr>
        <w:keepNext/>
        <w:rPr>
          <w:szCs w:val="22"/>
          <w:lang w:val="sk-SK"/>
        </w:rPr>
      </w:pPr>
    </w:p>
    <w:p w14:paraId="12EAF9A6" w14:textId="77777777" w:rsidR="008A742D" w:rsidRDefault="008A742D">
      <w:pPr>
        <w:keepNext/>
        <w:rPr>
          <w:szCs w:val="22"/>
          <w:lang w:val="sk-SK"/>
        </w:rPr>
      </w:pPr>
      <w:r>
        <w:rPr>
          <w:szCs w:val="22"/>
          <w:lang w:val="sk-SK"/>
        </w:rPr>
        <w:t>Liek je dodávaný vo:</w:t>
      </w:r>
    </w:p>
    <w:p w14:paraId="5B7823D4" w14:textId="77777777" w:rsidR="008A742D" w:rsidRDefault="008A742D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rPr>
          <w:szCs w:val="22"/>
          <w:lang w:val="sk-SK"/>
        </w:rPr>
      </w:pPr>
      <w:r>
        <w:rPr>
          <w:szCs w:val="22"/>
          <w:lang w:val="sk-SK"/>
        </w:rPr>
        <w:t>fľašiach z polyetylénu s nízkou hustotou s obsahom 100 ml</w:t>
      </w:r>
      <w:r>
        <w:rPr>
          <w:szCs w:val="22"/>
          <w:lang w:val="sk-SK"/>
        </w:rPr>
        <w:br/>
        <w:t>dostupné v baleniach 10 x 100 ml, 20 x 100 ml</w:t>
      </w:r>
    </w:p>
    <w:p w14:paraId="2B0363A5" w14:textId="77777777" w:rsidR="008A742D" w:rsidRDefault="008A742D">
      <w:pPr>
        <w:rPr>
          <w:szCs w:val="22"/>
          <w:lang w:val="sk-SK"/>
        </w:rPr>
      </w:pPr>
    </w:p>
    <w:p w14:paraId="3C126C6F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Na trh nemusia byť uvedené všetky veľkosti balenia.</w:t>
      </w:r>
    </w:p>
    <w:p w14:paraId="29D6C0B5" w14:textId="77777777" w:rsidR="008A742D" w:rsidRDefault="008A742D">
      <w:pPr>
        <w:pStyle w:val="Nadpis2"/>
        <w:spacing w:before="0"/>
        <w:rPr>
          <w:lang w:val="sk-SK"/>
        </w:rPr>
      </w:pPr>
    </w:p>
    <w:p w14:paraId="2EABA630" w14:textId="77777777" w:rsidR="008A742D" w:rsidRDefault="008A742D">
      <w:pPr>
        <w:pStyle w:val="Nadpis2"/>
        <w:spacing w:before="0"/>
        <w:rPr>
          <w:lang w:val="sk-SK"/>
        </w:rPr>
      </w:pPr>
      <w:r>
        <w:rPr>
          <w:lang w:val="sk-SK"/>
        </w:rPr>
        <w:t>6.6</w:t>
      </w:r>
      <w:r>
        <w:rPr>
          <w:lang w:val="sk-SK"/>
        </w:rPr>
        <w:tab/>
        <w:t>Špeciálne opatrenia na likvidáciu a iné zaobchádzanie s liekom</w:t>
      </w:r>
    </w:p>
    <w:p w14:paraId="0A134F64" w14:textId="77777777" w:rsidR="008A742D" w:rsidRDefault="008A742D">
      <w:pPr>
        <w:rPr>
          <w:szCs w:val="22"/>
          <w:lang w:val="sk-SK"/>
        </w:rPr>
      </w:pPr>
    </w:p>
    <w:p w14:paraId="21D95B8A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Žiadne zvláštne požiadavky.</w:t>
      </w:r>
    </w:p>
    <w:p w14:paraId="2A99770E" w14:textId="77777777" w:rsidR="008A742D" w:rsidRDefault="008A742D">
      <w:pPr>
        <w:keepNext/>
        <w:rPr>
          <w:i/>
          <w:iCs/>
          <w:szCs w:val="22"/>
          <w:lang w:val="sk-SK"/>
        </w:rPr>
      </w:pPr>
    </w:p>
    <w:p w14:paraId="5C791738" w14:textId="77777777" w:rsidR="008A742D" w:rsidRDefault="008A742D">
      <w:pPr>
        <w:keepNext/>
        <w:rPr>
          <w:i/>
          <w:iCs/>
          <w:szCs w:val="22"/>
          <w:lang w:val="sk-SK"/>
        </w:rPr>
      </w:pPr>
      <w:r>
        <w:rPr>
          <w:i/>
          <w:iCs/>
          <w:szCs w:val="22"/>
          <w:lang w:val="sk-SK"/>
        </w:rPr>
        <w:t>Iné opatrenia na zaobchádzanie</w:t>
      </w:r>
    </w:p>
    <w:p w14:paraId="2C7CB5F5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Len na jednorazové použitie. Po použití fľašu a všetok nepoužitý liek zlikvidujte. </w:t>
      </w:r>
    </w:p>
    <w:p w14:paraId="475D4016" w14:textId="77777777" w:rsidR="008A742D" w:rsidRDefault="008A742D">
      <w:pPr>
        <w:rPr>
          <w:szCs w:val="22"/>
          <w:lang w:val="sk-SK"/>
        </w:rPr>
      </w:pPr>
    </w:p>
    <w:p w14:paraId="5F705BCA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Liek môže byť riedený v roztokoch na infúziu 0,9 % w/v chloridu sodného alebo 5 % w/v glukózy. Pri riedení musia byť dodržané aseptické podmienky.</w:t>
      </w:r>
    </w:p>
    <w:p w14:paraId="747E3F61" w14:textId="77777777" w:rsidR="008A742D" w:rsidRDefault="008A742D">
      <w:pPr>
        <w:rPr>
          <w:szCs w:val="22"/>
          <w:lang w:val="sk-SK"/>
        </w:rPr>
      </w:pPr>
      <w:r>
        <w:rPr>
          <w:noProof/>
          <w:szCs w:val="22"/>
          <w:lang w:val="sk-SK"/>
        </w:rPr>
        <w:t xml:space="preserve">Môže sa použiť len ak je roztok </w:t>
      </w:r>
      <w:r>
        <w:rPr>
          <w:szCs w:val="22"/>
          <w:lang w:val="sk-SK"/>
        </w:rPr>
        <w:t xml:space="preserve">číry a bezfarebný alebo jemne žltkastý, a ak nie je poškodený obal ani uzáver. </w:t>
      </w:r>
    </w:p>
    <w:p w14:paraId="2A5254C4" w14:textId="77777777" w:rsidR="008A742D" w:rsidRDefault="008A742D">
      <w:pPr>
        <w:pStyle w:val="Nadpis1"/>
        <w:spacing w:before="0"/>
        <w:rPr>
          <w:lang w:val="sk-SK"/>
        </w:rPr>
      </w:pPr>
    </w:p>
    <w:p w14:paraId="338AA5AA" w14:textId="77777777" w:rsidR="008A742D" w:rsidRDefault="008A742D">
      <w:pPr>
        <w:pStyle w:val="Nadpis1"/>
        <w:spacing w:before="0"/>
        <w:rPr>
          <w:lang w:val="sk-SK"/>
        </w:rPr>
      </w:pPr>
    </w:p>
    <w:p w14:paraId="69024904" w14:textId="77777777" w:rsidR="008A742D" w:rsidRDefault="008A742D">
      <w:pPr>
        <w:pStyle w:val="Nadpis1"/>
        <w:spacing w:before="0"/>
        <w:rPr>
          <w:lang w:val="sk-SK"/>
        </w:rPr>
      </w:pPr>
      <w:r>
        <w:rPr>
          <w:lang w:val="sk-SK"/>
        </w:rPr>
        <w:t>7.</w:t>
      </w:r>
      <w:r>
        <w:rPr>
          <w:lang w:val="sk-SK"/>
        </w:rPr>
        <w:tab/>
        <w:t>DRŽITEĽ ROZHODNUTIA O REGISTRÁCII</w:t>
      </w:r>
    </w:p>
    <w:p w14:paraId="17B80BA0" w14:textId="77777777" w:rsidR="008A742D" w:rsidRDefault="008A742D">
      <w:pPr>
        <w:rPr>
          <w:szCs w:val="22"/>
          <w:lang w:val="sk-SK"/>
        </w:rPr>
      </w:pPr>
    </w:p>
    <w:p w14:paraId="0AA2C58E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 xml:space="preserve">B. </w:t>
      </w:r>
      <w:proofErr w:type="spellStart"/>
      <w:r>
        <w:rPr>
          <w:szCs w:val="22"/>
          <w:lang w:val="sk-SK"/>
        </w:rPr>
        <w:t>Braun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Melsungen</w:t>
      </w:r>
      <w:proofErr w:type="spellEnd"/>
      <w:r>
        <w:rPr>
          <w:szCs w:val="22"/>
          <w:lang w:val="sk-SK"/>
        </w:rPr>
        <w:t xml:space="preserve"> AG</w:t>
      </w:r>
      <w:r>
        <w:rPr>
          <w:szCs w:val="22"/>
          <w:lang w:val="sk-SK"/>
        </w:rPr>
        <w:br/>
      </w:r>
      <w:proofErr w:type="spellStart"/>
      <w:r>
        <w:rPr>
          <w:szCs w:val="22"/>
          <w:lang w:val="sk-SK"/>
        </w:rPr>
        <w:t>Carl-Braun-Stra</w:t>
      </w:r>
      <w:r>
        <w:rPr>
          <w:lang w:val="sk-SK"/>
        </w:rPr>
        <w:t>ß</w:t>
      </w:r>
      <w:r>
        <w:rPr>
          <w:szCs w:val="22"/>
          <w:lang w:val="sk-SK"/>
        </w:rPr>
        <w:t>e</w:t>
      </w:r>
      <w:proofErr w:type="spellEnd"/>
      <w:r>
        <w:rPr>
          <w:szCs w:val="22"/>
          <w:lang w:val="sk-SK"/>
        </w:rPr>
        <w:t xml:space="preserve"> 1</w:t>
      </w:r>
      <w:r>
        <w:rPr>
          <w:szCs w:val="22"/>
          <w:lang w:val="sk-SK"/>
        </w:rPr>
        <w:br/>
        <w:t>34212 </w:t>
      </w:r>
      <w:proofErr w:type="spellStart"/>
      <w:r>
        <w:rPr>
          <w:szCs w:val="22"/>
          <w:lang w:val="sk-SK"/>
        </w:rPr>
        <w:t>Melsungen</w:t>
      </w:r>
      <w:proofErr w:type="spellEnd"/>
      <w:r>
        <w:rPr>
          <w:szCs w:val="22"/>
          <w:lang w:val="sk-SK"/>
        </w:rPr>
        <w:t>, Nemecko</w:t>
      </w:r>
    </w:p>
    <w:p w14:paraId="2181968E" w14:textId="77777777" w:rsidR="008A742D" w:rsidRDefault="008A742D">
      <w:pPr>
        <w:rPr>
          <w:i/>
          <w:szCs w:val="22"/>
          <w:lang w:val="sk-SK"/>
        </w:rPr>
      </w:pPr>
    </w:p>
    <w:p w14:paraId="03798162" w14:textId="77777777" w:rsidR="008A742D" w:rsidRDefault="008A742D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>Poštovná adresa:</w:t>
      </w:r>
    </w:p>
    <w:p w14:paraId="67653E21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34209 </w:t>
      </w:r>
      <w:proofErr w:type="spellStart"/>
      <w:r>
        <w:rPr>
          <w:szCs w:val="22"/>
          <w:lang w:val="sk-SK"/>
        </w:rPr>
        <w:t>Melsungen</w:t>
      </w:r>
      <w:proofErr w:type="spellEnd"/>
      <w:r>
        <w:rPr>
          <w:szCs w:val="22"/>
          <w:lang w:val="sk-SK"/>
        </w:rPr>
        <w:t>, Nemecko</w:t>
      </w:r>
    </w:p>
    <w:p w14:paraId="320D544D" w14:textId="77777777" w:rsidR="0025656B" w:rsidRDefault="0025656B">
      <w:pPr>
        <w:rPr>
          <w:szCs w:val="22"/>
          <w:lang w:val="sk-SK"/>
        </w:rPr>
      </w:pPr>
    </w:p>
    <w:p w14:paraId="4467DF6B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Telefón: +49/5661/71-0</w:t>
      </w:r>
      <w:r>
        <w:rPr>
          <w:szCs w:val="22"/>
          <w:lang w:val="sk-SK"/>
        </w:rPr>
        <w:br/>
        <w:t>Fax: +49/5661/71-4567</w:t>
      </w:r>
    </w:p>
    <w:p w14:paraId="5FF2F6B8" w14:textId="77777777" w:rsidR="008A742D" w:rsidRDefault="008A742D">
      <w:pPr>
        <w:pStyle w:val="Nadpis1"/>
        <w:spacing w:before="0"/>
        <w:rPr>
          <w:lang w:val="sk-SK"/>
        </w:rPr>
      </w:pPr>
    </w:p>
    <w:p w14:paraId="06EFCB70" w14:textId="77777777" w:rsidR="008A742D" w:rsidRDefault="008A742D">
      <w:pPr>
        <w:pStyle w:val="Nadpis1"/>
        <w:spacing w:before="0"/>
        <w:rPr>
          <w:lang w:val="sk-SK"/>
        </w:rPr>
      </w:pPr>
    </w:p>
    <w:p w14:paraId="385C2BF4" w14:textId="77777777" w:rsidR="008A742D" w:rsidRDefault="008A742D">
      <w:pPr>
        <w:pStyle w:val="Nadpis1"/>
        <w:spacing w:before="0"/>
        <w:rPr>
          <w:lang w:val="sk-SK"/>
        </w:rPr>
      </w:pPr>
      <w:r>
        <w:rPr>
          <w:lang w:val="sk-SK"/>
        </w:rPr>
        <w:t>8.</w:t>
      </w:r>
      <w:r>
        <w:rPr>
          <w:lang w:val="sk-SK"/>
        </w:rPr>
        <w:tab/>
        <w:t>REGISTRAČNÉ ČÍSLo</w:t>
      </w:r>
    </w:p>
    <w:p w14:paraId="430F062F" w14:textId="77777777" w:rsidR="008A742D" w:rsidRDefault="008A742D">
      <w:pPr>
        <w:rPr>
          <w:szCs w:val="22"/>
          <w:lang w:val="sk-SK"/>
        </w:rPr>
      </w:pPr>
    </w:p>
    <w:p w14:paraId="326D0B0C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t>42/0327/09-S</w:t>
      </w:r>
    </w:p>
    <w:p w14:paraId="1C4D9A43" w14:textId="77777777" w:rsidR="008A742D" w:rsidRDefault="008A742D">
      <w:pPr>
        <w:pStyle w:val="Nadpis1"/>
        <w:spacing w:before="0"/>
        <w:rPr>
          <w:lang w:val="sk-SK"/>
        </w:rPr>
      </w:pPr>
    </w:p>
    <w:p w14:paraId="6823BA14" w14:textId="77777777" w:rsidR="008A742D" w:rsidRDefault="008A742D">
      <w:pPr>
        <w:pStyle w:val="Nadpis1"/>
        <w:spacing w:before="0"/>
        <w:rPr>
          <w:lang w:val="sk-SK"/>
        </w:rPr>
      </w:pPr>
    </w:p>
    <w:p w14:paraId="3DA684E1" w14:textId="77777777" w:rsidR="008A742D" w:rsidRDefault="008A742D">
      <w:pPr>
        <w:pStyle w:val="Nadpis1"/>
        <w:spacing w:before="0"/>
        <w:rPr>
          <w:lang w:val="sk-SK"/>
        </w:rPr>
      </w:pPr>
      <w:r>
        <w:rPr>
          <w:lang w:val="sk-SK"/>
        </w:rPr>
        <w:t>9.</w:t>
      </w:r>
      <w:r>
        <w:rPr>
          <w:lang w:val="sk-SK"/>
        </w:rPr>
        <w:tab/>
        <w:t>DÁTUM PRVEJ REGISTRÁCIE/PREDĹŽENIA REGISTRÁCIE</w:t>
      </w:r>
    </w:p>
    <w:p w14:paraId="38448FFE" w14:textId="77777777" w:rsidR="008A742D" w:rsidRDefault="008A742D">
      <w:pPr>
        <w:rPr>
          <w:szCs w:val="22"/>
          <w:lang w:val="sk-SK"/>
        </w:rPr>
      </w:pPr>
    </w:p>
    <w:p w14:paraId="3954DE76" w14:textId="77777777" w:rsidR="008A742D" w:rsidRDefault="008A742D">
      <w:pPr>
        <w:rPr>
          <w:szCs w:val="22"/>
          <w:lang w:val="sk-SK"/>
        </w:rPr>
      </w:pPr>
      <w:r>
        <w:rPr>
          <w:szCs w:val="22"/>
          <w:lang w:val="sk-SK"/>
        </w:rPr>
        <w:lastRenderedPageBreak/>
        <w:t>Dátum prvej registrácie: 02. jún 2009</w:t>
      </w:r>
      <w:r>
        <w:rPr>
          <w:szCs w:val="22"/>
          <w:lang w:val="sk-SK"/>
        </w:rPr>
        <w:br/>
        <w:t xml:space="preserve">Dátum posledného predĺženia registrácie: </w:t>
      </w:r>
      <w:r w:rsidR="007E649E">
        <w:rPr>
          <w:szCs w:val="22"/>
          <w:lang w:val="sk-SK"/>
        </w:rPr>
        <w:t>20.</w:t>
      </w:r>
      <w:r w:rsidR="005E2E0B">
        <w:rPr>
          <w:szCs w:val="22"/>
          <w:lang w:val="sk-SK"/>
        </w:rPr>
        <w:t xml:space="preserve"> </w:t>
      </w:r>
      <w:r w:rsidR="007E649E">
        <w:rPr>
          <w:szCs w:val="22"/>
          <w:lang w:val="sk-SK"/>
        </w:rPr>
        <w:t>jún 2014</w:t>
      </w:r>
    </w:p>
    <w:p w14:paraId="07E730E2" w14:textId="77777777" w:rsidR="008A742D" w:rsidRDefault="008A742D">
      <w:pPr>
        <w:pStyle w:val="Nadpis1"/>
        <w:spacing w:before="0"/>
        <w:rPr>
          <w:lang w:val="sk-SK"/>
        </w:rPr>
      </w:pPr>
    </w:p>
    <w:p w14:paraId="4B4B03AD" w14:textId="77777777" w:rsidR="008A742D" w:rsidRDefault="008A742D">
      <w:pPr>
        <w:pStyle w:val="Nadpis1"/>
        <w:spacing w:before="0"/>
        <w:rPr>
          <w:lang w:val="sk-SK"/>
        </w:rPr>
      </w:pPr>
    </w:p>
    <w:p w14:paraId="17D8D8D2" w14:textId="77777777" w:rsidR="008A742D" w:rsidRDefault="008A742D">
      <w:pPr>
        <w:pStyle w:val="Nadpis1"/>
        <w:spacing w:before="0"/>
        <w:rPr>
          <w:lang w:val="sk-SK"/>
        </w:rPr>
      </w:pPr>
      <w:r>
        <w:rPr>
          <w:lang w:val="sk-SK"/>
        </w:rPr>
        <w:t>10.</w:t>
      </w:r>
      <w:r>
        <w:rPr>
          <w:lang w:val="sk-SK"/>
        </w:rPr>
        <w:tab/>
        <w:t>DÁTUM REVÍZIE TEXTU</w:t>
      </w:r>
    </w:p>
    <w:p w14:paraId="7502A303" w14:textId="77777777" w:rsidR="008A742D" w:rsidRDefault="008A742D">
      <w:pPr>
        <w:rPr>
          <w:szCs w:val="22"/>
          <w:lang w:val="sk-SK"/>
        </w:rPr>
      </w:pPr>
    </w:p>
    <w:p w14:paraId="0134A92C" w14:textId="10AE0745" w:rsidR="008A742D" w:rsidRDefault="0025656B">
      <w:pPr>
        <w:rPr>
          <w:szCs w:val="22"/>
          <w:lang w:val="sk-SK"/>
        </w:rPr>
      </w:pPr>
      <w:r>
        <w:rPr>
          <w:szCs w:val="22"/>
          <w:lang w:val="sk-SK"/>
        </w:rPr>
        <w:t>0</w:t>
      </w:r>
      <w:r w:rsidR="00DA1A0F">
        <w:rPr>
          <w:szCs w:val="22"/>
          <w:lang w:val="sk-SK"/>
        </w:rPr>
        <w:t>9</w:t>
      </w:r>
      <w:r w:rsidR="008A742D">
        <w:rPr>
          <w:szCs w:val="22"/>
          <w:lang w:val="sk-SK"/>
        </w:rPr>
        <w:t>/201</w:t>
      </w:r>
      <w:r>
        <w:rPr>
          <w:szCs w:val="22"/>
          <w:lang w:val="sk-SK"/>
        </w:rPr>
        <w:t>9</w:t>
      </w:r>
    </w:p>
    <w:p w14:paraId="5C4AB2DB" w14:textId="77777777" w:rsidR="008A742D" w:rsidRDefault="008A742D">
      <w:pPr>
        <w:rPr>
          <w:szCs w:val="22"/>
          <w:lang w:val="sk-SK"/>
        </w:rPr>
      </w:pPr>
    </w:p>
    <w:p w14:paraId="38BC6C67" w14:textId="77777777" w:rsidR="008A742D" w:rsidRDefault="008A742D">
      <w:pPr>
        <w:rPr>
          <w:szCs w:val="22"/>
          <w:lang w:val="sk-SK"/>
        </w:rPr>
      </w:pPr>
    </w:p>
    <w:p w14:paraId="2F977F7D" w14:textId="77777777" w:rsidR="008A742D" w:rsidRDefault="008A742D">
      <w:pPr>
        <w:rPr>
          <w:lang w:val="sk-SK"/>
        </w:rPr>
      </w:pPr>
    </w:p>
    <w:sectPr w:rsidR="008A742D" w:rsidSect="007A4125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134" w:right="1418" w:bottom="1134" w:left="1418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66970" w14:textId="77777777" w:rsidR="009C2F7C" w:rsidRDefault="009C2F7C">
      <w:r>
        <w:separator/>
      </w:r>
    </w:p>
  </w:endnote>
  <w:endnote w:type="continuationSeparator" w:id="0">
    <w:p w14:paraId="4D5C74DA" w14:textId="77777777" w:rsidR="009C2F7C" w:rsidRDefault="009C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4AE2C" w14:textId="77777777" w:rsidR="008A742D" w:rsidRDefault="00442C36" w:rsidP="007C3F4B">
    <w:pPr>
      <w:pStyle w:val="Pta"/>
      <w:jc w:val="center"/>
      <w:rPr>
        <w:sz w:val="18"/>
      </w:rPr>
    </w:pPr>
    <w:r>
      <w:rPr>
        <w:sz w:val="18"/>
      </w:rPr>
      <w:fldChar w:fldCharType="begin"/>
    </w:r>
    <w:r w:rsidR="008A742D">
      <w:rPr>
        <w:sz w:val="18"/>
      </w:rPr>
      <w:instrText>PAGE   \* MERGEFORMAT</w:instrText>
    </w:r>
    <w:r>
      <w:rPr>
        <w:sz w:val="18"/>
      </w:rPr>
      <w:fldChar w:fldCharType="separate"/>
    </w:r>
    <w:r w:rsidR="003C04B5" w:rsidRPr="003C04B5">
      <w:rPr>
        <w:noProof/>
        <w:sz w:val="18"/>
        <w:lang w:val="sk-SK"/>
      </w:rPr>
      <w:t>12</w:t>
    </w:r>
    <w:r>
      <w:rPr>
        <w:sz w:val="18"/>
      </w:rPr>
      <w:fldChar w:fldCharType="end"/>
    </w:r>
  </w:p>
  <w:p w14:paraId="712ABDED" w14:textId="77777777" w:rsidR="008A742D" w:rsidRDefault="008A742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5B0F3" w14:textId="77777777" w:rsidR="008A742D" w:rsidRDefault="00442C36">
    <w:pPr>
      <w:pStyle w:val="Pta"/>
      <w:jc w:val="center"/>
      <w:rPr>
        <w:sz w:val="18"/>
      </w:rPr>
    </w:pPr>
    <w:r>
      <w:rPr>
        <w:sz w:val="18"/>
      </w:rPr>
      <w:fldChar w:fldCharType="begin"/>
    </w:r>
    <w:r w:rsidR="008A742D">
      <w:rPr>
        <w:sz w:val="18"/>
      </w:rPr>
      <w:instrText>PAGE   \* MERGEFORMAT</w:instrText>
    </w:r>
    <w:r>
      <w:rPr>
        <w:sz w:val="18"/>
      </w:rPr>
      <w:fldChar w:fldCharType="separate"/>
    </w:r>
    <w:r w:rsidR="003C04B5" w:rsidRPr="003C04B5">
      <w:rPr>
        <w:noProof/>
        <w:sz w:val="18"/>
        <w:lang w:val="sk-SK"/>
      </w:rPr>
      <w:t>1</w:t>
    </w:r>
    <w:r>
      <w:rPr>
        <w:sz w:val="18"/>
      </w:rPr>
      <w:fldChar w:fldCharType="end"/>
    </w:r>
  </w:p>
  <w:p w14:paraId="118220F0" w14:textId="77777777" w:rsidR="008A742D" w:rsidRDefault="008A742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9569D" w14:textId="77777777" w:rsidR="009C2F7C" w:rsidRDefault="009C2F7C">
      <w:r>
        <w:separator/>
      </w:r>
    </w:p>
  </w:footnote>
  <w:footnote w:type="continuationSeparator" w:id="0">
    <w:p w14:paraId="79BF657F" w14:textId="77777777" w:rsidR="009C2F7C" w:rsidRDefault="009C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89211" w14:textId="77777777" w:rsidR="008A742D" w:rsidRDefault="007A4125">
    <w:pPr>
      <w:pStyle w:val="Hlavika"/>
    </w:pPr>
    <w:r>
      <w:rPr>
        <w:color w:val="000000"/>
        <w:sz w:val="18"/>
        <w:lang w:val="sk-SK"/>
      </w:rPr>
      <w:t>Príloha č. 1 k notifikácii o zmene, ev. č.: 2019/04467-ZIB</w:t>
    </w:r>
  </w:p>
  <w:p w14:paraId="117876C3" w14:textId="77777777" w:rsidR="008A742D" w:rsidRDefault="008A742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A1E5D" w14:textId="7F599C22" w:rsidR="008A742D" w:rsidRDefault="008A742D">
    <w:pPr>
      <w:pStyle w:val="Hlavika"/>
      <w:rPr>
        <w:color w:val="000000"/>
        <w:sz w:val="18"/>
        <w:lang w:val="sk-SK"/>
      </w:rPr>
    </w:pPr>
    <w:r>
      <w:rPr>
        <w:color w:val="000000"/>
        <w:sz w:val="18"/>
        <w:lang w:val="sk-SK"/>
      </w:rPr>
      <w:t xml:space="preserve">Príloha č. 1 k notifikácii o zmene, ev. </w:t>
    </w:r>
    <w:r>
      <w:rPr>
        <w:color w:val="000000"/>
        <w:sz w:val="18"/>
        <w:lang w:val="sk-SK"/>
      </w:rPr>
      <w:t xml:space="preserve">č.: </w:t>
    </w:r>
    <w:r w:rsidR="00960D1D">
      <w:rPr>
        <w:color w:val="000000"/>
        <w:sz w:val="18"/>
        <w:lang w:val="sk-SK"/>
      </w:rPr>
      <w:t>2019/04467-ZIB</w:t>
    </w:r>
  </w:p>
  <w:p w14:paraId="62FBA668" w14:textId="77777777" w:rsidR="008A742D" w:rsidRDefault="008A742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F4D2F"/>
    <w:multiLevelType w:val="hybridMultilevel"/>
    <w:tmpl w:val="9E582D62"/>
    <w:lvl w:ilvl="0" w:tplc="A74C8F64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46546"/>
    <w:multiLevelType w:val="hybridMultilevel"/>
    <w:tmpl w:val="D8DE41F2"/>
    <w:lvl w:ilvl="0" w:tplc="BDDE7C9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723299"/>
    <w:multiLevelType w:val="singleLevel"/>
    <w:tmpl w:val="FFFFFFFF"/>
    <w:lvl w:ilvl="0">
      <w:numFmt w:val="bullet"/>
      <w:lvlText w:val="–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4B"/>
    <w:rsid w:val="00000913"/>
    <w:rsid w:val="000A7907"/>
    <w:rsid w:val="000C2017"/>
    <w:rsid w:val="000C3E6D"/>
    <w:rsid w:val="00102E6F"/>
    <w:rsid w:val="001D3AE1"/>
    <w:rsid w:val="00200B86"/>
    <w:rsid w:val="0025656B"/>
    <w:rsid w:val="00293C3F"/>
    <w:rsid w:val="002C19E1"/>
    <w:rsid w:val="003622D0"/>
    <w:rsid w:val="00392FBE"/>
    <w:rsid w:val="003C04B5"/>
    <w:rsid w:val="003E6636"/>
    <w:rsid w:val="00442C36"/>
    <w:rsid w:val="004641F8"/>
    <w:rsid w:val="00464331"/>
    <w:rsid w:val="0047073E"/>
    <w:rsid w:val="004C33BA"/>
    <w:rsid w:val="004F0977"/>
    <w:rsid w:val="00510CE2"/>
    <w:rsid w:val="005E2E0B"/>
    <w:rsid w:val="00612191"/>
    <w:rsid w:val="00613416"/>
    <w:rsid w:val="006439B9"/>
    <w:rsid w:val="006D1E78"/>
    <w:rsid w:val="00744BA3"/>
    <w:rsid w:val="007A4125"/>
    <w:rsid w:val="007A7B91"/>
    <w:rsid w:val="007C3F4B"/>
    <w:rsid w:val="007E60E6"/>
    <w:rsid w:val="007E649E"/>
    <w:rsid w:val="008166ED"/>
    <w:rsid w:val="00834854"/>
    <w:rsid w:val="00843153"/>
    <w:rsid w:val="00854306"/>
    <w:rsid w:val="0086636F"/>
    <w:rsid w:val="008A742D"/>
    <w:rsid w:val="008E149D"/>
    <w:rsid w:val="00902FD7"/>
    <w:rsid w:val="00923CCA"/>
    <w:rsid w:val="00931D7C"/>
    <w:rsid w:val="00932EEF"/>
    <w:rsid w:val="009538E1"/>
    <w:rsid w:val="00960D1D"/>
    <w:rsid w:val="009C2F7C"/>
    <w:rsid w:val="009D0C50"/>
    <w:rsid w:val="009E2C4E"/>
    <w:rsid w:val="009F346C"/>
    <w:rsid w:val="00A03CDE"/>
    <w:rsid w:val="00A50F75"/>
    <w:rsid w:val="00A846C6"/>
    <w:rsid w:val="00AD581E"/>
    <w:rsid w:val="00B22C04"/>
    <w:rsid w:val="00B711D4"/>
    <w:rsid w:val="00BD3EBD"/>
    <w:rsid w:val="00BE4F02"/>
    <w:rsid w:val="00C21FD9"/>
    <w:rsid w:val="00C40E12"/>
    <w:rsid w:val="00C42120"/>
    <w:rsid w:val="00C56E9A"/>
    <w:rsid w:val="00CE4F09"/>
    <w:rsid w:val="00D83603"/>
    <w:rsid w:val="00D8366C"/>
    <w:rsid w:val="00D93C4A"/>
    <w:rsid w:val="00DA1A0F"/>
    <w:rsid w:val="00E172EE"/>
    <w:rsid w:val="00E5034B"/>
    <w:rsid w:val="00E6524C"/>
    <w:rsid w:val="00EA2F65"/>
    <w:rsid w:val="00EA6784"/>
    <w:rsid w:val="00EB44F1"/>
    <w:rsid w:val="00F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818EBB"/>
  <w15:docId w15:val="{A37120C9-9089-4F26-936D-E2CEDDB1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C4A"/>
    <w:rPr>
      <w:sz w:val="22"/>
      <w:lang w:val="de-DE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93C4A"/>
    <w:pPr>
      <w:keepNext/>
      <w:tabs>
        <w:tab w:val="left" w:pos="567"/>
      </w:tabs>
      <w:spacing w:before="480"/>
      <w:ind w:left="567" w:hanging="567"/>
      <w:outlineLvl w:val="0"/>
    </w:pPr>
    <w:rPr>
      <w:b/>
      <w:caps/>
      <w:szCs w:val="22"/>
      <w:lang w:val="en-GB"/>
    </w:rPr>
  </w:style>
  <w:style w:type="paragraph" w:styleId="Nadpis2">
    <w:name w:val="heading 2"/>
    <w:basedOn w:val="Normlny"/>
    <w:next w:val="Normlny"/>
    <w:link w:val="Nadpis2Char"/>
    <w:uiPriority w:val="9"/>
    <w:qFormat/>
    <w:rsid w:val="00D93C4A"/>
    <w:pPr>
      <w:keepNext/>
      <w:tabs>
        <w:tab w:val="left" w:pos="567"/>
      </w:tabs>
      <w:spacing w:before="240"/>
      <w:ind w:left="567" w:hanging="567"/>
      <w:outlineLvl w:val="1"/>
    </w:pPr>
    <w:rPr>
      <w:b/>
      <w:szCs w:val="22"/>
      <w:lang w:val="en-GB"/>
    </w:rPr>
  </w:style>
  <w:style w:type="paragraph" w:styleId="Nadpis3">
    <w:name w:val="heading 3"/>
    <w:basedOn w:val="Normlny"/>
    <w:next w:val="Normlnysozarkami"/>
    <w:link w:val="Nadpis3Char"/>
    <w:uiPriority w:val="9"/>
    <w:qFormat/>
    <w:rsid w:val="00D93C4A"/>
    <w:pPr>
      <w:keepNext/>
      <w:spacing w:before="240"/>
      <w:outlineLvl w:val="2"/>
    </w:pPr>
    <w:rPr>
      <w:b/>
      <w:i/>
      <w:szCs w:val="22"/>
      <w:lang w:val="en-GB" w:eastAsia="sk-SK"/>
    </w:rPr>
  </w:style>
  <w:style w:type="paragraph" w:styleId="Nadpis4">
    <w:name w:val="heading 4"/>
    <w:basedOn w:val="Normlny"/>
    <w:next w:val="Normlnysozarkami"/>
    <w:link w:val="Nadpis4Char"/>
    <w:uiPriority w:val="9"/>
    <w:qFormat/>
    <w:rsid w:val="00D93C4A"/>
    <w:pPr>
      <w:keepNext/>
      <w:spacing w:before="240"/>
      <w:jc w:val="both"/>
      <w:outlineLvl w:val="3"/>
    </w:pPr>
    <w:rPr>
      <w:i/>
      <w:szCs w:val="22"/>
      <w:lang w:val="en-GB" w:eastAsia="sk-SK"/>
    </w:rPr>
  </w:style>
  <w:style w:type="paragraph" w:styleId="Nadpis5">
    <w:name w:val="heading 5"/>
    <w:basedOn w:val="Nadpis4"/>
    <w:next w:val="Normlnysozarkami"/>
    <w:link w:val="Nadpis5Char"/>
    <w:uiPriority w:val="9"/>
    <w:qFormat/>
    <w:rsid w:val="00D93C4A"/>
    <w:pPr>
      <w:outlineLvl w:val="4"/>
    </w:pPr>
    <w:rPr>
      <w:i w:val="0"/>
      <w:i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6720"/>
    <w:rPr>
      <w:rFonts w:ascii="Cambria" w:eastAsia="Times New Roman" w:hAnsi="Cambria" w:cs="Times New Roman"/>
      <w:b/>
      <w:bCs/>
      <w:kern w:val="32"/>
      <w:sz w:val="32"/>
      <w:szCs w:val="32"/>
      <w:lang w:val="de-DE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6720"/>
    <w:rPr>
      <w:rFonts w:ascii="Cambria" w:eastAsia="Times New Roman" w:hAnsi="Cambria" w:cs="Times New Roman"/>
      <w:b/>
      <w:bCs/>
      <w:i/>
      <w:iCs/>
      <w:sz w:val="28"/>
      <w:szCs w:val="28"/>
      <w:lang w:val="de-DE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D93C4A"/>
    <w:rPr>
      <w:b/>
      <w:i/>
      <w:sz w:val="22"/>
      <w:lang w:val="en-GB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D93C4A"/>
    <w:rPr>
      <w:i/>
      <w:sz w:val="22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6720"/>
    <w:rPr>
      <w:rFonts w:ascii="Calibri" w:eastAsia="Times New Roman" w:hAnsi="Calibri" w:cs="Times New Roman"/>
      <w:b/>
      <w:bCs/>
      <w:i/>
      <w:iCs/>
      <w:sz w:val="26"/>
      <w:szCs w:val="26"/>
      <w:lang w:val="de-DE" w:eastAsia="en-US"/>
    </w:rPr>
  </w:style>
  <w:style w:type="paragraph" w:styleId="Normlnysozarkami">
    <w:name w:val="Normal Indent"/>
    <w:basedOn w:val="Normlny"/>
    <w:uiPriority w:val="99"/>
    <w:rsid w:val="00D93C4A"/>
    <w:pPr>
      <w:ind w:left="708"/>
    </w:pPr>
  </w:style>
  <w:style w:type="paragraph" w:styleId="Zarkazkladnhotextu">
    <w:name w:val="Body Text Indent"/>
    <w:basedOn w:val="Normlny"/>
    <w:link w:val="ZarkazkladnhotextuChar"/>
    <w:uiPriority w:val="99"/>
    <w:rsid w:val="00D93C4A"/>
    <w:pPr>
      <w:ind w:left="709"/>
      <w:jc w:val="both"/>
    </w:pPr>
    <w:rPr>
      <w:sz w:val="24"/>
      <w:lang w:val="en-GB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D93C4A"/>
    <w:rPr>
      <w:sz w:val="24"/>
      <w:lang w:val="en-GB"/>
    </w:rPr>
  </w:style>
  <w:style w:type="paragraph" w:styleId="Nzov">
    <w:name w:val="Title"/>
    <w:basedOn w:val="Normlny"/>
    <w:link w:val="NzovChar"/>
    <w:uiPriority w:val="10"/>
    <w:qFormat/>
    <w:rsid w:val="00D93C4A"/>
    <w:pPr>
      <w:keepNext/>
      <w:jc w:val="center"/>
      <w:outlineLvl w:val="0"/>
    </w:pPr>
    <w:rPr>
      <w:b/>
      <w:caps/>
      <w:kern w:val="28"/>
      <w:sz w:val="30"/>
      <w:u w:val="single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726720"/>
    <w:rPr>
      <w:rFonts w:ascii="Cambria" w:eastAsia="Times New Roman" w:hAnsi="Cambria" w:cs="Times New Roman"/>
      <w:b/>
      <w:bCs/>
      <w:kern w:val="28"/>
      <w:sz w:val="32"/>
      <w:szCs w:val="32"/>
      <w:lang w:val="de-DE" w:eastAsia="en-US"/>
    </w:rPr>
  </w:style>
  <w:style w:type="paragraph" w:customStyle="1" w:styleId="Default">
    <w:name w:val="Default"/>
    <w:rsid w:val="00D93C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C4A"/>
    <w:rPr>
      <w:rFonts w:ascii="Tahoma" w:hAnsi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93C4A"/>
    <w:rPr>
      <w:rFonts w:ascii="Tahoma" w:hAnsi="Tahoma"/>
      <w:sz w:val="16"/>
      <w:lang w:val="de-DE"/>
    </w:rPr>
  </w:style>
  <w:style w:type="character" w:styleId="Hypertextovprepojenie">
    <w:name w:val="Hyperlink"/>
    <w:basedOn w:val="Predvolenpsmoodseku"/>
    <w:uiPriority w:val="99"/>
    <w:rsid w:val="00D93C4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93C4A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3C4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93C4A"/>
    <w:rPr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3C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93C4A"/>
    <w:rPr>
      <w:b/>
      <w:lang w:val="de-DE" w:eastAsia="en-US"/>
    </w:rPr>
  </w:style>
  <w:style w:type="paragraph" w:styleId="Hlavika">
    <w:name w:val="header"/>
    <w:basedOn w:val="Normlny"/>
    <w:link w:val="HlavikaChar"/>
    <w:uiPriority w:val="99"/>
    <w:unhideWhenUsed/>
    <w:rsid w:val="00D93C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93C4A"/>
    <w:rPr>
      <w:sz w:val="22"/>
      <w:lang w:val="de-DE" w:eastAsia="en-US"/>
    </w:rPr>
  </w:style>
  <w:style w:type="paragraph" w:styleId="Pta">
    <w:name w:val="footer"/>
    <w:basedOn w:val="Normlny"/>
    <w:link w:val="PtaChar"/>
    <w:uiPriority w:val="99"/>
    <w:unhideWhenUsed/>
    <w:rsid w:val="00D93C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D93C4A"/>
    <w:rPr>
      <w:sz w:val="22"/>
      <w:lang w:val="de-DE" w:eastAsia="en-US"/>
    </w:rPr>
  </w:style>
  <w:style w:type="paragraph" w:styleId="Normlnywebov">
    <w:name w:val="Normal (Web)"/>
    <w:basedOn w:val="Normlny"/>
    <w:uiPriority w:val="99"/>
    <w:rsid w:val="00D93C4A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3510</Words>
  <Characters>23417</Characters>
  <Application>Microsoft Office Word</Application>
  <DocSecurity>0</DocSecurity>
  <Lines>195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mt-g</Company>
  <LinksUpToDate>false</LinksUpToDate>
  <CharactersWithSpaces>26874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orangeglobal</dc:creator>
  <cp:keywords/>
  <dc:description/>
  <cp:lastModifiedBy>Repiščáková, Janka</cp:lastModifiedBy>
  <cp:revision>7</cp:revision>
  <cp:lastPrinted>2014-06-20T06:03:00Z</cp:lastPrinted>
  <dcterms:created xsi:type="dcterms:W3CDTF">2019-09-26T06:04:00Z</dcterms:created>
  <dcterms:modified xsi:type="dcterms:W3CDTF">2019-09-26T07:30:00Z</dcterms:modified>
</cp:coreProperties>
</file>