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75" w:rsidRPr="00F00F97" w:rsidRDefault="00302C75" w:rsidP="00946E44">
      <w:pPr>
        <w:jc w:val="center"/>
        <w:rPr>
          <w:b/>
          <w:sz w:val="22"/>
          <w:szCs w:val="22"/>
        </w:rPr>
      </w:pPr>
      <w:r w:rsidRPr="00F00F97">
        <w:rPr>
          <w:b/>
          <w:sz w:val="22"/>
          <w:szCs w:val="22"/>
        </w:rPr>
        <w:t>SÚHRN CHARAKTERISTICKÝCH VLASTNOSTÍ LIEKU</w:t>
      </w:r>
    </w:p>
    <w:p w:rsidR="00302C75" w:rsidRPr="00F00F97" w:rsidRDefault="00302C75" w:rsidP="002C525F">
      <w:pPr>
        <w:jc w:val="center"/>
        <w:rPr>
          <w:b/>
          <w:bCs/>
          <w:caps/>
          <w:sz w:val="22"/>
          <w:szCs w:val="22"/>
          <w:lang w:val="sk-SK"/>
        </w:rPr>
      </w:pPr>
    </w:p>
    <w:p w:rsidR="00302C75" w:rsidRPr="00F00F97" w:rsidRDefault="00302C75" w:rsidP="002C525F">
      <w:pPr>
        <w:jc w:val="center"/>
        <w:rPr>
          <w:b/>
          <w:bCs/>
          <w:sz w:val="22"/>
          <w:szCs w:val="22"/>
          <w:lang w:val="sk-SK"/>
        </w:rPr>
      </w:pPr>
    </w:p>
    <w:p w:rsidR="00302C75" w:rsidRPr="00F00F97" w:rsidRDefault="00302C75" w:rsidP="002C525F">
      <w:pPr>
        <w:tabs>
          <w:tab w:val="left" w:pos="561"/>
        </w:tabs>
        <w:rPr>
          <w:b/>
          <w:bCs/>
          <w:sz w:val="22"/>
          <w:szCs w:val="22"/>
          <w:lang w:val="sk-SK"/>
        </w:rPr>
      </w:pPr>
      <w:r w:rsidRPr="00F00F97">
        <w:rPr>
          <w:b/>
          <w:bCs/>
          <w:sz w:val="22"/>
          <w:szCs w:val="22"/>
          <w:lang w:val="sk-SK"/>
        </w:rPr>
        <w:t>1</w:t>
      </w:r>
      <w:r w:rsidRPr="00F00F97">
        <w:rPr>
          <w:b/>
          <w:bCs/>
          <w:sz w:val="22"/>
          <w:szCs w:val="22"/>
          <w:lang w:val="sk-SK"/>
        </w:rPr>
        <w:tab/>
        <w:t>NÁZOV LIEKU</w:t>
      </w:r>
    </w:p>
    <w:p w:rsidR="00302C75" w:rsidRPr="00F00F97" w:rsidRDefault="00302C75" w:rsidP="002C525F">
      <w:pPr>
        <w:rPr>
          <w:b/>
          <w:bCs/>
          <w:sz w:val="22"/>
          <w:szCs w:val="22"/>
          <w:lang w:val="sk-SK"/>
        </w:rPr>
      </w:pPr>
    </w:p>
    <w:p w:rsidR="00302C75" w:rsidRPr="00F00F97" w:rsidRDefault="00302C75" w:rsidP="002C525F">
      <w:pPr>
        <w:rPr>
          <w:sz w:val="22"/>
          <w:szCs w:val="22"/>
          <w:lang w:val="sk-SK"/>
        </w:rPr>
      </w:pPr>
      <w:r w:rsidRPr="00F00F97">
        <w:rPr>
          <w:sz w:val="22"/>
          <w:szCs w:val="22"/>
          <w:lang w:val="sk-SK"/>
        </w:rPr>
        <w:t>Quetiapine Accord 50 mg filmom obalené tablety s predĺženým uvoľňovaním</w:t>
      </w:r>
    </w:p>
    <w:p w:rsidR="00302C75" w:rsidRPr="00F00F97" w:rsidRDefault="00302C75" w:rsidP="002C525F">
      <w:pPr>
        <w:rPr>
          <w:sz w:val="22"/>
          <w:szCs w:val="22"/>
          <w:lang w:val="sk-SK"/>
        </w:rPr>
      </w:pPr>
    </w:p>
    <w:p w:rsidR="00302C75" w:rsidRPr="00F00F97" w:rsidRDefault="00302C75" w:rsidP="002C525F">
      <w:pPr>
        <w:rPr>
          <w:sz w:val="22"/>
          <w:szCs w:val="22"/>
          <w:lang w:val="sk-SK"/>
        </w:rPr>
      </w:pPr>
    </w:p>
    <w:p w:rsidR="00302C75" w:rsidRPr="00F00F97" w:rsidRDefault="00302C75" w:rsidP="002C525F">
      <w:pPr>
        <w:tabs>
          <w:tab w:val="left" w:pos="561"/>
        </w:tabs>
        <w:rPr>
          <w:b/>
          <w:bCs/>
          <w:sz w:val="22"/>
          <w:szCs w:val="22"/>
          <w:lang w:val="sk-SK"/>
        </w:rPr>
      </w:pPr>
      <w:r w:rsidRPr="00F00F97">
        <w:rPr>
          <w:b/>
          <w:bCs/>
          <w:sz w:val="22"/>
          <w:szCs w:val="22"/>
          <w:lang w:val="sk-SK"/>
        </w:rPr>
        <w:t>2</w:t>
      </w:r>
      <w:r w:rsidRPr="00F00F97">
        <w:rPr>
          <w:b/>
          <w:bCs/>
          <w:sz w:val="22"/>
          <w:szCs w:val="22"/>
          <w:lang w:val="sk-SK"/>
        </w:rPr>
        <w:tab/>
        <w:t>KVALITATÍVNE A KVANTITATÍVNE ZLOŽENIE</w:t>
      </w:r>
    </w:p>
    <w:p w:rsidR="00302C75" w:rsidRPr="00F00F97" w:rsidRDefault="00302C75" w:rsidP="002C525F">
      <w:pPr>
        <w:rPr>
          <w:sz w:val="22"/>
          <w:szCs w:val="22"/>
          <w:lang w:val="sk-SK"/>
        </w:rPr>
      </w:pPr>
    </w:p>
    <w:p w:rsidR="00302C75" w:rsidRPr="00F00F97" w:rsidRDefault="00302C75" w:rsidP="002C525F">
      <w:pPr>
        <w:jc w:val="both"/>
        <w:rPr>
          <w:sz w:val="22"/>
          <w:szCs w:val="22"/>
          <w:lang w:val="sk-SK"/>
        </w:rPr>
      </w:pPr>
    </w:p>
    <w:p w:rsidR="00302C75" w:rsidRPr="00F00F97" w:rsidRDefault="00302C75" w:rsidP="002C525F">
      <w:pPr>
        <w:jc w:val="both"/>
        <w:rPr>
          <w:sz w:val="22"/>
          <w:szCs w:val="22"/>
          <w:lang w:val="sk-SK"/>
        </w:rPr>
      </w:pPr>
      <w:r w:rsidRPr="00F00F97">
        <w:rPr>
          <w:sz w:val="22"/>
          <w:szCs w:val="22"/>
          <w:lang w:val="sk-SK"/>
        </w:rPr>
        <w:t xml:space="preserve">Každá 50 mg filmom obalená tableta s predĺženým uvoľňovaním obsahuje 50 mg kvetiapínu (vo forme </w:t>
      </w:r>
      <w:r w:rsidR="0050636D">
        <w:rPr>
          <w:sz w:val="22"/>
          <w:szCs w:val="22"/>
          <w:lang w:val="sk-SK"/>
        </w:rPr>
        <w:t>kvetiapínium-</w:t>
      </w:r>
      <w:r w:rsidRPr="00F00F97">
        <w:rPr>
          <w:sz w:val="22"/>
          <w:szCs w:val="22"/>
          <w:lang w:val="sk-SK"/>
        </w:rPr>
        <w:t>fumarátu).</w:t>
      </w:r>
    </w:p>
    <w:p w:rsidR="00302C75" w:rsidRPr="00F00F97" w:rsidRDefault="00302C75" w:rsidP="002C525F">
      <w:pPr>
        <w:jc w:val="both"/>
        <w:rPr>
          <w:sz w:val="22"/>
          <w:szCs w:val="22"/>
          <w:lang w:val="sk-SK"/>
        </w:rPr>
      </w:pPr>
      <w:r w:rsidRPr="00F00F97">
        <w:rPr>
          <w:sz w:val="22"/>
          <w:szCs w:val="22"/>
          <w:lang w:val="sk-SK"/>
        </w:rPr>
        <w:t>Pomocné látky so známym účinkom: 140,925 mg monohydrátu laktózy v jednej tablete</w:t>
      </w:r>
      <w:r w:rsidRPr="00F00F97" w:rsidDel="00D93A7A">
        <w:rPr>
          <w:sz w:val="22"/>
          <w:szCs w:val="22"/>
          <w:lang w:val="sk-SK"/>
        </w:rPr>
        <w:t xml:space="preserve"> </w:t>
      </w:r>
    </w:p>
    <w:p w:rsidR="00302C75" w:rsidRPr="00F00F97" w:rsidRDefault="00302C75" w:rsidP="002C525F">
      <w:pPr>
        <w:jc w:val="both"/>
        <w:rPr>
          <w:sz w:val="22"/>
          <w:szCs w:val="22"/>
          <w:lang w:val="sk-SK"/>
        </w:rPr>
      </w:pPr>
    </w:p>
    <w:p w:rsidR="00302C75" w:rsidRPr="00F00F97" w:rsidRDefault="00302C75" w:rsidP="002C525F">
      <w:pPr>
        <w:jc w:val="both"/>
        <w:rPr>
          <w:sz w:val="22"/>
          <w:szCs w:val="22"/>
          <w:lang w:val="sk-SK"/>
        </w:rPr>
      </w:pPr>
      <w:r w:rsidRPr="00F00F97">
        <w:rPr>
          <w:sz w:val="22"/>
          <w:szCs w:val="22"/>
          <w:lang w:val="sk-SK"/>
        </w:rPr>
        <w:t>Úplný zoznam pomocných látok, pozri časť 6.1.</w:t>
      </w:r>
    </w:p>
    <w:p w:rsidR="00302C75" w:rsidRPr="00F00F97" w:rsidRDefault="00302C75" w:rsidP="002C525F">
      <w:pPr>
        <w:rPr>
          <w:sz w:val="22"/>
          <w:szCs w:val="22"/>
          <w:lang w:val="sk-SK"/>
        </w:rPr>
      </w:pPr>
    </w:p>
    <w:p w:rsidR="00302C75" w:rsidRPr="00F00F97" w:rsidRDefault="00302C75" w:rsidP="002C525F">
      <w:pPr>
        <w:rPr>
          <w:sz w:val="22"/>
          <w:szCs w:val="22"/>
          <w:lang w:val="sk-SK"/>
        </w:rPr>
      </w:pPr>
    </w:p>
    <w:p w:rsidR="00302C75" w:rsidRPr="00F00F97" w:rsidRDefault="00302C75" w:rsidP="002C525F">
      <w:pPr>
        <w:tabs>
          <w:tab w:val="left" w:pos="561"/>
        </w:tabs>
        <w:rPr>
          <w:b/>
          <w:bCs/>
          <w:sz w:val="22"/>
          <w:szCs w:val="22"/>
          <w:lang w:val="sk-SK"/>
        </w:rPr>
      </w:pPr>
      <w:r w:rsidRPr="00F00F97">
        <w:rPr>
          <w:b/>
          <w:bCs/>
          <w:sz w:val="22"/>
          <w:szCs w:val="22"/>
          <w:lang w:val="sk-SK"/>
        </w:rPr>
        <w:t>3</w:t>
      </w:r>
      <w:r w:rsidRPr="00F00F97">
        <w:rPr>
          <w:b/>
          <w:bCs/>
          <w:sz w:val="22"/>
          <w:szCs w:val="22"/>
          <w:lang w:val="sk-SK"/>
        </w:rPr>
        <w:tab/>
        <w:t>LIEKOVÁ FORMA</w:t>
      </w:r>
    </w:p>
    <w:p w:rsidR="00302C75" w:rsidRPr="00F00F97" w:rsidRDefault="00302C75" w:rsidP="002C525F">
      <w:pPr>
        <w:rPr>
          <w:sz w:val="22"/>
          <w:szCs w:val="22"/>
          <w:lang w:val="sk-SK"/>
        </w:rPr>
      </w:pPr>
    </w:p>
    <w:p w:rsidR="00302C75" w:rsidRPr="00F00F97" w:rsidRDefault="00302C75" w:rsidP="002C525F">
      <w:pPr>
        <w:pStyle w:val="Hlavika"/>
        <w:tabs>
          <w:tab w:val="clear" w:pos="4320"/>
          <w:tab w:val="clear" w:pos="8640"/>
        </w:tabs>
        <w:rPr>
          <w:sz w:val="22"/>
          <w:szCs w:val="22"/>
          <w:lang w:val="sk-SK"/>
        </w:rPr>
      </w:pPr>
      <w:r w:rsidRPr="00F00F97">
        <w:rPr>
          <w:sz w:val="22"/>
          <w:szCs w:val="22"/>
          <w:lang w:val="sk-SK"/>
        </w:rPr>
        <w:t>Tableta s predĺženým uvoľňovaním</w:t>
      </w:r>
    </w:p>
    <w:p w:rsidR="00302C75" w:rsidRPr="00F00F97" w:rsidRDefault="00302C75" w:rsidP="002C525F">
      <w:pPr>
        <w:pStyle w:val="Hlavika"/>
        <w:tabs>
          <w:tab w:val="clear" w:pos="4320"/>
          <w:tab w:val="clear" w:pos="8640"/>
        </w:tabs>
        <w:rPr>
          <w:color w:val="000000"/>
          <w:sz w:val="22"/>
          <w:szCs w:val="22"/>
          <w:lang w:val="sk-SK"/>
        </w:rPr>
      </w:pPr>
      <w:r w:rsidRPr="00C850EA">
        <w:rPr>
          <w:sz w:val="22"/>
          <w:szCs w:val="22"/>
          <w:lang w:val="sk-SK"/>
        </w:rPr>
        <w:t>Broskyňovo sfarbené</w:t>
      </w:r>
      <w:r>
        <w:rPr>
          <w:sz w:val="22"/>
          <w:szCs w:val="22"/>
          <w:lang w:val="sk-SK"/>
        </w:rPr>
        <w:t xml:space="preserve"> </w:t>
      </w:r>
      <w:r w:rsidRPr="00F00F97">
        <w:rPr>
          <w:color w:val="000000"/>
          <w:sz w:val="22"/>
          <w:szCs w:val="22"/>
          <w:lang w:val="sk-SK"/>
        </w:rPr>
        <w:t>okrúhle bikonvexné filmom obalené tablety s označením „Q50“ na jednej strane a hladké na druhej strane.</w:t>
      </w:r>
    </w:p>
    <w:p w:rsidR="00302C75" w:rsidRPr="00F00F97" w:rsidRDefault="00302C75" w:rsidP="002C525F">
      <w:pPr>
        <w:pStyle w:val="Hlavika"/>
        <w:tabs>
          <w:tab w:val="clear" w:pos="4320"/>
          <w:tab w:val="clear" w:pos="8640"/>
        </w:tabs>
        <w:rPr>
          <w:sz w:val="22"/>
          <w:szCs w:val="22"/>
          <w:lang w:val="sk-SK"/>
        </w:rPr>
      </w:pPr>
      <w:r w:rsidRPr="00F00F97">
        <w:rPr>
          <w:b/>
          <w:color w:val="000000"/>
          <w:sz w:val="22"/>
          <w:szCs w:val="22"/>
          <w:lang w:val="sk-SK"/>
        </w:rPr>
        <w:t xml:space="preserve">Poznámka: </w:t>
      </w:r>
      <w:r w:rsidRPr="00F00F97">
        <w:rPr>
          <w:color w:val="000000"/>
          <w:sz w:val="22"/>
          <w:szCs w:val="22"/>
          <w:lang w:val="sk-SK"/>
        </w:rPr>
        <w:t>Priemer tablety 11,2 ±</w:t>
      </w:r>
      <w:smartTag w:uri="urn:schemas-microsoft-com:office:smarttags" w:element="metricconverter">
        <w:smartTagPr>
          <w:attr w:name="ProductID" w:val="0,2 mm"/>
        </w:smartTagPr>
        <w:r w:rsidRPr="00F00F97">
          <w:rPr>
            <w:color w:val="000000"/>
            <w:sz w:val="22"/>
            <w:szCs w:val="22"/>
            <w:lang w:val="sk-SK"/>
          </w:rPr>
          <w:t>0,2 mm</w:t>
        </w:r>
      </w:smartTag>
      <w:r w:rsidRPr="00F00F97">
        <w:rPr>
          <w:color w:val="000000"/>
          <w:sz w:val="22"/>
          <w:szCs w:val="22"/>
          <w:lang w:val="sk-SK"/>
        </w:rPr>
        <w:t xml:space="preserve"> </w:t>
      </w:r>
    </w:p>
    <w:p w:rsidR="00302C75" w:rsidRDefault="00302C75">
      <w:pPr>
        <w:rPr>
          <w:sz w:val="22"/>
          <w:szCs w:val="22"/>
          <w:lang w:val="sk-SK"/>
        </w:rPr>
      </w:pPr>
    </w:p>
    <w:p w:rsidR="00302C75" w:rsidRPr="00E21B7F" w:rsidRDefault="00302C75">
      <w:pPr>
        <w:rPr>
          <w:sz w:val="22"/>
          <w:szCs w:val="22"/>
          <w:lang w:val="sk-SK"/>
        </w:rPr>
      </w:pPr>
    </w:p>
    <w:p w:rsidR="00302C75" w:rsidRPr="00E21B7F" w:rsidRDefault="00302C75" w:rsidP="00337136">
      <w:pPr>
        <w:tabs>
          <w:tab w:val="left" w:pos="561"/>
        </w:tabs>
        <w:rPr>
          <w:b/>
          <w:bCs/>
          <w:sz w:val="22"/>
          <w:szCs w:val="22"/>
          <w:lang w:val="sk-SK"/>
        </w:rPr>
      </w:pPr>
      <w:r w:rsidRPr="00E21B7F">
        <w:rPr>
          <w:b/>
          <w:bCs/>
          <w:sz w:val="22"/>
          <w:szCs w:val="22"/>
          <w:lang w:val="sk-SK"/>
        </w:rPr>
        <w:t>4</w:t>
      </w:r>
      <w:r w:rsidRPr="00E21B7F">
        <w:rPr>
          <w:b/>
          <w:bCs/>
          <w:sz w:val="22"/>
          <w:szCs w:val="22"/>
          <w:lang w:val="sk-SK"/>
        </w:rPr>
        <w:tab/>
        <w:t>KLINICKÉ ÚDAJE</w:t>
      </w:r>
    </w:p>
    <w:p w:rsidR="00302C75" w:rsidRPr="00E21B7F" w:rsidRDefault="00302C75">
      <w:pPr>
        <w:jc w:val="both"/>
        <w:rPr>
          <w:b/>
          <w:bCs/>
          <w:sz w:val="22"/>
          <w:szCs w:val="22"/>
          <w:lang w:val="sk-SK"/>
        </w:rPr>
      </w:pPr>
    </w:p>
    <w:p w:rsidR="00302C75" w:rsidRPr="00E21B7F" w:rsidRDefault="00302C75" w:rsidP="00337136">
      <w:pPr>
        <w:tabs>
          <w:tab w:val="left" w:pos="561"/>
        </w:tabs>
        <w:jc w:val="both"/>
        <w:rPr>
          <w:b/>
          <w:bCs/>
          <w:sz w:val="22"/>
          <w:szCs w:val="22"/>
          <w:lang w:val="sk-SK"/>
        </w:rPr>
      </w:pPr>
      <w:r w:rsidRPr="00E21B7F">
        <w:rPr>
          <w:b/>
          <w:bCs/>
          <w:sz w:val="22"/>
          <w:szCs w:val="22"/>
          <w:lang w:val="sk-SK"/>
        </w:rPr>
        <w:t>4.1</w:t>
      </w:r>
      <w:r w:rsidRPr="00E21B7F">
        <w:rPr>
          <w:b/>
          <w:bCs/>
          <w:sz w:val="22"/>
          <w:szCs w:val="22"/>
          <w:lang w:val="sk-SK"/>
        </w:rPr>
        <w:tab/>
        <w:t>Terapeutické indikácie</w:t>
      </w:r>
    </w:p>
    <w:p w:rsidR="00302C75" w:rsidRPr="00E21B7F" w:rsidRDefault="00302C75">
      <w:pPr>
        <w:jc w:val="both"/>
        <w:rPr>
          <w:b/>
          <w:bCs/>
          <w:sz w:val="22"/>
          <w:szCs w:val="22"/>
          <w:lang w:val="sk-SK"/>
        </w:rPr>
      </w:pPr>
    </w:p>
    <w:p w:rsidR="00302C75" w:rsidRPr="00E21B7F" w:rsidRDefault="00302C75">
      <w:pPr>
        <w:rPr>
          <w:sz w:val="22"/>
          <w:szCs w:val="22"/>
          <w:lang w:val="sk-SK"/>
        </w:rPr>
      </w:pPr>
      <w:r w:rsidRPr="00E21B7F">
        <w:rPr>
          <w:sz w:val="22"/>
          <w:szCs w:val="22"/>
          <w:lang w:val="sk-SK"/>
        </w:rPr>
        <w:t xml:space="preserve">Liek Quetiapine Accord filmom obalené tablety s predĺženým uvoľňovaním je indikovaný: </w:t>
      </w:r>
    </w:p>
    <w:p w:rsidR="00302C75" w:rsidRPr="00E21B7F" w:rsidRDefault="00302C75">
      <w:pPr>
        <w:rPr>
          <w:sz w:val="22"/>
          <w:szCs w:val="22"/>
          <w:lang w:val="sk-SK"/>
        </w:rPr>
      </w:pPr>
      <w:r w:rsidRPr="00E21B7F">
        <w:rPr>
          <w:sz w:val="22"/>
          <w:szCs w:val="22"/>
          <w:lang w:val="sk-SK"/>
        </w:rPr>
        <w:t xml:space="preserve"> </w:t>
      </w:r>
    </w:p>
    <w:p w:rsidR="00302C75" w:rsidRPr="00E21B7F" w:rsidRDefault="00302C75" w:rsidP="005C4B32">
      <w:pPr>
        <w:numPr>
          <w:ilvl w:val="0"/>
          <w:numId w:val="24"/>
        </w:numPr>
        <w:ind w:left="357" w:hanging="357"/>
        <w:rPr>
          <w:sz w:val="22"/>
          <w:szCs w:val="22"/>
          <w:lang w:val="sk-SK"/>
        </w:rPr>
      </w:pPr>
      <w:r>
        <w:rPr>
          <w:sz w:val="22"/>
          <w:szCs w:val="22"/>
          <w:lang w:val="sk-SK"/>
        </w:rPr>
        <w:t>n</w:t>
      </w:r>
      <w:r w:rsidRPr="00E21B7F">
        <w:rPr>
          <w:sz w:val="22"/>
          <w:szCs w:val="22"/>
          <w:lang w:val="sk-SK"/>
        </w:rPr>
        <w:t>a liečbu schizofrénie</w:t>
      </w:r>
    </w:p>
    <w:p w:rsidR="00302C75" w:rsidRPr="00E21B7F" w:rsidRDefault="00302C75" w:rsidP="00A678AF">
      <w:pPr>
        <w:tabs>
          <w:tab w:val="left" w:pos="0"/>
        </w:tabs>
        <w:spacing w:line="260" w:lineRule="exact"/>
        <w:ind w:left="388"/>
        <w:jc w:val="both"/>
        <w:rPr>
          <w:sz w:val="22"/>
          <w:szCs w:val="22"/>
          <w:lang w:val="sk-SK"/>
        </w:rPr>
      </w:pPr>
    </w:p>
    <w:p w:rsidR="00302C75" w:rsidRPr="00E21B7F" w:rsidRDefault="00302C75" w:rsidP="005C4B32">
      <w:pPr>
        <w:pStyle w:val="A-NormalIndent"/>
        <w:numPr>
          <w:ilvl w:val="0"/>
          <w:numId w:val="25"/>
        </w:numPr>
        <w:spacing w:after="0" w:line="240" w:lineRule="auto"/>
        <w:ind w:left="357" w:hanging="357"/>
        <w:rPr>
          <w:sz w:val="22"/>
          <w:szCs w:val="22"/>
          <w:lang w:val="sk-SK"/>
        </w:rPr>
      </w:pPr>
      <w:r>
        <w:rPr>
          <w:sz w:val="22"/>
          <w:szCs w:val="22"/>
          <w:lang w:val="sk-SK"/>
        </w:rPr>
        <w:t>n</w:t>
      </w:r>
      <w:r w:rsidRPr="00E21B7F">
        <w:rPr>
          <w:sz w:val="22"/>
          <w:szCs w:val="22"/>
          <w:lang w:val="sk-SK"/>
        </w:rPr>
        <w:t>a liečbu bipolárnej afektívnej poruchy:</w:t>
      </w:r>
    </w:p>
    <w:p w:rsidR="00302C75" w:rsidRPr="00E21B7F" w:rsidRDefault="00302C75">
      <w:pPr>
        <w:numPr>
          <w:ilvl w:val="0"/>
          <w:numId w:val="14"/>
        </w:numPr>
        <w:tabs>
          <w:tab w:val="clear" w:pos="1440"/>
          <w:tab w:val="left" w:pos="0"/>
          <w:tab w:val="num" w:pos="748"/>
        </w:tabs>
        <w:spacing w:line="260" w:lineRule="exact"/>
        <w:ind w:left="748"/>
        <w:jc w:val="both"/>
        <w:rPr>
          <w:sz w:val="22"/>
          <w:szCs w:val="22"/>
          <w:lang w:val="sk-SK"/>
        </w:rPr>
      </w:pPr>
      <w:r w:rsidRPr="00E21B7F">
        <w:rPr>
          <w:sz w:val="22"/>
          <w:szCs w:val="22"/>
          <w:lang w:val="sk-SK"/>
        </w:rPr>
        <w:t xml:space="preserve">na liečbu </w:t>
      </w:r>
      <w:r>
        <w:rPr>
          <w:sz w:val="22"/>
          <w:szCs w:val="22"/>
          <w:lang w:val="sk-SK"/>
        </w:rPr>
        <w:t>stredne ťažkých</w:t>
      </w:r>
      <w:r w:rsidRPr="00E21B7F">
        <w:rPr>
          <w:sz w:val="22"/>
          <w:szCs w:val="22"/>
          <w:lang w:val="sk-SK"/>
        </w:rPr>
        <w:t xml:space="preserve"> až ťažkých manických epizód pri bipolárnej afektívnej poruche,</w:t>
      </w:r>
    </w:p>
    <w:p w:rsidR="00302C75" w:rsidRPr="00E21B7F" w:rsidRDefault="00302C75">
      <w:pPr>
        <w:numPr>
          <w:ilvl w:val="0"/>
          <w:numId w:val="14"/>
        </w:numPr>
        <w:tabs>
          <w:tab w:val="clear" w:pos="1440"/>
          <w:tab w:val="left" w:pos="0"/>
          <w:tab w:val="num" w:pos="748"/>
        </w:tabs>
        <w:spacing w:line="260" w:lineRule="exact"/>
        <w:ind w:left="748"/>
        <w:jc w:val="both"/>
        <w:rPr>
          <w:sz w:val="22"/>
          <w:szCs w:val="22"/>
          <w:lang w:val="sk-SK"/>
        </w:rPr>
      </w:pPr>
      <w:r w:rsidRPr="00E21B7F">
        <w:rPr>
          <w:sz w:val="22"/>
          <w:szCs w:val="22"/>
          <w:lang w:val="sk-SK"/>
        </w:rPr>
        <w:t xml:space="preserve">na liečbu epizód </w:t>
      </w:r>
      <w:r>
        <w:rPr>
          <w:sz w:val="22"/>
          <w:szCs w:val="22"/>
          <w:lang w:val="sk-SK"/>
        </w:rPr>
        <w:t>veľkej</w:t>
      </w:r>
      <w:r w:rsidRPr="00E21B7F">
        <w:rPr>
          <w:sz w:val="22"/>
          <w:szCs w:val="22"/>
          <w:lang w:val="sk-SK"/>
        </w:rPr>
        <w:t xml:space="preserve"> depresie pri bipolárnej afektívnej poruche,</w:t>
      </w:r>
    </w:p>
    <w:p w:rsidR="00302C75" w:rsidRPr="00E21B7F" w:rsidRDefault="00302C75" w:rsidP="00946E44">
      <w:pPr>
        <w:numPr>
          <w:ilvl w:val="0"/>
          <w:numId w:val="14"/>
        </w:numPr>
        <w:tabs>
          <w:tab w:val="clear" w:pos="1440"/>
          <w:tab w:val="left" w:pos="0"/>
          <w:tab w:val="num" w:pos="748"/>
        </w:tabs>
        <w:spacing w:line="260" w:lineRule="exact"/>
        <w:ind w:left="748"/>
        <w:rPr>
          <w:sz w:val="22"/>
          <w:szCs w:val="22"/>
          <w:lang w:val="sk-SK"/>
        </w:rPr>
      </w:pPr>
      <w:r w:rsidRPr="00E21B7F">
        <w:rPr>
          <w:sz w:val="22"/>
          <w:szCs w:val="22"/>
          <w:lang w:val="sk-SK"/>
        </w:rPr>
        <w:t xml:space="preserve">na prevenciu návratu </w:t>
      </w:r>
      <w:r>
        <w:rPr>
          <w:sz w:val="22"/>
          <w:szCs w:val="22"/>
          <w:lang w:val="sk-SK"/>
        </w:rPr>
        <w:t>manických a</w:t>
      </w:r>
      <w:r w:rsidR="00E85F63">
        <w:rPr>
          <w:sz w:val="22"/>
          <w:szCs w:val="22"/>
          <w:lang w:val="sk-SK"/>
        </w:rPr>
        <w:t>lebo</w:t>
      </w:r>
      <w:r>
        <w:rPr>
          <w:sz w:val="22"/>
          <w:szCs w:val="22"/>
          <w:lang w:val="sk-SK"/>
        </w:rPr>
        <w:t> depresívnych epizód</w:t>
      </w:r>
      <w:r w:rsidRPr="00E21B7F">
        <w:rPr>
          <w:sz w:val="22"/>
          <w:szCs w:val="22"/>
          <w:lang w:val="sk-SK"/>
        </w:rPr>
        <w:t xml:space="preserve"> u pacientov s bipolárnou afektívnou poruchou, ktor</w:t>
      </w:r>
      <w:r>
        <w:rPr>
          <w:sz w:val="22"/>
          <w:szCs w:val="22"/>
          <w:lang w:val="sk-SK"/>
        </w:rPr>
        <w:t xml:space="preserve">í predtým </w:t>
      </w:r>
      <w:r w:rsidRPr="00E21B7F">
        <w:rPr>
          <w:sz w:val="22"/>
          <w:szCs w:val="22"/>
          <w:lang w:val="sk-SK"/>
        </w:rPr>
        <w:t>reagoval</w:t>
      </w:r>
      <w:r>
        <w:rPr>
          <w:sz w:val="22"/>
          <w:szCs w:val="22"/>
          <w:lang w:val="sk-SK"/>
        </w:rPr>
        <w:t>i</w:t>
      </w:r>
      <w:r w:rsidRPr="00E21B7F">
        <w:rPr>
          <w:sz w:val="22"/>
          <w:szCs w:val="22"/>
          <w:lang w:val="sk-SK"/>
        </w:rPr>
        <w:t xml:space="preserve"> na liečbu kvetiapínom,</w:t>
      </w:r>
    </w:p>
    <w:p w:rsidR="00302C75" w:rsidRPr="00E21B7F" w:rsidRDefault="00302C75">
      <w:pPr>
        <w:tabs>
          <w:tab w:val="left" w:pos="0"/>
        </w:tabs>
        <w:spacing w:line="260" w:lineRule="exact"/>
        <w:rPr>
          <w:sz w:val="22"/>
          <w:szCs w:val="22"/>
          <w:lang w:val="sk-SK"/>
        </w:rPr>
      </w:pPr>
    </w:p>
    <w:p w:rsidR="00302C75" w:rsidRPr="00E21B7F" w:rsidRDefault="00302C75" w:rsidP="0050636D">
      <w:pPr>
        <w:numPr>
          <w:ilvl w:val="0"/>
          <w:numId w:val="23"/>
        </w:numPr>
        <w:tabs>
          <w:tab w:val="clear" w:pos="720"/>
          <w:tab w:val="num" w:pos="360"/>
        </w:tabs>
        <w:ind w:left="426" w:hanging="426"/>
        <w:rPr>
          <w:sz w:val="22"/>
          <w:szCs w:val="22"/>
          <w:lang w:val="sk-SK"/>
        </w:rPr>
      </w:pPr>
      <w:r w:rsidRPr="00E21B7F">
        <w:rPr>
          <w:sz w:val="22"/>
          <w:szCs w:val="22"/>
          <w:lang w:val="sk-SK"/>
        </w:rPr>
        <w:t xml:space="preserve">ako prídavná liečba veľkých depresívnych epizód u pacientov s veľkou depresívnou poruchou </w:t>
      </w:r>
    </w:p>
    <w:p w:rsidR="00302C75" w:rsidRPr="00E21B7F" w:rsidRDefault="00302C75" w:rsidP="0050636D">
      <w:pPr>
        <w:pStyle w:val="Default"/>
        <w:ind w:left="426"/>
        <w:rPr>
          <w:sz w:val="22"/>
          <w:szCs w:val="22"/>
        </w:rPr>
      </w:pPr>
      <w:r w:rsidRPr="00E21B7F">
        <w:rPr>
          <w:sz w:val="22"/>
          <w:szCs w:val="22"/>
        </w:rPr>
        <w:t>(</w:t>
      </w:r>
      <w:r w:rsidRPr="00946E44">
        <w:rPr>
          <w:i/>
          <w:sz w:val="22"/>
          <w:szCs w:val="22"/>
        </w:rPr>
        <w:t>Major Depressive Disorder</w:t>
      </w:r>
      <w:r w:rsidRPr="00E21B7F">
        <w:rPr>
          <w:sz w:val="22"/>
          <w:szCs w:val="22"/>
        </w:rPr>
        <w:t>, MDD), u ktorých odpoveď na monoterapiu antidepresívami bola  suboptimálna (pozri časť 5.1). Pred začatím liečby, je potrebné aby lekár zvážil bezpečnostný profil lieku Quetiapine Accord filmom obalené tablety s predĺženým uvoľňovaním (pozri časť 4.4).</w:t>
      </w:r>
    </w:p>
    <w:p w:rsidR="00302C75" w:rsidRPr="00E21B7F" w:rsidRDefault="00302C75">
      <w:pPr>
        <w:tabs>
          <w:tab w:val="left" w:pos="0"/>
          <w:tab w:val="left" w:pos="7140"/>
        </w:tabs>
        <w:spacing w:line="260" w:lineRule="exact"/>
        <w:rPr>
          <w:sz w:val="22"/>
          <w:szCs w:val="22"/>
          <w:lang w:val="sk-SK"/>
        </w:rPr>
      </w:pPr>
    </w:p>
    <w:p w:rsidR="00302C75" w:rsidRPr="00E21B7F" w:rsidRDefault="00302C75" w:rsidP="00337136">
      <w:pPr>
        <w:tabs>
          <w:tab w:val="left" w:pos="561"/>
        </w:tabs>
        <w:jc w:val="both"/>
        <w:rPr>
          <w:b/>
          <w:bCs/>
          <w:sz w:val="22"/>
          <w:szCs w:val="22"/>
          <w:lang w:val="sk-SK"/>
        </w:rPr>
      </w:pPr>
      <w:r w:rsidRPr="00E21B7F">
        <w:rPr>
          <w:b/>
          <w:bCs/>
          <w:sz w:val="22"/>
          <w:szCs w:val="22"/>
          <w:lang w:val="sk-SK"/>
        </w:rPr>
        <w:t>4.2</w:t>
      </w:r>
      <w:r w:rsidRPr="00E21B7F">
        <w:rPr>
          <w:b/>
          <w:bCs/>
          <w:sz w:val="22"/>
          <w:szCs w:val="22"/>
          <w:lang w:val="sk-SK"/>
        </w:rPr>
        <w:tab/>
        <w:t>Dávkovanie a spôsob podávania</w:t>
      </w:r>
    </w:p>
    <w:p w:rsidR="00302C75" w:rsidRPr="00E21B7F" w:rsidRDefault="00302C75">
      <w:pPr>
        <w:jc w:val="both"/>
        <w:rPr>
          <w:sz w:val="22"/>
          <w:szCs w:val="22"/>
          <w:lang w:val="sk-SK"/>
        </w:rPr>
      </w:pPr>
    </w:p>
    <w:p w:rsidR="00302C75" w:rsidRPr="005C4B32" w:rsidRDefault="00302C75" w:rsidP="00787A77">
      <w:pPr>
        <w:rPr>
          <w:b/>
          <w:sz w:val="22"/>
          <w:szCs w:val="22"/>
          <w:u w:val="single"/>
          <w:lang w:val="sk-SK"/>
        </w:rPr>
      </w:pPr>
      <w:r w:rsidRPr="005C4B32">
        <w:rPr>
          <w:b/>
          <w:noProof/>
          <w:sz w:val="22"/>
          <w:szCs w:val="22"/>
          <w:u w:val="single"/>
          <w:lang w:val="sk-SK"/>
        </w:rPr>
        <w:t>Dávkovanie</w:t>
      </w:r>
    </w:p>
    <w:p w:rsidR="00302C75" w:rsidRDefault="00302C75">
      <w:pPr>
        <w:pStyle w:val="A-NormalIndent"/>
        <w:spacing w:after="0" w:line="240" w:lineRule="auto"/>
        <w:ind w:left="0"/>
        <w:jc w:val="both"/>
        <w:rPr>
          <w:sz w:val="22"/>
          <w:szCs w:val="22"/>
          <w:lang w:val="sk-SK"/>
        </w:rPr>
      </w:pPr>
    </w:p>
    <w:p w:rsidR="00302C75" w:rsidRPr="00E21B7F" w:rsidRDefault="00302C75" w:rsidP="005C4B32">
      <w:pPr>
        <w:pStyle w:val="A-NormalIndent"/>
        <w:spacing w:after="0" w:line="240" w:lineRule="auto"/>
        <w:ind w:left="0"/>
        <w:jc w:val="both"/>
        <w:rPr>
          <w:sz w:val="22"/>
          <w:szCs w:val="22"/>
          <w:lang w:val="sk-SK"/>
        </w:rPr>
      </w:pPr>
      <w:r w:rsidRPr="00E21B7F">
        <w:rPr>
          <w:sz w:val="22"/>
          <w:szCs w:val="22"/>
          <w:lang w:val="sk-SK"/>
        </w:rPr>
        <w:t>Pre každú indikáciu existuje odlišná dávkovacia schéma. Preto je nutné zabezpečiť, aby boli pacientom podané jasné informácie o primeranom dávkovaní pre ich ochorenie.</w:t>
      </w:r>
    </w:p>
    <w:p w:rsidR="00302C75" w:rsidRPr="00E21B7F" w:rsidRDefault="00302C75">
      <w:pPr>
        <w:pStyle w:val="Hlavika"/>
        <w:tabs>
          <w:tab w:val="clear" w:pos="4320"/>
          <w:tab w:val="clear" w:pos="8640"/>
        </w:tabs>
        <w:rPr>
          <w:sz w:val="22"/>
          <w:szCs w:val="22"/>
          <w:lang w:val="sk-SK"/>
        </w:rPr>
      </w:pPr>
    </w:p>
    <w:p w:rsidR="00302C75" w:rsidRPr="00E21B7F" w:rsidRDefault="00302C75">
      <w:pPr>
        <w:rPr>
          <w:sz w:val="22"/>
          <w:szCs w:val="22"/>
          <w:lang w:val="sk-SK"/>
        </w:rPr>
      </w:pPr>
      <w:r w:rsidRPr="00E21B7F">
        <w:rPr>
          <w:b/>
          <w:bCs/>
          <w:sz w:val="22"/>
          <w:szCs w:val="22"/>
          <w:lang w:val="sk-SK"/>
        </w:rPr>
        <w:t xml:space="preserve">Dospelí </w:t>
      </w:r>
    </w:p>
    <w:p w:rsidR="00302C75" w:rsidRPr="00E21B7F" w:rsidRDefault="00302C75">
      <w:pPr>
        <w:pStyle w:val="Zkladntext"/>
        <w:rPr>
          <w:sz w:val="22"/>
          <w:szCs w:val="22"/>
          <w:lang w:val="sk-SK"/>
        </w:rPr>
      </w:pPr>
    </w:p>
    <w:p w:rsidR="00302C75" w:rsidRPr="00E21B7F" w:rsidRDefault="00302C75">
      <w:pPr>
        <w:jc w:val="both"/>
        <w:rPr>
          <w:b/>
          <w:bCs/>
          <w:sz w:val="22"/>
          <w:szCs w:val="22"/>
          <w:lang w:val="sk-SK"/>
        </w:rPr>
      </w:pPr>
      <w:r w:rsidRPr="00E21B7F">
        <w:rPr>
          <w:b/>
          <w:bCs/>
          <w:sz w:val="22"/>
          <w:szCs w:val="22"/>
          <w:lang w:val="sk-SK"/>
        </w:rPr>
        <w:t xml:space="preserve">Liečba schizofrénie a </w:t>
      </w:r>
      <w:r w:rsidRPr="00F00F97">
        <w:rPr>
          <w:b/>
          <w:bCs/>
          <w:sz w:val="22"/>
          <w:szCs w:val="22"/>
          <w:lang w:val="sk-SK"/>
        </w:rPr>
        <w:t xml:space="preserve">stredne ťažkých </w:t>
      </w:r>
      <w:r w:rsidRPr="00E21B7F">
        <w:rPr>
          <w:b/>
          <w:bCs/>
          <w:sz w:val="22"/>
          <w:szCs w:val="22"/>
          <w:lang w:val="sk-SK"/>
        </w:rPr>
        <w:t>až ťažkých manických epizód pri bipolárnej afektívnej poruche</w:t>
      </w:r>
    </w:p>
    <w:p w:rsidR="00302C75" w:rsidRPr="00E21B7F" w:rsidRDefault="00302C75">
      <w:pPr>
        <w:jc w:val="both"/>
        <w:rPr>
          <w:sz w:val="22"/>
          <w:szCs w:val="22"/>
          <w:lang w:val="sk-SK"/>
        </w:rPr>
      </w:pPr>
      <w:r w:rsidRPr="00E21B7F">
        <w:rPr>
          <w:sz w:val="22"/>
          <w:szCs w:val="22"/>
          <w:lang w:val="sk-SK"/>
        </w:rPr>
        <w:t>Liek Quetiapine Accord filmom obalené tablety s predĺženým uvoľňovaním sa má podávať aspoň hodinu pred jedlom. Celková denná dávka na začiatku terapie je 300 mg (1. deň ) a 600 mg (2. deň). Odporúčaná denná dávka je 600 mg, ak je to však klinicky opodstatnené, môže sa zvýšiť až na 800 mg denne. V závislosti od klinickej odpovede a znášanlivosti pacienta sa má dávka upraviť v rámci účinného dávkového rozpätia od 400 mg/deň do 800 mg/deň. Pri udržiavacej liečbe v prípade schizofrénie nie je potrebné upravovať dávkovanie.</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color w:val="auto"/>
          <w:sz w:val="22"/>
          <w:szCs w:val="22"/>
          <w:lang w:val="sk-SK"/>
        </w:rPr>
      </w:pPr>
      <w:r w:rsidRPr="00E21B7F">
        <w:rPr>
          <w:b/>
          <w:bCs/>
          <w:color w:val="auto"/>
          <w:sz w:val="22"/>
          <w:szCs w:val="22"/>
          <w:lang w:val="sk-SK"/>
        </w:rPr>
        <w:t xml:space="preserve">Liečba </w:t>
      </w:r>
      <w:r w:rsidRPr="00F00F97">
        <w:rPr>
          <w:b/>
          <w:bCs/>
          <w:color w:val="auto"/>
          <w:sz w:val="22"/>
          <w:szCs w:val="22"/>
          <w:lang w:val="sk-SK"/>
        </w:rPr>
        <w:t>veľkých</w:t>
      </w:r>
      <w:r w:rsidRPr="00E21B7F">
        <w:rPr>
          <w:b/>
          <w:bCs/>
          <w:color w:val="auto"/>
          <w:sz w:val="22"/>
          <w:szCs w:val="22"/>
          <w:lang w:val="sk-SK"/>
        </w:rPr>
        <w:t xml:space="preserve"> depresívnych epizód pri bipolárnej afektívnej poruche</w:t>
      </w:r>
    </w:p>
    <w:p w:rsidR="00302C75" w:rsidRPr="00E21B7F" w:rsidRDefault="00302C75">
      <w:pPr>
        <w:pStyle w:val="Normlnywebov"/>
        <w:spacing w:before="0" w:beforeAutospacing="0" w:after="0"/>
        <w:jc w:val="both"/>
        <w:rPr>
          <w:sz w:val="22"/>
          <w:szCs w:val="22"/>
          <w:lang w:val="sk-SK"/>
        </w:rPr>
      </w:pPr>
      <w:r w:rsidRPr="00E21B7F">
        <w:rPr>
          <w:sz w:val="22"/>
          <w:szCs w:val="22"/>
          <w:lang w:val="sk-SK"/>
        </w:rPr>
        <w:t xml:space="preserve">Liek Quetiapine Accord filmom obalené tablety s predĺženým uvoľňovaním sa podávajú pred spaním. </w:t>
      </w:r>
      <w:r>
        <w:rPr>
          <w:sz w:val="22"/>
          <w:szCs w:val="22"/>
          <w:lang w:val="sk-SK"/>
        </w:rPr>
        <w:t>D</w:t>
      </w:r>
      <w:r w:rsidRPr="00E21B7F">
        <w:rPr>
          <w:sz w:val="22"/>
          <w:szCs w:val="22"/>
          <w:lang w:val="sk-SK"/>
        </w:rPr>
        <w:t xml:space="preserve">enná dávka počas prvých 4 dní terapie je 50 mg (1. deň), 100 mg (2. deň), 200 mg (3. deň) a 300 mg (4. deň). Odporúčaná denná dávka je 300 mg. V klinických štúdiách sa nepozoroval ďalší prínos liečby v skupine, ktorá dostávala dávku 600 mg, v porovnaní so skupinou, ktorá dostávala dávku 300 mg (pozri časť 5.1). Dávka 600 mg môže byť prínosom pre jednotlivých pacientov. Liečbu dávkami nad 300 mg majú začínať </w:t>
      </w:r>
      <w:r w:rsidRPr="00E21B7F">
        <w:rPr>
          <w:iCs/>
          <w:sz w:val="22"/>
          <w:szCs w:val="22"/>
          <w:lang w:val="sk-SK"/>
        </w:rPr>
        <w:t>lekári</w:t>
      </w:r>
      <w:r w:rsidRPr="00E21B7F">
        <w:rPr>
          <w:sz w:val="22"/>
          <w:szCs w:val="22"/>
          <w:lang w:val="sk-SK"/>
        </w:rPr>
        <w:t xml:space="preserve"> so skúsenosťami s liečbou bipolárnej afektívnej poruchy. Klinické štúdie ukázali, že  u pacientov s problémom so znášanlivosťou liečby,</w:t>
      </w:r>
      <w:r w:rsidR="00D433DE">
        <w:rPr>
          <w:sz w:val="22"/>
          <w:szCs w:val="22"/>
          <w:lang w:val="sk-SK"/>
        </w:rPr>
        <w:t xml:space="preserve"> </w:t>
      </w:r>
      <w:r w:rsidRPr="00E21B7F">
        <w:rPr>
          <w:sz w:val="22"/>
          <w:szCs w:val="22"/>
          <w:lang w:val="sk-SK"/>
        </w:rPr>
        <w:t>je možné zvážiť zníženie dávky na minimum 200 mg.</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color w:val="auto"/>
          <w:sz w:val="22"/>
          <w:szCs w:val="22"/>
          <w:lang w:val="sk-SK"/>
        </w:rPr>
      </w:pPr>
      <w:r w:rsidRPr="00E21B7F">
        <w:rPr>
          <w:b/>
          <w:bCs/>
          <w:color w:val="auto"/>
          <w:sz w:val="22"/>
          <w:szCs w:val="22"/>
          <w:lang w:val="sk-SK"/>
        </w:rPr>
        <w:t xml:space="preserve">Prevencia recidívy </w:t>
      </w:r>
      <w:r w:rsidRPr="00F00F97">
        <w:rPr>
          <w:b/>
          <w:bCs/>
          <w:color w:val="auto"/>
          <w:sz w:val="22"/>
          <w:szCs w:val="22"/>
          <w:lang w:val="sk-SK"/>
        </w:rPr>
        <w:t xml:space="preserve">v rámci </w:t>
      </w:r>
      <w:r w:rsidRPr="00E21B7F">
        <w:rPr>
          <w:b/>
          <w:bCs/>
          <w:color w:val="auto"/>
          <w:sz w:val="22"/>
          <w:szCs w:val="22"/>
          <w:lang w:val="sk-SK"/>
        </w:rPr>
        <w:t>bipolárnej afektívnej poruchy</w:t>
      </w: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Pri prevencii návratu manických, zmiešaných </w:t>
      </w:r>
      <w:r>
        <w:rPr>
          <w:color w:val="auto"/>
          <w:sz w:val="22"/>
          <w:szCs w:val="22"/>
          <w:lang w:val="sk-SK"/>
        </w:rPr>
        <w:t xml:space="preserve">alebo </w:t>
      </w:r>
      <w:r w:rsidRPr="00E21B7F">
        <w:rPr>
          <w:color w:val="auto"/>
          <w:sz w:val="22"/>
          <w:szCs w:val="22"/>
          <w:lang w:val="sk-SK"/>
        </w:rPr>
        <w:t>depresívnych epizód pri bipolárnej afektívnej poruche majú pacienti, ktorí odpovedali na liečbu liekom Quetiapine Accord filmom obalené tablety s predĺženým uvoľňovaním pri akútnej</w:t>
      </w:r>
      <w:r w:rsidRPr="00E21B7F" w:rsidDel="00C27A8F">
        <w:rPr>
          <w:color w:val="auto"/>
          <w:sz w:val="22"/>
          <w:szCs w:val="22"/>
          <w:lang w:val="sk-SK"/>
        </w:rPr>
        <w:t xml:space="preserve"> </w:t>
      </w:r>
      <w:r w:rsidRPr="00E21B7F">
        <w:rPr>
          <w:color w:val="auto"/>
          <w:sz w:val="22"/>
          <w:szCs w:val="22"/>
          <w:lang w:val="sk-SK"/>
        </w:rPr>
        <w:t xml:space="preserve">liečbe bipolárnej afektívnej poruchy, pokračovať v terapii liekom Quetiapine Accord filmom obalenými tabletami s predĺženým uvoľňovaním s rovnakou dávkou podávanou pred spaním. Dávka sa môže upraviť u jednotlivého pacienta v závislosti od klinickej odpovede a znášanlivosti v rámci rozpätia dávky 300 mg/deň až 800 mg/deň. Je dôležité, aby sa pri udržiavacej liečbe užívala najnižšia účinná dávka.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rsidP="00B51B41">
      <w:pPr>
        <w:rPr>
          <w:b/>
          <w:bCs/>
          <w:sz w:val="22"/>
          <w:szCs w:val="22"/>
          <w:lang w:val="sk-SK"/>
        </w:rPr>
      </w:pPr>
      <w:r w:rsidRPr="00E21B7F">
        <w:rPr>
          <w:b/>
          <w:bCs/>
          <w:sz w:val="22"/>
          <w:szCs w:val="22"/>
          <w:lang w:val="sk-SK"/>
        </w:rPr>
        <w:t>Prídavná liečba veľkých depresívnych epizód u pacientov s veľkou depresívnou poruchou (MDD)</w:t>
      </w:r>
    </w:p>
    <w:p w:rsidR="00302C75" w:rsidRPr="00E21B7F" w:rsidRDefault="00302C75" w:rsidP="005C4B32">
      <w:pPr>
        <w:tabs>
          <w:tab w:val="left" w:pos="0"/>
        </w:tabs>
        <w:suppressAutoHyphens/>
        <w:rPr>
          <w:lang w:val="sk-SK"/>
        </w:rPr>
      </w:pPr>
      <w:r w:rsidRPr="00E21B7F">
        <w:rPr>
          <w:sz w:val="22"/>
          <w:szCs w:val="22"/>
          <w:lang w:val="sk-SK"/>
        </w:rPr>
        <w:t xml:space="preserve">Quetiapine Accord filmom obalené tablety s predĺženým uvoľňovaním sa majú užívať pred spaním. Denná dávka je na začiatku liečby 50 mg v 1. a 2. deň a 150 mg v </w:t>
      </w:r>
      <w:smartTag w:uri="urn:schemas-microsoft-com:office:smarttags" w:element="metricconverter">
        <w:smartTagPr>
          <w:attr w:name="ProductID" w:val="3. a"/>
        </w:smartTagPr>
        <w:r w:rsidRPr="00E21B7F">
          <w:rPr>
            <w:sz w:val="22"/>
            <w:szCs w:val="22"/>
            <w:lang w:val="sk-SK"/>
          </w:rPr>
          <w:t>3. a</w:t>
        </w:r>
      </w:smartTag>
      <w:r w:rsidRPr="00E21B7F">
        <w:rPr>
          <w:sz w:val="22"/>
          <w:szCs w:val="22"/>
          <w:lang w:val="sk-SK"/>
        </w:rPr>
        <w:t xml:space="preserve"> 4. deň. Antidepresívny účinok bol pozorovaný pri dávkach 150 mg/deň a 300 mg/deň v krátkodobých klinických skúškach s kvetiapínom ako prídavnou liečbou (k amitriptylínu, bupropiónu, citalopramu, duloxetínu, escitalopramu, fluoxetínu, paroxetínu, sertralínu a venlafaxínu – pozri časť 5.1.) a pri dávke 50 mg/deň v krátkodobých klinických skúškach s kvetiapínom ako monoterapiou. Pri vyšších dávkach existuje zvýšené riziko vzniku nežiaducich účinkov. Preto je potrebné, aby lekár zabezpečil, aby sa na liečbu použila čo najnižšia účinná  dávka, začínajúc od 50 mg/deň. Potreba zvýšiť dávku z</w:t>
      </w:r>
      <w:r>
        <w:rPr>
          <w:sz w:val="22"/>
          <w:szCs w:val="22"/>
          <w:lang w:val="sk-SK"/>
        </w:rPr>
        <w:t>o</w:t>
      </w:r>
      <w:r w:rsidRPr="00E21B7F">
        <w:rPr>
          <w:sz w:val="22"/>
          <w:szCs w:val="22"/>
          <w:lang w:val="sk-SK"/>
        </w:rPr>
        <w:t> 150 mg/deň na 300 mg/deň má vychádzať z individuálneho hodnotenia pacienta.</w:t>
      </w:r>
      <w:r w:rsidRPr="00E21B7F">
        <w:rPr>
          <w:lang w:val="sk-SK"/>
        </w:rPr>
        <w:t xml:space="preserve"> </w:t>
      </w:r>
    </w:p>
    <w:p w:rsidR="00302C75" w:rsidRPr="00E21B7F" w:rsidRDefault="00302C75">
      <w:pPr>
        <w:pStyle w:val="Zkladntext"/>
        <w:rPr>
          <w:sz w:val="22"/>
          <w:szCs w:val="22"/>
          <w:lang w:val="sk-SK"/>
        </w:rPr>
      </w:pPr>
    </w:p>
    <w:p w:rsidR="00302C75" w:rsidRPr="00E21B7F" w:rsidRDefault="00302C75">
      <w:pPr>
        <w:pStyle w:val="Zkladntext"/>
        <w:rPr>
          <w:b/>
          <w:bCs/>
          <w:sz w:val="22"/>
          <w:szCs w:val="22"/>
          <w:lang w:val="sk-SK"/>
        </w:rPr>
      </w:pPr>
      <w:r w:rsidRPr="00E21B7F">
        <w:rPr>
          <w:b/>
          <w:bCs/>
          <w:sz w:val="22"/>
          <w:szCs w:val="22"/>
          <w:lang w:val="sk-SK"/>
        </w:rPr>
        <w:t>Prechod z užívania tabliet kvetiapínu s okamžitým uvoľňovaním (Quetiapine Accord filmom obalené tablety)</w:t>
      </w:r>
    </w:p>
    <w:p w:rsidR="00302C75" w:rsidRPr="00E21B7F" w:rsidRDefault="00302C75">
      <w:pPr>
        <w:pStyle w:val="Normlnywebov"/>
        <w:spacing w:before="0" w:beforeAutospacing="0" w:after="0"/>
        <w:jc w:val="both"/>
        <w:rPr>
          <w:color w:val="auto"/>
          <w:sz w:val="22"/>
          <w:szCs w:val="22"/>
          <w:lang w:val="sk-SK"/>
        </w:rPr>
      </w:pPr>
      <w:r w:rsidRPr="00E21B7F">
        <w:rPr>
          <w:color w:val="auto"/>
          <w:sz w:val="22"/>
          <w:szCs w:val="22"/>
          <w:lang w:val="sk-SK"/>
        </w:rPr>
        <w:t>Pre pohodlnejšie dávkovanie môžu pacienti, ktorí sú súčasne liečení tabletami kvetiapínu s okamžitým uvoľňovaním (</w:t>
      </w:r>
      <w:r w:rsidRPr="00E21B7F">
        <w:rPr>
          <w:bCs/>
          <w:sz w:val="22"/>
          <w:szCs w:val="22"/>
          <w:lang w:val="sk-SK"/>
        </w:rPr>
        <w:t>Quetiapine Accord filmom obalené tablety</w:t>
      </w:r>
      <w:r w:rsidRPr="00E21B7F">
        <w:rPr>
          <w:color w:val="auto"/>
          <w:sz w:val="22"/>
          <w:szCs w:val="22"/>
          <w:lang w:val="sk-SK"/>
        </w:rPr>
        <w:t xml:space="preserve">) v rozdelených dávkach, prejsť na užívanie lieku Quetiapine Accord tablety s predĺženým uvoľňovaním v dávke ekvivalentnej celkovej dennej dávke užívanej raz denne. </w:t>
      </w:r>
      <w:r w:rsidRPr="00E21B7F">
        <w:rPr>
          <w:sz w:val="22"/>
          <w:szCs w:val="22"/>
          <w:lang w:val="sk-SK"/>
        </w:rPr>
        <w:t>Môže byť potrebná individuálna úprava dávkovania.</w:t>
      </w:r>
    </w:p>
    <w:p w:rsidR="00302C75" w:rsidRPr="00E21B7F" w:rsidRDefault="00302C75">
      <w:pPr>
        <w:autoSpaceDE w:val="0"/>
        <w:autoSpaceDN w:val="0"/>
        <w:adjustRightInd w:val="0"/>
        <w:jc w:val="both"/>
        <w:rPr>
          <w:sz w:val="22"/>
          <w:szCs w:val="22"/>
          <w:lang w:val="sk-SK"/>
        </w:rPr>
      </w:pPr>
    </w:p>
    <w:p w:rsidR="00302C75" w:rsidRPr="00E21B7F" w:rsidRDefault="00302C75">
      <w:pPr>
        <w:pStyle w:val="Zkladntext"/>
        <w:rPr>
          <w:sz w:val="22"/>
          <w:szCs w:val="22"/>
          <w:lang w:val="sk-SK"/>
        </w:rPr>
      </w:pPr>
      <w:r w:rsidRPr="00E21B7F">
        <w:rPr>
          <w:b/>
          <w:bCs/>
          <w:sz w:val="22"/>
          <w:szCs w:val="22"/>
          <w:lang w:val="sk-SK"/>
        </w:rPr>
        <w:t xml:space="preserve">Starší pacienti </w:t>
      </w:r>
    </w:p>
    <w:p w:rsidR="00302C75" w:rsidRPr="00E21B7F" w:rsidRDefault="00302C75">
      <w:pPr>
        <w:jc w:val="both"/>
        <w:rPr>
          <w:sz w:val="22"/>
          <w:szCs w:val="22"/>
          <w:lang w:val="sk-SK"/>
        </w:rPr>
      </w:pPr>
      <w:r w:rsidRPr="00E21B7F">
        <w:rPr>
          <w:sz w:val="22"/>
          <w:szCs w:val="22"/>
          <w:lang w:val="sk-SK"/>
        </w:rPr>
        <w:t xml:space="preserve">Podobne ako ostatné antipsychotiká a antidepresíva aj liek Quetiapine Accord filmom obalené tablety s predĺženým uvoľňovaním sa má užívať s opatrnosťou u starších pacientov, a to najmä počas úvodného obdobia stanovovania dávky. Môže byť potrebné zvoliť pomalšiu rýchlosť titrovania dávky a nižšiu dennú terapeutickú dávku ako u mladších pacientov. Priemerný plazmatický klírens kvetiapínu bol u starších pacientov znížený o 30 – 50 % v porovnaní s mladšími pacientmi. Starší pacienti majú liečbu začínať od dávky 50 mg na deň. Dávka sa môže zvyšovať o prírastok 50 mg/deň </w:t>
      </w:r>
      <w:r w:rsidRPr="00E21B7F">
        <w:rPr>
          <w:sz w:val="22"/>
          <w:szCs w:val="22"/>
          <w:lang w:val="sk-SK"/>
        </w:rPr>
        <w:lastRenderedPageBreak/>
        <w:t xml:space="preserve">až do dosiahnutia účinnej dávky v závislosti od klinickej odpovede a znášanlivosti individuálneho pacienta. </w:t>
      </w:r>
    </w:p>
    <w:p w:rsidR="00302C75" w:rsidRPr="00E21B7F" w:rsidRDefault="00302C75">
      <w:pPr>
        <w:jc w:val="both"/>
        <w:rPr>
          <w:sz w:val="22"/>
          <w:szCs w:val="22"/>
          <w:lang w:val="sk-SK"/>
        </w:rPr>
      </w:pPr>
    </w:p>
    <w:p w:rsidR="00302C75" w:rsidRPr="00E21B7F" w:rsidRDefault="00302C75" w:rsidP="00C2356C">
      <w:pPr>
        <w:rPr>
          <w:sz w:val="22"/>
          <w:szCs w:val="22"/>
          <w:lang w:val="sk-SK"/>
        </w:rPr>
      </w:pPr>
      <w:r w:rsidRPr="00E21B7F">
        <w:rPr>
          <w:sz w:val="22"/>
          <w:szCs w:val="22"/>
          <w:lang w:val="sk-SK"/>
        </w:rPr>
        <w:t>Liečba starších pacientov s </w:t>
      </w:r>
      <w:r w:rsidRPr="00E21B7F">
        <w:rPr>
          <w:bCs/>
          <w:sz w:val="22"/>
          <w:szCs w:val="22"/>
          <w:lang w:val="sk-SK"/>
        </w:rPr>
        <w:t>veľkými depresívnymi epizódami pri veľkej depresívnej poruche (MDD)</w:t>
      </w:r>
      <w:r w:rsidRPr="00E21B7F">
        <w:rPr>
          <w:b/>
          <w:bCs/>
          <w:sz w:val="22"/>
          <w:szCs w:val="22"/>
          <w:lang w:val="sk-SK"/>
        </w:rPr>
        <w:t xml:space="preserve"> </w:t>
      </w:r>
      <w:r w:rsidRPr="00E21B7F">
        <w:rPr>
          <w:sz w:val="22"/>
          <w:szCs w:val="22"/>
          <w:lang w:val="sk-SK"/>
        </w:rPr>
        <w:t>sa má začať dávkou 50 mg/deň v 1. až 3. deň, zvýšenou  na 100 mg/deň 4. deň a na</w:t>
      </w:r>
      <w:r>
        <w:rPr>
          <w:sz w:val="22"/>
          <w:szCs w:val="22"/>
          <w:lang w:val="sk-SK"/>
        </w:rPr>
        <w:t xml:space="preserve"> </w:t>
      </w:r>
      <w:r w:rsidRPr="00E21B7F">
        <w:rPr>
          <w:sz w:val="22"/>
          <w:szCs w:val="22"/>
          <w:lang w:val="sk-SK"/>
        </w:rPr>
        <w:t>150 mg/deň 8. deň. Má sa podať najnižšia účinná dávka začínajúc od 50 mg/deň. Ak je na základe individuálneho posúdenia pacienta potrebné zvýšiť dávku na 300 mg/deň, nemá to byť skôr ako v 22. d</w:t>
      </w:r>
      <w:r>
        <w:rPr>
          <w:sz w:val="22"/>
          <w:szCs w:val="22"/>
          <w:lang w:val="sk-SK"/>
        </w:rPr>
        <w:t>ni</w:t>
      </w:r>
      <w:r w:rsidRPr="00E21B7F">
        <w:rPr>
          <w:sz w:val="22"/>
          <w:szCs w:val="22"/>
          <w:lang w:val="sk-SK"/>
        </w:rPr>
        <w:t xml:space="preserve"> liečby. </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sz w:val="22"/>
          <w:szCs w:val="22"/>
          <w:lang w:val="sk-SK"/>
        </w:rPr>
        <w:t xml:space="preserve">Účinnosť a bezpečnosť u pacientov nad 65 rokov s epizódami depresie pri bipolárnej afektívnej poruche neboli hodnotené. </w:t>
      </w:r>
    </w:p>
    <w:p w:rsidR="00302C75" w:rsidRPr="00E21B7F" w:rsidRDefault="00302C75">
      <w:pPr>
        <w:pStyle w:val="Zkladntext"/>
        <w:rPr>
          <w:sz w:val="22"/>
          <w:szCs w:val="22"/>
          <w:lang w:val="sk-SK"/>
        </w:rPr>
      </w:pPr>
    </w:p>
    <w:p w:rsidR="00302C75" w:rsidRPr="00E21B7F" w:rsidRDefault="00302C75">
      <w:pPr>
        <w:rPr>
          <w:b/>
          <w:bCs/>
          <w:sz w:val="22"/>
          <w:szCs w:val="22"/>
          <w:lang w:val="sk-SK"/>
        </w:rPr>
      </w:pPr>
      <w:r>
        <w:rPr>
          <w:b/>
          <w:bCs/>
          <w:sz w:val="22"/>
          <w:szCs w:val="22"/>
          <w:lang w:val="sk-SK"/>
        </w:rPr>
        <w:t>Pediatrická populácia</w:t>
      </w:r>
    </w:p>
    <w:p w:rsidR="00302C75" w:rsidRPr="00E21B7F" w:rsidRDefault="00302C75">
      <w:pPr>
        <w:jc w:val="both"/>
        <w:rPr>
          <w:sz w:val="22"/>
          <w:szCs w:val="22"/>
          <w:lang w:val="sk-SK"/>
        </w:rPr>
      </w:pPr>
      <w:r w:rsidRPr="00E21B7F">
        <w:rPr>
          <w:sz w:val="22"/>
          <w:szCs w:val="22"/>
          <w:lang w:val="sk-SK"/>
        </w:rPr>
        <w:t xml:space="preserve">Užívanie lieku Quetiapine Accord filmom obalené tablety s predĺženým uvoľňovaním sa neodporúča </w:t>
      </w:r>
      <w:r w:rsidRPr="00F00F97">
        <w:rPr>
          <w:sz w:val="22"/>
          <w:szCs w:val="22"/>
          <w:lang w:val="sk-SK"/>
        </w:rPr>
        <w:t>používať</w:t>
      </w:r>
      <w:r w:rsidRPr="00E21B7F">
        <w:rPr>
          <w:sz w:val="22"/>
          <w:szCs w:val="22"/>
          <w:lang w:val="sk-SK"/>
        </w:rPr>
        <w:t xml:space="preserve"> u detí a dospievajúcich mladších ako 18 rokov pre nedostatok údajov, ktoré by podporili jeho užívanie </w:t>
      </w:r>
      <w:r>
        <w:rPr>
          <w:sz w:val="22"/>
          <w:szCs w:val="22"/>
          <w:lang w:val="sk-SK"/>
        </w:rPr>
        <w:t>v</w:t>
      </w:r>
      <w:r w:rsidRPr="00E21B7F">
        <w:rPr>
          <w:sz w:val="22"/>
          <w:szCs w:val="22"/>
          <w:lang w:val="sk-SK"/>
        </w:rPr>
        <w:t> tejto vekovej skupin</w:t>
      </w:r>
      <w:r>
        <w:rPr>
          <w:sz w:val="22"/>
          <w:szCs w:val="22"/>
          <w:lang w:val="sk-SK"/>
        </w:rPr>
        <w:t>e</w:t>
      </w:r>
      <w:r w:rsidRPr="00E21B7F">
        <w:rPr>
          <w:sz w:val="22"/>
          <w:szCs w:val="22"/>
          <w:lang w:val="sk-SK"/>
        </w:rPr>
        <w:t xml:space="preserve">. Dostupné dôkazy získané z placebom kontrolovaných klinických skúšaní sú </w:t>
      </w:r>
      <w:r>
        <w:rPr>
          <w:sz w:val="22"/>
          <w:szCs w:val="22"/>
          <w:lang w:val="sk-SK"/>
        </w:rPr>
        <w:t>uvedené</w:t>
      </w:r>
      <w:r w:rsidRPr="00E21B7F">
        <w:rPr>
          <w:sz w:val="22"/>
          <w:szCs w:val="22"/>
          <w:lang w:val="sk-SK"/>
        </w:rPr>
        <w:t xml:space="preserve"> v častiach 4.4, 4.8, </w:t>
      </w:r>
      <w:smartTag w:uri="urn:schemas-microsoft-com:office:smarttags" w:element="metricconverter">
        <w:smartTagPr>
          <w:attr w:name="ProductID" w:val="5.1 a"/>
        </w:smartTagPr>
        <w:r w:rsidRPr="00E21B7F">
          <w:rPr>
            <w:sz w:val="22"/>
            <w:szCs w:val="22"/>
            <w:lang w:val="sk-SK"/>
          </w:rPr>
          <w:t>5.1 a</w:t>
        </w:r>
      </w:smartTag>
      <w:r w:rsidRPr="00E21B7F">
        <w:rPr>
          <w:sz w:val="22"/>
          <w:szCs w:val="22"/>
          <w:lang w:val="sk-SK"/>
        </w:rPr>
        <w:t xml:space="preserve"> 5.2. </w:t>
      </w:r>
    </w:p>
    <w:p w:rsidR="00302C75" w:rsidRPr="00E21B7F" w:rsidRDefault="00302C75">
      <w:pPr>
        <w:jc w:val="both"/>
        <w:rPr>
          <w:b/>
          <w:bCs/>
          <w:sz w:val="22"/>
          <w:szCs w:val="22"/>
          <w:lang w:val="sk-SK"/>
        </w:rPr>
      </w:pPr>
    </w:p>
    <w:p w:rsidR="00302C75" w:rsidRPr="00E21B7F" w:rsidRDefault="00302C75">
      <w:pPr>
        <w:jc w:val="both"/>
        <w:rPr>
          <w:b/>
          <w:bCs/>
          <w:sz w:val="22"/>
          <w:szCs w:val="22"/>
          <w:lang w:val="sk-SK"/>
        </w:rPr>
      </w:pPr>
      <w:r>
        <w:rPr>
          <w:b/>
          <w:bCs/>
          <w:sz w:val="22"/>
          <w:szCs w:val="22"/>
          <w:lang w:val="sk-SK"/>
        </w:rPr>
        <w:t>Porucha</w:t>
      </w:r>
      <w:r w:rsidRPr="00E21B7F">
        <w:rPr>
          <w:b/>
          <w:bCs/>
          <w:sz w:val="22"/>
          <w:szCs w:val="22"/>
          <w:lang w:val="sk-SK"/>
        </w:rPr>
        <w:t xml:space="preserve"> funkcie obličiek:</w:t>
      </w:r>
    </w:p>
    <w:p w:rsidR="00302C75" w:rsidRPr="00E21B7F" w:rsidRDefault="00302C75">
      <w:pPr>
        <w:jc w:val="both"/>
        <w:rPr>
          <w:sz w:val="22"/>
          <w:szCs w:val="22"/>
          <w:lang w:val="sk-SK"/>
        </w:rPr>
      </w:pPr>
      <w:r w:rsidRPr="00E21B7F">
        <w:rPr>
          <w:sz w:val="22"/>
          <w:szCs w:val="22"/>
          <w:lang w:val="sk-SK"/>
        </w:rPr>
        <w:t xml:space="preserve">U pacientov s </w:t>
      </w:r>
      <w:r>
        <w:rPr>
          <w:sz w:val="22"/>
          <w:szCs w:val="22"/>
          <w:lang w:val="sk-SK"/>
        </w:rPr>
        <w:t>poruchou</w:t>
      </w:r>
      <w:r w:rsidRPr="00E21B7F">
        <w:rPr>
          <w:sz w:val="22"/>
          <w:szCs w:val="22"/>
          <w:lang w:val="sk-SK"/>
        </w:rPr>
        <w:t xml:space="preserve"> funkcie obličiek nie je potrebná úprava dávkovania. </w:t>
      </w:r>
    </w:p>
    <w:p w:rsidR="00302C75" w:rsidRPr="00E21B7F" w:rsidRDefault="00302C75">
      <w:pPr>
        <w:jc w:val="both"/>
        <w:rPr>
          <w:b/>
          <w:bCs/>
          <w:sz w:val="22"/>
          <w:szCs w:val="22"/>
          <w:lang w:val="sk-SK"/>
        </w:rPr>
      </w:pPr>
    </w:p>
    <w:p w:rsidR="00302C75" w:rsidRPr="00E21B7F" w:rsidRDefault="00302C75">
      <w:pPr>
        <w:jc w:val="both"/>
        <w:rPr>
          <w:b/>
          <w:bCs/>
          <w:sz w:val="22"/>
          <w:szCs w:val="22"/>
          <w:lang w:val="sk-SK"/>
        </w:rPr>
      </w:pPr>
      <w:r>
        <w:rPr>
          <w:b/>
          <w:bCs/>
          <w:sz w:val="22"/>
          <w:szCs w:val="22"/>
          <w:lang w:val="sk-SK"/>
        </w:rPr>
        <w:t xml:space="preserve">Porucha </w:t>
      </w:r>
      <w:r w:rsidRPr="00E21B7F">
        <w:rPr>
          <w:b/>
          <w:bCs/>
          <w:sz w:val="22"/>
          <w:szCs w:val="22"/>
          <w:lang w:val="sk-SK"/>
        </w:rPr>
        <w:t>funkcie pečene:</w:t>
      </w:r>
    </w:p>
    <w:p w:rsidR="00302C75" w:rsidRPr="00E21B7F" w:rsidRDefault="00302C75">
      <w:pPr>
        <w:jc w:val="both"/>
        <w:rPr>
          <w:sz w:val="22"/>
          <w:szCs w:val="22"/>
          <w:lang w:val="sk-SK"/>
        </w:rPr>
      </w:pPr>
      <w:r w:rsidRPr="00E21B7F">
        <w:rPr>
          <w:sz w:val="22"/>
          <w:szCs w:val="22"/>
          <w:lang w:val="sk-SK"/>
        </w:rPr>
        <w:t xml:space="preserve">Kvetiapín je vo veľkej miere metabolizovaný pečeňou. Preto sa Quetiapine Accord  filmom obalené tablety s predĺženým uvoľňovaním </w:t>
      </w:r>
      <w:r w:rsidR="00D433DE">
        <w:rPr>
          <w:sz w:val="22"/>
          <w:szCs w:val="22"/>
          <w:lang w:val="sk-SK"/>
        </w:rPr>
        <w:t>má</w:t>
      </w:r>
      <w:r w:rsidR="00D433DE" w:rsidRPr="00E21B7F">
        <w:rPr>
          <w:sz w:val="22"/>
          <w:szCs w:val="22"/>
          <w:lang w:val="sk-SK"/>
        </w:rPr>
        <w:t xml:space="preserve"> </w:t>
      </w:r>
      <w:r w:rsidRPr="00E21B7F">
        <w:rPr>
          <w:sz w:val="22"/>
          <w:szCs w:val="22"/>
          <w:lang w:val="sk-SK"/>
        </w:rPr>
        <w:t xml:space="preserve">užívať opatrne u pacientov so známym poškodením  pečene, najmä počas úvodného obdobia stanovovania dávky. Pacienti s poškodením pečene majú začať s dávkou 50 mg/deň. Dávkovanie sa môže zvyšovať o prírastky 50 mg/deň až do dosiahnutia účinnej dávky v závislosti od klinickej odpovede a znášanlivosti individuálneho pacienta. </w:t>
      </w:r>
    </w:p>
    <w:p w:rsidR="00302C75" w:rsidRPr="00E21B7F" w:rsidRDefault="00302C75">
      <w:pPr>
        <w:autoSpaceDE w:val="0"/>
        <w:autoSpaceDN w:val="0"/>
        <w:adjustRightInd w:val="0"/>
        <w:jc w:val="both"/>
        <w:rPr>
          <w:sz w:val="22"/>
          <w:szCs w:val="22"/>
          <w:lang w:val="sk-SK"/>
        </w:rPr>
      </w:pPr>
    </w:p>
    <w:p w:rsidR="00302C75" w:rsidRPr="00A505E4" w:rsidRDefault="00302C75" w:rsidP="0053189A">
      <w:pPr>
        <w:rPr>
          <w:lang w:val="sk-SK"/>
        </w:rPr>
      </w:pPr>
      <w:r w:rsidRPr="005C4B32">
        <w:rPr>
          <w:b/>
          <w:noProof/>
          <w:sz w:val="22"/>
          <w:szCs w:val="22"/>
          <w:u w:val="single"/>
          <w:lang w:val="sk-SK"/>
        </w:rPr>
        <w:t>Spôsob podávania</w:t>
      </w:r>
    </w:p>
    <w:p w:rsidR="00302C75" w:rsidRPr="00E21B7F" w:rsidRDefault="00302C75">
      <w:pPr>
        <w:jc w:val="both"/>
        <w:rPr>
          <w:sz w:val="22"/>
          <w:szCs w:val="22"/>
          <w:lang w:val="sk-SK"/>
        </w:rPr>
      </w:pPr>
      <w:r w:rsidRPr="00E21B7F">
        <w:rPr>
          <w:sz w:val="22"/>
          <w:szCs w:val="22"/>
          <w:lang w:val="sk-SK"/>
        </w:rPr>
        <w:t>Liek Quetiapine Accord filmom obalené tablety s predĺženým uvoľňovaním sa má podávať raz denne a bez jedla. Tablety sa majú prehĺtať celé a nemajú sa deliť, žuvať ani drviť.</w:t>
      </w:r>
    </w:p>
    <w:p w:rsidR="00302C75" w:rsidRPr="00E21B7F" w:rsidRDefault="00302C75" w:rsidP="00337136">
      <w:pPr>
        <w:tabs>
          <w:tab w:val="left" w:pos="561"/>
        </w:tabs>
        <w:jc w:val="both"/>
        <w:rPr>
          <w:b/>
          <w:bCs/>
          <w:sz w:val="22"/>
          <w:szCs w:val="22"/>
          <w:lang w:val="sk-SK"/>
        </w:rPr>
      </w:pPr>
    </w:p>
    <w:p w:rsidR="00302C75" w:rsidRPr="00E21B7F" w:rsidRDefault="00302C75" w:rsidP="00337136">
      <w:pPr>
        <w:tabs>
          <w:tab w:val="left" w:pos="561"/>
        </w:tabs>
        <w:jc w:val="both"/>
        <w:rPr>
          <w:b/>
          <w:bCs/>
          <w:sz w:val="22"/>
          <w:szCs w:val="22"/>
          <w:lang w:val="sk-SK"/>
        </w:rPr>
      </w:pPr>
      <w:r w:rsidRPr="00E21B7F">
        <w:rPr>
          <w:b/>
          <w:bCs/>
          <w:sz w:val="22"/>
          <w:szCs w:val="22"/>
          <w:lang w:val="sk-SK"/>
        </w:rPr>
        <w:t>4.3</w:t>
      </w:r>
      <w:r w:rsidRPr="00E21B7F">
        <w:rPr>
          <w:b/>
          <w:bCs/>
          <w:sz w:val="22"/>
          <w:szCs w:val="22"/>
          <w:lang w:val="sk-SK"/>
        </w:rPr>
        <w:tab/>
        <w:t>Kontraindikácie</w:t>
      </w:r>
    </w:p>
    <w:p w:rsidR="00302C75" w:rsidRPr="00E21B7F" w:rsidRDefault="00302C75">
      <w:pPr>
        <w:jc w:val="both"/>
        <w:rPr>
          <w:sz w:val="22"/>
          <w:szCs w:val="22"/>
          <w:lang w:val="sk-SK"/>
        </w:rPr>
      </w:pPr>
    </w:p>
    <w:p w:rsidR="00302C75" w:rsidRDefault="00302C75">
      <w:pPr>
        <w:pStyle w:val="Zkladntext2"/>
        <w:rPr>
          <w:b w:val="0"/>
          <w:bCs w:val="0"/>
          <w:sz w:val="22"/>
          <w:szCs w:val="22"/>
          <w:lang w:val="sk-SK"/>
        </w:rPr>
      </w:pPr>
      <w:r w:rsidRPr="00E21B7F">
        <w:rPr>
          <w:b w:val="0"/>
          <w:bCs w:val="0"/>
          <w:sz w:val="22"/>
          <w:szCs w:val="22"/>
          <w:lang w:val="sk-SK"/>
        </w:rPr>
        <w:t>Precitlivenosť na liečivo</w:t>
      </w:r>
      <w:r>
        <w:rPr>
          <w:b w:val="0"/>
          <w:bCs w:val="0"/>
          <w:sz w:val="22"/>
          <w:szCs w:val="22"/>
          <w:lang w:val="sk-SK"/>
        </w:rPr>
        <w:t xml:space="preserve"> (liečivá)</w:t>
      </w:r>
      <w:r w:rsidRPr="00E21B7F">
        <w:rPr>
          <w:b w:val="0"/>
          <w:bCs w:val="0"/>
          <w:sz w:val="22"/>
          <w:szCs w:val="22"/>
          <w:lang w:val="sk-SK"/>
        </w:rPr>
        <w:t xml:space="preserve"> alebo na ktorúkoľvek z pomocných látok</w:t>
      </w:r>
      <w:r>
        <w:rPr>
          <w:b w:val="0"/>
          <w:bCs w:val="0"/>
          <w:sz w:val="22"/>
          <w:szCs w:val="22"/>
          <w:lang w:val="sk-SK"/>
        </w:rPr>
        <w:t xml:space="preserve"> uvedených v časti 6.1.</w:t>
      </w:r>
    </w:p>
    <w:p w:rsidR="008F2ED9" w:rsidRPr="00E21B7F" w:rsidRDefault="008F2ED9">
      <w:pPr>
        <w:pStyle w:val="Zkladntext2"/>
        <w:rPr>
          <w:b w:val="0"/>
          <w:bCs w:val="0"/>
          <w:sz w:val="22"/>
          <w:szCs w:val="22"/>
          <w:lang w:val="sk-SK"/>
        </w:rPr>
      </w:pPr>
    </w:p>
    <w:p w:rsidR="00302C75" w:rsidRPr="00E21B7F" w:rsidRDefault="00302C75">
      <w:pPr>
        <w:autoSpaceDE w:val="0"/>
        <w:autoSpaceDN w:val="0"/>
        <w:adjustRightInd w:val="0"/>
        <w:jc w:val="both"/>
        <w:rPr>
          <w:b/>
          <w:bCs/>
          <w:sz w:val="22"/>
          <w:szCs w:val="22"/>
          <w:lang w:val="sk-SK"/>
        </w:rPr>
      </w:pPr>
      <w:r w:rsidRPr="00E21B7F">
        <w:rPr>
          <w:sz w:val="22"/>
          <w:szCs w:val="22"/>
          <w:lang w:val="sk-SK"/>
        </w:rPr>
        <w:t>Súbežné podávanie inhibítorov 3A4 cytochrómu P450, ako sú inhibítory HIV</w:t>
      </w:r>
      <w:r w:rsidRPr="00E21B7F">
        <w:rPr>
          <w:sz w:val="22"/>
          <w:szCs w:val="22"/>
          <w:lang w:val="sk-SK"/>
        </w:rPr>
        <w:noBreakHyphen/>
        <w:t>proteázy, antimykotiká azolového radu, erytromycín, klaritromycín a nefazodón, je kontraindikované. (Pozri časť 4.5).</w:t>
      </w:r>
    </w:p>
    <w:p w:rsidR="00302C75" w:rsidRPr="00E21B7F" w:rsidRDefault="00302C75">
      <w:pPr>
        <w:pStyle w:val="Hlavika"/>
        <w:tabs>
          <w:tab w:val="clear" w:pos="4320"/>
          <w:tab w:val="clear" w:pos="8640"/>
        </w:tabs>
        <w:rPr>
          <w:sz w:val="22"/>
          <w:szCs w:val="22"/>
          <w:lang w:val="sk-SK"/>
        </w:rPr>
      </w:pPr>
    </w:p>
    <w:p w:rsidR="00302C75" w:rsidRPr="00E21B7F" w:rsidRDefault="00302C75" w:rsidP="00337136">
      <w:pPr>
        <w:pStyle w:val="Hlavika"/>
        <w:numPr>
          <w:ilvl w:val="1"/>
          <w:numId w:val="3"/>
        </w:numPr>
        <w:tabs>
          <w:tab w:val="clear" w:pos="720"/>
          <w:tab w:val="clear" w:pos="4320"/>
          <w:tab w:val="clear" w:pos="8640"/>
          <w:tab w:val="num" w:pos="561"/>
        </w:tabs>
        <w:rPr>
          <w:b/>
          <w:bCs/>
          <w:sz w:val="22"/>
          <w:szCs w:val="22"/>
          <w:lang w:val="sk-SK"/>
        </w:rPr>
      </w:pPr>
      <w:r w:rsidRPr="00E21B7F">
        <w:rPr>
          <w:b/>
          <w:bCs/>
          <w:sz w:val="22"/>
          <w:szCs w:val="22"/>
          <w:lang w:val="sk-SK"/>
        </w:rPr>
        <w:t>Osobitné upozornenia a opatrenia pri používaní</w:t>
      </w:r>
    </w:p>
    <w:p w:rsidR="00302C75" w:rsidRPr="00E21B7F" w:rsidRDefault="00302C75">
      <w:pPr>
        <w:jc w:val="both"/>
        <w:rPr>
          <w:sz w:val="22"/>
          <w:szCs w:val="22"/>
          <w:lang w:val="sk-SK"/>
        </w:rPr>
      </w:pPr>
    </w:p>
    <w:p w:rsidR="00302C75" w:rsidRPr="00E21B7F" w:rsidRDefault="00302C75" w:rsidP="002650C0">
      <w:pPr>
        <w:rPr>
          <w:sz w:val="22"/>
          <w:szCs w:val="22"/>
          <w:lang w:val="sk-SK"/>
        </w:rPr>
      </w:pPr>
      <w:r w:rsidRPr="00E21B7F">
        <w:rPr>
          <w:sz w:val="22"/>
          <w:szCs w:val="22"/>
          <w:lang w:val="sk-SK"/>
        </w:rPr>
        <w:t xml:space="preserve">Keďže liek Quetiapine Accord filmom obalené tablety s predĺženým uvoľňovaním </w:t>
      </w:r>
      <w:r>
        <w:rPr>
          <w:sz w:val="22"/>
          <w:szCs w:val="22"/>
          <w:lang w:val="sk-SK"/>
        </w:rPr>
        <w:t>má niekoľko indikácií,</w:t>
      </w:r>
      <w:r w:rsidRPr="00E21B7F">
        <w:rPr>
          <w:sz w:val="22"/>
          <w:szCs w:val="22"/>
          <w:lang w:val="sk-SK"/>
        </w:rPr>
        <w:t xml:space="preserve"> bezpečnostný profil sa má posudzovať individuálne s ohľadom na diagnózu pacienta a na podávanú dávku. </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sz w:val="22"/>
          <w:szCs w:val="22"/>
          <w:lang w:val="sk-SK"/>
        </w:rPr>
        <w:t>Dlhodobá účinnosť a bezpečnosť liečby kvetiapínom u pacientov s MDD nebola hodnotená ako prídavná liečba, ale bola hodnotená dlhodobá účinnosť a bezpečnosť liečby kvetiapínom u dospelých pacientov ako monoterapia (pozri časť 5.1).</w:t>
      </w:r>
    </w:p>
    <w:p w:rsidR="00302C75" w:rsidRPr="00E21B7F" w:rsidRDefault="00302C75">
      <w:pPr>
        <w:jc w:val="both"/>
        <w:rPr>
          <w:sz w:val="22"/>
          <w:szCs w:val="22"/>
          <w:lang w:val="sk-SK"/>
        </w:rPr>
      </w:pPr>
    </w:p>
    <w:p w:rsidR="00302C75" w:rsidRPr="00E21B7F" w:rsidRDefault="00302C75">
      <w:pPr>
        <w:jc w:val="both"/>
        <w:rPr>
          <w:b/>
          <w:bCs/>
          <w:sz w:val="22"/>
          <w:szCs w:val="22"/>
          <w:lang w:val="sk-SK"/>
        </w:rPr>
      </w:pPr>
      <w:r>
        <w:rPr>
          <w:b/>
          <w:bCs/>
          <w:sz w:val="22"/>
          <w:szCs w:val="22"/>
          <w:lang w:val="sk-SK"/>
        </w:rPr>
        <w:t>Pediatrická populácia</w:t>
      </w:r>
    </w:p>
    <w:p w:rsidR="00302C75" w:rsidRPr="00E21B7F" w:rsidRDefault="00302C75">
      <w:pPr>
        <w:jc w:val="both"/>
        <w:rPr>
          <w:sz w:val="22"/>
          <w:szCs w:val="22"/>
          <w:lang w:val="sk-SK"/>
        </w:rPr>
      </w:pPr>
      <w:r w:rsidRPr="00E21B7F">
        <w:rPr>
          <w:sz w:val="22"/>
          <w:szCs w:val="22"/>
          <w:lang w:val="sk-SK"/>
        </w:rPr>
        <w:t xml:space="preserve">Užívanie </w:t>
      </w:r>
      <w:r>
        <w:rPr>
          <w:sz w:val="22"/>
          <w:szCs w:val="22"/>
          <w:lang w:val="sk-SK"/>
        </w:rPr>
        <w:t>kvetiapínu</w:t>
      </w:r>
      <w:r w:rsidRPr="00E21B7F">
        <w:rPr>
          <w:sz w:val="22"/>
          <w:szCs w:val="22"/>
          <w:lang w:val="sk-SK"/>
        </w:rPr>
        <w:t xml:space="preserve"> sa neodporúča u detí a dospievajúcich mladších ako 18 rokov pre nedostatok údajov na podporu užívania </w:t>
      </w:r>
      <w:r>
        <w:rPr>
          <w:sz w:val="22"/>
          <w:szCs w:val="22"/>
          <w:lang w:val="sk-SK"/>
        </w:rPr>
        <w:t>v</w:t>
      </w:r>
      <w:r w:rsidRPr="00E21B7F">
        <w:rPr>
          <w:sz w:val="22"/>
          <w:szCs w:val="22"/>
          <w:lang w:val="sk-SK"/>
        </w:rPr>
        <w:t> tejto vekovej skupin</w:t>
      </w:r>
      <w:r>
        <w:rPr>
          <w:sz w:val="22"/>
          <w:szCs w:val="22"/>
          <w:lang w:val="sk-SK"/>
        </w:rPr>
        <w:t>e</w:t>
      </w:r>
      <w:r w:rsidRPr="00E21B7F">
        <w:rPr>
          <w:sz w:val="22"/>
          <w:szCs w:val="22"/>
          <w:lang w:val="sk-SK"/>
        </w:rPr>
        <w:t xml:space="preserve">. </w:t>
      </w:r>
      <w:r w:rsidRPr="00E21B7F">
        <w:rPr>
          <w:color w:val="000000"/>
          <w:sz w:val="22"/>
          <w:szCs w:val="22"/>
          <w:lang w:val="sk-SK"/>
        </w:rPr>
        <w:t>Klinické skúšania s </w:t>
      </w:r>
      <w:r>
        <w:rPr>
          <w:color w:val="000000"/>
          <w:sz w:val="22"/>
          <w:szCs w:val="22"/>
          <w:lang w:val="sk-SK"/>
        </w:rPr>
        <w:t>kvetiapínom</w:t>
      </w:r>
      <w:r w:rsidRPr="00E21B7F">
        <w:rPr>
          <w:color w:val="000000"/>
          <w:sz w:val="22"/>
          <w:szCs w:val="22"/>
          <w:lang w:val="sk-SK"/>
        </w:rPr>
        <w:t xml:space="preserve"> ukázali, že okrem známeho bezpečnostného profilu identifikovaného u dospelých (pozri časť 4.8) sa vyskytli isté </w:t>
      </w:r>
      <w:r w:rsidRPr="00E21B7F">
        <w:rPr>
          <w:sz w:val="22"/>
          <w:szCs w:val="22"/>
          <w:lang w:val="sk-SK"/>
        </w:rPr>
        <w:t xml:space="preserve">nežiaduce udalosti </w:t>
      </w:r>
      <w:r w:rsidRPr="00E21B7F">
        <w:rPr>
          <w:color w:val="000000"/>
          <w:sz w:val="22"/>
          <w:szCs w:val="22"/>
          <w:lang w:val="sk-SK"/>
        </w:rPr>
        <w:t>častejšie u detí a dospievajúcich v porovnaní s dospelými (zvýšená chuť do jedla, zvýšenie sérových hladín prolaktínu</w:t>
      </w:r>
      <w:r>
        <w:rPr>
          <w:color w:val="000000"/>
          <w:sz w:val="22"/>
          <w:szCs w:val="22"/>
          <w:lang w:val="sk-SK"/>
        </w:rPr>
        <w:t xml:space="preserve">, </w:t>
      </w:r>
      <w:r w:rsidRPr="00F00F97">
        <w:rPr>
          <w:color w:val="000000"/>
          <w:sz w:val="22"/>
          <w:szCs w:val="22"/>
          <w:lang w:val="sk-SK"/>
        </w:rPr>
        <w:t>vracanie</w:t>
      </w:r>
      <w:r>
        <w:rPr>
          <w:color w:val="000000"/>
          <w:sz w:val="22"/>
          <w:szCs w:val="22"/>
          <w:lang w:val="sk-SK"/>
        </w:rPr>
        <w:t xml:space="preserve">, </w:t>
      </w:r>
      <w:r>
        <w:rPr>
          <w:sz w:val="22"/>
          <w:szCs w:val="22"/>
          <w:lang w:val="sk-SK"/>
        </w:rPr>
        <w:t>nádcha a synkopa</w:t>
      </w:r>
      <w:r w:rsidRPr="005C4B32">
        <w:rPr>
          <w:sz w:val="22"/>
          <w:szCs w:val="22"/>
          <w:lang w:val="sk-SK"/>
        </w:rPr>
        <w:t xml:space="preserve">) </w:t>
      </w:r>
      <w:r>
        <w:rPr>
          <w:sz w:val="22"/>
          <w:szCs w:val="22"/>
          <w:lang w:val="sk-SK"/>
        </w:rPr>
        <w:t xml:space="preserve">alebo môžu mať u detí a dospievajúcich iné dôsledky </w:t>
      </w:r>
      <w:r w:rsidRPr="005C4B32">
        <w:rPr>
          <w:sz w:val="22"/>
          <w:szCs w:val="22"/>
          <w:lang w:val="sk-SK"/>
        </w:rPr>
        <w:t>(</w:t>
      </w:r>
      <w:r w:rsidR="00420DA5" w:rsidRPr="00060890">
        <w:rPr>
          <w:color w:val="000000"/>
          <w:sz w:val="22"/>
          <w:szCs w:val="22"/>
          <w:lang w:val="sk-SK"/>
        </w:rPr>
        <w:t>extrapyram</w:t>
      </w:r>
      <w:r w:rsidR="00420DA5">
        <w:rPr>
          <w:color w:val="000000"/>
          <w:sz w:val="22"/>
          <w:szCs w:val="22"/>
          <w:lang w:val="sk-SK"/>
        </w:rPr>
        <w:t>ídové</w:t>
      </w:r>
      <w:r w:rsidR="00420DA5" w:rsidRPr="00060890">
        <w:rPr>
          <w:color w:val="000000"/>
          <w:sz w:val="22"/>
          <w:szCs w:val="22"/>
          <w:lang w:val="sk-SK"/>
        </w:rPr>
        <w:t xml:space="preserve"> </w:t>
      </w:r>
      <w:r w:rsidRPr="00060890">
        <w:rPr>
          <w:color w:val="000000"/>
          <w:sz w:val="22"/>
          <w:szCs w:val="22"/>
          <w:lang w:val="sk-SK"/>
        </w:rPr>
        <w:t>symptómy</w:t>
      </w:r>
      <w:r>
        <w:rPr>
          <w:color w:val="000000"/>
          <w:sz w:val="22"/>
          <w:szCs w:val="22"/>
          <w:lang w:val="sk-SK"/>
        </w:rPr>
        <w:t xml:space="preserve"> a podráždenosť</w:t>
      </w:r>
      <w:r w:rsidRPr="00060890">
        <w:rPr>
          <w:color w:val="000000"/>
          <w:sz w:val="22"/>
          <w:szCs w:val="22"/>
          <w:lang w:val="sk-SK"/>
        </w:rPr>
        <w:t>) a</w:t>
      </w:r>
      <w:r>
        <w:rPr>
          <w:color w:val="000000"/>
          <w:sz w:val="22"/>
          <w:szCs w:val="22"/>
          <w:lang w:val="sk-SK"/>
        </w:rPr>
        <w:t xml:space="preserve"> tiež</w:t>
      </w:r>
      <w:r w:rsidRPr="00060890">
        <w:rPr>
          <w:color w:val="000000"/>
          <w:sz w:val="22"/>
          <w:szCs w:val="22"/>
          <w:lang w:val="sk-SK"/>
        </w:rPr>
        <w:t xml:space="preserve"> bola identifikovaná jedna </w:t>
      </w:r>
      <w:r w:rsidRPr="00060890">
        <w:rPr>
          <w:sz w:val="22"/>
          <w:szCs w:val="22"/>
          <w:lang w:val="sk-SK"/>
        </w:rPr>
        <w:t>nežiaduca udalosť</w:t>
      </w:r>
      <w:r w:rsidRPr="00060890">
        <w:rPr>
          <w:color w:val="000000"/>
          <w:sz w:val="22"/>
          <w:szCs w:val="22"/>
          <w:lang w:val="sk-SK"/>
        </w:rPr>
        <w:t>, ktorá doposiaľ</w:t>
      </w:r>
      <w:r w:rsidRPr="00E21B7F">
        <w:rPr>
          <w:color w:val="000000"/>
          <w:sz w:val="22"/>
          <w:szCs w:val="22"/>
          <w:lang w:val="sk-SK"/>
        </w:rPr>
        <w:t xml:space="preserve"> nebola pozorovaná v štúdiách s dospelými pacientami (zvýšenie krvného tlaku).</w:t>
      </w:r>
      <w:r w:rsidRPr="00E21B7F">
        <w:rPr>
          <w:sz w:val="22"/>
          <w:szCs w:val="22"/>
          <w:lang w:val="sk-SK"/>
        </w:rPr>
        <w:t xml:space="preserve"> U detí a dospievajúcich boli tiež pozorované zmeny vo funkčných testoch štítnej žľazy. </w:t>
      </w:r>
    </w:p>
    <w:p w:rsidR="00302C75" w:rsidRDefault="00302C75">
      <w:pPr>
        <w:jc w:val="both"/>
        <w:rPr>
          <w:color w:val="000000"/>
          <w:sz w:val="22"/>
          <w:szCs w:val="22"/>
          <w:lang w:val="sk-SK"/>
        </w:rPr>
      </w:pPr>
    </w:p>
    <w:p w:rsidR="00302C75" w:rsidRPr="00E21B7F" w:rsidRDefault="00302C75">
      <w:pPr>
        <w:jc w:val="both"/>
        <w:rPr>
          <w:sz w:val="22"/>
          <w:szCs w:val="22"/>
          <w:lang w:val="sk-SK"/>
        </w:rPr>
      </w:pPr>
      <w:r w:rsidRPr="00E21B7F">
        <w:rPr>
          <w:color w:val="000000"/>
          <w:sz w:val="22"/>
          <w:szCs w:val="22"/>
          <w:lang w:val="sk-SK"/>
        </w:rPr>
        <w:t>Okrem toho dlhodobé bezpečnostné dôsledky liečby kvetiapín</w:t>
      </w:r>
      <w:r>
        <w:rPr>
          <w:color w:val="000000"/>
          <w:sz w:val="22"/>
          <w:szCs w:val="22"/>
          <w:lang w:val="sk-SK"/>
        </w:rPr>
        <w:t>om</w:t>
      </w:r>
      <w:r w:rsidRPr="00E21B7F">
        <w:rPr>
          <w:color w:val="000000"/>
          <w:sz w:val="22"/>
          <w:szCs w:val="22"/>
          <w:lang w:val="sk-SK"/>
        </w:rPr>
        <w:t xml:space="preserve"> na rast a dospievanie neboli študované dlhšie ako 26</w:t>
      </w:r>
      <w:r w:rsidRPr="00E21B7F">
        <w:rPr>
          <w:sz w:val="22"/>
          <w:szCs w:val="22"/>
          <w:lang w:val="sk-SK"/>
        </w:rPr>
        <w:t> </w:t>
      </w:r>
      <w:r w:rsidRPr="00E21B7F">
        <w:rPr>
          <w:color w:val="000000"/>
          <w:sz w:val="22"/>
          <w:szCs w:val="22"/>
          <w:lang w:val="sk-SK"/>
        </w:rPr>
        <w:t>týždňov.</w:t>
      </w:r>
      <w:r w:rsidRPr="00E21B7F">
        <w:rPr>
          <w:sz w:val="22"/>
          <w:szCs w:val="22"/>
          <w:lang w:val="sk-SK"/>
        </w:rPr>
        <w:t xml:space="preserve"> Dlhodobé dôsledky pre kognitívny a behaviorálny vývoj nie sú známe. </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color w:val="000000"/>
          <w:sz w:val="22"/>
          <w:szCs w:val="22"/>
          <w:lang w:val="sk-SK"/>
        </w:rPr>
        <w:t>V placebom kontrolovaných klinických skúšaniach u detí a dospievajúcich so schizofréniou</w:t>
      </w:r>
      <w:r>
        <w:rPr>
          <w:color w:val="000000"/>
          <w:sz w:val="22"/>
          <w:szCs w:val="22"/>
          <w:lang w:val="sk-SK"/>
        </w:rPr>
        <w:t>, bipolárnou mániou</w:t>
      </w:r>
      <w:r w:rsidRPr="00E21B7F">
        <w:rPr>
          <w:color w:val="000000"/>
          <w:sz w:val="22"/>
          <w:szCs w:val="22"/>
          <w:lang w:val="sk-SK"/>
        </w:rPr>
        <w:t xml:space="preserve"> a bipolárnou </w:t>
      </w:r>
      <w:r>
        <w:rPr>
          <w:color w:val="000000"/>
          <w:sz w:val="22"/>
          <w:szCs w:val="22"/>
          <w:lang w:val="sk-SK"/>
        </w:rPr>
        <w:t>depresiou</w:t>
      </w:r>
      <w:r w:rsidRPr="00E21B7F">
        <w:rPr>
          <w:color w:val="000000"/>
          <w:sz w:val="22"/>
          <w:szCs w:val="22"/>
          <w:lang w:val="sk-SK"/>
        </w:rPr>
        <w:t xml:space="preserve"> sa v súvislosti s kvetiapínom zistil zvýšený výskyt </w:t>
      </w:r>
      <w:r w:rsidR="00420DA5" w:rsidRPr="00E21B7F">
        <w:rPr>
          <w:color w:val="000000"/>
          <w:sz w:val="22"/>
          <w:szCs w:val="22"/>
          <w:lang w:val="sk-SK"/>
        </w:rPr>
        <w:t>extrapyram</w:t>
      </w:r>
      <w:r w:rsidR="00420DA5">
        <w:rPr>
          <w:color w:val="000000"/>
          <w:sz w:val="22"/>
          <w:szCs w:val="22"/>
          <w:lang w:val="sk-SK"/>
        </w:rPr>
        <w:t>ídovýc</w:t>
      </w:r>
      <w:r w:rsidR="00420DA5" w:rsidRPr="00E21B7F">
        <w:rPr>
          <w:color w:val="000000"/>
          <w:sz w:val="22"/>
          <w:szCs w:val="22"/>
          <w:lang w:val="sk-SK"/>
        </w:rPr>
        <w:t xml:space="preserve">h </w:t>
      </w:r>
      <w:r w:rsidRPr="00E21B7F">
        <w:rPr>
          <w:color w:val="000000"/>
          <w:sz w:val="22"/>
          <w:szCs w:val="22"/>
          <w:lang w:val="sk-SK"/>
        </w:rPr>
        <w:t>symptómov (EPS) v porovnaní s  pacientmi, ktorí dostávali placebo (pozri časť 4.8).</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b/>
          <w:bCs/>
          <w:sz w:val="22"/>
          <w:szCs w:val="22"/>
          <w:lang w:val="sk-SK"/>
        </w:rPr>
        <w:t xml:space="preserve">Samovražda/samovražedné myšlienky alebo klinické zhoršenie </w:t>
      </w:r>
    </w:p>
    <w:p w:rsidR="00302C75" w:rsidRDefault="00302C75" w:rsidP="00F61123">
      <w:pPr>
        <w:pStyle w:val="Hlavika"/>
        <w:tabs>
          <w:tab w:val="clear" w:pos="4320"/>
          <w:tab w:val="clear" w:pos="8640"/>
        </w:tabs>
        <w:rPr>
          <w:sz w:val="22"/>
          <w:szCs w:val="22"/>
          <w:lang w:val="sk-SK"/>
        </w:rPr>
      </w:pPr>
      <w:r w:rsidRPr="00E21B7F">
        <w:rPr>
          <w:sz w:val="22"/>
          <w:szCs w:val="22"/>
          <w:lang w:val="sk-SK"/>
        </w:rPr>
        <w:t xml:space="preserve">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v počiatočných štádiách zlepšovania stavu zvyšovať. </w:t>
      </w:r>
    </w:p>
    <w:p w:rsidR="00302C75" w:rsidRDefault="00302C75" w:rsidP="00F61123">
      <w:pPr>
        <w:pStyle w:val="Hlavika"/>
        <w:tabs>
          <w:tab w:val="clear" w:pos="4320"/>
          <w:tab w:val="clear" w:pos="8640"/>
        </w:tabs>
        <w:rPr>
          <w:sz w:val="22"/>
          <w:szCs w:val="22"/>
          <w:lang w:val="sk-SK"/>
        </w:rPr>
      </w:pPr>
    </w:p>
    <w:p w:rsidR="00302C75" w:rsidRPr="00E21B7F" w:rsidRDefault="00302C75" w:rsidP="00F61123">
      <w:pPr>
        <w:pStyle w:val="Hlavika"/>
        <w:tabs>
          <w:tab w:val="clear" w:pos="4320"/>
          <w:tab w:val="clear" w:pos="8640"/>
        </w:tabs>
        <w:rPr>
          <w:sz w:val="22"/>
          <w:szCs w:val="22"/>
          <w:lang w:val="sk-SK"/>
        </w:rPr>
      </w:pPr>
      <w:r w:rsidRPr="00E21B7F">
        <w:rPr>
          <w:sz w:val="22"/>
          <w:szCs w:val="22"/>
          <w:lang w:val="sk-SK"/>
        </w:rPr>
        <w:t xml:space="preserve">Okrem toho lekári majú zvážiť potenciálne riziko </w:t>
      </w:r>
      <w:r w:rsidR="00420DA5" w:rsidRPr="00E21B7F">
        <w:rPr>
          <w:sz w:val="22"/>
          <w:szCs w:val="22"/>
          <w:lang w:val="sk-SK"/>
        </w:rPr>
        <w:t>prí</w:t>
      </w:r>
      <w:r w:rsidR="00420DA5">
        <w:rPr>
          <w:sz w:val="22"/>
          <w:szCs w:val="22"/>
          <w:lang w:val="sk-SK"/>
        </w:rPr>
        <w:t>hod</w:t>
      </w:r>
      <w:r w:rsidR="00420DA5" w:rsidRPr="00E21B7F">
        <w:rPr>
          <w:sz w:val="22"/>
          <w:szCs w:val="22"/>
          <w:lang w:val="sk-SK"/>
        </w:rPr>
        <w:t xml:space="preserve"> </w:t>
      </w:r>
      <w:r w:rsidRPr="00E21B7F">
        <w:rPr>
          <w:sz w:val="22"/>
          <w:szCs w:val="22"/>
          <w:lang w:val="sk-SK"/>
        </w:rPr>
        <w:t xml:space="preserve">súvisiacich so samovraždou po náhlom ukončení liečby </w:t>
      </w:r>
      <w:r w:rsidR="00420DA5">
        <w:rPr>
          <w:sz w:val="22"/>
          <w:szCs w:val="22"/>
          <w:lang w:val="sk-SK"/>
        </w:rPr>
        <w:t>kv</w:t>
      </w:r>
      <w:r w:rsidR="00420DA5" w:rsidRPr="00E21B7F">
        <w:rPr>
          <w:sz w:val="22"/>
          <w:szCs w:val="22"/>
          <w:lang w:val="sk-SK"/>
        </w:rPr>
        <w:t xml:space="preserve">etiapínom </w:t>
      </w:r>
      <w:r w:rsidRPr="00E21B7F">
        <w:rPr>
          <w:sz w:val="22"/>
          <w:szCs w:val="22"/>
          <w:lang w:val="sk-SK"/>
        </w:rPr>
        <w:t xml:space="preserve">vzhľadom na rizikové faktory ochorenia, na ktoré boli liečení. </w:t>
      </w:r>
    </w:p>
    <w:p w:rsidR="00302C75" w:rsidRPr="00E21B7F" w:rsidRDefault="00302C75" w:rsidP="00FB1BF0">
      <w:pPr>
        <w:pStyle w:val="Zkladntext"/>
        <w:rPr>
          <w:iCs/>
          <w:sz w:val="22"/>
          <w:szCs w:val="22"/>
          <w:lang w:val="sk-SK"/>
        </w:rPr>
      </w:pPr>
    </w:p>
    <w:p w:rsidR="00302C75" w:rsidRPr="00E21B7F" w:rsidRDefault="00302C75" w:rsidP="00FB1BF0">
      <w:pPr>
        <w:pStyle w:val="Zkladntext"/>
        <w:rPr>
          <w:iCs/>
          <w:sz w:val="22"/>
          <w:szCs w:val="22"/>
          <w:lang w:val="sk-SK"/>
        </w:rPr>
      </w:pPr>
      <w:r w:rsidRPr="00E21B7F">
        <w:rPr>
          <w:iCs/>
          <w:sz w:val="22"/>
          <w:szCs w:val="22"/>
          <w:lang w:val="sk-SK"/>
        </w:rPr>
        <w:t xml:space="preserve">Iné psychické poruchy, na ktoré sa predpisuje </w:t>
      </w:r>
      <w:r>
        <w:rPr>
          <w:iCs/>
          <w:sz w:val="22"/>
          <w:szCs w:val="22"/>
          <w:lang w:val="sk-SK"/>
        </w:rPr>
        <w:t>kvetiapín</w:t>
      </w:r>
      <w:r w:rsidRPr="00E21B7F">
        <w:rPr>
          <w:iCs/>
          <w:sz w:val="22"/>
          <w:szCs w:val="22"/>
          <w:lang w:val="sk-SK"/>
        </w:rPr>
        <w:t>, môžu tiež súvisieť so zvýšeným rizikom pokusov o samovraždu. Okrem toho, takéto stavy môžu predstavovať komorbidity veľkých depresívnych epizód. Preto je potrebné k pacientom liečeným na iné psychické poruchy pristupovať s rovnakou ostražitosťou ako k pacientom liečeným na veľké depresívne epizódy.</w:t>
      </w:r>
    </w:p>
    <w:p w:rsidR="00302C75" w:rsidRPr="00E21B7F" w:rsidRDefault="00302C75" w:rsidP="00FB1BF0">
      <w:pPr>
        <w:rPr>
          <w:iCs/>
          <w:sz w:val="22"/>
          <w:szCs w:val="22"/>
          <w:lang w:val="sk-SK"/>
        </w:rPr>
      </w:pPr>
    </w:p>
    <w:p w:rsidR="00302C75" w:rsidRPr="00E21B7F" w:rsidRDefault="00302C75" w:rsidP="00FB1BF0">
      <w:pPr>
        <w:rPr>
          <w:iCs/>
          <w:sz w:val="22"/>
          <w:szCs w:val="22"/>
          <w:lang w:val="sk-SK"/>
        </w:rPr>
      </w:pPr>
      <w:r w:rsidRPr="00E21B7F">
        <w:rPr>
          <w:iCs/>
          <w:sz w:val="22"/>
          <w:szCs w:val="22"/>
          <w:lang w:val="sk-SK"/>
        </w:rPr>
        <w:t xml:space="preserve">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 </w:t>
      </w:r>
    </w:p>
    <w:p w:rsidR="00302C75" w:rsidRPr="00E21B7F" w:rsidRDefault="00302C75" w:rsidP="00FB1BF0">
      <w:pPr>
        <w:rPr>
          <w:iCs/>
          <w:sz w:val="22"/>
          <w:szCs w:val="22"/>
          <w:lang w:val="sk-SK"/>
        </w:rPr>
      </w:pPr>
    </w:p>
    <w:p w:rsidR="00302C75" w:rsidRPr="00E21B7F" w:rsidRDefault="00302C75" w:rsidP="00FB1BF0">
      <w:pPr>
        <w:rPr>
          <w:iCs/>
          <w:sz w:val="22"/>
          <w:szCs w:val="22"/>
          <w:lang w:val="sk-SK"/>
        </w:rPr>
      </w:pPr>
      <w:r w:rsidRPr="00E21B7F">
        <w:rPr>
          <w:iCs/>
          <w:sz w:val="22"/>
          <w:szCs w:val="22"/>
          <w:lang w:val="sk-SK"/>
        </w:rPr>
        <w:t xml:space="preserve">Pacienti, 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 </w:t>
      </w:r>
    </w:p>
    <w:p w:rsidR="00302C75" w:rsidRPr="00E21B7F" w:rsidRDefault="00302C75" w:rsidP="00FB1BF0">
      <w:pPr>
        <w:rPr>
          <w:iCs/>
          <w:sz w:val="22"/>
          <w:szCs w:val="22"/>
          <w:lang w:val="sk-SK"/>
        </w:rPr>
      </w:pPr>
    </w:p>
    <w:p w:rsidR="00302C75" w:rsidRDefault="00302C75" w:rsidP="00FB1BF0">
      <w:pPr>
        <w:rPr>
          <w:color w:val="000000"/>
          <w:sz w:val="22"/>
          <w:szCs w:val="22"/>
          <w:lang w:val="sk-SK"/>
        </w:rPr>
      </w:pPr>
      <w:r w:rsidRPr="00E21B7F">
        <w:rPr>
          <w:color w:val="000000"/>
          <w:sz w:val="22"/>
          <w:szCs w:val="22"/>
          <w:lang w:val="sk-SK"/>
        </w:rPr>
        <w:t>V krátko trvajúcich</w:t>
      </w:r>
      <w:r>
        <w:rPr>
          <w:color w:val="000000"/>
          <w:sz w:val="22"/>
          <w:szCs w:val="22"/>
          <w:lang w:val="sk-SK"/>
        </w:rPr>
        <w:t>,</w:t>
      </w:r>
      <w:r w:rsidRPr="00E21B7F">
        <w:rPr>
          <w:color w:val="000000"/>
          <w:sz w:val="22"/>
          <w:szCs w:val="22"/>
          <w:lang w:val="sk-SK"/>
        </w:rPr>
        <w:t xml:space="preserve"> placebom kontrolovaných klinických štúdiách u pacientov s veľkými depresívnymi epizódami v rámci bipolárnej poruchy sa pozorovalo u dospievajúcich pacientov (mladších ako 25 rokov), ktorí boli liečení </w:t>
      </w:r>
      <w:r w:rsidR="002E1BFD">
        <w:rPr>
          <w:color w:val="000000"/>
          <w:sz w:val="22"/>
          <w:szCs w:val="22"/>
          <w:lang w:val="sk-SK"/>
        </w:rPr>
        <w:t>kv</w:t>
      </w:r>
      <w:r w:rsidRPr="00E21B7F">
        <w:rPr>
          <w:color w:val="000000"/>
          <w:sz w:val="22"/>
          <w:szCs w:val="22"/>
          <w:lang w:val="sk-SK"/>
        </w:rPr>
        <w:t xml:space="preserve">etiapínom, zvýšené riziko </w:t>
      </w:r>
      <w:r w:rsidRPr="00E21B7F">
        <w:rPr>
          <w:iCs/>
          <w:sz w:val="22"/>
          <w:szCs w:val="22"/>
          <w:lang w:val="sk-SK"/>
        </w:rPr>
        <w:t>pokusov o samovraždu</w:t>
      </w:r>
      <w:r w:rsidRPr="00E21B7F">
        <w:rPr>
          <w:color w:val="000000"/>
          <w:sz w:val="22"/>
          <w:szCs w:val="22"/>
          <w:lang w:val="sk-SK"/>
        </w:rPr>
        <w:t xml:space="preserve"> v porovnaní s tými, ktorí </w:t>
      </w:r>
      <w:r w:rsidRPr="00F00F97">
        <w:rPr>
          <w:color w:val="000000"/>
          <w:sz w:val="22"/>
          <w:szCs w:val="22"/>
          <w:lang w:val="sk-SK"/>
        </w:rPr>
        <w:t xml:space="preserve">dostávali placebo </w:t>
      </w:r>
      <w:r w:rsidRPr="00E21B7F">
        <w:rPr>
          <w:color w:val="000000"/>
          <w:sz w:val="22"/>
          <w:szCs w:val="22"/>
          <w:lang w:val="sk-SK"/>
        </w:rPr>
        <w:t xml:space="preserve">(3,0 % </w:t>
      </w:r>
      <w:r>
        <w:rPr>
          <w:color w:val="000000"/>
          <w:sz w:val="22"/>
          <w:szCs w:val="22"/>
          <w:lang w:val="sk-SK"/>
        </w:rPr>
        <w:t xml:space="preserve"> oproti</w:t>
      </w:r>
      <w:r w:rsidRPr="00E21B7F">
        <w:rPr>
          <w:color w:val="000000"/>
          <w:sz w:val="22"/>
          <w:szCs w:val="22"/>
          <w:lang w:val="sk-SK"/>
        </w:rPr>
        <w:t xml:space="preserve"> 0 %, v uvedenom poradí). V klinických štúdiách u pacientov s veľkou depresívnou poruchou bol výskyt  </w:t>
      </w:r>
      <w:r w:rsidRPr="00E21B7F">
        <w:rPr>
          <w:iCs/>
          <w:sz w:val="22"/>
          <w:szCs w:val="22"/>
          <w:lang w:val="sk-SK"/>
        </w:rPr>
        <w:t>pokusov o samovraždu</w:t>
      </w:r>
      <w:r w:rsidRPr="00E21B7F">
        <w:rPr>
          <w:color w:val="000000"/>
          <w:sz w:val="22"/>
          <w:szCs w:val="22"/>
          <w:lang w:val="sk-SK"/>
        </w:rPr>
        <w:t xml:space="preserve">  pozorovaný u dospievajúcich pacientov (mladších ako 25 rokov) 2,1 % (3/144) pri kvetiapíne a 1,3 % (1/75) pri placebe.</w:t>
      </w:r>
    </w:p>
    <w:p w:rsidR="00302C75" w:rsidRDefault="00302C75" w:rsidP="00FB1BF0">
      <w:pPr>
        <w:rPr>
          <w:color w:val="000000"/>
          <w:sz w:val="22"/>
          <w:szCs w:val="22"/>
          <w:lang w:val="sk-SK"/>
        </w:rPr>
      </w:pPr>
    </w:p>
    <w:p w:rsidR="00302C75" w:rsidRPr="007C4703" w:rsidRDefault="006615B0" w:rsidP="00FB1BF0">
      <w:pPr>
        <w:rPr>
          <w:b/>
          <w:sz w:val="22"/>
          <w:szCs w:val="22"/>
          <w:lang w:val="sk-SK"/>
        </w:rPr>
      </w:pPr>
      <w:r w:rsidRPr="006615B0">
        <w:rPr>
          <w:b/>
          <w:sz w:val="22"/>
          <w:szCs w:val="22"/>
          <w:lang w:val="sk-SK"/>
        </w:rPr>
        <w:t>Metabolické riziko:</w:t>
      </w:r>
    </w:p>
    <w:p w:rsidR="00302C75" w:rsidRPr="007C4703" w:rsidRDefault="006615B0" w:rsidP="00FB1BF0">
      <w:pPr>
        <w:rPr>
          <w:sz w:val="22"/>
          <w:szCs w:val="22"/>
          <w:lang w:val="sk-SK"/>
        </w:rPr>
      </w:pPr>
      <w:r w:rsidRPr="006615B0">
        <w:rPr>
          <w:sz w:val="22"/>
          <w:szCs w:val="22"/>
          <w:lang w:val="sk-SK"/>
        </w:rPr>
        <w:t xml:space="preserve">Vzhľadom na riziko zhoršenia metabolického profilu, vrátane zmien telesnej hmotnosti, koncentrácie glukózy v krvi (pozri hyperglykémia) a lipidov v krvi, ktoré sa pozorovali v klinických </w:t>
      </w:r>
      <w:r w:rsidR="002E1BFD">
        <w:rPr>
          <w:sz w:val="22"/>
          <w:szCs w:val="22"/>
          <w:lang w:val="sk-SK"/>
        </w:rPr>
        <w:t>štúdiách</w:t>
      </w:r>
      <w:r w:rsidRPr="006615B0">
        <w:rPr>
          <w:sz w:val="22"/>
          <w:szCs w:val="22"/>
          <w:lang w:val="sk-SK"/>
        </w:rPr>
        <w:t>, sa majú u pacienta na začiatku liečby vyšetriť metabolické parametre a akékoľvek zmeny týchto parametrov sa majú počas liečby pravidelne kontrolovať. Zhoršenie týchto parametrov sa má primerane liečiť (pozri tiež časť 4.8).</w:t>
      </w:r>
    </w:p>
    <w:p w:rsidR="00302C75" w:rsidRPr="00E21B7F" w:rsidRDefault="00302C75">
      <w:pPr>
        <w:jc w:val="both"/>
        <w:rPr>
          <w:sz w:val="22"/>
          <w:szCs w:val="22"/>
          <w:lang w:val="sk-SK"/>
        </w:rPr>
      </w:pPr>
    </w:p>
    <w:p w:rsidR="00302C75" w:rsidRPr="00E21B7F" w:rsidRDefault="00302C75">
      <w:pPr>
        <w:jc w:val="both"/>
        <w:rPr>
          <w:b/>
          <w:bCs/>
          <w:sz w:val="22"/>
          <w:szCs w:val="22"/>
          <w:lang w:val="sk-SK"/>
        </w:rPr>
      </w:pPr>
      <w:r w:rsidRPr="00E21B7F">
        <w:rPr>
          <w:b/>
          <w:bCs/>
          <w:sz w:val="22"/>
          <w:szCs w:val="22"/>
          <w:lang w:val="sk-SK"/>
        </w:rPr>
        <w:t>Extrapyramídové príznaky</w:t>
      </w:r>
    </w:p>
    <w:p w:rsidR="00302C75" w:rsidRPr="00E21B7F" w:rsidRDefault="00302C75">
      <w:pPr>
        <w:jc w:val="both"/>
        <w:rPr>
          <w:sz w:val="22"/>
          <w:szCs w:val="22"/>
          <w:lang w:val="sk-SK"/>
        </w:rPr>
      </w:pPr>
      <w:r w:rsidRPr="00E21B7F">
        <w:rPr>
          <w:color w:val="000000"/>
          <w:sz w:val="22"/>
          <w:szCs w:val="22"/>
          <w:lang w:val="sk-SK"/>
        </w:rPr>
        <w:t xml:space="preserve">V placebom kontrolovaných klinických skúšaniach s dospelými pacientmi bol kvetiapín spojený so zvýšeným výskytom extrapyramídových symptómov (EPS) v porovnaní s placebom u pacientov s epizódami </w:t>
      </w:r>
      <w:r>
        <w:rPr>
          <w:color w:val="000000"/>
          <w:sz w:val="22"/>
          <w:szCs w:val="22"/>
          <w:lang w:val="sk-SK"/>
        </w:rPr>
        <w:t>veľkej</w:t>
      </w:r>
      <w:r w:rsidRPr="00E21B7F">
        <w:rPr>
          <w:color w:val="000000"/>
          <w:sz w:val="22"/>
          <w:szCs w:val="22"/>
          <w:lang w:val="sk-SK"/>
        </w:rPr>
        <w:t xml:space="preserve"> depresie pri bipolárnej afektívnej poruche a veľkej depresívnej poruche (pozri čas</w:t>
      </w:r>
      <w:r w:rsidR="002E1BFD">
        <w:rPr>
          <w:color w:val="000000"/>
          <w:sz w:val="22"/>
          <w:szCs w:val="22"/>
          <w:lang w:val="sk-SK"/>
        </w:rPr>
        <w:t>ti</w:t>
      </w:r>
      <w:r w:rsidRPr="00E21B7F">
        <w:rPr>
          <w:sz w:val="22"/>
          <w:szCs w:val="22"/>
          <w:lang w:val="sk-SK"/>
        </w:rPr>
        <w:t> </w:t>
      </w:r>
      <w:r w:rsidRPr="00E21B7F">
        <w:rPr>
          <w:color w:val="000000"/>
          <w:sz w:val="22"/>
          <w:szCs w:val="22"/>
          <w:lang w:val="sk-SK"/>
        </w:rPr>
        <w:t>4.8</w:t>
      </w:r>
      <w:r w:rsidRPr="00E21B7F">
        <w:rPr>
          <w:sz w:val="22"/>
          <w:szCs w:val="22"/>
          <w:lang w:val="sk-SK"/>
        </w:rPr>
        <w:t> a 5.1</w:t>
      </w:r>
      <w:r w:rsidRPr="00E21B7F">
        <w:rPr>
          <w:color w:val="000000"/>
          <w:sz w:val="22"/>
          <w:szCs w:val="22"/>
          <w:lang w:val="sk-SK"/>
        </w:rPr>
        <w:t>).</w:t>
      </w:r>
      <w:r w:rsidRPr="00E21B7F">
        <w:rPr>
          <w:sz w:val="22"/>
          <w:szCs w:val="22"/>
          <w:lang w:val="sk-SK"/>
        </w:rPr>
        <w:t xml:space="preserve"> </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sz w:val="22"/>
          <w:szCs w:val="22"/>
          <w:lang w:val="sk-SK"/>
        </w:rPr>
        <w:t xml:space="preserve">Užívanie kvetiapínu sa dáva do súvisu so vznikom  akatízie, pre ktorú je charakteristický subjektívne nepríjemný alebo tiesnivý nepokoj a potreba byť v pohybe, ktorú často sprevádza neschopnosť pokojne sedieť alebo stáť. Tieto prejavy sa najčastejšie vyskytujú počas prvých týždňov liečby. U pacientov, u ktorých sa rozvinú tieto príznaky, môže mať zvyšovanie dávky škodlivé účinky. </w:t>
      </w:r>
    </w:p>
    <w:p w:rsidR="00302C75" w:rsidRPr="00E21B7F" w:rsidRDefault="00302C75">
      <w:pPr>
        <w:jc w:val="both"/>
        <w:rPr>
          <w:sz w:val="22"/>
          <w:szCs w:val="22"/>
          <w:lang w:val="sk-SK"/>
        </w:rPr>
      </w:pPr>
    </w:p>
    <w:p w:rsidR="00302C75" w:rsidRPr="00E21B7F" w:rsidRDefault="00302C75">
      <w:pPr>
        <w:jc w:val="both"/>
        <w:rPr>
          <w:b/>
          <w:bCs/>
          <w:sz w:val="22"/>
          <w:szCs w:val="22"/>
          <w:lang w:val="sk-SK"/>
        </w:rPr>
      </w:pPr>
      <w:r w:rsidRPr="00E21B7F">
        <w:rPr>
          <w:b/>
          <w:bCs/>
          <w:sz w:val="22"/>
          <w:szCs w:val="22"/>
          <w:lang w:val="sk-SK"/>
        </w:rPr>
        <w:t>Tardívna dyskinéza</w:t>
      </w:r>
    </w:p>
    <w:p w:rsidR="00302C75" w:rsidRPr="00E21B7F" w:rsidRDefault="00302C75">
      <w:pPr>
        <w:jc w:val="both"/>
        <w:rPr>
          <w:sz w:val="22"/>
          <w:szCs w:val="22"/>
          <w:lang w:val="sk-SK"/>
        </w:rPr>
      </w:pPr>
      <w:r w:rsidRPr="00E21B7F">
        <w:rPr>
          <w:sz w:val="22"/>
          <w:szCs w:val="22"/>
          <w:lang w:val="sk-SK"/>
        </w:rPr>
        <w:t xml:space="preserve">Ak sa objavia </w:t>
      </w:r>
      <w:r w:rsidR="002E1BFD">
        <w:rPr>
          <w:sz w:val="22"/>
          <w:szCs w:val="22"/>
          <w:lang w:val="sk-SK"/>
        </w:rPr>
        <w:t>prejavy</w:t>
      </w:r>
      <w:r w:rsidR="002E1BFD" w:rsidRPr="00E21B7F">
        <w:rPr>
          <w:sz w:val="22"/>
          <w:szCs w:val="22"/>
          <w:lang w:val="sk-SK"/>
        </w:rPr>
        <w:t xml:space="preserve"> </w:t>
      </w:r>
      <w:r w:rsidRPr="00E21B7F">
        <w:rPr>
          <w:sz w:val="22"/>
          <w:szCs w:val="22"/>
          <w:lang w:val="sk-SK"/>
        </w:rPr>
        <w:t>alebo symptómy tardívnej dyskinézy, má sa zvážiť zníženie dávky alebo ukončenie podávania</w:t>
      </w:r>
      <w:r>
        <w:rPr>
          <w:sz w:val="22"/>
          <w:szCs w:val="22"/>
          <w:lang w:val="sk-SK"/>
        </w:rPr>
        <w:t xml:space="preserve"> kvetiapínu</w:t>
      </w:r>
      <w:r w:rsidRPr="00E21B7F">
        <w:rPr>
          <w:sz w:val="22"/>
          <w:szCs w:val="22"/>
          <w:lang w:val="sk-SK"/>
        </w:rPr>
        <w:t xml:space="preserve">. </w:t>
      </w:r>
      <w:r w:rsidRPr="00E21B7F">
        <w:rPr>
          <w:color w:val="000000"/>
          <w:sz w:val="22"/>
          <w:szCs w:val="22"/>
          <w:lang w:val="sk-SK"/>
        </w:rPr>
        <w:t>Symptómy tardívnej dyskinézy sa môžu zhoršiť alebo dokonca objaviť po ukončení liečby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p>
    <w:p w:rsidR="00302C75" w:rsidRPr="00E21B7F" w:rsidRDefault="00302C75">
      <w:pPr>
        <w:jc w:val="both"/>
        <w:rPr>
          <w:sz w:val="22"/>
          <w:szCs w:val="22"/>
          <w:lang w:val="sk-SK"/>
        </w:rPr>
      </w:pPr>
    </w:p>
    <w:p w:rsidR="00302C75" w:rsidRPr="00E21B7F" w:rsidRDefault="00302C75">
      <w:pPr>
        <w:jc w:val="both"/>
        <w:rPr>
          <w:b/>
          <w:bCs/>
          <w:sz w:val="22"/>
          <w:szCs w:val="22"/>
          <w:lang w:val="sk-SK"/>
        </w:rPr>
      </w:pPr>
      <w:r w:rsidRPr="00E21B7F">
        <w:rPr>
          <w:b/>
          <w:bCs/>
          <w:sz w:val="22"/>
          <w:szCs w:val="22"/>
          <w:lang w:val="sk-SK"/>
        </w:rPr>
        <w:t>Ospalosť a závraty</w:t>
      </w:r>
    </w:p>
    <w:p w:rsidR="00302C75" w:rsidRPr="00E21B7F" w:rsidRDefault="00302C75">
      <w:pPr>
        <w:jc w:val="both"/>
        <w:rPr>
          <w:sz w:val="22"/>
          <w:szCs w:val="22"/>
          <w:lang w:val="sk-SK"/>
        </w:rPr>
      </w:pPr>
      <w:r w:rsidRPr="00E21B7F">
        <w:rPr>
          <w:color w:val="000000"/>
          <w:sz w:val="22"/>
          <w:szCs w:val="22"/>
          <w:lang w:val="sk-SK"/>
        </w:rPr>
        <w:t>Liečba kvetiapínom bola spojená s ospalosťou a podobnými symptómami, ako je sedácia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r w:rsidRPr="00E21B7F">
        <w:rPr>
          <w:color w:val="000000"/>
          <w:sz w:val="22"/>
          <w:szCs w:val="22"/>
          <w:lang w:val="sk-SK"/>
        </w:rPr>
        <w:t>V klinických skúšaniach liečby u pacientov s depresiou pri bipolárnej afektívnej poruche a u pacientov s veľkou depresívnou poruchou sa tieto príznaky prejavili obvykle počas prvých 3</w:t>
      </w:r>
      <w:r w:rsidRPr="00E21B7F">
        <w:rPr>
          <w:sz w:val="22"/>
          <w:szCs w:val="22"/>
          <w:lang w:val="sk-SK"/>
        </w:rPr>
        <w:t> </w:t>
      </w:r>
      <w:r w:rsidRPr="00E21B7F">
        <w:rPr>
          <w:color w:val="000000"/>
          <w:sz w:val="22"/>
          <w:szCs w:val="22"/>
          <w:lang w:val="sk-SK"/>
        </w:rPr>
        <w:t>dní liečby a mali prevažne slabú až miernu intenzitu.</w:t>
      </w:r>
      <w:r w:rsidRPr="00E21B7F">
        <w:rPr>
          <w:sz w:val="22"/>
          <w:szCs w:val="22"/>
          <w:lang w:val="sk-SK"/>
        </w:rPr>
        <w:t xml:space="preserve"> </w:t>
      </w:r>
    </w:p>
    <w:p w:rsidR="00302C75" w:rsidRPr="00E21B7F" w:rsidRDefault="00302C75">
      <w:pPr>
        <w:jc w:val="both"/>
        <w:rPr>
          <w:sz w:val="22"/>
          <w:szCs w:val="22"/>
          <w:lang w:val="sk-SK"/>
        </w:rPr>
      </w:pPr>
    </w:p>
    <w:p w:rsidR="00302C75" w:rsidRPr="00E21B7F" w:rsidRDefault="00302C75">
      <w:pPr>
        <w:jc w:val="both"/>
        <w:rPr>
          <w:sz w:val="22"/>
          <w:szCs w:val="22"/>
          <w:lang w:val="sk-SK"/>
        </w:rPr>
      </w:pPr>
      <w:r w:rsidRPr="00E21B7F">
        <w:rPr>
          <w:color w:val="000000"/>
          <w:sz w:val="22"/>
          <w:szCs w:val="22"/>
          <w:lang w:val="sk-SK"/>
        </w:rPr>
        <w:t>Pacienti, ktorí pociťujú veľmi intenzívnu ospalosť, môžu vyžadovať častejšie kontroly po dobu minimálne 2</w:t>
      </w:r>
      <w:r w:rsidRPr="00E21B7F">
        <w:rPr>
          <w:sz w:val="22"/>
          <w:szCs w:val="22"/>
          <w:lang w:val="sk-SK"/>
        </w:rPr>
        <w:t> </w:t>
      </w:r>
      <w:r w:rsidRPr="00E21B7F">
        <w:rPr>
          <w:color w:val="000000"/>
          <w:sz w:val="22"/>
          <w:szCs w:val="22"/>
          <w:lang w:val="sk-SK"/>
        </w:rPr>
        <w:t>týždňov od výskytu ospalosti alebo dovtedy, kým sa symptómy nezlepšia a môže byť potrebné zvážiť ukončenie liečby.</w:t>
      </w:r>
      <w:r w:rsidRPr="00E21B7F">
        <w:rPr>
          <w:sz w:val="22"/>
          <w:szCs w:val="22"/>
          <w:lang w:val="sk-SK"/>
        </w:rPr>
        <w:t xml:space="preserve"> </w:t>
      </w:r>
    </w:p>
    <w:p w:rsidR="00302C75" w:rsidRDefault="00302C75">
      <w:pPr>
        <w:jc w:val="both"/>
        <w:rPr>
          <w:sz w:val="22"/>
          <w:szCs w:val="22"/>
          <w:lang w:val="sk-SK"/>
        </w:rPr>
      </w:pPr>
    </w:p>
    <w:p w:rsidR="00302C75" w:rsidRPr="00302C75" w:rsidRDefault="00302C75">
      <w:pPr>
        <w:jc w:val="both"/>
        <w:rPr>
          <w:b/>
          <w:sz w:val="22"/>
          <w:szCs w:val="22"/>
          <w:lang w:val="sk-SK"/>
        </w:rPr>
      </w:pPr>
      <w:r>
        <w:rPr>
          <w:b/>
          <w:sz w:val="22"/>
          <w:szCs w:val="22"/>
          <w:lang w:val="sk-SK"/>
        </w:rPr>
        <w:t>Ortostatická hypotenzia</w:t>
      </w:r>
    </w:p>
    <w:p w:rsidR="00302C75" w:rsidRPr="00E21B7F" w:rsidRDefault="00302C75">
      <w:pPr>
        <w:jc w:val="both"/>
        <w:rPr>
          <w:sz w:val="22"/>
          <w:szCs w:val="22"/>
          <w:lang w:val="sk-SK"/>
        </w:rPr>
      </w:pPr>
      <w:r w:rsidRPr="00E21B7F">
        <w:rPr>
          <w:sz w:val="22"/>
          <w:szCs w:val="22"/>
          <w:lang w:val="sk-SK"/>
        </w:rPr>
        <w:t>Liečba kvetiapínom sa dáva do súvisu s ortostatickou hypotenziou a so závratmi s ňou spojenými (pozri časť 4.8), ktorých výskyt bol podobne ako v prípade somnolencie zaznamenaný zvyčajne počas počiatočného obdobia titrovania dávky. To môže zvyšovať výskyt náhodných úrazov (pádov), a to najmä u starších pacientov. Preto sa má pacientom odporúčať zvýšená opatrnosť, kým si na možné účinky liečby zvyknú.</w:t>
      </w:r>
    </w:p>
    <w:p w:rsidR="00302C75" w:rsidRPr="00E21B7F" w:rsidRDefault="00302C75">
      <w:pPr>
        <w:pStyle w:val="Hlavika"/>
        <w:tabs>
          <w:tab w:val="clear" w:pos="4320"/>
          <w:tab w:val="clear" w:pos="8640"/>
        </w:tabs>
        <w:rPr>
          <w:b/>
          <w:bCs/>
          <w:sz w:val="22"/>
          <w:szCs w:val="22"/>
          <w:lang w:val="sk-SK"/>
        </w:rPr>
      </w:pPr>
    </w:p>
    <w:p w:rsidR="00302C75" w:rsidRPr="00E21B7F" w:rsidRDefault="00302C75">
      <w:pPr>
        <w:jc w:val="both"/>
        <w:rPr>
          <w:sz w:val="22"/>
          <w:szCs w:val="22"/>
          <w:lang w:val="sk-SK"/>
        </w:rPr>
      </w:pPr>
      <w:r>
        <w:rPr>
          <w:sz w:val="22"/>
          <w:szCs w:val="22"/>
          <w:lang w:val="sk-SK"/>
        </w:rPr>
        <w:t>Kvetiapín</w:t>
      </w:r>
      <w:r w:rsidRPr="00E21B7F">
        <w:rPr>
          <w:sz w:val="22"/>
          <w:szCs w:val="22"/>
          <w:lang w:val="sk-SK"/>
        </w:rPr>
        <w:t xml:space="preserve"> sa má užívať s opatrnosťou u pacientov so známym kardiovaskulárnym ochorením, cerebrovaskulárnym ochorením alebo inými stavmi predisponujúcimi k hypotenzii. </w:t>
      </w:r>
      <w:r>
        <w:rPr>
          <w:sz w:val="22"/>
          <w:szCs w:val="22"/>
          <w:lang w:val="sk-SK"/>
        </w:rPr>
        <w:t>A</w:t>
      </w:r>
      <w:r w:rsidRPr="00E21B7F">
        <w:rPr>
          <w:sz w:val="22"/>
          <w:szCs w:val="22"/>
          <w:lang w:val="sk-SK"/>
        </w:rPr>
        <w:t>k sa vyskytne</w:t>
      </w:r>
      <w:r>
        <w:rPr>
          <w:sz w:val="22"/>
          <w:szCs w:val="22"/>
          <w:lang w:val="sk-SK"/>
        </w:rPr>
        <w:t xml:space="preserve"> ortostatická hypotenzia</w:t>
      </w:r>
      <w:r w:rsidRPr="00E21B7F">
        <w:rPr>
          <w:sz w:val="22"/>
          <w:szCs w:val="22"/>
          <w:lang w:val="sk-SK"/>
        </w:rPr>
        <w:t>, treba zvážiť zníženie dávky alebo pomalšiu titráciu dávky</w:t>
      </w:r>
      <w:r>
        <w:rPr>
          <w:sz w:val="22"/>
          <w:szCs w:val="22"/>
          <w:lang w:val="sk-SK"/>
        </w:rPr>
        <w:t>, najmä u</w:t>
      </w:r>
      <w:r w:rsidRPr="00E21B7F">
        <w:rPr>
          <w:sz w:val="22"/>
          <w:szCs w:val="22"/>
          <w:lang w:val="sk-SK"/>
        </w:rPr>
        <w:t> pacientov s existujúcim kardiovaskulárnym ochorením.</w:t>
      </w:r>
    </w:p>
    <w:p w:rsidR="00302C75" w:rsidRPr="00E21B7F" w:rsidRDefault="00302C75">
      <w:pPr>
        <w:pStyle w:val="Hlavika"/>
        <w:tabs>
          <w:tab w:val="clear" w:pos="4320"/>
          <w:tab w:val="clear" w:pos="8640"/>
        </w:tabs>
        <w:jc w:val="both"/>
        <w:rPr>
          <w:sz w:val="22"/>
          <w:szCs w:val="22"/>
          <w:lang w:val="sk-SK"/>
        </w:rPr>
      </w:pPr>
    </w:p>
    <w:p w:rsidR="00302C75" w:rsidRPr="007C4703" w:rsidRDefault="00302C75">
      <w:pPr>
        <w:pStyle w:val="Hlavika"/>
        <w:tabs>
          <w:tab w:val="clear" w:pos="4320"/>
          <w:tab w:val="clear" w:pos="8640"/>
        </w:tabs>
        <w:jc w:val="both"/>
        <w:rPr>
          <w:b/>
          <w:bCs/>
          <w:sz w:val="22"/>
          <w:szCs w:val="22"/>
          <w:lang w:val="sk-SK"/>
        </w:rPr>
      </w:pPr>
      <w:r w:rsidRPr="007C4703">
        <w:rPr>
          <w:b/>
          <w:bCs/>
          <w:sz w:val="22"/>
          <w:szCs w:val="22"/>
          <w:lang w:val="sk-SK"/>
        </w:rPr>
        <w:t>Syndróm spánkového apnoe</w:t>
      </w:r>
    </w:p>
    <w:p w:rsidR="00302C75" w:rsidRPr="007C4703" w:rsidRDefault="006615B0">
      <w:pPr>
        <w:pStyle w:val="Hlavika"/>
        <w:tabs>
          <w:tab w:val="clear" w:pos="4320"/>
          <w:tab w:val="clear" w:pos="8640"/>
        </w:tabs>
        <w:jc w:val="both"/>
        <w:rPr>
          <w:sz w:val="22"/>
          <w:szCs w:val="22"/>
          <w:lang w:val="sk-SK"/>
        </w:rPr>
      </w:pPr>
      <w:r w:rsidRPr="006615B0">
        <w:rPr>
          <w:sz w:val="22"/>
          <w:szCs w:val="22"/>
          <w:lang w:val="sk-SK"/>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s opatrnosťou.</w:t>
      </w:r>
    </w:p>
    <w:p w:rsidR="00302C75" w:rsidRDefault="00302C75">
      <w:pPr>
        <w:pStyle w:val="Hlavika"/>
        <w:tabs>
          <w:tab w:val="clear" w:pos="4320"/>
          <w:tab w:val="clear" w:pos="8640"/>
        </w:tabs>
        <w:jc w:val="both"/>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Záchvaty </w:t>
      </w: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V kontrolovaných klinických skúšaniach nebol žiaden rozdiel vo výskyte záchvatov u pacientov liečených kvetiapínom alebo </w:t>
      </w:r>
      <w:r w:rsidRPr="00EC73AF">
        <w:rPr>
          <w:sz w:val="22"/>
          <w:lang w:val="sk-SK"/>
        </w:rPr>
        <w:t xml:space="preserve">tými, ktorým sa podávalo </w:t>
      </w:r>
      <w:r w:rsidRPr="00F00F97">
        <w:rPr>
          <w:sz w:val="22"/>
          <w:szCs w:val="22"/>
          <w:lang w:val="sk-SK"/>
        </w:rPr>
        <w:t>placebo</w:t>
      </w:r>
      <w:r w:rsidRPr="005A09C6">
        <w:rPr>
          <w:sz w:val="22"/>
          <w:szCs w:val="22"/>
          <w:lang w:val="sk-SK"/>
        </w:rPr>
        <w:t xml:space="preserve">. </w:t>
      </w:r>
      <w:r>
        <w:rPr>
          <w:sz w:val="22"/>
          <w:szCs w:val="22"/>
          <w:lang w:val="sk-SK"/>
        </w:rPr>
        <w:t xml:space="preserve">Nie sú k dispozícii žiadne údaje o výskyte záchvatov u pacientov so záchvatovým ochorením v anamnéze. </w:t>
      </w:r>
      <w:r w:rsidRPr="00E21B7F">
        <w:rPr>
          <w:color w:val="000000"/>
          <w:sz w:val="22"/>
          <w:szCs w:val="22"/>
          <w:lang w:val="sk-SK"/>
        </w:rPr>
        <w:t xml:space="preserve">Pri liečení pacientov so záchvatmi v anamnéze sa odporúča opatrnosť ako </w:t>
      </w:r>
      <w:r>
        <w:rPr>
          <w:color w:val="000000"/>
          <w:sz w:val="22"/>
          <w:szCs w:val="22"/>
          <w:lang w:val="sk-SK"/>
        </w:rPr>
        <w:t>pri</w:t>
      </w:r>
      <w:r w:rsidRPr="00E21B7F">
        <w:rPr>
          <w:color w:val="000000"/>
          <w:sz w:val="22"/>
          <w:szCs w:val="22"/>
          <w:lang w:val="sk-SK"/>
        </w:rPr>
        <w:t> iných antipsychot</w:t>
      </w:r>
      <w:r>
        <w:rPr>
          <w:color w:val="000000"/>
          <w:sz w:val="22"/>
          <w:szCs w:val="22"/>
          <w:lang w:val="sk-SK"/>
        </w:rPr>
        <w:t>ikách</w:t>
      </w:r>
      <w:r w:rsidR="008F79BE">
        <w:rPr>
          <w:color w:val="000000"/>
          <w:sz w:val="22"/>
          <w:szCs w:val="22"/>
          <w:lang w:val="sk-SK"/>
        </w:rPr>
        <w:t xml:space="preserve"> </w:t>
      </w:r>
      <w:r w:rsidRPr="00E21B7F">
        <w:rPr>
          <w:color w:val="000000"/>
          <w:sz w:val="22"/>
          <w:szCs w:val="22"/>
          <w:lang w:val="sk-SK"/>
        </w:rPr>
        <w:t>(pozri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Neuroleptický malígny syndróm</w:t>
      </w:r>
    </w:p>
    <w:p w:rsidR="00302C75" w:rsidRPr="00E21B7F" w:rsidRDefault="00302C75">
      <w:pPr>
        <w:pStyle w:val="Hlavika"/>
        <w:tabs>
          <w:tab w:val="clear" w:pos="4320"/>
          <w:tab w:val="clear" w:pos="8640"/>
        </w:tabs>
        <w:jc w:val="both"/>
        <w:rPr>
          <w:sz w:val="22"/>
          <w:szCs w:val="22"/>
          <w:lang w:val="sk-SK"/>
        </w:rPr>
      </w:pPr>
      <w:r w:rsidRPr="00E21B7F">
        <w:rPr>
          <w:color w:val="000000"/>
          <w:sz w:val="22"/>
          <w:szCs w:val="22"/>
          <w:lang w:val="sk-SK"/>
        </w:rPr>
        <w:t>Neuroleptický malígny syndróm sa dáva do súvisu s antipsychotickou liečbou vrátane liečby kvetiapínom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Klinická manifestácia zahŕňa hypertermiu, zmenený mentálny stav, svalovú rigiditu, autonómnu nestabilitu a zvýšenie kreatínfosfokinázy. V takomto prípade je nutné ukončiť užívanie </w:t>
      </w:r>
      <w:r>
        <w:rPr>
          <w:sz w:val="22"/>
          <w:szCs w:val="22"/>
          <w:lang w:val="sk-SK"/>
        </w:rPr>
        <w:t>kvetiapínu</w:t>
      </w:r>
      <w:r w:rsidRPr="00E21B7F">
        <w:rPr>
          <w:sz w:val="22"/>
          <w:szCs w:val="22"/>
          <w:lang w:val="sk-SK"/>
        </w:rPr>
        <w:t xml:space="preserve"> a podať vhodnú liečbu.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Ťažká neutropénia</w:t>
      </w:r>
      <w:r>
        <w:rPr>
          <w:b/>
          <w:bCs/>
          <w:sz w:val="22"/>
          <w:szCs w:val="22"/>
          <w:lang w:val="sk-SK"/>
        </w:rPr>
        <w:t xml:space="preserve"> a agranulocytóza</w:t>
      </w:r>
    </w:p>
    <w:p w:rsidR="00302C75" w:rsidRDefault="00302C75">
      <w:pPr>
        <w:pStyle w:val="Hlavika"/>
        <w:tabs>
          <w:tab w:val="clear" w:pos="4320"/>
          <w:tab w:val="clear" w:pos="8640"/>
        </w:tabs>
        <w:jc w:val="both"/>
        <w:rPr>
          <w:sz w:val="22"/>
          <w:szCs w:val="22"/>
          <w:lang w:val="sk-SK"/>
        </w:rPr>
      </w:pPr>
      <w:r w:rsidRPr="00E21B7F">
        <w:rPr>
          <w:color w:val="000000"/>
          <w:sz w:val="22"/>
          <w:szCs w:val="22"/>
          <w:lang w:val="sk-SK"/>
        </w:rPr>
        <w:t>Ťažká neutropénia (počet neutrofilov &lt;0,5</w:t>
      </w:r>
      <w:r w:rsidRPr="00E21B7F">
        <w:rPr>
          <w:sz w:val="22"/>
          <w:szCs w:val="22"/>
          <w:lang w:val="sk-SK"/>
        </w:rPr>
        <w:t> </w:t>
      </w:r>
      <w:r w:rsidRPr="00E21B7F">
        <w:rPr>
          <w:color w:val="000000"/>
          <w:sz w:val="22"/>
          <w:szCs w:val="22"/>
          <w:lang w:val="sk-SK"/>
        </w:rPr>
        <w:t>x</w:t>
      </w:r>
      <w:r w:rsidRPr="00E21B7F">
        <w:rPr>
          <w:sz w:val="22"/>
          <w:szCs w:val="22"/>
          <w:lang w:val="sk-SK"/>
        </w:rPr>
        <w:t> </w:t>
      </w:r>
      <w:r w:rsidRPr="00E21B7F">
        <w:rPr>
          <w:color w:val="000000"/>
          <w:sz w:val="22"/>
          <w:szCs w:val="22"/>
          <w:lang w:val="sk-SK"/>
        </w:rPr>
        <w:t>10</w:t>
      </w:r>
      <w:r w:rsidRPr="00E21B7F">
        <w:rPr>
          <w:color w:val="000000"/>
          <w:sz w:val="22"/>
          <w:szCs w:val="22"/>
          <w:vertAlign w:val="superscript"/>
          <w:lang w:val="sk-SK"/>
        </w:rPr>
        <w:t>9</w:t>
      </w:r>
      <w:r w:rsidRPr="00E21B7F">
        <w:rPr>
          <w:color w:val="000000"/>
          <w:sz w:val="22"/>
          <w:szCs w:val="22"/>
          <w:lang w:val="sk-SK"/>
        </w:rPr>
        <w:t>/l) bola menej často zaznamenaná v klinických skúšaniach kvetiapínu.</w:t>
      </w:r>
      <w:r w:rsidRPr="00E21B7F">
        <w:rPr>
          <w:sz w:val="22"/>
          <w:szCs w:val="22"/>
          <w:lang w:val="sk-SK"/>
        </w:rPr>
        <w:t xml:space="preserve"> Väčšina prípadov ťažkej neutropénie sa vyskytla v priebehu niekoľkých mesiacov po začiatku terapie kvetiapínom. </w:t>
      </w:r>
      <w:r>
        <w:rPr>
          <w:sz w:val="22"/>
          <w:szCs w:val="22"/>
          <w:lang w:val="sk-SK"/>
        </w:rPr>
        <w:t xml:space="preserve">Nebol </w:t>
      </w:r>
      <w:r w:rsidRPr="00E21B7F">
        <w:rPr>
          <w:sz w:val="22"/>
          <w:szCs w:val="22"/>
          <w:lang w:val="sk-SK"/>
        </w:rPr>
        <w:t xml:space="preserve">tu zjavný vzťah k dávke. Počas obdobia po uvedení lieku na trh  </w:t>
      </w:r>
      <w:r>
        <w:rPr>
          <w:sz w:val="22"/>
          <w:szCs w:val="22"/>
          <w:lang w:val="sk-SK"/>
        </w:rPr>
        <w:t>boli niektoré prípady smrteľné</w:t>
      </w:r>
      <w:r w:rsidRPr="00E21B7F">
        <w:rPr>
          <w:sz w:val="22"/>
          <w:szCs w:val="22"/>
          <w:lang w:val="sk-SK"/>
        </w:rPr>
        <w:t>. Možné rizikové faktory neutropénie zahŕňajú preexistujúci nízky počet bielych krviniek (</w:t>
      </w:r>
      <w:r w:rsidR="008F79BE" w:rsidRPr="00946E44">
        <w:rPr>
          <w:i/>
        </w:rPr>
        <w:t>white blood cell</w:t>
      </w:r>
      <w:r w:rsidR="008F79BE">
        <w:t>,</w:t>
      </w:r>
      <w:r w:rsidR="008F79BE" w:rsidRPr="00E21B7F">
        <w:rPr>
          <w:sz w:val="22"/>
          <w:szCs w:val="22"/>
          <w:lang w:val="sk-SK"/>
        </w:rPr>
        <w:t xml:space="preserve"> </w:t>
      </w:r>
      <w:r w:rsidRPr="00E21B7F">
        <w:rPr>
          <w:sz w:val="22"/>
          <w:szCs w:val="22"/>
          <w:lang w:val="sk-SK"/>
        </w:rPr>
        <w:t xml:space="preserve">WBC) a liekmi vyvolanú neutropéniu v anamnéze. </w:t>
      </w:r>
      <w:r w:rsidRPr="00881FC9">
        <w:rPr>
          <w:sz w:val="22"/>
          <w:szCs w:val="22"/>
        </w:rPr>
        <w:t>Niektoré prípady sa však vyskytli u pacientov bez preexistujúcich rizikových faktorov.</w:t>
      </w:r>
      <w:r>
        <w:t xml:space="preserve"> </w:t>
      </w:r>
      <w:r w:rsidRPr="00E21B7F">
        <w:rPr>
          <w:color w:val="000000"/>
          <w:sz w:val="22"/>
          <w:szCs w:val="22"/>
          <w:lang w:val="sk-SK"/>
        </w:rPr>
        <w:t>Podávanie kvetiapínu sa m</w:t>
      </w:r>
      <w:r w:rsidR="008F79BE">
        <w:rPr>
          <w:color w:val="000000"/>
          <w:sz w:val="22"/>
          <w:szCs w:val="22"/>
          <w:lang w:val="sk-SK"/>
        </w:rPr>
        <w:t>á</w:t>
      </w:r>
      <w:r w:rsidRPr="00E21B7F">
        <w:rPr>
          <w:color w:val="000000"/>
          <w:sz w:val="22"/>
          <w:szCs w:val="22"/>
          <w:lang w:val="sk-SK"/>
        </w:rPr>
        <w:t xml:space="preserve"> ukončiť u pacientov s počtom neutrofilov &lt;1</w:t>
      </w:r>
      <w:r>
        <w:rPr>
          <w:color w:val="000000"/>
          <w:sz w:val="22"/>
          <w:szCs w:val="22"/>
          <w:lang w:val="sk-SK"/>
        </w:rPr>
        <w:t>,0</w:t>
      </w:r>
      <w:r w:rsidRPr="00E21B7F">
        <w:rPr>
          <w:color w:val="000000"/>
          <w:sz w:val="22"/>
          <w:szCs w:val="22"/>
          <w:lang w:val="sk-SK"/>
        </w:rPr>
        <w:t xml:space="preserve"> x 10</w:t>
      </w:r>
      <w:r w:rsidRPr="00E21B7F">
        <w:rPr>
          <w:color w:val="000000"/>
          <w:sz w:val="22"/>
          <w:szCs w:val="22"/>
          <w:vertAlign w:val="superscript"/>
          <w:lang w:val="sk-SK"/>
        </w:rPr>
        <w:t>9</w:t>
      </w:r>
      <w:r w:rsidRPr="00E21B7F">
        <w:rPr>
          <w:color w:val="000000"/>
          <w:sz w:val="22"/>
          <w:szCs w:val="22"/>
          <w:lang w:val="sk-SK"/>
        </w:rPr>
        <w:t xml:space="preserve">/l. Pacientov je nutné pozorovať, či sa u nich neobjavia </w:t>
      </w:r>
      <w:r w:rsidRPr="00F00F97">
        <w:rPr>
          <w:sz w:val="22"/>
          <w:szCs w:val="22"/>
          <w:lang w:val="sk-SK"/>
        </w:rPr>
        <w:t>prejavy</w:t>
      </w:r>
      <w:r w:rsidRPr="00F00F97" w:rsidDel="002403EE">
        <w:rPr>
          <w:color w:val="000000"/>
          <w:sz w:val="22"/>
          <w:szCs w:val="22"/>
          <w:lang w:val="sk-SK"/>
        </w:rPr>
        <w:t xml:space="preserve"> </w:t>
      </w:r>
      <w:r w:rsidRPr="00F00F97">
        <w:rPr>
          <w:color w:val="000000"/>
          <w:sz w:val="22"/>
          <w:szCs w:val="22"/>
          <w:lang w:val="sk-SK"/>
        </w:rPr>
        <w:t>a </w:t>
      </w:r>
      <w:r w:rsidRPr="00F00F97">
        <w:rPr>
          <w:sz w:val="22"/>
          <w:szCs w:val="22"/>
          <w:lang w:val="sk-SK"/>
        </w:rPr>
        <w:t>príznaky</w:t>
      </w:r>
      <w:r w:rsidRPr="00E21B7F">
        <w:rPr>
          <w:color w:val="000000"/>
          <w:sz w:val="22"/>
          <w:szCs w:val="22"/>
          <w:lang w:val="sk-SK"/>
        </w:rPr>
        <w:t xml:space="preserve"> infekcie, a treba sledovať ich počty neutrofilov (pokiaľ neprekročia hodnotu 1,5</w:t>
      </w:r>
      <w:r w:rsidRPr="00E21B7F">
        <w:rPr>
          <w:sz w:val="22"/>
          <w:szCs w:val="22"/>
          <w:lang w:val="sk-SK"/>
        </w:rPr>
        <w:t> </w:t>
      </w:r>
      <w:r w:rsidRPr="00E21B7F">
        <w:rPr>
          <w:color w:val="000000"/>
          <w:sz w:val="22"/>
          <w:szCs w:val="22"/>
          <w:lang w:val="sk-SK"/>
        </w:rPr>
        <w:t>x</w:t>
      </w:r>
      <w:r w:rsidRPr="00E21B7F">
        <w:rPr>
          <w:sz w:val="22"/>
          <w:szCs w:val="22"/>
          <w:lang w:val="sk-SK"/>
        </w:rPr>
        <w:t> </w:t>
      </w:r>
      <w:r w:rsidRPr="00E21B7F">
        <w:rPr>
          <w:color w:val="000000"/>
          <w:sz w:val="22"/>
          <w:szCs w:val="22"/>
          <w:lang w:val="sk-SK"/>
        </w:rPr>
        <w:t>10</w:t>
      </w:r>
      <w:r w:rsidRPr="00E21B7F">
        <w:rPr>
          <w:color w:val="000000"/>
          <w:sz w:val="22"/>
          <w:szCs w:val="22"/>
          <w:vertAlign w:val="superscript"/>
          <w:lang w:val="sk-SK"/>
        </w:rPr>
        <w:t>9</w:t>
      </w:r>
      <w:r w:rsidRPr="00E21B7F">
        <w:rPr>
          <w:color w:val="000000"/>
          <w:sz w:val="22"/>
          <w:szCs w:val="22"/>
          <w:lang w:val="sk-SK"/>
        </w:rPr>
        <w:t>/l).</w:t>
      </w:r>
      <w:r w:rsidRPr="00E21B7F">
        <w:rPr>
          <w:sz w:val="22"/>
          <w:szCs w:val="22"/>
          <w:lang w:val="sk-SK"/>
        </w:rPr>
        <w:t xml:space="preserve"> (pozri časť 5.1).</w:t>
      </w:r>
    </w:p>
    <w:p w:rsidR="00302C75" w:rsidRDefault="00302C75">
      <w:pPr>
        <w:pStyle w:val="Hlavika"/>
        <w:tabs>
          <w:tab w:val="clear" w:pos="4320"/>
          <w:tab w:val="clear" w:pos="8640"/>
        </w:tabs>
        <w:jc w:val="both"/>
        <w:rPr>
          <w:sz w:val="22"/>
          <w:szCs w:val="22"/>
          <w:lang w:val="sk-SK"/>
        </w:rPr>
      </w:pPr>
    </w:p>
    <w:p w:rsidR="00302C75" w:rsidRPr="007C4703" w:rsidRDefault="006615B0">
      <w:pPr>
        <w:pStyle w:val="Hlavika"/>
        <w:tabs>
          <w:tab w:val="clear" w:pos="4320"/>
          <w:tab w:val="clear" w:pos="8640"/>
        </w:tabs>
        <w:jc w:val="both"/>
        <w:rPr>
          <w:sz w:val="22"/>
          <w:szCs w:val="22"/>
          <w:lang w:val="sk-SK"/>
        </w:rPr>
      </w:pPr>
      <w:r w:rsidRPr="006615B0">
        <w:rPr>
          <w:sz w:val="22"/>
          <w:szCs w:val="22"/>
          <w:lang w:val="sk-SK"/>
        </w:rPr>
        <w:t>Na neutropéniu treba myslieť u pacientov s prebiehajúcou infekciou alebo horúčkou, najmä u tých, u ktorých chýbajú zjavné predisponujúce faktory. Títo pacienti majú byť vhodne klinicky liečení.</w:t>
      </w:r>
    </w:p>
    <w:p w:rsidR="00302C75" w:rsidRPr="007C4703" w:rsidRDefault="00302C75">
      <w:pPr>
        <w:pStyle w:val="Hlavika"/>
        <w:tabs>
          <w:tab w:val="clear" w:pos="4320"/>
          <w:tab w:val="clear" w:pos="8640"/>
        </w:tabs>
        <w:jc w:val="both"/>
        <w:rPr>
          <w:sz w:val="22"/>
          <w:szCs w:val="22"/>
          <w:lang w:val="sk-SK"/>
        </w:rPr>
      </w:pPr>
    </w:p>
    <w:p w:rsidR="00302C75" w:rsidRPr="007C4703" w:rsidRDefault="006615B0">
      <w:pPr>
        <w:pStyle w:val="Hlavika"/>
        <w:tabs>
          <w:tab w:val="clear" w:pos="4320"/>
          <w:tab w:val="clear" w:pos="8640"/>
        </w:tabs>
        <w:jc w:val="both"/>
        <w:rPr>
          <w:sz w:val="22"/>
          <w:szCs w:val="22"/>
          <w:lang w:val="sk-SK"/>
        </w:rPr>
      </w:pPr>
      <w:r w:rsidRPr="006615B0">
        <w:rPr>
          <w:sz w:val="22"/>
          <w:szCs w:val="22"/>
          <w:lang w:val="sk-SK"/>
        </w:rPr>
        <w:t>Pacientov je potrebné poučiť, aby ihneď hlásili výskyt prejavov/príznakov, ktoré sa zhodujú s agranulocytózou alebo infekciou (napr. horúčka, slabosť, letargia alebo bolesť v hrdle), kedykoľvek počas liečby kvetiapínom. U týchto pacientov je potrebné rýchlo vyšetriť počet WBC a absolútny počet neutrofilov (</w:t>
      </w:r>
      <w:r w:rsidRPr="00946E44">
        <w:rPr>
          <w:i/>
          <w:sz w:val="22"/>
          <w:szCs w:val="22"/>
          <w:lang w:val="sk-SK"/>
        </w:rPr>
        <w:t>absolute neutrophil count</w:t>
      </w:r>
      <w:r w:rsidR="008F79BE">
        <w:rPr>
          <w:i/>
          <w:sz w:val="22"/>
          <w:szCs w:val="22"/>
          <w:lang w:val="sk-SK"/>
        </w:rPr>
        <w:t>,</w:t>
      </w:r>
      <w:r w:rsidR="008F79BE">
        <w:rPr>
          <w:sz w:val="22"/>
          <w:szCs w:val="22"/>
          <w:lang w:val="sk-SK"/>
        </w:rPr>
        <w:t xml:space="preserve"> </w:t>
      </w:r>
      <w:r w:rsidRPr="006615B0">
        <w:rPr>
          <w:sz w:val="22"/>
          <w:szCs w:val="22"/>
          <w:lang w:val="sk-SK"/>
        </w:rPr>
        <w:t>ANC), a to najmä v prípade chýbajúcich predisponujúcich faktorov.</w:t>
      </w:r>
    </w:p>
    <w:p w:rsidR="00302C75" w:rsidRPr="007C4703" w:rsidRDefault="00302C75">
      <w:pPr>
        <w:pStyle w:val="Hlavika"/>
        <w:tabs>
          <w:tab w:val="clear" w:pos="4320"/>
          <w:tab w:val="clear" w:pos="8640"/>
        </w:tabs>
        <w:jc w:val="both"/>
        <w:rPr>
          <w:sz w:val="22"/>
          <w:szCs w:val="22"/>
          <w:lang w:val="sk-SK"/>
        </w:rPr>
      </w:pPr>
    </w:p>
    <w:p w:rsidR="00302C75" w:rsidRPr="007C4703" w:rsidRDefault="006615B0" w:rsidP="00881FC9">
      <w:pPr>
        <w:pStyle w:val="Hlavika"/>
        <w:tabs>
          <w:tab w:val="clear" w:pos="4320"/>
          <w:tab w:val="clear" w:pos="8640"/>
        </w:tabs>
        <w:jc w:val="both"/>
        <w:rPr>
          <w:b/>
          <w:sz w:val="22"/>
          <w:szCs w:val="22"/>
          <w:lang w:val="sk-SK"/>
        </w:rPr>
      </w:pPr>
      <w:r w:rsidRPr="006615B0">
        <w:rPr>
          <w:b/>
          <w:sz w:val="22"/>
          <w:szCs w:val="22"/>
          <w:lang w:val="sk-SK"/>
        </w:rPr>
        <w:t>Antichol</w:t>
      </w:r>
      <w:r w:rsidR="008F79BE">
        <w:rPr>
          <w:b/>
          <w:sz w:val="22"/>
          <w:szCs w:val="22"/>
          <w:lang w:val="sk-SK"/>
        </w:rPr>
        <w:t>í</w:t>
      </w:r>
      <w:r w:rsidRPr="006615B0">
        <w:rPr>
          <w:b/>
          <w:sz w:val="22"/>
          <w:szCs w:val="22"/>
          <w:lang w:val="sk-SK"/>
        </w:rPr>
        <w:t>nerg</w:t>
      </w:r>
      <w:r w:rsidR="008F79BE">
        <w:rPr>
          <w:b/>
          <w:sz w:val="22"/>
          <w:szCs w:val="22"/>
          <w:lang w:val="sk-SK"/>
        </w:rPr>
        <w:t>ick</w:t>
      </w:r>
      <w:r w:rsidRPr="006615B0">
        <w:rPr>
          <w:b/>
          <w:sz w:val="22"/>
          <w:szCs w:val="22"/>
          <w:lang w:val="sk-SK"/>
        </w:rPr>
        <w:t>é (muskarínové) účinky</w:t>
      </w:r>
    </w:p>
    <w:p w:rsidR="00302C75" w:rsidRPr="007C4703" w:rsidRDefault="006615B0" w:rsidP="00881FC9">
      <w:pPr>
        <w:pStyle w:val="Hlavika"/>
        <w:tabs>
          <w:tab w:val="clear" w:pos="4320"/>
          <w:tab w:val="clear" w:pos="8640"/>
        </w:tabs>
        <w:jc w:val="both"/>
        <w:rPr>
          <w:sz w:val="22"/>
          <w:szCs w:val="22"/>
          <w:lang w:val="sk-SK"/>
        </w:rPr>
      </w:pPr>
      <w:r w:rsidRPr="006615B0">
        <w:rPr>
          <w:sz w:val="22"/>
          <w:szCs w:val="22"/>
          <w:lang w:val="sk-SK"/>
        </w:rPr>
        <w:t>Norkvetiapín, aktívny metabolit kvetiapínu, má stredne silnú až silnú afinitu k niekoľkým podtypom muskarínových receptorov. To prispieva k výskytu nežiaducich reakcií odrážajúcich antichol</w:t>
      </w:r>
      <w:r w:rsidR="009A3202">
        <w:rPr>
          <w:sz w:val="22"/>
          <w:szCs w:val="22"/>
          <w:lang w:val="sk-SK"/>
        </w:rPr>
        <w:t>í</w:t>
      </w:r>
      <w:r w:rsidRPr="006615B0">
        <w:rPr>
          <w:sz w:val="22"/>
          <w:szCs w:val="22"/>
          <w:lang w:val="sk-SK"/>
        </w:rPr>
        <w:t>nerg</w:t>
      </w:r>
      <w:r w:rsidR="009A3202">
        <w:rPr>
          <w:sz w:val="22"/>
          <w:szCs w:val="22"/>
          <w:lang w:val="sk-SK"/>
        </w:rPr>
        <w:t>ick</w:t>
      </w:r>
      <w:r w:rsidRPr="006615B0">
        <w:rPr>
          <w:sz w:val="22"/>
          <w:szCs w:val="22"/>
          <w:lang w:val="sk-SK"/>
        </w:rPr>
        <w:t>é účinky, keď sa kvetiapín používa v odporúčaných dávkach, keď sa používa súbežne s inými liekmi s antichol</w:t>
      </w:r>
      <w:r w:rsidR="009A3202">
        <w:rPr>
          <w:sz w:val="22"/>
          <w:szCs w:val="22"/>
          <w:lang w:val="sk-SK"/>
        </w:rPr>
        <w:t>í</w:t>
      </w:r>
      <w:r w:rsidRPr="006615B0">
        <w:rPr>
          <w:sz w:val="22"/>
          <w:szCs w:val="22"/>
          <w:lang w:val="sk-SK"/>
        </w:rPr>
        <w:t>ner</w:t>
      </w:r>
      <w:r w:rsidR="009A3202">
        <w:rPr>
          <w:sz w:val="22"/>
          <w:szCs w:val="22"/>
          <w:lang w:val="sk-SK"/>
        </w:rPr>
        <w:t>gick</w:t>
      </w:r>
      <w:r w:rsidRPr="006615B0">
        <w:rPr>
          <w:sz w:val="22"/>
          <w:szCs w:val="22"/>
          <w:lang w:val="sk-SK"/>
        </w:rPr>
        <w:t>ým účinkom a pri predávkovaní. Kvetiapín sa má používať s opatrnosťou u pacientov užívajúcich lieky s antichol</w:t>
      </w:r>
      <w:r w:rsidR="009A3202">
        <w:rPr>
          <w:sz w:val="22"/>
          <w:szCs w:val="22"/>
          <w:lang w:val="sk-SK"/>
        </w:rPr>
        <w:t>í</w:t>
      </w:r>
      <w:r w:rsidRPr="006615B0">
        <w:rPr>
          <w:sz w:val="22"/>
          <w:szCs w:val="22"/>
          <w:lang w:val="sk-SK"/>
        </w:rPr>
        <w:t>nerg</w:t>
      </w:r>
      <w:r w:rsidR="009A3202">
        <w:rPr>
          <w:sz w:val="22"/>
          <w:szCs w:val="22"/>
          <w:lang w:val="sk-SK"/>
        </w:rPr>
        <w:t>ick</w:t>
      </w:r>
      <w:r w:rsidRPr="006615B0">
        <w:rPr>
          <w:sz w:val="22"/>
          <w:szCs w:val="22"/>
          <w:lang w:val="sk-SK"/>
        </w:rPr>
        <w:t>ými (muskarínovými) účinkami. Kvetiapín sa má používať s opatrnosťou u pacientov so súčasnou diagnózou retencie moču alebo s retenciou moču v anamnéze, s klinicky význam</w:t>
      </w:r>
      <w:r w:rsidR="007C4703">
        <w:rPr>
          <w:sz w:val="22"/>
          <w:szCs w:val="22"/>
          <w:lang w:val="sk-SK"/>
        </w:rPr>
        <w:t>n</w:t>
      </w:r>
      <w:r w:rsidRPr="006615B0">
        <w:rPr>
          <w:sz w:val="22"/>
          <w:szCs w:val="22"/>
          <w:lang w:val="sk-SK"/>
        </w:rPr>
        <w:t>ou hypertrofiou prostaty, intestinálnou obštrukciou alebo so súvisiacimi ochoreniami, so zvýšeným vnútroočným tlakom alebo s glaukómom s úzkym uhlom (pozri časti 4.5, 4.8, 5.1 a 4.9).</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Interakcie </w:t>
      </w:r>
    </w:p>
    <w:p w:rsidR="00302C75" w:rsidRPr="00E21B7F" w:rsidRDefault="00302C75">
      <w:pPr>
        <w:pStyle w:val="Hlavika"/>
        <w:tabs>
          <w:tab w:val="clear" w:pos="4320"/>
          <w:tab w:val="clear" w:pos="8640"/>
        </w:tabs>
        <w:jc w:val="both"/>
        <w:rPr>
          <w:sz w:val="22"/>
          <w:szCs w:val="22"/>
          <w:lang w:val="sk-SK"/>
        </w:rPr>
      </w:pPr>
      <w:r w:rsidRPr="00E21B7F">
        <w:rPr>
          <w:color w:val="000000"/>
          <w:sz w:val="22"/>
          <w:szCs w:val="22"/>
          <w:lang w:val="sk-SK"/>
        </w:rPr>
        <w:t>Pozri tiež časť</w:t>
      </w:r>
      <w:r w:rsidRPr="00E21B7F">
        <w:rPr>
          <w:sz w:val="22"/>
          <w:szCs w:val="22"/>
          <w:lang w:val="sk-SK"/>
        </w:rPr>
        <w:t> </w:t>
      </w:r>
      <w:r w:rsidRPr="00E21B7F">
        <w:rPr>
          <w:color w:val="000000"/>
          <w:sz w:val="22"/>
          <w:szCs w:val="22"/>
          <w:lang w:val="sk-SK"/>
        </w:rPr>
        <w:t>4.5</w:t>
      </w:r>
      <w:r w:rsidRPr="00E21B7F">
        <w:rPr>
          <w:sz w:val="22"/>
          <w:szCs w:val="22"/>
          <w:lang w:val="sk-SK"/>
        </w:rPr>
        <w:t xml:space="preserve">. </w:t>
      </w: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Súbežné užívanie kvetiapínu so silným induktorom pečeňových enzýmov, ako je napríklad karbamazepín alebo fenytoín, podstatne znižuje plazmatickú koncentráciu kvetiapínu, čo môže ovplyvniť účinnosť liečby kvetiapínom. Liečba </w:t>
      </w:r>
      <w:r>
        <w:rPr>
          <w:sz w:val="22"/>
          <w:szCs w:val="22"/>
          <w:lang w:val="sk-SK"/>
        </w:rPr>
        <w:t>kvetiapínom</w:t>
      </w:r>
      <w:r w:rsidRPr="00E21B7F">
        <w:rPr>
          <w:sz w:val="22"/>
          <w:szCs w:val="22"/>
          <w:lang w:val="sk-SK"/>
        </w:rPr>
        <w:t xml:space="preserve"> sa môže u pacientov, ktorí dostávajú induktor pečeňových enzýmov, začať len vtedy, ak lekár uváži, že prínos liečby </w:t>
      </w:r>
      <w:r>
        <w:rPr>
          <w:sz w:val="22"/>
          <w:szCs w:val="22"/>
          <w:lang w:val="sk-SK"/>
        </w:rPr>
        <w:t>kvetiapínom</w:t>
      </w:r>
      <w:r w:rsidRPr="00E21B7F">
        <w:rPr>
          <w:sz w:val="22"/>
          <w:szCs w:val="22"/>
          <w:lang w:val="sk-SK"/>
        </w:rPr>
        <w:t xml:space="preserve"> preváži riziká vysadenia induktora pečeňových enzýmov. Je dôležité, aby akákoľvek zmena induktora bola postupná, a ak je to potrebné, aby bol nahradený liekom, ktorý neindukuje pečeňové enzýmy (napr. valproátom sodným).</w:t>
      </w:r>
    </w:p>
    <w:p w:rsidR="00302C75" w:rsidRPr="00E21B7F" w:rsidRDefault="00302C75">
      <w:pPr>
        <w:jc w:val="both"/>
        <w:rPr>
          <w:sz w:val="22"/>
          <w:szCs w:val="22"/>
          <w:lang w:val="sk-SK"/>
        </w:rPr>
      </w:pPr>
    </w:p>
    <w:p w:rsidR="00302C75" w:rsidRPr="00E21B7F" w:rsidRDefault="00770799">
      <w:pPr>
        <w:jc w:val="both"/>
        <w:rPr>
          <w:sz w:val="22"/>
          <w:szCs w:val="22"/>
          <w:lang w:val="sk-SK"/>
        </w:rPr>
      </w:pPr>
      <w:r>
        <w:rPr>
          <w:b/>
          <w:bCs/>
          <w:sz w:val="22"/>
          <w:szCs w:val="22"/>
          <w:lang w:val="sk-SK"/>
        </w:rPr>
        <w:t>Telesná h</w:t>
      </w:r>
      <w:r w:rsidR="00302C75" w:rsidRPr="00E21B7F">
        <w:rPr>
          <w:b/>
          <w:bCs/>
          <w:sz w:val="22"/>
          <w:szCs w:val="22"/>
          <w:lang w:val="sk-SK"/>
        </w:rPr>
        <w:t xml:space="preserve">motnosť </w:t>
      </w:r>
    </w:p>
    <w:p w:rsidR="00302C75" w:rsidRPr="00E21B7F" w:rsidRDefault="00302C75">
      <w:pPr>
        <w:jc w:val="both"/>
        <w:rPr>
          <w:sz w:val="22"/>
          <w:szCs w:val="22"/>
          <w:lang w:val="sk-SK"/>
        </w:rPr>
      </w:pPr>
      <w:r w:rsidRPr="00E21B7F">
        <w:rPr>
          <w:sz w:val="22"/>
          <w:szCs w:val="22"/>
          <w:lang w:val="sk-SK"/>
        </w:rPr>
        <w:t>U pacientov liečených kvetiapínom bolo zaznamenané zvýšenie telesnej hmotnosti, a má sa monitorovať a liečiť klinicky vhodným postupom, ktorý je v súlade s používanými odporúčaniami pre antipsychotiká (pozri časti 4.8 a 5.1).</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Hyperglykémia </w:t>
      </w:r>
    </w:p>
    <w:p w:rsidR="00302C75" w:rsidRPr="00E21B7F" w:rsidRDefault="00302C75">
      <w:pPr>
        <w:jc w:val="both"/>
        <w:rPr>
          <w:sz w:val="22"/>
          <w:szCs w:val="22"/>
          <w:lang w:val="sk-SK"/>
        </w:rPr>
      </w:pPr>
      <w:r w:rsidRPr="00E21B7F">
        <w:rPr>
          <w:sz w:val="22"/>
          <w:szCs w:val="22"/>
          <w:lang w:val="sk-SK"/>
        </w:rPr>
        <w:t xml:space="preserve">Boli hlásené zriedkavé prípady hyperglykémie a/alebo rozvinutia alebo zhoršenia diabetu, ktoré boli občas spojené s ketoacidózou alebo kómou vrátane niekoľkých fatálnych prípadov (pozri časť 4.8). V niektorých prípadoch bolo hlásené predchádzajúce zvýšenie telesnej hmotnosti, čo sa môže považovať za predisponujúci faktor. Odporúča sa náležité klinické monitorovanie v súlade s používanými odporúčaniami pre antipsychotiká.  U pacientov liečených antipsychotikami vrátane kvetiapínu sa majú sledovať </w:t>
      </w:r>
      <w:r w:rsidRPr="00F00F97">
        <w:rPr>
          <w:sz w:val="22"/>
          <w:szCs w:val="22"/>
          <w:lang w:val="sk-SK"/>
        </w:rPr>
        <w:t>prejavy</w:t>
      </w:r>
      <w:r w:rsidRPr="00F00F97" w:rsidDel="002403EE">
        <w:rPr>
          <w:color w:val="000000"/>
          <w:sz w:val="22"/>
          <w:szCs w:val="22"/>
          <w:lang w:val="sk-SK"/>
        </w:rPr>
        <w:t xml:space="preserve"> </w:t>
      </w:r>
      <w:r w:rsidRPr="00F00F97">
        <w:rPr>
          <w:color w:val="000000"/>
          <w:sz w:val="22"/>
          <w:szCs w:val="22"/>
          <w:lang w:val="sk-SK"/>
        </w:rPr>
        <w:t>a </w:t>
      </w:r>
      <w:r w:rsidRPr="00F00F97">
        <w:rPr>
          <w:sz w:val="22"/>
          <w:szCs w:val="22"/>
          <w:lang w:val="sk-SK"/>
        </w:rPr>
        <w:t>príznaky</w:t>
      </w:r>
      <w:r w:rsidRPr="00F00F97">
        <w:rPr>
          <w:color w:val="000000"/>
          <w:sz w:val="22"/>
          <w:szCs w:val="22"/>
          <w:lang w:val="sk-SK"/>
        </w:rPr>
        <w:t xml:space="preserve"> </w:t>
      </w:r>
      <w:r w:rsidRPr="00E21B7F">
        <w:rPr>
          <w:sz w:val="22"/>
          <w:szCs w:val="22"/>
          <w:lang w:val="sk-SK"/>
        </w:rPr>
        <w:t xml:space="preserve">hyperglykémie (ako je napríklad polydipsia, polyúria, polyfágia a slabosť) a u pacientov s diabetes mellitus alebo s rizikovými faktormi pre diabetes mellitus sa má pravidelne monitorovať hladina glukózy. Je potrebné pravidelne monitorovať telesnú hmotnosť. </w:t>
      </w:r>
    </w:p>
    <w:p w:rsidR="00302C75" w:rsidRPr="00E21B7F" w:rsidRDefault="00302C75">
      <w:pPr>
        <w:jc w:val="both"/>
        <w:rPr>
          <w:b/>
          <w:bCs/>
          <w:sz w:val="22"/>
          <w:szCs w:val="22"/>
          <w:lang w:val="sk-SK"/>
        </w:rPr>
      </w:pPr>
    </w:p>
    <w:p w:rsidR="00302C75" w:rsidRPr="00E21B7F" w:rsidRDefault="00302C75">
      <w:pPr>
        <w:jc w:val="both"/>
        <w:rPr>
          <w:b/>
          <w:bCs/>
          <w:sz w:val="22"/>
          <w:szCs w:val="22"/>
          <w:lang w:val="sk-SK"/>
        </w:rPr>
      </w:pPr>
      <w:r w:rsidRPr="00E21B7F">
        <w:rPr>
          <w:b/>
          <w:bCs/>
          <w:sz w:val="22"/>
          <w:szCs w:val="22"/>
          <w:lang w:val="sk-SK"/>
        </w:rPr>
        <w:t>Lipidy</w:t>
      </w:r>
    </w:p>
    <w:p w:rsidR="00302C75" w:rsidRPr="00E21B7F" w:rsidRDefault="00302C75">
      <w:pPr>
        <w:jc w:val="both"/>
        <w:rPr>
          <w:sz w:val="22"/>
          <w:szCs w:val="22"/>
          <w:lang w:val="sk-SK"/>
        </w:rPr>
      </w:pPr>
      <w:r w:rsidRPr="00E21B7F">
        <w:rPr>
          <w:color w:val="000000"/>
          <w:sz w:val="22"/>
          <w:szCs w:val="22"/>
          <w:lang w:val="sk-SK"/>
        </w:rPr>
        <w:t>V klinických skúšaniach s kvetiapínom bolo pozorované zvýšenie hladín triglyceridov, LDL a celkového cholesterolu a zníženie hladín HDL cholesterolu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Zmeny lipidov sa majú liečiť podľa klinického stavu pacienta. </w:t>
      </w:r>
    </w:p>
    <w:p w:rsidR="00302C75" w:rsidRPr="00E21B7F" w:rsidRDefault="00302C75">
      <w:pPr>
        <w:jc w:val="both"/>
        <w:rPr>
          <w:b/>
          <w:bCs/>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Predĺženie intervalu QT </w:t>
      </w:r>
    </w:p>
    <w:p w:rsidR="00302C75" w:rsidRDefault="00302C75">
      <w:pPr>
        <w:pStyle w:val="Hlavika"/>
        <w:tabs>
          <w:tab w:val="clear" w:pos="4320"/>
          <w:tab w:val="clear" w:pos="8640"/>
        </w:tabs>
        <w:jc w:val="both"/>
        <w:rPr>
          <w:color w:val="000000"/>
          <w:sz w:val="22"/>
          <w:szCs w:val="22"/>
          <w:lang w:val="sk-SK"/>
        </w:rPr>
      </w:pPr>
      <w:r w:rsidRPr="00E21B7F">
        <w:rPr>
          <w:sz w:val="22"/>
          <w:szCs w:val="22"/>
          <w:lang w:val="sk-SK"/>
        </w:rPr>
        <w:t xml:space="preserve">V klinických skúšaniach a pri užívaní v súlade s SPC kvetiapín nebol spojený s trvalým zvýšením absolútneho intervalu QT. Po uvedení lieku na trh bolo hlásené predĺženie intervalu QT pri užívaní kvetiapínu v terapeutických dávkach (pozri časť 4.8) a pri predávkovaní (pozri časť 4.9). </w:t>
      </w:r>
      <w:r w:rsidRPr="00E21B7F">
        <w:rPr>
          <w:color w:val="000000"/>
          <w:sz w:val="22"/>
          <w:szCs w:val="22"/>
          <w:lang w:val="sk-SK"/>
        </w:rPr>
        <w:t>Opatrnosť je podobne ako v prípade ostatných antipsychotík potrebná aj pri predpisovaní kvetiapínu pacientom s kardiovaskulárnym ochorením alebo s predĺžením intervalu QT v rodinnej anamnéze.</w:t>
      </w:r>
      <w:r w:rsidRPr="00E21B7F">
        <w:rPr>
          <w:sz w:val="22"/>
          <w:szCs w:val="22"/>
          <w:lang w:val="sk-SK"/>
        </w:rPr>
        <w:t xml:space="preserve"> </w:t>
      </w:r>
      <w:r w:rsidRPr="00E21B7F">
        <w:rPr>
          <w:color w:val="000000"/>
          <w:sz w:val="22"/>
          <w:szCs w:val="22"/>
          <w:lang w:val="sk-SK"/>
        </w:rPr>
        <w:t>Opatrnosť je potrebná aj pri predpisovaní kvetiapínu s liekmi, o ktorých je známe, že predlžujú interval QT, alebo pri súčasnom podávaní neuroleptík, najmä u starších pacientov, u pacientov s vrodeným syndrómom dlhého QT intervalu, kongestívnym zlyhaním srdca, hypertrofiou srdca, hypokaliémiou alebo hypomagneziémiou (pozri časť</w:t>
      </w:r>
      <w:r w:rsidRPr="00E21B7F">
        <w:rPr>
          <w:sz w:val="22"/>
          <w:szCs w:val="22"/>
          <w:lang w:val="sk-SK"/>
        </w:rPr>
        <w:t> </w:t>
      </w:r>
      <w:r w:rsidRPr="00E21B7F">
        <w:rPr>
          <w:color w:val="000000"/>
          <w:sz w:val="22"/>
          <w:szCs w:val="22"/>
          <w:lang w:val="sk-SK"/>
        </w:rPr>
        <w:t>4.5).</w:t>
      </w:r>
    </w:p>
    <w:p w:rsidR="00302C75" w:rsidRDefault="00302C75">
      <w:pPr>
        <w:pStyle w:val="Hlavika"/>
        <w:tabs>
          <w:tab w:val="clear" w:pos="4320"/>
          <w:tab w:val="clear" w:pos="8640"/>
        </w:tabs>
        <w:jc w:val="both"/>
        <w:rPr>
          <w:color w:val="000000"/>
          <w:sz w:val="22"/>
          <w:szCs w:val="22"/>
          <w:lang w:val="sk-SK"/>
        </w:rPr>
      </w:pPr>
    </w:p>
    <w:p w:rsidR="00302C75" w:rsidRDefault="00302C75">
      <w:pPr>
        <w:pStyle w:val="Hlavika"/>
        <w:tabs>
          <w:tab w:val="clear" w:pos="4320"/>
          <w:tab w:val="clear" w:pos="8640"/>
        </w:tabs>
        <w:jc w:val="both"/>
        <w:rPr>
          <w:b/>
          <w:sz w:val="22"/>
          <w:szCs w:val="22"/>
          <w:lang w:val="sk-SK"/>
        </w:rPr>
      </w:pPr>
      <w:r>
        <w:rPr>
          <w:b/>
          <w:sz w:val="22"/>
          <w:szCs w:val="22"/>
          <w:lang w:val="sk-SK"/>
        </w:rPr>
        <w:t>Kardiomyopatia a myokarditída</w:t>
      </w:r>
    </w:p>
    <w:p w:rsidR="00302C75" w:rsidRPr="00E660EF" w:rsidRDefault="00302C75">
      <w:pPr>
        <w:pStyle w:val="Hlavika"/>
        <w:tabs>
          <w:tab w:val="clear" w:pos="4320"/>
          <w:tab w:val="clear" w:pos="8640"/>
        </w:tabs>
        <w:jc w:val="both"/>
        <w:rPr>
          <w:sz w:val="22"/>
          <w:szCs w:val="22"/>
          <w:lang w:val="sk-SK"/>
        </w:rPr>
      </w:pPr>
      <w:r w:rsidRPr="00E660EF">
        <w:rPr>
          <w:sz w:val="22"/>
          <w:szCs w:val="22"/>
        </w:rPr>
        <w:t>V klinických skúšaniach a v priebehu sledovania po uvedení lieku na trh bola hlásená kardiomyopatia a myokarditída, kauzálna súvislosť s kvetiapínom však nebola preukázaná. Liečba kvetiapínom sa má prehodnotiť u pacientov s podozrením na kardiomyopatiu alebo myokarditídu.</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Vysadenie lieku </w:t>
      </w: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Akútne príznaky z vysadenia lieku, ako je insomnia, nauzea, bolesť hlavy, diarea, vracanie, závraty a podráždenosť, boli popísané po náhlom ukončení liečby kvetiapínom. Odporúča sa postupné vysadzovanie lieku po dobu najmenej jedného až dvoch týždňov (pozri časť 4.8).</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Starší pacienti so psychózou súvisiacou s demenciou </w:t>
      </w:r>
    </w:p>
    <w:p w:rsidR="00302C75" w:rsidRPr="00E21B7F" w:rsidRDefault="00302C75">
      <w:pPr>
        <w:pStyle w:val="Hlavika"/>
        <w:tabs>
          <w:tab w:val="clear" w:pos="4320"/>
          <w:tab w:val="clear" w:pos="8640"/>
        </w:tabs>
        <w:jc w:val="both"/>
        <w:rPr>
          <w:sz w:val="22"/>
          <w:szCs w:val="22"/>
          <w:lang w:val="sk-SK"/>
        </w:rPr>
      </w:pPr>
      <w:r>
        <w:rPr>
          <w:sz w:val="22"/>
          <w:szCs w:val="22"/>
          <w:lang w:val="sk-SK"/>
        </w:rPr>
        <w:t>Kvetiapín</w:t>
      </w:r>
      <w:r w:rsidRPr="00E21B7F">
        <w:rPr>
          <w:sz w:val="22"/>
          <w:szCs w:val="22"/>
          <w:lang w:val="sk-SK"/>
        </w:rPr>
        <w:t xml:space="preserve"> nie je schválený na liečbu pacientov so psychózou súvisiacou s demenciou.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Pri liečbe niektorými atypickými antipsychotikami v  randomizovaných placebom kontrolovaných klinických skúšaniach populácie  </w:t>
      </w:r>
      <w:r>
        <w:rPr>
          <w:sz w:val="22"/>
          <w:szCs w:val="22"/>
          <w:lang w:val="sk-SK"/>
        </w:rPr>
        <w:t>s</w:t>
      </w:r>
      <w:r w:rsidRPr="00E21B7F">
        <w:rPr>
          <w:sz w:val="22"/>
          <w:szCs w:val="22"/>
          <w:lang w:val="sk-SK"/>
        </w:rPr>
        <w:t xml:space="preserve"> demenciou bolo pozorované približne 3</w:t>
      </w:r>
      <w:r w:rsidRPr="00E21B7F">
        <w:rPr>
          <w:sz w:val="22"/>
          <w:szCs w:val="22"/>
          <w:lang w:val="sk-SK"/>
        </w:rPr>
        <w:noBreakHyphen/>
        <w:t xml:space="preserve">násobne zvýšené riziko cerebrovaskulárnych nežiaducich udalostí. Mechanizmus tohto zvýšeného rizika nie je známy. Zvýšené riziko nemožno vylúčiť </w:t>
      </w:r>
      <w:r>
        <w:rPr>
          <w:sz w:val="22"/>
          <w:szCs w:val="22"/>
          <w:lang w:val="sk-SK"/>
        </w:rPr>
        <w:t>pri</w:t>
      </w:r>
      <w:r w:rsidRPr="00E21B7F">
        <w:rPr>
          <w:sz w:val="22"/>
          <w:szCs w:val="22"/>
          <w:lang w:val="sk-SK"/>
        </w:rPr>
        <w:t> iných antipsychot</w:t>
      </w:r>
      <w:r>
        <w:rPr>
          <w:sz w:val="22"/>
          <w:szCs w:val="22"/>
          <w:lang w:val="sk-SK"/>
        </w:rPr>
        <w:t>ikách</w:t>
      </w:r>
      <w:r w:rsidRPr="00E21B7F">
        <w:rPr>
          <w:sz w:val="22"/>
          <w:szCs w:val="22"/>
          <w:lang w:val="sk-SK"/>
        </w:rPr>
        <w:t xml:space="preserve"> alebo inej populáci</w:t>
      </w:r>
      <w:r>
        <w:rPr>
          <w:sz w:val="22"/>
          <w:szCs w:val="22"/>
          <w:lang w:val="sk-SK"/>
        </w:rPr>
        <w:t>i</w:t>
      </w:r>
      <w:r w:rsidRPr="00E21B7F">
        <w:rPr>
          <w:sz w:val="22"/>
          <w:szCs w:val="22"/>
          <w:lang w:val="sk-SK"/>
        </w:rPr>
        <w:t xml:space="preserve"> pacientov. </w:t>
      </w:r>
      <w:r>
        <w:rPr>
          <w:sz w:val="22"/>
          <w:szCs w:val="22"/>
          <w:lang w:val="sk-SK"/>
        </w:rPr>
        <w:t>Kvetiapín</w:t>
      </w:r>
      <w:r w:rsidRPr="00E21B7F">
        <w:rPr>
          <w:sz w:val="22"/>
          <w:szCs w:val="22"/>
          <w:lang w:val="sk-SK"/>
        </w:rPr>
        <w:t xml:space="preserve"> je potrebné užívať s opatrnosťou u pacientov s rizikovými faktormi pre mozgovú príhodu. </w:t>
      </w:r>
    </w:p>
    <w:p w:rsidR="00302C75" w:rsidRPr="00E21B7F" w:rsidRDefault="00302C75">
      <w:pPr>
        <w:pStyle w:val="Hlavika"/>
        <w:tabs>
          <w:tab w:val="clear" w:pos="4320"/>
          <w:tab w:val="clear" w:pos="8640"/>
        </w:tabs>
        <w:jc w:val="both"/>
        <w:rPr>
          <w:sz w:val="22"/>
          <w:szCs w:val="22"/>
          <w:lang w:val="sk-SK"/>
        </w:rPr>
      </w:pPr>
    </w:p>
    <w:p w:rsidR="00302C75" w:rsidRDefault="00302C75">
      <w:pPr>
        <w:pStyle w:val="Hlavika"/>
        <w:tabs>
          <w:tab w:val="clear" w:pos="4320"/>
          <w:tab w:val="clear" w:pos="8640"/>
        </w:tabs>
        <w:jc w:val="both"/>
        <w:rPr>
          <w:sz w:val="22"/>
          <w:szCs w:val="22"/>
          <w:lang w:val="sk-SK"/>
        </w:rPr>
      </w:pPr>
      <w:r w:rsidRPr="00E21B7F">
        <w:rPr>
          <w:sz w:val="22"/>
          <w:szCs w:val="22"/>
          <w:lang w:val="sk-SK"/>
        </w:rPr>
        <w:t>V metaanalýze atypických antipsychotických liekov sa zistilo, že starší pacienti so psychózou súvisiacou s demenciou sú vystavení zvýšenému riziku smrti oproti pacientom užívajúc</w:t>
      </w:r>
      <w:r>
        <w:rPr>
          <w:sz w:val="22"/>
          <w:szCs w:val="22"/>
          <w:lang w:val="sk-SK"/>
        </w:rPr>
        <w:t>ich</w:t>
      </w:r>
      <w:r w:rsidRPr="00E21B7F">
        <w:rPr>
          <w:sz w:val="22"/>
          <w:szCs w:val="22"/>
          <w:lang w:val="sk-SK"/>
        </w:rPr>
        <w:t xml:space="preserve"> placebo. V dvoch 10</w:t>
      </w:r>
      <w:r w:rsidRPr="00E21B7F">
        <w:rPr>
          <w:sz w:val="22"/>
          <w:szCs w:val="22"/>
          <w:lang w:val="sk-SK"/>
        </w:rPr>
        <w:noBreakHyphen/>
        <w:t>týždňových placebom kontrolovaných štúdiách kvetiapínu v rovnakej populácii pacientov (n=710; priemerný vek: 83 rokov</w:t>
      </w:r>
      <w:r w:rsidRPr="00E21B7F">
        <w:rPr>
          <w:color w:val="000000"/>
          <w:sz w:val="22"/>
          <w:szCs w:val="22"/>
          <w:lang w:val="sk-SK"/>
        </w:rPr>
        <w:t>; rozpätie:</w:t>
      </w:r>
      <w:r w:rsidRPr="00E21B7F">
        <w:rPr>
          <w:sz w:val="22"/>
          <w:szCs w:val="22"/>
          <w:lang w:val="sk-SK"/>
        </w:rPr>
        <w:t xml:space="preserve"> 56–99 rokov) bol výskyt mortality u pacientov liečených kvetiapínom 5,5 % oproti 3,2 % </w:t>
      </w:r>
      <w:r>
        <w:rPr>
          <w:sz w:val="22"/>
          <w:szCs w:val="22"/>
          <w:lang w:val="sk-SK"/>
        </w:rPr>
        <w:t xml:space="preserve">v </w:t>
      </w:r>
      <w:r w:rsidRPr="00E21B7F">
        <w:rPr>
          <w:sz w:val="22"/>
          <w:szCs w:val="22"/>
          <w:lang w:val="sk-SK"/>
        </w:rPr>
        <w:t>skupine dostávajúcej placebo.</w:t>
      </w:r>
      <w:r>
        <w:rPr>
          <w:sz w:val="22"/>
          <w:szCs w:val="22"/>
          <w:lang w:val="sk-SK"/>
        </w:rPr>
        <w:t xml:space="preserve"> </w:t>
      </w:r>
    </w:p>
    <w:p w:rsidR="00302C75"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Pacienti počas týchto skúšaní zomierali z rôznych príčin, ktoré zodpovedali očakávaniam pre túto populáciu. </w:t>
      </w:r>
    </w:p>
    <w:p w:rsidR="00302C75" w:rsidRPr="00E21B7F" w:rsidRDefault="00302C75">
      <w:pPr>
        <w:jc w:val="both"/>
        <w:rPr>
          <w:sz w:val="22"/>
          <w:szCs w:val="22"/>
          <w:lang w:val="sk-SK"/>
        </w:rPr>
      </w:pPr>
    </w:p>
    <w:p w:rsidR="00302C75" w:rsidRPr="00E21B7F" w:rsidRDefault="00302C75">
      <w:pPr>
        <w:jc w:val="both"/>
        <w:rPr>
          <w:b/>
          <w:bCs/>
          <w:sz w:val="22"/>
          <w:szCs w:val="22"/>
          <w:lang w:val="sk-SK"/>
        </w:rPr>
      </w:pPr>
      <w:r w:rsidRPr="00E21B7F">
        <w:rPr>
          <w:b/>
          <w:bCs/>
          <w:sz w:val="22"/>
          <w:szCs w:val="22"/>
          <w:lang w:val="sk-SK"/>
        </w:rPr>
        <w:t>Dysfágia</w:t>
      </w:r>
    </w:p>
    <w:p w:rsidR="00302C75" w:rsidRPr="00E21B7F" w:rsidRDefault="00302C75">
      <w:pPr>
        <w:jc w:val="both"/>
        <w:rPr>
          <w:sz w:val="22"/>
          <w:szCs w:val="22"/>
          <w:lang w:val="sk-SK"/>
        </w:rPr>
      </w:pPr>
      <w:r w:rsidRPr="00E21B7F">
        <w:rPr>
          <w:color w:val="000000"/>
          <w:sz w:val="22"/>
          <w:szCs w:val="22"/>
          <w:lang w:val="sk-SK"/>
        </w:rPr>
        <w:t>V súvislosti s kvetiapínom bola zaznamenaná dysfágia (pozri časť</w:t>
      </w:r>
      <w:r w:rsidRPr="00E21B7F">
        <w:rPr>
          <w:sz w:val="22"/>
          <w:szCs w:val="22"/>
          <w:lang w:val="sk-SK"/>
        </w:rPr>
        <w:t> </w:t>
      </w:r>
      <w:r w:rsidRPr="00E21B7F">
        <w:rPr>
          <w:color w:val="000000"/>
          <w:sz w:val="22"/>
          <w:szCs w:val="22"/>
          <w:lang w:val="sk-SK"/>
        </w:rPr>
        <w:t>4.8).</w:t>
      </w:r>
      <w:r w:rsidRPr="00E21B7F">
        <w:rPr>
          <w:sz w:val="22"/>
          <w:szCs w:val="22"/>
          <w:lang w:val="sk-SK"/>
        </w:rPr>
        <w:t xml:space="preserve"> Pri užívaní kvetiapínu u pacientov s rizikovými faktormi pre aspiračnú pneumóniu je potrebná opatrnosť.</w:t>
      </w:r>
    </w:p>
    <w:p w:rsidR="00302C75" w:rsidRPr="00E21B7F" w:rsidRDefault="00302C75">
      <w:pPr>
        <w:jc w:val="both"/>
        <w:rPr>
          <w:sz w:val="22"/>
          <w:szCs w:val="22"/>
          <w:lang w:val="sk-SK"/>
        </w:rPr>
      </w:pPr>
    </w:p>
    <w:p w:rsidR="00302C75" w:rsidRDefault="00302C75">
      <w:pPr>
        <w:jc w:val="both"/>
        <w:rPr>
          <w:b/>
          <w:bCs/>
          <w:sz w:val="22"/>
          <w:szCs w:val="22"/>
          <w:lang w:val="sk-SK"/>
        </w:rPr>
      </w:pPr>
      <w:r>
        <w:rPr>
          <w:b/>
          <w:bCs/>
          <w:sz w:val="22"/>
          <w:szCs w:val="22"/>
          <w:lang w:val="sk-SK"/>
        </w:rPr>
        <w:t>Zápcha a intestinálna obštrukcia</w:t>
      </w:r>
    </w:p>
    <w:p w:rsidR="00302C75" w:rsidRPr="00302C75" w:rsidRDefault="006615B0">
      <w:pPr>
        <w:jc w:val="both"/>
        <w:rPr>
          <w:bCs/>
          <w:sz w:val="22"/>
          <w:szCs w:val="22"/>
          <w:lang w:val="sk-SK"/>
        </w:rPr>
      </w:pPr>
      <w:r w:rsidRPr="006615B0">
        <w:rPr>
          <w:sz w:val="22"/>
          <w:szCs w:val="22"/>
        </w:rPr>
        <w:t>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súbežne viac liekov znižujúcich intestinálnu motilitu a/alebo nemuseli hlásiť príznaky zápchy. Pacienti s intestinálnou obštrukciou/ileom sa majú liečiť so starostlivým sledovaním a na jednotke intenzívnej starostlivosti.</w:t>
      </w:r>
    </w:p>
    <w:p w:rsidR="00302C75" w:rsidRPr="00302C75" w:rsidRDefault="00302C75">
      <w:pPr>
        <w:jc w:val="both"/>
        <w:rPr>
          <w:bCs/>
          <w:sz w:val="22"/>
          <w:szCs w:val="22"/>
          <w:lang w:val="sk-SK"/>
        </w:rPr>
      </w:pPr>
    </w:p>
    <w:p w:rsidR="00302C75" w:rsidRPr="00E21B7F" w:rsidRDefault="00302C75">
      <w:pPr>
        <w:jc w:val="both"/>
        <w:rPr>
          <w:b/>
          <w:bCs/>
          <w:sz w:val="22"/>
          <w:szCs w:val="22"/>
          <w:lang w:val="sk-SK"/>
        </w:rPr>
      </w:pPr>
      <w:r w:rsidRPr="00F00F97">
        <w:rPr>
          <w:b/>
          <w:bCs/>
          <w:sz w:val="22"/>
          <w:szCs w:val="22"/>
          <w:lang w:val="sk-SK"/>
        </w:rPr>
        <w:t xml:space="preserve">Venózna trombembólia </w:t>
      </w:r>
      <w:r>
        <w:rPr>
          <w:b/>
          <w:bCs/>
          <w:sz w:val="22"/>
          <w:szCs w:val="22"/>
          <w:lang w:val="sk-SK"/>
        </w:rPr>
        <w:t>(VTE)</w:t>
      </w:r>
    </w:p>
    <w:p w:rsidR="00302C75" w:rsidRDefault="00302C75">
      <w:pPr>
        <w:jc w:val="both"/>
        <w:rPr>
          <w:sz w:val="22"/>
          <w:szCs w:val="22"/>
          <w:lang w:val="sk-SK"/>
        </w:rPr>
      </w:pPr>
      <w:r w:rsidRPr="00E21B7F">
        <w:rPr>
          <w:sz w:val="22"/>
          <w:szCs w:val="22"/>
          <w:lang w:val="sk-SK"/>
        </w:rPr>
        <w:t xml:space="preserve">Pri užívaní antipsychotických liekov boli zaznamenané prípady </w:t>
      </w:r>
      <w:r w:rsidRPr="00F00F97">
        <w:rPr>
          <w:sz w:val="22"/>
          <w:szCs w:val="22"/>
          <w:lang w:val="sk-SK"/>
        </w:rPr>
        <w:t xml:space="preserve">venóznej trombembólie </w:t>
      </w:r>
      <w:r w:rsidRPr="00E21B7F">
        <w:rPr>
          <w:sz w:val="22"/>
          <w:szCs w:val="22"/>
          <w:lang w:val="sk-SK"/>
        </w:rPr>
        <w:t>(VTE). Keďže u pacientov liečených antipsychotikami</w:t>
      </w:r>
      <w:r>
        <w:rPr>
          <w:sz w:val="22"/>
          <w:szCs w:val="22"/>
          <w:lang w:val="sk-SK"/>
        </w:rPr>
        <w:t xml:space="preserve"> sa</w:t>
      </w:r>
      <w:r w:rsidRPr="00E21B7F">
        <w:rPr>
          <w:sz w:val="22"/>
          <w:szCs w:val="22"/>
          <w:lang w:val="sk-SK"/>
        </w:rPr>
        <w:t xml:space="preserve"> často </w:t>
      </w:r>
      <w:r>
        <w:rPr>
          <w:sz w:val="22"/>
          <w:szCs w:val="22"/>
          <w:lang w:val="sk-SK"/>
        </w:rPr>
        <w:t>vyskytujú</w:t>
      </w:r>
      <w:r w:rsidRPr="00E21B7F">
        <w:rPr>
          <w:sz w:val="22"/>
          <w:szCs w:val="22"/>
          <w:lang w:val="sk-SK"/>
        </w:rPr>
        <w:t xml:space="preserve"> získané rizikové faktory pre VTE, musia sa pred a počas liečby kvetiapínom identifikovať všetky možné rizikové faktory pre VTE a podniknúť preventívne opatrenia</w:t>
      </w:r>
      <w:r>
        <w:rPr>
          <w:sz w:val="22"/>
          <w:szCs w:val="22"/>
          <w:lang w:val="sk-SK"/>
        </w:rPr>
        <w:t>.</w:t>
      </w:r>
    </w:p>
    <w:p w:rsidR="00302C75" w:rsidRDefault="00302C75">
      <w:pPr>
        <w:jc w:val="both"/>
        <w:rPr>
          <w:sz w:val="22"/>
          <w:szCs w:val="22"/>
          <w:lang w:val="sk-SK"/>
        </w:rPr>
      </w:pPr>
    </w:p>
    <w:p w:rsidR="00302C75" w:rsidRPr="005C4B32" w:rsidRDefault="00302C75">
      <w:pPr>
        <w:jc w:val="both"/>
        <w:rPr>
          <w:b/>
          <w:sz w:val="22"/>
          <w:szCs w:val="22"/>
          <w:lang w:val="sk-SK"/>
        </w:rPr>
      </w:pPr>
      <w:r w:rsidRPr="005C4B32">
        <w:rPr>
          <w:b/>
          <w:sz w:val="22"/>
          <w:szCs w:val="22"/>
          <w:lang w:val="sk-SK"/>
        </w:rPr>
        <w:t>Pankreatitída</w:t>
      </w:r>
    </w:p>
    <w:p w:rsidR="00302C75" w:rsidRPr="00E21B7F" w:rsidRDefault="00302C75">
      <w:pPr>
        <w:jc w:val="both"/>
        <w:rPr>
          <w:b/>
          <w:bCs/>
          <w:sz w:val="22"/>
          <w:szCs w:val="22"/>
          <w:lang w:val="sk-SK"/>
        </w:rPr>
      </w:pPr>
      <w:r w:rsidRPr="00C55991">
        <w:rPr>
          <w:sz w:val="22"/>
          <w:szCs w:val="22"/>
          <w:lang w:val="sk-SK"/>
        </w:rPr>
        <w:t xml:space="preserve">Pankreatitída bola hlásená v klinických skúšaniach a po uvedení lieku na trh. </w:t>
      </w:r>
      <w:r>
        <w:rPr>
          <w:sz w:val="22"/>
          <w:szCs w:val="22"/>
          <w:lang w:val="sk-SK"/>
        </w:rPr>
        <w:t xml:space="preserve">Aj keď nie všetky prípady hlásené </w:t>
      </w:r>
      <w:r w:rsidRPr="00C55991">
        <w:rPr>
          <w:sz w:val="22"/>
          <w:szCs w:val="22"/>
          <w:lang w:val="sk-SK"/>
        </w:rPr>
        <w:t>po uvedení lieku na trh</w:t>
      </w:r>
      <w:r>
        <w:rPr>
          <w:sz w:val="22"/>
          <w:szCs w:val="22"/>
          <w:lang w:val="sk-SK"/>
        </w:rPr>
        <w:t xml:space="preserve"> boli skreslené prítomnosťou rizikových faktorov,</w:t>
      </w:r>
      <w:r w:rsidRPr="00C55991">
        <w:rPr>
          <w:sz w:val="22"/>
          <w:szCs w:val="22"/>
          <w:lang w:val="sk-SK"/>
        </w:rPr>
        <w:t xml:space="preserve"> mnohí pacienti </w:t>
      </w:r>
      <w:r>
        <w:rPr>
          <w:sz w:val="22"/>
          <w:szCs w:val="22"/>
          <w:lang w:val="sk-SK"/>
        </w:rPr>
        <w:t xml:space="preserve">mali </w:t>
      </w:r>
      <w:r w:rsidRPr="00C55991">
        <w:rPr>
          <w:sz w:val="22"/>
          <w:szCs w:val="22"/>
          <w:lang w:val="sk-SK"/>
        </w:rPr>
        <w:t xml:space="preserve">faktory, o ktorých je známe, že sú spojené s pankreatitídou, ako napríklad zvýšené triglyceridy (pozri </w:t>
      </w:r>
      <w:r>
        <w:rPr>
          <w:sz w:val="22"/>
          <w:szCs w:val="22"/>
          <w:lang w:val="sk-SK"/>
        </w:rPr>
        <w:t>časť</w:t>
      </w:r>
      <w:r w:rsidRPr="00C55991">
        <w:rPr>
          <w:sz w:val="22"/>
          <w:szCs w:val="22"/>
          <w:lang w:val="sk-SK"/>
        </w:rPr>
        <w:t xml:space="preserve"> 4.8), žlčníkové kamene a požívanie alkoholu.</w:t>
      </w:r>
      <w:r w:rsidRPr="00E21B7F">
        <w:rPr>
          <w:sz w:val="22"/>
          <w:szCs w:val="22"/>
          <w:lang w:val="sk-SK"/>
        </w:rPr>
        <w:t xml:space="preserve"> </w:t>
      </w:r>
    </w:p>
    <w:p w:rsidR="00302C75" w:rsidRPr="00E21B7F" w:rsidRDefault="00302C75">
      <w:pPr>
        <w:jc w:val="both"/>
        <w:rPr>
          <w:b/>
          <w:bCs/>
          <w:sz w:val="22"/>
          <w:szCs w:val="22"/>
          <w:lang w:val="sk-SK"/>
        </w:rPr>
      </w:pPr>
    </w:p>
    <w:p w:rsidR="00302C75" w:rsidRPr="00E21B7F" w:rsidRDefault="00302C75">
      <w:pPr>
        <w:jc w:val="both"/>
        <w:rPr>
          <w:b/>
          <w:bCs/>
          <w:sz w:val="22"/>
          <w:szCs w:val="22"/>
          <w:lang w:val="sk-SK"/>
        </w:rPr>
      </w:pPr>
      <w:r w:rsidRPr="00E21B7F">
        <w:rPr>
          <w:b/>
          <w:bCs/>
          <w:sz w:val="22"/>
          <w:szCs w:val="22"/>
          <w:lang w:val="sk-SK"/>
        </w:rPr>
        <w:t>Doplňujúce informácie</w:t>
      </w:r>
    </w:p>
    <w:p w:rsidR="00302C75" w:rsidRPr="000441D2" w:rsidRDefault="00302C75" w:rsidP="005C4B32">
      <w:pPr>
        <w:jc w:val="both"/>
        <w:rPr>
          <w:color w:val="000000"/>
          <w:lang w:val="sk-SK" w:eastAsia="en-GB"/>
        </w:rPr>
      </w:pPr>
      <w:r w:rsidRPr="00E21B7F">
        <w:rPr>
          <w:sz w:val="22"/>
          <w:szCs w:val="22"/>
          <w:lang w:val="sk-SK"/>
        </w:rPr>
        <w:t>Údaje o kvetiapíne podávanom v kombinácii s divalproexom alebo lítiom pri</w:t>
      </w:r>
      <w:r>
        <w:rPr>
          <w:sz w:val="22"/>
          <w:szCs w:val="22"/>
          <w:lang w:val="sk-SK"/>
        </w:rPr>
        <w:t xml:space="preserve"> </w:t>
      </w:r>
      <w:r w:rsidRPr="00C55991">
        <w:rPr>
          <w:color w:val="000000"/>
          <w:sz w:val="22"/>
          <w:szCs w:val="22"/>
          <w:lang w:val="sk-SK" w:eastAsia="en-GB"/>
        </w:rPr>
        <w:t>akútnych</w:t>
      </w:r>
      <w:r w:rsidRPr="00E21B7F">
        <w:rPr>
          <w:sz w:val="22"/>
          <w:szCs w:val="22"/>
          <w:lang w:val="sk-SK"/>
        </w:rPr>
        <w:t xml:space="preserve"> </w:t>
      </w:r>
      <w:r w:rsidRPr="00F00F97">
        <w:rPr>
          <w:sz w:val="22"/>
          <w:szCs w:val="22"/>
          <w:lang w:val="sk-SK"/>
        </w:rPr>
        <w:t>stredne ťažkých</w:t>
      </w:r>
      <w:r w:rsidRPr="00E21B7F">
        <w:rPr>
          <w:sz w:val="22"/>
          <w:szCs w:val="22"/>
          <w:lang w:val="sk-SK"/>
        </w:rPr>
        <w:t xml:space="preserve"> až ťažkých manických epizódach sú obmedzené, ale kombinovaná terapia bola dobre tolerovaná (pozri časť 4.8. a 5.1). Údaje </w:t>
      </w:r>
      <w:r>
        <w:rPr>
          <w:sz w:val="22"/>
          <w:szCs w:val="22"/>
          <w:lang w:val="sk-SK"/>
        </w:rPr>
        <w:t>po</w:t>
      </w:r>
      <w:r w:rsidRPr="00E21B7F">
        <w:rPr>
          <w:sz w:val="22"/>
          <w:szCs w:val="22"/>
          <w:lang w:val="sk-SK"/>
        </w:rPr>
        <w:t>ukázali na prídavný účinok v 3. týždni</w:t>
      </w:r>
      <w:r w:rsidRPr="00255A58">
        <w:rPr>
          <w:sz w:val="22"/>
          <w:szCs w:val="22"/>
          <w:lang w:val="sk-SK"/>
        </w:rPr>
        <w:t>.</w:t>
      </w:r>
    </w:p>
    <w:p w:rsidR="00302C75" w:rsidRDefault="00302C75">
      <w:pPr>
        <w:jc w:val="both"/>
        <w:rPr>
          <w:sz w:val="22"/>
          <w:szCs w:val="22"/>
          <w:lang w:val="sk-SK"/>
        </w:rPr>
      </w:pPr>
    </w:p>
    <w:p w:rsidR="00302C75" w:rsidRPr="00E21B7F" w:rsidRDefault="00302C75" w:rsidP="008B38B7">
      <w:pPr>
        <w:jc w:val="both"/>
        <w:rPr>
          <w:b/>
          <w:bCs/>
          <w:sz w:val="22"/>
          <w:szCs w:val="22"/>
          <w:lang w:val="sk-SK"/>
        </w:rPr>
      </w:pPr>
      <w:r w:rsidRPr="00E21B7F">
        <w:rPr>
          <w:b/>
          <w:bCs/>
          <w:sz w:val="22"/>
          <w:szCs w:val="22"/>
          <w:lang w:val="sk-SK"/>
        </w:rPr>
        <w:t>Laktóza</w:t>
      </w:r>
    </w:p>
    <w:p w:rsidR="00302C75" w:rsidRDefault="00302C75" w:rsidP="008B38B7">
      <w:pPr>
        <w:jc w:val="both"/>
        <w:rPr>
          <w:sz w:val="22"/>
          <w:szCs w:val="22"/>
          <w:lang w:val="sk-SK"/>
        </w:rPr>
      </w:pPr>
      <w:r w:rsidRPr="00E21B7F">
        <w:rPr>
          <w:sz w:val="22"/>
          <w:szCs w:val="22"/>
          <w:lang w:val="sk-SK"/>
        </w:rPr>
        <w:t>Quetiapine Accord filmom obalené tablety s predĺženým uvoľňovaním obsahujú laktózu. Pacienti so zriedkavými dedičným</w:t>
      </w:r>
      <w:r w:rsidR="00DF4A89">
        <w:rPr>
          <w:sz w:val="22"/>
          <w:szCs w:val="22"/>
          <w:lang w:val="sk-SK"/>
        </w:rPr>
        <w:t>i</w:t>
      </w:r>
      <w:r w:rsidRPr="00E21B7F">
        <w:rPr>
          <w:sz w:val="22"/>
          <w:szCs w:val="22"/>
          <w:lang w:val="sk-SK"/>
        </w:rPr>
        <w:t xml:space="preserve"> </w:t>
      </w:r>
      <w:r w:rsidR="00DF4A89">
        <w:rPr>
          <w:sz w:val="22"/>
          <w:szCs w:val="22"/>
          <w:lang w:val="sk-SK"/>
        </w:rPr>
        <w:t>problémami</w:t>
      </w:r>
      <w:r w:rsidR="00DF4A89" w:rsidRPr="00E21B7F">
        <w:rPr>
          <w:sz w:val="22"/>
          <w:szCs w:val="22"/>
          <w:lang w:val="sk-SK"/>
        </w:rPr>
        <w:t xml:space="preserve"> </w:t>
      </w:r>
      <w:r w:rsidR="00DF4A89">
        <w:rPr>
          <w:sz w:val="22"/>
          <w:szCs w:val="22"/>
          <w:lang w:val="sk-SK"/>
        </w:rPr>
        <w:t>galaktózovej</w:t>
      </w:r>
      <w:r w:rsidR="00DF4A89" w:rsidRPr="00E21B7F">
        <w:rPr>
          <w:sz w:val="22"/>
          <w:szCs w:val="22"/>
          <w:lang w:val="sk-SK"/>
        </w:rPr>
        <w:t xml:space="preserve"> </w:t>
      </w:r>
      <w:r w:rsidRPr="00E21B7F">
        <w:rPr>
          <w:sz w:val="22"/>
          <w:szCs w:val="22"/>
          <w:lang w:val="sk-SK"/>
        </w:rPr>
        <w:t xml:space="preserve">intolerancie, </w:t>
      </w:r>
      <w:r w:rsidR="00DF4A89">
        <w:rPr>
          <w:sz w:val="22"/>
          <w:szCs w:val="22"/>
          <w:lang w:val="sk-SK"/>
        </w:rPr>
        <w:t>celkovým</w:t>
      </w:r>
      <w:r w:rsidR="00DF4A89" w:rsidRPr="00E21B7F">
        <w:rPr>
          <w:sz w:val="22"/>
          <w:szCs w:val="22"/>
          <w:lang w:val="sk-SK"/>
        </w:rPr>
        <w:t xml:space="preserve"> </w:t>
      </w:r>
      <w:r w:rsidRPr="00E21B7F">
        <w:rPr>
          <w:sz w:val="22"/>
          <w:szCs w:val="22"/>
          <w:lang w:val="sk-SK"/>
        </w:rPr>
        <w:t xml:space="preserve">deficitom laktázy alebo </w:t>
      </w:r>
      <w:r w:rsidR="00DF4A89" w:rsidRPr="00E21B7F">
        <w:rPr>
          <w:sz w:val="22"/>
          <w:szCs w:val="22"/>
          <w:lang w:val="sk-SK"/>
        </w:rPr>
        <w:t>glukóz</w:t>
      </w:r>
      <w:r w:rsidR="00DF4A89">
        <w:rPr>
          <w:sz w:val="22"/>
          <w:szCs w:val="22"/>
          <w:lang w:val="sk-SK"/>
        </w:rPr>
        <w:t>o-</w:t>
      </w:r>
      <w:r w:rsidR="00DF4A89" w:rsidRPr="00E21B7F">
        <w:rPr>
          <w:sz w:val="22"/>
          <w:szCs w:val="22"/>
          <w:lang w:val="sk-SK"/>
        </w:rPr>
        <w:t>galaktóz</w:t>
      </w:r>
      <w:r w:rsidR="00DF4A89">
        <w:rPr>
          <w:sz w:val="22"/>
          <w:szCs w:val="22"/>
          <w:lang w:val="sk-SK"/>
        </w:rPr>
        <w:t>ovou</w:t>
      </w:r>
      <w:r w:rsidR="00DF4A89" w:rsidRPr="00E21B7F">
        <w:rPr>
          <w:sz w:val="22"/>
          <w:szCs w:val="22"/>
          <w:lang w:val="sk-SK"/>
        </w:rPr>
        <w:t xml:space="preserve">  </w:t>
      </w:r>
      <w:r w:rsidRPr="00E21B7F">
        <w:rPr>
          <w:sz w:val="22"/>
          <w:szCs w:val="22"/>
          <w:lang w:val="sk-SK"/>
        </w:rPr>
        <w:t>malabsorpciou ne</w:t>
      </w:r>
      <w:r>
        <w:rPr>
          <w:sz w:val="22"/>
          <w:szCs w:val="22"/>
          <w:lang w:val="sk-SK"/>
        </w:rPr>
        <w:t>smú</w:t>
      </w:r>
      <w:r w:rsidRPr="00E21B7F">
        <w:rPr>
          <w:sz w:val="22"/>
          <w:szCs w:val="22"/>
          <w:lang w:val="sk-SK"/>
        </w:rPr>
        <w:t xml:space="preserve"> užívať tento liek. </w:t>
      </w:r>
    </w:p>
    <w:p w:rsidR="00302C75" w:rsidRDefault="00302C75" w:rsidP="008B38B7">
      <w:pPr>
        <w:jc w:val="both"/>
        <w:rPr>
          <w:sz w:val="22"/>
          <w:szCs w:val="22"/>
          <w:lang w:val="sk-SK"/>
        </w:rPr>
      </w:pPr>
    </w:p>
    <w:p w:rsidR="00302C75" w:rsidRDefault="00302C75" w:rsidP="008B38B7">
      <w:pPr>
        <w:jc w:val="both"/>
        <w:rPr>
          <w:b/>
          <w:sz w:val="22"/>
          <w:szCs w:val="22"/>
          <w:lang w:val="sk-SK"/>
        </w:rPr>
      </w:pPr>
      <w:r>
        <w:rPr>
          <w:b/>
          <w:sz w:val="22"/>
          <w:szCs w:val="22"/>
          <w:lang w:val="sk-SK"/>
        </w:rPr>
        <w:t>Nesprávne použ</w:t>
      </w:r>
      <w:r w:rsidR="00DF4A89">
        <w:rPr>
          <w:b/>
          <w:sz w:val="22"/>
          <w:szCs w:val="22"/>
          <w:lang w:val="sk-SK"/>
        </w:rPr>
        <w:t>ívani</w:t>
      </w:r>
      <w:r>
        <w:rPr>
          <w:b/>
          <w:sz w:val="22"/>
          <w:szCs w:val="22"/>
          <w:lang w:val="sk-SK"/>
        </w:rPr>
        <w:t>e a zneuž</w:t>
      </w:r>
      <w:r w:rsidR="00DF4A89">
        <w:rPr>
          <w:b/>
          <w:sz w:val="22"/>
          <w:szCs w:val="22"/>
          <w:lang w:val="sk-SK"/>
        </w:rPr>
        <w:t>ívani</w:t>
      </w:r>
      <w:r>
        <w:rPr>
          <w:b/>
          <w:sz w:val="22"/>
          <w:szCs w:val="22"/>
          <w:lang w:val="sk-SK"/>
        </w:rPr>
        <w:t>e</w:t>
      </w:r>
    </w:p>
    <w:p w:rsidR="00302C75" w:rsidRPr="00A2779B" w:rsidRDefault="00302C75" w:rsidP="008B38B7">
      <w:pPr>
        <w:jc w:val="both"/>
        <w:rPr>
          <w:sz w:val="22"/>
          <w:szCs w:val="22"/>
          <w:lang w:val="sk-SK"/>
        </w:rPr>
      </w:pPr>
      <w:r>
        <w:rPr>
          <w:sz w:val="22"/>
          <w:szCs w:val="22"/>
          <w:lang w:val="sk-SK"/>
        </w:rPr>
        <w:t>Boli hlásené prípady nesprávneho použiti</w:t>
      </w:r>
      <w:r w:rsidR="00DF4A89">
        <w:rPr>
          <w:sz w:val="22"/>
          <w:szCs w:val="22"/>
          <w:lang w:val="sk-SK"/>
        </w:rPr>
        <w:t>a</w:t>
      </w:r>
      <w:r>
        <w:rPr>
          <w:sz w:val="22"/>
          <w:szCs w:val="22"/>
          <w:lang w:val="sk-SK"/>
        </w:rPr>
        <w:t xml:space="preserve"> alebo zneužitia. Pri predpisovaní kvetiapínu paciento</w:t>
      </w:r>
      <w:r w:rsidR="00DF4A89">
        <w:rPr>
          <w:sz w:val="22"/>
          <w:szCs w:val="22"/>
          <w:lang w:val="sk-SK"/>
        </w:rPr>
        <w:t>m</w:t>
      </w:r>
      <w:r>
        <w:rPr>
          <w:sz w:val="22"/>
          <w:szCs w:val="22"/>
          <w:lang w:val="sk-SK"/>
        </w:rPr>
        <w:t>, ktorí v minulosti užívali alkohol alebo drogy, je potrebná zvýšená opatrnosť.</w:t>
      </w: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337136">
      <w:pPr>
        <w:pStyle w:val="Hlavika"/>
        <w:numPr>
          <w:ilvl w:val="1"/>
          <w:numId w:val="3"/>
        </w:numPr>
        <w:tabs>
          <w:tab w:val="clear" w:pos="720"/>
          <w:tab w:val="clear" w:pos="4320"/>
          <w:tab w:val="clear" w:pos="8640"/>
          <w:tab w:val="num" w:pos="561"/>
        </w:tabs>
        <w:jc w:val="both"/>
        <w:rPr>
          <w:b/>
          <w:bCs/>
          <w:sz w:val="22"/>
          <w:szCs w:val="22"/>
          <w:lang w:val="sk-SK"/>
        </w:rPr>
      </w:pPr>
      <w:r w:rsidRPr="00E21B7F">
        <w:rPr>
          <w:b/>
          <w:bCs/>
          <w:sz w:val="22"/>
          <w:szCs w:val="22"/>
          <w:lang w:val="sk-SK"/>
        </w:rPr>
        <w:t>Liekové a iné interakcie</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Vzhľadom na primárne účinky kvetiapínu na centrálny nervový systém sa má </w:t>
      </w:r>
      <w:r>
        <w:rPr>
          <w:sz w:val="22"/>
          <w:szCs w:val="22"/>
          <w:lang w:val="sk-SK"/>
        </w:rPr>
        <w:t>kvetiapín</w:t>
      </w:r>
      <w:r w:rsidRPr="00E21B7F">
        <w:rPr>
          <w:sz w:val="22"/>
          <w:szCs w:val="22"/>
          <w:lang w:val="sk-SK"/>
        </w:rPr>
        <w:t xml:space="preserve"> v kombinácii s inými centrálne účinkujúcimi liekmi a v kombinácii s alkoholom užívať s opatrnosťou. </w:t>
      </w:r>
    </w:p>
    <w:p w:rsidR="00302C75" w:rsidRDefault="00302C75">
      <w:pPr>
        <w:pStyle w:val="Hlavika"/>
        <w:tabs>
          <w:tab w:val="clear" w:pos="4320"/>
          <w:tab w:val="clear" w:pos="8640"/>
        </w:tabs>
        <w:jc w:val="both"/>
        <w:rPr>
          <w:b/>
          <w:bCs/>
          <w:sz w:val="22"/>
          <w:szCs w:val="22"/>
          <w:lang w:val="sk-SK"/>
        </w:rPr>
      </w:pPr>
    </w:p>
    <w:p w:rsidR="00302C75" w:rsidRPr="00A2779B" w:rsidRDefault="00302C75">
      <w:pPr>
        <w:pStyle w:val="Hlavika"/>
        <w:tabs>
          <w:tab w:val="clear" w:pos="4320"/>
          <w:tab w:val="clear" w:pos="8640"/>
        </w:tabs>
        <w:jc w:val="both"/>
        <w:rPr>
          <w:sz w:val="22"/>
          <w:szCs w:val="22"/>
        </w:rPr>
      </w:pPr>
      <w:r w:rsidRPr="00A2779B">
        <w:rPr>
          <w:sz w:val="22"/>
          <w:szCs w:val="22"/>
        </w:rPr>
        <w:t>Opatrnosť je potrebná pri liečbe pacientov užívajúcich iné lieky s antichol</w:t>
      </w:r>
      <w:r w:rsidR="00DF4A89">
        <w:rPr>
          <w:sz w:val="22"/>
          <w:szCs w:val="22"/>
        </w:rPr>
        <w:t>í</w:t>
      </w:r>
      <w:r w:rsidRPr="00A2779B">
        <w:rPr>
          <w:sz w:val="22"/>
          <w:szCs w:val="22"/>
        </w:rPr>
        <w:t>nerg</w:t>
      </w:r>
      <w:r w:rsidR="00DF4A89">
        <w:rPr>
          <w:sz w:val="22"/>
          <w:szCs w:val="22"/>
        </w:rPr>
        <w:t>ick</w:t>
      </w:r>
      <w:r w:rsidRPr="00A2779B">
        <w:rPr>
          <w:sz w:val="22"/>
          <w:szCs w:val="22"/>
        </w:rPr>
        <w:t>ými (muskarínovými) účinkami (pozri časť 4.4).</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Cytochróm P450 (CYP) 3A4 je enzým, ktorý je v prvom rade zodpovedný za metabolizmus kvetiapínu sprostredkovaný cytochrómom P450. V interakčnej štúdii so zdravými dobrovoľníkmi súbežné podávanie kvetiapínu (v dávke 25 mg) s ketokonazolom ako inhibítorom CYP3A4 spôsobilo 5</w:t>
      </w:r>
      <w:r w:rsidRPr="00E21B7F">
        <w:rPr>
          <w:sz w:val="22"/>
          <w:szCs w:val="22"/>
          <w:lang w:val="sk-SK"/>
        </w:rPr>
        <w:noBreakHyphen/>
        <w:t xml:space="preserve"> až 8</w:t>
      </w:r>
      <w:r w:rsidRPr="00E21B7F">
        <w:rPr>
          <w:sz w:val="22"/>
          <w:szCs w:val="22"/>
          <w:lang w:val="sk-SK"/>
        </w:rPr>
        <w:noBreakHyphen/>
        <w:t>násobné zvýšenie AUC kvetiapínu. Na základe toho je súbežné užívanie kvetiapínu s inhibítormi CYP3A4 kontraindikované. Takisto sa neodporúča počas liečby kvetiapínu konzumovať grapefruitový džús.</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V klinickom skúšaní po opakovanom podaní, ktoré bolo zamerané na stanovenie farmakokinetiky kvetiapínu podávaného pred a počas liečby karbamazepínom (známym induktorom pečeňových enzýmov), súbežné podávanie karbamazepínu signifikantne zvýšilo klírens kvetiapínu. </w:t>
      </w:r>
      <w:r>
        <w:rPr>
          <w:sz w:val="22"/>
          <w:szCs w:val="22"/>
          <w:lang w:val="sk-SK"/>
        </w:rPr>
        <w:t>T</w:t>
      </w:r>
      <w:r w:rsidRPr="00E21B7F">
        <w:rPr>
          <w:sz w:val="22"/>
          <w:szCs w:val="22"/>
          <w:lang w:val="sk-SK"/>
        </w:rPr>
        <w:t xml:space="preserve">oto </w:t>
      </w:r>
      <w:r w:rsidRPr="00E21B7F">
        <w:rPr>
          <w:color w:val="000000"/>
          <w:sz w:val="22"/>
          <w:szCs w:val="22"/>
          <w:lang w:val="sk-SK"/>
        </w:rPr>
        <w:t>zvýšenie klírensu znížilo systémovú expozíciu kvetiapínu (meranú pomocou AUC) na</w:t>
      </w:r>
      <w:r>
        <w:rPr>
          <w:color w:val="000000"/>
          <w:sz w:val="22"/>
          <w:szCs w:val="22"/>
          <w:lang w:val="sk-SK"/>
        </w:rPr>
        <w:t xml:space="preserve"> v</w:t>
      </w:r>
      <w:r w:rsidRPr="00E21B7F">
        <w:rPr>
          <w:color w:val="000000"/>
          <w:sz w:val="22"/>
          <w:szCs w:val="22"/>
          <w:lang w:val="sk-SK"/>
        </w:rPr>
        <w:t xml:space="preserve"> priemere 13</w:t>
      </w:r>
      <w:r w:rsidRPr="00E21B7F">
        <w:rPr>
          <w:sz w:val="22"/>
          <w:szCs w:val="22"/>
          <w:lang w:val="sk-SK"/>
        </w:rPr>
        <w:t> </w:t>
      </w:r>
      <w:r w:rsidRPr="00E21B7F">
        <w:rPr>
          <w:color w:val="000000"/>
          <w:sz w:val="22"/>
          <w:szCs w:val="22"/>
          <w:lang w:val="sk-SK"/>
        </w:rPr>
        <w:t>% expozície počas podávania samotného kvetiapínu, no i tak bolo možné pozorovať u niektorých pacientov zvýšený účinok.</w:t>
      </w:r>
      <w:r w:rsidRPr="00E21B7F">
        <w:rPr>
          <w:sz w:val="22"/>
          <w:szCs w:val="22"/>
          <w:lang w:val="sk-SK"/>
        </w:rPr>
        <w:t xml:space="preserve"> V dôsledku tejto interakcie sa môžu v</w:t>
      </w:r>
      <w:r>
        <w:rPr>
          <w:sz w:val="22"/>
          <w:szCs w:val="22"/>
          <w:lang w:val="sk-SK"/>
        </w:rPr>
        <w:t>y</w:t>
      </w:r>
      <w:r w:rsidRPr="00E21B7F">
        <w:rPr>
          <w:sz w:val="22"/>
          <w:szCs w:val="22"/>
          <w:lang w:val="sk-SK"/>
        </w:rPr>
        <w:t xml:space="preserve">skytnúť nižšie koncentrácie v plazme, čo môže ovplyvniť účinnosť </w:t>
      </w:r>
      <w:r>
        <w:rPr>
          <w:sz w:val="22"/>
          <w:szCs w:val="22"/>
          <w:lang w:val="sk-SK"/>
        </w:rPr>
        <w:t>liečby kvetiapínom</w:t>
      </w:r>
      <w:r w:rsidRPr="00E21B7F">
        <w:rPr>
          <w:sz w:val="22"/>
          <w:szCs w:val="22"/>
          <w:lang w:val="sk-SK"/>
        </w:rPr>
        <w:t xml:space="preserve">. Súbežné podávanie kvetiapínu a fenytoínu (ďalšieho induktora mikrozomálnych enzýmov) spôsobila veľké zvýšenie klírensu kvetiapínu o približne 450 %. Liečbu </w:t>
      </w:r>
      <w:r>
        <w:rPr>
          <w:sz w:val="22"/>
          <w:szCs w:val="22"/>
          <w:lang w:val="sk-SK"/>
        </w:rPr>
        <w:t>kvetiapínom</w:t>
      </w:r>
      <w:r w:rsidRPr="00E21B7F">
        <w:rPr>
          <w:sz w:val="22"/>
          <w:szCs w:val="22"/>
          <w:lang w:val="sk-SK"/>
        </w:rPr>
        <w:t xml:space="preserve"> možno začať u pacientov, ktorí sú liečení induktorom pečeňových enzýmov len vtedy, ak lekár rozhodne, že prínos liečby </w:t>
      </w:r>
      <w:r>
        <w:rPr>
          <w:sz w:val="22"/>
          <w:szCs w:val="22"/>
          <w:lang w:val="sk-SK"/>
        </w:rPr>
        <w:t>kvetiapínom</w:t>
      </w:r>
      <w:r w:rsidRPr="00E21B7F">
        <w:rPr>
          <w:sz w:val="22"/>
          <w:szCs w:val="22"/>
          <w:lang w:val="sk-SK"/>
        </w:rPr>
        <w:t xml:space="preserve"> prevýši riziká z vysadenia induktora pečeňových enzýmov. </w:t>
      </w:r>
      <w:r w:rsidRPr="00E21B7F">
        <w:rPr>
          <w:color w:val="000000"/>
          <w:sz w:val="22"/>
          <w:szCs w:val="22"/>
          <w:lang w:val="sk-SK"/>
        </w:rPr>
        <w:t>Je dôležité, aby akákoľvek zmena v liečbe induktorom bola postupná, a ak je to potrebné, aby bol nahradený liekom, ktorý neindukuje pečeňové enzýmy (napr. valproátom sodným) (pozri časť</w:t>
      </w:r>
      <w:r w:rsidRPr="00E21B7F">
        <w:rPr>
          <w:sz w:val="22"/>
          <w:szCs w:val="22"/>
          <w:lang w:val="sk-SK"/>
        </w:rPr>
        <w:t> </w:t>
      </w:r>
      <w:r w:rsidRPr="00E21B7F">
        <w:rPr>
          <w:color w:val="000000"/>
          <w:sz w:val="22"/>
          <w:szCs w:val="22"/>
          <w:lang w:val="sk-SK"/>
        </w:rPr>
        <w:t>4.4</w:t>
      </w:r>
      <w:r w:rsidRPr="00E21B7F">
        <w:rPr>
          <w:sz w:val="22"/>
          <w:szCs w:val="22"/>
          <w:lang w:val="sk-SK"/>
        </w:rPr>
        <w:t>).</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Farmakokinetika kvetiapínu sa po súbežnom podávaní s antidepresívami imipramínom (známy inhibítor CYP 2D6) alebo fluoxetínom (známy inhibítor CYP 3A4 a CYP 2D6) signifikantne nezmenila.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Farmakokinetika kvetiapínu sa po súbežnom podávaní s antipsychotikami risperidónom alebo haloperidolom signifikantne nezmenila. No súbežné podávanie kvetiapínu a tioridazínu spôsobilo zvýšenie klírensu kvetiapínu približne o 70 %.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Farmakokinetika kvetiapínu sa po súbežnom podávaní s cimetidínom nezmenila.</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Farmakokinetika lítia sa pri súbežnom podávaní s kvetiapínom nezmenila. </w:t>
      </w:r>
    </w:p>
    <w:p w:rsidR="00302C75" w:rsidRDefault="00302C75">
      <w:pPr>
        <w:pStyle w:val="Hlavika"/>
        <w:tabs>
          <w:tab w:val="clear" w:pos="4320"/>
          <w:tab w:val="clear" w:pos="8640"/>
        </w:tabs>
        <w:jc w:val="both"/>
        <w:rPr>
          <w:sz w:val="22"/>
          <w:szCs w:val="22"/>
          <w:lang w:val="sk-SK"/>
        </w:rPr>
      </w:pPr>
    </w:p>
    <w:p w:rsidR="00302C75" w:rsidRPr="00A2779B" w:rsidRDefault="00302C75">
      <w:pPr>
        <w:pStyle w:val="Hlavika"/>
        <w:tabs>
          <w:tab w:val="clear" w:pos="4320"/>
          <w:tab w:val="clear" w:pos="8640"/>
        </w:tabs>
        <w:jc w:val="both"/>
        <w:rPr>
          <w:sz w:val="22"/>
          <w:szCs w:val="22"/>
          <w:lang w:val="sk-SK"/>
        </w:rPr>
      </w:pPr>
      <w:r w:rsidRPr="00A2779B">
        <w:rPr>
          <w:sz w:val="22"/>
          <w:szCs w:val="22"/>
        </w:rPr>
        <w:t>V šesťtýždňovej randomizovanej štúdii s lítiom súbežne podávaným s kvetiapínom s predĺženým uvoľňovaním oproti placebu súbežne podávanému s kvetiapínom s predĺženým uvoľňovaním u dospelých pacientov s akútnou mániou sa pozorovala vyššia incidencia extrapyramídových príhod (</w:t>
      </w:r>
      <w:r w:rsidR="00634B5C">
        <w:rPr>
          <w:sz w:val="22"/>
          <w:szCs w:val="22"/>
        </w:rPr>
        <w:t>najmä</w:t>
      </w:r>
      <w:r w:rsidR="00634B5C" w:rsidRPr="00A2779B">
        <w:rPr>
          <w:sz w:val="22"/>
          <w:szCs w:val="22"/>
        </w:rPr>
        <w:t xml:space="preserve"> </w:t>
      </w:r>
      <w:r w:rsidRPr="00A2779B">
        <w:rPr>
          <w:sz w:val="22"/>
          <w:szCs w:val="22"/>
        </w:rPr>
        <w:t xml:space="preserve">tremor), somnolencie a zvyšovania </w:t>
      </w:r>
      <w:r w:rsidR="00634B5C">
        <w:rPr>
          <w:sz w:val="22"/>
          <w:szCs w:val="22"/>
        </w:rPr>
        <w:t xml:space="preserve">telesnej </w:t>
      </w:r>
      <w:r w:rsidRPr="00A2779B">
        <w:rPr>
          <w:sz w:val="22"/>
          <w:szCs w:val="22"/>
        </w:rPr>
        <w:t>hmotnosti v skupine s pridaným lítiom v porovnaní so skupinou s pridaným placebom (pozri časť 5.1).</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Farmakokinetiky valproátu sodného a kvetiapínu sa pri súbežnom podávaní nezmenili v klinicky relevantnom rozsahu.</w:t>
      </w:r>
      <w:r>
        <w:rPr>
          <w:sz w:val="22"/>
          <w:szCs w:val="22"/>
          <w:lang w:val="sk-SK"/>
        </w:rPr>
        <w:t xml:space="preserve"> Retrospektívna štúdia detí a adolescentov, ktorým bol podávaný valproát, kvetiapín, alebo oboje, zistila u kombinovanej skupiny zvýšený výskyt leukopénie a neutropénie v porovnaní s monoterapeutickou skupinou.</w:t>
      </w:r>
    </w:p>
    <w:p w:rsidR="00302C75"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Formálne interakčné štúdie s bežnými liekmi ovplyvňujúcimi kardiovaskulárny systém neboli uskutočnené. </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Pri súbežnom podávaní kvetiapínu s liekmi, ktoré spôsobujú elektrolytickú nerovnováhu alebo zvyšujú interval QT, je potrebná opatrnosť.</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jc w:val="both"/>
        <w:rPr>
          <w:sz w:val="22"/>
          <w:szCs w:val="22"/>
          <w:lang w:val="sk-SK"/>
        </w:rPr>
      </w:pPr>
      <w:r w:rsidRPr="00E21B7F">
        <w:rPr>
          <w:sz w:val="22"/>
          <w:szCs w:val="22"/>
          <w:lang w:val="sk-SK"/>
        </w:rPr>
        <w:t>U pacientov užívajúcich kvetiapín boli hlásené falošne pozitívne výsledky pri testovaní užívania metadonu a tricyklických antidepresív pomocou enzýmovej imunoanalýzy. Sporné výsledky imunoanalytického testovania sa odporúča overiť vhodnými chromatografickými technikami.</w:t>
      </w: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337136">
      <w:pPr>
        <w:pStyle w:val="Hlavika"/>
        <w:tabs>
          <w:tab w:val="clear" w:pos="4320"/>
          <w:tab w:val="clear" w:pos="8640"/>
          <w:tab w:val="left" w:pos="561"/>
        </w:tabs>
        <w:jc w:val="both"/>
        <w:rPr>
          <w:b/>
          <w:bCs/>
          <w:sz w:val="22"/>
          <w:szCs w:val="22"/>
          <w:lang w:val="sk-SK"/>
        </w:rPr>
      </w:pPr>
      <w:r w:rsidRPr="00E21B7F">
        <w:rPr>
          <w:b/>
          <w:bCs/>
          <w:sz w:val="22"/>
          <w:szCs w:val="22"/>
          <w:lang w:val="sk-SK"/>
        </w:rPr>
        <w:t>4.6</w:t>
      </w:r>
      <w:r w:rsidRPr="00E21B7F">
        <w:rPr>
          <w:b/>
          <w:bCs/>
          <w:sz w:val="22"/>
          <w:szCs w:val="22"/>
          <w:lang w:val="sk-SK"/>
        </w:rPr>
        <w:tab/>
        <w:t>Fertilita, gravidita a laktácia</w:t>
      </w:r>
    </w:p>
    <w:p w:rsidR="00302C75" w:rsidRPr="00E21B7F" w:rsidRDefault="00302C75">
      <w:pPr>
        <w:pStyle w:val="Hlavika"/>
        <w:tabs>
          <w:tab w:val="clear" w:pos="4320"/>
          <w:tab w:val="clear" w:pos="8640"/>
        </w:tabs>
        <w:jc w:val="both"/>
        <w:rPr>
          <w:sz w:val="22"/>
          <w:szCs w:val="22"/>
          <w:lang w:val="sk-SK"/>
        </w:rPr>
      </w:pPr>
    </w:p>
    <w:p w:rsidR="00302C75" w:rsidRPr="00946E44" w:rsidRDefault="00302C75">
      <w:pPr>
        <w:pStyle w:val="Hlavika"/>
        <w:tabs>
          <w:tab w:val="clear" w:pos="4320"/>
          <w:tab w:val="clear" w:pos="8640"/>
        </w:tabs>
        <w:jc w:val="both"/>
        <w:rPr>
          <w:sz w:val="22"/>
          <w:szCs w:val="22"/>
          <w:u w:val="single"/>
          <w:lang w:val="sk-SK"/>
        </w:rPr>
      </w:pPr>
      <w:r w:rsidRPr="00946E44">
        <w:rPr>
          <w:sz w:val="22"/>
          <w:szCs w:val="22"/>
          <w:u w:val="single"/>
          <w:lang w:val="sk-SK"/>
        </w:rPr>
        <w:t>Gravidita</w:t>
      </w:r>
    </w:p>
    <w:p w:rsidR="00302C75" w:rsidRDefault="00302C75">
      <w:pPr>
        <w:pStyle w:val="Hlavika"/>
        <w:tabs>
          <w:tab w:val="clear" w:pos="4320"/>
          <w:tab w:val="clear" w:pos="8640"/>
        </w:tabs>
        <w:jc w:val="both"/>
        <w:rPr>
          <w:sz w:val="22"/>
          <w:szCs w:val="22"/>
          <w:lang w:val="sk-SK"/>
        </w:rPr>
      </w:pPr>
      <w:r>
        <w:rPr>
          <w:sz w:val="22"/>
          <w:szCs w:val="22"/>
          <w:lang w:val="sk-SK"/>
        </w:rPr>
        <w:t>Prvý trimester</w:t>
      </w:r>
    </w:p>
    <w:p w:rsidR="00302C75" w:rsidRPr="00DD19E6" w:rsidRDefault="00302C75">
      <w:pPr>
        <w:pStyle w:val="Hlavika"/>
        <w:tabs>
          <w:tab w:val="clear" w:pos="4320"/>
          <w:tab w:val="clear" w:pos="8640"/>
        </w:tabs>
        <w:jc w:val="both"/>
        <w:rPr>
          <w:sz w:val="22"/>
          <w:szCs w:val="22"/>
        </w:rPr>
      </w:pPr>
      <w:r w:rsidRPr="00DD19E6">
        <w:rPr>
          <w:sz w:val="22"/>
          <w:szCs w:val="22"/>
        </w:rPr>
        <w:t>Priemerné množstvo publikovaných údajov od gravidných žien vystavených účinku lieku (t.j. v rozmedzí 300 – 1000 výsledkov gravidity),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prínosy liečby prevážia potenciálne riziká.</w:t>
      </w:r>
    </w:p>
    <w:p w:rsidR="00302C75" w:rsidRDefault="00302C75">
      <w:pPr>
        <w:pStyle w:val="Hlavika"/>
        <w:tabs>
          <w:tab w:val="clear" w:pos="4320"/>
          <w:tab w:val="clear" w:pos="8640"/>
        </w:tabs>
        <w:jc w:val="both"/>
        <w:rPr>
          <w:sz w:val="22"/>
          <w:szCs w:val="22"/>
          <w:lang w:val="sk-SK"/>
        </w:rPr>
      </w:pPr>
    </w:p>
    <w:p w:rsidR="00302C75" w:rsidRDefault="00302C75">
      <w:pPr>
        <w:pStyle w:val="Hlavika"/>
        <w:tabs>
          <w:tab w:val="clear" w:pos="4320"/>
          <w:tab w:val="clear" w:pos="8640"/>
        </w:tabs>
        <w:jc w:val="both"/>
        <w:rPr>
          <w:sz w:val="22"/>
          <w:szCs w:val="22"/>
          <w:lang w:val="sk-SK"/>
        </w:rPr>
      </w:pPr>
      <w:r>
        <w:rPr>
          <w:sz w:val="22"/>
          <w:szCs w:val="22"/>
          <w:lang w:val="sk-SK"/>
        </w:rPr>
        <w:t>Tretí trimester</w:t>
      </w:r>
    </w:p>
    <w:p w:rsidR="00302C75" w:rsidRDefault="00302C75" w:rsidP="00512BB2">
      <w:pPr>
        <w:jc w:val="both"/>
        <w:rPr>
          <w:sz w:val="22"/>
          <w:szCs w:val="22"/>
          <w:lang w:val="sk-SK"/>
        </w:rPr>
      </w:pPr>
      <w:r w:rsidRPr="00F00F97">
        <w:rPr>
          <w:sz w:val="22"/>
          <w:szCs w:val="22"/>
          <w:lang w:val="sk-SK"/>
        </w:rPr>
        <w:t>Novorodenci, vystavení pôsobeniu antipsychotík (vrátane</w:t>
      </w:r>
      <w:r w:rsidRPr="004D1B94">
        <w:rPr>
          <w:sz w:val="22"/>
          <w:szCs w:val="22"/>
          <w:lang w:val="sk-SK"/>
        </w:rPr>
        <w:t xml:space="preserve"> </w:t>
      </w:r>
      <w:r w:rsidR="00634B5C">
        <w:rPr>
          <w:sz w:val="22"/>
          <w:szCs w:val="22"/>
          <w:lang w:val="sk-SK"/>
        </w:rPr>
        <w:t>kvetiapínu</w:t>
      </w:r>
      <w:r w:rsidRPr="00F00F97">
        <w:rPr>
          <w:sz w:val="22"/>
          <w:szCs w:val="22"/>
          <w:lang w:val="sk-SK"/>
        </w:rPr>
        <w:t>) počas tretieho trimestra gravidity matky, sú vystavení riziku nežiaducich účinkov vrátane extrapyram</w:t>
      </w:r>
      <w:r w:rsidR="00634B5C">
        <w:rPr>
          <w:sz w:val="22"/>
          <w:szCs w:val="22"/>
          <w:lang w:val="sk-SK"/>
        </w:rPr>
        <w:t>í</w:t>
      </w:r>
      <w:r w:rsidRPr="00F00F97">
        <w:rPr>
          <w:sz w:val="22"/>
          <w:szCs w:val="22"/>
          <w:lang w:val="sk-SK"/>
        </w:rPr>
        <w:t>d</w:t>
      </w:r>
      <w:r w:rsidR="00634B5C">
        <w:rPr>
          <w:sz w:val="22"/>
          <w:szCs w:val="22"/>
          <w:lang w:val="sk-SK"/>
        </w:rPr>
        <w:t>ový</w:t>
      </w:r>
      <w:r w:rsidRPr="00F00F97">
        <w:rPr>
          <w:sz w:val="22"/>
          <w:szCs w:val="22"/>
          <w:lang w:val="sk-SK"/>
        </w:rPr>
        <w:t>ch príznakov a/alebo syndrómu z vysadenia, ktoré môžu byť premenlivé čo sa týka závažnosti  a dĺžky  trvania po pôrode. Boli hlásené prípady agitovanosti, hypertónie, hypotónie, trasu, ospalosti, dýchacích ťažkostí alebo porúch kŕmenia. V dôsledku toho majú byť novorodenci starostlivo sledovaní.</w:t>
      </w:r>
    </w:p>
    <w:p w:rsidR="00302C75" w:rsidRDefault="00302C75" w:rsidP="00512BB2">
      <w:pPr>
        <w:jc w:val="both"/>
        <w:rPr>
          <w:sz w:val="22"/>
          <w:szCs w:val="22"/>
          <w:lang w:val="sk-SK"/>
        </w:rPr>
      </w:pPr>
    </w:p>
    <w:p w:rsidR="00302C75" w:rsidRPr="00946E44" w:rsidRDefault="00302C75" w:rsidP="00512BB2">
      <w:pPr>
        <w:jc w:val="both"/>
        <w:rPr>
          <w:sz w:val="22"/>
          <w:szCs w:val="22"/>
          <w:u w:val="single"/>
          <w:lang w:val="sk-SK"/>
        </w:rPr>
      </w:pPr>
      <w:r w:rsidRPr="00946E44">
        <w:rPr>
          <w:sz w:val="22"/>
          <w:szCs w:val="22"/>
          <w:u w:val="single"/>
          <w:lang w:val="sk-SK"/>
        </w:rPr>
        <w:t>Dojčenie</w:t>
      </w:r>
    </w:p>
    <w:p w:rsidR="00302C75" w:rsidRPr="00DD19E6" w:rsidRDefault="00302C75" w:rsidP="00512BB2">
      <w:pPr>
        <w:jc w:val="both"/>
        <w:rPr>
          <w:sz w:val="22"/>
          <w:szCs w:val="22"/>
          <w:lang w:val="sk-SK"/>
        </w:rPr>
      </w:pPr>
      <w:r w:rsidRPr="00DD19E6">
        <w:rPr>
          <w:sz w:val="22"/>
          <w:szCs w:val="22"/>
        </w:rPr>
        <w:t xml:space="preserve">Na základe veľmi obmedzených údajov z publikovaných hlásení o vylučovaní kvetiapínu do ľudského materského mlieka sa zdá, že kvetiapín pri podávaní v terapeutických dávkach nevylučuje do materského mlieka. Vzhľadom na nedostatok spoľahlivých údajov sa má o ukončení dojčenia či ukončení liečby </w:t>
      </w:r>
      <w:r>
        <w:rPr>
          <w:sz w:val="22"/>
          <w:szCs w:val="22"/>
        </w:rPr>
        <w:t>kvetiapínom</w:t>
      </w:r>
      <w:r w:rsidRPr="00DD19E6">
        <w:rPr>
          <w:sz w:val="22"/>
          <w:szCs w:val="22"/>
        </w:rPr>
        <w:t xml:space="preserve"> </w:t>
      </w:r>
      <w:r w:rsidR="00634B5C">
        <w:rPr>
          <w:sz w:val="22"/>
          <w:szCs w:val="22"/>
        </w:rPr>
        <w:t xml:space="preserve">s predĺženým uvoľňovaním </w:t>
      </w:r>
      <w:r w:rsidRPr="00DD19E6">
        <w:rPr>
          <w:sz w:val="22"/>
          <w:szCs w:val="22"/>
        </w:rPr>
        <w:t>rozhodnúť po zvážení prínosu dojčenia pre dieťa a prínosu liečby pre matku.</w:t>
      </w:r>
    </w:p>
    <w:p w:rsidR="00302C75" w:rsidRDefault="00302C75">
      <w:pPr>
        <w:pStyle w:val="Hlavika"/>
        <w:tabs>
          <w:tab w:val="clear" w:pos="4320"/>
          <w:tab w:val="clear" w:pos="8640"/>
        </w:tabs>
        <w:jc w:val="both"/>
        <w:rPr>
          <w:sz w:val="22"/>
          <w:szCs w:val="22"/>
          <w:lang w:val="sk-SK"/>
        </w:rPr>
      </w:pPr>
    </w:p>
    <w:p w:rsidR="00302C75" w:rsidRPr="00946E44" w:rsidRDefault="00302C75">
      <w:pPr>
        <w:pStyle w:val="Hlavika"/>
        <w:tabs>
          <w:tab w:val="clear" w:pos="4320"/>
          <w:tab w:val="clear" w:pos="8640"/>
        </w:tabs>
        <w:jc w:val="both"/>
        <w:rPr>
          <w:sz w:val="22"/>
          <w:szCs w:val="22"/>
          <w:u w:val="single"/>
          <w:lang w:val="sk-SK"/>
        </w:rPr>
      </w:pPr>
      <w:r w:rsidRPr="00946E44">
        <w:rPr>
          <w:sz w:val="22"/>
          <w:szCs w:val="22"/>
          <w:u w:val="single"/>
          <w:lang w:val="sk-SK"/>
        </w:rPr>
        <w:t>Fertilita</w:t>
      </w:r>
    </w:p>
    <w:p w:rsidR="00302C75" w:rsidRPr="00DD19E6" w:rsidRDefault="00302C75">
      <w:pPr>
        <w:pStyle w:val="Hlavika"/>
        <w:tabs>
          <w:tab w:val="clear" w:pos="4320"/>
          <w:tab w:val="clear" w:pos="8640"/>
        </w:tabs>
        <w:jc w:val="both"/>
        <w:rPr>
          <w:sz w:val="22"/>
          <w:szCs w:val="22"/>
        </w:rPr>
      </w:pPr>
      <w:r w:rsidRPr="00DD19E6">
        <w:rPr>
          <w:sz w:val="22"/>
          <w:szCs w:val="22"/>
        </w:rPr>
        <w:t>Účinky kvetiapínu na fertilitu u ľudí sa nehodnotili. Účinky spojené so zvýšenou hladinou prolaktínu sa pozorovali u potkanov, hoci nie sú priamo relevantné pre človeka (pozri časť 5.3).</w:t>
      </w: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337136">
      <w:pPr>
        <w:pStyle w:val="Hlavika"/>
        <w:numPr>
          <w:ilvl w:val="1"/>
          <w:numId w:val="4"/>
        </w:numPr>
        <w:tabs>
          <w:tab w:val="clear" w:pos="360"/>
          <w:tab w:val="clear" w:pos="4320"/>
          <w:tab w:val="clear" w:pos="8640"/>
          <w:tab w:val="num" w:pos="561"/>
        </w:tabs>
        <w:ind w:left="561" w:hanging="561"/>
        <w:jc w:val="both"/>
        <w:rPr>
          <w:b/>
          <w:bCs/>
          <w:sz w:val="22"/>
          <w:szCs w:val="22"/>
          <w:lang w:val="sk-SK"/>
        </w:rPr>
      </w:pPr>
      <w:r w:rsidRPr="00E21B7F">
        <w:rPr>
          <w:b/>
          <w:bCs/>
          <w:sz w:val="22"/>
          <w:szCs w:val="22"/>
          <w:lang w:val="sk-SK"/>
        </w:rPr>
        <w:t>Ovplyvnenie schopnosti viesť vozidlá a obsluhovať stroje</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Vzhľadom na primárne účinky kvetiapínu na centrálny nervový systém môže kvetiapín interferovať s činnosťami, ktoré si vyžadujú pozornosť. Preto je </w:t>
      </w:r>
      <w:r w:rsidRPr="00F00F97">
        <w:rPr>
          <w:sz w:val="22"/>
          <w:szCs w:val="22"/>
          <w:lang w:val="sk-SK"/>
        </w:rPr>
        <w:t>potrebné</w:t>
      </w:r>
      <w:r w:rsidRPr="00E21B7F">
        <w:rPr>
          <w:sz w:val="22"/>
          <w:szCs w:val="22"/>
          <w:lang w:val="sk-SK"/>
        </w:rPr>
        <w:t xml:space="preserve"> pacientov upozorniť, aby neriadili vozidlá ani neobsluhovali stroje, pokiaľ nie je známa ich individuálna reakcia na kvetiapín.</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rsidP="00337136">
      <w:pPr>
        <w:pStyle w:val="Hlavika"/>
        <w:tabs>
          <w:tab w:val="clear" w:pos="4320"/>
          <w:tab w:val="clear" w:pos="8640"/>
          <w:tab w:val="left" w:pos="561"/>
        </w:tabs>
        <w:jc w:val="both"/>
        <w:rPr>
          <w:b/>
          <w:bCs/>
          <w:sz w:val="22"/>
          <w:szCs w:val="22"/>
          <w:lang w:val="sk-SK"/>
        </w:rPr>
      </w:pPr>
      <w:r w:rsidRPr="00E21B7F">
        <w:rPr>
          <w:b/>
          <w:bCs/>
          <w:sz w:val="22"/>
          <w:szCs w:val="22"/>
          <w:lang w:val="sk-SK"/>
        </w:rPr>
        <w:t>4.8</w:t>
      </w:r>
      <w:r w:rsidRPr="00E21B7F">
        <w:rPr>
          <w:b/>
          <w:bCs/>
          <w:sz w:val="22"/>
          <w:szCs w:val="22"/>
          <w:lang w:val="sk-SK"/>
        </w:rPr>
        <w:tab/>
        <w:t>Nežiaduce účinky</w:t>
      </w:r>
    </w:p>
    <w:p w:rsidR="00302C75" w:rsidRPr="00062BEA" w:rsidRDefault="00302C75">
      <w:pPr>
        <w:pStyle w:val="Hlavika"/>
        <w:tabs>
          <w:tab w:val="clear" w:pos="4320"/>
          <w:tab w:val="clear" w:pos="8640"/>
        </w:tabs>
        <w:jc w:val="both"/>
        <w:rPr>
          <w:sz w:val="22"/>
          <w:szCs w:val="22"/>
          <w:lang w:val="sk-SK"/>
        </w:rPr>
      </w:pPr>
    </w:p>
    <w:p w:rsidR="00302C75" w:rsidRPr="00062BEA" w:rsidRDefault="00302C75">
      <w:pPr>
        <w:pStyle w:val="Hlavika"/>
        <w:tabs>
          <w:tab w:val="clear" w:pos="4320"/>
          <w:tab w:val="clear" w:pos="8640"/>
        </w:tabs>
        <w:jc w:val="both"/>
        <w:rPr>
          <w:sz w:val="22"/>
          <w:szCs w:val="22"/>
          <w:lang w:val="sk-SK"/>
        </w:rPr>
      </w:pPr>
      <w:r w:rsidRPr="00E022EA">
        <w:rPr>
          <w:sz w:val="22"/>
          <w:szCs w:val="22"/>
          <w:lang w:val="sk-SK"/>
        </w:rPr>
        <w:t>Najčastejšie hlásenými nežiaducimi účinkami (</w:t>
      </w:r>
      <w:r w:rsidRPr="00946E44">
        <w:rPr>
          <w:i/>
          <w:sz w:val="22"/>
          <w:szCs w:val="22"/>
          <w:lang w:val="sk-SK"/>
        </w:rPr>
        <w:t>Adverse Drug Reactions</w:t>
      </w:r>
      <w:r w:rsidR="00634B5C">
        <w:rPr>
          <w:sz w:val="22"/>
          <w:szCs w:val="22"/>
          <w:lang w:val="sk-SK"/>
        </w:rPr>
        <w:t>,</w:t>
      </w:r>
      <w:r w:rsidRPr="00E022EA">
        <w:rPr>
          <w:sz w:val="22"/>
          <w:szCs w:val="22"/>
          <w:lang w:val="sk-SK"/>
        </w:rPr>
        <w:t xml:space="preserve"> ADRs) pri liečbe kvetiapínom </w:t>
      </w:r>
      <w:r w:rsidRPr="00DD19E6">
        <w:rPr>
          <w:sz w:val="22"/>
          <w:szCs w:val="22"/>
        </w:rPr>
        <w:t>(≥10 %)</w:t>
      </w:r>
      <w:r w:rsidRPr="00E022EA">
        <w:rPr>
          <w:sz w:val="22"/>
          <w:szCs w:val="22"/>
          <w:lang w:val="sk-SK"/>
        </w:rPr>
        <w:t xml:space="preserve"> </w:t>
      </w:r>
      <w:r w:rsidR="00634B5C" w:rsidRPr="00E022EA">
        <w:rPr>
          <w:sz w:val="22"/>
          <w:szCs w:val="22"/>
          <w:lang w:val="sk-SK"/>
        </w:rPr>
        <w:t>sú</w:t>
      </w:r>
      <w:r w:rsidR="00634B5C" w:rsidRPr="00DD19E6">
        <w:t xml:space="preserve"> </w:t>
      </w:r>
      <w:r w:rsidRPr="00E022EA">
        <w:rPr>
          <w:sz w:val="22"/>
          <w:szCs w:val="22"/>
          <w:lang w:val="sk-SK"/>
        </w:rPr>
        <w:t xml:space="preserve">somnolencia, závraty, </w:t>
      </w:r>
      <w:r>
        <w:rPr>
          <w:sz w:val="22"/>
          <w:szCs w:val="22"/>
          <w:lang w:val="sk-SK"/>
        </w:rPr>
        <w:t xml:space="preserve">bolesť hlavy, </w:t>
      </w:r>
      <w:r w:rsidRPr="00E022EA">
        <w:rPr>
          <w:sz w:val="22"/>
          <w:szCs w:val="22"/>
          <w:lang w:val="sk-SK"/>
        </w:rPr>
        <w:t xml:space="preserve">sucho v ústach, </w:t>
      </w:r>
      <w:r w:rsidRPr="00062BEA">
        <w:rPr>
          <w:sz w:val="22"/>
          <w:szCs w:val="22"/>
          <w:lang w:val="sk-SK"/>
        </w:rPr>
        <w:t>bolesť hlavy</w:t>
      </w:r>
      <w:r w:rsidRPr="00E022EA">
        <w:rPr>
          <w:sz w:val="22"/>
          <w:szCs w:val="22"/>
          <w:lang w:val="sk-SK"/>
        </w:rPr>
        <w:t xml:space="preserve">, </w:t>
      </w:r>
      <w:r w:rsidRPr="00E022EA">
        <w:rPr>
          <w:bCs/>
          <w:sz w:val="22"/>
          <w:szCs w:val="22"/>
          <w:lang w:val="sk-SK"/>
        </w:rPr>
        <w:t>príznaky z vysadenia lieku (ukončenia liečby)</w:t>
      </w:r>
      <w:r w:rsidRPr="00E022EA">
        <w:rPr>
          <w:sz w:val="22"/>
          <w:szCs w:val="22"/>
          <w:lang w:val="sk-SK"/>
        </w:rPr>
        <w:t>,</w:t>
      </w:r>
      <w:r w:rsidR="00634B5C">
        <w:rPr>
          <w:sz w:val="22"/>
          <w:szCs w:val="22"/>
          <w:lang w:val="sk-SK"/>
        </w:rPr>
        <w:t xml:space="preserve"> </w:t>
      </w:r>
      <w:r w:rsidR="00634B5C" w:rsidRPr="00634B5C">
        <w:rPr>
          <w:sz w:val="22"/>
          <w:szCs w:val="22"/>
          <w:lang w:val="sk-SK"/>
        </w:rPr>
        <w:t>zvýšenie hladín triglyceridov v</w:t>
      </w:r>
      <w:r w:rsidR="00634B5C">
        <w:rPr>
          <w:sz w:val="22"/>
          <w:szCs w:val="22"/>
          <w:lang w:val="sk-SK"/>
        </w:rPr>
        <w:t> </w:t>
      </w:r>
      <w:r w:rsidR="00634B5C" w:rsidRPr="00634B5C">
        <w:rPr>
          <w:sz w:val="22"/>
          <w:szCs w:val="22"/>
          <w:lang w:val="sk-SK"/>
        </w:rPr>
        <w:t>sére</w:t>
      </w:r>
      <w:r w:rsidR="00634B5C">
        <w:rPr>
          <w:sz w:val="22"/>
          <w:szCs w:val="22"/>
          <w:lang w:val="sk-SK"/>
        </w:rPr>
        <w:t>,</w:t>
      </w:r>
      <w:r w:rsidRPr="00E022EA">
        <w:rPr>
          <w:sz w:val="22"/>
          <w:szCs w:val="22"/>
          <w:lang w:val="sk-SK"/>
        </w:rPr>
        <w:t xml:space="preserve"> zvýšenie celkového cholesterolu (prevažne LDL-cholesterolu), zníženie HDL cholesterolu, nárast telesnej hmotnosti, zníženie hemoglobínu a extrapyramídové príznaky.</w:t>
      </w:r>
    </w:p>
    <w:p w:rsidR="00302C75" w:rsidRPr="00E21B7F" w:rsidRDefault="00302C75">
      <w:pPr>
        <w:pStyle w:val="Hlavika"/>
        <w:tabs>
          <w:tab w:val="clear" w:pos="4320"/>
          <w:tab w:val="clear" w:pos="8640"/>
        </w:tabs>
        <w:jc w:val="both"/>
        <w:rPr>
          <w:sz w:val="22"/>
          <w:szCs w:val="22"/>
          <w:lang w:val="sk-SK"/>
        </w:rPr>
      </w:pPr>
    </w:p>
    <w:p w:rsidR="00302C75" w:rsidRDefault="00302C75">
      <w:pPr>
        <w:pStyle w:val="Hlavika"/>
        <w:tabs>
          <w:tab w:val="clear" w:pos="4320"/>
          <w:tab w:val="clear" w:pos="8640"/>
        </w:tabs>
        <w:jc w:val="both"/>
        <w:rPr>
          <w:sz w:val="22"/>
          <w:szCs w:val="22"/>
          <w:lang w:val="sk-SK"/>
        </w:rPr>
      </w:pPr>
      <w:r w:rsidRPr="00E21B7F">
        <w:rPr>
          <w:sz w:val="22"/>
          <w:szCs w:val="22"/>
          <w:lang w:val="sk-SK"/>
        </w:rPr>
        <w:t>Výskyt nežiaducich účinkov spojených s terapiou kvetiapínom, je uvedený nižšie v</w:t>
      </w:r>
      <w:r>
        <w:rPr>
          <w:sz w:val="22"/>
          <w:szCs w:val="22"/>
          <w:lang w:val="sk-SK"/>
        </w:rPr>
        <w:t> </w:t>
      </w:r>
      <w:r w:rsidRPr="00E21B7F">
        <w:rPr>
          <w:sz w:val="22"/>
          <w:szCs w:val="22"/>
          <w:lang w:val="sk-SK"/>
        </w:rPr>
        <w:t>tabuľke</w:t>
      </w:r>
      <w:r>
        <w:rPr>
          <w:sz w:val="22"/>
          <w:szCs w:val="22"/>
          <w:lang w:val="sk-SK"/>
        </w:rPr>
        <w:t xml:space="preserve"> (Tabuľka 1)</w:t>
      </w:r>
      <w:r w:rsidRPr="00E21B7F">
        <w:rPr>
          <w:sz w:val="22"/>
          <w:szCs w:val="22"/>
          <w:lang w:val="sk-SK"/>
        </w:rPr>
        <w:t xml:space="preserve"> vo forme odporúčanej Radou medzinárodných organizácií lekárskych vied (Council for International Organizations of Medical Sciences </w:t>
      </w:r>
      <w:r w:rsidRPr="00E21B7F">
        <w:rPr>
          <w:sz w:val="22"/>
          <w:szCs w:val="22"/>
          <w:lang w:val="sk-SK"/>
        </w:rPr>
        <w:noBreakHyphen/>
        <w:t xml:space="preserve"> CIOMS III Working Group; 1995).</w:t>
      </w:r>
    </w:p>
    <w:p w:rsidR="00302C75" w:rsidRDefault="00302C75">
      <w:pPr>
        <w:pStyle w:val="Hlavika"/>
        <w:tabs>
          <w:tab w:val="clear" w:pos="4320"/>
          <w:tab w:val="clear" w:pos="8640"/>
        </w:tabs>
        <w:jc w:val="both"/>
        <w:rPr>
          <w:sz w:val="22"/>
          <w:szCs w:val="22"/>
          <w:lang w:val="sk-SK"/>
        </w:rPr>
      </w:pPr>
    </w:p>
    <w:p w:rsidR="00302C75" w:rsidRDefault="00302C75">
      <w:pPr>
        <w:pStyle w:val="Hlavika"/>
        <w:tabs>
          <w:tab w:val="clear" w:pos="4320"/>
          <w:tab w:val="clear" w:pos="8640"/>
        </w:tabs>
        <w:jc w:val="both"/>
        <w:rPr>
          <w:b/>
          <w:sz w:val="22"/>
          <w:szCs w:val="22"/>
          <w:lang w:val="sk-SK"/>
        </w:rPr>
      </w:pPr>
      <w:r>
        <w:rPr>
          <w:b/>
          <w:sz w:val="22"/>
          <w:szCs w:val="22"/>
          <w:lang w:val="sk-SK"/>
        </w:rPr>
        <w:t>Tabuľka 1 Nežiaduce reakcie na liek spojené s liečbou kv</w:t>
      </w:r>
      <w:r w:rsidR="00634B5C">
        <w:rPr>
          <w:b/>
          <w:sz w:val="22"/>
          <w:szCs w:val="22"/>
          <w:lang w:val="sk-SK"/>
        </w:rPr>
        <w:t>e</w:t>
      </w:r>
      <w:r>
        <w:rPr>
          <w:b/>
          <w:sz w:val="22"/>
          <w:szCs w:val="22"/>
          <w:lang w:val="sk-SK"/>
        </w:rPr>
        <w:t>tiapínom</w:t>
      </w:r>
    </w:p>
    <w:p w:rsidR="00302C75" w:rsidRDefault="00302C75">
      <w:pPr>
        <w:pStyle w:val="Hlavika"/>
        <w:tabs>
          <w:tab w:val="clear" w:pos="4320"/>
          <w:tab w:val="clear" w:pos="8640"/>
        </w:tabs>
        <w:jc w:val="both"/>
        <w:rPr>
          <w:b/>
          <w:sz w:val="22"/>
          <w:szCs w:val="22"/>
          <w:lang w:val="sk-SK"/>
        </w:rPr>
      </w:pPr>
    </w:p>
    <w:p w:rsidR="00302C75" w:rsidRPr="00302C75" w:rsidRDefault="006615B0">
      <w:pPr>
        <w:pStyle w:val="Hlavika"/>
        <w:tabs>
          <w:tab w:val="clear" w:pos="4320"/>
          <w:tab w:val="clear" w:pos="8640"/>
        </w:tabs>
        <w:jc w:val="both"/>
        <w:rPr>
          <w:b/>
          <w:sz w:val="22"/>
          <w:szCs w:val="22"/>
          <w:lang w:val="sk-SK"/>
        </w:rPr>
      </w:pPr>
      <w:r w:rsidRPr="006615B0">
        <w:rPr>
          <w:b/>
          <w:sz w:val="22"/>
          <w:szCs w:val="22"/>
          <w:lang w:val="sk-SK"/>
        </w:rPr>
        <w:t>Frekvencie nežiaducich účinkov sú usporiadané nasledovne: veľmi časté (</w:t>
      </w:r>
      <w:r w:rsidR="00302C75">
        <w:rPr>
          <w:bCs/>
          <w:sz w:val="22"/>
          <w:szCs w:val="22"/>
          <w:lang w:val="sk-SK"/>
        </w:rPr>
        <w:t>≥</w:t>
      </w:r>
      <w:r w:rsidRPr="006615B0">
        <w:rPr>
          <w:b/>
          <w:sz w:val="22"/>
          <w:szCs w:val="22"/>
          <w:lang w:val="sk-SK"/>
        </w:rPr>
        <w:t>1/10); časté (</w:t>
      </w:r>
      <w:r w:rsidR="00302C75">
        <w:rPr>
          <w:bCs/>
          <w:sz w:val="22"/>
          <w:szCs w:val="22"/>
          <w:lang w:val="sk-SK"/>
        </w:rPr>
        <w:t>≥</w:t>
      </w:r>
      <w:r w:rsidRPr="006615B0">
        <w:rPr>
          <w:b/>
          <w:sz w:val="22"/>
          <w:szCs w:val="22"/>
          <w:lang w:val="sk-SK"/>
        </w:rPr>
        <w:t>1/100 až &lt;1/10); menej časté (</w:t>
      </w:r>
      <w:r w:rsidR="00302C75">
        <w:rPr>
          <w:b/>
          <w:bCs/>
          <w:sz w:val="22"/>
          <w:szCs w:val="22"/>
          <w:lang w:val="sk-SK"/>
        </w:rPr>
        <w:t>≥</w:t>
      </w:r>
      <w:r w:rsidRPr="006615B0">
        <w:rPr>
          <w:b/>
          <w:sz w:val="22"/>
          <w:szCs w:val="22"/>
          <w:lang w:val="sk-SK"/>
        </w:rPr>
        <w:t>1/1</w:t>
      </w:r>
      <w:r w:rsidR="00302C75">
        <w:rPr>
          <w:b/>
          <w:sz w:val="22"/>
          <w:szCs w:val="22"/>
          <w:lang w:val="sk-SK"/>
        </w:rPr>
        <w:t> </w:t>
      </w:r>
      <w:r w:rsidRPr="006615B0">
        <w:rPr>
          <w:b/>
          <w:sz w:val="22"/>
          <w:szCs w:val="22"/>
          <w:lang w:val="sk-SK"/>
        </w:rPr>
        <w:t>000 až &lt;1/100); zriedkavé (</w:t>
      </w:r>
      <w:r w:rsidR="00302C75">
        <w:rPr>
          <w:b/>
          <w:bCs/>
          <w:sz w:val="22"/>
          <w:szCs w:val="22"/>
          <w:lang w:val="sk-SK"/>
        </w:rPr>
        <w:t>≥</w:t>
      </w:r>
      <w:r w:rsidRPr="006615B0">
        <w:rPr>
          <w:b/>
          <w:sz w:val="22"/>
          <w:szCs w:val="22"/>
          <w:lang w:val="sk-SK"/>
        </w:rPr>
        <w:t>1/10</w:t>
      </w:r>
      <w:r w:rsidR="00302C75">
        <w:rPr>
          <w:b/>
          <w:sz w:val="22"/>
          <w:szCs w:val="22"/>
          <w:lang w:val="sk-SK"/>
        </w:rPr>
        <w:t> </w:t>
      </w:r>
      <w:r w:rsidRPr="006615B0">
        <w:rPr>
          <w:b/>
          <w:sz w:val="22"/>
          <w:szCs w:val="22"/>
          <w:lang w:val="sk-SK"/>
        </w:rPr>
        <w:t>000 až &lt;1/1000); veľmi zriedkavé (&lt;1/10</w:t>
      </w:r>
      <w:r w:rsidR="00302C75">
        <w:rPr>
          <w:b/>
          <w:sz w:val="22"/>
          <w:szCs w:val="22"/>
          <w:lang w:val="sk-SK"/>
        </w:rPr>
        <w:t> </w:t>
      </w:r>
      <w:r w:rsidRPr="006615B0">
        <w:rPr>
          <w:b/>
          <w:sz w:val="22"/>
          <w:szCs w:val="22"/>
          <w:lang w:val="sk-SK"/>
        </w:rPr>
        <w:t xml:space="preserve">000), </w:t>
      </w:r>
      <w:r w:rsidRPr="006615B0">
        <w:rPr>
          <w:b/>
          <w:bCs/>
          <w:sz w:val="22"/>
          <w:szCs w:val="22"/>
          <w:lang w:val="sk-SK"/>
        </w:rPr>
        <w:t>neznáme (nedá sa určiť z dostupných údajov)</w:t>
      </w:r>
      <w:r w:rsidRPr="006615B0">
        <w:rPr>
          <w:b/>
          <w:sz w:val="22"/>
          <w:szCs w:val="22"/>
          <w:lang w:val="sk-SK"/>
        </w:rPr>
        <w:t>.</w:t>
      </w:r>
    </w:p>
    <w:p w:rsidR="00302C75" w:rsidRPr="00CB5BB0" w:rsidRDefault="00302C75">
      <w:pPr>
        <w:pStyle w:val="Hlavika"/>
        <w:tabs>
          <w:tab w:val="clear" w:pos="4320"/>
          <w:tab w:val="clear" w:pos="8640"/>
        </w:tabs>
        <w:jc w:val="both"/>
        <w:rPr>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3"/>
        <w:gridCol w:w="1260"/>
        <w:gridCol w:w="1559"/>
        <w:gridCol w:w="1359"/>
        <w:gridCol w:w="1372"/>
        <w:gridCol w:w="1218"/>
        <w:gridCol w:w="1038"/>
      </w:tblGrid>
      <w:tr w:rsidR="00302C75" w:rsidRPr="00BE2F76" w:rsidTr="001C5596">
        <w:trPr>
          <w:trHeight w:val="143"/>
        </w:trPr>
        <w:tc>
          <w:tcPr>
            <w:tcW w:w="644" w:type="pct"/>
          </w:tcPr>
          <w:p w:rsidR="00302C75" w:rsidRPr="00302C75" w:rsidRDefault="00302C75" w:rsidP="006C52B8">
            <w:pPr>
              <w:pStyle w:val="Hlavika"/>
              <w:rPr>
                <w:lang w:val="en-GB"/>
              </w:rPr>
            </w:pPr>
            <w:r w:rsidRPr="00CB4422">
              <w:rPr>
                <w:b/>
                <w:bCs/>
                <w:sz w:val="22"/>
                <w:szCs w:val="22"/>
                <w:lang w:val="en-GB"/>
              </w:rPr>
              <w:t>Trieda orgánových systémov</w:t>
            </w:r>
          </w:p>
        </w:tc>
        <w:tc>
          <w:tcPr>
            <w:tcW w:w="635" w:type="pct"/>
          </w:tcPr>
          <w:p w:rsidR="00302C75" w:rsidRPr="00302C75" w:rsidRDefault="00302C75" w:rsidP="006C52B8">
            <w:pPr>
              <w:pStyle w:val="Hlavika"/>
              <w:rPr>
                <w:lang w:val="en-GB"/>
              </w:rPr>
            </w:pPr>
            <w:r w:rsidRPr="00CB4422">
              <w:rPr>
                <w:b/>
                <w:bCs/>
                <w:sz w:val="22"/>
                <w:szCs w:val="22"/>
                <w:lang w:val="en-GB"/>
              </w:rPr>
              <w:t>Veľmi časté</w:t>
            </w:r>
          </w:p>
        </w:tc>
        <w:tc>
          <w:tcPr>
            <w:tcW w:w="772" w:type="pct"/>
          </w:tcPr>
          <w:p w:rsidR="00302C75" w:rsidRPr="00302C75" w:rsidRDefault="00302C75" w:rsidP="006C52B8">
            <w:pPr>
              <w:pStyle w:val="Hlavika"/>
              <w:rPr>
                <w:lang w:val="en-GB"/>
              </w:rPr>
            </w:pPr>
            <w:r w:rsidRPr="00CB4422">
              <w:rPr>
                <w:b/>
                <w:bCs/>
                <w:sz w:val="22"/>
                <w:szCs w:val="22"/>
                <w:lang w:val="en-GB"/>
              </w:rPr>
              <w:t>Časté</w:t>
            </w:r>
          </w:p>
        </w:tc>
        <w:tc>
          <w:tcPr>
            <w:tcW w:w="907" w:type="pct"/>
          </w:tcPr>
          <w:p w:rsidR="00302C75" w:rsidRPr="00302C75" w:rsidRDefault="00302C75" w:rsidP="006C52B8">
            <w:pPr>
              <w:pStyle w:val="Hlavika"/>
              <w:rPr>
                <w:lang w:val="en-GB"/>
              </w:rPr>
            </w:pPr>
            <w:r w:rsidRPr="00CB4422">
              <w:rPr>
                <w:b/>
                <w:bCs/>
                <w:sz w:val="22"/>
                <w:szCs w:val="22"/>
                <w:lang w:val="en-GB"/>
              </w:rPr>
              <w:t>Menej časté</w:t>
            </w:r>
          </w:p>
        </w:tc>
        <w:tc>
          <w:tcPr>
            <w:tcW w:w="681" w:type="pct"/>
          </w:tcPr>
          <w:p w:rsidR="00302C75" w:rsidRPr="00302C75" w:rsidRDefault="00302C75" w:rsidP="006C52B8">
            <w:pPr>
              <w:pStyle w:val="Hlavika"/>
              <w:rPr>
                <w:lang w:val="en-GB"/>
              </w:rPr>
            </w:pPr>
            <w:r w:rsidRPr="00CB4422">
              <w:rPr>
                <w:b/>
                <w:bCs/>
                <w:sz w:val="22"/>
                <w:szCs w:val="22"/>
                <w:lang w:val="en-GB"/>
              </w:rPr>
              <w:t>Zriedkavé</w:t>
            </w:r>
          </w:p>
        </w:tc>
        <w:tc>
          <w:tcPr>
            <w:tcW w:w="680" w:type="pct"/>
          </w:tcPr>
          <w:p w:rsidR="00302C75" w:rsidRPr="00302C75" w:rsidRDefault="00302C75" w:rsidP="006C52B8">
            <w:pPr>
              <w:pStyle w:val="Hlavika"/>
              <w:rPr>
                <w:lang w:val="en-GB"/>
              </w:rPr>
            </w:pPr>
            <w:r>
              <w:rPr>
                <w:b/>
                <w:bCs/>
                <w:sz w:val="22"/>
                <w:szCs w:val="22"/>
                <w:lang w:val="en-GB"/>
              </w:rPr>
              <w:t>Veľmi zriedkavé</w:t>
            </w:r>
          </w:p>
        </w:tc>
        <w:tc>
          <w:tcPr>
            <w:tcW w:w="681" w:type="pct"/>
          </w:tcPr>
          <w:p w:rsidR="00302C75" w:rsidRPr="00302C75" w:rsidRDefault="006615B0" w:rsidP="006C52B8">
            <w:pPr>
              <w:pStyle w:val="Hlavika"/>
              <w:rPr>
                <w:lang w:val="en-GB"/>
              </w:rPr>
            </w:pPr>
            <w:r w:rsidRPr="006615B0">
              <w:rPr>
                <w:b/>
                <w:bCs/>
                <w:sz w:val="22"/>
                <w:szCs w:val="22"/>
                <w:lang w:val="en-GB"/>
              </w:rPr>
              <w:t>N</w:t>
            </w:r>
            <w:r w:rsidR="00302C75">
              <w:rPr>
                <w:b/>
                <w:bCs/>
                <w:sz w:val="22"/>
                <w:szCs w:val="22"/>
                <w:lang w:val="en-GB"/>
              </w:rPr>
              <w:t>eznáme</w:t>
            </w: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rStyle w:val="Zvraznenie"/>
                <w:sz w:val="22"/>
                <w:szCs w:val="22"/>
              </w:rPr>
              <w:t>Poruchy krvi a lymfatického systému</w:t>
            </w:r>
          </w:p>
        </w:tc>
        <w:tc>
          <w:tcPr>
            <w:tcW w:w="635" w:type="pct"/>
          </w:tcPr>
          <w:p w:rsidR="00302C75" w:rsidRPr="00302C75" w:rsidRDefault="00302C75" w:rsidP="006C52B8">
            <w:pPr>
              <w:pStyle w:val="Hlavika"/>
              <w:rPr>
                <w:lang w:val="en-GB"/>
              </w:rPr>
            </w:pPr>
            <w:r w:rsidRPr="00CB4422">
              <w:rPr>
                <w:sz w:val="22"/>
                <w:szCs w:val="22"/>
                <w:lang w:val="en-GB"/>
              </w:rPr>
              <w:t>Zníženie hemoglobínu</w:t>
            </w:r>
            <w:r w:rsidR="006615B0" w:rsidRPr="006615B0">
              <w:rPr>
                <w:sz w:val="22"/>
                <w:szCs w:val="22"/>
                <w:vertAlign w:val="superscript"/>
                <w:lang w:val="en-GB"/>
              </w:rPr>
              <w:t>22</w:t>
            </w:r>
          </w:p>
        </w:tc>
        <w:tc>
          <w:tcPr>
            <w:tcW w:w="772" w:type="pct"/>
          </w:tcPr>
          <w:p w:rsidR="00302C75" w:rsidRPr="00302C75" w:rsidRDefault="00302C75" w:rsidP="006C52B8">
            <w:pPr>
              <w:pStyle w:val="Hlavika"/>
              <w:rPr>
                <w:lang w:val="en-GB"/>
              </w:rPr>
            </w:pPr>
            <w:r w:rsidRPr="00CB4422">
              <w:rPr>
                <w:sz w:val="22"/>
                <w:szCs w:val="22"/>
                <w:lang w:val="en-GB"/>
              </w:rPr>
              <w:t>leukopénia</w:t>
            </w:r>
            <w:r w:rsidRPr="00CB4422">
              <w:rPr>
                <w:sz w:val="22"/>
                <w:szCs w:val="22"/>
                <w:vertAlign w:val="superscript"/>
                <w:lang w:val="en-GB"/>
              </w:rPr>
              <w:t>1, 28</w:t>
            </w:r>
            <w:r w:rsidRPr="00CB4422">
              <w:rPr>
                <w:sz w:val="22"/>
                <w:szCs w:val="22"/>
                <w:lang w:val="en-GB"/>
              </w:rPr>
              <w:t>, zníženie počtu neutrofilov, zvýšenie eozinofilov</w:t>
            </w:r>
            <w:r w:rsidR="006615B0" w:rsidRPr="006615B0">
              <w:rPr>
                <w:sz w:val="22"/>
                <w:szCs w:val="22"/>
                <w:vertAlign w:val="superscript"/>
                <w:lang w:val="en-GB"/>
              </w:rPr>
              <w:t>27</w:t>
            </w:r>
          </w:p>
        </w:tc>
        <w:tc>
          <w:tcPr>
            <w:tcW w:w="907" w:type="pct"/>
          </w:tcPr>
          <w:p w:rsidR="00302C75" w:rsidRPr="00302C75" w:rsidRDefault="00302C75" w:rsidP="006C52B8">
            <w:pPr>
              <w:pStyle w:val="Hlavika"/>
              <w:rPr>
                <w:lang w:val="en-GB"/>
              </w:rPr>
            </w:pPr>
            <w:r w:rsidRPr="00CB4422">
              <w:rPr>
                <w:sz w:val="22"/>
                <w:szCs w:val="22"/>
                <w:lang w:val="en-GB"/>
              </w:rPr>
              <w:t>neutropénia</w:t>
            </w:r>
            <w:r w:rsidR="006615B0" w:rsidRPr="006615B0">
              <w:rPr>
                <w:sz w:val="22"/>
                <w:szCs w:val="22"/>
                <w:vertAlign w:val="superscript"/>
                <w:lang w:val="en-GB"/>
              </w:rPr>
              <w:t>1</w:t>
            </w:r>
            <w:r w:rsidRPr="00CB4422">
              <w:rPr>
                <w:sz w:val="22"/>
                <w:szCs w:val="22"/>
                <w:lang w:val="en-GB"/>
              </w:rPr>
              <w:t xml:space="preserve">, </w:t>
            </w:r>
            <w:r w:rsidR="006615B0" w:rsidRPr="006615B0">
              <w:rPr>
                <w:sz w:val="22"/>
                <w:szCs w:val="22"/>
              </w:rPr>
              <w:t>trombocytopénia, anémia, zníženie počtu trombocytov</w:t>
            </w:r>
            <w:r w:rsidR="006615B0" w:rsidRPr="006615B0">
              <w:rPr>
                <w:sz w:val="22"/>
                <w:szCs w:val="22"/>
                <w:vertAlign w:val="superscript"/>
                <w:lang w:val="en-GB"/>
              </w:rPr>
              <w:t>13</w:t>
            </w:r>
          </w:p>
        </w:tc>
        <w:tc>
          <w:tcPr>
            <w:tcW w:w="681" w:type="pct"/>
          </w:tcPr>
          <w:p w:rsidR="00302C75" w:rsidRPr="00302C75" w:rsidRDefault="00302C75" w:rsidP="006C52B8">
            <w:pPr>
              <w:pStyle w:val="Hlavika"/>
              <w:rPr>
                <w:lang w:val="en-GB"/>
              </w:rPr>
            </w:pPr>
            <w:r w:rsidRPr="00CB4422">
              <w:rPr>
                <w:sz w:val="22"/>
                <w:szCs w:val="22"/>
                <w:lang w:val="en-GB"/>
              </w:rPr>
              <w:t>agranulocytóza</w:t>
            </w:r>
            <w:r w:rsidR="006615B0" w:rsidRPr="006615B0">
              <w:rPr>
                <w:sz w:val="22"/>
                <w:szCs w:val="22"/>
                <w:vertAlign w:val="superscript"/>
                <w:lang w:val="en-GB"/>
              </w:rPr>
              <w:t>26</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i/>
                <w:sz w:val="22"/>
                <w:szCs w:val="22"/>
              </w:rPr>
              <w:t>Poruchy imunitného systému</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6615B0" w:rsidP="006C52B8">
            <w:pPr>
              <w:pStyle w:val="Hlavika"/>
              <w:rPr>
                <w:lang w:val="en-GB"/>
              </w:rPr>
            </w:pPr>
            <w:r w:rsidRPr="006615B0">
              <w:rPr>
                <w:sz w:val="22"/>
                <w:szCs w:val="22"/>
              </w:rPr>
              <w:t>hypersenzitivita (vrátane kožných alergických reakcií)</w:t>
            </w:r>
          </w:p>
        </w:tc>
        <w:tc>
          <w:tcPr>
            <w:tcW w:w="681" w:type="pct"/>
          </w:tcPr>
          <w:p w:rsidR="00302C75" w:rsidRPr="00302C75" w:rsidRDefault="00302C75" w:rsidP="006C52B8">
            <w:pPr>
              <w:pStyle w:val="Hlavika"/>
              <w:rPr>
                <w:lang w:val="en-GB"/>
              </w:rPr>
            </w:pPr>
          </w:p>
        </w:tc>
        <w:tc>
          <w:tcPr>
            <w:tcW w:w="680" w:type="pct"/>
          </w:tcPr>
          <w:p w:rsidR="00302C75" w:rsidRPr="00302C75" w:rsidRDefault="006615B0" w:rsidP="006C52B8">
            <w:pPr>
              <w:pStyle w:val="Hlavika"/>
              <w:rPr>
                <w:lang w:val="en-GB"/>
              </w:rPr>
            </w:pPr>
            <w:r w:rsidRPr="006615B0">
              <w:rPr>
                <w:sz w:val="22"/>
                <w:szCs w:val="22"/>
              </w:rPr>
              <w:t>anafylaktická reakcia</w:t>
            </w:r>
            <w:r w:rsidRPr="006615B0">
              <w:rPr>
                <w:sz w:val="22"/>
                <w:szCs w:val="22"/>
                <w:vertAlign w:val="superscript"/>
                <w:lang w:val="en-GB"/>
              </w:rPr>
              <w:t>5</w:t>
            </w: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endokrinného systému</w:t>
            </w:r>
          </w:p>
        </w:tc>
        <w:tc>
          <w:tcPr>
            <w:tcW w:w="635" w:type="pct"/>
          </w:tcPr>
          <w:p w:rsidR="00302C75" w:rsidRPr="00302C75" w:rsidRDefault="00302C75" w:rsidP="006C52B8">
            <w:pPr>
              <w:pStyle w:val="Hlavika"/>
              <w:rPr>
                <w:lang w:val="en-GB"/>
              </w:rPr>
            </w:pPr>
          </w:p>
        </w:tc>
        <w:tc>
          <w:tcPr>
            <w:tcW w:w="772" w:type="pct"/>
          </w:tcPr>
          <w:p w:rsidR="00302C75" w:rsidRPr="00302C75" w:rsidRDefault="006615B0" w:rsidP="006C52B8">
            <w:pPr>
              <w:pStyle w:val="Hlavika"/>
              <w:rPr>
                <w:lang w:val="en-GB"/>
              </w:rPr>
            </w:pPr>
            <w:r w:rsidRPr="006615B0">
              <w:rPr>
                <w:sz w:val="22"/>
                <w:szCs w:val="22"/>
              </w:rPr>
              <w:t>hyperprola</w:t>
            </w:r>
            <w:r w:rsidR="00882001">
              <w:rPr>
                <w:sz w:val="22"/>
                <w:szCs w:val="22"/>
              </w:rPr>
              <w:t>k</w:t>
            </w:r>
            <w:r w:rsidRPr="006615B0">
              <w:rPr>
                <w:sz w:val="22"/>
                <w:szCs w:val="22"/>
              </w:rPr>
              <w:t>tinémia</w:t>
            </w:r>
            <w:r w:rsidRPr="006615B0">
              <w:rPr>
                <w:sz w:val="22"/>
                <w:szCs w:val="22"/>
                <w:vertAlign w:val="superscript"/>
                <w:lang w:val="en-GB"/>
              </w:rPr>
              <w:t>15</w:t>
            </w:r>
            <w:r w:rsidRPr="006615B0">
              <w:rPr>
                <w:sz w:val="22"/>
                <w:szCs w:val="22"/>
                <w:lang w:val="en-GB"/>
              </w:rPr>
              <w:t xml:space="preserve">, </w:t>
            </w:r>
            <w:r w:rsidR="00302C75" w:rsidRPr="00CB4422">
              <w:rPr>
                <w:sz w:val="22"/>
                <w:szCs w:val="22"/>
                <w:lang w:val="en-GB"/>
              </w:rPr>
              <w:t>zníženie celkového</w:t>
            </w:r>
            <w:r w:rsidRPr="006615B0">
              <w:rPr>
                <w:sz w:val="22"/>
                <w:szCs w:val="22"/>
                <w:lang w:val="en-GB"/>
              </w:rPr>
              <w:t xml:space="preserve"> T</w:t>
            </w:r>
            <w:r w:rsidRPr="006615B0">
              <w:rPr>
                <w:sz w:val="22"/>
                <w:szCs w:val="22"/>
                <w:vertAlign w:val="subscript"/>
                <w:lang w:val="en-GB"/>
              </w:rPr>
              <w:t>4</w:t>
            </w:r>
            <w:r w:rsidRPr="006615B0">
              <w:rPr>
                <w:sz w:val="22"/>
                <w:szCs w:val="22"/>
                <w:vertAlign w:val="superscript"/>
                <w:lang w:val="en-GB"/>
              </w:rPr>
              <w:t>24</w:t>
            </w:r>
            <w:r w:rsidRPr="006615B0">
              <w:rPr>
                <w:sz w:val="22"/>
                <w:szCs w:val="22"/>
                <w:lang w:val="en-GB"/>
              </w:rPr>
              <w:t xml:space="preserve">, </w:t>
            </w:r>
            <w:r w:rsidR="00302C75" w:rsidRPr="00CB4422">
              <w:rPr>
                <w:sz w:val="22"/>
                <w:szCs w:val="22"/>
                <w:lang w:val="en-GB"/>
              </w:rPr>
              <w:t>zníženie voľnéhoT</w:t>
            </w:r>
            <w:r w:rsidR="00302C75" w:rsidRPr="00CB4422">
              <w:rPr>
                <w:sz w:val="22"/>
                <w:szCs w:val="22"/>
                <w:vertAlign w:val="subscript"/>
                <w:lang w:val="en-GB"/>
              </w:rPr>
              <w:t>4 </w:t>
            </w:r>
            <w:r w:rsidR="00302C75" w:rsidRPr="00CB4422">
              <w:rPr>
                <w:sz w:val="22"/>
                <w:szCs w:val="22"/>
                <w:vertAlign w:val="superscript"/>
                <w:lang w:val="en-GB"/>
              </w:rPr>
              <w:t>24</w:t>
            </w:r>
            <w:r w:rsidR="00302C75" w:rsidRPr="00CB4422">
              <w:rPr>
                <w:sz w:val="22"/>
                <w:szCs w:val="22"/>
                <w:lang w:val="en-GB"/>
              </w:rPr>
              <w:t>, zníženi</w:t>
            </w:r>
            <w:r w:rsidR="00302C75">
              <w:rPr>
                <w:sz w:val="22"/>
                <w:szCs w:val="22"/>
                <w:lang w:val="en-GB"/>
              </w:rPr>
              <w:t>e</w:t>
            </w:r>
            <w:r w:rsidR="00302C75" w:rsidRPr="00CB4422">
              <w:rPr>
                <w:sz w:val="22"/>
                <w:szCs w:val="22"/>
                <w:lang w:val="en-GB"/>
              </w:rPr>
              <w:t xml:space="preserve"> celkového</w:t>
            </w:r>
            <w:r w:rsidRPr="006615B0">
              <w:rPr>
                <w:sz w:val="22"/>
                <w:szCs w:val="22"/>
                <w:lang w:val="en-GB"/>
              </w:rPr>
              <w:t xml:space="preserve"> T</w:t>
            </w:r>
            <w:r w:rsidRPr="006615B0">
              <w:rPr>
                <w:sz w:val="22"/>
                <w:szCs w:val="22"/>
                <w:vertAlign w:val="subscript"/>
                <w:lang w:val="en-GB"/>
              </w:rPr>
              <w:t>3</w:t>
            </w:r>
            <w:r w:rsidR="00302C75" w:rsidRPr="00314F8D">
              <w:rPr>
                <w:sz w:val="22"/>
                <w:szCs w:val="22"/>
                <w:vertAlign w:val="subscript"/>
                <w:lang w:val="en-GB"/>
              </w:rPr>
              <w:t> </w:t>
            </w:r>
            <w:r w:rsidRPr="006615B0">
              <w:rPr>
                <w:sz w:val="22"/>
                <w:szCs w:val="22"/>
                <w:vertAlign w:val="superscript"/>
                <w:lang w:val="en-GB"/>
              </w:rPr>
              <w:t>24</w:t>
            </w:r>
            <w:r w:rsidRPr="006615B0">
              <w:rPr>
                <w:sz w:val="22"/>
                <w:szCs w:val="22"/>
                <w:lang w:val="en-GB"/>
              </w:rPr>
              <w:t xml:space="preserve">, </w:t>
            </w:r>
            <w:r w:rsidR="00302C75" w:rsidRPr="00CB4422">
              <w:rPr>
                <w:sz w:val="22"/>
                <w:szCs w:val="22"/>
                <w:lang w:val="en-GB"/>
              </w:rPr>
              <w:t>zvýšenie</w:t>
            </w:r>
            <w:r w:rsidRPr="006615B0">
              <w:rPr>
                <w:sz w:val="22"/>
                <w:szCs w:val="22"/>
                <w:lang w:val="en-GB"/>
              </w:rPr>
              <w:t xml:space="preserve"> TSH</w:t>
            </w:r>
            <w:r w:rsidR="00302C75" w:rsidRPr="00314F8D">
              <w:rPr>
                <w:sz w:val="22"/>
                <w:szCs w:val="22"/>
                <w:lang w:val="en-GB"/>
              </w:rPr>
              <w:t> </w:t>
            </w:r>
            <w:r w:rsidRPr="006615B0">
              <w:rPr>
                <w:sz w:val="22"/>
                <w:szCs w:val="22"/>
                <w:vertAlign w:val="superscript"/>
                <w:lang w:val="en-GB"/>
              </w:rPr>
              <w:t>24</w:t>
            </w:r>
          </w:p>
        </w:tc>
        <w:tc>
          <w:tcPr>
            <w:tcW w:w="907" w:type="pct"/>
          </w:tcPr>
          <w:p w:rsidR="00302C75" w:rsidRPr="00302C75" w:rsidRDefault="00302C75" w:rsidP="006C52B8">
            <w:pPr>
              <w:pStyle w:val="Hlavika"/>
              <w:rPr>
                <w:lang w:val="en-GB"/>
              </w:rPr>
            </w:pPr>
            <w:r w:rsidRPr="00CB4422">
              <w:rPr>
                <w:sz w:val="22"/>
                <w:szCs w:val="22"/>
                <w:lang w:val="en-GB"/>
              </w:rPr>
              <w:t>Zníženi</w:t>
            </w:r>
            <w:r>
              <w:rPr>
                <w:sz w:val="22"/>
                <w:szCs w:val="22"/>
                <w:lang w:val="en-GB"/>
              </w:rPr>
              <w:t>e</w:t>
            </w:r>
            <w:r w:rsidRPr="00CB4422">
              <w:rPr>
                <w:sz w:val="22"/>
                <w:szCs w:val="22"/>
                <w:lang w:val="en-GB"/>
              </w:rPr>
              <w:t xml:space="preserve"> voľného </w:t>
            </w:r>
            <w:r w:rsidR="006615B0" w:rsidRPr="006615B0">
              <w:rPr>
                <w:sz w:val="22"/>
                <w:szCs w:val="22"/>
                <w:lang w:val="en-GB"/>
              </w:rPr>
              <w:t>T</w:t>
            </w:r>
            <w:r w:rsidR="006615B0" w:rsidRPr="006615B0">
              <w:rPr>
                <w:sz w:val="22"/>
                <w:szCs w:val="22"/>
                <w:vertAlign w:val="subscript"/>
                <w:lang w:val="en-GB"/>
              </w:rPr>
              <w:t>3</w:t>
            </w:r>
            <w:r w:rsidRPr="00314F8D">
              <w:rPr>
                <w:sz w:val="22"/>
                <w:szCs w:val="22"/>
                <w:vertAlign w:val="superscript"/>
                <w:lang w:val="en-GB"/>
              </w:rPr>
              <w:t> </w:t>
            </w:r>
            <w:r w:rsidR="006615B0" w:rsidRPr="006615B0">
              <w:rPr>
                <w:sz w:val="22"/>
                <w:szCs w:val="22"/>
                <w:vertAlign w:val="superscript"/>
                <w:lang w:val="en-GB"/>
              </w:rPr>
              <w:t>24</w:t>
            </w:r>
            <w:r w:rsidR="006615B0" w:rsidRPr="006615B0">
              <w:rPr>
                <w:sz w:val="22"/>
                <w:szCs w:val="22"/>
                <w:lang w:val="en-GB"/>
              </w:rPr>
              <w:t xml:space="preserve">, </w:t>
            </w:r>
            <w:r w:rsidR="006615B0" w:rsidRPr="006615B0">
              <w:rPr>
                <w:sz w:val="22"/>
                <w:szCs w:val="22"/>
              </w:rPr>
              <w:t>hypotyroidizmus</w:t>
            </w:r>
            <w:r w:rsidR="006615B0" w:rsidRPr="006615B0">
              <w:rPr>
                <w:sz w:val="22"/>
                <w:szCs w:val="22"/>
                <w:vertAlign w:val="superscript"/>
                <w:lang w:val="en-GB"/>
              </w:rPr>
              <w:t>21</w:t>
            </w:r>
          </w:p>
        </w:tc>
        <w:tc>
          <w:tcPr>
            <w:tcW w:w="681" w:type="pct"/>
          </w:tcPr>
          <w:p w:rsidR="00302C75" w:rsidRPr="00302C75" w:rsidRDefault="00302C75" w:rsidP="006C52B8">
            <w:pPr>
              <w:pStyle w:val="Hlavika"/>
              <w:rPr>
                <w:lang w:val="en-GB"/>
              </w:rPr>
            </w:pPr>
          </w:p>
        </w:tc>
        <w:tc>
          <w:tcPr>
            <w:tcW w:w="680" w:type="pct"/>
          </w:tcPr>
          <w:p w:rsidR="00302C75" w:rsidRPr="00302C75" w:rsidRDefault="006615B0" w:rsidP="006C52B8">
            <w:pPr>
              <w:pStyle w:val="Hlavika"/>
              <w:rPr>
                <w:lang w:val="en-GB"/>
              </w:rPr>
            </w:pPr>
            <w:r w:rsidRPr="006615B0">
              <w:rPr>
                <w:sz w:val="22"/>
                <w:szCs w:val="22"/>
              </w:rPr>
              <w:t>neprimerané vylučovanie antidiuretického hormónu</w:t>
            </w: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i/>
                <w:sz w:val="22"/>
                <w:szCs w:val="22"/>
              </w:rPr>
              <w:t>Poruchy metabolizmu a výživy</w:t>
            </w:r>
          </w:p>
        </w:tc>
        <w:tc>
          <w:tcPr>
            <w:tcW w:w="635" w:type="pct"/>
          </w:tcPr>
          <w:p w:rsidR="00302C75" w:rsidRPr="00302C75" w:rsidRDefault="006615B0" w:rsidP="006C52B8">
            <w:pPr>
              <w:pStyle w:val="Hlavika"/>
              <w:rPr>
                <w:lang w:val="en-GB"/>
              </w:rPr>
            </w:pPr>
            <w:r w:rsidRPr="006615B0">
              <w:rPr>
                <w:sz w:val="22"/>
                <w:szCs w:val="22"/>
              </w:rPr>
              <w:t>zvýšenie hladín sérových triglyceridov</w:t>
            </w:r>
            <w:r w:rsidRPr="006615B0">
              <w:rPr>
                <w:sz w:val="22"/>
                <w:szCs w:val="22"/>
                <w:vertAlign w:val="superscript"/>
                <w:lang w:val="en-GB"/>
              </w:rPr>
              <w:t>10,30</w:t>
            </w:r>
          </w:p>
          <w:p w:rsidR="00302C75" w:rsidRPr="00302C75" w:rsidRDefault="006615B0" w:rsidP="006C52B8">
            <w:pPr>
              <w:pStyle w:val="Hlavika"/>
              <w:rPr>
                <w:lang w:val="en-GB"/>
              </w:rPr>
            </w:pPr>
            <w:r w:rsidRPr="006615B0">
              <w:rPr>
                <w:sz w:val="22"/>
                <w:szCs w:val="22"/>
              </w:rPr>
              <w:t>zvýšenie celkového cholesterolu (predovšetkým LDL cholesterolu)</w:t>
            </w:r>
            <w:r w:rsidRPr="006615B0">
              <w:rPr>
                <w:sz w:val="22"/>
                <w:szCs w:val="22"/>
                <w:vertAlign w:val="superscript"/>
                <w:lang w:val="en-GB"/>
              </w:rPr>
              <w:t>11,30</w:t>
            </w:r>
          </w:p>
          <w:p w:rsidR="00302C75" w:rsidRPr="00302C75" w:rsidRDefault="006615B0" w:rsidP="006C52B8">
            <w:pPr>
              <w:pStyle w:val="Hlavika"/>
              <w:rPr>
                <w:lang w:val="en-GB"/>
              </w:rPr>
            </w:pPr>
            <w:r w:rsidRPr="006615B0">
              <w:rPr>
                <w:sz w:val="22"/>
                <w:szCs w:val="22"/>
              </w:rPr>
              <w:t>zníženie HDL cholesterolu</w:t>
            </w:r>
            <w:r w:rsidRPr="006615B0">
              <w:rPr>
                <w:sz w:val="22"/>
                <w:szCs w:val="22"/>
                <w:vertAlign w:val="superscript"/>
                <w:lang w:val="en-GB"/>
              </w:rPr>
              <w:t>17,30</w:t>
            </w:r>
            <w:r w:rsidRPr="006615B0">
              <w:rPr>
                <w:sz w:val="22"/>
                <w:szCs w:val="22"/>
                <w:lang w:val="en-GB"/>
              </w:rPr>
              <w:t xml:space="preserve">, </w:t>
            </w:r>
            <w:r w:rsidR="00302C75" w:rsidRPr="00CB4422">
              <w:rPr>
                <w:sz w:val="22"/>
                <w:szCs w:val="22"/>
                <w:lang w:val="en-GB"/>
              </w:rPr>
              <w:t>zvýšenie hmotnosti</w:t>
            </w:r>
            <w:r w:rsidR="00302C75" w:rsidRPr="00314F8D">
              <w:rPr>
                <w:sz w:val="22"/>
                <w:szCs w:val="22"/>
                <w:lang w:val="en-GB"/>
              </w:rPr>
              <w:t> </w:t>
            </w:r>
            <w:r w:rsidRPr="006615B0">
              <w:rPr>
                <w:sz w:val="22"/>
                <w:szCs w:val="22"/>
                <w:vertAlign w:val="superscript"/>
                <w:lang w:val="en-GB"/>
              </w:rPr>
              <w:t>8,30</w:t>
            </w:r>
          </w:p>
        </w:tc>
        <w:tc>
          <w:tcPr>
            <w:tcW w:w="772" w:type="pct"/>
          </w:tcPr>
          <w:p w:rsidR="00302C75" w:rsidRPr="00302C75" w:rsidRDefault="00302C75" w:rsidP="006C52B8">
            <w:pPr>
              <w:pStyle w:val="Hlavika"/>
              <w:rPr>
                <w:lang w:val="en-GB"/>
              </w:rPr>
            </w:pPr>
            <w:r>
              <w:rPr>
                <w:sz w:val="22"/>
                <w:szCs w:val="22"/>
                <w:lang w:val="en-GB"/>
              </w:rPr>
              <w:t xml:space="preserve">zvýšená chuť do </w:t>
            </w:r>
            <w:r w:rsidRPr="004C051B">
              <w:rPr>
                <w:sz w:val="22"/>
                <w:szCs w:val="22"/>
                <w:lang w:val="en-GB"/>
              </w:rPr>
              <w:t xml:space="preserve">jedla, </w:t>
            </w:r>
            <w:r w:rsidRPr="004C051B">
              <w:rPr>
                <w:sz w:val="22"/>
                <w:szCs w:val="22"/>
              </w:rPr>
              <w:t>zvýšenie hladín glukózy až po hyperglykemické hladiny</w:t>
            </w:r>
            <w:r>
              <w:rPr>
                <w:sz w:val="22"/>
                <w:szCs w:val="22"/>
              </w:rPr>
              <w:t xml:space="preserve"> </w:t>
            </w:r>
            <w:r w:rsidR="006615B0" w:rsidRPr="006615B0">
              <w:rPr>
                <w:sz w:val="22"/>
                <w:szCs w:val="22"/>
                <w:vertAlign w:val="superscript"/>
                <w:lang w:val="en-GB"/>
              </w:rPr>
              <w:t>6, 30</w:t>
            </w:r>
          </w:p>
        </w:tc>
        <w:tc>
          <w:tcPr>
            <w:tcW w:w="907" w:type="pct"/>
          </w:tcPr>
          <w:p w:rsidR="00302C75" w:rsidRPr="00302C75" w:rsidRDefault="00302C75" w:rsidP="006C52B8">
            <w:pPr>
              <w:pStyle w:val="Hlavika"/>
              <w:rPr>
                <w:lang w:val="en-GB"/>
              </w:rPr>
            </w:pPr>
            <w:r>
              <w:rPr>
                <w:sz w:val="22"/>
                <w:szCs w:val="22"/>
                <w:lang w:val="en-GB"/>
              </w:rPr>
              <w:t>h</w:t>
            </w:r>
            <w:r w:rsidR="006615B0" w:rsidRPr="006615B0">
              <w:rPr>
                <w:sz w:val="22"/>
                <w:szCs w:val="22"/>
                <w:lang w:val="en-GB"/>
              </w:rPr>
              <w:t>yponatr</w:t>
            </w:r>
            <w:r>
              <w:rPr>
                <w:sz w:val="22"/>
                <w:szCs w:val="22"/>
                <w:lang w:val="en-GB"/>
              </w:rPr>
              <w:t>é</w:t>
            </w:r>
            <w:r w:rsidR="006615B0" w:rsidRPr="006615B0">
              <w:rPr>
                <w:sz w:val="22"/>
                <w:szCs w:val="22"/>
                <w:lang w:val="en-GB"/>
              </w:rPr>
              <w:t>mia</w:t>
            </w:r>
            <w:r w:rsidRPr="00314F8D">
              <w:rPr>
                <w:sz w:val="22"/>
                <w:szCs w:val="22"/>
                <w:lang w:val="en-GB"/>
              </w:rPr>
              <w:t> </w:t>
            </w:r>
            <w:r w:rsidR="006615B0" w:rsidRPr="006615B0">
              <w:rPr>
                <w:sz w:val="22"/>
                <w:szCs w:val="22"/>
                <w:vertAlign w:val="superscript"/>
                <w:lang w:val="en-GB"/>
              </w:rPr>
              <w:t>19</w:t>
            </w:r>
            <w:r w:rsidR="006615B0" w:rsidRPr="006615B0">
              <w:rPr>
                <w:sz w:val="22"/>
                <w:szCs w:val="22"/>
                <w:lang w:val="en-GB"/>
              </w:rPr>
              <w:t xml:space="preserve">, </w:t>
            </w:r>
            <w:r>
              <w:rPr>
                <w:sz w:val="22"/>
                <w:szCs w:val="22"/>
                <w:lang w:val="en-GB"/>
              </w:rPr>
              <w:t>d</w:t>
            </w:r>
            <w:r w:rsidR="006615B0" w:rsidRPr="006615B0">
              <w:rPr>
                <w:sz w:val="22"/>
                <w:szCs w:val="22"/>
                <w:lang w:val="en-GB"/>
              </w:rPr>
              <w:t xml:space="preserve">iabetes </w:t>
            </w:r>
            <w:r>
              <w:rPr>
                <w:sz w:val="22"/>
                <w:szCs w:val="22"/>
                <w:lang w:val="en-GB"/>
              </w:rPr>
              <w:t>m</w:t>
            </w:r>
            <w:r w:rsidR="006615B0" w:rsidRPr="006615B0">
              <w:rPr>
                <w:sz w:val="22"/>
                <w:szCs w:val="22"/>
                <w:lang w:val="en-GB"/>
              </w:rPr>
              <w:t>ellitus</w:t>
            </w:r>
            <w:r w:rsidR="006615B0" w:rsidRPr="006615B0">
              <w:rPr>
                <w:sz w:val="22"/>
                <w:szCs w:val="22"/>
                <w:vertAlign w:val="superscript"/>
                <w:lang w:val="en-GB"/>
              </w:rPr>
              <w:t>1,5</w:t>
            </w:r>
          </w:p>
          <w:p w:rsidR="00302C75" w:rsidRPr="00302C75" w:rsidRDefault="00302C75" w:rsidP="006C52B8">
            <w:pPr>
              <w:pStyle w:val="Hlavika"/>
              <w:rPr>
                <w:lang w:val="en-GB"/>
              </w:rPr>
            </w:pPr>
            <w:r>
              <w:rPr>
                <w:sz w:val="22"/>
                <w:szCs w:val="22"/>
                <w:lang w:val="en-GB"/>
              </w:rPr>
              <w:t>zhoršenie existujúceho diabetu</w:t>
            </w:r>
          </w:p>
        </w:tc>
        <w:tc>
          <w:tcPr>
            <w:tcW w:w="681" w:type="pct"/>
          </w:tcPr>
          <w:p w:rsidR="00302C75" w:rsidRPr="00302C75" w:rsidRDefault="00302C75" w:rsidP="006C52B8">
            <w:pPr>
              <w:pStyle w:val="Hlavika"/>
              <w:rPr>
                <w:lang w:val="en-GB"/>
              </w:rPr>
            </w:pPr>
            <w:r>
              <w:rPr>
                <w:sz w:val="22"/>
                <w:szCs w:val="22"/>
                <w:lang w:val="en-GB"/>
              </w:rPr>
              <w:t>m</w:t>
            </w:r>
            <w:r w:rsidR="006615B0" w:rsidRPr="006615B0">
              <w:rPr>
                <w:sz w:val="22"/>
                <w:szCs w:val="22"/>
                <w:lang w:val="en-GB"/>
              </w:rPr>
              <w:t>etabolic</w:t>
            </w:r>
            <w:r>
              <w:rPr>
                <w:sz w:val="22"/>
                <w:szCs w:val="22"/>
                <w:lang w:val="en-GB"/>
              </w:rPr>
              <w:t>ký</w:t>
            </w:r>
            <w:r w:rsidR="006615B0" w:rsidRPr="006615B0">
              <w:rPr>
                <w:sz w:val="22"/>
                <w:szCs w:val="22"/>
                <w:lang w:val="en-GB"/>
              </w:rPr>
              <w:t xml:space="preserve"> </w:t>
            </w:r>
            <w:r>
              <w:rPr>
                <w:sz w:val="22"/>
                <w:szCs w:val="22"/>
                <w:lang w:val="en-GB"/>
              </w:rPr>
              <w:t xml:space="preserve">syndróm </w:t>
            </w:r>
            <w:r w:rsidR="006615B0" w:rsidRPr="006615B0">
              <w:rPr>
                <w:sz w:val="22"/>
                <w:szCs w:val="22"/>
                <w:vertAlign w:val="superscript"/>
                <w:lang w:val="en-GB"/>
              </w:rPr>
              <w:t>29</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Psychické poruchy</w:t>
            </w:r>
          </w:p>
        </w:tc>
        <w:tc>
          <w:tcPr>
            <w:tcW w:w="635" w:type="pct"/>
          </w:tcPr>
          <w:p w:rsidR="00302C75" w:rsidRPr="00302C75" w:rsidRDefault="00302C75" w:rsidP="006C52B8">
            <w:pPr>
              <w:pStyle w:val="Hlavika"/>
              <w:rPr>
                <w:lang w:val="en-GB"/>
              </w:rPr>
            </w:pPr>
          </w:p>
        </w:tc>
        <w:tc>
          <w:tcPr>
            <w:tcW w:w="772" w:type="pct"/>
          </w:tcPr>
          <w:p w:rsidR="00302C75" w:rsidRPr="00302C75" w:rsidRDefault="006615B0" w:rsidP="006C52B8">
            <w:pPr>
              <w:pStyle w:val="Hlavika"/>
              <w:rPr>
                <w:lang w:val="en-GB"/>
              </w:rPr>
            </w:pPr>
            <w:r w:rsidRPr="006615B0">
              <w:rPr>
                <w:sz w:val="22"/>
                <w:szCs w:val="22"/>
              </w:rPr>
              <w:t>abnormálne sny a nočné mory, samovražedné myšlienky a samovražedné správanie</w:t>
            </w:r>
            <w:r w:rsidRPr="006615B0">
              <w:rPr>
                <w:sz w:val="22"/>
                <w:szCs w:val="22"/>
                <w:vertAlign w:val="superscript"/>
                <w:lang w:val="en-GB"/>
              </w:rPr>
              <w:t>20</w:t>
            </w:r>
          </w:p>
        </w:tc>
        <w:tc>
          <w:tcPr>
            <w:tcW w:w="907" w:type="pct"/>
          </w:tcPr>
          <w:p w:rsidR="00302C75" w:rsidRPr="00302C75" w:rsidRDefault="00302C75" w:rsidP="006C52B8">
            <w:pPr>
              <w:pStyle w:val="Hlavika"/>
              <w:rPr>
                <w:lang w:val="en-GB"/>
              </w:rPr>
            </w:pPr>
          </w:p>
        </w:tc>
        <w:tc>
          <w:tcPr>
            <w:tcW w:w="681" w:type="pct"/>
          </w:tcPr>
          <w:p w:rsidR="00302C75" w:rsidRPr="00302C75" w:rsidRDefault="006615B0" w:rsidP="006C52B8">
            <w:pPr>
              <w:pStyle w:val="Hlavika"/>
              <w:rPr>
                <w:lang w:val="en-GB"/>
              </w:rPr>
            </w:pPr>
            <w:r w:rsidRPr="006615B0">
              <w:rPr>
                <w:sz w:val="22"/>
                <w:szCs w:val="22"/>
              </w:rPr>
              <w:t>somnambulizmus a s tým súvisiace reakcie, ako sú rozprávanie zo spánku a poruchy príjmu potravy súvisiace so spánkom</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nervového systému</w:t>
            </w:r>
          </w:p>
        </w:tc>
        <w:tc>
          <w:tcPr>
            <w:tcW w:w="635" w:type="pct"/>
          </w:tcPr>
          <w:p w:rsidR="00302C75" w:rsidRPr="00302C75" w:rsidRDefault="00302C75" w:rsidP="00882001">
            <w:pPr>
              <w:pStyle w:val="Hlavika"/>
              <w:rPr>
                <w:lang w:val="en-GB"/>
              </w:rPr>
            </w:pPr>
            <w:r w:rsidRPr="00CB4422">
              <w:rPr>
                <w:sz w:val="22"/>
                <w:szCs w:val="22"/>
                <w:lang w:val="en-GB"/>
              </w:rPr>
              <w:t>závrat</w:t>
            </w:r>
            <w:r w:rsidRPr="00314F8D">
              <w:rPr>
                <w:sz w:val="22"/>
                <w:szCs w:val="22"/>
                <w:lang w:val="en-GB"/>
              </w:rPr>
              <w:t> </w:t>
            </w:r>
            <w:r w:rsidR="006615B0" w:rsidRPr="006615B0">
              <w:rPr>
                <w:sz w:val="22"/>
                <w:szCs w:val="22"/>
                <w:vertAlign w:val="superscript"/>
                <w:lang w:val="en-GB"/>
              </w:rPr>
              <w:t>4, 16</w:t>
            </w:r>
            <w:r w:rsidR="006615B0" w:rsidRPr="006615B0">
              <w:rPr>
                <w:sz w:val="22"/>
                <w:szCs w:val="22"/>
                <w:lang w:val="en-GB"/>
              </w:rPr>
              <w:t>, somnolenc</w:t>
            </w:r>
            <w:r w:rsidRPr="00CB4422">
              <w:rPr>
                <w:sz w:val="22"/>
                <w:szCs w:val="22"/>
                <w:lang w:val="en-GB"/>
              </w:rPr>
              <w:t>ia</w:t>
            </w:r>
            <w:r w:rsidR="006615B0" w:rsidRPr="006615B0">
              <w:rPr>
                <w:sz w:val="22"/>
                <w:szCs w:val="22"/>
                <w:vertAlign w:val="superscript"/>
                <w:lang w:val="en-GB"/>
              </w:rPr>
              <w:t>2,16</w:t>
            </w:r>
            <w:r w:rsidR="006615B0" w:rsidRPr="006615B0">
              <w:rPr>
                <w:sz w:val="22"/>
                <w:szCs w:val="22"/>
                <w:lang w:val="en-GB"/>
              </w:rPr>
              <w:t xml:space="preserve">, </w:t>
            </w:r>
            <w:r w:rsidRPr="00CB4422">
              <w:rPr>
                <w:sz w:val="22"/>
                <w:szCs w:val="22"/>
                <w:lang w:val="en-GB"/>
              </w:rPr>
              <w:t>bolesť hlavy</w:t>
            </w:r>
            <w:r w:rsidR="006615B0" w:rsidRPr="006615B0">
              <w:rPr>
                <w:sz w:val="22"/>
                <w:szCs w:val="22"/>
                <w:lang w:val="en-GB"/>
              </w:rPr>
              <w:t xml:space="preserve">, </w:t>
            </w:r>
            <w:r w:rsidRPr="00CB4422">
              <w:rPr>
                <w:sz w:val="22"/>
                <w:szCs w:val="22"/>
                <w:lang w:val="en-GB"/>
              </w:rPr>
              <w:t>e</w:t>
            </w:r>
            <w:r w:rsidR="006615B0" w:rsidRPr="006615B0">
              <w:rPr>
                <w:sz w:val="22"/>
                <w:szCs w:val="22"/>
                <w:lang w:val="en-GB"/>
              </w:rPr>
              <w:t>xtrapyram</w:t>
            </w:r>
            <w:r w:rsidR="00882001">
              <w:rPr>
                <w:sz w:val="22"/>
                <w:szCs w:val="22"/>
                <w:lang w:val="en-GB"/>
              </w:rPr>
              <w:t>ídové</w:t>
            </w:r>
            <w:r w:rsidR="006615B0" w:rsidRPr="006615B0">
              <w:rPr>
                <w:sz w:val="22"/>
                <w:szCs w:val="22"/>
                <w:lang w:val="en-GB"/>
              </w:rPr>
              <w:t xml:space="preserve"> sympt</w:t>
            </w:r>
            <w:r w:rsidRPr="00CB4422">
              <w:rPr>
                <w:sz w:val="22"/>
                <w:szCs w:val="22"/>
                <w:lang w:val="en-GB"/>
              </w:rPr>
              <w:t xml:space="preserve">ómy </w:t>
            </w:r>
            <w:r w:rsidR="006615B0" w:rsidRPr="006615B0">
              <w:rPr>
                <w:sz w:val="22"/>
                <w:szCs w:val="22"/>
                <w:vertAlign w:val="superscript"/>
                <w:lang w:val="en-GB"/>
              </w:rPr>
              <w:t>1, 21</w:t>
            </w:r>
          </w:p>
        </w:tc>
        <w:tc>
          <w:tcPr>
            <w:tcW w:w="772" w:type="pct"/>
          </w:tcPr>
          <w:p w:rsidR="00302C75" w:rsidRPr="00302C75" w:rsidRDefault="00302C75" w:rsidP="006C52B8">
            <w:pPr>
              <w:pStyle w:val="Hlavika"/>
              <w:rPr>
                <w:lang w:val="en-GB"/>
              </w:rPr>
            </w:pPr>
            <w:r w:rsidRPr="00CB4422">
              <w:rPr>
                <w:sz w:val="22"/>
                <w:szCs w:val="22"/>
                <w:lang w:val="en-GB"/>
              </w:rPr>
              <w:t>dyzartria</w:t>
            </w:r>
          </w:p>
        </w:tc>
        <w:tc>
          <w:tcPr>
            <w:tcW w:w="907" w:type="pct"/>
          </w:tcPr>
          <w:p w:rsidR="00302C75" w:rsidRPr="00302C75" w:rsidRDefault="00302C75" w:rsidP="006C52B8">
            <w:pPr>
              <w:pStyle w:val="Hlavika"/>
              <w:rPr>
                <w:lang w:val="en-GB"/>
              </w:rPr>
            </w:pPr>
            <w:r w:rsidRPr="00CB4422">
              <w:rPr>
                <w:sz w:val="22"/>
                <w:szCs w:val="22"/>
                <w:lang w:val="en-GB"/>
              </w:rPr>
              <w:t>záchvaty</w:t>
            </w:r>
            <w:r w:rsidRPr="00314F8D">
              <w:rPr>
                <w:sz w:val="22"/>
                <w:szCs w:val="22"/>
                <w:lang w:val="en-GB"/>
              </w:rPr>
              <w:t> </w:t>
            </w:r>
            <w:r w:rsidR="006615B0" w:rsidRPr="006615B0">
              <w:rPr>
                <w:sz w:val="22"/>
                <w:szCs w:val="22"/>
                <w:vertAlign w:val="superscript"/>
                <w:lang w:val="en-GB"/>
              </w:rPr>
              <w:t>1</w:t>
            </w:r>
            <w:r w:rsidR="006615B0" w:rsidRPr="006615B0">
              <w:rPr>
                <w:sz w:val="22"/>
                <w:szCs w:val="22"/>
                <w:lang w:val="en-GB"/>
              </w:rPr>
              <w:t xml:space="preserve">, </w:t>
            </w:r>
            <w:r w:rsidR="006615B0" w:rsidRPr="006615B0">
              <w:rPr>
                <w:sz w:val="22"/>
                <w:szCs w:val="22"/>
              </w:rPr>
              <w:t xml:space="preserve">syndróm nepokojných nôh, tardívna dyskinéza </w:t>
            </w:r>
            <w:r w:rsidR="006615B0" w:rsidRPr="006615B0">
              <w:rPr>
                <w:sz w:val="22"/>
                <w:szCs w:val="22"/>
                <w:vertAlign w:val="superscript"/>
                <w:lang w:val="en-GB"/>
              </w:rPr>
              <w:t>1, 5</w:t>
            </w:r>
            <w:r w:rsidR="006615B0" w:rsidRPr="006615B0">
              <w:rPr>
                <w:sz w:val="22"/>
                <w:szCs w:val="22"/>
                <w:lang w:val="en-GB"/>
              </w:rPr>
              <w:t xml:space="preserve">, </w:t>
            </w:r>
            <w:r w:rsidRPr="00CB4422">
              <w:rPr>
                <w:sz w:val="22"/>
                <w:szCs w:val="22"/>
                <w:lang w:val="en-GB"/>
              </w:rPr>
              <w:t>synkopa</w:t>
            </w:r>
            <w:r w:rsidRPr="00314F8D">
              <w:rPr>
                <w:sz w:val="22"/>
                <w:szCs w:val="22"/>
                <w:lang w:val="en-GB"/>
              </w:rPr>
              <w:t> </w:t>
            </w:r>
            <w:r w:rsidR="006615B0" w:rsidRPr="006615B0">
              <w:rPr>
                <w:sz w:val="22"/>
                <w:szCs w:val="22"/>
                <w:vertAlign w:val="superscript"/>
                <w:lang w:val="en-GB"/>
              </w:rPr>
              <w:t>4,16</w:t>
            </w: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srdca a srdcovej činnosti</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r w:rsidRPr="00CB4422">
              <w:rPr>
                <w:sz w:val="22"/>
                <w:szCs w:val="22"/>
                <w:lang w:val="en-GB"/>
              </w:rPr>
              <w:t>t</w:t>
            </w:r>
            <w:r w:rsidR="006615B0" w:rsidRPr="006615B0">
              <w:rPr>
                <w:sz w:val="22"/>
                <w:szCs w:val="22"/>
                <w:lang w:val="en-GB"/>
              </w:rPr>
              <w:t>achy</w:t>
            </w:r>
            <w:r w:rsidRPr="00CB4422">
              <w:rPr>
                <w:sz w:val="22"/>
                <w:szCs w:val="22"/>
                <w:lang w:val="en-GB"/>
              </w:rPr>
              <w:t>k</w:t>
            </w:r>
            <w:r w:rsidR="006615B0" w:rsidRPr="006615B0">
              <w:rPr>
                <w:sz w:val="22"/>
                <w:szCs w:val="22"/>
                <w:lang w:val="en-GB"/>
              </w:rPr>
              <w:t>ardia</w:t>
            </w:r>
            <w:r w:rsidRPr="00314F8D">
              <w:rPr>
                <w:sz w:val="22"/>
                <w:szCs w:val="22"/>
                <w:vertAlign w:val="superscript"/>
                <w:lang w:val="en-GB"/>
              </w:rPr>
              <w:t> </w:t>
            </w:r>
            <w:r w:rsidR="006615B0" w:rsidRPr="006615B0">
              <w:rPr>
                <w:sz w:val="22"/>
                <w:szCs w:val="22"/>
                <w:vertAlign w:val="superscript"/>
                <w:lang w:val="en-GB"/>
              </w:rPr>
              <w:t>4</w:t>
            </w:r>
            <w:r w:rsidR="006615B0" w:rsidRPr="006615B0">
              <w:rPr>
                <w:sz w:val="22"/>
                <w:szCs w:val="22"/>
                <w:lang w:val="en-GB"/>
              </w:rPr>
              <w:t xml:space="preserve">, </w:t>
            </w:r>
            <w:r w:rsidRPr="00CB4422">
              <w:rPr>
                <w:sz w:val="22"/>
                <w:szCs w:val="22"/>
                <w:lang w:val="en-GB"/>
              </w:rPr>
              <w:t>palpitácie</w:t>
            </w:r>
            <w:r w:rsidR="006615B0" w:rsidRPr="006615B0">
              <w:rPr>
                <w:sz w:val="22"/>
                <w:szCs w:val="22"/>
                <w:vertAlign w:val="superscript"/>
                <w:lang w:val="en-GB"/>
              </w:rPr>
              <w:t>23</w:t>
            </w:r>
          </w:p>
        </w:tc>
        <w:tc>
          <w:tcPr>
            <w:tcW w:w="907" w:type="pct"/>
          </w:tcPr>
          <w:p w:rsidR="00302C75" w:rsidRPr="00302C75" w:rsidRDefault="00302C75" w:rsidP="006C52B8">
            <w:pPr>
              <w:pStyle w:val="Hlavika"/>
              <w:rPr>
                <w:lang w:val="en-GB"/>
              </w:rPr>
            </w:pPr>
            <w:r>
              <w:rPr>
                <w:sz w:val="22"/>
                <w:szCs w:val="22"/>
                <w:lang w:val="en-GB"/>
              </w:rPr>
              <w:t>p</w:t>
            </w:r>
            <w:r w:rsidRPr="00CB4422">
              <w:rPr>
                <w:sz w:val="22"/>
                <w:szCs w:val="22"/>
                <w:lang w:val="en-GB"/>
              </w:rPr>
              <w:t xml:space="preserve">redĺženie </w:t>
            </w:r>
            <w:r w:rsidR="006615B0" w:rsidRPr="006615B0">
              <w:rPr>
                <w:sz w:val="22"/>
                <w:szCs w:val="22"/>
                <w:lang w:val="en-GB"/>
              </w:rPr>
              <w:t xml:space="preserve">QT </w:t>
            </w:r>
            <w:r w:rsidRPr="00CB4422">
              <w:rPr>
                <w:sz w:val="22"/>
                <w:szCs w:val="22"/>
                <w:lang w:val="en-GB"/>
              </w:rPr>
              <w:t xml:space="preserve">intervalu </w:t>
            </w:r>
            <w:r w:rsidR="006615B0" w:rsidRPr="006615B0">
              <w:rPr>
                <w:sz w:val="22"/>
                <w:szCs w:val="22"/>
                <w:vertAlign w:val="superscript"/>
                <w:lang w:val="en-GB"/>
              </w:rPr>
              <w:t>1,12, 18</w:t>
            </w:r>
          </w:p>
          <w:p w:rsidR="00302C75" w:rsidRPr="00302C75" w:rsidRDefault="00302C75" w:rsidP="006C52B8">
            <w:pPr>
              <w:pStyle w:val="Hlavika"/>
              <w:rPr>
                <w:lang w:val="en-GB"/>
              </w:rPr>
            </w:pPr>
            <w:r w:rsidRPr="00CB4422">
              <w:rPr>
                <w:sz w:val="22"/>
                <w:szCs w:val="22"/>
                <w:lang w:val="en-GB"/>
              </w:rPr>
              <w:t>b</w:t>
            </w:r>
            <w:r w:rsidR="006615B0" w:rsidRPr="006615B0">
              <w:rPr>
                <w:sz w:val="22"/>
                <w:szCs w:val="22"/>
                <w:lang w:val="en-GB"/>
              </w:rPr>
              <w:t>rady</w:t>
            </w:r>
            <w:r w:rsidRPr="00CB4422">
              <w:rPr>
                <w:sz w:val="22"/>
                <w:szCs w:val="22"/>
                <w:lang w:val="en-GB"/>
              </w:rPr>
              <w:t>k</w:t>
            </w:r>
            <w:r w:rsidR="006615B0" w:rsidRPr="006615B0">
              <w:rPr>
                <w:sz w:val="22"/>
                <w:szCs w:val="22"/>
                <w:lang w:val="en-GB"/>
              </w:rPr>
              <w:t>ardia</w:t>
            </w:r>
            <w:r w:rsidR="006615B0" w:rsidRPr="006615B0">
              <w:rPr>
                <w:sz w:val="22"/>
                <w:szCs w:val="22"/>
                <w:vertAlign w:val="superscript"/>
                <w:lang w:val="en-GB"/>
              </w:rPr>
              <w:t>32</w:t>
            </w: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očí</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r w:rsidRPr="00CB4422">
              <w:rPr>
                <w:sz w:val="22"/>
                <w:szCs w:val="22"/>
                <w:lang w:val="en-GB"/>
              </w:rPr>
              <w:t>rozmazané videnie</w:t>
            </w:r>
          </w:p>
        </w:tc>
        <w:tc>
          <w:tcPr>
            <w:tcW w:w="907"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ciev</w:t>
            </w:r>
          </w:p>
        </w:tc>
        <w:tc>
          <w:tcPr>
            <w:tcW w:w="635" w:type="pct"/>
          </w:tcPr>
          <w:p w:rsidR="00302C75" w:rsidRPr="00302C75" w:rsidRDefault="00302C75" w:rsidP="006C52B8">
            <w:pPr>
              <w:pStyle w:val="Hlavika"/>
              <w:rPr>
                <w:lang w:val="en-GB"/>
              </w:rPr>
            </w:pPr>
          </w:p>
        </w:tc>
        <w:tc>
          <w:tcPr>
            <w:tcW w:w="772" w:type="pct"/>
          </w:tcPr>
          <w:p w:rsidR="00302C75" w:rsidRPr="00302C75" w:rsidRDefault="006615B0" w:rsidP="006C52B8">
            <w:pPr>
              <w:pStyle w:val="Hlavika"/>
              <w:rPr>
                <w:lang w:val="en-GB"/>
              </w:rPr>
            </w:pPr>
            <w:r w:rsidRPr="006615B0">
              <w:rPr>
                <w:sz w:val="22"/>
                <w:szCs w:val="22"/>
              </w:rPr>
              <w:t xml:space="preserve">ortostatická hypotenzia </w:t>
            </w:r>
            <w:r w:rsidRPr="006615B0">
              <w:rPr>
                <w:sz w:val="22"/>
                <w:szCs w:val="22"/>
                <w:vertAlign w:val="superscript"/>
                <w:lang w:val="en-GB"/>
              </w:rPr>
              <w:t>4,16</w:t>
            </w:r>
          </w:p>
        </w:tc>
        <w:tc>
          <w:tcPr>
            <w:tcW w:w="907" w:type="pct"/>
          </w:tcPr>
          <w:p w:rsidR="00302C75" w:rsidRPr="00302C75" w:rsidRDefault="00302C75" w:rsidP="006C52B8">
            <w:pPr>
              <w:pStyle w:val="Hlavika"/>
              <w:rPr>
                <w:lang w:val="en-GB"/>
              </w:rPr>
            </w:pPr>
          </w:p>
        </w:tc>
        <w:tc>
          <w:tcPr>
            <w:tcW w:w="681" w:type="pct"/>
          </w:tcPr>
          <w:p w:rsidR="00302C75" w:rsidRPr="00302C75" w:rsidRDefault="006615B0" w:rsidP="006C52B8">
            <w:pPr>
              <w:pStyle w:val="Hlavika"/>
              <w:rPr>
                <w:lang w:val="en-GB"/>
              </w:rPr>
            </w:pPr>
            <w:r w:rsidRPr="006615B0">
              <w:rPr>
                <w:sz w:val="22"/>
                <w:szCs w:val="22"/>
              </w:rPr>
              <w:t>venózna tromboembólia</w:t>
            </w:r>
            <w:r w:rsidRPr="006615B0">
              <w:rPr>
                <w:sz w:val="22"/>
                <w:szCs w:val="22"/>
                <w:vertAlign w:val="superscript"/>
                <w:lang w:val="en-GB"/>
              </w:rPr>
              <w:t>1</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i/>
                <w:sz w:val="22"/>
                <w:szCs w:val="22"/>
              </w:rPr>
              <w:t>Poruchy dýchacej sústavy, hrudníka a mediastína</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r w:rsidRPr="00CB4422">
              <w:rPr>
                <w:sz w:val="22"/>
                <w:szCs w:val="22"/>
                <w:lang w:val="en-GB"/>
              </w:rPr>
              <w:t>d</w:t>
            </w:r>
            <w:r w:rsidR="006615B0" w:rsidRPr="006615B0">
              <w:rPr>
                <w:sz w:val="22"/>
                <w:szCs w:val="22"/>
                <w:lang w:val="en-GB"/>
              </w:rPr>
              <w:t>yspnoea</w:t>
            </w:r>
            <w:r w:rsidRPr="00314F8D">
              <w:rPr>
                <w:sz w:val="22"/>
                <w:szCs w:val="22"/>
                <w:lang w:val="en-GB"/>
              </w:rPr>
              <w:t> </w:t>
            </w:r>
            <w:r w:rsidR="006615B0" w:rsidRPr="006615B0">
              <w:rPr>
                <w:sz w:val="22"/>
                <w:szCs w:val="22"/>
                <w:vertAlign w:val="superscript"/>
                <w:lang w:val="en-GB"/>
              </w:rPr>
              <w:t>23</w:t>
            </w:r>
          </w:p>
        </w:tc>
        <w:tc>
          <w:tcPr>
            <w:tcW w:w="907" w:type="pct"/>
          </w:tcPr>
          <w:p w:rsidR="00302C75" w:rsidRPr="00302C75" w:rsidRDefault="00302C75" w:rsidP="006C52B8">
            <w:pPr>
              <w:pStyle w:val="Hlavika"/>
              <w:rPr>
                <w:lang w:val="en-GB"/>
              </w:rPr>
            </w:pPr>
            <w:r w:rsidRPr="00CB4422">
              <w:rPr>
                <w:sz w:val="22"/>
                <w:szCs w:val="22"/>
                <w:lang w:val="en-GB"/>
              </w:rPr>
              <w:t>rinitída</w:t>
            </w: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i/>
                <w:sz w:val="22"/>
                <w:szCs w:val="22"/>
              </w:rPr>
              <w:t>Poruchy gastrointestinálneho traktu</w:t>
            </w:r>
          </w:p>
        </w:tc>
        <w:tc>
          <w:tcPr>
            <w:tcW w:w="635" w:type="pct"/>
          </w:tcPr>
          <w:p w:rsidR="00302C75" w:rsidRPr="00302C75" w:rsidRDefault="00302C75" w:rsidP="006C52B8">
            <w:pPr>
              <w:pStyle w:val="Hlavika"/>
              <w:rPr>
                <w:lang w:val="en-GB"/>
              </w:rPr>
            </w:pPr>
            <w:r w:rsidRPr="00CB4422">
              <w:rPr>
                <w:sz w:val="22"/>
                <w:szCs w:val="22"/>
                <w:lang w:val="en-GB"/>
              </w:rPr>
              <w:t>Sucho v ústach</w:t>
            </w:r>
          </w:p>
        </w:tc>
        <w:tc>
          <w:tcPr>
            <w:tcW w:w="772" w:type="pct"/>
          </w:tcPr>
          <w:p w:rsidR="00302C75" w:rsidRPr="00302C75" w:rsidRDefault="00302C75" w:rsidP="006C52B8">
            <w:pPr>
              <w:pStyle w:val="Hlavika"/>
              <w:rPr>
                <w:lang w:val="en-GB"/>
              </w:rPr>
            </w:pPr>
            <w:r w:rsidRPr="00CB4422">
              <w:rPr>
                <w:sz w:val="22"/>
                <w:szCs w:val="22"/>
                <w:lang w:val="en-GB"/>
              </w:rPr>
              <w:t>zápcha</w:t>
            </w:r>
            <w:r w:rsidR="006615B0" w:rsidRPr="006615B0">
              <w:rPr>
                <w:sz w:val="22"/>
                <w:szCs w:val="22"/>
                <w:lang w:val="en-GB"/>
              </w:rPr>
              <w:t>, dyspepsia, v</w:t>
            </w:r>
            <w:r w:rsidRPr="00CB4422">
              <w:rPr>
                <w:sz w:val="22"/>
                <w:szCs w:val="22"/>
                <w:lang w:val="en-GB"/>
              </w:rPr>
              <w:t xml:space="preserve">racanie </w:t>
            </w:r>
            <w:r w:rsidR="006615B0" w:rsidRPr="006615B0">
              <w:rPr>
                <w:sz w:val="22"/>
                <w:szCs w:val="22"/>
                <w:vertAlign w:val="superscript"/>
                <w:lang w:val="en-GB"/>
              </w:rPr>
              <w:t>25</w:t>
            </w:r>
          </w:p>
        </w:tc>
        <w:tc>
          <w:tcPr>
            <w:tcW w:w="907" w:type="pct"/>
          </w:tcPr>
          <w:p w:rsidR="00302C75" w:rsidRPr="00302C75" w:rsidRDefault="00302C75" w:rsidP="006C52B8">
            <w:pPr>
              <w:pStyle w:val="Hlavika"/>
              <w:rPr>
                <w:lang w:val="en-GB"/>
              </w:rPr>
            </w:pPr>
            <w:r w:rsidRPr="00CB4422">
              <w:rPr>
                <w:sz w:val="22"/>
                <w:szCs w:val="22"/>
                <w:lang w:val="en-GB"/>
              </w:rPr>
              <w:t xml:space="preserve">dysfágia </w:t>
            </w:r>
            <w:r w:rsidR="006615B0" w:rsidRPr="006615B0">
              <w:rPr>
                <w:sz w:val="22"/>
                <w:szCs w:val="22"/>
                <w:vertAlign w:val="superscript"/>
                <w:lang w:val="en-GB"/>
              </w:rPr>
              <w:t>7</w:t>
            </w:r>
          </w:p>
        </w:tc>
        <w:tc>
          <w:tcPr>
            <w:tcW w:w="681" w:type="pct"/>
          </w:tcPr>
          <w:p w:rsidR="00302C75" w:rsidRPr="00302C75" w:rsidRDefault="00302C75" w:rsidP="006C52B8">
            <w:pPr>
              <w:pStyle w:val="Hlavika"/>
              <w:rPr>
                <w:lang w:val="en-GB"/>
              </w:rPr>
            </w:pPr>
            <w:r w:rsidRPr="00CB4422">
              <w:rPr>
                <w:sz w:val="22"/>
                <w:szCs w:val="22"/>
                <w:lang w:val="en-GB"/>
              </w:rPr>
              <w:t xml:space="preserve">pankreatitída </w:t>
            </w:r>
            <w:r w:rsidR="006615B0" w:rsidRPr="006615B0">
              <w:rPr>
                <w:sz w:val="22"/>
                <w:szCs w:val="22"/>
                <w:vertAlign w:val="superscript"/>
                <w:lang w:val="en-GB"/>
              </w:rPr>
              <w:t>1</w:t>
            </w:r>
            <w:r w:rsidR="006615B0" w:rsidRPr="006615B0">
              <w:rPr>
                <w:sz w:val="22"/>
                <w:szCs w:val="22"/>
                <w:lang w:val="en-GB"/>
              </w:rPr>
              <w:t xml:space="preserve">, </w:t>
            </w:r>
            <w:r w:rsidRPr="00CB4422">
              <w:rPr>
                <w:sz w:val="22"/>
                <w:szCs w:val="22"/>
                <w:lang w:val="en-GB"/>
              </w:rPr>
              <w:t>i</w:t>
            </w:r>
            <w:r w:rsidR="006615B0" w:rsidRPr="006615B0">
              <w:rPr>
                <w:sz w:val="22"/>
                <w:szCs w:val="22"/>
                <w:lang w:val="en-GB"/>
              </w:rPr>
              <w:t>testin</w:t>
            </w:r>
            <w:r w:rsidRPr="00CB4422">
              <w:rPr>
                <w:sz w:val="22"/>
                <w:szCs w:val="22"/>
                <w:lang w:val="en-GB"/>
              </w:rPr>
              <w:t>álna obštrukcia/i</w:t>
            </w:r>
            <w:r w:rsidR="006615B0" w:rsidRPr="006615B0">
              <w:rPr>
                <w:sz w:val="22"/>
                <w:szCs w:val="22"/>
                <w:lang w:val="en-GB"/>
              </w:rPr>
              <w:t>leus</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639"/>
        </w:trPr>
        <w:tc>
          <w:tcPr>
            <w:tcW w:w="644" w:type="pct"/>
          </w:tcPr>
          <w:p w:rsidR="00302C75" w:rsidRPr="00302C75" w:rsidRDefault="00302C75" w:rsidP="006C52B8">
            <w:pPr>
              <w:pStyle w:val="Hlavika"/>
              <w:rPr>
                <w:i/>
                <w:lang w:val="en-GB"/>
              </w:rPr>
            </w:pPr>
            <w:r w:rsidRPr="001F72A1">
              <w:rPr>
                <w:i/>
                <w:sz w:val="22"/>
                <w:szCs w:val="22"/>
              </w:rPr>
              <w:t>Poruchy pečene a žlčových ciest</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r w:rsidRPr="001F72A1">
              <w:rPr>
                <w:sz w:val="22"/>
                <w:szCs w:val="22"/>
              </w:rPr>
              <w:t xml:space="preserve">zvýšenie hladín sérových transamináz alanín aminotransferázy </w:t>
            </w:r>
            <w:r w:rsidRPr="001F72A1">
              <w:rPr>
                <w:sz w:val="22"/>
                <w:szCs w:val="22"/>
                <w:lang w:val="en-GB"/>
              </w:rPr>
              <w:t>(ALT)</w:t>
            </w:r>
            <w:r w:rsidRPr="001F72A1">
              <w:rPr>
                <w:sz w:val="22"/>
                <w:szCs w:val="22"/>
                <w:vertAlign w:val="superscript"/>
                <w:lang w:val="en-GB"/>
              </w:rPr>
              <w:t>3,</w:t>
            </w:r>
          </w:p>
          <w:p w:rsidR="00302C75" w:rsidRPr="00302C75" w:rsidRDefault="00302C75" w:rsidP="006C52B8">
            <w:pPr>
              <w:pStyle w:val="Hlavika"/>
              <w:rPr>
                <w:lang w:val="en-GB"/>
              </w:rPr>
            </w:pPr>
            <w:r w:rsidRPr="00CB4422">
              <w:rPr>
                <w:sz w:val="22"/>
                <w:szCs w:val="22"/>
                <w:lang w:val="en-GB"/>
              </w:rPr>
              <w:t xml:space="preserve">zvýšenie hladín gama-GT </w:t>
            </w:r>
            <w:r w:rsidR="006615B0" w:rsidRPr="006615B0">
              <w:rPr>
                <w:sz w:val="22"/>
                <w:szCs w:val="22"/>
                <w:vertAlign w:val="superscript"/>
                <w:lang w:val="en-GB"/>
              </w:rPr>
              <w:t>3</w:t>
            </w:r>
          </w:p>
        </w:tc>
        <w:tc>
          <w:tcPr>
            <w:tcW w:w="907" w:type="pct"/>
          </w:tcPr>
          <w:p w:rsidR="00302C75" w:rsidRPr="00302C75" w:rsidRDefault="00302C75" w:rsidP="006C52B8">
            <w:pPr>
              <w:pStyle w:val="Hlavika"/>
              <w:rPr>
                <w:lang w:val="en-GB"/>
              </w:rPr>
            </w:pPr>
            <w:r w:rsidRPr="001F72A1">
              <w:rPr>
                <w:sz w:val="22"/>
                <w:szCs w:val="22"/>
              </w:rPr>
              <w:t xml:space="preserve">zvýšenie hladín sérových transamináz alanín aminotransferázy </w:t>
            </w:r>
            <w:r w:rsidRPr="001F72A1">
              <w:rPr>
                <w:sz w:val="22"/>
                <w:szCs w:val="22"/>
                <w:lang w:val="en-GB"/>
              </w:rPr>
              <w:t>(AST)</w:t>
            </w:r>
            <w:r w:rsidRPr="00314F8D">
              <w:rPr>
                <w:sz w:val="22"/>
                <w:szCs w:val="22"/>
                <w:vertAlign w:val="superscript"/>
                <w:lang w:val="en-GB"/>
              </w:rPr>
              <w:t> </w:t>
            </w:r>
            <w:r w:rsidR="006615B0" w:rsidRPr="006615B0">
              <w:rPr>
                <w:sz w:val="22"/>
                <w:szCs w:val="22"/>
                <w:vertAlign w:val="superscript"/>
                <w:lang w:val="en-GB"/>
              </w:rPr>
              <w:t>3</w:t>
            </w:r>
          </w:p>
        </w:tc>
        <w:tc>
          <w:tcPr>
            <w:tcW w:w="681" w:type="pct"/>
          </w:tcPr>
          <w:p w:rsidR="00302C75" w:rsidRPr="00302C75" w:rsidRDefault="00302C75" w:rsidP="006C52B8">
            <w:pPr>
              <w:pStyle w:val="Hlavika"/>
              <w:rPr>
                <w:lang w:val="en-GB"/>
              </w:rPr>
            </w:pPr>
            <w:r w:rsidRPr="00CB4422">
              <w:rPr>
                <w:sz w:val="22"/>
                <w:szCs w:val="22"/>
                <w:lang w:val="en-GB"/>
              </w:rPr>
              <w:t xml:space="preserve">žltačka </w:t>
            </w:r>
            <w:r w:rsidRPr="001F72A1">
              <w:rPr>
                <w:sz w:val="22"/>
                <w:szCs w:val="22"/>
                <w:vertAlign w:val="superscript"/>
                <w:lang w:val="en-GB"/>
              </w:rPr>
              <w:t>5</w:t>
            </w:r>
            <w:r w:rsidRPr="00CB4422">
              <w:rPr>
                <w:sz w:val="22"/>
                <w:szCs w:val="22"/>
                <w:lang w:val="en-GB"/>
              </w:rPr>
              <w:t>, hepatitída</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371"/>
        </w:trPr>
        <w:tc>
          <w:tcPr>
            <w:tcW w:w="644" w:type="pct"/>
          </w:tcPr>
          <w:p w:rsidR="00302C75" w:rsidRPr="00302C75" w:rsidRDefault="006615B0" w:rsidP="006C52B8">
            <w:pPr>
              <w:pStyle w:val="Hlavika"/>
              <w:rPr>
                <w:i/>
                <w:lang w:val="en-GB"/>
              </w:rPr>
            </w:pPr>
            <w:r w:rsidRPr="006615B0">
              <w:rPr>
                <w:i/>
                <w:sz w:val="22"/>
                <w:szCs w:val="22"/>
              </w:rPr>
              <w:t>Poruchy kože a podkožného tkaniva</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r w:rsidRPr="00AB7EEA">
              <w:rPr>
                <w:sz w:val="22"/>
                <w:szCs w:val="22"/>
                <w:lang w:val="en-GB"/>
              </w:rPr>
              <w:t>angioedém</w:t>
            </w:r>
            <w:r w:rsidR="006615B0" w:rsidRPr="006615B0">
              <w:rPr>
                <w:sz w:val="22"/>
                <w:szCs w:val="22"/>
                <w:lang w:val="en-GB"/>
              </w:rPr>
              <w:t xml:space="preserve"> </w:t>
            </w:r>
            <w:r w:rsidR="006615B0" w:rsidRPr="006615B0">
              <w:rPr>
                <w:sz w:val="22"/>
                <w:szCs w:val="22"/>
                <w:vertAlign w:val="superscript"/>
                <w:lang w:val="en-GB"/>
              </w:rPr>
              <w:t>5</w:t>
            </w:r>
            <w:r w:rsidR="006615B0" w:rsidRPr="006615B0">
              <w:rPr>
                <w:sz w:val="22"/>
                <w:szCs w:val="22"/>
                <w:lang w:val="en-GB"/>
              </w:rPr>
              <w:t>, Stevens-Johnson</w:t>
            </w:r>
            <w:r w:rsidRPr="00AB7EEA">
              <w:rPr>
                <w:sz w:val="22"/>
                <w:szCs w:val="22"/>
                <w:lang w:val="en-GB"/>
              </w:rPr>
              <w:t>ov syndrome</w:t>
            </w:r>
            <w:r w:rsidR="006615B0" w:rsidRPr="006615B0">
              <w:rPr>
                <w:sz w:val="22"/>
                <w:szCs w:val="22"/>
                <w:lang w:val="en-GB"/>
              </w:rPr>
              <w:t xml:space="preserve"> </w:t>
            </w:r>
            <w:r w:rsidR="006615B0" w:rsidRPr="006615B0">
              <w:rPr>
                <w:sz w:val="22"/>
                <w:szCs w:val="22"/>
                <w:vertAlign w:val="superscript"/>
                <w:lang w:val="en-GB"/>
              </w:rPr>
              <w:t>5</w:t>
            </w:r>
          </w:p>
        </w:tc>
        <w:tc>
          <w:tcPr>
            <w:tcW w:w="681" w:type="pct"/>
          </w:tcPr>
          <w:p w:rsidR="00CA2D91" w:rsidRDefault="006615B0">
            <w:r w:rsidRPr="006615B0">
              <w:rPr>
                <w:sz w:val="22"/>
                <w:szCs w:val="22"/>
                <w:lang w:val="en-GB"/>
              </w:rPr>
              <w:t>toxická epidermálna nekrolýza, multiformný erytém</w:t>
            </w:r>
            <w:r w:rsidR="001C756A">
              <w:rPr>
                <w:sz w:val="22"/>
                <w:szCs w:val="22"/>
                <w:lang w:val="en-GB"/>
              </w:rPr>
              <w:t xml:space="preserve">, </w:t>
            </w:r>
            <w:r w:rsidR="001C756A" w:rsidRPr="001C756A">
              <w:rPr>
                <w:sz w:val="22"/>
                <w:szCs w:val="22"/>
                <w:lang w:val="en-GB"/>
              </w:rPr>
              <w:t>lieková vyrážka s eozinofíliou a systémovými príznakmi (</w:t>
            </w:r>
            <w:r w:rsidR="001C756A" w:rsidRPr="00946E44">
              <w:rPr>
                <w:i/>
                <w:sz w:val="22"/>
                <w:szCs w:val="22"/>
                <w:lang w:val="en-GB"/>
              </w:rPr>
              <w:t>drug rash with eosinophilia and systemic symptoms</w:t>
            </w:r>
            <w:r w:rsidR="001C756A" w:rsidRPr="001C756A">
              <w:rPr>
                <w:sz w:val="22"/>
                <w:szCs w:val="22"/>
                <w:lang w:val="en-GB"/>
              </w:rPr>
              <w:t>, DRESS)</w:t>
            </w:r>
            <w:r w:rsidR="001C756A" w:rsidRPr="00946E44">
              <w:rPr>
                <w:sz w:val="22"/>
                <w:szCs w:val="22"/>
                <w:vertAlign w:val="superscript"/>
                <w:lang w:val="en-GB"/>
              </w:rPr>
              <w:t>3</w:t>
            </w:r>
            <w:r w:rsidR="00FF35F4">
              <w:rPr>
                <w:sz w:val="22"/>
                <w:szCs w:val="22"/>
                <w:vertAlign w:val="superscript"/>
                <w:lang w:val="en-GB"/>
              </w:rPr>
              <w:t>3</w:t>
            </w:r>
          </w:p>
        </w:tc>
      </w:tr>
      <w:tr w:rsidR="00302C75" w:rsidRPr="00BE2F76" w:rsidTr="001C5596">
        <w:trPr>
          <w:trHeight w:val="819"/>
        </w:trPr>
        <w:tc>
          <w:tcPr>
            <w:tcW w:w="644" w:type="pct"/>
          </w:tcPr>
          <w:p w:rsidR="00302C75" w:rsidRPr="00302C75" w:rsidRDefault="006615B0" w:rsidP="006C52B8">
            <w:pPr>
              <w:pStyle w:val="Hlavika"/>
              <w:rPr>
                <w:i/>
                <w:lang w:val="en-GB"/>
              </w:rPr>
            </w:pPr>
            <w:r w:rsidRPr="006615B0">
              <w:rPr>
                <w:i/>
                <w:sz w:val="22"/>
                <w:szCs w:val="22"/>
              </w:rPr>
              <w:t>Poruchy kostrovej a svalovej sústavy a spojivového tkaniva</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r w:rsidRPr="00AB7EEA">
              <w:rPr>
                <w:sz w:val="22"/>
                <w:szCs w:val="22"/>
                <w:lang w:val="en-GB"/>
              </w:rPr>
              <w:t>rabdomyolýza</w:t>
            </w:r>
          </w:p>
        </w:tc>
        <w:tc>
          <w:tcPr>
            <w:tcW w:w="681" w:type="pct"/>
          </w:tcPr>
          <w:p w:rsidR="00302C75" w:rsidRPr="00302C75" w:rsidRDefault="00302C75" w:rsidP="006C52B8">
            <w:pPr>
              <w:pStyle w:val="Hlavika"/>
              <w:rPr>
                <w:lang w:val="en-GB"/>
              </w:rPr>
            </w:pPr>
          </w:p>
        </w:tc>
      </w:tr>
      <w:tr w:rsidR="00302C75" w:rsidRPr="00BE2F76" w:rsidTr="001C5596">
        <w:trPr>
          <w:trHeight w:val="819"/>
        </w:trPr>
        <w:tc>
          <w:tcPr>
            <w:tcW w:w="644" w:type="pct"/>
          </w:tcPr>
          <w:p w:rsidR="00302C75" w:rsidRPr="00302C75" w:rsidRDefault="00302C75" w:rsidP="006C52B8">
            <w:pPr>
              <w:pStyle w:val="Hlavika"/>
              <w:rPr>
                <w:i/>
                <w:lang w:val="en-GB"/>
              </w:rPr>
            </w:pPr>
            <w:r w:rsidRPr="005C0924">
              <w:rPr>
                <w:i/>
                <w:iCs/>
                <w:sz w:val="22"/>
                <w:szCs w:val="22"/>
                <w:lang w:val="en-GB"/>
              </w:rPr>
              <w:t>Poruchy obličiek a močových ciest</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r>
              <w:rPr>
                <w:sz w:val="22"/>
                <w:szCs w:val="22"/>
                <w:lang w:val="en-GB"/>
              </w:rPr>
              <w:t>zadržiavanie moču</w:t>
            </w: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102"/>
        </w:trPr>
        <w:tc>
          <w:tcPr>
            <w:tcW w:w="644" w:type="pct"/>
          </w:tcPr>
          <w:p w:rsidR="00302C75" w:rsidRPr="00302C75" w:rsidRDefault="00302C75" w:rsidP="006C52B8">
            <w:pPr>
              <w:pStyle w:val="Hlavika"/>
              <w:rPr>
                <w:i/>
                <w:lang w:val="en-GB"/>
              </w:rPr>
            </w:pPr>
            <w:r>
              <w:rPr>
                <w:i/>
                <w:iCs/>
                <w:sz w:val="22"/>
                <w:szCs w:val="22"/>
                <w:lang w:val="en-GB"/>
              </w:rPr>
              <w:t>Stavy v gravidite, šestonedelí a perinatálnom období</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r w:rsidRPr="00AB7EEA">
              <w:rPr>
                <w:sz w:val="22"/>
                <w:szCs w:val="22"/>
                <w:lang w:val="en-GB"/>
              </w:rPr>
              <w:t xml:space="preserve">príznaky z prerušenia liečby u novorodenca </w:t>
            </w:r>
            <w:r w:rsidR="006615B0" w:rsidRPr="006615B0">
              <w:rPr>
                <w:sz w:val="22"/>
                <w:szCs w:val="22"/>
                <w:vertAlign w:val="superscript"/>
                <w:lang w:val="en-GB"/>
              </w:rPr>
              <w:t>31</w:t>
            </w:r>
          </w:p>
        </w:tc>
      </w:tr>
      <w:tr w:rsidR="00302C75" w:rsidRPr="00BE2F76" w:rsidTr="001C5596">
        <w:trPr>
          <w:trHeight w:val="143"/>
        </w:trPr>
        <w:tc>
          <w:tcPr>
            <w:tcW w:w="644" w:type="pct"/>
          </w:tcPr>
          <w:p w:rsidR="00302C75" w:rsidRPr="00302C75" w:rsidRDefault="00302C75" w:rsidP="006C52B8">
            <w:pPr>
              <w:pStyle w:val="Hlavika"/>
              <w:rPr>
                <w:i/>
                <w:lang w:val="en-GB"/>
              </w:rPr>
            </w:pPr>
            <w:r w:rsidRPr="005C0924">
              <w:rPr>
                <w:i/>
                <w:iCs/>
                <w:sz w:val="22"/>
                <w:szCs w:val="22"/>
                <w:lang w:val="en-GB"/>
              </w:rPr>
              <w:t>Poruchy reprodukčného systému a prsníkov</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r w:rsidRPr="00CB4422">
              <w:rPr>
                <w:sz w:val="22"/>
                <w:szCs w:val="22"/>
                <w:lang w:val="en-GB"/>
              </w:rPr>
              <w:t>sexuálna dysfunkcia</w:t>
            </w:r>
          </w:p>
        </w:tc>
        <w:tc>
          <w:tcPr>
            <w:tcW w:w="681" w:type="pct"/>
          </w:tcPr>
          <w:p w:rsidR="00302C75" w:rsidRPr="00302C75" w:rsidRDefault="006615B0" w:rsidP="006C52B8">
            <w:pPr>
              <w:pStyle w:val="Hlavika"/>
              <w:rPr>
                <w:lang w:val="en-GB"/>
              </w:rPr>
            </w:pPr>
            <w:r w:rsidRPr="006615B0">
              <w:rPr>
                <w:sz w:val="22"/>
                <w:szCs w:val="22"/>
              </w:rPr>
              <w:t>priapizmus, galaktorea, opuch prsníkov, menštruačné poruchy</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rStyle w:val="Zvraznenie"/>
                <w:sz w:val="22"/>
                <w:szCs w:val="22"/>
              </w:rPr>
              <w:t>Celkové poruchy a reakcie v mieste podania</w:t>
            </w:r>
          </w:p>
        </w:tc>
        <w:tc>
          <w:tcPr>
            <w:tcW w:w="635" w:type="pct"/>
          </w:tcPr>
          <w:p w:rsidR="00302C75" w:rsidRPr="00302C75" w:rsidRDefault="006615B0" w:rsidP="006C52B8">
            <w:pPr>
              <w:pStyle w:val="Hlavika"/>
              <w:rPr>
                <w:lang w:val="en-GB"/>
              </w:rPr>
            </w:pPr>
            <w:r w:rsidRPr="006615B0">
              <w:rPr>
                <w:sz w:val="22"/>
                <w:szCs w:val="22"/>
              </w:rPr>
              <w:t>symptómy z prerušenia liečby (abstinenčné príznaky)</w:t>
            </w:r>
            <w:r w:rsidR="00302C75" w:rsidRPr="00CB4422">
              <w:rPr>
                <w:sz w:val="22"/>
                <w:szCs w:val="22"/>
                <w:vertAlign w:val="superscript"/>
                <w:lang w:val="en-GB"/>
              </w:rPr>
              <w:t xml:space="preserve"> </w:t>
            </w:r>
            <w:r w:rsidRPr="006615B0">
              <w:rPr>
                <w:sz w:val="22"/>
                <w:szCs w:val="22"/>
                <w:vertAlign w:val="superscript"/>
                <w:lang w:val="en-GB"/>
              </w:rPr>
              <w:t>1,9</w:t>
            </w:r>
          </w:p>
        </w:tc>
        <w:tc>
          <w:tcPr>
            <w:tcW w:w="772" w:type="pct"/>
          </w:tcPr>
          <w:p w:rsidR="00302C75" w:rsidRPr="00302C75" w:rsidRDefault="00882001" w:rsidP="006C52B8">
            <w:pPr>
              <w:pStyle w:val="Normlnywebov"/>
              <w:rPr>
                <w:lang w:val="en-GB"/>
              </w:rPr>
            </w:pPr>
            <w:r w:rsidRPr="006615B0">
              <w:rPr>
                <w:sz w:val="22"/>
                <w:szCs w:val="22"/>
                <w:lang w:val="en-GB"/>
              </w:rPr>
              <w:t>mierna asténia, periférny edém, podráždenosť, pyrexia</w:t>
            </w:r>
          </w:p>
        </w:tc>
        <w:tc>
          <w:tcPr>
            <w:tcW w:w="907" w:type="pct"/>
          </w:tcPr>
          <w:p w:rsidR="00302C75" w:rsidRPr="00302C75" w:rsidRDefault="00302C75" w:rsidP="006C52B8">
            <w:pPr>
              <w:pStyle w:val="Normlnywebov"/>
              <w:rPr>
                <w:lang w:val="en-GB"/>
              </w:rPr>
            </w:pPr>
          </w:p>
        </w:tc>
        <w:tc>
          <w:tcPr>
            <w:tcW w:w="681" w:type="pct"/>
          </w:tcPr>
          <w:p w:rsidR="00302C75" w:rsidRPr="00302C75" w:rsidRDefault="00882001" w:rsidP="00882001">
            <w:pPr>
              <w:pStyle w:val="Hlavika"/>
              <w:rPr>
                <w:lang w:val="en-GB"/>
              </w:rPr>
            </w:pPr>
            <w:r w:rsidRPr="006615B0">
              <w:rPr>
                <w:sz w:val="22"/>
                <w:szCs w:val="22"/>
              </w:rPr>
              <w:t xml:space="preserve">neuroleptický </w:t>
            </w:r>
            <w:r w:rsidR="006615B0" w:rsidRPr="006615B0">
              <w:rPr>
                <w:sz w:val="22"/>
                <w:szCs w:val="22"/>
              </w:rPr>
              <w:t>malígny syndróm</w:t>
            </w:r>
            <w:r w:rsidR="00302C75" w:rsidRPr="00CB4422">
              <w:rPr>
                <w:sz w:val="22"/>
                <w:szCs w:val="22"/>
                <w:vertAlign w:val="superscript"/>
                <w:lang w:val="en-GB"/>
              </w:rPr>
              <w:t xml:space="preserve"> </w:t>
            </w:r>
            <w:r w:rsidR="006615B0" w:rsidRPr="006615B0">
              <w:rPr>
                <w:sz w:val="22"/>
                <w:szCs w:val="22"/>
                <w:vertAlign w:val="superscript"/>
                <w:lang w:val="en-GB"/>
              </w:rPr>
              <w:t>1</w:t>
            </w:r>
            <w:r w:rsidR="00302C75" w:rsidRPr="00CB4422">
              <w:rPr>
                <w:sz w:val="22"/>
                <w:szCs w:val="22"/>
                <w:lang w:val="en-GB"/>
              </w:rPr>
              <w:t>, hypot</w:t>
            </w:r>
            <w:r w:rsidR="006615B0" w:rsidRPr="006615B0">
              <w:rPr>
                <w:sz w:val="22"/>
                <w:szCs w:val="22"/>
                <w:lang w:val="en-GB"/>
              </w:rPr>
              <w:t>ermia</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r w:rsidR="00302C75" w:rsidRPr="00BE2F76" w:rsidTr="001C5596">
        <w:trPr>
          <w:trHeight w:val="143"/>
        </w:trPr>
        <w:tc>
          <w:tcPr>
            <w:tcW w:w="644" w:type="pct"/>
          </w:tcPr>
          <w:p w:rsidR="00302C75" w:rsidRPr="00302C75" w:rsidRDefault="006615B0" w:rsidP="006C52B8">
            <w:pPr>
              <w:pStyle w:val="Hlavika"/>
              <w:rPr>
                <w:i/>
                <w:lang w:val="en-GB"/>
              </w:rPr>
            </w:pPr>
            <w:r w:rsidRPr="006615B0">
              <w:rPr>
                <w:i/>
                <w:sz w:val="22"/>
                <w:szCs w:val="22"/>
              </w:rPr>
              <w:t>Laboratórne a funkčné vyšetrenia</w:t>
            </w:r>
          </w:p>
        </w:tc>
        <w:tc>
          <w:tcPr>
            <w:tcW w:w="635" w:type="pct"/>
          </w:tcPr>
          <w:p w:rsidR="00302C75" w:rsidRPr="00302C75" w:rsidRDefault="00302C75" w:rsidP="006C52B8">
            <w:pPr>
              <w:pStyle w:val="Hlavika"/>
              <w:rPr>
                <w:lang w:val="en-GB"/>
              </w:rPr>
            </w:pPr>
          </w:p>
        </w:tc>
        <w:tc>
          <w:tcPr>
            <w:tcW w:w="772" w:type="pct"/>
          </w:tcPr>
          <w:p w:rsidR="00302C75" w:rsidRPr="00302C75" w:rsidRDefault="00302C75" w:rsidP="006C52B8">
            <w:pPr>
              <w:pStyle w:val="Hlavika"/>
              <w:rPr>
                <w:lang w:val="en-GB"/>
              </w:rPr>
            </w:pPr>
          </w:p>
        </w:tc>
        <w:tc>
          <w:tcPr>
            <w:tcW w:w="907" w:type="pct"/>
          </w:tcPr>
          <w:p w:rsidR="00302C75" w:rsidRPr="00302C75" w:rsidRDefault="00302C75" w:rsidP="006C52B8">
            <w:pPr>
              <w:pStyle w:val="Hlavika"/>
              <w:rPr>
                <w:lang w:val="en-GB"/>
              </w:rPr>
            </w:pPr>
          </w:p>
        </w:tc>
        <w:tc>
          <w:tcPr>
            <w:tcW w:w="681" w:type="pct"/>
          </w:tcPr>
          <w:p w:rsidR="00302C75" w:rsidRPr="00302C75" w:rsidRDefault="006615B0" w:rsidP="006C52B8">
            <w:pPr>
              <w:pStyle w:val="Hlavika"/>
              <w:rPr>
                <w:lang w:val="en-GB"/>
              </w:rPr>
            </w:pPr>
            <w:r w:rsidRPr="006615B0">
              <w:rPr>
                <w:sz w:val="22"/>
                <w:szCs w:val="22"/>
              </w:rPr>
              <w:t>zvýšenie hladiny kreatínfosfokinázy v krvi</w:t>
            </w:r>
            <w:r w:rsidR="00302C75" w:rsidRPr="00CB4422">
              <w:rPr>
                <w:sz w:val="22"/>
                <w:szCs w:val="22"/>
                <w:vertAlign w:val="superscript"/>
                <w:lang w:val="en-GB"/>
              </w:rPr>
              <w:t xml:space="preserve"> </w:t>
            </w:r>
            <w:r w:rsidRPr="006615B0">
              <w:rPr>
                <w:sz w:val="22"/>
                <w:szCs w:val="22"/>
                <w:vertAlign w:val="superscript"/>
                <w:lang w:val="en-GB"/>
              </w:rPr>
              <w:t>14</w:t>
            </w:r>
          </w:p>
        </w:tc>
        <w:tc>
          <w:tcPr>
            <w:tcW w:w="680" w:type="pct"/>
          </w:tcPr>
          <w:p w:rsidR="00302C75" w:rsidRPr="00302C75" w:rsidRDefault="00302C75" w:rsidP="006C52B8">
            <w:pPr>
              <w:pStyle w:val="Hlavika"/>
              <w:rPr>
                <w:lang w:val="en-GB"/>
              </w:rPr>
            </w:pPr>
          </w:p>
        </w:tc>
        <w:tc>
          <w:tcPr>
            <w:tcW w:w="681" w:type="pct"/>
          </w:tcPr>
          <w:p w:rsidR="00302C75" w:rsidRPr="00302C75" w:rsidRDefault="00302C75" w:rsidP="006C52B8">
            <w:pPr>
              <w:pStyle w:val="Hlavika"/>
              <w:rPr>
                <w:lang w:val="en-GB"/>
              </w:rPr>
            </w:pPr>
          </w:p>
        </w:tc>
      </w:tr>
    </w:tbl>
    <w:p w:rsidR="00302C75" w:rsidRDefault="00302C75">
      <w:pPr>
        <w:pStyle w:val="Hlavika"/>
        <w:tabs>
          <w:tab w:val="clear" w:pos="4320"/>
          <w:tab w:val="clear" w:pos="8640"/>
        </w:tabs>
        <w:jc w:val="both"/>
        <w:rPr>
          <w:sz w:val="22"/>
          <w:szCs w:val="22"/>
          <w:lang w:val="sk-SK"/>
        </w:rPr>
      </w:pP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Pozri časť 4.4.</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Ospalosť sa môže vyskytnúť počas prvých dvoch týždňov liečby a zvyčajne ustúpi v priebehu ďalšieho podávania kvetiapínu.</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U niektorých pacientov užívajúcich kvetiapín dochádzalo k asymptomatickému </w:t>
      </w:r>
      <w:r w:rsidRPr="00114278">
        <w:rPr>
          <w:sz w:val="22"/>
          <w:szCs w:val="22"/>
          <w:lang w:val="sk-SK"/>
        </w:rPr>
        <w:t>zvýšeniu</w:t>
      </w:r>
      <w:r w:rsidRPr="00DC600E">
        <w:rPr>
          <w:sz w:val="22"/>
          <w:szCs w:val="22"/>
          <w:lang w:val="sk-SK"/>
        </w:rPr>
        <w:t xml:space="preserve"> </w:t>
      </w:r>
      <w:r w:rsidRPr="00C55991">
        <w:rPr>
          <w:sz w:val="22"/>
          <w:szCs w:val="22"/>
          <w:lang w:val="sk-SK"/>
        </w:rPr>
        <w:t xml:space="preserve">(posun z normálu na &gt; 3X ULN kedykoľvek) </w:t>
      </w:r>
      <w:r w:rsidRPr="00114278">
        <w:rPr>
          <w:sz w:val="22"/>
          <w:szCs w:val="22"/>
          <w:lang w:val="sk-SK"/>
        </w:rPr>
        <w:t>sérových transamináz (ALT, A</w:t>
      </w:r>
      <w:r w:rsidRPr="00295177">
        <w:rPr>
          <w:sz w:val="22"/>
          <w:szCs w:val="22"/>
          <w:lang w:val="sk-SK"/>
        </w:rPr>
        <w:t>ST)</w:t>
      </w:r>
      <w:r w:rsidRPr="00E21B7F">
        <w:rPr>
          <w:sz w:val="22"/>
          <w:szCs w:val="22"/>
          <w:lang w:val="sk-SK"/>
        </w:rPr>
        <w:t xml:space="preserve"> alebo hladiny gamma</w:t>
      </w:r>
      <w:r w:rsidRPr="00E21B7F">
        <w:rPr>
          <w:sz w:val="22"/>
          <w:szCs w:val="22"/>
          <w:lang w:val="sk-SK"/>
        </w:rPr>
        <w:noBreakHyphen/>
        <w:t>GT. Toto zvýšenie bolo zvyčajne reverzibilné pri pokračovaní v liečbe kvetiapínom.</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Kvetiapín môže, rovnako ako ďalšie antipsychotiká, ktoré spôsobujú blokádu alfa</w:t>
      </w:r>
      <w:r w:rsidRPr="00E21B7F">
        <w:rPr>
          <w:sz w:val="22"/>
          <w:szCs w:val="22"/>
          <w:vertAlign w:val="subscript"/>
          <w:lang w:val="sk-SK"/>
        </w:rPr>
        <w:t>1</w:t>
      </w:r>
      <w:r w:rsidRPr="00E21B7F">
        <w:rPr>
          <w:sz w:val="22"/>
          <w:szCs w:val="22"/>
          <w:lang w:val="sk-SK"/>
        </w:rPr>
        <w:noBreakHyphen/>
      </w:r>
      <w:r w:rsidRPr="00F00F97">
        <w:rPr>
          <w:sz w:val="22"/>
          <w:szCs w:val="22"/>
          <w:lang w:val="sk-SK"/>
        </w:rPr>
        <w:t>adrenergných</w:t>
      </w:r>
      <w:r w:rsidRPr="00E21B7F">
        <w:rPr>
          <w:sz w:val="22"/>
          <w:szCs w:val="22"/>
          <w:lang w:val="sk-SK"/>
        </w:rPr>
        <w:t xml:space="preserve"> receptorov, často vyvolať ortostatickú hypotenziu spojenú so závratmi, tachykardiou a u niektorých pacientov so synkopou, najmä v počiatočnom období titrácie dávky. (Pozri časť 4.4).</w:t>
      </w:r>
    </w:p>
    <w:p w:rsidR="00302C75" w:rsidRPr="00AB307B"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Frekvenci</w:t>
      </w:r>
      <w:r>
        <w:rPr>
          <w:sz w:val="22"/>
          <w:szCs w:val="22"/>
          <w:lang w:val="sk-SK"/>
        </w:rPr>
        <w:t>a</w:t>
      </w:r>
      <w:r w:rsidRPr="00E21B7F">
        <w:rPr>
          <w:sz w:val="22"/>
          <w:szCs w:val="22"/>
          <w:lang w:val="sk-SK"/>
        </w:rPr>
        <w:t xml:space="preserve"> týchto nežiaducich reakcií bola vypočítaná len z údajov pre kvetiapín s okamžitým uvoľňovaním po jeho </w:t>
      </w:r>
      <w:r w:rsidRPr="00612118">
        <w:rPr>
          <w:sz w:val="22"/>
          <w:szCs w:val="22"/>
          <w:lang w:val="sk-SK"/>
        </w:rPr>
        <w:t>uvedení na trh</w:t>
      </w:r>
      <w:r w:rsidRPr="00AB307B">
        <w:rPr>
          <w:sz w:val="22"/>
          <w:szCs w:val="22"/>
          <w:lang w:val="sk-SK"/>
        </w:rPr>
        <w:t xml:space="preserve">. </w:t>
      </w:r>
    </w:p>
    <w:p w:rsidR="00302C75" w:rsidRPr="00AB307B" w:rsidRDefault="00302C75">
      <w:pPr>
        <w:numPr>
          <w:ilvl w:val="0"/>
          <w:numId w:val="17"/>
        </w:numPr>
        <w:tabs>
          <w:tab w:val="clear" w:pos="533"/>
          <w:tab w:val="num" w:pos="374"/>
        </w:tabs>
        <w:spacing w:after="60"/>
        <w:ind w:left="374"/>
        <w:jc w:val="both"/>
        <w:rPr>
          <w:sz w:val="22"/>
          <w:szCs w:val="22"/>
          <w:lang w:val="sk-SK"/>
        </w:rPr>
      </w:pPr>
      <w:r w:rsidRPr="00AB307B">
        <w:rPr>
          <w:sz w:val="22"/>
          <w:szCs w:val="22"/>
          <w:lang w:val="sk-SK"/>
        </w:rPr>
        <w:t xml:space="preserve">Najmenej v jednom prípade bola hladina glukózy v krvi nalačno ≥ </w:t>
      </w:r>
      <w:r w:rsidRPr="005C4B32">
        <w:rPr>
          <w:sz w:val="22"/>
          <w:szCs w:val="22"/>
          <w:lang w:val="sk-SK"/>
        </w:rPr>
        <w:t>7,0 mmol/l</w:t>
      </w:r>
      <w:r w:rsidRPr="005C4B32" w:rsidDel="00795634">
        <w:rPr>
          <w:sz w:val="22"/>
          <w:szCs w:val="22"/>
          <w:lang w:val="sk-SK"/>
        </w:rPr>
        <w:t xml:space="preserve"> </w:t>
      </w:r>
      <w:r w:rsidRPr="005C4B32">
        <w:rPr>
          <w:sz w:val="22"/>
          <w:szCs w:val="22"/>
          <w:lang w:val="sk-SK"/>
        </w:rPr>
        <w:t>(≥</w:t>
      </w:r>
      <w:r>
        <w:rPr>
          <w:sz w:val="22"/>
          <w:szCs w:val="22"/>
          <w:lang w:val="sk-SK"/>
        </w:rPr>
        <w:t xml:space="preserve"> </w:t>
      </w:r>
      <w:r w:rsidRPr="005C4B32">
        <w:rPr>
          <w:sz w:val="22"/>
          <w:szCs w:val="22"/>
          <w:lang w:val="sk-SK"/>
        </w:rPr>
        <w:t>126 mg/dl</w:t>
      </w:r>
      <w:r w:rsidRPr="00AB307B">
        <w:rPr>
          <w:sz w:val="22"/>
          <w:szCs w:val="22"/>
          <w:lang w:val="sk-SK"/>
        </w:rPr>
        <w:t xml:space="preserve">) alebo hladina glukózy v krvi po jedle bola  ≥ </w:t>
      </w:r>
      <w:r w:rsidRPr="005C4B32">
        <w:rPr>
          <w:sz w:val="22"/>
          <w:szCs w:val="22"/>
          <w:lang w:val="sk-SK"/>
        </w:rPr>
        <w:t>11</w:t>
      </w:r>
      <w:r>
        <w:rPr>
          <w:sz w:val="22"/>
          <w:szCs w:val="22"/>
          <w:lang w:val="sk-SK"/>
        </w:rPr>
        <w:t>,</w:t>
      </w:r>
      <w:r w:rsidRPr="005C4B32">
        <w:rPr>
          <w:sz w:val="22"/>
          <w:szCs w:val="22"/>
          <w:lang w:val="sk-SK"/>
        </w:rPr>
        <w:t>1 mmol/l</w:t>
      </w:r>
      <w:r w:rsidRPr="005C4B32" w:rsidDel="00795634">
        <w:rPr>
          <w:sz w:val="22"/>
          <w:szCs w:val="22"/>
          <w:lang w:val="sk-SK"/>
        </w:rPr>
        <w:t xml:space="preserve"> </w:t>
      </w:r>
      <w:r w:rsidRPr="005C4B32">
        <w:rPr>
          <w:sz w:val="22"/>
          <w:szCs w:val="22"/>
          <w:lang w:val="sk-SK"/>
        </w:rPr>
        <w:t>(≥</w:t>
      </w:r>
      <w:r>
        <w:rPr>
          <w:sz w:val="22"/>
          <w:szCs w:val="22"/>
          <w:lang w:val="sk-SK"/>
        </w:rPr>
        <w:t xml:space="preserve"> </w:t>
      </w:r>
      <w:r w:rsidRPr="005C4B32">
        <w:rPr>
          <w:sz w:val="22"/>
          <w:szCs w:val="22"/>
          <w:lang w:val="sk-SK"/>
        </w:rPr>
        <w:t>200 mg/dl</w:t>
      </w:r>
      <w:r w:rsidRPr="00AB307B">
        <w:rPr>
          <w:sz w:val="22"/>
          <w:szCs w:val="22"/>
          <w:lang w:val="sk-SK"/>
        </w:rPr>
        <w:t>).</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Zvýšenie vo výskyte dysfágie pri liečbe kvetiapínom v porovnaní s placebom bolo pozorované len v klinických skúšaniach pri bipolárnej depresii.</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Na základe &gt;7 % zvýšenia telesnej hmotnosti oproti pôvodným hodnotám. Vyskytuje sa prevažne počas úvodných týždňov liečby u dospelých.</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V akútnej fáze placebom kontrolovaných klinických skúšaní monoterapie, ktoré boli zamerané na vyhodnotenie symptómov z vysadenia  liečby, boli najčastejšie pozorované nasledujúce symptómy z vysadenia lieku: insomnia, nauzea, bolesť hlavy, diarea, vracanie, závraty a podráždenosť. Výskyt týchto reakcií sa signifikantne znížil týždeň po ukončení podávania.</w:t>
      </w:r>
    </w:p>
    <w:p w:rsidR="00302C75" w:rsidRPr="00E21B7F" w:rsidRDefault="00302C75">
      <w:pPr>
        <w:numPr>
          <w:ilvl w:val="0"/>
          <w:numId w:val="17"/>
        </w:numPr>
        <w:tabs>
          <w:tab w:val="clear" w:pos="533"/>
          <w:tab w:val="num" w:pos="374"/>
        </w:tabs>
        <w:spacing w:after="60"/>
        <w:ind w:left="374"/>
        <w:jc w:val="both"/>
        <w:rPr>
          <w:sz w:val="22"/>
          <w:szCs w:val="22"/>
          <w:lang w:val="sk-SK"/>
        </w:rPr>
      </w:pPr>
      <w:r w:rsidRPr="00AB307B">
        <w:rPr>
          <w:sz w:val="22"/>
          <w:szCs w:val="22"/>
          <w:lang w:val="sk-SK"/>
        </w:rPr>
        <w:t xml:space="preserve">Triglyceridy </w:t>
      </w:r>
      <w:r w:rsidRPr="005C4B32">
        <w:rPr>
          <w:sz w:val="22"/>
          <w:szCs w:val="22"/>
          <w:lang w:val="sk-SK"/>
        </w:rPr>
        <w:t>≥</w:t>
      </w:r>
      <w:r>
        <w:rPr>
          <w:sz w:val="22"/>
          <w:szCs w:val="22"/>
          <w:lang w:val="sk-SK"/>
        </w:rPr>
        <w:t xml:space="preserve"> </w:t>
      </w:r>
      <w:r w:rsidRPr="005C4B32">
        <w:rPr>
          <w:sz w:val="22"/>
          <w:szCs w:val="22"/>
          <w:lang w:val="sk-SK"/>
        </w:rPr>
        <w:t>2,258 mmol/ll (≥</w:t>
      </w:r>
      <w:r>
        <w:rPr>
          <w:sz w:val="22"/>
          <w:szCs w:val="22"/>
          <w:lang w:val="sk-SK"/>
        </w:rPr>
        <w:t xml:space="preserve"> </w:t>
      </w:r>
      <w:r w:rsidRPr="005C4B32">
        <w:rPr>
          <w:sz w:val="22"/>
          <w:szCs w:val="22"/>
          <w:lang w:val="sk-SK"/>
        </w:rPr>
        <w:t xml:space="preserve">200 mg/dldl) </w:t>
      </w:r>
      <w:r w:rsidRPr="00AB307B">
        <w:rPr>
          <w:sz w:val="22"/>
          <w:szCs w:val="22"/>
          <w:lang w:val="sk-SK"/>
        </w:rPr>
        <w:t xml:space="preserve">prinajmenšom v jednom prípade </w:t>
      </w:r>
      <w:r w:rsidRPr="00AB307B">
        <w:rPr>
          <w:color w:val="000000"/>
          <w:sz w:val="22"/>
          <w:szCs w:val="22"/>
          <w:lang w:val="sk-SK"/>
        </w:rPr>
        <w:t xml:space="preserve">(u pacientov vo veku </w:t>
      </w:r>
      <w:r w:rsidRPr="00AB307B">
        <w:rPr>
          <w:sz w:val="22"/>
          <w:szCs w:val="22"/>
          <w:lang w:val="sk-SK"/>
        </w:rPr>
        <w:t>≥</w:t>
      </w:r>
      <w:r w:rsidRPr="00AB307B">
        <w:rPr>
          <w:color w:val="000000"/>
          <w:sz w:val="22"/>
          <w:szCs w:val="22"/>
          <w:lang w:val="sk-SK"/>
        </w:rPr>
        <w:t xml:space="preserve">18 rokov) alebo </w:t>
      </w:r>
      <w:r w:rsidRPr="005C4B32">
        <w:rPr>
          <w:sz w:val="22"/>
          <w:szCs w:val="22"/>
          <w:lang w:val="sk-SK"/>
        </w:rPr>
        <w:t>≥</w:t>
      </w:r>
      <w:r>
        <w:rPr>
          <w:sz w:val="22"/>
          <w:szCs w:val="22"/>
          <w:lang w:val="sk-SK"/>
        </w:rPr>
        <w:t xml:space="preserve"> </w:t>
      </w:r>
      <w:r w:rsidRPr="005C4B32">
        <w:rPr>
          <w:sz w:val="22"/>
          <w:szCs w:val="22"/>
          <w:lang w:val="sk-SK"/>
        </w:rPr>
        <w:t>1,694 mmol/l</w:t>
      </w:r>
      <w:r w:rsidRPr="005C4B32" w:rsidDel="00795634">
        <w:rPr>
          <w:sz w:val="22"/>
          <w:szCs w:val="22"/>
          <w:lang w:val="sk-SK"/>
        </w:rPr>
        <w:t xml:space="preserve"> </w:t>
      </w:r>
      <w:r w:rsidRPr="005C4B32">
        <w:rPr>
          <w:sz w:val="22"/>
          <w:szCs w:val="22"/>
          <w:lang w:val="sk-SK"/>
        </w:rPr>
        <w:t xml:space="preserve">150mg/dl) </w:t>
      </w:r>
      <w:r w:rsidRPr="00AB307B">
        <w:rPr>
          <w:color w:val="000000"/>
          <w:sz w:val="22"/>
          <w:szCs w:val="22"/>
          <w:lang w:val="sk-SK"/>
        </w:rPr>
        <w:t>(u</w:t>
      </w:r>
      <w:r w:rsidRPr="00E21B7F">
        <w:rPr>
          <w:color w:val="000000"/>
          <w:sz w:val="22"/>
          <w:szCs w:val="22"/>
          <w:lang w:val="sk-SK"/>
        </w:rPr>
        <w:t xml:space="preserve"> pacientov vo veku &lt;18 rokov) prinajmenšom v jednom prípade.</w:t>
      </w:r>
    </w:p>
    <w:p w:rsidR="00302C75" w:rsidRPr="00AB307B"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Cholesterol </w:t>
      </w:r>
      <w:r w:rsidRPr="005C4B32">
        <w:rPr>
          <w:sz w:val="22"/>
          <w:szCs w:val="22"/>
          <w:lang w:val="sk-SK"/>
        </w:rPr>
        <w:t>≥</w:t>
      </w:r>
      <w:r>
        <w:rPr>
          <w:sz w:val="22"/>
          <w:szCs w:val="22"/>
          <w:lang w:val="sk-SK"/>
        </w:rPr>
        <w:t xml:space="preserve"> </w:t>
      </w:r>
      <w:r w:rsidRPr="005C4B32">
        <w:rPr>
          <w:sz w:val="22"/>
          <w:szCs w:val="22"/>
          <w:lang w:val="sk-SK"/>
        </w:rPr>
        <w:t>6,2064 mmol/ l</w:t>
      </w:r>
      <w:r w:rsidRPr="005C4B32" w:rsidDel="00E14654">
        <w:rPr>
          <w:sz w:val="22"/>
          <w:szCs w:val="22"/>
          <w:lang w:val="sk-SK"/>
        </w:rPr>
        <w:t xml:space="preserve"> </w:t>
      </w:r>
      <w:r w:rsidRPr="005C4B32">
        <w:rPr>
          <w:sz w:val="22"/>
          <w:szCs w:val="22"/>
          <w:lang w:val="sk-SK"/>
        </w:rPr>
        <w:t xml:space="preserve">240 mg/dl) </w:t>
      </w:r>
      <w:r w:rsidRPr="00AB307B">
        <w:rPr>
          <w:color w:val="000000"/>
          <w:sz w:val="22"/>
          <w:szCs w:val="22"/>
          <w:lang w:val="sk-SK"/>
        </w:rPr>
        <w:t xml:space="preserve">(u pacientov vo veku </w:t>
      </w:r>
      <w:r w:rsidRPr="00AB307B">
        <w:rPr>
          <w:sz w:val="22"/>
          <w:szCs w:val="22"/>
          <w:lang w:val="sk-SK"/>
        </w:rPr>
        <w:t>≥</w:t>
      </w:r>
      <w:r w:rsidRPr="00AB307B">
        <w:rPr>
          <w:color w:val="000000"/>
          <w:sz w:val="22"/>
          <w:szCs w:val="22"/>
          <w:lang w:val="sk-SK"/>
        </w:rPr>
        <w:t xml:space="preserve">18 rokov) alebo </w:t>
      </w:r>
      <w:r w:rsidRPr="005C4B32">
        <w:rPr>
          <w:sz w:val="22"/>
          <w:szCs w:val="22"/>
          <w:lang w:val="sk-SK"/>
        </w:rPr>
        <w:t>≥</w:t>
      </w:r>
      <w:r>
        <w:rPr>
          <w:sz w:val="22"/>
          <w:szCs w:val="22"/>
          <w:lang w:val="sk-SK"/>
        </w:rPr>
        <w:t xml:space="preserve"> </w:t>
      </w:r>
      <w:r w:rsidRPr="005C4B32">
        <w:rPr>
          <w:sz w:val="22"/>
          <w:szCs w:val="22"/>
          <w:lang w:val="sk-SK"/>
        </w:rPr>
        <w:t>5,172 mmol/ l</w:t>
      </w:r>
      <w:r w:rsidRPr="005C4B32" w:rsidDel="00E14654">
        <w:rPr>
          <w:sz w:val="22"/>
          <w:szCs w:val="22"/>
          <w:lang w:val="sk-SK"/>
        </w:rPr>
        <w:t xml:space="preserve"> </w:t>
      </w:r>
      <w:r w:rsidRPr="005C4B32">
        <w:rPr>
          <w:sz w:val="22"/>
          <w:szCs w:val="22"/>
          <w:lang w:val="sk-SK"/>
        </w:rPr>
        <w:t xml:space="preserve">200mg/dl) </w:t>
      </w:r>
      <w:r w:rsidRPr="00AB307B">
        <w:rPr>
          <w:color w:val="000000"/>
          <w:sz w:val="22"/>
          <w:szCs w:val="22"/>
          <w:lang w:val="sk-SK"/>
        </w:rPr>
        <w:t xml:space="preserve">(u pacientov vo veku &lt;18 </w:t>
      </w:r>
      <w:r w:rsidRPr="00D37C28">
        <w:rPr>
          <w:color w:val="000000"/>
          <w:sz w:val="22"/>
          <w:szCs w:val="22"/>
          <w:lang w:val="sk-SK"/>
        </w:rPr>
        <w:t xml:space="preserve">rokov) </w:t>
      </w:r>
      <w:r w:rsidRPr="00D37C28">
        <w:rPr>
          <w:sz w:val="22"/>
          <w:szCs w:val="22"/>
          <w:lang w:val="sk-SK"/>
        </w:rPr>
        <w:t>prinajmenšom</w:t>
      </w:r>
      <w:r w:rsidRPr="00D37C28">
        <w:rPr>
          <w:color w:val="000000"/>
          <w:sz w:val="22"/>
          <w:szCs w:val="22"/>
          <w:lang w:val="sk-SK"/>
        </w:rPr>
        <w:t xml:space="preserve"> v jednom prípade.</w:t>
      </w:r>
      <w:r w:rsidRPr="00D37C28">
        <w:rPr>
          <w:sz w:val="22"/>
          <w:szCs w:val="22"/>
          <w:lang w:val="sk-SK"/>
        </w:rPr>
        <w:t xml:space="preserve"> Veľmi často bolo pozorované zvýšenie LDL cholesterolu o </w:t>
      </w:r>
      <w:r w:rsidRPr="005C4B32">
        <w:rPr>
          <w:sz w:val="22"/>
          <w:szCs w:val="22"/>
          <w:lang w:val="sk-SK"/>
        </w:rPr>
        <w:t>≥</w:t>
      </w:r>
      <w:r>
        <w:rPr>
          <w:sz w:val="22"/>
          <w:szCs w:val="22"/>
          <w:lang w:val="sk-SK"/>
        </w:rPr>
        <w:t xml:space="preserve"> </w:t>
      </w:r>
      <w:r w:rsidRPr="005C4B32">
        <w:rPr>
          <w:sz w:val="22"/>
          <w:szCs w:val="22"/>
          <w:lang w:val="sk-SK"/>
        </w:rPr>
        <w:t>0,769 mmol/</w:t>
      </w:r>
      <w:r>
        <w:rPr>
          <w:sz w:val="22"/>
          <w:szCs w:val="22"/>
          <w:lang w:val="sk-SK"/>
        </w:rPr>
        <w:t>l</w:t>
      </w:r>
      <w:r w:rsidRPr="005C4B32">
        <w:rPr>
          <w:sz w:val="22"/>
          <w:szCs w:val="22"/>
          <w:lang w:val="sk-SK"/>
        </w:rPr>
        <w:t xml:space="preserve"> 30 mg/dl). </w:t>
      </w:r>
      <w:r w:rsidRPr="00AB307B">
        <w:rPr>
          <w:sz w:val="22"/>
          <w:szCs w:val="22"/>
          <w:lang w:val="sk-SK"/>
        </w:rPr>
        <w:t xml:space="preserve">Priemerná zmena u pacientov, u ktorých došlo k tomuto zvýšeniu, bola </w:t>
      </w:r>
      <w:r w:rsidRPr="005C4B32">
        <w:rPr>
          <w:sz w:val="22"/>
          <w:szCs w:val="22"/>
          <w:lang w:val="sk-SK"/>
        </w:rPr>
        <w:t>≥</w:t>
      </w:r>
      <w:r>
        <w:rPr>
          <w:sz w:val="22"/>
          <w:szCs w:val="22"/>
          <w:lang w:val="sk-SK"/>
        </w:rPr>
        <w:t xml:space="preserve"> </w:t>
      </w:r>
      <w:r w:rsidRPr="005C4B32">
        <w:rPr>
          <w:sz w:val="22"/>
          <w:szCs w:val="22"/>
          <w:lang w:val="sk-SK"/>
        </w:rPr>
        <w:t>1,07 mmol/l</w:t>
      </w:r>
      <w:r w:rsidRPr="005C4B32" w:rsidDel="00E14654">
        <w:rPr>
          <w:sz w:val="22"/>
          <w:szCs w:val="22"/>
          <w:lang w:val="sk-SK"/>
        </w:rPr>
        <w:t xml:space="preserve"> </w:t>
      </w:r>
      <w:r w:rsidRPr="005C4B32">
        <w:rPr>
          <w:sz w:val="22"/>
          <w:szCs w:val="22"/>
          <w:lang w:val="sk-SK"/>
        </w:rPr>
        <w:t>41,7 mg/dl).</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 xml:space="preserve">Pozri text nižšie. </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Najmenej v jednom prípade boli trombocyty ≥100 x 10</w:t>
      </w:r>
      <w:r w:rsidRPr="00E21B7F">
        <w:rPr>
          <w:sz w:val="22"/>
          <w:szCs w:val="22"/>
          <w:vertAlign w:val="superscript"/>
          <w:lang w:val="sk-SK"/>
        </w:rPr>
        <w:t>9</w:t>
      </w:r>
      <w:r w:rsidRPr="00E21B7F">
        <w:rPr>
          <w:sz w:val="22"/>
          <w:szCs w:val="22"/>
          <w:lang w:val="sk-SK"/>
        </w:rPr>
        <w:t>/l.</w:t>
      </w:r>
      <w:r w:rsidRPr="00E21B7F">
        <w:rPr>
          <w:sz w:val="22"/>
          <w:szCs w:val="22"/>
          <w:lang w:val="sk-SK"/>
        </w:rPr>
        <w:tab/>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Na základe hlásenia nežiaducich účinkov z klinických skúšaní zvýšenie kreatínfosfokinázy v krvi nebolo spojené s malígnym neuroleptickým syndrómom.</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Hladiny prolaktínu (u pacientov vo veku &gt;18 rokov): u mužov &gt;20 μg/l (&gt;869,56 pmol/l); u žien &gt;30 μg/l (&gt;1304,34 pmol/l) kedykoľvek.</w:t>
      </w:r>
    </w:p>
    <w:p w:rsidR="00302C75" w:rsidRPr="00E21B7F" w:rsidRDefault="00302C75">
      <w:pPr>
        <w:numPr>
          <w:ilvl w:val="0"/>
          <w:numId w:val="17"/>
        </w:numPr>
        <w:tabs>
          <w:tab w:val="clear" w:pos="533"/>
          <w:tab w:val="num" w:pos="374"/>
        </w:tabs>
        <w:spacing w:after="60"/>
        <w:ind w:left="374"/>
        <w:jc w:val="both"/>
        <w:rPr>
          <w:sz w:val="22"/>
          <w:szCs w:val="22"/>
          <w:lang w:val="sk-SK"/>
        </w:rPr>
      </w:pPr>
      <w:r w:rsidRPr="00E21B7F">
        <w:rPr>
          <w:sz w:val="22"/>
          <w:szCs w:val="22"/>
          <w:lang w:val="sk-SK"/>
        </w:rPr>
        <w:t>Môže viesť k pádom.</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 xml:space="preserve">HDL </w:t>
      </w:r>
      <w:r w:rsidRPr="00AB307B">
        <w:rPr>
          <w:sz w:val="22"/>
          <w:szCs w:val="22"/>
          <w:lang w:val="sk-SK"/>
        </w:rPr>
        <w:t xml:space="preserve">cholesterol: u mužov </w:t>
      </w:r>
      <w:r w:rsidRPr="005C4B32">
        <w:rPr>
          <w:sz w:val="22"/>
          <w:szCs w:val="22"/>
          <w:lang w:val="sk-SK"/>
        </w:rPr>
        <w:t>≤</w:t>
      </w:r>
      <w:r>
        <w:rPr>
          <w:sz w:val="22"/>
          <w:szCs w:val="22"/>
          <w:lang w:val="sk-SK"/>
        </w:rPr>
        <w:t xml:space="preserve"> </w:t>
      </w:r>
      <w:r w:rsidRPr="005C4B32">
        <w:rPr>
          <w:sz w:val="22"/>
          <w:szCs w:val="22"/>
          <w:lang w:val="sk-SK"/>
        </w:rPr>
        <w:t>1,025 mmol/l &lt;</w:t>
      </w:r>
      <w:r>
        <w:rPr>
          <w:sz w:val="22"/>
          <w:szCs w:val="22"/>
          <w:lang w:val="sk-SK"/>
        </w:rPr>
        <w:t xml:space="preserve"> </w:t>
      </w:r>
      <w:r w:rsidRPr="005C4B32">
        <w:rPr>
          <w:sz w:val="22"/>
          <w:szCs w:val="22"/>
          <w:lang w:val="sk-SK"/>
        </w:rPr>
        <w:t>40 mg/dl )</w:t>
      </w:r>
      <w:r w:rsidRPr="00D37C28">
        <w:rPr>
          <w:sz w:val="22"/>
          <w:szCs w:val="22"/>
          <w:lang w:val="sk-SK"/>
        </w:rPr>
        <w:t xml:space="preserve">; </w:t>
      </w:r>
      <w:r w:rsidRPr="00AB307B">
        <w:rPr>
          <w:sz w:val="22"/>
          <w:szCs w:val="22"/>
          <w:lang w:val="sk-SK"/>
        </w:rPr>
        <w:sym w:font="Symbol" w:char="F03C"/>
      </w:r>
      <w:r w:rsidRPr="00AB307B">
        <w:rPr>
          <w:sz w:val="22"/>
          <w:szCs w:val="22"/>
          <w:lang w:val="sk-SK"/>
        </w:rPr>
        <w:t xml:space="preserve"> u žien </w:t>
      </w:r>
      <w:r w:rsidRPr="005C4B32">
        <w:rPr>
          <w:sz w:val="22"/>
          <w:szCs w:val="22"/>
          <w:lang w:val="sk-SK"/>
        </w:rPr>
        <w:t>≤</w:t>
      </w:r>
      <w:r>
        <w:rPr>
          <w:sz w:val="22"/>
          <w:szCs w:val="22"/>
          <w:lang w:val="sk-SK"/>
        </w:rPr>
        <w:t xml:space="preserve"> </w:t>
      </w:r>
      <w:r w:rsidRPr="005C4B32">
        <w:rPr>
          <w:sz w:val="22"/>
          <w:szCs w:val="22"/>
          <w:lang w:val="sk-SK"/>
        </w:rPr>
        <w:t>1,282 mmol/l &lt;</w:t>
      </w:r>
      <w:r>
        <w:rPr>
          <w:sz w:val="22"/>
          <w:szCs w:val="22"/>
          <w:lang w:val="sk-SK"/>
        </w:rPr>
        <w:t xml:space="preserve"> </w:t>
      </w:r>
      <w:r w:rsidRPr="005C4B32">
        <w:rPr>
          <w:sz w:val="22"/>
          <w:szCs w:val="22"/>
          <w:lang w:val="sk-SK"/>
        </w:rPr>
        <w:t xml:space="preserve">50 mg/dl) </w:t>
      </w:r>
      <w:r w:rsidRPr="00D37C28">
        <w:rPr>
          <w:sz w:val="22"/>
          <w:szCs w:val="22"/>
          <w:lang w:val="sk-SK"/>
        </w:rPr>
        <w:t>kedykoľvek.</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 xml:space="preserve">Výskyt u pacientov, ktorí mali posun QTc od &lt;450 ms po ≥450 ms so zvýšením </w:t>
      </w:r>
      <w:r>
        <w:rPr>
          <w:sz w:val="22"/>
          <w:szCs w:val="22"/>
          <w:lang w:val="sk-SK"/>
        </w:rPr>
        <w:t>absolútneho počtu eozinofilov</w:t>
      </w:r>
      <w:r w:rsidRPr="00E21B7F">
        <w:rPr>
          <w:sz w:val="22"/>
          <w:szCs w:val="22"/>
          <w:lang w:val="sk-SK"/>
        </w:rPr>
        <w:t>. V placebom kontrolovaných štúdiách liečby kvetiapínom bolo zistené, že priemerná zmena a výskyt pacientov, u ktorých došlo k posunu na klinicky významnú hladinu, sú podobné v skupine s kvetiapínom i s placebom.</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Posun z &gt; 132 mmol/l na ≤ 132 mmol/l pri aspoň jedn</w:t>
      </w:r>
      <w:r>
        <w:rPr>
          <w:sz w:val="22"/>
          <w:szCs w:val="22"/>
          <w:lang w:val="sk-SK"/>
        </w:rPr>
        <w:t>ej príležitosti.</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 xml:space="preserve">Prípady výskytu samovražedných myšlienok a samovražedného správania boli hlásené počas liečby </w:t>
      </w:r>
      <w:r>
        <w:rPr>
          <w:sz w:val="22"/>
          <w:szCs w:val="22"/>
          <w:lang w:val="sk-SK"/>
        </w:rPr>
        <w:t>kvetiapínom</w:t>
      </w:r>
      <w:r w:rsidRPr="00E21B7F">
        <w:rPr>
          <w:sz w:val="22"/>
          <w:szCs w:val="22"/>
          <w:lang w:val="sk-SK"/>
        </w:rPr>
        <w:t xml:space="preserve"> alebo čoskoro po ukončení liečby (pozrite časti 4.4 a 5.1). </w:t>
      </w:r>
    </w:p>
    <w:p w:rsidR="00302C75" w:rsidRPr="00E21B7F" w:rsidRDefault="00302C75">
      <w:pPr>
        <w:numPr>
          <w:ilvl w:val="0"/>
          <w:numId w:val="17"/>
        </w:numPr>
        <w:tabs>
          <w:tab w:val="clear" w:pos="533"/>
          <w:tab w:val="num" w:pos="374"/>
        </w:tabs>
        <w:ind w:left="374"/>
        <w:jc w:val="both"/>
        <w:rPr>
          <w:sz w:val="22"/>
          <w:szCs w:val="22"/>
          <w:lang w:val="sk-SK"/>
        </w:rPr>
      </w:pPr>
      <w:r w:rsidRPr="00E21B7F">
        <w:rPr>
          <w:sz w:val="22"/>
          <w:szCs w:val="22"/>
          <w:lang w:val="sk-SK"/>
        </w:rPr>
        <w:t xml:space="preserve">Pozri časť 5.1. </w:t>
      </w:r>
    </w:p>
    <w:p w:rsidR="00302C75" w:rsidRDefault="00302C75">
      <w:pPr>
        <w:numPr>
          <w:ilvl w:val="0"/>
          <w:numId w:val="17"/>
        </w:numPr>
        <w:tabs>
          <w:tab w:val="clear" w:pos="533"/>
          <w:tab w:val="num" w:pos="374"/>
        </w:tabs>
        <w:ind w:left="374"/>
        <w:jc w:val="both"/>
        <w:rPr>
          <w:sz w:val="22"/>
          <w:szCs w:val="22"/>
          <w:lang w:val="sk-SK"/>
        </w:rPr>
      </w:pPr>
      <w:r w:rsidRPr="00E21B7F">
        <w:rPr>
          <w:sz w:val="22"/>
          <w:szCs w:val="22"/>
          <w:lang w:val="sk-SK"/>
        </w:rPr>
        <w:t>Zníženie hemoglobínu na 8,07 mmol/l</w:t>
      </w:r>
      <w:r>
        <w:rPr>
          <w:sz w:val="22"/>
          <w:szCs w:val="22"/>
          <w:lang w:val="sk-SK"/>
        </w:rPr>
        <w:t xml:space="preserve"> (</w:t>
      </w:r>
      <w:r w:rsidRPr="00E21B7F">
        <w:rPr>
          <w:sz w:val="22"/>
          <w:szCs w:val="22"/>
          <w:lang w:val="sk-SK"/>
        </w:rPr>
        <w:t>≤</w:t>
      </w:r>
      <w:r>
        <w:rPr>
          <w:sz w:val="22"/>
          <w:szCs w:val="22"/>
          <w:lang w:val="sk-SK"/>
        </w:rPr>
        <w:t xml:space="preserve"> 13 g/l)</w:t>
      </w:r>
      <w:r w:rsidRPr="00E21B7F">
        <w:rPr>
          <w:sz w:val="22"/>
          <w:szCs w:val="22"/>
          <w:lang w:val="sk-SK"/>
        </w:rPr>
        <w:t xml:space="preserve"> u mužov a na 7,45 mmol/l</w:t>
      </w:r>
      <w:r>
        <w:rPr>
          <w:sz w:val="22"/>
          <w:szCs w:val="22"/>
          <w:lang w:val="sk-SK"/>
        </w:rPr>
        <w:t xml:space="preserve"> (</w:t>
      </w:r>
      <w:r w:rsidRPr="00E21B7F">
        <w:rPr>
          <w:sz w:val="22"/>
          <w:szCs w:val="22"/>
          <w:lang w:val="sk-SK"/>
        </w:rPr>
        <w:t>≤</w:t>
      </w:r>
      <w:r>
        <w:rPr>
          <w:sz w:val="22"/>
          <w:szCs w:val="22"/>
          <w:lang w:val="sk-SK"/>
        </w:rPr>
        <w:t xml:space="preserve"> </w:t>
      </w:r>
      <w:r w:rsidRPr="00E21B7F">
        <w:rPr>
          <w:sz w:val="22"/>
          <w:szCs w:val="22"/>
          <w:lang w:val="sk-SK"/>
        </w:rPr>
        <w:t>12 g/l</w:t>
      </w:r>
      <w:r>
        <w:rPr>
          <w:sz w:val="22"/>
          <w:szCs w:val="22"/>
          <w:lang w:val="sk-SK"/>
        </w:rPr>
        <w:t>)</w:t>
      </w:r>
      <w:r w:rsidRPr="00E21B7F">
        <w:rPr>
          <w:sz w:val="22"/>
          <w:szCs w:val="22"/>
          <w:lang w:val="sk-SK"/>
        </w:rPr>
        <w:t xml:space="preserve"> u žien najmenej v jednom prípade sa vyskytlo u 11 % pacientov užívajúcich kvetiapín vo všetkých skúšaniach vrátane </w:t>
      </w:r>
      <w:r w:rsidRPr="00EC73AF">
        <w:rPr>
          <w:rStyle w:val="longtext1"/>
          <w:sz w:val="22"/>
          <w:szCs w:val="22"/>
          <w:shd w:val="clear" w:color="auto" w:fill="FFFFFF"/>
          <w:lang w:val="sk-SK"/>
        </w:rPr>
        <w:t>rozšírených nezaslepených štúdií</w:t>
      </w:r>
      <w:r w:rsidRPr="00E21B7F">
        <w:rPr>
          <w:sz w:val="22"/>
          <w:szCs w:val="22"/>
          <w:lang w:val="sk-SK"/>
        </w:rPr>
        <w:t xml:space="preserve">. U týchto pacientov bola stredná hodnota maximálneho zníženia hemoglobínu vždy </w:t>
      </w:r>
      <w:r>
        <w:rPr>
          <w:sz w:val="22"/>
          <w:szCs w:val="22"/>
          <w:lang w:val="sk-SK"/>
        </w:rPr>
        <w:t>1,50</w:t>
      </w:r>
      <w:r w:rsidRPr="00E21B7F">
        <w:rPr>
          <w:sz w:val="22"/>
          <w:szCs w:val="22"/>
          <w:lang w:val="sk-SK"/>
        </w:rPr>
        <w:t xml:space="preserve"> g/l.</w:t>
      </w:r>
    </w:p>
    <w:p w:rsidR="00302C75" w:rsidRPr="00C55991" w:rsidRDefault="00302C75" w:rsidP="00114278">
      <w:pPr>
        <w:numPr>
          <w:ilvl w:val="0"/>
          <w:numId w:val="17"/>
        </w:numPr>
        <w:tabs>
          <w:tab w:val="clear" w:pos="533"/>
        </w:tabs>
        <w:ind w:left="374"/>
        <w:jc w:val="both"/>
        <w:rPr>
          <w:sz w:val="22"/>
          <w:szCs w:val="22"/>
          <w:lang w:val="sk-SK"/>
        </w:rPr>
      </w:pPr>
      <w:r>
        <w:rPr>
          <w:sz w:val="22"/>
          <w:szCs w:val="22"/>
          <w:lang w:val="sk-SK"/>
        </w:rPr>
        <w:t>Č</w:t>
      </w:r>
      <w:r w:rsidRPr="00C55991">
        <w:rPr>
          <w:sz w:val="22"/>
          <w:szCs w:val="22"/>
          <w:lang w:val="sk-SK"/>
        </w:rPr>
        <w:t xml:space="preserve">asto </w:t>
      </w:r>
      <w:r>
        <w:rPr>
          <w:sz w:val="22"/>
          <w:szCs w:val="22"/>
          <w:lang w:val="sk-SK"/>
        </w:rPr>
        <w:t>boli hlásené v súvislosti s</w:t>
      </w:r>
      <w:r w:rsidRPr="00C55991">
        <w:rPr>
          <w:sz w:val="22"/>
          <w:szCs w:val="22"/>
          <w:lang w:val="sk-SK"/>
        </w:rPr>
        <w:t xml:space="preserve"> tachykardi</w:t>
      </w:r>
      <w:r>
        <w:rPr>
          <w:sz w:val="22"/>
          <w:szCs w:val="22"/>
          <w:lang w:val="sk-SK"/>
        </w:rPr>
        <w:t>ou</w:t>
      </w:r>
      <w:r w:rsidRPr="00C55991">
        <w:rPr>
          <w:sz w:val="22"/>
          <w:szCs w:val="22"/>
          <w:lang w:val="sk-SK"/>
        </w:rPr>
        <w:t>, závrat</w:t>
      </w:r>
      <w:r>
        <w:rPr>
          <w:sz w:val="22"/>
          <w:szCs w:val="22"/>
          <w:lang w:val="sk-SK"/>
        </w:rPr>
        <w:t>mi</w:t>
      </w:r>
      <w:r w:rsidRPr="00C55991">
        <w:rPr>
          <w:sz w:val="22"/>
          <w:szCs w:val="22"/>
          <w:lang w:val="sk-SK"/>
        </w:rPr>
        <w:t>, ortostatick</w:t>
      </w:r>
      <w:r>
        <w:rPr>
          <w:sz w:val="22"/>
          <w:szCs w:val="22"/>
          <w:lang w:val="sk-SK"/>
        </w:rPr>
        <w:t>ou</w:t>
      </w:r>
      <w:r w:rsidRPr="00C55991">
        <w:rPr>
          <w:sz w:val="22"/>
          <w:szCs w:val="22"/>
          <w:lang w:val="sk-SK"/>
        </w:rPr>
        <w:t xml:space="preserve"> hypotenzi</w:t>
      </w:r>
      <w:r>
        <w:rPr>
          <w:sz w:val="22"/>
          <w:szCs w:val="22"/>
          <w:lang w:val="sk-SK"/>
        </w:rPr>
        <w:t>ou</w:t>
      </w:r>
      <w:r w:rsidRPr="00C55991">
        <w:rPr>
          <w:sz w:val="22"/>
          <w:szCs w:val="22"/>
          <w:lang w:val="sk-SK"/>
        </w:rPr>
        <w:t xml:space="preserve"> a/alebo primárn</w:t>
      </w:r>
      <w:r>
        <w:rPr>
          <w:sz w:val="22"/>
          <w:szCs w:val="22"/>
          <w:lang w:val="sk-SK"/>
        </w:rPr>
        <w:t>ym</w:t>
      </w:r>
      <w:r w:rsidRPr="00C55991">
        <w:rPr>
          <w:sz w:val="22"/>
          <w:szCs w:val="22"/>
          <w:lang w:val="sk-SK"/>
        </w:rPr>
        <w:t xml:space="preserve"> ochoren</w:t>
      </w:r>
      <w:r>
        <w:rPr>
          <w:sz w:val="22"/>
          <w:szCs w:val="22"/>
          <w:lang w:val="sk-SK"/>
        </w:rPr>
        <w:t>ím</w:t>
      </w:r>
      <w:r w:rsidRPr="00C55991">
        <w:rPr>
          <w:sz w:val="22"/>
          <w:szCs w:val="22"/>
          <w:lang w:val="sk-SK"/>
        </w:rPr>
        <w:t xml:space="preserve"> srdca/dýchacích ciest. </w:t>
      </w:r>
    </w:p>
    <w:p w:rsidR="00302C75" w:rsidRPr="00C55991" w:rsidRDefault="00302C75" w:rsidP="00114278">
      <w:pPr>
        <w:numPr>
          <w:ilvl w:val="0"/>
          <w:numId w:val="17"/>
        </w:numPr>
        <w:tabs>
          <w:tab w:val="clear" w:pos="533"/>
          <w:tab w:val="num" w:pos="374"/>
          <w:tab w:val="num" w:pos="1253"/>
        </w:tabs>
        <w:ind w:left="374"/>
        <w:jc w:val="both"/>
        <w:rPr>
          <w:sz w:val="22"/>
          <w:szCs w:val="22"/>
          <w:lang w:val="sk-SK"/>
        </w:rPr>
      </w:pPr>
      <w:r w:rsidRPr="00C55991">
        <w:rPr>
          <w:sz w:val="22"/>
          <w:szCs w:val="22"/>
          <w:lang w:val="sk-SK"/>
        </w:rPr>
        <w:t xml:space="preserve">Založené na posunoch z normálnych východiskových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celkových T</w:t>
      </w:r>
      <w:r w:rsidRPr="00C55991">
        <w:rPr>
          <w:sz w:val="22"/>
          <w:szCs w:val="22"/>
          <w:vertAlign w:val="subscript"/>
          <w:lang w:val="sk-SK"/>
        </w:rPr>
        <w:t>4</w:t>
      </w:r>
      <w:r w:rsidRPr="00C55991">
        <w:rPr>
          <w:sz w:val="22"/>
          <w:szCs w:val="22"/>
          <w:lang w:val="sk-SK"/>
        </w:rPr>
        <w:t>, voľných T</w:t>
      </w:r>
      <w:r w:rsidRPr="00C55991">
        <w:rPr>
          <w:sz w:val="22"/>
          <w:szCs w:val="22"/>
          <w:vertAlign w:val="subscript"/>
          <w:lang w:val="sk-SK"/>
        </w:rPr>
        <w:t>4</w:t>
      </w:r>
      <w:r w:rsidRPr="00C55991">
        <w:rPr>
          <w:sz w:val="22"/>
          <w:szCs w:val="22"/>
          <w:lang w:val="sk-SK"/>
        </w:rPr>
        <w:t>, celkových T</w:t>
      </w:r>
      <w:r w:rsidRPr="00C55991">
        <w:rPr>
          <w:sz w:val="22"/>
          <w:szCs w:val="22"/>
          <w:vertAlign w:val="subscript"/>
          <w:lang w:val="sk-SK"/>
        </w:rPr>
        <w:t>3</w:t>
      </w:r>
      <w:r w:rsidRPr="00C55991">
        <w:rPr>
          <w:sz w:val="22"/>
          <w:szCs w:val="22"/>
          <w:lang w:val="sk-SK"/>
        </w:rPr>
        <w:t xml:space="preserve"> a voľných T</w:t>
      </w:r>
      <w:r w:rsidRPr="00C55991">
        <w:rPr>
          <w:sz w:val="22"/>
          <w:szCs w:val="22"/>
          <w:vertAlign w:val="subscript"/>
          <w:lang w:val="sk-SK"/>
        </w:rPr>
        <w:t>3</w:t>
      </w:r>
      <w:r w:rsidRPr="00C55991">
        <w:rPr>
          <w:sz w:val="22"/>
          <w:szCs w:val="22"/>
          <w:lang w:val="sk-SK"/>
        </w:rPr>
        <w:t xml:space="preserve"> sú definované ako &lt;0,8 </w:t>
      </w:r>
      <w:r>
        <w:rPr>
          <w:sz w:val="22"/>
          <w:szCs w:val="22"/>
          <w:lang w:val="sk-SK"/>
        </w:rPr>
        <w:t>x</w:t>
      </w:r>
      <w:r w:rsidRPr="00C55991">
        <w:rPr>
          <w:sz w:val="22"/>
          <w:szCs w:val="22"/>
          <w:lang w:val="sk-SK"/>
        </w:rPr>
        <w:t xml:space="preserve"> LLN (pmol/l) a posun v TSH je &gt;5 mIU/l kedykoľvek.</w:t>
      </w:r>
    </w:p>
    <w:p w:rsidR="00302C75" w:rsidRDefault="00302C75" w:rsidP="00114278">
      <w:pPr>
        <w:numPr>
          <w:ilvl w:val="0"/>
          <w:numId w:val="17"/>
        </w:numPr>
        <w:tabs>
          <w:tab w:val="clear" w:pos="533"/>
          <w:tab w:val="num" w:pos="374"/>
          <w:tab w:val="num" w:pos="1253"/>
        </w:tabs>
        <w:ind w:left="374"/>
        <w:jc w:val="both"/>
        <w:rPr>
          <w:sz w:val="22"/>
          <w:szCs w:val="22"/>
          <w:lang w:val="sk-SK"/>
        </w:rPr>
      </w:pPr>
      <w:r w:rsidRPr="00C55991">
        <w:rPr>
          <w:sz w:val="22"/>
          <w:szCs w:val="22"/>
          <w:lang w:val="sk-SK"/>
        </w:rPr>
        <w:t xml:space="preserve">Založené na zvýšenom výskyte </w:t>
      </w:r>
      <w:r>
        <w:rPr>
          <w:sz w:val="22"/>
          <w:szCs w:val="22"/>
          <w:lang w:val="sk-SK"/>
        </w:rPr>
        <w:t>v</w:t>
      </w:r>
      <w:r w:rsidRPr="00C55991">
        <w:rPr>
          <w:sz w:val="22"/>
          <w:szCs w:val="22"/>
          <w:lang w:val="sk-SK"/>
        </w:rPr>
        <w:t xml:space="preserve">racania u starších pacientov (vo veku </w:t>
      </w:r>
      <w:r w:rsidR="00834996">
        <w:rPr>
          <w:noProof/>
          <w:sz w:val="22"/>
          <w:szCs w:val="22"/>
          <w:lang w:val="sk-SK" w:eastAsia="sk-SK"/>
        </w:rPr>
        <w:drawing>
          <wp:inline distT="0" distB="0" distL="0" distR="0">
            <wp:extent cx="114300" cy="114300"/>
            <wp:effectExtent l="19050" t="0" r="0"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THAN OR EQUAL TO (8805)"/>
                    <pic:cNvPicPr>
                      <a:picLocks noChangeAspect="1" noChangeArrowheads="1"/>
                    </pic:cNvPicPr>
                  </pic:nvPicPr>
                  <pic:blipFill>
                    <a:blip r:embed="rId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55991">
        <w:rPr>
          <w:sz w:val="22"/>
          <w:szCs w:val="22"/>
          <w:lang w:val="sk-SK"/>
        </w:rPr>
        <w:t>65 rokov).</w:t>
      </w:r>
    </w:p>
    <w:p w:rsidR="00302C75" w:rsidRPr="00DD19E6" w:rsidRDefault="00FF35F4" w:rsidP="00114278">
      <w:pPr>
        <w:numPr>
          <w:ilvl w:val="0"/>
          <w:numId w:val="17"/>
        </w:numPr>
        <w:tabs>
          <w:tab w:val="clear" w:pos="533"/>
          <w:tab w:val="num" w:pos="374"/>
          <w:tab w:val="num" w:pos="1253"/>
        </w:tabs>
        <w:ind w:left="374"/>
        <w:jc w:val="both"/>
        <w:rPr>
          <w:sz w:val="22"/>
          <w:szCs w:val="22"/>
          <w:lang w:val="sk-SK"/>
        </w:rPr>
      </w:pPr>
      <w:r>
        <w:rPr>
          <w:sz w:val="22"/>
          <w:szCs w:val="22"/>
        </w:rPr>
        <w:t>Založené na po</w:t>
      </w:r>
      <w:r w:rsidR="00302C75" w:rsidRPr="00DD19E6">
        <w:rPr>
          <w:sz w:val="22"/>
          <w:szCs w:val="22"/>
        </w:rPr>
        <w:t>sun</w:t>
      </w:r>
      <w:r>
        <w:rPr>
          <w:sz w:val="22"/>
          <w:szCs w:val="22"/>
        </w:rPr>
        <w:t>e</w:t>
      </w:r>
      <w:r w:rsidR="00302C75" w:rsidRPr="00DD19E6">
        <w:rPr>
          <w:sz w:val="22"/>
          <w:szCs w:val="22"/>
        </w:rPr>
        <w:t xml:space="preserve"> v počte neutrofilov z východiskovej hodnoty ≥</w:t>
      </w:r>
      <w:r>
        <w:rPr>
          <w:sz w:val="22"/>
          <w:szCs w:val="22"/>
        </w:rPr>
        <w:t xml:space="preserve"> </w:t>
      </w:r>
      <w:r w:rsidR="00302C75" w:rsidRPr="00DD19E6">
        <w:rPr>
          <w:sz w:val="22"/>
          <w:szCs w:val="22"/>
        </w:rPr>
        <w:t>1,5</w:t>
      </w:r>
      <w:r>
        <w:rPr>
          <w:sz w:val="22"/>
          <w:szCs w:val="22"/>
        </w:rPr>
        <w:t xml:space="preserve"> </w:t>
      </w:r>
      <w:r w:rsidR="00302C75" w:rsidRPr="00DD19E6">
        <w:rPr>
          <w:sz w:val="22"/>
          <w:szCs w:val="22"/>
        </w:rPr>
        <w:t>x</w:t>
      </w:r>
      <w:r>
        <w:rPr>
          <w:sz w:val="22"/>
          <w:szCs w:val="22"/>
        </w:rPr>
        <w:t xml:space="preserve"> </w:t>
      </w:r>
      <w:r w:rsidR="00302C75" w:rsidRPr="00DD19E6">
        <w:rPr>
          <w:sz w:val="22"/>
          <w:szCs w:val="22"/>
        </w:rPr>
        <w:t>10</w:t>
      </w:r>
      <w:r w:rsidR="00302C75" w:rsidRPr="00DD19E6">
        <w:rPr>
          <w:sz w:val="22"/>
          <w:szCs w:val="22"/>
          <w:vertAlign w:val="superscript"/>
        </w:rPr>
        <w:t>9</w:t>
      </w:r>
      <w:r w:rsidR="00302C75" w:rsidRPr="00DD19E6">
        <w:rPr>
          <w:sz w:val="22"/>
          <w:szCs w:val="22"/>
        </w:rPr>
        <w:t xml:space="preserve"> buniek/l na &lt;0,5x10</w:t>
      </w:r>
      <w:r w:rsidR="00302C75" w:rsidRPr="00DD19E6">
        <w:rPr>
          <w:sz w:val="22"/>
          <w:szCs w:val="22"/>
          <w:vertAlign w:val="superscript"/>
        </w:rPr>
        <w:t>9</w:t>
      </w:r>
      <w:r w:rsidR="00302C75" w:rsidRPr="00DD19E6">
        <w:rPr>
          <w:sz w:val="22"/>
          <w:szCs w:val="22"/>
        </w:rPr>
        <w:t xml:space="preserve"> buniek/l kedykoľvek počas liečby a na základe </w:t>
      </w:r>
      <w:r>
        <w:rPr>
          <w:sz w:val="22"/>
          <w:szCs w:val="22"/>
        </w:rPr>
        <w:t xml:space="preserve">údajov týkajúcich sa </w:t>
      </w:r>
      <w:r w:rsidR="00302C75" w:rsidRPr="00DD19E6">
        <w:rPr>
          <w:sz w:val="22"/>
          <w:szCs w:val="22"/>
        </w:rPr>
        <w:t>pacientov s ťažkou neutropéniou (&lt; 0,5 x 10</w:t>
      </w:r>
      <w:r w:rsidR="00302C75" w:rsidRPr="00DD19E6">
        <w:rPr>
          <w:sz w:val="22"/>
          <w:szCs w:val="22"/>
          <w:vertAlign w:val="superscript"/>
        </w:rPr>
        <w:t xml:space="preserve">9 </w:t>
      </w:r>
      <w:r w:rsidR="00302C75" w:rsidRPr="00DD19E6">
        <w:rPr>
          <w:sz w:val="22"/>
          <w:szCs w:val="22"/>
        </w:rPr>
        <w:t xml:space="preserve">buniek/l) a infekciou počas všetkých klinických </w:t>
      </w:r>
      <w:r>
        <w:rPr>
          <w:sz w:val="22"/>
          <w:szCs w:val="22"/>
        </w:rPr>
        <w:t>skúšaní</w:t>
      </w:r>
      <w:r w:rsidRPr="00DD19E6">
        <w:rPr>
          <w:sz w:val="22"/>
          <w:szCs w:val="22"/>
        </w:rPr>
        <w:t xml:space="preserve"> </w:t>
      </w:r>
      <w:r w:rsidR="00302C75" w:rsidRPr="00DD19E6">
        <w:rPr>
          <w:sz w:val="22"/>
          <w:szCs w:val="22"/>
        </w:rPr>
        <w:t>s kvetiapínom (pozri časť 4.4).</w:t>
      </w:r>
    </w:p>
    <w:p w:rsidR="00302C75" w:rsidRPr="00C55991" w:rsidRDefault="00302C75" w:rsidP="00114278">
      <w:pPr>
        <w:pStyle w:val="A-TableFootnoteText"/>
        <w:numPr>
          <w:ilvl w:val="0"/>
          <w:numId w:val="17"/>
        </w:numPr>
        <w:tabs>
          <w:tab w:val="clear" w:pos="432"/>
          <w:tab w:val="clear" w:pos="533"/>
        </w:tabs>
        <w:ind w:left="426"/>
        <w:rPr>
          <w:sz w:val="22"/>
          <w:szCs w:val="22"/>
          <w:lang w:val="sk-SK"/>
        </w:rPr>
      </w:pPr>
      <w:r w:rsidRPr="00C55991">
        <w:rPr>
          <w:sz w:val="22"/>
          <w:szCs w:val="22"/>
          <w:lang w:val="sk-SK"/>
        </w:rPr>
        <w:t xml:space="preserve">Založené na posunoch z normálnych </w:t>
      </w:r>
      <w:r w:rsidRPr="00E21B7F">
        <w:rPr>
          <w:sz w:val="22"/>
          <w:szCs w:val="22"/>
          <w:lang w:val="sk-SK"/>
        </w:rPr>
        <w:t>pôvodný</w:t>
      </w:r>
      <w:r>
        <w:rPr>
          <w:sz w:val="22"/>
          <w:szCs w:val="22"/>
          <w:lang w:val="sk-SK"/>
        </w:rPr>
        <w:t>ch</w:t>
      </w:r>
      <w:r w:rsidRPr="00C55991">
        <w:rPr>
          <w:sz w:val="22"/>
          <w:szCs w:val="22"/>
          <w:lang w:val="sk-SK"/>
        </w:rPr>
        <w:t xml:space="preserve">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w:t>
      </w:r>
      <w:r>
        <w:rPr>
          <w:sz w:val="22"/>
          <w:szCs w:val="22"/>
          <w:lang w:val="sk-SK"/>
        </w:rPr>
        <w:t>eozinofiloch</w:t>
      </w:r>
      <w:r w:rsidRPr="00C55991">
        <w:rPr>
          <w:sz w:val="22"/>
          <w:szCs w:val="22"/>
          <w:lang w:val="sk-SK"/>
        </w:rPr>
        <w:t xml:space="preserve"> sú definované ako ≤ </w:t>
      </w:r>
      <w:r w:rsidRPr="00C73C4F">
        <w:rPr>
          <w:sz w:val="22"/>
          <w:szCs w:val="22"/>
          <w:lang w:val="sk-SK"/>
        </w:rPr>
        <w:t>1</w:t>
      </w:r>
      <w:r>
        <w:rPr>
          <w:sz w:val="22"/>
          <w:szCs w:val="22"/>
          <w:lang w:val="sk-SK"/>
        </w:rPr>
        <w:t xml:space="preserve"> </w:t>
      </w:r>
      <w:r w:rsidRPr="00C73C4F">
        <w:rPr>
          <w:sz w:val="22"/>
          <w:szCs w:val="22"/>
          <w:lang w:val="sk-SK"/>
        </w:rPr>
        <w:t>x</w:t>
      </w:r>
      <w:r>
        <w:rPr>
          <w:sz w:val="22"/>
          <w:szCs w:val="22"/>
          <w:lang w:val="sk-SK"/>
        </w:rPr>
        <w:t xml:space="preserve"> </w:t>
      </w:r>
      <w:r w:rsidRPr="00C73C4F">
        <w:rPr>
          <w:sz w:val="22"/>
          <w:szCs w:val="22"/>
          <w:lang w:val="sk-SK"/>
        </w:rPr>
        <w:t>10</w:t>
      </w:r>
      <w:r w:rsidRPr="00C73C4F">
        <w:rPr>
          <w:sz w:val="22"/>
          <w:szCs w:val="22"/>
          <w:vertAlign w:val="superscript"/>
          <w:lang w:val="sk-SK"/>
        </w:rPr>
        <w:t>9</w:t>
      </w:r>
      <w:r>
        <w:rPr>
          <w:sz w:val="22"/>
          <w:szCs w:val="22"/>
          <w:vertAlign w:val="superscript"/>
          <w:lang w:val="sk-SK"/>
        </w:rPr>
        <w:t xml:space="preserve"> </w:t>
      </w:r>
      <w:r w:rsidRPr="00C73C4F">
        <w:rPr>
          <w:sz w:val="22"/>
          <w:szCs w:val="22"/>
          <w:lang w:val="sk-SK"/>
        </w:rPr>
        <w:t>krviniek</w:t>
      </w:r>
      <w:r>
        <w:rPr>
          <w:sz w:val="22"/>
          <w:szCs w:val="22"/>
          <w:lang w:val="sk-SK"/>
        </w:rPr>
        <w:t xml:space="preserve"> </w:t>
      </w:r>
      <w:r w:rsidRPr="00C73C4F">
        <w:rPr>
          <w:sz w:val="22"/>
          <w:szCs w:val="22"/>
          <w:lang w:val="sk-SK"/>
        </w:rPr>
        <w:t>&gt;</w:t>
      </w:r>
      <w:r>
        <w:rPr>
          <w:sz w:val="22"/>
          <w:szCs w:val="22"/>
          <w:lang w:val="sk-SK"/>
        </w:rPr>
        <w:t xml:space="preserve"> </w:t>
      </w:r>
      <w:r w:rsidRPr="00C73C4F">
        <w:rPr>
          <w:sz w:val="22"/>
          <w:szCs w:val="22"/>
          <w:lang w:val="sk-SK"/>
        </w:rPr>
        <w:t>1x</w:t>
      </w:r>
      <w:r>
        <w:rPr>
          <w:sz w:val="22"/>
          <w:szCs w:val="22"/>
          <w:lang w:val="sk-SK"/>
        </w:rPr>
        <w:t xml:space="preserve"> </w:t>
      </w:r>
      <w:r w:rsidRPr="00C73C4F">
        <w:rPr>
          <w:sz w:val="22"/>
          <w:szCs w:val="22"/>
          <w:lang w:val="sk-SK"/>
        </w:rPr>
        <w:t>10</w:t>
      </w:r>
      <w:r w:rsidRPr="00C73C4F">
        <w:rPr>
          <w:sz w:val="22"/>
          <w:szCs w:val="22"/>
          <w:vertAlign w:val="superscript"/>
          <w:lang w:val="sk-SK"/>
        </w:rPr>
        <w:t>9</w:t>
      </w:r>
      <w:r>
        <w:rPr>
          <w:sz w:val="22"/>
          <w:szCs w:val="22"/>
          <w:vertAlign w:val="superscript"/>
          <w:lang w:val="sk-SK"/>
        </w:rPr>
        <w:t xml:space="preserve"> </w:t>
      </w:r>
      <w:r w:rsidRPr="00C73C4F">
        <w:rPr>
          <w:sz w:val="22"/>
          <w:szCs w:val="22"/>
          <w:lang w:val="sk-SK"/>
        </w:rPr>
        <w:t>krviniek</w:t>
      </w:r>
      <w:r w:rsidRPr="00D37C28" w:rsidDel="00D37C28">
        <w:rPr>
          <w:sz w:val="22"/>
          <w:szCs w:val="22"/>
          <w:lang w:val="sk-SK"/>
        </w:rPr>
        <w:t xml:space="preserve"> </w:t>
      </w:r>
      <w:r w:rsidRPr="00C55991">
        <w:rPr>
          <w:sz w:val="22"/>
          <w:szCs w:val="22"/>
          <w:lang w:val="sk-SK"/>
        </w:rPr>
        <w:t>/l kedykoľvek.</w:t>
      </w:r>
    </w:p>
    <w:p w:rsidR="00302C75" w:rsidRPr="00C55991" w:rsidRDefault="00302C75" w:rsidP="00114278">
      <w:pPr>
        <w:pStyle w:val="A-TableFootnoteText"/>
        <w:numPr>
          <w:ilvl w:val="0"/>
          <w:numId w:val="17"/>
        </w:numPr>
        <w:tabs>
          <w:tab w:val="clear" w:pos="533"/>
        </w:tabs>
        <w:ind w:left="426"/>
        <w:rPr>
          <w:sz w:val="22"/>
          <w:szCs w:val="22"/>
          <w:lang w:val="sk-SK"/>
        </w:rPr>
      </w:pPr>
      <w:r w:rsidRPr="00C55991">
        <w:rPr>
          <w:sz w:val="22"/>
          <w:szCs w:val="22"/>
          <w:lang w:val="sk-SK"/>
        </w:rPr>
        <w:t xml:space="preserve">Založené na posunoch z normálnych </w:t>
      </w:r>
      <w:r w:rsidRPr="00E21B7F">
        <w:rPr>
          <w:sz w:val="22"/>
          <w:szCs w:val="22"/>
          <w:lang w:val="sk-SK"/>
        </w:rPr>
        <w:t>pôvodný</w:t>
      </w:r>
      <w:r>
        <w:rPr>
          <w:sz w:val="22"/>
          <w:szCs w:val="22"/>
          <w:lang w:val="sk-SK"/>
        </w:rPr>
        <w:t>ch</w:t>
      </w:r>
      <w:r w:rsidRPr="00C55991">
        <w:rPr>
          <w:sz w:val="22"/>
          <w:szCs w:val="22"/>
          <w:lang w:val="sk-SK"/>
        </w:rPr>
        <w:t xml:space="preserve"> hodnôt na potenciálne klinicky významné hodnoty kedykoľvek po </w:t>
      </w:r>
      <w:r w:rsidRPr="00E21B7F">
        <w:rPr>
          <w:sz w:val="22"/>
          <w:szCs w:val="22"/>
          <w:lang w:val="sk-SK"/>
        </w:rPr>
        <w:t>pôvodný</w:t>
      </w:r>
      <w:r>
        <w:rPr>
          <w:sz w:val="22"/>
          <w:szCs w:val="22"/>
          <w:lang w:val="sk-SK"/>
        </w:rPr>
        <w:t>ch</w:t>
      </w:r>
      <w:r w:rsidRPr="00C55991">
        <w:rPr>
          <w:sz w:val="22"/>
          <w:szCs w:val="22"/>
          <w:lang w:val="sk-SK"/>
        </w:rPr>
        <w:t xml:space="preserve"> hodnotách vo všetkých skúšaniach. Posuny v </w:t>
      </w:r>
      <w:r>
        <w:rPr>
          <w:sz w:val="22"/>
          <w:szCs w:val="22"/>
          <w:lang w:val="sk-SK"/>
        </w:rPr>
        <w:t>leukocytoch</w:t>
      </w:r>
      <w:r w:rsidRPr="00C55991">
        <w:rPr>
          <w:sz w:val="22"/>
          <w:szCs w:val="22"/>
          <w:lang w:val="sk-SK"/>
        </w:rPr>
        <w:t xml:space="preserve"> sú definované ako &gt;</w:t>
      </w:r>
      <w:r>
        <w:rPr>
          <w:sz w:val="22"/>
          <w:szCs w:val="22"/>
          <w:lang w:val="sk-SK"/>
        </w:rPr>
        <w:t xml:space="preserve"> 3 </w:t>
      </w:r>
      <w:r w:rsidRPr="00C55991">
        <w:rPr>
          <w:sz w:val="22"/>
          <w:szCs w:val="22"/>
          <w:lang w:val="sk-SK"/>
        </w:rPr>
        <w:t>x 10</w:t>
      </w:r>
      <w:r w:rsidRPr="00C55991">
        <w:rPr>
          <w:sz w:val="22"/>
          <w:szCs w:val="22"/>
          <w:vertAlign w:val="superscript"/>
          <w:lang w:val="sk-SK"/>
        </w:rPr>
        <w:t>9</w:t>
      </w:r>
      <w:r w:rsidRPr="00C55991">
        <w:rPr>
          <w:sz w:val="22"/>
          <w:szCs w:val="22"/>
          <w:lang w:val="sk-SK"/>
        </w:rPr>
        <w:t xml:space="preserve"> krviniek/l kedykoľvek.</w:t>
      </w:r>
    </w:p>
    <w:p w:rsidR="00302C75" w:rsidRPr="00C55991" w:rsidRDefault="00302C75" w:rsidP="00114278">
      <w:pPr>
        <w:pStyle w:val="A-TableFootnoteText"/>
        <w:numPr>
          <w:ilvl w:val="0"/>
          <w:numId w:val="17"/>
        </w:numPr>
        <w:tabs>
          <w:tab w:val="clear" w:pos="533"/>
        </w:tabs>
        <w:ind w:left="426"/>
        <w:rPr>
          <w:sz w:val="22"/>
          <w:szCs w:val="22"/>
          <w:lang w:val="sk-SK"/>
        </w:rPr>
      </w:pPr>
      <w:r w:rsidRPr="00C55991">
        <w:rPr>
          <w:sz w:val="22"/>
          <w:szCs w:val="22"/>
          <w:lang w:val="sk-SK"/>
        </w:rPr>
        <w:t>Založené na hlásených nežiad</w:t>
      </w:r>
      <w:r>
        <w:rPr>
          <w:sz w:val="22"/>
          <w:szCs w:val="22"/>
          <w:lang w:val="sk-SK"/>
        </w:rPr>
        <w:t>u</w:t>
      </w:r>
      <w:r w:rsidRPr="00C55991">
        <w:rPr>
          <w:sz w:val="22"/>
          <w:szCs w:val="22"/>
          <w:lang w:val="sk-SK"/>
        </w:rPr>
        <w:t>cich účinkoch vo forme metabolického syndrómu zo všetkých klinických skúš</w:t>
      </w:r>
      <w:r>
        <w:rPr>
          <w:sz w:val="22"/>
          <w:szCs w:val="22"/>
          <w:lang w:val="sk-SK"/>
        </w:rPr>
        <w:t>an</w:t>
      </w:r>
      <w:r w:rsidRPr="00C55991">
        <w:rPr>
          <w:sz w:val="22"/>
          <w:szCs w:val="22"/>
          <w:lang w:val="sk-SK"/>
        </w:rPr>
        <w:t>í s kvetiapínom.</w:t>
      </w:r>
    </w:p>
    <w:p w:rsidR="00302C75" w:rsidRPr="00C55991" w:rsidRDefault="00302C75" w:rsidP="00114278">
      <w:pPr>
        <w:pStyle w:val="A-TableFootnoteText"/>
        <w:numPr>
          <w:ilvl w:val="0"/>
          <w:numId w:val="17"/>
        </w:numPr>
        <w:tabs>
          <w:tab w:val="clear" w:pos="533"/>
        </w:tabs>
        <w:ind w:left="426"/>
        <w:rPr>
          <w:sz w:val="22"/>
          <w:szCs w:val="22"/>
          <w:lang w:val="sk-SK"/>
        </w:rPr>
      </w:pPr>
      <w:r w:rsidRPr="00C55991">
        <w:rPr>
          <w:sz w:val="22"/>
          <w:szCs w:val="22"/>
          <w:lang w:val="sk-SK"/>
        </w:rPr>
        <w:t>U niektorých pacientov bolo v rámci klinických štúdií spozorované zhoršenie viacerých metabolických faktorov hmotnosti, krvnej glukózy a lipidov (pozri časť 4.4).</w:t>
      </w:r>
    </w:p>
    <w:p w:rsidR="00302C75" w:rsidRPr="00C55991" w:rsidRDefault="00302C75" w:rsidP="00114278">
      <w:pPr>
        <w:pStyle w:val="A-TableFootnoteText"/>
        <w:numPr>
          <w:ilvl w:val="0"/>
          <w:numId w:val="17"/>
        </w:numPr>
        <w:tabs>
          <w:tab w:val="clear" w:pos="533"/>
        </w:tabs>
        <w:ind w:left="426"/>
        <w:rPr>
          <w:sz w:val="22"/>
          <w:szCs w:val="22"/>
          <w:lang w:val="sk-SK"/>
        </w:rPr>
      </w:pPr>
      <w:r w:rsidRPr="00C55991">
        <w:rPr>
          <w:sz w:val="22"/>
          <w:szCs w:val="22"/>
          <w:lang w:val="sk-SK"/>
        </w:rPr>
        <w:t>Pozri časť 4.6</w:t>
      </w:r>
      <w:r w:rsidR="00FF35F4">
        <w:rPr>
          <w:sz w:val="22"/>
          <w:szCs w:val="22"/>
          <w:lang w:val="sk-SK"/>
        </w:rPr>
        <w:t>.</w:t>
      </w:r>
    </w:p>
    <w:p w:rsidR="00302C75" w:rsidRPr="00946E44" w:rsidRDefault="00302C75" w:rsidP="00946E44">
      <w:pPr>
        <w:pStyle w:val="A-TableFootnoteText"/>
        <w:numPr>
          <w:ilvl w:val="0"/>
          <w:numId w:val="17"/>
        </w:numPr>
        <w:tabs>
          <w:tab w:val="clear" w:pos="533"/>
        </w:tabs>
        <w:ind w:left="426"/>
        <w:rPr>
          <w:sz w:val="22"/>
          <w:szCs w:val="22"/>
          <w:lang w:val="sk-SK"/>
        </w:rPr>
      </w:pPr>
      <w:r w:rsidRPr="00946E44">
        <w:rPr>
          <w:sz w:val="22"/>
          <w:szCs w:val="22"/>
          <w:lang w:val="sk-SK"/>
        </w:rPr>
        <w:t xml:space="preserve">Môže sa vyskytnúť najmä pri začiatku liečby a môže byť spojený s hypotenziou a/alebo synkopou. Častosť založená na hlásených nežiaducich účinkoch bradykardie a súvisiacich </w:t>
      </w:r>
      <w:r w:rsidR="00FF35F4">
        <w:rPr>
          <w:sz w:val="22"/>
          <w:szCs w:val="22"/>
          <w:lang w:val="sk-SK"/>
        </w:rPr>
        <w:t>udalostí</w:t>
      </w:r>
      <w:r w:rsidR="00FF35F4" w:rsidRPr="00946E44">
        <w:rPr>
          <w:sz w:val="22"/>
          <w:szCs w:val="22"/>
          <w:lang w:val="sk-SK"/>
        </w:rPr>
        <w:t xml:space="preserve"> </w:t>
      </w:r>
      <w:r w:rsidRPr="00946E44">
        <w:rPr>
          <w:sz w:val="22"/>
          <w:szCs w:val="22"/>
          <w:lang w:val="sk-SK"/>
        </w:rPr>
        <w:t>vo všetkých klinických skúšaniach kvetiapínu.</w:t>
      </w:r>
    </w:p>
    <w:p w:rsidR="001C756A" w:rsidRPr="00946E44" w:rsidRDefault="001C756A" w:rsidP="00946E44">
      <w:pPr>
        <w:pStyle w:val="A-TableFootnoteText"/>
        <w:numPr>
          <w:ilvl w:val="0"/>
          <w:numId w:val="17"/>
        </w:numPr>
        <w:tabs>
          <w:tab w:val="clear" w:pos="533"/>
        </w:tabs>
        <w:ind w:left="426"/>
        <w:rPr>
          <w:sz w:val="22"/>
          <w:szCs w:val="22"/>
          <w:lang w:val="sk-SK"/>
        </w:rPr>
      </w:pPr>
      <w:r w:rsidRPr="00946E44">
        <w:rPr>
          <w:sz w:val="22"/>
          <w:szCs w:val="22"/>
          <w:lang w:val="sk-SK"/>
        </w:rPr>
        <w:t>V súvislosti s liečbou kvetiapínom sa hlásili závažné kožné nežiaduce reakcie (</w:t>
      </w:r>
      <w:r w:rsidRPr="00946E44">
        <w:rPr>
          <w:i/>
          <w:sz w:val="22"/>
          <w:szCs w:val="22"/>
          <w:lang w:val="sk-SK"/>
        </w:rPr>
        <w:t>severe cutaneous adverse reaction</w:t>
      </w:r>
      <w:r w:rsidRPr="00946E44">
        <w:rPr>
          <w:sz w:val="22"/>
          <w:szCs w:val="22"/>
          <w:lang w:val="sk-SK"/>
        </w:rPr>
        <w:t>, SCAR), vrátane Stevensovho-Johnsonovho syndrómu (SJS), toxickej epidermálnej nekrolýzy (TEN) a liekovej reakcie s eozinofíliou a systémovými príznakmi (</w:t>
      </w:r>
      <w:r w:rsidRPr="00946E44">
        <w:rPr>
          <w:i/>
          <w:sz w:val="22"/>
          <w:szCs w:val="22"/>
          <w:lang w:val="sk-SK"/>
        </w:rPr>
        <w:t>drug reaction with eosinophilia and systemic symptoms</w:t>
      </w:r>
      <w:r w:rsidRPr="00946E44">
        <w:rPr>
          <w:sz w:val="22"/>
          <w:szCs w:val="22"/>
          <w:lang w:val="sk-SK"/>
        </w:rPr>
        <w:t>, DRESS).</w:t>
      </w:r>
    </w:p>
    <w:p w:rsidR="00302C75"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Pri užívaní neuroleptík boli hlásené prípady predĺženia intervalu QT, ventrikulárnej arytmie, náhleho nevysvetliteľného úmrtia, srdcovej zástavy a </w:t>
      </w:r>
      <w:r w:rsidRPr="00E21B7F">
        <w:rPr>
          <w:i/>
          <w:iCs/>
          <w:color w:val="auto"/>
          <w:sz w:val="22"/>
          <w:szCs w:val="22"/>
          <w:lang w:val="sk-SK"/>
        </w:rPr>
        <w:t xml:space="preserve">torsades de pointes, </w:t>
      </w:r>
      <w:r w:rsidRPr="00E21B7F">
        <w:rPr>
          <w:color w:val="auto"/>
          <w:sz w:val="22"/>
          <w:szCs w:val="22"/>
          <w:lang w:val="sk-SK"/>
        </w:rPr>
        <w:t xml:space="preserve">a boli hodnotené ako účinky tejto triedy. </w:t>
      </w:r>
    </w:p>
    <w:p w:rsidR="00302C75" w:rsidRPr="00E21B7F" w:rsidRDefault="00302C75">
      <w:pPr>
        <w:jc w:val="both"/>
        <w:rPr>
          <w:sz w:val="22"/>
          <w:szCs w:val="22"/>
          <w:lang w:val="sk-SK"/>
        </w:rPr>
      </w:pPr>
    </w:p>
    <w:p w:rsidR="00302C75" w:rsidRPr="00E21B7F" w:rsidRDefault="00302C75">
      <w:pPr>
        <w:pStyle w:val="A-TableHeader"/>
        <w:keepNext w:val="0"/>
        <w:tabs>
          <w:tab w:val="left" w:pos="567"/>
        </w:tabs>
        <w:spacing w:before="0" w:after="0" w:line="260" w:lineRule="exact"/>
        <w:jc w:val="both"/>
        <w:rPr>
          <w:lang w:val="sk-SK"/>
        </w:rPr>
      </w:pPr>
      <w:r>
        <w:rPr>
          <w:lang w:val="sk-SK"/>
        </w:rPr>
        <w:t>Pediatrická populácia</w:t>
      </w:r>
    </w:p>
    <w:p w:rsidR="00302C75" w:rsidRDefault="00302C75">
      <w:pPr>
        <w:jc w:val="both"/>
        <w:rPr>
          <w:sz w:val="22"/>
          <w:szCs w:val="22"/>
          <w:lang w:val="sk-SK"/>
        </w:rPr>
      </w:pPr>
      <w:r w:rsidRPr="00E21B7F">
        <w:rPr>
          <w:sz w:val="22"/>
          <w:szCs w:val="22"/>
          <w:lang w:val="sk-SK"/>
        </w:rPr>
        <w:t>Rovnaké nežiaduce účinky popísané vyššie pre dospelých sa musia brať do úvahy u detí a dospievajúcich. Nasledujúca tabuľka sumarizuje nežiaduce účinky, ktoré sa vyskytujú vo vyššej frekvenčnej kategórii u detí a dospievajúcich pacientov (10</w:t>
      </w:r>
      <w:r w:rsidRPr="00E21B7F">
        <w:rPr>
          <w:sz w:val="22"/>
          <w:szCs w:val="22"/>
          <w:lang w:val="sk-SK"/>
        </w:rPr>
        <w:noBreakHyphen/>
        <w:t xml:space="preserve"> až 17</w:t>
      </w:r>
      <w:r w:rsidRPr="00E21B7F">
        <w:rPr>
          <w:sz w:val="22"/>
          <w:szCs w:val="22"/>
          <w:lang w:val="sk-SK"/>
        </w:rPr>
        <w:noBreakHyphen/>
        <w:t>ročných) ako u dospelej populácie alebo nežiaduce účinky, ktoré neboli identifikované u dospelej populácie.</w:t>
      </w:r>
    </w:p>
    <w:p w:rsidR="00302C75" w:rsidRDefault="00302C75">
      <w:pPr>
        <w:jc w:val="both"/>
        <w:rPr>
          <w:sz w:val="22"/>
          <w:szCs w:val="22"/>
          <w:lang w:val="sk-SK"/>
        </w:rPr>
      </w:pPr>
    </w:p>
    <w:p w:rsidR="00302C75" w:rsidRDefault="006615B0">
      <w:pPr>
        <w:jc w:val="both"/>
        <w:rPr>
          <w:rStyle w:val="Siln"/>
          <w:sz w:val="22"/>
          <w:szCs w:val="22"/>
        </w:rPr>
      </w:pPr>
      <w:r w:rsidRPr="006615B0">
        <w:rPr>
          <w:rStyle w:val="Siln"/>
          <w:sz w:val="22"/>
          <w:szCs w:val="22"/>
        </w:rPr>
        <w:t>Tabuľka 2 Nežiaduce reakcie na liek u detí a dospievajúcich spojené s liečbou kvetiapínom, ktoré sa vyskytovali častejšie v porovnaní s dospelými pacientmi alebo nežiaduce reakcie na liek, ktoré sa u dospelých nezistili</w:t>
      </w:r>
    </w:p>
    <w:p w:rsidR="00302C75" w:rsidRDefault="00302C75">
      <w:pPr>
        <w:jc w:val="both"/>
        <w:rPr>
          <w:rStyle w:val="Siln"/>
          <w:sz w:val="22"/>
          <w:szCs w:val="22"/>
        </w:rPr>
      </w:pPr>
    </w:p>
    <w:p w:rsidR="00302C75" w:rsidRDefault="00302C75">
      <w:pPr>
        <w:jc w:val="both"/>
        <w:rPr>
          <w:b/>
          <w:bCs/>
          <w:sz w:val="22"/>
          <w:szCs w:val="22"/>
          <w:lang w:val="sk-SK"/>
        </w:rPr>
      </w:pPr>
      <w:r w:rsidRPr="00E21B7F">
        <w:rPr>
          <w:b/>
          <w:bCs/>
          <w:sz w:val="22"/>
          <w:szCs w:val="22"/>
          <w:lang w:val="sk-SK"/>
        </w:rPr>
        <w:t>Frekvencie nežiaducich účinkov sú usporiadané nasledovne: veľmi časté (&gt;1/10); časté (&gt;1/100</w:t>
      </w:r>
      <w:r>
        <w:rPr>
          <w:b/>
          <w:bCs/>
          <w:sz w:val="22"/>
          <w:szCs w:val="22"/>
          <w:lang w:val="sk-SK"/>
        </w:rPr>
        <w:t xml:space="preserve"> až</w:t>
      </w:r>
      <w:r w:rsidRPr="00E21B7F">
        <w:rPr>
          <w:b/>
          <w:bCs/>
          <w:sz w:val="22"/>
          <w:szCs w:val="22"/>
          <w:lang w:val="sk-SK"/>
        </w:rPr>
        <w:t xml:space="preserve"> &lt;1/10); menej časté (&gt;1/1 000</w:t>
      </w:r>
      <w:r>
        <w:rPr>
          <w:b/>
          <w:bCs/>
          <w:sz w:val="22"/>
          <w:szCs w:val="22"/>
          <w:lang w:val="sk-SK"/>
        </w:rPr>
        <w:t xml:space="preserve"> až</w:t>
      </w:r>
      <w:r w:rsidRPr="00E21B7F">
        <w:rPr>
          <w:b/>
          <w:bCs/>
          <w:sz w:val="22"/>
          <w:szCs w:val="22"/>
          <w:lang w:val="sk-SK"/>
        </w:rPr>
        <w:t xml:space="preserve"> &lt;1/100); zriedkavé (&gt;1/10 000</w:t>
      </w:r>
      <w:r>
        <w:rPr>
          <w:b/>
          <w:bCs/>
          <w:sz w:val="22"/>
          <w:szCs w:val="22"/>
          <w:lang w:val="sk-SK"/>
        </w:rPr>
        <w:t xml:space="preserve"> až</w:t>
      </w:r>
      <w:r w:rsidRPr="00E21B7F">
        <w:rPr>
          <w:b/>
          <w:bCs/>
          <w:sz w:val="22"/>
          <w:szCs w:val="22"/>
          <w:lang w:val="sk-SK"/>
        </w:rPr>
        <w:t xml:space="preserve"> &lt;1/1000); veľmi zriedkavé (&lt;1/10 000).</w:t>
      </w:r>
    </w:p>
    <w:p w:rsidR="00302C75" w:rsidRDefault="00302C75">
      <w:pPr>
        <w:jc w:val="both"/>
        <w:rPr>
          <w:b/>
          <w:bCs/>
          <w:sz w:val="22"/>
          <w:szCs w:val="22"/>
          <w:lang w:val="sk-SK"/>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739"/>
        <w:gridCol w:w="3197"/>
        <w:gridCol w:w="3197"/>
      </w:tblGrid>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BE2F76" w:rsidRDefault="006615B0" w:rsidP="006C52B8">
            <w:pPr>
              <w:rPr>
                <w:b/>
              </w:rPr>
            </w:pPr>
            <w:r w:rsidRPr="006615B0">
              <w:rPr>
                <w:b/>
                <w:bCs/>
                <w:sz w:val="22"/>
                <w:szCs w:val="22"/>
              </w:rPr>
              <w:t>Trieda orgánových systémov</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BE2F76" w:rsidRDefault="006615B0" w:rsidP="006C52B8">
            <w:pPr>
              <w:rPr>
                <w:b/>
              </w:rPr>
            </w:pPr>
            <w:r w:rsidRPr="006615B0">
              <w:rPr>
                <w:b/>
                <w:bCs/>
                <w:sz w:val="22"/>
                <w:szCs w:val="22"/>
              </w:rPr>
              <w:t>Veľmi časté</w:t>
            </w:r>
          </w:p>
        </w:tc>
        <w:tc>
          <w:tcPr>
            <w:tcW w:w="1750" w:type="pct"/>
            <w:tcBorders>
              <w:top w:val="outset" w:sz="6" w:space="0" w:color="auto"/>
              <w:left w:val="outset" w:sz="6" w:space="0" w:color="auto"/>
              <w:bottom w:val="outset" w:sz="6" w:space="0" w:color="auto"/>
            </w:tcBorders>
            <w:shd w:val="clear" w:color="auto" w:fill="FFFFFF"/>
          </w:tcPr>
          <w:p w:rsidR="00302C75" w:rsidRPr="00BE2F76" w:rsidRDefault="006615B0" w:rsidP="006C52B8">
            <w:pPr>
              <w:rPr>
                <w:b/>
              </w:rPr>
            </w:pPr>
            <w:r w:rsidRPr="006615B0">
              <w:rPr>
                <w:b/>
                <w:bCs/>
                <w:sz w:val="22"/>
                <w:szCs w:val="22"/>
              </w:rPr>
              <w:t>Časté</w:t>
            </w:r>
          </w:p>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BE2F76" w:rsidRDefault="006615B0" w:rsidP="006C52B8">
            <w:r w:rsidRPr="006615B0">
              <w:rPr>
                <w:i/>
                <w:iCs/>
                <w:sz w:val="22"/>
                <w:szCs w:val="22"/>
              </w:rPr>
              <w:t>Poruchy endokrinného systému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BE2F76" w:rsidRDefault="006615B0" w:rsidP="006C52B8">
            <w:r w:rsidRPr="006615B0">
              <w:rPr>
                <w:sz w:val="22"/>
                <w:szCs w:val="22"/>
              </w:rPr>
              <w:t>zvýšeni</w:t>
            </w:r>
            <w:r w:rsidR="00302C75">
              <w:rPr>
                <w:sz w:val="22"/>
                <w:szCs w:val="22"/>
              </w:rPr>
              <w:t>e</w:t>
            </w:r>
            <w:r w:rsidRPr="006615B0">
              <w:rPr>
                <w:sz w:val="22"/>
                <w:szCs w:val="22"/>
              </w:rPr>
              <w:t xml:space="preserve"> hladín prolaktínu </w:t>
            </w:r>
            <w:r w:rsidRPr="006615B0">
              <w:rPr>
                <w:sz w:val="22"/>
                <w:szCs w:val="22"/>
                <w:vertAlign w:val="superscript"/>
              </w:rPr>
              <w:t>1</w:t>
            </w:r>
          </w:p>
        </w:tc>
        <w:tc>
          <w:tcPr>
            <w:tcW w:w="1750" w:type="pct"/>
            <w:tcBorders>
              <w:top w:val="outset" w:sz="6" w:space="0" w:color="auto"/>
              <w:left w:val="outset" w:sz="6" w:space="0" w:color="auto"/>
              <w:bottom w:val="outset" w:sz="6" w:space="0" w:color="auto"/>
            </w:tcBorders>
            <w:shd w:val="clear" w:color="auto" w:fill="FFFFFF"/>
          </w:tcPr>
          <w:p w:rsidR="00302C75" w:rsidRPr="00302C75" w:rsidRDefault="00302C75" w:rsidP="006C52B8"/>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6615B0" w:rsidP="006C52B8">
            <w:r w:rsidRPr="006615B0">
              <w:rPr>
                <w:i/>
                <w:iCs/>
                <w:sz w:val="22"/>
                <w:szCs w:val="22"/>
              </w:rPr>
              <w:t>Poruchy metabolizmu a výživy</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6615B0" w:rsidP="006C52B8">
            <w:r w:rsidRPr="006615B0">
              <w:rPr>
                <w:sz w:val="22"/>
                <w:szCs w:val="22"/>
              </w:rPr>
              <w:t>zvýšená chuť do jedla</w:t>
            </w:r>
          </w:p>
        </w:tc>
        <w:tc>
          <w:tcPr>
            <w:tcW w:w="1750" w:type="pct"/>
            <w:tcBorders>
              <w:top w:val="outset" w:sz="6" w:space="0" w:color="auto"/>
              <w:left w:val="outset" w:sz="6" w:space="0" w:color="auto"/>
              <w:bottom w:val="outset" w:sz="6" w:space="0" w:color="auto"/>
            </w:tcBorders>
            <w:shd w:val="clear" w:color="auto" w:fill="FFFFFF"/>
          </w:tcPr>
          <w:p w:rsidR="00302C75" w:rsidRPr="00302C75" w:rsidRDefault="00302C75" w:rsidP="006C52B8"/>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6615B0" w:rsidP="006C52B8">
            <w:r w:rsidRPr="006615B0">
              <w:rPr>
                <w:i/>
                <w:iCs/>
                <w:sz w:val="22"/>
                <w:szCs w:val="22"/>
              </w:rPr>
              <w:t>Poruchy nervového systému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6615B0" w:rsidP="00882001">
            <w:r w:rsidRPr="006615B0">
              <w:rPr>
                <w:sz w:val="22"/>
                <w:szCs w:val="22"/>
              </w:rPr>
              <w:t>extrapyram</w:t>
            </w:r>
            <w:r w:rsidR="00882001">
              <w:rPr>
                <w:sz w:val="22"/>
                <w:szCs w:val="22"/>
              </w:rPr>
              <w:t>ídové</w:t>
            </w:r>
            <w:r w:rsidRPr="006615B0">
              <w:rPr>
                <w:sz w:val="22"/>
                <w:szCs w:val="22"/>
              </w:rPr>
              <w:t xml:space="preserve"> symptómy </w:t>
            </w:r>
            <w:r w:rsidRPr="006615B0">
              <w:rPr>
                <w:sz w:val="22"/>
                <w:szCs w:val="22"/>
                <w:vertAlign w:val="superscript"/>
              </w:rPr>
              <w:t>3, 4</w:t>
            </w:r>
          </w:p>
        </w:tc>
        <w:tc>
          <w:tcPr>
            <w:tcW w:w="1750" w:type="pct"/>
            <w:tcBorders>
              <w:top w:val="outset" w:sz="6" w:space="0" w:color="auto"/>
              <w:left w:val="outset" w:sz="6" w:space="0" w:color="auto"/>
              <w:bottom w:val="outset" w:sz="6" w:space="0" w:color="auto"/>
            </w:tcBorders>
            <w:shd w:val="clear" w:color="auto" w:fill="FFFFFF"/>
          </w:tcPr>
          <w:p w:rsidR="00302C75" w:rsidRPr="00302C75" w:rsidRDefault="006615B0" w:rsidP="006C52B8">
            <w:r w:rsidRPr="006615B0">
              <w:rPr>
                <w:sz w:val="22"/>
                <w:szCs w:val="22"/>
              </w:rPr>
              <w:t>synkopa</w:t>
            </w:r>
          </w:p>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6615B0" w:rsidP="006C52B8">
            <w:r w:rsidRPr="006615B0">
              <w:rPr>
                <w:i/>
                <w:iCs/>
                <w:sz w:val="22"/>
                <w:szCs w:val="22"/>
              </w:rPr>
              <w:t>Poruchy ciev</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6615B0" w:rsidP="006C52B8">
            <w:r w:rsidRPr="006615B0">
              <w:rPr>
                <w:sz w:val="22"/>
                <w:szCs w:val="22"/>
              </w:rPr>
              <w:t xml:space="preserve">zvýšenie krvného tlaku </w:t>
            </w:r>
            <w:r w:rsidRPr="006615B0">
              <w:rPr>
                <w:sz w:val="22"/>
                <w:szCs w:val="22"/>
                <w:vertAlign w:val="superscript"/>
              </w:rPr>
              <w:t>2</w:t>
            </w:r>
          </w:p>
        </w:tc>
        <w:tc>
          <w:tcPr>
            <w:tcW w:w="1750" w:type="pct"/>
            <w:tcBorders>
              <w:top w:val="outset" w:sz="6" w:space="0" w:color="auto"/>
              <w:left w:val="outset" w:sz="6" w:space="0" w:color="auto"/>
              <w:bottom w:val="outset" w:sz="6" w:space="0" w:color="auto"/>
            </w:tcBorders>
            <w:shd w:val="clear" w:color="auto" w:fill="FFFFFF"/>
          </w:tcPr>
          <w:p w:rsidR="00302C75" w:rsidRPr="00302C75" w:rsidRDefault="00302C75" w:rsidP="006C52B8"/>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6615B0" w:rsidP="006C52B8">
            <w:r w:rsidRPr="006615B0">
              <w:rPr>
                <w:i/>
                <w:iCs/>
                <w:sz w:val="22"/>
                <w:szCs w:val="22"/>
              </w:rPr>
              <w:t>Poruchy dýchacej sústavy, hrudníka a mediastína</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302C75" w:rsidP="006C52B8"/>
        </w:tc>
        <w:tc>
          <w:tcPr>
            <w:tcW w:w="1750" w:type="pct"/>
            <w:tcBorders>
              <w:top w:val="outset" w:sz="6" w:space="0" w:color="auto"/>
              <w:left w:val="outset" w:sz="6" w:space="0" w:color="auto"/>
              <w:bottom w:val="outset" w:sz="6" w:space="0" w:color="auto"/>
            </w:tcBorders>
            <w:shd w:val="clear" w:color="auto" w:fill="FFFFFF"/>
          </w:tcPr>
          <w:p w:rsidR="00302C75" w:rsidRPr="00302C75" w:rsidRDefault="006615B0" w:rsidP="006C52B8">
            <w:r w:rsidRPr="006615B0">
              <w:rPr>
                <w:sz w:val="22"/>
                <w:szCs w:val="22"/>
              </w:rPr>
              <w:t>rinitída</w:t>
            </w:r>
          </w:p>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302C75" w:rsidP="006C52B8">
            <w:r>
              <w:rPr>
                <w:i/>
                <w:iCs/>
                <w:sz w:val="22"/>
                <w:szCs w:val="22"/>
              </w:rPr>
              <w:t>Poruchy gastrointestinálneho traktu</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6615B0" w:rsidP="006C52B8">
            <w:r w:rsidRPr="006615B0">
              <w:rPr>
                <w:sz w:val="22"/>
                <w:szCs w:val="22"/>
              </w:rPr>
              <w:t>vracanie</w:t>
            </w:r>
          </w:p>
        </w:tc>
        <w:tc>
          <w:tcPr>
            <w:tcW w:w="1750" w:type="pct"/>
            <w:tcBorders>
              <w:top w:val="outset" w:sz="6" w:space="0" w:color="auto"/>
              <w:left w:val="outset" w:sz="6" w:space="0" w:color="auto"/>
              <w:bottom w:val="outset" w:sz="6" w:space="0" w:color="auto"/>
            </w:tcBorders>
            <w:shd w:val="clear" w:color="auto" w:fill="FFFFFF"/>
          </w:tcPr>
          <w:p w:rsidR="00302C75" w:rsidRPr="00302C75" w:rsidRDefault="00302C75" w:rsidP="006C52B8"/>
        </w:tc>
      </w:tr>
      <w:tr w:rsidR="00302C75" w:rsidRPr="00EA38F3" w:rsidTr="006C52B8">
        <w:tc>
          <w:tcPr>
            <w:tcW w:w="1500" w:type="pct"/>
            <w:tcBorders>
              <w:top w:val="outset" w:sz="6" w:space="0" w:color="auto"/>
              <w:bottom w:val="outset" w:sz="6" w:space="0" w:color="auto"/>
              <w:right w:val="outset" w:sz="6" w:space="0" w:color="auto"/>
            </w:tcBorders>
            <w:shd w:val="clear" w:color="auto" w:fill="FFFFFF"/>
          </w:tcPr>
          <w:p w:rsidR="00302C75" w:rsidRPr="00302C75" w:rsidRDefault="006615B0" w:rsidP="006C52B8">
            <w:r w:rsidRPr="006615B0">
              <w:rPr>
                <w:i/>
                <w:iCs/>
                <w:sz w:val="22"/>
                <w:szCs w:val="22"/>
              </w:rPr>
              <w:t>Celkové poruchy a reakcie v mieste podania</w:t>
            </w:r>
          </w:p>
        </w:tc>
        <w:tc>
          <w:tcPr>
            <w:tcW w:w="1750" w:type="pct"/>
            <w:tcBorders>
              <w:top w:val="outset" w:sz="6" w:space="0" w:color="auto"/>
              <w:left w:val="outset" w:sz="6" w:space="0" w:color="auto"/>
              <w:bottom w:val="outset" w:sz="6" w:space="0" w:color="auto"/>
              <w:right w:val="outset" w:sz="6" w:space="0" w:color="auto"/>
            </w:tcBorders>
            <w:shd w:val="clear" w:color="auto" w:fill="FFFFFF"/>
          </w:tcPr>
          <w:p w:rsidR="00302C75" w:rsidRPr="00302C75" w:rsidRDefault="00302C75" w:rsidP="006C52B8"/>
        </w:tc>
        <w:tc>
          <w:tcPr>
            <w:tcW w:w="1750" w:type="pct"/>
            <w:tcBorders>
              <w:top w:val="outset" w:sz="6" w:space="0" w:color="auto"/>
              <w:left w:val="outset" w:sz="6" w:space="0" w:color="auto"/>
              <w:bottom w:val="outset" w:sz="6" w:space="0" w:color="auto"/>
            </w:tcBorders>
            <w:shd w:val="clear" w:color="auto" w:fill="FFFFFF"/>
          </w:tcPr>
          <w:p w:rsidR="00302C75" w:rsidRPr="00302C75" w:rsidRDefault="006615B0" w:rsidP="006C52B8">
            <w:r w:rsidRPr="006615B0">
              <w:rPr>
                <w:sz w:val="22"/>
                <w:szCs w:val="22"/>
              </w:rPr>
              <w:t xml:space="preserve">podráždenosť </w:t>
            </w:r>
            <w:r w:rsidRPr="006615B0">
              <w:rPr>
                <w:sz w:val="22"/>
                <w:szCs w:val="22"/>
                <w:vertAlign w:val="superscript"/>
              </w:rPr>
              <w:t>3</w:t>
            </w:r>
          </w:p>
        </w:tc>
      </w:tr>
    </w:tbl>
    <w:p w:rsidR="00302C75" w:rsidRPr="00DD19E6" w:rsidRDefault="00302C75">
      <w:pPr>
        <w:jc w:val="both"/>
        <w:rPr>
          <w:sz w:val="22"/>
          <w:szCs w:val="22"/>
          <w:lang w:val="sk-SK"/>
        </w:rPr>
      </w:pPr>
    </w:p>
    <w:p w:rsidR="00302C75" w:rsidRPr="00E21B7F" w:rsidRDefault="00302C75">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Hladina prolaktínu (u pacientov vo veku &lt;18 rokov): u mužov &gt;20 μg/l (&gt;869,56 pmol/l); u žien &gt;26 μg/l (&gt;1130,428 pmol/l) kedykoľvek. </w:t>
      </w:r>
      <w:r w:rsidRPr="00E21B7F">
        <w:rPr>
          <w:color w:val="000000"/>
          <w:sz w:val="22"/>
          <w:szCs w:val="22"/>
          <w:lang w:val="sk-SK"/>
        </w:rPr>
        <w:t>U menej ako 1 % pacientov sa zvýšila hladina prolaktínu o &gt;100</w:t>
      </w:r>
      <w:r w:rsidRPr="00E21B7F">
        <w:rPr>
          <w:sz w:val="22"/>
          <w:szCs w:val="22"/>
          <w:lang w:val="sk-SK"/>
        </w:rPr>
        <w:t> </w:t>
      </w:r>
      <w:r w:rsidRPr="00E21B7F">
        <w:rPr>
          <w:color w:val="000000"/>
          <w:sz w:val="22"/>
          <w:szCs w:val="22"/>
          <w:lang w:val="sk-SK"/>
        </w:rPr>
        <w:t>μg/l.</w:t>
      </w:r>
    </w:p>
    <w:p w:rsidR="00302C75" w:rsidRPr="00E21B7F" w:rsidRDefault="00302C75">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Na základe zmeny presahujúceho klinicky významné limity (prevzaté z </w:t>
      </w:r>
      <w:r w:rsidRPr="00E21B7F">
        <w:rPr>
          <w:spacing w:val="8"/>
          <w:sz w:val="22"/>
          <w:szCs w:val="22"/>
          <w:lang w:val="sk-SK"/>
        </w:rPr>
        <w:t>kritérií Národného inštitútu pre zdravie</w:t>
      </w:r>
      <w:r w:rsidRPr="00E21B7F">
        <w:rPr>
          <w:sz w:val="22"/>
          <w:szCs w:val="22"/>
          <w:lang w:val="sk-SK"/>
        </w:rPr>
        <w:t>) alebo zvýšenie systolického tlaku o &gt;20 mmHg alebo diastolického tlaku o &gt;10 mmHg kedykoľvek v dvoch krátkodobých (3 až 6 týždňov) placebom kontrolovaných klinických skúšaniach u detí a dospievajúcich.</w:t>
      </w:r>
      <w:r>
        <w:rPr>
          <w:sz w:val="22"/>
          <w:szCs w:val="22"/>
          <w:lang w:val="sk-SK"/>
        </w:rPr>
        <w:t xml:space="preserve"> </w:t>
      </w:r>
    </w:p>
    <w:p w:rsidR="00302C75" w:rsidRDefault="00302C75" w:rsidP="00234F73">
      <w:pPr>
        <w:numPr>
          <w:ilvl w:val="0"/>
          <w:numId w:val="16"/>
        </w:numPr>
        <w:tabs>
          <w:tab w:val="clear" w:pos="720"/>
          <w:tab w:val="left" w:pos="0"/>
          <w:tab w:val="num" w:pos="374"/>
          <w:tab w:val="num" w:pos="993"/>
        </w:tabs>
        <w:spacing w:after="60"/>
        <w:ind w:left="374"/>
        <w:jc w:val="both"/>
        <w:rPr>
          <w:sz w:val="22"/>
          <w:szCs w:val="22"/>
          <w:lang w:val="sk-SK"/>
        </w:rPr>
      </w:pPr>
      <w:r w:rsidRPr="00E21B7F">
        <w:rPr>
          <w:sz w:val="22"/>
          <w:szCs w:val="22"/>
          <w:lang w:val="sk-SK"/>
        </w:rPr>
        <w:t xml:space="preserve">Poznámka: Frekvencia je  rovnaká ako u dospelých, no podráždenosť </w:t>
      </w:r>
      <w:r>
        <w:rPr>
          <w:sz w:val="22"/>
          <w:szCs w:val="22"/>
          <w:lang w:val="sk-SK"/>
        </w:rPr>
        <w:t>môže</w:t>
      </w:r>
      <w:r w:rsidRPr="00E21B7F">
        <w:rPr>
          <w:sz w:val="22"/>
          <w:szCs w:val="22"/>
          <w:lang w:val="sk-SK"/>
        </w:rPr>
        <w:t xml:space="preserve"> byť u detí a dospievajúcich spojená s odlišnými klinickými dôsledkami ako u dospelých.</w:t>
      </w:r>
    </w:p>
    <w:p w:rsidR="00302C75" w:rsidRPr="00234F73" w:rsidRDefault="00302C75" w:rsidP="00234F73">
      <w:pPr>
        <w:numPr>
          <w:ilvl w:val="0"/>
          <w:numId w:val="16"/>
        </w:numPr>
        <w:tabs>
          <w:tab w:val="clear" w:pos="720"/>
          <w:tab w:val="left" w:pos="0"/>
          <w:tab w:val="num" w:pos="374"/>
          <w:tab w:val="num" w:pos="993"/>
        </w:tabs>
        <w:spacing w:after="60"/>
        <w:ind w:left="374"/>
        <w:jc w:val="both"/>
        <w:rPr>
          <w:sz w:val="22"/>
          <w:szCs w:val="22"/>
          <w:lang w:val="sk-SK"/>
        </w:rPr>
      </w:pPr>
      <w:r>
        <w:rPr>
          <w:sz w:val="22"/>
          <w:szCs w:val="22"/>
          <w:lang w:val="sk-SK"/>
        </w:rPr>
        <w:t>Pozri časť 5.1.</w:t>
      </w:r>
    </w:p>
    <w:p w:rsidR="00302C75" w:rsidRDefault="00302C75">
      <w:pPr>
        <w:pStyle w:val="Hlavika"/>
        <w:tabs>
          <w:tab w:val="clear" w:pos="4320"/>
          <w:tab w:val="clear" w:pos="8640"/>
        </w:tabs>
        <w:jc w:val="both"/>
        <w:rPr>
          <w:sz w:val="22"/>
          <w:szCs w:val="22"/>
          <w:lang w:val="sk-SK"/>
        </w:rPr>
      </w:pPr>
    </w:p>
    <w:p w:rsidR="00302C75" w:rsidRPr="00F00F97" w:rsidRDefault="00302C75" w:rsidP="006412C5">
      <w:pPr>
        <w:autoSpaceDE w:val="0"/>
        <w:autoSpaceDN w:val="0"/>
        <w:adjustRightInd w:val="0"/>
        <w:rPr>
          <w:sz w:val="22"/>
          <w:szCs w:val="22"/>
          <w:u w:val="single"/>
          <w:lang w:val="sk-SK"/>
        </w:rPr>
      </w:pPr>
      <w:r w:rsidRPr="00F00F97">
        <w:rPr>
          <w:noProof/>
          <w:sz w:val="22"/>
          <w:szCs w:val="22"/>
          <w:u w:val="single"/>
          <w:lang w:val="sk-SK"/>
        </w:rPr>
        <w:t>Hlásenie podozrení na nežiaduce reakcie</w:t>
      </w:r>
    </w:p>
    <w:p w:rsidR="00302C75" w:rsidRPr="005A7843" w:rsidRDefault="00302C75" w:rsidP="006412C5">
      <w:pPr>
        <w:rPr>
          <w:sz w:val="22"/>
          <w:lang w:val="sk-SK"/>
        </w:rPr>
      </w:pPr>
      <w:r w:rsidRPr="00F00F97">
        <w:rPr>
          <w:noProof/>
          <w:sz w:val="22"/>
          <w:szCs w:val="22"/>
          <w:lang w:val="sk-SK"/>
        </w:rPr>
        <w:t>Hlásenie podozrení na nežiaduce reakcie po registrácii lieku je dôležité.</w:t>
      </w:r>
      <w:r w:rsidRPr="00F00F97">
        <w:rPr>
          <w:sz w:val="22"/>
          <w:szCs w:val="22"/>
          <w:lang w:val="sk-SK"/>
        </w:rPr>
        <w:t xml:space="preserve"> </w:t>
      </w:r>
      <w:r w:rsidRPr="00F00F97">
        <w:rPr>
          <w:noProof/>
          <w:sz w:val="22"/>
          <w:szCs w:val="22"/>
          <w:lang w:val="sk-SK"/>
        </w:rPr>
        <w:t>Umožňuje priebežné monitorovanie pomeru prínosu</w:t>
      </w:r>
      <w:r w:rsidRPr="00F00F97">
        <w:rPr>
          <w:sz w:val="22"/>
          <w:szCs w:val="22"/>
          <w:lang w:val="sk-SK"/>
        </w:rPr>
        <w:t xml:space="preserve"> a</w:t>
      </w:r>
      <w:r w:rsidRPr="00F00F97">
        <w:rPr>
          <w:noProof/>
          <w:sz w:val="22"/>
          <w:szCs w:val="22"/>
          <w:lang w:val="sk-SK"/>
        </w:rPr>
        <w:t> rizika lieku.</w:t>
      </w:r>
      <w:r w:rsidRPr="00F00F97">
        <w:rPr>
          <w:sz w:val="22"/>
          <w:szCs w:val="22"/>
          <w:lang w:val="sk-SK"/>
        </w:rPr>
        <w:t xml:space="preserve"> Od </w:t>
      </w:r>
      <w:r w:rsidRPr="00F00F97">
        <w:rPr>
          <w:noProof/>
          <w:sz w:val="22"/>
          <w:szCs w:val="22"/>
          <w:lang w:val="sk-SK"/>
        </w:rPr>
        <w:t xml:space="preserve">zdravotníckych pracovníkov sa vyžaduje, aby hlásili akékoľvek podozrenia na nežiaduce reakcie </w:t>
      </w:r>
      <w:r w:rsidR="00996AB8">
        <w:rPr>
          <w:noProof/>
          <w:sz w:val="22"/>
          <w:szCs w:val="22"/>
          <w:lang w:val="sk-SK"/>
        </w:rPr>
        <w:t>na</w:t>
      </w:r>
      <w:r w:rsidR="00996AB8" w:rsidRPr="00F00F97">
        <w:rPr>
          <w:noProof/>
          <w:sz w:val="22"/>
          <w:szCs w:val="22"/>
          <w:lang w:val="sk-SK"/>
        </w:rPr>
        <w:t xml:space="preserve"> </w:t>
      </w:r>
      <w:r w:rsidR="00996AB8" w:rsidRPr="007B4D8C">
        <w:rPr>
          <w:noProof/>
          <w:sz w:val="22"/>
          <w:szCs w:val="22"/>
          <w:highlight w:val="lightGray"/>
          <w:lang w:val="sk-SK"/>
        </w:rPr>
        <w:t>národn</w:t>
      </w:r>
      <w:r w:rsidR="00996AB8">
        <w:rPr>
          <w:noProof/>
          <w:sz w:val="22"/>
          <w:szCs w:val="22"/>
          <w:highlight w:val="lightGray"/>
          <w:lang w:val="sk-SK"/>
        </w:rPr>
        <w:t>é</w:t>
      </w:r>
      <w:r w:rsidR="00996AB8" w:rsidRPr="007B4D8C">
        <w:rPr>
          <w:noProof/>
          <w:sz w:val="22"/>
          <w:szCs w:val="22"/>
          <w:highlight w:val="lightGray"/>
          <w:lang w:val="sk-SK"/>
        </w:rPr>
        <w:t xml:space="preserve"> </w:t>
      </w:r>
      <w:r w:rsidR="00996AB8">
        <w:rPr>
          <w:noProof/>
          <w:sz w:val="22"/>
          <w:szCs w:val="22"/>
          <w:highlight w:val="lightGray"/>
          <w:lang w:val="sk-SK"/>
        </w:rPr>
        <w:t>centrum</w:t>
      </w:r>
      <w:r w:rsidRPr="007B4D8C">
        <w:rPr>
          <w:noProof/>
          <w:sz w:val="22"/>
          <w:szCs w:val="22"/>
          <w:highlight w:val="lightGray"/>
          <w:lang w:val="sk-SK"/>
        </w:rPr>
        <w:t xml:space="preserve"> hlásenia uveden</w:t>
      </w:r>
      <w:r w:rsidR="000B29D3">
        <w:rPr>
          <w:noProof/>
          <w:sz w:val="22"/>
          <w:szCs w:val="22"/>
          <w:highlight w:val="lightGray"/>
          <w:lang w:val="sk-SK"/>
        </w:rPr>
        <w:t>é</w:t>
      </w:r>
      <w:r w:rsidRPr="007B4D8C">
        <w:rPr>
          <w:noProof/>
          <w:sz w:val="22"/>
          <w:szCs w:val="22"/>
          <w:highlight w:val="lightGray"/>
          <w:lang w:val="sk-SK"/>
        </w:rPr>
        <w:t xml:space="preserve"> v </w:t>
      </w:r>
      <w:hyperlink r:id="rId8" w:history="1">
        <w:r w:rsidRPr="007B4D8C">
          <w:rPr>
            <w:rStyle w:val="Hypertextovprepojenie"/>
            <w:noProof/>
            <w:sz w:val="22"/>
            <w:szCs w:val="22"/>
            <w:highlight w:val="lightGray"/>
            <w:lang w:val="sk-SK"/>
          </w:rPr>
          <w:t>Prílohe V</w:t>
        </w:r>
      </w:hyperlink>
      <w:r w:rsidRPr="007B4D8C">
        <w:rPr>
          <w:noProof/>
          <w:sz w:val="22"/>
          <w:szCs w:val="22"/>
          <w:highlight w:val="lightGray"/>
          <w:lang w:val="sk-SK"/>
        </w:rPr>
        <w:t>.</w:t>
      </w:r>
    </w:p>
    <w:p w:rsidR="00302C75" w:rsidRPr="00E21B7F" w:rsidRDefault="00302C75" w:rsidP="00BE196F">
      <w:pPr>
        <w:autoSpaceDE w:val="0"/>
        <w:autoSpaceDN w:val="0"/>
        <w:adjustRightInd w:val="0"/>
        <w:rPr>
          <w:sz w:val="22"/>
          <w:szCs w:val="22"/>
          <w:lang w:val="sk-SK"/>
        </w:rPr>
      </w:pPr>
    </w:p>
    <w:p w:rsidR="00302C75" w:rsidRPr="00E21B7F" w:rsidRDefault="00302C75" w:rsidP="0004662C">
      <w:pPr>
        <w:pStyle w:val="Hlavika"/>
        <w:tabs>
          <w:tab w:val="clear" w:pos="4320"/>
          <w:tab w:val="clear" w:pos="8640"/>
          <w:tab w:val="left" w:pos="561"/>
        </w:tabs>
        <w:jc w:val="both"/>
        <w:rPr>
          <w:b/>
          <w:bCs/>
          <w:sz w:val="22"/>
          <w:szCs w:val="22"/>
          <w:lang w:val="sk-SK"/>
        </w:rPr>
      </w:pPr>
      <w:r w:rsidRPr="00E21B7F">
        <w:rPr>
          <w:b/>
          <w:bCs/>
          <w:sz w:val="22"/>
          <w:szCs w:val="22"/>
          <w:lang w:val="sk-SK"/>
        </w:rPr>
        <w:t>4.9</w:t>
      </w:r>
      <w:r w:rsidRPr="00E21B7F">
        <w:rPr>
          <w:b/>
          <w:bCs/>
          <w:sz w:val="22"/>
          <w:szCs w:val="22"/>
          <w:lang w:val="sk-SK"/>
        </w:rPr>
        <w:tab/>
        <w:t>Predávkovanie</w:t>
      </w:r>
    </w:p>
    <w:p w:rsidR="00302C75" w:rsidRPr="00E21B7F" w:rsidRDefault="00302C75">
      <w:pPr>
        <w:pStyle w:val="Hlavika"/>
        <w:tabs>
          <w:tab w:val="clear" w:pos="4320"/>
          <w:tab w:val="clear" w:pos="8640"/>
        </w:tabs>
        <w:jc w:val="both"/>
        <w:rPr>
          <w:sz w:val="22"/>
          <w:szCs w:val="22"/>
          <w:lang w:val="sk-SK"/>
        </w:rPr>
      </w:pPr>
    </w:p>
    <w:p w:rsidR="00302C75" w:rsidRPr="00302C75" w:rsidRDefault="00302C75" w:rsidP="004D47F3">
      <w:pPr>
        <w:jc w:val="both"/>
        <w:rPr>
          <w:b/>
          <w:sz w:val="22"/>
          <w:szCs w:val="22"/>
          <w:lang w:val="sk-SK"/>
        </w:rPr>
      </w:pPr>
      <w:r>
        <w:rPr>
          <w:b/>
          <w:sz w:val="22"/>
          <w:szCs w:val="22"/>
          <w:lang w:val="sk-SK"/>
        </w:rPr>
        <w:t>Príznaky</w:t>
      </w:r>
    </w:p>
    <w:p w:rsidR="00302C75" w:rsidRDefault="00302C75" w:rsidP="004D47F3">
      <w:pPr>
        <w:jc w:val="both"/>
        <w:rPr>
          <w:sz w:val="22"/>
          <w:szCs w:val="22"/>
          <w:lang w:val="sk-SK"/>
        </w:rPr>
      </w:pPr>
    </w:p>
    <w:p w:rsidR="00302C75" w:rsidRPr="00E21B7F" w:rsidRDefault="00302C75" w:rsidP="004D47F3">
      <w:pPr>
        <w:jc w:val="both"/>
        <w:rPr>
          <w:sz w:val="22"/>
          <w:szCs w:val="22"/>
          <w:lang w:val="sk-SK"/>
        </w:rPr>
      </w:pPr>
      <w:r w:rsidRPr="00E21B7F">
        <w:rPr>
          <w:sz w:val="22"/>
          <w:szCs w:val="22"/>
          <w:lang w:val="sk-SK"/>
        </w:rPr>
        <w:t xml:space="preserve">Vo všeobecnosti zodpovedajú opísané </w:t>
      </w:r>
      <w:r>
        <w:rPr>
          <w:sz w:val="22"/>
          <w:szCs w:val="22"/>
          <w:lang w:val="sk-SK"/>
        </w:rPr>
        <w:t xml:space="preserve">prejavy a </w:t>
      </w:r>
      <w:r w:rsidRPr="00E21B7F">
        <w:rPr>
          <w:sz w:val="22"/>
          <w:szCs w:val="22"/>
          <w:lang w:val="sk-SK"/>
        </w:rPr>
        <w:t xml:space="preserve">príznaky zvýšeniu známych farmakologických účinkov </w:t>
      </w:r>
      <w:r>
        <w:rPr>
          <w:sz w:val="22"/>
          <w:szCs w:val="22"/>
          <w:lang w:val="sk-SK"/>
        </w:rPr>
        <w:t>účinných látok</w:t>
      </w:r>
      <w:r w:rsidRPr="00E21B7F">
        <w:rPr>
          <w:sz w:val="22"/>
          <w:szCs w:val="22"/>
          <w:lang w:val="sk-SK"/>
        </w:rPr>
        <w:t>, ku ktorým patria: ospalosť a útlm, tachykardia</w:t>
      </w:r>
      <w:r>
        <w:rPr>
          <w:sz w:val="22"/>
          <w:szCs w:val="22"/>
          <w:lang w:val="sk-SK"/>
        </w:rPr>
        <w:t>, </w:t>
      </w:r>
      <w:r w:rsidRPr="00E21B7F">
        <w:rPr>
          <w:sz w:val="22"/>
          <w:szCs w:val="22"/>
          <w:lang w:val="sk-SK"/>
        </w:rPr>
        <w:t>hypotenzia</w:t>
      </w:r>
      <w:r>
        <w:rPr>
          <w:sz w:val="22"/>
          <w:szCs w:val="22"/>
          <w:lang w:val="sk-SK"/>
        </w:rPr>
        <w:t xml:space="preserve"> a antichol</w:t>
      </w:r>
      <w:r w:rsidR="00800D27">
        <w:rPr>
          <w:sz w:val="22"/>
          <w:szCs w:val="22"/>
          <w:lang w:val="sk-SK"/>
        </w:rPr>
        <w:t>ínergick</w:t>
      </w:r>
      <w:r>
        <w:rPr>
          <w:sz w:val="22"/>
          <w:szCs w:val="22"/>
          <w:lang w:val="sk-SK"/>
        </w:rPr>
        <w:t>é účinky</w:t>
      </w:r>
      <w:r w:rsidRPr="00E21B7F">
        <w:rPr>
          <w:sz w:val="22"/>
          <w:szCs w:val="22"/>
          <w:lang w:val="sk-SK"/>
        </w:rPr>
        <w:t>.</w:t>
      </w:r>
    </w:p>
    <w:p w:rsidR="00302C75" w:rsidRDefault="00302C75">
      <w:pPr>
        <w:autoSpaceDE w:val="0"/>
        <w:autoSpaceDN w:val="0"/>
        <w:adjustRightInd w:val="0"/>
        <w:jc w:val="both"/>
        <w:rPr>
          <w:sz w:val="22"/>
          <w:szCs w:val="22"/>
          <w:lang w:val="sk-SK"/>
        </w:rPr>
      </w:pPr>
    </w:p>
    <w:p w:rsidR="00302C75" w:rsidRPr="001A31F7" w:rsidRDefault="00302C75" w:rsidP="001A31F7">
      <w:pPr>
        <w:autoSpaceDE w:val="0"/>
        <w:autoSpaceDN w:val="0"/>
        <w:adjustRightInd w:val="0"/>
        <w:jc w:val="both"/>
        <w:rPr>
          <w:sz w:val="22"/>
          <w:szCs w:val="22"/>
          <w:lang w:val="sk-SK"/>
        </w:rPr>
      </w:pPr>
      <w:r>
        <w:rPr>
          <w:sz w:val="22"/>
          <w:szCs w:val="22"/>
          <w:lang w:val="sk-SK"/>
        </w:rPr>
        <w:t xml:space="preserve">Predávkovanie môže viesť k predĺženiu QT intervalu, záchvatom, epileptickým stavom, rabdomyolýze, </w:t>
      </w:r>
      <w:r w:rsidRPr="00344971">
        <w:rPr>
          <w:sz w:val="22"/>
          <w:szCs w:val="22"/>
          <w:lang w:val="sk-SK"/>
        </w:rPr>
        <w:t>respiračn</w:t>
      </w:r>
      <w:r>
        <w:rPr>
          <w:sz w:val="22"/>
          <w:szCs w:val="22"/>
          <w:lang w:val="sk-SK"/>
        </w:rPr>
        <w:t>ej</w:t>
      </w:r>
      <w:r w:rsidRPr="00344971">
        <w:rPr>
          <w:sz w:val="22"/>
          <w:szCs w:val="22"/>
          <w:lang w:val="sk-SK"/>
        </w:rPr>
        <w:t xml:space="preserve"> depresi</w:t>
      </w:r>
      <w:r>
        <w:rPr>
          <w:sz w:val="22"/>
          <w:szCs w:val="22"/>
          <w:lang w:val="sk-SK"/>
        </w:rPr>
        <w:t>i, retencii moču, zmätenosti, delírium a/alebo nepokoju, kóme a úmrtiu.</w:t>
      </w:r>
    </w:p>
    <w:p w:rsidR="00302C75" w:rsidRPr="00E21B7F" w:rsidRDefault="00302C75">
      <w:pPr>
        <w:autoSpaceDE w:val="0"/>
        <w:autoSpaceDN w:val="0"/>
        <w:adjustRightInd w:val="0"/>
        <w:jc w:val="both"/>
        <w:rPr>
          <w:sz w:val="22"/>
          <w:szCs w:val="22"/>
          <w:lang w:val="sk-SK"/>
        </w:rPr>
      </w:pPr>
    </w:p>
    <w:p w:rsidR="00302C75" w:rsidRPr="00E21B7F" w:rsidRDefault="00302C75">
      <w:pPr>
        <w:jc w:val="both"/>
        <w:rPr>
          <w:sz w:val="22"/>
          <w:szCs w:val="22"/>
          <w:lang w:val="sk-SK"/>
        </w:rPr>
      </w:pPr>
      <w:r w:rsidRPr="00E21B7F">
        <w:rPr>
          <w:sz w:val="22"/>
          <w:szCs w:val="22"/>
          <w:lang w:val="sk-SK"/>
        </w:rPr>
        <w:t>Pacienti s preexistujúcim závažným kardiovaskulárnym ochorením môžu byť vystavení vyššiemu riziku účinkov predávkovania. (Pozri časť 4.4</w:t>
      </w:r>
      <w:r>
        <w:rPr>
          <w:sz w:val="22"/>
          <w:szCs w:val="22"/>
          <w:lang w:val="sk-SK"/>
        </w:rPr>
        <w:t xml:space="preserve"> Ortostatická hypotenzia</w:t>
      </w:r>
      <w:r w:rsidRPr="00E21B7F">
        <w:rPr>
          <w:sz w:val="22"/>
          <w:szCs w:val="22"/>
          <w:lang w:val="sk-SK"/>
        </w:rPr>
        <w:t xml:space="preserve">). </w:t>
      </w:r>
    </w:p>
    <w:p w:rsidR="00302C75" w:rsidRPr="00E21B7F" w:rsidRDefault="00302C75">
      <w:pPr>
        <w:jc w:val="both"/>
        <w:rPr>
          <w:sz w:val="22"/>
          <w:szCs w:val="22"/>
          <w:lang w:val="sk-SK"/>
        </w:rPr>
      </w:pPr>
    </w:p>
    <w:p w:rsidR="00302C75" w:rsidRPr="00C55991" w:rsidRDefault="00302C75" w:rsidP="00C55991">
      <w:pPr>
        <w:tabs>
          <w:tab w:val="left" w:pos="0"/>
          <w:tab w:val="left" w:pos="8496"/>
        </w:tabs>
        <w:suppressAutoHyphens/>
        <w:jc w:val="both"/>
        <w:rPr>
          <w:b/>
          <w:sz w:val="22"/>
          <w:szCs w:val="22"/>
          <w:lang w:val="sk-SK"/>
        </w:rPr>
      </w:pPr>
      <w:r w:rsidRPr="00C55991">
        <w:rPr>
          <w:b/>
          <w:sz w:val="22"/>
          <w:szCs w:val="22"/>
          <w:lang w:val="sk-SK"/>
        </w:rPr>
        <w:t>Liečba predávkovania</w:t>
      </w:r>
    </w:p>
    <w:p w:rsidR="00302C75" w:rsidRDefault="00302C75">
      <w:pPr>
        <w:jc w:val="both"/>
        <w:rPr>
          <w:sz w:val="22"/>
          <w:szCs w:val="22"/>
          <w:lang w:val="sk-SK"/>
        </w:rPr>
      </w:pPr>
      <w:r w:rsidRPr="00E21B7F">
        <w:rPr>
          <w:sz w:val="22"/>
          <w:szCs w:val="22"/>
          <w:lang w:val="sk-SK"/>
        </w:rPr>
        <w:t xml:space="preserve">Pre kvetiapín neexistuje žiadne špecifické antidotum. V prípade ťažkej intoxikácie sa má brať do úvahy možnosť  užitia viacerých liekov, odporúča sa intenzívna starostlivosť vrátane zabezpečenia a udržiavania priechodnosti dýchacích ciest, dostatočnej ventilácie a prísunu kyslíka, sledovania a podpory kardiovaskulárneho systému. </w:t>
      </w:r>
    </w:p>
    <w:p w:rsidR="00302C75" w:rsidRDefault="00302C75">
      <w:pPr>
        <w:jc w:val="both"/>
        <w:rPr>
          <w:sz w:val="22"/>
          <w:szCs w:val="22"/>
          <w:lang w:val="sk-SK"/>
        </w:rPr>
      </w:pPr>
    </w:p>
    <w:p w:rsidR="00302C75" w:rsidRPr="00222C4D" w:rsidRDefault="00BF4906">
      <w:pPr>
        <w:jc w:val="both"/>
        <w:rPr>
          <w:sz w:val="22"/>
          <w:szCs w:val="22"/>
          <w:lang w:val="sk-SK"/>
        </w:rPr>
      </w:pPr>
      <w:r w:rsidRPr="00BF4906">
        <w:rPr>
          <w:sz w:val="22"/>
          <w:szCs w:val="22"/>
        </w:rPr>
        <w:t>Na základe publikácií v literatúre, pacient</w:t>
      </w:r>
      <w:r>
        <w:rPr>
          <w:sz w:val="22"/>
          <w:szCs w:val="22"/>
        </w:rPr>
        <w:t>ov</w:t>
      </w:r>
      <w:r w:rsidRPr="00BF4906">
        <w:rPr>
          <w:sz w:val="22"/>
          <w:szCs w:val="22"/>
        </w:rPr>
        <w:t xml:space="preserve"> </w:t>
      </w:r>
      <w:r w:rsidR="006615B0" w:rsidRPr="006615B0">
        <w:rPr>
          <w:sz w:val="22"/>
          <w:szCs w:val="22"/>
        </w:rPr>
        <w:t xml:space="preserve">s delíriom a agitáciou a </w:t>
      </w:r>
      <w:r>
        <w:rPr>
          <w:sz w:val="22"/>
          <w:szCs w:val="22"/>
        </w:rPr>
        <w:t xml:space="preserve">jasným </w:t>
      </w:r>
      <w:r w:rsidR="006615B0" w:rsidRPr="006615B0">
        <w:rPr>
          <w:sz w:val="22"/>
          <w:szCs w:val="22"/>
        </w:rPr>
        <w:t>antichol</w:t>
      </w:r>
      <w:r>
        <w:rPr>
          <w:sz w:val="22"/>
          <w:szCs w:val="22"/>
        </w:rPr>
        <w:t>í</w:t>
      </w:r>
      <w:r w:rsidR="006615B0" w:rsidRPr="006615B0">
        <w:rPr>
          <w:sz w:val="22"/>
          <w:szCs w:val="22"/>
        </w:rPr>
        <w:t>nerg</w:t>
      </w:r>
      <w:r>
        <w:rPr>
          <w:sz w:val="22"/>
          <w:szCs w:val="22"/>
        </w:rPr>
        <w:t>ickým</w:t>
      </w:r>
      <w:r w:rsidR="006615B0" w:rsidRPr="006615B0">
        <w:rPr>
          <w:sz w:val="22"/>
          <w:szCs w:val="22"/>
        </w:rPr>
        <w:t xml:space="preserve"> syndrómom je možné liečiť podaním fyzostigmínu 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dysrytmií, blokády srdca akéhokoľvek stupňa alebo predĺženia QRS intervalu.</w:t>
      </w:r>
      <w:r w:rsidR="00302C75" w:rsidRPr="00222C4D">
        <w:rPr>
          <w:sz w:val="22"/>
          <w:szCs w:val="22"/>
          <w:lang w:val="sk-SK"/>
        </w:rPr>
        <w:t xml:space="preserve"> </w:t>
      </w:r>
    </w:p>
    <w:p w:rsidR="00302C75" w:rsidRDefault="00302C75">
      <w:pPr>
        <w:jc w:val="both"/>
        <w:rPr>
          <w:sz w:val="22"/>
          <w:szCs w:val="22"/>
          <w:lang w:val="sk-SK"/>
        </w:rPr>
      </w:pPr>
    </w:p>
    <w:p w:rsidR="006B249F" w:rsidRDefault="006B249F">
      <w:pPr>
        <w:jc w:val="both"/>
        <w:rPr>
          <w:sz w:val="22"/>
          <w:szCs w:val="22"/>
          <w:lang w:val="sk-SK"/>
        </w:rPr>
      </w:pPr>
      <w:r w:rsidRPr="006B249F">
        <w:rPr>
          <w:sz w:val="22"/>
          <w:szCs w:val="22"/>
          <w:lang w:val="sk-SK"/>
        </w:rPr>
        <w:t>Hoci sa prevencia absorpcie predávkovania nepreskúmala, výplach žalúdka sa môže indikovať pri závažnom predávkovaní a ak je to možné, má sa vykonať do jednej hodiny od požitia. Má sa zvážiť podanie aktívneho uhlia.</w:t>
      </w:r>
    </w:p>
    <w:p w:rsidR="00302C75" w:rsidRPr="001A31F7" w:rsidRDefault="00302C75">
      <w:pPr>
        <w:jc w:val="both"/>
        <w:rPr>
          <w:sz w:val="22"/>
          <w:szCs w:val="22"/>
          <w:lang w:val="sk-SK"/>
        </w:rPr>
      </w:pPr>
    </w:p>
    <w:p w:rsidR="00302C75" w:rsidRDefault="00302C75">
      <w:pPr>
        <w:jc w:val="both"/>
        <w:rPr>
          <w:color w:val="000000"/>
          <w:sz w:val="22"/>
          <w:szCs w:val="22"/>
          <w:shd w:val="clear" w:color="auto" w:fill="FFFFFF"/>
          <w:lang w:val="sk-SK"/>
        </w:rPr>
      </w:pPr>
      <w:r w:rsidRPr="00C55991">
        <w:rPr>
          <w:color w:val="000000"/>
          <w:sz w:val="22"/>
          <w:szCs w:val="22"/>
          <w:shd w:val="clear" w:color="auto" w:fill="FFFFFF"/>
          <w:lang w:val="sk-SK"/>
        </w:rPr>
        <w:t>V prípade predávkovania kvetiapínom sa má liečiť refraktérna hypotenzia vhodnými opatreniami</w:t>
      </w:r>
      <w:r>
        <w:rPr>
          <w:color w:val="000000"/>
          <w:sz w:val="22"/>
          <w:szCs w:val="22"/>
          <w:shd w:val="clear" w:color="auto" w:fill="FFFFFF"/>
          <w:lang w:val="sk-SK"/>
        </w:rPr>
        <w:t>,</w:t>
      </w:r>
      <w:r w:rsidRPr="00C55991">
        <w:rPr>
          <w:color w:val="000000"/>
          <w:sz w:val="22"/>
          <w:szCs w:val="22"/>
          <w:shd w:val="clear" w:color="auto" w:fill="FFFFFF"/>
          <w:lang w:val="sk-SK"/>
        </w:rPr>
        <w:t xml:space="preserve"> ako sú intravenózne tekutiny a/alebo sympatomimetiká</w:t>
      </w:r>
      <w:r>
        <w:rPr>
          <w:color w:val="000000"/>
          <w:sz w:val="22"/>
          <w:szCs w:val="22"/>
          <w:shd w:val="clear" w:color="auto" w:fill="FFFFFF"/>
          <w:lang w:val="sk-SK"/>
        </w:rPr>
        <w:t>. A</w:t>
      </w:r>
      <w:r w:rsidRPr="00C55991">
        <w:rPr>
          <w:color w:val="000000"/>
          <w:sz w:val="22"/>
          <w:szCs w:val="22"/>
          <w:shd w:val="clear" w:color="auto" w:fill="FFFFFF"/>
          <w:lang w:val="sk-SK"/>
        </w:rPr>
        <w:t xml:space="preserve">drenalínu a dopamínu je potrebné sa vyhnúť, pretože beta stimulácia môže </w:t>
      </w:r>
      <w:r>
        <w:rPr>
          <w:color w:val="000000"/>
          <w:sz w:val="22"/>
          <w:szCs w:val="22"/>
          <w:shd w:val="clear" w:color="auto" w:fill="FFFFFF"/>
          <w:lang w:val="sk-SK"/>
        </w:rPr>
        <w:t>zhorši</w:t>
      </w:r>
      <w:r w:rsidRPr="00C55991">
        <w:rPr>
          <w:color w:val="000000"/>
          <w:sz w:val="22"/>
          <w:szCs w:val="22"/>
          <w:shd w:val="clear" w:color="auto" w:fill="FFFFFF"/>
          <w:lang w:val="sk-SK"/>
        </w:rPr>
        <w:t xml:space="preserve">ť hypotenziu </w:t>
      </w:r>
      <w:r>
        <w:rPr>
          <w:color w:val="000000"/>
          <w:sz w:val="22"/>
          <w:szCs w:val="22"/>
          <w:shd w:val="clear" w:color="auto" w:fill="FFFFFF"/>
          <w:lang w:val="sk-SK"/>
        </w:rPr>
        <w:t>pri</w:t>
      </w:r>
      <w:r w:rsidRPr="00C55991">
        <w:rPr>
          <w:color w:val="000000"/>
          <w:sz w:val="22"/>
          <w:szCs w:val="22"/>
          <w:shd w:val="clear" w:color="auto" w:fill="FFFFFF"/>
          <w:lang w:val="sk-SK"/>
        </w:rPr>
        <w:t xml:space="preserve"> kvetiapínom vyvolanej alfa blokád</w:t>
      </w:r>
      <w:r>
        <w:rPr>
          <w:color w:val="000000"/>
          <w:sz w:val="22"/>
          <w:szCs w:val="22"/>
          <w:shd w:val="clear" w:color="auto" w:fill="FFFFFF"/>
          <w:lang w:val="sk-SK"/>
        </w:rPr>
        <w:t>e</w:t>
      </w:r>
      <w:r w:rsidRPr="00C55991">
        <w:rPr>
          <w:color w:val="000000"/>
          <w:sz w:val="22"/>
          <w:szCs w:val="22"/>
          <w:shd w:val="clear" w:color="auto" w:fill="FFFFFF"/>
          <w:lang w:val="sk-SK"/>
        </w:rPr>
        <w:t>.</w:t>
      </w:r>
    </w:p>
    <w:p w:rsidR="001C756A" w:rsidRDefault="001C756A">
      <w:pPr>
        <w:jc w:val="both"/>
        <w:rPr>
          <w:color w:val="000000"/>
          <w:sz w:val="22"/>
          <w:szCs w:val="22"/>
          <w:shd w:val="clear" w:color="auto" w:fill="FFFFFF"/>
          <w:lang w:val="sk-SK"/>
        </w:rPr>
      </w:pPr>
    </w:p>
    <w:p w:rsidR="001C756A" w:rsidRDefault="001C756A" w:rsidP="001C756A">
      <w:pPr>
        <w:jc w:val="both"/>
        <w:rPr>
          <w:sz w:val="22"/>
          <w:szCs w:val="22"/>
          <w:lang w:val="sk-SK"/>
        </w:rPr>
      </w:pPr>
      <w:r>
        <w:rPr>
          <w:sz w:val="22"/>
          <w:szCs w:val="22"/>
          <w:lang w:val="sk-SK"/>
        </w:rPr>
        <w:t xml:space="preserve">V </w:t>
      </w:r>
      <w:r w:rsidRPr="00F9404E">
        <w:rPr>
          <w:sz w:val="22"/>
          <w:szCs w:val="22"/>
          <w:lang w:val="sk-SK"/>
        </w:rPr>
        <w:t>prípade predávkovania kvetiapínom s predĺženým uvoľňovaním v porovnaní s predávkovaním kvetiapínom s okamžit</w:t>
      </w:r>
      <w:r w:rsidR="00C5331B">
        <w:rPr>
          <w:sz w:val="22"/>
          <w:szCs w:val="22"/>
          <w:lang w:val="sk-SK"/>
        </w:rPr>
        <w:t>ý</w:t>
      </w:r>
      <w:r w:rsidRPr="00F9404E">
        <w:rPr>
          <w:sz w:val="22"/>
          <w:szCs w:val="22"/>
          <w:lang w:val="sk-SK"/>
        </w:rPr>
        <w:t>m uvoľňovaním dochádza k oneskoreniu maximálnej sedácie a maximálnej pulzovej frekvencie a predĺženému zotavovaniu sa.</w:t>
      </w:r>
    </w:p>
    <w:p w:rsidR="001C756A" w:rsidRPr="00F9404E" w:rsidRDefault="001C756A" w:rsidP="001C756A">
      <w:pPr>
        <w:jc w:val="both"/>
        <w:rPr>
          <w:sz w:val="22"/>
          <w:szCs w:val="22"/>
          <w:lang w:val="sk-SK"/>
        </w:rPr>
      </w:pPr>
    </w:p>
    <w:p w:rsidR="001C756A" w:rsidRDefault="001C756A" w:rsidP="001C756A">
      <w:pPr>
        <w:jc w:val="both"/>
        <w:rPr>
          <w:sz w:val="22"/>
          <w:szCs w:val="22"/>
          <w:lang w:val="sk-SK"/>
        </w:rPr>
      </w:pPr>
      <w:r w:rsidRPr="00F9404E">
        <w:rPr>
          <w:sz w:val="22"/>
          <w:szCs w:val="22"/>
          <w:lang w:val="sk-SK"/>
        </w:rPr>
        <w:t>V prípade predávkovania kvetiapínom s predĺženým uvoľňovaním sa hlásila tvorba žalúdočných bezoárov a na ďalšie usmernenie manažmentu pacienta sa odporúča vhodná diagnostická zobrazovacia metóda.</w:t>
      </w:r>
    </w:p>
    <w:p w:rsidR="001C756A" w:rsidRPr="00F9404E" w:rsidRDefault="001C756A" w:rsidP="001C756A">
      <w:pPr>
        <w:jc w:val="both"/>
        <w:rPr>
          <w:sz w:val="22"/>
          <w:szCs w:val="22"/>
          <w:lang w:val="sk-SK"/>
        </w:rPr>
      </w:pPr>
    </w:p>
    <w:p w:rsidR="001C756A" w:rsidRPr="001A31F7" w:rsidRDefault="001C756A" w:rsidP="001C756A">
      <w:pPr>
        <w:jc w:val="both"/>
        <w:rPr>
          <w:sz w:val="22"/>
          <w:szCs w:val="22"/>
          <w:lang w:val="sk-SK"/>
        </w:rPr>
      </w:pPr>
      <w:r w:rsidRPr="00F9404E">
        <w:rPr>
          <w:sz w:val="22"/>
          <w:szCs w:val="22"/>
          <w:lang w:val="sk-SK"/>
        </w:rPr>
        <w:t>V niektorých prípadoch sa úspešne vykonalo endoskopické odstránenie farmakobezoáru.</w:t>
      </w:r>
    </w:p>
    <w:p w:rsidR="00302C75" w:rsidRPr="00344971" w:rsidRDefault="00302C75">
      <w:pPr>
        <w:tabs>
          <w:tab w:val="left" w:pos="0"/>
          <w:tab w:val="left" w:pos="8496"/>
        </w:tabs>
        <w:suppressAutoHyphens/>
        <w:ind w:hanging="567"/>
        <w:jc w:val="both"/>
        <w:rPr>
          <w:sz w:val="22"/>
          <w:szCs w:val="22"/>
          <w:lang w:val="sk-SK"/>
        </w:rPr>
      </w:pPr>
    </w:p>
    <w:p w:rsidR="00302C75" w:rsidRPr="00E21B7F" w:rsidRDefault="00302C75">
      <w:pPr>
        <w:jc w:val="both"/>
        <w:rPr>
          <w:sz w:val="22"/>
          <w:szCs w:val="22"/>
          <w:lang w:val="sk-SK"/>
        </w:rPr>
      </w:pPr>
      <w:r w:rsidRPr="00E21B7F">
        <w:rPr>
          <w:sz w:val="22"/>
          <w:szCs w:val="22"/>
          <w:lang w:val="sk-SK"/>
        </w:rPr>
        <w:t>Starostlivý lekársky dohľad a sledovanie životných funkcií pacienta musí pokračovať až do jeho úplného zotavenia.</w:t>
      </w:r>
    </w:p>
    <w:p w:rsidR="00302C75"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04662C">
      <w:pPr>
        <w:pStyle w:val="Hlavika"/>
        <w:numPr>
          <w:ilvl w:val="0"/>
          <w:numId w:val="4"/>
        </w:numPr>
        <w:tabs>
          <w:tab w:val="clear" w:pos="360"/>
          <w:tab w:val="clear" w:pos="4320"/>
          <w:tab w:val="clear" w:pos="8640"/>
          <w:tab w:val="num" w:pos="561"/>
        </w:tabs>
        <w:jc w:val="both"/>
        <w:rPr>
          <w:b/>
          <w:bCs/>
          <w:sz w:val="22"/>
          <w:szCs w:val="22"/>
          <w:lang w:val="sk-SK"/>
        </w:rPr>
      </w:pPr>
      <w:r w:rsidRPr="00E21B7F">
        <w:rPr>
          <w:b/>
          <w:bCs/>
          <w:sz w:val="22"/>
          <w:szCs w:val="22"/>
          <w:lang w:val="sk-SK"/>
        </w:rPr>
        <w:t>FARMAKOLOGICKÉ VLASTNOSTI</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Farmakodynamické vlastnosti</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pPr>
        <w:rPr>
          <w:sz w:val="22"/>
          <w:szCs w:val="22"/>
          <w:lang w:val="sk-SK"/>
        </w:rPr>
      </w:pPr>
      <w:r w:rsidRPr="00E21B7F">
        <w:rPr>
          <w:b/>
          <w:bCs/>
          <w:sz w:val="22"/>
          <w:szCs w:val="22"/>
          <w:lang w:val="sk-SK"/>
        </w:rPr>
        <w:t xml:space="preserve">Farmakoterapeutická skupina: </w:t>
      </w:r>
      <w:r w:rsidRPr="00E21B7F">
        <w:rPr>
          <w:sz w:val="22"/>
          <w:szCs w:val="22"/>
          <w:lang w:val="sk-SK"/>
        </w:rPr>
        <w:t>Antipsychotiká</w:t>
      </w:r>
      <w:r w:rsidR="00C5331B">
        <w:rPr>
          <w:sz w:val="22"/>
          <w:szCs w:val="22"/>
          <w:lang w:val="sk-SK"/>
        </w:rPr>
        <w:t>;</w:t>
      </w:r>
      <w:r w:rsidR="00C5331B" w:rsidRPr="00E21B7F">
        <w:rPr>
          <w:sz w:val="22"/>
          <w:szCs w:val="22"/>
          <w:lang w:val="sk-SK"/>
        </w:rPr>
        <w:t xml:space="preserve"> </w:t>
      </w:r>
      <w:r w:rsidRPr="00E21B7F">
        <w:rPr>
          <w:sz w:val="22"/>
          <w:szCs w:val="22"/>
          <w:lang w:val="sk-SK"/>
        </w:rPr>
        <w:t>diazepíny, oxazepíny</w:t>
      </w:r>
      <w:r>
        <w:rPr>
          <w:sz w:val="22"/>
          <w:szCs w:val="22"/>
          <w:lang w:val="sk-SK"/>
        </w:rPr>
        <w:t>,</w:t>
      </w:r>
      <w:r w:rsidRPr="00E21B7F">
        <w:rPr>
          <w:sz w:val="22"/>
          <w:szCs w:val="22"/>
          <w:lang w:val="sk-SK"/>
        </w:rPr>
        <w:t xml:space="preserve"> tiazepíny</w:t>
      </w:r>
    </w:p>
    <w:p w:rsidR="00302C75" w:rsidRPr="00E21B7F" w:rsidRDefault="00302C75">
      <w:pPr>
        <w:pStyle w:val="Hlavika"/>
        <w:tabs>
          <w:tab w:val="clear" w:pos="4320"/>
          <w:tab w:val="clear" w:pos="8640"/>
        </w:tabs>
        <w:jc w:val="both"/>
        <w:rPr>
          <w:sz w:val="22"/>
          <w:szCs w:val="22"/>
          <w:lang w:val="sk-SK"/>
        </w:rPr>
      </w:pPr>
      <w:r w:rsidRPr="00E21B7F">
        <w:rPr>
          <w:b/>
          <w:bCs/>
          <w:sz w:val="22"/>
          <w:szCs w:val="22"/>
          <w:lang w:val="sk-SK"/>
        </w:rPr>
        <w:t xml:space="preserve">ATC kód: </w:t>
      </w:r>
      <w:r w:rsidRPr="00E21B7F">
        <w:rPr>
          <w:sz w:val="22"/>
          <w:szCs w:val="22"/>
          <w:lang w:val="sk-SK"/>
        </w:rPr>
        <w:t>N05AH04</w:t>
      </w:r>
      <w:r w:rsidRPr="00E21B7F">
        <w:rPr>
          <w:b/>
          <w:bCs/>
          <w:sz w:val="22"/>
          <w:szCs w:val="22"/>
          <w:lang w:val="sk-SK"/>
        </w:rPr>
        <w:tab/>
      </w:r>
    </w:p>
    <w:p w:rsidR="00302C75" w:rsidRPr="00E21B7F" w:rsidRDefault="00302C75">
      <w:pPr>
        <w:pStyle w:val="Hlavika"/>
        <w:tabs>
          <w:tab w:val="clear" w:pos="4320"/>
          <w:tab w:val="clear" w:pos="8640"/>
        </w:tabs>
        <w:jc w:val="both"/>
        <w:rPr>
          <w:b/>
          <w:bCs/>
          <w:sz w:val="22"/>
          <w:szCs w:val="22"/>
          <w:lang w:val="sk-SK"/>
        </w:rPr>
      </w:pPr>
    </w:p>
    <w:p w:rsidR="00302C75" w:rsidRPr="00946E44" w:rsidRDefault="00302C75">
      <w:pPr>
        <w:pStyle w:val="Hlavika"/>
        <w:tabs>
          <w:tab w:val="clear" w:pos="4320"/>
          <w:tab w:val="clear" w:pos="8640"/>
        </w:tabs>
        <w:jc w:val="both"/>
        <w:rPr>
          <w:b/>
          <w:bCs/>
          <w:sz w:val="22"/>
          <w:szCs w:val="22"/>
          <w:u w:val="single"/>
          <w:lang w:val="sk-SK"/>
        </w:rPr>
      </w:pPr>
      <w:r w:rsidRPr="00946E44">
        <w:rPr>
          <w:b/>
          <w:bCs/>
          <w:sz w:val="22"/>
          <w:szCs w:val="22"/>
          <w:u w:val="single"/>
          <w:lang w:val="sk-SK"/>
        </w:rPr>
        <w:t>Mechanizmus účinku</w:t>
      </w: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Kvetiapín je atypické antipsychotikum. Kvetiapín a aktívny plazmatický metabolit </w:t>
      </w:r>
      <w:r>
        <w:rPr>
          <w:sz w:val="22"/>
          <w:szCs w:val="22"/>
          <w:lang w:val="sk-SK"/>
        </w:rPr>
        <w:t>nor</w:t>
      </w:r>
      <w:r w:rsidRPr="00E21B7F">
        <w:rPr>
          <w:sz w:val="22"/>
          <w:szCs w:val="22"/>
          <w:lang w:val="sk-SK"/>
        </w:rPr>
        <w:t>kvetiapín</w:t>
      </w:r>
      <w:r w:rsidRPr="00E21B7F">
        <w:rPr>
          <w:color w:val="FF0000"/>
          <w:sz w:val="22"/>
          <w:szCs w:val="22"/>
          <w:lang w:val="sk-SK"/>
        </w:rPr>
        <w:t xml:space="preserve"> </w:t>
      </w:r>
      <w:r w:rsidRPr="00E21B7F">
        <w:rPr>
          <w:sz w:val="22"/>
          <w:szCs w:val="22"/>
          <w:lang w:val="sk-SK"/>
        </w:rPr>
        <w:t>reagujú s celým radom neurotransmiterových receptorov. Kvetiapín a </w:t>
      </w:r>
      <w:r>
        <w:rPr>
          <w:sz w:val="22"/>
          <w:szCs w:val="22"/>
          <w:lang w:val="sk-SK"/>
        </w:rPr>
        <w:t>nor</w:t>
      </w:r>
      <w:r w:rsidRPr="00E21B7F">
        <w:rPr>
          <w:sz w:val="22"/>
          <w:szCs w:val="22"/>
          <w:lang w:val="sk-SK"/>
        </w:rPr>
        <w:t>kvetiapín</w:t>
      </w:r>
      <w:r w:rsidRPr="00E21B7F">
        <w:rPr>
          <w:color w:val="FF0000"/>
          <w:sz w:val="22"/>
          <w:szCs w:val="22"/>
          <w:lang w:val="sk-SK"/>
        </w:rPr>
        <w:t xml:space="preserve"> </w:t>
      </w:r>
      <w:r w:rsidRPr="00E21B7F">
        <w:rPr>
          <w:sz w:val="22"/>
          <w:szCs w:val="22"/>
          <w:lang w:val="sk-SK"/>
        </w:rPr>
        <w:t>vykazujú</w:t>
      </w:r>
      <w:r w:rsidRPr="00E21B7F">
        <w:rPr>
          <w:color w:val="FF0000"/>
          <w:sz w:val="22"/>
          <w:szCs w:val="22"/>
          <w:lang w:val="sk-SK"/>
        </w:rPr>
        <w:t xml:space="preserve"> </w:t>
      </w:r>
      <w:r w:rsidRPr="00E21B7F">
        <w:rPr>
          <w:sz w:val="22"/>
          <w:szCs w:val="22"/>
          <w:lang w:val="sk-SK"/>
        </w:rPr>
        <w:t>afinitu k s</w:t>
      </w:r>
      <w:r>
        <w:rPr>
          <w:sz w:val="22"/>
          <w:szCs w:val="22"/>
          <w:lang w:val="sk-SK"/>
        </w:rPr>
        <w:t>é</w:t>
      </w:r>
      <w:r w:rsidRPr="00E21B7F">
        <w:rPr>
          <w:sz w:val="22"/>
          <w:szCs w:val="22"/>
          <w:lang w:val="sk-SK"/>
        </w:rPr>
        <w:t>rotonínovým (5HT</w:t>
      </w:r>
      <w:r w:rsidRPr="00E21B7F">
        <w:rPr>
          <w:sz w:val="22"/>
          <w:szCs w:val="22"/>
          <w:vertAlign w:val="subscript"/>
          <w:lang w:val="sk-SK"/>
        </w:rPr>
        <w:t>2</w:t>
      </w:r>
      <w:r w:rsidRPr="00E21B7F">
        <w:rPr>
          <w:sz w:val="22"/>
          <w:szCs w:val="22"/>
          <w:lang w:val="sk-SK"/>
        </w:rPr>
        <w:t>) a k dopamínovým D</w:t>
      </w:r>
      <w:r w:rsidRPr="00E21B7F">
        <w:rPr>
          <w:sz w:val="22"/>
          <w:szCs w:val="22"/>
          <w:vertAlign w:val="subscript"/>
          <w:lang w:val="sk-SK"/>
        </w:rPr>
        <w:t>1</w:t>
      </w:r>
      <w:r w:rsidRPr="00E21B7F">
        <w:rPr>
          <w:sz w:val="22"/>
          <w:szCs w:val="22"/>
          <w:lang w:val="sk-SK"/>
        </w:rPr>
        <w:t xml:space="preserve"> a D</w:t>
      </w:r>
      <w:r w:rsidRPr="00E21B7F">
        <w:rPr>
          <w:sz w:val="22"/>
          <w:szCs w:val="22"/>
          <w:vertAlign w:val="subscript"/>
          <w:lang w:val="sk-SK"/>
        </w:rPr>
        <w:t>2</w:t>
      </w:r>
      <w:r w:rsidRPr="00E21B7F">
        <w:rPr>
          <w:sz w:val="22"/>
          <w:szCs w:val="22"/>
          <w:lang w:val="sk-SK"/>
        </w:rPr>
        <w:t xml:space="preserve"> receptorom v mozgu. Je to práve táto kombinácia receptorového antagonizmu s vyššou selektivitou pre 5HT</w:t>
      </w:r>
      <w:r w:rsidRPr="00E21B7F">
        <w:rPr>
          <w:sz w:val="22"/>
          <w:szCs w:val="22"/>
          <w:vertAlign w:val="subscript"/>
          <w:lang w:val="sk-SK"/>
        </w:rPr>
        <w:t>2</w:t>
      </w:r>
      <w:r w:rsidRPr="00E21B7F">
        <w:rPr>
          <w:sz w:val="22"/>
          <w:szCs w:val="22"/>
          <w:lang w:val="sk-SK"/>
        </w:rPr>
        <w:t xml:space="preserve"> oproti D</w:t>
      </w:r>
      <w:r w:rsidRPr="00E21B7F">
        <w:rPr>
          <w:sz w:val="22"/>
          <w:szCs w:val="22"/>
          <w:vertAlign w:val="subscript"/>
          <w:lang w:val="sk-SK"/>
        </w:rPr>
        <w:t>2,</w:t>
      </w:r>
      <w:r w:rsidRPr="00E21B7F">
        <w:rPr>
          <w:sz w:val="22"/>
          <w:szCs w:val="22"/>
          <w:lang w:val="sk-SK"/>
        </w:rPr>
        <w:t xml:space="preserve"> </w:t>
      </w:r>
      <w:r w:rsidRPr="00F00F97">
        <w:rPr>
          <w:sz w:val="22"/>
          <w:szCs w:val="22"/>
          <w:lang w:val="sk-SK"/>
        </w:rPr>
        <w:t>o ktorej sa predpokladá, že prispieva ku klinickým antipsychotickým vlastnostiam a</w:t>
      </w:r>
      <w:r>
        <w:rPr>
          <w:sz w:val="22"/>
          <w:szCs w:val="22"/>
          <w:lang w:val="sk-SK"/>
        </w:rPr>
        <w:t> </w:t>
      </w:r>
      <w:r w:rsidRPr="00F00F97">
        <w:rPr>
          <w:sz w:val="22"/>
          <w:szCs w:val="22"/>
          <w:lang w:val="sk-SK"/>
        </w:rPr>
        <w:t>slabým</w:t>
      </w:r>
      <w:r>
        <w:rPr>
          <w:sz w:val="22"/>
          <w:szCs w:val="22"/>
          <w:lang w:val="sk-SK"/>
        </w:rPr>
        <w:t xml:space="preserve"> </w:t>
      </w:r>
      <w:r w:rsidRPr="00E21B7F">
        <w:rPr>
          <w:sz w:val="22"/>
          <w:szCs w:val="22"/>
          <w:lang w:val="sk-SK"/>
        </w:rPr>
        <w:t xml:space="preserve">extrapyramídovým vedľajším účinkom (EPS) lieku Quetiapine Accord filmom obalené tablety s predĺženým uvoľňovaním ako príspevok ku klinickým antipsychotickým vlastnostiam tohto lieku v porovnaní s typickými antipsychotikami. </w:t>
      </w:r>
      <w:r w:rsidRPr="00222C4D">
        <w:rPr>
          <w:sz w:val="22"/>
          <w:szCs w:val="22"/>
        </w:rPr>
        <w:t>Kvetiapín a norkvetiapín nemajú žiadnu zjavnú afinitu k benzodiazepínovým receptorom, majú však vysokú afinitu k histamínovým a adrenergným α</w:t>
      </w:r>
      <w:r w:rsidRPr="00222C4D">
        <w:rPr>
          <w:sz w:val="22"/>
          <w:szCs w:val="22"/>
          <w:vertAlign w:val="subscript"/>
        </w:rPr>
        <w:t>1</w:t>
      </w:r>
      <w:r w:rsidRPr="00222C4D">
        <w:rPr>
          <w:sz w:val="22"/>
          <w:szCs w:val="22"/>
        </w:rPr>
        <w:t>-receptorom a strednú afinitu k adrenergným α</w:t>
      </w:r>
      <w:r w:rsidRPr="00222C4D">
        <w:rPr>
          <w:sz w:val="22"/>
          <w:szCs w:val="22"/>
          <w:vertAlign w:val="subscript"/>
        </w:rPr>
        <w:t>2</w:t>
      </w:r>
      <w:r w:rsidRPr="00222C4D">
        <w:rPr>
          <w:sz w:val="22"/>
          <w:szCs w:val="22"/>
        </w:rPr>
        <w:t>-receptorom. Kvetiapín má slabú alebo nemá žiadnu afinitu k muskarínovým receptorom, zatiaľ čo norkvetiapín má strednú až vysokú afinitu k niekoľkým muskarínovým receptorom, čo možno vysvetliť antichol</w:t>
      </w:r>
      <w:r w:rsidR="006B249F">
        <w:rPr>
          <w:sz w:val="22"/>
          <w:szCs w:val="22"/>
        </w:rPr>
        <w:t>í</w:t>
      </w:r>
      <w:r w:rsidRPr="00222C4D">
        <w:rPr>
          <w:sz w:val="22"/>
          <w:szCs w:val="22"/>
        </w:rPr>
        <w:t>nerg</w:t>
      </w:r>
      <w:r w:rsidR="006B249F">
        <w:rPr>
          <w:sz w:val="22"/>
          <w:szCs w:val="22"/>
        </w:rPr>
        <w:t>ick</w:t>
      </w:r>
      <w:r w:rsidRPr="00222C4D">
        <w:rPr>
          <w:sz w:val="22"/>
          <w:szCs w:val="22"/>
        </w:rPr>
        <w:t>ými (muskarínovými) účinkami.</w:t>
      </w:r>
      <w:r w:rsidRPr="00222C4D">
        <w:rPr>
          <w:sz w:val="22"/>
          <w:szCs w:val="22"/>
          <w:lang w:val="sk-SK"/>
        </w:rPr>
        <w:t xml:space="preserve"> </w:t>
      </w:r>
      <w:r w:rsidRPr="00222C4D">
        <w:rPr>
          <w:sz w:val="22"/>
          <w:szCs w:val="22"/>
        </w:rPr>
        <w:t>Inhibícia NET a parciálne agonistické pôsobenie norkvetiapínu na 5HT</w:t>
      </w:r>
      <w:r w:rsidRPr="00222C4D">
        <w:rPr>
          <w:sz w:val="22"/>
          <w:szCs w:val="22"/>
          <w:vertAlign w:val="subscript"/>
        </w:rPr>
        <w:t>1A</w:t>
      </w:r>
      <w:r w:rsidRPr="00222C4D">
        <w:rPr>
          <w:sz w:val="22"/>
          <w:szCs w:val="22"/>
        </w:rPr>
        <w:t xml:space="preserve"> miestach môže prispievať k terapeutického účinku kvetiapínu </w:t>
      </w:r>
      <w:r w:rsidR="006B249F">
        <w:rPr>
          <w:sz w:val="22"/>
          <w:szCs w:val="22"/>
        </w:rPr>
        <w:t xml:space="preserve">s predĺženým uvoľňovaním </w:t>
      </w:r>
      <w:r w:rsidRPr="00222C4D">
        <w:rPr>
          <w:sz w:val="22"/>
          <w:szCs w:val="22"/>
        </w:rPr>
        <w:t>ako antidepresíva.</w:t>
      </w:r>
    </w:p>
    <w:p w:rsidR="00302C75" w:rsidRDefault="00302C75">
      <w:pPr>
        <w:pStyle w:val="Normlnywebov"/>
        <w:spacing w:before="0" w:beforeAutospacing="0" w:after="0"/>
        <w:jc w:val="both"/>
        <w:rPr>
          <w:b/>
          <w:bCs/>
          <w:iCs/>
          <w:color w:val="auto"/>
          <w:sz w:val="22"/>
          <w:szCs w:val="22"/>
          <w:u w:val="single"/>
          <w:lang w:val="sk-SK"/>
        </w:rPr>
      </w:pPr>
    </w:p>
    <w:p w:rsidR="00302C75" w:rsidRPr="005C4B32" w:rsidRDefault="00302C75">
      <w:pPr>
        <w:pStyle w:val="Normlnywebov"/>
        <w:spacing w:before="0" w:beforeAutospacing="0" w:after="0"/>
        <w:jc w:val="both"/>
        <w:rPr>
          <w:b/>
          <w:bCs/>
          <w:iCs/>
          <w:color w:val="auto"/>
          <w:sz w:val="22"/>
          <w:szCs w:val="22"/>
          <w:u w:val="single"/>
          <w:lang w:val="sk-SK"/>
        </w:rPr>
      </w:pPr>
      <w:r>
        <w:rPr>
          <w:b/>
          <w:bCs/>
          <w:iCs/>
          <w:color w:val="auto"/>
          <w:sz w:val="22"/>
          <w:szCs w:val="22"/>
          <w:u w:val="single"/>
          <w:lang w:val="sk-SK"/>
        </w:rPr>
        <w:t>F</w:t>
      </w:r>
      <w:r w:rsidRPr="00E21B7F">
        <w:rPr>
          <w:b/>
          <w:bCs/>
          <w:iCs/>
          <w:color w:val="auto"/>
          <w:sz w:val="22"/>
          <w:szCs w:val="22"/>
          <w:u w:val="single"/>
          <w:lang w:val="sk-SK"/>
        </w:rPr>
        <w:t>armakodynamické účinky</w:t>
      </w:r>
    </w:p>
    <w:p w:rsidR="0065429E" w:rsidRDefault="00302C75">
      <w:pPr>
        <w:pStyle w:val="Normlnywebov"/>
        <w:spacing w:before="0" w:beforeAutospacing="0" w:after="0"/>
        <w:jc w:val="both"/>
        <w:rPr>
          <w:color w:val="auto"/>
          <w:sz w:val="22"/>
          <w:szCs w:val="22"/>
          <w:lang w:val="sk-SK"/>
        </w:rPr>
      </w:pPr>
      <w:r w:rsidRPr="00E21B7F">
        <w:rPr>
          <w:color w:val="auto"/>
          <w:sz w:val="22"/>
          <w:szCs w:val="22"/>
          <w:lang w:val="sk-SK"/>
        </w:rPr>
        <w:t>Kvetiapín je účinný v testoch antipsychotickej aktivity, akými sú napr. testy na podmienené obranné reflexy. Kvetiapín tiež potláča účinky dopamínových agonistov, čo sa dokázalo na základe behaviorálnych hodnotení a elektrofyziologických meraní a zvyšuje koncentráciu metabolitov dopamínu, čo je neurochemický index blokády D</w:t>
      </w:r>
      <w:r w:rsidRPr="00E21B7F">
        <w:rPr>
          <w:color w:val="auto"/>
          <w:sz w:val="22"/>
          <w:szCs w:val="22"/>
          <w:vertAlign w:val="subscript"/>
          <w:lang w:val="sk-SK"/>
        </w:rPr>
        <w:t>2</w:t>
      </w:r>
      <w:r w:rsidRPr="00E21B7F">
        <w:rPr>
          <w:color w:val="auto"/>
          <w:sz w:val="22"/>
          <w:szCs w:val="22"/>
          <w:lang w:val="sk-SK"/>
        </w:rPr>
        <w:t xml:space="preserve"> receptorov.</w:t>
      </w:r>
    </w:p>
    <w:p w:rsidR="0065429E" w:rsidRDefault="0065429E">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V predklinických testoch určených na vyvolanie extrapyramídového syndrómu sa kvetiapín nepodobá typickým antipsychotikám a má profil atypického antipsychotika. Pri dlhodobom podávaní kvetiapínu nevzniká supersenzitivita dopamínových D</w:t>
      </w:r>
      <w:r w:rsidRPr="00E21B7F">
        <w:rPr>
          <w:color w:val="auto"/>
          <w:sz w:val="22"/>
          <w:szCs w:val="22"/>
          <w:vertAlign w:val="subscript"/>
          <w:lang w:val="sk-SK"/>
        </w:rPr>
        <w:t>2</w:t>
      </w:r>
      <w:r w:rsidRPr="00E21B7F">
        <w:rPr>
          <w:color w:val="auto"/>
          <w:sz w:val="22"/>
          <w:szCs w:val="22"/>
          <w:lang w:val="sk-SK"/>
        </w:rPr>
        <w:t xml:space="preserve"> receptorov. Pri podávaní dávok, ktoré dostatočne blokujú D</w:t>
      </w:r>
      <w:r w:rsidRPr="00E21B7F">
        <w:rPr>
          <w:color w:val="auto"/>
          <w:sz w:val="22"/>
          <w:szCs w:val="22"/>
          <w:vertAlign w:val="subscript"/>
          <w:lang w:val="sk-SK"/>
        </w:rPr>
        <w:t>2</w:t>
      </w:r>
      <w:r w:rsidRPr="00E21B7F">
        <w:rPr>
          <w:color w:val="auto"/>
          <w:sz w:val="22"/>
          <w:szCs w:val="22"/>
          <w:lang w:val="sk-SK"/>
        </w:rPr>
        <w:t xml:space="preserve"> receptory, kvetiapín spôsobuje len slabú katalepsiu. Kvetiapín má pri dlhodobom podávaní selektívny účinok na limbický systém, pretože blokuje depolarizáciu mezolimbických neurónov, nepôsobí však na nigrostriatálne dopamínergické neuróny. Pri akútnom a chronickom podávaní opiciam rodu </w:t>
      </w:r>
      <w:r w:rsidRPr="00E21B7F">
        <w:rPr>
          <w:i/>
          <w:iCs/>
          <w:color w:val="auto"/>
          <w:sz w:val="22"/>
          <w:szCs w:val="22"/>
          <w:lang w:val="sk-SK"/>
        </w:rPr>
        <w:t>Cebus</w:t>
      </w:r>
      <w:r w:rsidRPr="00E21B7F">
        <w:rPr>
          <w:color w:val="auto"/>
          <w:sz w:val="22"/>
          <w:szCs w:val="22"/>
          <w:lang w:val="sk-SK"/>
        </w:rPr>
        <w:t xml:space="preserve">, po predchádzajúcej senzibilizácii haloperidolom alebo bez nej, vykazuje kvetiapín minimálnu tendenciu k vyvolaniu dystonických reakcií. (Pozri časť 4.8).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color w:val="auto"/>
          <w:sz w:val="22"/>
          <w:szCs w:val="22"/>
          <w:lang w:val="sk-SK"/>
        </w:rPr>
      </w:pPr>
      <w:r w:rsidRPr="00E21B7F">
        <w:rPr>
          <w:b/>
          <w:bCs/>
          <w:iCs/>
          <w:color w:val="auto"/>
          <w:sz w:val="22"/>
          <w:szCs w:val="22"/>
          <w:u w:val="single"/>
          <w:lang w:val="sk-SK"/>
        </w:rPr>
        <w:t>Klinická účinnosť</w:t>
      </w:r>
    </w:p>
    <w:p w:rsidR="00302C75" w:rsidRPr="00E21B7F" w:rsidRDefault="00302C75">
      <w:pPr>
        <w:pStyle w:val="Normlnywebov"/>
        <w:spacing w:before="0" w:beforeAutospacing="0" w:after="0"/>
        <w:jc w:val="both"/>
        <w:rPr>
          <w:b/>
          <w:bCs/>
          <w:color w:val="auto"/>
          <w:sz w:val="22"/>
          <w:szCs w:val="22"/>
          <w:lang w:val="sk-SK"/>
        </w:rPr>
      </w:pPr>
    </w:p>
    <w:p w:rsidR="00302C75" w:rsidRPr="00E21B7F" w:rsidRDefault="00302C75">
      <w:pPr>
        <w:pStyle w:val="Normlnywebov"/>
        <w:spacing w:before="0" w:beforeAutospacing="0" w:after="0"/>
        <w:jc w:val="both"/>
        <w:rPr>
          <w:color w:val="auto"/>
          <w:sz w:val="22"/>
          <w:szCs w:val="22"/>
          <w:lang w:val="sk-SK"/>
        </w:rPr>
      </w:pPr>
      <w:r w:rsidRPr="00E21B7F">
        <w:rPr>
          <w:b/>
          <w:bCs/>
          <w:color w:val="auto"/>
          <w:sz w:val="22"/>
          <w:szCs w:val="22"/>
          <w:lang w:val="sk-SK"/>
        </w:rPr>
        <w:t>Schizofrénia</w:t>
      </w: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Účinnosť lieku Quetiapine Accord filmom obalené tablety s predĺženým uvoľňovaním pri liečbe schizofrénie sa preukázala v jednom šesť týždňov trvajúcom a placebom kontrolovanom skúšaní u pacientov spĺňajúcich kritériá DSM</w:t>
      </w:r>
      <w:r w:rsidRPr="00E21B7F">
        <w:rPr>
          <w:color w:val="auto"/>
          <w:sz w:val="22"/>
          <w:szCs w:val="22"/>
          <w:lang w:val="sk-SK"/>
        </w:rPr>
        <w:noBreakHyphen/>
        <w:t xml:space="preserve">IV pre schizofréniu a jednej aktívne kontrolovanej štúdii prechodu z lieku Quetiapine Accord filmom obalené tablety s okamžitým uvoľňovaním na liek Quetiapine Accord filmom obalené tablety s predĺženým uvoľňovaním u klinicky stabilizovaných ambulantne liečených pacientov so schizofréniou.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Primárnou výstupnou premennou v placebom kontrolovanom skúšaní bola zmena z pôvodnej na finálnu hodnotu v celkovom skóre PANSS. S užívaním lieku Quetiapine Accord filmom obalené tablety s predĺženým uvoľňovaním podávaným v dávkach 400 mg/denne, 600 mg/denne a 800 mg/denne bolo spojené so štatisticky signifikantným zlepšením psychotických symptómov v porovnaní s placebom. V prípade dávok 600 mg a 800 mg bol účinok výraznejší než v prípade dávky 400 mg.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šesťtýždennej aktívne kontrolovanej štúdii prechodu  z liečby liekom Quetiapine Accord filmom obalené tablety s okamžitým uvoľňovaním na liečbu liekom Quetiapine Accord filmom obalené tablety s predĺženým uvoľňovaním,  bol primárnou výstupnou premennou pomer pacientov, u ktorých sa neprejavila dostatočná účinnosť, t. j., ktorí prerušili liečbu v rámci skúšania v dôsledku nedostatočnej účinnosti alebo u ktorých sa celkové skóre PANSS zvýšilo minimálne o 20 % od randomizácie po niektorú monitorovaciu návštevu. U pacientov stabilizovaných na liečbe liekom Quetiapine Accord filmom obalené tablety s okamžitým uvoľňovaním v dávkach od 400 mg do 800 mg sa účinnosť zachovala, keď pacienti prešli na ekvivalentné denné dávky lieku Quetiapine Accord filmom obalené tablety s predĺženým uvoľňovaním, ktoré im boli podávané raz denne.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V dlhodobej štúdii so stabilizovanými schizofrenickými pacientmi, ktorí boli udržiavaní na liečbe liekom Quetiapine Accord filmom obalené tablety</w:t>
      </w:r>
      <w:r w:rsidR="00056088">
        <w:rPr>
          <w:color w:val="auto"/>
          <w:sz w:val="22"/>
          <w:szCs w:val="22"/>
          <w:lang w:val="sk-SK"/>
        </w:rPr>
        <w:t xml:space="preserve"> </w:t>
      </w:r>
      <w:r w:rsidRPr="00E21B7F">
        <w:rPr>
          <w:color w:val="auto"/>
          <w:sz w:val="22"/>
          <w:szCs w:val="22"/>
          <w:lang w:val="sk-SK"/>
        </w:rPr>
        <w:t xml:space="preserve">s predĺženým uvoľňovaním počas 16 týždňov, bol liek Quetiapine Accord filmom obalené tablety s predĺženým uvoľňovaním účinnejší v prevencii relapsu ako placebo. Odhadované riziká relapsu po 6 mesiacoch liečby predstavovali v prípade skupiny liečenej liekom Quetiapine Accord filmom obalené tablety s predĺženým uvoľňovaním 14,3 % v porovnaní so 68,2 % v skupine s placebom. Priemerná dávka bola 669 mg. V súvislosti s liečbou s liekom Quetiapine Accord filmom obalené tablety s predĺženým uvoľňovaním neboli až do doby 9 mesiacov zaznamenané žiadne dodatočné zistenia týkajúce sa bezpečnosti (medián 7 mesiacov). Pri dlhodobej liečbe liekom Quetiapine Accord filmom obalené tablety s predĺženým uvoľňovaním nedošlo k zvýšeniu počtu hlásených nežiaducich účinkov, a to najmä v súvislosti s EPS a zvýšením telesnej hmotnosti. </w:t>
      </w:r>
    </w:p>
    <w:p w:rsidR="00302C75" w:rsidRPr="00E21B7F" w:rsidRDefault="00302C75">
      <w:pPr>
        <w:pStyle w:val="Normlnywebov"/>
        <w:spacing w:before="0" w:beforeAutospacing="0" w:after="0"/>
        <w:jc w:val="both"/>
        <w:rPr>
          <w:b/>
          <w:bCs/>
          <w:color w:val="auto"/>
          <w:sz w:val="22"/>
          <w:szCs w:val="22"/>
          <w:lang w:val="sk-SK"/>
        </w:rPr>
      </w:pPr>
    </w:p>
    <w:p w:rsidR="00302C75" w:rsidRPr="00E21B7F" w:rsidRDefault="00302C75">
      <w:pPr>
        <w:pStyle w:val="Normlnywebov"/>
        <w:spacing w:before="0" w:beforeAutospacing="0" w:after="0"/>
        <w:jc w:val="both"/>
        <w:rPr>
          <w:color w:val="auto"/>
          <w:sz w:val="22"/>
          <w:szCs w:val="22"/>
          <w:lang w:val="sk-SK"/>
        </w:rPr>
      </w:pPr>
      <w:r w:rsidRPr="00E21B7F">
        <w:rPr>
          <w:b/>
          <w:bCs/>
          <w:color w:val="auto"/>
          <w:sz w:val="22"/>
          <w:szCs w:val="22"/>
          <w:lang w:val="sk-SK"/>
        </w:rPr>
        <w:t>Bipolárna afektívna porucha</w:t>
      </w: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dvoch klinických štúdiách sa ukázalo, že kvetiapín je v monoterapii stredne </w:t>
      </w:r>
      <w:r>
        <w:rPr>
          <w:color w:val="auto"/>
          <w:sz w:val="22"/>
          <w:szCs w:val="22"/>
          <w:lang w:val="sk-SK"/>
        </w:rPr>
        <w:t xml:space="preserve">ťažkých </w:t>
      </w:r>
      <w:r w:rsidRPr="00E21B7F">
        <w:rPr>
          <w:color w:val="auto"/>
          <w:sz w:val="22"/>
          <w:szCs w:val="22"/>
          <w:lang w:val="sk-SK"/>
        </w:rPr>
        <w:t xml:space="preserve"> až </w:t>
      </w:r>
      <w:r>
        <w:rPr>
          <w:color w:val="auto"/>
          <w:sz w:val="22"/>
          <w:szCs w:val="22"/>
          <w:lang w:val="sk-SK"/>
        </w:rPr>
        <w:t>ťažkých</w:t>
      </w:r>
      <w:r w:rsidRPr="00E21B7F">
        <w:rPr>
          <w:color w:val="auto"/>
          <w:sz w:val="22"/>
          <w:szCs w:val="22"/>
          <w:lang w:val="sk-SK"/>
        </w:rPr>
        <w:t xml:space="preserve"> foriem manických epizód účinnejší než placebo, čo sa týka redukcie manických príznakov po 3 a 12 týždňoch liečby. Účinnosť lieku Quetiapine Accord filmom obalené tablety s predĺženým uvoľňovaním oproti placebu bola signifikantne preuk</w:t>
      </w:r>
      <w:r>
        <w:rPr>
          <w:color w:val="auto"/>
          <w:sz w:val="22"/>
          <w:szCs w:val="22"/>
          <w:lang w:val="sk-SK"/>
        </w:rPr>
        <w:t>á</w:t>
      </w:r>
      <w:r w:rsidRPr="00E21B7F">
        <w:rPr>
          <w:color w:val="auto"/>
          <w:sz w:val="22"/>
          <w:szCs w:val="22"/>
          <w:lang w:val="sk-SK"/>
        </w:rPr>
        <w:t xml:space="preserve">zaná v ďalšej trojtýždňovej štúdii. Liek Quetiapine Accord filmom obalené tablety s predĺženým uvoľňovaním bol podávaný v rozsahu dávok od 400 do 800 mg/denne a priemerná dávka bola približne 600 mg/deň. Údaje o kvetiapíne podávanom v kombinácii s divalproexom alebo lítiom pri </w:t>
      </w:r>
      <w:r>
        <w:rPr>
          <w:color w:val="auto"/>
          <w:sz w:val="22"/>
          <w:szCs w:val="22"/>
          <w:lang w:val="sk-SK"/>
        </w:rPr>
        <w:t xml:space="preserve">akútnych </w:t>
      </w:r>
      <w:r w:rsidRPr="00F00F97">
        <w:rPr>
          <w:color w:val="auto"/>
          <w:sz w:val="22"/>
          <w:szCs w:val="22"/>
          <w:lang w:val="sk-SK"/>
        </w:rPr>
        <w:t>stredne ťažkých</w:t>
      </w:r>
      <w:r w:rsidRPr="00E21B7F" w:rsidDel="006412C5">
        <w:rPr>
          <w:color w:val="auto"/>
          <w:sz w:val="22"/>
          <w:szCs w:val="22"/>
          <w:lang w:val="sk-SK"/>
        </w:rPr>
        <w:t xml:space="preserve"> </w:t>
      </w:r>
      <w:r w:rsidRPr="00E21B7F">
        <w:rPr>
          <w:color w:val="auto"/>
          <w:sz w:val="22"/>
          <w:szCs w:val="22"/>
          <w:lang w:val="sk-SK"/>
        </w:rPr>
        <w:t xml:space="preserve">až ťažkých manických epizódach v 3. a 6. týždni sú obmedzené, ale kombinovaná terapia bola dobre tolerovaná. Výsledky preukázali aditívny účinok v 3. týždni. Druhá klinická štúdia nepreukázala aditívny účinok v 6. týždni.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klinickom skúšaní u pacientov s depresívnymi epizódami v rámci bipolárnej afektívnej poruchy I alebo II vykázal liek Quetiapine Accord filmom obalené tablety s predĺženým uvoľňovaním v dávke 300 mg/deň signifikantne vyššiu účinnosť oproti placebu v redukcii celkového skóre MADRS.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rPr>
          <w:sz w:val="22"/>
          <w:szCs w:val="22"/>
          <w:lang w:val="sk-SK"/>
        </w:rPr>
      </w:pPr>
      <w:r w:rsidRPr="00E21B7F">
        <w:rPr>
          <w:sz w:val="22"/>
          <w:szCs w:val="22"/>
          <w:lang w:val="sk-SK"/>
        </w:rPr>
        <w:t xml:space="preserve">V 4 klinických skúšaniach </w:t>
      </w:r>
      <w:r>
        <w:rPr>
          <w:sz w:val="22"/>
          <w:szCs w:val="22"/>
          <w:lang w:val="sk-SK"/>
        </w:rPr>
        <w:t xml:space="preserve">s kvetiapínom </w:t>
      </w:r>
      <w:r w:rsidRPr="00E21B7F">
        <w:rPr>
          <w:sz w:val="22"/>
          <w:szCs w:val="22"/>
          <w:lang w:val="sk-SK"/>
        </w:rPr>
        <w:t xml:space="preserve">trvajúcich 8 týždňov u pacientov </w:t>
      </w:r>
      <w:r w:rsidRPr="00F00F97">
        <w:rPr>
          <w:sz w:val="22"/>
          <w:szCs w:val="22"/>
          <w:lang w:val="sk-SK"/>
        </w:rPr>
        <w:t>so stredne ťažkými</w:t>
      </w:r>
      <w:r w:rsidRPr="00F00F97" w:rsidDel="003630A1">
        <w:rPr>
          <w:sz w:val="22"/>
          <w:szCs w:val="22"/>
          <w:lang w:val="sk-SK"/>
        </w:rPr>
        <w:t xml:space="preserve"> </w:t>
      </w:r>
      <w:r w:rsidRPr="00E21B7F">
        <w:rPr>
          <w:sz w:val="22"/>
          <w:szCs w:val="22"/>
          <w:lang w:val="sk-SK"/>
        </w:rPr>
        <w:t>až ťažkými depresívnymi epizódami v rámci bipolárnej poruchy I alebo bipolárnej poruchy II bol liek Quetiapine Accord v dávke 300 mg a 600 mg signifikantne účinnejší v porovnaní s</w:t>
      </w:r>
      <w:r>
        <w:rPr>
          <w:sz w:val="22"/>
          <w:szCs w:val="22"/>
          <w:lang w:val="sk-SK"/>
        </w:rPr>
        <w:t>o</w:t>
      </w:r>
      <w:r w:rsidRPr="00E21B7F">
        <w:rPr>
          <w:sz w:val="22"/>
          <w:szCs w:val="22"/>
          <w:lang w:val="sk-SK"/>
        </w:rPr>
        <w:t>  skupinou pacientov</w:t>
      </w:r>
      <w:r>
        <w:rPr>
          <w:sz w:val="22"/>
          <w:szCs w:val="22"/>
          <w:lang w:val="sk-SK"/>
        </w:rPr>
        <w:t xml:space="preserve"> s</w:t>
      </w:r>
      <w:r w:rsidRPr="00E21B7F">
        <w:rPr>
          <w:sz w:val="22"/>
          <w:szCs w:val="22"/>
          <w:lang w:val="sk-SK"/>
        </w:rPr>
        <w:t xml:space="preserve"> placebom v rámci merateľných výsledkov: priemerné zlepšenie skóre MADRS (Montgomery</w:t>
      </w:r>
      <w:r w:rsidRPr="00E21B7F">
        <w:rPr>
          <w:sz w:val="22"/>
          <w:szCs w:val="22"/>
          <w:lang w:val="sk-SK"/>
        </w:rPr>
        <w:noBreakHyphen/>
        <w:t>Asberg Depression Rating Scale = Montgomery</w:t>
      </w:r>
      <w:r w:rsidRPr="00E21B7F">
        <w:rPr>
          <w:sz w:val="22"/>
          <w:szCs w:val="22"/>
          <w:lang w:val="sk-SK"/>
        </w:rPr>
        <w:noBreakHyphen/>
        <w:t xml:space="preserve">Asbergovej hodnotiaca stupnica depresie) pre odpoveď definovanú ako najmenej 50 % zlepšenie celkového skóre MADRS oproti pôvodnej hodnote. Nezistil sa rozdiel v rozsahu účinku medzi pacientmi užívajúcimi 300 mg lieku Quetiapine Accord a tými, ktorí dostávali dávku 600 mg lieku Quetiapine Accord. </w:t>
      </w:r>
    </w:p>
    <w:p w:rsidR="00302C75" w:rsidRPr="00E21B7F" w:rsidRDefault="00302C75">
      <w:pPr>
        <w:rPr>
          <w:sz w:val="22"/>
          <w:szCs w:val="22"/>
          <w:lang w:val="sk-SK"/>
        </w:rPr>
      </w:pPr>
    </w:p>
    <w:p w:rsidR="00302C75" w:rsidRPr="00E21B7F" w:rsidRDefault="00302C75">
      <w:pPr>
        <w:rPr>
          <w:strike/>
          <w:sz w:val="22"/>
          <w:szCs w:val="22"/>
          <w:u w:val="double"/>
          <w:lang w:val="sk-SK"/>
        </w:rPr>
      </w:pPr>
      <w:r w:rsidRPr="00E21B7F">
        <w:rPr>
          <w:sz w:val="22"/>
          <w:szCs w:val="22"/>
          <w:lang w:val="sk-SK"/>
        </w:rPr>
        <w:t xml:space="preserve">V kontinuálnej fáze týchto 2 skúšaní sa zistilo, že dlhodobá liečba pacientov odpovedajúcich na liek Quetiapine Accord v dávke 300 mg alebo 600 mg je účinná oproti placebu v liečbe depresívnych symptómov, ale </w:t>
      </w:r>
      <w:r>
        <w:rPr>
          <w:sz w:val="22"/>
          <w:szCs w:val="22"/>
          <w:lang w:val="sk-SK"/>
        </w:rPr>
        <w:t xml:space="preserve">nie </w:t>
      </w:r>
      <w:r w:rsidRPr="00E21B7F">
        <w:rPr>
          <w:sz w:val="22"/>
          <w:szCs w:val="22"/>
          <w:lang w:val="sk-SK"/>
        </w:rPr>
        <w:t>v liečbe manických symptóm</w:t>
      </w:r>
      <w:r>
        <w:rPr>
          <w:sz w:val="22"/>
          <w:szCs w:val="22"/>
          <w:lang w:val="sk-SK"/>
        </w:rPr>
        <w:t>ov</w:t>
      </w:r>
      <w:r w:rsidRPr="00E21B7F">
        <w:rPr>
          <w:sz w:val="22"/>
          <w:szCs w:val="22"/>
          <w:lang w:val="sk-SK"/>
        </w:rPr>
        <w:t>.</w:t>
      </w:r>
    </w:p>
    <w:p w:rsidR="00302C75" w:rsidRPr="00E21B7F" w:rsidRDefault="00302C75">
      <w:pPr>
        <w:rPr>
          <w:sz w:val="22"/>
          <w:szCs w:val="22"/>
          <w:u w:val="double"/>
          <w:lang w:val="sk-SK"/>
        </w:rPr>
      </w:pPr>
    </w:p>
    <w:p w:rsidR="00302C75" w:rsidRPr="00327B36" w:rsidRDefault="00302C75">
      <w:pPr>
        <w:rPr>
          <w:sz w:val="22"/>
          <w:szCs w:val="22"/>
          <w:lang w:val="sk-SK"/>
        </w:rPr>
      </w:pPr>
      <w:r w:rsidRPr="00E21B7F">
        <w:rPr>
          <w:sz w:val="22"/>
          <w:szCs w:val="22"/>
          <w:lang w:val="sk-SK"/>
        </w:rPr>
        <w:t>V dvoch klinických skúšaniach zameraných na prevenciu recidívy sa porovnávala účinnosť kvetiapínu v kombinácii so stabilizátormi nálady u pacientov s manickými, depresívnymi alebo zmiešanými</w:t>
      </w:r>
      <w:r w:rsidRPr="00E21B7F">
        <w:rPr>
          <w:color w:val="FF0000"/>
          <w:sz w:val="22"/>
          <w:szCs w:val="22"/>
          <w:lang w:val="sk-SK"/>
        </w:rPr>
        <w:t xml:space="preserve"> </w:t>
      </w:r>
      <w:r w:rsidRPr="00E21B7F">
        <w:rPr>
          <w:sz w:val="22"/>
          <w:szCs w:val="22"/>
          <w:lang w:val="sk-SK"/>
        </w:rPr>
        <w:t>epizódami; kombinácia s kvetiapínom preukázala lepšiu účinnosť ako monoterapia stabilizátormi nálady čo sa týka predĺženia času do recidívy ktorejkoľvek z porúch nálady</w:t>
      </w:r>
      <w:r w:rsidRPr="00E21B7F">
        <w:rPr>
          <w:color w:val="00FFFF"/>
          <w:sz w:val="22"/>
          <w:szCs w:val="22"/>
          <w:lang w:val="sk-SK"/>
        </w:rPr>
        <w:t xml:space="preserve"> </w:t>
      </w:r>
      <w:r w:rsidRPr="00E21B7F">
        <w:rPr>
          <w:sz w:val="22"/>
          <w:szCs w:val="22"/>
          <w:lang w:val="sk-SK"/>
        </w:rPr>
        <w:t>(manickej, zmiešanej alebo depresívnej). Kvetiapín sa podával 2</w:t>
      </w:r>
      <w:r w:rsidRPr="00E21B7F">
        <w:rPr>
          <w:sz w:val="22"/>
          <w:szCs w:val="22"/>
          <w:lang w:val="sk-SK"/>
        </w:rPr>
        <w:noBreakHyphen/>
        <w:t xml:space="preserve">krát denne v celkovej dávke 400 mg až 800 mg denne </w:t>
      </w:r>
      <w:r w:rsidRPr="00327B36">
        <w:rPr>
          <w:sz w:val="22"/>
          <w:szCs w:val="22"/>
          <w:lang w:val="sk-SK"/>
        </w:rPr>
        <w:t xml:space="preserve">v kombinácii s lítiom alebo valproátom. </w:t>
      </w:r>
    </w:p>
    <w:p w:rsidR="00302C75" w:rsidRPr="00B70AAA" w:rsidRDefault="00302C75">
      <w:pPr>
        <w:rPr>
          <w:sz w:val="22"/>
          <w:szCs w:val="22"/>
          <w:lang w:val="sk-SK"/>
        </w:rPr>
      </w:pPr>
    </w:p>
    <w:p w:rsidR="00302C75" w:rsidRPr="00FB6ECF" w:rsidRDefault="00302C75" w:rsidP="00FB6ECF">
      <w:pPr>
        <w:rPr>
          <w:sz w:val="22"/>
          <w:szCs w:val="22"/>
          <w:lang w:val="sk-SK"/>
        </w:rPr>
      </w:pPr>
      <w:r w:rsidRPr="005C4B32">
        <w:rPr>
          <w:sz w:val="22"/>
          <w:szCs w:val="22"/>
          <w:lang w:val="sk-SK"/>
        </w:rPr>
        <w:t xml:space="preserve">V </w:t>
      </w:r>
      <w:r>
        <w:rPr>
          <w:sz w:val="22"/>
          <w:szCs w:val="22"/>
          <w:lang w:val="sk-SK"/>
        </w:rPr>
        <w:t>šesťtýždňovej randomizovanej klinickej štúdii</w:t>
      </w:r>
      <w:r w:rsidRPr="005C4B32">
        <w:rPr>
          <w:sz w:val="22"/>
          <w:szCs w:val="22"/>
          <w:lang w:val="sk-SK"/>
        </w:rPr>
        <w:t xml:space="preserve"> </w:t>
      </w:r>
      <w:r w:rsidRPr="006054CA">
        <w:rPr>
          <w:sz w:val="22"/>
          <w:szCs w:val="22"/>
          <w:lang w:val="sk-SK"/>
        </w:rPr>
        <w:t>liečby lítio</w:t>
      </w:r>
      <w:r>
        <w:rPr>
          <w:sz w:val="22"/>
          <w:szCs w:val="22"/>
          <w:lang w:val="sk-SK"/>
        </w:rPr>
        <w:t>m</w:t>
      </w:r>
      <w:r w:rsidRPr="005C4B32">
        <w:rPr>
          <w:sz w:val="22"/>
          <w:szCs w:val="22"/>
          <w:lang w:val="sk-SK"/>
        </w:rPr>
        <w:t xml:space="preserve"> a </w:t>
      </w:r>
      <w:r>
        <w:rPr>
          <w:sz w:val="22"/>
          <w:szCs w:val="22"/>
          <w:lang w:val="sk-SK"/>
        </w:rPr>
        <w:t xml:space="preserve">liekom </w:t>
      </w:r>
      <w:r w:rsidRPr="00FB6ECF">
        <w:rPr>
          <w:sz w:val="22"/>
          <w:szCs w:val="22"/>
          <w:lang w:val="sk-SK"/>
        </w:rPr>
        <w:t>Quetiapine</w:t>
      </w:r>
      <w:r w:rsidRPr="00B70AAA">
        <w:rPr>
          <w:sz w:val="22"/>
          <w:szCs w:val="22"/>
          <w:lang w:val="sk-SK"/>
        </w:rPr>
        <w:t xml:space="preserve"> Accord v porovnaní s liečbou placebom a </w:t>
      </w:r>
      <w:r>
        <w:rPr>
          <w:sz w:val="22"/>
          <w:szCs w:val="22"/>
          <w:lang w:val="sk-SK"/>
        </w:rPr>
        <w:t xml:space="preserve">liekom </w:t>
      </w:r>
      <w:r w:rsidRPr="00FF6323">
        <w:rPr>
          <w:sz w:val="22"/>
          <w:szCs w:val="22"/>
          <w:lang w:val="sk-SK"/>
        </w:rPr>
        <w:t>Quetiapine Accord u dospelých pacientov v akútnej manickej fáze</w:t>
      </w:r>
      <w:r>
        <w:rPr>
          <w:sz w:val="22"/>
          <w:szCs w:val="22"/>
          <w:lang w:val="sk-SK"/>
        </w:rPr>
        <w:t xml:space="preserve"> bol</w:t>
      </w:r>
      <w:r w:rsidRPr="00FF6323">
        <w:rPr>
          <w:sz w:val="22"/>
          <w:szCs w:val="22"/>
          <w:lang w:val="sk-SK"/>
        </w:rPr>
        <w:t xml:space="preserve"> rozdiel v priemernom zlepšení hodnotenia na YMRS (=</w:t>
      </w:r>
      <w:r>
        <w:rPr>
          <w:sz w:val="22"/>
          <w:szCs w:val="22"/>
          <w:lang w:val="sk-SK"/>
        </w:rPr>
        <w:t xml:space="preserve"> </w:t>
      </w:r>
      <w:r w:rsidRPr="00FF6323">
        <w:rPr>
          <w:sz w:val="22"/>
          <w:szCs w:val="22"/>
          <w:lang w:val="sk-SK"/>
        </w:rPr>
        <w:t>Young Mania Rating Scale –</w:t>
      </w:r>
      <w:r>
        <w:rPr>
          <w:sz w:val="22"/>
          <w:szCs w:val="22"/>
          <w:lang w:val="sk-SK"/>
        </w:rPr>
        <w:t xml:space="preserve"> </w:t>
      </w:r>
      <w:r w:rsidRPr="00FF6323">
        <w:rPr>
          <w:sz w:val="22"/>
          <w:szCs w:val="22"/>
          <w:lang w:val="sk-SK"/>
        </w:rPr>
        <w:t>stupnica hodnotiaca mánie mladistvých)</w:t>
      </w:r>
      <w:r w:rsidRPr="00BF5089">
        <w:rPr>
          <w:sz w:val="22"/>
          <w:szCs w:val="22"/>
          <w:lang w:val="sk-SK"/>
        </w:rPr>
        <w:t xml:space="preserve"> medzi sk</w:t>
      </w:r>
      <w:r w:rsidRPr="009A6159">
        <w:rPr>
          <w:sz w:val="22"/>
          <w:szCs w:val="22"/>
          <w:lang w:val="sk-SK"/>
        </w:rPr>
        <w:t xml:space="preserve">upinou s pridaným lítiom a skupinou </w:t>
      </w:r>
      <w:r w:rsidRPr="00964140">
        <w:rPr>
          <w:sz w:val="22"/>
          <w:szCs w:val="22"/>
          <w:lang w:val="sk-SK"/>
        </w:rPr>
        <w:t xml:space="preserve">s pridaným placebom 2,8 bodov a rozdiel v </w:t>
      </w:r>
      <w:r w:rsidRPr="005C4B32">
        <w:rPr>
          <w:sz w:val="22"/>
          <w:szCs w:val="22"/>
          <w:lang w:val="sk-SK"/>
        </w:rPr>
        <w:t xml:space="preserve">% respondentov (definované ako 50% zlepšenie oproti pôvodnej hodnote na stupnici YMRS) bol 11 % (79 % </w:t>
      </w:r>
      <w:r w:rsidRPr="00FB6ECF">
        <w:rPr>
          <w:sz w:val="22"/>
          <w:szCs w:val="22"/>
          <w:lang w:val="sk-SK"/>
        </w:rPr>
        <w:t xml:space="preserve">v </w:t>
      </w:r>
      <w:r w:rsidRPr="00B70AAA">
        <w:rPr>
          <w:sz w:val="22"/>
          <w:szCs w:val="22"/>
          <w:lang w:val="sk-SK"/>
        </w:rPr>
        <w:t>skupin</w:t>
      </w:r>
      <w:r w:rsidRPr="00FF6323">
        <w:rPr>
          <w:sz w:val="22"/>
          <w:szCs w:val="22"/>
          <w:lang w:val="sk-SK"/>
        </w:rPr>
        <w:t xml:space="preserve">e s pridaným lítiom v porovnaní so </w:t>
      </w:r>
      <w:r w:rsidRPr="005C4B32">
        <w:rPr>
          <w:sz w:val="22"/>
          <w:szCs w:val="22"/>
          <w:lang w:val="sk-SK"/>
        </w:rPr>
        <w:t>68 %</w:t>
      </w:r>
      <w:r w:rsidRPr="00FB6ECF">
        <w:rPr>
          <w:sz w:val="22"/>
          <w:szCs w:val="22"/>
          <w:lang w:val="sk-SK"/>
        </w:rPr>
        <w:t xml:space="preserve"> </w:t>
      </w:r>
      <w:r w:rsidRPr="00B70AAA">
        <w:rPr>
          <w:sz w:val="22"/>
          <w:szCs w:val="22"/>
          <w:lang w:val="sk-SK"/>
        </w:rPr>
        <w:t>v skup</w:t>
      </w:r>
      <w:r w:rsidRPr="00FF6323">
        <w:rPr>
          <w:sz w:val="22"/>
          <w:szCs w:val="22"/>
          <w:lang w:val="sk-SK"/>
        </w:rPr>
        <w:t>ine s pridaným placebom</w:t>
      </w:r>
      <w:r w:rsidRPr="005C4B32">
        <w:rPr>
          <w:sz w:val="22"/>
          <w:szCs w:val="22"/>
          <w:lang w:val="sk-SK"/>
        </w:rPr>
        <w:t>).</w:t>
      </w:r>
    </w:p>
    <w:p w:rsidR="00302C75" w:rsidRPr="00B70AAA" w:rsidRDefault="00302C75">
      <w:pPr>
        <w:rPr>
          <w:sz w:val="22"/>
          <w:szCs w:val="22"/>
          <w:lang w:val="sk-SK"/>
        </w:rPr>
      </w:pPr>
    </w:p>
    <w:p w:rsidR="00302C75" w:rsidRPr="00E21B7F" w:rsidRDefault="00302C75">
      <w:pPr>
        <w:rPr>
          <w:sz w:val="22"/>
          <w:szCs w:val="22"/>
          <w:lang w:val="sk-SK"/>
        </w:rPr>
      </w:pPr>
      <w:r w:rsidRPr="00B70AAA">
        <w:rPr>
          <w:color w:val="000000"/>
          <w:sz w:val="22"/>
          <w:szCs w:val="22"/>
          <w:lang w:val="sk-SK"/>
        </w:rPr>
        <w:t>V dlhodobej štúdii (s liečbou trvajúcou až 2</w:t>
      </w:r>
      <w:r w:rsidRPr="00FF6323">
        <w:rPr>
          <w:sz w:val="22"/>
          <w:szCs w:val="22"/>
          <w:lang w:val="sk-SK"/>
        </w:rPr>
        <w:t> rok</w:t>
      </w:r>
      <w:r w:rsidRPr="00FF6323">
        <w:rPr>
          <w:color w:val="000000"/>
          <w:sz w:val="22"/>
          <w:szCs w:val="22"/>
          <w:lang w:val="sk-SK"/>
        </w:rPr>
        <w:t>y), ktorá vyhodnocovala prevenciu recidívy u pacientov s epizódami manickej</w:t>
      </w:r>
      <w:r w:rsidRPr="00BF5089">
        <w:rPr>
          <w:color w:val="000000"/>
          <w:sz w:val="22"/>
          <w:szCs w:val="22"/>
          <w:lang w:val="sk-SK"/>
        </w:rPr>
        <w:t>, depresívnej alebo zmiešanej nálady, mal kvetiapín u pacientov s bipolárnou poruchou typu I lepší účinok ako placeb</w:t>
      </w:r>
      <w:r w:rsidRPr="009A6159">
        <w:rPr>
          <w:color w:val="000000"/>
          <w:sz w:val="22"/>
          <w:szCs w:val="22"/>
          <w:lang w:val="sk-SK"/>
        </w:rPr>
        <w:t>o čo sa týka predĺženia času do recidívy ktorejkoľvek z náladových epizód (manickej, zmiešanej alebo depresívnej).</w:t>
      </w:r>
      <w:r w:rsidRPr="00964140">
        <w:rPr>
          <w:sz w:val="22"/>
          <w:szCs w:val="22"/>
          <w:lang w:val="sk-SK"/>
        </w:rPr>
        <w:t xml:space="preserve"> Počet pacientov s náladovými epizódami bol v skupine liečenej kvetiapínom 91 (22,5 %), v skupine s </w:t>
      </w:r>
      <w:r w:rsidRPr="006054CA">
        <w:rPr>
          <w:sz w:val="22"/>
          <w:szCs w:val="22"/>
          <w:lang w:val="sk-SK"/>
        </w:rPr>
        <w:t xml:space="preserve">placebom 208 (51,5 %) a v skupine liečenej lítiom 95 (26,1 %). </w:t>
      </w:r>
      <w:r w:rsidRPr="006054CA">
        <w:rPr>
          <w:color w:val="000000"/>
          <w:sz w:val="22"/>
          <w:szCs w:val="22"/>
          <w:lang w:val="sk-SK"/>
        </w:rPr>
        <w:t>Keď sa porovnávala nepretržitá liečba kvetiapí</w:t>
      </w:r>
      <w:r w:rsidRPr="004F2B61">
        <w:rPr>
          <w:color w:val="000000"/>
          <w:sz w:val="22"/>
          <w:szCs w:val="22"/>
          <w:lang w:val="sk-SK"/>
        </w:rPr>
        <w:t>nom</w:t>
      </w:r>
      <w:r w:rsidRPr="00E21B7F">
        <w:rPr>
          <w:color w:val="000000"/>
          <w:sz w:val="22"/>
          <w:szCs w:val="22"/>
          <w:lang w:val="sk-SK"/>
        </w:rPr>
        <w:t xml:space="preserve"> zmenená na liečbu lítiom, výsledky ukázali, že u pacientov, ktorí reagovali na kvetiapín, prechod na liečbu lítiom nepreukázal spojitosť s predĺžením času do recidívy náladovej epizódy.</w:t>
      </w:r>
    </w:p>
    <w:p w:rsidR="00302C75" w:rsidRPr="00E21B7F" w:rsidRDefault="00302C75">
      <w:pPr>
        <w:pStyle w:val="Normlnywebov"/>
        <w:spacing w:before="0" w:beforeAutospacing="0" w:after="0"/>
        <w:jc w:val="both"/>
        <w:rPr>
          <w:b/>
          <w:bCs/>
          <w:color w:val="auto"/>
          <w:sz w:val="22"/>
          <w:szCs w:val="22"/>
          <w:lang w:val="sk-SK"/>
        </w:rPr>
      </w:pPr>
    </w:p>
    <w:p w:rsidR="00302C75" w:rsidRDefault="00302C75">
      <w:pPr>
        <w:pStyle w:val="Normlnywebov"/>
        <w:spacing w:before="0" w:beforeAutospacing="0" w:after="0"/>
        <w:jc w:val="both"/>
        <w:rPr>
          <w:b/>
          <w:bCs/>
          <w:color w:val="auto"/>
          <w:sz w:val="22"/>
          <w:szCs w:val="22"/>
          <w:lang w:val="sk-SK"/>
        </w:rPr>
      </w:pPr>
      <w:r w:rsidRPr="00E21B7F">
        <w:rPr>
          <w:b/>
          <w:bCs/>
          <w:color w:val="auto"/>
          <w:sz w:val="22"/>
          <w:szCs w:val="22"/>
          <w:lang w:val="sk-SK"/>
        </w:rPr>
        <w:t>Epizódy veľkej depresie v prípade veľkej depresívnej poruchy</w:t>
      </w:r>
    </w:p>
    <w:p w:rsidR="00770799" w:rsidRPr="00E21B7F" w:rsidRDefault="00770799">
      <w:pPr>
        <w:pStyle w:val="Normlnywebov"/>
        <w:spacing w:before="0" w:beforeAutospacing="0" w:after="0"/>
        <w:jc w:val="both"/>
        <w:rPr>
          <w:b/>
          <w:bCs/>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Pacienti, ktorí vykazovali neadekvátnu odozvu na aspoň jedno antidepresívum, boli zaradení do dvoch krátkodobých (6</w:t>
      </w:r>
      <w:r w:rsidRPr="00E21B7F">
        <w:rPr>
          <w:color w:val="auto"/>
          <w:sz w:val="22"/>
          <w:szCs w:val="22"/>
          <w:lang w:val="sk-SK"/>
        </w:rPr>
        <w:noBreakHyphen/>
        <w:t>týždňových) štúdií. Liek Quetiapine Accord filmom obalené tablety s predĺženým uvoľňovaním v dávke 150 mg/deň a 300 mg/deň podávaný ako prídavná liečba k prebiehajúcej liečbe antidepresívami (amitriptylín, bupropion, citalopram, duloxetín, escitalopram, fluoxetín, paroxetín, sertralín alebo venlafaxín) preukázal vyššiu účinnosť takejto liečby v porovnaní s liečbou iba antidepresívami, keďže došlo k redukcii depresívnych symptómov meraných ako zlepšenie celkového skóre MADRS (priemerná zmena LS v porovnaní s placebom: o 2</w:t>
      </w:r>
      <w:r w:rsidRPr="00E21B7F">
        <w:rPr>
          <w:color w:val="auto"/>
          <w:sz w:val="22"/>
          <w:szCs w:val="22"/>
          <w:lang w:val="sk-SK"/>
        </w:rPr>
        <w:noBreakHyphen/>
        <w:t xml:space="preserve">3,3 bodu).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Dlhodobá účinnosť a bezpečnosť u pacientov s veľkou depresívnou poruchou nebola hodnotená ako prídavná liečba, ale bola hodnotená u dospelých pacientov v rámci monoterapie (pozri nižšie).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Uskutočnili sa nasledujúce štúdie, v ktorých sa liečba liekom Quetiapine Accord filmom obalené tablety s predĺženým uvoľňovaním použila v rámci monoterapie, aj keď je liek Quetiapine Accord filmom obalené tablety indikovaný iba na použitie ako prídavná liečba: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V troch zo štyroch krátkodobých (trvajúcich maximálne 8 týždňov) štúdií monoterapie  u pacientov s veľkou depresívnou poruchou sa ukázalo, že liek Quetiapine Accord filmom obalené tablety s predĺženým uvoľňovaním v dávkach 50 mg/deň, 150 mg/deň a 300 mg/deň je  účinnejší ako placebo v redukcii depresívnych symptómov meraných zlepšením celkového skóre MADRS (Montgomery</w:t>
      </w:r>
      <w:r w:rsidRPr="00E21B7F">
        <w:rPr>
          <w:color w:val="auto"/>
          <w:sz w:val="22"/>
          <w:szCs w:val="22"/>
          <w:lang w:val="sk-SK"/>
        </w:rPr>
        <w:noBreakHyphen/>
        <w:t>Åsberg Depression Rating Scale) (priemerná zmena LS v porovnaní s placebom: 2</w:t>
      </w:r>
      <w:r w:rsidRPr="00E21B7F">
        <w:rPr>
          <w:color w:val="auto"/>
          <w:sz w:val="22"/>
          <w:szCs w:val="22"/>
          <w:lang w:val="sk-SK"/>
        </w:rPr>
        <w:noBreakHyphen/>
        <w:t xml:space="preserve">4 body). </w:t>
      </w:r>
    </w:p>
    <w:p w:rsidR="00302C75"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štúdii zameranej na prevenciu relapsu pri monoterapii boli pacienti s epizódami depresie, ktorí boli stabilizovaní otvorenou liečbou liekom Quetiapine Accord filmom obalené tablety s predĺženým uvoľňovaním v trvaní aspoň 12 týždňov randomizovaní na užívanie lieku Quetiapine Accord filmom obalené tablety s predĺženým uvoľňovaním raz denne alebo na užívanie placeba až po dobu 52 týždňov. Priemerná dávka lieku Quetiapine Accord filmom obalené tablety s predĺženým uvoľňovaním počas randomizovanej fázy bola 177 mg/deň. Relaps sa vyskytol u 14,2 % pacientov liečených liekom Quetiapine Accord filmom obalené tablety s predĺženým uvoľňovaním a u 34,4 % pacientov </w:t>
      </w:r>
      <w:r>
        <w:rPr>
          <w:color w:val="auto"/>
          <w:sz w:val="22"/>
          <w:szCs w:val="22"/>
          <w:lang w:val="sk-SK"/>
        </w:rPr>
        <w:t xml:space="preserve">s </w:t>
      </w:r>
      <w:r w:rsidRPr="00E21B7F">
        <w:rPr>
          <w:color w:val="auto"/>
          <w:sz w:val="22"/>
          <w:szCs w:val="22"/>
          <w:lang w:val="sk-SK"/>
        </w:rPr>
        <w:t xml:space="preserve">placebom.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krátkodobej štúdii (v trvaní 9 týždňov) u starších pacientov bez demencie (vo veku od 66 do 89 rokov) s veľkou depresívnou poruchou liek Quetiapine Accord filmom obalené tablety s predĺženým uvoľňovaním preukázal pri flexibilnom dávkovaní v rozsahu od 50 mg/deň do 300 mg/deň vyššiu účinnosť ako placebo v redukcii depresívnych symptómov na základe zlepšenia celkového skóre MADRS (priemerná zmena LS v porovnaní s placebom: </w:t>
      </w:r>
      <w:r w:rsidRPr="00E21B7F">
        <w:rPr>
          <w:color w:val="auto"/>
          <w:sz w:val="22"/>
          <w:szCs w:val="22"/>
          <w:lang w:val="sk-SK"/>
        </w:rPr>
        <w:noBreakHyphen/>
        <w:t xml:space="preserve">7,54). V tejto štúdii sa pacientom randomizovaným na liek Quetiapine Accord filmom obalené tablety s predĺženým uvoľňovaním počas 1. až 3. dňa podávali dávky 50 mg/deň a v závislosti od klinickej odozvy a </w:t>
      </w:r>
      <w:r w:rsidRPr="00F00F97">
        <w:rPr>
          <w:color w:val="auto"/>
          <w:sz w:val="22"/>
          <w:szCs w:val="22"/>
          <w:lang w:val="sk-SK"/>
        </w:rPr>
        <w:t>znášanlivosti</w:t>
      </w:r>
      <w:r w:rsidRPr="00E21B7F">
        <w:rPr>
          <w:color w:val="auto"/>
          <w:sz w:val="22"/>
          <w:szCs w:val="22"/>
          <w:lang w:val="sk-SK"/>
        </w:rPr>
        <w:t xml:space="preserve"> sa dávka na 4. deň mohla zvýšiť na 100 mg/deň, na 8. deň na 150 mg/deň až do 300 mg/deň. Priemerná dávka lieku Quetiapine Accord filmom obalené tablety s predĺženým uvoľňovaním bola 160 mg/deň. Až na výskyt extrapyram</w:t>
      </w:r>
      <w:r w:rsidR="00BE6862">
        <w:rPr>
          <w:color w:val="auto"/>
          <w:sz w:val="22"/>
          <w:szCs w:val="22"/>
          <w:lang w:val="sk-SK"/>
        </w:rPr>
        <w:t>ídový</w:t>
      </w:r>
      <w:r w:rsidRPr="00E21B7F">
        <w:rPr>
          <w:color w:val="auto"/>
          <w:sz w:val="22"/>
          <w:szCs w:val="22"/>
          <w:lang w:val="sk-SK"/>
        </w:rPr>
        <w:t xml:space="preserve">ch symptómov (pozri časť 4.8 a časť Klinická bezpečnosť nižšie) bola </w:t>
      </w:r>
      <w:r>
        <w:rPr>
          <w:color w:val="auto"/>
          <w:sz w:val="22"/>
          <w:szCs w:val="22"/>
          <w:lang w:val="sk-SK"/>
        </w:rPr>
        <w:t>znášanlivosť</w:t>
      </w:r>
      <w:r w:rsidRPr="00E21B7F">
        <w:rPr>
          <w:color w:val="auto"/>
          <w:sz w:val="22"/>
          <w:szCs w:val="22"/>
          <w:lang w:val="sk-SK"/>
        </w:rPr>
        <w:t xml:space="preserve"> podávania lieku Quetiapine Accord filmom obalené tablety s predĺženým uvoľňovaním raz denne u starších pacientov porovnateľná s</w:t>
      </w:r>
      <w:r>
        <w:rPr>
          <w:color w:val="auto"/>
          <w:sz w:val="22"/>
          <w:szCs w:val="22"/>
          <w:lang w:val="sk-SK"/>
        </w:rPr>
        <w:t>o</w:t>
      </w:r>
      <w:r w:rsidRPr="00E21B7F">
        <w:rPr>
          <w:color w:val="auto"/>
          <w:sz w:val="22"/>
          <w:szCs w:val="22"/>
          <w:lang w:val="sk-SK"/>
        </w:rPr>
        <w:t> </w:t>
      </w:r>
      <w:r w:rsidRPr="00F00F97">
        <w:rPr>
          <w:color w:val="auto"/>
          <w:sz w:val="22"/>
          <w:szCs w:val="22"/>
          <w:lang w:val="sk-SK"/>
        </w:rPr>
        <w:t>znášanlivos</w:t>
      </w:r>
      <w:r>
        <w:rPr>
          <w:color w:val="auto"/>
          <w:sz w:val="22"/>
          <w:szCs w:val="22"/>
          <w:lang w:val="sk-SK"/>
        </w:rPr>
        <w:t>ťou</w:t>
      </w:r>
      <w:r w:rsidRPr="00E21B7F">
        <w:rPr>
          <w:color w:val="auto"/>
          <w:sz w:val="22"/>
          <w:szCs w:val="22"/>
          <w:lang w:val="sk-SK"/>
        </w:rPr>
        <w:t xml:space="preserve"> u dospelých (vo veku od 18 do 65 rokov). Pomer randomizovaných pacientov vo veku nad 75 rokov bol 19 %. </w:t>
      </w:r>
    </w:p>
    <w:p w:rsidR="00302C75" w:rsidRPr="00E21B7F" w:rsidRDefault="00302C75">
      <w:pPr>
        <w:pStyle w:val="Normlnywebov"/>
        <w:spacing w:before="0" w:beforeAutospacing="0" w:after="0"/>
        <w:jc w:val="both"/>
        <w:rPr>
          <w:color w:val="auto"/>
          <w:sz w:val="22"/>
          <w:szCs w:val="22"/>
          <w:lang w:val="sk-SK"/>
        </w:rPr>
      </w:pPr>
    </w:p>
    <w:p w:rsidR="00302C75" w:rsidRPr="00770799" w:rsidRDefault="00302C75">
      <w:pPr>
        <w:pStyle w:val="Normlnywebov"/>
        <w:spacing w:before="0" w:beforeAutospacing="0" w:after="0"/>
        <w:jc w:val="both"/>
        <w:rPr>
          <w:color w:val="auto"/>
          <w:sz w:val="22"/>
          <w:szCs w:val="22"/>
          <w:lang w:val="sk-SK"/>
        </w:rPr>
      </w:pPr>
      <w:r w:rsidRPr="00946E44">
        <w:rPr>
          <w:b/>
          <w:bCs/>
          <w:iCs/>
          <w:color w:val="auto"/>
          <w:sz w:val="22"/>
          <w:szCs w:val="22"/>
          <w:u w:val="single"/>
          <w:lang w:val="sk-SK"/>
        </w:rPr>
        <w:t>Klinická bezpečnosť</w:t>
      </w: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V krátkodobých placebom kontrolovaných klinických skúšaniach s pacientmi so schizofréniou a bipolárnou mániou bol združený výskyt extrapyram</w:t>
      </w:r>
      <w:r w:rsidR="00BE6862">
        <w:rPr>
          <w:color w:val="auto"/>
          <w:sz w:val="22"/>
          <w:szCs w:val="22"/>
          <w:lang w:val="sk-SK"/>
        </w:rPr>
        <w:t>ídový</w:t>
      </w:r>
      <w:r w:rsidRPr="00E21B7F">
        <w:rPr>
          <w:color w:val="auto"/>
          <w:sz w:val="22"/>
          <w:szCs w:val="22"/>
          <w:lang w:val="sk-SK"/>
        </w:rPr>
        <w:t>ch symptómov podobný ako pri podávaní placeba (schizofrénia: 7,8 % pre kvetiapín a 8 % pre placebo, bipolárna mánia: 11,2 % pre kvetiapín a 11,4 % pre placebo). V krátkodobých, placebom kontrolovaných klinických skúšaniach u pacientov s veľkou depresívnou poruchou a bipolárnou depresiou bol u pacientov liečených kvetiapínom pozorovaný vyšší výskyt extrapyram</w:t>
      </w:r>
      <w:r w:rsidR="00BE6862">
        <w:rPr>
          <w:color w:val="auto"/>
          <w:sz w:val="22"/>
          <w:szCs w:val="22"/>
          <w:lang w:val="sk-SK"/>
        </w:rPr>
        <w:t>ídový</w:t>
      </w:r>
      <w:r w:rsidRPr="00E21B7F">
        <w:rPr>
          <w:color w:val="auto"/>
          <w:sz w:val="22"/>
          <w:szCs w:val="22"/>
          <w:lang w:val="sk-SK"/>
        </w:rPr>
        <w:t>ch symptómov ako u pacientov s placebom. Združený výskyt extrapyram</w:t>
      </w:r>
      <w:r w:rsidR="00BE6862">
        <w:rPr>
          <w:color w:val="auto"/>
          <w:sz w:val="22"/>
          <w:szCs w:val="22"/>
          <w:lang w:val="sk-SK"/>
        </w:rPr>
        <w:t>ídových</w:t>
      </w:r>
      <w:r w:rsidRPr="00E21B7F">
        <w:rPr>
          <w:color w:val="auto"/>
          <w:sz w:val="22"/>
          <w:szCs w:val="22"/>
          <w:lang w:val="sk-SK"/>
        </w:rPr>
        <w:t xml:space="preserve"> symptómov v krátkodobých, placebom kontrolovaných klinických skúšaniach u pacientov s bipolárnou depresiou bol 8,9 %  pri liečbe kvetiapínom a 3,8 %  pri placeb</w:t>
      </w:r>
      <w:r>
        <w:rPr>
          <w:color w:val="auto"/>
          <w:sz w:val="22"/>
          <w:szCs w:val="22"/>
          <w:lang w:val="sk-SK"/>
        </w:rPr>
        <w:t>e</w:t>
      </w:r>
      <w:r w:rsidRPr="00E21B7F">
        <w:rPr>
          <w:color w:val="auto"/>
          <w:sz w:val="22"/>
          <w:szCs w:val="22"/>
          <w:lang w:val="sk-SK"/>
        </w:rPr>
        <w:t xml:space="preserve">. V krátkodobých, placebom kontrolovaných klinických skúšaniach s monoterapiou u pacientov s veľkou depresívnou poruchou bol </w:t>
      </w:r>
      <w:r w:rsidR="00056088">
        <w:rPr>
          <w:color w:val="auto"/>
          <w:sz w:val="22"/>
          <w:szCs w:val="22"/>
          <w:lang w:val="sk-SK"/>
        </w:rPr>
        <w:t>z</w:t>
      </w:r>
      <w:r w:rsidRPr="00E21B7F">
        <w:rPr>
          <w:color w:val="auto"/>
          <w:sz w:val="22"/>
          <w:szCs w:val="22"/>
          <w:lang w:val="sk-SK"/>
        </w:rPr>
        <w:t>družený výskyt extrapyram</w:t>
      </w:r>
      <w:r w:rsidR="00056088">
        <w:rPr>
          <w:color w:val="auto"/>
          <w:sz w:val="22"/>
          <w:szCs w:val="22"/>
          <w:lang w:val="sk-SK"/>
        </w:rPr>
        <w:t>ídový</w:t>
      </w:r>
      <w:r w:rsidRPr="00E21B7F">
        <w:rPr>
          <w:color w:val="auto"/>
          <w:sz w:val="22"/>
          <w:szCs w:val="22"/>
          <w:lang w:val="sk-SK"/>
        </w:rPr>
        <w:t xml:space="preserve">ch symptómov 5,4 % pri liečbe liekom Quetiapine Accord filmom obalené tablety s predĺženým uvoľňovaním a 3,2 % pri liečbe placebom. V krátkodobých, placebom kontrolovaných klinických skúšaniach u starších pacientov s veľkou depresívnou poruchou bol združený výskyt </w:t>
      </w:r>
      <w:r w:rsidR="00056088" w:rsidRPr="00E21B7F">
        <w:rPr>
          <w:color w:val="auto"/>
          <w:sz w:val="22"/>
          <w:szCs w:val="22"/>
          <w:lang w:val="sk-SK"/>
        </w:rPr>
        <w:t>extrapyram</w:t>
      </w:r>
      <w:r w:rsidR="00056088">
        <w:rPr>
          <w:color w:val="auto"/>
          <w:sz w:val="22"/>
          <w:szCs w:val="22"/>
          <w:lang w:val="sk-SK"/>
        </w:rPr>
        <w:t>ídový</w:t>
      </w:r>
      <w:r w:rsidR="00056088" w:rsidRPr="00E21B7F">
        <w:rPr>
          <w:color w:val="auto"/>
          <w:sz w:val="22"/>
          <w:szCs w:val="22"/>
          <w:lang w:val="sk-SK"/>
        </w:rPr>
        <w:t xml:space="preserve">ch </w:t>
      </w:r>
      <w:r w:rsidRPr="00E21B7F">
        <w:rPr>
          <w:color w:val="auto"/>
          <w:sz w:val="22"/>
          <w:szCs w:val="22"/>
          <w:lang w:val="sk-SK"/>
        </w:rPr>
        <w:t>symptómov 9% pri liečbe liekom Quetiapine Accord filmom obalené tablety s predĺženým uvoľňovaním a  2,3% pri placeb</w:t>
      </w:r>
      <w:r>
        <w:rPr>
          <w:color w:val="auto"/>
          <w:sz w:val="22"/>
          <w:szCs w:val="22"/>
          <w:lang w:val="sk-SK"/>
        </w:rPr>
        <w:t>e</w:t>
      </w:r>
      <w:r w:rsidRPr="00E21B7F">
        <w:rPr>
          <w:color w:val="auto"/>
          <w:sz w:val="22"/>
          <w:szCs w:val="22"/>
          <w:lang w:val="sk-SK"/>
        </w:rPr>
        <w:t xml:space="preserve">. Výskyt individuálnych nežiaducich účinkov </w:t>
      </w:r>
      <w:r w:rsidRPr="005C4B32">
        <w:rPr>
          <w:color w:val="auto"/>
          <w:sz w:val="22"/>
          <w:szCs w:val="22"/>
          <w:lang w:val="sk-SK"/>
        </w:rPr>
        <w:t xml:space="preserve">(napr. akatízia, extrapyramídové poruchy, tras, dyskinéza, dystónia, nepokoj, mimovoľné svalové kontrakcie, psychomotorická hyperaktivita a stuhnutosť svalov) </w:t>
      </w:r>
      <w:r w:rsidRPr="00E21B7F">
        <w:rPr>
          <w:color w:val="auto"/>
          <w:sz w:val="22"/>
          <w:szCs w:val="22"/>
          <w:lang w:val="sk-SK"/>
        </w:rPr>
        <w:t>pri bipolárnej depresii a</w:t>
      </w:r>
      <w:r>
        <w:rPr>
          <w:color w:val="auto"/>
          <w:sz w:val="22"/>
          <w:szCs w:val="22"/>
          <w:lang w:val="sk-SK"/>
        </w:rPr>
        <w:t>ni</w:t>
      </w:r>
      <w:r w:rsidRPr="00E21B7F">
        <w:rPr>
          <w:color w:val="auto"/>
          <w:sz w:val="22"/>
          <w:szCs w:val="22"/>
          <w:lang w:val="sk-SK"/>
        </w:rPr>
        <w:t xml:space="preserve"> pri ťažkej depresívnej poruche neprekročil hodnotu 4 % v žiadnej liečebnej skupine. </w:t>
      </w:r>
    </w:p>
    <w:p w:rsidR="00302C75" w:rsidRPr="00E21B7F" w:rsidRDefault="00302C75">
      <w:pPr>
        <w:pStyle w:val="Normlnywebov"/>
        <w:spacing w:before="0" w:beforeAutospacing="0" w:after="0"/>
        <w:jc w:val="both"/>
        <w:rPr>
          <w:color w:val="auto"/>
          <w:sz w:val="22"/>
          <w:szCs w:val="22"/>
          <w:lang w:val="sk-SK"/>
        </w:rPr>
      </w:pPr>
    </w:p>
    <w:p w:rsidR="00302C75" w:rsidRPr="00BF5089" w:rsidRDefault="00302C75">
      <w:pPr>
        <w:pStyle w:val="Normlnywebov"/>
        <w:spacing w:before="0" w:beforeAutospacing="0" w:after="0"/>
        <w:jc w:val="both"/>
        <w:rPr>
          <w:color w:val="auto"/>
          <w:sz w:val="22"/>
          <w:szCs w:val="22"/>
          <w:lang w:val="sk-SK"/>
        </w:rPr>
      </w:pPr>
      <w:r w:rsidRPr="00E21B7F">
        <w:rPr>
          <w:color w:val="auto"/>
          <w:sz w:val="22"/>
          <w:szCs w:val="22"/>
          <w:lang w:val="sk-SK"/>
        </w:rPr>
        <w:t>V krátkodobých (v trvaní od 3 do 8 týždňov), placebom kontrolovaných štúdiách s podávaním fixnej dávky v rozsahu od 50 mg/deň do 800 mg/deň dosiahli pacienti liečení kvetiapínom priemerné zvýšenie hmotnosti v rozsahu od 0,8 kg pri podávaní dávky 50 mg denne do 1,4 kg pri podávaní dávky 600 mg denne (s nižším zvýšením pri dennej dávke 800 mg). U pacientov užívajúcich placebo došlo k zvýšeniu hmotnosti o 0,2 kg. Percento pacientov, u ktorých došlo k zvýšeniu telesnej hmotnosti o</w:t>
      </w:r>
      <w:r w:rsidR="00834996">
        <w:rPr>
          <w:noProof/>
          <w:color w:val="auto"/>
          <w:sz w:val="22"/>
          <w:szCs w:val="22"/>
          <w:lang w:val="sk-SK" w:eastAsia="sk-SK"/>
        </w:rPr>
        <w:drawing>
          <wp:inline distT="0" distB="0" distL="0" distR="0">
            <wp:extent cx="114300" cy="114300"/>
            <wp:effectExtent l="19050" t="0" r="0" b="0"/>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21B7F">
        <w:rPr>
          <w:color w:val="auto"/>
          <w:sz w:val="22"/>
          <w:szCs w:val="22"/>
          <w:lang w:val="sk-SK"/>
        </w:rPr>
        <w:t xml:space="preserve">7 %, predstavovalo hodnotu od 5,3 % pri dennej dávke 50 mg do 15,5 % pri dennej dávke 400 mg (s nižším zvýšením pri denných dávkach 600 mg a 800 mg). U pacientov užívajúcich placebo to bolo </w:t>
      </w:r>
      <w:r w:rsidRPr="009B41EB">
        <w:rPr>
          <w:color w:val="auto"/>
          <w:sz w:val="22"/>
          <w:szCs w:val="22"/>
          <w:lang w:val="sk-SK"/>
        </w:rPr>
        <w:t xml:space="preserve">3,7 %. </w:t>
      </w:r>
    </w:p>
    <w:p w:rsidR="00302C75" w:rsidRPr="00BF5089" w:rsidRDefault="00302C75">
      <w:pPr>
        <w:pStyle w:val="Normlnywebov"/>
        <w:spacing w:before="0" w:beforeAutospacing="0" w:after="0"/>
        <w:jc w:val="both"/>
        <w:rPr>
          <w:color w:val="auto"/>
          <w:sz w:val="22"/>
          <w:szCs w:val="22"/>
          <w:lang w:val="sk-SK"/>
        </w:rPr>
      </w:pPr>
    </w:p>
    <w:p w:rsidR="00302C75" w:rsidRPr="00BF5089" w:rsidRDefault="00302C75" w:rsidP="005C4B32">
      <w:pPr>
        <w:rPr>
          <w:sz w:val="22"/>
          <w:szCs w:val="22"/>
          <w:lang w:val="sk-SK"/>
        </w:rPr>
      </w:pPr>
      <w:r w:rsidRPr="00BF5089">
        <w:rPr>
          <w:sz w:val="22"/>
          <w:szCs w:val="22"/>
          <w:lang w:val="sk-SK"/>
        </w:rPr>
        <w:t xml:space="preserve">V </w:t>
      </w:r>
      <w:r w:rsidRPr="00B019A0">
        <w:rPr>
          <w:sz w:val="22"/>
          <w:szCs w:val="22"/>
          <w:lang w:val="sk-SK"/>
        </w:rPr>
        <w:t>šesťtýždňovej randomizovane</w:t>
      </w:r>
      <w:r>
        <w:rPr>
          <w:sz w:val="22"/>
          <w:szCs w:val="22"/>
          <w:lang w:val="sk-SK"/>
        </w:rPr>
        <w:t>j klinickej štúdii liečby lítiom</w:t>
      </w:r>
      <w:r w:rsidRPr="00B019A0">
        <w:rPr>
          <w:sz w:val="22"/>
          <w:szCs w:val="22"/>
          <w:lang w:val="sk-SK"/>
        </w:rPr>
        <w:t xml:space="preserve"> a </w:t>
      </w:r>
      <w:r>
        <w:rPr>
          <w:sz w:val="22"/>
          <w:szCs w:val="22"/>
          <w:lang w:val="sk-SK"/>
        </w:rPr>
        <w:t xml:space="preserve">liekom </w:t>
      </w:r>
      <w:r w:rsidRPr="00B019A0">
        <w:rPr>
          <w:sz w:val="22"/>
          <w:szCs w:val="22"/>
          <w:lang w:val="sk-SK"/>
        </w:rPr>
        <w:t xml:space="preserve">Quetiapine Accord v porovnaní s liečbou placebom a </w:t>
      </w:r>
      <w:r>
        <w:rPr>
          <w:sz w:val="22"/>
          <w:szCs w:val="22"/>
          <w:lang w:val="sk-SK"/>
        </w:rPr>
        <w:t xml:space="preserve">liekom </w:t>
      </w:r>
      <w:r w:rsidRPr="009A6159">
        <w:rPr>
          <w:sz w:val="22"/>
          <w:szCs w:val="22"/>
          <w:lang w:val="sk-SK"/>
        </w:rPr>
        <w:t>Quetiapine</w:t>
      </w:r>
      <w:r w:rsidRPr="00964140">
        <w:rPr>
          <w:sz w:val="22"/>
          <w:szCs w:val="22"/>
          <w:lang w:val="sk-SK"/>
        </w:rPr>
        <w:t xml:space="preserve"> Accord u dospelých pacientov v akútnej manickej fáze sa ukázalo, že kombinácia lieku Quetiapine Accord s lítiom vedie k väčšiemu množstvu nežiaducich účinkov </w:t>
      </w:r>
      <w:r w:rsidRPr="005C4B32">
        <w:rPr>
          <w:sz w:val="22"/>
          <w:szCs w:val="22"/>
          <w:lang w:val="sk-SK"/>
        </w:rPr>
        <w:t>(63 % v porovnaní s</w:t>
      </w:r>
      <w:r>
        <w:rPr>
          <w:sz w:val="22"/>
          <w:szCs w:val="22"/>
          <w:lang w:val="sk-SK"/>
        </w:rPr>
        <w:t>o</w:t>
      </w:r>
      <w:r w:rsidRPr="005C4B32">
        <w:rPr>
          <w:sz w:val="22"/>
          <w:szCs w:val="22"/>
          <w:lang w:val="sk-SK"/>
        </w:rPr>
        <w:t xml:space="preserve"> 48 % pri </w:t>
      </w:r>
      <w:r w:rsidRPr="00BF5089">
        <w:rPr>
          <w:sz w:val="22"/>
          <w:szCs w:val="22"/>
          <w:lang w:val="sk-SK"/>
        </w:rPr>
        <w:t>kombináci</w:t>
      </w:r>
      <w:r w:rsidRPr="00B019A0">
        <w:rPr>
          <w:sz w:val="22"/>
          <w:szCs w:val="22"/>
          <w:lang w:val="sk-SK"/>
        </w:rPr>
        <w:t>i lieku Quetiapine Accord s placebom</w:t>
      </w:r>
      <w:r w:rsidRPr="005C4B32">
        <w:rPr>
          <w:sz w:val="22"/>
          <w:szCs w:val="22"/>
          <w:lang w:val="sk-SK"/>
        </w:rPr>
        <w:t xml:space="preserve">). Výsledky v oblasti bezpečnosti ukázali zvýšený výskyt extrapyramídových príznakov, hlásených u 16,8 % pacientov v skupine s pridaným lítiom a 6,6 % v skupine s pridaným placebom, väčšina ktorých pozostávala z trasu, hláseného u 15,6 % pacientov v skupine s pridaným lítiom a 4,9 % v skupine s pridaným placebom. Výskyt ospalosti pri liečbe </w:t>
      </w:r>
      <w:r>
        <w:rPr>
          <w:sz w:val="22"/>
          <w:szCs w:val="22"/>
          <w:lang w:val="sk-SK"/>
        </w:rPr>
        <w:t xml:space="preserve">liekom </w:t>
      </w:r>
      <w:r w:rsidRPr="00BF5089">
        <w:rPr>
          <w:sz w:val="22"/>
          <w:szCs w:val="22"/>
          <w:lang w:val="sk-SK"/>
        </w:rPr>
        <w:t>Quetiapine Accord</w:t>
      </w:r>
      <w:r w:rsidRPr="005C4B32">
        <w:rPr>
          <w:sz w:val="22"/>
          <w:szCs w:val="22"/>
          <w:lang w:val="sk-SK"/>
        </w:rPr>
        <w:t xml:space="preserve"> bol vyšší v skupine s pridaným lítiom (12,7 %) v porovnaní so skupinou s pridaným placebom (5,5 %). Okrem toho na konci liečby pribralo na váhe (7% prírastok) vyššie percento pacientov liečených v rámci skupiny s pridaným lítiom (8,0</w:t>
      </w:r>
      <w:r>
        <w:rPr>
          <w:sz w:val="22"/>
          <w:szCs w:val="22"/>
          <w:lang w:val="sk-SK"/>
        </w:rPr>
        <w:t xml:space="preserve"> </w:t>
      </w:r>
      <w:r w:rsidRPr="005C4B32">
        <w:rPr>
          <w:sz w:val="22"/>
          <w:szCs w:val="22"/>
          <w:lang w:val="sk-SK"/>
        </w:rPr>
        <w:t>%) ako pacientov v skupine s placebom</w:t>
      </w:r>
      <w:r w:rsidRPr="006054CA">
        <w:rPr>
          <w:sz w:val="22"/>
          <w:szCs w:val="22"/>
          <w:lang w:val="sk-SK"/>
        </w:rPr>
        <w:t xml:space="preserve"> (4</w:t>
      </w:r>
      <w:r>
        <w:rPr>
          <w:sz w:val="22"/>
          <w:szCs w:val="22"/>
          <w:lang w:val="sk-SK"/>
        </w:rPr>
        <w:t>,</w:t>
      </w:r>
      <w:r w:rsidRPr="005C4B32">
        <w:rPr>
          <w:sz w:val="22"/>
          <w:szCs w:val="22"/>
          <w:lang w:val="sk-SK"/>
        </w:rPr>
        <w:t>7</w:t>
      </w:r>
      <w:r>
        <w:rPr>
          <w:sz w:val="22"/>
          <w:szCs w:val="22"/>
          <w:lang w:val="sk-SK"/>
        </w:rPr>
        <w:t xml:space="preserve"> </w:t>
      </w:r>
      <w:r w:rsidRPr="005C4B32">
        <w:rPr>
          <w:sz w:val="22"/>
          <w:szCs w:val="22"/>
          <w:lang w:val="sk-SK"/>
        </w:rPr>
        <w:t>%).</w:t>
      </w:r>
    </w:p>
    <w:p w:rsidR="00302C75" w:rsidRPr="009B41EB"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BF5089">
        <w:rPr>
          <w:color w:val="auto"/>
          <w:sz w:val="22"/>
          <w:szCs w:val="22"/>
          <w:lang w:val="sk-SK"/>
        </w:rPr>
        <w:t>Dlhodobé</w:t>
      </w:r>
      <w:r w:rsidRPr="00E21B7F">
        <w:rPr>
          <w:color w:val="auto"/>
          <w:sz w:val="22"/>
          <w:szCs w:val="22"/>
          <w:lang w:val="sk-SK"/>
        </w:rPr>
        <w:t xml:space="preserve"> skúšania prevencie relapsu pozostávali z otvoreného obdobia (v rozsahu od 4 do 36 týždňov), počas ktorého boli pacienti liečení kvetiapínom, po ktorom nasledovalo obdobie randomizovaného prerušenia liečby, počas ktorého boli pacienti randomizovaní na kvetiapín alebo placebo. Pacienti randomizovaní na kvetiapín dosiahli počas otvoreného obdobia priemerné zvýšenie telesnej hmotnosti 2,56 kg, a do 48. týždňa randomizovaného obdobia dosiahlo priemerné zvýšenie telesnej hmotnosti 3,22 kg v porovnaní s pôvodnými hodnotami za otvorené obdobie. Pacienti randomizovaní na placebo dosiahli počas otvoreného obdobia priemerné zvýšenie telesnej hmotnosti 2,39 kg, a do 48. týždňa randomizovaného obdobia dosiahlo priemerné zvýšenie telesnej hmotnosti 0,89 kg v porovnaní s pôvodnými hodnotami za otvorené obdobie.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Výskyt nežiaducich cerebrovaskulárnych príhod na 100  pacientorokov u pacientov liečených kvetiapínom v placebom kontrolovaných štúdiách u starších pacientov so psychózou súvisiacou s demenciou nebol vyšší ako u pacientov, ktorým sa podávalo placebo. </w:t>
      </w:r>
    </w:p>
    <w:p w:rsidR="00302C75" w:rsidRPr="00E21B7F" w:rsidRDefault="00302C75">
      <w:pPr>
        <w:pStyle w:val="Normlnywebov"/>
        <w:spacing w:before="0" w:beforeAutospacing="0" w:after="0"/>
        <w:jc w:val="both"/>
        <w:rPr>
          <w:color w:val="auto"/>
          <w:sz w:val="22"/>
          <w:szCs w:val="22"/>
          <w:lang w:val="sk-SK"/>
        </w:rPr>
      </w:pPr>
    </w:p>
    <w:p w:rsidR="00302C75" w:rsidRPr="005C4B32" w:rsidRDefault="00302C75">
      <w:pPr>
        <w:pStyle w:val="Normlnywebov"/>
        <w:spacing w:before="0" w:beforeAutospacing="0" w:after="0"/>
        <w:jc w:val="both"/>
        <w:rPr>
          <w:color w:val="auto"/>
          <w:sz w:val="22"/>
          <w:szCs w:val="22"/>
          <w:lang w:val="sk-SK"/>
        </w:rPr>
      </w:pPr>
      <w:r w:rsidRPr="00E21B7F">
        <w:rPr>
          <w:color w:val="auto"/>
          <w:sz w:val="22"/>
          <w:szCs w:val="22"/>
          <w:lang w:val="sk-SK"/>
        </w:rPr>
        <w:t>V</w:t>
      </w:r>
      <w:r>
        <w:rPr>
          <w:color w:val="auto"/>
          <w:sz w:val="22"/>
          <w:szCs w:val="22"/>
          <w:lang w:val="sk-SK"/>
        </w:rPr>
        <w:t>o všetkých krátkodobých</w:t>
      </w:r>
      <w:r w:rsidRPr="00E21B7F">
        <w:rPr>
          <w:color w:val="auto"/>
          <w:sz w:val="22"/>
          <w:szCs w:val="22"/>
          <w:lang w:val="sk-SK"/>
        </w:rPr>
        <w:t xml:space="preserve"> placebom kontrolovaných monoterapeutických klinických skúšaniach u pacientov s pôvodným počtom neutrofilov ≥1,5 x 10</w:t>
      </w:r>
      <w:r w:rsidRPr="00E21B7F">
        <w:rPr>
          <w:color w:val="auto"/>
          <w:sz w:val="22"/>
          <w:szCs w:val="22"/>
          <w:vertAlign w:val="superscript"/>
          <w:lang w:val="sk-SK"/>
        </w:rPr>
        <w:t>9</w:t>
      </w:r>
      <w:r w:rsidRPr="00E21B7F">
        <w:rPr>
          <w:color w:val="auto"/>
          <w:sz w:val="22"/>
          <w:szCs w:val="22"/>
          <w:lang w:val="sk-SK"/>
        </w:rPr>
        <w:t>/l bola incidencia minimálne jedného prípadu</w:t>
      </w:r>
      <w:r>
        <w:rPr>
          <w:color w:val="auto"/>
          <w:sz w:val="22"/>
          <w:szCs w:val="22"/>
          <w:lang w:val="sk-SK"/>
        </w:rPr>
        <w:t xml:space="preserve"> posunu na</w:t>
      </w:r>
      <w:r w:rsidRPr="00E21B7F">
        <w:rPr>
          <w:color w:val="auto"/>
          <w:sz w:val="22"/>
          <w:szCs w:val="22"/>
          <w:lang w:val="sk-SK"/>
        </w:rPr>
        <w:t xml:space="preserve"> poč</w:t>
      </w:r>
      <w:r>
        <w:rPr>
          <w:color w:val="auto"/>
          <w:sz w:val="22"/>
          <w:szCs w:val="22"/>
          <w:lang w:val="sk-SK"/>
        </w:rPr>
        <w:t>et</w:t>
      </w:r>
      <w:r w:rsidRPr="00E21B7F">
        <w:rPr>
          <w:color w:val="auto"/>
          <w:sz w:val="22"/>
          <w:szCs w:val="22"/>
          <w:lang w:val="sk-SK"/>
        </w:rPr>
        <w:t xml:space="preserve"> neutrofilov &lt;1,5 x 10</w:t>
      </w:r>
      <w:r w:rsidRPr="00E21B7F">
        <w:rPr>
          <w:color w:val="auto"/>
          <w:sz w:val="22"/>
          <w:szCs w:val="22"/>
          <w:vertAlign w:val="superscript"/>
          <w:lang w:val="sk-SK"/>
        </w:rPr>
        <w:t>9</w:t>
      </w:r>
      <w:r w:rsidRPr="00E21B7F">
        <w:rPr>
          <w:color w:val="auto"/>
          <w:sz w:val="22"/>
          <w:szCs w:val="22"/>
          <w:lang w:val="sk-SK"/>
        </w:rPr>
        <w:t>/l u pacientov liečených kvetiapínom 1</w:t>
      </w:r>
      <w:r>
        <w:rPr>
          <w:color w:val="auto"/>
          <w:sz w:val="22"/>
          <w:szCs w:val="22"/>
          <w:lang w:val="sk-SK"/>
        </w:rPr>
        <w:t>,9</w:t>
      </w:r>
      <w:r w:rsidRPr="00E21B7F">
        <w:rPr>
          <w:color w:val="auto"/>
          <w:sz w:val="22"/>
          <w:szCs w:val="22"/>
          <w:lang w:val="sk-SK"/>
        </w:rPr>
        <w:t xml:space="preserve"> % v porovnaní </w:t>
      </w:r>
      <w:r>
        <w:rPr>
          <w:color w:val="auto"/>
          <w:sz w:val="22"/>
          <w:szCs w:val="22"/>
          <w:lang w:val="sk-SK"/>
        </w:rPr>
        <w:t>1,5</w:t>
      </w:r>
      <w:r w:rsidRPr="00E21B7F">
        <w:rPr>
          <w:color w:val="auto"/>
          <w:sz w:val="22"/>
          <w:szCs w:val="22"/>
          <w:lang w:val="sk-SK"/>
        </w:rPr>
        <w:t xml:space="preserve"> % u pacientov užívajúcich </w:t>
      </w:r>
      <w:r w:rsidRPr="009654FD">
        <w:rPr>
          <w:color w:val="auto"/>
          <w:sz w:val="22"/>
          <w:szCs w:val="22"/>
          <w:lang w:val="sk-SK"/>
        </w:rPr>
        <w:t xml:space="preserve">placebo. </w:t>
      </w:r>
      <w:r>
        <w:rPr>
          <w:color w:val="auto"/>
          <w:sz w:val="22"/>
          <w:szCs w:val="22"/>
          <w:lang w:val="sk-SK"/>
        </w:rPr>
        <w:t xml:space="preserve">Výskyt posunov na </w:t>
      </w:r>
      <w:r w:rsidRPr="00C55991">
        <w:rPr>
          <w:color w:val="auto"/>
          <w:sz w:val="22"/>
          <w:szCs w:val="22"/>
          <w:lang w:val="sk-SK"/>
        </w:rPr>
        <w:t xml:space="preserve">&gt;0,5 - &lt;1,0 </w:t>
      </w:r>
      <w:r>
        <w:rPr>
          <w:color w:val="auto"/>
          <w:sz w:val="22"/>
          <w:szCs w:val="22"/>
          <w:lang w:val="sk-SK"/>
        </w:rPr>
        <w:t>x</w:t>
      </w:r>
      <w:r w:rsidRPr="00C55991">
        <w:rPr>
          <w:color w:val="auto"/>
          <w:sz w:val="22"/>
          <w:szCs w:val="22"/>
          <w:lang w:val="sk-SK"/>
        </w:rPr>
        <w:t xml:space="preserve"> 10</w:t>
      </w:r>
      <w:r w:rsidRPr="00C55991">
        <w:rPr>
          <w:color w:val="auto"/>
          <w:sz w:val="22"/>
          <w:szCs w:val="22"/>
          <w:vertAlign w:val="superscript"/>
          <w:lang w:val="sk-SK"/>
        </w:rPr>
        <w:t>9</w:t>
      </w:r>
      <w:r w:rsidRPr="00C55991">
        <w:rPr>
          <w:color w:val="auto"/>
          <w:sz w:val="22"/>
          <w:szCs w:val="22"/>
          <w:lang w:val="sk-SK"/>
        </w:rPr>
        <w:t xml:space="preserve">/l bol rovnaký (0,2%) u pacientov liečených kvetiapínom ako u pacientov užívajúcich placebo. </w:t>
      </w:r>
      <w:r w:rsidRPr="009654FD">
        <w:rPr>
          <w:color w:val="auto"/>
          <w:sz w:val="22"/>
          <w:szCs w:val="22"/>
          <w:lang w:val="sk-SK"/>
        </w:rPr>
        <w:t>Vo všetkých klinických skúšaniach (placebom kontrolovaných, otvorených, aktívne kontrolovaných</w:t>
      </w:r>
      <w:r>
        <w:rPr>
          <w:color w:val="auto"/>
          <w:sz w:val="22"/>
          <w:szCs w:val="22"/>
          <w:lang w:val="sk-SK"/>
        </w:rPr>
        <w:t>)</w:t>
      </w:r>
      <w:r w:rsidRPr="009654FD">
        <w:rPr>
          <w:color w:val="auto"/>
          <w:sz w:val="22"/>
          <w:szCs w:val="22"/>
          <w:lang w:val="sk-SK"/>
        </w:rPr>
        <w:t xml:space="preserve"> u pacientov s pôvodným počtom neutrofilov ≥1,5 x 10</w:t>
      </w:r>
      <w:r w:rsidRPr="009654FD">
        <w:rPr>
          <w:color w:val="auto"/>
          <w:sz w:val="22"/>
          <w:szCs w:val="22"/>
          <w:vertAlign w:val="superscript"/>
          <w:lang w:val="sk-SK"/>
        </w:rPr>
        <w:t>9</w:t>
      </w:r>
      <w:r w:rsidRPr="009654FD">
        <w:rPr>
          <w:color w:val="auto"/>
          <w:sz w:val="22"/>
          <w:szCs w:val="22"/>
          <w:lang w:val="sk-SK"/>
        </w:rPr>
        <w:t>/l) bola u pacientov</w:t>
      </w:r>
      <w:r w:rsidRPr="00E21B7F">
        <w:rPr>
          <w:color w:val="auto"/>
          <w:sz w:val="22"/>
          <w:szCs w:val="22"/>
          <w:lang w:val="sk-SK"/>
        </w:rPr>
        <w:t xml:space="preserve"> liečených kvetiapínom </w:t>
      </w:r>
      <w:r w:rsidRPr="009654FD">
        <w:rPr>
          <w:color w:val="auto"/>
          <w:sz w:val="22"/>
          <w:szCs w:val="22"/>
          <w:lang w:val="sk-SK"/>
        </w:rPr>
        <w:t xml:space="preserve">incidencia minimálne </w:t>
      </w:r>
      <w:r w:rsidRPr="00B019A0">
        <w:rPr>
          <w:color w:val="auto"/>
          <w:sz w:val="22"/>
          <w:szCs w:val="22"/>
          <w:lang w:val="sk-SK"/>
        </w:rPr>
        <w:t>jedného prípadu posunu na</w:t>
      </w:r>
      <w:r w:rsidRPr="009A6159">
        <w:rPr>
          <w:color w:val="auto"/>
          <w:sz w:val="22"/>
          <w:szCs w:val="22"/>
          <w:lang w:val="sk-SK"/>
        </w:rPr>
        <w:t xml:space="preserve"> poč</w:t>
      </w:r>
      <w:r w:rsidRPr="00964140">
        <w:rPr>
          <w:color w:val="auto"/>
          <w:sz w:val="22"/>
          <w:szCs w:val="22"/>
          <w:lang w:val="sk-SK"/>
        </w:rPr>
        <w:t>et neutrofilov &lt;1,5 x 10</w:t>
      </w:r>
      <w:r w:rsidRPr="00964140">
        <w:rPr>
          <w:color w:val="auto"/>
          <w:sz w:val="22"/>
          <w:szCs w:val="22"/>
          <w:vertAlign w:val="superscript"/>
          <w:lang w:val="sk-SK"/>
        </w:rPr>
        <w:t>9</w:t>
      </w:r>
      <w:r w:rsidRPr="00964140">
        <w:rPr>
          <w:color w:val="auto"/>
          <w:sz w:val="22"/>
          <w:szCs w:val="22"/>
          <w:lang w:val="sk-SK"/>
        </w:rPr>
        <w:t xml:space="preserve">/l </w:t>
      </w:r>
      <w:r>
        <w:rPr>
          <w:color w:val="auto"/>
          <w:sz w:val="22"/>
          <w:szCs w:val="22"/>
          <w:lang w:val="sk-SK"/>
        </w:rPr>
        <w:t xml:space="preserve">bola </w:t>
      </w:r>
      <w:r w:rsidRPr="00964140">
        <w:rPr>
          <w:color w:val="auto"/>
          <w:sz w:val="22"/>
          <w:szCs w:val="22"/>
          <w:lang w:val="sk-SK"/>
        </w:rPr>
        <w:t xml:space="preserve">2,9% a na &lt;0,5 </w:t>
      </w:r>
      <w:r>
        <w:rPr>
          <w:color w:val="auto"/>
          <w:sz w:val="22"/>
          <w:szCs w:val="22"/>
          <w:lang w:val="sk-SK"/>
        </w:rPr>
        <w:t>x</w:t>
      </w:r>
      <w:r w:rsidRPr="00964140">
        <w:rPr>
          <w:color w:val="auto"/>
          <w:sz w:val="22"/>
          <w:szCs w:val="22"/>
          <w:lang w:val="sk-SK"/>
        </w:rPr>
        <w:t xml:space="preserve"> 10</w:t>
      </w:r>
      <w:r w:rsidRPr="00964140">
        <w:rPr>
          <w:color w:val="auto"/>
          <w:sz w:val="22"/>
          <w:szCs w:val="22"/>
          <w:vertAlign w:val="superscript"/>
          <w:lang w:val="sk-SK"/>
        </w:rPr>
        <w:t>9</w:t>
      </w:r>
      <w:r w:rsidRPr="00964140">
        <w:rPr>
          <w:color w:val="auto"/>
          <w:sz w:val="22"/>
          <w:szCs w:val="22"/>
          <w:lang w:val="sk-SK"/>
        </w:rPr>
        <w:t xml:space="preserve">/l </w:t>
      </w:r>
      <w:r>
        <w:rPr>
          <w:color w:val="auto"/>
          <w:sz w:val="22"/>
          <w:szCs w:val="22"/>
          <w:lang w:val="sk-SK"/>
        </w:rPr>
        <w:t xml:space="preserve"> bola </w:t>
      </w:r>
      <w:r w:rsidRPr="00964140">
        <w:rPr>
          <w:color w:val="auto"/>
          <w:sz w:val="22"/>
          <w:szCs w:val="22"/>
          <w:lang w:val="sk-SK"/>
        </w:rPr>
        <w:t>0,21%</w:t>
      </w:r>
      <w:r>
        <w:rPr>
          <w:color w:val="auto"/>
          <w:sz w:val="22"/>
          <w:szCs w:val="22"/>
          <w:lang w:val="sk-SK"/>
        </w:rPr>
        <w:t xml:space="preserve"> </w:t>
      </w:r>
      <w:r w:rsidRPr="00F00F97">
        <w:rPr>
          <w:color w:val="auto"/>
          <w:sz w:val="22"/>
          <w:szCs w:val="22"/>
          <w:lang w:val="sk-SK"/>
        </w:rPr>
        <w:t>u pacientov liečených kvetiapínom</w:t>
      </w:r>
      <w:r w:rsidRPr="005C4B32">
        <w:rPr>
          <w:color w:val="auto"/>
          <w:sz w:val="22"/>
          <w:szCs w:val="22"/>
          <w:lang w:val="sk-SK"/>
        </w:rPr>
        <w:t xml:space="preserve">. </w:t>
      </w:r>
    </w:p>
    <w:p w:rsidR="00302C75" w:rsidRPr="005C4B32" w:rsidRDefault="00302C75">
      <w:pPr>
        <w:pStyle w:val="Normlnywebov"/>
        <w:spacing w:before="0" w:beforeAutospacing="0" w:after="0"/>
        <w:jc w:val="both"/>
        <w:rPr>
          <w:color w:val="auto"/>
          <w:sz w:val="22"/>
          <w:szCs w:val="22"/>
          <w:lang w:val="sk-SK"/>
        </w:rPr>
      </w:pPr>
    </w:p>
    <w:p w:rsidR="00302C75" w:rsidRPr="00964140" w:rsidRDefault="00302C75" w:rsidP="00B019A0">
      <w:pPr>
        <w:pStyle w:val="Normlnywebov"/>
        <w:spacing w:before="0" w:beforeAutospacing="0" w:after="0"/>
        <w:jc w:val="both"/>
        <w:rPr>
          <w:sz w:val="22"/>
          <w:szCs w:val="22"/>
          <w:lang w:val="sk-SK"/>
        </w:rPr>
      </w:pPr>
      <w:r w:rsidRPr="00B019A0">
        <w:rPr>
          <w:sz w:val="22"/>
          <w:szCs w:val="22"/>
          <w:lang w:val="sk-SK"/>
        </w:rPr>
        <w:t xml:space="preserve">Terapia kvetiapínom </w:t>
      </w:r>
      <w:r w:rsidRPr="009A6159">
        <w:rPr>
          <w:sz w:val="22"/>
          <w:szCs w:val="22"/>
          <w:lang w:val="sk-SK"/>
        </w:rPr>
        <w:t xml:space="preserve">bola </w:t>
      </w:r>
      <w:r w:rsidRPr="00964140">
        <w:rPr>
          <w:sz w:val="22"/>
          <w:szCs w:val="22"/>
          <w:lang w:val="sk-SK"/>
        </w:rPr>
        <w:t xml:space="preserve">spojená s poklesom hladín hormónov štítnej žľazy v závislosti od dávky. Výskyt posunov v TSH bol 3,2 % pre kvetiapín oproti 2,7 % pre placebo. Výskyt recipročných, potenciálne klinicky významných posunov </w:t>
      </w:r>
      <w:r w:rsidRPr="005C4B32">
        <w:rPr>
          <w:sz w:val="22"/>
          <w:szCs w:val="22"/>
          <w:lang w:val="sk-SK"/>
        </w:rPr>
        <w:t>T</w:t>
      </w:r>
      <w:r w:rsidRPr="005C4B32">
        <w:rPr>
          <w:sz w:val="22"/>
          <w:szCs w:val="22"/>
          <w:vertAlign w:val="subscript"/>
          <w:lang w:val="sk-SK"/>
        </w:rPr>
        <w:t>3</w:t>
      </w:r>
      <w:r w:rsidRPr="005C4B32">
        <w:rPr>
          <w:sz w:val="22"/>
          <w:szCs w:val="22"/>
          <w:lang w:val="sk-SK"/>
        </w:rPr>
        <w:t xml:space="preserve"> </w:t>
      </w:r>
      <w:r>
        <w:rPr>
          <w:sz w:val="22"/>
          <w:szCs w:val="22"/>
          <w:lang w:val="sk-SK"/>
        </w:rPr>
        <w:t>alebo</w:t>
      </w:r>
      <w:r w:rsidRPr="005C4B32">
        <w:rPr>
          <w:sz w:val="22"/>
          <w:szCs w:val="22"/>
          <w:lang w:val="sk-SK"/>
        </w:rPr>
        <w:t xml:space="preserve"> T</w:t>
      </w:r>
      <w:r w:rsidRPr="005C4B32">
        <w:rPr>
          <w:sz w:val="22"/>
          <w:szCs w:val="22"/>
          <w:vertAlign w:val="subscript"/>
          <w:lang w:val="sk-SK"/>
        </w:rPr>
        <w:t>4</w:t>
      </w:r>
      <w:r w:rsidRPr="005C4B32">
        <w:rPr>
          <w:sz w:val="22"/>
          <w:szCs w:val="22"/>
          <w:lang w:val="sk-SK"/>
        </w:rPr>
        <w:t xml:space="preserve"> a TSH zároveň bol v týchto štúdiách zriedkavý a</w:t>
      </w:r>
      <w:r w:rsidRPr="00B019A0">
        <w:rPr>
          <w:sz w:val="22"/>
          <w:szCs w:val="22"/>
          <w:lang w:val="sk-SK"/>
        </w:rPr>
        <w:t xml:space="preserve"> pozorované </w:t>
      </w:r>
      <w:r w:rsidRPr="009A6159">
        <w:rPr>
          <w:sz w:val="22"/>
          <w:szCs w:val="22"/>
          <w:lang w:val="sk-SK"/>
        </w:rPr>
        <w:t xml:space="preserve">zmeny v hodnotách hormónov štítnej žľazy </w:t>
      </w:r>
      <w:r w:rsidRPr="00964140">
        <w:rPr>
          <w:sz w:val="22"/>
          <w:szCs w:val="22"/>
          <w:lang w:val="sk-SK"/>
        </w:rPr>
        <w:t xml:space="preserve">neboli spojené s klinicky symptomatickou hypotyreózou. Pokles celkového a voľného T4 bol najväčší počas prvých šiestich týždňov liečby kvetiapínom a v priebehu ďalšieho dlhodobého užívania sa už viac neznižoval. V približne dvoch tretinách prípadoch bolo ukončenie liečby kvetiapínom sprevádzané reverziou účinkov na celkový a voľný T4, bez závislosti na dĺžke liečby.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rPr>
          <w:b/>
          <w:bCs/>
          <w:sz w:val="22"/>
          <w:szCs w:val="22"/>
          <w:lang w:val="sk-SK"/>
        </w:rPr>
      </w:pPr>
      <w:r w:rsidRPr="00E21B7F">
        <w:rPr>
          <w:b/>
          <w:bCs/>
          <w:sz w:val="22"/>
          <w:szCs w:val="22"/>
          <w:lang w:val="sk-SK"/>
        </w:rPr>
        <w:t>Katarakty a zápaly šošovky</w:t>
      </w:r>
    </w:p>
    <w:p w:rsidR="00302C75" w:rsidRPr="00E21B7F" w:rsidRDefault="00302C75">
      <w:pPr>
        <w:pStyle w:val="Normlnywebov"/>
        <w:spacing w:before="0" w:beforeAutospacing="0" w:after="0"/>
        <w:jc w:val="both"/>
        <w:rPr>
          <w:color w:val="auto"/>
          <w:sz w:val="22"/>
          <w:szCs w:val="22"/>
          <w:lang w:val="sk-SK"/>
        </w:rPr>
      </w:pPr>
      <w:r w:rsidRPr="00E21B7F">
        <w:rPr>
          <w:sz w:val="22"/>
          <w:szCs w:val="22"/>
          <w:lang w:val="sk-SK"/>
        </w:rPr>
        <w:t xml:space="preserve">V klinických skúšaniach na hodnotenie kataraktogénneho potenciálu </w:t>
      </w:r>
      <w:r>
        <w:rPr>
          <w:sz w:val="22"/>
          <w:szCs w:val="22"/>
          <w:lang w:val="sk-SK"/>
        </w:rPr>
        <w:t>kvetiapínu</w:t>
      </w:r>
      <w:r w:rsidRPr="00E21B7F">
        <w:rPr>
          <w:sz w:val="22"/>
          <w:szCs w:val="22"/>
          <w:lang w:val="sk-SK"/>
        </w:rPr>
        <w:t xml:space="preserve"> (200 až 800 mg/deň) a risperid</w:t>
      </w:r>
      <w:r w:rsidR="0065429E">
        <w:rPr>
          <w:sz w:val="22"/>
          <w:szCs w:val="22"/>
          <w:lang w:val="sk-SK"/>
        </w:rPr>
        <w:t>ó</w:t>
      </w:r>
      <w:r w:rsidRPr="00E21B7F">
        <w:rPr>
          <w:sz w:val="22"/>
          <w:szCs w:val="22"/>
          <w:lang w:val="sk-SK"/>
        </w:rPr>
        <w:t>nu (2 až 8 mg/deň) u pacientov so schizofréniou alebo schizoafektívnou poruchou percento pacientov s minimálne 21</w:t>
      </w:r>
      <w:r w:rsidRPr="00E21B7F">
        <w:rPr>
          <w:sz w:val="22"/>
          <w:szCs w:val="22"/>
          <w:lang w:val="sk-SK"/>
        </w:rPr>
        <w:noBreakHyphen/>
        <w:t xml:space="preserve">mesačnou expozíciou so zvýšenou mierou zápalu šošovky nebolo v prípade </w:t>
      </w:r>
      <w:r>
        <w:rPr>
          <w:sz w:val="22"/>
          <w:szCs w:val="22"/>
          <w:lang w:val="sk-SK"/>
        </w:rPr>
        <w:t>kvetiapínu</w:t>
      </w:r>
      <w:r w:rsidRPr="00E21B7F">
        <w:rPr>
          <w:sz w:val="22"/>
          <w:szCs w:val="22"/>
          <w:lang w:val="sk-SK"/>
        </w:rPr>
        <w:t xml:space="preserve"> (4 %) vyššie než v prípade risperid</w:t>
      </w:r>
      <w:r w:rsidR="0065429E">
        <w:rPr>
          <w:sz w:val="22"/>
          <w:szCs w:val="22"/>
          <w:lang w:val="sk-SK"/>
        </w:rPr>
        <w:t>ó</w:t>
      </w:r>
      <w:r w:rsidRPr="00E21B7F">
        <w:rPr>
          <w:sz w:val="22"/>
          <w:szCs w:val="22"/>
          <w:lang w:val="sk-SK"/>
        </w:rPr>
        <w:t>nu (10 %).</w:t>
      </w:r>
    </w:p>
    <w:p w:rsidR="00302C75" w:rsidRDefault="00302C75">
      <w:pPr>
        <w:pStyle w:val="Normlnywebov"/>
        <w:spacing w:before="0" w:beforeAutospacing="0" w:after="0"/>
        <w:jc w:val="both"/>
        <w:rPr>
          <w:b/>
          <w:bCs/>
          <w:color w:val="auto"/>
          <w:sz w:val="22"/>
          <w:szCs w:val="22"/>
          <w:lang w:val="sk-SK"/>
        </w:rPr>
      </w:pPr>
    </w:p>
    <w:p w:rsidR="00302C75" w:rsidRDefault="00302C75">
      <w:pPr>
        <w:pStyle w:val="Normlnywebov"/>
        <w:spacing w:before="0" w:beforeAutospacing="0" w:after="0"/>
        <w:jc w:val="both"/>
        <w:rPr>
          <w:b/>
          <w:bCs/>
          <w:color w:val="auto"/>
          <w:sz w:val="22"/>
          <w:szCs w:val="22"/>
          <w:lang w:val="sk-SK"/>
        </w:rPr>
      </w:pPr>
      <w:r>
        <w:rPr>
          <w:b/>
          <w:bCs/>
          <w:color w:val="auto"/>
          <w:sz w:val="22"/>
          <w:szCs w:val="22"/>
          <w:lang w:val="sk-SK"/>
        </w:rPr>
        <w:t>Pediatrická populácia</w:t>
      </w:r>
    </w:p>
    <w:p w:rsidR="00302C75" w:rsidRPr="00E21B7F" w:rsidRDefault="00302C75">
      <w:pPr>
        <w:pStyle w:val="Normlnywebov"/>
        <w:spacing w:before="0" w:beforeAutospacing="0" w:after="0"/>
        <w:jc w:val="both"/>
        <w:rPr>
          <w:sz w:val="22"/>
          <w:szCs w:val="22"/>
          <w:lang w:val="sk-SK"/>
        </w:rPr>
      </w:pPr>
      <w:r>
        <w:rPr>
          <w:b/>
          <w:bCs/>
          <w:color w:val="auto"/>
          <w:sz w:val="22"/>
          <w:szCs w:val="22"/>
          <w:lang w:val="sk-SK"/>
        </w:rPr>
        <w:t>Klinická účinnosť</w:t>
      </w: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Účinnosť a bezpečnosť kvetiapínu bola študovaná v 3</w:t>
      </w:r>
      <w:r w:rsidRPr="00E21B7F">
        <w:rPr>
          <w:color w:val="auto"/>
          <w:sz w:val="22"/>
          <w:szCs w:val="22"/>
          <w:lang w:val="sk-SK"/>
        </w:rPr>
        <w:noBreakHyphen/>
        <w:t xml:space="preserve">týždňovej placebom kontrolovanej štúdii zameranej na liečbu mánie (n=248 pacientov z USA vo veku 10 až 17 rokov). Okolo 45 % populácie pacientov malo ďalšiu diagnózu ADHD (= Attention Deficit Hyperactive Disorder </w:t>
      </w:r>
      <w:r w:rsidRPr="00E21B7F">
        <w:rPr>
          <w:color w:val="auto"/>
          <w:sz w:val="22"/>
          <w:szCs w:val="22"/>
          <w:lang w:val="sk-SK"/>
        </w:rPr>
        <w:noBreakHyphen/>
        <w:t xml:space="preserve"> porucha pozornosti sprevádzaná hyperaktivitou). Okrem toho sa uskutočnila 6</w:t>
      </w:r>
      <w:r w:rsidRPr="00E21B7F">
        <w:rPr>
          <w:color w:val="auto"/>
          <w:sz w:val="22"/>
          <w:szCs w:val="22"/>
          <w:lang w:val="sk-SK"/>
        </w:rPr>
        <w:noBreakHyphen/>
        <w:t>týždňová placebom kontrolovaná štúdia liečby schizofrénie (n=222 pacientov vo veku 13 až 17 rokov). Pacienti, u ktorých sa zistilo, že nereagujú na kvetiapín, boli z oboch štúdií vylúčení. Liečba kvetiapínom sa začala dávkou 50 mg/deň a na 2. deň sa dávka zvýšila na 100 mg/deň; následne bola dávka titrovaná na cieľovú dávku (</w:t>
      </w:r>
      <w:r>
        <w:rPr>
          <w:color w:val="auto"/>
          <w:sz w:val="22"/>
          <w:szCs w:val="22"/>
          <w:lang w:val="sk-SK"/>
        </w:rPr>
        <w:t>pri</w:t>
      </w:r>
      <w:r w:rsidRPr="00E21B7F">
        <w:rPr>
          <w:color w:val="auto"/>
          <w:sz w:val="22"/>
          <w:szCs w:val="22"/>
          <w:lang w:val="sk-SK"/>
        </w:rPr>
        <w:t xml:space="preserve"> máni</w:t>
      </w:r>
      <w:r>
        <w:rPr>
          <w:color w:val="auto"/>
          <w:sz w:val="22"/>
          <w:szCs w:val="22"/>
          <w:lang w:val="sk-SK"/>
        </w:rPr>
        <w:t>i</w:t>
      </w:r>
      <w:r w:rsidRPr="00E21B7F">
        <w:rPr>
          <w:color w:val="auto"/>
          <w:sz w:val="22"/>
          <w:szCs w:val="22"/>
          <w:lang w:val="sk-SK"/>
        </w:rPr>
        <w:t xml:space="preserve"> 400–600 mg/deň; </w:t>
      </w:r>
      <w:r>
        <w:rPr>
          <w:color w:val="auto"/>
          <w:sz w:val="22"/>
          <w:szCs w:val="22"/>
          <w:lang w:val="sk-SK"/>
        </w:rPr>
        <w:t>pri</w:t>
      </w:r>
      <w:r w:rsidRPr="00E21B7F">
        <w:rPr>
          <w:color w:val="auto"/>
          <w:sz w:val="22"/>
          <w:szCs w:val="22"/>
          <w:lang w:val="sk-SK"/>
        </w:rPr>
        <w:t xml:space="preserve"> schizofréni</w:t>
      </w:r>
      <w:r>
        <w:rPr>
          <w:color w:val="auto"/>
          <w:sz w:val="22"/>
          <w:szCs w:val="22"/>
          <w:lang w:val="sk-SK"/>
        </w:rPr>
        <w:t>i</w:t>
      </w:r>
      <w:r w:rsidRPr="00E21B7F">
        <w:rPr>
          <w:color w:val="auto"/>
          <w:sz w:val="22"/>
          <w:szCs w:val="22"/>
          <w:lang w:val="sk-SK"/>
        </w:rPr>
        <w:t xml:space="preserve"> 400–800 mg/deň), pričom sa aplikovali zvýšenia 100 mg/deň podávané dva alebo tri razy denne. </w:t>
      </w:r>
    </w:p>
    <w:p w:rsidR="00302C75" w:rsidRPr="00E21B7F" w:rsidRDefault="00302C75">
      <w:pPr>
        <w:pStyle w:val="Normlnywebov"/>
        <w:spacing w:before="0" w:beforeAutospacing="0" w:after="0"/>
        <w:jc w:val="both"/>
        <w:rPr>
          <w:color w:val="auto"/>
          <w:sz w:val="22"/>
          <w:szCs w:val="22"/>
          <w:lang w:val="sk-SK"/>
        </w:rPr>
      </w:pPr>
    </w:p>
    <w:p w:rsidR="00302C75" w:rsidRPr="00E21B7F" w:rsidRDefault="00302C75">
      <w:pPr>
        <w:pStyle w:val="Normlnywebov"/>
        <w:spacing w:before="0" w:beforeAutospacing="0" w:after="0"/>
        <w:jc w:val="both"/>
        <w:rPr>
          <w:sz w:val="22"/>
          <w:szCs w:val="22"/>
          <w:lang w:val="sk-SK"/>
        </w:rPr>
      </w:pPr>
      <w:r w:rsidRPr="00E21B7F">
        <w:rPr>
          <w:color w:val="auto"/>
          <w:sz w:val="22"/>
          <w:szCs w:val="22"/>
          <w:lang w:val="sk-SK"/>
        </w:rPr>
        <w:t xml:space="preserve">V štúdii mánie bol rozdiel najmenších štvorcov priemernej zmeny oproti pôvodnej hodnote v celkovom skóre YMRS (=Young Mania Rating Scale –stupnica hodnotiaca mánie mladistvých) (aktívna liečba mínus placebo) –5,21 u tabliet kvetiapínu 400 mg/deň a –6,56 u tabliet kvetiapínu 600 mg/deň. Podiel reagujúcich (zlepšenie YMRS ≥50 %) bol 64 % u tabliet kvetiapínu 400 mg/deň, 58 % u 600 mg/deň a 37 % v skupine s placebom. </w:t>
      </w:r>
    </w:p>
    <w:p w:rsidR="00302C75" w:rsidRPr="00E21B7F" w:rsidRDefault="00302C75">
      <w:pPr>
        <w:pStyle w:val="Normlnywebov"/>
        <w:spacing w:before="0" w:beforeAutospacing="0" w:after="0"/>
        <w:jc w:val="both"/>
        <w:rPr>
          <w:color w:val="auto"/>
          <w:sz w:val="22"/>
          <w:szCs w:val="22"/>
          <w:lang w:val="sk-SK"/>
        </w:rPr>
      </w:pPr>
    </w:p>
    <w:p w:rsidR="00302C75" w:rsidRDefault="00302C75">
      <w:pPr>
        <w:pStyle w:val="Normlnywebov"/>
        <w:spacing w:before="0" w:beforeAutospacing="0" w:after="0"/>
        <w:jc w:val="both"/>
        <w:rPr>
          <w:color w:val="auto"/>
          <w:sz w:val="22"/>
          <w:szCs w:val="22"/>
          <w:lang w:val="sk-SK"/>
        </w:rPr>
      </w:pPr>
      <w:r w:rsidRPr="00E21B7F">
        <w:rPr>
          <w:color w:val="auto"/>
          <w:sz w:val="22"/>
          <w:szCs w:val="22"/>
          <w:lang w:val="sk-SK"/>
        </w:rPr>
        <w:t xml:space="preserve">V klinickom skúšaní zameranom na schizofréniu rozdiel priemernej zmeny metódou najmenších štvorcov od pôvodnej hodnoty v celkovom skóre PANSS ( = The Positive and Negative Syndrom Scale – stupnica pozitívnych a negatívnych syndrómov) (aktívne mínus placebo) bol –8,16 u tabliet kvetiapínu 400 mg/deň a –9,29 u tabliet kvetiapínu 800 mg/deň. Kvetiapín nebol ani pri nízkych dávkach (400 mg/deň), ani v rámci režimu s vysokými dávkami (800 mg/deň) lepší ako placebo z hľadiska percenta pacientov, ktorí dosiahli reakciu definovanú ako ≥30 % zníženie oproti pôvodnej hodnote v celkovom skóre PANSS. U mánie ako aj schizofrénie boli výsledkom vyšších dávok číselne nižšie reakčné pomery. </w:t>
      </w:r>
    </w:p>
    <w:p w:rsidR="00302C75" w:rsidRPr="00964140" w:rsidRDefault="00302C75">
      <w:pPr>
        <w:pStyle w:val="Normlnywebov"/>
        <w:spacing w:before="0" w:beforeAutospacing="0" w:after="0"/>
        <w:jc w:val="both"/>
        <w:rPr>
          <w:color w:val="auto"/>
          <w:sz w:val="22"/>
          <w:szCs w:val="22"/>
          <w:lang w:val="sk-SK"/>
        </w:rPr>
      </w:pPr>
    </w:p>
    <w:p w:rsidR="00302C75" w:rsidRPr="00964140" w:rsidRDefault="00302C75">
      <w:pPr>
        <w:pStyle w:val="Normlnywebov"/>
        <w:spacing w:before="0" w:beforeAutospacing="0" w:after="0"/>
        <w:jc w:val="both"/>
        <w:rPr>
          <w:color w:val="auto"/>
          <w:sz w:val="22"/>
          <w:szCs w:val="22"/>
          <w:lang w:val="sk-SK"/>
        </w:rPr>
      </w:pPr>
      <w:r w:rsidRPr="005C4B32">
        <w:rPr>
          <w:bCs/>
          <w:sz w:val="22"/>
          <w:szCs w:val="22"/>
          <w:lang w:val="sk-SK"/>
        </w:rPr>
        <w:t xml:space="preserve">V tretej krátkodobej placebom kontrolovanej klinickej štúdii monoterapie liekom </w:t>
      </w:r>
      <w:r w:rsidRPr="00964140">
        <w:rPr>
          <w:sz w:val="22"/>
          <w:szCs w:val="22"/>
          <w:lang w:val="sk-SK"/>
        </w:rPr>
        <w:t>Quetiapine Accord</w:t>
      </w:r>
      <w:r w:rsidRPr="005C4B32">
        <w:rPr>
          <w:bCs/>
          <w:sz w:val="22"/>
          <w:szCs w:val="22"/>
          <w:lang w:val="sk-SK"/>
        </w:rPr>
        <w:t xml:space="preserve"> u detských a dospievajúcich pacientov (10</w:t>
      </w:r>
      <w:r>
        <w:rPr>
          <w:bCs/>
          <w:sz w:val="22"/>
          <w:szCs w:val="22"/>
          <w:lang w:val="sk-SK"/>
        </w:rPr>
        <w:t>–</w:t>
      </w:r>
      <w:r w:rsidRPr="005C4B32">
        <w:rPr>
          <w:bCs/>
          <w:sz w:val="22"/>
          <w:szCs w:val="22"/>
          <w:lang w:val="sk-SK"/>
        </w:rPr>
        <w:t>17 rokov) s bipolárnou depresiou nebola účinnosť preukázaná.</w:t>
      </w:r>
    </w:p>
    <w:p w:rsidR="00302C75" w:rsidRPr="00E21B7F" w:rsidRDefault="00302C75">
      <w:pPr>
        <w:pStyle w:val="Normlnywebov"/>
        <w:spacing w:before="0" w:beforeAutospacing="0" w:after="0"/>
        <w:jc w:val="both"/>
        <w:rPr>
          <w:sz w:val="22"/>
          <w:szCs w:val="22"/>
          <w:lang w:val="sk-SK"/>
        </w:rPr>
      </w:pPr>
      <w:r>
        <w:rPr>
          <w:color w:val="auto"/>
          <w:sz w:val="22"/>
          <w:szCs w:val="22"/>
          <w:lang w:val="sk-SK"/>
        </w:rPr>
        <w:t>V</w:t>
      </w:r>
      <w:r w:rsidRPr="00E21B7F">
        <w:rPr>
          <w:color w:val="auto"/>
          <w:sz w:val="22"/>
          <w:szCs w:val="22"/>
          <w:lang w:val="sk-SK"/>
        </w:rPr>
        <w:t> tejto vekovej skupin</w:t>
      </w:r>
      <w:r>
        <w:rPr>
          <w:color w:val="auto"/>
          <w:sz w:val="22"/>
          <w:szCs w:val="22"/>
          <w:lang w:val="sk-SK"/>
        </w:rPr>
        <w:t>e</w:t>
      </w:r>
      <w:r w:rsidRPr="00E21B7F">
        <w:rPr>
          <w:color w:val="auto"/>
          <w:sz w:val="22"/>
          <w:szCs w:val="22"/>
          <w:lang w:val="sk-SK"/>
        </w:rPr>
        <w:t xml:space="preserve"> nie sú k dispozícii žiadne údaje o udržaní účinku alebo prevencii návratu. </w:t>
      </w:r>
    </w:p>
    <w:p w:rsidR="00770799" w:rsidRDefault="00770799" w:rsidP="00946E44">
      <w:pPr>
        <w:pStyle w:val="Normlnywebov"/>
        <w:spacing w:before="0" w:beforeAutospacing="0" w:after="0"/>
        <w:rPr>
          <w:b/>
          <w:bCs/>
          <w:iCs/>
          <w:sz w:val="22"/>
          <w:szCs w:val="22"/>
          <w:lang w:val="sk-SK"/>
        </w:rPr>
      </w:pPr>
    </w:p>
    <w:p w:rsidR="00302C75" w:rsidRPr="005C4B32" w:rsidRDefault="00302C75" w:rsidP="00946E44">
      <w:pPr>
        <w:pStyle w:val="Normlnywebov"/>
        <w:spacing w:before="0" w:beforeAutospacing="0" w:after="0"/>
        <w:rPr>
          <w:b/>
          <w:bCs/>
          <w:iCs/>
          <w:sz w:val="22"/>
          <w:szCs w:val="22"/>
          <w:lang w:val="sk-SK"/>
        </w:rPr>
      </w:pPr>
      <w:r w:rsidRPr="005C4B32">
        <w:rPr>
          <w:b/>
          <w:bCs/>
          <w:iCs/>
          <w:sz w:val="22"/>
          <w:szCs w:val="22"/>
          <w:lang w:val="sk-SK"/>
        </w:rPr>
        <w:t>Klinická bezpečnosť</w:t>
      </w:r>
    </w:p>
    <w:p w:rsidR="00770799" w:rsidRDefault="00770799">
      <w:pPr>
        <w:pStyle w:val="Normlnywebov"/>
        <w:spacing w:before="0" w:beforeAutospacing="0" w:after="0"/>
        <w:jc w:val="both"/>
        <w:rPr>
          <w:color w:val="auto"/>
          <w:sz w:val="22"/>
          <w:szCs w:val="22"/>
          <w:lang w:val="sk-SK"/>
        </w:rPr>
      </w:pPr>
    </w:p>
    <w:p w:rsidR="00302C75" w:rsidRDefault="00302C75">
      <w:pPr>
        <w:pStyle w:val="Normlnywebov"/>
        <w:spacing w:before="0" w:beforeAutospacing="0" w:after="0"/>
        <w:jc w:val="both"/>
        <w:rPr>
          <w:color w:val="auto"/>
          <w:sz w:val="22"/>
          <w:szCs w:val="22"/>
          <w:lang w:val="sk-SK"/>
        </w:rPr>
      </w:pPr>
      <w:r w:rsidRPr="00084E1D">
        <w:rPr>
          <w:color w:val="auto"/>
          <w:sz w:val="22"/>
          <w:szCs w:val="22"/>
          <w:lang w:val="sk-SK"/>
        </w:rPr>
        <w:t xml:space="preserve">Vo vyššie spomenutých krátkodobých štúdiách liečby kvetiapínom </w:t>
      </w:r>
      <w:r>
        <w:rPr>
          <w:color w:val="auto"/>
          <w:sz w:val="22"/>
          <w:szCs w:val="22"/>
          <w:lang w:val="sk-SK"/>
        </w:rPr>
        <w:t>v</w:t>
      </w:r>
      <w:r w:rsidRPr="00084E1D">
        <w:rPr>
          <w:color w:val="auto"/>
          <w:sz w:val="22"/>
          <w:szCs w:val="22"/>
          <w:lang w:val="sk-SK"/>
        </w:rPr>
        <w:t xml:space="preserve"> pediatrickej populáci</w:t>
      </w:r>
      <w:r>
        <w:rPr>
          <w:color w:val="auto"/>
          <w:sz w:val="22"/>
          <w:szCs w:val="22"/>
          <w:lang w:val="sk-SK"/>
        </w:rPr>
        <w:t>i</w:t>
      </w:r>
      <w:r w:rsidRPr="00084E1D">
        <w:rPr>
          <w:color w:val="auto"/>
          <w:sz w:val="22"/>
          <w:szCs w:val="22"/>
          <w:lang w:val="sk-SK"/>
        </w:rPr>
        <w:t xml:space="preserve"> bolo percento výskytu extrapyramídových príznakov u skupiny liečenej účinnou látkou</w:t>
      </w:r>
      <w:r w:rsidRPr="006054CA">
        <w:rPr>
          <w:color w:val="auto"/>
          <w:sz w:val="22"/>
          <w:szCs w:val="22"/>
          <w:lang w:val="sk-SK"/>
        </w:rPr>
        <w:t xml:space="preserve"> v porovnaní so skupinou liečenou placebom 12,</w:t>
      </w:r>
      <w:r w:rsidRPr="005C4B32">
        <w:rPr>
          <w:sz w:val="22"/>
          <w:szCs w:val="22"/>
          <w:lang w:val="sk-SK"/>
        </w:rPr>
        <w:t>9 % v porovnaní s 5,3 % v klinickom skúšaní zameranom na schizofréniu, 3</w:t>
      </w:r>
      <w:r>
        <w:rPr>
          <w:sz w:val="22"/>
          <w:szCs w:val="22"/>
          <w:lang w:val="sk-SK"/>
        </w:rPr>
        <w:t>,</w:t>
      </w:r>
      <w:r w:rsidRPr="005C4B32">
        <w:rPr>
          <w:sz w:val="22"/>
          <w:szCs w:val="22"/>
          <w:lang w:val="sk-SK"/>
        </w:rPr>
        <w:t xml:space="preserve">6 % v porovnaní s 1,1 % v klinickom skúšaní zameranom na bipolárnu mániu a 1,1 % v porovnaní s 0 % v klinickom skúšaní zameranom na bipolárnu depresiu. Výskyt zvýšenia telesnej hmotnosti </w:t>
      </w:r>
      <w:r w:rsidRPr="00084E1D">
        <w:rPr>
          <w:color w:val="auto"/>
          <w:sz w:val="22"/>
          <w:szCs w:val="22"/>
          <w:lang w:val="sk-SK"/>
        </w:rPr>
        <w:t xml:space="preserve">o ≥7 % oproti pôvodnej hmotnosti </w:t>
      </w:r>
      <w:r>
        <w:rPr>
          <w:color w:val="auto"/>
          <w:sz w:val="22"/>
          <w:szCs w:val="22"/>
          <w:lang w:val="sk-SK"/>
        </w:rPr>
        <w:t>v</w:t>
      </w:r>
      <w:r w:rsidRPr="00084E1D">
        <w:rPr>
          <w:color w:val="auto"/>
          <w:sz w:val="22"/>
          <w:szCs w:val="22"/>
          <w:lang w:val="sk-SK"/>
        </w:rPr>
        <w:t xml:space="preserve"> skupin</w:t>
      </w:r>
      <w:r>
        <w:rPr>
          <w:color w:val="auto"/>
          <w:sz w:val="22"/>
          <w:szCs w:val="22"/>
          <w:lang w:val="sk-SK"/>
        </w:rPr>
        <w:t>e</w:t>
      </w:r>
      <w:r w:rsidRPr="00084E1D">
        <w:rPr>
          <w:color w:val="auto"/>
          <w:sz w:val="22"/>
          <w:szCs w:val="22"/>
          <w:lang w:val="sk-SK"/>
        </w:rPr>
        <w:t xml:space="preserve"> liečenej účinnou látkou v porovnaní so skupinou </w:t>
      </w:r>
      <w:r>
        <w:rPr>
          <w:color w:val="auto"/>
          <w:sz w:val="22"/>
          <w:szCs w:val="22"/>
          <w:lang w:val="sk-SK"/>
        </w:rPr>
        <w:t>s</w:t>
      </w:r>
      <w:r w:rsidRPr="00084E1D">
        <w:rPr>
          <w:color w:val="auto"/>
          <w:sz w:val="22"/>
          <w:szCs w:val="22"/>
          <w:lang w:val="sk-SK"/>
        </w:rPr>
        <w:t xml:space="preserve"> placebom bol 17</w:t>
      </w:r>
      <w:r w:rsidRPr="005C4B32">
        <w:rPr>
          <w:sz w:val="22"/>
          <w:szCs w:val="22"/>
          <w:lang w:val="sk-SK"/>
        </w:rPr>
        <w:t xml:space="preserve"> % v porovnaní s 2,5 % v klinickom skúšaní zameranom na schizofréniu a bipolárnu mániu a</w:t>
      </w:r>
      <w:r>
        <w:rPr>
          <w:sz w:val="22"/>
          <w:szCs w:val="22"/>
          <w:lang w:val="sk-SK"/>
        </w:rPr>
        <w:t> 13,7</w:t>
      </w:r>
      <w:r w:rsidRPr="005C4B32">
        <w:rPr>
          <w:sz w:val="22"/>
          <w:szCs w:val="22"/>
          <w:lang w:val="sk-SK"/>
        </w:rPr>
        <w:t xml:space="preserve"> % v porovnaní so </w:t>
      </w:r>
      <w:r>
        <w:rPr>
          <w:sz w:val="22"/>
          <w:szCs w:val="22"/>
          <w:lang w:val="sk-SK"/>
        </w:rPr>
        <w:t>6,8</w:t>
      </w:r>
      <w:r w:rsidRPr="005C4B32">
        <w:rPr>
          <w:sz w:val="22"/>
          <w:szCs w:val="22"/>
          <w:lang w:val="sk-SK"/>
        </w:rPr>
        <w:t xml:space="preserve"> % v klinickom skúšaní zameranom na bipolárnu depresiu.</w:t>
      </w:r>
      <w:r w:rsidRPr="00084E1D">
        <w:rPr>
          <w:color w:val="auto"/>
          <w:sz w:val="22"/>
          <w:szCs w:val="22"/>
          <w:lang w:val="sk-SK"/>
        </w:rPr>
        <w:t xml:space="preserve"> Výskyt príhod súvisiacich so samovraždou </w:t>
      </w:r>
      <w:r>
        <w:rPr>
          <w:color w:val="auto"/>
          <w:sz w:val="22"/>
          <w:szCs w:val="22"/>
          <w:lang w:val="sk-SK"/>
        </w:rPr>
        <w:t xml:space="preserve">v </w:t>
      </w:r>
      <w:r w:rsidRPr="00084E1D">
        <w:rPr>
          <w:color w:val="auto"/>
          <w:sz w:val="22"/>
          <w:szCs w:val="22"/>
          <w:lang w:val="sk-SK"/>
        </w:rPr>
        <w:t>skupin</w:t>
      </w:r>
      <w:r>
        <w:rPr>
          <w:color w:val="auto"/>
          <w:sz w:val="22"/>
          <w:szCs w:val="22"/>
          <w:lang w:val="sk-SK"/>
        </w:rPr>
        <w:t>e</w:t>
      </w:r>
      <w:r w:rsidRPr="00084E1D">
        <w:rPr>
          <w:color w:val="auto"/>
          <w:sz w:val="22"/>
          <w:szCs w:val="22"/>
          <w:lang w:val="sk-SK"/>
        </w:rPr>
        <w:t xml:space="preserve"> liečenej účinnou látkou v porovnaní so skupinou </w:t>
      </w:r>
      <w:r>
        <w:rPr>
          <w:color w:val="auto"/>
          <w:sz w:val="22"/>
          <w:szCs w:val="22"/>
          <w:lang w:val="sk-SK"/>
        </w:rPr>
        <w:t>s</w:t>
      </w:r>
      <w:r w:rsidRPr="00084E1D">
        <w:rPr>
          <w:color w:val="auto"/>
          <w:sz w:val="22"/>
          <w:szCs w:val="22"/>
          <w:lang w:val="sk-SK"/>
        </w:rPr>
        <w:t xml:space="preserve"> placebom bol 1,</w:t>
      </w:r>
      <w:r w:rsidRPr="005C4B32">
        <w:rPr>
          <w:sz w:val="22"/>
          <w:szCs w:val="22"/>
          <w:lang w:val="sk-SK"/>
        </w:rPr>
        <w:t>4 % v porovnaní s 1,3 % v klinickom skúšaní zameranom na schizofréniu, 1,0 % v porovnaní s 0 % v klinickom skúšaní zameranom na bipolárnu mániu a 1,1 % v porovnaní s 0 % v klinickom skúšaní zameranom na bipolárnu depresiu.</w:t>
      </w:r>
      <w:r w:rsidRPr="00084E1D">
        <w:rPr>
          <w:color w:val="auto"/>
          <w:sz w:val="22"/>
          <w:szCs w:val="22"/>
          <w:lang w:val="sk-SK"/>
        </w:rPr>
        <w:t xml:space="preserve"> </w:t>
      </w:r>
      <w:r w:rsidRPr="005C4B32">
        <w:rPr>
          <w:bCs/>
          <w:sz w:val="22"/>
          <w:szCs w:val="22"/>
          <w:lang w:val="sk-SK"/>
        </w:rPr>
        <w:t>Počas kontrolnej fázy predĺženého sledovania po liečbe v rámci klinického skúšania zameraného na bipolárnu depresiu sa vyskytli dve ďalšie príhody súvisiace so samovraždou u dvoch pacientov. Jeden z týchto pacientov bol v čase príhody na</w:t>
      </w:r>
      <w:r>
        <w:rPr>
          <w:bCs/>
          <w:sz w:val="22"/>
          <w:szCs w:val="22"/>
          <w:lang w:val="sk-SK"/>
        </w:rPr>
        <w:t xml:space="preserve"> liečbe </w:t>
      </w:r>
      <w:r w:rsidRPr="005C4B32">
        <w:rPr>
          <w:bCs/>
          <w:sz w:val="22"/>
          <w:szCs w:val="22"/>
          <w:lang w:val="sk-SK"/>
        </w:rPr>
        <w:t xml:space="preserve"> kvetiapín</w:t>
      </w:r>
      <w:r>
        <w:rPr>
          <w:bCs/>
          <w:sz w:val="22"/>
          <w:szCs w:val="22"/>
          <w:lang w:val="sk-SK"/>
        </w:rPr>
        <w:t>om</w:t>
      </w:r>
      <w:r w:rsidRPr="005C4B32">
        <w:rPr>
          <w:bCs/>
          <w:sz w:val="22"/>
          <w:szCs w:val="22"/>
          <w:lang w:val="sk-SK"/>
        </w:rPr>
        <w:t>.</w:t>
      </w:r>
    </w:p>
    <w:p w:rsidR="00302C75" w:rsidRDefault="00302C75" w:rsidP="005C4B32">
      <w:pPr>
        <w:pStyle w:val="Normlnywebov"/>
        <w:spacing w:before="0" w:beforeAutospacing="0" w:after="0"/>
        <w:jc w:val="both"/>
        <w:rPr>
          <w:color w:val="auto"/>
          <w:sz w:val="22"/>
          <w:szCs w:val="22"/>
          <w:lang w:val="sk-SK"/>
        </w:rPr>
      </w:pPr>
    </w:p>
    <w:p w:rsidR="00302C75" w:rsidRPr="00946E44" w:rsidRDefault="00302C75">
      <w:pPr>
        <w:pStyle w:val="Normlnywebov"/>
        <w:spacing w:before="0" w:beforeAutospacing="0" w:after="0"/>
        <w:jc w:val="both"/>
        <w:rPr>
          <w:b/>
          <w:color w:val="auto"/>
          <w:sz w:val="22"/>
          <w:szCs w:val="22"/>
          <w:u w:val="single"/>
          <w:lang w:val="sk-SK"/>
        </w:rPr>
      </w:pPr>
      <w:r w:rsidRPr="00946E44">
        <w:rPr>
          <w:b/>
          <w:color w:val="auto"/>
          <w:sz w:val="22"/>
          <w:szCs w:val="22"/>
          <w:u w:val="single"/>
          <w:lang w:val="sk-SK"/>
        </w:rPr>
        <w:t>Dlhodobá bezpečnosť</w:t>
      </w:r>
    </w:p>
    <w:p w:rsidR="00302C75" w:rsidRPr="005C4B32" w:rsidRDefault="00302C75">
      <w:pPr>
        <w:pStyle w:val="Normlnywebov"/>
        <w:spacing w:before="0" w:beforeAutospacing="0" w:after="0"/>
        <w:jc w:val="both"/>
        <w:rPr>
          <w:color w:val="auto"/>
          <w:sz w:val="22"/>
          <w:szCs w:val="22"/>
          <w:lang w:val="sk-SK"/>
        </w:rPr>
      </w:pPr>
      <w:r w:rsidRPr="00E21B7F">
        <w:rPr>
          <w:sz w:val="22"/>
          <w:szCs w:val="22"/>
          <w:lang w:val="sk-SK"/>
        </w:rPr>
        <w:t>26</w:t>
      </w:r>
      <w:r w:rsidRPr="00E21B7F">
        <w:rPr>
          <w:sz w:val="22"/>
          <w:szCs w:val="22"/>
          <w:lang w:val="sk-SK"/>
        </w:rPr>
        <w:noBreakHyphen/>
        <w:t xml:space="preserve">týždňové otvorené predĺženie krátkodobého skúšania (n=380 pacientov) s tabletami kvetiapínu dávkovanými po 400–800 mg/deň poskytlo doplňujúce bezpečnostné údaje. U detí a dospievajúcich bolo hlásené zvýšenie krvného tlaku a u detí a dospievajúcich bol zaznamenaný častejší výskyt zvýšenej chuti do jedla, extrapyramídových symptómov a zvýšení sérového prolaktínu ako u dospelých pacientov (pozri časť 4.4. a časť 4.8). </w:t>
      </w:r>
      <w:r>
        <w:rPr>
          <w:sz w:val="22"/>
          <w:szCs w:val="22"/>
          <w:lang w:val="sk-SK"/>
        </w:rPr>
        <w:t>Vo vzťahu k zvýšeniu telesnej hmotnosti sa p</w:t>
      </w:r>
      <w:r w:rsidRPr="00E21B7F">
        <w:rPr>
          <w:sz w:val="22"/>
          <w:szCs w:val="22"/>
          <w:lang w:val="sk-SK"/>
        </w:rPr>
        <w:t xml:space="preserve">o korekcii na normálny </w:t>
      </w:r>
      <w:r>
        <w:rPr>
          <w:sz w:val="22"/>
          <w:szCs w:val="22"/>
          <w:lang w:val="sk-SK"/>
        </w:rPr>
        <w:t>rast v priebehu dlhšieho času</w:t>
      </w:r>
      <w:r w:rsidRPr="00E21B7F">
        <w:rPr>
          <w:sz w:val="22"/>
          <w:szCs w:val="22"/>
          <w:lang w:val="sk-SK"/>
        </w:rPr>
        <w:t xml:space="preserve"> ako miera klinicky signifikantnej zmeny použilo zvýšenie o najmenej 0,5 smerodajnej odchýlky od pôvodnej hodnoty indexu telesnej hmotnosti (Body Mass Index – BMI); 18,3 % pacientov liečených kvetiapínom po dobu najmenej 26 týždňov zodpovedalo tomuto kritériu.</w:t>
      </w: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Farmakokinetické vlastnosti</w:t>
      </w:r>
    </w:p>
    <w:p w:rsidR="00302C75" w:rsidRPr="00E21B7F" w:rsidRDefault="00302C75">
      <w:pPr>
        <w:pStyle w:val="Hlavika"/>
        <w:tabs>
          <w:tab w:val="clear" w:pos="4320"/>
          <w:tab w:val="clear" w:pos="8640"/>
        </w:tabs>
        <w:jc w:val="both"/>
        <w:rPr>
          <w:b/>
          <w:bCs/>
          <w:sz w:val="22"/>
          <w:szCs w:val="22"/>
          <w:lang w:val="sk-SK"/>
        </w:rPr>
      </w:pPr>
      <w:r w:rsidRPr="00E21B7F">
        <w:rPr>
          <w:b/>
          <w:bCs/>
          <w:sz w:val="22"/>
          <w:szCs w:val="22"/>
          <w:lang w:val="sk-SK"/>
        </w:rPr>
        <w:t xml:space="preserve">   </w:t>
      </w:r>
    </w:p>
    <w:p w:rsidR="00302C75" w:rsidRPr="00946E44" w:rsidRDefault="00302C75">
      <w:pPr>
        <w:autoSpaceDE w:val="0"/>
        <w:autoSpaceDN w:val="0"/>
        <w:adjustRightInd w:val="0"/>
        <w:jc w:val="both"/>
        <w:rPr>
          <w:b/>
          <w:bCs/>
          <w:sz w:val="22"/>
          <w:szCs w:val="22"/>
          <w:u w:val="single"/>
          <w:lang w:val="sk-SK"/>
        </w:rPr>
      </w:pPr>
      <w:r w:rsidRPr="00946E44">
        <w:rPr>
          <w:b/>
          <w:bCs/>
          <w:sz w:val="22"/>
          <w:szCs w:val="22"/>
          <w:u w:val="single"/>
          <w:lang w:val="sk-SK"/>
        </w:rPr>
        <w:t>Absorpcia</w:t>
      </w:r>
    </w:p>
    <w:p w:rsidR="00302C75" w:rsidRPr="00E21B7F" w:rsidRDefault="00302C75">
      <w:pPr>
        <w:autoSpaceDE w:val="0"/>
        <w:autoSpaceDN w:val="0"/>
        <w:adjustRightInd w:val="0"/>
        <w:jc w:val="both"/>
        <w:rPr>
          <w:sz w:val="22"/>
          <w:szCs w:val="22"/>
          <w:lang w:val="sk-SK"/>
        </w:rPr>
      </w:pPr>
      <w:r w:rsidRPr="00E21B7F">
        <w:rPr>
          <w:sz w:val="22"/>
          <w:szCs w:val="22"/>
          <w:lang w:val="sk-SK"/>
        </w:rPr>
        <w:t>Kvetiapín sa po perorálnom podaní dobre absorbuje. Liek Quetiapine Accord filmom obalené tablety dosahujú maximálne koncentrácie kvetiapínu a norkvetiapínu v plazme približne 6 hodín po podaní (Tmax). Maximálne rovnovážne molárne koncentrácie aktívneho metabolitu norkvetiapínu predstavujú 35 % koncentrácií kvetiapínu.</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sz w:val="22"/>
          <w:szCs w:val="22"/>
          <w:lang w:val="sk-SK"/>
        </w:rPr>
      </w:pPr>
      <w:r w:rsidRPr="00E21B7F">
        <w:rPr>
          <w:sz w:val="22"/>
          <w:szCs w:val="22"/>
          <w:lang w:val="sk-SK"/>
        </w:rPr>
        <w:t xml:space="preserve">Farmakokinetika kvetiapínu a norkvetiapínu je pre dávky do 800 mg podávané raz denne lineárna  a závislá od dávky. Pri porovnaní lieku Quetiapine Accord filmom obalené tablety s predĺženým uvoľňovaním, ktorý sa podáva raz denne, s rovnakou dennou dávkou </w:t>
      </w:r>
      <w:r w:rsidR="00A5180C" w:rsidRPr="00E21B7F">
        <w:rPr>
          <w:sz w:val="22"/>
          <w:szCs w:val="22"/>
          <w:lang w:val="sk-SK"/>
        </w:rPr>
        <w:t>kvetiapín</w:t>
      </w:r>
      <w:r w:rsidR="00A5180C">
        <w:rPr>
          <w:sz w:val="22"/>
          <w:szCs w:val="22"/>
          <w:lang w:val="sk-SK"/>
        </w:rPr>
        <w:t>ium-</w:t>
      </w:r>
      <w:r w:rsidRPr="00E21B7F">
        <w:rPr>
          <w:sz w:val="22"/>
          <w:szCs w:val="22"/>
          <w:lang w:val="sk-SK"/>
        </w:rPr>
        <w:t>fumarátu s okamžitým uvoľnením (liek Quetiapine Accord filmom obalené tablety (tablety s okamžitým uvoľňovaním)), ktorý sa podáva dvakrát denne, sú plochy pod krivkou závislosti koncentrácie od času (AUC) rovnaké, ale maximálna koncentrácia v plazme (Cmax) je o 13 % nižšia v rovnovážnom stave. Pri porovnaní lieku Quetiapine Accord filmom obalené tablety s predĺženým uvoľňovaním s liekom Quetiapine Accord filmom obalené tablety (tabletami s okamžitým uvoľňovaním) je AUC metabolitu norkvetiapín nižšie o 18 %.</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sz w:val="22"/>
          <w:szCs w:val="22"/>
          <w:lang w:val="sk-SK"/>
        </w:rPr>
      </w:pPr>
      <w:r w:rsidRPr="00E21B7F">
        <w:rPr>
          <w:sz w:val="22"/>
          <w:szCs w:val="22"/>
          <w:lang w:val="sk-SK"/>
        </w:rPr>
        <w:t>V štúdii skúmajúcej účinky potravy na biologickú dostupnosť kvetiapínu sa zistilo, že jedlo s vysokým obsahom tuku spôsobuje štatisticky významné zvýšenie hodnôt C</w:t>
      </w:r>
      <w:r w:rsidRPr="005C4B32">
        <w:rPr>
          <w:sz w:val="22"/>
          <w:szCs w:val="22"/>
          <w:vertAlign w:val="subscript"/>
          <w:lang w:val="sk-SK"/>
        </w:rPr>
        <w:t xml:space="preserve">max </w:t>
      </w:r>
      <w:r w:rsidRPr="00E21B7F">
        <w:rPr>
          <w:sz w:val="22"/>
          <w:szCs w:val="22"/>
          <w:lang w:val="sk-SK"/>
        </w:rPr>
        <w:t xml:space="preserve">a AUC lieku Quetiapine Accord filmom obalené tablety s predĺženým uvoľňovaním približne o 50 %, </w:t>
      </w:r>
      <w:r>
        <w:rPr>
          <w:sz w:val="22"/>
          <w:szCs w:val="22"/>
          <w:lang w:val="sk-SK"/>
        </w:rPr>
        <w:t>a</w:t>
      </w:r>
      <w:r w:rsidRPr="00E21B7F">
        <w:rPr>
          <w:sz w:val="22"/>
          <w:szCs w:val="22"/>
          <w:lang w:val="sk-SK"/>
        </w:rPr>
        <w:t xml:space="preserve"> o 20 %</w:t>
      </w:r>
      <w:r>
        <w:rPr>
          <w:sz w:val="22"/>
          <w:szCs w:val="22"/>
          <w:lang w:val="sk-SK"/>
        </w:rPr>
        <w:t xml:space="preserve"> </w:t>
      </w:r>
      <w:r w:rsidRPr="00F00F97">
        <w:rPr>
          <w:sz w:val="22"/>
          <w:szCs w:val="22"/>
          <w:lang w:val="sk-SK"/>
        </w:rPr>
        <w:t>v uvedenom poradí</w:t>
      </w:r>
      <w:r w:rsidRPr="00E21B7F">
        <w:rPr>
          <w:sz w:val="22"/>
          <w:szCs w:val="22"/>
          <w:lang w:val="sk-SK"/>
        </w:rPr>
        <w:t>. Nedá sa vylúčiť, že účinok jedla s vysokým obsahom tuku na liekovú formu môže byť vyšší. Pre porovnanie, ľahšie jedlo nemalo žiadny signifikantný účinok na hodnoty C</w:t>
      </w:r>
      <w:r w:rsidRPr="005C4B32">
        <w:rPr>
          <w:sz w:val="22"/>
          <w:szCs w:val="22"/>
          <w:vertAlign w:val="subscript"/>
          <w:lang w:val="sk-SK"/>
        </w:rPr>
        <w:t>max</w:t>
      </w:r>
      <w:r w:rsidRPr="00E21B7F">
        <w:rPr>
          <w:sz w:val="22"/>
          <w:szCs w:val="22"/>
          <w:lang w:val="sk-SK"/>
        </w:rPr>
        <w:t xml:space="preserve"> alebo AUC kvetiapínu. Odporúča sa užívať jednu Quetiapine Accord filmom obalenú tabletu s predĺženým uvoľňovaním denne a bez jedla.</w:t>
      </w:r>
    </w:p>
    <w:p w:rsidR="00302C75" w:rsidRPr="00E21B7F" w:rsidRDefault="00302C75">
      <w:pPr>
        <w:autoSpaceDE w:val="0"/>
        <w:autoSpaceDN w:val="0"/>
        <w:adjustRightInd w:val="0"/>
        <w:jc w:val="both"/>
        <w:rPr>
          <w:sz w:val="22"/>
          <w:szCs w:val="22"/>
          <w:lang w:val="sk-SK"/>
        </w:rPr>
      </w:pPr>
    </w:p>
    <w:p w:rsidR="00302C75" w:rsidRPr="00946E44" w:rsidRDefault="00302C75">
      <w:pPr>
        <w:autoSpaceDE w:val="0"/>
        <w:autoSpaceDN w:val="0"/>
        <w:adjustRightInd w:val="0"/>
        <w:jc w:val="both"/>
        <w:rPr>
          <w:b/>
          <w:bCs/>
          <w:sz w:val="22"/>
          <w:szCs w:val="22"/>
          <w:u w:val="single"/>
          <w:lang w:val="sk-SK"/>
        </w:rPr>
      </w:pPr>
      <w:r w:rsidRPr="00946E44">
        <w:rPr>
          <w:b/>
          <w:bCs/>
          <w:sz w:val="22"/>
          <w:szCs w:val="22"/>
          <w:u w:val="single"/>
          <w:lang w:val="sk-SK"/>
        </w:rPr>
        <w:t>Distribúcia</w:t>
      </w:r>
    </w:p>
    <w:p w:rsidR="00302C75" w:rsidRPr="00E21B7F" w:rsidRDefault="00302C75">
      <w:pPr>
        <w:autoSpaceDE w:val="0"/>
        <w:autoSpaceDN w:val="0"/>
        <w:adjustRightInd w:val="0"/>
        <w:jc w:val="both"/>
        <w:rPr>
          <w:sz w:val="22"/>
          <w:szCs w:val="22"/>
          <w:lang w:val="sk-SK"/>
        </w:rPr>
      </w:pPr>
      <w:r w:rsidRPr="00E21B7F">
        <w:rPr>
          <w:sz w:val="22"/>
          <w:szCs w:val="22"/>
          <w:lang w:val="sk-SK"/>
        </w:rPr>
        <w:t>Približne 83 % kvetiapínu sa viaže na plazmatické proteíny.</w:t>
      </w:r>
    </w:p>
    <w:p w:rsidR="00302C75" w:rsidRPr="00E21B7F" w:rsidRDefault="00302C75">
      <w:pPr>
        <w:autoSpaceDE w:val="0"/>
        <w:autoSpaceDN w:val="0"/>
        <w:adjustRightInd w:val="0"/>
        <w:jc w:val="both"/>
        <w:rPr>
          <w:sz w:val="22"/>
          <w:szCs w:val="22"/>
          <w:lang w:val="sk-SK"/>
        </w:rPr>
      </w:pPr>
    </w:p>
    <w:p w:rsidR="00302C75" w:rsidRPr="00946E44" w:rsidRDefault="00302C75">
      <w:pPr>
        <w:autoSpaceDE w:val="0"/>
        <w:autoSpaceDN w:val="0"/>
        <w:adjustRightInd w:val="0"/>
        <w:jc w:val="both"/>
        <w:rPr>
          <w:b/>
          <w:bCs/>
          <w:sz w:val="22"/>
          <w:szCs w:val="22"/>
          <w:u w:val="single"/>
          <w:lang w:val="sk-SK"/>
        </w:rPr>
      </w:pPr>
      <w:r w:rsidRPr="00946E44">
        <w:rPr>
          <w:b/>
          <w:bCs/>
          <w:sz w:val="22"/>
          <w:szCs w:val="22"/>
          <w:u w:val="single"/>
          <w:lang w:val="sk-SK"/>
        </w:rPr>
        <w:t>Biotransformácia</w:t>
      </w:r>
    </w:p>
    <w:p w:rsidR="00302C75" w:rsidRPr="00E21B7F" w:rsidRDefault="00302C75">
      <w:pPr>
        <w:autoSpaceDE w:val="0"/>
        <w:autoSpaceDN w:val="0"/>
        <w:adjustRightInd w:val="0"/>
        <w:jc w:val="both"/>
        <w:rPr>
          <w:sz w:val="22"/>
          <w:szCs w:val="22"/>
          <w:lang w:val="sk-SK"/>
        </w:rPr>
      </w:pPr>
      <w:r w:rsidRPr="00E21B7F">
        <w:rPr>
          <w:sz w:val="22"/>
          <w:szCs w:val="22"/>
          <w:lang w:val="sk-SK"/>
        </w:rPr>
        <w:t xml:space="preserve">Kvetiapín sa rozsiahlo metabolizuje v pečeni. Po podaní rádioaktívne značeného kvetiapínu je možné v moči alebo v stolici nájsť menej ako 5 % pôvodnej zlúčeniny v nezmenenej forme. </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sz w:val="22"/>
          <w:szCs w:val="22"/>
          <w:lang w:val="sk-SK"/>
        </w:rPr>
      </w:pPr>
      <w:r w:rsidRPr="00E21B7F">
        <w:rPr>
          <w:i/>
          <w:iCs/>
          <w:sz w:val="22"/>
          <w:szCs w:val="22"/>
          <w:lang w:val="sk-SK"/>
        </w:rPr>
        <w:t xml:space="preserve">In vitro </w:t>
      </w:r>
      <w:r w:rsidRPr="00E21B7F">
        <w:rPr>
          <w:sz w:val="22"/>
          <w:szCs w:val="22"/>
          <w:lang w:val="sk-SK"/>
        </w:rPr>
        <w:t>skúšky ukázali, že hlavným enzýmom, ktorý sa podieľa na metabolizme kvetiapínu sprostredkovanom cytochrómom P450, je CYP3A4. Norkvetiapín sa tvorí a vylučuje najmä pomocou CYP3A4.</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sz w:val="22"/>
          <w:szCs w:val="22"/>
          <w:lang w:val="sk-SK"/>
        </w:rPr>
      </w:pPr>
      <w:r w:rsidRPr="00E21B7F">
        <w:rPr>
          <w:sz w:val="22"/>
          <w:szCs w:val="22"/>
          <w:lang w:val="sk-SK"/>
        </w:rPr>
        <w:t xml:space="preserve">Kvetiapín a niekoľko jeho metabolitov (vrátane norkvetiapínu) sú slabými inhibítormi aktivít ľudského cytochrómu P450 1A2, 2C9, 2C19, 2D6 a 3A4 v podmienkach </w:t>
      </w:r>
      <w:r w:rsidRPr="005C4B32">
        <w:rPr>
          <w:i/>
          <w:sz w:val="22"/>
          <w:szCs w:val="22"/>
          <w:lang w:val="sk-SK"/>
        </w:rPr>
        <w:t>in vitro</w:t>
      </w:r>
      <w:r w:rsidRPr="00E21B7F">
        <w:rPr>
          <w:sz w:val="22"/>
          <w:szCs w:val="22"/>
          <w:lang w:val="sk-SK"/>
        </w:rPr>
        <w:t xml:space="preserve">. </w:t>
      </w:r>
      <w:r w:rsidRPr="005C4B32">
        <w:rPr>
          <w:i/>
          <w:sz w:val="22"/>
          <w:szCs w:val="22"/>
          <w:lang w:val="sk-SK"/>
        </w:rPr>
        <w:t>In vitro</w:t>
      </w:r>
      <w:r w:rsidRPr="00E21B7F">
        <w:rPr>
          <w:i/>
          <w:iCs/>
          <w:sz w:val="22"/>
          <w:szCs w:val="22"/>
          <w:lang w:val="sk-SK"/>
        </w:rPr>
        <w:t xml:space="preserve"> </w:t>
      </w:r>
      <w:r w:rsidRPr="00E21B7F">
        <w:rPr>
          <w:sz w:val="22"/>
          <w:szCs w:val="22"/>
          <w:lang w:val="sk-SK"/>
        </w:rPr>
        <w:t>CYP inhibícia bola pozorovaná iba pri koncentráciách približne</w:t>
      </w:r>
      <w:r w:rsidRPr="00E21B7F">
        <w:rPr>
          <w:color w:val="FF0000"/>
          <w:sz w:val="22"/>
          <w:szCs w:val="22"/>
          <w:lang w:val="sk-SK"/>
        </w:rPr>
        <w:t xml:space="preserve"> </w:t>
      </w:r>
      <w:r w:rsidRPr="00E21B7F">
        <w:rPr>
          <w:sz w:val="22"/>
          <w:szCs w:val="22"/>
          <w:lang w:val="sk-SK"/>
        </w:rPr>
        <w:t>5 až 50</w:t>
      </w:r>
      <w:r w:rsidRPr="00E21B7F">
        <w:rPr>
          <w:sz w:val="22"/>
          <w:szCs w:val="22"/>
          <w:lang w:val="sk-SK"/>
        </w:rPr>
        <w:noBreakHyphen/>
        <w:t>krát vyšších, ako sú koncentrácie dosiahnuté u človeka pri dávke v rozmedzí od 300 do 800 mg denne. Na základe týchto</w:t>
      </w:r>
      <w:r w:rsidRPr="00E21B7F">
        <w:rPr>
          <w:i/>
          <w:iCs/>
          <w:sz w:val="22"/>
          <w:szCs w:val="22"/>
          <w:lang w:val="sk-SK"/>
        </w:rPr>
        <w:t xml:space="preserve"> in vitro</w:t>
      </w:r>
      <w:r w:rsidRPr="00E21B7F">
        <w:rPr>
          <w:sz w:val="22"/>
          <w:szCs w:val="22"/>
          <w:lang w:val="sk-SK"/>
        </w:rPr>
        <w:t xml:space="preserve"> výsledkov sa zdá nepravdepodobné, že súbežné podávanie kvetiapínu a iných liečiv </w:t>
      </w:r>
      <w:r w:rsidRPr="00F00F97">
        <w:rPr>
          <w:sz w:val="22"/>
          <w:szCs w:val="22"/>
          <w:lang w:val="sk-SK"/>
        </w:rPr>
        <w:t>môže viesť</w:t>
      </w:r>
      <w:r w:rsidRPr="00E21B7F">
        <w:rPr>
          <w:sz w:val="22"/>
          <w:szCs w:val="22"/>
          <w:lang w:val="sk-SK"/>
        </w:rPr>
        <w:t xml:space="preserve"> ku klinicky signifikantnej liekovej inhibícii metabolizmu druhého lieku, ktorý je tiež sprostredkovaný cytochrómom P450. Na základe štúdií na zvieratách sa zdá, že kvetiapín môže indukovať cytochróm P450. V špecifickej interakčnej skúške u psychotických pacientov sa však nezistilo žiadne zvýšenie aktivity cytochrómu P450 po podaní kvetiapínu.</w:t>
      </w:r>
    </w:p>
    <w:p w:rsidR="00302C75" w:rsidRPr="00E21B7F" w:rsidRDefault="00302C75">
      <w:pPr>
        <w:autoSpaceDE w:val="0"/>
        <w:autoSpaceDN w:val="0"/>
        <w:adjustRightInd w:val="0"/>
        <w:jc w:val="both"/>
        <w:rPr>
          <w:sz w:val="22"/>
          <w:szCs w:val="22"/>
          <w:lang w:val="sk-SK"/>
        </w:rPr>
      </w:pPr>
    </w:p>
    <w:p w:rsidR="00302C75" w:rsidRPr="00946E44" w:rsidRDefault="00302C75">
      <w:pPr>
        <w:autoSpaceDE w:val="0"/>
        <w:autoSpaceDN w:val="0"/>
        <w:adjustRightInd w:val="0"/>
        <w:jc w:val="both"/>
        <w:rPr>
          <w:b/>
          <w:bCs/>
          <w:sz w:val="22"/>
          <w:szCs w:val="22"/>
          <w:u w:val="single"/>
          <w:lang w:val="sk-SK"/>
        </w:rPr>
      </w:pPr>
      <w:r w:rsidRPr="00946E44">
        <w:rPr>
          <w:b/>
          <w:bCs/>
          <w:sz w:val="22"/>
          <w:szCs w:val="22"/>
          <w:u w:val="single"/>
          <w:lang w:val="sk-SK"/>
        </w:rPr>
        <w:t>Eliminácia</w:t>
      </w:r>
    </w:p>
    <w:p w:rsidR="00302C75" w:rsidRPr="00E21B7F" w:rsidRDefault="00302C75">
      <w:pPr>
        <w:autoSpaceDE w:val="0"/>
        <w:autoSpaceDN w:val="0"/>
        <w:adjustRightInd w:val="0"/>
        <w:jc w:val="both"/>
        <w:rPr>
          <w:sz w:val="22"/>
          <w:szCs w:val="22"/>
          <w:lang w:val="sk-SK"/>
        </w:rPr>
      </w:pPr>
      <w:r w:rsidRPr="00E21B7F">
        <w:rPr>
          <w:sz w:val="22"/>
          <w:szCs w:val="22"/>
          <w:lang w:val="sk-SK"/>
        </w:rPr>
        <w:t>Eliminačný polčas je približne 7 hodín pre kvetiapín a 12 hodín pre norkvetiapín. Asi 73 % rádioaktívne značenej látky sa vylúčilo močom a 21 % stolicou. Po podaní rádioaktívne značeného kvetiapínu je možné v moči alebo v stolici nájsť menej ako 5 % pôvodnej zlúčeniny v nezmenenej forme. Menej ako 5</w:t>
      </w:r>
      <w:r>
        <w:rPr>
          <w:sz w:val="22"/>
          <w:szCs w:val="22"/>
          <w:lang w:val="sk-SK"/>
        </w:rPr>
        <w:t xml:space="preserve"> </w:t>
      </w:r>
      <w:r w:rsidRPr="00E21B7F">
        <w:rPr>
          <w:sz w:val="22"/>
          <w:szCs w:val="22"/>
          <w:lang w:val="sk-SK"/>
        </w:rPr>
        <w:t>% priemernej molárnej dávkovej frakcie voľného kvetiapínu a aktívneho plazmatického metabolitu norkvetiapínu sa vylučuje močom.</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b/>
          <w:bCs/>
          <w:iCs/>
          <w:sz w:val="22"/>
          <w:szCs w:val="22"/>
          <w:lang w:val="sk-SK"/>
        </w:rPr>
      </w:pPr>
      <w:r w:rsidRPr="00E21B7F">
        <w:rPr>
          <w:b/>
          <w:bCs/>
          <w:iCs/>
          <w:sz w:val="22"/>
          <w:szCs w:val="22"/>
          <w:lang w:val="sk-SK"/>
        </w:rPr>
        <w:t>Osobitné skupiny pacientov</w:t>
      </w:r>
    </w:p>
    <w:p w:rsidR="00302C75" w:rsidRPr="00E21B7F" w:rsidRDefault="00302C75">
      <w:pPr>
        <w:autoSpaceDE w:val="0"/>
        <w:autoSpaceDN w:val="0"/>
        <w:adjustRightInd w:val="0"/>
        <w:jc w:val="both"/>
        <w:rPr>
          <w:b/>
          <w:bCs/>
          <w:sz w:val="22"/>
          <w:szCs w:val="22"/>
          <w:lang w:val="sk-SK"/>
        </w:rPr>
      </w:pPr>
    </w:p>
    <w:p w:rsidR="00302C75" w:rsidRPr="00E21B7F" w:rsidRDefault="00302C75">
      <w:pPr>
        <w:autoSpaceDE w:val="0"/>
        <w:autoSpaceDN w:val="0"/>
        <w:adjustRightInd w:val="0"/>
        <w:jc w:val="both"/>
        <w:rPr>
          <w:b/>
          <w:bCs/>
          <w:sz w:val="22"/>
          <w:szCs w:val="22"/>
          <w:lang w:val="sk-SK"/>
        </w:rPr>
      </w:pPr>
      <w:r w:rsidRPr="00E21B7F">
        <w:rPr>
          <w:b/>
          <w:bCs/>
          <w:sz w:val="22"/>
          <w:szCs w:val="22"/>
          <w:lang w:val="sk-SK"/>
        </w:rPr>
        <w:t>Pohlavie</w:t>
      </w:r>
    </w:p>
    <w:p w:rsidR="00302C75" w:rsidRPr="00E21B7F" w:rsidRDefault="00302C75">
      <w:pPr>
        <w:autoSpaceDE w:val="0"/>
        <w:autoSpaceDN w:val="0"/>
        <w:adjustRightInd w:val="0"/>
        <w:jc w:val="both"/>
        <w:rPr>
          <w:sz w:val="22"/>
          <w:szCs w:val="22"/>
          <w:lang w:val="sk-SK"/>
        </w:rPr>
      </w:pPr>
      <w:r w:rsidRPr="00E21B7F">
        <w:rPr>
          <w:sz w:val="22"/>
          <w:szCs w:val="22"/>
          <w:lang w:val="sk-SK"/>
        </w:rPr>
        <w:t>Farmakokinetika kvetiapínu je rovnaká u mužov aj u žien.</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b/>
          <w:bCs/>
          <w:sz w:val="22"/>
          <w:szCs w:val="22"/>
          <w:lang w:val="sk-SK"/>
        </w:rPr>
      </w:pPr>
      <w:r w:rsidRPr="00E21B7F">
        <w:rPr>
          <w:b/>
          <w:bCs/>
          <w:sz w:val="22"/>
          <w:szCs w:val="22"/>
          <w:lang w:val="sk-SK"/>
        </w:rPr>
        <w:t>Starší pacienti</w:t>
      </w:r>
    </w:p>
    <w:p w:rsidR="00302C75" w:rsidRPr="00E21B7F" w:rsidRDefault="00302C75">
      <w:pPr>
        <w:autoSpaceDE w:val="0"/>
        <w:autoSpaceDN w:val="0"/>
        <w:adjustRightInd w:val="0"/>
        <w:jc w:val="both"/>
        <w:rPr>
          <w:sz w:val="22"/>
          <w:szCs w:val="22"/>
          <w:lang w:val="sk-SK"/>
        </w:rPr>
      </w:pPr>
      <w:r w:rsidRPr="00E21B7F">
        <w:rPr>
          <w:sz w:val="22"/>
          <w:szCs w:val="22"/>
          <w:lang w:val="sk-SK"/>
        </w:rPr>
        <w:t>Priemerná hodnota klírensu kvetiapínu u starších pacientov je asi o 30–50 % nižšia ako u dospelých vo veku 18 až 65 rokov.</w:t>
      </w:r>
    </w:p>
    <w:p w:rsidR="00302C75" w:rsidRPr="00E21B7F" w:rsidRDefault="00302C75">
      <w:pPr>
        <w:autoSpaceDE w:val="0"/>
        <w:autoSpaceDN w:val="0"/>
        <w:adjustRightInd w:val="0"/>
        <w:jc w:val="both"/>
        <w:rPr>
          <w:sz w:val="22"/>
          <w:szCs w:val="22"/>
          <w:lang w:val="sk-SK"/>
        </w:rPr>
      </w:pPr>
    </w:p>
    <w:p w:rsidR="00302C75" w:rsidRPr="00E21B7F" w:rsidRDefault="00302C75">
      <w:pPr>
        <w:autoSpaceDE w:val="0"/>
        <w:autoSpaceDN w:val="0"/>
        <w:adjustRightInd w:val="0"/>
        <w:jc w:val="both"/>
        <w:rPr>
          <w:b/>
          <w:bCs/>
          <w:sz w:val="22"/>
          <w:szCs w:val="22"/>
          <w:lang w:val="sk-SK"/>
        </w:rPr>
      </w:pPr>
      <w:r>
        <w:rPr>
          <w:b/>
          <w:bCs/>
          <w:sz w:val="22"/>
          <w:szCs w:val="22"/>
          <w:lang w:val="sk-SK"/>
        </w:rPr>
        <w:t>Porucha</w:t>
      </w:r>
      <w:r w:rsidRPr="00E21B7F">
        <w:rPr>
          <w:b/>
          <w:bCs/>
          <w:sz w:val="22"/>
          <w:szCs w:val="22"/>
          <w:lang w:val="sk-SK"/>
        </w:rPr>
        <w:t xml:space="preserve"> funkcie obličiek</w:t>
      </w:r>
    </w:p>
    <w:p w:rsidR="00302C75" w:rsidRPr="00E21B7F" w:rsidRDefault="00302C75">
      <w:pPr>
        <w:autoSpaceDE w:val="0"/>
        <w:autoSpaceDN w:val="0"/>
        <w:adjustRightInd w:val="0"/>
        <w:jc w:val="both"/>
        <w:rPr>
          <w:sz w:val="22"/>
          <w:szCs w:val="22"/>
          <w:lang w:val="sk-SK"/>
        </w:rPr>
      </w:pPr>
      <w:r w:rsidRPr="00E21B7F">
        <w:rPr>
          <w:sz w:val="22"/>
          <w:szCs w:val="22"/>
          <w:lang w:val="sk-SK"/>
        </w:rPr>
        <w:t>U pacientov s ťažkým poškodením obličiek (klírens kreatinínu menej ako 30 ml/min/1,73 m</w:t>
      </w:r>
      <w:r w:rsidRPr="00E21B7F">
        <w:rPr>
          <w:sz w:val="22"/>
          <w:szCs w:val="22"/>
          <w:vertAlign w:val="superscript"/>
          <w:lang w:val="sk-SK"/>
        </w:rPr>
        <w:t>2</w:t>
      </w:r>
      <w:r w:rsidRPr="00E21B7F">
        <w:rPr>
          <w:sz w:val="22"/>
          <w:szCs w:val="22"/>
          <w:lang w:val="sk-SK"/>
        </w:rPr>
        <w:t>) bol priemerný klírens kvetiapínu v plazme asi o 25 % nižší, ale individuálne hodnoty klírensu sú v rozmedzí hodnôt zdravých jedincov.</w:t>
      </w:r>
    </w:p>
    <w:p w:rsidR="00302C75" w:rsidRPr="00E21B7F" w:rsidRDefault="00302C75">
      <w:pPr>
        <w:autoSpaceDE w:val="0"/>
        <w:autoSpaceDN w:val="0"/>
        <w:adjustRightInd w:val="0"/>
        <w:jc w:val="both"/>
        <w:rPr>
          <w:b/>
          <w:bCs/>
          <w:sz w:val="22"/>
          <w:szCs w:val="22"/>
          <w:lang w:val="sk-SK"/>
        </w:rPr>
      </w:pPr>
    </w:p>
    <w:p w:rsidR="00302C75" w:rsidRPr="00E21B7F" w:rsidRDefault="00302C75">
      <w:pPr>
        <w:autoSpaceDE w:val="0"/>
        <w:autoSpaceDN w:val="0"/>
        <w:adjustRightInd w:val="0"/>
        <w:jc w:val="both"/>
        <w:rPr>
          <w:b/>
          <w:bCs/>
          <w:sz w:val="22"/>
          <w:szCs w:val="22"/>
          <w:lang w:val="sk-SK"/>
        </w:rPr>
      </w:pPr>
      <w:r>
        <w:rPr>
          <w:b/>
          <w:bCs/>
          <w:sz w:val="22"/>
          <w:szCs w:val="22"/>
          <w:lang w:val="sk-SK"/>
        </w:rPr>
        <w:t>Porucha</w:t>
      </w:r>
      <w:r w:rsidRPr="00E21B7F">
        <w:rPr>
          <w:b/>
          <w:bCs/>
          <w:sz w:val="22"/>
          <w:szCs w:val="22"/>
          <w:lang w:val="sk-SK"/>
        </w:rPr>
        <w:t xml:space="preserve"> funkcie pečene</w:t>
      </w:r>
    </w:p>
    <w:p w:rsidR="00302C75" w:rsidRPr="00E21B7F" w:rsidRDefault="00302C75">
      <w:pPr>
        <w:autoSpaceDE w:val="0"/>
        <w:autoSpaceDN w:val="0"/>
        <w:adjustRightInd w:val="0"/>
        <w:jc w:val="both"/>
        <w:rPr>
          <w:sz w:val="22"/>
          <w:szCs w:val="22"/>
          <w:lang w:val="sk-SK"/>
        </w:rPr>
      </w:pPr>
      <w:r w:rsidRPr="00E21B7F">
        <w:rPr>
          <w:sz w:val="22"/>
          <w:szCs w:val="22"/>
          <w:lang w:val="sk-SK"/>
        </w:rPr>
        <w:t>U pacientov so známym poškodením pečene (stabilná alkoholická cirhóza) je priemerný plazmatický klírens kvetiapínu asi o 25 % nižší. Keďže sa kvetiapín intenzívne metabolizuje v pečeni, očakávajú sa u pacientov s poškodením pečene zvýšené plazmatické hladiny. U týchto pacientov je potrebné upraviť dávkovanie (pozri časť 4.2).</w:t>
      </w:r>
    </w:p>
    <w:p w:rsidR="00302C75" w:rsidRPr="00E21B7F" w:rsidRDefault="00302C75">
      <w:pPr>
        <w:autoSpaceDE w:val="0"/>
        <w:autoSpaceDN w:val="0"/>
        <w:adjustRightInd w:val="0"/>
        <w:jc w:val="both"/>
        <w:rPr>
          <w:sz w:val="22"/>
          <w:szCs w:val="22"/>
          <w:lang w:val="sk-SK"/>
        </w:rPr>
      </w:pPr>
    </w:p>
    <w:p w:rsidR="00302C75" w:rsidRPr="00E21B7F" w:rsidRDefault="00302C75">
      <w:pPr>
        <w:pStyle w:val="A-TableHeader"/>
        <w:keepNext w:val="0"/>
        <w:tabs>
          <w:tab w:val="left" w:pos="0"/>
          <w:tab w:val="left" w:pos="567"/>
          <w:tab w:val="left" w:pos="8496"/>
        </w:tabs>
        <w:suppressAutoHyphens/>
        <w:spacing w:before="0" w:after="0" w:line="260" w:lineRule="exact"/>
        <w:jc w:val="both"/>
        <w:rPr>
          <w:lang w:val="sk-SK"/>
        </w:rPr>
      </w:pPr>
      <w:r>
        <w:rPr>
          <w:lang w:val="sk-SK"/>
        </w:rPr>
        <w:t>Pediatrická populácia</w:t>
      </w:r>
    </w:p>
    <w:p w:rsidR="00302C75" w:rsidRPr="00E21B7F" w:rsidRDefault="00302C75">
      <w:pPr>
        <w:tabs>
          <w:tab w:val="left" w:pos="0"/>
          <w:tab w:val="left" w:pos="8496"/>
        </w:tabs>
        <w:suppressAutoHyphens/>
        <w:jc w:val="both"/>
        <w:rPr>
          <w:sz w:val="22"/>
          <w:szCs w:val="22"/>
          <w:lang w:val="sk-SK"/>
        </w:rPr>
      </w:pPr>
      <w:r w:rsidRPr="00E21B7F">
        <w:rPr>
          <w:sz w:val="22"/>
          <w:szCs w:val="22"/>
          <w:lang w:val="sk-SK"/>
        </w:rPr>
        <w:t>Farmakokinetické údaje sa získali od 9 detí vo veku 10 až 12 rokov a od 12 dospievajúcich, ktorí boli na udržiavacej liečbe so 400 mg kvetiapínu dvakrát denne. V rovnovážnom stave boli dávkovo normalizované plazmatické koncentrácie materskej látky kvetiapínu u detí a dospievajúcich (vo veku 10 až 17 rokov ) vo všeobecnosti podobné ako u dospelých, hoci C</w:t>
      </w:r>
      <w:r w:rsidRPr="00E21B7F">
        <w:rPr>
          <w:sz w:val="22"/>
          <w:szCs w:val="22"/>
          <w:vertAlign w:val="subscript"/>
          <w:lang w:val="sk-SK"/>
        </w:rPr>
        <w:t>max</w:t>
      </w:r>
      <w:r w:rsidRPr="00E21B7F">
        <w:rPr>
          <w:sz w:val="22"/>
          <w:szCs w:val="22"/>
          <w:lang w:val="sk-SK"/>
        </w:rPr>
        <w:t xml:space="preserve"> bola u detí na hornej hranici rozmedzia pozorovaného u dospelých. </w:t>
      </w:r>
      <w:r w:rsidRPr="00E21B7F">
        <w:rPr>
          <w:color w:val="000000"/>
          <w:sz w:val="22"/>
          <w:szCs w:val="22"/>
          <w:lang w:val="sk-SK"/>
        </w:rPr>
        <w:t>AUC a C</w:t>
      </w:r>
      <w:r w:rsidRPr="00E21B7F">
        <w:rPr>
          <w:color w:val="000000"/>
          <w:sz w:val="22"/>
          <w:szCs w:val="22"/>
          <w:vertAlign w:val="subscript"/>
          <w:lang w:val="sk-SK"/>
        </w:rPr>
        <w:t>max</w:t>
      </w:r>
      <w:r w:rsidRPr="00E21B7F">
        <w:rPr>
          <w:color w:val="000000"/>
          <w:sz w:val="22"/>
          <w:szCs w:val="22"/>
          <w:lang w:val="sk-SK"/>
        </w:rPr>
        <w:t xml:space="preserve"> aktívneho metabolitu norkvetiapínu boli vyššie približne o 62</w:t>
      </w:r>
      <w:r w:rsidRPr="00E21B7F">
        <w:rPr>
          <w:sz w:val="22"/>
          <w:szCs w:val="22"/>
          <w:lang w:val="sk-SK"/>
        </w:rPr>
        <w:t> </w:t>
      </w:r>
      <w:r w:rsidRPr="00E21B7F">
        <w:rPr>
          <w:color w:val="000000"/>
          <w:sz w:val="22"/>
          <w:szCs w:val="22"/>
          <w:lang w:val="sk-SK"/>
        </w:rPr>
        <w:t xml:space="preserve">% </w:t>
      </w:r>
      <w:r>
        <w:rPr>
          <w:color w:val="000000"/>
          <w:sz w:val="22"/>
          <w:szCs w:val="22"/>
          <w:lang w:val="sk-SK"/>
        </w:rPr>
        <w:t>a</w:t>
      </w:r>
      <w:r w:rsidRPr="00E21B7F">
        <w:rPr>
          <w:color w:val="000000"/>
          <w:sz w:val="22"/>
          <w:szCs w:val="22"/>
          <w:lang w:val="sk-SK"/>
        </w:rPr>
        <w:t xml:space="preserve"> 49</w:t>
      </w:r>
      <w:r w:rsidRPr="00E21B7F">
        <w:rPr>
          <w:sz w:val="22"/>
          <w:szCs w:val="22"/>
          <w:lang w:val="sk-SK"/>
        </w:rPr>
        <w:t> </w:t>
      </w:r>
      <w:r w:rsidRPr="00E21B7F">
        <w:rPr>
          <w:color w:val="000000"/>
          <w:sz w:val="22"/>
          <w:szCs w:val="22"/>
          <w:lang w:val="sk-SK"/>
        </w:rPr>
        <w:t>% u</w:t>
      </w:r>
      <w:r w:rsidR="00056088">
        <w:rPr>
          <w:color w:val="000000"/>
          <w:sz w:val="22"/>
          <w:szCs w:val="22"/>
          <w:lang w:val="sk-SK"/>
        </w:rPr>
        <w:t> </w:t>
      </w:r>
      <w:r w:rsidRPr="00E21B7F">
        <w:rPr>
          <w:color w:val="000000"/>
          <w:sz w:val="22"/>
          <w:szCs w:val="22"/>
          <w:lang w:val="sk-SK"/>
        </w:rPr>
        <w:t>detí (vo veku 10 až 12</w:t>
      </w:r>
      <w:r w:rsidRPr="00E21B7F">
        <w:rPr>
          <w:sz w:val="22"/>
          <w:szCs w:val="22"/>
          <w:lang w:val="sk-SK"/>
        </w:rPr>
        <w:t> rok</w:t>
      </w:r>
      <w:r w:rsidRPr="00E21B7F">
        <w:rPr>
          <w:color w:val="000000"/>
          <w:sz w:val="22"/>
          <w:szCs w:val="22"/>
          <w:lang w:val="sk-SK"/>
        </w:rPr>
        <w:t>ov)</w:t>
      </w:r>
      <w:r w:rsidR="00FF7874">
        <w:rPr>
          <w:color w:val="000000"/>
          <w:sz w:val="22"/>
          <w:szCs w:val="22"/>
          <w:lang w:val="sk-SK"/>
        </w:rPr>
        <w:t>, v uvedenom poradí</w:t>
      </w:r>
      <w:r w:rsidRPr="00E21B7F">
        <w:rPr>
          <w:color w:val="000000"/>
          <w:sz w:val="22"/>
          <w:szCs w:val="22"/>
          <w:lang w:val="sk-SK"/>
        </w:rPr>
        <w:t xml:space="preserve"> a o 28 % </w:t>
      </w:r>
      <w:r>
        <w:rPr>
          <w:color w:val="000000"/>
          <w:sz w:val="22"/>
          <w:szCs w:val="22"/>
          <w:lang w:val="sk-SK"/>
        </w:rPr>
        <w:t>a</w:t>
      </w:r>
      <w:r w:rsidRPr="00E21B7F">
        <w:rPr>
          <w:color w:val="000000"/>
          <w:sz w:val="22"/>
          <w:szCs w:val="22"/>
          <w:lang w:val="sk-SK"/>
        </w:rPr>
        <w:t xml:space="preserve"> 14</w:t>
      </w:r>
      <w:r w:rsidRPr="00E21B7F">
        <w:rPr>
          <w:sz w:val="22"/>
          <w:szCs w:val="22"/>
          <w:lang w:val="sk-SK"/>
        </w:rPr>
        <w:t> </w:t>
      </w:r>
      <w:r w:rsidRPr="00E21B7F">
        <w:rPr>
          <w:color w:val="000000"/>
          <w:sz w:val="22"/>
          <w:szCs w:val="22"/>
          <w:lang w:val="sk-SK"/>
        </w:rPr>
        <w:t>% u dospievajúcich (vo veku 13 až 17</w:t>
      </w:r>
      <w:r w:rsidRPr="00E21B7F">
        <w:rPr>
          <w:sz w:val="22"/>
          <w:szCs w:val="22"/>
          <w:lang w:val="sk-SK"/>
        </w:rPr>
        <w:t> rok</w:t>
      </w:r>
      <w:r w:rsidRPr="00E21B7F">
        <w:rPr>
          <w:color w:val="000000"/>
          <w:sz w:val="22"/>
          <w:szCs w:val="22"/>
          <w:lang w:val="sk-SK"/>
        </w:rPr>
        <w:t>ov)</w:t>
      </w:r>
      <w:r w:rsidR="00056088">
        <w:rPr>
          <w:color w:val="000000"/>
          <w:sz w:val="22"/>
          <w:szCs w:val="22"/>
          <w:lang w:val="sk-SK"/>
        </w:rPr>
        <w:t>, v uvedenom poradí</w:t>
      </w:r>
      <w:r w:rsidR="0017488C">
        <w:rPr>
          <w:color w:val="000000"/>
          <w:sz w:val="22"/>
          <w:szCs w:val="22"/>
          <w:lang w:val="sk-SK"/>
        </w:rPr>
        <w:t>,</w:t>
      </w:r>
      <w:r w:rsidRPr="00E21B7F">
        <w:rPr>
          <w:color w:val="000000"/>
          <w:sz w:val="22"/>
          <w:szCs w:val="22"/>
          <w:lang w:val="sk-SK"/>
        </w:rPr>
        <w:t xml:space="preserve"> v porovnaní s dospelými.</w:t>
      </w:r>
    </w:p>
    <w:p w:rsidR="00302C75" w:rsidRPr="00E21B7F" w:rsidRDefault="00302C75">
      <w:pPr>
        <w:tabs>
          <w:tab w:val="left" w:pos="0"/>
          <w:tab w:val="left" w:pos="8496"/>
        </w:tabs>
        <w:suppressAutoHyphens/>
        <w:jc w:val="both"/>
        <w:rPr>
          <w:sz w:val="22"/>
          <w:szCs w:val="22"/>
          <w:lang w:val="sk-SK"/>
        </w:rPr>
      </w:pPr>
    </w:p>
    <w:p w:rsidR="00302C75" w:rsidRPr="00E21B7F" w:rsidRDefault="00302C75">
      <w:pPr>
        <w:jc w:val="both"/>
        <w:rPr>
          <w:sz w:val="22"/>
          <w:szCs w:val="22"/>
          <w:lang w:val="sk-SK"/>
        </w:rPr>
      </w:pPr>
      <w:r w:rsidRPr="00E21B7F">
        <w:rPr>
          <w:sz w:val="22"/>
          <w:szCs w:val="22"/>
          <w:lang w:val="sk-SK"/>
        </w:rPr>
        <w:t>V súvislosti s deťmi a dospievajúcimi nie sú pre liek Quetiapine Accord filmom obalené tablety s predĺženým uvoľňovaním k dispozícii žiadne informácie.</w:t>
      </w:r>
    </w:p>
    <w:p w:rsidR="00302C75" w:rsidRPr="00E21B7F" w:rsidRDefault="00302C75">
      <w:pPr>
        <w:pStyle w:val="Hlavika"/>
        <w:tabs>
          <w:tab w:val="clear" w:pos="4320"/>
          <w:tab w:val="clear" w:pos="8640"/>
        </w:tabs>
        <w:jc w:val="both"/>
        <w:rPr>
          <w:sz w:val="22"/>
          <w:szCs w:val="22"/>
          <w:lang w:val="sk-SK"/>
        </w:rPr>
      </w:pPr>
    </w:p>
    <w:p w:rsidR="00302C75" w:rsidRPr="00E21B7F" w:rsidRDefault="00302C75" w:rsidP="0004662C">
      <w:pPr>
        <w:pStyle w:val="Hlavika"/>
        <w:numPr>
          <w:ilvl w:val="1"/>
          <w:numId w:val="7"/>
        </w:numPr>
        <w:tabs>
          <w:tab w:val="clear" w:pos="720"/>
          <w:tab w:val="clear" w:pos="4320"/>
          <w:tab w:val="clear" w:pos="8640"/>
          <w:tab w:val="num" w:pos="561"/>
        </w:tabs>
        <w:jc w:val="both"/>
        <w:rPr>
          <w:b/>
          <w:bCs/>
          <w:sz w:val="22"/>
          <w:szCs w:val="22"/>
          <w:lang w:val="sk-SK"/>
        </w:rPr>
      </w:pPr>
      <w:r w:rsidRPr="00E21B7F">
        <w:rPr>
          <w:b/>
          <w:bCs/>
          <w:sz w:val="22"/>
          <w:szCs w:val="22"/>
          <w:lang w:val="sk-SK"/>
        </w:rPr>
        <w:t>Predklinické údaje o bezpečnosti</w:t>
      </w:r>
    </w:p>
    <w:p w:rsidR="00302C75" w:rsidRPr="00E21B7F" w:rsidRDefault="00302C75">
      <w:pPr>
        <w:pStyle w:val="Hlavika"/>
        <w:tabs>
          <w:tab w:val="clear" w:pos="4320"/>
          <w:tab w:val="clear" w:pos="8640"/>
        </w:tabs>
        <w:jc w:val="both"/>
        <w:rPr>
          <w:b/>
          <w:bCs/>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V niekoľkých </w:t>
      </w:r>
      <w:r w:rsidRPr="00E21B7F">
        <w:rPr>
          <w:i/>
          <w:iCs/>
          <w:sz w:val="22"/>
          <w:szCs w:val="22"/>
          <w:lang w:val="sk-SK"/>
        </w:rPr>
        <w:t>in vitro</w:t>
      </w:r>
      <w:r w:rsidRPr="00E21B7F">
        <w:rPr>
          <w:sz w:val="22"/>
          <w:szCs w:val="22"/>
          <w:lang w:val="sk-SK"/>
        </w:rPr>
        <w:t xml:space="preserve"> a </w:t>
      </w:r>
      <w:r w:rsidRPr="00E21B7F">
        <w:rPr>
          <w:i/>
          <w:iCs/>
          <w:sz w:val="22"/>
          <w:szCs w:val="22"/>
          <w:lang w:val="sk-SK"/>
        </w:rPr>
        <w:t>in vivo</w:t>
      </w:r>
      <w:r w:rsidRPr="00E21B7F">
        <w:rPr>
          <w:sz w:val="22"/>
          <w:szCs w:val="22"/>
          <w:lang w:val="sk-SK"/>
        </w:rPr>
        <w:t xml:space="preserve"> štúdiách sa nezistil žiaden dôkaz genotoxicity. Pri podávaní klinicky významných dávok laboratórnym zvieratám sa zistili nasledovné odchýlky, ktoré sa však v dlhodobých klinických skúškach nepotvrdili</w:t>
      </w:r>
      <w:r w:rsidR="002A6D45">
        <w:rPr>
          <w:sz w:val="22"/>
          <w:szCs w:val="22"/>
          <w:lang w:val="sk-SK"/>
        </w:rPr>
        <w:t>:</w:t>
      </w:r>
    </w:p>
    <w:p w:rsidR="00302C75" w:rsidRPr="00E21B7F" w:rsidRDefault="00302C75">
      <w:pPr>
        <w:pStyle w:val="Hlavika"/>
        <w:tabs>
          <w:tab w:val="clear" w:pos="4320"/>
          <w:tab w:val="clear" w:pos="8640"/>
        </w:tabs>
        <w:jc w:val="both"/>
        <w:rPr>
          <w:sz w:val="22"/>
          <w:szCs w:val="22"/>
          <w:lang w:val="sk-SK"/>
        </w:rPr>
      </w:pPr>
    </w:p>
    <w:p w:rsidR="00302C75" w:rsidRPr="00E21B7F" w:rsidRDefault="00302C75">
      <w:pPr>
        <w:pStyle w:val="Hlavika"/>
        <w:tabs>
          <w:tab w:val="clear" w:pos="4320"/>
          <w:tab w:val="clear" w:pos="8640"/>
        </w:tabs>
        <w:jc w:val="both"/>
        <w:rPr>
          <w:sz w:val="22"/>
          <w:szCs w:val="22"/>
          <w:lang w:val="sk-SK"/>
        </w:rPr>
      </w:pPr>
      <w:r w:rsidRPr="00E21B7F">
        <w:rPr>
          <w:sz w:val="22"/>
          <w:szCs w:val="22"/>
          <w:lang w:val="sk-SK"/>
        </w:rPr>
        <w:t xml:space="preserve">U potkanov bolo pozorované ukladanie pigmentu do tkaniva štítnej žľazy; u opíc rodu </w:t>
      </w:r>
      <w:r w:rsidRPr="00E21B7F">
        <w:rPr>
          <w:i/>
          <w:iCs/>
          <w:sz w:val="22"/>
          <w:szCs w:val="22"/>
          <w:lang w:val="sk-SK"/>
        </w:rPr>
        <w:t>Cynomolgus</w:t>
      </w:r>
      <w:r w:rsidRPr="00E21B7F">
        <w:rPr>
          <w:sz w:val="22"/>
          <w:szCs w:val="22"/>
          <w:lang w:val="sk-SK"/>
        </w:rPr>
        <w:t xml:space="preserve"> bola pozorovaná hypertrofia tyreoidálnych folikulárnych buniek, zníženie plazmatických hladín T</w:t>
      </w:r>
      <w:r w:rsidRPr="00E21B7F">
        <w:rPr>
          <w:sz w:val="22"/>
          <w:szCs w:val="22"/>
          <w:vertAlign w:val="subscript"/>
          <w:lang w:val="sk-SK"/>
        </w:rPr>
        <w:t>3</w:t>
      </w:r>
      <w:r w:rsidRPr="00E21B7F">
        <w:rPr>
          <w:sz w:val="22"/>
          <w:szCs w:val="22"/>
          <w:lang w:val="sk-SK"/>
        </w:rPr>
        <w:t>, znížená koncentrácia hemoglobínu, zníženie počtu červených a bielych krviniek; u psov bol pozorovaný zákal šošovky a katarakty. (Informácie o katarakt</w:t>
      </w:r>
      <w:r>
        <w:rPr>
          <w:sz w:val="22"/>
          <w:szCs w:val="22"/>
          <w:lang w:val="sk-SK"/>
        </w:rPr>
        <w:t>á</w:t>
      </w:r>
      <w:r w:rsidRPr="00E21B7F">
        <w:rPr>
          <w:sz w:val="22"/>
          <w:szCs w:val="22"/>
          <w:lang w:val="sk-SK"/>
        </w:rPr>
        <w:t>ch a zápale šošovky, pozri časť 5.1).</w:t>
      </w:r>
    </w:p>
    <w:p w:rsidR="00302C75" w:rsidRPr="00222C4D" w:rsidRDefault="00302C75" w:rsidP="00222C4D">
      <w:pPr>
        <w:pStyle w:val="Normlnywebov"/>
        <w:rPr>
          <w:sz w:val="22"/>
          <w:szCs w:val="22"/>
        </w:rPr>
      </w:pPr>
      <w:r w:rsidRPr="00222C4D">
        <w:rPr>
          <w:sz w:val="22"/>
          <w:szCs w:val="22"/>
        </w:rPr>
        <w:t>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Význam tohto zistenia pre človeka nie je známy.</w:t>
      </w:r>
    </w:p>
    <w:p w:rsidR="00302C75" w:rsidRPr="00222C4D" w:rsidRDefault="00302C75" w:rsidP="00222C4D">
      <w:pPr>
        <w:pStyle w:val="Normlnywebov"/>
        <w:rPr>
          <w:sz w:val="22"/>
          <w:szCs w:val="22"/>
        </w:rPr>
      </w:pPr>
      <w:r w:rsidRPr="00222C4D">
        <w:rPr>
          <w:sz w:val="22"/>
          <w:szCs w:val="22"/>
        </w:rPr>
        <w:t>V štúdii fertility u potkanov sa pozorovalo marginálne zníženie plodnosti samcov a pseudogravidita, zdĺhavé diestrálne obdobie, predĺžený prekoitálny interval a znížený počet gravidít. Tieto účinky sú spojené so zvýšenými hladinami prolaktínu a nie sú priamo relevantné pre človeka kvôli rozdielom v hormonálnej kontrole reprodukcie u jednotlivých druhov.</w:t>
      </w:r>
    </w:p>
    <w:p w:rsidR="00302C75" w:rsidRDefault="00302C75">
      <w:pPr>
        <w:pStyle w:val="Hlavika"/>
        <w:tabs>
          <w:tab w:val="clear" w:pos="4320"/>
          <w:tab w:val="clear" w:pos="8640"/>
        </w:tabs>
        <w:jc w:val="both"/>
        <w:rPr>
          <w:sz w:val="22"/>
          <w:szCs w:val="22"/>
          <w:lang w:val="sk-SK"/>
        </w:rPr>
      </w:pPr>
    </w:p>
    <w:p w:rsidR="00302C75" w:rsidRPr="00F00F97" w:rsidRDefault="00302C75" w:rsidP="00E1268A">
      <w:pPr>
        <w:pStyle w:val="Hlavika"/>
        <w:numPr>
          <w:ilvl w:val="0"/>
          <w:numId w:val="7"/>
        </w:numPr>
        <w:tabs>
          <w:tab w:val="clear" w:pos="720"/>
          <w:tab w:val="clear" w:pos="4320"/>
          <w:tab w:val="clear" w:pos="8640"/>
          <w:tab w:val="num" w:pos="561"/>
        </w:tabs>
        <w:jc w:val="both"/>
        <w:rPr>
          <w:b/>
          <w:bCs/>
          <w:sz w:val="22"/>
          <w:szCs w:val="22"/>
          <w:lang w:val="sk-SK"/>
        </w:rPr>
      </w:pPr>
      <w:r w:rsidRPr="00F00F97">
        <w:rPr>
          <w:b/>
          <w:bCs/>
          <w:sz w:val="22"/>
          <w:szCs w:val="22"/>
          <w:lang w:val="sk-SK"/>
        </w:rPr>
        <w:t>FARMACEUTICKÉ INFORMÁCIE</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numPr>
          <w:ilvl w:val="1"/>
          <w:numId w:val="7"/>
        </w:numPr>
        <w:tabs>
          <w:tab w:val="clear" w:pos="720"/>
          <w:tab w:val="clear" w:pos="4320"/>
          <w:tab w:val="clear" w:pos="8640"/>
          <w:tab w:val="num" w:pos="561"/>
        </w:tabs>
        <w:jc w:val="both"/>
        <w:rPr>
          <w:b/>
          <w:bCs/>
          <w:sz w:val="22"/>
          <w:szCs w:val="22"/>
          <w:lang w:val="sk-SK"/>
        </w:rPr>
      </w:pPr>
      <w:r w:rsidRPr="00F00F97">
        <w:rPr>
          <w:b/>
          <w:bCs/>
          <w:sz w:val="22"/>
          <w:szCs w:val="22"/>
          <w:lang w:val="sk-SK"/>
        </w:rPr>
        <w:t>Zoznam pomocných látok</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b/>
          <w:bCs/>
          <w:sz w:val="22"/>
          <w:szCs w:val="22"/>
          <w:u w:val="single"/>
          <w:lang w:val="sk-SK"/>
        </w:rPr>
        <w:t xml:space="preserve">Jadro tablety: </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Monohydrát laktózy</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Hypromelóza</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Chlorid sodný</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Povidón K-30</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Silicifikovaná mikrokryštalická celulóza (siliciumdioxid a mikrokryštalická celulóza)</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Mastenec</w:t>
      </w:r>
    </w:p>
    <w:p w:rsidR="00302C75" w:rsidRPr="00F00F97" w:rsidRDefault="002A6D45" w:rsidP="00E1268A">
      <w:pPr>
        <w:pStyle w:val="Hlavika"/>
        <w:tabs>
          <w:tab w:val="clear" w:pos="4320"/>
          <w:tab w:val="clear" w:pos="8640"/>
        </w:tabs>
        <w:jc w:val="both"/>
        <w:rPr>
          <w:sz w:val="22"/>
          <w:szCs w:val="22"/>
          <w:lang w:val="sk-SK"/>
        </w:rPr>
      </w:pPr>
      <w:r>
        <w:rPr>
          <w:sz w:val="22"/>
          <w:szCs w:val="22"/>
          <w:lang w:val="sk-SK"/>
        </w:rPr>
        <w:t>Stearan horečnatý</w:t>
      </w:r>
    </w:p>
    <w:p w:rsidR="00302C75" w:rsidRPr="00F00F97" w:rsidRDefault="00302C75" w:rsidP="00E1268A">
      <w:pPr>
        <w:pStyle w:val="Hlavika"/>
        <w:tabs>
          <w:tab w:val="clear" w:pos="4320"/>
          <w:tab w:val="clear" w:pos="8640"/>
        </w:tabs>
        <w:jc w:val="both"/>
        <w:rPr>
          <w:b/>
          <w:bCs/>
          <w:sz w:val="22"/>
          <w:szCs w:val="22"/>
          <w:u w:val="single"/>
          <w:lang w:val="sk-SK"/>
        </w:rPr>
      </w:pPr>
    </w:p>
    <w:p w:rsidR="00302C75" w:rsidRPr="00F00F97" w:rsidRDefault="00302C75" w:rsidP="00E1268A">
      <w:pPr>
        <w:pStyle w:val="Hlavika"/>
        <w:tabs>
          <w:tab w:val="clear" w:pos="4320"/>
          <w:tab w:val="clear" w:pos="8640"/>
        </w:tabs>
        <w:jc w:val="both"/>
        <w:rPr>
          <w:b/>
          <w:sz w:val="22"/>
          <w:szCs w:val="22"/>
          <w:lang w:val="sk-SK"/>
        </w:rPr>
      </w:pPr>
      <w:r w:rsidRPr="00F00F97">
        <w:rPr>
          <w:b/>
          <w:sz w:val="22"/>
          <w:szCs w:val="22"/>
          <w:lang w:val="sk-SK"/>
        </w:rPr>
        <w:t xml:space="preserve">Obal tablety: </w:t>
      </w:r>
    </w:p>
    <w:p w:rsidR="00302C75" w:rsidRPr="00F00F97" w:rsidRDefault="00302C75" w:rsidP="00E1268A">
      <w:pPr>
        <w:pStyle w:val="Hlavika"/>
        <w:tabs>
          <w:tab w:val="clear" w:pos="4320"/>
          <w:tab w:val="clear" w:pos="8640"/>
        </w:tabs>
        <w:jc w:val="both"/>
        <w:rPr>
          <w:b/>
          <w:bCs/>
          <w:sz w:val="22"/>
          <w:szCs w:val="22"/>
          <w:u w:val="single"/>
        </w:rPr>
      </w:pPr>
      <w:r w:rsidRPr="00F00F97">
        <w:rPr>
          <w:b/>
          <w:bCs/>
          <w:sz w:val="22"/>
          <w:szCs w:val="22"/>
          <w:u w:val="single"/>
        </w:rPr>
        <w:t xml:space="preserve">Opadry II 85F540003 </w:t>
      </w:r>
      <w:r w:rsidRPr="00F00F97">
        <w:rPr>
          <w:b/>
          <w:sz w:val="22"/>
          <w:szCs w:val="22"/>
          <w:lang w:val="sk-SK"/>
        </w:rPr>
        <w:t xml:space="preserve">ružová obsahuje </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Polyvinylalkohol (E1203)</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Oxid titaničitý (E171)</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Makrogol 3350 (E</w:t>
      </w:r>
      <w:r w:rsidRPr="00F00F97">
        <w:rPr>
          <w:sz w:val="22"/>
          <w:szCs w:val="22"/>
        </w:rPr>
        <w:t>1521</w:t>
      </w:r>
      <w:r w:rsidRPr="00F00F97">
        <w:rPr>
          <w:sz w:val="22"/>
          <w:szCs w:val="22"/>
          <w:lang w:val="sk-SK"/>
        </w:rPr>
        <w:t>)</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 xml:space="preserve">Mastenec (E553b)  </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Červený oxid železitý (E172)</w:t>
      </w: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Žltý oxid železitý (E172)</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 w:val="left" w:pos="561"/>
        </w:tabs>
        <w:jc w:val="both"/>
        <w:rPr>
          <w:sz w:val="22"/>
          <w:szCs w:val="22"/>
          <w:lang w:val="sk-SK"/>
        </w:rPr>
      </w:pPr>
      <w:r w:rsidRPr="00F00F97">
        <w:rPr>
          <w:b/>
          <w:bCs/>
          <w:sz w:val="22"/>
          <w:szCs w:val="22"/>
          <w:lang w:val="sk-SK"/>
        </w:rPr>
        <w:t>6.2</w:t>
      </w:r>
      <w:r w:rsidRPr="00F00F97">
        <w:rPr>
          <w:b/>
          <w:bCs/>
          <w:sz w:val="22"/>
          <w:szCs w:val="22"/>
          <w:lang w:val="sk-SK"/>
        </w:rPr>
        <w:tab/>
        <w:t>Inkompatibility</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Neaplikovateľné.</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 w:val="left" w:pos="561"/>
        </w:tabs>
        <w:jc w:val="both"/>
        <w:rPr>
          <w:b/>
          <w:bCs/>
          <w:sz w:val="22"/>
          <w:szCs w:val="22"/>
          <w:lang w:val="sk-SK"/>
        </w:rPr>
      </w:pPr>
      <w:r w:rsidRPr="00F00F97">
        <w:rPr>
          <w:b/>
          <w:bCs/>
          <w:sz w:val="22"/>
          <w:szCs w:val="22"/>
          <w:lang w:val="sk-SK"/>
        </w:rPr>
        <w:t>6.3</w:t>
      </w:r>
      <w:r w:rsidRPr="00F00F97">
        <w:rPr>
          <w:b/>
          <w:bCs/>
          <w:sz w:val="22"/>
          <w:szCs w:val="22"/>
          <w:lang w:val="sk-SK"/>
        </w:rPr>
        <w:tab/>
        <w:t>Čas použiteľnosti</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30 mesiacov</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numPr>
          <w:ilvl w:val="1"/>
          <w:numId w:val="10"/>
        </w:numPr>
        <w:tabs>
          <w:tab w:val="clear" w:pos="720"/>
          <w:tab w:val="clear" w:pos="4320"/>
          <w:tab w:val="clear" w:pos="8640"/>
          <w:tab w:val="num" w:pos="561"/>
        </w:tabs>
        <w:jc w:val="both"/>
        <w:rPr>
          <w:b/>
          <w:bCs/>
          <w:sz w:val="22"/>
          <w:szCs w:val="22"/>
          <w:lang w:val="sk-SK"/>
        </w:rPr>
      </w:pPr>
      <w:r w:rsidRPr="00F00F97">
        <w:rPr>
          <w:b/>
          <w:bCs/>
          <w:sz w:val="22"/>
          <w:szCs w:val="22"/>
          <w:lang w:val="sk-SK"/>
        </w:rPr>
        <w:t>Špeciálne upozornenia na uchovávanie</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Tento liek nevyžaduje žiadne zvláštne podmienky na uchovávanie.</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 w:val="left" w:pos="561"/>
        </w:tabs>
        <w:jc w:val="both"/>
        <w:rPr>
          <w:b/>
          <w:bCs/>
          <w:sz w:val="22"/>
          <w:szCs w:val="22"/>
          <w:lang w:val="sk-SK"/>
        </w:rPr>
      </w:pPr>
      <w:r w:rsidRPr="00F00F97">
        <w:rPr>
          <w:b/>
          <w:bCs/>
          <w:sz w:val="22"/>
          <w:szCs w:val="22"/>
          <w:lang w:val="sk-SK"/>
        </w:rPr>
        <w:t>6.5</w:t>
      </w:r>
      <w:r w:rsidRPr="00F00F97">
        <w:rPr>
          <w:b/>
          <w:bCs/>
          <w:sz w:val="22"/>
          <w:szCs w:val="22"/>
          <w:lang w:val="sk-SK"/>
        </w:rPr>
        <w:tab/>
        <w:t>Druh obalu a obsah balenia</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PVC/PVDC - Alu blist</w:t>
      </w:r>
      <w:r>
        <w:rPr>
          <w:sz w:val="22"/>
          <w:szCs w:val="22"/>
          <w:lang w:val="sk-SK"/>
        </w:rPr>
        <w:t>er</w:t>
      </w:r>
      <w:r w:rsidRPr="00F00F97">
        <w:rPr>
          <w:sz w:val="22"/>
          <w:szCs w:val="22"/>
          <w:lang w:val="sk-SK"/>
        </w:rPr>
        <w:t xml:space="preserve"> alebo </w:t>
      </w:r>
      <w:r w:rsidRPr="00C147D0">
        <w:rPr>
          <w:bCs/>
          <w:sz w:val="22"/>
          <w:szCs w:val="22"/>
        </w:rPr>
        <w:t>OPA / Alu / PVC - Alu blister</w:t>
      </w:r>
      <w:r w:rsidRPr="00F00F97">
        <w:rPr>
          <w:sz w:val="22"/>
          <w:szCs w:val="22"/>
          <w:lang w:val="sk-SK"/>
        </w:rPr>
        <w:t xml:space="preserve">. Veľkosť balenia je 6, 10, 20, 28, 30, 50, 60, 90 a 100 tabliet </w:t>
      </w:r>
      <w:r>
        <w:rPr>
          <w:sz w:val="22"/>
          <w:szCs w:val="22"/>
          <w:lang w:val="sk-SK"/>
        </w:rPr>
        <w:t>v</w:t>
      </w:r>
      <w:r w:rsidRPr="00F00F97">
        <w:rPr>
          <w:sz w:val="22"/>
          <w:szCs w:val="22"/>
          <w:lang w:val="sk-SK"/>
        </w:rPr>
        <w:t xml:space="preserve"> balen</w:t>
      </w:r>
      <w:r>
        <w:rPr>
          <w:sz w:val="22"/>
          <w:szCs w:val="22"/>
          <w:lang w:val="sk-SK"/>
        </w:rPr>
        <w:t>í</w:t>
      </w:r>
      <w:r w:rsidRPr="00F00F97">
        <w:rPr>
          <w:sz w:val="22"/>
          <w:szCs w:val="22"/>
          <w:lang w:val="sk-SK"/>
        </w:rPr>
        <w:t>.</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Na trh nemusia byť uvedené všetky veľkosti balenia.</w:t>
      </w:r>
    </w:p>
    <w:p w:rsidR="00302C75" w:rsidRPr="00F00F97" w:rsidRDefault="00302C75" w:rsidP="00E1268A">
      <w:pPr>
        <w:pStyle w:val="Hlavika"/>
        <w:tabs>
          <w:tab w:val="clear" w:pos="4320"/>
          <w:tab w:val="clear" w:pos="8640"/>
        </w:tabs>
        <w:jc w:val="both"/>
        <w:rPr>
          <w:sz w:val="22"/>
          <w:szCs w:val="22"/>
          <w:lang w:val="sk-SK"/>
        </w:rPr>
      </w:pPr>
    </w:p>
    <w:p w:rsidR="00302C75" w:rsidRPr="00F00F97" w:rsidRDefault="00302C75" w:rsidP="00E1268A">
      <w:pPr>
        <w:pStyle w:val="Hlavika"/>
        <w:tabs>
          <w:tab w:val="clear" w:pos="4320"/>
          <w:tab w:val="clear" w:pos="8640"/>
          <w:tab w:val="left" w:pos="561"/>
        </w:tabs>
        <w:jc w:val="both"/>
        <w:rPr>
          <w:b/>
          <w:bCs/>
          <w:sz w:val="22"/>
          <w:szCs w:val="22"/>
          <w:lang w:val="sk-SK"/>
        </w:rPr>
      </w:pPr>
      <w:r w:rsidRPr="00F00F97">
        <w:rPr>
          <w:b/>
          <w:bCs/>
          <w:sz w:val="22"/>
          <w:szCs w:val="22"/>
          <w:lang w:val="sk-SK"/>
        </w:rPr>
        <w:t>6.6</w:t>
      </w:r>
      <w:r w:rsidRPr="00F00F97">
        <w:rPr>
          <w:b/>
          <w:bCs/>
          <w:sz w:val="22"/>
          <w:szCs w:val="22"/>
          <w:lang w:val="sk-SK"/>
        </w:rPr>
        <w:tab/>
        <w:t>Špeciálne opatrenia na likvidáciu a iné zaobchádzanie s liekom</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sz w:val="22"/>
          <w:szCs w:val="22"/>
          <w:lang w:val="sk-SK"/>
        </w:rPr>
      </w:pPr>
      <w:r w:rsidRPr="00F00F97">
        <w:rPr>
          <w:sz w:val="22"/>
          <w:szCs w:val="22"/>
          <w:lang w:val="sk-SK"/>
        </w:rPr>
        <w:t>Žiadne zvláštne požiadavky na likvidáciu.</w:t>
      </w:r>
    </w:p>
    <w:p w:rsidR="00302C75" w:rsidRPr="00F00F97" w:rsidRDefault="00302C75" w:rsidP="00E1268A">
      <w:pPr>
        <w:pStyle w:val="Hlavika"/>
        <w:tabs>
          <w:tab w:val="clear" w:pos="4320"/>
          <w:tab w:val="clear" w:pos="8640"/>
        </w:tabs>
        <w:jc w:val="both"/>
        <w:rPr>
          <w:sz w:val="22"/>
          <w:szCs w:val="22"/>
        </w:rPr>
      </w:pPr>
      <w:r w:rsidRPr="00F00F97">
        <w:rPr>
          <w:noProof/>
          <w:sz w:val="22"/>
          <w:szCs w:val="22"/>
        </w:rPr>
        <w:t xml:space="preserve">Nepoužitý liek </w:t>
      </w:r>
      <w:r w:rsidRPr="00F00F97">
        <w:rPr>
          <w:sz w:val="22"/>
          <w:szCs w:val="22"/>
        </w:rPr>
        <w:t xml:space="preserve">alebo odpad vzniknutý z lieku </w:t>
      </w:r>
      <w:r w:rsidRPr="00F00F97">
        <w:rPr>
          <w:noProof/>
          <w:sz w:val="22"/>
          <w:szCs w:val="22"/>
        </w:rPr>
        <w:t>treba vrátiť do lekárne</w:t>
      </w:r>
      <w:r w:rsidRPr="00F00F97">
        <w:rPr>
          <w:sz w:val="22"/>
          <w:szCs w:val="22"/>
        </w:rPr>
        <w:t>.</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numPr>
          <w:ilvl w:val="0"/>
          <w:numId w:val="10"/>
        </w:numPr>
        <w:tabs>
          <w:tab w:val="clear" w:pos="720"/>
          <w:tab w:val="clear" w:pos="4320"/>
          <w:tab w:val="clear" w:pos="8640"/>
          <w:tab w:val="num" w:pos="561"/>
        </w:tabs>
        <w:jc w:val="both"/>
        <w:rPr>
          <w:b/>
          <w:bCs/>
          <w:sz w:val="22"/>
          <w:szCs w:val="22"/>
          <w:lang w:val="sk-SK"/>
        </w:rPr>
      </w:pPr>
      <w:r w:rsidRPr="00F00F97">
        <w:rPr>
          <w:b/>
          <w:bCs/>
          <w:sz w:val="22"/>
          <w:szCs w:val="22"/>
          <w:lang w:val="sk-SK"/>
        </w:rPr>
        <w:t>DRŽITEĽ ROZHODNUTIA O REGISTRÁCII</w:t>
      </w:r>
    </w:p>
    <w:p w:rsidR="00302C75" w:rsidRPr="00F00F97" w:rsidRDefault="00302C75" w:rsidP="00E1268A">
      <w:pPr>
        <w:pStyle w:val="Hlavika"/>
        <w:tabs>
          <w:tab w:val="clear" w:pos="4320"/>
          <w:tab w:val="clear" w:pos="8640"/>
        </w:tabs>
        <w:jc w:val="both"/>
        <w:rPr>
          <w:b/>
          <w:bCs/>
          <w:sz w:val="22"/>
          <w:szCs w:val="22"/>
          <w:lang w:val="sk-SK"/>
        </w:rPr>
      </w:pPr>
    </w:p>
    <w:p w:rsidR="002A6D45" w:rsidRPr="002A6D45" w:rsidRDefault="002A6D45" w:rsidP="002A6D45">
      <w:pPr>
        <w:pStyle w:val="Hlavika"/>
        <w:jc w:val="both"/>
        <w:rPr>
          <w:noProof/>
          <w:sz w:val="22"/>
          <w:szCs w:val="22"/>
          <w:lang w:val="sk-SK" w:bidi="pa-IN"/>
        </w:rPr>
      </w:pPr>
      <w:r w:rsidRPr="002A6D45">
        <w:rPr>
          <w:noProof/>
          <w:sz w:val="22"/>
          <w:szCs w:val="22"/>
          <w:lang w:val="sk-SK" w:bidi="pa-IN"/>
        </w:rPr>
        <w:t>Accord Healthcare Polska Sp. z o.o.</w:t>
      </w:r>
    </w:p>
    <w:p w:rsidR="002A6D45" w:rsidRPr="002A6D45" w:rsidRDefault="002A6D45" w:rsidP="002A6D45">
      <w:pPr>
        <w:pStyle w:val="Hlavika"/>
        <w:jc w:val="both"/>
        <w:rPr>
          <w:noProof/>
          <w:sz w:val="22"/>
          <w:szCs w:val="22"/>
          <w:lang w:val="sk-SK" w:bidi="pa-IN"/>
        </w:rPr>
      </w:pPr>
      <w:r w:rsidRPr="002A6D45">
        <w:rPr>
          <w:noProof/>
          <w:sz w:val="22"/>
          <w:szCs w:val="22"/>
          <w:lang w:val="sk-SK" w:bidi="pa-IN"/>
        </w:rPr>
        <w:t>Taśmowa 7</w:t>
      </w:r>
    </w:p>
    <w:p w:rsidR="002A6D45" w:rsidRPr="002A6D45" w:rsidRDefault="002A6D45" w:rsidP="002A6D45">
      <w:pPr>
        <w:pStyle w:val="Hlavika"/>
        <w:jc w:val="both"/>
        <w:rPr>
          <w:noProof/>
          <w:sz w:val="22"/>
          <w:szCs w:val="22"/>
          <w:lang w:val="sk-SK" w:bidi="pa-IN"/>
        </w:rPr>
      </w:pPr>
      <w:r w:rsidRPr="002A6D45">
        <w:rPr>
          <w:noProof/>
          <w:sz w:val="22"/>
          <w:szCs w:val="22"/>
          <w:lang w:val="sk-SK" w:bidi="pa-IN"/>
        </w:rPr>
        <w:t>02-677 Varšava</w:t>
      </w:r>
    </w:p>
    <w:p w:rsidR="00302C75" w:rsidRPr="00F00F97" w:rsidRDefault="002A6D45" w:rsidP="00E1268A">
      <w:pPr>
        <w:pStyle w:val="Hlavika"/>
        <w:tabs>
          <w:tab w:val="clear" w:pos="4320"/>
          <w:tab w:val="clear" w:pos="8640"/>
        </w:tabs>
        <w:jc w:val="both"/>
        <w:rPr>
          <w:b/>
          <w:bCs/>
          <w:sz w:val="22"/>
          <w:szCs w:val="22"/>
          <w:lang w:val="sk-SK"/>
        </w:rPr>
      </w:pPr>
      <w:r w:rsidRPr="002A6D45">
        <w:rPr>
          <w:noProof/>
          <w:sz w:val="22"/>
          <w:szCs w:val="22"/>
          <w:lang w:val="sk-SK" w:bidi="pa-IN"/>
        </w:rPr>
        <w:t>Poľsko</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numPr>
          <w:ilvl w:val="0"/>
          <w:numId w:val="10"/>
        </w:numPr>
        <w:tabs>
          <w:tab w:val="clear" w:pos="720"/>
          <w:tab w:val="clear" w:pos="4320"/>
          <w:tab w:val="clear" w:pos="8640"/>
          <w:tab w:val="num" w:pos="561"/>
        </w:tabs>
        <w:jc w:val="both"/>
        <w:rPr>
          <w:b/>
          <w:bCs/>
          <w:sz w:val="22"/>
          <w:szCs w:val="22"/>
          <w:lang w:val="sk-SK"/>
        </w:rPr>
      </w:pPr>
      <w:r w:rsidRPr="00F00F97">
        <w:rPr>
          <w:b/>
          <w:bCs/>
          <w:sz w:val="22"/>
          <w:szCs w:val="22"/>
          <w:lang w:val="sk-SK"/>
        </w:rPr>
        <w:t>REGISTRAČNÉ ČÍSLA</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tabs>
          <w:tab w:val="clear" w:pos="4320"/>
          <w:tab w:val="clear" w:pos="8640"/>
        </w:tabs>
        <w:jc w:val="both"/>
        <w:rPr>
          <w:bCs/>
          <w:sz w:val="22"/>
          <w:szCs w:val="22"/>
          <w:lang w:val="sk-SK"/>
        </w:rPr>
      </w:pPr>
      <w:r w:rsidRPr="00F00F97">
        <w:rPr>
          <w:bCs/>
          <w:sz w:val="22"/>
          <w:szCs w:val="22"/>
          <w:lang w:val="sk-SK"/>
        </w:rPr>
        <w:t>68/0398/14-S</w:t>
      </w:r>
    </w:p>
    <w:p w:rsidR="00302C75" w:rsidRPr="00F00F97" w:rsidRDefault="00302C75" w:rsidP="00E1268A">
      <w:pPr>
        <w:pStyle w:val="Hlavika"/>
        <w:tabs>
          <w:tab w:val="clear" w:pos="4320"/>
          <w:tab w:val="clear" w:pos="8640"/>
        </w:tabs>
        <w:jc w:val="both"/>
        <w:rPr>
          <w:b/>
          <w:bCs/>
          <w:sz w:val="22"/>
          <w:szCs w:val="22"/>
          <w:lang w:val="sk-SK"/>
        </w:rPr>
      </w:pPr>
      <w:bookmarkStart w:id="0" w:name="_GoBack"/>
      <w:bookmarkEnd w:id="0"/>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numPr>
          <w:ilvl w:val="0"/>
          <w:numId w:val="10"/>
        </w:numPr>
        <w:tabs>
          <w:tab w:val="clear" w:pos="720"/>
          <w:tab w:val="clear" w:pos="4320"/>
          <w:tab w:val="clear" w:pos="8640"/>
          <w:tab w:val="num" w:pos="561"/>
        </w:tabs>
        <w:jc w:val="both"/>
        <w:rPr>
          <w:b/>
          <w:bCs/>
          <w:sz w:val="22"/>
          <w:szCs w:val="22"/>
          <w:lang w:val="sk-SK"/>
        </w:rPr>
      </w:pPr>
      <w:r w:rsidRPr="00F00F97">
        <w:rPr>
          <w:b/>
          <w:bCs/>
          <w:sz w:val="22"/>
          <w:szCs w:val="22"/>
          <w:lang w:val="sk-SK"/>
        </w:rPr>
        <w:t>DÁTUM PRVEJ REGISTRÁCIE/PREDĹŽENIA REGISTRÁCIE</w:t>
      </w:r>
    </w:p>
    <w:p w:rsidR="00302C75" w:rsidRDefault="00302C75" w:rsidP="00E1268A">
      <w:pPr>
        <w:pStyle w:val="Hlavika"/>
        <w:tabs>
          <w:tab w:val="clear" w:pos="4320"/>
          <w:tab w:val="clear" w:pos="8640"/>
        </w:tabs>
        <w:jc w:val="both"/>
        <w:rPr>
          <w:sz w:val="22"/>
          <w:szCs w:val="22"/>
          <w:lang w:val="sk-SK"/>
        </w:rPr>
      </w:pPr>
    </w:p>
    <w:p w:rsidR="00302C75" w:rsidRDefault="00302C75" w:rsidP="00E1268A">
      <w:pPr>
        <w:pStyle w:val="Hlavika"/>
        <w:tabs>
          <w:tab w:val="clear" w:pos="4320"/>
          <w:tab w:val="clear" w:pos="8640"/>
        </w:tabs>
        <w:jc w:val="both"/>
        <w:rPr>
          <w:sz w:val="22"/>
          <w:szCs w:val="22"/>
          <w:lang w:val="sk-SK"/>
        </w:rPr>
      </w:pPr>
      <w:r>
        <w:rPr>
          <w:sz w:val="22"/>
          <w:szCs w:val="22"/>
          <w:lang w:val="sk-SK"/>
        </w:rPr>
        <w:t>Dátum prvej registrácie: 19</w:t>
      </w:r>
      <w:r w:rsidR="002A6D45">
        <w:rPr>
          <w:sz w:val="22"/>
          <w:szCs w:val="22"/>
          <w:lang w:val="sk-SK"/>
        </w:rPr>
        <w:t xml:space="preserve">. februára </w:t>
      </w:r>
      <w:r>
        <w:rPr>
          <w:sz w:val="22"/>
          <w:szCs w:val="22"/>
          <w:lang w:val="sk-SK"/>
        </w:rPr>
        <w:t>2015</w:t>
      </w:r>
    </w:p>
    <w:p w:rsidR="00302C75" w:rsidRPr="00F00F97" w:rsidRDefault="00302C75" w:rsidP="00E1268A">
      <w:pPr>
        <w:pStyle w:val="Hlavika"/>
        <w:tabs>
          <w:tab w:val="clear" w:pos="4320"/>
          <w:tab w:val="clear" w:pos="8640"/>
        </w:tabs>
        <w:jc w:val="both"/>
        <w:rPr>
          <w:b/>
          <w:bCs/>
          <w:sz w:val="22"/>
          <w:szCs w:val="22"/>
          <w:lang w:val="sk-SK"/>
        </w:rPr>
      </w:pPr>
    </w:p>
    <w:p w:rsidR="00302C75" w:rsidRPr="00F00F97" w:rsidRDefault="00302C75" w:rsidP="00E1268A">
      <w:pPr>
        <w:pStyle w:val="Hlavika"/>
        <w:numPr>
          <w:ilvl w:val="0"/>
          <w:numId w:val="10"/>
        </w:numPr>
        <w:tabs>
          <w:tab w:val="clear" w:pos="720"/>
          <w:tab w:val="clear" w:pos="4320"/>
          <w:tab w:val="clear" w:pos="8640"/>
          <w:tab w:val="num" w:pos="561"/>
        </w:tabs>
        <w:jc w:val="both"/>
        <w:rPr>
          <w:b/>
          <w:bCs/>
          <w:sz w:val="22"/>
          <w:szCs w:val="22"/>
          <w:lang w:val="sk-SK"/>
        </w:rPr>
      </w:pPr>
      <w:r w:rsidRPr="00F00F97">
        <w:rPr>
          <w:b/>
          <w:bCs/>
          <w:sz w:val="22"/>
          <w:szCs w:val="22"/>
          <w:lang w:val="sk-SK"/>
        </w:rPr>
        <w:t>DÁTUM REVÍZIE TEXTU</w:t>
      </w:r>
    </w:p>
    <w:p w:rsidR="00302C75" w:rsidRPr="00F00F97" w:rsidRDefault="00302C75" w:rsidP="00E1268A">
      <w:pPr>
        <w:pStyle w:val="Hlavika"/>
        <w:tabs>
          <w:tab w:val="clear" w:pos="4320"/>
          <w:tab w:val="clear" w:pos="8640"/>
        </w:tabs>
        <w:jc w:val="both"/>
        <w:rPr>
          <w:b/>
          <w:bCs/>
          <w:sz w:val="22"/>
          <w:szCs w:val="22"/>
          <w:lang w:val="sk-SK"/>
        </w:rPr>
      </w:pPr>
    </w:p>
    <w:p w:rsidR="00302C75" w:rsidRPr="00E21B7F" w:rsidRDefault="00302C75" w:rsidP="00E1268A">
      <w:pPr>
        <w:pStyle w:val="Hlavika"/>
        <w:tabs>
          <w:tab w:val="clear" w:pos="4320"/>
          <w:tab w:val="clear" w:pos="8640"/>
        </w:tabs>
        <w:jc w:val="both"/>
        <w:rPr>
          <w:b/>
          <w:bCs/>
          <w:sz w:val="22"/>
          <w:szCs w:val="22"/>
          <w:lang w:val="sk-SK"/>
        </w:rPr>
      </w:pPr>
    </w:p>
    <w:p w:rsidR="00302C75" w:rsidRPr="00E21B7F" w:rsidRDefault="00770799">
      <w:pPr>
        <w:pStyle w:val="Hlavika"/>
        <w:tabs>
          <w:tab w:val="clear" w:pos="4320"/>
          <w:tab w:val="clear" w:pos="8640"/>
        </w:tabs>
        <w:jc w:val="both"/>
        <w:rPr>
          <w:sz w:val="22"/>
          <w:szCs w:val="22"/>
          <w:lang w:val="sk-SK"/>
        </w:rPr>
      </w:pPr>
      <w:r>
        <w:rPr>
          <w:sz w:val="22"/>
          <w:szCs w:val="22"/>
          <w:lang w:val="sk-SK"/>
        </w:rPr>
        <w:t>10</w:t>
      </w:r>
      <w:r w:rsidR="002A6D45">
        <w:rPr>
          <w:sz w:val="22"/>
          <w:szCs w:val="22"/>
          <w:lang w:val="sk-SK"/>
        </w:rPr>
        <w:t>/2019</w:t>
      </w:r>
    </w:p>
    <w:p w:rsidR="00302C75" w:rsidRPr="00E21B7F" w:rsidRDefault="00302C75">
      <w:pPr>
        <w:pStyle w:val="Hlavika"/>
        <w:tabs>
          <w:tab w:val="clear" w:pos="4320"/>
          <w:tab w:val="clear" w:pos="8640"/>
        </w:tabs>
        <w:jc w:val="both"/>
        <w:rPr>
          <w:sz w:val="22"/>
          <w:szCs w:val="22"/>
          <w:lang w:val="sk-SK"/>
        </w:rPr>
      </w:pPr>
    </w:p>
    <w:sectPr w:rsidR="00302C75" w:rsidRPr="00E21B7F" w:rsidSect="00DC4C08">
      <w:headerReference w:type="default" r:id="rId9"/>
      <w:footerReference w:type="default" r:id="rId10"/>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BB" w:rsidRDefault="009F6EBB">
      <w:r>
        <w:separator/>
      </w:r>
    </w:p>
  </w:endnote>
  <w:endnote w:type="continuationSeparator" w:id="0">
    <w:p w:rsidR="009F6EBB" w:rsidRDefault="009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111329"/>
      <w:docPartObj>
        <w:docPartGallery w:val="Page Numbers (Bottom of Page)"/>
        <w:docPartUnique/>
      </w:docPartObj>
    </w:sdtPr>
    <w:sdtEndPr/>
    <w:sdtContent>
      <w:p w:rsidR="0050636D" w:rsidRDefault="0050636D">
        <w:pPr>
          <w:pStyle w:val="Pta"/>
          <w:jc w:val="center"/>
        </w:pPr>
        <w:r w:rsidRPr="00946E44">
          <w:rPr>
            <w:sz w:val="18"/>
            <w:szCs w:val="18"/>
          </w:rPr>
          <w:fldChar w:fldCharType="begin"/>
        </w:r>
        <w:r w:rsidRPr="00946E44">
          <w:rPr>
            <w:sz w:val="18"/>
            <w:szCs w:val="18"/>
          </w:rPr>
          <w:instrText>PAGE   \* MERGEFORMAT</w:instrText>
        </w:r>
        <w:r w:rsidRPr="00946E44">
          <w:rPr>
            <w:sz w:val="18"/>
            <w:szCs w:val="18"/>
          </w:rPr>
          <w:fldChar w:fldCharType="separate"/>
        </w:r>
        <w:r w:rsidR="00946E44" w:rsidRPr="00946E44">
          <w:rPr>
            <w:noProof/>
            <w:sz w:val="18"/>
            <w:szCs w:val="18"/>
            <w:lang w:val="sk-SK"/>
          </w:rPr>
          <w:t>26</w:t>
        </w:r>
        <w:r w:rsidRPr="00946E44">
          <w:rPr>
            <w:sz w:val="18"/>
            <w:szCs w:val="18"/>
          </w:rPr>
          <w:fldChar w:fldCharType="end"/>
        </w:r>
      </w:p>
    </w:sdtContent>
  </w:sdt>
  <w:p w:rsidR="0050636D" w:rsidRPr="00E022EA" w:rsidRDefault="0050636D" w:rsidP="00152AE6">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BB" w:rsidRDefault="009F6EBB">
      <w:r>
        <w:separator/>
      </w:r>
    </w:p>
  </w:footnote>
  <w:footnote w:type="continuationSeparator" w:id="0">
    <w:p w:rsidR="009F6EBB" w:rsidRDefault="009F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6D" w:rsidRPr="00946E44" w:rsidRDefault="0050636D">
    <w:pPr>
      <w:pStyle w:val="Hlavika"/>
      <w:rPr>
        <w:sz w:val="18"/>
        <w:szCs w:val="18"/>
        <w:lang w:val="sk-SK"/>
      </w:rPr>
    </w:pPr>
    <w:r w:rsidRPr="00946E44">
      <w:rPr>
        <w:sz w:val="18"/>
        <w:szCs w:val="18"/>
        <w:lang w:val="sk-SK"/>
      </w:rPr>
      <w:t>Príloha č. 1 k notifikácii o zmene, ev. č.:</w:t>
    </w:r>
    <w:r>
      <w:rPr>
        <w:sz w:val="18"/>
        <w:szCs w:val="18"/>
        <w:lang w:val="sk-SK"/>
      </w:rPr>
      <w:t xml:space="preserve"> 2016/01159-Z1B, 2019/01636-Z1A</w:t>
    </w:r>
    <w:r w:rsidRPr="00946E44">
      <w:rPr>
        <w:sz w:val="18"/>
        <w:szCs w:val="18"/>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999"/>
    <w:multiLevelType w:val="hybridMultilevel"/>
    <w:tmpl w:val="CA50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23B5"/>
    <w:multiLevelType w:val="hybridMultilevel"/>
    <w:tmpl w:val="22E2864E"/>
    <w:lvl w:ilvl="0" w:tplc="41D02AA4">
      <w:start w:val="8"/>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614E86"/>
    <w:multiLevelType w:val="hybridMultilevel"/>
    <w:tmpl w:val="4846FFB6"/>
    <w:lvl w:ilvl="0" w:tplc="A8C2C7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5A325D"/>
    <w:multiLevelType w:val="multilevel"/>
    <w:tmpl w:val="BE7C0D68"/>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442E9D"/>
    <w:multiLevelType w:val="hybridMultilevel"/>
    <w:tmpl w:val="39A03732"/>
    <w:lvl w:ilvl="0" w:tplc="04090003">
      <w:start w:val="1"/>
      <w:numFmt w:val="bullet"/>
      <w:lvlText w:val="o"/>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765C2"/>
    <w:multiLevelType w:val="singleLevel"/>
    <w:tmpl w:val="0A9C6148"/>
    <w:lvl w:ilvl="0">
      <w:start w:val="1"/>
      <w:numFmt w:val="decimal"/>
      <w:lvlText w:val="(%1)"/>
      <w:lvlJc w:val="left"/>
      <w:pPr>
        <w:ind w:left="1080" w:hanging="360"/>
      </w:pPr>
      <w:rPr>
        <w:rFonts w:cs="Times New Roman"/>
      </w:rPr>
    </w:lvl>
  </w:abstractNum>
  <w:abstractNum w:abstractNumId="6"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05D48"/>
    <w:multiLevelType w:val="multilevel"/>
    <w:tmpl w:val="BBFAD56E"/>
    <w:lvl w:ilvl="0">
      <w:start w:val="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5C2E71"/>
    <w:multiLevelType w:val="hybridMultilevel"/>
    <w:tmpl w:val="C1C076A4"/>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C6DB1"/>
    <w:multiLevelType w:val="multilevel"/>
    <w:tmpl w:val="D1E6068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9DD6A11"/>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1" w15:restartNumberingAfterBreak="0">
    <w:nsid w:val="4C004FBE"/>
    <w:multiLevelType w:val="multilevel"/>
    <w:tmpl w:val="F9862D8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EA0516"/>
    <w:multiLevelType w:val="hybridMultilevel"/>
    <w:tmpl w:val="B920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43939"/>
    <w:multiLevelType w:val="hybridMultilevel"/>
    <w:tmpl w:val="39A03732"/>
    <w:lvl w:ilvl="0" w:tplc="450AE130">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637DD7"/>
    <w:multiLevelType w:val="hybridMultilevel"/>
    <w:tmpl w:val="85989EC2"/>
    <w:lvl w:ilvl="0" w:tplc="E77C1E78">
      <w:start w:val="1"/>
      <w:numFmt w:val="decimal"/>
      <w:lvlText w:val="(%1)"/>
      <w:lvlJc w:val="left"/>
      <w:pPr>
        <w:tabs>
          <w:tab w:val="num" w:pos="720"/>
        </w:tabs>
        <w:ind w:left="720" w:hanging="360"/>
      </w:pPr>
      <w:rPr>
        <w:rFonts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68E330D"/>
    <w:multiLevelType w:val="hybridMultilevel"/>
    <w:tmpl w:val="6C4AB542"/>
    <w:lvl w:ilvl="0" w:tplc="450AE130">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256DC2"/>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8" w15:restartNumberingAfterBreak="0">
    <w:nsid w:val="6BD65230"/>
    <w:multiLevelType w:val="hybridMultilevel"/>
    <w:tmpl w:val="1A34BDCA"/>
    <w:lvl w:ilvl="0" w:tplc="D062FF62">
      <w:start w:val="1"/>
      <w:numFmt w:val="bullet"/>
      <w:lvlText w:val="-"/>
      <w:lvlJc w:val="left"/>
      <w:pPr>
        <w:tabs>
          <w:tab w:val="num" w:pos="1712"/>
        </w:tabs>
        <w:ind w:left="1712" w:hanging="360"/>
      </w:pPr>
      <w:rPr>
        <w:rFonts w:hAnsi="Courier New"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start w:val="1"/>
      <w:numFmt w:val="bullet"/>
      <w:lvlText w:val=""/>
      <w:lvlJc w:val="left"/>
      <w:pPr>
        <w:tabs>
          <w:tab w:val="num" w:pos="3152"/>
        </w:tabs>
        <w:ind w:left="3152" w:hanging="360"/>
      </w:pPr>
      <w:rPr>
        <w:rFonts w:ascii="Wingdings" w:hAnsi="Wingdings" w:hint="default"/>
      </w:rPr>
    </w:lvl>
    <w:lvl w:ilvl="3" w:tplc="0409000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start w:val="1"/>
      <w:numFmt w:val="bullet"/>
      <w:lvlText w:val=""/>
      <w:lvlJc w:val="left"/>
      <w:pPr>
        <w:tabs>
          <w:tab w:val="num" w:pos="5312"/>
        </w:tabs>
        <w:ind w:left="5312" w:hanging="360"/>
      </w:pPr>
      <w:rPr>
        <w:rFonts w:ascii="Wingdings" w:hAnsi="Wingdings" w:hint="default"/>
      </w:rPr>
    </w:lvl>
    <w:lvl w:ilvl="6" w:tplc="04090001">
      <w:start w:val="1"/>
      <w:numFmt w:val="bullet"/>
      <w:lvlText w:val=""/>
      <w:lvlJc w:val="left"/>
      <w:pPr>
        <w:tabs>
          <w:tab w:val="num" w:pos="6032"/>
        </w:tabs>
        <w:ind w:left="6032" w:hanging="360"/>
      </w:pPr>
      <w:rPr>
        <w:rFonts w:ascii="Symbol" w:hAnsi="Symbol" w:hint="default"/>
      </w:rPr>
    </w:lvl>
    <w:lvl w:ilvl="7" w:tplc="04090003">
      <w:start w:val="1"/>
      <w:numFmt w:val="bullet"/>
      <w:lvlText w:val="o"/>
      <w:lvlJc w:val="left"/>
      <w:pPr>
        <w:tabs>
          <w:tab w:val="num" w:pos="6752"/>
        </w:tabs>
        <w:ind w:left="6752" w:hanging="360"/>
      </w:pPr>
      <w:rPr>
        <w:rFonts w:ascii="Courier New" w:hAnsi="Courier New" w:hint="default"/>
      </w:rPr>
    </w:lvl>
    <w:lvl w:ilvl="8" w:tplc="04090005">
      <w:start w:val="1"/>
      <w:numFmt w:val="bullet"/>
      <w:lvlText w:val=""/>
      <w:lvlJc w:val="left"/>
      <w:pPr>
        <w:tabs>
          <w:tab w:val="num" w:pos="7472"/>
        </w:tabs>
        <w:ind w:left="7472" w:hanging="360"/>
      </w:pPr>
      <w:rPr>
        <w:rFonts w:ascii="Wingdings" w:hAnsi="Wingdings" w:hint="default"/>
      </w:rPr>
    </w:lvl>
  </w:abstractNum>
  <w:abstractNum w:abstractNumId="19" w15:restartNumberingAfterBreak="0">
    <w:nsid w:val="6FF01BCF"/>
    <w:multiLevelType w:val="multilevel"/>
    <w:tmpl w:val="035E805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1D308F4"/>
    <w:multiLevelType w:val="hybridMultilevel"/>
    <w:tmpl w:val="DE68E462"/>
    <w:lvl w:ilvl="0" w:tplc="2CA882D0">
      <w:start w:val="1"/>
      <w:numFmt w:val="decimal"/>
      <w:lvlText w:val="%1."/>
      <w:lvlJc w:val="left"/>
      <w:pPr>
        <w:tabs>
          <w:tab w:val="num" w:pos="533"/>
        </w:tabs>
        <w:ind w:left="533" w:hanging="360"/>
      </w:pPr>
      <w:rPr>
        <w:rFonts w:cs="Times New Roman"/>
        <w:sz w:val="20"/>
        <w:szCs w:val="20"/>
      </w:rPr>
    </w:lvl>
    <w:lvl w:ilvl="1" w:tplc="04090019">
      <w:start w:val="1"/>
      <w:numFmt w:val="lowerLetter"/>
      <w:lvlText w:val="%2."/>
      <w:lvlJc w:val="left"/>
      <w:pPr>
        <w:tabs>
          <w:tab w:val="num" w:pos="1253"/>
        </w:tabs>
        <w:ind w:left="1253" w:hanging="360"/>
      </w:pPr>
      <w:rPr>
        <w:rFonts w:cs="Times New Roman"/>
      </w:rPr>
    </w:lvl>
    <w:lvl w:ilvl="2" w:tplc="0409001B">
      <w:start w:val="1"/>
      <w:numFmt w:val="lowerRoman"/>
      <w:lvlText w:val="%3."/>
      <w:lvlJc w:val="right"/>
      <w:pPr>
        <w:tabs>
          <w:tab w:val="num" w:pos="1973"/>
        </w:tabs>
        <w:ind w:left="1973" w:hanging="180"/>
      </w:pPr>
      <w:rPr>
        <w:rFonts w:cs="Times New Roman"/>
      </w:rPr>
    </w:lvl>
    <w:lvl w:ilvl="3" w:tplc="0409000F">
      <w:start w:val="1"/>
      <w:numFmt w:val="decimal"/>
      <w:lvlText w:val="%4."/>
      <w:lvlJc w:val="left"/>
      <w:pPr>
        <w:tabs>
          <w:tab w:val="num" w:pos="2693"/>
        </w:tabs>
        <w:ind w:left="2693" w:hanging="360"/>
      </w:pPr>
      <w:rPr>
        <w:rFonts w:cs="Times New Roman"/>
      </w:rPr>
    </w:lvl>
    <w:lvl w:ilvl="4" w:tplc="04090019">
      <w:start w:val="1"/>
      <w:numFmt w:val="lowerLetter"/>
      <w:lvlText w:val="%5."/>
      <w:lvlJc w:val="left"/>
      <w:pPr>
        <w:tabs>
          <w:tab w:val="num" w:pos="3413"/>
        </w:tabs>
        <w:ind w:left="3413" w:hanging="360"/>
      </w:pPr>
      <w:rPr>
        <w:rFonts w:cs="Times New Roman"/>
      </w:rPr>
    </w:lvl>
    <w:lvl w:ilvl="5" w:tplc="0409001B">
      <w:start w:val="1"/>
      <w:numFmt w:val="lowerRoman"/>
      <w:lvlText w:val="%6."/>
      <w:lvlJc w:val="right"/>
      <w:pPr>
        <w:tabs>
          <w:tab w:val="num" w:pos="4133"/>
        </w:tabs>
        <w:ind w:left="4133" w:hanging="180"/>
      </w:pPr>
      <w:rPr>
        <w:rFonts w:cs="Times New Roman"/>
      </w:rPr>
    </w:lvl>
    <w:lvl w:ilvl="6" w:tplc="0409000F">
      <w:start w:val="1"/>
      <w:numFmt w:val="decimal"/>
      <w:lvlText w:val="%7."/>
      <w:lvlJc w:val="left"/>
      <w:pPr>
        <w:tabs>
          <w:tab w:val="num" w:pos="4853"/>
        </w:tabs>
        <w:ind w:left="4853" w:hanging="360"/>
      </w:pPr>
      <w:rPr>
        <w:rFonts w:cs="Times New Roman"/>
      </w:rPr>
    </w:lvl>
    <w:lvl w:ilvl="7" w:tplc="04090019">
      <w:start w:val="1"/>
      <w:numFmt w:val="lowerLetter"/>
      <w:lvlText w:val="%8."/>
      <w:lvlJc w:val="left"/>
      <w:pPr>
        <w:tabs>
          <w:tab w:val="num" w:pos="5573"/>
        </w:tabs>
        <w:ind w:left="5573" w:hanging="360"/>
      </w:pPr>
      <w:rPr>
        <w:rFonts w:cs="Times New Roman"/>
      </w:rPr>
    </w:lvl>
    <w:lvl w:ilvl="8" w:tplc="0409001B">
      <w:start w:val="1"/>
      <w:numFmt w:val="lowerRoman"/>
      <w:lvlText w:val="%9."/>
      <w:lvlJc w:val="right"/>
      <w:pPr>
        <w:tabs>
          <w:tab w:val="num" w:pos="6293"/>
        </w:tabs>
        <w:ind w:left="6293" w:hanging="180"/>
      </w:pPr>
      <w:rPr>
        <w:rFonts w:cs="Times New Roman"/>
      </w:rPr>
    </w:lvl>
  </w:abstractNum>
  <w:abstractNum w:abstractNumId="21" w15:restartNumberingAfterBreak="0">
    <w:nsid w:val="720F0BB1"/>
    <w:multiLevelType w:val="hybridMultilevel"/>
    <w:tmpl w:val="94AE7504"/>
    <w:lvl w:ilvl="0" w:tplc="BA2CA81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29E7766"/>
    <w:multiLevelType w:val="multilevel"/>
    <w:tmpl w:val="C7A8291E"/>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38B71C7"/>
    <w:multiLevelType w:val="hybridMultilevel"/>
    <w:tmpl w:val="5508AE0C"/>
    <w:lvl w:ilvl="0" w:tplc="0152E8DA">
      <w:start w:val="1"/>
      <w:numFmt w:val="bullet"/>
      <w:lvlText w:val="-"/>
      <w:lvlJc w:val="left"/>
      <w:pPr>
        <w:tabs>
          <w:tab w:val="num" w:pos="1440"/>
        </w:tabs>
        <w:ind w:left="144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A4502"/>
    <w:multiLevelType w:val="hybridMultilevel"/>
    <w:tmpl w:val="B9184A8A"/>
    <w:lvl w:ilvl="0" w:tplc="FEEEB9C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22"/>
  </w:num>
  <w:num w:numId="4">
    <w:abstractNumId w:val="19"/>
  </w:num>
  <w:num w:numId="5">
    <w:abstractNumId w:val="24"/>
  </w:num>
  <w:num w:numId="6">
    <w:abstractNumId w:val="21"/>
  </w:num>
  <w:num w:numId="7">
    <w:abstractNumId w:val="11"/>
  </w:num>
  <w:num w:numId="8">
    <w:abstractNumId w:val="3"/>
  </w:num>
  <w:num w:numId="9">
    <w:abstractNumId w:val="9"/>
  </w:num>
  <w:num w:numId="10">
    <w:abstractNumId w:val="7"/>
  </w:num>
  <w:num w:numId="11">
    <w:abstractNumId w:val="17"/>
  </w:num>
  <w:num w:numId="12">
    <w:abstractNumId w:val="18"/>
  </w:num>
  <w:num w:numId="13">
    <w:abstractNumId w:val="10"/>
  </w:num>
  <w:num w:numId="14">
    <w:abstractNumId w:val="23"/>
  </w:num>
  <w:num w:numId="15">
    <w:abstractNumId w:val="5"/>
    <w:lvlOverride w:ilvl="0">
      <w:startOverride w:val="1"/>
    </w:lvlOverride>
  </w:num>
  <w:num w:numId="16">
    <w:abstractNumId w:val="15"/>
  </w:num>
  <w:num w:numId="17">
    <w:abstractNumId w:val="20"/>
  </w:num>
  <w:num w:numId="18">
    <w:abstractNumId w:val="12"/>
  </w:num>
  <w:num w:numId="19">
    <w:abstractNumId w:val="14"/>
  </w:num>
  <w:num w:numId="20">
    <w:abstractNumId w:val="4"/>
  </w:num>
  <w:num w:numId="21">
    <w:abstractNumId w:val="16"/>
  </w:num>
  <w:num w:numId="22">
    <w:abstractNumId w:val="1"/>
  </w:num>
  <w:num w:numId="23">
    <w:abstractNumId w:val="6"/>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E9"/>
    <w:rsid w:val="00010107"/>
    <w:rsid w:val="000114F9"/>
    <w:rsid w:val="00017765"/>
    <w:rsid w:val="00020171"/>
    <w:rsid w:val="00020F56"/>
    <w:rsid w:val="00021A93"/>
    <w:rsid w:val="00021AD3"/>
    <w:rsid w:val="000309A3"/>
    <w:rsid w:val="00030CCE"/>
    <w:rsid w:val="0003473F"/>
    <w:rsid w:val="00037361"/>
    <w:rsid w:val="00043F9C"/>
    <w:rsid w:val="000441D2"/>
    <w:rsid w:val="0004662C"/>
    <w:rsid w:val="00047B7A"/>
    <w:rsid w:val="000501C3"/>
    <w:rsid w:val="000536CF"/>
    <w:rsid w:val="000545CB"/>
    <w:rsid w:val="00056088"/>
    <w:rsid w:val="00056A04"/>
    <w:rsid w:val="00057222"/>
    <w:rsid w:val="000601DB"/>
    <w:rsid w:val="00060890"/>
    <w:rsid w:val="00062BEA"/>
    <w:rsid w:val="000632D6"/>
    <w:rsid w:val="000635FD"/>
    <w:rsid w:val="00067C2D"/>
    <w:rsid w:val="00076270"/>
    <w:rsid w:val="00077553"/>
    <w:rsid w:val="00081E0A"/>
    <w:rsid w:val="0008245F"/>
    <w:rsid w:val="00082B90"/>
    <w:rsid w:val="00084E1D"/>
    <w:rsid w:val="00086EB4"/>
    <w:rsid w:val="000A12EA"/>
    <w:rsid w:val="000A24FC"/>
    <w:rsid w:val="000A571D"/>
    <w:rsid w:val="000B0AB6"/>
    <w:rsid w:val="000B29D3"/>
    <w:rsid w:val="000B356D"/>
    <w:rsid w:val="000B4205"/>
    <w:rsid w:val="000B5E56"/>
    <w:rsid w:val="000C116A"/>
    <w:rsid w:val="000D16A1"/>
    <w:rsid w:val="000E1B1D"/>
    <w:rsid w:val="000E3274"/>
    <w:rsid w:val="000E6A58"/>
    <w:rsid w:val="000F29DE"/>
    <w:rsid w:val="000F4234"/>
    <w:rsid w:val="000F4341"/>
    <w:rsid w:val="000F7D3D"/>
    <w:rsid w:val="0010248F"/>
    <w:rsid w:val="00106A48"/>
    <w:rsid w:val="00110AA1"/>
    <w:rsid w:val="00113F06"/>
    <w:rsid w:val="00114278"/>
    <w:rsid w:val="001148EA"/>
    <w:rsid w:val="0011679B"/>
    <w:rsid w:val="001169D6"/>
    <w:rsid w:val="00121D66"/>
    <w:rsid w:val="00122C84"/>
    <w:rsid w:val="00125EE1"/>
    <w:rsid w:val="001265CC"/>
    <w:rsid w:val="0013098A"/>
    <w:rsid w:val="0013441A"/>
    <w:rsid w:val="00135E21"/>
    <w:rsid w:val="0013602A"/>
    <w:rsid w:val="00145DC5"/>
    <w:rsid w:val="00151AF0"/>
    <w:rsid w:val="00152AE6"/>
    <w:rsid w:val="00153E28"/>
    <w:rsid w:val="00155E2F"/>
    <w:rsid w:val="00156C8A"/>
    <w:rsid w:val="00160E02"/>
    <w:rsid w:val="0016129F"/>
    <w:rsid w:val="00163D8D"/>
    <w:rsid w:val="00164B76"/>
    <w:rsid w:val="001661E0"/>
    <w:rsid w:val="00167F7D"/>
    <w:rsid w:val="001729F6"/>
    <w:rsid w:val="0017488C"/>
    <w:rsid w:val="00176001"/>
    <w:rsid w:val="001843E3"/>
    <w:rsid w:val="00186E3E"/>
    <w:rsid w:val="001911F0"/>
    <w:rsid w:val="00191466"/>
    <w:rsid w:val="001921D5"/>
    <w:rsid w:val="00196E03"/>
    <w:rsid w:val="001A01B9"/>
    <w:rsid w:val="001A1920"/>
    <w:rsid w:val="001A3187"/>
    <w:rsid w:val="001A31F7"/>
    <w:rsid w:val="001C1027"/>
    <w:rsid w:val="001C5596"/>
    <w:rsid w:val="001C5ED4"/>
    <w:rsid w:val="001C756A"/>
    <w:rsid w:val="001D1D7E"/>
    <w:rsid w:val="001D7234"/>
    <w:rsid w:val="001E0652"/>
    <w:rsid w:val="001E12A6"/>
    <w:rsid w:val="001E5950"/>
    <w:rsid w:val="001E7308"/>
    <w:rsid w:val="001F1DEB"/>
    <w:rsid w:val="001F7223"/>
    <w:rsid w:val="001F72A1"/>
    <w:rsid w:val="001F7C29"/>
    <w:rsid w:val="00216D8A"/>
    <w:rsid w:val="00222C4D"/>
    <w:rsid w:val="00226089"/>
    <w:rsid w:val="00226857"/>
    <w:rsid w:val="00226D83"/>
    <w:rsid w:val="00227F76"/>
    <w:rsid w:val="002329F7"/>
    <w:rsid w:val="00234F73"/>
    <w:rsid w:val="002352D0"/>
    <w:rsid w:val="00235DBA"/>
    <w:rsid w:val="002403EE"/>
    <w:rsid w:val="00243A2D"/>
    <w:rsid w:val="0025413A"/>
    <w:rsid w:val="00255A58"/>
    <w:rsid w:val="00261418"/>
    <w:rsid w:val="00262818"/>
    <w:rsid w:val="002650C0"/>
    <w:rsid w:val="00272878"/>
    <w:rsid w:val="0027390F"/>
    <w:rsid w:val="00274B65"/>
    <w:rsid w:val="00280761"/>
    <w:rsid w:val="00283D5C"/>
    <w:rsid w:val="002876C7"/>
    <w:rsid w:val="00295177"/>
    <w:rsid w:val="00296717"/>
    <w:rsid w:val="00296EFE"/>
    <w:rsid w:val="002A0540"/>
    <w:rsid w:val="002A6D45"/>
    <w:rsid w:val="002B1188"/>
    <w:rsid w:val="002B29D4"/>
    <w:rsid w:val="002B29FE"/>
    <w:rsid w:val="002B30F8"/>
    <w:rsid w:val="002B3312"/>
    <w:rsid w:val="002B4437"/>
    <w:rsid w:val="002B71D1"/>
    <w:rsid w:val="002B7615"/>
    <w:rsid w:val="002C328D"/>
    <w:rsid w:val="002C3C77"/>
    <w:rsid w:val="002C525F"/>
    <w:rsid w:val="002C6A0A"/>
    <w:rsid w:val="002D63ED"/>
    <w:rsid w:val="002E12BB"/>
    <w:rsid w:val="002E1777"/>
    <w:rsid w:val="002E1BFD"/>
    <w:rsid w:val="002E234E"/>
    <w:rsid w:val="002E3C20"/>
    <w:rsid w:val="002E63E0"/>
    <w:rsid w:val="002E641C"/>
    <w:rsid w:val="002F12A1"/>
    <w:rsid w:val="002F2F71"/>
    <w:rsid w:val="002F5A7A"/>
    <w:rsid w:val="002F7596"/>
    <w:rsid w:val="003003F5"/>
    <w:rsid w:val="003012C3"/>
    <w:rsid w:val="00302C75"/>
    <w:rsid w:val="0030658D"/>
    <w:rsid w:val="00310356"/>
    <w:rsid w:val="00312B44"/>
    <w:rsid w:val="00312C9E"/>
    <w:rsid w:val="00313B39"/>
    <w:rsid w:val="00314720"/>
    <w:rsid w:val="00314F8D"/>
    <w:rsid w:val="00317E64"/>
    <w:rsid w:val="00327B36"/>
    <w:rsid w:val="003304EA"/>
    <w:rsid w:val="00332A72"/>
    <w:rsid w:val="00336229"/>
    <w:rsid w:val="00337136"/>
    <w:rsid w:val="0034056A"/>
    <w:rsid w:val="00340FFA"/>
    <w:rsid w:val="00344971"/>
    <w:rsid w:val="00344E23"/>
    <w:rsid w:val="0034737D"/>
    <w:rsid w:val="00351155"/>
    <w:rsid w:val="003537BB"/>
    <w:rsid w:val="00354420"/>
    <w:rsid w:val="00355FE2"/>
    <w:rsid w:val="003630A1"/>
    <w:rsid w:val="00364DF8"/>
    <w:rsid w:val="00370EA0"/>
    <w:rsid w:val="00372CFA"/>
    <w:rsid w:val="00376359"/>
    <w:rsid w:val="00377947"/>
    <w:rsid w:val="00377C76"/>
    <w:rsid w:val="00380365"/>
    <w:rsid w:val="0038266C"/>
    <w:rsid w:val="003869ED"/>
    <w:rsid w:val="00397ACE"/>
    <w:rsid w:val="003A51FC"/>
    <w:rsid w:val="003B30E5"/>
    <w:rsid w:val="003B419B"/>
    <w:rsid w:val="003B42C8"/>
    <w:rsid w:val="003C394A"/>
    <w:rsid w:val="003C4920"/>
    <w:rsid w:val="003D3B7A"/>
    <w:rsid w:val="003D47F3"/>
    <w:rsid w:val="003D617D"/>
    <w:rsid w:val="003E1CBD"/>
    <w:rsid w:val="003F10F2"/>
    <w:rsid w:val="003F4B7C"/>
    <w:rsid w:val="003F6042"/>
    <w:rsid w:val="004024D4"/>
    <w:rsid w:val="00404A28"/>
    <w:rsid w:val="0040691E"/>
    <w:rsid w:val="004069E2"/>
    <w:rsid w:val="00407E39"/>
    <w:rsid w:val="0041055B"/>
    <w:rsid w:val="00413BA8"/>
    <w:rsid w:val="0041616C"/>
    <w:rsid w:val="00416F24"/>
    <w:rsid w:val="00420DA5"/>
    <w:rsid w:val="00423D65"/>
    <w:rsid w:val="00432FCB"/>
    <w:rsid w:val="004358CD"/>
    <w:rsid w:val="0043743A"/>
    <w:rsid w:val="00443291"/>
    <w:rsid w:val="00443E0F"/>
    <w:rsid w:val="00445EFC"/>
    <w:rsid w:val="00450B43"/>
    <w:rsid w:val="00451CE3"/>
    <w:rsid w:val="00453292"/>
    <w:rsid w:val="00453984"/>
    <w:rsid w:val="0045441D"/>
    <w:rsid w:val="004566C4"/>
    <w:rsid w:val="004617FD"/>
    <w:rsid w:val="004642E4"/>
    <w:rsid w:val="00464501"/>
    <w:rsid w:val="00466D2E"/>
    <w:rsid w:val="00466D7F"/>
    <w:rsid w:val="00467696"/>
    <w:rsid w:val="00470021"/>
    <w:rsid w:val="004713C7"/>
    <w:rsid w:val="00472FAA"/>
    <w:rsid w:val="00474C9B"/>
    <w:rsid w:val="0047587D"/>
    <w:rsid w:val="00475D1B"/>
    <w:rsid w:val="00476444"/>
    <w:rsid w:val="00476B45"/>
    <w:rsid w:val="00481DF2"/>
    <w:rsid w:val="00486DC8"/>
    <w:rsid w:val="0049012E"/>
    <w:rsid w:val="00494F84"/>
    <w:rsid w:val="00497162"/>
    <w:rsid w:val="004A2BB3"/>
    <w:rsid w:val="004A42A3"/>
    <w:rsid w:val="004A6039"/>
    <w:rsid w:val="004C051B"/>
    <w:rsid w:val="004C0A8D"/>
    <w:rsid w:val="004C2E59"/>
    <w:rsid w:val="004C4733"/>
    <w:rsid w:val="004C4F47"/>
    <w:rsid w:val="004C52C0"/>
    <w:rsid w:val="004C59CC"/>
    <w:rsid w:val="004C5EFB"/>
    <w:rsid w:val="004D0F36"/>
    <w:rsid w:val="004D13D1"/>
    <w:rsid w:val="004D1B94"/>
    <w:rsid w:val="004D2618"/>
    <w:rsid w:val="004D47F3"/>
    <w:rsid w:val="004D4E2A"/>
    <w:rsid w:val="004D58A8"/>
    <w:rsid w:val="004D6818"/>
    <w:rsid w:val="004E14B0"/>
    <w:rsid w:val="004E617A"/>
    <w:rsid w:val="004E65D1"/>
    <w:rsid w:val="004F2121"/>
    <w:rsid w:val="004F2B61"/>
    <w:rsid w:val="004F4957"/>
    <w:rsid w:val="004F58F1"/>
    <w:rsid w:val="004F6D75"/>
    <w:rsid w:val="004F79D8"/>
    <w:rsid w:val="00502354"/>
    <w:rsid w:val="00505BA7"/>
    <w:rsid w:val="0050636D"/>
    <w:rsid w:val="005074C7"/>
    <w:rsid w:val="0051052E"/>
    <w:rsid w:val="00512BB2"/>
    <w:rsid w:val="00515433"/>
    <w:rsid w:val="00517EE7"/>
    <w:rsid w:val="00517EFE"/>
    <w:rsid w:val="005219D9"/>
    <w:rsid w:val="00521E49"/>
    <w:rsid w:val="00523114"/>
    <w:rsid w:val="00524E71"/>
    <w:rsid w:val="0052631D"/>
    <w:rsid w:val="0053189A"/>
    <w:rsid w:val="005328D6"/>
    <w:rsid w:val="0053402C"/>
    <w:rsid w:val="005359CE"/>
    <w:rsid w:val="005365D1"/>
    <w:rsid w:val="00545168"/>
    <w:rsid w:val="005479FF"/>
    <w:rsid w:val="00547D61"/>
    <w:rsid w:val="005510B2"/>
    <w:rsid w:val="005531E9"/>
    <w:rsid w:val="00555AD6"/>
    <w:rsid w:val="005623AE"/>
    <w:rsid w:val="00566958"/>
    <w:rsid w:val="0057120B"/>
    <w:rsid w:val="00571604"/>
    <w:rsid w:val="00574668"/>
    <w:rsid w:val="00575754"/>
    <w:rsid w:val="005776E0"/>
    <w:rsid w:val="00580950"/>
    <w:rsid w:val="00581005"/>
    <w:rsid w:val="0058448C"/>
    <w:rsid w:val="00585F33"/>
    <w:rsid w:val="00586E83"/>
    <w:rsid w:val="0058791C"/>
    <w:rsid w:val="005908F2"/>
    <w:rsid w:val="00591BB8"/>
    <w:rsid w:val="005928B3"/>
    <w:rsid w:val="00594129"/>
    <w:rsid w:val="0059613D"/>
    <w:rsid w:val="005A09C6"/>
    <w:rsid w:val="005A3BFA"/>
    <w:rsid w:val="005A7843"/>
    <w:rsid w:val="005A7EE4"/>
    <w:rsid w:val="005B0552"/>
    <w:rsid w:val="005B0555"/>
    <w:rsid w:val="005B0762"/>
    <w:rsid w:val="005B1CE3"/>
    <w:rsid w:val="005B5925"/>
    <w:rsid w:val="005B59FF"/>
    <w:rsid w:val="005C0924"/>
    <w:rsid w:val="005C4331"/>
    <w:rsid w:val="005C4B32"/>
    <w:rsid w:val="005C5828"/>
    <w:rsid w:val="005C5A0E"/>
    <w:rsid w:val="005D5282"/>
    <w:rsid w:val="005D59F1"/>
    <w:rsid w:val="005D6889"/>
    <w:rsid w:val="005D7695"/>
    <w:rsid w:val="005E4697"/>
    <w:rsid w:val="005E491D"/>
    <w:rsid w:val="005F05EA"/>
    <w:rsid w:val="005F0DD1"/>
    <w:rsid w:val="005F372B"/>
    <w:rsid w:val="005F5068"/>
    <w:rsid w:val="005F543C"/>
    <w:rsid w:val="005F7120"/>
    <w:rsid w:val="005F78E7"/>
    <w:rsid w:val="0060285E"/>
    <w:rsid w:val="0060418F"/>
    <w:rsid w:val="006054CA"/>
    <w:rsid w:val="006116D4"/>
    <w:rsid w:val="00612118"/>
    <w:rsid w:val="00613840"/>
    <w:rsid w:val="00617652"/>
    <w:rsid w:val="0061782F"/>
    <w:rsid w:val="00620E1F"/>
    <w:rsid w:val="00622FB6"/>
    <w:rsid w:val="006270F1"/>
    <w:rsid w:val="006272B8"/>
    <w:rsid w:val="006276FC"/>
    <w:rsid w:val="00630F91"/>
    <w:rsid w:val="00632B17"/>
    <w:rsid w:val="00633198"/>
    <w:rsid w:val="006338E9"/>
    <w:rsid w:val="00634B5C"/>
    <w:rsid w:val="006406E7"/>
    <w:rsid w:val="006412C5"/>
    <w:rsid w:val="006418D6"/>
    <w:rsid w:val="0064276E"/>
    <w:rsid w:val="00642910"/>
    <w:rsid w:val="006467B9"/>
    <w:rsid w:val="00647782"/>
    <w:rsid w:val="0065429E"/>
    <w:rsid w:val="00657669"/>
    <w:rsid w:val="006615B0"/>
    <w:rsid w:val="0066384C"/>
    <w:rsid w:val="0066507D"/>
    <w:rsid w:val="00667717"/>
    <w:rsid w:val="0067582D"/>
    <w:rsid w:val="00675F10"/>
    <w:rsid w:val="006769A1"/>
    <w:rsid w:val="006770F0"/>
    <w:rsid w:val="00680DDD"/>
    <w:rsid w:val="006811E9"/>
    <w:rsid w:val="006849E4"/>
    <w:rsid w:val="006935CB"/>
    <w:rsid w:val="0069792F"/>
    <w:rsid w:val="006A27D2"/>
    <w:rsid w:val="006A3C28"/>
    <w:rsid w:val="006A760A"/>
    <w:rsid w:val="006B249F"/>
    <w:rsid w:val="006B35A1"/>
    <w:rsid w:val="006B3E91"/>
    <w:rsid w:val="006B606F"/>
    <w:rsid w:val="006B793A"/>
    <w:rsid w:val="006C17ED"/>
    <w:rsid w:val="006C38D6"/>
    <w:rsid w:val="006C52B8"/>
    <w:rsid w:val="006C7B5F"/>
    <w:rsid w:val="006D060B"/>
    <w:rsid w:val="006D0DB2"/>
    <w:rsid w:val="006D42FB"/>
    <w:rsid w:val="006D577F"/>
    <w:rsid w:val="006D5A78"/>
    <w:rsid w:val="006D726C"/>
    <w:rsid w:val="006E4556"/>
    <w:rsid w:val="006E4AB7"/>
    <w:rsid w:val="006E5412"/>
    <w:rsid w:val="006F1400"/>
    <w:rsid w:val="006F363C"/>
    <w:rsid w:val="006F3E70"/>
    <w:rsid w:val="006F44BF"/>
    <w:rsid w:val="006F6608"/>
    <w:rsid w:val="00700254"/>
    <w:rsid w:val="00705332"/>
    <w:rsid w:val="00706D2F"/>
    <w:rsid w:val="00710913"/>
    <w:rsid w:val="00710CDC"/>
    <w:rsid w:val="00715EE1"/>
    <w:rsid w:val="00723346"/>
    <w:rsid w:val="007233C0"/>
    <w:rsid w:val="0073322D"/>
    <w:rsid w:val="007337B6"/>
    <w:rsid w:val="00734169"/>
    <w:rsid w:val="00735FDC"/>
    <w:rsid w:val="007362FD"/>
    <w:rsid w:val="007435FA"/>
    <w:rsid w:val="00743609"/>
    <w:rsid w:val="007454E8"/>
    <w:rsid w:val="00746125"/>
    <w:rsid w:val="0074622F"/>
    <w:rsid w:val="00747590"/>
    <w:rsid w:val="00756B5C"/>
    <w:rsid w:val="00756FD1"/>
    <w:rsid w:val="00757B84"/>
    <w:rsid w:val="0076198A"/>
    <w:rsid w:val="00761C22"/>
    <w:rsid w:val="00763234"/>
    <w:rsid w:val="007676AF"/>
    <w:rsid w:val="00770799"/>
    <w:rsid w:val="007729DC"/>
    <w:rsid w:val="007761D0"/>
    <w:rsid w:val="00786BF6"/>
    <w:rsid w:val="00787A77"/>
    <w:rsid w:val="00787EE5"/>
    <w:rsid w:val="007907B4"/>
    <w:rsid w:val="00792637"/>
    <w:rsid w:val="00795634"/>
    <w:rsid w:val="00796CC9"/>
    <w:rsid w:val="00797CD7"/>
    <w:rsid w:val="00797E9F"/>
    <w:rsid w:val="007A0E48"/>
    <w:rsid w:val="007A1C75"/>
    <w:rsid w:val="007A637D"/>
    <w:rsid w:val="007B4D8C"/>
    <w:rsid w:val="007B52C7"/>
    <w:rsid w:val="007B6E7B"/>
    <w:rsid w:val="007C2C91"/>
    <w:rsid w:val="007C4244"/>
    <w:rsid w:val="007C4703"/>
    <w:rsid w:val="007C53A5"/>
    <w:rsid w:val="007C6914"/>
    <w:rsid w:val="007E043C"/>
    <w:rsid w:val="007E47B4"/>
    <w:rsid w:val="007E5172"/>
    <w:rsid w:val="007E63A7"/>
    <w:rsid w:val="007F1C1C"/>
    <w:rsid w:val="007F3F49"/>
    <w:rsid w:val="007F615C"/>
    <w:rsid w:val="007F6D55"/>
    <w:rsid w:val="007F767A"/>
    <w:rsid w:val="00800D27"/>
    <w:rsid w:val="0080439F"/>
    <w:rsid w:val="00804B8A"/>
    <w:rsid w:val="00806D29"/>
    <w:rsid w:val="00806F77"/>
    <w:rsid w:val="00816522"/>
    <w:rsid w:val="008241F4"/>
    <w:rsid w:val="00826179"/>
    <w:rsid w:val="008272A4"/>
    <w:rsid w:val="0083099C"/>
    <w:rsid w:val="00831193"/>
    <w:rsid w:val="00832099"/>
    <w:rsid w:val="00834996"/>
    <w:rsid w:val="00840872"/>
    <w:rsid w:val="0084184E"/>
    <w:rsid w:val="008428C8"/>
    <w:rsid w:val="0085173C"/>
    <w:rsid w:val="00860024"/>
    <w:rsid w:val="00862B97"/>
    <w:rsid w:val="00863381"/>
    <w:rsid w:val="00865F89"/>
    <w:rsid w:val="00871BEE"/>
    <w:rsid w:val="00876D4D"/>
    <w:rsid w:val="00876F0E"/>
    <w:rsid w:val="0088071F"/>
    <w:rsid w:val="0088118C"/>
    <w:rsid w:val="00881AA9"/>
    <w:rsid w:val="00881FC9"/>
    <w:rsid w:val="00882001"/>
    <w:rsid w:val="00882F17"/>
    <w:rsid w:val="00886A81"/>
    <w:rsid w:val="00886E12"/>
    <w:rsid w:val="008903BD"/>
    <w:rsid w:val="0089108D"/>
    <w:rsid w:val="00891194"/>
    <w:rsid w:val="00891729"/>
    <w:rsid w:val="00896153"/>
    <w:rsid w:val="00897D31"/>
    <w:rsid w:val="008A0FCB"/>
    <w:rsid w:val="008A6A54"/>
    <w:rsid w:val="008B061C"/>
    <w:rsid w:val="008B3255"/>
    <w:rsid w:val="008B38B7"/>
    <w:rsid w:val="008B6D9C"/>
    <w:rsid w:val="008C24B3"/>
    <w:rsid w:val="008C7019"/>
    <w:rsid w:val="008D2C10"/>
    <w:rsid w:val="008E23D8"/>
    <w:rsid w:val="008E4220"/>
    <w:rsid w:val="008E681F"/>
    <w:rsid w:val="008F2783"/>
    <w:rsid w:val="008F2ED9"/>
    <w:rsid w:val="008F61A7"/>
    <w:rsid w:val="008F6EC4"/>
    <w:rsid w:val="008F797D"/>
    <w:rsid w:val="008F79BE"/>
    <w:rsid w:val="00900423"/>
    <w:rsid w:val="00904140"/>
    <w:rsid w:val="00906008"/>
    <w:rsid w:val="00906104"/>
    <w:rsid w:val="00906D82"/>
    <w:rsid w:val="00911A2D"/>
    <w:rsid w:val="00912973"/>
    <w:rsid w:val="0091462B"/>
    <w:rsid w:val="0091797D"/>
    <w:rsid w:val="009254DE"/>
    <w:rsid w:val="00926EB4"/>
    <w:rsid w:val="00930E04"/>
    <w:rsid w:val="009341C7"/>
    <w:rsid w:val="00934D58"/>
    <w:rsid w:val="00937A3F"/>
    <w:rsid w:val="00942DC9"/>
    <w:rsid w:val="00946E44"/>
    <w:rsid w:val="00957988"/>
    <w:rsid w:val="009613D7"/>
    <w:rsid w:val="00961EEC"/>
    <w:rsid w:val="009623C8"/>
    <w:rsid w:val="009624A1"/>
    <w:rsid w:val="00964140"/>
    <w:rsid w:val="009654FD"/>
    <w:rsid w:val="009750C3"/>
    <w:rsid w:val="009813D4"/>
    <w:rsid w:val="00987BC9"/>
    <w:rsid w:val="00993FB6"/>
    <w:rsid w:val="00996AB8"/>
    <w:rsid w:val="009A3202"/>
    <w:rsid w:val="009A34CE"/>
    <w:rsid w:val="009A546B"/>
    <w:rsid w:val="009A6159"/>
    <w:rsid w:val="009B0475"/>
    <w:rsid w:val="009B41EB"/>
    <w:rsid w:val="009B5925"/>
    <w:rsid w:val="009B7491"/>
    <w:rsid w:val="009B79AE"/>
    <w:rsid w:val="009B7AD6"/>
    <w:rsid w:val="009C0452"/>
    <w:rsid w:val="009C1950"/>
    <w:rsid w:val="009C7ABC"/>
    <w:rsid w:val="009D10D7"/>
    <w:rsid w:val="009D5E25"/>
    <w:rsid w:val="009D739E"/>
    <w:rsid w:val="009E0082"/>
    <w:rsid w:val="009E09ED"/>
    <w:rsid w:val="009F6EBB"/>
    <w:rsid w:val="009F7B43"/>
    <w:rsid w:val="00A043BC"/>
    <w:rsid w:val="00A060AA"/>
    <w:rsid w:val="00A149E2"/>
    <w:rsid w:val="00A15807"/>
    <w:rsid w:val="00A2044C"/>
    <w:rsid w:val="00A25691"/>
    <w:rsid w:val="00A2779B"/>
    <w:rsid w:val="00A302A1"/>
    <w:rsid w:val="00A32744"/>
    <w:rsid w:val="00A34CDA"/>
    <w:rsid w:val="00A37519"/>
    <w:rsid w:val="00A37F1D"/>
    <w:rsid w:val="00A44B9D"/>
    <w:rsid w:val="00A505E4"/>
    <w:rsid w:val="00A5180C"/>
    <w:rsid w:val="00A537CB"/>
    <w:rsid w:val="00A63E06"/>
    <w:rsid w:val="00A65503"/>
    <w:rsid w:val="00A659D2"/>
    <w:rsid w:val="00A660C7"/>
    <w:rsid w:val="00A678AF"/>
    <w:rsid w:val="00A72765"/>
    <w:rsid w:val="00A747BA"/>
    <w:rsid w:val="00A77DDD"/>
    <w:rsid w:val="00A8262E"/>
    <w:rsid w:val="00A843AC"/>
    <w:rsid w:val="00A85C6B"/>
    <w:rsid w:val="00A9026B"/>
    <w:rsid w:val="00A9516F"/>
    <w:rsid w:val="00A96A0C"/>
    <w:rsid w:val="00AA0147"/>
    <w:rsid w:val="00AB135B"/>
    <w:rsid w:val="00AB268D"/>
    <w:rsid w:val="00AB2C4C"/>
    <w:rsid w:val="00AB2E21"/>
    <w:rsid w:val="00AB307B"/>
    <w:rsid w:val="00AB4CEC"/>
    <w:rsid w:val="00AB7EEA"/>
    <w:rsid w:val="00AC37C8"/>
    <w:rsid w:val="00AC485B"/>
    <w:rsid w:val="00AC4B4B"/>
    <w:rsid w:val="00AD0CE7"/>
    <w:rsid w:val="00AD24FD"/>
    <w:rsid w:val="00AD3FB8"/>
    <w:rsid w:val="00AD6A71"/>
    <w:rsid w:val="00AD74CD"/>
    <w:rsid w:val="00AD799A"/>
    <w:rsid w:val="00AE0DA0"/>
    <w:rsid w:val="00AE344C"/>
    <w:rsid w:val="00AE4ECD"/>
    <w:rsid w:val="00AE5EC8"/>
    <w:rsid w:val="00AE6519"/>
    <w:rsid w:val="00AE6AAD"/>
    <w:rsid w:val="00AF0176"/>
    <w:rsid w:val="00AF17BA"/>
    <w:rsid w:val="00AF41A4"/>
    <w:rsid w:val="00AF498A"/>
    <w:rsid w:val="00AF716B"/>
    <w:rsid w:val="00B00EC9"/>
    <w:rsid w:val="00B015F2"/>
    <w:rsid w:val="00B019A0"/>
    <w:rsid w:val="00B0434D"/>
    <w:rsid w:val="00B043D6"/>
    <w:rsid w:val="00B1184C"/>
    <w:rsid w:val="00B125B9"/>
    <w:rsid w:val="00B14271"/>
    <w:rsid w:val="00B21110"/>
    <w:rsid w:val="00B24721"/>
    <w:rsid w:val="00B24C4A"/>
    <w:rsid w:val="00B317D4"/>
    <w:rsid w:val="00B322F9"/>
    <w:rsid w:val="00B32AF3"/>
    <w:rsid w:val="00B32B73"/>
    <w:rsid w:val="00B371DF"/>
    <w:rsid w:val="00B411F1"/>
    <w:rsid w:val="00B43F88"/>
    <w:rsid w:val="00B44A91"/>
    <w:rsid w:val="00B50A34"/>
    <w:rsid w:val="00B51B41"/>
    <w:rsid w:val="00B52E76"/>
    <w:rsid w:val="00B553E4"/>
    <w:rsid w:val="00B630DB"/>
    <w:rsid w:val="00B63921"/>
    <w:rsid w:val="00B65B88"/>
    <w:rsid w:val="00B671BD"/>
    <w:rsid w:val="00B70539"/>
    <w:rsid w:val="00B70AAA"/>
    <w:rsid w:val="00B74FC3"/>
    <w:rsid w:val="00B75A37"/>
    <w:rsid w:val="00B8340E"/>
    <w:rsid w:val="00B873F2"/>
    <w:rsid w:val="00B910EB"/>
    <w:rsid w:val="00B928EF"/>
    <w:rsid w:val="00B93295"/>
    <w:rsid w:val="00B96499"/>
    <w:rsid w:val="00BA0793"/>
    <w:rsid w:val="00BA14D8"/>
    <w:rsid w:val="00BA1F58"/>
    <w:rsid w:val="00BA5545"/>
    <w:rsid w:val="00BA6FDB"/>
    <w:rsid w:val="00BB0F10"/>
    <w:rsid w:val="00BC0A8C"/>
    <w:rsid w:val="00BC1C41"/>
    <w:rsid w:val="00BC34C2"/>
    <w:rsid w:val="00BC3546"/>
    <w:rsid w:val="00BC3E66"/>
    <w:rsid w:val="00BC531E"/>
    <w:rsid w:val="00BE17DF"/>
    <w:rsid w:val="00BE196F"/>
    <w:rsid w:val="00BE2F76"/>
    <w:rsid w:val="00BE3E70"/>
    <w:rsid w:val="00BE57D1"/>
    <w:rsid w:val="00BE6862"/>
    <w:rsid w:val="00BE73D1"/>
    <w:rsid w:val="00BF14B5"/>
    <w:rsid w:val="00BF2528"/>
    <w:rsid w:val="00BF4119"/>
    <w:rsid w:val="00BF4906"/>
    <w:rsid w:val="00BF5089"/>
    <w:rsid w:val="00BF73CE"/>
    <w:rsid w:val="00C018CF"/>
    <w:rsid w:val="00C147D0"/>
    <w:rsid w:val="00C16767"/>
    <w:rsid w:val="00C21117"/>
    <w:rsid w:val="00C2356C"/>
    <w:rsid w:val="00C23E38"/>
    <w:rsid w:val="00C26D07"/>
    <w:rsid w:val="00C27A8F"/>
    <w:rsid w:val="00C32AD5"/>
    <w:rsid w:val="00C33931"/>
    <w:rsid w:val="00C4036F"/>
    <w:rsid w:val="00C40D5F"/>
    <w:rsid w:val="00C41852"/>
    <w:rsid w:val="00C42CC7"/>
    <w:rsid w:val="00C45B87"/>
    <w:rsid w:val="00C45DAF"/>
    <w:rsid w:val="00C5331B"/>
    <w:rsid w:val="00C53624"/>
    <w:rsid w:val="00C55991"/>
    <w:rsid w:val="00C56BD9"/>
    <w:rsid w:val="00C60EC3"/>
    <w:rsid w:val="00C62F54"/>
    <w:rsid w:val="00C67851"/>
    <w:rsid w:val="00C719E8"/>
    <w:rsid w:val="00C73C4F"/>
    <w:rsid w:val="00C74FF0"/>
    <w:rsid w:val="00C75524"/>
    <w:rsid w:val="00C755FB"/>
    <w:rsid w:val="00C84345"/>
    <w:rsid w:val="00C850EA"/>
    <w:rsid w:val="00C9214C"/>
    <w:rsid w:val="00C9382F"/>
    <w:rsid w:val="00C95171"/>
    <w:rsid w:val="00C95B1E"/>
    <w:rsid w:val="00C95ED7"/>
    <w:rsid w:val="00C9670C"/>
    <w:rsid w:val="00CA2B37"/>
    <w:rsid w:val="00CA2D91"/>
    <w:rsid w:val="00CA3D12"/>
    <w:rsid w:val="00CA48FC"/>
    <w:rsid w:val="00CA507A"/>
    <w:rsid w:val="00CA7BB9"/>
    <w:rsid w:val="00CA7E36"/>
    <w:rsid w:val="00CB2FA0"/>
    <w:rsid w:val="00CB4422"/>
    <w:rsid w:val="00CB5817"/>
    <w:rsid w:val="00CB5BB0"/>
    <w:rsid w:val="00CB60CB"/>
    <w:rsid w:val="00CB673B"/>
    <w:rsid w:val="00CB6771"/>
    <w:rsid w:val="00CD13AA"/>
    <w:rsid w:val="00CD2581"/>
    <w:rsid w:val="00CD3639"/>
    <w:rsid w:val="00CD42D0"/>
    <w:rsid w:val="00CD552A"/>
    <w:rsid w:val="00CE1456"/>
    <w:rsid w:val="00CE1DC9"/>
    <w:rsid w:val="00CE26B6"/>
    <w:rsid w:val="00CE30E1"/>
    <w:rsid w:val="00CE5C45"/>
    <w:rsid w:val="00CE6A8A"/>
    <w:rsid w:val="00CF1D02"/>
    <w:rsid w:val="00CF3163"/>
    <w:rsid w:val="00D03B1C"/>
    <w:rsid w:val="00D03C65"/>
    <w:rsid w:val="00D07011"/>
    <w:rsid w:val="00D11483"/>
    <w:rsid w:val="00D121E8"/>
    <w:rsid w:val="00D14B33"/>
    <w:rsid w:val="00D219DF"/>
    <w:rsid w:val="00D2202D"/>
    <w:rsid w:val="00D24EBF"/>
    <w:rsid w:val="00D3262B"/>
    <w:rsid w:val="00D36C85"/>
    <w:rsid w:val="00D37C28"/>
    <w:rsid w:val="00D40705"/>
    <w:rsid w:val="00D433DE"/>
    <w:rsid w:val="00D4362A"/>
    <w:rsid w:val="00D44EC7"/>
    <w:rsid w:val="00D4670A"/>
    <w:rsid w:val="00D47021"/>
    <w:rsid w:val="00D50289"/>
    <w:rsid w:val="00D50D70"/>
    <w:rsid w:val="00D5149F"/>
    <w:rsid w:val="00D53D5C"/>
    <w:rsid w:val="00D57143"/>
    <w:rsid w:val="00D60CDF"/>
    <w:rsid w:val="00D60F09"/>
    <w:rsid w:val="00D62B03"/>
    <w:rsid w:val="00D710B4"/>
    <w:rsid w:val="00D71F25"/>
    <w:rsid w:val="00D803E0"/>
    <w:rsid w:val="00D8238A"/>
    <w:rsid w:val="00D833CB"/>
    <w:rsid w:val="00D833D9"/>
    <w:rsid w:val="00D8607C"/>
    <w:rsid w:val="00D90768"/>
    <w:rsid w:val="00D91308"/>
    <w:rsid w:val="00D92BC6"/>
    <w:rsid w:val="00D936E5"/>
    <w:rsid w:val="00D93A7A"/>
    <w:rsid w:val="00D93AE4"/>
    <w:rsid w:val="00DA49E3"/>
    <w:rsid w:val="00DA4ED0"/>
    <w:rsid w:val="00DA7B0E"/>
    <w:rsid w:val="00DB2360"/>
    <w:rsid w:val="00DB2445"/>
    <w:rsid w:val="00DB32BB"/>
    <w:rsid w:val="00DB53E4"/>
    <w:rsid w:val="00DB6E1D"/>
    <w:rsid w:val="00DB7EEC"/>
    <w:rsid w:val="00DC10C4"/>
    <w:rsid w:val="00DC1AF9"/>
    <w:rsid w:val="00DC2D17"/>
    <w:rsid w:val="00DC4C08"/>
    <w:rsid w:val="00DC600E"/>
    <w:rsid w:val="00DD19E6"/>
    <w:rsid w:val="00DD3D4A"/>
    <w:rsid w:val="00DD4FBE"/>
    <w:rsid w:val="00DE4DB5"/>
    <w:rsid w:val="00DE54C2"/>
    <w:rsid w:val="00DF30A0"/>
    <w:rsid w:val="00DF39D7"/>
    <w:rsid w:val="00DF4A89"/>
    <w:rsid w:val="00E022EA"/>
    <w:rsid w:val="00E05FD9"/>
    <w:rsid w:val="00E113AD"/>
    <w:rsid w:val="00E1268A"/>
    <w:rsid w:val="00E13091"/>
    <w:rsid w:val="00E14654"/>
    <w:rsid w:val="00E15827"/>
    <w:rsid w:val="00E21B7F"/>
    <w:rsid w:val="00E238E4"/>
    <w:rsid w:val="00E24469"/>
    <w:rsid w:val="00E2558F"/>
    <w:rsid w:val="00E264D7"/>
    <w:rsid w:val="00E27326"/>
    <w:rsid w:val="00E34266"/>
    <w:rsid w:val="00E360AB"/>
    <w:rsid w:val="00E40854"/>
    <w:rsid w:val="00E4182C"/>
    <w:rsid w:val="00E5316B"/>
    <w:rsid w:val="00E54494"/>
    <w:rsid w:val="00E55BC1"/>
    <w:rsid w:val="00E57FDA"/>
    <w:rsid w:val="00E60D8B"/>
    <w:rsid w:val="00E610B1"/>
    <w:rsid w:val="00E654D1"/>
    <w:rsid w:val="00E660EF"/>
    <w:rsid w:val="00E7330E"/>
    <w:rsid w:val="00E73CBB"/>
    <w:rsid w:val="00E73FBE"/>
    <w:rsid w:val="00E7436D"/>
    <w:rsid w:val="00E74CB2"/>
    <w:rsid w:val="00E76506"/>
    <w:rsid w:val="00E768C4"/>
    <w:rsid w:val="00E76D11"/>
    <w:rsid w:val="00E80AA1"/>
    <w:rsid w:val="00E832EA"/>
    <w:rsid w:val="00E85F63"/>
    <w:rsid w:val="00E861A4"/>
    <w:rsid w:val="00E8633B"/>
    <w:rsid w:val="00E863C8"/>
    <w:rsid w:val="00E87146"/>
    <w:rsid w:val="00E91A90"/>
    <w:rsid w:val="00E938D6"/>
    <w:rsid w:val="00E95E92"/>
    <w:rsid w:val="00EA17AC"/>
    <w:rsid w:val="00EA38F3"/>
    <w:rsid w:val="00EA636B"/>
    <w:rsid w:val="00EB0A4E"/>
    <w:rsid w:val="00EB37B7"/>
    <w:rsid w:val="00EB662E"/>
    <w:rsid w:val="00EC0C9A"/>
    <w:rsid w:val="00EC339B"/>
    <w:rsid w:val="00EC3F9E"/>
    <w:rsid w:val="00EC4678"/>
    <w:rsid w:val="00EC4924"/>
    <w:rsid w:val="00EC506B"/>
    <w:rsid w:val="00EC69C4"/>
    <w:rsid w:val="00EC6CD9"/>
    <w:rsid w:val="00EC6EF2"/>
    <w:rsid w:val="00EC73AF"/>
    <w:rsid w:val="00ED1190"/>
    <w:rsid w:val="00ED6823"/>
    <w:rsid w:val="00EE2AEC"/>
    <w:rsid w:val="00EE2F41"/>
    <w:rsid w:val="00EE54E8"/>
    <w:rsid w:val="00EF1312"/>
    <w:rsid w:val="00EF154F"/>
    <w:rsid w:val="00EF2ABB"/>
    <w:rsid w:val="00EF4CC6"/>
    <w:rsid w:val="00F00F97"/>
    <w:rsid w:val="00F0185C"/>
    <w:rsid w:val="00F053A9"/>
    <w:rsid w:val="00F13256"/>
    <w:rsid w:val="00F21D57"/>
    <w:rsid w:val="00F22925"/>
    <w:rsid w:val="00F24B5E"/>
    <w:rsid w:val="00F25BB6"/>
    <w:rsid w:val="00F2673D"/>
    <w:rsid w:val="00F26E53"/>
    <w:rsid w:val="00F31342"/>
    <w:rsid w:val="00F33493"/>
    <w:rsid w:val="00F36A2E"/>
    <w:rsid w:val="00F36CAE"/>
    <w:rsid w:val="00F3718A"/>
    <w:rsid w:val="00F37843"/>
    <w:rsid w:val="00F40963"/>
    <w:rsid w:val="00F40D70"/>
    <w:rsid w:val="00F426F0"/>
    <w:rsid w:val="00F428B2"/>
    <w:rsid w:val="00F42D84"/>
    <w:rsid w:val="00F44272"/>
    <w:rsid w:val="00F4515B"/>
    <w:rsid w:val="00F47272"/>
    <w:rsid w:val="00F4753B"/>
    <w:rsid w:val="00F47FCC"/>
    <w:rsid w:val="00F509DA"/>
    <w:rsid w:val="00F51E6E"/>
    <w:rsid w:val="00F54694"/>
    <w:rsid w:val="00F57351"/>
    <w:rsid w:val="00F61123"/>
    <w:rsid w:val="00F622CE"/>
    <w:rsid w:val="00F63B8F"/>
    <w:rsid w:val="00F65AF0"/>
    <w:rsid w:val="00F67A57"/>
    <w:rsid w:val="00F75994"/>
    <w:rsid w:val="00F81DEC"/>
    <w:rsid w:val="00F859D6"/>
    <w:rsid w:val="00F91739"/>
    <w:rsid w:val="00F97906"/>
    <w:rsid w:val="00FA205C"/>
    <w:rsid w:val="00FA2450"/>
    <w:rsid w:val="00FA454C"/>
    <w:rsid w:val="00FB0B7A"/>
    <w:rsid w:val="00FB1612"/>
    <w:rsid w:val="00FB1BF0"/>
    <w:rsid w:val="00FB45E8"/>
    <w:rsid w:val="00FB4DA3"/>
    <w:rsid w:val="00FB6600"/>
    <w:rsid w:val="00FB6ECF"/>
    <w:rsid w:val="00FC4F56"/>
    <w:rsid w:val="00FD02B8"/>
    <w:rsid w:val="00FD2C1D"/>
    <w:rsid w:val="00FE22E8"/>
    <w:rsid w:val="00FE2A50"/>
    <w:rsid w:val="00FF0840"/>
    <w:rsid w:val="00FF35F4"/>
    <w:rsid w:val="00FF6323"/>
    <w:rsid w:val="00FF69C8"/>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6E9B539-D9C1-4E55-A2D2-34DC7F64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4C08"/>
    <w:rPr>
      <w:sz w:val="24"/>
      <w:szCs w:val="24"/>
      <w:lang w:val="en-US" w:eastAsia="hu-HU"/>
    </w:rPr>
  </w:style>
  <w:style w:type="paragraph" w:styleId="Nadpis6">
    <w:name w:val="heading 6"/>
    <w:basedOn w:val="Normlny"/>
    <w:next w:val="Normlny"/>
    <w:link w:val="Nadpis6Char"/>
    <w:uiPriority w:val="99"/>
    <w:qFormat/>
    <w:rsid w:val="00DC4C08"/>
    <w:pPr>
      <w:keepNext/>
      <w:tabs>
        <w:tab w:val="left" w:pos="-720"/>
        <w:tab w:val="left" w:pos="567"/>
        <w:tab w:val="left" w:pos="4536"/>
      </w:tabs>
      <w:suppressAutoHyphens/>
      <w:spacing w:line="260" w:lineRule="exact"/>
      <w:outlineLvl w:val="5"/>
    </w:pPr>
    <w:rPr>
      <w:i/>
      <w:iCs/>
      <w:sz w:val="22"/>
      <w:szCs w:val="22"/>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semiHidden/>
    <w:locked/>
    <w:rsid w:val="00472FAA"/>
    <w:rPr>
      <w:rFonts w:ascii="Calibri" w:hAnsi="Calibri" w:cs="Times New Roman"/>
      <w:b/>
      <w:bCs/>
      <w:lang w:val="en-US" w:eastAsia="hu-HU"/>
    </w:rPr>
  </w:style>
  <w:style w:type="paragraph" w:styleId="Hlavika">
    <w:name w:val="header"/>
    <w:basedOn w:val="Normlny"/>
    <w:link w:val="HlavikaChar"/>
    <w:uiPriority w:val="99"/>
    <w:rsid w:val="00DC4C08"/>
    <w:pPr>
      <w:tabs>
        <w:tab w:val="center" w:pos="4320"/>
        <w:tab w:val="right" w:pos="8640"/>
      </w:tabs>
    </w:pPr>
  </w:style>
  <w:style w:type="character" w:customStyle="1" w:styleId="HlavikaChar">
    <w:name w:val="Hlavička Char"/>
    <w:link w:val="Hlavika"/>
    <w:uiPriority w:val="99"/>
    <w:locked/>
    <w:rsid w:val="007435FA"/>
    <w:rPr>
      <w:rFonts w:cs="Times New Roman"/>
      <w:snapToGrid w:val="0"/>
      <w:sz w:val="24"/>
      <w:lang w:val="en-US" w:eastAsia="hu-HU"/>
    </w:rPr>
  </w:style>
  <w:style w:type="paragraph" w:styleId="Pta">
    <w:name w:val="footer"/>
    <w:basedOn w:val="Normlny"/>
    <w:link w:val="PtaChar"/>
    <w:uiPriority w:val="99"/>
    <w:rsid w:val="00DC4C08"/>
    <w:pPr>
      <w:tabs>
        <w:tab w:val="center" w:pos="4320"/>
        <w:tab w:val="right" w:pos="8640"/>
      </w:tabs>
    </w:pPr>
  </w:style>
  <w:style w:type="character" w:customStyle="1" w:styleId="PtaChar">
    <w:name w:val="Päta Char"/>
    <w:link w:val="Pta"/>
    <w:uiPriority w:val="99"/>
    <w:locked/>
    <w:rsid w:val="00472FAA"/>
    <w:rPr>
      <w:rFonts w:cs="Times New Roman"/>
      <w:sz w:val="24"/>
      <w:szCs w:val="24"/>
      <w:lang w:val="en-US" w:eastAsia="hu-HU"/>
    </w:rPr>
  </w:style>
  <w:style w:type="paragraph" w:styleId="Zkladntext">
    <w:name w:val="Body Text"/>
    <w:basedOn w:val="Normlny"/>
    <w:link w:val="ZkladntextChar"/>
    <w:uiPriority w:val="99"/>
    <w:rsid w:val="00DC4C08"/>
    <w:pPr>
      <w:jc w:val="both"/>
    </w:pPr>
  </w:style>
  <w:style w:type="character" w:customStyle="1" w:styleId="ZkladntextChar">
    <w:name w:val="Základný text Char"/>
    <w:link w:val="Zkladntext"/>
    <w:uiPriority w:val="99"/>
    <w:semiHidden/>
    <w:locked/>
    <w:rsid w:val="00472FAA"/>
    <w:rPr>
      <w:rFonts w:cs="Times New Roman"/>
      <w:sz w:val="24"/>
      <w:szCs w:val="24"/>
      <w:lang w:val="en-US" w:eastAsia="hu-HU"/>
    </w:rPr>
  </w:style>
  <w:style w:type="paragraph" w:styleId="Zkladntext2">
    <w:name w:val="Body Text 2"/>
    <w:basedOn w:val="Normlny"/>
    <w:link w:val="Zkladntext2Char"/>
    <w:uiPriority w:val="99"/>
    <w:rsid w:val="00DC4C08"/>
    <w:pPr>
      <w:jc w:val="both"/>
    </w:pPr>
    <w:rPr>
      <w:b/>
      <w:bCs/>
    </w:rPr>
  </w:style>
  <w:style w:type="character" w:customStyle="1" w:styleId="Zkladntext2Char">
    <w:name w:val="Základný text 2 Char"/>
    <w:link w:val="Zkladntext2"/>
    <w:uiPriority w:val="99"/>
    <w:semiHidden/>
    <w:locked/>
    <w:rsid w:val="00472FAA"/>
    <w:rPr>
      <w:rFonts w:cs="Times New Roman"/>
      <w:sz w:val="24"/>
      <w:szCs w:val="24"/>
      <w:lang w:val="en-US" w:eastAsia="hu-HU"/>
    </w:rPr>
  </w:style>
  <w:style w:type="paragraph" w:customStyle="1" w:styleId="A-NormalIndent">
    <w:name w:val="A-Normal Indent"/>
    <w:next w:val="Normlny"/>
    <w:uiPriority w:val="99"/>
    <w:rsid w:val="00DC4C08"/>
    <w:pPr>
      <w:spacing w:after="240" w:line="280" w:lineRule="atLeast"/>
      <w:ind w:left="992"/>
    </w:pPr>
    <w:rPr>
      <w:sz w:val="24"/>
      <w:szCs w:val="24"/>
      <w:lang w:val="en-GB" w:eastAsia="hu-HU"/>
    </w:rPr>
  </w:style>
  <w:style w:type="character" w:styleId="slostrany">
    <w:name w:val="page number"/>
    <w:uiPriority w:val="99"/>
    <w:rsid w:val="00DC4C08"/>
    <w:rPr>
      <w:rFonts w:cs="Times New Roman"/>
    </w:rPr>
  </w:style>
  <w:style w:type="character" w:styleId="Siln">
    <w:name w:val="Strong"/>
    <w:uiPriority w:val="99"/>
    <w:qFormat/>
    <w:rsid w:val="00DC4C08"/>
    <w:rPr>
      <w:rFonts w:cs="Times New Roman"/>
      <w:b/>
    </w:rPr>
  </w:style>
  <w:style w:type="paragraph" w:customStyle="1" w:styleId="A-TableText">
    <w:name w:val="A-Table Text"/>
    <w:uiPriority w:val="99"/>
    <w:rsid w:val="00DC4C08"/>
    <w:pPr>
      <w:overflowPunct w:val="0"/>
      <w:autoSpaceDE w:val="0"/>
      <w:autoSpaceDN w:val="0"/>
      <w:adjustRightInd w:val="0"/>
      <w:spacing w:before="60" w:after="60"/>
    </w:pPr>
    <w:rPr>
      <w:sz w:val="22"/>
      <w:szCs w:val="22"/>
      <w:lang w:val="en-GB" w:eastAsia="hu-HU"/>
    </w:rPr>
  </w:style>
  <w:style w:type="paragraph" w:styleId="Zarkazkladnhotextu">
    <w:name w:val="Body Text Indent"/>
    <w:basedOn w:val="Normlny"/>
    <w:link w:val="ZarkazkladnhotextuChar"/>
    <w:uiPriority w:val="99"/>
    <w:rsid w:val="00DC4C08"/>
    <w:pPr>
      <w:spacing w:after="120"/>
      <w:ind w:left="360"/>
    </w:pPr>
  </w:style>
  <w:style w:type="character" w:customStyle="1" w:styleId="ZarkazkladnhotextuChar">
    <w:name w:val="Zarážka základného textu Char"/>
    <w:link w:val="Zarkazkladnhotextu"/>
    <w:uiPriority w:val="99"/>
    <w:semiHidden/>
    <w:locked/>
    <w:rsid w:val="00472FAA"/>
    <w:rPr>
      <w:rFonts w:cs="Times New Roman"/>
      <w:sz w:val="24"/>
      <w:szCs w:val="24"/>
      <w:lang w:val="en-US" w:eastAsia="hu-HU"/>
    </w:rPr>
  </w:style>
  <w:style w:type="paragraph" w:customStyle="1" w:styleId="A-TableHeader">
    <w:name w:val="A-Table Header"/>
    <w:next w:val="A-TableText"/>
    <w:uiPriority w:val="99"/>
    <w:rsid w:val="00DC4C08"/>
    <w:pPr>
      <w:keepNext/>
      <w:overflowPunct w:val="0"/>
      <w:autoSpaceDE w:val="0"/>
      <w:autoSpaceDN w:val="0"/>
      <w:adjustRightInd w:val="0"/>
      <w:spacing w:before="60" w:after="60"/>
    </w:pPr>
    <w:rPr>
      <w:b/>
      <w:bCs/>
      <w:sz w:val="22"/>
      <w:szCs w:val="22"/>
      <w:lang w:val="en-GB" w:eastAsia="hu-HU"/>
    </w:rPr>
  </w:style>
  <w:style w:type="paragraph" w:styleId="Normlnywebov">
    <w:name w:val="Normal (Web)"/>
    <w:basedOn w:val="Normlny"/>
    <w:uiPriority w:val="99"/>
    <w:rsid w:val="00DC4C08"/>
    <w:pPr>
      <w:spacing w:before="100" w:beforeAutospacing="1" w:after="75"/>
    </w:pPr>
    <w:rPr>
      <w:color w:val="000000"/>
    </w:rPr>
  </w:style>
  <w:style w:type="character" w:customStyle="1" w:styleId="longtext">
    <w:name w:val="long_text"/>
    <w:uiPriority w:val="99"/>
    <w:rsid w:val="00DC4C08"/>
    <w:rPr>
      <w:rFonts w:cs="Times New Roman"/>
    </w:rPr>
  </w:style>
  <w:style w:type="character" w:customStyle="1" w:styleId="hps">
    <w:name w:val="hps"/>
    <w:uiPriority w:val="99"/>
    <w:rsid w:val="00DC4C08"/>
    <w:rPr>
      <w:rFonts w:cs="Times New Roman"/>
    </w:rPr>
  </w:style>
  <w:style w:type="character" w:styleId="Zvraznenie">
    <w:name w:val="Emphasis"/>
    <w:uiPriority w:val="99"/>
    <w:qFormat/>
    <w:rsid w:val="00DC4C08"/>
    <w:rPr>
      <w:rFonts w:cs="Times New Roman"/>
      <w:i/>
    </w:rPr>
  </w:style>
  <w:style w:type="character" w:customStyle="1" w:styleId="tw4winMark">
    <w:name w:val="tw4winMark"/>
    <w:uiPriority w:val="99"/>
    <w:rsid w:val="00DC4C08"/>
    <w:rPr>
      <w:rFonts w:ascii="Courier New" w:hAnsi="Courier New"/>
      <w:vanish/>
      <w:color w:val="800080"/>
      <w:sz w:val="24"/>
      <w:vertAlign w:val="subscript"/>
    </w:rPr>
  </w:style>
  <w:style w:type="character" w:customStyle="1" w:styleId="CharChar2">
    <w:name w:val="Char Char2"/>
    <w:uiPriority w:val="99"/>
    <w:locked/>
    <w:rsid w:val="00DC4C08"/>
    <w:rPr>
      <w:sz w:val="24"/>
      <w:lang w:val="en-US"/>
    </w:rPr>
  </w:style>
  <w:style w:type="character" w:customStyle="1" w:styleId="CharChar1">
    <w:name w:val="Char Char1"/>
    <w:uiPriority w:val="99"/>
    <w:locked/>
    <w:rsid w:val="00DC4C08"/>
    <w:rPr>
      <w:sz w:val="24"/>
      <w:lang w:val="en-US"/>
    </w:rPr>
  </w:style>
  <w:style w:type="character" w:customStyle="1" w:styleId="CharChar">
    <w:name w:val="Char Char"/>
    <w:uiPriority w:val="99"/>
    <w:locked/>
    <w:rsid w:val="00DC4C08"/>
    <w:rPr>
      <w:b/>
      <w:sz w:val="24"/>
      <w:lang w:val="en-US"/>
    </w:rPr>
  </w:style>
  <w:style w:type="character" w:customStyle="1" w:styleId="CharChar3">
    <w:name w:val="Char Char3"/>
    <w:uiPriority w:val="99"/>
    <w:locked/>
    <w:rsid w:val="00DC4C08"/>
    <w:rPr>
      <w:i/>
      <w:sz w:val="22"/>
      <w:lang w:val="en-GB"/>
    </w:rPr>
  </w:style>
  <w:style w:type="character" w:customStyle="1" w:styleId="tw4winError">
    <w:name w:val="tw4winError"/>
    <w:uiPriority w:val="99"/>
    <w:rsid w:val="00DC4C08"/>
    <w:rPr>
      <w:rFonts w:ascii="Courier New" w:hAnsi="Courier New"/>
      <w:color w:val="00FF00"/>
      <w:sz w:val="40"/>
    </w:rPr>
  </w:style>
  <w:style w:type="character" w:customStyle="1" w:styleId="tw4winTerm">
    <w:name w:val="tw4winTerm"/>
    <w:uiPriority w:val="99"/>
    <w:rsid w:val="00DC4C08"/>
    <w:rPr>
      <w:color w:val="0000FF"/>
    </w:rPr>
  </w:style>
  <w:style w:type="character" w:customStyle="1" w:styleId="tw4winPopup">
    <w:name w:val="tw4winPopup"/>
    <w:uiPriority w:val="99"/>
    <w:rsid w:val="00DC4C08"/>
    <w:rPr>
      <w:rFonts w:ascii="Courier New" w:hAnsi="Courier New"/>
      <w:noProof/>
      <w:color w:val="008000"/>
    </w:rPr>
  </w:style>
  <w:style w:type="character" w:customStyle="1" w:styleId="tw4winJump">
    <w:name w:val="tw4winJump"/>
    <w:uiPriority w:val="99"/>
    <w:rsid w:val="00DC4C08"/>
    <w:rPr>
      <w:rFonts w:ascii="Courier New" w:hAnsi="Courier New"/>
      <w:noProof/>
      <w:color w:val="008080"/>
    </w:rPr>
  </w:style>
  <w:style w:type="character" w:customStyle="1" w:styleId="tw4winExternal">
    <w:name w:val="tw4winExternal"/>
    <w:uiPriority w:val="99"/>
    <w:rsid w:val="00DC4C08"/>
    <w:rPr>
      <w:rFonts w:ascii="Courier New" w:hAnsi="Courier New"/>
      <w:noProof/>
      <w:color w:val="808080"/>
    </w:rPr>
  </w:style>
  <w:style w:type="character" w:customStyle="1" w:styleId="tw4winInternal">
    <w:name w:val="tw4winInternal"/>
    <w:uiPriority w:val="99"/>
    <w:rsid w:val="00DC4C08"/>
    <w:rPr>
      <w:rFonts w:ascii="Courier New" w:hAnsi="Courier New"/>
      <w:noProof/>
      <w:color w:val="FF0000"/>
    </w:rPr>
  </w:style>
  <w:style w:type="character" w:customStyle="1" w:styleId="DONOTTRANSLATE">
    <w:name w:val="DO_NOT_TRANSLATE"/>
    <w:uiPriority w:val="99"/>
    <w:rsid w:val="00DC4C08"/>
    <w:rPr>
      <w:rFonts w:ascii="Courier New" w:hAnsi="Courier New"/>
      <w:noProof/>
      <w:color w:val="800000"/>
    </w:rPr>
  </w:style>
  <w:style w:type="paragraph" w:styleId="Textbubliny">
    <w:name w:val="Balloon Text"/>
    <w:basedOn w:val="Normlny"/>
    <w:link w:val="TextbublinyChar"/>
    <w:uiPriority w:val="99"/>
    <w:semiHidden/>
    <w:rsid w:val="007435FA"/>
    <w:rPr>
      <w:rFonts w:ascii="Tahoma" w:hAnsi="Tahoma" w:cs="Tahoma"/>
      <w:sz w:val="16"/>
      <w:szCs w:val="16"/>
    </w:rPr>
  </w:style>
  <w:style w:type="character" w:customStyle="1" w:styleId="TextbublinyChar">
    <w:name w:val="Text bubliny Char"/>
    <w:link w:val="Textbubliny"/>
    <w:uiPriority w:val="99"/>
    <w:semiHidden/>
    <w:locked/>
    <w:rsid w:val="00472FAA"/>
    <w:rPr>
      <w:rFonts w:cs="Times New Roman"/>
      <w:sz w:val="2"/>
      <w:lang w:val="en-US" w:eastAsia="hu-HU"/>
    </w:rPr>
  </w:style>
  <w:style w:type="paragraph" w:customStyle="1" w:styleId="Default">
    <w:name w:val="Default"/>
    <w:uiPriority w:val="99"/>
    <w:rsid w:val="00351155"/>
    <w:pPr>
      <w:autoSpaceDE w:val="0"/>
      <w:autoSpaceDN w:val="0"/>
      <w:adjustRightInd w:val="0"/>
    </w:pPr>
    <w:rPr>
      <w:color w:val="000000"/>
      <w:sz w:val="24"/>
      <w:szCs w:val="24"/>
      <w:lang w:val="sk-SK" w:eastAsia="sk-SK"/>
    </w:rPr>
  </w:style>
  <w:style w:type="paragraph" w:customStyle="1" w:styleId="A-TableFootnoteText">
    <w:name w:val="A-Table Footnote Text"/>
    <w:next w:val="Normlny"/>
    <w:uiPriority w:val="99"/>
    <w:rsid w:val="00114278"/>
    <w:pPr>
      <w:tabs>
        <w:tab w:val="left" w:pos="432"/>
      </w:tabs>
      <w:ind w:left="432" w:hanging="432"/>
    </w:pPr>
    <w:rPr>
      <w:lang w:val="en-GB" w:eastAsia="en-US"/>
    </w:rPr>
  </w:style>
  <w:style w:type="character" w:styleId="Odkaznakomentr">
    <w:name w:val="annotation reference"/>
    <w:uiPriority w:val="99"/>
    <w:rsid w:val="00060890"/>
    <w:rPr>
      <w:rFonts w:cs="Times New Roman"/>
      <w:sz w:val="16"/>
    </w:rPr>
  </w:style>
  <w:style w:type="paragraph" w:styleId="Textkomentra">
    <w:name w:val="annotation text"/>
    <w:basedOn w:val="Normlny"/>
    <w:link w:val="TextkomentraChar"/>
    <w:uiPriority w:val="99"/>
    <w:rsid w:val="00060890"/>
    <w:rPr>
      <w:sz w:val="20"/>
      <w:szCs w:val="20"/>
    </w:rPr>
  </w:style>
  <w:style w:type="character" w:customStyle="1" w:styleId="TextkomentraChar">
    <w:name w:val="Text komentára Char"/>
    <w:link w:val="Textkomentra"/>
    <w:uiPriority w:val="99"/>
    <w:locked/>
    <w:rsid w:val="00060890"/>
    <w:rPr>
      <w:rFonts w:cs="Times New Roman"/>
      <w:lang w:val="en-US" w:eastAsia="hu-HU"/>
    </w:rPr>
  </w:style>
  <w:style w:type="paragraph" w:styleId="Predmetkomentra">
    <w:name w:val="annotation subject"/>
    <w:basedOn w:val="Textkomentra"/>
    <w:next w:val="Textkomentra"/>
    <w:link w:val="PredmetkomentraChar"/>
    <w:uiPriority w:val="99"/>
    <w:rsid w:val="00060890"/>
    <w:rPr>
      <w:b/>
      <w:bCs/>
    </w:rPr>
  </w:style>
  <w:style w:type="character" w:customStyle="1" w:styleId="PredmetkomentraChar">
    <w:name w:val="Predmet komentára Char"/>
    <w:link w:val="Predmetkomentra"/>
    <w:uiPriority w:val="99"/>
    <w:locked/>
    <w:rsid w:val="00060890"/>
    <w:rPr>
      <w:rFonts w:cs="Times New Roman"/>
      <w:b/>
      <w:lang w:val="en-US" w:eastAsia="hu-HU"/>
    </w:rPr>
  </w:style>
  <w:style w:type="character" w:styleId="Hypertextovprepojenie">
    <w:name w:val="Hyperlink"/>
    <w:uiPriority w:val="99"/>
    <w:rsid w:val="00234F73"/>
    <w:rPr>
      <w:rFonts w:cs="Times New Roman"/>
      <w:color w:val="0000FF"/>
      <w:u w:val="single"/>
    </w:rPr>
  </w:style>
  <w:style w:type="character" w:customStyle="1" w:styleId="longtext1">
    <w:name w:val="long_text1"/>
    <w:uiPriority w:val="99"/>
    <w:rsid w:val="00E861A4"/>
    <w:rPr>
      <w:sz w:val="13"/>
    </w:rPr>
  </w:style>
  <w:style w:type="paragraph" w:styleId="Revzia">
    <w:name w:val="Revision"/>
    <w:hidden/>
    <w:uiPriority w:val="99"/>
    <w:semiHidden/>
    <w:rsid w:val="004F79D8"/>
    <w:rPr>
      <w:sz w:val="24"/>
      <w:szCs w:val="24"/>
      <w:lang w:val="en-US" w:eastAsia="hu-HU"/>
    </w:rPr>
  </w:style>
  <w:style w:type="character" w:customStyle="1" w:styleId="CharChar5">
    <w:name w:val="Char Char5"/>
    <w:uiPriority w:val="99"/>
    <w:locked/>
    <w:rsid w:val="00CB5BB0"/>
    <w:rPr>
      <w:sz w:val="24"/>
    </w:rPr>
  </w:style>
  <w:style w:type="character" w:customStyle="1" w:styleId="CharChar21">
    <w:name w:val="Char Char21"/>
    <w:uiPriority w:val="99"/>
    <w:rsid w:val="002C525F"/>
    <w:rPr>
      <w:snapToGrid w:val="0"/>
      <w:sz w:val="24"/>
      <w:lang w:val="en-US" w:eastAsia="hu-HU"/>
    </w:rPr>
  </w:style>
  <w:style w:type="paragraph" w:styleId="Odsekzoznamu">
    <w:name w:val="List Paragraph"/>
    <w:basedOn w:val="Normlny"/>
    <w:uiPriority w:val="34"/>
    <w:qFormat/>
    <w:rsid w:val="001C7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5501">
      <w:marLeft w:val="0"/>
      <w:marRight w:val="0"/>
      <w:marTop w:val="0"/>
      <w:marBottom w:val="0"/>
      <w:divBdr>
        <w:top w:val="none" w:sz="0" w:space="0" w:color="auto"/>
        <w:left w:val="none" w:sz="0" w:space="0" w:color="auto"/>
        <w:bottom w:val="none" w:sz="0" w:space="0" w:color="auto"/>
        <w:right w:val="none" w:sz="0" w:space="0" w:color="auto"/>
      </w:divBdr>
    </w:div>
    <w:div w:id="556285502">
      <w:marLeft w:val="0"/>
      <w:marRight w:val="0"/>
      <w:marTop w:val="0"/>
      <w:marBottom w:val="0"/>
      <w:divBdr>
        <w:top w:val="none" w:sz="0" w:space="0" w:color="auto"/>
        <w:left w:val="none" w:sz="0" w:space="0" w:color="auto"/>
        <w:bottom w:val="none" w:sz="0" w:space="0" w:color="auto"/>
        <w:right w:val="none" w:sz="0" w:space="0" w:color="auto"/>
      </w:divBdr>
    </w:div>
    <w:div w:id="556285503">
      <w:marLeft w:val="0"/>
      <w:marRight w:val="0"/>
      <w:marTop w:val="0"/>
      <w:marBottom w:val="0"/>
      <w:divBdr>
        <w:top w:val="none" w:sz="0" w:space="0" w:color="auto"/>
        <w:left w:val="none" w:sz="0" w:space="0" w:color="auto"/>
        <w:bottom w:val="none" w:sz="0" w:space="0" w:color="auto"/>
        <w:right w:val="none" w:sz="0" w:space="0" w:color="auto"/>
      </w:divBdr>
    </w:div>
    <w:div w:id="556285504">
      <w:marLeft w:val="0"/>
      <w:marRight w:val="0"/>
      <w:marTop w:val="0"/>
      <w:marBottom w:val="0"/>
      <w:divBdr>
        <w:top w:val="none" w:sz="0" w:space="0" w:color="auto"/>
        <w:left w:val="none" w:sz="0" w:space="0" w:color="auto"/>
        <w:bottom w:val="none" w:sz="0" w:space="0" w:color="auto"/>
        <w:right w:val="none" w:sz="0" w:space="0" w:color="auto"/>
      </w:divBdr>
    </w:div>
    <w:div w:id="556285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11529</Words>
  <Characters>65718</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
  <LinksUpToDate>false</LinksUpToDate>
  <CharactersWithSpaces>77093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Bhavesh Kakadiya</dc:creator>
  <cp:lastModifiedBy>Medvecká, Patrícia</cp:lastModifiedBy>
  <cp:revision>2</cp:revision>
  <cp:lastPrinted>2015-06-17T02:57:00Z</cp:lastPrinted>
  <dcterms:created xsi:type="dcterms:W3CDTF">2019-09-30T07:27:00Z</dcterms:created>
  <dcterms:modified xsi:type="dcterms:W3CDTF">2019-09-30T07:27:00Z</dcterms:modified>
</cp:coreProperties>
</file>