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B2AA6" w14:textId="77777777" w:rsidR="005A00A4" w:rsidRPr="00173733" w:rsidRDefault="005A00A4" w:rsidP="00DB126C">
      <w:pPr>
        <w:pStyle w:val="Bodytext"/>
        <w:spacing w:after="0" w:line="240" w:lineRule="auto"/>
        <w:ind w:left="0"/>
        <w:jc w:val="center"/>
        <w:rPr>
          <w:caps/>
          <w:sz w:val="22"/>
          <w:szCs w:val="22"/>
        </w:rPr>
      </w:pPr>
      <w:bookmarkStart w:id="0" w:name="_GoBack"/>
      <w:bookmarkEnd w:id="0"/>
    </w:p>
    <w:p w14:paraId="439FF7C3" w14:textId="77777777" w:rsidR="005A00A4" w:rsidRPr="00862CC1" w:rsidRDefault="005A00A4" w:rsidP="000F03EE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862CC1">
        <w:rPr>
          <w:b/>
          <w:caps/>
          <w:sz w:val="22"/>
          <w:szCs w:val="22"/>
        </w:rPr>
        <w:t>Súhrn charakteristických vlastností lieku</w:t>
      </w:r>
    </w:p>
    <w:p w14:paraId="6AF0C0B7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311E1442" w14:textId="77777777" w:rsidR="005A00A4" w:rsidRPr="00862CC1" w:rsidRDefault="005A00A4" w:rsidP="000F03E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69FBF17B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Názov LIEKU</w:t>
      </w:r>
    </w:p>
    <w:p w14:paraId="016BDCCB" w14:textId="77777777" w:rsidR="005A00A4" w:rsidRPr="00173733" w:rsidRDefault="005A00A4" w:rsidP="006D42C7">
      <w:pPr>
        <w:pStyle w:val="Product"/>
        <w:spacing w:after="0" w:line="240" w:lineRule="auto"/>
        <w:ind w:left="0"/>
        <w:rPr>
          <w:b w:val="0"/>
          <w:sz w:val="22"/>
          <w:szCs w:val="22"/>
        </w:rPr>
      </w:pPr>
    </w:p>
    <w:p w14:paraId="22021ACF" w14:textId="71A1B8F7" w:rsidR="005A00A4" w:rsidRPr="00862CC1" w:rsidRDefault="006B0D80" w:rsidP="006D42C7">
      <w:pPr>
        <w:pStyle w:val="Product"/>
        <w:spacing w:after="0" w:line="240" w:lineRule="auto"/>
        <w:ind w:left="0"/>
        <w:rPr>
          <w:b w:val="0"/>
          <w:sz w:val="22"/>
          <w:szCs w:val="22"/>
        </w:rPr>
      </w:pPr>
      <w:r w:rsidRPr="00862CC1">
        <w:rPr>
          <w:b w:val="0"/>
          <w:sz w:val="22"/>
          <w:szCs w:val="22"/>
        </w:rPr>
        <w:t>BELOPERA</w:t>
      </w:r>
      <w:r w:rsidR="005A00A4" w:rsidRPr="00862CC1">
        <w:rPr>
          <w:b w:val="0"/>
          <w:sz w:val="22"/>
          <w:szCs w:val="22"/>
        </w:rPr>
        <w:t xml:space="preserve"> 2</w:t>
      </w:r>
      <w:r w:rsidR="00B54B19">
        <w:rPr>
          <w:b w:val="0"/>
          <w:sz w:val="22"/>
          <w:szCs w:val="22"/>
        </w:rPr>
        <w:t> </w:t>
      </w:r>
      <w:r w:rsidR="005A00A4" w:rsidRPr="00862CC1">
        <w:rPr>
          <w:b w:val="0"/>
          <w:sz w:val="22"/>
          <w:szCs w:val="22"/>
        </w:rPr>
        <w:t>mg</w:t>
      </w:r>
    </w:p>
    <w:p w14:paraId="45CB407B" w14:textId="25A98797" w:rsidR="005A00A4" w:rsidRPr="00766F0B" w:rsidRDefault="008E1E07" w:rsidP="006D42C7">
      <w:pPr>
        <w:pStyle w:val="Product"/>
        <w:spacing w:after="0" w:line="240" w:lineRule="auto"/>
        <w:ind w:left="0"/>
        <w:rPr>
          <w:b w:val="0"/>
          <w:iCs/>
          <w:sz w:val="22"/>
          <w:szCs w:val="22"/>
        </w:rPr>
      </w:pPr>
      <w:r w:rsidRPr="00862CC1">
        <w:rPr>
          <w:b w:val="0"/>
          <w:sz w:val="22"/>
          <w:szCs w:val="22"/>
        </w:rPr>
        <w:t>t</w:t>
      </w:r>
      <w:r w:rsidR="005A00A4" w:rsidRPr="00862CC1">
        <w:rPr>
          <w:b w:val="0"/>
          <w:sz w:val="22"/>
          <w:szCs w:val="22"/>
        </w:rPr>
        <w:t>vrdé kapsuly</w:t>
      </w:r>
    </w:p>
    <w:p w14:paraId="21758664" w14:textId="77777777" w:rsidR="005A00A4" w:rsidRPr="00173733" w:rsidRDefault="005A00A4" w:rsidP="006D42C7">
      <w:pPr>
        <w:pStyle w:val="Product"/>
        <w:spacing w:after="0" w:line="240" w:lineRule="auto"/>
        <w:ind w:left="0"/>
        <w:rPr>
          <w:b w:val="0"/>
          <w:iCs/>
          <w:sz w:val="22"/>
          <w:szCs w:val="22"/>
        </w:rPr>
      </w:pPr>
    </w:p>
    <w:p w14:paraId="34B16213" w14:textId="77777777" w:rsidR="008E1E07" w:rsidRPr="00173733" w:rsidRDefault="008E1E07" w:rsidP="006D42C7">
      <w:pPr>
        <w:pStyle w:val="Product"/>
        <w:spacing w:after="0" w:line="240" w:lineRule="auto"/>
        <w:ind w:left="0"/>
        <w:rPr>
          <w:b w:val="0"/>
          <w:iCs/>
          <w:sz w:val="22"/>
          <w:szCs w:val="22"/>
        </w:rPr>
      </w:pPr>
    </w:p>
    <w:p w14:paraId="140C5224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14:paraId="37B7DD62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3B4DC2F" w14:textId="6441C334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Jedna </w:t>
      </w:r>
      <w:r w:rsidR="00C46F3A">
        <w:rPr>
          <w:sz w:val="22"/>
          <w:szCs w:val="22"/>
        </w:rPr>
        <w:t xml:space="preserve">tvrdá </w:t>
      </w:r>
      <w:r w:rsidRPr="00862CC1">
        <w:rPr>
          <w:sz w:val="22"/>
          <w:szCs w:val="22"/>
        </w:rPr>
        <w:t>kapsula obsahuje 2</w:t>
      </w:r>
      <w:r w:rsidR="00B54B19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mg </w:t>
      </w:r>
      <w:proofErr w:type="spellStart"/>
      <w:r w:rsidRPr="00862CC1">
        <w:rPr>
          <w:sz w:val="22"/>
          <w:szCs w:val="22"/>
        </w:rPr>
        <w:t>loperamidiumchloridu</w:t>
      </w:r>
      <w:proofErr w:type="spellEnd"/>
      <w:r w:rsidRPr="00862CC1">
        <w:rPr>
          <w:sz w:val="22"/>
          <w:szCs w:val="22"/>
        </w:rPr>
        <w:t>.</w:t>
      </w:r>
    </w:p>
    <w:p w14:paraId="6C6FB9E8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53BFA63" w14:textId="576E315F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  <w:u w:val="single"/>
        </w:rPr>
        <w:t>Pomocné látky so známym účinkom</w:t>
      </w:r>
      <w:r w:rsidR="00B54B19" w:rsidRPr="00766F0B">
        <w:rPr>
          <w:sz w:val="22"/>
          <w:szCs w:val="22"/>
        </w:rPr>
        <w:t>:</w:t>
      </w:r>
      <w:r w:rsidR="00B54B19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Jedna kapsula obsahuje 136,6</w:t>
      </w:r>
      <w:r w:rsidR="00B54B19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mg </w:t>
      </w:r>
      <w:proofErr w:type="spellStart"/>
      <w:r w:rsidRPr="00862CC1">
        <w:rPr>
          <w:sz w:val="22"/>
          <w:szCs w:val="22"/>
        </w:rPr>
        <w:t>monohydrátu</w:t>
      </w:r>
      <w:proofErr w:type="spellEnd"/>
      <w:r w:rsidRPr="00862CC1">
        <w:rPr>
          <w:sz w:val="22"/>
          <w:szCs w:val="22"/>
        </w:rPr>
        <w:t xml:space="preserve"> laktózy</w:t>
      </w:r>
      <w:r w:rsidR="0082608D">
        <w:rPr>
          <w:sz w:val="22"/>
          <w:szCs w:val="22"/>
        </w:rPr>
        <w:t xml:space="preserve"> </w:t>
      </w:r>
      <w:r w:rsidR="0082608D" w:rsidRPr="00C67156">
        <w:rPr>
          <w:sz w:val="22"/>
          <w:szCs w:val="22"/>
        </w:rPr>
        <w:t>a</w:t>
      </w:r>
      <w:r w:rsidR="00C67156" w:rsidRPr="00C67156">
        <w:rPr>
          <w:sz w:val="22"/>
          <w:szCs w:val="22"/>
        </w:rPr>
        <w:t> </w:t>
      </w:r>
      <w:r w:rsidR="0082608D" w:rsidRPr="00766F0B">
        <w:rPr>
          <w:sz w:val="22"/>
          <w:szCs w:val="22"/>
          <w:lang w:val="hr-HR"/>
        </w:rPr>
        <w:t>0,0043</w:t>
      </w:r>
      <w:r w:rsidR="00C67156" w:rsidRPr="00766F0B">
        <w:rPr>
          <w:sz w:val="22"/>
          <w:szCs w:val="22"/>
          <w:lang w:val="hr-HR"/>
        </w:rPr>
        <w:t> </w:t>
      </w:r>
      <w:r w:rsidR="0082608D" w:rsidRPr="00766F0B">
        <w:rPr>
          <w:sz w:val="22"/>
          <w:szCs w:val="22"/>
          <w:lang w:val="hr-HR"/>
        </w:rPr>
        <w:t>mg azorubínu (E122)</w:t>
      </w:r>
      <w:r w:rsidRPr="00C67156">
        <w:rPr>
          <w:sz w:val="22"/>
          <w:szCs w:val="22"/>
        </w:rPr>
        <w:t>.</w:t>
      </w:r>
    </w:p>
    <w:p w14:paraId="03EFD1CC" w14:textId="67784212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2502759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Úplný zoznam pomocných látok, pozri časť 6.1.</w:t>
      </w:r>
    </w:p>
    <w:p w14:paraId="7802498F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ACCF70D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42E6A30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Lieková forma</w:t>
      </w:r>
    </w:p>
    <w:p w14:paraId="33ACA3AE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11027F3" w14:textId="0B8B9BD0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Tvrdá kapsula.</w:t>
      </w:r>
    </w:p>
    <w:p w14:paraId="63D951AB" w14:textId="77777777" w:rsidR="00630A1D" w:rsidRPr="00862CC1" w:rsidRDefault="00630A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31EF666" w14:textId="0E173D7D" w:rsidR="005A00A4" w:rsidRPr="00862CC1" w:rsidRDefault="00B54B1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K</w:t>
      </w:r>
      <w:r w:rsidR="005A00A4" w:rsidRPr="00862CC1">
        <w:rPr>
          <w:sz w:val="22"/>
          <w:szCs w:val="22"/>
        </w:rPr>
        <w:t>apsuly so sivým telom a tmavozelen</w:t>
      </w:r>
      <w:r w:rsidR="00B4192E" w:rsidRPr="00862CC1">
        <w:rPr>
          <w:sz w:val="22"/>
          <w:szCs w:val="22"/>
        </w:rPr>
        <w:t>ým</w:t>
      </w:r>
      <w:r w:rsidR="005A00A4" w:rsidRPr="00862CC1">
        <w:rPr>
          <w:sz w:val="22"/>
          <w:szCs w:val="22"/>
        </w:rPr>
        <w:t xml:space="preserve"> </w:t>
      </w:r>
      <w:r w:rsidR="00B4192E" w:rsidRPr="00862CC1">
        <w:rPr>
          <w:sz w:val="22"/>
          <w:szCs w:val="22"/>
        </w:rPr>
        <w:t>uzáverom</w:t>
      </w:r>
      <w:r w:rsidR="005A00A4" w:rsidRPr="00862CC1">
        <w:rPr>
          <w:sz w:val="22"/>
          <w:szCs w:val="22"/>
        </w:rPr>
        <w:t>. Kapsuly obsahujú biely až takmer biely prášok.</w:t>
      </w:r>
    </w:p>
    <w:p w14:paraId="75DF6DDC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78683B7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E77C173" w14:textId="367F2D34" w:rsidR="005A00A4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Klinické údaje</w:t>
      </w:r>
    </w:p>
    <w:p w14:paraId="64C5C228" w14:textId="77777777" w:rsidR="00857051" w:rsidRPr="00173733" w:rsidRDefault="00857051" w:rsidP="00857051">
      <w:pPr>
        <w:pStyle w:val="Bodytext"/>
        <w:spacing w:after="0" w:line="240" w:lineRule="auto"/>
        <w:ind w:left="0"/>
        <w:rPr>
          <w:sz w:val="22"/>
        </w:rPr>
      </w:pPr>
    </w:p>
    <w:p w14:paraId="73451491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4.1</w:t>
      </w:r>
      <w:r w:rsidRPr="00862CC1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14:paraId="3C32FCEE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1E12DA" w14:textId="6FDD525E" w:rsidR="005A00A4" w:rsidRPr="00862CC1" w:rsidRDefault="006B0D80" w:rsidP="00695A5F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BELOPERA </w:t>
      </w:r>
      <w:r w:rsidR="005A00A4" w:rsidRPr="00862CC1">
        <w:rPr>
          <w:sz w:val="22"/>
          <w:szCs w:val="22"/>
        </w:rPr>
        <w:t>je indikovan</w:t>
      </w:r>
      <w:r w:rsidR="00630A1D" w:rsidRPr="00862CC1">
        <w:rPr>
          <w:sz w:val="22"/>
          <w:szCs w:val="22"/>
        </w:rPr>
        <w:t>á</w:t>
      </w:r>
      <w:r w:rsidR="005A00A4" w:rsidRPr="00862CC1">
        <w:rPr>
          <w:sz w:val="22"/>
          <w:szCs w:val="22"/>
        </w:rPr>
        <w:t xml:space="preserve"> na symptomatickú liečbu akútnej </w:t>
      </w:r>
      <w:r w:rsidR="00695A5F">
        <w:rPr>
          <w:sz w:val="22"/>
          <w:szCs w:val="22"/>
        </w:rPr>
        <w:t xml:space="preserve">a chronickej </w:t>
      </w:r>
      <w:r w:rsidR="005A00A4" w:rsidRPr="00862CC1">
        <w:rPr>
          <w:sz w:val="22"/>
          <w:szCs w:val="22"/>
        </w:rPr>
        <w:t>hnačky</w:t>
      </w:r>
      <w:r w:rsidR="00695A5F">
        <w:rPr>
          <w:sz w:val="22"/>
          <w:szCs w:val="22"/>
        </w:rPr>
        <w:t xml:space="preserve">. </w:t>
      </w:r>
      <w:r w:rsidR="00695A5F" w:rsidRPr="00556C24">
        <w:rPr>
          <w:sz w:val="22"/>
          <w:szCs w:val="22"/>
        </w:rPr>
        <w:t>U pacientov s </w:t>
      </w:r>
      <w:proofErr w:type="spellStart"/>
      <w:r w:rsidR="00695A5F" w:rsidRPr="00556C24">
        <w:rPr>
          <w:sz w:val="22"/>
          <w:szCs w:val="22"/>
        </w:rPr>
        <w:t>ileostómiou</w:t>
      </w:r>
      <w:proofErr w:type="spellEnd"/>
      <w:r w:rsidR="00695A5F" w:rsidRPr="00556C24">
        <w:rPr>
          <w:sz w:val="22"/>
          <w:szCs w:val="22"/>
        </w:rPr>
        <w:t xml:space="preserve"> sa môže použiť na zníženie počtu a objemu stolíc a zahustenie ich konzistencie.</w:t>
      </w:r>
    </w:p>
    <w:p w14:paraId="1245429E" w14:textId="77777777" w:rsidR="006B0D80" w:rsidRPr="00862CC1" w:rsidRDefault="006B0D80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195C01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4.2</w:t>
      </w:r>
      <w:r w:rsidRPr="00862CC1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14:paraId="15EB331C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7B147B1B" w14:textId="77777777" w:rsidR="005A00A4" w:rsidRPr="00862CC1" w:rsidRDefault="005A00A4" w:rsidP="00766F0B">
      <w:pPr>
        <w:pStyle w:val="Bodytext"/>
        <w:spacing w:after="120" w:line="240" w:lineRule="auto"/>
        <w:ind w:left="0"/>
        <w:rPr>
          <w:iCs/>
          <w:kern w:val="2"/>
          <w:sz w:val="22"/>
          <w:szCs w:val="22"/>
          <w:u w:val="single"/>
        </w:rPr>
      </w:pPr>
      <w:r w:rsidRPr="00862CC1">
        <w:rPr>
          <w:iCs/>
          <w:kern w:val="2"/>
          <w:sz w:val="22"/>
          <w:szCs w:val="22"/>
          <w:u w:val="single"/>
        </w:rPr>
        <w:t>Dávkovanie</w:t>
      </w:r>
    </w:p>
    <w:p w14:paraId="353E3F73" w14:textId="27D5CAF8" w:rsidR="00695A5F" w:rsidRPr="00B54B19" w:rsidRDefault="00695A5F" w:rsidP="000F03EE">
      <w:pPr>
        <w:pStyle w:val="Bodytext"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766F0B">
        <w:rPr>
          <w:i/>
          <w:iCs/>
          <w:kern w:val="1"/>
          <w:sz w:val="22"/>
          <w:szCs w:val="22"/>
        </w:rPr>
        <w:t xml:space="preserve">Dospelí a deti </w:t>
      </w:r>
      <w:r w:rsidR="00C7729C">
        <w:rPr>
          <w:i/>
          <w:iCs/>
          <w:kern w:val="1"/>
          <w:sz w:val="22"/>
          <w:szCs w:val="22"/>
        </w:rPr>
        <w:t xml:space="preserve">vo veku </w:t>
      </w:r>
      <w:r w:rsidRPr="00766F0B">
        <w:rPr>
          <w:i/>
          <w:iCs/>
          <w:kern w:val="1"/>
          <w:sz w:val="22"/>
          <w:szCs w:val="22"/>
        </w:rPr>
        <w:t>od 6 do 17 rokov:</w:t>
      </w:r>
    </w:p>
    <w:p w14:paraId="03D261DA" w14:textId="38441E23" w:rsidR="008A37A8" w:rsidRPr="00862CC1" w:rsidRDefault="008A37A8" w:rsidP="00766F0B">
      <w:pPr>
        <w:pStyle w:val="Odsekzoznamu"/>
        <w:ind w:left="0"/>
        <w:rPr>
          <w:sz w:val="22"/>
          <w:szCs w:val="22"/>
        </w:rPr>
      </w:pPr>
      <w:r w:rsidRPr="00766F0B">
        <w:rPr>
          <w:i/>
          <w:sz w:val="22"/>
          <w:szCs w:val="22"/>
          <w:u w:val="single"/>
        </w:rPr>
        <w:t>Akútna hnačka</w:t>
      </w:r>
      <w:r w:rsidR="00695A5F" w:rsidRPr="00766F0B">
        <w:rPr>
          <w:i/>
          <w:sz w:val="22"/>
          <w:szCs w:val="22"/>
        </w:rPr>
        <w:t>:</w:t>
      </w:r>
      <w:r w:rsidR="00C7729C">
        <w:rPr>
          <w:sz w:val="22"/>
          <w:szCs w:val="22"/>
        </w:rPr>
        <w:t xml:space="preserve"> </w:t>
      </w:r>
      <w:r w:rsidR="00695A5F">
        <w:rPr>
          <w:sz w:val="22"/>
          <w:szCs w:val="22"/>
        </w:rPr>
        <w:t>ú</w:t>
      </w:r>
      <w:r w:rsidR="00695A5F" w:rsidRPr="00862CC1">
        <w:rPr>
          <w:sz w:val="22"/>
          <w:szCs w:val="22"/>
        </w:rPr>
        <w:t xml:space="preserve">vodná </w:t>
      </w:r>
      <w:r w:rsidRPr="00862CC1">
        <w:rPr>
          <w:sz w:val="22"/>
          <w:szCs w:val="22"/>
        </w:rPr>
        <w:t xml:space="preserve">dávka </w:t>
      </w:r>
      <w:r w:rsidR="00C7729C">
        <w:rPr>
          <w:sz w:val="22"/>
          <w:szCs w:val="22"/>
        </w:rPr>
        <w:t>sú</w:t>
      </w:r>
      <w:r w:rsidRPr="00862CC1">
        <w:rPr>
          <w:sz w:val="22"/>
          <w:szCs w:val="22"/>
        </w:rPr>
        <w:t xml:space="preserve"> 2 kapsuly (4</w:t>
      </w:r>
      <w:r w:rsidR="00C7729C">
        <w:rPr>
          <w:sz w:val="22"/>
          <w:szCs w:val="22"/>
        </w:rPr>
        <w:t> </w:t>
      </w:r>
      <w:r w:rsidRPr="00862CC1">
        <w:rPr>
          <w:sz w:val="22"/>
          <w:szCs w:val="22"/>
        </w:rPr>
        <w:t>mg)</w:t>
      </w:r>
      <w:r w:rsidR="00695A5F">
        <w:rPr>
          <w:sz w:val="22"/>
          <w:szCs w:val="22"/>
        </w:rPr>
        <w:t xml:space="preserve"> pre dospelých</w:t>
      </w:r>
      <w:r w:rsidRPr="00862CC1">
        <w:rPr>
          <w:sz w:val="22"/>
          <w:szCs w:val="22"/>
        </w:rPr>
        <w:t xml:space="preserve"> </w:t>
      </w:r>
      <w:r w:rsidR="00695A5F">
        <w:rPr>
          <w:sz w:val="22"/>
          <w:szCs w:val="22"/>
        </w:rPr>
        <w:t>a</w:t>
      </w:r>
      <w:r w:rsidRPr="00862CC1">
        <w:rPr>
          <w:sz w:val="22"/>
          <w:szCs w:val="22"/>
        </w:rPr>
        <w:t xml:space="preserve"> 1 kapsula (2</w:t>
      </w:r>
      <w:r w:rsidR="00C7729C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mg) </w:t>
      </w:r>
      <w:r w:rsidR="00695A5F">
        <w:rPr>
          <w:sz w:val="22"/>
          <w:szCs w:val="22"/>
        </w:rPr>
        <w:t xml:space="preserve">pre deti; </w:t>
      </w:r>
      <w:r w:rsidRPr="00862CC1">
        <w:rPr>
          <w:sz w:val="22"/>
          <w:szCs w:val="22"/>
        </w:rPr>
        <w:t>po</w:t>
      </w:r>
      <w:r w:rsidR="00695A5F">
        <w:rPr>
          <w:sz w:val="22"/>
          <w:szCs w:val="22"/>
        </w:rPr>
        <w:t>tom sa podáva</w:t>
      </w:r>
      <w:r w:rsidRPr="00862CC1">
        <w:rPr>
          <w:sz w:val="22"/>
          <w:szCs w:val="22"/>
        </w:rPr>
        <w:t xml:space="preserve"> </w:t>
      </w:r>
      <w:r w:rsidR="00695A5F" w:rsidRPr="00556C24">
        <w:rPr>
          <w:kern w:val="1"/>
          <w:sz w:val="22"/>
          <w:szCs w:val="22"/>
        </w:rPr>
        <w:t>1 kapsula (2</w:t>
      </w:r>
      <w:r w:rsidR="00C7729C">
        <w:rPr>
          <w:kern w:val="1"/>
          <w:sz w:val="22"/>
          <w:szCs w:val="22"/>
        </w:rPr>
        <w:t> </w:t>
      </w:r>
      <w:r w:rsidR="00695A5F" w:rsidRPr="00556C24">
        <w:rPr>
          <w:kern w:val="1"/>
          <w:sz w:val="22"/>
          <w:szCs w:val="22"/>
        </w:rPr>
        <w:t>mg)</w:t>
      </w:r>
      <w:r w:rsidR="00695A5F">
        <w:rPr>
          <w:kern w:val="1"/>
          <w:sz w:val="22"/>
          <w:szCs w:val="22"/>
        </w:rPr>
        <w:t xml:space="preserve"> po </w:t>
      </w:r>
      <w:r w:rsidRPr="00862CC1">
        <w:rPr>
          <w:sz w:val="22"/>
          <w:szCs w:val="22"/>
        </w:rPr>
        <w:t>každej nasledujúcej riedkej stolici.</w:t>
      </w:r>
    </w:p>
    <w:p w14:paraId="0A0C50F7" w14:textId="77777777" w:rsidR="00695A5F" w:rsidRPr="00862CC1" w:rsidRDefault="00695A5F" w:rsidP="006D42C7">
      <w:pPr>
        <w:rPr>
          <w:sz w:val="22"/>
          <w:szCs w:val="22"/>
        </w:rPr>
      </w:pPr>
    </w:p>
    <w:p w14:paraId="311BC339" w14:textId="14C4F056" w:rsidR="00695A5F" w:rsidRPr="00556C24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66F0B">
        <w:rPr>
          <w:i/>
          <w:kern w:val="1"/>
          <w:sz w:val="22"/>
          <w:szCs w:val="22"/>
          <w:u w:val="single"/>
        </w:rPr>
        <w:t>Chronická hnačka</w:t>
      </w:r>
      <w:r w:rsidRPr="00766F0B">
        <w:rPr>
          <w:i/>
          <w:kern w:val="1"/>
          <w:sz w:val="22"/>
          <w:szCs w:val="22"/>
        </w:rPr>
        <w:t>:</w:t>
      </w:r>
      <w:r w:rsidRPr="00C7729C">
        <w:rPr>
          <w:kern w:val="1"/>
          <w:sz w:val="22"/>
          <w:szCs w:val="22"/>
        </w:rPr>
        <w:t xml:space="preserve"> </w:t>
      </w:r>
      <w:r w:rsidRPr="00556C24">
        <w:rPr>
          <w:kern w:val="1"/>
          <w:sz w:val="22"/>
          <w:szCs w:val="22"/>
        </w:rPr>
        <w:t xml:space="preserve">úvodná dávka </w:t>
      </w:r>
      <w:r w:rsidR="00C7729C">
        <w:rPr>
          <w:kern w:val="1"/>
          <w:sz w:val="22"/>
          <w:szCs w:val="22"/>
        </w:rPr>
        <w:t>sú</w:t>
      </w:r>
      <w:r w:rsidRPr="00556C24">
        <w:rPr>
          <w:kern w:val="1"/>
          <w:sz w:val="22"/>
          <w:szCs w:val="22"/>
        </w:rPr>
        <w:t xml:space="preserve"> 2 kapsuly (4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 pre dospelých a 1 kapsula (2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táto dávka sa upravuje až do dosiahnutia 1-2 formovaných stolíc za deň, čo sa zvyčajne </w:t>
      </w:r>
      <w:r w:rsidR="00C7729C">
        <w:rPr>
          <w:kern w:val="1"/>
          <w:sz w:val="22"/>
          <w:szCs w:val="22"/>
        </w:rPr>
        <w:t>dosiahne</w:t>
      </w:r>
      <w:r w:rsidRPr="00556C24">
        <w:rPr>
          <w:kern w:val="1"/>
          <w:sz w:val="22"/>
          <w:szCs w:val="22"/>
        </w:rPr>
        <w:t xml:space="preserve"> udržiavacou dávkou 1-6 kapsúl (2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 – 12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denne.</w:t>
      </w:r>
    </w:p>
    <w:p w14:paraId="111D31A9" w14:textId="77777777" w:rsidR="00695A5F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2806CC9B" w14:textId="4D202FC2" w:rsidR="00695A5F" w:rsidRPr="00556C24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Maximálna dávka pri akútnej a chronickej hnačke je 8 kapsúl (16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 pre dospelých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u detí </w:t>
      </w:r>
      <w:r>
        <w:rPr>
          <w:kern w:val="1"/>
          <w:sz w:val="22"/>
          <w:szCs w:val="22"/>
        </w:rPr>
        <w:t>je potrebné určiť dávku vo vzťahu k</w:t>
      </w:r>
      <w:r w:rsidRPr="00556C24">
        <w:rPr>
          <w:kern w:val="1"/>
          <w:sz w:val="22"/>
          <w:szCs w:val="22"/>
        </w:rPr>
        <w:t xml:space="preserve"> telesnej hmotnosti (3 kapsuly/20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kg)</w:t>
      </w:r>
      <w:r>
        <w:rPr>
          <w:kern w:val="1"/>
          <w:sz w:val="22"/>
          <w:szCs w:val="22"/>
        </w:rPr>
        <w:t>, ale nemá sa prekročiť dávka 8</w:t>
      </w:r>
      <w:r w:rsidR="00C7729C">
        <w:rPr>
          <w:kern w:val="1"/>
          <w:sz w:val="22"/>
          <w:szCs w:val="22"/>
        </w:rPr>
        <w:t> </w:t>
      </w:r>
      <w:r>
        <w:rPr>
          <w:kern w:val="1"/>
          <w:sz w:val="22"/>
          <w:szCs w:val="22"/>
        </w:rPr>
        <w:t>kapsúl denne</w:t>
      </w:r>
      <w:r w:rsidRPr="00556C24">
        <w:rPr>
          <w:kern w:val="1"/>
          <w:sz w:val="22"/>
          <w:szCs w:val="22"/>
        </w:rPr>
        <w:t>.</w:t>
      </w:r>
    </w:p>
    <w:p w14:paraId="19D6F4F0" w14:textId="77777777" w:rsidR="00695A5F" w:rsidRPr="00556C24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695A5F" w:rsidRPr="00556C24" w14:paraId="2FCF340C" w14:textId="77777777" w:rsidTr="00766F0B">
        <w:tc>
          <w:tcPr>
            <w:tcW w:w="4264" w:type="dxa"/>
            <w:vAlign w:val="center"/>
          </w:tcPr>
          <w:p w14:paraId="667F5DF2" w14:textId="77777777" w:rsidR="00695A5F" w:rsidRPr="00766F0B" w:rsidRDefault="00695A5F" w:rsidP="00766F0B">
            <w:pPr>
              <w:pStyle w:val="Hlavika"/>
              <w:spacing w:after="0"/>
              <w:jc w:val="center"/>
              <w:rPr>
                <w:b/>
                <w:sz w:val="22"/>
                <w:szCs w:val="22"/>
              </w:rPr>
            </w:pPr>
            <w:r w:rsidRPr="00766F0B">
              <w:rPr>
                <w:b/>
                <w:sz w:val="22"/>
                <w:szCs w:val="22"/>
              </w:rPr>
              <w:t>Hmotnosť dieťaťa v kilogramoch (kg)</w:t>
            </w:r>
          </w:p>
        </w:tc>
        <w:tc>
          <w:tcPr>
            <w:tcW w:w="4264" w:type="dxa"/>
            <w:vAlign w:val="center"/>
          </w:tcPr>
          <w:p w14:paraId="3F44070C" w14:textId="60A771DF" w:rsidR="00695A5F" w:rsidRPr="00766F0B" w:rsidRDefault="00695A5F" w:rsidP="00766F0B">
            <w:pPr>
              <w:pStyle w:val="Hlavika"/>
              <w:spacing w:after="0"/>
              <w:jc w:val="center"/>
              <w:rPr>
                <w:b/>
                <w:sz w:val="22"/>
                <w:szCs w:val="22"/>
              </w:rPr>
            </w:pPr>
            <w:r w:rsidRPr="00766F0B">
              <w:rPr>
                <w:b/>
                <w:sz w:val="22"/>
                <w:szCs w:val="22"/>
              </w:rPr>
              <w:t>Maximálny počet kapsúl lieku BELOPERA 2</w:t>
            </w:r>
            <w:r w:rsidR="009A7B11" w:rsidRPr="00766F0B">
              <w:rPr>
                <w:b/>
                <w:sz w:val="22"/>
                <w:szCs w:val="22"/>
              </w:rPr>
              <w:t> </w:t>
            </w:r>
            <w:r w:rsidRPr="00766F0B">
              <w:rPr>
                <w:b/>
                <w:sz w:val="22"/>
                <w:szCs w:val="22"/>
              </w:rPr>
              <w:t>mg podaný za 1 deň</w:t>
            </w:r>
          </w:p>
        </w:tc>
      </w:tr>
      <w:tr w:rsidR="00695A5F" w:rsidRPr="00556C24" w14:paraId="1205F14E" w14:textId="77777777" w:rsidTr="00766F0B">
        <w:tc>
          <w:tcPr>
            <w:tcW w:w="4264" w:type="dxa"/>
            <w:vAlign w:val="center"/>
          </w:tcPr>
          <w:p w14:paraId="3B0C7E49" w14:textId="12C87140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14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69558CC3" w14:textId="2EAD53AE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2 kapsuly</w:t>
            </w:r>
          </w:p>
        </w:tc>
      </w:tr>
      <w:tr w:rsidR="00695A5F" w:rsidRPr="00556C24" w14:paraId="279BCC19" w14:textId="77777777" w:rsidTr="00766F0B">
        <w:tc>
          <w:tcPr>
            <w:tcW w:w="4264" w:type="dxa"/>
            <w:vAlign w:val="center"/>
          </w:tcPr>
          <w:p w14:paraId="0906F65C" w14:textId="4A70133A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20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6B25E3A9" w14:textId="489E69D1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3 kapsuly</w:t>
            </w:r>
          </w:p>
        </w:tc>
      </w:tr>
      <w:tr w:rsidR="00695A5F" w:rsidRPr="00556C24" w14:paraId="2AD76689" w14:textId="77777777" w:rsidTr="00766F0B">
        <w:tc>
          <w:tcPr>
            <w:tcW w:w="4264" w:type="dxa"/>
            <w:vAlign w:val="center"/>
          </w:tcPr>
          <w:p w14:paraId="1EF19EBF" w14:textId="004E574A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27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3663B9B0" w14:textId="5877559F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4 kapsuly</w:t>
            </w:r>
          </w:p>
        </w:tc>
      </w:tr>
      <w:tr w:rsidR="00695A5F" w:rsidRPr="00556C24" w14:paraId="3228672F" w14:textId="77777777" w:rsidTr="00766F0B">
        <w:tc>
          <w:tcPr>
            <w:tcW w:w="4264" w:type="dxa"/>
            <w:vAlign w:val="center"/>
          </w:tcPr>
          <w:p w14:paraId="24856831" w14:textId="751CA740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lastRenderedPageBreak/>
              <w:t>od 34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2CFAF226" w14:textId="67493F74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5 kapsúl</w:t>
            </w:r>
          </w:p>
        </w:tc>
      </w:tr>
      <w:tr w:rsidR="00695A5F" w:rsidRPr="00556C24" w14:paraId="2356F8B1" w14:textId="77777777" w:rsidTr="00766F0B">
        <w:tc>
          <w:tcPr>
            <w:tcW w:w="4264" w:type="dxa"/>
            <w:vAlign w:val="center"/>
          </w:tcPr>
          <w:p w14:paraId="530B4593" w14:textId="00143311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40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7278E786" w14:textId="21F7B233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maximálne </w:t>
            </w:r>
            <w:r w:rsidR="00695A5F" w:rsidRPr="00556C24">
              <w:rPr>
                <w:sz w:val="22"/>
                <w:szCs w:val="22"/>
              </w:rPr>
              <w:t>6 kapsúl</w:t>
            </w:r>
          </w:p>
        </w:tc>
      </w:tr>
      <w:tr w:rsidR="00695A5F" w:rsidRPr="00556C24" w14:paraId="2FB72171" w14:textId="77777777" w:rsidTr="00766F0B">
        <w:tc>
          <w:tcPr>
            <w:tcW w:w="4264" w:type="dxa"/>
            <w:vAlign w:val="center"/>
          </w:tcPr>
          <w:p w14:paraId="5A8F5F43" w14:textId="367C09A6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47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494679B0" w14:textId="4F8AF27B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maximálne </w:t>
            </w:r>
            <w:r w:rsidR="00695A5F" w:rsidRPr="00556C24">
              <w:rPr>
                <w:sz w:val="22"/>
                <w:szCs w:val="22"/>
              </w:rPr>
              <w:t>7 kapsúl</w:t>
            </w:r>
          </w:p>
        </w:tc>
      </w:tr>
      <w:tr w:rsidR="00695A5F" w:rsidRPr="00556C24" w14:paraId="7841D964" w14:textId="77777777" w:rsidTr="00766F0B">
        <w:trPr>
          <w:trHeight w:val="257"/>
        </w:trPr>
        <w:tc>
          <w:tcPr>
            <w:tcW w:w="4264" w:type="dxa"/>
            <w:vAlign w:val="center"/>
          </w:tcPr>
          <w:p w14:paraId="1F8AB0FD" w14:textId="208535F9" w:rsidR="00695A5F" w:rsidRPr="00556C24" w:rsidRDefault="00695A5F" w:rsidP="00766F0B">
            <w:pPr>
              <w:pStyle w:val="Hlavika"/>
              <w:spacing w:after="0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54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26B49195" w14:textId="31744A67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maximálne </w:t>
            </w:r>
            <w:r w:rsidR="00695A5F" w:rsidRPr="00556C24">
              <w:rPr>
                <w:sz w:val="22"/>
                <w:szCs w:val="22"/>
              </w:rPr>
              <w:t>8 kapsúl</w:t>
            </w:r>
          </w:p>
        </w:tc>
      </w:tr>
    </w:tbl>
    <w:p w14:paraId="69CD4C38" w14:textId="77777777" w:rsidR="002A1E04" w:rsidRPr="00766F0B" w:rsidRDefault="002A1E04" w:rsidP="000F03EE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</w:p>
    <w:p w14:paraId="03F1ED38" w14:textId="77777777" w:rsidR="005A00A4" w:rsidRPr="00862CC1" w:rsidRDefault="005A00A4">
      <w:pPr>
        <w:pStyle w:val="Bodytext"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862CC1">
        <w:rPr>
          <w:i/>
          <w:iCs/>
          <w:kern w:val="2"/>
          <w:sz w:val="22"/>
          <w:szCs w:val="22"/>
        </w:rPr>
        <w:t>Starší pacienti</w:t>
      </w:r>
    </w:p>
    <w:p w14:paraId="73262DE5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>U starších pacientov nie je potrebná úprava dávkovania.</w:t>
      </w:r>
    </w:p>
    <w:p w14:paraId="1ABB9F02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2ACFCA19" w14:textId="5B3F8137" w:rsidR="005A00A4" w:rsidRPr="00862CC1" w:rsidRDefault="005A00A4">
      <w:pPr>
        <w:pStyle w:val="Bodytext"/>
        <w:keepNext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862CC1">
        <w:rPr>
          <w:i/>
          <w:iCs/>
          <w:kern w:val="2"/>
          <w:sz w:val="22"/>
          <w:szCs w:val="22"/>
        </w:rPr>
        <w:t>Po</w:t>
      </w:r>
      <w:r w:rsidR="002C580F" w:rsidRPr="00862CC1">
        <w:rPr>
          <w:i/>
          <w:iCs/>
          <w:kern w:val="2"/>
          <w:sz w:val="22"/>
          <w:szCs w:val="22"/>
        </w:rPr>
        <w:t>rucha</w:t>
      </w:r>
      <w:r w:rsidRPr="00862CC1">
        <w:rPr>
          <w:i/>
          <w:iCs/>
          <w:kern w:val="2"/>
          <w:sz w:val="22"/>
          <w:szCs w:val="22"/>
        </w:rPr>
        <w:t xml:space="preserve"> funkcie obličiek</w:t>
      </w:r>
    </w:p>
    <w:p w14:paraId="0088E7AB" w14:textId="2E4D0C46" w:rsidR="005A00A4" w:rsidRPr="00862CC1" w:rsidRDefault="005A00A4">
      <w:pPr>
        <w:pStyle w:val="Bodytext"/>
        <w:keepNext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>U pacientov s po</w:t>
      </w:r>
      <w:r w:rsidR="002C580F" w:rsidRPr="00862CC1">
        <w:rPr>
          <w:kern w:val="2"/>
          <w:sz w:val="22"/>
          <w:szCs w:val="22"/>
        </w:rPr>
        <w:t>ruchou</w:t>
      </w:r>
      <w:r w:rsidRPr="00862CC1">
        <w:rPr>
          <w:kern w:val="2"/>
          <w:sz w:val="22"/>
          <w:szCs w:val="22"/>
        </w:rPr>
        <w:t xml:space="preserve"> funkcie obličiek nie je potrebná úprava dávkovania.</w:t>
      </w:r>
    </w:p>
    <w:p w14:paraId="1F2C42A5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00057E47" w14:textId="5CDCA57B" w:rsidR="005A00A4" w:rsidRPr="00862CC1" w:rsidRDefault="005A00A4">
      <w:pPr>
        <w:pStyle w:val="Bodytext"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862CC1">
        <w:rPr>
          <w:i/>
          <w:iCs/>
          <w:kern w:val="2"/>
          <w:sz w:val="22"/>
          <w:szCs w:val="22"/>
        </w:rPr>
        <w:t>Po</w:t>
      </w:r>
      <w:r w:rsidR="002C580F" w:rsidRPr="00862CC1">
        <w:rPr>
          <w:i/>
          <w:iCs/>
          <w:kern w:val="2"/>
          <w:sz w:val="22"/>
          <w:szCs w:val="22"/>
        </w:rPr>
        <w:t>rucha</w:t>
      </w:r>
      <w:r w:rsidRPr="00862CC1">
        <w:rPr>
          <w:i/>
          <w:iCs/>
          <w:kern w:val="2"/>
          <w:sz w:val="22"/>
          <w:szCs w:val="22"/>
        </w:rPr>
        <w:t xml:space="preserve"> funkcie pečene</w:t>
      </w:r>
    </w:p>
    <w:p w14:paraId="6DCA0999" w14:textId="7C28A122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 xml:space="preserve">Vzhľadom na to, že </w:t>
      </w:r>
      <w:proofErr w:type="spellStart"/>
      <w:r w:rsidRPr="00862CC1">
        <w:rPr>
          <w:kern w:val="2"/>
          <w:sz w:val="22"/>
          <w:szCs w:val="22"/>
        </w:rPr>
        <w:t>farmakokinetické</w:t>
      </w:r>
      <w:proofErr w:type="spellEnd"/>
      <w:r w:rsidRPr="00862CC1">
        <w:rPr>
          <w:kern w:val="2"/>
          <w:sz w:val="22"/>
          <w:szCs w:val="22"/>
        </w:rPr>
        <w:t xml:space="preserve"> údaje u pacientov s po</w:t>
      </w:r>
      <w:r w:rsidR="002C580F" w:rsidRPr="00862CC1">
        <w:rPr>
          <w:kern w:val="2"/>
          <w:sz w:val="22"/>
          <w:szCs w:val="22"/>
        </w:rPr>
        <w:t>ruchou</w:t>
      </w:r>
      <w:r w:rsidRPr="00862CC1">
        <w:rPr>
          <w:kern w:val="2"/>
          <w:sz w:val="22"/>
          <w:szCs w:val="22"/>
        </w:rPr>
        <w:t xml:space="preserve"> funkcie pečene nie sú k dispozícii, u týchto pacientov je potrebné užívať </w:t>
      </w:r>
      <w:r w:rsidR="006B0D80" w:rsidRPr="00862CC1">
        <w:rPr>
          <w:kern w:val="2"/>
          <w:sz w:val="22"/>
          <w:szCs w:val="22"/>
        </w:rPr>
        <w:t>liek BELOPERA</w:t>
      </w:r>
      <w:r w:rsidR="002C580F" w:rsidRPr="00862CC1">
        <w:rPr>
          <w:kern w:val="2"/>
          <w:sz w:val="22"/>
          <w:szCs w:val="22"/>
        </w:rPr>
        <w:t xml:space="preserve"> s </w:t>
      </w:r>
      <w:r w:rsidRPr="00862CC1">
        <w:rPr>
          <w:kern w:val="2"/>
          <w:sz w:val="22"/>
          <w:szCs w:val="22"/>
        </w:rPr>
        <w:t>opatrn</w:t>
      </w:r>
      <w:r w:rsidR="002C580F" w:rsidRPr="00862CC1">
        <w:rPr>
          <w:kern w:val="2"/>
          <w:sz w:val="22"/>
          <w:szCs w:val="22"/>
        </w:rPr>
        <w:t>osťou</w:t>
      </w:r>
      <w:r w:rsidRPr="00862CC1">
        <w:rPr>
          <w:kern w:val="2"/>
          <w:sz w:val="22"/>
          <w:szCs w:val="22"/>
        </w:rPr>
        <w:t xml:space="preserve"> kvôli zníženému metabolizmu pri prvom prechode pečeňou (pozri časť 4.4).</w:t>
      </w:r>
    </w:p>
    <w:p w14:paraId="7ADF23AF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5D68F2B9" w14:textId="77777777" w:rsidR="005A00A4" w:rsidRPr="00862CC1" w:rsidRDefault="005A00A4" w:rsidP="00766F0B">
      <w:pPr>
        <w:pStyle w:val="Bodytext"/>
        <w:spacing w:after="120" w:line="240" w:lineRule="auto"/>
        <w:ind w:left="0"/>
        <w:rPr>
          <w:iCs/>
          <w:kern w:val="2"/>
          <w:sz w:val="22"/>
          <w:szCs w:val="22"/>
          <w:u w:val="single"/>
        </w:rPr>
      </w:pPr>
      <w:r w:rsidRPr="00862CC1">
        <w:rPr>
          <w:iCs/>
          <w:kern w:val="2"/>
          <w:sz w:val="22"/>
          <w:szCs w:val="22"/>
          <w:u w:val="single"/>
        </w:rPr>
        <w:t>Spôsob podávania</w:t>
      </w:r>
    </w:p>
    <w:p w14:paraId="1E3490AE" w14:textId="3DBA8119" w:rsidR="005A00A4" w:rsidRPr="00862CC1" w:rsidRDefault="006B0D8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 xml:space="preserve">Na </w:t>
      </w:r>
      <w:r w:rsidR="002C580F" w:rsidRPr="00862CC1">
        <w:rPr>
          <w:kern w:val="2"/>
          <w:sz w:val="22"/>
          <w:szCs w:val="22"/>
        </w:rPr>
        <w:t>perorálne</w:t>
      </w:r>
      <w:r w:rsidR="005A00A4" w:rsidRPr="00862CC1">
        <w:rPr>
          <w:kern w:val="2"/>
          <w:sz w:val="22"/>
          <w:szCs w:val="22"/>
        </w:rPr>
        <w:t xml:space="preserve"> použitie. </w:t>
      </w:r>
      <w:r w:rsidRPr="00862CC1">
        <w:rPr>
          <w:kern w:val="2"/>
          <w:sz w:val="22"/>
          <w:szCs w:val="22"/>
        </w:rPr>
        <w:t>Kapsuly sa musia prehltnúť celé a zap</w:t>
      </w:r>
      <w:r w:rsidR="00630A1D" w:rsidRPr="00862CC1">
        <w:rPr>
          <w:kern w:val="2"/>
          <w:sz w:val="22"/>
          <w:szCs w:val="22"/>
        </w:rPr>
        <w:t>iť</w:t>
      </w:r>
      <w:r w:rsidRPr="00862CC1">
        <w:rPr>
          <w:kern w:val="2"/>
          <w:sz w:val="22"/>
          <w:szCs w:val="22"/>
        </w:rPr>
        <w:t xml:space="preserve"> dostatočným množstvom tekutiny</w:t>
      </w:r>
      <w:r w:rsidR="005A00A4" w:rsidRPr="00862CC1">
        <w:rPr>
          <w:kern w:val="2"/>
          <w:sz w:val="22"/>
          <w:szCs w:val="22"/>
        </w:rPr>
        <w:t>.</w:t>
      </w:r>
    </w:p>
    <w:p w14:paraId="619F2525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3160F6A7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4.3</w:t>
      </w:r>
      <w:r w:rsidRPr="00862CC1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14:paraId="6FE321F5" w14:textId="77777777" w:rsidR="005A00A4" w:rsidRPr="00862CC1" w:rsidRDefault="005A00A4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779AA42B" w14:textId="0C68518C" w:rsidR="005A00A4" w:rsidRPr="00862CC1" w:rsidRDefault="005A00A4" w:rsidP="00766F0B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Precitlivenosť na </w:t>
      </w:r>
      <w:proofErr w:type="spellStart"/>
      <w:r w:rsidR="00062F67" w:rsidRPr="00862CC1">
        <w:rPr>
          <w:sz w:val="22"/>
          <w:szCs w:val="22"/>
        </w:rPr>
        <w:t>loperamidiumchlorid</w:t>
      </w:r>
      <w:proofErr w:type="spellEnd"/>
      <w:r w:rsidR="00062F67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alebo na ktorúkoľvek z pomocných látok uvedených v</w:t>
      </w:r>
      <w:r w:rsidR="00C53402">
        <w:rPr>
          <w:sz w:val="22"/>
          <w:szCs w:val="22"/>
        </w:rPr>
        <w:t> </w:t>
      </w:r>
      <w:r w:rsidRPr="00862CC1">
        <w:rPr>
          <w:sz w:val="22"/>
          <w:szCs w:val="22"/>
        </w:rPr>
        <w:t>časti</w:t>
      </w:r>
      <w:r w:rsidR="00C53402">
        <w:rPr>
          <w:sz w:val="22"/>
          <w:szCs w:val="22"/>
        </w:rPr>
        <w:t> </w:t>
      </w:r>
      <w:r w:rsidRPr="00862CC1">
        <w:rPr>
          <w:sz w:val="22"/>
          <w:szCs w:val="22"/>
        </w:rPr>
        <w:t>6.1.</w:t>
      </w:r>
    </w:p>
    <w:p w14:paraId="6DF2056F" w14:textId="5545BEDC" w:rsidR="00C53402" w:rsidRDefault="00C53402" w:rsidP="00766F0B">
      <w:pPr>
        <w:pStyle w:val="Odsekzoznamu"/>
        <w:ind w:left="0"/>
        <w:rPr>
          <w:sz w:val="22"/>
          <w:szCs w:val="22"/>
        </w:rPr>
      </w:pPr>
    </w:p>
    <w:p w14:paraId="7CF9E9B1" w14:textId="29E71A70" w:rsidR="00D32E81" w:rsidRPr="00862CC1" w:rsidRDefault="00D32E81" w:rsidP="00766F0B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BELOPERA </w:t>
      </w:r>
      <w:r w:rsidRPr="00556C24">
        <w:rPr>
          <w:sz w:val="22"/>
          <w:szCs w:val="22"/>
        </w:rPr>
        <w:t>sa nemá používať na primárnu liečbu</w:t>
      </w:r>
      <w:r>
        <w:rPr>
          <w:sz w:val="22"/>
          <w:szCs w:val="22"/>
        </w:rPr>
        <w:t>:</w:t>
      </w:r>
    </w:p>
    <w:p w14:paraId="430886D5" w14:textId="2DFEAFD9" w:rsidR="00054913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>
        <w:rPr>
          <w:sz w:val="22"/>
          <w:szCs w:val="22"/>
        </w:rPr>
        <w:t>pri a</w:t>
      </w:r>
      <w:r w:rsidRPr="00862CC1">
        <w:rPr>
          <w:sz w:val="22"/>
          <w:szCs w:val="22"/>
        </w:rPr>
        <w:t>kútn</w:t>
      </w:r>
      <w:r>
        <w:rPr>
          <w:sz w:val="22"/>
          <w:szCs w:val="22"/>
        </w:rPr>
        <w:t>ej</w:t>
      </w:r>
      <w:r w:rsidRPr="00862CC1">
        <w:rPr>
          <w:sz w:val="22"/>
          <w:szCs w:val="22"/>
        </w:rPr>
        <w:t xml:space="preserve"> dyzentéri</w:t>
      </w:r>
      <w:r>
        <w:rPr>
          <w:sz w:val="22"/>
          <w:szCs w:val="22"/>
        </w:rPr>
        <w:t>i</w:t>
      </w:r>
      <w:r w:rsidR="00054913" w:rsidRPr="00862CC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ktorá je </w:t>
      </w:r>
      <w:r w:rsidR="00054913" w:rsidRPr="00862CC1">
        <w:rPr>
          <w:sz w:val="22"/>
          <w:szCs w:val="22"/>
        </w:rPr>
        <w:t>charakterizovan</w:t>
      </w:r>
      <w:r w:rsidR="00062F67" w:rsidRPr="00862CC1">
        <w:rPr>
          <w:sz w:val="22"/>
          <w:szCs w:val="22"/>
        </w:rPr>
        <w:t>á</w:t>
      </w:r>
      <w:r w:rsidR="00054913" w:rsidRPr="00862CC1">
        <w:rPr>
          <w:sz w:val="22"/>
          <w:szCs w:val="22"/>
        </w:rPr>
        <w:t xml:space="preserve"> prítomnosťou krvi v stolici a</w:t>
      </w:r>
      <w:r>
        <w:rPr>
          <w:sz w:val="22"/>
          <w:szCs w:val="22"/>
        </w:rPr>
        <w:t>lebo</w:t>
      </w:r>
      <w:r w:rsidR="00054913" w:rsidRPr="00862CC1">
        <w:rPr>
          <w:sz w:val="22"/>
          <w:szCs w:val="22"/>
        </w:rPr>
        <w:t> vysokou horúčkou</w:t>
      </w:r>
      <w:r>
        <w:rPr>
          <w:sz w:val="22"/>
          <w:szCs w:val="22"/>
        </w:rPr>
        <w:t>,</w:t>
      </w:r>
    </w:p>
    <w:p w14:paraId="39296702" w14:textId="02837771" w:rsidR="00062F67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 </w:t>
      </w:r>
      <w:r>
        <w:rPr>
          <w:sz w:val="22"/>
          <w:szCs w:val="22"/>
        </w:rPr>
        <w:t>a</w:t>
      </w:r>
      <w:r w:rsidRPr="00862CC1">
        <w:rPr>
          <w:sz w:val="22"/>
          <w:szCs w:val="22"/>
        </w:rPr>
        <w:t>kútn</w:t>
      </w:r>
      <w:r>
        <w:rPr>
          <w:sz w:val="22"/>
          <w:szCs w:val="22"/>
        </w:rPr>
        <w:t>ou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ulcerózn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kolitíd</w:t>
      </w:r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>,</w:t>
      </w:r>
    </w:p>
    <w:p w14:paraId="0461891A" w14:textId="6AE66E2C" w:rsidR="00054913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 </w:t>
      </w:r>
      <w:proofErr w:type="spellStart"/>
      <w:r>
        <w:rPr>
          <w:sz w:val="22"/>
          <w:szCs w:val="22"/>
        </w:rPr>
        <w:t>p</w:t>
      </w:r>
      <w:r w:rsidRPr="00862CC1">
        <w:rPr>
          <w:sz w:val="22"/>
          <w:szCs w:val="22"/>
        </w:rPr>
        <w:t>seudomembranózn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kolitíd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s</w:t>
      </w:r>
      <w:r w:rsidR="00C53402">
        <w:rPr>
          <w:sz w:val="22"/>
          <w:szCs w:val="22"/>
        </w:rPr>
        <w:t>úvisiacou</w:t>
      </w:r>
      <w:r w:rsidRPr="00862CC1">
        <w:rPr>
          <w:sz w:val="22"/>
          <w:szCs w:val="22"/>
        </w:rPr>
        <w:t xml:space="preserve"> </w:t>
      </w:r>
      <w:r w:rsidR="00054913" w:rsidRPr="00862CC1">
        <w:rPr>
          <w:sz w:val="22"/>
          <w:szCs w:val="22"/>
        </w:rPr>
        <w:t>s užívaním širokospektrálnych antibiotík</w:t>
      </w:r>
      <w:r>
        <w:rPr>
          <w:sz w:val="22"/>
          <w:szCs w:val="22"/>
        </w:rPr>
        <w:t>,</w:t>
      </w:r>
    </w:p>
    <w:p w14:paraId="2CD567F7" w14:textId="6963C864" w:rsidR="00054913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 </w:t>
      </w:r>
      <w:r>
        <w:rPr>
          <w:sz w:val="22"/>
          <w:szCs w:val="22"/>
        </w:rPr>
        <w:t>b</w:t>
      </w:r>
      <w:r w:rsidRPr="00862CC1">
        <w:rPr>
          <w:sz w:val="22"/>
          <w:szCs w:val="22"/>
        </w:rPr>
        <w:t>akteriáln</w:t>
      </w:r>
      <w:r>
        <w:rPr>
          <w:sz w:val="22"/>
          <w:szCs w:val="22"/>
        </w:rPr>
        <w:t>ou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enterokolitíd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spôsoben</w:t>
      </w:r>
      <w:r>
        <w:rPr>
          <w:sz w:val="22"/>
          <w:szCs w:val="22"/>
        </w:rPr>
        <w:t>ou</w:t>
      </w:r>
      <w:r w:rsidRPr="00862CC1">
        <w:rPr>
          <w:sz w:val="22"/>
          <w:szCs w:val="22"/>
        </w:rPr>
        <w:t xml:space="preserve"> </w:t>
      </w:r>
      <w:r w:rsidR="00054913" w:rsidRPr="00862CC1">
        <w:rPr>
          <w:sz w:val="22"/>
          <w:szCs w:val="22"/>
        </w:rPr>
        <w:t xml:space="preserve">invazívnymi organizmami vrátane </w:t>
      </w:r>
      <w:r w:rsidR="002C580F" w:rsidRPr="00862CC1">
        <w:rPr>
          <w:sz w:val="22"/>
          <w:szCs w:val="22"/>
        </w:rPr>
        <w:t xml:space="preserve">rodov </w:t>
      </w:r>
      <w:proofErr w:type="spellStart"/>
      <w:r w:rsidR="002C580F" w:rsidRPr="00862CC1">
        <w:rPr>
          <w:i/>
          <w:sz w:val="22"/>
          <w:szCs w:val="22"/>
        </w:rPr>
        <w:t>Salmonella</w:t>
      </w:r>
      <w:proofErr w:type="spellEnd"/>
      <w:r w:rsidR="002C580F" w:rsidRPr="00862CC1">
        <w:rPr>
          <w:sz w:val="22"/>
          <w:szCs w:val="22"/>
        </w:rPr>
        <w:t xml:space="preserve">, </w:t>
      </w:r>
      <w:proofErr w:type="spellStart"/>
      <w:r w:rsidR="002C580F" w:rsidRPr="00862CC1">
        <w:rPr>
          <w:i/>
          <w:sz w:val="22"/>
          <w:szCs w:val="22"/>
        </w:rPr>
        <w:t>Shigella</w:t>
      </w:r>
      <w:proofErr w:type="spellEnd"/>
      <w:r w:rsidR="002C580F" w:rsidRPr="00862CC1">
        <w:rPr>
          <w:sz w:val="22"/>
          <w:szCs w:val="22"/>
        </w:rPr>
        <w:t xml:space="preserve"> a </w:t>
      </w:r>
      <w:proofErr w:type="spellStart"/>
      <w:r w:rsidR="002C580F" w:rsidRPr="00862CC1">
        <w:rPr>
          <w:i/>
          <w:sz w:val="22"/>
          <w:szCs w:val="22"/>
        </w:rPr>
        <w:t>Campylobacter</w:t>
      </w:r>
      <w:proofErr w:type="spellEnd"/>
      <w:r w:rsidR="00062F67" w:rsidRPr="00862CC1">
        <w:rPr>
          <w:sz w:val="22"/>
          <w:szCs w:val="22"/>
        </w:rPr>
        <w:t>.</w:t>
      </w:r>
    </w:p>
    <w:p w14:paraId="12022714" w14:textId="77777777" w:rsidR="00062F67" w:rsidRPr="00862CC1" w:rsidRDefault="00062F6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7A1F484" w14:textId="7A650C74" w:rsidR="005A00A4" w:rsidRPr="00862CC1" w:rsidRDefault="00062F6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BELOPERA </w:t>
      </w:r>
      <w:r w:rsidR="005A00A4" w:rsidRPr="00862CC1">
        <w:rPr>
          <w:sz w:val="22"/>
          <w:szCs w:val="22"/>
        </w:rPr>
        <w:t xml:space="preserve">sa nemá užívať, ak útlm </w:t>
      </w:r>
      <w:proofErr w:type="spellStart"/>
      <w:r w:rsidR="005A00A4" w:rsidRPr="00862CC1">
        <w:rPr>
          <w:sz w:val="22"/>
          <w:szCs w:val="22"/>
        </w:rPr>
        <w:t>peristaltiky</w:t>
      </w:r>
      <w:proofErr w:type="spellEnd"/>
      <w:r w:rsidR="005A00A4" w:rsidRPr="00862CC1">
        <w:rPr>
          <w:sz w:val="22"/>
          <w:szCs w:val="22"/>
        </w:rPr>
        <w:t xml:space="preserve"> m</w:t>
      </w:r>
      <w:r w:rsidR="00C53402">
        <w:rPr>
          <w:sz w:val="22"/>
          <w:szCs w:val="22"/>
        </w:rPr>
        <w:t>ôže</w:t>
      </w:r>
      <w:r w:rsidR="005A00A4" w:rsidRPr="00862CC1">
        <w:rPr>
          <w:sz w:val="22"/>
          <w:szCs w:val="22"/>
        </w:rPr>
        <w:t xml:space="preserve"> viesť k možnému riziku následkov, ku</w:t>
      </w:r>
      <w:r w:rsidR="000F03EE" w:rsidRPr="00862CC1">
        <w:rPr>
          <w:sz w:val="22"/>
          <w:szCs w:val="22"/>
        </w:rPr>
        <w:t> </w:t>
      </w:r>
      <w:r w:rsidR="005A00A4" w:rsidRPr="00862CC1">
        <w:rPr>
          <w:sz w:val="22"/>
          <w:szCs w:val="22"/>
        </w:rPr>
        <w:t xml:space="preserve">ktorým patrí </w:t>
      </w:r>
      <w:proofErr w:type="spellStart"/>
      <w:r w:rsidR="005A00A4" w:rsidRPr="00862CC1">
        <w:rPr>
          <w:sz w:val="22"/>
          <w:szCs w:val="22"/>
        </w:rPr>
        <w:t>ileus</w:t>
      </w:r>
      <w:proofErr w:type="spellEnd"/>
      <w:r w:rsidR="005A00A4" w:rsidRPr="00862CC1">
        <w:rPr>
          <w:sz w:val="22"/>
          <w:szCs w:val="22"/>
        </w:rPr>
        <w:t xml:space="preserve">, </w:t>
      </w:r>
      <w:proofErr w:type="spellStart"/>
      <w:r w:rsidR="005A00A4" w:rsidRPr="00862CC1">
        <w:rPr>
          <w:sz w:val="22"/>
          <w:szCs w:val="22"/>
        </w:rPr>
        <w:t>megakolón</w:t>
      </w:r>
      <w:proofErr w:type="spellEnd"/>
      <w:r w:rsidR="005A00A4" w:rsidRPr="00862CC1">
        <w:rPr>
          <w:sz w:val="22"/>
          <w:szCs w:val="22"/>
        </w:rPr>
        <w:t xml:space="preserve"> a toxický </w:t>
      </w:r>
      <w:proofErr w:type="spellStart"/>
      <w:r w:rsidR="005A00A4" w:rsidRPr="00862CC1">
        <w:rPr>
          <w:sz w:val="22"/>
          <w:szCs w:val="22"/>
        </w:rPr>
        <w:t>megakolón</w:t>
      </w:r>
      <w:proofErr w:type="spellEnd"/>
      <w:r w:rsidR="005A00A4" w:rsidRPr="00862CC1">
        <w:rPr>
          <w:sz w:val="22"/>
          <w:szCs w:val="22"/>
        </w:rPr>
        <w:t>.</w:t>
      </w:r>
    </w:p>
    <w:p w14:paraId="1B2E6C62" w14:textId="119BB56E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Pri zápche, </w:t>
      </w:r>
      <w:proofErr w:type="spellStart"/>
      <w:r w:rsidRPr="00862CC1">
        <w:rPr>
          <w:sz w:val="22"/>
          <w:szCs w:val="22"/>
        </w:rPr>
        <w:t>abdominálnej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dystenzii</w:t>
      </w:r>
      <w:proofErr w:type="spellEnd"/>
      <w:r w:rsidRPr="00862CC1">
        <w:rPr>
          <w:sz w:val="22"/>
          <w:szCs w:val="22"/>
        </w:rPr>
        <w:t xml:space="preserve"> alebo rozvoji </w:t>
      </w:r>
      <w:proofErr w:type="spellStart"/>
      <w:r w:rsidRPr="00862CC1">
        <w:rPr>
          <w:sz w:val="22"/>
          <w:szCs w:val="22"/>
        </w:rPr>
        <w:t>ilea</w:t>
      </w:r>
      <w:proofErr w:type="spellEnd"/>
      <w:r w:rsidRPr="00862CC1">
        <w:rPr>
          <w:sz w:val="22"/>
          <w:szCs w:val="22"/>
        </w:rPr>
        <w:t xml:space="preserve"> sa musí liečba liekom </w:t>
      </w:r>
      <w:r w:rsidR="00062F67" w:rsidRPr="00862CC1">
        <w:rPr>
          <w:sz w:val="22"/>
          <w:szCs w:val="22"/>
        </w:rPr>
        <w:t xml:space="preserve">BELOPERA </w:t>
      </w:r>
      <w:r w:rsidR="00C53402">
        <w:rPr>
          <w:sz w:val="22"/>
          <w:szCs w:val="22"/>
        </w:rPr>
        <w:t>ihneď</w:t>
      </w:r>
      <w:r w:rsidRPr="00862CC1">
        <w:rPr>
          <w:sz w:val="22"/>
          <w:szCs w:val="22"/>
        </w:rPr>
        <w:t xml:space="preserve"> ukončiť.</w:t>
      </w:r>
    </w:p>
    <w:p w14:paraId="1EE686FE" w14:textId="77777777" w:rsidR="00C53402" w:rsidRDefault="00C53402" w:rsidP="00C53402">
      <w:pPr>
        <w:pStyle w:val="Odsekzoznamu"/>
        <w:ind w:left="0"/>
        <w:rPr>
          <w:sz w:val="22"/>
          <w:szCs w:val="22"/>
        </w:rPr>
      </w:pPr>
    </w:p>
    <w:p w14:paraId="18D6A429" w14:textId="77777777" w:rsidR="00C53402" w:rsidRDefault="00C53402" w:rsidP="00C53402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>BELOPERA sa nemá podávať deťom mladším ako 6 rokov.</w:t>
      </w:r>
    </w:p>
    <w:p w14:paraId="5F00ABF7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7D1FDB2" w14:textId="77777777" w:rsidR="005A00A4" w:rsidRPr="00862CC1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4.4</w:t>
      </w:r>
      <w:r w:rsidRPr="00862CC1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14:paraId="0DFE5CC6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239D9DD" w14:textId="6F649C55" w:rsidR="005A00A4" w:rsidRPr="00862CC1" w:rsidRDefault="005A00A4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Liečba hnačky liekom </w:t>
      </w:r>
      <w:r w:rsidR="00062F67" w:rsidRPr="00862CC1">
        <w:rPr>
          <w:sz w:val="22"/>
          <w:szCs w:val="22"/>
        </w:rPr>
        <w:t>BELOPERA</w:t>
      </w:r>
      <w:r w:rsidRPr="00862CC1">
        <w:rPr>
          <w:sz w:val="22"/>
          <w:szCs w:val="22"/>
        </w:rPr>
        <w:t xml:space="preserve"> je iba symptomatická. Vždy, keď je možné diagnostikovať etiológiu, </w:t>
      </w:r>
      <w:r w:rsidR="008B03D7" w:rsidRPr="00862CC1">
        <w:rPr>
          <w:sz w:val="22"/>
          <w:szCs w:val="22"/>
        </w:rPr>
        <w:t xml:space="preserve">sa má </w:t>
      </w:r>
      <w:r w:rsidRPr="00862CC1">
        <w:rPr>
          <w:sz w:val="22"/>
          <w:szCs w:val="22"/>
        </w:rPr>
        <w:t>v prípade potreby</w:t>
      </w:r>
      <w:r w:rsidR="00C00596" w:rsidRPr="00862CC1">
        <w:rPr>
          <w:sz w:val="22"/>
          <w:szCs w:val="22"/>
        </w:rPr>
        <w:t xml:space="preserve"> začať</w:t>
      </w:r>
      <w:r w:rsidRPr="00862CC1">
        <w:rPr>
          <w:sz w:val="22"/>
          <w:szCs w:val="22"/>
        </w:rPr>
        <w:t xml:space="preserve"> s príslušnou </w:t>
      </w:r>
      <w:r w:rsidR="00C53402">
        <w:rPr>
          <w:sz w:val="22"/>
          <w:szCs w:val="22"/>
        </w:rPr>
        <w:t>špecifickou</w:t>
      </w:r>
      <w:r w:rsidR="00C53402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liečbou.</w:t>
      </w:r>
    </w:p>
    <w:p w14:paraId="3067ED7F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18FE6B8" w14:textId="59A57CE8" w:rsidR="00D32E81" w:rsidRPr="00556C24" w:rsidRDefault="00062F67" w:rsidP="00D32E81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Prioritou pri akútnej hnačke je prevencia alebo zvrátenie </w:t>
      </w:r>
      <w:proofErr w:type="spellStart"/>
      <w:r w:rsidRPr="00862CC1">
        <w:rPr>
          <w:sz w:val="22"/>
          <w:szCs w:val="22"/>
        </w:rPr>
        <w:t>deplécie</w:t>
      </w:r>
      <w:proofErr w:type="spellEnd"/>
      <w:r w:rsidRPr="00862CC1">
        <w:rPr>
          <w:sz w:val="22"/>
          <w:szCs w:val="22"/>
        </w:rPr>
        <w:t xml:space="preserve"> tekutín a elektrolytov. Toto je dôležité najmä u detí, u oslabených jedincov a starších pacientov s akútnou hnačkou. V takýchto prípadoch je podanie primeranej substitučnej liečby zameranej na doplnenie tekutín a elektrolytov najdôležitejším opatrením.</w:t>
      </w:r>
      <w:r w:rsidR="00D32E81">
        <w:rPr>
          <w:sz w:val="22"/>
          <w:szCs w:val="22"/>
        </w:rPr>
        <w:t xml:space="preserve"> BELOPERA sa </w:t>
      </w:r>
      <w:r w:rsidR="00D32E81" w:rsidRPr="00556C24">
        <w:rPr>
          <w:sz w:val="22"/>
          <w:szCs w:val="22"/>
        </w:rPr>
        <w:t>nem</w:t>
      </w:r>
      <w:r w:rsidR="00D32E81">
        <w:rPr>
          <w:sz w:val="22"/>
          <w:szCs w:val="22"/>
        </w:rPr>
        <w:t>á</w:t>
      </w:r>
      <w:r w:rsidR="00D32E81" w:rsidRPr="00556C24">
        <w:rPr>
          <w:sz w:val="22"/>
          <w:szCs w:val="22"/>
        </w:rPr>
        <w:t xml:space="preserve"> podávať deťom </w:t>
      </w:r>
      <w:r w:rsidR="00D32E81">
        <w:rPr>
          <w:sz w:val="22"/>
          <w:szCs w:val="22"/>
        </w:rPr>
        <w:t>mladším ako</w:t>
      </w:r>
      <w:r w:rsidR="00D32E81" w:rsidRPr="00556C24">
        <w:rPr>
          <w:sz w:val="22"/>
          <w:szCs w:val="22"/>
        </w:rPr>
        <w:t xml:space="preserve"> 6</w:t>
      </w:r>
      <w:r w:rsidR="00D32E81">
        <w:rPr>
          <w:sz w:val="22"/>
          <w:szCs w:val="22"/>
        </w:rPr>
        <w:t xml:space="preserve"> rokov</w:t>
      </w:r>
      <w:r w:rsidR="00D32E81" w:rsidRPr="00556C24">
        <w:rPr>
          <w:sz w:val="22"/>
          <w:szCs w:val="22"/>
        </w:rPr>
        <w:t>.</w:t>
      </w:r>
    </w:p>
    <w:p w14:paraId="3B7ACBA3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F52656E" w14:textId="54532387" w:rsidR="00D74979" w:rsidRPr="00862CC1" w:rsidRDefault="00D74979">
      <w:pPr>
        <w:rPr>
          <w:sz w:val="22"/>
          <w:szCs w:val="22"/>
        </w:rPr>
      </w:pPr>
      <w:r w:rsidRPr="00862CC1">
        <w:rPr>
          <w:sz w:val="22"/>
          <w:szCs w:val="22"/>
        </w:rPr>
        <w:t>Ak sa pri akútnej hnačke nepozoruje klinické zlepšenie do 48 hodín, podávanie lieku BELOPERA</w:t>
      </w:r>
      <w:r w:rsidR="000F03EE" w:rsidRPr="00862CC1">
        <w:rPr>
          <w:sz w:val="22"/>
          <w:szCs w:val="22"/>
        </w:rPr>
        <w:t xml:space="preserve"> sa </w:t>
      </w:r>
      <w:r w:rsidRPr="00862CC1">
        <w:rPr>
          <w:sz w:val="22"/>
          <w:szCs w:val="22"/>
        </w:rPr>
        <w:t>má preruš</w:t>
      </w:r>
      <w:r w:rsidR="000F03EE" w:rsidRPr="00862CC1">
        <w:rPr>
          <w:sz w:val="22"/>
          <w:szCs w:val="22"/>
        </w:rPr>
        <w:t>iť</w:t>
      </w:r>
      <w:r w:rsidRPr="00862CC1">
        <w:rPr>
          <w:sz w:val="22"/>
          <w:szCs w:val="22"/>
        </w:rPr>
        <w:t xml:space="preserve"> a pacienti majú kontaktovať svojho lekára.</w:t>
      </w:r>
    </w:p>
    <w:p w14:paraId="270A1A95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9AA9601" w14:textId="2C66C48A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lastRenderedPageBreak/>
        <w:t xml:space="preserve">U pacientov s AIDS, u ktorých je hnačka liečená liekom </w:t>
      </w:r>
      <w:r w:rsidR="00BE263C" w:rsidRPr="00862CC1">
        <w:rPr>
          <w:sz w:val="22"/>
          <w:szCs w:val="22"/>
        </w:rPr>
        <w:t>BELOPERA</w:t>
      </w:r>
      <w:r w:rsidRPr="00862CC1">
        <w:rPr>
          <w:sz w:val="22"/>
          <w:szCs w:val="22"/>
        </w:rPr>
        <w:t xml:space="preserve">, </w:t>
      </w:r>
      <w:r w:rsidR="000F03EE" w:rsidRPr="00862CC1">
        <w:rPr>
          <w:sz w:val="22"/>
          <w:szCs w:val="22"/>
        </w:rPr>
        <w:t xml:space="preserve">sa </w:t>
      </w:r>
      <w:r w:rsidRPr="00862CC1">
        <w:rPr>
          <w:sz w:val="22"/>
          <w:szCs w:val="22"/>
        </w:rPr>
        <w:t>má liečba ukonč</w:t>
      </w:r>
      <w:r w:rsidR="000F03EE" w:rsidRPr="00862CC1">
        <w:rPr>
          <w:sz w:val="22"/>
          <w:szCs w:val="22"/>
        </w:rPr>
        <w:t>iť</w:t>
      </w:r>
      <w:r w:rsidRPr="00862CC1">
        <w:rPr>
          <w:sz w:val="22"/>
          <w:szCs w:val="22"/>
        </w:rPr>
        <w:t xml:space="preserve"> pri prvých príznakoch </w:t>
      </w:r>
      <w:proofErr w:type="spellStart"/>
      <w:r w:rsidRPr="00862CC1">
        <w:rPr>
          <w:sz w:val="22"/>
          <w:szCs w:val="22"/>
        </w:rPr>
        <w:t>abdominálnej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dystenzie</w:t>
      </w:r>
      <w:proofErr w:type="spellEnd"/>
      <w:r w:rsidRPr="00862CC1">
        <w:rPr>
          <w:sz w:val="22"/>
          <w:szCs w:val="22"/>
        </w:rPr>
        <w:t xml:space="preserve">. U pacientov s AIDS a infekčnou </w:t>
      </w:r>
      <w:proofErr w:type="spellStart"/>
      <w:r w:rsidRPr="00862CC1">
        <w:rPr>
          <w:sz w:val="22"/>
          <w:szCs w:val="22"/>
        </w:rPr>
        <w:t>kolitídou</w:t>
      </w:r>
      <w:proofErr w:type="spellEnd"/>
      <w:r w:rsidRPr="00862CC1">
        <w:rPr>
          <w:sz w:val="22"/>
          <w:szCs w:val="22"/>
        </w:rPr>
        <w:t xml:space="preserve"> spôsobenou vírusmi a bakteriálnymi patogénmi, ktorí boli liečení </w:t>
      </w:r>
      <w:proofErr w:type="spellStart"/>
      <w:r w:rsidR="00684465" w:rsidRPr="00862CC1">
        <w:rPr>
          <w:sz w:val="22"/>
          <w:szCs w:val="22"/>
        </w:rPr>
        <w:t>loperamidiumchloridom</w:t>
      </w:r>
      <w:proofErr w:type="spellEnd"/>
      <w:r w:rsidRPr="00862CC1">
        <w:rPr>
          <w:sz w:val="22"/>
          <w:szCs w:val="22"/>
        </w:rPr>
        <w:t xml:space="preserve">, sa vyskytli izolované hlásenia zápchy so zvýšeným rizikom toxického </w:t>
      </w:r>
      <w:proofErr w:type="spellStart"/>
      <w:r w:rsidRPr="00862CC1">
        <w:rPr>
          <w:sz w:val="22"/>
          <w:szCs w:val="22"/>
        </w:rPr>
        <w:t>megakolónu</w:t>
      </w:r>
      <w:proofErr w:type="spellEnd"/>
      <w:r w:rsidRPr="00862CC1">
        <w:rPr>
          <w:sz w:val="22"/>
          <w:szCs w:val="22"/>
        </w:rPr>
        <w:t>.</w:t>
      </w:r>
    </w:p>
    <w:p w14:paraId="30496FF8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C593B23" w14:textId="1A9AB29C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sz w:val="22"/>
          <w:szCs w:val="22"/>
        </w:rPr>
        <w:t xml:space="preserve">Vzhľadom na to, že </w:t>
      </w:r>
      <w:proofErr w:type="spellStart"/>
      <w:r w:rsidRPr="00862CC1">
        <w:rPr>
          <w:sz w:val="22"/>
          <w:szCs w:val="22"/>
        </w:rPr>
        <w:t>farmakokinetické</w:t>
      </w:r>
      <w:proofErr w:type="spellEnd"/>
      <w:r w:rsidRPr="00862CC1">
        <w:rPr>
          <w:sz w:val="22"/>
          <w:szCs w:val="22"/>
        </w:rPr>
        <w:t xml:space="preserve"> údaje u pacientov s po</w:t>
      </w:r>
      <w:r w:rsidR="000F03EE" w:rsidRPr="00862CC1">
        <w:rPr>
          <w:sz w:val="22"/>
          <w:szCs w:val="22"/>
        </w:rPr>
        <w:t xml:space="preserve">ruchou </w:t>
      </w:r>
      <w:r w:rsidRPr="00862CC1">
        <w:rPr>
          <w:sz w:val="22"/>
          <w:szCs w:val="22"/>
        </w:rPr>
        <w:t xml:space="preserve">funkcie pečene nie sú k dispozícii, je u týchto pacientov potrebné užívať </w:t>
      </w:r>
      <w:r w:rsidR="00BE263C" w:rsidRPr="00862CC1">
        <w:rPr>
          <w:sz w:val="22"/>
          <w:szCs w:val="22"/>
        </w:rPr>
        <w:t>liek BELOPERA</w:t>
      </w:r>
      <w:r w:rsidRPr="00862CC1">
        <w:rPr>
          <w:sz w:val="22"/>
          <w:szCs w:val="22"/>
        </w:rPr>
        <w:t xml:space="preserve"> s opatrnosťou vzhľadom na</w:t>
      </w:r>
      <w:r w:rsidR="000F03EE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znížený metabolizmus pri prvom prechode pečeňou. </w:t>
      </w:r>
      <w:r w:rsidRPr="00862CC1">
        <w:rPr>
          <w:kern w:val="2"/>
          <w:sz w:val="22"/>
          <w:szCs w:val="22"/>
        </w:rPr>
        <w:t>Tento liek sa musí užívať s opatrnosťou u pacientov s po</w:t>
      </w:r>
      <w:r w:rsidR="000F03EE" w:rsidRPr="00862CC1">
        <w:rPr>
          <w:kern w:val="2"/>
          <w:sz w:val="22"/>
          <w:szCs w:val="22"/>
        </w:rPr>
        <w:t>ruchou</w:t>
      </w:r>
      <w:r w:rsidRPr="00862CC1">
        <w:rPr>
          <w:kern w:val="2"/>
          <w:sz w:val="22"/>
          <w:szCs w:val="22"/>
        </w:rPr>
        <w:t xml:space="preserve"> funkci</w:t>
      </w:r>
      <w:r w:rsidR="00424C3F">
        <w:rPr>
          <w:kern w:val="2"/>
          <w:sz w:val="22"/>
          <w:szCs w:val="22"/>
        </w:rPr>
        <w:t>e</w:t>
      </w:r>
      <w:r w:rsidRPr="00862CC1">
        <w:rPr>
          <w:kern w:val="2"/>
          <w:sz w:val="22"/>
          <w:szCs w:val="22"/>
        </w:rPr>
        <w:t xml:space="preserve"> pečene vzhľadom na to, že môže dôjsť k relatívnemu predávkovaniu vedúcemu k intoxikácii </w:t>
      </w:r>
      <w:r w:rsidR="00A56133" w:rsidRPr="00862CC1">
        <w:rPr>
          <w:sz w:val="22"/>
          <w:szCs w:val="22"/>
        </w:rPr>
        <w:t>centráln</w:t>
      </w:r>
      <w:r w:rsidR="00A56133">
        <w:rPr>
          <w:sz w:val="22"/>
          <w:szCs w:val="22"/>
        </w:rPr>
        <w:t>eho</w:t>
      </w:r>
      <w:r w:rsidR="00A56133" w:rsidRPr="00862CC1">
        <w:rPr>
          <w:sz w:val="22"/>
          <w:szCs w:val="22"/>
        </w:rPr>
        <w:t xml:space="preserve"> nervov</w:t>
      </w:r>
      <w:r w:rsidR="00A56133">
        <w:rPr>
          <w:sz w:val="22"/>
          <w:szCs w:val="22"/>
        </w:rPr>
        <w:t>ého</w:t>
      </w:r>
      <w:r w:rsidR="00A56133" w:rsidRPr="00862CC1">
        <w:rPr>
          <w:sz w:val="22"/>
          <w:szCs w:val="22"/>
        </w:rPr>
        <w:t xml:space="preserve"> systém</w:t>
      </w:r>
      <w:r w:rsidR="00A56133">
        <w:rPr>
          <w:sz w:val="22"/>
          <w:szCs w:val="22"/>
        </w:rPr>
        <w:t>u</w:t>
      </w:r>
      <w:r w:rsidR="00A56133" w:rsidRPr="00862CC1">
        <w:rPr>
          <w:kern w:val="2"/>
          <w:sz w:val="22"/>
          <w:szCs w:val="22"/>
        </w:rPr>
        <w:t xml:space="preserve"> </w:t>
      </w:r>
      <w:r w:rsidR="00A56133">
        <w:rPr>
          <w:kern w:val="2"/>
          <w:sz w:val="22"/>
          <w:szCs w:val="22"/>
        </w:rPr>
        <w:t>(</w:t>
      </w:r>
      <w:r w:rsidRPr="00862CC1">
        <w:rPr>
          <w:kern w:val="2"/>
          <w:sz w:val="22"/>
          <w:szCs w:val="22"/>
        </w:rPr>
        <w:t>CNS</w:t>
      </w:r>
      <w:r w:rsidR="00A56133">
        <w:rPr>
          <w:kern w:val="2"/>
          <w:sz w:val="22"/>
          <w:szCs w:val="22"/>
        </w:rPr>
        <w:t>)</w:t>
      </w:r>
      <w:r w:rsidRPr="00862CC1">
        <w:rPr>
          <w:kern w:val="2"/>
          <w:sz w:val="22"/>
          <w:szCs w:val="22"/>
        </w:rPr>
        <w:t>.</w:t>
      </w:r>
    </w:p>
    <w:p w14:paraId="3E68AAF1" w14:textId="77777777" w:rsidR="0034696A" w:rsidRPr="00862CC1" w:rsidRDefault="0034696A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04C1181E" w14:textId="3406C250" w:rsidR="00B44A5E" w:rsidRDefault="0034696A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 xml:space="preserve">V súvislosti s predávkovaním boli hlásené srdcové udalosti vrátane predĺženia intervalu </w:t>
      </w:r>
      <w:r w:rsidR="006446D9">
        <w:rPr>
          <w:kern w:val="2"/>
          <w:sz w:val="22"/>
          <w:szCs w:val="22"/>
        </w:rPr>
        <w:t xml:space="preserve">QT a komplexu QRS </w:t>
      </w:r>
      <w:r w:rsidRPr="00862CC1">
        <w:rPr>
          <w:kern w:val="2"/>
          <w:sz w:val="22"/>
          <w:szCs w:val="22"/>
        </w:rPr>
        <w:t xml:space="preserve">a tzv. </w:t>
      </w:r>
      <w:proofErr w:type="spellStart"/>
      <w:r w:rsidRPr="000C4F7E">
        <w:rPr>
          <w:i/>
          <w:kern w:val="2"/>
          <w:sz w:val="22"/>
          <w:szCs w:val="22"/>
        </w:rPr>
        <w:t>torsades</w:t>
      </w:r>
      <w:proofErr w:type="spellEnd"/>
      <w:r w:rsidRPr="000C4F7E">
        <w:rPr>
          <w:i/>
          <w:kern w:val="2"/>
          <w:sz w:val="22"/>
          <w:szCs w:val="22"/>
        </w:rPr>
        <w:t xml:space="preserve"> </w:t>
      </w:r>
      <w:proofErr w:type="spellStart"/>
      <w:r w:rsidRPr="000C4F7E">
        <w:rPr>
          <w:i/>
          <w:kern w:val="2"/>
          <w:sz w:val="22"/>
          <w:szCs w:val="22"/>
        </w:rPr>
        <w:t>de</w:t>
      </w:r>
      <w:proofErr w:type="spellEnd"/>
      <w:r w:rsidRPr="000C4F7E">
        <w:rPr>
          <w:i/>
          <w:kern w:val="2"/>
          <w:sz w:val="22"/>
          <w:szCs w:val="22"/>
        </w:rPr>
        <w:t xml:space="preserve"> </w:t>
      </w:r>
      <w:proofErr w:type="spellStart"/>
      <w:r w:rsidRPr="000C4F7E">
        <w:rPr>
          <w:i/>
          <w:kern w:val="2"/>
          <w:sz w:val="22"/>
          <w:szCs w:val="22"/>
        </w:rPr>
        <w:t>pointes</w:t>
      </w:r>
      <w:proofErr w:type="spellEnd"/>
      <w:r w:rsidRPr="00862CC1">
        <w:rPr>
          <w:kern w:val="2"/>
          <w:sz w:val="22"/>
          <w:szCs w:val="22"/>
        </w:rPr>
        <w:t xml:space="preserve">. </w:t>
      </w:r>
      <w:r w:rsidR="00E04300">
        <w:rPr>
          <w:kern w:val="2"/>
          <w:sz w:val="22"/>
          <w:szCs w:val="22"/>
        </w:rPr>
        <w:t xml:space="preserve">Predávkovanie môže odhaliť existujúci </w:t>
      </w:r>
      <w:proofErr w:type="spellStart"/>
      <w:r w:rsidR="00E04300">
        <w:rPr>
          <w:kern w:val="2"/>
          <w:sz w:val="22"/>
          <w:szCs w:val="22"/>
        </w:rPr>
        <w:t>Brugadov</w:t>
      </w:r>
      <w:proofErr w:type="spellEnd"/>
      <w:r w:rsidR="00E04300">
        <w:rPr>
          <w:kern w:val="2"/>
          <w:sz w:val="22"/>
          <w:szCs w:val="22"/>
        </w:rPr>
        <w:t xml:space="preserve"> syndróm. </w:t>
      </w:r>
      <w:r w:rsidRPr="00862CC1">
        <w:rPr>
          <w:kern w:val="2"/>
          <w:sz w:val="22"/>
          <w:szCs w:val="22"/>
        </w:rPr>
        <w:t>Niektoré prípady sa skončili smrťou (pozri časť 4.9). Pacienti nemajú prekročiť odporúčanú dávku a/ani odporúčan</w:t>
      </w:r>
      <w:r w:rsidR="00386287" w:rsidRPr="00862CC1">
        <w:rPr>
          <w:kern w:val="2"/>
          <w:sz w:val="22"/>
          <w:szCs w:val="22"/>
        </w:rPr>
        <w:t>é</w:t>
      </w:r>
      <w:r w:rsidRPr="00862CC1">
        <w:rPr>
          <w:kern w:val="2"/>
          <w:sz w:val="22"/>
          <w:szCs w:val="22"/>
        </w:rPr>
        <w:t xml:space="preserve"> trvanie liečby.</w:t>
      </w:r>
    </w:p>
    <w:p w14:paraId="498652EC" w14:textId="77777777" w:rsidR="00BE263C" w:rsidRPr="00173733" w:rsidRDefault="00BE263C" w:rsidP="001A5CBB">
      <w:pPr>
        <w:pStyle w:val="Normlnywebov"/>
        <w:spacing w:before="0" w:beforeAutospacing="0" w:after="0" w:afterAutospacing="0"/>
        <w:rPr>
          <w:bCs/>
          <w:sz w:val="22"/>
          <w:szCs w:val="22"/>
          <w:lang w:val="sk-SK"/>
        </w:rPr>
      </w:pPr>
    </w:p>
    <w:p w14:paraId="1F906E52" w14:textId="1E938547" w:rsidR="00BE263C" w:rsidRPr="00862CC1" w:rsidRDefault="00BE263C" w:rsidP="006D42C7">
      <w:pPr>
        <w:numPr>
          <w:ilvl w:val="12"/>
          <w:numId w:val="0"/>
        </w:numPr>
        <w:rPr>
          <w:sz w:val="22"/>
          <w:szCs w:val="22"/>
        </w:rPr>
      </w:pPr>
      <w:r w:rsidRPr="00766F0B">
        <w:rPr>
          <w:sz w:val="22"/>
          <w:szCs w:val="22"/>
        </w:rPr>
        <w:t xml:space="preserve">BELOPERA obsahuje </w:t>
      </w:r>
      <w:proofErr w:type="spellStart"/>
      <w:r w:rsidRPr="00766F0B">
        <w:rPr>
          <w:sz w:val="22"/>
          <w:szCs w:val="22"/>
        </w:rPr>
        <w:t>monohydr</w:t>
      </w:r>
      <w:r w:rsidR="00BE0F1A" w:rsidRPr="00766F0B">
        <w:rPr>
          <w:sz w:val="22"/>
          <w:szCs w:val="22"/>
        </w:rPr>
        <w:t>át</w:t>
      </w:r>
      <w:proofErr w:type="spellEnd"/>
      <w:r w:rsidRPr="00766F0B">
        <w:rPr>
          <w:sz w:val="22"/>
          <w:szCs w:val="22"/>
        </w:rPr>
        <w:t xml:space="preserve"> laktózy</w:t>
      </w:r>
      <w:r w:rsidRPr="00360A28">
        <w:rPr>
          <w:sz w:val="22"/>
          <w:szCs w:val="22"/>
        </w:rPr>
        <w:t xml:space="preserve">. </w:t>
      </w:r>
      <w:r w:rsidR="00684465" w:rsidRPr="00862CC1">
        <w:rPr>
          <w:sz w:val="22"/>
          <w:szCs w:val="22"/>
        </w:rPr>
        <w:t xml:space="preserve">Pacienti so zriedkavými dedičnými problémami intolerancie </w:t>
      </w:r>
      <w:proofErr w:type="spellStart"/>
      <w:r w:rsidR="00684465" w:rsidRPr="00862CC1">
        <w:rPr>
          <w:sz w:val="22"/>
          <w:szCs w:val="22"/>
        </w:rPr>
        <w:t>galaktózy</w:t>
      </w:r>
      <w:proofErr w:type="spellEnd"/>
      <w:r w:rsidR="00684465" w:rsidRPr="00862CC1">
        <w:rPr>
          <w:sz w:val="22"/>
          <w:szCs w:val="22"/>
        </w:rPr>
        <w:t xml:space="preserve">, </w:t>
      </w:r>
      <w:r w:rsidR="00360A28">
        <w:rPr>
          <w:sz w:val="22"/>
          <w:szCs w:val="22"/>
        </w:rPr>
        <w:t>celkovým</w:t>
      </w:r>
      <w:r w:rsidR="004C442A" w:rsidRPr="00862CC1">
        <w:rPr>
          <w:sz w:val="22"/>
          <w:szCs w:val="22"/>
        </w:rPr>
        <w:t xml:space="preserve"> deficit</w:t>
      </w:r>
      <w:r w:rsidR="00360A28">
        <w:rPr>
          <w:sz w:val="22"/>
          <w:szCs w:val="22"/>
        </w:rPr>
        <w:t>om</w:t>
      </w:r>
      <w:r w:rsidR="004C442A" w:rsidRPr="00862CC1">
        <w:rPr>
          <w:sz w:val="22"/>
          <w:szCs w:val="22"/>
        </w:rPr>
        <w:t xml:space="preserve"> </w:t>
      </w:r>
      <w:proofErr w:type="spellStart"/>
      <w:r w:rsidR="004C442A" w:rsidRPr="00862CC1">
        <w:rPr>
          <w:sz w:val="22"/>
          <w:szCs w:val="22"/>
        </w:rPr>
        <w:t>laktázy</w:t>
      </w:r>
      <w:proofErr w:type="spellEnd"/>
      <w:r w:rsidR="004C442A" w:rsidRPr="00862CC1">
        <w:rPr>
          <w:sz w:val="22"/>
          <w:szCs w:val="22"/>
        </w:rPr>
        <w:t xml:space="preserve"> </w:t>
      </w:r>
      <w:r w:rsidR="00684465" w:rsidRPr="00862CC1">
        <w:rPr>
          <w:sz w:val="22"/>
          <w:szCs w:val="22"/>
        </w:rPr>
        <w:t xml:space="preserve">alebo </w:t>
      </w:r>
      <w:proofErr w:type="spellStart"/>
      <w:r w:rsidR="00684465" w:rsidRPr="00862CC1">
        <w:rPr>
          <w:sz w:val="22"/>
          <w:szCs w:val="22"/>
        </w:rPr>
        <w:t>glukózo-galaktózov</w:t>
      </w:r>
      <w:r w:rsidR="00360A28">
        <w:rPr>
          <w:sz w:val="22"/>
          <w:szCs w:val="22"/>
        </w:rPr>
        <w:t>ou</w:t>
      </w:r>
      <w:proofErr w:type="spellEnd"/>
      <w:r w:rsidR="00684465" w:rsidRPr="00862CC1">
        <w:rPr>
          <w:sz w:val="22"/>
          <w:szCs w:val="22"/>
        </w:rPr>
        <w:t xml:space="preserve"> </w:t>
      </w:r>
      <w:proofErr w:type="spellStart"/>
      <w:r w:rsidR="00684465" w:rsidRPr="00862CC1">
        <w:rPr>
          <w:sz w:val="22"/>
          <w:szCs w:val="22"/>
        </w:rPr>
        <w:t>malabsorpci</w:t>
      </w:r>
      <w:r w:rsidR="00360A28">
        <w:rPr>
          <w:sz w:val="22"/>
          <w:szCs w:val="22"/>
        </w:rPr>
        <w:t>ou</w:t>
      </w:r>
      <w:proofErr w:type="spellEnd"/>
      <w:r w:rsidR="00684465" w:rsidRPr="00862CC1">
        <w:rPr>
          <w:sz w:val="22"/>
          <w:szCs w:val="22"/>
        </w:rPr>
        <w:t xml:space="preserve"> nesmú užívať tento liek.</w:t>
      </w:r>
    </w:p>
    <w:p w14:paraId="02E50327" w14:textId="77777777" w:rsidR="00BE263C" w:rsidRPr="00173733" w:rsidRDefault="00BE263C" w:rsidP="00173733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6B6ADF6" w14:textId="4DB2281E" w:rsidR="00BE263C" w:rsidRPr="00862CC1" w:rsidRDefault="00BE263C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766F0B">
        <w:rPr>
          <w:sz w:val="22"/>
          <w:szCs w:val="22"/>
        </w:rPr>
        <w:t xml:space="preserve">BELOPERA obsahuje </w:t>
      </w:r>
      <w:proofErr w:type="spellStart"/>
      <w:r w:rsidRPr="00766F0B">
        <w:rPr>
          <w:sz w:val="22"/>
          <w:szCs w:val="22"/>
        </w:rPr>
        <w:t>azorubín</w:t>
      </w:r>
      <w:proofErr w:type="spellEnd"/>
      <w:r w:rsidRPr="00766F0B">
        <w:rPr>
          <w:sz w:val="22"/>
          <w:szCs w:val="22"/>
        </w:rPr>
        <w:t xml:space="preserve"> (E122),</w:t>
      </w:r>
      <w:r w:rsidRPr="00862CC1">
        <w:rPr>
          <w:sz w:val="22"/>
          <w:szCs w:val="22"/>
        </w:rPr>
        <w:t xml:space="preserve"> ktorý môže spôsobiť alergické reakcie.</w:t>
      </w:r>
    </w:p>
    <w:p w14:paraId="493C7216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EF19DEB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4.5</w:t>
      </w:r>
      <w:r w:rsidRPr="00862CC1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14:paraId="064417BE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D4F7F8E" w14:textId="46B9E622" w:rsidR="005A00A4" w:rsidRPr="00862CC1" w:rsidRDefault="00314B03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Pred</w:t>
      </w:r>
      <w:r w:rsidR="005A00A4" w:rsidRPr="00862CC1">
        <w:rPr>
          <w:sz w:val="22"/>
          <w:szCs w:val="22"/>
        </w:rPr>
        <w:t xml:space="preserve">klinické údaje preukázali, že </w:t>
      </w:r>
      <w:proofErr w:type="spellStart"/>
      <w:r w:rsidR="005A00A4" w:rsidRPr="00862CC1">
        <w:rPr>
          <w:sz w:val="22"/>
          <w:szCs w:val="22"/>
        </w:rPr>
        <w:t>loperamid</w:t>
      </w:r>
      <w:proofErr w:type="spellEnd"/>
      <w:r w:rsidR="005A00A4" w:rsidRPr="00862CC1">
        <w:rPr>
          <w:sz w:val="22"/>
          <w:szCs w:val="22"/>
        </w:rPr>
        <w:t xml:space="preserve"> je substrátom </w:t>
      </w:r>
      <w:proofErr w:type="spellStart"/>
      <w:r w:rsidR="005A00A4" w:rsidRPr="00862CC1">
        <w:rPr>
          <w:sz w:val="22"/>
          <w:szCs w:val="22"/>
        </w:rPr>
        <w:t>P-glykoproteínu</w:t>
      </w:r>
      <w:proofErr w:type="spellEnd"/>
      <w:r w:rsidR="005A00A4" w:rsidRPr="00862CC1">
        <w:rPr>
          <w:sz w:val="22"/>
          <w:szCs w:val="22"/>
        </w:rPr>
        <w:t>.</w:t>
      </w:r>
    </w:p>
    <w:p w14:paraId="6DDD58E1" w14:textId="1C6CB130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8B03D7" w:rsidRPr="00862CC1">
        <w:rPr>
          <w:sz w:val="22"/>
          <w:szCs w:val="22"/>
        </w:rPr>
        <w:t>bežné</w:t>
      </w:r>
      <w:r w:rsidRPr="00862CC1">
        <w:rPr>
          <w:sz w:val="22"/>
          <w:szCs w:val="22"/>
        </w:rPr>
        <w:t xml:space="preserve"> užívanie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(jednorazová dávka 16</w:t>
      </w:r>
      <w:r w:rsidR="00A56133">
        <w:rPr>
          <w:sz w:val="22"/>
          <w:szCs w:val="22"/>
        </w:rPr>
        <w:t> </w:t>
      </w:r>
      <w:r w:rsidRPr="00862CC1">
        <w:rPr>
          <w:sz w:val="22"/>
          <w:szCs w:val="22"/>
        </w:rPr>
        <w:t>mg) s </w:t>
      </w:r>
      <w:proofErr w:type="spellStart"/>
      <w:r w:rsidRPr="00862CC1">
        <w:rPr>
          <w:sz w:val="22"/>
          <w:szCs w:val="22"/>
        </w:rPr>
        <w:t>chinidínom</w:t>
      </w:r>
      <w:proofErr w:type="spellEnd"/>
      <w:r w:rsidRPr="00862CC1">
        <w:rPr>
          <w:sz w:val="22"/>
          <w:szCs w:val="22"/>
        </w:rPr>
        <w:t xml:space="preserve"> alebo </w:t>
      </w:r>
      <w:proofErr w:type="spellStart"/>
      <w:r w:rsidRPr="00862CC1">
        <w:rPr>
          <w:sz w:val="22"/>
          <w:szCs w:val="22"/>
        </w:rPr>
        <w:t>ritonavirom</w:t>
      </w:r>
      <w:proofErr w:type="spellEnd"/>
      <w:r w:rsidRPr="00862CC1">
        <w:rPr>
          <w:sz w:val="22"/>
          <w:szCs w:val="22"/>
        </w:rPr>
        <w:t xml:space="preserve">, ktoré patria k inhibítorom </w:t>
      </w:r>
      <w:proofErr w:type="spellStart"/>
      <w:r w:rsidRPr="00862CC1">
        <w:rPr>
          <w:sz w:val="22"/>
          <w:szCs w:val="22"/>
        </w:rPr>
        <w:t>P-glykoproteínu</w:t>
      </w:r>
      <w:proofErr w:type="spellEnd"/>
      <w:r w:rsidRPr="00862CC1">
        <w:rPr>
          <w:sz w:val="22"/>
          <w:szCs w:val="22"/>
        </w:rPr>
        <w:t>, vedie k</w:t>
      </w:r>
      <w:r w:rsidR="00314B03" w:rsidRPr="00862CC1">
        <w:rPr>
          <w:sz w:val="22"/>
          <w:szCs w:val="22"/>
        </w:rPr>
        <w:t> dvoj- až troj</w:t>
      </w:r>
      <w:r w:rsidRPr="00862CC1">
        <w:rPr>
          <w:sz w:val="22"/>
          <w:szCs w:val="22"/>
        </w:rPr>
        <w:t xml:space="preserve">násobnému zvýšeniu plazmatickej koncentrácie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. Klinický význam tejto </w:t>
      </w:r>
      <w:proofErr w:type="spellStart"/>
      <w:r w:rsidR="00C00596" w:rsidRPr="00862CC1">
        <w:rPr>
          <w:sz w:val="22"/>
          <w:szCs w:val="22"/>
        </w:rPr>
        <w:t>farmakokinetickej</w:t>
      </w:r>
      <w:proofErr w:type="spellEnd"/>
      <w:r w:rsidR="00C00596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interakcie s inhibítormi </w:t>
      </w:r>
      <w:proofErr w:type="spellStart"/>
      <w:r w:rsidRPr="00862CC1">
        <w:rPr>
          <w:sz w:val="22"/>
          <w:szCs w:val="22"/>
        </w:rPr>
        <w:t>P-glykoproteínu</w:t>
      </w:r>
      <w:proofErr w:type="spellEnd"/>
      <w:r w:rsidRPr="00862CC1">
        <w:rPr>
          <w:sz w:val="22"/>
          <w:szCs w:val="22"/>
        </w:rPr>
        <w:t xml:space="preserve"> pri</w:t>
      </w:r>
      <w:r w:rsidR="00314B03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odporúčanom dávkovaní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nie je známy.</w:t>
      </w:r>
    </w:p>
    <w:p w14:paraId="5FA797F6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B7DABAF" w14:textId="59A5D95D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8B03D7" w:rsidRPr="00862CC1">
        <w:rPr>
          <w:sz w:val="22"/>
          <w:szCs w:val="22"/>
        </w:rPr>
        <w:t>bežné</w:t>
      </w:r>
      <w:r w:rsidRPr="00862CC1">
        <w:rPr>
          <w:sz w:val="22"/>
          <w:szCs w:val="22"/>
        </w:rPr>
        <w:t xml:space="preserve"> užívanie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(jednorazová dávka 4</w:t>
      </w:r>
      <w:r w:rsidR="00A56133">
        <w:rPr>
          <w:sz w:val="22"/>
          <w:szCs w:val="22"/>
        </w:rPr>
        <w:t> </w:t>
      </w:r>
      <w:r w:rsidRPr="00862CC1">
        <w:rPr>
          <w:sz w:val="22"/>
          <w:szCs w:val="22"/>
        </w:rPr>
        <w:t>mg) a </w:t>
      </w:r>
      <w:proofErr w:type="spellStart"/>
      <w:r w:rsidRPr="00862CC1">
        <w:rPr>
          <w:sz w:val="22"/>
          <w:szCs w:val="22"/>
        </w:rPr>
        <w:t>itrakonazolu</w:t>
      </w:r>
      <w:proofErr w:type="spellEnd"/>
      <w:r w:rsidRPr="00862CC1">
        <w:rPr>
          <w:sz w:val="22"/>
          <w:szCs w:val="22"/>
        </w:rPr>
        <w:t>, inhibítora CYP3A4 a</w:t>
      </w:r>
      <w:r w:rsidR="00A56133">
        <w:rPr>
          <w:sz w:val="22"/>
          <w:szCs w:val="22"/>
        </w:rPr>
        <w:t> </w:t>
      </w:r>
      <w:proofErr w:type="spellStart"/>
      <w:r w:rsidRPr="00862CC1">
        <w:rPr>
          <w:sz w:val="22"/>
          <w:szCs w:val="22"/>
        </w:rPr>
        <w:t>P</w:t>
      </w:r>
      <w:r w:rsidR="00A56133">
        <w:rPr>
          <w:sz w:val="22"/>
          <w:szCs w:val="22"/>
        </w:rPr>
        <w:noBreakHyphen/>
      </w:r>
      <w:r w:rsidRPr="00862CC1">
        <w:rPr>
          <w:sz w:val="22"/>
          <w:szCs w:val="22"/>
        </w:rPr>
        <w:t>glykoproteínu</w:t>
      </w:r>
      <w:proofErr w:type="spellEnd"/>
      <w:r w:rsidRPr="00862CC1">
        <w:rPr>
          <w:sz w:val="22"/>
          <w:szCs w:val="22"/>
        </w:rPr>
        <w:t>, vedie k </w:t>
      </w:r>
      <w:proofErr w:type="spellStart"/>
      <w:r w:rsidRPr="00862CC1">
        <w:rPr>
          <w:sz w:val="22"/>
          <w:szCs w:val="22"/>
        </w:rPr>
        <w:t>troj</w:t>
      </w:r>
      <w:proofErr w:type="spellEnd"/>
      <w:r w:rsidRPr="00862CC1">
        <w:rPr>
          <w:sz w:val="22"/>
          <w:szCs w:val="22"/>
        </w:rPr>
        <w:t xml:space="preserve">- až štvornásobnému zvýšeniu plazmatickej koncentrácie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. Inhibítor CYP2C8 </w:t>
      </w:r>
      <w:proofErr w:type="spellStart"/>
      <w:r w:rsidRPr="00862CC1">
        <w:rPr>
          <w:sz w:val="22"/>
          <w:szCs w:val="22"/>
        </w:rPr>
        <w:t>gemfibrozil</w:t>
      </w:r>
      <w:proofErr w:type="spellEnd"/>
      <w:r w:rsidRPr="00862CC1">
        <w:rPr>
          <w:sz w:val="22"/>
          <w:szCs w:val="22"/>
        </w:rPr>
        <w:t xml:space="preserve"> zvyšuje v rovnakej štúdii </w:t>
      </w:r>
      <w:r w:rsidR="008B03D7" w:rsidRPr="00862CC1">
        <w:rPr>
          <w:sz w:val="22"/>
          <w:szCs w:val="22"/>
        </w:rPr>
        <w:t xml:space="preserve">plazmatickú </w:t>
      </w:r>
      <w:r w:rsidR="00837F5E" w:rsidRPr="00862CC1">
        <w:rPr>
          <w:sz w:val="22"/>
          <w:szCs w:val="22"/>
        </w:rPr>
        <w:t xml:space="preserve">koncentráciu </w:t>
      </w:r>
      <w:proofErr w:type="spellStart"/>
      <w:r w:rsidRPr="00862CC1">
        <w:rPr>
          <w:sz w:val="22"/>
          <w:szCs w:val="22"/>
        </w:rPr>
        <w:t>loperamid</w:t>
      </w:r>
      <w:r w:rsidR="00837F5E" w:rsidRPr="00862CC1">
        <w:rPr>
          <w:sz w:val="22"/>
          <w:szCs w:val="22"/>
        </w:rPr>
        <w:t>u</w:t>
      </w:r>
      <w:proofErr w:type="spellEnd"/>
      <w:r w:rsidRPr="00862CC1">
        <w:rPr>
          <w:sz w:val="22"/>
          <w:szCs w:val="22"/>
        </w:rPr>
        <w:t xml:space="preserve"> približne dvojnásobne. Kombinácia </w:t>
      </w:r>
      <w:proofErr w:type="spellStart"/>
      <w:r w:rsidRPr="00862CC1">
        <w:rPr>
          <w:sz w:val="22"/>
          <w:szCs w:val="22"/>
        </w:rPr>
        <w:t>itrakonazolu</w:t>
      </w:r>
      <w:proofErr w:type="spellEnd"/>
      <w:r w:rsidRPr="00862CC1">
        <w:rPr>
          <w:sz w:val="22"/>
          <w:szCs w:val="22"/>
        </w:rPr>
        <w:t xml:space="preserve"> a </w:t>
      </w:r>
      <w:proofErr w:type="spellStart"/>
      <w:r w:rsidRPr="00862CC1">
        <w:rPr>
          <w:sz w:val="22"/>
          <w:szCs w:val="22"/>
        </w:rPr>
        <w:t>gemfibrozilu</w:t>
      </w:r>
      <w:proofErr w:type="spellEnd"/>
      <w:r w:rsidRPr="00862CC1">
        <w:rPr>
          <w:sz w:val="22"/>
          <w:szCs w:val="22"/>
        </w:rPr>
        <w:t xml:space="preserve"> spôsobuje štvornásobné zvýšenie maximálnych plazmatických koncentrácií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a 13-násobné zvýšenie celkovej plazmatickej expozície. Na</w:t>
      </w:r>
      <w:r w:rsidR="00314B03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základe meraní </w:t>
      </w:r>
      <w:proofErr w:type="spellStart"/>
      <w:r w:rsidRPr="00862CC1">
        <w:rPr>
          <w:sz w:val="22"/>
          <w:szCs w:val="22"/>
        </w:rPr>
        <w:t>psychomotorickými</w:t>
      </w:r>
      <w:proofErr w:type="spellEnd"/>
      <w:r w:rsidRPr="00862CC1">
        <w:rPr>
          <w:sz w:val="22"/>
          <w:szCs w:val="22"/>
        </w:rPr>
        <w:t xml:space="preserve"> testami (napr. testom subjektívnej ospalosti a testom </w:t>
      </w:r>
      <w:proofErr w:type="spellStart"/>
      <w:r w:rsidRPr="00862CC1">
        <w:rPr>
          <w:sz w:val="22"/>
          <w:szCs w:val="22"/>
        </w:rPr>
        <w:t>Digit</w:t>
      </w:r>
      <w:proofErr w:type="spellEnd"/>
      <w:r w:rsidRPr="00862CC1">
        <w:rPr>
          <w:sz w:val="22"/>
          <w:szCs w:val="22"/>
        </w:rPr>
        <w:t xml:space="preserve"> Symbol </w:t>
      </w:r>
      <w:proofErr w:type="spellStart"/>
      <w:r w:rsidRPr="00862CC1">
        <w:rPr>
          <w:sz w:val="22"/>
          <w:szCs w:val="22"/>
        </w:rPr>
        <w:t>Substitution</w:t>
      </w:r>
      <w:proofErr w:type="spellEnd"/>
      <w:r w:rsidRPr="00862CC1">
        <w:rPr>
          <w:sz w:val="22"/>
          <w:szCs w:val="22"/>
        </w:rPr>
        <w:t xml:space="preserve"> Test) tieto zvýšenia nesúviseli s účinkom na CNS.</w:t>
      </w:r>
    </w:p>
    <w:p w14:paraId="5F3020F4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46D1C50" w14:textId="1DC42DDF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7B5297" w:rsidRPr="00862CC1">
        <w:rPr>
          <w:sz w:val="22"/>
          <w:szCs w:val="22"/>
        </w:rPr>
        <w:t>bežn</w:t>
      </w:r>
      <w:r w:rsidRPr="00862CC1">
        <w:rPr>
          <w:sz w:val="22"/>
          <w:szCs w:val="22"/>
        </w:rPr>
        <w:t xml:space="preserve">é užívanie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(jednorazová dávka 16</w:t>
      </w:r>
      <w:r w:rsidR="00A56133">
        <w:rPr>
          <w:sz w:val="22"/>
          <w:szCs w:val="22"/>
        </w:rPr>
        <w:t> </w:t>
      </w:r>
      <w:r w:rsidRPr="00862CC1">
        <w:rPr>
          <w:sz w:val="22"/>
          <w:szCs w:val="22"/>
        </w:rPr>
        <w:t>mg) a </w:t>
      </w:r>
      <w:proofErr w:type="spellStart"/>
      <w:r w:rsidRPr="00862CC1">
        <w:rPr>
          <w:sz w:val="22"/>
          <w:szCs w:val="22"/>
        </w:rPr>
        <w:t>ketokonazolu</w:t>
      </w:r>
      <w:proofErr w:type="spellEnd"/>
      <w:r w:rsidRPr="00862CC1">
        <w:rPr>
          <w:sz w:val="22"/>
          <w:szCs w:val="22"/>
        </w:rPr>
        <w:t>, inhibítora CYP3A4 a</w:t>
      </w:r>
      <w:r w:rsidR="00A56133">
        <w:rPr>
          <w:sz w:val="22"/>
          <w:szCs w:val="22"/>
        </w:rPr>
        <w:t> </w:t>
      </w:r>
      <w:proofErr w:type="spellStart"/>
      <w:r w:rsidRPr="00862CC1">
        <w:rPr>
          <w:sz w:val="22"/>
          <w:szCs w:val="22"/>
        </w:rPr>
        <w:t>P</w:t>
      </w:r>
      <w:r w:rsidR="00A56133">
        <w:rPr>
          <w:sz w:val="22"/>
          <w:szCs w:val="22"/>
        </w:rPr>
        <w:noBreakHyphen/>
      </w:r>
      <w:r w:rsidRPr="00862CC1">
        <w:rPr>
          <w:sz w:val="22"/>
          <w:szCs w:val="22"/>
        </w:rPr>
        <w:t>glyk</w:t>
      </w:r>
      <w:r w:rsidR="00984568" w:rsidRPr="00862CC1">
        <w:rPr>
          <w:sz w:val="22"/>
          <w:szCs w:val="22"/>
        </w:rPr>
        <w:t>o</w:t>
      </w:r>
      <w:r w:rsidRPr="00862CC1">
        <w:rPr>
          <w:sz w:val="22"/>
          <w:szCs w:val="22"/>
        </w:rPr>
        <w:t>proteínu</w:t>
      </w:r>
      <w:proofErr w:type="spellEnd"/>
      <w:r w:rsidRPr="00862CC1">
        <w:rPr>
          <w:sz w:val="22"/>
          <w:szCs w:val="22"/>
        </w:rPr>
        <w:t>, vedie k </w:t>
      </w:r>
      <w:r w:rsidR="00C00596" w:rsidRPr="00862CC1">
        <w:rPr>
          <w:sz w:val="22"/>
          <w:szCs w:val="22"/>
        </w:rPr>
        <w:t>päť</w:t>
      </w:r>
      <w:r w:rsidRPr="00862CC1">
        <w:rPr>
          <w:sz w:val="22"/>
          <w:szCs w:val="22"/>
        </w:rPr>
        <w:t xml:space="preserve">násobnému zvýšeniu plazmatických koncentrácií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. Toto zvýšenie nesúviselo so zvýšeným </w:t>
      </w:r>
      <w:proofErr w:type="spellStart"/>
      <w:r w:rsidRPr="00862CC1">
        <w:rPr>
          <w:sz w:val="22"/>
          <w:szCs w:val="22"/>
        </w:rPr>
        <w:t>farmakodynamickým</w:t>
      </w:r>
      <w:proofErr w:type="spellEnd"/>
      <w:r w:rsidRPr="00862CC1">
        <w:rPr>
          <w:sz w:val="22"/>
          <w:szCs w:val="22"/>
        </w:rPr>
        <w:t xml:space="preserve"> účinkom meraným </w:t>
      </w:r>
      <w:proofErr w:type="spellStart"/>
      <w:r w:rsidRPr="00862CC1">
        <w:rPr>
          <w:sz w:val="22"/>
          <w:szCs w:val="22"/>
        </w:rPr>
        <w:t>pupilometriou</w:t>
      </w:r>
      <w:proofErr w:type="spellEnd"/>
      <w:r w:rsidRPr="00862CC1">
        <w:rPr>
          <w:sz w:val="22"/>
          <w:szCs w:val="22"/>
        </w:rPr>
        <w:t>.</w:t>
      </w:r>
    </w:p>
    <w:p w14:paraId="78E40393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E6A086D" w14:textId="645852FE" w:rsidR="005A00A4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7B5297" w:rsidRPr="00862CC1">
        <w:rPr>
          <w:sz w:val="22"/>
          <w:szCs w:val="22"/>
        </w:rPr>
        <w:t>bežn</w:t>
      </w:r>
      <w:r w:rsidRPr="00862CC1">
        <w:rPr>
          <w:sz w:val="22"/>
          <w:szCs w:val="22"/>
        </w:rPr>
        <w:t xml:space="preserve">á liečba perorálnym </w:t>
      </w:r>
      <w:proofErr w:type="spellStart"/>
      <w:r w:rsidRPr="00862CC1">
        <w:rPr>
          <w:sz w:val="22"/>
          <w:szCs w:val="22"/>
        </w:rPr>
        <w:t>desmopresínom</w:t>
      </w:r>
      <w:proofErr w:type="spellEnd"/>
      <w:r w:rsidRPr="00862CC1">
        <w:rPr>
          <w:sz w:val="22"/>
          <w:szCs w:val="22"/>
        </w:rPr>
        <w:t xml:space="preserve"> viedla k </w:t>
      </w:r>
      <w:r w:rsidR="00C00596" w:rsidRPr="00862CC1">
        <w:rPr>
          <w:sz w:val="22"/>
          <w:szCs w:val="22"/>
        </w:rPr>
        <w:t>troj</w:t>
      </w:r>
      <w:r w:rsidRPr="00862CC1">
        <w:rPr>
          <w:sz w:val="22"/>
          <w:szCs w:val="22"/>
        </w:rPr>
        <w:t xml:space="preserve">násobnému zvýšeniu plazmatických koncentrácií </w:t>
      </w:r>
      <w:proofErr w:type="spellStart"/>
      <w:r w:rsidRPr="00862CC1">
        <w:rPr>
          <w:sz w:val="22"/>
          <w:szCs w:val="22"/>
        </w:rPr>
        <w:t>desmopresínu</w:t>
      </w:r>
      <w:proofErr w:type="spellEnd"/>
      <w:r w:rsidRPr="00862CC1">
        <w:rPr>
          <w:sz w:val="22"/>
          <w:szCs w:val="22"/>
        </w:rPr>
        <w:t xml:space="preserve">, pravdepodobne vzhľadom </w:t>
      </w:r>
      <w:r w:rsidR="00A56133">
        <w:rPr>
          <w:sz w:val="22"/>
          <w:szCs w:val="22"/>
        </w:rPr>
        <w:t>na</w:t>
      </w:r>
      <w:r w:rsidRPr="00862CC1">
        <w:rPr>
          <w:sz w:val="22"/>
          <w:szCs w:val="22"/>
        </w:rPr>
        <w:t xml:space="preserve"> znížen</w:t>
      </w:r>
      <w:r w:rsidR="00A56133">
        <w:rPr>
          <w:sz w:val="22"/>
          <w:szCs w:val="22"/>
        </w:rPr>
        <w:t>ú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gastrointestináln</w:t>
      </w:r>
      <w:r w:rsidR="00A56133">
        <w:rPr>
          <w:sz w:val="22"/>
          <w:szCs w:val="22"/>
        </w:rPr>
        <w:t>u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motilit</w:t>
      </w:r>
      <w:r w:rsidR="00A56133">
        <w:rPr>
          <w:sz w:val="22"/>
          <w:szCs w:val="22"/>
        </w:rPr>
        <w:t>u</w:t>
      </w:r>
      <w:proofErr w:type="spellEnd"/>
      <w:r w:rsidRPr="00862CC1">
        <w:rPr>
          <w:sz w:val="22"/>
          <w:szCs w:val="22"/>
        </w:rPr>
        <w:t>.</w:t>
      </w:r>
    </w:p>
    <w:p w14:paraId="2C964C00" w14:textId="77777777" w:rsidR="00A56133" w:rsidRDefault="00A56133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563A90E" w14:textId="3C41D3C1" w:rsidR="008B245E" w:rsidRPr="00862CC1" w:rsidRDefault="00A56133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Je pravdepodobné</w:t>
      </w:r>
      <w:r w:rsidR="008B245E">
        <w:rPr>
          <w:sz w:val="22"/>
          <w:szCs w:val="22"/>
        </w:rPr>
        <w:t xml:space="preserve">, že lieky s rovnakými farmakologickými vlastnosťami môžu zvyšovať účinok </w:t>
      </w:r>
      <w:proofErr w:type="spellStart"/>
      <w:r w:rsidR="008B245E">
        <w:rPr>
          <w:sz w:val="22"/>
          <w:szCs w:val="22"/>
        </w:rPr>
        <w:t>loperamidu</w:t>
      </w:r>
      <w:proofErr w:type="spellEnd"/>
      <w:r w:rsidR="008B245E">
        <w:rPr>
          <w:sz w:val="22"/>
          <w:szCs w:val="22"/>
        </w:rPr>
        <w:t xml:space="preserve"> a že lieky, ktoré urýchľujú </w:t>
      </w:r>
      <w:proofErr w:type="spellStart"/>
      <w:r w:rsidR="008B245E">
        <w:rPr>
          <w:sz w:val="22"/>
          <w:szCs w:val="22"/>
        </w:rPr>
        <w:t>gastrointestinálnu</w:t>
      </w:r>
      <w:proofErr w:type="spellEnd"/>
      <w:r w:rsidR="008B245E">
        <w:rPr>
          <w:sz w:val="22"/>
          <w:szCs w:val="22"/>
        </w:rPr>
        <w:t xml:space="preserve"> pasáž, môžu </w:t>
      </w:r>
      <w:r>
        <w:rPr>
          <w:sz w:val="22"/>
          <w:szCs w:val="22"/>
        </w:rPr>
        <w:t xml:space="preserve">jeho </w:t>
      </w:r>
      <w:r w:rsidR="008B245E">
        <w:rPr>
          <w:sz w:val="22"/>
          <w:szCs w:val="22"/>
        </w:rPr>
        <w:t>účinok znižovať.</w:t>
      </w:r>
    </w:p>
    <w:p w14:paraId="24D21856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FC73CF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4.6</w:t>
      </w:r>
      <w:r w:rsidRPr="00862CC1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62CC1">
        <w:rPr>
          <w:rFonts w:ascii="Times New Roman" w:hAnsi="Times New Roman"/>
          <w:i w:val="0"/>
          <w:sz w:val="22"/>
          <w:szCs w:val="22"/>
        </w:rPr>
        <w:t>Fertilita</w:t>
      </w:r>
      <w:proofErr w:type="spellEnd"/>
      <w:r w:rsidRPr="00862CC1">
        <w:rPr>
          <w:rFonts w:ascii="Times New Roman" w:hAnsi="Times New Roman"/>
          <w:i w:val="0"/>
          <w:sz w:val="22"/>
          <w:szCs w:val="22"/>
        </w:rPr>
        <w:t>, gravidita a laktácia</w:t>
      </w:r>
    </w:p>
    <w:p w14:paraId="31F39A80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97AF338" w14:textId="77777777" w:rsidR="005A00A4" w:rsidRPr="00862CC1" w:rsidRDefault="005A00A4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Gravidita</w:t>
      </w:r>
    </w:p>
    <w:p w14:paraId="2CD19991" w14:textId="20B844AD" w:rsidR="005A00A4" w:rsidRPr="00862CC1" w:rsidRDefault="007B5297">
      <w:pPr>
        <w:pStyle w:val="Bodytext"/>
        <w:spacing w:after="0" w:line="240" w:lineRule="auto"/>
        <w:ind w:left="0"/>
        <w:rPr>
          <w:sz w:val="22"/>
          <w:szCs w:val="22"/>
        </w:rPr>
      </w:pPr>
      <w:r w:rsidRPr="005B3F0E">
        <w:rPr>
          <w:sz w:val="22"/>
          <w:szCs w:val="22"/>
        </w:rPr>
        <w:t xml:space="preserve">Bezpečnosť podávania počas gravidity sa nepreukázala. Hoci nie sú žiadne náznaky, že </w:t>
      </w:r>
      <w:proofErr w:type="spellStart"/>
      <w:r w:rsidRPr="005B3F0E">
        <w:rPr>
          <w:sz w:val="22"/>
          <w:szCs w:val="22"/>
        </w:rPr>
        <w:t>loperamid</w:t>
      </w:r>
      <w:proofErr w:type="spellEnd"/>
      <w:r w:rsidRPr="005B3F0E">
        <w:rPr>
          <w:sz w:val="22"/>
          <w:szCs w:val="22"/>
        </w:rPr>
        <w:t xml:space="preserve"> má </w:t>
      </w:r>
      <w:proofErr w:type="spellStart"/>
      <w:r w:rsidRPr="005B3F0E">
        <w:rPr>
          <w:sz w:val="22"/>
          <w:szCs w:val="22"/>
        </w:rPr>
        <w:t>teratogénne</w:t>
      </w:r>
      <w:proofErr w:type="spellEnd"/>
      <w:r w:rsidRPr="005B3F0E">
        <w:rPr>
          <w:sz w:val="22"/>
          <w:szCs w:val="22"/>
        </w:rPr>
        <w:t xml:space="preserve"> alebo </w:t>
      </w:r>
      <w:proofErr w:type="spellStart"/>
      <w:r w:rsidRPr="005B3F0E">
        <w:rPr>
          <w:sz w:val="22"/>
          <w:szCs w:val="22"/>
        </w:rPr>
        <w:t>embryotoxické</w:t>
      </w:r>
      <w:proofErr w:type="spellEnd"/>
      <w:r w:rsidRPr="005B3F0E">
        <w:rPr>
          <w:sz w:val="22"/>
          <w:szCs w:val="22"/>
        </w:rPr>
        <w:t xml:space="preserve"> vlastnosti, rovnako ako pri iných liekoch sa neodporúča podávať liek BELOP</w:t>
      </w:r>
      <w:r w:rsidR="00314B03" w:rsidRPr="005B3F0E">
        <w:rPr>
          <w:sz w:val="22"/>
          <w:szCs w:val="22"/>
        </w:rPr>
        <w:t>E</w:t>
      </w:r>
      <w:r w:rsidRPr="005B3F0E">
        <w:rPr>
          <w:sz w:val="22"/>
          <w:szCs w:val="22"/>
        </w:rPr>
        <w:t xml:space="preserve">RA počas gravidity, najmä počas prvého </w:t>
      </w:r>
      <w:proofErr w:type="spellStart"/>
      <w:r w:rsidRPr="005B3F0E">
        <w:rPr>
          <w:sz w:val="22"/>
          <w:szCs w:val="22"/>
        </w:rPr>
        <w:t>trimestra</w:t>
      </w:r>
      <w:proofErr w:type="spellEnd"/>
      <w:r w:rsidRPr="005B3F0E">
        <w:rPr>
          <w:sz w:val="22"/>
          <w:szCs w:val="22"/>
        </w:rPr>
        <w:t>.</w:t>
      </w:r>
    </w:p>
    <w:p w14:paraId="7FFD0A91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8B540A" w14:textId="582F7657" w:rsidR="007B5297" w:rsidRPr="00862CC1" w:rsidRDefault="00314B03" w:rsidP="00766F0B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Dojčenie</w:t>
      </w:r>
    </w:p>
    <w:p w14:paraId="6123C4BE" w14:textId="44655739" w:rsidR="007B5297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Malé množstvá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sa môžu objaviť v mlieku dojčiacich matiek užívajúcich </w:t>
      </w:r>
      <w:r w:rsidR="007B5297" w:rsidRPr="00862CC1">
        <w:rPr>
          <w:sz w:val="22"/>
          <w:szCs w:val="22"/>
        </w:rPr>
        <w:t>liek BELOPERA</w:t>
      </w:r>
      <w:r w:rsidR="00314B03" w:rsidRPr="00862CC1">
        <w:rPr>
          <w:sz w:val="22"/>
          <w:szCs w:val="22"/>
        </w:rPr>
        <w:t>.</w:t>
      </w:r>
      <w:r w:rsidR="007B5297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Preto sa použitie lieku </w:t>
      </w:r>
      <w:r w:rsidR="007B5297" w:rsidRPr="00862CC1">
        <w:rPr>
          <w:sz w:val="22"/>
          <w:szCs w:val="22"/>
        </w:rPr>
        <w:t>BELOPERA</w:t>
      </w:r>
      <w:r w:rsidRPr="00862CC1">
        <w:rPr>
          <w:sz w:val="22"/>
          <w:szCs w:val="22"/>
        </w:rPr>
        <w:t xml:space="preserve"> neodporúča dojčiacim ženám.</w:t>
      </w:r>
    </w:p>
    <w:p w14:paraId="343FA74F" w14:textId="77777777" w:rsidR="007B5297" w:rsidRPr="00862CC1" w:rsidRDefault="007B529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0245F6" w14:textId="67037CFB" w:rsidR="005A00A4" w:rsidRPr="00862CC1" w:rsidRDefault="007B529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Tehotným a d</w:t>
      </w:r>
      <w:r w:rsidR="005A00A4" w:rsidRPr="00862CC1">
        <w:rPr>
          <w:sz w:val="22"/>
          <w:szCs w:val="22"/>
        </w:rPr>
        <w:t>ojčiacim ženám je preto potrebné odporučiť konzultáciu s</w:t>
      </w:r>
      <w:r w:rsidR="00314B03" w:rsidRPr="00862CC1">
        <w:rPr>
          <w:sz w:val="22"/>
          <w:szCs w:val="22"/>
        </w:rPr>
        <w:t> </w:t>
      </w:r>
      <w:r w:rsidR="005A00A4" w:rsidRPr="00862CC1">
        <w:rPr>
          <w:sz w:val="22"/>
          <w:szCs w:val="22"/>
        </w:rPr>
        <w:t>lekárom</w:t>
      </w:r>
      <w:r w:rsidR="00314B03" w:rsidRPr="00862CC1">
        <w:rPr>
          <w:sz w:val="22"/>
          <w:szCs w:val="22"/>
        </w:rPr>
        <w:t>,</w:t>
      </w:r>
      <w:r w:rsidR="005A00A4" w:rsidRPr="00862CC1">
        <w:rPr>
          <w:sz w:val="22"/>
          <w:szCs w:val="22"/>
        </w:rPr>
        <w:t xml:space="preserve"> týkajúcu sa vhodnej liečby.</w:t>
      </w:r>
    </w:p>
    <w:p w14:paraId="3742B40D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5022DB8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4.7</w:t>
      </w:r>
      <w:r w:rsidRPr="00862CC1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14:paraId="0FA09AE7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F634618" w14:textId="0D2F482A" w:rsidR="005A00A4" w:rsidRPr="00862CC1" w:rsidRDefault="008B49CE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Na začiatku liečby liekom BELOPERA sa môž</w:t>
      </w:r>
      <w:r w:rsidR="00314B03" w:rsidRPr="00862CC1">
        <w:rPr>
          <w:sz w:val="22"/>
          <w:szCs w:val="22"/>
        </w:rPr>
        <w:t>e</w:t>
      </w:r>
      <w:r w:rsidRPr="00862CC1">
        <w:rPr>
          <w:sz w:val="22"/>
          <w:szCs w:val="22"/>
        </w:rPr>
        <w:t xml:space="preserve"> vyskytnúť znížená pozornosť, únava, závraty alebo ospalosť. Preto </w:t>
      </w:r>
      <w:r w:rsidR="00314B03" w:rsidRPr="00862CC1">
        <w:rPr>
          <w:sz w:val="22"/>
          <w:szCs w:val="22"/>
        </w:rPr>
        <w:t xml:space="preserve">sa </w:t>
      </w:r>
      <w:r w:rsidRPr="00862CC1">
        <w:rPr>
          <w:sz w:val="22"/>
          <w:szCs w:val="22"/>
        </w:rPr>
        <w:t>pri vedení vozid</w:t>
      </w:r>
      <w:r w:rsidR="00314B03" w:rsidRPr="00862CC1">
        <w:rPr>
          <w:sz w:val="22"/>
          <w:szCs w:val="22"/>
        </w:rPr>
        <w:t>iel</w:t>
      </w:r>
      <w:r w:rsidRPr="00862CC1">
        <w:rPr>
          <w:sz w:val="22"/>
          <w:szCs w:val="22"/>
        </w:rPr>
        <w:t xml:space="preserve"> a obsluhe strojov</w:t>
      </w:r>
      <w:r w:rsidR="00314B03" w:rsidRPr="00862CC1">
        <w:rPr>
          <w:sz w:val="22"/>
          <w:szCs w:val="22"/>
        </w:rPr>
        <w:t xml:space="preserve"> odporúča zvýšená opatrnosť</w:t>
      </w:r>
      <w:r w:rsidRPr="00862CC1">
        <w:rPr>
          <w:sz w:val="22"/>
          <w:szCs w:val="22"/>
        </w:rPr>
        <w:t xml:space="preserve"> (pozri časť 4.8).</w:t>
      </w:r>
    </w:p>
    <w:p w14:paraId="3E84C6B5" w14:textId="77777777" w:rsidR="008B49CE" w:rsidRPr="00862CC1" w:rsidRDefault="008B49CE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C7EC3E" w14:textId="77777777" w:rsidR="005A00A4" w:rsidRPr="00862CC1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4.8</w:t>
      </w:r>
      <w:r w:rsidRPr="00862CC1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14:paraId="3EBEBBDF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63A4071" w14:textId="61E8861A" w:rsidR="008B49CE" w:rsidRDefault="008B49CE" w:rsidP="00766F0B">
      <w:pPr>
        <w:pStyle w:val="Zarkazkladnhotextu"/>
        <w:spacing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Bezpečnosť </w:t>
      </w:r>
      <w:proofErr w:type="spellStart"/>
      <w:r w:rsidRPr="00862CC1">
        <w:rPr>
          <w:sz w:val="22"/>
          <w:szCs w:val="22"/>
        </w:rPr>
        <w:t>loperamidiumchloridu</w:t>
      </w:r>
      <w:proofErr w:type="spellEnd"/>
      <w:r w:rsidRPr="00862CC1">
        <w:rPr>
          <w:sz w:val="22"/>
          <w:szCs w:val="22"/>
        </w:rPr>
        <w:t xml:space="preserve"> bola hodnotená u</w:t>
      </w:r>
      <w:r w:rsidR="00FF316F" w:rsidRPr="00862CC1">
        <w:rPr>
          <w:sz w:val="22"/>
          <w:szCs w:val="22"/>
        </w:rPr>
        <w:t> </w:t>
      </w:r>
      <w:r w:rsidR="008B245E">
        <w:rPr>
          <w:sz w:val="22"/>
          <w:szCs w:val="22"/>
        </w:rPr>
        <w:t>3 076</w:t>
      </w:r>
      <w:r w:rsidR="00FF316F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dospelých a detí vo veku ≥ 12 rokov, ktorí sa zúčastnili </w:t>
      </w:r>
      <w:r w:rsidR="008B245E">
        <w:rPr>
          <w:sz w:val="22"/>
          <w:szCs w:val="22"/>
        </w:rPr>
        <w:t>31</w:t>
      </w:r>
      <w:r w:rsidR="008B245E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kontrolovaných a nekontrolovaných klinických štúdií s </w:t>
      </w:r>
      <w:proofErr w:type="spellStart"/>
      <w:r w:rsidRPr="00862CC1">
        <w:rPr>
          <w:sz w:val="22"/>
          <w:szCs w:val="22"/>
        </w:rPr>
        <w:t>loperamidiumchloridom</w:t>
      </w:r>
      <w:proofErr w:type="spellEnd"/>
      <w:r w:rsidRPr="00862CC1">
        <w:rPr>
          <w:sz w:val="22"/>
          <w:szCs w:val="22"/>
        </w:rPr>
        <w:t xml:space="preserve"> používaným na liečbu hnačky.</w:t>
      </w:r>
      <w:r w:rsidR="0026171C">
        <w:rPr>
          <w:sz w:val="22"/>
          <w:szCs w:val="22"/>
        </w:rPr>
        <w:t xml:space="preserve"> </w:t>
      </w:r>
      <w:r w:rsidR="0026171C" w:rsidRPr="00387E8E">
        <w:rPr>
          <w:sz w:val="22"/>
          <w:szCs w:val="22"/>
        </w:rPr>
        <w:t>Z týchto sa 26 štúdií týkalo akútnej hnačky (N=2755) a 5 štúdií sa týkalo chronickej hnačky (N=321).</w:t>
      </w:r>
    </w:p>
    <w:p w14:paraId="72A9CD0C" w14:textId="77777777" w:rsidR="0026171C" w:rsidRPr="00862CC1" w:rsidRDefault="0026171C" w:rsidP="000F03EE">
      <w:pPr>
        <w:rPr>
          <w:sz w:val="22"/>
          <w:szCs w:val="22"/>
        </w:rPr>
      </w:pPr>
    </w:p>
    <w:p w14:paraId="73C6EE23" w14:textId="32DE3CE8" w:rsidR="002B4DC0" w:rsidRPr="00862CC1" w:rsidRDefault="008B49CE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Najčastejšie </w:t>
      </w:r>
      <w:r w:rsidR="00612820" w:rsidRPr="00862CC1">
        <w:rPr>
          <w:sz w:val="22"/>
          <w:szCs w:val="22"/>
        </w:rPr>
        <w:t>hlásen</w:t>
      </w:r>
      <w:r w:rsidR="00612820">
        <w:rPr>
          <w:sz w:val="22"/>
          <w:szCs w:val="22"/>
        </w:rPr>
        <w:t>é</w:t>
      </w:r>
      <w:r w:rsidR="00612820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(t.j. </w:t>
      </w:r>
      <w:proofErr w:type="spellStart"/>
      <w:r w:rsidRPr="00862CC1">
        <w:rPr>
          <w:sz w:val="22"/>
          <w:szCs w:val="22"/>
        </w:rPr>
        <w:t>incidencia</w:t>
      </w:r>
      <w:proofErr w:type="spellEnd"/>
      <w:r w:rsidRPr="00862CC1">
        <w:rPr>
          <w:sz w:val="22"/>
          <w:szCs w:val="22"/>
        </w:rPr>
        <w:t xml:space="preserve"> ≥ 1 %) </w:t>
      </w:r>
      <w:r w:rsidR="00612820" w:rsidRPr="00862CC1">
        <w:rPr>
          <w:sz w:val="22"/>
          <w:szCs w:val="22"/>
        </w:rPr>
        <w:t>nežiaduc</w:t>
      </w:r>
      <w:r w:rsidR="00612820">
        <w:rPr>
          <w:sz w:val="22"/>
          <w:szCs w:val="22"/>
        </w:rPr>
        <w:t>e účinky</w:t>
      </w:r>
      <w:r w:rsidRPr="00862CC1">
        <w:rPr>
          <w:sz w:val="22"/>
          <w:szCs w:val="22"/>
        </w:rPr>
        <w:t xml:space="preserve"> v klinických štúdiách s</w:t>
      </w:r>
      <w:r w:rsidR="002B4DC0" w:rsidRPr="00862CC1">
        <w:rPr>
          <w:sz w:val="22"/>
          <w:szCs w:val="22"/>
        </w:rPr>
        <w:t> </w:t>
      </w:r>
      <w:proofErr w:type="spellStart"/>
      <w:r w:rsidRPr="00862CC1">
        <w:rPr>
          <w:sz w:val="22"/>
          <w:szCs w:val="22"/>
        </w:rPr>
        <w:t>loperamidiumchloridom</w:t>
      </w:r>
      <w:proofErr w:type="spellEnd"/>
      <w:r w:rsidR="002B4DC0" w:rsidRPr="00862CC1">
        <w:rPr>
          <w:sz w:val="22"/>
          <w:szCs w:val="22"/>
        </w:rPr>
        <w:t xml:space="preserve"> </w:t>
      </w:r>
      <w:r w:rsidR="00612820">
        <w:rPr>
          <w:sz w:val="22"/>
          <w:szCs w:val="22"/>
        </w:rPr>
        <w:t xml:space="preserve">pri akútnej hnačke </w:t>
      </w:r>
      <w:r w:rsidRPr="00862CC1">
        <w:rPr>
          <w:sz w:val="22"/>
          <w:szCs w:val="22"/>
        </w:rPr>
        <w:t xml:space="preserve">boli zápcha (2,7 %), </w:t>
      </w:r>
      <w:proofErr w:type="spellStart"/>
      <w:r w:rsidR="0026171C" w:rsidRPr="00387E8E">
        <w:rPr>
          <w:sz w:val="22"/>
          <w:szCs w:val="22"/>
        </w:rPr>
        <w:t>flatulencia</w:t>
      </w:r>
      <w:proofErr w:type="spellEnd"/>
      <w:r w:rsidRPr="00862CC1">
        <w:rPr>
          <w:sz w:val="22"/>
          <w:szCs w:val="22"/>
        </w:rPr>
        <w:t xml:space="preserve"> (1,7 %), bolesť hlavy (1,2 %) a </w:t>
      </w:r>
      <w:proofErr w:type="spellStart"/>
      <w:r w:rsidRPr="00862CC1">
        <w:rPr>
          <w:sz w:val="22"/>
          <w:szCs w:val="22"/>
        </w:rPr>
        <w:t>nauzea</w:t>
      </w:r>
      <w:proofErr w:type="spellEnd"/>
      <w:r w:rsidRPr="00862CC1">
        <w:rPr>
          <w:sz w:val="22"/>
          <w:szCs w:val="22"/>
        </w:rPr>
        <w:t xml:space="preserve"> (1,1 %). </w:t>
      </w:r>
    </w:p>
    <w:p w14:paraId="31AAB2AC" w14:textId="1D90EED5" w:rsidR="005A00A4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BC9F15E" w14:textId="346B70AC" w:rsidR="00612820" w:rsidRPr="00387E8E" w:rsidRDefault="00612820" w:rsidP="00612820">
      <w:pPr>
        <w:pStyle w:val="Zarkazkladnhotextu"/>
        <w:spacing w:line="240" w:lineRule="auto"/>
        <w:ind w:left="0"/>
        <w:rPr>
          <w:sz w:val="22"/>
          <w:szCs w:val="22"/>
        </w:rPr>
      </w:pPr>
      <w:r w:rsidRPr="00387E8E">
        <w:rPr>
          <w:sz w:val="22"/>
          <w:szCs w:val="22"/>
        </w:rPr>
        <w:t xml:space="preserve">V klinických štúdiách pri chronickej hnačke boli najčastejšie hlásené (t.j. </w:t>
      </w:r>
      <w:proofErr w:type="spellStart"/>
      <w:r w:rsidRPr="00387E8E">
        <w:rPr>
          <w:sz w:val="22"/>
          <w:szCs w:val="22"/>
        </w:rPr>
        <w:t>incidenci</w:t>
      </w:r>
      <w:r w:rsidR="0026171C">
        <w:rPr>
          <w:sz w:val="22"/>
          <w:szCs w:val="22"/>
        </w:rPr>
        <w:t>a</w:t>
      </w:r>
      <w:proofErr w:type="spellEnd"/>
      <w:r w:rsidRPr="00387E8E">
        <w:rPr>
          <w:sz w:val="22"/>
          <w:szCs w:val="22"/>
        </w:rPr>
        <w:t xml:space="preserve"> ≥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1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 xml:space="preserve">%) nežiaduce účinky </w:t>
      </w:r>
      <w:proofErr w:type="spellStart"/>
      <w:r w:rsidRPr="00387E8E">
        <w:rPr>
          <w:sz w:val="22"/>
          <w:szCs w:val="22"/>
        </w:rPr>
        <w:t>flatulencia</w:t>
      </w:r>
      <w:proofErr w:type="spellEnd"/>
      <w:r w:rsidRPr="00387E8E">
        <w:rPr>
          <w:sz w:val="22"/>
          <w:szCs w:val="22"/>
        </w:rPr>
        <w:t xml:space="preserve"> (2,8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%), zápcha (2,2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 xml:space="preserve">%), </w:t>
      </w:r>
      <w:proofErr w:type="spellStart"/>
      <w:r w:rsidRPr="00387E8E">
        <w:rPr>
          <w:sz w:val="22"/>
          <w:szCs w:val="22"/>
        </w:rPr>
        <w:t>nauzea</w:t>
      </w:r>
      <w:proofErr w:type="spellEnd"/>
      <w:r w:rsidRPr="00387E8E">
        <w:rPr>
          <w:sz w:val="22"/>
          <w:szCs w:val="22"/>
        </w:rPr>
        <w:t xml:space="preserve"> (1,2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%) a závraty (1,2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%).</w:t>
      </w:r>
    </w:p>
    <w:p w14:paraId="5C271F31" w14:textId="77777777" w:rsidR="00612820" w:rsidRPr="00862CC1" w:rsidRDefault="00612820" w:rsidP="006D42C7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4829F218" w14:textId="18CE4649" w:rsidR="00612820" w:rsidRPr="00387E8E" w:rsidRDefault="00612820" w:rsidP="00612820">
      <w:pPr>
        <w:pStyle w:val="Zarkazkladnhotextu"/>
        <w:spacing w:line="240" w:lineRule="auto"/>
        <w:ind w:left="0"/>
        <w:rPr>
          <w:sz w:val="22"/>
          <w:szCs w:val="22"/>
        </w:rPr>
      </w:pPr>
      <w:r w:rsidRPr="00387E8E">
        <w:rPr>
          <w:sz w:val="22"/>
          <w:szCs w:val="22"/>
        </w:rPr>
        <w:t xml:space="preserve">Tabuľka 1 uvádza nežiaduce účinky hlásené pri užívaní </w:t>
      </w:r>
      <w:proofErr w:type="spellStart"/>
      <w:r w:rsidR="0026171C" w:rsidRPr="00862CC1">
        <w:rPr>
          <w:sz w:val="22"/>
          <w:szCs w:val="22"/>
        </w:rPr>
        <w:t>loperamidiumchlorid</w:t>
      </w:r>
      <w:r w:rsidR="0026171C">
        <w:rPr>
          <w:sz w:val="22"/>
          <w:szCs w:val="22"/>
        </w:rPr>
        <w:t>u</w:t>
      </w:r>
      <w:proofErr w:type="spellEnd"/>
      <w:r w:rsidRPr="00387E8E">
        <w:rPr>
          <w:sz w:val="22"/>
          <w:szCs w:val="22"/>
        </w:rPr>
        <w:t xml:space="preserve"> v klinických štúdiách (pri akútnej hnačke aj chronickej hnačke) alebo </w:t>
      </w:r>
      <w:proofErr w:type="spellStart"/>
      <w:r w:rsidRPr="00387E8E">
        <w:rPr>
          <w:sz w:val="22"/>
          <w:szCs w:val="22"/>
        </w:rPr>
        <w:t>postmarketingovom</w:t>
      </w:r>
      <w:proofErr w:type="spellEnd"/>
      <w:r w:rsidRPr="00387E8E">
        <w:rPr>
          <w:sz w:val="22"/>
          <w:szCs w:val="22"/>
        </w:rPr>
        <w:t xml:space="preserve"> sledovaní.</w:t>
      </w:r>
    </w:p>
    <w:p w14:paraId="02858F8A" w14:textId="77777777" w:rsidR="008B49CE" w:rsidRPr="00862CC1" w:rsidRDefault="008B49CE" w:rsidP="006D42C7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58E05FFF" w14:textId="77777777" w:rsidR="008B49CE" w:rsidRPr="00862CC1" w:rsidRDefault="008B49CE" w:rsidP="000F03EE">
      <w:pPr>
        <w:rPr>
          <w:sz w:val="22"/>
          <w:szCs w:val="22"/>
        </w:rPr>
      </w:pPr>
      <w:r w:rsidRPr="00862CC1">
        <w:rPr>
          <w:sz w:val="22"/>
          <w:szCs w:val="22"/>
        </w:rPr>
        <w:t>Klasifikácia frekvencie nežiaducich účinkov je nasledujúca:</w:t>
      </w:r>
    </w:p>
    <w:p w14:paraId="32CFA2B1" w14:textId="5F6CAA0D" w:rsidR="008B49CE" w:rsidRPr="00862CC1" w:rsidRDefault="008B49CE" w:rsidP="000F03E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Veľmi časté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1/10)</w:t>
      </w:r>
    </w:p>
    <w:p w14:paraId="62A11DBD" w14:textId="1D420020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Časté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1/100 až 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1/10)</w:t>
      </w:r>
    </w:p>
    <w:p w14:paraId="59FED9C3" w14:textId="620DB673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Menej časté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 až 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1/100)</w:t>
      </w:r>
    </w:p>
    <w:p w14:paraId="20F50295" w14:textId="5711EF5D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Zriedkavé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 až 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000)</w:t>
      </w:r>
    </w:p>
    <w:p w14:paraId="7270C174" w14:textId="6618B1AD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Veľmi zriedkavé (&lt;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000)</w:t>
      </w:r>
    </w:p>
    <w:p w14:paraId="6ABA693D" w14:textId="5C653374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Neznáme (z dostupných údajov)</w:t>
      </w:r>
    </w:p>
    <w:p w14:paraId="0C642ACC" w14:textId="77777777" w:rsidR="008B49CE" w:rsidRPr="00862CC1" w:rsidRDefault="008B49CE">
      <w:pPr>
        <w:rPr>
          <w:i/>
          <w:sz w:val="22"/>
          <w:szCs w:val="22"/>
        </w:rPr>
      </w:pPr>
    </w:p>
    <w:p w14:paraId="54C3A177" w14:textId="45A953B4" w:rsidR="00612820" w:rsidRDefault="00612820" w:rsidP="00766F0B">
      <w:pPr>
        <w:pStyle w:val="Bodytext"/>
        <w:spacing w:after="60" w:line="240" w:lineRule="auto"/>
        <w:ind w:left="0"/>
        <w:rPr>
          <w:sz w:val="22"/>
          <w:szCs w:val="22"/>
        </w:rPr>
      </w:pPr>
      <w:r w:rsidRPr="002043EB">
        <w:rPr>
          <w:b/>
          <w:sz w:val="22"/>
          <w:szCs w:val="22"/>
        </w:rPr>
        <w:t>Tabuľka 1 Nežiaduce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1103"/>
        <w:gridCol w:w="1137"/>
        <w:gridCol w:w="2686"/>
      </w:tblGrid>
      <w:tr w:rsidR="00612820" w:rsidRPr="00BD30AE" w14:paraId="3227E30A" w14:textId="77777777" w:rsidTr="0026171C">
        <w:trPr>
          <w:trHeight w:val="469"/>
          <w:tblHeader/>
        </w:trPr>
        <w:tc>
          <w:tcPr>
            <w:tcW w:w="2284" w:type="pct"/>
            <w:vMerge w:val="restart"/>
            <w:vAlign w:val="center"/>
          </w:tcPr>
          <w:p w14:paraId="70162D6A" w14:textId="77777777" w:rsidR="00612820" w:rsidRPr="00766F0B" w:rsidRDefault="00612820" w:rsidP="0026171C">
            <w:pPr>
              <w:pStyle w:val="TableText"/>
              <w:rPr>
                <w:rFonts w:ascii="Times New Roman" w:hAnsi="Times New Roman" w:cs="Times New Roman"/>
                <w:b/>
                <w:bCs/>
                <w:lang w:val="cs-CZ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Trieda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 xml:space="preserve"> orgánových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systémov</w:t>
            </w:r>
            <w:proofErr w:type="spellEnd"/>
          </w:p>
        </w:tc>
        <w:tc>
          <w:tcPr>
            <w:tcW w:w="2716" w:type="pct"/>
            <w:gridSpan w:val="3"/>
            <w:vAlign w:val="center"/>
          </w:tcPr>
          <w:p w14:paraId="1DD93DE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Indikácie</w:t>
            </w:r>
            <w:proofErr w:type="spellEnd"/>
          </w:p>
        </w:tc>
      </w:tr>
      <w:tr w:rsidR="00612820" w:rsidRPr="00BD30AE" w14:paraId="0CD6EA07" w14:textId="77777777" w:rsidTr="0026171C">
        <w:trPr>
          <w:tblHeader/>
        </w:trPr>
        <w:tc>
          <w:tcPr>
            <w:tcW w:w="2284" w:type="pct"/>
            <w:vMerge/>
            <w:tcBorders>
              <w:bottom w:val="single" w:sz="4" w:space="0" w:color="auto"/>
            </w:tcBorders>
            <w:vAlign w:val="center"/>
          </w:tcPr>
          <w:p w14:paraId="3F3DCB9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40B8AC09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Akútna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hnačka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br/>
            </w:r>
            <w:r w:rsidRPr="00766F0B">
              <w:rPr>
                <w:rFonts w:ascii="Times New Roman" w:hAnsi="Times New Roman" w:cs="Times New Roman"/>
                <w:lang w:val="en-GB"/>
              </w:rPr>
              <w:t>(N=2755)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07ACADF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Chronická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hnačka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br/>
              <w:t>(</w:t>
            </w:r>
            <w:r w:rsidRPr="00766F0B">
              <w:rPr>
                <w:rFonts w:ascii="Times New Roman" w:hAnsi="Times New Roman" w:cs="Times New Roman"/>
                <w:lang w:val="en-GB"/>
              </w:rPr>
              <w:t>N=321)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14:paraId="069B78CA" w14:textId="77777777" w:rsidR="00612820" w:rsidRPr="00766F0B" w:rsidRDefault="00612820" w:rsidP="0026171C">
            <w:pPr>
              <w:pStyle w:val="TableText"/>
              <w:ind w:left="280" w:hanging="284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Akútna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+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chronická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hnačka</w:t>
            </w:r>
            <w:proofErr w:type="spellEnd"/>
          </w:p>
          <w:p w14:paraId="57F5D41B" w14:textId="0229E5D8" w:rsidR="00612820" w:rsidRPr="00766F0B" w:rsidRDefault="00612820" w:rsidP="0026171C">
            <w:pPr>
              <w:pStyle w:val="TableText"/>
              <w:ind w:left="138" w:firstLine="146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a</w:t>
            </w:r>
            <w:r w:rsidR="0026171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postmarketingové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sledovanie</w:t>
            </w:r>
            <w:proofErr w:type="spellEnd"/>
          </w:p>
        </w:tc>
      </w:tr>
      <w:tr w:rsidR="00612820" w:rsidRPr="00BD30AE" w14:paraId="72BB7A37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2BDCB655" w14:textId="77777777" w:rsidR="00612820" w:rsidRPr="00766F0B" w:rsidRDefault="00612820" w:rsidP="0026171C">
            <w:pPr>
              <w:pStyle w:val="TableText"/>
              <w:ind w:left="568" w:hanging="573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imunitného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systému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</w:tcPr>
          <w:p w14:paraId="4D4B9FAA" w14:textId="77777777" w:rsidR="00612820" w:rsidRPr="00766F0B" w:rsidRDefault="00612820" w:rsidP="0026171C">
            <w:pPr>
              <w:pStyle w:val="TableText"/>
              <w:ind w:left="72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14:paraId="69390CD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14:paraId="4CAF0E1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0D6F181B" w14:textId="77777777" w:rsidTr="0026171C">
        <w:trPr>
          <w:cantSplit/>
          <w:trHeight w:val="137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1D4C7A3B" w14:textId="1C633F47" w:rsidR="00612820" w:rsidRPr="00B238C2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proofErr w:type="spellStart"/>
            <w:r w:rsidRPr="00612820">
              <w:rPr>
                <w:sz w:val="22"/>
                <w:szCs w:val="22"/>
                <w:lang w:val="cs-CZ" w:eastAsia="cs-CZ"/>
              </w:rPr>
              <w:t>precitlivenosť</w:t>
            </w:r>
            <w:r w:rsidRPr="00612820">
              <w:rPr>
                <w:sz w:val="22"/>
                <w:szCs w:val="22"/>
                <w:vertAlign w:val="superscript"/>
                <w:lang w:val="cs-CZ" w:eastAsia="cs-CZ"/>
              </w:rPr>
              <w:t>a</w:t>
            </w:r>
            <w:proofErr w:type="spellEnd"/>
            <w:r w:rsidRPr="00B238C2">
              <w:rPr>
                <w:sz w:val="22"/>
                <w:szCs w:val="22"/>
                <w:lang w:val="cs-CZ" w:eastAsia="cs-CZ"/>
              </w:rPr>
              <w:t>,</w:t>
            </w:r>
          </w:p>
          <w:p w14:paraId="19F9F2CB" w14:textId="7944993D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proofErr w:type="spellStart"/>
            <w:r w:rsidRPr="00B238C2">
              <w:rPr>
                <w:sz w:val="22"/>
                <w:szCs w:val="22"/>
              </w:rPr>
              <w:t>anafylaktická</w:t>
            </w:r>
            <w:proofErr w:type="spellEnd"/>
            <w:r w:rsidRPr="00B238C2">
              <w:rPr>
                <w:sz w:val="22"/>
                <w:szCs w:val="22"/>
              </w:rPr>
              <w:t xml:space="preserve"> </w:t>
            </w:r>
            <w:proofErr w:type="spellStart"/>
            <w:r w:rsidRPr="00B238C2">
              <w:rPr>
                <w:sz w:val="22"/>
                <w:szCs w:val="22"/>
              </w:rPr>
              <w:t>reakcia</w:t>
            </w:r>
            <w:r w:rsidRPr="00B238C2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24E4028E" w14:textId="15DDC69F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612820">
              <w:rPr>
                <w:sz w:val="22"/>
                <w:szCs w:val="22"/>
              </w:rPr>
              <w:t xml:space="preserve">(vrátane </w:t>
            </w:r>
            <w:proofErr w:type="spellStart"/>
            <w:r w:rsidRPr="00612820">
              <w:rPr>
                <w:sz w:val="22"/>
                <w:szCs w:val="22"/>
              </w:rPr>
              <w:t>anafylaktického</w:t>
            </w:r>
            <w:proofErr w:type="spellEnd"/>
            <w:r w:rsidRPr="00612820">
              <w:rPr>
                <w:sz w:val="22"/>
                <w:szCs w:val="22"/>
              </w:rPr>
              <w:t xml:space="preserve"> šoku)</w:t>
            </w:r>
            <w:r w:rsidRPr="00612820">
              <w:rPr>
                <w:sz w:val="22"/>
                <w:szCs w:val="22"/>
              </w:rPr>
              <w:br/>
              <w:t xml:space="preserve">a </w:t>
            </w:r>
            <w:proofErr w:type="spellStart"/>
            <w:r w:rsidRPr="00612820">
              <w:rPr>
                <w:sz w:val="22"/>
                <w:szCs w:val="22"/>
              </w:rPr>
              <w:t>anafylaktoidná</w:t>
            </w:r>
            <w:proofErr w:type="spellEnd"/>
            <w:r w:rsidRPr="00612820">
              <w:rPr>
                <w:sz w:val="22"/>
                <w:szCs w:val="22"/>
              </w:rPr>
              <w:t xml:space="preserve"> </w:t>
            </w:r>
            <w:proofErr w:type="spellStart"/>
            <w:r w:rsidRPr="00612820">
              <w:rPr>
                <w:sz w:val="22"/>
                <w:szCs w:val="22"/>
              </w:rPr>
              <w:t>reakcia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5A42CCE3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</w:tcPr>
          <w:p w14:paraId="4FBB0F5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</w:tcPr>
          <w:p w14:paraId="56490FA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4BEAE56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cs-CZ"/>
              </w:rPr>
              <w:t>zriedkavé</w:t>
            </w:r>
            <w:proofErr w:type="spellEnd"/>
          </w:p>
        </w:tc>
      </w:tr>
      <w:tr w:rsidR="00612820" w:rsidRPr="00BD30AE" w14:paraId="7930A68E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79FC7110" w14:textId="77777777" w:rsidR="00612820" w:rsidRPr="00766F0B" w:rsidRDefault="00612820" w:rsidP="0026171C">
            <w:pPr>
              <w:pStyle w:val="TableText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nervového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systému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</w:tcPr>
          <w:p w14:paraId="648A67E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14:paraId="2CC1C55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14:paraId="20BC7712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612820" w:rsidRPr="00BD30AE" w14:paraId="7BC2B55C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5A729E8E" w14:textId="7819845F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  <w:lang w:val="en-GB"/>
              </w:rPr>
            </w:pPr>
            <w:proofErr w:type="spellStart"/>
            <w:r w:rsidRPr="00612820">
              <w:rPr>
                <w:sz w:val="22"/>
                <w:szCs w:val="22"/>
                <w:lang w:val="en-GB"/>
              </w:rPr>
              <w:t>bolesti</w:t>
            </w:r>
            <w:proofErr w:type="spellEnd"/>
            <w:r w:rsidRPr="006128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2820">
              <w:rPr>
                <w:sz w:val="22"/>
                <w:szCs w:val="22"/>
                <w:lang w:val="en-GB"/>
              </w:rPr>
              <w:t>hlavy</w:t>
            </w:r>
            <w:proofErr w:type="spellEnd"/>
          </w:p>
          <w:p w14:paraId="7A3988EC" w14:textId="77777777" w:rsidR="00612820" w:rsidRPr="00B238C2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B238C2">
              <w:rPr>
                <w:sz w:val="22"/>
                <w:szCs w:val="22"/>
              </w:rPr>
              <w:t>závraty</w:t>
            </w:r>
          </w:p>
          <w:p w14:paraId="0C46AFB0" w14:textId="77777777" w:rsidR="00612820" w:rsidRPr="00B238C2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  <w:vertAlign w:val="superscript"/>
              </w:rPr>
            </w:pPr>
            <w:proofErr w:type="spellStart"/>
            <w:r w:rsidRPr="00B238C2">
              <w:rPr>
                <w:sz w:val="22"/>
                <w:szCs w:val="22"/>
              </w:rPr>
              <w:t>somnolencia</w:t>
            </w:r>
            <w:r w:rsidRPr="00B238C2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0ECEA06C" w14:textId="05F81CB6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B238C2">
              <w:rPr>
                <w:sz w:val="22"/>
                <w:szCs w:val="22"/>
              </w:rPr>
              <w:t xml:space="preserve">strata </w:t>
            </w:r>
            <w:proofErr w:type="spellStart"/>
            <w:r w:rsidRPr="00B238C2">
              <w:rPr>
                <w:sz w:val="22"/>
                <w:szCs w:val="22"/>
              </w:rPr>
              <w:t>vedomia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 xml:space="preserve">, </w:t>
            </w:r>
            <w:proofErr w:type="spellStart"/>
            <w:r w:rsidRPr="00612820">
              <w:rPr>
                <w:sz w:val="22"/>
                <w:szCs w:val="22"/>
              </w:rPr>
              <w:t>stupor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>,</w:t>
            </w:r>
          </w:p>
          <w:p w14:paraId="27ED0C87" w14:textId="0E0E7418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612820">
              <w:rPr>
                <w:sz w:val="22"/>
                <w:szCs w:val="22"/>
              </w:rPr>
              <w:t xml:space="preserve">znížená úroveň </w:t>
            </w:r>
            <w:proofErr w:type="spellStart"/>
            <w:r w:rsidRPr="00612820">
              <w:rPr>
                <w:sz w:val="22"/>
                <w:szCs w:val="22"/>
              </w:rPr>
              <w:t>vedomia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 xml:space="preserve">, </w:t>
            </w:r>
            <w:proofErr w:type="spellStart"/>
            <w:r w:rsidRPr="00612820">
              <w:rPr>
                <w:sz w:val="22"/>
                <w:szCs w:val="22"/>
              </w:rPr>
              <w:t>hypertónia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 xml:space="preserve">, poruchy </w:t>
            </w:r>
            <w:proofErr w:type="spellStart"/>
            <w:r w:rsidRPr="00612820">
              <w:rPr>
                <w:sz w:val="22"/>
                <w:szCs w:val="22"/>
              </w:rPr>
              <w:t>koordinácie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4C0660D9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</w:tcPr>
          <w:p w14:paraId="2BBE3B73" w14:textId="1A7230AF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</w:p>
          <w:p w14:paraId="3BFB83B8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</w:tcPr>
          <w:p w14:paraId="3AF8F49F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</w:tcPr>
          <w:p w14:paraId="7BCD5C3D" w14:textId="29C276C1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</w:p>
          <w:p w14:paraId="10588042" w14:textId="2452810A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</w:p>
          <w:p w14:paraId="2E3D0D43" w14:textId="0C2D1595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7732A066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C4059D2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612820" w:rsidRPr="00BD30AE" w14:paraId="10D4243F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77B49629" w14:textId="77777777" w:rsidR="00612820" w:rsidRPr="00766F0B" w:rsidRDefault="00612820" w:rsidP="0026171C">
            <w:pPr>
              <w:pStyle w:val="TableText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oka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65F199F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00AC179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651279B6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08C6AA43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357F3DC2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mióza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6D71102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25853F06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4C3E3010" w14:textId="38A1AA6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612820" w:rsidRPr="00BD30AE" w14:paraId="07228303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4E595478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14:paraId="540A6558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  <w:vAlign w:val="center"/>
          </w:tcPr>
          <w:p w14:paraId="2DDED46F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58887CA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43CEE777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3493D2E4" w14:textId="77777777" w:rsidR="00612820" w:rsidRPr="00766F0B" w:rsidRDefault="00612820" w:rsidP="0026171C">
            <w:pPr>
              <w:pStyle w:val="TableText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gastrointestinálneho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traktu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260E4CA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0D9F2B4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2E4C651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6C5F0088" w14:textId="77777777" w:rsidTr="0026171C">
        <w:trPr>
          <w:cantSplit/>
          <w:trHeight w:val="425"/>
        </w:trPr>
        <w:tc>
          <w:tcPr>
            <w:tcW w:w="2284" w:type="pct"/>
            <w:tcBorders>
              <w:top w:val="nil"/>
              <w:bottom w:val="nil"/>
            </w:tcBorders>
          </w:tcPr>
          <w:p w14:paraId="5AD14ED7" w14:textId="2D1310E1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zápcha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nauzea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flatulencia</w:t>
            </w:r>
            <w:proofErr w:type="spellEnd"/>
          </w:p>
          <w:p w14:paraId="2ACA62DA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abdominálna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bolesť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abdominálny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dyskomfort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sucho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v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ústach</w:t>
            </w:r>
            <w:proofErr w:type="spellEnd"/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5A57B351" w14:textId="4F7B4AF3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71870589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3EC542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7C66227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1CD8C9EA" w14:textId="47F7237E" w:rsidR="00612820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76589">
              <w:rPr>
                <w:rFonts w:ascii="Times New Roman" w:hAnsi="Times New Roman" w:cs="Times New Roman"/>
                <w:lang w:val="en-GB"/>
              </w:rPr>
              <w:t>č</w:t>
            </w:r>
            <w:r w:rsidR="00411AD9">
              <w:rPr>
                <w:rFonts w:ascii="Times New Roman" w:hAnsi="Times New Roman" w:cs="Times New Roman"/>
                <w:lang w:val="en-GB"/>
              </w:rPr>
              <w:t>ast</w:t>
            </w:r>
            <w:r w:rsidR="00D76589">
              <w:rPr>
                <w:rFonts w:ascii="Times New Roman" w:hAnsi="Times New Roman" w:cs="Times New Roman"/>
                <w:lang w:val="en-GB"/>
              </w:rPr>
              <w:t>é</w:t>
            </w:r>
            <w:proofErr w:type="spellEnd"/>
          </w:p>
          <w:p w14:paraId="7545A43E" w14:textId="77777777" w:rsidR="00411AD9" w:rsidRPr="00766F0B" w:rsidRDefault="00411AD9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0BBADD88" w14:textId="6F198318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1C9CA4CA" w14:textId="40C72641" w:rsidR="00612820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76589">
              <w:rPr>
                <w:rFonts w:ascii="Times New Roman" w:hAnsi="Times New Roman" w:cs="Times New Roman"/>
                <w:lang w:val="en-GB"/>
              </w:rPr>
              <w:t>č</w:t>
            </w:r>
            <w:r w:rsidR="00411AD9">
              <w:rPr>
                <w:rFonts w:ascii="Times New Roman" w:hAnsi="Times New Roman" w:cs="Times New Roman"/>
                <w:lang w:val="en-GB"/>
              </w:rPr>
              <w:t>ast</w:t>
            </w:r>
            <w:r w:rsidR="00D76589">
              <w:rPr>
                <w:rFonts w:ascii="Times New Roman" w:hAnsi="Times New Roman" w:cs="Times New Roman"/>
                <w:lang w:val="en-GB"/>
              </w:rPr>
              <w:t>é</w:t>
            </w:r>
            <w:proofErr w:type="spellEnd"/>
          </w:p>
          <w:p w14:paraId="1AD15964" w14:textId="77777777" w:rsidR="00411AD9" w:rsidRPr="00766F0B" w:rsidRDefault="00411AD9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6DE10F87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13A44BE2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bolesť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v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nadbrušku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vracanie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dyspepsia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20FFD4E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119847F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1A0C92B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F661A40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3B09EEEE" w14:textId="3313733D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071FE6A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</w:tr>
      <w:tr w:rsidR="00612820" w:rsidRPr="00BD30AE" w14:paraId="5B2CF0EA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6E1D8CFA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ileus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vrátane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paralytického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ilea),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megakolón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vrátane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toxického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megakolónu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b</w:t>
            </w:r>
            <w:proofErr w:type="spellEnd"/>
            <w:r w:rsidRPr="00766F0B">
              <w:rPr>
                <w:rFonts w:ascii="Times New Roman" w:hAnsi="Times New Roman" w:cs="Times New Roman"/>
              </w:rPr>
              <w:t>)</w:t>
            </w:r>
          </w:p>
          <w:p w14:paraId="7EB6320D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abdominálna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dystenzia</w:t>
            </w:r>
            <w:proofErr w:type="spellEnd"/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2EAB17D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4BE0AA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9AAFB4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F76107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1F63220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391DAE1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2AC03F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  <w:p w14:paraId="5C2003C0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533CB65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612820" w:rsidRPr="00BD30AE" w14:paraId="0394BA07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662326C2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34D99ADF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1B171A1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60504C8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56105" w:rsidRPr="00BD30AE" w14:paraId="6A87FAB5" w14:textId="77777777" w:rsidTr="00C12FB2">
        <w:trPr>
          <w:cantSplit/>
          <w:trHeight w:val="284"/>
        </w:trPr>
        <w:tc>
          <w:tcPr>
            <w:tcW w:w="2284" w:type="pct"/>
            <w:vMerge w:val="restart"/>
            <w:tcBorders>
              <w:top w:val="single" w:sz="4" w:space="0" w:color="auto"/>
            </w:tcBorders>
          </w:tcPr>
          <w:p w14:paraId="2859918A" w14:textId="77777777" w:rsidR="00356105" w:rsidRPr="00356105" w:rsidRDefault="00356105" w:rsidP="0026171C">
            <w:pPr>
              <w:pStyle w:val="TableText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kože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podkožného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tkaniva</w:t>
            </w:r>
            <w:proofErr w:type="spellEnd"/>
          </w:p>
          <w:p w14:paraId="0F312CE2" w14:textId="0C38CD05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v</w:t>
            </w:r>
            <w:r w:rsidRPr="00766F0B">
              <w:rPr>
                <w:rFonts w:ascii="Times New Roman" w:hAnsi="Times New Roman" w:cs="Times New Roman"/>
                <w:lang w:val="en-GB"/>
              </w:rPr>
              <w:t>yrážka</w:t>
            </w:r>
            <w:proofErr w:type="spellEnd"/>
          </w:p>
          <w:p w14:paraId="048EF6A5" w14:textId="2D169A4C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vertAlign w:val="superscript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bulózne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erupcie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vrátane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Stevensovho-Johnsonovho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syndrómu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toxickej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epidermálnej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nekrolýzy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a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multiformného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erytému</w:t>
            </w:r>
            <w:r w:rsidRPr="00766F0B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angioedém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žihľavka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pruritus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  <w:p w14:paraId="7BB14FFE" w14:textId="77777777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vAlign w:val="center"/>
          </w:tcPr>
          <w:p w14:paraId="0CDDF652" w14:textId="572A282E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0600FD15" w14:textId="77777777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6EF9B404" w14:textId="77777777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39AB1FA1" w14:textId="77777777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2597D9CF" w14:textId="77777777" w:rsidR="00356105" w:rsidRPr="00766F0B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5C56BEFB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nil"/>
            </w:tcBorders>
            <w:vAlign w:val="center"/>
          </w:tcPr>
          <w:p w14:paraId="06E978D5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vMerge w:val="restart"/>
            <w:tcBorders>
              <w:top w:val="single" w:sz="4" w:space="0" w:color="auto"/>
            </w:tcBorders>
            <w:vAlign w:val="center"/>
          </w:tcPr>
          <w:p w14:paraId="667D6006" w14:textId="07544CFF" w:rsidR="00356105" w:rsidRDefault="00356105" w:rsidP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5514D64D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1B6E361F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E1EF72F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4FDC18F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5CD2818" w14:textId="72D9AD0E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356105" w:rsidRPr="00BD30AE" w14:paraId="1572C61A" w14:textId="77777777" w:rsidTr="00F15A98">
        <w:trPr>
          <w:cantSplit/>
          <w:trHeight w:val="872"/>
        </w:trPr>
        <w:tc>
          <w:tcPr>
            <w:tcW w:w="2284" w:type="pct"/>
            <w:vMerge/>
          </w:tcPr>
          <w:p w14:paraId="76D1ADEE" w14:textId="77777777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vMerge/>
            <w:vAlign w:val="center"/>
          </w:tcPr>
          <w:p w14:paraId="5DCBF520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14:paraId="7487BEF6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vMerge/>
            <w:vAlign w:val="center"/>
          </w:tcPr>
          <w:p w14:paraId="5BF65DA1" w14:textId="62335629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73167C5D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4544D51F" w14:textId="77777777" w:rsidR="00612820" w:rsidRPr="00B238C2" w:rsidRDefault="00612820" w:rsidP="0026171C">
            <w:pPr>
              <w:pStyle w:val="Zkladntext"/>
              <w:spacing w:after="0"/>
              <w:rPr>
                <w:i/>
                <w:sz w:val="22"/>
                <w:szCs w:val="22"/>
              </w:rPr>
            </w:pPr>
            <w:r w:rsidRPr="00612820">
              <w:rPr>
                <w:b/>
                <w:sz w:val="22"/>
                <w:szCs w:val="22"/>
              </w:rPr>
              <w:t>Poruchy obličiek a močových c</w:t>
            </w:r>
            <w:r w:rsidRPr="00B238C2">
              <w:rPr>
                <w:b/>
                <w:sz w:val="22"/>
                <w:szCs w:val="22"/>
              </w:rPr>
              <w:t>iest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7CB0F1EE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2B3E385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0D04254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</w:tc>
      </w:tr>
      <w:tr w:rsidR="00612820" w:rsidRPr="00BD30AE" w14:paraId="457AE5DE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40ADF3BF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vertAlign w:val="superscript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retencia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moču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  <w:p w14:paraId="6C6CB8E1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14:paraId="21FD8F6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  <w:vAlign w:val="center"/>
          </w:tcPr>
          <w:p w14:paraId="1773C32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4F1198D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  <w:p w14:paraId="712221E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267FFDE5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16D15EC7" w14:textId="77777777" w:rsidR="00612820" w:rsidRPr="00766F0B" w:rsidRDefault="00612820" w:rsidP="0026171C">
            <w:pPr>
              <w:pStyle w:val="TableText"/>
              <w:keepLines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Celkové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reakcie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v 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mieste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podania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792DA5B2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673AA0B6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4F345A7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5D133408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173C1289" w14:textId="481A95C6" w:rsidR="00612820" w:rsidRPr="00766F0B" w:rsidRDefault="00612820" w:rsidP="00766F0B">
            <w:pPr>
              <w:pStyle w:val="TableText"/>
              <w:keepLines/>
              <w:ind w:left="720" w:hanging="6"/>
              <w:jc w:val="both"/>
              <w:rPr>
                <w:rFonts w:ascii="Times New Roman" w:hAnsi="Times New Roman" w:cs="Times New Roman"/>
                <w:vertAlign w:val="superscript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únava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  <w:p w14:paraId="769FCB29" w14:textId="77777777" w:rsidR="00612820" w:rsidRPr="00766F0B" w:rsidRDefault="00612820" w:rsidP="0026171C">
            <w:pPr>
              <w:pStyle w:val="TableText"/>
              <w:keepLines/>
              <w:ind w:left="720" w:hanging="284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14:paraId="6B41E957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  <w:vAlign w:val="center"/>
          </w:tcPr>
          <w:p w14:paraId="5AA19BC6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04E1EDC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  <w:p w14:paraId="6A6C700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96C094C" w14:textId="1D614B7F" w:rsidR="00954723" w:rsidRDefault="00612820" w:rsidP="00766F0B">
      <w:pPr>
        <w:pStyle w:val="TableText"/>
        <w:keepNext w:val="0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766F0B">
        <w:rPr>
          <w:rFonts w:ascii="Times New Roman" w:hAnsi="Times New Roman" w:cs="Times New Roman"/>
          <w:vertAlign w:val="superscript"/>
          <w:lang w:val="sk-SK"/>
        </w:rPr>
        <w:t>a</w:t>
      </w:r>
      <w:r w:rsidR="00954723">
        <w:rPr>
          <w:rFonts w:ascii="Times New Roman" w:hAnsi="Times New Roman" w:cs="Times New Roman"/>
          <w:lang w:val="sk-SK"/>
        </w:rPr>
        <w:tab/>
      </w:r>
      <w:r w:rsidRPr="00766F0B">
        <w:rPr>
          <w:rFonts w:ascii="Times New Roman" w:hAnsi="Times New Roman" w:cs="Times New Roman"/>
          <w:lang w:val="sk-SK"/>
        </w:rPr>
        <w:t xml:space="preserve">Tento údaj je založený na </w:t>
      </w:r>
      <w:proofErr w:type="spellStart"/>
      <w:r w:rsidRPr="00766F0B">
        <w:rPr>
          <w:rFonts w:ascii="Times New Roman" w:hAnsi="Times New Roman" w:cs="Times New Roman"/>
          <w:lang w:val="sk-SK"/>
        </w:rPr>
        <w:t>postmarketingov</w:t>
      </w:r>
      <w:r w:rsidR="00954723">
        <w:rPr>
          <w:rFonts w:ascii="Times New Roman" w:hAnsi="Times New Roman" w:cs="Times New Roman"/>
          <w:lang w:val="sk-SK"/>
        </w:rPr>
        <w:t>o</w:t>
      </w:r>
      <w:r w:rsidRPr="00766F0B">
        <w:rPr>
          <w:rFonts w:ascii="Times New Roman" w:hAnsi="Times New Roman" w:cs="Times New Roman"/>
          <w:lang w:val="sk-SK"/>
        </w:rPr>
        <w:t>m</w:t>
      </w:r>
      <w:proofErr w:type="spellEnd"/>
      <w:r w:rsidRPr="00766F0B">
        <w:rPr>
          <w:rFonts w:ascii="Times New Roman" w:hAnsi="Times New Roman" w:cs="Times New Roman"/>
          <w:lang w:val="sk-SK"/>
        </w:rPr>
        <w:t xml:space="preserve"> hlásení u </w:t>
      </w:r>
      <w:r w:rsidR="00954723" w:rsidRPr="00954723">
        <w:rPr>
          <w:rFonts w:ascii="Times New Roman" w:hAnsi="Times New Roman" w:cs="Times New Roman"/>
          <w:lang w:val="sk-SK"/>
        </w:rPr>
        <w:t>l</w:t>
      </w:r>
      <w:proofErr w:type="spellStart"/>
      <w:r w:rsidR="00954723" w:rsidRPr="00766F0B">
        <w:rPr>
          <w:rFonts w:ascii="Times New Roman" w:hAnsi="Times New Roman" w:cs="Times New Roman"/>
        </w:rPr>
        <w:t>operamidiumchlorid</w:t>
      </w:r>
      <w:r w:rsidR="00954723">
        <w:rPr>
          <w:rFonts w:ascii="Times New Roman" w:hAnsi="Times New Roman" w:cs="Times New Roman"/>
        </w:rPr>
        <w:t>u</w:t>
      </w:r>
      <w:proofErr w:type="spellEnd"/>
      <w:r w:rsidRPr="00766F0B">
        <w:rPr>
          <w:rFonts w:ascii="Times New Roman" w:hAnsi="Times New Roman" w:cs="Times New Roman"/>
          <w:lang w:val="sk-SK"/>
        </w:rPr>
        <w:t>.</w:t>
      </w:r>
    </w:p>
    <w:p w14:paraId="36625C09" w14:textId="79F57E03" w:rsidR="00612820" w:rsidRPr="00766F0B" w:rsidRDefault="00612820" w:rsidP="00766F0B">
      <w:pPr>
        <w:pStyle w:val="TableText"/>
        <w:keepNext w:val="0"/>
        <w:tabs>
          <w:tab w:val="left" w:pos="284"/>
        </w:tabs>
        <w:ind w:left="284"/>
        <w:jc w:val="both"/>
        <w:rPr>
          <w:rFonts w:ascii="Times New Roman" w:hAnsi="Times New Roman" w:cs="Times New Roman"/>
          <w:lang w:val="sk-SK"/>
        </w:rPr>
      </w:pPr>
      <w:r w:rsidRPr="00766F0B">
        <w:rPr>
          <w:rFonts w:ascii="Times New Roman" w:hAnsi="Times New Roman" w:cs="Times New Roman"/>
          <w:lang w:val="sk-SK"/>
        </w:rPr>
        <w:t>Údaje v</w:t>
      </w:r>
      <w:r w:rsidR="00954723">
        <w:rPr>
          <w:rFonts w:ascii="Times New Roman" w:hAnsi="Times New Roman" w:cs="Times New Roman"/>
          <w:lang w:val="sk-SK"/>
        </w:rPr>
        <w:t> </w:t>
      </w:r>
      <w:proofErr w:type="spellStart"/>
      <w:r w:rsidRPr="00766F0B">
        <w:rPr>
          <w:rFonts w:ascii="Times New Roman" w:hAnsi="Times New Roman" w:cs="Times New Roman"/>
          <w:lang w:val="sk-SK"/>
        </w:rPr>
        <w:t>postmarketingovom</w:t>
      </w:r>
      <w:proofErr w:type="spellEnd"/>
      <w:r w:rsidRPr="00766F0B">
        <w:rPr>
          <w:rFonts w:ascii="Times New Roman" w:hAnsi="Times New Roman" w:cs="Times New Roman"/>
          <w:lang w:val="sk-SK"/>
        </w:rPr>
        <w:t xml:space="preserve"> hlásení nerozlišovali me</w:t>
      </w:r>
      <w:r w:rsidR="00954723">
        <w:rPr>
          <w:rFonts w:ascii="Times New Roman" w:hAnsi="Times New Roman" w:cs="Times New Roman"/>
          <w:lang w:val="sk-SK"/>
        </w:rPr>
        <w:t>d</w:t>
      </w:r>
      <w:r w:rsidRPr="00766F0B">
        <w:rPr>
          <w:rFonts w:ascii="Times New Roman" w:hAnsi="Times New Roman" w:cs="Times New Roman"/>
          <w:lang w:val="sk-SK"/>
        </w:rPr>
        <w:t>zi chronickými a akútnymi indikáciami alebo dospelými a deťmi, preto bola frekvencia odhadnutá na základe všetkých klinických štúdií s</w:t>
      </w:r>
      <w:r w:rsidR="00954723">
        <w:rPr>
          <w:rFonts w:ascii="Times New Roman" w:hAnsi="Times New Roman" w:cs="Times New Roman"/>
          <w:lang w:val="sk-SK"/>
        </w:rPr>
        <w:t> </w:t>
      </w:r>
      <w:r w:rsidR="00954723" w:rsidRPr="00954723">
        <w:rPr>
          <w:rFonts w:ascii="Times New Roman" w:hAnsi="Times New Roman" w:cs="Times New Roman"/>
          <w:lang w:val="sk-SK"/>
        </w:rPr>
        <w:t>l</w:t>
      </w:r>
      <w:proofErr w:type="spellStart"/>
      <w:r w:rsidR="00954723" w:rsidRPr="001108B2">
        <w:rPr>
          <w:rFonts w:ascii="Times New Roman" w:hAnsi="Times New Roman" w:cs="Times New Roman"/>
        </w:rPr>
        <w:t>operamidiumchlorid</w:t>
      </w:r>
      <w:r w:rsidR="00954723">
        <w:rPr>
          <w:rFonts w:ascii="Times New Roman" w:hAnsi="Times New Roman" w:cs="Times New Roman"/>
        </w:rPr>
        <w:t>om</w:t>
      </w:r>
      <w:proofErr w:type="spellEnd"/>
      <w:r w:rsidRPr="00766F0B">
        <w:rPr>
          <w:rFonts w:ascii="Times New Roman" w:hAnsi="Times New Roman" w:cs="Times New Roman"/>
          <w:lang w:val="sk-SK"/>
        </w:rPr>
        <w:t>, vrátane štúdií s deťmi ≤</w:t>
      </w:r>
      <w:r w:rsidR="00954723">
        <w:rPr>
          <w:rFonts w:ascii="Times New Roman" w:hAnsi="Times New Roman" w:cs="Times New Roman"/>
          <w:lang w:val="sk-SK"/>
        </w:rPr>
        <w:t> </w:t>
      </w:r>
      <w:r w:rsidRPr="00766F0B">
        <w:rPr>
          <w:rFonts w:ascii="Times New Roman" w:hAnsi="Times New Roman" w:cs="Times New Roman"/>
          <w:lang w:val="sk-SK"/>
        </w:rPr>
        <w:t>12 rokov (N=3683).</w:t>
      </w:r>
    </w:p>
    <w:p w14:paraId="7671979D" w14:textId="3D0DA968" w:rsidR="00612820" w:rsidRPr="00766F0B" w:rsidRDefault="00612820" w:rsidP="00766F0B">
      <w:pPr>
        <w:pStyle w:val="TableText"/>
        <w:tabs>
          <w:tab w:val="left" w:pos="284"/>
        </w:tabs>
        <w:jc w:val="both"/>
        <w:rPr>
          <w:rFonts w:ascii="Times New Roman" w:hAnsi="Times New Roman" w:cs="Times New Roman"/>
          <w:lang w:val="sk-SK"/>
        </w:rPr>
      </w:pPr>
      <w:r w:rsidRPr="00766F0B">
        <w:rPr>
          <w:rFonts w:ascii="Times New Roman" w:hAnsi="Times New Roman" w:cs="Times New Roman"/>
          <w:vertAlign w:val="superscript"/>
          <w:lang w:val="sk-SK"/>
        </w:rPr>
        <w:t>b</w:t>
      </w:r>
      <w:r w:rsidR="00954723">
        <w:rPr>
          <w:rFonts w:ascii="Times New Roman" w:hAnsi="Times New Roman" w:cs="Times New Roman"/>
          <w:lang w:val="sk-SK"/>
        </w:rPr>
        <w:tab/>
      </w:r>
      <w:r w:rsidRPr="00766F0B">
        <w:rPr>
          <w:rFonts w:ascii="Times New Roman" w:hAnsi="Times New Roman" w:cs="Times New Roman"/>
          <w:lang w:val="sk-SK"/>
        </w:rPr>
        <w:t>Pozri časť 4.4.</w:t>
      </w:r>
    </w:p>
    <w:p w14:paraId="5F7440C2" w14:textId="0C68D3FC" w:rsidR="00612820" w:rsidRPr="00954723" w:rsidRDefault="00612820" w:rsidP="00612820">
      <w:pPr>
        <w:rPr>
          <w:sz w:val="22"/>
          <w:szCs w:val="22"/>
          <w:u w:val="single"/>
        </w:rPr>
      </w:pPr>
      <w:r w:rsidRPr="00766F0B">
        <w:rPr>
          <w:sz w:val="22"/>
          <w:szCs w:val="22"/>
        </w:rPr>
        <w:t>Pri nežiaducich účinkoch, kde nie sú uvedené frekvencie, nebol údaj sledovaný alebo nebol vyhodnotený ako nežiaduci účinok v tejto indikácii.</w:t>
      </w:r>
    </w:p>
    <w:p w14:paraId="4FED18B0" w14:textId="146AE7E6" w:rsidR="00612820" w:rsidRDefault="00612820">
      <w:pPr>
        <w:rPr>
          <w:sz w:val="22"/>
          <w:szCs w:val="22"/>
          <w:u w:val="single"/>
        </w:rPr>
      </w:pPr>
    </w:p>
    <w:p w14:paraId="772E2D16" w14:textId="77777777" w:rsidR="00612820" w:rsidRPr="00766F0B" w:rsidRDefault="00612820" w:rsidP="00612820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Pediatrická populácia</w:t>
      </w:r>
    </w:p>
    <w:p w14:paraId="608E0F70" w14:textId="0E059CFD" w:rsidR="008B49CE" w:rsidRPr="00862CC1" w:rsidRDefault="00612820">
      <w:pPr>
        <w:rPr>
          <w:sz w:val="22"/>
          <w:szCs w:val="22"/>
        </w:rPr>
      </w:pPr>
      <w:r w:rsidRPr="00753E5B">
        <w:rPr>
          <w:sz w:val="22"/>
          <w:szCs w:val="22"/>
        </w:rPr>
        <w:t xml:space="preserve">Bezpečnosť </w:t>
      </w:r>
      <w:proofErr w:type="spellStart"/>
      <w:r w:rsidR="00954723" w:rsidRPr="00766F0B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u</w:t>
      </w:r>
      <w:proofErr w:type="spellEnd"/>
      <w:r w:rsidR="00954723">
        <w:rPr>
          <w:sz w:val="22"/>
          <w:szCs w:val="22"/>
        </w:rPr>
        <w:t xml:space="preserve"> </w:t>
      </w:r>
      <w:r w:rsidRPr="00753E5B">
        <w:rPr>
          <w:sz w:val="22"/>
          <w:szCs w:val="22"/>
        </w:rPr>
        <w:t>bola hodnotená u 607 pacientov vo veku 10 dní až 13 rokov, ktorí sa zúčastnili 13 kontrolovaných a nekontrolovaných klinických štúdií s </w:t>
      </w:r>
      <w:proofErr w:type="spellStart"/>
      <w:r w:rsidR="00954723" w:rsidRPr="001108B2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om</w:t>
      </w:r>
      <w:proofErr w:type="spellEnd"/>
      <w:r w:rsidRPr="00753E5B">
        <w:rPr>
          <w:sz w:val="22"/>
          <w:szCs w:val="22"/>
        </w:rPr>
        <w:t xml:space="preserve"> pri lie</w:t>
      </w:r>
      <w:r>
        <w:rPr>
          <w:sz w:val="22"/>
          <w:szCs w:val="22"/>
        </w:rPr>
        <w:t>čbe akútnej hnačky. Nežiaduce úč</w:t>
      </w:r>
      <w:r w:rsidRPr="00753E5B">
        <w:rPr>
          <w:sz w:val="22"/>
          <w:szCs w:val="22"/>
        </w:rPr>
        <w:t xml:space="preserve">inky </w:t>
      </w:r>
      <w:proofErr w:type="spellStart"/>
      <w:r w:rsidR="00954723" w:rsidRPr="001108B2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u</w:t>
      </w:r>
      <w:proofErr w:type="spellEnd"/>
      <w:r w:rsidRPr="00753E5B">
        <w:rPr>
          <w:sz w:val="22"/>
          <w:szCs w:val="22"/>
        </w:rPr>
        <w:t xml:space="preserve"> boli u tejto populácie všeobecne podobné tým, ktoré sa vyskytovali v klinických štúdiách s </w:t>
      </w:r>
      <w:proofErr w:type="spellStart"/>
      <w:r w:rsidR="00954723" w:rsidRPr="001108B2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om</w:t>
      </w:r>
      <w:proofErr w:type="spellEnd"/>
      <w:r w:rsidRPr="00753E5B">
        <w:rPr>
          <w:sz w:val="22"/>
          <w:szCs w:val="22"/>
        </w:rPr>
        <w:t xml:space="preserve"> u dospelých a detí vo veku 12 rokov a starších.</w:t>
      </w:r>
    </w:p>
    <w:p w14:paraId="3F51F042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457AD803" w14:textId="77777777" w:rsidR="008B49CE" w:rsidRPr="00862CC1" w:rsidRDefault="008B49CE" w:rsidP="00173733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862CC1">
        <w:rPr>
          <w:noProof/>
          <w:sz w:val="22"/>
          <w:szCs w:val="22"/>
          <w:u w:val="single"/>
        </w:rPr>
        <w:t>Hlásenie podozrení na nežiaduce reakcie</w:t>
      </w:r>
    </w:p>
    <w:p w14:paraId="14BDC23C" w14:textId="1C9F1F65" w:rsidR="008B49CE" w:rsidRPr="00857051" w:rsidRDefault="008B49CE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862CC1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="001C47EA" w:rsidRPr="00862CC1">
        <w:rPr>
          <w:sz w:val="22"/>
          <w:szCs w:val="22"/>
        </w:rPr>
        <w:t xml:space="preserve">reakcie </w:t>
      </w:r>
      <w:r w:rsidR="006D42C7" w:rsidRPr="00173733">
        <w:rPr>
          <w:sz w:val="22"/>
          <w:szCs w:val="22"/>
        </w:rPr>
        <w:t xml:space="preserve">na </w:t>
      </w:r>
      <w:r w:rsidR="006D42C7" w:rsidRPr="00173733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="006D42C7" w:rsidRPr="0017373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6D42C7" w:rsidRPr="00857051">
        <w:rPr>
          <w:noProof/>
          <w:sz w:val="22"/>
          <w:szCs w:val="22"/>
        </w:rPr>
        <w:t>.</w:t>
      </w:r>
    </w:p>
    <w:p w14:paraId="4ED134CA" w14:textId="77777777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4AE2FDAD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4.9</w:t>
      </w:r>
      <w:r w:rsidRPr="00862CC1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14:paraId="012ABCF4" w14:textId="77777777" w:rsidR="005A00A4" w:rsidRPr="00862CC1" w:rsidRDefault="005A00A4" w:rsidP="006D42C7">
      <w:pPr>
        <w:rPr>
          <w:iCs/>
          <w:sz w:val="22"/>
          <w:szCs w:val="22"/>
        </w:rPr>
      </w:pPr>
    </w:p>
    <w:p w14:paraId="5F9F8DB8" w14:textId="77777777" w:rsidR="005A00A4" w:rsidRPr="00862CC1" w:rsidRDefault="005A00A4" w:rsidP="000F03EE">
      <w:pPr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Príznaky</w:t>
      </w:r>
    </w:p>
    <w:p w14:paraId="070CA4B7" w14:textId="77777777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V prípade predávkovania (vrátane relatívneho predávkovania pri poruchách funkcie pečene) sa môže vyskytnúť útlm CNS (</w:t>
      </w:r>
      <w:proofErr w:type="spellStart"/>
      <w:r w:rsidRPr="00862CC1">
        <w:rPr>
          <w:sz w:val="22"/>
          <w:szCs w:val="22"/>
        </w:rPr>
        <w:t>stupor</w:t>
      </w:r>
      <w:proofErr w:type="spellEnd"/>
      <w:r w:rsidRPr="00862CC1">
        <w:rPr>
          <w:sz w:val="22"/>
          <w:szCs w:val="22"/>
        </w:rPr>
        <w:t xml:space="preserve">, poruchy koordinácie, </w:t>
      </w:r>
      <w:proofErr w:type="spellStart"/>
      <w:r w:rsidRPr="00862CC1">
        <w:rPr>
          <w:sz w:val="22"/>
          <w:szCs w:val="22"/>
        </w:rPr>
        <w:t>somnolencia</w:t>
      </w:r>
      <w:proofErr w:type="spellEnd"/>
      <w:r w:rsidRPr="00862CC1">
        <w:rPr>
          <w:sz w:val="22"/>
          <w:szCs w:val="22"/>
        </w:rPr>
        <w:t xml:space="preserve">, </w:t>
      </w:r>
      <w:proofErr w:type="spellStart"/>
      <w:r w:rsidRPr="00862CC1">
        <w:rPr>
          <w:sz w:val="22"/>
          <w:szCs w:val="22"/>
        </w:rPr>
        <w:t>mióza</w:t>
      </w:r>
      <w:proofErr w:type="spellEnd"/>
      <w:r w:rsidRPr="00862CC1">
        <w:rPr>
          <w:sz w:val="22"/>
          <w:szCs w:val="22"/>
        </w:rPr>
        <w:t xml:space="preserve">, svalová hypertónia, útlm dýchania), </w:t>
      </w:r>
      <w:proofErr w:type="spellStart"/>
      <w:r w:rsidRPr="00862CC1">
        <w:rPr>
          <w:sz w:val="22"/>
          <w:szCs w:val="22"/>
        </w:rPr>
        <w:t>retencia</w:t>
      </w:r>
      <w:proofErr w:type="spellEnd"/>
      <w:r w:rsidRPr="00862CC1">
        <w:rPr>
          <w:sz w:val="22"/>
          <w:szCs w:val="22"/>
        </w:rPr>
        <w:t xml:space="preserve"> moču a </w:t>
      </w:r>
      <w:proofErr w:type="spellStart"/>
      <w:r w:rsidRPr="00862CC1">
        <w:rPr>
          <w:sz w:val="22"/>
          <w:szCs w:val="22"/>
        </w:rPr>
        <w:t>ileus</w:t>
      </w:r>
      <w:proofErr w:type="spellEnd"/>
      <w:r w:rsidRPr="00862CC1">
        <w:rPr>
          <w:sz w:val="22"/>
          <w:szCs w:val="22"/>
        </w:rPr>
        <w:t>. Deti môžu byť citlivejšie voči účinkom na CNS ako dospelí.</w:t>
      </w:r>
    </w:p>
    <w:p w14:paraId="28D0F038" w14:textId="77777777" w:rsidR="0034696A" w:rsidRPr="00862CC1" w:rsidRDefault="0034696A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BC58BDC" w14:textId="37BDDCE0" w:rsidR="00B44A5E" w:rsidRDefault="0034696A" w:rsidP="00173733">
      <w:pPr>
        <w:rPr>
          <w:kern w:val="2"/>
          <w:sz w:val="22"/>
          <w:szCs w:val="22"/>
        </w:rPr>
      </w:pPr>
      <w:r w:rsidRPr="00862CC1">
        <w:rPr>
          <w:sz w:val="22"/>
          <w:szCs w:val="22"/>
        </w:rPr>
        <w:t xml:space="preserve">U jednotlivcov, ktorí sa predávkovali </w:t>
      </w:r>
      <w:proofErr w:type="spellStart"/>
      <w:r w:rsidRPr="00862CC1">
        <w:rPr>
          <w:sz w:val="22"/>
          <w:szCs w:val="22"/>
        </w:rPr>
        <w:t>loperamid</w:t>
      </w:r>
      <w:r w:rsidR="006446D9">
        <w:rPr>
          <w:sz w:val="22"/>
          <w:szCs w:val="22"/>
        </w:rPr>
        <w:t>om</w:t>
      </w:r>
      <w:proofErr w:type="spellEnd"/>
      <w:r w:rsidRPr="00862CC1">
        <w:rPr>
          <w:sz w:val="22"/>
          <w:szCs w:val="22"/>
        </w:rPr>
        <w:t xml:space="preserve"> sa pozorovali srdcové udalosti, ako je predĺženie intervalu</w:t>
      </w:r>
      <w:r w:rsidR="006446D9">
        <w:rPr>
          <w:sz w:val="22"/>
          <w:szCs w:val="22"/>
        </w:rPr>
        <w:t xml:space="preserve"> QT a komplexu QRS</w:t>
      </w:r>
      <w:r w:rsidRPr="00862CC1">
        <w:rPr>
          <w:sz w:val="22"/>
          <w:szCs w:val="22"/>
        </w:rPr>
        <w:t xml:space="preserve">, tzv. </w:t>
      </w:r>
      <w:proofErr w:type="spellStart"/>
      <w:r w:rsidRPr="000C4F7E">
        <w:rPr>
          <w:i/>
          <w:sz w:val="22"/>
          <w:szCs w:val="22"/>
        </w:rPr>
        <w:t>torsades</w:t>
      </w:r>
      <w:proofErr w:type="spellEnd"/>
      <w:r w:rsidRPr="000C4F7E">
        <w:rPr>
          <w:i/>
          <w:sz w:val="22"/>
          <w:szCs w:val="22"/>
        </w:rPr>
        <w:t xml:space="preserve"> </w:t>
      </w:r>
      <w:proofErr w:type="spellStart"/>
      <w:r w:rsidRPr="000C4F7E">
        <w:rPr>
          <w:i/>
          <w:sz w:val="22"/>
          <w:szCs w:val="22"/>
        </w:rPr>
        <w:t>de</w:t>
      </w:r>
      <w:proofErr w:type="spellEnd"/>
      <w:r w:rsidRPr="000C4F7E">
        <w:rPr>
          <w:i/>
          <w:sz w:val="22"/>
          <w:szCs w:val="22"/>
        </w:rPr>
        <w:t xml:space="preserve"> </w:t>
      </w:r>
      <w:proofErr w:type="spellStart"/>
      <w:r w:rsidRPr="000C4F7E">
        <w:rPr>
          <w:i/>
          <w:sz w:val="22"/>
          <w:szCs w:val="22"/>
        </w:rPr>
        <w:t>pointes</w:t>
      </w:r>
      <w:proofErr w:type="spellEnd"/>
      <w:r w:rsidRPr="00862CC1">
        <w:rPr>
          <w:sz w:val="22"/>
          <w:szCs w:val="22"/>
        </w:rPr>
        <w:t xml:space="preserve">, iné závažné komorové </w:t>
      </w:r>
      <w:proofErr w:type="spellStart"/>
      <w:r w:rsidRPr="00862CC1">
        <w:rPr>
          <w:sz w:val="22"/>
          <w:szCs w:val="22"/>
        </w:rPr>
        <w:t>arytmie</w:t>
      </w:r>
      <w:proofErr w:type="spellEnd"/>
      <w:r w:rsidRPr="00862CC1">
        <w:rPr>
          <w:sz w:val="22"/>
          <w:szCs w:val="22"/>
        </w:rPr>
        <w:t>, z</w:t>
      </w:r>
      <w:r w:rsidR="00954723">
        <w:rPr>
          <w:sz w:val="22"/>
          <w:szCs w:val="22"/>
        </w:rPr>
        <w:t>a</w:t>
      </w:r>
      <w:r w:rsidRPr="00862CC1">
        <w:rPr>
          <w:sz w:val="22"/>
          <w:szCs w:val="22"/>
        </w:rPr>
        <w:t>stav</w:t>
      </w:r>
      <w:r w:rsidR="00954723">
        <w:rPr>
          <w:sz w:val="22"/>
          <w:szCs w:val="22"/>
        </w:rPr>
        <w:t>enie</w:t>
      </w:r>
      <w:r w:rsidRPr="00862CC1">
        <w:rPr>
          <w:sz w:val="22"/>
          <w:szCs w:val="22"/>
        </w:rPr>
        <w:t xml:space="preserve"> srdca a synkopa (pozri časť 4.4). Boli hlásené aj smrteľné prípady.</w:t>
      </w:r>
      <w:r w:rsidR="00E906A2">
        <w:rPr>
          <w:sz w:val="22"/>
          <w:szCs w:val="22"/>
        </w:rPr>
        <w:t xml:space="preserve"> </w:t>
      </w:r>
      <w:r w:rsidR="00B44A5E">
        <w:rPr>
          <w:kern w:val="2"/>
          <w:sz w:val="22"/>
          <w:szCs w:val="22"/>
        </w:rPr>
        <w:t xml:space="preserve">Predávkovanie môže odhaliť existujúci </w:t>
      </w:r>
      <w:proofErr w:type="spellStart"/>
      <w:r w:rsidR="00B44A5E">
        <w:rPr>
          <w:kern w:val="2"/>
          <w:sz w:val="22"/>
          <w:szCs w:val="22"/>
        </w:rPr>
        <w:t>Brugadov</w:t>
      </w:r>
      <w:proofErr w:type="spellEnd"/>
      <w:r w:rsidR="00B44A5E">
        <w:rPr>
          <w:kern w:val="2"/>
          <w:sz w:val="22"/>
          <w:szCs w:val="22"/>
        </w:rPr>
        <w:t xml:space="preserve"> syndróm.</w:t>
      </w:r>
    </w:p>
    <w:p w14:paraId="25A8BA11" w14:textId="77777777" w:rsidR="00B44A5E" w:rsidRPr="00862CC1" w:rsidRDefault="00B44A5E" w:rsidP="00173733">
      <w:pPr>
        <w:rPr>
          <w:sz w:val="22"/>
          <w:szCs w:val="22"/>
        </w:rPr>
      </w:pPr>
    </w:p>
    <w:p w14:paraId="25CA41EA" w14:textId="77777777" w:rsidR="005A00A4" w:rsidRPr="00862CC1" w:rsidRDefault="005A00A4">
      <w:pPr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Liečba</w:t>
      </w:r>
    </w:p>
    <w:p w14:paraId="5B4F66A7" w14:textId="03789566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 xml:space="preserve">Ak sa objavia príznaky z predávkovania, je možné ako </w:t>
      </w:r>
      <w:proofErr w:type="spellStart"/>
      <w:r w:rsidRPr="00862CC1">
        <w:rPr>
          <w:sz w:val="22"/>
          <w:szCs w:val="22"/>
        </w:rPr>
        <w:t>antidotum</w:t>
      </w:r>
      <w:proofErr w:type="spellEnd"/>
      <w:r w:rsidRPr="00862CC1">
        <w:rPr>
          <w:sz w:val="22"/>
          <w:szCs w:val="22"/>
        </w:rPr>
        <w:t xml:space="preserve"> podať </w:t>
      </w:r>
      <w:proofErr w:type="spellStart"/>
      <w:r w:rsidRPr="00862CC1">
        <w:rPr>
          <w:sz w:val="22"/>
          <w:szCs w:val="22"/>
        </w:rPr>
        <w:t>naloxón</w:t>
      </w:r>
      <w:proofErr w:type="spellEnd"/>
      <w:r w:rsidRPr="00862CC1">
        <w:rPr>
          <w:sz w:val="22"/>
          <w:szCs w:val="22"/>
        </w:rPr>
        <w:t xml:space="preserve">. Keďže trvanie účinku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je dlhšie ako </w:t>
      </w:r>
      <w:r w:rsidR="00011647">
        <w:rPr>
          <w:sz w:val="22"/>
          <w:szCs w:val="22"/>
        </w:rPr>
        <w:t xml:space="preserve">účinok </w:t>
      </w:r>
      <w:proofErr w:type="spellStart"/>
      <w:r w:rsidRPr="00862CC1">
        <w:rPr>
          <w:sz w:val="22"/>
          <w:szCs w:val="22"/>
        </w:rPr>
        <w:t>naloxónu</w:t>
      </w:r>
      <w:proofErr w:type="spellEnd"/>
      <w:r w:rsidRPr="00862CC1">
        <w:rPr>
          <w:sz w:val="22"/>
          <w:szCs w:val="22"/>
        </w:rPr>
        <w:t xml:space="preserve"> (ktor</w:t>
      </w:r>
      <w:r w:rsidR="00011647">
        <w:rPr>
          <w:sz w:val="22"/>
          <w:szCs w:val="22"/>
        </w:rPr>
        <w:t>ý</w:t>
      </w:r>
      <w:r w:rsidRPr="00862CC1">
        <w:rPr>
          <w:sz w:val="22"/>
          <w:szCs w:val="22"/>
        </w:rPr>
        <w:t xml:space="preserve"> je 1 až 3 hodiny), podanie </w:t>
      </w:r>
      <w:proofErr w:type="spellStart"/>
      <w:r w:rsidRPr="00862CC1">
        <w:rPr>
          <w:sz w:val="22"/>
          <w:szCs w:val="22"/>
        </w:rPr>
        <w:t>naloxónu</w:t>
      </w:r>
      <w:proofErr w:type="spellEnd"/>
      <w:r w:rsidRPr="00862CC1">
        <w:rPr>
          <w:sz w:val="22"/>
          <w:szCs w:val="22"/>
        </w:rPr>
        <w:t xml:space="preserve"> je možné zopakovať. Pacient má byť aspoň 48 hodín starostlivo sledovaný, aby sa zaznamenal možný útlm CNS.</w:t>
      </w:r>
    </w:p>
    <w:p w14:paraId="1021FACC" w14:textId="77777777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29F2DB1" w14:textId="77777777" w:rsidR="005A00A4" w:rsidRPr="00862CC1" w:rsidRDefault="005A00A4">
      <w:pPr>
        <w:rPr>
          <w:sz w:val="22"/>
          <w:szCs w:val="22"/>
        </w:rPr>
      </w:pPr>
    </w:p>
    <w:p w14:paraId="2FA8A104" w14:textId="67756D07" w:rsidR="005A00A4" w:rsidRDefault="005A00A4" w:rsidP="00857051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Farmakologické vlastnosti</w:t>
      </w:r>
    </w:p>
    <w:p w14:paraId="496C2A9A" w14:textId="77777777" w:rsidR="00857051" w:rsidRPr="00857051" w:rsidRDefault="00857051" w:rsidP="00857051">
      <w:pPr>
        <w:pStyle w:val="Bodytext"/>
        <w:spacing w:after="0" w:line="240" w:lineRule="auto"/>
        <w:ind w:left="0"/>
        <w:rPr>
          <w:sz w:val="22"/>
        </w:rPr>
      </w:pPr>
    </w:p>
    <w:p w14:paraId="5EE209B3" w14:textId="77777777" w:rsidR="00954723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5.1</w:t>
      </w:r>
      <w:r w:rsidRPr="00862CC1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62CC1">
        <w:rPr>
          <w:rFonts w:ascii="Times New Roman" w:hAnsi="Times New Roman"/>
          <w:i w:val="0"/>
          <w:sz w:val="22"/>
          <w:szCs w:val="22"/>
        </w:rPr>
        <w:t>Farmakodynamické</w:t>
      </w:r>
      <w:proofErr w:type="spellEnd"/>
      <w:r w:rsidRPr="00862CC1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14:paraId="7335D564" w14:textId="44080E78" w:rsidR="005A00A4" w:rsidRPr="00173733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3486459" w14:textId="593000A1" w:rsidR="005A00A4" w:rsidRPr="00862CC1" w:rsidRDefault="005A00A4" w:rsidP="006D42C7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Farmakoterapeutická</w:t>
      </w:r>
      <w:proofErr w:type="spellEnd"/>
      <w:r w:rsidRPr="00862CC1">
        <w:rPr>
          <w:sz w:val="22"/>
          <w:szCs w:val="22"/>
        </w:rPr>
        <w:t xml:space="preserve"> skupina: </w:t>
      </w:r>
      <w:proofErr w:type="spellStart"/>
      <w:r w:rsidRPr="00862CC1">
        <w:rPr>
          <w:sz w:val="22"/>
          <w:szCs w:val="22"/>
        </w:rPr>
        <w:t>Antidiaroiká</w:t>
      </w:r>
      <w:proofErr w:type="spellEnd"/>
      <w:r w:rsidR="00954723">
        <w:rPr>
          <w:sz w:val="22"/>
          <w:szCs w:val="22"/>
        </w:rPr>
        <w:t xml:space="preserve">, črevné </w:t>
      </w:r>
      <w:proofErr w:type="spellStart"/>
      <w:r w:rsidR="00954723">
        <w:rPr>
          <w:sz w:val="22"/>
          <w:szCs w:val="22"/>
        </w:rPr>
        <w:t>antiinfektíva</w:t>
      </w:r>
      <w:proofErr w:type="spellEnd"/>
      <w:r w:rsidR="00954723">
        <w:rPr>
          <w:sz w:val="22"/>
          <w:szCs w:val="22"/>
        </w:rPr>
        <w:t xml:space="preserve"> a </w:t>
      </w:r>
      <w:proofErr w:type="spellStart"/>
      <w:r w:rsidR="00954723">
        <w:rPr>
          <w:sz w:val="22"/>
          <w:szCs w:val="22"/>
        </w:rPr>
        <w:t>antiflogistiká</w:t>
      </w:r>
      <w:proofErr w:type="spellEnd"/>
      <w:r w:rsidR="00954723">
        <w:rPr>
          <w:sz w:val="22"/>
          <w:szCs w:val="22"/>
        </w:rPr>
        <w:t>,</w:t>
      </w:r>
      <w:r w:rsidR="00165F91" w:rsidRPr="00862CC1">
        <w:rPr>
          <w:sz w:val="22"/>
          <w:szCs w:val="22"/>
        </w:rPr>
        <w:t xml:space="preserve"> </w:t>
      </w:r>
      <w:proofErr w:type="spellStart"/>
      <w:r w:rsidR="00954723" w:rsidRPr="00862CC1">
        <w:rPr>
          <w:sz w:val="22"/>
          <w:szCs w:val="22"/>
        </w:rPr>
        <w:t>a</w:t>
      </w:r>
      <w:r w:rsidR="00165F91" w:rsidRPr="00862CC1">
        <w:rPr>
          <w:sz w:val="22"/>
          <w:szCs w:val="22"/>
        </w:rPr>
        <w:t>ntipropulzíva</w:t>
      </w:r>
      <w:proofErr w:type="spellEnd"/>
    </w:p>
    <w:p w14:paraId="3B3E9076" w14:textId="21951681" w:rsidR="005A00A4" w:rsidRPr="00862CC1" w:rsidRDefault="005A00A4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>ATC kód: A07DA03</w:t>
      </w:r>
    </w:p>
    <w:p w14:paraId="6A38C885" w14:textId="77777777" w:rsidR="005A00A4" w:rsidRPr="00862CC1" w:rsidRDefault="005A00A4" w:rsidP="000F03EE">
      <w:pPr>
        <w:rPr>
          <w:sz w:val="22"/>
          <w:szCs w:val="22"/>
        </w:rPr>
      </w:pPr>
    </w:p>
    <w:p w14:paraId="1F71855D" w14:textId="3B9B7CBE" w:rsidR="005A00A4" w:rsidRPr="00862CC1" w:rsidRDefault="005A00A4">
      <w:pPr>
        <w:pStyle w:val="Zarkazkladnhotextu3"/>
        <w:ind w:left="0"/>
        <w:jc w:val="left"/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sa viaže na </w:t>
      </w:r>
      <w:proofErr w:type="spellStart"/>
      <w:r w:rsidRPr="00862CC1">
        <w:rPr>
          <w:sz w:val="22"/>
          <w:szCs w:val="22"/>
        </w:rPr>
        <w:t>opioidné</w:t>
      </w:r>
      <w:proofErr w:type="spellEnd"/>
      <w:r w:rsidRPr="00862CC1">
        <w:rPr>
          <w:sz w:val="22"/>
          <w:szCs w:val="22"/>
        </w:rPr>
        <w:t xml:space="preserve"> receptory črevnej steny. Následne spomaľuje uvoľňovanie </w:t>
      </w:r>
      <w:proofErr w:type="spellStart"/>
      <w:r w:rsidRPr="00862CC1">
        <w:rPr>
          <w:sz w:val="22"/>
          <w:szCs w:val="22"/>
        </w:rPr>
        <w:t>acetylcholínu</w:t>
      </w:r>
      <w:proofErr w:type="spellEnd"/>
      <w:r w:rsidRPr="00862CC1">
        <w:rPr>
          <w:sz w:val="22"/>
          <w:szCs w:val="22"/>
        </w:rPr>
        <w:t xml:space="preserve"> a </w:t>
      </w:r>
      <w:proofErr w:type="spellStart"/>
      <w:r w:rsidRPr="00862CC1">
        <w:rPr>
          <w:sz w:val="22"/>
          <w:szCs w:val="22"/>
        </w:rPr>
        <w:t>prostaglandínov</w:t>
      </w:r>
      <w:proofErr w:type="spellEnd"/>
      <w:r w:rsidRPr="00862CC1">
        <w:rPr>
          <w:sz w:val="22"/>
          <w:szCs w:val="22"/>
        </w:rPr>
        <w:t xml:space="preserve">, a tým znižuje </w:t>
      </w:r>
      <w:proofErr w:type="spellStart"/>
      <w:r w:rsidRPr="00862CC1">
        <w:rPr>
          <w:sz w:val="22"/>
          <w:szCs w:val="22"/>
        </w:rPr>
        <w:t>propulznú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peristaltiku</w:t>
      </w:r>
      <w:proofErr w:type="spellEnd"/>
      <w:r w:rsidRPr="00862CC1">
        <w:rPr>
          <w:sz w:val="22"/>
          <w:szCs w:val="22"/>
        </w:rPr>
        <w:t xml:space="preserve"> a predlžuje pasáž črevom. </w:t>
      </w: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zvyšuje tonus análneho </w:t>
      </w:r>
      <w:proofErr w:type="spellStart"/>
      <w:r w:rsidRPr="00862CC1">
        <w:rPr>
          <w:sz w:val="22"/>
          <w:szCs w:val="22"/>
        </w:rPr>
        <w:t>sfinkt</w:t>
      </w:r>
      <w:r w:rsidR="00954723">
        <w:rPr>
          <w:sz w:val="22"/>
          <w:szCs w:val="22"/>
        </w:rPr>
        <w:t>e</w:t>
      </w:r>
      <w:r w:rsidRPr="00862CC1">
        <w:rPr>
          <w:sz w:val="22"/>
          <w:szCs w:val="22"/>
        </w:rPr>
        <w:t>ra</w:t>
      </w:r>
      <w:proofErr w:type="spellEnd"/>
      <w:r w:rsidRPr="00862CC1">
        <w:rPr>
          <w:sz w:val="22"/>
          <w:szCs w:val="22"/>
        </w:rPr>
        <w:t>, čím znižuje inkontinenciu a nutkanie na stolicu.</w:t>
      </w:r>
    </w:p>
    <w:p w14:paraId="21DC361D" w14:textId="10B4A3B8" w:rsidR="00612820" w:rsidRPr="00862CC1" w:rsidRDefault="00612820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vysokú afinitu k črevnej stene a vysoký podiel </w:t>
      </w:r>
      <w:proofErr w:type="spellStart"/>
      <w:r w:rsidRPr="00556C24">
        <w:rPr>
          <w:sz w:val="22"/>
          <w:szCs w:val="22"/>
        </w:rPr>
        <w:t>metabolizácie</w:t>
      </w:r>
      <w:proofErr w:type="spellEnd"/>
      <w:r w:rsidRPr="00556C24">
        <w:rPr>
          <w:sz w:val="22"/>
          <w:szCs w:val="22"/>
        </w:rPr>
        <w:t xml:space="preserve"> pri prvom prechode pečeňou sa </w:t>
      </w:r>
      <w:proofErr w:type="spellStart"/>
      <w:r>
        <w:rPr>
          <w:sz w:val="22"/>
          <w:szCs w:val="22"/>
        </w:rPr>
        <w:t>loperamid</w:t>
      </w:r>
      <w:proofErr w:type="spellEnd"/>
      <w:r w:rsidRPr="00556C24">
        <w:rPr>
          <w:sz w:val="22"/>
          <w:szCs w:val="22"/>
        </w:rPr>
        <w:t xml:space="preserve"> dostáva do systémového obehu iba vo veľmi malom množstve.</w:t>
      </w:r>
    </w:p>
    <w:p w14:paraId="095855C5" w14:textId="77777777" w:rsidR="00F00941" w:rsidRPr="00862CC1" w:rsidRDefault="00F00941">
      <w:pPr>
        <w:pStyle w:val="Zarkazkladnhotextu3"/>
        <w:ind w:left="0"/>
        <w:jc w:val="left"/>
        <w:rPr>
          <w:sz w:val="22"/>
          <w:szCs w:val="22"/>
        </w:rPr>
      </w:pPr>
    </w:p>
    <w:p w14:paraId="1CDF0CC8" w14:textId="77777777" w:rsidR="005A00A4" w:rsidRPr="00862CC1" w:rsidRDefault="005A00A4" w:rsidP="006D42C7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5.2</w:t>
      </w:r>
      <w:r w:rsidRPr="00862CC1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62CC1">
        <w:rPr>
          <w:rFonts w:ascii="Times New Roman" w:hAnsi="Times New Roman"/>
          <w:i w:val="0"/>
          <w:sz w:val="22"/>
          <w:szCs w:val="22"/>
        </w:rPr>
        <w:t>Farmakokinetické</w:t>
      </w:r>
      <w:proofErr w:type="spellEnd"/>
      <w:r w:rsidRPr="00862CC1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14:paraId="33FA208F" w14:textId="77777777" w:rsidR="002B4DC0" w:rsidRPr="00862CC1" w:rsidRDefault="002B4DC0" w:rsidP="00173733">
      <w:pPr>
        <w:rPr>
          <w:sz w:val="22"/>
          <w:szCs w:val="22"/>
        </w:rPr>
      </w:pPr>
    </w:p>
    <w:p w14:paraId="1DBFE7DE" w14:textId="77777777" w:rsidR="002B4DC0" w:rsidRPr="00766F0B" w:rsidRDefault="008A3F96" w:rsidP="000F03EE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Absorpcia</w:t>
      </w:r>
    </w:p>
    <w:p w14:paraId="662EE1EC" w14:textId="780F74C0" w:rsidR="002B4DC0" w:rsidRPr="005B3F0E" w:rsidRDefault="008A3F96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Väčšina </w:t>
      </w:r>
      <w:proofErr w:type="spellStart"/>
      <w:r w:rsidR="000F4200" w:rsidRPr="00862CC1">
        <w:rPr>
          <w:sz w:val="22"/>
          <w:szCs w:val="22"/>
        </w:rPr>
        <w:t>l</w:t>
      </w:r>
      <w:r w:rsidR="005A00A4" w:rsidRPr="00862CC1">
        <w:rPr>
          <w:sz w:val="22"/>
          <w:szCs w:val="22"/>
        </w:rPr>
        <w:t>operamid</w:t>
      </w:r>
      <w:r w:rsidR="000F4200" w:rsidRPr="00862CC1">
        <w:rPr>
          <w:sz w:val="22"/>
          <w:szCs w:val="22"/>
        </w:rPr>
        <w:t>u</w:t>
      </w:r>
      <w:proofErr w:type="spellEnd"/>
      <w:r w:rsidR="005A00A4" w:rsidRPr="00862CC1">
        <w:rPr>
          <w:sz w:val="22"/>
          <w:szCs w:val="22"/>
        </w:rPr>
        <w:t xml:space="preserve"> sa</w:t>
      </w:r>
      <w:r w:rsidR="000F4200" w:rsidRPr="00862CC1">
        <w:rPr>
          <w:sz w:val="22"/>
          <w:szCs w:val="22"/>
        </w:rPr>
        <w:t xml:space="preserve"> po perorálnom podaní</w:t>
      </w:r>
      <w:r w:rsidR="005A00A4" w:rsidRPr="00862CC1">
        <w:rPr>
          <w:sz w:val="22"/>
          <w:szCs w:val="22"/>
        </w:rPr>
        <w:t xml:space="preserve"> vstrebáva z čreva, ale</w:t>
      </w:r>
      <w:r w:rsidR="000F4200" w:rsidRPr="00862CC1">
        <w:rPr>
          <w:sz w:val="22"/>
          <w:szCs w:val="22"/>
        </w:rPr>
        <w:t xml:space="preserve"> kvôli významné</w:t>
      </w:r>
      <w:r w:rsidR="00630A1D" w:rsidRPr="00862CC1">
        <w:rPr>
          <w:sz w:val="22"/>
          <w:szCs w:val="22"/>
        </w:rPr>
        <w:t>mu</w:t>
      </w:r>
      <w:r w:rsidR="000F4200" w:rsidRPr="00862CC1">
        <w:rPr>
          <w:sz w:val="22"/>
          <w:szCs w:val="22"/>
        </w:rPr>
        <w:t xml:space="preserve"> metabolizmu </w:t>
      </w:r>
      <w:r w:rsidR="00B25541">
        <w:rPr>
          <w:sz w:val="22"/>
          <w:szCs w:val="22"/>
        </w:rPr>
        <w:t xml:space="preserve">pri </w:t>
      </w:r>
      <w:r w:rsidR="000F4200" w:rsidRPr="00862CC1">
        <w:rPr>
          <w:sz w:val="22"/>
          <w:szCs w:val="22"/>
        </w:rPr>
        <w:t>prv</w:t>
      </w:r>
      <w:r w:rsidR="00B25541">
        <w:rPr>
          <w:sz w:val="22"/>
          <w:szCs w:val="22"/>
        </w:rPr>
        <w:t>om</w:t>
      </w:r>
      <w:r w:rsidR="000F4200" w:rsidRPr="00862CC1">
        <w:rPr>
          <w:sz w:val="22"/>
          <w:szCs w:val="22"/>
        </w:rPr>
        <w:t xml:space="preserve"> prechod</w:t>
      </w:r>
      <w:r w:rsidR="00B25541">
        <w:rPr>
          <w:sz w:val="22"/>
          <w:szCs w:val="22"/>
        </w:rPr>
        <w:t>e</w:t>
      </w:r>
      <w:r w:rsidR="000F4200" w:rsidRPr="00862CC1">
        <w:rPr>
          <w:sz w:val="22"/>
          <w:szCs w:val="22"/>
        </w:rPr>
        <w:t xml:space="preserve"> pečeňou </w:t>
      </w:r>
      <w:r w:rsidR="000F4200" w:rsidRPr="005B3F0E">
        <w:rPr>
          <w:sz w:val="22"/>
          <w:szCs w:val="22"/>
        </w:rPr>
        <w:t>sa</w:t>
      </w:r>
      <w:r w:rsidR="005A00A4" w:rsidRPr="005B3F0E">
        <w:rPr>
          <w:sz w:val="22"/>
          <w:szCs w:val="22"/>
        </w:rPr>
        <w:t xml:space="preserve"> do systémového obehu</w:t>
      </w:r>
      <w:r w:rsidR="00165F91" w:rsidRPr="005B3F0E">
        <w:rPr>
          <w:sz w:val="22"/>
          <w:szCs w:val="22"/>
        </w:rPr>
        <w:t xml:space="preserve"> dostane približne 0,3</w:t>
      </w:r>
      <w:r w:rsidR="00954723" w:rsidRPr="005B3F0E">
        <w:rPr>
          <w:sz w:val="22"/>
          <w:szCs w:val="22"/>
        </w:rPr>
        <w:t> </w:t>
      </w:r>
      <w:r w:rsidR="00165F91" w:rsidRPr="005B3F0E">
        <w:rPr>
          <w:sz w:val="22"/>
          <w:szCs w:val="22"/>
        </w:rPr>
        <w:t>%.</w:t>
      </w:r>
    </w:p>
    <w:p w14:paraId="2F9E165E" w14:textId="77777777" w:rsidR="00C06ADA" w:rsidRPr="005B3F0E" w:rsidRDefault="00C06ADA">
      <w:pPr>
        <w:pStyle w:val="Bodytext"/>
        <w:spacing w:after="0" w:line="240" w:lineRule="auto"/>
        <w:ind w:left="0"/>
        <w:rPr>
          <w:i/>
          <w:sz w:val="22"/>
          <w:szCs w:val="22"/>
        </w:rPr>
      </w:pPr>
    </w:p>
    <w:p w14:paraId="5ECCE2BF" w14:textId="77777777" w:rsidR="00C06ADA" w:rsidRPr="00766F0B" w:rsidRDefault="00C06ADA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Distribúcia</w:t>
      </w:r>
    </w:p>
    <w:p w14:paraId="7523A7FA" w14:textId="324CE835" w:rsidR="00C06ADA" w:rsidRPr="005B3F0E" w:rsidRDefault="00C06ADA">
      <w:pPr>
        <w:pStyle w:val="Bodytext"/>
        <w:spacing w:after="0" w:line="240" w:lineRule="auto"/>
        <w:ind w:left="0"/>
        <w:rPr>
          <w:sz w:val="22"/>
          <w:szCs w:val="22"/>
        </w:rPr>
      </w:pPr>
      <w:r w:rsidRPr="005B3F0E">
        <w:rPr>
          <w:sz w:val="22"/>
          <w:szCs w:val="22"/>
        </w:rPr>
        <w:t>Štúdie, ktoré sledovali distribúciu u potkanov, zaznamenali vysokú afinitu k črevnej stene s</w:t>
      </w:r>
      <w:r w:rsidR="00380646" w:rsidRPr="005B3F0E">
        <w:rPr>
          <w:sz w:val="22"/>
          <w:szCs w:val="22"/>
        </w:rPr>
        <w:t> </w:t>
      </w:r>
      <w:r w:rsidRPr="005B3F0E">
        <w:rPr>
          <w:sz w:val="22"/>
          <w:szCs w:val="22"/>
        </w:rPr>
        <w:t xml:space="preserve">prednostnou väzbou na receptory pozdĺžnej svaloviny. Väzba </w:t>
      </w:r>
      <w:proofErr w:type="spellStart"/>
      <w:r w:rsidRPr="005B3F0E">
        <w:rPr>
          <w:sz w:val="22"/>
          <w:szCs w:val="22"/>
        </w:rPr>
        <w:t>loperamidu</w:t>
      </w:r>
      <w:proofErr w:type="spellEnd"/>
      <w:r w:rsidRPr="005B3F0E">
        <w:rPr>
          <w:sz w:val="22"/>
          <w:szCs w:val="22"/>
        </w:rPr>
        <w:t xml:space="preserve"> na plazmatické bielkoviny, najmä albumín, je 95</w:t>
      </w:r>
      <w:r w:rsidR="005B3F0E" w:rsidRPr="00766F0B">
        <w:rPr>
          <w:sz w:val="22"/>
          <w:szCs w:val="22"/>
        </w:rPr>
        <w:t> </w:t>
      </w:r>
      <w:r w:rsidRPr="005B3F0E">
        <w:rPr>
          <w:sz w:val="22"/>
          <w:szCs w:val="22"/>
        </w:rPr>
        <w:t xml:space="preserve">%. Neklinické údaje preukázali, že </w:t>
      </w:r>
      <w:proofErr w:type="spellStart"/>
      <w:r w:rsidRPr="005B3F0E">
        <w:rPr>
          <w:sz w:val="22"/>
          <w:szCs w:val="22"/>
        </w:rPr>
        <w:t>loperamid</w:t>
      </w:r>
      <w:proofErr w:type="spellEnd"/>
      <w:r w:rsidRPr="005B3F0E">
        <w:rPr>
          <w:sz w:val="22"/>
          <w:szCs w:val="22"/>
        </w:rPr>
        <w:t xml:space="preserve"> je substrát </w:t>
      </w:r>
      <w:proofErr w:type="spellStart"/>
      <w:r w:rsidRPr="005B3F0E">
        <w:rPr>
          <w:sz w:val="22"/>
          <w:szCs w:val="22"/>
        </w:rPr>
        <w:t>P-glykoproteínu</w:t>
      </w:r>
      <w:proofErr w:type="spellEnd"/>
      <w:r w:rsidRPr="005B3F0E">
        <w:rPr>
          <w:sz w:val="22"/>
          <w:szCs w:val="22"/>
        </w:rPr>
        <w:t>.</w:t>
      </w:r>
    </w:p>
    <w:p w14:paraId="73F025EB" w14:textId="77777777" w:rsidR="00D76AE6" w:rsidRPr="005B3F0E" w:rsidRDefault="00D76AE6">
      <w:pPr>
        <w:pStyle w:val="Bodytext"/>
        <w:spacing w:after="0" w:line="240" w:lineRule="auto"/>
        <w:ind w:left="0"/>
        <w:rPr>
          <w:i/>
          <w:sz w:val="22"/>
          <w:szCs w:val="22"/>
        </w:rPr>
      </w:pPr>
    </w:p>
    <w:p w14:paraId="5EEB8B33" w14:textId="77777777" w:rsidR="00C06ADA" w:rsidRPr="00766F0B" w:rsidRDefault="00D76AE6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proofErr w:type="spellStart"/>
      <w:r w:rsidRPr="00766F0B">
        <w:rPr>
          <w:sz w:val="22"/>
          <w:szCs w:val="22"/>
          <w:u w:val="single"/>
        </w:rPr>
        <w:t>Biotransformácia</w:t>
      </w:r>
      <w:proofErr w:type="spellEnd"/>
    </w:p>
    <w:p w14:paraId="0D4813D9" w14:textId="03FEDA25" w:rsidR="00F0640D" w:rsidRPr="00862CC1" w:rsidRDefault="00D76AE6">
      <w:pPr>
        <w:rPr>
          <w:sz w:val="22"/>
          <w:szCs w:val="22"/>
        </w:rPr>
      </w:pPr>
      <w:proofErr w:type="spellStart"/>
      <w:r w:rsidRPr="005B3F0E">
        <w:rPr>
          <w:sz w:val="22"/>
          <w:szCs w:val="22"/>
        </w:rPr>
        <w:t>Loperamid</w:t>
      </w:r>
      <w:proofErr w:type="spellEnd"/>
      <w:r w:rsidRPr="005B3F0E">
        <w:rPr>
          <w:sz w:val="22"/>
          <w:szCs w:val="22"/>
        </w:rPr>
        <w:t xml:space="preserve"> je takmer úplne vychytaný a metabolizovaný v pečeni, kde sa </w:t>
      </w:r>
      <w:proofErr w:type="spellStart"/>
      <w:r w:rsidRPr="005B3F0E">
        <w:rPr>
          <w:sz w:val="22"/>
          <w:szCs w:val="22"/>
        </w:rPr>
        <w:t>konjuguje</w:t>
      </w:r>
      <w:proofErr w:type="spellEnd"/>
      <w:r w:rsidRPr="005B3F0E">
        <w:rPr>
          <w:sz w:val="22"/>
          <w:szCs w:val="22"/>
        </w:rPr>
        <w:t xml:space="preserve"> a vylučuje žlčou.</w:t>
      </w:r>
      <w:r w:rsidR="00104CA6" w:rsidRPr="005B3F0E">
        <w:rPr>
          <w:sz w:val="22"/>
          <w:szCs w:val="22"/>
        </w:rPr>
        <w:t xml:space="preserve"> Oxidatívna </w:t>
      </w:r>
      <w:proofErr w:type="spellStart"/>
      <w:r w:rsidR="00104CA6" w:rsidRPr="005B3F0E">
        <w:rPr>
          <w:sz w:val="22"/>
          <w:szCs w:val="22"/>
        </w:rPr>
        <w:t>N-demetylácia</w:t>
      </w:r>
      <w:proofErr w:type="spellEnd"/>
      <w:r w:rsidR="00104CA6" w:rsidRPr="005B3F0E">
        <w:rPr>
          <w:sz w:val="22"/>
          <w:szCs w:val="22"/>
        </w:rPr>
        <w:t xml:space="preserve"> je hlavnou cestou odbúravania </w:t>
      </w:r>
      <w:proofErr w:type="spellStart"/>
      <w:r w:rsidR="00104CA6" w:rsidRPr="005B3F0E">
        <w:rPr>
          <w:sz w:val="22"/>
          <w:szCs w:val="22"/>
        </w:rPr>
        <w:t>loperamidu</w:t>
      </w:r>
      <w:proofErr w:type="spellEnd"/>
      <w:r w:rsidR="00104CA6" w:rsidRPr="005B3F0E">
        <w:rPr>
          <w:sz w:val="22"/>
          <w:szCs w:val="22"/>
        </w:rPr>
        <w:t xml:space="preserve"> a je sprostredkovaná CYP3A4 a</w:t>
      </w:r>
      <w:r w:rsidR="005B3F0E" w:rsidRPr="00766F0B">
        <w:rPr>
          <w:sz w:val="22"/>
          <w:szCs w:val="22"/>
        </w:rPr>
        <w:t> </w:t>
      </w:r>
      <w:r w:rsidR="00104CA6" w:rsidRPr="005B3F0E">
        <w:rPr>
          <w:sz w:val="22"/>
          <w:szCs w:val="22"/>
        </w:rPr>
        <w:t>CYP2C8</w:t>
      </w:r>
      <w:r w:rsidR="00F0640D" w:rsidRPr="005B3F0E">
        <w:rPr>
          <w:sz w:val="22"/>
          <w:szCs w:val="22"/>
        </w:rPr>
        <w:t xml:space="preserve">. Vzhľadom na vysoký podiel </w:t>
      </w:r>
      <w:proofErr w:type="spellStart"/>
      <w:r w:rsidR="00F0640D" w:rsidRPr="005B3F0E">
        <w:rPr>
          <w:sz w:val="22"/>
          <w:szCs w:val="22"/>
        </w:rPr>
        <w:t>metabolizácie</w:t>
      </w:r>
      <w:proofErr w:type="spellEnd"/>
      <w:r w:rsidR="00F0640D" w:rsidRPr="005B3F0E">
        <w:rPr>
          <w:sz w:val="22"/>
          <w:szCs w:val="22"/>
        </w:rPr>
        <w:t xml:space="preserve"> pri prvom prechode pečeňou sú plazmatické koncentrácie nezmeneného lieku extrémne nízke.</w:t>
      </w:r>
    </w:p>
    <w:p w14:paraId="212E2A06" w14:textId="77777777" w:rsidR="00D76AE6" w:rsidRPr="00862CC1" w:rsidRDefault="00D76AE6">
      <w:pPr>
        <w:pStyle w:val="Bodytext"/>
        <w:spacing w:after="0" w:line="240" w:lineRule="auto"/>
        <w:ind w:left="0"/>
        <w:rPr>
          <w:i/>
          <w:sz w:val="22"/>
          <w:szCs w:val="22"/>
        </w:rPr>
      </w:pPr>
    </w:p>
    <w:p w14:paraId="030EF8E2" w14:textId="77777777" w:rsidR="000F4200" w:rsidRPr="00766F0B" w:rsidRDefault="000F4200" w:rsidP="00173733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Eliminácia</w:t>
      </w:r>
    </w:p>
    <w:p w14:paraId="706E9B43" w14:textId="598E486E" w:rsidR="000F4200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Biologický polčas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je u človeka </w:t>
      </w:r>
      <w:r w:rsidR="000F4200" w:rsidRPr="00862CC1">
        <w:rPr>
          <w:sz w:val="22"/>
          <w:szCs w:val="22"/>
        </w:rPr>
        <w:t xml:space="preserve">približne </w:t>
      </w:r>
      <w:r w:rsidRPr="00862CC1">
        <w:rPr>
          <w:sz w:val="22"/>
          <w:szCs w:val="22"/>
        </w:rPr>
        <w:t xml:space="preserve">11 hodín s rozpätím 9-14 hodín. </w:t>
      </w:r>
      <w:r w:rsidR="000F4200" w:rsidRPr="00B25541">
        <w:rPr>
          <w:sz w:val="22"/>
          <w:szCs w:val="22"/>
        </w:rPr>
        <w:t xml:space="preserve">Nezmenený </w:t>
      </w:r>
      <w:proofErr w:type="spellStart"/>
      <w:r w:rsidR="000F4200" w:rsidRPr="00B25541">
        <w:rPr>
          <w:sz w:val="22"/>
          <w:szCs w:val="22"/>
        </w:rPr>
        <w:t>loperamid</w:t>
      </w:r>
      <w:proofErr w:type="spellEnd"/>
      <w:r w:rsidR="000F4200" w:rsidRPr="00B25541">
        <w:rPr>
          <w:sz w:val="22"/>
          <w:szCs w:val="22"/>
        </w:rPr>
        <w:t xml:space="preserve"> a </w:t>
      </w:r>
      <w:proofErr w:type="spellStart"/>
      <w:r w:rsidR="000F4200" w:rsidRPr="00B25541">
        <w:rPr>
          <w:sz w:val="22"/>
          <w:szCs w:val="22"/>
        </w:rPr>
        <w:t>metabolity</w:t>
      </w:r>
      <w:proofErr w:type="spellEnd"/>
      <w:r w:rsidR="000F4200" w:rsidRPr="00B25541">
        <w:rPr>
          <w:sz w:val="22"/>
          <w:szCs w:val="22"/>
        </w:rPr>
        <w:t xml:space="preserve"> sa vylučujú prevažne stolicou.</w:t>
      </w:r>
    </w:p>
    <w:p w14:paraId="5E475D24" w14:textId="77777777" w:rsidR="00F0640D" w:rsidRPr="00173733" w:rsidRDefault="00F0640D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2CD0BF6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5.3</w:t>
      </w:r>
      <w:r w:rsidRPr="00862CC1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14:paraId="3F50CD0F" w14:textId="7CCD5132" w:rsidR="005A00A4" w:rsidRDefault="005A00A4" w:rsidP="00173733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6BB0F4F4" w14:textId="6919B9AC" w:rsidR="00B238C2" w:rsidRDefault="00B238C2" w:rsidP="00B238C2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Toxikologické štúdie </w:t>
      </w:r>
      <w:proofErr w:type="spellStart"/>
      <w:r w:rsidRPr="00556C24">
        <w:rPr>
          <w:sz w:val="22"/>
          <w:szCs w:val="22"/>
        </w:rPr>
        <w:t>loperamidu</w:t>
      </w:r>
      <w:proofErr w:type="spellEnd"/>
      <w:r w:rsidRPr="00556C24">
        <w:rPr>
          <w:sz w:val="22"/>
          <w:szCs w:val="22"/>
        </w:rPr>
        <w:t xml:space="preserve"> u psov v denných dávkach až do 5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(30-násobok najvyššej dennej dávky pre človeka</w:t>
      </w:r>
      <w:r w:rsidR="00DC3833">
        <w:rPr>
          <w:sz w:val="22"/>
          <w:szCs w:val="22"/>
        </w:rPr>
        <w:t>,</w:t>
      </w:r>
      <w:r w:rsidRPr="00556C24">
        <w:rPr>
          <w:sz w:val="22"/>
          <w:szCs w:val="22"/>
        </w:rPr>
        <w:t xml:space="preserve"> </w:t>
      </w:r>
      <w:r w:rsidR="00DC3833" w:rsidRPr="00556C24">
        <w:rPr>
          <w:sz w:val="22"/>
          <w:szCs w:val="22"/>
        </w:rPr>
        <w:t xml:space="preserve">maximum </w:t>
      </w:r>
      <w:proofErr w:type="spellStart"/>
      <w:r w:rsidR="00DC3833" w:rsidRPr="00556C24">
        <w:rPr>
          <w:sz w:val="22"/>
          <w:szCs w:val="22"/>
        </w:rPr>
        <w:t>human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use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level</w:t>
      </w:r>
      <w:proofErr w:type="spellEnd"/>
      <w:r w:rsidR="00DC3833">
        <w:rPr>
          <w:sz w:val="22"/>
          <w:szCs w:val="22"/>
        </w:rPr>
        <w:t>,</w:t>
      </w:r>
      <w:r w:rsidRPr="00556C24">
        <w:rPr>
          <w:sz w:val="22"/>
          <w:szCs w:val="22"/>
        </w:rPr>
        <w:t xml:space="preserve"> MHUL) a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40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(240-násobok MHUL) po 12 mesiacoch a u laboratórnych potkanov po 18 mesiacoch nepreukázal</w:t>
      </w:r>
      <w:r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 iný toxický účinok ako zníženie prírastku na hmotnosti a zníženie prijímania potravy. „No </w:t>
      </w:r>
      <w:proofErr w:type="spellStart"/>
      <w:r w:rsidR="00DC3833" w:rsidRPr="00556C24">
        <w:rPr>
          <w:sz w:val="22"/>
          <w:szCs w:val="22"/>
        </w:rPr>
        <w:t>toxic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effect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levels</w:t>
      </w:r>
      <w:proofErr w:type="spellEnd"/>
      <w:r w:rsidRPr="00556C24">
        <w:rPr>
          <w:sz w:val="22"/>
          <w:szCs w:val="22"/>
        </w:rPr>
        <w:t>“ (NTEL) predstavovali v týchto štúdiách 1,25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(8-násobok MHUL) u psov a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10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(60</w:t>
      </w:r>
      <w:r w:rsidR="00DC3833">
        <w:rPr>
          <w:sz w:val="22"/>
          <w:szCs w:val="22"/>
        </w:rPr>
        <w:noBreakHyphen/>
      </w:r>
      <w:r w:rsidRPr="00556C24">
        <w:rPr>
          <w:sz w:val="22"/>
          <w:szCs w:val="22"/>
        </w:rPr>
        <w:t>násobok MHUL) u laboratórnych potkanov.</w:t>
      </w:r>
    </w:p>
    <w:p w14:paraId="3E8D88B8" w14:textId="77777777" w:rsidR="00DC3833" w:rsidRPr="00862CC1" w:rsidRDefault="00DC3833" w:rsidP="00B238C2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19D7997C" w14:textId="33277099" w:rsidR="005A00A4" w:rsidRPr="00862CC1" w:rsidRDefault="00306C6C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V štúdiách zameraných na akútnosť a chronickosť sa nepreukázala žiadna špecifická toxicita. Výsledky </w:t>
      </w:r>
      <w:r w:rsidRPr="00862CC1">
        <w:rPr>
          <w:i/>
          <w:iCs/>
          <w:sz w:val="22"/>
          <w:szCs w:val="22"/>
        </w:rPr>
        <w:t xml:space="preserve">in </w:t>
      </w:r>
      <w:proofErr w:type="spellStart"/>
      <w:r w:rsidRPr="00862CC1">
        <w:rPr>
          <w:i/>
          <w:iCs/>
          <w:sz w:val="22"/>
          <w:szCs w:val="22"/>
        </w:rPr>
        <w:t>vivo</w:t>
      </w:r>
      <w:proofErr w:type="spellEnd"/>
      <w:r w:rsidRPr="00862CC1">
        <w:rPr>
          <w:sz w:val="22"/>
          <w:szCs w:val="22"/>
        </w:rPr>
        <w:t xml:space="preserve"> a </w:t>
      </w:r>
      <w:r w:rsidRPr="00862CC1">
        <w:rPr>
          <w:i/>
          <w:iCs/>
          <w:sz w:val="22"/>
          <w:szCs w:val="22"/>
        </w:rPr>
        <w:t xml:space="preserve">in </w:t>
      </w:r>
      <w:proofErr w:type="spellStart"/>
      <w:r w:rsidRPr="00862CC1">
        <w:rPr>
          <w:i/>
          <w:iCs/>
          <w:sz w:val="22"/>
          <w:szCs w:val="22"/>
        </w:rPr>
        <w:t>vitro</w:t>
      </w:r>
      <w:proofErr w:type="spellEnd"/>
      <w:r w:rsidRPr="00862CC1">
        <w:rPr>
          <w:sz w:val="22"/>
          <w:szCs w:val="22"/>
        </w:rPr>
        <w:t xml:space="preserve"> štúdií preukázali, že </w:t>
      </w: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nie je </w:t>
      </w:r>
      <w:proofErr w:type="spellStart"/>
      <w:r w:rsidRPr="00862CC1">
        <w:rPr>
          <w:sz w:val="22"/>
          <w:szCs w:val="22"/>
        </w:rPr>
        <w:t>genotoxický</w:t>
      </w:r>
      <w:proofErr w:type="spellEnd"/>
      <w:r w:rsidRPr="00862CC1">
        <w:rPr>
          <w:sz w:val="22"/>
          <w:szCs w:val="22"/>
        </w:rPr>
        <w:t xml:space="preserve">. </w:t>
      </w:r>
      <w:r w:rsidR="00B238C2">
        <w:rPr>
          <w:sz w:val="22"/>
          <w:szCs w:val="22"/>
        </w:rPr>
        <w:t xml:space="preserve">Nebol preukázaný karcinogénny potenciál. </w:t>
      </w:r>
      <w:r w:rsidRPr="00862CC1">
        <w:rPr>
          <w:sz w:val="22"/>
          <w:szCs w:val="22"/>
        </w:rPr>
        <w:t xml:space="preserve">V štúdiách zameraných na reprodukčnú toxicitu u potkanov </w:t>
      </w:r>
      <w:r w:rsidR="00DC3833" w:rsidRPr="00862CC1">
        <w:rPr>
          <w:sz w:val="22"/>
          <w:szCs w:val="22"/>
        </w:rPr>
        <w:t>bol</w:t>
      </w:r>
      <w:r w:rsidR="00DC3833">
        <w:rPr>
          <w:sz w:val="22"/>
          <w:szCs w:val="22"/>
        </w:rPr>
        <w:t>a</w:t>
      </w:r>
      <w:r w:rsidR="00DC3833" w:rsidRPr="00862CC1">
        <w:rPr>
          <w:sz w:val="22"/>
          <w:szCs w:val="22"/>
        </w:rPr>
        <w:t xml:space="preserve"> </w:t>
      </w:r>
      <w:r w:rsidR="00DC3833">
        <w:rPr>
          <w:sz w:val="22"/>
          <w:szCs w:val="22"/>
        </w:rPr>
        <w:t xml:space="preserve">pri </w:t>
      </w:r>
      <w:r w:rsidRPr="00862CC1">
        <w:rPr>
          <w:sz w:val="22"/>
          <w:szCs w:val="22"/>
        </w:rPr>
        <w:t>veľmi vysok</w:t>
      </w:r>
      <w:r w:rsidR="00DC3833">
        <w:rPr>
          <w:sz w:val="22"/>
          <w:szCs w:val="22"/>
        </w:rPr>
        <w:t>ých</w:t>
      </w:r>
      <w:r w:rsidRPr="00862CC1">
        <w:rPr>
          <w:sz w:val="22"/>
          <w:szCs w:val="22"/>
        </w:rPr>
        <w:t xml:space="preserve"> dávk</w:t>
      </w:r>
      <w:r w:rsidR="00DC3833">
        <w:rPr>
          <w:sz w:val="22"/>
          <w:szCs w:val="22"/>
        </w:rPr>
        <w:t>ach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</w:t>
      </w:r>
      <w:r w:rsidR="00DC3833" w:rsidRPr="00862CC1">
        <w:rPr>
          <w:sz w:val="22"/>
          <w:szCs w:val="22"/>
        </w:rPr>
        <w:t>40</w:t>
      </w:r>
      <w:r w:rsidR="00DC3833">
        <w:rPr>
          <w:sz w:val="22"/>
          <w:szCs w:val="22"/>
        </w:rPr>
        <w:t> </w:t>
      </w:r>
      <w:r w:rsidRPr="00862CC1">
        <w:rPr>
          <w:sz w:val="22"/>
          <w:szCs w:val="22"/>
        </w:rPr>
        <w:t>mg/kg/deň – 240-násobok maximálnej dennej dávky u ľudí)</w:t>
      </w:r>
      <w:r w:rsidR="00B238C2">
        <w:rPr>
          <w:sz w:val="22"/>
          <w:szCs w:val="22"/>
        </w:rPr>
        <w:t xml:space="preserve"> pozorovaná narušená </w:t>
      </w:r>
      <w:proofErr w:type="spellStart"/>
      <w:r w:rsidR="00B238C2">
        <w:rPr>
          <w:sz w:val="22"/>
          <w:szCs w:val="22"/>
        </w:rPr>
        <w:t>fertilita</w:t>
      </w:r>
      <w:proofErr w:type="spellEnd"/>
      <w:r w:rsidR="00B238C2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a</w:t>
      </w:r>
      <w:r w:rsidR="00B238C2">
        <w:rPr>
          <w:sz w:val="22"/>
          <w:szCs w:val="22"/>
        </w:rPr>
        <w:t> </w:t>
      </w:r>
      <w:proofErr w:type="spellStart"/>
      <w:r w:rsidR="00B238C2">
        <w:rPr>
          <w:sz w:val="22"/>
          <w:szCs w:val="22"/>
        </w:rPr>
        <w:t>fetálne</w:t>
      </w:r>
      <w:proofErr w:type="spellEnd"/>
      <w:r w:rsidR="00B238C2">
        <w:rPr>
          <w:sz w:val="22"/>
          <w:szCs w:val="22"/>
        </w:rPr>
        <w:t xml:space="preserve"> </w:t>
      </w:r>
      <w:r w:rsidR="00B238C2" w:rsidRPr="00862CC1">
        <w:rPr>
          <w:sz w:val="22"/>
          <w:szCs w:val="22"/>
        </w:rPr>
        <w:t>prež</w:t>
      </w:r>
      <w:r w:rsidR="00B238C2">
        <w:rPr>
          <w:sz w:val="22"/>
          <w:szCs w:val="22"/>
        </w:rPr>
        <w:t>itie</w:t>
      </w:r>
      <w:r w:rsidR="00B238C2" w:rsidRPr="00862CC1">
        <w:rPr>
          <w:sz w:val="22"/>
          <w:szCs w:val="22"/>
        </w:rPr>
        <w:t xml:space="preserve"> </w:t>
      </w:r>
      <w:r w:rsidR="00B238C2">
        <w:rPr>
          <w:sz w:val="22"/>
          <w:szCs w:val="22"/>
        </w:rPr>
        <w:t>v súvislosti s </w:t>
      </w:r>
      <w:proofErr w:type="spellStart"/>
      <w:r w:rsidR="00B238C2">
        <w:rPr>
          <w:sz w:val="22"/>
          <w:szCs w:val="22"/>
        </w:rPr>
        <w:t>maternálnou</w:t>
      </w:r>
      <w:proofErr w:type="spellEnd"/>
      <w:r w:rsidRPr="00862CC1">
        <w:rPr>
          <w:sz w:val="22"/>
          <w:szCs w:val="22"/>
        </w:rPr>
        <w:t xml:space="preserve">. Nižšie dávky nemali vplyv na zdravie matky alebo plodu a neovplyvnili </w:t>
      </w:r>
      <w:proofErr w:type="spellStart"/>
      <w:r w:rsidRPr="00862CC1">
        <w:rPr>
          <w:sz w:val="22"/>
          <w:szCs w:val="22"/>
        </w:rPr>
        <w:t>peri</w:t>
      </w:r>
      <w:proofErr w:type="spellEnd"/>
      <w:r w:rsidRPr="00862CC1">
        <w:rPr>
          <w:sz w:val="22"/>
          <w:szCs w:val="22"/>
        </w:rPr>
        <w:t xml:space="preserve">- a </w:t>
      </w:r>
      <w:proofErr w:type="spellStart"/>
      <w:r w:rsidRPr="00862CC1">
        <w:rPr>
          <w:sz w:val="22"/>
          <w:szCs w:val="22"/>
        </w:rPr>
        <w:t>postnatálny</w:t>
      </w:r>
      <w:proofErr w:type="spellEnd"/>
      <w:r w:rsidRPr="00862CC1">
        <w:rPr>
          <w:sz w:val="22"/>
          <w:szCs w:val="22"/>
        </w:rPr>
        <w:t xml:space="preserve"> vývoj.</w:t>
      </w:r>
    </w:p>
    <w:p w14:paraId="1AD9B3F1" w14:textId="77777777" w:rsidR="0001275B" w:rsidRPr="00862CC1" w:rsidRDefault="0001275B" w:rsidP="000F03E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CD8ED28" w14:textId="1CD1CCFB" w:rsidR="0001275B" w:rsidRPr="00862CC1" w:rsidRDefault="0001275B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Z predklinického hodnotenia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</w:t>
      </w:r>
      <w:r w:rsidRPr="00862CC1">
        <w:rPr>
          <w:i/>
          <w:sz w:val="22"/>
          <w:szCs w:val="22"/>
        </w:rPr>
        <w:t xml:space="preserve">in </w:t>
      </w:r>
      <w:proofErr w:type="spellStart"/>
      <w:r w:rsidRPr="00862CC1">
        <w:rPr>
          <w:i/>
          <w:sz w:val="22"/>
          <w:szCs w:val="22"/>
        </w:rPr>
        <w:t>vitro</w:t>
      </w:r>
      <w:proofErr w:type="spellEnd"/>
      <w:r w:rsidRPr="00862CC1">
        <w:rPr>
          <w:sz w:val="22"/>
          <w:szCs w:val="22"/>
        </w:rPr>
        <w:t xml:space="preserve"> a </w:t>
      </w:r>
      <w:r w:rsidRPr="00862CC1">
        <w:rPr>
          <w:i/>
          <w:sz w:val="22"/>
          <w:szCs w:val="22"/>
        </w:rPr>
        <w:t xml:space="preserve">in </w:t>
      </w:r>
      <w:proofErr w:type="spellStart"/>
      <w:r w:rsidRPr="00862CC1">
        <w:rPr>
          <w:i/>
          <w:sz w:val="22"/>
          <w:szCs w:val="22"/>
        </w:rPr>
        <w:t>vivo</w:t>
      </w:r>
      <w:proofErr w:type="spellEnd"/>
      <w:r w:rsidRPr="00862CC1">
        <w:rPr>
          <w:sz w:val="22"/>
          <w:szCs w:val="22"/>
        </w:rPr>
        <w:t xml:space="preserve"> nevyplývajú žiadne významné </w:t>
      </w:r>
      <w:proofErr w:type="spellStart"/>
      <w:r w:rsidRPr="00862CC1">
        <w:rPr>
          <w:sz w:val="22"/>
          <w:szCs w:val="22"/>
        </w:rPr>
        <w:t>elektrofyziologické</w:t>
      </w:r>
      <w:proofErr w:type="spellEnd"/>
      <w:r w:rsidRPr="00862CC1">
        <w:rPr>
          <w:sz w:val="22"/>
          <w:szCs w:val="22"/>
        </w:rPr>
        <w:t xml:space="preserve"> účinky na srdce v jeho terapeuticky relevantnom rozsahu koncentrácií a</w:t>
      </w:r>
      <w:r w:rsidR="00DC3833">
        <w:rPr>
          <w:sz w:val="22"/>
          <w:szCs w:val="22"/>
        </w:rPr>
        <w:t> </w:t>
      </w:r>
      <w:r w:rsidRPr="00862CC1">
        <w:rPr>
          <w:sz w:val="22"/>
          <w:szCs w:val="22"/>
        </w:rPr>
        <w:t>vo</w:t>
      </w:r>
      <w:r w:rsidR="00DC3833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významných násobkoch tohto rozsahu (až 47-násobok). V mimoriadne vysokých koncentráciách súvisiacich s predávkovaním (pozri časť 4.4) má však </w:t>
      </w: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elektrofyziologické</w:t>
      </w:r>
      <w:proofErr w:type="spellEnd"/>
      <w:r w:rsidRPr="00862CC1">
        <w:rPr>
          <w:sz w:val="22"/>
          <w:szCs w:val="22"/>
        </w:rPr>
        <w:t xml:space="preserve"> účinky na srdce </w:t>
      </w:r>
      <w:r w:rsidR="00165F91" w:rsidRPr="00862CC1">
        <w:rPr>
          <w:sz w:val="22"/>
          <w:szCs w:val="22"/>
        </w:rPr>
        <w:t>vyplývajúce</w:t>
      </w:r>
      <w:r w:rsidRPr="00862CC1">
        <w:rPr>
          <w:sz w:val="22"/>
          <w:szCs w:val="22"/>
        </w:rPr>
        <w:t xml:space="preserve"> z inhibície draslíkových (</w:t>
      </w:r>
      <w:proofErr w:type="spellStart"/>
      <w:r w:rsidRPr="00862CC1">
        <w:rPr>
          <w:sz w:val="22"/>
          <w:szCs w:val="22"/>
        </w:rPr>
        <w:t>hERG</w:t>
      </w:r>
      <w:proofErr w:type="spellEnd"/>
      <w:r w:rsidRPr="00862CC1">
        <w:rPr>
          <w:sz w:val="22"/>
          <w:szCs w:val="22"/>
        </w:rPr>
        <w:t>) a sodíkových prúdov a </w:t>
      </w:r>
      <w:proofErr w:type="spellStart"/>
      <w:r w:rsidRPr="00862CC1">
        <w:rPr>
          <w:sz w:val="22"/>
          <w:szCs w:val="22"/>
        </w:rPr>
        <w:t>arytmií</w:t>
      </w:r>
      <w:proofErr w:type="spellEnd"/>
      <w:r w:rsidRPr="00862CC1">
        <w:rPr>
          <w:sz w:val="22"/>
          <w:szCs w:val="22"/>
        </w:rPr>
        <w:t>.</w:t>
      </w:r>
    </w:p>
    <w:p w14:paraId="38B4C07B" w14:textId="149614A5" w:rsidR="005A00A4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77EA488" w14:textId="460CD8A1" w:rsidR="00B238C2" w:rsidRPr="00556C24" w:rsidRDefault="00B238C2" w:rsidP="00B238C2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Pre</w:t>
      </w:r>
      <w:r>
        <w:rPr>
          <w:sz w:val="22"/>
          <w:szCs w:val="22"/>
        </w:rPr>
        <w:t>d</w:t>
      </w:r>
      <w:r w:rsidRPr="00556C24">
        <w:rPr>
          <w:sz w:val="22"/>
          <w:szCs w:val="22"/>
        </w:rPr>
        <w:t xml:space="preserve">klinické účinky </w:t>
      </w:r>
      <w:r>
        <w:rPr>
          <w:sz w:val="22"/>
          <w:szCs w:val="22"/>
        </w:rPr>
        <w:t>sa</w:t>
      </w:r>
      <w:r w:rsidRPr="00556C24">
        <w:rPr>
          <w:sz w:val="22"/>
          <w:szCs w:val="22"/>
        </w:rPr>
        <w:t xml:space="preserve"> pozorova</w:t>
      </w:r>
      <w:r>
        <w:rPr>
          <w:sz w:val="22"/>
          <w:szCs w:val="22"/>
        </w:rPr>
        <w:t>li</w:t>
      </w:r>
      <w:r w:rsidRPr="00556C24">
        <w:rPr>
          <w:sz w:val="22"/>
          <w:szCs w:val="22"/>
        </w:rPr>
        <w:t xml:space="preserve"> iba v dávkach, ktoré znamenali značné navýšenie najvyšších dávok u človeka a ich význam pre klinické použitie je malý.</w:t>
      </w:r>
    </w:p>
    <w:p w14:paraId="5CA2A953" w14:textId="77777777" w:rsidR="00B238C2" w:rsidRDefault="00B238C2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856BD0" w14:textId="77777777" w:rsidR="00857051" w:rsidRPr="00862CC1" w:rsidRDefault="00857051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48FA97" w14:textId="02EDFA32" w:rsidR="005A00A4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Farmaceutické informácie</w:t>
      </w:r>
    </w:p>
    <w:p w14:paraId="7EA3F600" w14:textId="77777777" w:rsidR="00857051" w:rsidRPr="00173733" w:rsidRDefault="00857051" w:rsidP="00173733">
      <w:pPr>
        <w:pStyle w:val="Bodytext"/>
        <w:spacing w:after="0" w:line="240" w:lineRule="auto"/>
        <w:ind w:left="0"/>
        <w:rPr>
          <w:sz w:val="22"/>
        </w:rPr>
      </w:pPr>
    </w:p>
    <w:p w14:paraId="4FC22668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6.1</w:t>
      </w:r>
      <w:r w:rsidRPr="00862CC1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14:paraId="66483C6B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0E8A2AC" w14:textId="05BBB2DB" w:rsidR="00DC3833" w:rsidRPr="00766F0B" w:rsidRDefault="00DC3833" w:rsidP="006D42C7">
      <w:pPr>
        <w:rPr>
          <w:i/>
          <w:sz w:val="22"/>
          <w:szCs w:val="22"/>
        </w:rPr>
      </w:pPr>
      <w:r w:rsidRPr="00766F0B">
        <w:rPr>
          <w:i/>
          <w:sz w:val="22"/>
          <w:szCs w:val="22"/>
        </w:rPr>
        <w:t>Obsah kapsuly:</w:t>
      </w:r>
    </w:p>
    <w:p w14:paraId="32EC2831" w14:textId="2D9995F2" w:rsidR="00DC3833" w:rsidRDefault="00DC3833" w:rsidP="006D42C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E012CD" w:rsidRPr="00862CC1">
        <w:rPr>
          <w:sz w:val="22"/>
          <w:szCs w:val="22"/>
        </w:rPr>
        <w:t>onohydrát</w:t>
      </w:r>
      <w:proofErr w:type="spellEnd"/>
      <w:r w:rsidR="00E012CD" w:rsidRPr="00862CC1">
        <w:rPr>
          <w:sz w:val="22"/>
          <w:szCs w:val="22"/>
        </w:rPr>
        <w:t xml:space="preserve"> laktózy</w:t>
      </w:r>
    </w:p>
    <w:p w14:paraId="091C2C13" w14:textId="781A3529" w:rsidR="00DC3833" w:rsidRDefault="00E012CD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>kukuričný škrob</w:t>
      </w:r>
    </w:p>
    <w:p w14:paraId="167EB342" w14:textId="20765457" w:rsidR="00DC3833" w:rsidRDefault="00E012CD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>mastenec</w:t>
      </w:r>
    </w:p>
    <w:p w14:paraId="7C42D080" w14:textId="15AFB755" w:rsidR="00E012CD" w:rsidRDefault="00165F91" w:rsidP="006D42C7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stearan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horečnatý</w:t>
      </w:r>
      <w:proofErr w:type="spellEnd"/>
    </w:p>
    <w:p w14:paraId="4D52095A" w14:textId="77777777" w:rsidR="00DC3833" w:rsidRPr="00862CC1" w:rsidRDefault="00DC3833" w:rsidP="006D42C7">
      <w:pPr>
        <w:rPr>
          <w:sz w:val="22"/>
          <w:szCs w:val="22"/>
        </w:rPr>
      </w:pPr>
    </w:p>
    <w:p w14:paraId="2A45B377" w14:textId="768E5D8D" w:rsidR="00E012CD" w:rsidRPr="00766F0B" w:rsidRDefault="00B4192E" w:rsidP="006D42C7">
      <w:pPr>
        <w:rPr>
          <w:i/>
          <w:sz w:val="22"/>
          <w:szCs w:val="22"/>
        </w:rPr>
      </w:pPr>
      <w:r w:rsidRPr="00766F0B">
        <w:rPr>
          <w:i/>
          <w:sz w:val="22"/>
          <w:szCs w:val="22"/>
        </w:rPr>
        <w:t>Telo tvrdej želatínovej kapsuly:</w:t>
      </w:r>
    </w:p>
    <w:p w14:paraId="4F02A489" w14:textId="77777777" w:rsidR="00E012CD" w:rsidRPr="00862CC1" w:rsidRDefault="00E012CD" w:rsidP="00D51DAA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azorubín</w:t>
      </w:r>
      <w:proofErr w:type="spellEnd"/>
      <w:r w:rsidRPr="00862CC1">
        <w:rPr>
          <w:sz w:val="22"/>
          <w:szCs w:val="22"/>
        </w:rPr>
        <w:t xml:space="preserve"> (E122)</w:t>
      </w:r>
    </w:p>
    <w:p w14:paraId="336F0079" w14:textId="4EA7E328" w:rsidR="00E012CD" w:rsidRPr="00862CC1" w:rsidRDefault="00165F91" w:rsidP="00D51DAA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indigotín</w:t>
      </w:r>
      <w:proofErr w:type="spellEnd"/>
      <w:r w:rsidRPr="00862CC1">
        <w:rPr>
          <w:sz w:val="22"/>
          <w:szCs w:val="22"/>
        </w:rPr>
        <w:t xml:space="preserve"> hliníkový lak</w:t>
      </w:r>
      <w:r w:rsidR="00E012CD" w:rsidRPr="00862CC1">
        <w:rPr>
          <w:sz w:val="22"/>
          <w:szCs w:val="22"/>
        </w:rPr>
        <w:t xml:space="preserve"> (E132)</w:t>
      </w:r>
    </w:p>
    <w:p w14:paraId="44720097" w14:textId="19C255F7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čierny oxid železitý (E172)</w:t>
      </w:r>
    </w:p>
    <w:p w14:paraId="648D8A81" w14:textId="4F68B5CD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oxid </w:t>
      </w:r>
      <w:proofErr w:type="spellStart"/>
      <w:r w:rsidRPr="00862CC1">
        <w:rPr>
          <w:sz w:val="22"/>
          <w:szCs w:val="22"/>
        </w:rPr>
        <w:t>titaničitý</w:t>
      </w:r>
      <w:proofErr w:type="spellEnd"/>
      <w:r w:rsidRPr="00862CC1">
        <w:rPr>
          <w:sz w:val="22"/>
          <w:szCs w:val="22"/>
        </w:rPr>
        <w:t xml:space="preserve"> (E171)</w:t>
      </w:r>
    </w:p>
    <w:p w14:paraId="2507550D" w14:textId="7F1367D7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želatín</w:t>
      </w:r>
      <w:r w:rsidR="00DC3833">
        <w:rPr>
          <w:sz w:val="22"/>
          <w:szCs w:val="22"/>
        </w:rPr>
        <w:t>a</w:t>
      </w:r>
    </w:p>
    <w:p w14:paraId="66CC1985" w14:textId="77777777" w:rsidR="00C00596" w:rsidRPr="00862CC1" w:rsidRDefault="00C00596" w:rsidP="00D51DAA">
      <w:pPr>
        <w:rPr>
          <w:sz w:val="22"/>
          <w:szCs w:val="22"/>
        </w:rPr>
      </w:pPr>
    </w:p>
    <w:p w14:paraId="25569390" w14:textId="2683924D" w:rsidR="00E012CD" w:rsidRPr="00766F0B" w:rsidRDefault="00B4192E" w:rsidP="006D42C7">
      <w:pPr>
        <w:rPr>
          <w:i/>
          <w:sz w:val="22"/>
          <w:szCs w:val="22"/>
        </w:rPr>
      </w:pPr>
      <w:r w:rsidRPr="00766F0B">
        <w:rPr>
          <w:i/>
          <w:sz w:val="22"/>
          <w:szCs w:val="22"/>
        </w:rPr>
        <w:t>Uzáver tvrdej želatínovej kapsuly:</w:t>
      </w:r>
    </w:p>
    <w:p w14:paraId="0567CBDD" w14:textId="2F88C46E" w:rsidR="00E012CD" w:rsidRPr="00862CC1" w:rsidRDefault="00165F91" w:rsidP="00D51DAA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indigotín</w:t>
      </w:r>
      <w:proofErr w:type="spellEnd"/>
      <w:r w:rsidRPr="00862CC1">
        <w:rPr>
          <w:sz w:val="22"/>
          <w:szCs w:val="22"/>
        </w:rPr>
        <w:t xml:space="preserve"> hliníkový lak</w:t>
      </w:r>
      <w:r w:rsidR="00E012CD" w:rsidRPr="00862CC1">
        <w:rPr>
          <w:sz w:val="22"/>
          <w:szCs w:val="22"/>
        </w:rPr>
        <w:t xml:space="preserve"> (E132)</w:t>
      </w:r>
    </w:p>
    <w:p w14:paraId="7A049ADF" w14:textId="20905CBB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oxid </w:t>
      </w:r>
      <w:proofErr w:type="spellStart"/>
      <w:r w:rsidRPr="00862CC1">
        <w:rPr>
          <w:sz w:val="22"/>
          <w:szCs w:val="22"/>
        </w:rPr>
        <w:t>titaničitý</w:t>
      </w:r>
      <w:proofErr w:type="spellEnd"/>
      <w:r w:rsidRPr="00862CC1">
        <w:rPr>
          <w:sz w:val="22"/>
          <w:szCs w:val="22"/>
        </w:rPr>
        <w:t xml:space="preserve"> (E171)</w:t>
      </w:r>
    </w:p>
    <w:p w14:paraId="1DB6690E" w14:textId="5D4233B8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žltý oxid železitý (E172)</w:t>
      </w:r>
    </w:p>
    <w:p w14:paraId="79E9044A" w14:textId="4FC7061D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želatín</w:t>
      </w:r>
      <w:r w:rsidR="00DC3833">
        <w:rPr>
          <w:sz w:val="22"/>
          <w:szCs w:val="22"/>
        </w:rPr>
        <w:t>a</w:t>
      </w:r>
    </w:p>
    <w:p w14:paraId="7B5692A6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344EF9A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6.2</w:t>
      </w:r>
      <w:r w:rsidRPr="00862CC1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14:paraId="46A8C62E" w14:textId="77777777" w:rsidR="005A00A4" w:rsidRPr="00862CC1" w:rsidRDefault="005A00A4" w:rsidP="00766F0B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53C7A761" w14:textId="2142726F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Neaplikovateľné.</w:t>
      </w:r>
    </w:p>
    <w:p w14:paraId="2D6D17D2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D379620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6.3</w:t>
      </w:r>
      <w:r w:rsidRPr="00862CC1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14:paraId="6887245C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38ADC5A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3</w:t>
      </w:r>
      <w:r w:rsidR="00EA374A" w:rsidRPr="00862CC1">
        <w:rPr>
          <w:sz w:val="22"/>
          <w:szCs w:val="22"/>
        </w:rPr>
        <w:t>6</w:t>
      </w:r>
      <w:r w:rsidRPr="00862CC1">
        <w:rPr>
          <w:sz w:val="22"/>
          <w:szCs w:val="22"/>
        </w:rPr>
        <w:t xml:space="preserve"> </w:t>
      </w:r>
      <w:r w:rsidR="00E012CD" w:rsidRPr="00862CC1">
        <w:rPr>
          <w:sz w:val="22"/>
          <w:szCs w:val="22"/>
        </w:rPr>
        <w:t>mesiacov</w:t>
      </w:r>
    </w:p>
    <w:p w14:paraId="213436FF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6B5BBFBB" w14:textId="77777777" w:rsidR="00DC3833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6.4</w:t>
      </w:r>
      <w:r w:rsidRPr="00862CC1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</w:p>
    <w:p w14:paraId="6B2EA75B" w14:textId="0D2CD562" w:rsidR="005A00A4" w:rsidRPr="00766F0B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7D73C46" w14:textId="0C02C7E7" w:rsidR="005A00A4" w:rsidRPr="00862CC1" w:rsidRDefault="005A00A4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Uchovávajte pri teplote do </w:t>
      </w:r>
      <w:r w:rsidR="00E012CD" w:rsidRPr="00862CC1">
        <w:rPr>
          <w:sz w:val="22"/>
          <w:szCs w:val="22"/>
        </w:rPr>
        <w:t>30</w:t>
      </w:r>
      <w:r w:rsidR="001E5BD9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sym w:font="Symbol" w:char="F0B0"/>
      </w:r>
      <w:r w:rsidRPr="00862CC1">
        <w:rPr>
          <w:sz w:val="22"/>
          <w:szCs w:val="22"/>
        </w:rPr>
        <w:t>C.</w:t>
      </w:r>
    </w:p>
    <w:p w14:paraId="17305121" w14:textId="77777777" w:rsidR="005A00A4" w:rsidRPr="00862CC1" w:rsidRDefault="005A00A4" w:rsidP="006D42C7">
      <w:pPr>
        <w:rPr>
          <w:sz w:val="22"/>
          <w:szCs w:val="22"/>
        </w:rPr>
      </w:pPr>
    </w:p>
    <w:p w14:paraId="30BD1717" w14:textId="77777777" w:rsidR="00DC3833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6.5</w:t>
      </w:r>
      <w:r w:rsidRPr="00862CC1">
        <w:rPr>
          <w:rFonts w:ascii="Times New Roman" w:hAnsi="Times New Roman"/>
          <w:i w:val="0"/>
          <w:sz w:val="22"/>
          <w:szCs w:val="22"/>
        </w:rPr>
        <w:tab/>
        <w:t>Druh obalu a obsah balenia</w:t>
      </w:r>
    </w:p>
    <w:p w14:paraId="33A510AB" w14:textId="61BB9E57" w:rsidR="005A00A4" w:rsidRPr="00173733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5E7D3401" w14:textId="025F7E5E" w:rsidR="005A00A4" w:rsidRPr="00862CC1" w:rsidRDefault="00E012CD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PVC/</w:t>
      </w:r>
      <w:proofErr w:type="spellStart"/>
      <w:r w:rsidRPr="00862CC1">
        <w:rPr>
          <w:sz w:val="22"/>
          <w:szCs w:val="22"/>
        </w:rPr>
        <w:t>Al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blister</w:t>
      </w:r>
      <w:proofErr w:type="spellEnd"/>
      <w:r w:rsidR="00DC3833">
        <w:rPr>
          <w:sz w:val="22"/>
          <w:szCs w:val="22"/>
        </w:rPr>
        <w:t>, papierová škatuľa, písomná informácia pre používateľa.</w:t>
      </w:r>
    </w:p>
    <w:p w14:paraId="7ED423E7" w14:textId="4A0556EB" w:rsidR="00DC3833" w:rsidRDefault="00DC3833" w:rsidP="00766F0B">
      <w:pPr>
        <w:pStyle w:val="Zarkazkladnhotextu"/>
        <w:tabs>
          <w:tab w:val="left" w:pos="1560"/>
        </w:tabs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Veľkosť</w:t>
      </w:r>
      <w:r w:rsidR="00B4192E" w:rsidRPr="00862CC1">
        <w:rPr>
          <w:sz w:val="22"/>
          <w:szCs w:val="22"/>
        </w:rPr>
        <w:t xml:space="preserve"> balenia</w:t>
      </w:r>
      <w:r w:rsidRPr="00862CC1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E94BAC" w:rsidRPr="00862CC1">
        <w:rPr>
          <w:sz w:val="22"/>
          <w:szCs w:val="22"/>
        </w:rPr>
        <w:t>10 (1</w:t>
      </w:r>
      <w:r w:rsidR="00C46F3A">
        <w:rPr>
          <w:sz w:val="22"/>
          <w:szCs w:val="22"/>
        </w:rPr>
        <w:t> </w:t>
      </w:r>
      <w:r w:rsidR="00E94BAC" w:rsidRPr="00862CC1">
        <w:rPr>
          <w:sz w:val="22"/>
          <w:szCs w:val="22"/>
        </w:rPr>
        <w:t>x</w:t>
      </w:r>
      <w:r w:rsidR="00C46F3A">
        <w:rPr>
          <w:sz w:val="22"/>
          <w:szCs w:val="22"/>
        </w:rPr>
        <w:t> </w:t>
      </w:r>
      <w:r w:rsidR="00E94BAC" w:rsidRPr="00862CC1">
        <w:rPr>
          <w:sz w:val="22"/>
          <w:szCs w:val="22"/>
        </w:rPr>
        <w:t>10)</w:t>
      </w:r>
      <w:r w:rsidRPr="00DC3833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tvrdých kapsúl</w:t>
      </w:r>
    </w:p>
    <w:p w14:paraId="0440F9EF" w14:textId="49E45FB2" w:rsidR="00E012CD" w:rsidRDefault="00E012CD" w:rsidP="00766F0B">
      <w:pPr>
        <w:pStyle w:val="Zarkazkladnhotextu"/>
        <w:spacing w:line="240" w:lineRule="auto"/>
        <w:ind w:left="0" w:firstLine="156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20 (1</w:t>
      </w:r>
      <w:r w:rsidR="00C46F3A">
        <w:rPr>
          <w:sz w:val="22"/>
          <w:szCs w:val="22"/>
        </w:rPr>
        <w:t> </w:t>
      </w:r>
      <w:r w:rsidRPr="00862CC1">
        <w:rPr>
          <w:sz w:val="22"/>
          <w:szCs w:val="22"/>
        </w:rPr>
        <w:t>x</w:t>
      </w:r>
      <w:r w:rsidR="00C46F3A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20) </w:t>
      </w:r>
      <w:r w:rsidR="00B4192E" w:rsidRPr="00862CC1">
        <w:rPr>
          <w:sz w:val="22"/>
          <w:szCs w:val="22"/>
        </w:rPr>
        <w:t>tvrdých kapsúl</w:t>
      </w:r>
    </w:p>
    <w:p w14:paraId="409BA84E" w14:textId="77777777" w:rsidR="00DC3833" w:rsidRDefault="00DC3833" w:rsidP="00DC3833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F3EF266" w14:textId="77A588D0" w:rsidR="00DC3833" w:rsidRPr="00862CC1" w:rsidRDefault="00DC3833" w:rsidP="00DC3833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4BC10B0F" w14:textId="77777777" w:rsidR="00B4192E" w:rsidRPr="00862CC1" w:rsidRDefault="00B4192E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47D211FE" w14:textId="5937FFD6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6.6</w:t>
      </w:r>
      <w:r w:rsidRPr="00862CC1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14:paraId="61092B6B" w14:textId="77777777" w:rsidR="005A00A4" w:rsidRPr="00862CC1" w:rsidRDefault="005A00A4" w:rsidP="00173733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48353403" w14:textId="00FBBFD5" w:rsidR="005A00A4" w:rsidRPr="00862CC1" w:rsidRDefault="00165F91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Všetok nepoužitý liek alebo odpad vzniknutý z lieku sa má zlikvidovať v súlade s národnými</w:t>
      </w:r>
      <w:r w:rsidRPr="00862CC1">
        <w:rPr>
          <w:color w:val="FF0000"/>
          <w:sz w:val="22"/>
          <w:szCs w:val="22"/>
        </w:rPr>
        <w:t xml:space="preserve"> </w:t>
      </w:r>
      <w:r w:rsidRPr="00862CC1">
        <w:rPr>
          <w:sz w:val="22"/>
          <w:szCs w:val="22"/>
        </w:rPr>
        <w:t>požiadavkami.</w:t>
      </w:r>
    </w:p>
    <w:p w14:paraId="761DA6E6" w14:textId="77777777" w:rsidR="00165F91" w:rsidRPr="00862CC1" w:rsidRDefault="00165F9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C193E1E" w14:textId="77777777" w:rsidR="00E012CD" w:rsidRPr="00862CC1" w:rsidRDefault="00E012C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F70D55F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Držiteľ rozhodnutia o registrácii</w:t>
      </w:r>
    </w:p>
    <w:p w14:paraId="16B67A80" w14:textId="77777777" w:rsidR="005A00A4" w:rsidRPr="00862CC1" w:rsidRDefault="005A00A4" w:rsidP="00173733">
      <w:pPr>
        <w:keepNext/>
        <w:rPr>
          <w:sz w:val="22"/>
          <w:szCs w:val="22"/>
        </w:rPr>
      </w:pPr>
    </w:p>
    <w:p w14:paraId="621BC45C" w14:textId="50EA4483" w:rsidR="002D025F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BELUPO, s.r.o.</w:t>
      </w:r>
    </w:p>
    <w:p w14:paraId="305C3EA0" w14:textId="46533B44" w:rsidR="002D025F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Cukrová 14</w:t>
      </w:r>
    </w:p>
    <w:p w14:paraId="43F76051" w14:textId="02158C34" w:rsidR="002D025F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811 08 Bratislava</w:t>
      </w:r>
    </w:p>
    <w:p w14:paraId="718643EF" w14:textId="7B9E98C9" w:rsidR="005A00A4" w:rsidRPr="00862CC1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Slovenská republika</w:t>
      </w:r>
    </w:p>
    <w:p w14:paraId="46E913F2" w14:textId="77777777" w:rsidR="005A00A4" w:rsidRPr="00862CC1" w:rsidRDefault="005A00A4" w:rsidP="006D42C7">
      <w:pPr>
        <w:rPr>
          <w:sz w:val="22"/>
          <w:szCs w:val="22"/>
        </w:rPr>
      </w:pPr>
    </w:p>
    <w:p w14:paraId="76AF08F2" w14:textId="77777777" w:rsidR="005A00A4" w:rsidRPr="00862CC1" w:rsidRDefault="005A00A4" w:rsidP="006D42C7">
      <w:pPr>
        <w:rPr>
          <w:sz w:val="22"/>
          <w:szCs w:val="22"/>
        </w:rPr>
      </w:pPr>
    </w:p>
    <w:p w14:paraId="33F72A8B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RegistraČné číslo</w:t>
      </w:r>
    </w:p>
    <w:p w14:paraId="2C27EF70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3196678" w14:textId="692C1337" w:rsidR="005A00A4" w:rsidRPr="00862CC1" w:rsidRDefault="00B4052B">
      <w:pPr>
        <w:pStyle w:val="Bodytext"/>
        <w:spacing w:after="0" w:line="240" w:lineRule="auto"/>
        <w:ind w:left="0"/>
        <w:rPr>
          <w:sz w:val="22"/>
          <w:szCs w:val="22"/>
        </w:rPr>
      </w:pPr>
      <w:r w:rsidRPr="00B4052B">
        <w:rPr>
          <w:sz w:val="22"/>
          <w:szCs w:val="22"/>
        </w:rPr>
        <w:t>49/0319/17-S</w:t>
      </w:r>
    </w:p>
    <w:p w14:paraId="507CC7B5" w14:textId="77777777" w:rsidR="00B4192E" w:rsidRPr="00862CC1" w:rsidRDefault="00B419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E065AD8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4D8067B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14:paraId="5E7D79BE" w14:textId="68777AE3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AB24BA7" w14:textId="452A1EBE" w:rsidR="00C00596" w:rsidRPr="00862CC1" w:rsidRDefault="00C00596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Dátum prvej registrácie:</w:t>
      </w:r>
      <w:r w:rsidR="002D025F">
        <w:rPr>
          <w:sz w:val="22"/>
          <w:szCs w:val="22"/>
        </w:rPr>
        <w:t xml:space="preserve"> 30. október 2017</w:t>
      </w:r>
    </w:p>
    <w:p w14:paraId="0EB45ECB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8A55362" w14:textId="77777777" w:rsidR="00B4192E" w:rsidRPr="00862CC1" w:rsidRDefault="00B419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03628F8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dátum revízie textu</w:t>
      </w:r>
    </w:p>
    <w:p w14:paraId="38CE5409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4F30AAC" w14:textId="09CF4CF4" w:rsidR="001E5BD9" w:rsidRPr="00862CC1" w:rsidRDefault="00E906A2" w:rsidP="000F03EE">
      <w:pPr>
        <w:rPr>
          <w:sz w:val="22"/>
          <w:szCs w:val="22"/>
        </w:rPr>
      </w:pPr>
      <w:r>
        <w:rPr>
          <w:sz w:val="22"/>
          <w:szCs w:val="22"/>
        </w:rPr>
        <w:t>10/2019</w:t>
      </w:r>
    </w:p>
    <w:sectPr w:rsidR="001E5BD9" w:rsidRPr="00862CC1" w:rsidSect="00766F0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9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EDF15" w14:textId="77777777" w:rsidR="0026171C" w:rsidRDefault="0026171C" w:rsidP="008E1E07">
      <w:r>
        <w:separator/>
      </w:r>
    </w:p>
  </w:endnote>
  <w:endnote w:type="continuationSeparator" w:id="0">
    <w:p w14:paraId="4B370BFA" w14:textId="77777777" w:rsidR="0026171C" w:rsidRDefault="0026171C" w:rsidP="008E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13781650"/>
      <w:docPartObj>
        <w:docPartGallery w:val="Page Numbers (Bottom of Page)"/>
        <w:docPartUnique/>
      </w:docPartObj>
    </w:sdtPr>
    <w:sdtEndPr/>
    <w:sdtContent>
      <w:p w14:paraId="255D4772" w14:textId="6EF8066A" w:rsidR="0026171C" w:rsidRPr="00E04300" w:rsidRDefault="0026171C" w:rsidP="00173733">
        <w:pPr>
          <w:pStyle w:val="Pta"/>
          <w:jc w:val="center"/>
          <w:rPr>
            <w:sz w:val="18"/>
            <w:szCs w:val="18"/>
          </w:rPr>
        </w:pPr>
        <w:r w:rsidRPr="00E04300">
          <w:rPr>
            <w:sz w:val="18"/>
            <w:szCs w:val="18"/>
          </w:rPr>
          <w:fldChar w:fldCharType="begin"/>
        </w:r>
        <w:r w:rsidRPr="00E04300">
          <w:rPr>
            <w:sz w:val="18"/>
            <w:szCs w:val="18"/>
          </w:rPr>
          <w:instrText>PAGE   \* MERGEFORMAT</w:instrText>
        </w:r>
        <w:r w:rsidRPr="00DB126C">
          <w:rPr>
            <w:sz w:val="18"/>
            <w:szCs w:val="18"/>
          </w:rPr>
          <w:fldChar w:fldCharType="separate"/>
        </w:r>
        <w:r w:rsidR="00DB126C">
          <w:rPr>
            <w:noProof/>
            <w:sz w:val="18"/>
            <w:szCs w:val="18"/>
          </w:rPr>
          <w:t>8</w:t>
        </w:r>
        <w:r w:rsidRPr="00E04300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611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ADB8EC" w14:textId="1CA6BF59" w:rsidR="0026171C" w:rsidRPr="00173733" w:rsidRDefault="0026171C">
        <w:pPr>
          <w:pStyle w:val="Pta"/>
          <w:jc w:val="center"/>
          <w:rPr>
            <w:sz w:val="18"/>
            <w:szCs w:val="18"/>
          </w:rPr>
        </w:pPr>
        <w:r w:rsidRPr="00FD7B8A">
          <w:rPr>
            <w:sz w:val="18"/>
            <w:szCs w:val="18"/>
          </w:rPr>
          <w:fldChar w:fldCharType="begin"/>
        </w:r>
        <w:r w:rsidRPr="00857051">
          <w:rPr>
            <w:sz w:val="18"/>
            <w:szCs w:val="18"/>
          </w:rPr>
          <w:instrText>PAGE   \* MERGEFORMAT</w:instrText>
        </w:r>
        <w:r w:rsidRPr="00FD7B8A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FD7B8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9449E" w14:textId="77777777" w:rsidR="0026171C" w:rsidRDefault="0026171C" w:rsidP="008E1E07">
      <w:r>
        <w:separator/>
      </w:r>
    </w:p>
  </w:footnote>
  <w:footnote w:type="continuationSeparator" w:id="0">
    <w:p w14:paraId="49CFF617" w14:textId="77777777" w:rsidR="0026171C" w:rsidRDefault="0026171C" w:rsidP="008E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8F3" w14:textId="41D06F55" w:rsidR="0026171C" w:rsidRPr="00766F0B" w:rsidRDefault="0026171C" w:rsidP="00766F0B">
    <w:pPr>
      <w:rPr>
        <w:sz w:val="18"/>
        <w:szCs w:val="18"/>
      </w:rPr>
    </w:pPr>
    <w:r w:rsidRPr="002B0736">
      <w:rPr>
        <w:sz w:val="18"/>
        <w:szCs w:val="18"/>
      </w:rPr>
      <w:t xml:space="preserve">Príloha č. 1 k notifikácii o zmene, ev. </w:t>
    </w:r>
    <w:r w:rsidRPr="002B0736">
      <w:rPr>
        <w:sz w:val="18"/>
        <w:szCs w:val="18"/>
      </w:rPr>
      <w:t>č.:</w:t>
    </w:r>
    <w:r w:rsidRPr="006E1646">
      <w:rPr>
        <w:sz w:val="18"/>
        <w:szCs w:val="18"/>
      </w:rPr>
      <w:t xml:space="preserve"> </w:t>
    </w:r>
    <w:r w:rsidR="00207FB6">
      <w:rPr>
        <w:sz w:val="18"/>
        <w:szCs w:val="18"/>
      </w:rPr>
      <w:t>2019/</w:t>
    </w:r>
    <w:r w:rsidR="00B44A5E">
      <w:rPr>
        <w:sz w:val="18"/>
        <w:szCs w:val="18"/>
      </w:rPr>
      <w:t>0</w:t>
    </w:r>
    <w:r w:rsidR="00E04300">
      <w:rPr>
        <w:sz w:val="18"/>
        <w:szCs w:val="18"/>
      </w:rPr>
      <w:t>5079</w:t>
    </w:r>
    <w:r w:rsidR="00207FB6">
      <w:rPr>
        <w:sz w:val="18"/>
        <w:szCs w:val="18"/>
      </w:rPr>
      <w:t>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01121" w14:textId="790DF876" w:rsidR="0026171C" w:rsidRDefault="0026171C" w:rsidP="006D42C7">
    <w:pPr>
      <w:rPr>
        <w:sz w:val="18"/>
        <w:szCs w:val="18"/>
      </w:rPr>
    </w:pPr>
  </w:p>
  <w:p w14:paraId="081DF6B5" w14:textId="65ED35B1" w:rsidR="0026171C" w:rsidRPr="00857051" w:rsidRDefault="0026171C" w:rsidP="006D42C7">
    <w:pPr>
      <w:rPr>
        <w:sz w:val="18"/>
        <w:szCs w:val="18"/>
      </w:rPr>
    </w:pPr>
    <w:r>
      <w:rPr>
        <w:sz w:val="18"/>
        <w:szCs w:val="18"/>
      </w:rPr>
      <w:t>Príloha č. 1 k notifikácii o 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pPr>
        <w:ind w:left="284" w:firstLine="0"/>
      </w:pPr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9844CDE"/>
    <w:multiLevelType w:val="hybridMultilevel"/>
    <w:tmpl w:val="451E1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6AFB"/>
    <w:multiLevelType w:val="hybridMultilevel"/>
    <w:tmpl w:val="DB549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3DDF"/>
    <w:multiLevelType w:val="hybridMultilevel"/>
    <w:tmpl w:val="83E0B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06162"/>
    <w:multiLevelType w:val="hybridMultilevel"/>
    <w:tmpl w:val="6EC617FE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C67264"/>
    <w:multiLevelType w:val="hybridMultilevel"/>
    <w:tmpl w:val="84867D22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DF4873"/>
    <w:multiLevelType w:val="hybridMultilevel"/>
    <w:tmpl w:val="948C511E"/>
    <w:lvl w:ilvl="0" w:tplc="A7E0C4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434E4"/>
    <w:multiLevelType w:val="hybridMultilevel"/>
    <w:tmpl w:val="9D2E7534"/>
    <w:lvl w:ilvl="0" w:tplc="441076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A4"/>
    <w:rsid w:val="00011647"/>
    <w:rsid w:val="0001275B"/>
    <w:rsid w:val="00054913"/>
    <w:rsid w:val="00062F67"/>
    <w:rsid w:val="000806F6"/>
    <w:rsid w:val="000C4F7E"/>
    <w:rsid w:val="000E5CAA"/>
    <w:rsid w:val="000F03EE"/>
    <w:rsid w:val="000F4200"/>
    <w:rsid w:val="00104CA6"/>
    <w:rsid w:val="00130F23"/>
    <w:rsid w:val="00165252"/>
    <w:rsid w:val="00165F91"/>
    <w:rsid w:val="00173733"/>
    <w:rsid w:val="00183143"/>
    <w:rsid w:val="001848DC"/>
    <w:rsid w:val="00197D61"/>
    <w:rsid w:val="001A5CBB"/>
    <w:rsid w:val="001C47EA"/>
    <w:rsid w:val="001E5BD9"/>
    <w:rsid w:val="001F14C4"/>
    <w:rsid w:val="00207FB6"/>
    <w:rsid w:val="0026171C"/>
    <w:rsid w:val="002A10DB"/>
    <w:rsid w:val="002A1E04"/>
    <w:rsid w:val="002A455E"/>
    <w:rsid w:val="002A65D3"/>
    <w:rsid w:val="002B0736"/>
    <w:rsid w:val="002B4DC0"/>
    <w:rsid w:val="002C580F"/>
    <w:rsid w:val="002D025F"/>
    <w:rsid w:val="003029FB"/>
    <w:rsid w:val="00306C6C"/>
    <w:rsid w:val="00314B03"/>
    <w:rsid w:val="00345E7C"/>
    <w:rsid w:val="0034696A"/>
    <w:rsid w:val="00356105"/>
    <w:rsid w:val="003601BC"/>
    <w:rsid w:val="00360A28"/>
    <w:rsid w:val="00364319"/>
    <w:rsid w:val="00380646"/>
    <w:rsid w:val="003841EB"/>
    <w:rsid w:val="00386287"/>
    <w:rsid w:val="003A5C24"/>
    <w:rsid w:val="003D4D4E"/>
    <w:rsid w:val="00411AD9"/>
    <w:rsid w:val="00424C3F"/>
    <w:rsid w:val="00473D84"/>
    <w:rsid w:val="004C442A"/>
    <w:rsid w:val="004E7FC3"/>
    <w:rsid w:val="004F19A0"/>
    <w:rsid w:val="00536ADD"/>
    <w:rsid w:val="005A00A4"/>
    <w:rsid w:val="005B3F0E"/>
    <w:rsid w:val="00601382"/>
    <w:rsid w:val="00612820"/>
    <w:rsid w:val="00630A1D"/>
    <w:rsid w:val="006446D9"/>
    <w:rsid w:val="00684465"/>
    <w:rsid w:val="0069320D"/>
    <w:rsid w:val="00695A5F"/>
    <w:rsid w:val="006B0D80"/>
    <w:rsid w:val="006D42C7"/>
    <w:rsid w:val="006E1646"/>
    <w:rsid w:val="0076221E"/>
    <w:rsid w:val="00766F0B"/>
    <w:rsid w:val="0077289C"/>
    <w:rsid w:val="007B5297"/>
    <w:rsid w:val="0082608D"/>
    <w:rsid w:val="00837F5E"/>
    <w:rsid w:val="00857051"/>
    <w:rsid w:val="00862C30"/>
    <w:rsid w:val="00862CC1"/>
    <w:rsid w:val="00892606"/>
    <w:rsid w:val="008A37A8"/>
    <w:rsid w:val="008A3F96"/>
    <w:rsid w:val="008B03D7"/>
    <w:rsid w:val="008B245E"/>
    <w:rsid w:val="008B49CE"/>
    <w:rsid w:val="008E1E07"/>
    <w:rsid w:val="00954723"/>
    <w:rsid w:val="00962A4E"/>
    <w:rsid w:val="00984568"/>
    <w:rsid w:val="009A7B11"/>
    <w:rsid w:val="009E74EF"/>
    <w:rsid w:val="00A07B16"/>
    <w:rsid w:val="00A14EF1"/>
    <w:rsid w:val="00A56133"/>
    <w:rsid w:val="00A63887"/>
    <w:rsid w:val="00A70F26"/>
    <w:rsid w:val="00A92D0D"/>
    <w:rsid w:val="00B03AFE"/>
    <w:rsid w:val="00B050C8"/>
    <w:rsid w:val="00B238C2"/>
    <w:rsid w:val="00B25541"/>
    <w:rsid w:val="00B3134B"/>
    <w:rsid w:val="00B4052B"/>
    <w:rsid w:val="00B4192E"/>
    <w:rsid w:val="00B44A5E"/>
    <w:rsid w:val="00B462C4"/>
    <w:rsid w:val="00B54B19"/>
    <w:rsid w:val="00B84B2C"/>
    <w:rsid w:val="00BE05DD"/>
    <w:rsid w:val="00BE0F1A"/>
    <w:rsid w:val="00BE263C"/>
    <w:rsid w:val="00C00596"/>
    <w:rsid w:val="00C06ADA"/>
    <w:rsid w:val="00C46F3A"/>
    <w:rsid w:val="00C53402"/>
    <w:rsid w:val="00C67156"/>
    <w:rsid w:val="00C7729C"/>
    <w:rsid w:val="00C946E4"/>
    <w:rsid w:val="00CA486A"/>
    <w:rsid w:val="00CA4CBA"/>
    <w:rsid w:val="00D25CC4"/>
    <w:rsid w:val="00D32E81"/>
    <w:rsid w:val="00D51DAA"/>
    <w:rsid w:val="00D544DF"/>
    <w:rsid w:val="00D61AE6"/>
    <w:rsid w:val="00D726F9"/>
    <w:rsid w:val="00D74979"/>
    <w:rsid w:val="00D7549C"/>
    <w:rsid w:val="00D76589"/>
    <w:rsid w:val="00D76AE6"/>
    <w:rsid w:val="00DA1950"/>
    <w:rsid w:val="00DB126C"/>
    <w:rsid w:val="00DB7981"/>
    <w:rsid w:val="00DC3833"/>
    <w:rsid w:val="00DF3D14"/>
    <w:rsid w:val="00E012CD"/>
    <w:rsid w:val="00E04300"/>
    <w:rsid w:val="00E433DD"/>
    <w:rsid w:val="00E70510"/>
    <w:rsid w:val="00E864E6"/>
    <w:rsid w:val="00E906A2"/>
    <w:rsid w:val="00E94BAC"/>
    <w:rsid w:val="00EA374A"/>
    <w:rsid w:val="00F00941"/>
    <w:rsid w:val="00F0640D"/>
    <w:rsid w:val="00F521E8"/>
    <w:rsid w:val="00FA6BA0"/>
    <w:rsid w:val="00FD7B8A"/>
    <w:rsid w:val="00FF316F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C9B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locked/>
    <w:rsid w:val="005A00A4"/>
    <w:rPr>
      <w:lang w:val="en-US"/>
    </w:rPr>
  </w:style>
  <w:style w:type="paragraph" w:customStyle="1" w:styleId="TableText">
    <w:name w:val="TableText"/>
    <w:link w:val="TableTextChar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uiPriority w:val="99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paragraph" w:styleId="Pta">
    <w:name w:val="footer"/>
    <w:basedOn w:val="Normlny"/>
    <w:link w:val="PtaChar"/>
    <w:uiPriority w:val="99"/>
    <w:unhideWhenUsed/>
    <w:rsid w:val="008E1E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1E07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C47E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7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7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5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locked/>
    <w:rsid w:val="005A00A4"/>
    <w:rPr>
      <w:lang w:val="en-US"/>
    </w:rPr>
  </w:style>
  <w:style w:type="paragraph" w:customStyle="1" w:styleId="TableText">
    <w:name w:val="TableText"/>
    <w:link w:val="TableTextChar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uiPriority w:val="99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paragraph" w:styleId="Pta">
    <w:name w:val="footer"/>
    <w:basedOn w:val="Normlny"/>
    <w:link w:val="PtaChar"/>
    <w:uiPriority w:val="99"/>
    <w:unhideWhenUsed/>
    <w:rsid w:val="008E1E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1E07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C47E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7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7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5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4F7D-B953-42E4-89AB-BD1249C4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2557</Words>
  <Characters>14581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marianna forgacova</cp:lastModifiedBy>
  <cp:revision>2</cp:revision>
  <cp:lastPrinted>2018-10-04T07:04:00Z</cp:lastPrinted>
  <dcterms:created xsi:type="dcterms:W3CDTF">2019-09-27T07:39:00Z</dcterms:created>
  <dcterms:modified xsi:type="dcterms:W3CDTF">2019-09-27T07:39:00Z</dcterms:modified>
</cp:coreProperties>
</file>