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D94" w:rsidRPr="005B2886" w:rsidRDefault="00574D94" w:rsidP="005B2886">
      <w:pPr>
        <w:tabs>
          <w:tab w:val="clear" w:pos="567"/>
        </w:tabs>
        <w:spacing w:line="240" w:lineRule="auto"/>
        <w:rPr>
          <w:sz w:val="18"/>
          <w:szCs w:val="18"/>
        </w:rPr>
      </w:pPr>
      <w:bookmarkStart w:id="0" w:name="_GoBack"/>
      <w:bookmarkEnd w:id="0"/>
    </w:p>
    <w:p w:rsidR="00574D94" w:rsidRPr="008616DC" w:rsidRDefault="0000045B">
      <w:pPr>
        <w:tabs>
          <w:tab w:val="clear" w:pos="567"/>
        </w:tabs>
        <w:spacing w:line="240" w:lineRule="auto"/>
        <w:jc w:val="center"/>
        <w:rPr>
          <w:b/>
          <w:szCs w:val="22"/>
        </w:rPr>
      </w:pPr>
      <w:r w:rsidRPr="008616DC">
        <w:rPr>
          <w:b/>
          <w:szCs w:val="22"/>
        </w:rPr>
        <w:t>SÚHRN CHARAKTERISTICKÝCH VLASTNOSTÍ LIEKU</w:t>
      </w:r>
    </w:p>
    <w:p w:rsidR="00574D94" w:rsidRPr="008616DC" w:rsidRDefault="00574D94">
      <w:pPr>
        <w:tabs>
          <w:tab w:val="clear" w:pos="567"/>
        </w:tabs>
        <w:spacing w:line="240" w:lineRule="auto"/>
        <w:rPr>
          <w:szCs w:val="22"/>
        </w:rPr>
      </w:pPr>
    </w:p>
    <w:p w:rsidR="00574D94" w:rsidRPr="008616DC" w:rsidRDefault="00574D94">
      <w:pPr>
        <w:tabs>
          <w:tab w:val="clear" w:pos="567"/>
        </w:tabs>
        <w:spacing w:line="240" w:lineRule="auto"/>
        <w:rPr>
          <w:szCs w:val="22"/>
        </w:rPr>
      </w:pPr>
    </w:p>
    <w:p w:rsidR="00574D94" w:rsidRPr="008616DC" w:rsidRDefault="00EF1123">
      <w:pPr>
        <w:tabs>
          <w:tab w:val="clear" w:pos="567"/>
        </w:tabs>
        <w:spacing w:line="240" w:lineRule="auto"/>
        <w:jc w:val="both"/>
        <w:rPr>
          <w:szCs w:val="22"/>
        </w:rPr>
      </w:pPr>
      <w:r w:rsidRPr="008616DC">
        <w:rPr>
          <w:b/>
          <w:szCs w:val="22"/>
        </w:rPr>
        <w:t>1.</w:t>
      </w:r>
      <w:r w:rsidRPr="008616DC">
        <w:rPr>
          <w:b/>
          <w:szCs w:val="22"/>
        </w:rPr>
        <w:tab/>
      </w:r>
      <w:r w:rsidR="0000045B" w:rsidRPr="008616DC">
        <w:rPr>
          <w:b/>
          <w:szCs w:val="22"/>
        </w:rPr>
        <w:t>NÁZOV LIEKU</w:t>
      </w:r>
    </w:p>
    <w:p w:rsidR="00D7195A" w:rsidRPr="008616DC" w:rsidRDefault="00D7195A">
      <w:pPr>
        <w:pStyle w:val="Podtitul"/>
        <w:rPr>
          <w:rFonts w:ascii="Times New Roman" w:hAnsi="Times New Roman"/>
          <w:b w:val="0"/>
          <w:bCs/>
          <w:szCs w:val="22"/>
          <w:lang w:val="sk-SK"/>
        </w:rPr>
      </w:pPr>
    </w:p>
    <w:p w:rsidR="00126D86" w:rsidRPr="008616DC" w:rsidRDefault="00A50C96">
      <w:pPr>
        <w:pStyle w:val="Podtitul"/>
        <w:rPr>
          <w:rFonts w:ascii="Times New Roman" w:hAnsi="Times New Roman"/>
          <w:b w:val="0"/>
          <w:bCs/>
          <w:szCs w:val="22"/>
          <w:lang w:val="sk-SK"/>
        </w:rPr>
      </w:pPr>
      <w:r w:rsidRPr="00A50C96">
        <w:rPr>
          <w:rFonts w:ascii="Times New Roman" w:hAnsi="Times New Roman"/>
          <w:b w:val="0"/>
          <w:szCs w:val="22"/>
          <w:lang w:val="sk-SK"/>
        </w:rPr>
        <w:t>Diclovit</w:t>
      </w:r>
      <w:r>
        <w:rPr>
          <w:rFonts w:ascii="Times New Roman" w:hAnsi="Times New Roman"/>
          <w:b w:val="0"/>
          <w:bCs/>
          <w:szCs w:val="22"/>
          <w:lang w:val="sk-SK"/>
        </w:rPr>
        <w:t xml:space="preserve"> </w:t>
      </w:r>
    </w:p>
    <w:p w:rsidR="00574D94" w:rsidRPr="008616DC" w:rsidRDefault="00A50C96">
      <w:pPr>
        <w:pStyle w:val="Podtitul"/>
        <w:rPr>
          <w:rFonts w:ascii="Times New Roman" w:hAnsi="Times New Roman"/>
          <w:b w:val="0"/>
          <w:bCs/>
          <w:szCs w:val="22"/>
          <w:lang w:val="sk-SK"/>
        </w:rPr>
      </w:pPr>
      <w:r>
        <w:rPr>
          <w:rFonts w:ascii="Times New Roman" w:hAnsi="Times New Roman"/>
          <w:b w:val="0"/>
          <w:bCs/>
          <w:szCs w:val="22"/>
          <w:lang w:val="sk-SK"/>
        </w:rPr>
        <w:t>kapsuly s riadeným uvoľňovaním</w:t>
      </w:r>
    </w:p>
    <w:p w:rsidR="00574D94" w:rsidRPr="008616DC" w:rsidRDefault="00574D94">
      <w:pPr>
        <w:autoSpaceDE w:val="0"/>
        <w:autoSpaceDN w:val="0"/>
        <w:adjustRightInd w:val="0"/>
        <w:spacing w:line="240" w:lineRule="auto"/>
        <w:jc w:val="both"/>
        <w:rPr>
          <w:szCs w:val="22"/>
        </w:rPr>
      </w:pPr>
    </w:p>
    <w:p w:rsidR="00574D94" w:rsidRPr="008616DC" w:rsidRDefault="00574D94">
      <w:pPr>
        <w:widowControl w:val="0"/>
        <w:tabs>
          <w:tab w:val="clear" w:pos="567"/>
        </w:tabs>
        <w:spacing w:line="240" w:lineRule="auto"/>
        <w:jc w:val="both"/>
        <w:rPr>
          <w:bCs/>
          <w:szCs w:val="22"/>
        </w:rPr>
      </w:pPr>
    </w:p>
    <w:p w:rsidR="00574D94" w:rsidRPr="008616DC" w:rsidRDefault="00A50C96">
      <w:pPr>
        <w:widowControl w:val="0"/>
        <w:tabs>
          <w:tab w:val="clear" w:pos="567"/>
        </w:tabs>
        <w:spacing w:line="240" w:lineRule="auto"/>
        <w:jc w:val="both"/>
        <w:rPr>
          <w:szCs w:val="22"/>
        </w:rPr>
      </w:pPr>
      <w:r>
        <w:rPr>
          <w:b/>
          <w:szCs w:val="22"/>
        </w:rPr>
        <w:t>2.</w:t>
      </w:r>
      <w:r>
        <w:rPr>
          <w:b/>
          <w:szCs w:val="22"/>
        </w:rPr>
        <w:tab/>
        <w:t>KVALITATÍVNE A KVANTITATÍVNE ZLOŽENIE</w:t>
      </w:r>
    </w:p>
    <w:p w:rsidR="003539E8" w:rsidRPr="008616DC" w:rsidRDefault="003539E8" w:rsidP="005F3501">
      <w:pPr>
        <w:jc w:val="both"/>
        <w:rPr>
          <w:szCs w:val="22"/>
        </w:rPr>
      </w:pPr>
    </w:p>
    <w:p w:rsidR="00D7195A" w:rsidRPr="008616DC" w:rsidRDefault="00A50C96" w:rsidP="005F3501">
      <w:pPr>
        <w:jc w:val="both"/>
        <w:rPr>
          <w:szCs w:val="22"/>
        </w:rPr>
      </w:pPr>
      <w:r>
        <w:rPr>
          <w:szCs w:val="22"/>
        </w:rPr>
        <w:t xml:space="preserve">1 kapsula obsahuje </w:t>
      </w:r>
    </w:p>
    <w:p w:rsidR="00D7195A" w:rsidRPr="008616DC" w:rsidRDefault="00A50C96" w:rsidP="004418C0">
      <w:pPr>
        <w:tabs>
          <w:tab w:val="right" w:pos="4536"/>
        </w:tabs>
        <w:jc w:val="both"/>
        <w:rPr>
          <w:szCs w:val="22"/>
        </w:rPr>
      </w:pPr>
      <w:r>
        <w:rPr>
          <w:szCs w:val="22"/>
        </w:rPr>
        <w:t>diklofenak</w:t>
      </w:r>
      <w:r w:rsidR="007108AC">
        <w:rPr>
          <w:szCs w:val="22"/>
        </w:rPr>
        <w:t>, sodná soľ</w:t>
      </w:r>
      <w:r>
        <w:rPr>
          <w:szCs w:val="22"/>
        </w:rPr>
        <w:t xml:space="preserve"> </w:t>
      </w:r>
      <w:r>
        <w:rPr>
          <w:szCs w:val="22"/>
        </w:rPr>
        <w:tab/>
        <w:t>50,00 mg</w:t>
      </w:r>
    </w:p>
    <w:p w:rsidR="009274F0" w:rsidRPr="008616DC" w:rsidRDefault="00A50C96" w:rsidP="004418C0">
      <w:pPr>
        <w:tabs>
          <w:tab w:val="right" w:pos="4536"/>
        </w:tabs>
        <w:jc w:val="both"/>
        <w:rPr>
          <w:szCs w:val="22"/>
        </w:rPr>
      </w:pPr>
      <w:r>
        <w:rPr>
          <w:szCs w:val="22"/>
        </w:rPr>
        <w:t>tiamíniumdichlorid (vitamín B</w:t>
      </w:r>
      <w:r>
        <w:rPr>
          <w:szCs w:val="22"/>
          <w:vertAlign w:val="subscript"/>
        </w:rPr>
        <w:t>1</w:t>
      </w:r>
      <w:r>
        <w:rPr>
          <w:szCs w:val="22"/>
        </w:rPr>
        <w:t>)</w:t>
      </w:r>
      <w:r>
        <w:rPr>
          <w:szCs w:val="22"/>
        </w:rPr>
        <w:tab/>
        <w:t xml:space="preserve"> 50,00 mg</w:t>
      </w:r>
    </w:p>
    <w:p w:rsidR="009274F0" w:rsidRPr="008616DC" w:rsidRDefault="00A50C96" w:rsidP="004418C0">
      <w:pPr>
        <w:tabs>
          <w:tab w:val="right" w:pos="4536"/>
        </w:tabs>
        <w:jc w:val="both"/>
        <w:rPr>
          <w:szCs w:val="22"/>
        </w:rPr>
      </w:pPr>
      <w:r>
        <w:rPr>
          <w:szCs w:val="22"/>
        </w:rPr>
        <w:t>pyridoxíniumchlorid (vitamín B</w:t>
      </w:r>
      <w:r>
        <w:rPr>
          <w:szCs w:val="22"/>
          <w:vertAlign w:val="subscript"/>
        </w:rPr>
        <w:t>6</w:t>
      </w:r>
      <w:r>
        <w:rPr>
          <w:szCs w:val="22"/>
        </w:rPr>
        <w:t xml:space="preserve">) </w:t>
      </w:r>
      <w:r>
        <w:rPr>
          <w:szCs w:val="22"/>
        </w:rPr>
        <w:tab/>
        <w:t>50,00 mg</w:t>
      </w:r>
    </w:p>
    <w:p w:rsidR="00574D94" w:rsidRPr="008616DC" w:rsidRDefault="00A50C96" w:rsidP="004418C0">
      <w:pPr>
        <w:tabs>
          <w:tab w:val="right" w:pos="4536"/>
        </w:tabs>
        <w:jc w:val="both"/>
        <w:rPr>
          <w:szCs w:val="22"/>
        </w:rPr>
      </w:pPr>
      <w:r>
        <w:rPr>
          <w:szCs w:val="22"/>
        </w:rPr>
        <w:t>kyanokobalamín (vitamín B</w:t>
      </w:r>
      <w:r>
        <w:rPr>
          <w:szCs w:val="22"/>
          <w:vertAlign w:val="subscript"/>
        </w:rPr>
        <w:t>12</w:t>
      </w:r>
      <w:r>
        <w:rPr>
          <w:szCs w:val="22"/>
        </w:rPr>
        <w:t>)</w:t>
      </w:r>
      <w:r>
        <w:rPr>
          <w:szCs w:val="22"/>
        </w:rPr>
        <w:tab/>
        <w:t>0,25 mg</w:t>
      </w:r>
    </w:p>
    <w:p w:rsidR="00574D94" w:rsidRPr="008616DC" w:rsidRDefault="00574D94">
      <w:pPr>
        <w:tabs>
          <w:tab w:val="left" w:pos="4395"/>
        </w:tabs>
        <w:jc w:val="both"/>
        <w:rPr>
          <w:szCs w:val="22"/>
        </w:rPr>
      </w:pPr>
    </w:p>
    <w:p w:rsidR="00574D94" w:rsidRPr="008616DC" w:rsidRDefault="00A50C96">
      <w:pPr>
        <w:tabs>
          <w:tab w:val="left" w:pos="4395"/>
        </w:tabs>
        <w:jc w:val="both"/>
        <w:rPr>
          <w:szCs w:val="22"/>
        </w:rPr>
      </w:pPr>
      <w:r>
        <w:rPr>
          <w:szCs w:val="22"/>
        </w:rPr>
        <w:t>Úplný zoznam pomocných látok, pozri časť 6.1.</w:t>
      </w:r>
    </w:p>
    <w:p w:rsidR="00574D94" w:rsidRPr="008616DC" w:rsidRDefault="00574D94">
      <w:pPr>
        <w:tabs>
          <w:tab w:val="left" w:pos="4395"/>
        </w:tabs>
        <w:jc w:val="both"/>
        <w:rPr>
          <w:szCs w:val="22"/>
        </w:rPr>
      </w:pPr>
    </w:p>
    <w:p w:rsidR="00574D94" w:rsidRPr="008616DC" w:rsidRDefault="00574D94">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rPr>
          <w:caps/>
          <w:szCs w:val="22"/>
        </w:rPr>
      </w:pPr>
      <w:r>
        <w:rPr>
          <w:b/>
          <w:szCs w:val="22"/>
        </w:rPr>
        <w:t>3.</w:t>
      </w:r>
      <w:r>
        <w:rPr>
          <w:b/>
          <w:szCs w:val="22"/>
        </w:rPr>
        <w:tab/>
        <w:t>LIEKOVÁ FORMA</w:t>
      </w:r>
    </w:p>
    <w:p w:rsidR="009274F0" w:rsidRPr="008616DC" w:rsidRDefault="009274F0">
      <w:pPr>
        <w:jc w:val="both"/>
        <w:rPr>
          <w:szCs w:val="22"/>
        </w:rPr>
      </w:pPr>
    </w:p>
    <w:p w:rsidR="00574D94" w:rsidRPr="008616DC" w:rsidRDefault="00A50C96">
      <w:pPr>
        <w:jc w:val="both"/>
        <w:rPr>
          <w:color w:val="000000" w:themeColor="text1"/>
          <w:szCs w:val="22"/>
        </w:rPr>
      </w:pPr>
      <w:r w:rsidRPr="00A50C96">
        <w:rPr>
          <w:color w:val="000000" w:themeColor="text1"/>
          <w:szCs w:val="22"/>
        </w:rPr>
        <w:t>Kapsula s riadeným uvoľňovaním.</w:t>
      </w:r>
    </w:p>
    <w:p w:rsidR="00574D94" w:rsidRPr="008616DC" w:rsidRDefault="00A50C96">
      <w:pPr>
        <w:jc w:val="both"/>
        <w:rPr>
          <w:szCs w:val="22"/>
        </w:rPr>
      </w:pPr>
      <w:r>
        <w:rPr>
          <w:szCs w:val="22"/>
        </w:rPr>
        <w:t>Béžové kapsuly s červeno-hnedým viečkom.</w:t>
      </w:r>
    </w:p>
    <w:p w:rsidR="00574D94" w:rsidRPr="008616DC" w:rsidRDefault="00574D94">
      <w:pPr>
        <w:spacing w:line="240" w:lineRule="auto"/>
        <w:jc w:val="both"/>
        <w:rPr>
          <w:szCs w:val="22"/>
        </w:rPr>
      </w:pPr>
    </w:p>
    <w:p w:rsidR="00574D94" w:rsidRPr="008616DC" w:rsidRDefault="00574D94">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rPr>
          <w:caps/>
          <w:szCs w:val="22"/>
        </w:rPr>
      </w:pPr>
      <w:r>
        <w:rPr>
          <w:b/>
          <w:caps/>
          <w:szCs w:val="22"/>
        </w:rPr>
        <w:t>4.</w:t>
      </w:r>
      <w:r>
        <w:rPr>
          <w:b/>
          <w:caps/>
          <w:szCs w:val="22"/>
        </w:rPr>
        <w:tab/>
        <w:t>KLINICKÉ ÚDAJE</w:t>
      </w:r>
    </w:p>
    <w:p w:rsidR="009274F0" w:rsidRPr="008616DC" w:rsidRDefault="009274F0">
      <w:pPr>
        <w:tabs>
          <w:tab w:val="clear" w:pos="567"/>
        </w:tabs>
        <w:spacing w:line="240" w:lineRule="auto"/>
        <w:ind w:left="567" w:hanging="567"/>
        <w:jc w:val="both"/>
        <w:outlineLvl w:val="0"/>
        <w:rPr>
          <w:b/>
          <w:szCs w:val="22"/>
        </w:rPr>
      </w:pPr>
    </w:p>
    <w:p w:rsidR="00574D94" w:rsidRPr="008616DC" w:rsidRDefault="00A50C96">
      <w:pPr>
        <w:tabs>
          <w:tab w:val="clear" w:pos="567"/>
        </w:tabs>
        <w:spacing w:line="240" w:lineRule="auto"/>
        <w:ind w:left="567" w:hanging="567"/>
        <w:jc w:val="both"/>
        <w:outlineLvl w:val="0"/>
        <w:rPr>
          <w:szCs w:val="22"/>
        </w:rPr>
      </w:pPr>
      <w:r>
        <w:rPr>
          <w:b/>
          <w:szCs w:val="22"/>
        </w:rPr>
        <w:t>4.1</w:t>
      </w:r>
      <w:r>
        <w:rPr>
          <w:b/>
          <w:szCs w:val="22"/>
        </w:rPr>
        <w:tab/>
        <w:t>Terapeutické indikácie</w:t>
      </w:r>
    </w:p>
    <w:p w:rsidR="003539E8" w:rsidRPr="008616DC" w:rsidRDefault="003539E8">
      <w:pPr>
        <w:jc w:val="both"/>
        <w:rPr>
          <w:szCs w:val="22"/>
          <w:highlight w:val="lightGray"/>
        </w:rPr>
      </w:pPr>
    </w:p>
    <w:p w:rsidR="00574D94" w:rsidRPr="008616DC" w:rsidRDefault="00A50C96">
      <w:pPr>
        <w:jc w:val="both"/>
        <w:rPr>
          <w:szCs w:val="22"/>
        </w:rPr>
      </w:pPr>
      <w:r w:rsidRPr="00A50C96">
        <w:rPr>
          <w:szCs w:val="22"/>
        </w:rPr>
        <w:t xml:space="preserve">Diclovit </w:t>
      </w:r>
      <w:r>
        <w:rPr>
          <w:szCs w:val="22"/>
        </w:rPr>
        <w:t>je indikovaný dospelým vo veku od 18 rokov pri zápalových, bolestivých stavoch a zápalových, reumatických problémoch, ako sú</w:t>
      </w:r>
      <w:r>
        <w:rPr>
          <w:snapToGrid w:val="0"/>
          <w:color w:val="000000"/>
          <w:szCs w:val="22"/>
        </w:rPr>
        <w:t>:</w:t>
      </w:r>
    </w:p>
    <w:p w:rsidR="00812861" w:rsidRPr="008616DC" w:rsidRDefault="00A50C96" w:rsidP="00EF1123">
      <w:pPr>
        <w:numPr>
          <w:ilvl w:val="0"/>
          <w:numId w:val="7"/>
        </w:numPr>
        <w:tabs>
          <w:tab w:val="clear" w:pos="567"/>
        </w:tabs>
        <w:spacing w:line="240" w:lineRule="auto"/>
        <w:ind w:hanging="180"/>
        <w:jc w:val="both"/>
        <w:rPr>
          <w:szCs w:val="22"/>
        </w:rPr>
      </w:pPr>
      <w:r>
        <w:rPr>
          <w:szCs w:val="22"/>
        </w:rPr>
        <w:t>chronická polyartritída</w:t>
      </w:r>
    </w:p>
    <w:p w:rsidR="00574D94" w:rsidRPr="008616DC" w:rsidRDefault="00A50C96" w:rsidP="00812861">
      <w:pPr>
        <w:numPr>
          <w:ilvl w:val="0"/>
          <w:numId w:val="7"/>
        </w:numPr>
        <w:tabs>
          <w:tab w:val="clear" w:pos="567"/>
        </w:tabs>
        <w:spacing w:line="240" w:lineRule="auto"/>
        <w:ind w:hanging="180"/>
        <w:jc w:val="both"/>
        <w:rPr>
          <w:szCs w:val="22"/>
        </w:rPr>
      </w:pPr>
      <w:r>
        <w:rPr>
          <w:szCs w:val="22"/>
        </w:rPr>
        <w:t>ankylozujúca spondylitída (</w:t>
      </w:r>
      <w:r>
        <w:rPr>
          <w:snapToGrid w:val="0"/>
          <w:color w:val="000000"/>
          <w:szCs w:val="22"/>
        </w:rPr>
        <w:t>Bechterevova choroba)</w:t>
      </w:r>
    </w:p>
    <w:p w:rsidR="00574D94" w:rsidRPr="008616DC" w:rsidRDefault="00A50C96">
      <w:pPr>
        <w:numPr>
          <w:ilvl w:val="0"/>
          <w:numId w:val="7"/>
        </w:numPr>
        <w:tabs>
          <w:tab w:val="clear" w:pos="567"/>
        </w:tabs>
        <w:spacing w:line="240" w:lineRule="auto"/>
        <w:ind w:hanging="180"/>
        <w:jc w:val="both"/>
        <w:rPr>
          <w:szCs w:val="22"/>
        </w:rPr>
      </w:pPr>
      <w:r>
        <w:rPr>
          <w:snapToGrid w:val="0"/>
          <w:color w:val="000000"/>
          <w:szCs w:val="22"/>
        </w:rPr>
        <w:t>artróza</w:t>
      </w:r>
    </w:p>
    <w:p w:rsidR="00574D94" w:rsidRPr="008616DC" w:rsidRDefault="00A50C96">
      <w:pPr>
        <w:numPr>
          <w:ilvl w:val="0"/>
          <w:numId w:val="7"/>
        </w:numPr>
        <w:tabs>
          <w:tab w:val="clear" w:pos="567"/>
        </w:tabs>
        <w:spacing w:line="240" w:lineRule="auto"/>
        <w:ind w:hanging="180"/>
        <w:jc w:val="both"/>
        <w:rPr>
          <w:szCs w:val="22"/>
        </w:rPr>
      </w:pPr>
      <w:r>
        <w:rPr>
          <w:snapToGrid w:val="0"/>
          <w:color w:val="000000"/>
          <w:szCs w:val="22"/>
        </w:rPr>
        <w:t xml:space="preserve">spondylartritída </w:t>
      </w:r>
    </w:p>
    <w:p w:rsidR="00574D94" w:rsidRPr="008616DC" w:rsidRDefault="00A50C96">
      <w:pPr>
        <w:numPr>
          <w:ilvl w:val="0"/>
          <w:numId w:val="7"/>
        </w:numPr>
        <w:tabs>
          <w:tab w:val="clear" w:pos="567"/>
        </w:tabs>
        <w:spacing w:line="240" w:lineRule="auto"/>
        <w:ind w:hanging="180"/>
        <w:jc w:val="both"/>
        <w:rPr>
          <w:szCs w:val="22"/>
        </w:rPr>
      </w:pPr>
      <w:r>
        <w:rPr>
          <w:szCs w:val="22"/>
        </w:rPr>
        <w:t xml:space="preserve">neuralgie, ako napríklad cervikálny syndróm, lumbago, ischialgia </w:t>
      </w:r>
    </w:p>
    <w:p w:rsidR="00574D94" w:rsidRPr="008616DC" w:rsidRDefault="00574D94">
      <w:pPr>
        <w:tabs>
          <w:tab w:val="clear" w:pos="567"/>
        </w:tabs>
        <w:spacing w:line="240" w:lineRule="auto"/>
        <w:jc w:val="both"/>
        <w:rPr>
          <w:szCs w:val="22"/>
        </w:rPr>
      </w:pPr>
    </w:p>
    <w:p w:rsidR="00574D94" w:rsidRPr="008616DC" w:rsidRDefault="00A50C96" w:rsidP="00812861">
      <w:pPr>
        <w:numPr>
          <w:ilvl w:val="1"/>
          <w:numId w:val="3"/>
        </w:numPr>
        <w:spacing w:line="240" w:lineRule="auto"/>
        <w:jc w:val="both"/>
        <w:outlineLvl w:val="0"/>
        <w:rPr>
          <w:b/>
          <w:szCs w:val="22"/>
        </w:rPr>
      </w:pPr>
      <w:r>
        <w:rPr>
          <w:b/>
          <w:szCs w:val="22"/>
        </w:rPr>
        <w:t>Dávkovanie a spôsob podávania</w:t>
      </w:r>
    </w:p>
    <w:p w:rsidR="009274F0" w:rsidRPr="008616DC" w:rsidRDefault="009274F0" w:rsidP="00C16B20">
      <w:pPr>
        <w:pStyle w:val="Normlnywebov"/>
        <w:spacing w:before="0" w:beforeAutospacing="0" w:after="0"/>
        <w:rPr>
          <w:sz w:val="22"/>
          <w:szCs w:val="22"/>
          <w:lang w:val="sk-SK"/>
        </w:rPr>
      </w:pPr>
    </w:p>
    <w:p w:rsidR="00CA0001" w:rsidRPr="008616DC" w:rsidRDefault="00A50C96" w:rsidP="004F6D3D">
      <w:pPr>
        <w:jc w:val="both"/>
        <w:rPr>
          <w:szCs w:val="22"/>
        </w:rPr>
      </w:pPr>
      <w:r w:rsidRPr="00A50C96">
        <w:rPr>
          <w:szCs w:val="22"/>
        </w:rPr>
        <w:t xml:space="preserve">Nežiaduce účinky sa môžu minimalizovať užívaním najnižšej účinnej dávky počas najkratšieho obdobia potrebného na kontrolu symptómov (pozri časť 4.4). </w:t>
      </w:r>
    </w:p>
    <w:p w:rsidR="00CA0001" w:rsidRPr="008616DC" w:rsidRDefault="00CA0001" w:rsidP="00CA0001">
      <w:pPr>
        <w:jc w:val="both"/>
        <w:rPr>
          <w:szCs w:val="22"/>
        </w:rPr>
      </w:pPr>
    </w:p>
    <w:p w:rsidR="00C16B20" w:rsidRPr="008616DC" w:rsidRDefault="00A50C96" w:rsidP="00CA0001">
      <w:pPr>
        <w:jc w:val="both"/>
        <w:rPr>
          <w:szCs w:val="22"/>
        </w:rPr>
      </w:pPr>
      <w:r>
        <w:rPr>
          <w:szCs w:val="22"/>
        </w:rPr>
        <w:t>Dávka sa má individuálne prispôsobiť zdravotnému stavu. Celková denná dávka sa má podať v dvoch až troch rozdelených dávkach.</w:t>
      </w:r>
    </w:p>
    <w:p w:rsidR="00615A73" w:rsidRPr="008616DC" w:rsidRDefault="00615A73">
      <w:pPr>
        <w:jc w:val="both"/>
        <w:rPr>
          <w:szCs w:val="22"/>
        </w:rPr>
      </w:pPr>
    </w:p>
    <w:p w:rsidR="00BA781F" w:rsidRPr="008616DC" w:rsidRDefault="00A50C96" w:rsidP="00BA781F">
      <w:pPr>
        <w:jc w:val="both"/>
        <w:rPr>
          <w:bCs/>
          <w:szCs w:val="22"/>
          <w:u w:val="single"/>
        </w:rPr>
      </w:pPr>
      <w:r>
        <w:rPr>
          <w:bCs/>
          <w:szCs w:val="22"/>
          <w:u w:val="single"/>
        </w:rPr>
        <w:t>Dávkovanie</w:t>
      </w:r>
    </w:p>
    <w:p w:rsidR="00574D94" w:rsidRPr="008616DC" w:rsidRDefault="00A50C96" w:rsidP="00CA0001">
      <w:pPr>
        <w:jc w:val="both"/>
        <w:rPr>
          <w:szCs w:val="22"/>
        </w:rPr>
      </w:pPr>
      <w:r>
        <w:rPr>
          <w:szCs w:val="22"/>
        </w:rPr>
        <w:t xml:space="preserve">Odporúčaná denná dávka, v závislosti od závažnosti ochorenia, je 1 až 3 kapsuly denne, čo zodpovedá 50 až 150 mg diklofenaku. </w:t>
      </w:r>
    </w:p>
    <w:p w:rsidR="00574D94" w:rsidRPr="008616DC" w:rsidRDefault="00574D94">
      <w:pPr>
        <w:jc w:val="both"/>
        <w:rPr>
          <w:szCs w:val="22"/>
        </w:rPr>
      </w:pPr>
    </w:p>
    <w:p w:rsidR="00574D94" w:rsidRPr="008616DC" w:rsidRDefault="00A50C96">
      <w:pPr>
        <w:jc w:val="both"/>
        <w:rPr>
          <w:bCs/>
          <w:i/>
          <w:iCs/>
          <w:szCs w:val="22"/>
        </w:rPr>
      </w:pPr>
      <w:r>
        <w:rPr>
          <w:bCs/>
          <w:i/>
          <w:iCs/>
          <w:szCs w:val="22"/>
        </w:rPr>
        <w:t>Dospelí a dospievajúci vo veku 18 rokov a starší</w:t>
      </w:r>
    </w:p>
    <w:p w:rsidR="00D463F2" w:rsidRPr="008616DC" w:rsidRDefault="00A50C96" w:rsidP="00D463F2">
      <w:pPr>
        <w:jc w:val="both"/>
        <w:rPr>
          <w:szCs w:val="22"/>
        </w:rPr>
      </w:pPr>
      <w:r>
        <w:rPr>
          <w:szCs w:val="22"/>
        </w:rPr>
        <w:t>Na začiatku liečby je odporúčaná denná dávka 100 - 150 mg (1 kapsula 2 - 3 krát denne).</w:t>
      </w:r>
    </w:p>
    <w:p w:rsidR="00D463F2" w:rsidRPr="008616DC" w:rsidRDefault="00A50C96" w:rsidP="00D463F2">
      <w:pPr>
        <w:jc w:val="both"/>
        <w:rPr>
          <w:szCs w:val="22"/>
        </w:rPr>
      </w:pPr>
      <w:r>
        <w:rPr>
          <w:szCs w:val="22"/>
        </w:rPr>
        <w:t xml:space="preserve">Na udržiavacie dávkovanie je zvyčajne postačujúca 1 kapsula raz alebo dvakrát denne. </w:t>
      </w:r>
    </w:p>
    <w:p w:rsidR="00574D94" w:rsidRPr="008616DC" w:rsidRDefault="00A50C96" w:rsidP="00D463F2">
      <w:pPr>
        <w:jc w:val="both"/>
        <w:rPr>
          <w:szCs w:val="22"/>
        </w:rPr>
      </w:pPr>
      <w:r>
        <w:rPr>
          <w:szCs w:val="22"/>
        </w:rPr>
        <w:t xml:space="preserve">Maximálna denná dávka 3 kapsuly sa nesmie prekročiť. </w:t>
      </w:r>
    </w:p>
    <w:p w:rsidR="00574D94" w:rsidRPr="008616DC" w:rsidRDefault="00574D94">
      <w:pPr>
        <w:jc w:val="both"/>
        <w:rPr>
          <w:szCs w:val="22"/>
        </w:rPr>
      </w:pPr>
    </w:p>
    <w:p w:rsidR="009535FA" w:rsidRPr="008616DC" w:rsidRDefault="00A50C96" w:rsidP="009535FA">
      <w:pPr>
        <w:jc w:val="both"/>
        <w:rPr>
          <w:bCs/>
          <w:i/>
          <w:iCs/>
          <w:szCs w:val="22"/>
        </w:rPr>
      </w:pPr>
      <w:r>
        <w:rPr>
          <w:bCs/>
          <w:i/>
          <w:iCs/>
          <w:szCs w:val="22"/>
        </w:rPr>
        <w:t>Pacienti s poruchou funkcie obličiek</w:t>
      </w:r>
    </w:p>
    <w:p w:rsidR="00395591" w:rsidRPr="008616DC" w:rsidRDefault="00A50C96" w:rsidP="00395591">
      <w:pPr>
        <w:jc w:val="both"/>
        <w:rPr>
          <w:szCs w:val="22"/>
        </w:rPr>
      </w:pPr>
      <w:r>
        <w:rPr>
          <w:szCs w:val="22"/>
        </w:rPr>
        <w:t>Neuskutočnili sa žiadne štúdie, ktoré by skúmali špecifické odporúčania ohľadom dávkovania. Užívanie diklofenaku je kontraindikované u pacientov so závažnou poruchou funkcie obličiek (pozri časti 4.3 a 4.4).</w:t>
      </w:r>
    </w:p>
    <w:p w:rsidR="00395591" w:rsidRPr="008616DC" w:rsidRDefault="00395591" w:rsidP="00395591">
      <w:pPr>
        <w:jc w:val="both"/>
        <w:rPr>
          <w:szCs w:val="22"/>
        </w:rPr>
      </w:pPr>
    </w:p>
    <w:p w:rsidR="00395591" w:rsidRPr="008616DC" w:rsidRDefault="00A50C96" w:rsidP="004F6D3D">
      <w:pPr>
        <w:jc w:val="both"/>
        <w:rPr>
          <w:i/>
          <w:szCs w:val="22"/>
        </w:rPr>
      </w:pPr>
      <w:r w:rsidRPr="00A50C96">
        <w:rPr>
          <w:i/>
          <w:szCs w:val="22"/>
        </w:rPr>
        <w:t xml:space="preserve">Pacienti s poruchou funkcie pečene  </w:t>
      </w:r>
    </w:p>
    <w:p w:rsidR="00395591" w:rsidRPr="008616DC" w:rsidRDefault="00A50C96" w:rsidP="00395591">
      <w:pPr>
        <w:jc w:val="both"/>
        <w:rPr>
          <w:szCs w:val="22"/>
        </w:rPr>
      </w:pPr>
      <w:r>
        <w:rPr>
          <w:szCs w:val="22"/>
        </w:rPr>
        <w:t>Neuskutočnili sa žiadne štúdie, ktoré by skúmali špecifické odporúčania ohľadom dávkovania. Užívanie diklofenaku je kontraindikované u pacientov so závažnou poruchou funkcie pečene (pozri časti 4.3 a 4.4).</w:t>
      </w:r>
    </w:p>
    <w:p w:rsidR="00395591" w:rsidRPr="008616DC" w:rsidRDefault="00395591" w:rsidP="004F6D3D">
      <w:pPr>
        <w:jc w:val="both"/>
        <w:rPr>
          <w:szCs w:val="22"/>
        </w:rPr>
      </w:pPr>
    </w:p>
    <w:p w:rsidR="00395591" w:rsidRPr="008616DC" w:rsidRDefault="00C530B7" w:rsidP="004F6D3D">
      <w:pPr>
        <w:jc w:val="both"/>
        <w:rPr>
          <w:i/>
          <w:szCs w:val="22"/>
        </w:rPr>
      </w:pPr>
      <w:r w:rsidRPr="00C530B7">
        <w:rPr>
          <w:i/>
          <w:szCs w:val="22"/>
        </w:rPr>
        <w:t>Starší pacienti (vo veku 65 rokov a starší)</w:t>
      </w:r>
    </w:p>
    <w:p w:rsidR="00574D94" w:rsidRPr="008616DC" w:rsidRDefault="00A50C96" w:rsidP="00395591">
      <w:pPr>
        <w:jc w:val="both"/>
        <w:rPr>
          <w:szCs w:val="22"/>
        </w:rPr>
      </w:pPr>
      <w:r>
        <w:rPr>
          <w:szCs w:val="22"/>
        </w:rPr>
        <w:t>Mimoriadna opatrnosť sa vyžaduje u starších pacientov, u ktorých môže dôjsť k výskytu sprievodných ochorení alebo podvýživy. Starším pacientom a pacientom s podvýživou sa odporúča podávať najnižšiu účinnú dávku (pozri časť 4.4).</w:t>
      </w:r>
    </w:p>
    <w:p w:rsidR="00574D94" w:rsidRPr="008616DC" w:rsidRDefault="00574D94">
      <w:pPr>
        <w:jc w:val="both"/>
        <w:rPr>
          <w:szCs w:val="22"/>
        </w:rPr>
      </w:pPr>
    </w:p>
    <w:p w:rsidR="004D0DDE" w:rsidRPr="008616DC" w:rsidRDefault="00A50C96">
      <w:pPr>
        <w:jc w:val="both"/>
        <w:rPr>
          <w:i/>
          <w:szCs w:val="22"/>
        </w:rPr>
      </w:pPr>
      <w:r>
        <w:rPr>
          <w:i/>
          <w:szCs w:val="22"/>
        </w:rPr>
        <w:t>Pediatrická populácia</w:t>
      </w:r>
    </w:p>
    <w:p w:rsidR="004D0DDE" w:rsidRPr="008616DC" w:rsidRDefault="00A50C96">
      <w:pPr>
        <w:jc w:val="both"/>
        <w:rPr>
          <w:szCs w:val="22"/>
        </w:rPr>
      </w:pPr>
      <w:r>
        <w:rPr>
          <w:szCs w:val="22"/>
        </w:rPr>
        <w:t>Diclovit kapsuly nie sú vhodné pre deti a dospievajúcich vo veku do 18 rokov (pozri časť 4.3).</w:t>
      </w:r>
    </w:p>
    <w:p w:rsidR="004D0DDE" w:rsidRPr="008616DC" w:rsidRDefault="004D0DDE">
      <w:pPr>
        <w:jc w:val="both"/>
        <w:rPr>
          <w:szCs w:val="22"/>
        </w:rPr>
      </w:pPr>
    </w:p>
    <w:p w:rsidR="00574D94" w:rsidRPr="008616DC" w:rsidRDefault="00A50C96" w:rsidP="004F6D3D">
      <w:pPr>
        <w:keepNext/>
        <w:spacing w:line="240" w:lineRule="auto"/>
        <w:rPr>
          <w:szCs w:val="22"/>
          <w:u w:val="single"/>
        </w:rPr>
      </w:pPr>
      <w:r>
        <w:rPr>
          <w:szCs w:val="22"/>
          <w:u w:val="single"/>
        </w:rPr>
        <w:t>Spôsob podávania</w:t>
      </w:r>
    </w:p>
    <w:p w:rsidR="00395591" w:rsidRPr="008616DC" w:rsidRDefault="00A50C96" w:rsidP="00395591">
      <w:pPr>
        <w:jc w:val="both"/>
        <w:rPr>
          <w:szCs w:val="22"/>
        </w:rPr>
      </w:pPr>
      <w:r>
        <w:rPr>
          <w:szCs w:val="22"/>
        </w:rPr>
        <w:t>Perorálne.</w:t>
      </w:r>
    </w:p>
    <w:p w:rsidR="00395591" w:rsidRPr="008616DC" w:rsidRDefault="00A50C96" w:rsidP="00395591">
      <w:pPr>
        <w:jc w:val="both"/>
        <w:rPr>
          <w:szCs w:val="22"/>
        </w:rPr>
      </w:pPr>
      <w:r>
        <w:rPr>
          <w:szCs w:val="22"/>
        </w:rPr>
        <w:t xml:space="preserve">Kapsuly sa majú prehĺtať celé, s dostatočným množstvom tekutiny, najlepšie pred jedlom. </w:t>
      </w:r>
    </w:p>
    <w:p w:rsidR="004D0DDE" w:rsidRPr="008616DC" w:rsidRDefault="00A50C96" w:rsidP="00395591">
      <w:pPr>
        <w:jc w:val="both"/>
        <w:rPr>
          <w:szCs w:val="22"/>
        </w:rPr>
      </w:pPr>
      <w:r>
        <w:rPr>
          <w:szCs w:val="22"/>
        </w:rPr>
        <w:t>Kapsuly sa nesmú deliť alebo hrýzť.</w:t>
      </w:r>
    </w:p>
    <w:p w:rsidR="00574D94" w:rsidRPr="008616DC" w:rsidRDefault="00574D94">
      <w:pPr>
        <w:jc w:val="both"/>
        <w:rPr>
          <w:szCs w:val="22"/>
        </w:rPr>
      </w:pPr>
    </w:p>
    <w:p w:rsidR="00574D94" w:rsidRPr="008616DC" w:rsidRDefault="00A50C96">
      <w:pPr>
        <w:jc w:val="both"/>
        <w:rPr>
          <w:bCs/>
          <w:iCs/>
          <w:szCs w:val="22"/>
          <w:u w:val="single"/>
        </w:rPr>
      </w:pPr>
      <w:r>
        <w:rPr>
          <w:bCs/>
          <w:iCs/>
          <w:szCs w:val="22"/>
          <w:u w:val="single"/>
        </w:rPr>
        <w:t>Dĺžka liečby</w:t>
      </w:r>
    </w:p>
    <w:p w:rsidR="00395591" w:rsidRPr="008616DC" w:rsidRDefault="00A50C96" w:rsidP="00395591">
      <w:pPr>
        <w:jc w:val="both"/>
        <w:rPr>
          <w:szCs w:val="22"/>
        </w:rPr>
      </w:pPr>
      <w:r>
        <w:rPr>
          <w:szCs w:val="22"/>
        </w:rPr>
        <w:t xml:space="preserve">O dĺžke liečby kapsulami </w:t>
      </w:r>
      <w:r w:rsidRPr="00A50C96">
        <w:rPr>
          <w:szCs w:val="22"/>
        </w:rPr>
        <w:t xml:space="preserve">Diclovit </w:t>
      </w:r>
      <w:r>
        <w:rPr>
          <w:szCs w:val="22"/>
        </w:rPr>
        <w:t xml:space="preserve">rozhodne lekár. </w:t>
      </w:r>
    </w:p>
    <w:p w:rsidR="00395591" w:rsidRPr="008616DC" w:rsidRDefault="00395591" w:rsidP="004F6D3D">
      <w:pPr>
        <w:jc w:val="both"/>
        <w:rPr>
          <w:szCs w:val="22"/>
        </w:rPr>
      </w:pPr>
    </w:p>
    <w:p w:rsidR="00574D94" w:rsidRPr="008616DC" w:rsidRDefault="00A50C96" w:rsidP="004F6D3D">
      <w:pPr>
        <w:numPr>
          <w:ilvl w:val="1"/>
          <w:numId w:val="3"/>
        </w:numPr>
        <w:spacing w:line="240" w:lineRule="auto"/>
        <w:jc w:val="both"/>
        <w:rPr>
          <w:b/>
          <w:szCs w:val="22"/>
        </w:rPr>
      </w:pPr>
      <w:r>
        <w:rPr>
          <w:b/>
          <w:szCs w:val="22"/>
        </w:rPr>
        <w:t>Kontraindikácie</w:t>
      </w:r>
    </w:p>
    <w:p w:rsidR="00DF4B98" w:rsidRPr="008616DC" w:rsidRDefault="00DF4B98" w:rsidP="004F6D3D">
      <w:pPr>
        <w:tabs>
          <w:tab w:val="clear" w:pos="567"/>
        </w:tabs>
        <w:spacing w:line="240" w:lineRule="auto"/>
        <w:ind w:left="570"/>
        <w:jc w:val="both"/>
        <w:rPr>
          <w:szCs w:val="22"/>
        </w:rPr>
      </w:pPr>
    </w:p>
    <w:p w:rsidR="00574D94" w:rsidRPr="008616DC" w:rsidRDefault="00A50C96">
      <w:pPr>
        <w:numPr>
          <w:ilvl w:val="0"/>
          <w:numId w:val="6"/>
        </w:numPr>
        <w:ind w:hanging="180"/>
        <w:jc w:val="both"/>
        <w:rPr>
          <w:szCs w:val="22"/>
        </w:rPr>
      </w:pPr>
      <w:r>
        <w:rPr>
          <w:szCs w:val="22"/>
        </w:rPr>
        <w:t>Precitlivenosť na liečivo alebo na ktorúkoľvek z pomocných látok uvedených v časti 6.1.</w:t>
      </w:r>
    </w:p>
    <w:p w:rsidR="00A4181B" w:rsidRPr="008616DC" w:rsidRDefault="00C530B7">
      <w:pPr>
        <w:numPr>
          <w:ilvl w:val="0"/>
          <w:numId w:val="6"/>
        </w:numPr>
        <w:ind w:hanging="180"/>
        <w:jc w:val="both"/>
        <w:rPr>
          <w:szCs w:val="22"/>
        </w:rPr>
      </w:pPr>
      <w:r w:rsidRPr="00C530B7">
        <w:rPr>
          <w:szCs w:val="22"/>
        </w:rPr>
        <w:t xml:space="preserve">Preukázané kongestívne zlyhávanie srdca (NYHA II-IV), ischemická choroba srdca, periférne arteriálne ochorenie a/alebo cerebrovaskulárne ochorenie. </w:t>
      </w:r>
    </w:p>
    <w:p w:rsidR="00A4181B" w:rsidRPr="008616DC" w:rsidRDefault="00A50C96" w:rsidP="00FE6F68">
      <w:pPr>
        <w:numPr>
          <w:ilvl w:val="0"/>
          <w:numId w:val="6"/>
        </w:numPr>
        <w:ind w:hanging="180"/>
        <w:jc w:val="both"/>
        <w:rPr>
          <w:szCs w:val="22"/>
        </w:rPr>
      </w:pPr>
      <w:r>
        <w:rPr>
          <w:szCs w:val="22"/>
        </w:rPr>
        <w:t xml:space="preserve">Rovnako ako ostatné nesteroidové protizápalové lieky (NSAID) aj diklofenak je kontraindikovaný u pacientov s novo sa vyskytujúcimi alebo častejšími astmatickými záchvatmi, žihľavkou alebo akútnou rinitídou, ktorí užívajú kyselinu acetylsalicylovú alebo iné nesteroidové protizápalové lieky. </w:t>
      </w:r>
    </w:p>
    <w:p w:rsidR="00574D94" w:rsidRPr="008616DC" w:rsidRDefault="00A50C96" w:rsidP="00FE6F68">
      <w:pPr>
        <w:numPr>
          <w:ilvl w:val="0"/>
          <w:numId w:val="6"/>
        </w:numPr>
        <w:ind w:hanging="180"/>
        <w:jc w:val="both"/>
        <w:rPr>
          <w:szCs w:val="22"/>
        </w:rPr>
      </w:pPr>
      <w:r>
        <w:rPr>
          <w:szCs w:val="22"/>
        </w:rPr>
        <w:t>Aktívne gastrické alebo intestinálne vredy alebo gastrointestinálne krvácanie či perforácia.</w:t>
      </w:r>
    </w:p>
    <w:p w:rsidR="00650CA5" w:rsidRPr="008616DC" w:rsidRDefault="00A50C96">
      <w:pPr>
        <w:numPr>
          <w:ilvl w:val="0"/>
          <w:numId w:val="6"/>
        </w:numPr>
        <w:ind w:hanging="180"/>
        <w:jc w:val="both"/>
        <w:rPr>
          <w:szCs w:val="22"/>
        </w:rPr>
      </w:pPr>
      <w:r>
        <w:rPr>
          <w:szCs w:val="22"/>
        </w:rPr>
        <w:t>Rekurentný peptický vred/hemorágia (anamnéza dvoch alebo viac samostatných epizód potvrdených vredov alebo krvácania).</w:t>
      </w:r>
    </w:p>
    <w:p w:rsidR="0042506C" w:rsidRPr="008616DC" w:rsidRDefault="00A50C96" w:rsidP="0042506C">
      <w:pPr>
        <w:numPr>
          <w:ilvl w:val="0"/>
          <w:numId w:val="6"/>
        </w:numPr>
        <w:ind w:hanging="180"/>
        <w:jc w:val="both"/>
        <w:rPr>
          <w:szCs w:val="22"/>
        </w:rPr>
      </w:pPr>
      <w:r>
        <w:rPr>
          <w:szCs w:val="22"/>
        </w:rPr>
        <w:t>Anamnéza gastrointestinálneho krvácania alebo perforácie spojenej s predchádzajúcou liečbou nesteroidovými protizápalovými liekmi.</w:t>
      </w:r>
    </w:p>
    <w:p w:rsidR="00574D94" w:rsidRPr="008616DC" w:rsidRDefault="00A50C96">
      <w:pPr>
        <w:numPr>
          <w:ilvl w:val="0"/>
          <w:numId w:val="6"/>
        </w:numPr>
        <w:ind w:hanging="180"/>
        <w:jc w:val="both"/>
        <w:rPr>
          <w:szCs w:val="22"/>
        </w:rPr>
      </w:pPr>
      <w:r>
        <w:rPr>
          <w:szCs w:val="22"/>
        </w:rPr>
        <w:t>Hematologické poruchy (napr. poruchy krvotvorby, poškodenie kostnej drene, porfýria, hemoragická diatéza).</w:t>
      </w:r>
    </w:p>
    <w:p w:rsidR="00A7526E" w:rsidRPr="008616DC" w:rsidRDefault="00A50C96">
      <w:pPr>
        <w:numPr>
          <w:ilvl w:val="0"/>
          <w:numId w:val="6"/>
        </w:numPr>
        <w:ind w:hanging="180"/>
        <w:jc w:val="both"/>
        <w:rPr>
          <w:szCs w:val="22"/>
        </w:rPr>
      </w:pPr>
      <w:r>
        <w:rPr>
          <w:szCs w:val="22"/>
        </w:rPr>
        <w:t>Cerebrovaskulárne krvácanie.</w:t>
      </w:r>
    </w:p>
    <w:p w:rsidR="00A7526E" w:rsidRPr="008616DC" w:rsidRDefault="00A50C96">
      <w:pPr>
        <w:numPr>
          <w:ilvl w:val="0"/>
          <w:numId w:val="6"/>
        </w:numPr>
        <w:ind w:hanging="180"/>
        <w:jc w:val="both"/>
        <w:rPr>
          <w:szCs w:val="22"/>
        </w:rPr>
      </w:pPr>
      <w:r>
        <w:rPr>
          <w:szCs w:val="22"/>
        </w:rPr>
        <w:t>Akútne závažné krvácanie.</w:t>
      </w:r>
    </w:p>
    <w:p w:rsidR="00574D94" w:rsidRPr="008616DC" w:rsidRDefault="00A50C96" w:rsidP="00F96502">
      <w:pPr>
        <w:numPr>
          <w:ilvl w:val="0"/>
          <w:numId w:val="6"/>
        </w:numPr>
        <w:ind w:hanging="180"/>
        <w:jc w:val="both"/>
        <w:rPr>
          <w:szCs w:val="22"/>
        </w:rPr>
      </w:pPr>
      <w:r>
        <w:rPr>
          <w:szCs w:val="22"/>
        </w:rPr>
        <w:t>Závažná pečeňová, obličková alebo srdcová nedostatočnosť (pozri časť 4.4).</w:t>
      </w:r>
    </w:p>
    <w:p w:rsidR="00DF4B98" w:rsidRPr="008616DC" w:rsidRDefault="00A50C96">
      <w:pPr>
        <w:numPr>
          <w:ilvl w:val="0"/>
          <w:numId w:val="6"/>
        </w:numPr>
        <w:ind w:hanging="180"/>
        <w:jc w:val="both"/>
        <w:rPr>
          <w:szCs w:val="22"/>
        </w:rPr>
      </w:pPr>
      <w:r>
        <w:rPr>
          <w:szCs w:val="22"/>
        </w:rPr>
        <w:t>Gravidita (pozri časť 4.6).</w:t>
      </w:r>
    </w:p>
    <w:p w:rsidR="00574D94" w:rsidRPr="008616DC" w:rsidRDefault="00A50C96">
      <w:pPr>
        <w:numPr>
          <w:ilvl w:val="0"/>
          <w:numId w:val="6"/>
        </w:numPr>
        <w:ind w:hanging="180"/>
        <w:jc w:val="both"/>
        <w:rPr>
          <w:szCs w:val="22"/>
        </w:rPr>
      </w:pPr>
      <w:r>
        <w:rPr>
          <w:szCs w:val="22"/>
        </w:rPr>
        <w:t>Deti a dospievajúci vo veku do 18 rokov (z dôvodu vysokého obsahu vitamínu B).</w:t>
      </w:r>
    </w:p>
    <w:p w:rsidR="00574D94" w:rsidRPr="008616DC" w:rsidRDefault="00574D94">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outlineLvl w:val="0"/>
        <w:rPr>
          <w:szCs w:val="22"/>
        </w:rPr>
      </w:pPr>
      <w:r>
        <w:rPr>
          <w:b/>
          <w:szCs w:val="22"/>
        </w:rPr>
        <w:t>4.4</w:t>
      </w:r>
      <w:r>
        <w:rPr>
          <w:b/>
          <w:szCs w:val="22"/>
        </w:rPr>
        <w:tab/>
        <w:t>Osobitné upozornenia a opatrenia pri používaní</w:t>
      </w:r>
    </w:p>
    <w:p w:rsidR="00DF4B98" w:rsidRPr="008616DC" w:rsidRDefault="00DF4B98" w:rsidP="004F6D3D">
      <w:pPr>
        <w:jc w:val="both"/>
        <w:rPr>
          <w:szCs w:val="22"/>
        </w:rPr>
      </w:pPr>
    </w:p>
    <w:p w:rsidR="005B6D54" w:rsidRPr="008616DC" w:rsidRDefault="00C530B7" w:rsidP="005B6D54">
      <w:pPr>
        <w:jc w:val="both"/>
        <w:rPr>
          <w:szCs w:val="22"/>
        </w:rPr>
      </w:pPr>
      <w:r w:rsidRPr="00C530B7">
        <w:rPr>
          <w:szCs w:val="22"/>
        </w:rPr>
        <w:t xml:space="preserve">Z dôvodu </w:t>
      </w:r>
      <w:r w:rsidR="00A50C96">
        <w:rPr>
          <w:szCs w:val="22"/>
        </w:rPr>
        <w:t>absencie dostatočných dôkazov o synergickom pôsobení a možnosti výskytu ďalších nežiaducich účinkov, je potrebné sa vyhnúť súbežnému užívaniu diklofenaku s inými nesteroidovými protizápalovými liekmi, vrátane selektívnych inhibítorov cyklooxygenázy-2.</w:t>
      </w:r>
    </w:p>
    <w:p w:rsidR="00F96502" w:rsidRPr="008616DC" w:rsidRDefault="00F96502" w:rsidP="005B6D54">
      <w:pPr>
        <w:jc w:val="both"/>
        <w:rPr>
          <w:szCs w:val="22"/>
        </w:rPr>
      </w:pPr>
    </w:p>
    <w:p w:rsidR="005B6D54" w:rsidRPr="008616DC" w:rsidRDefault="00A50C96" w:rsidP="005B6D54">
      <w:pPr>
        <w:spacing w:line="240" w:lineRule="auto"/>
        <w:rPr>
          <w:szCs w:val="22"/>
          <w:u w:val="single"/>
        </w:rPr>
      </w:pPr>
      <w:r>
        <w:rPr>
          <w:szCs w:val="22"/>
          <w:u w:val="single"/>
        </w:rPr>
        <w:lastRenderedPageBreak/>
        <w:t>Vplyv na gastrointestinálny systém</w:t>
      </w:r>
    </w:p>
    <w:p w:rsidR="005B6D54" w:rsidRPr="008616DC" w:rsidRDefault="00A50C96" w:rsidP="00460571">
      <w:pPr>
        <w:pStyle w:val="Default"/>
        <w:jc w:val="both"/>
        <w:rPr>
          <w:sz w:val="22"/>
          <w:szCs w:val="22"/>
          <w:lang w:val="sk-SK"/>
        </w:rPr>
      </w:pPr>
      <w:r>
        <w:rPr>
          <w:sz w:val="22"/>
          <w:szCs w:val="22"/>
          <w:lang w:val="sk-SK"/>
        </w:rPr>
        <w:t>Pri podávaní nesteroidových protizápalových liekov bolo zistené gastrointestinálne krvácanie, ulcerácia alebo perforácia, ktoré môžu byť smrteľné, a to s varovnými príznakmi alebo bez nich a s predchádzajúcou anamnézou závažných gastrointestinálnych príhod alebo bez nej. Tieto účinky sa zvyčajne prejavia silnejšie u starších pacientov.</w:t>
      </w:r>
    </w:p>
    <w:p w:rsidR="005B6D54" w:rsidRPr="008616DC" w:rsidRDefault="005B6D54" w:rsidP="00A712FC">
      <w:pPr>
        <w:spacing w:line="240" w:lineRule="auto"/>
        <w:jc w:val="both"/>
        <w:rPr>
          <w:szCs w:val="22"/>
        </w:rPr>
      </w:pPr>
    </w:p>
    <w:p w:rsidR="00DF4B98" w:rsidRPr="008616DC" w:rsidRDefault="00A50C96" w:rsidP="00DF4B98">
      <w:pPr>
        <w:pStyle w:val="Default"/>
        <w:jc w:val="both"/>
        <w:rPr>
          <w:sz w:val="22"/>
          <w:szCs w:val="22"/>
          <w:lang w:val="sk-SK"/>
        </w:rPr>
      </w:pPr>
      <w:r>
        <w:rPr>
          <w:sz w:val="22"/>
          <w:szCs w:val="22"/>
          <w:lang w:val="sk-SK"/>
        </w:rPr>
        <w:t>Ak sa u pacienta počas liečby diklofenakom objaví gastrointestinálne krvácanie alebo vredy, liek sa musí vysadiť.</w:t>
      </w:r>
    </w:p>
    <w:p w:rsidR="00DF4B98" w:rsidRPr="008616DC" w:rsidRDefault="00DF4B98" w:rsidP="00DF4B98">
      <w:pPr>
        <w:pStyle w:val="Default"/>
        <w:jc w:val="both"/>
        <w:rPr>
          <w:sz w:val="22"/>
          <w:szCs w:val="22"/>
          <w:lang w:val="sk-SK"/>
        </w:rPr>
      </w:pPr>
    </w:p>
    <w:p w:rsidR="005B6D54" w:rsidRPr="008616DC" w:rsidRDefault="00A50C96" w:rsidP="00A712FC">
      <w:pPr>
        <w:spacing w:line="240" w:lineRule="auto"/>
        <w:jc w:val="both"/>
        <w:rPr>
          <w:szCs w:val="22"/>
        </w:rPr>
      </w:pPr>
      <w:r>
        <w:rPr>
          <w:szCs w:val="22"/>
        </w:rPr>
        <w:t>Rovnako ako pri všetkých nesteroidových protizápalových liekoch, aj pri užívaní diklofenaku je nutný dohľad lekára a osobitná opatrnosť v prípade, že diklofenak užívajú pacienti s príznakmi naznačujúcimi gastrointestinálnu poruchu alebo s anamnézou gastrickej alebo intestinálnej ulcerácie, krvácania alebo perforácie (pozri časť 4.8).</w:t>
      </w:r>
    </w:p>
    <w:p w:rsidR="005B6D54" w:rsidRPr="008616DC" w:rsidRDefault="005B6D54" w:rsidP="00A712FC">
      <w:pPr>
        <w:spacing w:line="240" w:lineRule="auto"/>
        <w:jc w:val="both"/>
        <w:rPr>
          <w:szCs w:val="22"/>
        </w:rPr>
      </w:pPr>
    </w:p>
    <w:p w:rsidR="005B6D54" w:rsidRPr="008616DC" w:rsidRDefault="00A50C96" w:rsidP="00A712FC">
      <w:pPr>
        <w:pStyle w:val="Default"/>
        <w:jc w:val="both"/>
        <w:rPr>
          <w:sz w:val="22"/>
          <w:szCs w:val="22"/>
          <w:lang w:val="sk-SK"/>
        </w:rPr>
      </w:pPr>
      <w:r>
        <w:rPr>
          <w:sz w:val="22"/>
          <w:szCs w:val="22"/>
          <w:lang w:val="sk-SK"/>
        </w:rPr>
        <w:t>U starších pacientov a pacientov s anamnézou vredovej choroby, obzvlášť, ak bola spojená s hemorágiou alebo perforáciou (pozri časť 4.3), narastá so zvyšujúcimi sa dávkami nesteroidových protizápalových liekov riziko gastrointestinálneho krvácania, ulcerácie alebo perforácie. Preto je potrebné začať s najnižšou možnou účinnou dávkou. U týchto pacientov, rovnako ako u pacientov vyžadujúcich liečbu nízkymi dávkami kyseliny acetylsalicylovej (ASA) alebo iných liečiv zvyšujúcich gastrointestinálne riziko (pozri časť 4.5), by sa malo zvážiť súčasné podávanie ochranných látok (napr. misoprostol alebo inhibítory protónovej pumpy).</w:t>
      </w:r>
    </w:p>
    <w:p w:rsidR="005B6D54" w:rsidRPr="008616DC" w:rsidRDefault="005B6D54" w:rsidP="00A712FC">
      <w:pPr>
        <w:jc w:val="both"/>
        <w:rPr>
          <w:szCs w:val="22"/>
        </w:rPr>
      </w:pPr>
    </w:p>
    <w:p w:rsidR="0023695A" w:rsidRPr="008616DC" w:rsidRDefault="00A50C96" w:rsidP="00A712FC">
      <w:pPr>
        <w:pStyle w:val="Default"/>
        <w:jc w:val="both"/>
        <w:rPr>
          <w:sz w:val="22"/>
          <w:szCs w:val="22"/>
          <w:lang w:val="sk-SK"/>
        </w:rPr>
      </w:pPr>
      <w:r>
        <w:rPr>
          <w:sz w:val="22"/>
          <w:szCs w:val="22"/>
          <w:lang w:val="sk-SK"/>
        </w:rPr>
        <w:t>Pacienti, najmä starší, s anamnézou gastrointestinálnej toxicity majú oznámiť akékoľvek nezvyčajné abdominálne príznaky (najmä gastrointestinálne krvácanie) a to predovšetkým na začiatku liečby.</w:t>
      </w:r>
    </w:p>
    <w:p w:rsidR="0023695A" w:rsidRPr="008616DC" w:rsidRDefault="0023695A" w:rsidP="00A712FC">
      <w:pPr>
        <w:pStyle w:val="Default"/>
        <w:jc w:val="both"/>
        <w:rPr>
          <w:sz w:val="22"/>
          <w:szCs w:val="22"/>
          <w:lang w:val="sk-SK"/>
        </w:rPr>
      </w:pPr>
    </w:p>
    <w:p w:rsidR="0023695A" w:rsidRDefault="00A50C96" w:rsidP="00A712FC">
      <w:pPr>
        <w:pStyle w:val="Default"/>
        <w:jc w:val="both"/>
        <w:rPr>
          <w:sz w:val="22"/>
          <w:szCs w:val="22"/>
          <w:lang w:val="sk-SK"/>
        </w:rPr>
      </w:pPr>
      <w:r>
        <w:rPr>
          <w:sz w:val="22"/>
          <w:szCs w:val="22"/>
          <w:lang w:val="sk-SK"/>
        </w:rPr>
        <w:t xml:space="preserve">Zvýšená opatrnosť je potrebná u pacientov súčasne užívajúcich lieky, ktoré môžu zvyšovať riziko ulcerácie alebo krvácania, akými sú perorálne kortikosteroidy, antikoagulanciá ako warfarín, selektívne inhibítory spätného vychytávania sérotonínu alebo antiagregačné lieky ako kyselina acetylsalicylová (pozri časť 4.5). </w:t>
      </w:r>
    </w:p>
    <w:p w:rsidR="00FF4C72" w:rsidRPr="008616DC" w:rsidRDefault="00FF4C72" w:rsidP="00A712FC">
      <w:pPr>
        <w:pStyle w:val="Default"/>
        <w:jc w:val="both"/>
        <w:rPr>
          <w:sz w:val="22"/>
          <w:szCs w:val="22"/>
          <w:lang w:val="sk-SK"/>
        </w:rPr>
      </w:pPr>
    </w:p>
    <w:p w:rsidR="0023695A" w:rsidRPr="008616DC" w:rsidRDefault="00A50C96" w:rsidP="00A712FC">
      <w:pPr>
        <w:pStyle w:val="Default"/>
        <w:jc w:val="both"/>
        <w:rPr>
          <w:sz w:val="22"/>
          <w:szCs w:val="22"/>
          <w:lang w:val="sk-SK"/>
        </w:rPr>
      </w:pPr>
      <w:r>
        <w:rPr>
          <w:sz w:val="22"/>
          <w:szCs w:val="22"/>
          <w:lang w:val="sk-SK"/>
        </w:rPr>
        <w:t xml:space="preserve">NSAID sa musia používať opatrne u pacientov s anamnézou gastrointestinálneho ochorenia (ulcerózna kolitída, Crohnova choroba), pretože by mohlo dôjsť k zhoršeniu stavu (pozri časť 4.8). </w:t>
      </w:r>
    </w:p>
    <w:p w:rsidR="0023695A" w:rsidRDefault="0023695A" w:rsidP="00A712FC">
      <w:pPr>
        <w:pStyle w:val="Default"/>
        <w:jc w:val="both"/>
        <w:rPr>
          <w:sz w:val="22"/>
          <w:szCs w:val="22"/>
          <w:lang w:val="sk-SK"/>
        </w:rPr>
      </w:pPr>
    </w:p>
    <w:p w:rsidR="00FF4C72" w:rsidRDefault="00EC0A9C" w:rsidP="00A712FC">
      <w:pPr>
        <w:pStyle w:val="Default"/>
        <w:jc w:val="both"/>
        <w:rPr>
          <w:sz w:val="22"/>
          <w:szCs w:val="22"/>
          <w:lang w:val="sk-SK"/>
        </w:rPr>
      </w:pPr>
      <w:r>
        <w:rPr>
          <w:sz w:val="22"/>
          <w:szCs w:val="22"/>
          <w:lang w:val="sk-SK"/>
        </w:rPr>
        <w:t xml:space="preserve">Používanie </w:t>
      </w:r>
      <w:r w:rsidR="00FF4C72" w:rsidRPr="00FF4C72">
        <w:rPr>
          <w:sz w:val="22"/>
          <w:szCs w:val="22"/>
          <w:lang w:val="sk-SK"/>
        </w:rPr>
        <w:t xml:space="preserve">NSAID, vrátane diklofenaku, môžu </w:t>
      </w:r>
      <w:r>
        <w:rPr>
          <w:sz w:val="22"/>
          <w:szCs w:val="22"/>
          <w:lang w:val="sk-SK"/>
        </w:rPr>
        <w:t>súvisieť</w:t>
      </w:r>
      <w:r w:rsidR="00FF4C72" w:rsidRPr="00FF4C72">
        <w:rPr>
          <w:sz w:val="22"/>
          <w:szCs w:val="22"/>
          <w:lang w:val="sk-SK"/>
        </w:rPr>
        <w:t xml:space="preserve"> so zvýšeným rizikom gastrointestinálneho anasto</w:t>
      </w:r>
      <w:r>
        <w:rPr>
          <w:sz w:val="22"/>
          <w:szCs w:val="22"/>
          <w:lang w:val="sk-SK"/>
        </w:rPr>
        <w:t>motického leaku (presakovania)</w:t>
      </w:r>
      <w:r w:rsidR="00FF4C72" w:rsidRPr="00FF4C72">
        <w:rPr>
          <w:sz w:val="22"/>
          <w:szCs w:val="22"/>
          <w:lang w:val="sk-SK"/>
        </w:rPr>
        <w:t xml:space="preserve">. Pri použití diklofenaku po gastrointestinálnom chirurgickom zákroku sa odporúča </w:t>
      </w:r>
      <w:r>
        <w:rPr>
          <w:sz w:val="22"/>
          <w:szCs w:val="22"/>
          <w:lang w:val="sk-SK"/>
        </w:rPr>
        <w:t>starostlivý</w:t>
      </w:r>
      <w:r w:rsidR="00FF4C72" w:rsidRPr="00FF4C72">
        <w:rPr>
          <w:sz w:val="22"/>
          <w:szCs w:val="22"/>
          <w:lang w:val="sk-SK"/>
        </w:rPr>
        <w:t xml:space="preserve"> lekársky dohľad a opatrnosť.</w:t>
      </w:r>
    </w:p>
    <w:p w:rsidR="00FF4C72" w:rsidRPr="008616DC" w:rsidRDefault="00FF4C72" w:rsidP="00A712FC">
      <w:pPr>
        <w:pStyle w:val="Default"/>
        <w:jc w:val="both"/>
        <w:rPr>
          <w:sz w:val="22"/>
          <w:szCs w:val="22"/>
          <w:lang w:val="sk-SK"/>
        </w:rPr>
      </w:pPr>
    </w:p>
    <w:p w:rsidR="0023695A" w:rsidRPr="008616DC" w:rsidRDefault="00A50C96" w:rsidP="00A712FC">
      <w:pPr>
        <w:pStyle w:val="Default"/>
        <w:jc w:val="both"/>
        <w:rPr>
          <w:i/>
          <w:sz w:val="22"/>
          <w:szCs w:val="22"/>
          <w:lang w:val="sk-SK"/>
        </w:rPr>
      </w:pPr>
      <w:r>
        <w:rPr>
          <w:i/>
          <w:sz w:val="22"/>
          <w:szCs w:val="22"/>
          <w:lang w:val="sk-SK"/>
        </w:rPr>
        <w:t>Starší pacienti (&gt; 65 rokov)</w:t>
      </w:r>
    </w:p>
    <w:p w:rsidR="008152A5" w:rsidRPr="008616DC" w:rsidRDefault="00A50C96" w:rsidP="00A712FC">
      <w:pPr>
        <w:pStyle w:val="Default"/>
        <w:jc w:val="both"/>
        <w:rPr>
          <w:sz w:val="22"/>
          <w:szCs w:val="22"/>
          <w:lang w:val="sk-SK"/>
        </w:rPr>
      </w:pPr>
      <w:r>
        <w:rPr>
          <w:sz w:val="22"/>
          <w:szCs w:val="22"/>
          <w:lang w:val="sk-SK"/>
        </w:rPr>
        <w:t xml:space="preserve">U starších pacientov sa zvyšuje frekvencia výskytu nežiaducich účinkov vyvolaných užívaním NSAID, najmä gastrointestinálne krvácanie a perforácia, ktoré môžu byť fatálne. </w:t>
      </w:r>
    </w:p>
    <w:p w:rsidR="0023695A" w:rsidRPr="008616DC" w:rsidRDefault="00A50C96" w:rsidP="00431271">
      <w:pPr>
        <w:pStyle w:val="Default"/>
        <w:jc w:val="both"/>
        <w:rPr>
          <w:sz w:val="22"/>
          <w:szCs w:val="22"/>
          <w:lang w:val="sk-SK"/>
        </w:rPr>
      </w:pPr>
      <w:r>
        <w:rPr>
          <w:sz w:val="22"/>
          <w:szCs w:val="22"/>
          <w:lang w:val="sk-SK"/>
        </w:rPr>
        <w:t>U starších pacientov je nutná špeciálna pozornosť v rámci základnej zdravotnej starostlivosti. Títo pacienti a pacienti s podvýživou majú užívať najnižšiu možnú účinnú dávku (pozri časť 4.2).</w:t>
      </w:r>
    </w:p>
    <w:p w:rsidR="0023695A" w:rsidRPr="008616DC" w:rsidRDefault="0023695A" w:rsidP="0023695A">
      <w:pPr>
        <w:pStyle w:val="Default"/>
        <w:rPr>
          <w:sz w:val="22"/>
          <w:szCs w:val="22"/>
          <w:lang w:val="sk-SK"/>
        </w:rPr>
      </w:pPr>
    </w:p>
    <w:p w:rsidR="00574D94" w:rsidRPr="008616DC" w:rsidRDefault="00A50C96">
      <w:pPr>
        <w:tabs>
          <w:tab w:val="clear" w:pos="567"/>
        </w:tabs>
        <w:spacing w:line="240" w:lineRule="auto"/>
        <w:jc w:val="both"/>
        <w:rPr>
          <w:szCs w:val="22"/>
          <w:u w:val="single"/>
        </w:rPr>
      </w:pPr>
      <w:r>
        <w:rPr>
          <w:szCs w:val="22"/>
          <w:u w:val="single"/>
        </w:rPr>
        <w:t>Kardiovaskulárne a cerebrovaskulárne účinky</w:t>
      </w:r>
    </w:p>
    <w:p w:rsidR="00574D94" w:rsidRPr="008616DC" w:rsidRDefault="00A50C96">
      <w:pPr>
        <w:tabs>
          <w:tab w:val="clear" w:pos="567"/>
        </w:tabs>
        <w:spacing w:line="240" w:lineRule="auto"/>
        <w:jc w:val="both"/>
        <w:rPr>
          <w:szCs w:val="22"/>
        </w:rPr>
      </w:pPr>
      <w:r>
        <w:rPr>
          <w:szCs w:val="22"/>
        </w:rPr>
        <w:t>U pacientov s anamnézou hypertenzie a/alebo mierneho až stredne závažného kongestívneho srdcového zlyhania sa vyžaduje náležité monitorovanie stavu a poučenie pacienta, pretože v súvislosti s liečbou NSAID bol zaznamenaný výskyt edému a retencia tekutín.</w:t>
      </w:r>
    </w:p>
    <w:p w:rsidR="00574D94" w:rsidRPr="008616DC" w:rsidRDefault="00574D94">
      <w:pPr>
        <w:tabs>
          <w:tab w:val="clear" w:pos="567"/>
        </w:tabs>
        <w:spacing w:line="240" w:lineRule="auto"/>
        <w:jc w:val="both"/>
        <w:rPr>
          <w:szCs w:val="22"/>
        </w:rPr>
      </w:pPr>
    </w:p>
    <w:p w:rsidR="004E76F7" w:rsidRPr="008616DC" w:rsidRDefault="00A50C96" w:rsidP="00C23C4D">
      <w:pPr>
        <w:jc w:val="both"/>
        <w:rPr>
          <w:szCs w:val="22"/>
        </w:rPr>
      </w:pPr>
      <w:r>
        <w:rPr>
          <w:szCs w:val="22"/>
        </w:rPr>
        <w:t>Klinické a epidemiologické štúdie naznačujú, že používanie diklofenaku, obzvlášť pri vysokom dávkovaní (150 mg/denne) a dlhodobej liečbe, je spojené s miernym zvýšením rizika arteriálnej trombotickej príhody (napr. infarktu myokardu alebo cievnej mozgovej príhody) (pozri časti 4.3 a 4.4). Má sa použiť najmenšia účinná dávka počas najkratšieho možného obdobia.</w:t>
      </w:r>
    </w:p>
    <w:p w:rsidR="00C23C4D" w:rsidRPr="008616DC" w:rsidRDefault="00C23C4D" w:rsidP="00C23C4D">
      <w:pPr>
        <w:tabs>
          <w:tab w:val="clear" w:pos="567"/>
        </w:tabs>
        <w:spacing w:line="240" w:lineRule="auto"/>
        <w:jc w:val="both"/>
        <w:rPr>
          <w:szCs w:val="22"/>
        </w:rPr>
      </w:pPr>
    </w:p>
    <w:p w:rsidR="00C60AD5" w:rsidRPr="008616DC" w:rsidRDefault="00A50C96" w:rsidP="00C60AD5">
      <w:pPr>
        <w:tabs>
          <w:tab w:val="clear" w:pos="567"/>
        </w:tabs>
        <w:spacing w:line="240" w:lineRule="auto"/>
        <w:jc w:val="both"/>
        <w:rPr>
          <w:szCs w:val="22"/>
        </w:rPr>
      </w:pPr>
      <w:r>
        <w:rPr>
          <w:szCs w:val="22"/>
        </w:rPr>
        <w:t xml:space="preserve">Pacientom s nekontrolovanou hypertenziou, kongestívnym srdcovým zlyhaním, s preexistujúcim ischemickým ochorením srdca, ochorením periférnych artérií a/alebo cerebrovaskulárnym ochorením sa môže podávať diklofenak len po starostlivom zvážení. Rovnako je potrebné opatrné podávanie aj </w:t>
      </w:r>
      <w:r>
        <w:rPr>
          <w:szCs w:val="22"/>
        </w:rPr>
        <w:lastRenderedPageBreak/>
        <w:t>pred začatím dlhodobej liečby u pacientov s vysokým rizikom kardiovaskulárnych príhod (napr. hypertenziou, hyperlipidémiou, diabetes mellitus, fajčením).</w:t>
      </w:r>
    </w:p>
    <w:p w:rsidR="00574D94" w:rsidRPr="008616DC" w:rsidRDefault="00574D94">
      <w:pPr>
        <w:tabs>
          <w:tab w:val="clear" w:pos="567"/>
        </w:tabs>
        <w:spacing w:line="240" w:lineRule="auto"/>
        <w:jc w:val="both"/>
        <w:rPr>
          <w:szCs w:val="22"/>
        </w:rPr>
      </w:pPr>
    </w:p>
    <w:p w:rsidR="00193AE9" w:rsidRPr="008616DC" w:rsidRDefault="00A50C96" w:rsidP="00193AE9">
      <w:pPr>
        <w:tabs>
          <w:tab w:val="clear" w:pos="567"/>
        </w:tabs>
        <w:spacing w:line="240" w:lineRule="auto"/>
        <w:jc w:val="both"/>
        <w:rPr>
          <w:szCs w:val="22"/>
          <w:u w:val="single"/>
        </w:rPr>
      </w:pPr>
      <w:r>
        <w:rPr>
          <w:szCs w:val="22"/>
          <w:u w:val="single"/>
        </w:rPr>
        <w:t>Kožné reakcie</w:t>
      </w:r>
    </w:p>
    <w:p w:rsidR="009A2254" w:rsidRPr="008616DC" w:rsidRDefault="00A50C96" w:rsidP="009A2254">
      <w:pPr>
        <w:pStyle w:val="Default"/>
        <w:jc w:val="both"/>
        <w:rPr>
          <w:sz w:val="22"/>
          <w:szCs w:val="22"/>
          <w:lang w:val="sk-SK"/>
        </w:rPr>
      </w:pPr>
      <w:r>
        <w:rPr>
          <w:sz w:val="22"/>
          <w:szCs w:val="22"/>
          <w:lang w:val="sk-SK"/>
        </w:rPr>
        <w:t>V súvislosti s použitím NSAID boli veľmi zriedkavo hlásené závažné kožné reakcie, niektoré z nich fatálne, vrátane exfoliatívnej dermatitídy, Stevensovho-Johnsonovho syndrómu a toxickej epidermálnej nekrolýzy (pozri časť 4.8). Zdá sa, že najvyššie riziko spomínaných reakcií je na začiatku liečby, väčšina z nich sa totiž objavila už v prvom mesiaci. Užívanie diklofenaku sa má prerušiť pri prvom výskyte kožnej vyrážky a lézií sliznice alebo akýchkoľvek prejavov precitlivenosti.</w:t>
      </w:r>
    </w:p>
    <w:p w:rsidR="009A2254" w:rsidRPr="000D3E57" w:rsidRDefault="00A50C96" w:rsidP="004F6D3D">
      <w:pPr>
        <w:pStyle w:val="Default"/>
        <w:jc w:val="both"/>
        <w:rPr>
          <w:sz w:val="22"/>
          <w:szCs w:val="22"/>
          <w:lang w:val="sk-SK"/>
        </w:rPr>
      </w:pPr>
      <w:r w:rsidRPr="00A50C96">
        <w:rPr>
          <w:sz w:val="22"/>
          <w:szCs w:val="22"/>
          <w:lang w:val="sk-SK"/>
        </w:rPr>
        <w:t>Anafylaktické/anafylaktoidné reakcie, rovnako ako aj alergické reakcie spojené s užívaním iných NSAI</w:t>
      </w:r>
      <w:r>
        <w:rPr>
          <w:sz w:val="22"/>
          <w:szCs w:val="22"/>
          <w:lang w:val="sk-SK"/>
        </w:rPr>
        <w:t>D</w:t>
      </w:r>
      <w:r w:rsidRPr="00A50C96">
        <w:rPr>
          <w:sz w:val="22"/>
          <w:szCs w:val="22"/>
          <w:lang w:val="sk-SK"/>
        </w:rPr>
        <w:t>, sa môžu vyskytnúť aj bez predchádzajúcej liečby diklofenakom.</w:t>
      </w:r>
    </w:p>
    <w:p w:rsidR="00193AE9" w:rsidRPr="008616DC" w:rsidRDefault="00193AE9" w:rsidP="00193AE9">
      <w:pPr>
        <w:tabs>
          <w:tab w:val="clear" w:pos="567"/>
        </w:tabs>
        <w:spacing w:line="240" w:lineRule="auto"/>
        <w:jc w:val="both"/>
        <w:rPr>
          <w:szCs w:val="22"/>
        </w:rPr>
      </w:pPr>
    </w:p>
    <w:p w:rsidR="000B5399" w:rsidRPr="008616DC" w:rsidRDefault="009A2254">
      <w:pPr>
        <w:tabs>
          <w:tab w:val="clear" w:pos="567"/>
        </w:tabs>
        <w:spacing w:line="240" w:lineRule="auto"/>
        <w:jc w:val="both"/>
        <w:rPr>
          <w:szCs w:val="22"/>
          <w:u w:val="single"/>
        </w:rPr>
      </w:pPr>
      <w:r w:rsidRPr="008616DC">
        <w:rPr>
          <w:szCs w:val="22"/>
          <w:u w:val="single"/>
        </w:rPr>
        <w:t>Účinky na pečeň</w:t>
      </w:r>
    </w:p>
    <w:p w:rsidR="009A2254" w:rsidRPr="008616DC" w:rsidRDefault="009A2254" w:rsidP="009A2254">
      <w:pPr>
        <w:spacing w:line="240" w:lineRule="auto"/>
        <w:jc w:val="both"/>
        <w:rPr>
          <w:szCs w:val="22"/>
        </w:rPr>
      </w:pPr>
      <w:r w:rsidRPr="008616DC">
        <w:rPr>
          <w:szCs w:val="22"/>
        </w:rPr>
        <w:t xml:space="preserve">U pacientov s </w:t>
      </w:r>
      <w:r w:rsidR="00570DB0" w:rsidRPr="008616DC">
        <w:rPr>
          <w:szCs w:val="22"/>
        </w:rPr>
        <w:t>poruch</w:t>
      </w:r>
      <w:r w:rsidR="00A50C96">
        <w:rPr>
          <w:szCs w:val="22"/>
        </w:rPr>
        <w:t>ou funkcie pečene je z dôvodu možného zhoršenia stavu nevyhnutný dohľad lekára.</w:t>
      </w:r>
    </w:p>
    <w:p w:rsidR="009A2254" w:rsidRPr="008616DC" w:rsidRDefault="00A50C96" w:rsidP="009A2254">
      <w:pPr>
        <w:spacing w:line="240" w:lineRule="auto"/>
        <w:jc w:val="both"/>
        <w:rPr>
          <w:szCs w:val="22"/>
        </w:rPr>
      </w:pPr>
      <w:r>
        <w:rPr>
          <w:szCs w:val="22"/>
        </w:rPr>
        <w:t>Podobne ako pri iných NSAID, vrátane diklofenaku, sa môžu zvýšiť hodnoty jedného alebo viacerých pečeňových enzýmov. Počas dlhodobej liečby diklofenakom je ako preventívne opatrenie indikované pravidelné monitorovanie funkcie pečene. Ak budú pretrvávať, alebo sa zhoršovať abnormálne hodnoty testov funkcie pečene a ak sa budú ďalej rozvíjať klinické prejavy naznačujúce pečeňové ochorenie, alebo sa objavia iné prejavy (napr. eozinofília, vyrážka), musí sa diklofenak prestať užívať. Hepatitída sa môže objaviť bez prodromálnych príznakov.</w:t>
      </w:r>
    </w:p>
    <w:p w:rsidR="009A2254" w:rsidRPr="008616DC" w:rsidRDefault="00A50C96" w:rsidP="009A2254">
      <w:pPr>
        <w:spacing w:line="240" w:lineRule="auto"/>
        <w:jc w:val="both"/>
        <w:rPr>
          <w:szCs w:val="22"/>
        </w:rPr>
      </w:pPr>
      <w:r>
        <w:rPr>
          <w:szCs w:val="22"/>
        </w:rPr>
        <w:t>U pacientov trpiacich hepatálnou porfýriou je potrebné byť obzvlášť opatrný, pretože diklofenak môže vyvolať záchvat.</w:t>
      </w:r>
    </w:p>
    <w:p w:rsidR="00CB3A4C" w:rsidRPr="008616DC" w:rsidRDefault="00CB3A4C">
      <w:pPr>
        <w:tabs>
          <w:tab w:val="clear" w:pos="567"/>
        </w:tabs>
        <w:spacing w:line="240" w:lineRule="auto"/>
        <w:jc w:val="both"/>
        <w:rPr>
          <w:szCs w:val="22"/>
        </w:rPr>
      </w:pPr>
    </w:p>
    <w:p w:rsidR="00C03ED0" w:rsidRPr="008616DC" w:rsidRDefault="00A50C96" w:rsidP="00C03ED0">
      <w:pPr>
        <w:tabs>
          <w:tab w:val="clear" w:pos="567"/>
        </w:tabs>
        <w:spacing w:line="240" w:lineRule="auto"/>
        <w:jc w:val="both"/>
        <w:rPr>
          <w:szCs w:val="22"/>
          <w:u w:val="single"/>
        </w:rPr>
      </w:pPr>
      <w:r>
        <w:rPr>
          <w:szCs w:val="22"/>
          <w:u w:val="single"/>
        </w:rPr>
        <w:t>Obehové a renálne účinky, elektrolytová a tekutinová rovnováha</w:t>
      </w:r>
    </w:p>
    <w:p w:rsidR="00C03ED0" w:rsidRPr="008616DC" w:rsidRDefault="00A50C96" w:rsidP="00C03ED0">
      <w:pPr>
        <w:spacing w:line="240" w:lineRule="auto"/>
        <w:jc w:val="both"/>
        <w:rPr>
          <w:szCs w:val="22"/>
        </w:rPr>
      </w:pPr>
      <w:r>
        <w:rPr>
          <w:szCs w:val="22"/>
        </w:rPr>
        <w:t>Keďže sa pri liečbe s NSAID zaznamenala retencia tekutín a edém, je potrebné byť obzvlášť opatrný u pacientov s poruchami funkcie srdca alebo obličiek, u pacientov s anamnézou hypertenzie, u starších pacientov a pacientov so súbežnou liečbou diuretikami alebo inými liekmi, ktoré by mohli významne ovplyvniť funkciu obličiek (pozri tiež „Kardiovaskulárne a cerebrovaskulárne účinky“).</w:t>
      </w:r>
    </w:p>
    <w:p w:rsidR="00C03ED0" w:rsidRPr="008616DC" w:rsidRDefault="00C03ED0" w:rsidP="00C03ED0">
      <w:pPr>
        <w:spacing w:line="240" w:lineRule="auto"/>
        <w:jc w:val="both"/>
        <w:rPr>
          <w:szCs w:val="22"/>
        </w:rPr>
      </w:pPr>
    </w:p>
    <w:p w:rsidR="00E541CE" w:rsidRPr="008616DC" w:rsidRDefault="00A50C96" w:rsidP="00E541CE">
      <w:pPr>
        <w:spacing w:line="240" w:lineRule="auto"/>
        <w:jc w:val="both"/>
        <w:rPr>
          <w:szCs w:val="22"/>
        </w:rPr>
      </w:pPr>
      <w:r>
        <w:rPr>
          <w:szCs w:val="22"/>
        </w:rPr>
        <w:t xml:space="preserve">Z dôvodu možného výskytu komplikácií zahŕňajúcich krvácanie alebo elektrolytovú alebo objemovú nerovnováhu je nutná zvýšená opatrnosť u pacientov so značným znížením extracelulárneho objemu z akejkoľvek príčiny, napr. pred alebo po vážnej operácii. </w:t>
      </w:r>
    </w:p>
    <w:p w:rsidR="00E541CE" w:rsidRPr="008616DC" w:rsidRDefault="00A50C96" w:rsidP="00E541CE">
      <w:pPr>
        <w:spacing w:line="240" w:lineRule="auto"/>
        <w:jc w:val="both"/>
        <w:rPr>
          <w:szCs w:val="22"/>
        </w:rPr>
      </w:pPr>
      <w:r>
        <w:rPr>
          <w:szCs w:val="22"/>
        </w:rPr>
        <w:t>Ako preventívne opatrenie sa v týchto prípadoch, počas užívania diklofenaku, odporúča monitorovanie funkcie obličiek.</w:t>
      </w:r>
    </w:p>
    <w:p w:rsidR="00C03ED0" w:rsidRPr="008616DC" w:rsidRDefault="00C03ED0" w:rsidP="00C03ED0">
      <w:pPr>
        <w:spacing w:line="240" w:lineRule="auto"/>
        <w:jc w:val="both"/>
        <w:rPr>
          <w:szCs w:val="22"/>
        </w:rPr>
      </w:pPr>
    </w:p>
    <w:p w:rsidR="00C03ED0" w:rsidRPr="008616DC" w:rsidRDefault="00A50C96" w:rsidP="00C03ED0">
      <w:pPr>
        <w:spacing w:line="240" w:lineRule="auto"/>
        <w:jc w:val="both"/>
        <w:rPr>
          <w:szCs w:val="22"/>
        </w:rPr>
      </w:pPr>
      <w:r>
        <w:rPr>
          <w:szCs w:val="22"/>
        </w:rPr>
        <w:t>Riziko vzniku nežiaducich renálnych účinkov sa zvyšuje, ak sa diklofenak podáva spolu s ACE inhibítormi (pozri časť 4.5).</w:t>
      </w:r>
    </w:p>
    <w:p w:rsidR="000B5399" w:rsidRPr="008616DC" w:rsidRDefault="000B5399">
      <w:pPr>
        <w:tabs>
          <w:tab w:val="clear" w:pos="567"/>
        </w:tabs>
        <w:spacing w:line="240" w:lineRule="auto"/>
        <w:jc w:val="both"/>
        <w:rPr>
          <w:szCs w:val="22"/>
        </w:rPr>
      </w:pPr>
    </w:p>
    <w:p w:rsidR="00A856A7" w:rsidRPr="008616DC" w:rsidRDefault="00A50C96" w:rsidP="00A856A7">
      <w:pPr>
        <w:tabs>
          <w:tab w:val="clear" w:pos="567"/>
        </w:tabs>
        <w:spacing w:line="240" w:lineRule="auto"/>
        <w:jc w:val="both"/>
        <w:rPr>
          <w:szCs w:val="22"/>
          <w:u w:val="single"/>
        </w:rPr>
      </w:pPr>
      <w:r>
        <w:rPr>
          <w:szCs w:val="22"/>
          <w:u w:val="single"/>
        </w:rPr>
        <w:t>Hematologické účinky</w:t>
      </w:r>
    </w:p>
    <w:p w:rsidR="00A856A7" w:rsidRPr="008616DC" w:rsidRDefault="00A50C96" w:rsidP="00A856A7">
      <w:pPr>
        <w:tabs>
          <w:tab w:val="clear" w:pos="567"/>
        </w:tabs>
        <w:spacing w:line="240" w:lineRule="auto"/>
        <w:jc w:val="both"/>
        <w:rPr>
          <w:szCs w:val="22"/>
        </w:rPr>
      </w:pPr>
      <w:r>
        <w:rPr>
          <w:szCs w:val="22"/>
        </w:rPr>
        <w:t>Počas dlhodobej liečby diklofenakom, ako aj inými nesteroidovými protizápalovými liekmi sa odporúča monitorovanie krvného obrazu.</w:t>
      </w:r>
    </w:p>
    <w:p w:rsidR="00AF5FCE" w:rsidRPr="008616DC" w:rsidRDefault="00A50C96" w:rsidP="00A856A7">
      <w:pPr>
        <w:tabs>
          <w:tab w:val="clear" w:pos="567"/>
        </w:tabs>
        <w:spacing w:line="240" w:lineRule="auto"/>
        <w:jc w:val="both"/>
        <w:rPr>
          <w:szCs w:val="22"/>
        </w:rPr>
      </w:pPr>
      <w:r>
        <w:rPr>
          <w:szCs w:val="22"/>
        </w:rPr>
        <w:t>U pacientov s koagulačnými poruchami a trombocytopéniou je nutná špeciálna starostlivosť (pozri aj časť 4.3). Diklofenak, ako aj iné NSAID môžu pri vyšších dávkach inhibovať úroveň agregácie trombocytov.</w:t>
      </w:r>
    </w:p>
    <w:p w:rsidR="00574D94" w:rsidRPr="008616DC" w:rsidRDefault="00574D94">
      <w:pPr>
        <w:tabs>
          <w:tab w:val="clear" w:pos="567"/>
        </w:tabs>
        <w:spacing w:line="240" w:lineRule="auto"/>
        <w:jc w:val="both"/>
        <w:rPr>
          <w:szCs w:val="22"/>
        </w:rPr>
      </w:pPr>
    </w:p>
    <w:p w:rsidR="00A856A7" w:rsidRPr="008616DC" w:rsidRDefault="00A50C96" w:rsidP="00A856A7">
      <w:pPr>
        <w:tabs>
          <w:tab w:val="clear" w:pos="567"/>
        </w:tabs>
        <w:spacing w:line="240" w:lineRule="auto"/>
        <w:jc w:val="both"/>
        <w:rPr>
          <w:szCs w:val="22"/>
          <w:u w:val="single"/>
        </w:rPr>
      </w:pPr>
      <w:r>
        <w:rPr>
          <w:szCs w:val="22"/>
          <w:u w:val="single"/>
        </w:rPr>
        <w:t>Centrálny nervový systém</w:t>
      </w:r>
    </w:p>
    <w:p w:rsidR="00A856A7" w:rsidRPr="008616DC" w:rsidRDefault="00A50C96" w:rsidP="00A856A7">
      <w:pPr>
        <w:tabs>
          <w:tab w:val="clear" w:pos="567"/>
        </w:tabs>
        <w:spacing w:line="240" w:lineRule="auto"/>
        <w:jc w:val="both"/>
        <w:rPr>
          <w:szCs w:val="22"/>
        </w:rPr>
      </w:pPr>
      <w:r>
        <w:rPr>
          <w:szCs w:val="22"/>
        </w:rPr>
        <w:t>Opatrnosť sa vyžaduje aj u pacientov so závažnými psychickými poruchami, epilepsiou alebo parkinsonizmom (pozri aj časť 4.8).</w:t>
      </w:r>
    </w:p>
    <w:p w:rsidR="00A856A7" w:rsidRPr="008616DC" w:rsidRDefault="00A856A7" w:rsidP="00A856A7">
      <w:pPr>
        <w:tabs>
          <w:tab w:val="clear" w:pos="567"/>
        </w:tabs>
        <w:spacing w:line="240" w:lineRule="auto"/>
        <w:jc w:val="both"/>
        <w:rPr>
          <w:szCs w:val="22"/>
        </w:rPr>
      </w:pPr>
    </w:p>
    <w:p w:rsidR="00A856A7" w:rsidRPr="008616DC" w:rsidRDefault="00A50C96" w:rsidP="00A856A7">
      <w:pPr>
        <w:tabs>
          <w:tab w:val="clear" w:pos="567"/>
        </w:tabs>
        <w:spacing w:line="240" w:lineRule="auto"/>
        <w:jc w:val="both"/>
        <w:rPr>
          <w:szCs w:val="22"/>
        </w:rPr>
      </w:pPr>
      <w:r>
        <w:rPr>
          <w:szCs w:val="22"/>
        </w:rPr>
        <w:t>Pri dlhodobom užívaní (6-12 mesiacov) a denných dávkach prekračujúcich 50 mg vitamínu B</w:t>
      </w:r>
      <w:r>
        <w:rPr>
          <w:szCs w:val="22"/>
          <w:vertAlign w:val="subscript"/>
        </w:rPr>
        <w:t>6,</w:t>
      </w:r>
      <w:r>
        <w:rPr>
          <w:szCs w:val="22"/>
        </w:rPr>
        <w:t xml:space="preserve"> rovnako ako pri krátkodobom užívaní (dlhšie ako 2 mesiace) a denných dávkach prekračujúcich 1 g vitamínu B</w:t>
      </w:r>
      <w:r>
        <w:rPr>
          <w:szCs w:val="22"/>
          <w:vertAlign w:val="subscript"/>
        </w:rPr>
        <w:t>6</w:t>
      </w:r>
      <w:r>
        <w:rPr>
          <w:szCs w:val="22"/>
        </w:rPr>
        <w:t>, boli pozorované neuropatie. Ak sa objavia príznaky alebo prejavy periférnej senzorickej neuropatie (parestézie), je nutné prehodnotiť dávkovanie a liek v prípade potreby vysadiť.</w:t>
      </w:r>
    </w:p>
    <w:p w:rsidR="00745D61" w:rsidRPr="008616DC" w:rsidRDefault="00745D61" w:rsidP="00745D61">
      <w:pPr>
        <w:tabs>
          <w:tab w:val="clear" w:pos="567"/>
        </w:tabs>
        <w:spacing w:line="240" w:lineRule="auto"/>
        <w:jc w:val="both"/>
        <w:rPr>
          <w:szCs w:val="22"/>
        </w:rPr>
      </w:pPr>
    </w:p>
    <w:p w:rsidR="00A856A7" w:rsidRPr="008616DC" w:rsidRDefault="00A50C96" w:rsidP="00A856A7">
      <w:pPr>
        <w:spacing w:line="240" w:lineRule="auto"/>
        <w:rPr>
          <w:szCs w:val="22"/>
          <w:u w:val="single"/>
        </w:rPr>
      </w:pPr>
      <w:r>
        <w:rPr>
          <w:szCs w:val="22"/>
          <w:u w:val="single"/>
        </w:rPr>
        <w:t>Preexistujúca astma/hypersenzitivita/imunitný systém</w:t>
      </w:r>
    </w:p>
    <w:p w:rsidR="00A856A7" w:rsidRPr="008616DC" w:rsidRDefault="00A50C96" w:rsidP="004F6D3D">
      <w:pPr>
        <w:spacing w:line="240" w:lineRule="auto"/>
        <w:rPr>
          <w:szCs w:val="22"/>
        </w:rPr>
      </w:pPr>
      <w:r>
        <w:rPr>
          <w:szCs w:val="22"/>
        </w:rPr>
        <w:lastRenderedPageBreak/>
        <w:t>U pacientov s astmou, sezónnou alergickou rinitídou, opuchmi nosovej sliznice (nosové polypy), chronickou obštrukčnou chorobou pľúc alebo s chronickými respiračnými infekciami (najmä ak sú spojené s príznakmi podobnými alergickej rinitíde) sa objavujú častejšie než u iných pacientov reakcie na NSAID, ako napríklad exacerbácia astmy (tzv. intolerancia analgetík/analgetická astma), angioedém alebo žihľavka. Preto sa u týchto pacientov odporúča zvýšená opatrnosť (pripravenosť na mimoriadny stav). Týka sa to tiež pacientov alergických na iné zložky lieku, napr. s kožnými reakciami, svrbením alebo žihľavkou.</w:t>
      </w:r>
    </w:p>
    <w:p w:rsidR="00533E61" w:rsidRPr="008616DC" w:rsidRDefault="00533E61" w:rsidP="00533E61">
      <w:pPr>
        <w:spacing w:line="240" w:lineRule="auto"/>
        <w:jc w:val="both"/>
        <w:rPr>
          <w:szCs w:val="22"/>
        </w:rPr>
      </w:pPr>
    </w:p>
    <w:p w:rsidR="00533E61" w:rsidRPr="008616DC" w:rsidRDefault="00A50C96" w:rsidP="00683AB2">
      <w:pPr>
        <w:spacing w:line="240" w:lineRule="auto"/>
        <w:jc w:val="both"/>
        <w:rPr>
          <w:szCs w:val="22"/>
        </w:rPr>
      </w:pPr>
      <w:r>
        <w:rPr>
          <w:szCs w:val="22"/>
        </w:rPr>
        <w:t>Alergické reakcie, typické aj pre ostatné NSAID, vrátane anafylaktickej/anafylaktoidnej reakcie, sa môžu objaviť aj u pacientov, ktorí doteraz neužívali tento liek.</w:t>
      </w:r>
      <w:r w:rsidR="00FF4C72" w:rsidRPr="00FF4C72">
        <w:t xml:space="preserve"> </w:t>
      </w:r>
      <w:r w:rsidR="00FF4C72" w:rsidRPr="00FF4C72">
        <w:rPr>
          <w:szCs w:val="22"/>
        </w:rPr>
        <w:t xml:space="preserve">Reakcie z precitlivenosti môžu </w:t>
      </w:r>
      <w:r w:rsidR="00EC0A9C">
        <w:rPr>
          <w:szCs w:val="22"/>
        </w:rPr>
        <w:t>dokonca</w:t>
      </w:r>
      <w:r w:rsidR="00FF4C72" w:rsidRPr="00FF4C72">
        <w:rPr>
          <w:szCs w:val="22"/>
        </w:rPr>
        <w:t xml:space="preserve"> v</w:t>
      </w:r>
      <w:r w:rsidR="00EC0A9C">
        <w:rPr>
          <w:szCs w:val="22"/>
        </w:rPr>
        <w:t>yústiť</w:t>
      </w:r>
      <w:r w:rsidR="00FF4C72" w:rsidRPr="00FF4C72">
        <w:rPr>
          <w:szCs w:val="22"/>
        </w:rPr>
        <w:t xml:space="preserve"> </w:t>
      </w:r>
      <w:r w:rsidR="00EC0A9C">
        <w:rPr>
          <w:szCs w:val="22"/>
        </w:rPr>
        <w:t>do</w:t>
      </w:r>
      <w:r w:rsidR="00FF4C72">
        <w:rPr>
          <w:szCs w:val="22"/>
        </w:rPr>
        <w:t xml:space="preserve"> Kounisov</w:t>
      </w:r>
      <w:r w:rsidR="00EC0A9C">
        <w:rPr>
          <w:szCs w:val="22"/>
        </w:rPr>
        <w:t>ho</w:t>
      </w:r>
      <w:r w:rsidR="00FF4C72" w:rsidRPr="00FF4C72">
        <w:rPr>
          <w:szCs w:val="22"/>
        </w:rPr>
        <w:t xml:space="preserve"> syndrómu, závažnej alergickej reakcii, ktorá môže viesť k infarktu myokardu. Príznaky takýchto reakcií môžu zahŕňať bolesť na hrud</w:t>
      </w:r>
      <w:r w:rsidR="00EC0A9C">
        <w:rPr>
          <w:szCs w:val="22"/>
        </w:rPr>
        <w:t>i</w:t>
      </w:r>
      <w:r w:rsidR="00FF4C72" w:rsidRPr="00FF4C72">
        <w:rPr>
          <w:szCs w:val="22"/>
        </w:rPr>
        <w:t xml:space="preserve"> vyskytuj</w:t>
      </w:r>
      <w:r w:rsidR="00EC0A9C">
        <w:rPr>
          <w:szCs w:val="22"/>
        </w:rPr>
        <w:t>úcu sa</w:t>
      </w:r>
      <w:r w:rsidR="00FF4C72" w:rsidRPr="00FF4C72">
        <w:rPr>
          <w:szCs w:val="22"/>
        </w:rPr>
        <w:t xml:space="preserve"> v</w:t>
      </w:r>
      <w:r w:rsidR="00533B66">
        <w:rPr>
          <w:szCs w:val="22"/>
        </w:rPr>
        <w:t> </w:t>
      </w:r>
      <w:r w:rsidR="00FF4C72" w:rsidRPr="00FF4C72">
        <w:rPr>
          <w:szCs w:val="22"/>
        </w:rPr>
        <w:t>s</w:t>
      </w:r>
      <w:r w:rsidR="00EC0A9C">
        <w:rPr>
          <w:szCs w:val="22"/>
        </w:rPr>
        <w:t>pojení</w:t>
      </w:r>
      <w:r w:rsidR="00FF4C72" w:rsidRPr="00FF4C72">
        <w:rPr>
          <w:szCs w:val="22"/>
        </w:rPr>
        <w:t xml:space="preserve"> s</w:t>
      </w:r>
      <w:r w:rsidR="00533B66">
        <w:rPr>
          <w:szCs w:val="22"/>
        </w:rPr>
        <w:t> </w:t>
      </w:r>
      <w:r w:rsidR="00FF4C72" w:rsidRPr="00FF4C72">
        <w:rPr>
          <w:szCs w:val="22"/>
        </w:rPr>
        <w:t>alergickou reakciou na diklofenak.</w:t>
      </w:r>
      <w:r>
        <w:rPr>
          <w:szCs w:val="22"/>
        </w:rPr>
        <w:t xml:space="preserve"> Pacienti musia byť poučení o okamžitom vysadení lieku ako možnej príčiny hypersenzitívnych reakcií a o okamžitom vyhľadaní lekárskej pomoci v prípade týchto ťažkostí: opuch tváre, respiračného systému (napr. opuch v hrdle), ťažkosti s dýchaním, astma, zrýchlenie srdcového tepu, kožné reakcie (erytém, exantém, žihľavka, svrbenie) a/alebo v prípade hypotenzie.</w:t>
      </w:r>
    </w:p>
    <w:p w:rsidR="00533E61" w:rsidRPr="008616DC" w:rsidRDefault="00533E61" w:rsidP="00533E61">
      <w:pPr>
        <w:spacing w:line="240" w:lineRule="auto"/>
        <w:jc w:val="both"/>
        <w:rPr>
          <w:szCs w:val="22"/>
        </w:rPr>
      </w:pPr>
    </w:p>
    <w:p w:rsidR="00533E61" w:rsidRPr="008616DC" w:rsidRDefault="00A50C96" w:rsidP="00533E61">
      <w:pPr>
        <w:spacing w:line="240" w:lineRule="auto"/>
        <w:jc w:val="both"/>
        <w:rPr>
          <w:szCs w:val="22"/>
        </w:rPr>
      </w:pPr>
      <w:r>
        <w:rPr>
          <w:szCs w:val="22"/>
        </w:rPr>
        <w:t>Špeciálna opatrnosť je potrebná u pacientov so systémovým lupus erythematosus a so zmiešaným ochorením spojivového tkaniva. Počas liečby NSAID sa u pacientov s týmto základným ochorením zaznamenali príznaky aseptickej meningitídy ako stuhnutý krk, bolesť hlavy, nevoľnosť, vracanie, horúčka a poruchy vedomia (pozri časť 4.8).</w:t>
      </w:r>
    </w:p>
    <w:p w:rsidR="00683AB2" w:rsidRPr="008616DC" w:rsidRDefault="00683AB2" w:rsidP="004F6D3D">
      <w:pPr>
        <w:spacing w:line="240" w:lineRule="auto"/>
        <w:jc w:val="both"/>
        <w:rPr>
          <w:szCs w:val="22"/>
          <w:u w:val="single"/>
        </w:rPr>
      </w:pPr>
    </w:p>
    <w:p w:rsidR="00683AB2" w:rsidRPr="008616DC" w:rsidRDefault="00A50C96" w:rsidP="00683AB2">
      <w:pPr>
        <w:spacing w:line="240" w:lineRule="auto"/>
        <w:jc w:val="both"/>
        <w:rPr>
          <w:szCs w:val="22"/>
          <w:u w:val="single"/>
        </w:rPr>
      </w:pPr>
      <w:r>
        <w:rPr>
          <w:szCs w:val="22"/>
          <w:u w:val="single"/>
        </w:rPr>
        <w:t>Všeobecne</w:t>
      </w:r>
    </w:p>
    <w:p w:rsidR="00683AB2" w:rsidRPr="008616DC" w:rsidRDefault="00A50C96" w:rsidP="00683AB2">
      <w:pPr>
        <w:spacing w:line="240" w:lineRule="auto"/>
        <w:jc w:val="both"/>
        <w:rPr>
          <w:szCs w:val="22"/>
        </w:rPr>
      </w:pPr>
      <w:r>
        <w:rPr>
          <w:szCs w:val="22"/>
        </w:rPr>
        <w:t>Kvôli svojím farmakodynamickým vlastnostiam môže diklofenak – podobne ako iné NSAID – maskovať prejavy alebo príznaky infekcie (napr. bolesť). Pacientov je potrebné upozorniť na okamžité vyhľadanie lekárskej pomoci v prípade pretrvávania alebo zhoršovania bolesti a iných prejavov zápalu, napr. zhoršenie celkového zdravotného stavu alebo výskyt horúčky počas liečby.</w:t>
      </w:r>
    </w:p>
    <w:p w:rsidR="00683AB2" w:rsidRPr="008616DC" w:rsidRDefault="00683AB2" w:rsidP="001C3927">
      <w:pPr>
        <w:spacing w:line="240" w:lineRule="auto"/>
        <w:jc w:val="both"/>
        <w:rPr>
          <w:szCs w:val="22"/>
          <w:u w:val="single"/>
        </w:rPr>
      </w:pPr>
    </w:p>
    <w:p w:rsidR="001C3927" w:rsidRPr="008616DC" w:rsidRDefault="00A50C96" w:rsidP="001C3927">
      <w:pPr>
        <w:spacing w:line="240" w:lineRule="auto"/>
        <w:jc w:val="both"/>
        <w:rPr>
          <w:i/>
          <w:szCs w:val="22"/>
        </w:rPr>
      </w:pPr>
      <w:r>
        <w:rPr>
          <w:i/>
          <w:szCs w:val="22"/>
        </w:rPr>
        <w:t>Bolesť hlavy vyvolaná analgetikami</w:t>
      </w:r>
    </w:p>
    <w:p w:rsidR="00B620D7" w:rsidRPr="008616DC" w:rsidRDefault="00A50C96" w:rsidP="001C3927">
      <w:pPr>
        <w:spacing w:line="240" w:lineRule="auto"/>
        <w:jc w:val="both"/>
        <w:rPr>
          <w:szCs w:val="22"/>
        </w:rPr>
      </w:pPr>
      <w:r>
        <w:rPr>
          <w:szCs w:val="22"/>
        </w:rPr>
        <w:t>Pri dlhodobom užívaní analgetík a pri vysokých dávkach alebo pri užívaní inak, ako bolo predpísané lekárom, sa môžu vyskytnúť bolesti hlavy, ktoré sa nesmú liečiť zvyšovaním dávky lieku. Tam, kde to je relevantné, pacientov treba s touto možnosťou oboznámiť.</w:t>
      </w:r>
    </w:p>
    <w:p w:rsidR="001C3927" w:rsidRPr="008616DC" w:rsidRDefault="001C3927" w:rsidP="001C3927">
      <w:pPr>
        <w:spacing w:line="240" w:lineRule="auto"/>
        <w:jc w:val="both"/>
        <w:rPr>
          <w:szCs w:val="22"/>
        </w:rPr>
      </w:pPr>
    </w:p>
    <w:p w:rsidR="001C3927" w:rsidRPr="008616DC" w:rsidRDefault="00A50C96" w:rsidP="001C3927">
      <w:pPr>
        <w:spacing w:line="240" w:lineRule="auto"/>
        <w:jc w:val="both"/>
        <w:rPr>
          <w:i/>
          <w:szCs w:val="22"/>
        </w:rPr>
      </w:pPr>
      <w:r>
        <w:rPr>
          <w:i/>
          <w:szCs w:val="22"/>
        </w:rPr>
        <w:t>Nefropatia</w:t>
      </w:r>
    </w:p>
    <w:p w:rsidR="001C3927" w:rsidRPr="008616DC" w:rsidRDefault="00A50C96" w:rsidP="001C3927">
      <w:pPr>
        <w:spacing w:line="240" w:lineRule="auto"/>
        <w:jc w:val="both"/>
        <w:rPr>
          <w:szCs w:val="22"/>
        </w:rPr>
      </w:pPr>
      <w:r>
        <w:rPr>
          <w:szCs w:val="22"/>
        </w:rPr>
        <w:t>Chronické užívanie analgetík, predovšetkým v prípade kombinovaného užívania niekoľkých analgetík s obsahom odlišných aktívnych zložiek, môže viesť k trvalému poškodeniu obličiek, vrátane rizika ich zlyhávania. Tam, kde to je relevantné, pacientov treba na túto možnosť upozorniť.</w:t>
      </w:r>
    </w:p>
    <w:p w:rsidR="001C3927" w:rsidRPr="008616DC" w:rsidRDefault="001C3927">
      <w:pPr>
        <w:tabs>
          <w:tab w:val="clear" w:pos="567"/>
        </w:tabs>
        <w:spacing w:line="240" w:lineRule="auto"/>
        <w:jc w:val="both"/>
        <w:rPr>
          <w:szCs w:val="22"/>
        </w:rPr>
      </w:pPr>
    </w:p>
    <w:p w:rsidR="00732556" w:rsidRPr="008616DC" w:rsidRDefault="00A50C96">
      <w:pPr>
        <w:tabs>
          <w:tab w:val="clear" w:pos="567"/>
        </w:tabs>
        <w:spacing w:line="240" w:lineRule="auto"/>
        <w:jc w:val="both"/>
        <w:rPr>
          <w:szCs w:val="22"/>
          <w:u w:val="single"/>
        </w:rPr>
      </w:pPr>
      <w:r>
        <w:rPr>
          <w:szCs w:val="22"/>
          <w:u w:val="single"/>
        </w:rPr>
        <w:t>Laboratórne vyšetrenia</w:t>
      </w:r>
    </w:p>
    <w:p w:rsidR="00B620D7" w:rsidRPr="008616DC" w:rsidRDefault="00A50C96" w:rsidP="00B620D7">
      <w:pPr>
        <w:tabs>
          <w:tab w:val="clear" w:pos="567"/>
        </w:tabs>
        <w:spacing w:line="240" w:lineRule="auto"/>
        <w:jc w:val="both"/>
        <w:rPr>
          <w:szCs w:val="22"/>
        </w:rPr>
      </w:pPr>
      <w:r>
        <w:rPr>
          <w:szCs w:val="22"/>
        </w:rPr>
        <w:t>V závislosti od dĺžky liečby diklofenakom môžu byť indikované nasledovné testy: sérový ionogram, acidobázická rovnováha, rovnováha tekutín, aktivita pečeňových enzýmov v sére, renálna funkcia, krvný obraz, koagulačný a hemokultový test.</w:t>
      </w:r>
    </w:p>
    <w:p w:rsidR="00B620D7" w:rsidRPr="008616DC" w:rsidRDefault="00B620D7" w:rsidP="00B620D7">
      <w:pPr>
        <w:tabs>
          <w:tab w:val="clear" w:pos="567"/>
        </w:tabs>
        <w:spacing w:line="240" w:lineRule="auto"/>
        <w:jc w:val="both"/>
        <w:rPr>
          <w:szCs w:val="22"/>
        </w:rPr>
      </w:pPr>
    </w:p>
    <w:p w:rsidR="00732556" w:rsidRPr="008616DC" w:rsidRDefault="00A50C96">
      <w:pPr>
        <w:tabs>
          <w:tab w:val="clear" w:pos="567"/>
        </w:tabs>
        <w:spacing w:line="240" w:lineRule="auto"/>
        <w:jc w:val="both"/>
        <w:rPr>
          <w:szCs w:val="22"/>
        </w:rPr>
      </w:pPr>
      <w:r>
        <w:rPr>
          <w:szCs w:val="22"/>
        </w:rPr>
        <w:t>Pri súčasnom užívaní perorálnych antidiabetík je potrebné monitorovať hladinu krvnej glukózy.</w:t>
      </w:r>
    </w:p>
    <w:p w:rsidR="00732556" w:rsidRPr="008616DC" w:rsidRDefault="00732556">
      <w:pPr>
        <w:tabs>
          <w:tab w:val="clear" w:pos="567"/>
        </w:tabs>
        <w:spacing w:line="240" w:lineRule="auto"/>
        <w:jc w:val="both"/>
        <w:rPr>
          <w:szCs w:val="22"/>
        </w:rPr>
      </w:pPr>
    </w:p>
    <w:p w:rsidR="009C5596" w:rsidRPr="008616DC" w:rsidRDefault="00A50C96" w:rsidP="009C5596">
      <w:pPr>
        <w:tabs>
          <w:tab w:val="clear" w:pos="567"/>
        </w:tabs>
        <w:spacing w:line="240" w:lineRule="auto"/>
        <w:jc w:val="both"/>
        <w:rPr>
          <w:szCs w:val="22"/>
        </w:rPr>
      </w:pPr>
      <w:r>
        <w:rPr>
          <w:szCs w:val="22"/>
        </w:rPr>
        <w:t>Pri súčasnom užívaní diuretík šetriacich draslík, je potrebné monitorovať hladinu draslíka v krvi. Ak sa súčasne podávajú antikoagulanciá, je nutné monitorovať koagulačné parametre.</w:t>
      </w:r>
    </w:p>
    <w:p w:rsidR="009C5596" w:rsidRPr="008616DC" w:rsidRDefault="009C5596" w:rsidP="009C5596">
      <w:pPr>
        <w:tabs>
          <w:tab w:val="clear" w:pos="567"/>
        </w:tabs>
        <w:spacing w:line="240" w:lineRule="auto"/>
        <w:jc w:val="both"/>
        <w:rPr>
          <w:szCs w:val="22"/>
        </w:rPr>
      </w:pPr>
    </w:p>
    <w:p w:rsidR="009C5596" w:rsidRPr="008616DC" w:rsidRDefault="00A50C96" w:rsidP="009C5596">
      <w:pPr>
        <w:tabs>
          <w:tab w:val="clear" w:pos="567"/>
        </w:tabs>
        <w:spacing w:line="240" w:lineRule="auto"/>
        <w:jc w:val="both"/>
        <w:rPr>
          <w:szCs w:val="22"/>
        </w:rPr>
      </w:pPr>
      <w:r>
        <w:rPr>
          <w:szCs w:val="22"/>
        </w:rPr>
        <w:t>Užívanie preparátov s obsahom vitamínu B</w:t>
      </w:r>
      <w:r>
        <w:rPr>
          <w:szCs w:val="22"/>
          <w:vertAlign w:val="subscript"/>
        </w:rPr>
        <w:t xml:space="preserve">12 </w:t>
      </w:r>
      <w:r>
        <w:rPr>
          <w:szCs w:val="22"/>
        </w:rPr>
        <w:t>môže skresliť klinický obraz a laboratórne nálezy funikulárnej myelózy a pernicióznej anémie.</w:t>
      </w:r>
    </w:p>
    <w:p w:rsidR="009C5596" w:rsidRPr="008616DC" w:rsidRDefault="009C5596" w:rsidP="009C5596">
      <w:pPr>
        <w:tabs>
          <w:tab w:val="clear" w:pos="567"/>
        </w:tabs>
        <w:spacing w:line="240" w:lineRule="auto"/>
        <w:jc w:val="both"/>
        <w:rPr>
          <w:szCs w:val="22"/>
        </w:rPr>
      </w:pPr>
    </w:p>
    <w:p w:rsidR="002E472B" w:rsidRPr="008616DC" w:rsidRDefault="00A50C96" w:rsidP="009C5596">
      <w:pPr>
        <w:tabs>
          <w:tab w:val="clear" w:pos="567"/>
        </w:tabs>
        <w:spacing w:line="240" w:lineRule="auto"/>
        <w:jc w:val="both"/>
        <w:rPr>
          <w:szCs w:val="22"/>
        </w:rPr>
      </w:pPr>
      <w:r>
        <w:rPr>
          <w:szCs w:val="22"/>
        </w:rPr>
        <w:t>Pre ďalšie informácie pozri časť 4.5.</w:t>
      </w:r>
    </w:p>
    <w:p w:rsidR="002E472B" w:rsidRPr="008616DC" w:rsidRDefault="002E472B">
      <w:pPr>
        <w:tabs>
          <w:tab w:val="clear" w:pos="567"/>
        </w:tabs>
        <w:spacing w:line="240" w:lineRule="auto"/>
        <w:jc w:val="both"/>
        <w:rPr>
          <w:szCs w:val="22"/>
        </w:rPr>
      </w:pPr>
    </w:p>
    <w:p w:rsidR="002E472B" w:rsidRPr="008616DC" w:rsidRDefault="00A50C96">
      <w:pPr>
        <w:tabs>
          <w:tab w:val="clear" w:pos="567"/>
        </w:tabs>
        <w:spacing w:line="240" w:lineRule="auto"/>
        <w:jc w:val="both"/>
        <w:rPr>
          <w:szCs w:val="22"/>
        </w:rPr>
      </w:pPr>
      <w:r>
        <w:rPr>
          <w:szCs w:val="22"/>
        </w:rPr>
        <w:t>Pre informácie ohľadom fertility u žien pozri časť 4.6.</w:t>
      </w:r>
    </w:p>
    <w:p w:rsidR="00C75AD9" w:rsidRPr="008616DC" w:rsidRDefault="00C75AD9">
      <w:pPr>
        <w:tabs>
          <w:tab w:val="clear" w:pos="567"/>
        </w:tabs>
        <w:spacing w:line="240" w:lineRule="auto"/>
        <w:jc w:val="both"/>
        <w:rPr>
          <w:szCs w:val="22"/>
        </w:rPr>
      </w:pPr>
    </w:p>
    <w:p w:rsidR="009C5596" w:rsidRPr="008616DC" w:rsidRDefault="00A50C96" w:rsidP="004F6D3D">
      <w:pPr>
        <w:keepNext/>
        <w:spacing w:line="240" w:lineRule="auto"/>
        <w:outlineLvl w:val="0"/>
        <w:rPr>
          <w:szCs w:val="22"/>
        </w:rPr>
      </w:pPr>
      <w:r>
        <w:rPr>
          <w:b/>
          <w:szCs w:val="22"/>
        </w:rPr>
        <w:lastRenderedPageBreak/>
        <w:t>4.5</w:t>
      </w:r>
      <w:r>
        <w:rPr>
          <w:b/>
          <w:szCs w:val="22"/>
        </w:rPr>
        <w:tab/>
        <w:t>Liekové a iné interakcie</w:t>
      </w:r>
    </w:p>
    <w:p w:rsidR="00BB465C" w:rsidRPr="008616DC" w:rsidRDefault="00BB465C" w:rsidP="00BB465C">
      <w:pPr>
        <w:tabs>
          <w:tab w:val="clear" w:pos="567"/>
        </w:tabs>
        <w:spacing w:line="240" w:lineRule="auto"/>
        <w:jc w:val="both"/>
        <w:rPr>
          <w:szCs w:val="22"/>
        </w:rPr>
      </w:pPr>
    </w:p>
    <w:tbl>
      <w:tblPr>
        <w:tblW w:w="9221" w:type="dxa"/>
        <w:tblInd w:w="40" w:type="dxa"/>
        <w:tblLayout w:type="fixed"/>
        <w:tblCellMar>
          <w:left w:w="40" w:type="dxa"/>
          <w:right w:w="40" w:type="dxa"/>
        </w:tblCellMar>
        <w:tblLook w:val="0000" w:firstRow="0" w:lastRow="0" w:firstColumn="0" w:lastColumn="0" w:noHBand="0" w:noVBand="0"/>
      </w:tblPr>
      <w:tblGrid>
        <w:gridCol w:w="4610"/>
        <w:gridCol w:w="4611"/>
      </w:tblGrid>
      <w:tr w:rsidR="00BB465C" w:rsidRPr="008616DC" w:rsidTr="005B2886">
        <w:trPr>
          <w:trHeight w:hRule="exact" w:val="365"/>
          <w:tblHeader/>
        </w:trPr>
        <w:tc>
          <w:tcPr>
            <w:tcW w:w="4610" w:type="dxa"/>
            <w:tcBorders>
              <w:top w:val="single" w:sz="6" w:space="0" w:color="auto"/>
              <w:left w:val="single" w:sz="6" w:space="0" w:color="auto"/>
              <w:bottom w:val="single" w:sz="6" w:space="0" w:color="auto"/>
              <w:right w:val="single" w:sz="6" w:space="0" w:color="auto"/>
            </w:tcBorders>
            <w:shd w:val="clear" w:color="auto" w:fill="D9D9D9"/>
            <w:vAlign w:val="center"/>
          </w:tcPr>
          <w:p w:rsidR="00BB465C" w:rsidRPr="008616DC" w:rsidRDefault="00A50C96" w:rsidP="004F6D3D">
            <w:pPr>
              <w:tabs>
                <w:tab w:val="clear" w:pos="567"/>
              </w:tabs>
              <w:spacing w:line="240" w:lineRule="auto"/>
              <w:jc w:val="center"/>
              <w:rPr>
                <w:b/>
                <w:szCs w:val="22"/>
              </w:rPr>
            </w:pPr>
            <w:r>
              <w:rPr>
                <w:b/>
                <w:szCs w:val="22"/>
              </w:rPr>
              <w:t xml:space="preserve">Súbežné </w:t>
            </w:r>
            <w:r>
              <w:rPr>
                <w:b/>
                <w:bCs/>
                <w:szCs w:val="22"/>
              </w:rPr>
              <w:t>podávanie diklofenaku s:</w:t>
            </w:r>
          </w:p>
        </w:tc>
        <w:tc>
          <w:tcPr>
            <w:tcW w:w="4611" w:type="dxa"/>
            <w:tcBorders>
              <w:top w:val="single" w:sz="6" w:space="0" w:color="auto"/>
              <w:left w:val="single" w:sz="6" w:space="0" w:color="auto"/>
              <w:bottom w:val="single" w:sz="6" w:space="0" w:color="auto"/>
              <w:right w:val="single" w:sz="6" w:space="0" w:color="auto"/>
            </w:tcBorders>
            <w:shd w:val="clear" w:color="auto" w:fill="D9D9D9"/>
            <w:vAlign w:val="center"/>
          </w:tcPr>
          <w:p w:rsidR="00BB465C" w:rsidRPr="008616DC" w:rsidRDefault="00A50C96" w:rsidP="004F6D3D">
            <w:pPr>
              <w:tabs>
                <w:tab w:val="clear" w:pos="567"/>
              </w:tabs>
              <w:spacing w:line="240" w:lineRule="auto"/>
              <w:jc w:val="center"/>
              <w:rPr>
                <w:b/>
                <w:szCs w:val="22"/>
              </w:rPr>
            </w:pPr>
            <w:r>
              <w:rPr>
                <w:b/>
                <w:bCs/>
                <w:spacing w:val="-2"/>
                <w:szCs w:val="22"/>
              </w:rPr>
              <w:t>Môžu sa objaviť nasledovné reakcie:</w:t>
            </w:r>
          </w:p>
        </w:tc>
      </w:tr>
      <w:tr w:rsidR="00BB465C" w:rsidRPr="008616DC" w:rsidTr="005B2886">
        <w:trPr>
          <w:trHeight w:hRule="exact" w:val="849"/>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sidRPr="00A50C96">
              <w:rPr>
                <w:i/>
                <w:szCs w:val="22"/>
              </w:rPr>
              <w:t>Kyselina acetylsalicylová</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43"/>
              <w:rPr>
                <w:szCs w:val="22"/>
              </w:rPr>
            </w:pPr>
            <w:r>
              <w:rPr>
                <w:szCs w:val="22"/>
              </w:rPr>
              <w:t>Vzájomné znižovanie koncentrácie v sére a zvýšenie rizika gastrointestinálneho poškodenia (táto kombinácia sa neodporúča)</w:t>
            </w:r>
          </w:p>
        </w:tc>
      </w:tr>
      <w:tr w:rsidR="00BB465C" w:rsidRPr="008616DC" w:rsidTr="005B2886">
        <w:trPr>
          <w:trHeight w:hRule="exact" w:val="891"/>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Alkohol</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50"/>
              <w:rPr>
                <w:szCs w:val="22"/>
              </w:rPr>
            </w:pPr>
            <w:r>
              <w:rPr>
                <w:szCs w:val="22"/>
              </w:rPr>
              <w:t>Zvýšené riziko exacerbácie potenciálneho gastrointestinálneho krvácania (tejto kombinácii sa treba vyhnúť)</w:t>
            </w:r>
          </w:p>
        </w:tc>
      </w:tr>
      <w:tr w:rsidR="00BB465C" w:rsidRPr="008616DC" w:rsidTr="005B2886">
        <w:trPr>
          <w:trHeight w:hRule="exact" w:val="837"/>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946"/>
              <w:rPr>
                <w:i/>
                <w:szCs w:val="22"/>
              </w:rPr>
            </w:pPr>
            <w:r>
              <w:rPr>
                <w:i/>
                <w:szCs w:val="22"/>
              </w:rPr>
              <w:t>Antikoagulanciá a antiagregačné lieky</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17"/>
              <w:rPr>
                <w:szCs w:val="22"/>
              </w:rPr>
            </w:pPr>
            <w:r>
              <w:rPr>
                <w:spacing w:val="-1"/>
                <w:szCs w:val="22"/>
              </w:rPr>
              <w:t xml:space="preserve">Opatrnosť kvôli možnosti vyššieho rizika krvácania (pozri časť 4.4) – odporúča sa sledovanie stavu koagulácie </w:t>
            </w:r>
          </w:p>
          <w:p w:rsidR="00BB465C" w:rsidRPr="008616DC" w:rsidRDefault="00BB465C" w:rsidP="00467391">
            <w:pPr>
              <w:shd w:val="clear" w:color="auto" w:fill="FFFFFF"/>
              <w:spacing w:before="100" w:beforeAutospacing="1" w:after="100" w:afterAutospacing="1"/>
              <w:ind w:right="317"/>
              <w:rPr>
                <w:szCs w:val="22"/>
              </w:rPr>
            </w:pPr>
          </w:p>
        </w:tc>
      </w:tr>
      <w:tr w:rsidR="00BB465C" w:rsidRPr="008616DC" w:rsidTr="005B2886">
        <w:trPr>
          <w:trHeight w:hRule="exact" w:val="591"/>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Perorálne antidiabetiká</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szCs w:val="22"/>
              </w:rPr>
            </w:pPr>
            <w:r>
              <w:rPr>
                <w:szCs w:val="22"/>
              </w:rPr>
              <w:t>Možný výskyt fluktuácie hladiny glukózy v krvi (odporúča sa časté monitorovanie)</w:t>
            </w:r>
          </w:p>
        </w:tc>
      </w:tr>
      <w:tr w:rsidR="00BB465C" w:rsidRPr="008616DC" w:rsidTr="005B2886">
        <w:trPr>
          <w:trHeight w:hRule="exact" w:val="881"/>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sidRPr="00A50C96">
              <w:rPr>
                <w:i/>
                <w:szCs w:val="22"/>
              </w:rPr>
              <w:t>Srdcové glykozidy (napr. digoxín)</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418"/>
              <w:rPr>
                <w:szCs w:val="22"/>
              </w:rPr>
            </w:pPr>
            <w:r>
              <w:rPr>
                <w:szCs w:val="22"/>
              </w:rPr>
              <w:t>Zvýšenie hladiny glykozidov v krvi – odporúča sa monitorovanie stavu a v prípade potreby upravenie dávkovania</w:t>
            </w:r>
          </w:p>
        </w:tc>
      </w:tr>
      <w:tr w:rsidR="00BB465C" w:rsidRPr="008616DC" w:rsidTr="005B2886">
        <w:trPr>
          <w:trHeight w:hRule="exact" w:val="1606"/>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F6D3D">
            <w:pPr>
              <w:shd w:val="clear" w:color="auto" w:fill="FFFFFF"/>
              <w:spacing w:before="100" w:beforeAutospacing="1" w:after="100" w:afterAutospacing="1"/>
              <w:ind w:right="53"/>
              <w:rPr>
                <w:i/>
                <w:szCs w:val="22"/>
              </w:rPr>
            </w:pPr>
            <w:r w:rsidRPr="00A50C96">
              <w:rPr>
                <w:i/>
                <w:szCs w:val="22"/>
              </w:rPr>
              <w:t>Cyklosporín</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F6D3D">
            <w:pPr>
              <w:shd w:val="clear" w:color="auto" w:fill="FFFFFF"/>
              <w:spacing w:line="240" w:lineRule="auto"/>
              <w:ind w:right="53"/>
              <w:rPr>
                <w:szCs w:val="22"/>
              </w:rPr>
            </w:pPr>
            <w:r>
              <w:rPr>
                <w:spacing w:val="-1"/>
                <w:szCs w:val="22"/>
              </w:rPr>
              <w:t>Hyperkaliémia, zvýšené riziko gastrointestinálneho poškodenia, nefrotoxicity a hepatotoxicity (tejto kombinácii je potrebné sa vyhnúť alebo znížiť dávkovanie diklofenaku; odporúča sa monitorovanie funkcie pečene a obličiek</w:t>
            </w:r>
            <w:r>
              <w:rPr>
                <w:szCs w:val="22"/>
              </w:rPr>
              <w:t>)</w:t>
            </w:r>
          </w:p>
        </w:tc>
      </w:tr>
      <w:tr w:rsidR="00BB465C" w:rsidRPr="008616DC" w:rsidTr="005B2886">
        <w:trPr>
          <w:trHeight w:hRule="exact" w:val="1133"/>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842A31">
            <w:pPr>
              <w:shd w:val="clear" w:color="auto" w:fill="FFFFFF"/>
              <w:spacing w:before="100" w:beforeAutospacing="1" w:after="100" w:afterAutospacing="1"/>
              <w:rPr>
                <w:i/>
                <w:szCs w:val="22"/>
              </w:rPr>
            </w:pPr>
            <w:r>
              <w:rPr>
                <w:i/>
                <w:szCs w:val="22"/>
              </w:rPr>
              <w:t>Kolestyramín, kolestipol</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15239F">
            <w:pPr>
              <w:shd w:val="clear" w:color="auto" w:fill="FFFFFF"/>
              <w:spacing w:before="100" w:beforeAutospacing="1" w:after="100" w:afterAutospacing="1"/>
              <w:rPr>
                <w:szCs w:val="22"/>
              </w:rPr>
            </w:pPr>
            <w:r>
              <w:rPr>
                <w:szCs w:val="22"/>
              </w:rPr>
              <w:t xml:space="preserve">Oneskorená alebo znížená absorpcia diklofenaku; diklofenak sa má podávať 1 hodinu pred alebo 4 až 6 hodín po užití </w:t>
            </w:r>
            <w:r w:rsidR="007311F7">
              <w:rPr>
                <w:szCs w:val="22"/>
              </w:rPr>
              <w:t>k</w:t>
            </w:r>
            <w:r w:rsidR="0030633D" w:rsidRPr="008616DC">
              <w:rPr>
                <w:szCs w:val="22"/>
              </w:rPr>
              <w:t>olestyramínu/kolestipolu.</w:t>
            </w:r>
          </w:p>
        </w:tc>
      </w:tr>
      <w:tr w:rsidR="00BB465C" w:rsidRPr="008616DC" w:rsidTr="005B2886">
        <w:trPr>
          <w:trHeight w:hRule="exact" w:val="634"/>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Kortikosteroidy</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418"/>
              <w:rPr>
                <w:szCs w:val="22"/>
              </w:rPr>
            </w:pPr>
            <w:r>
              <w:rPr>
                <w:szCs w:val="22"/>
              </w:rPr>
              <w:t xml:space="preserve">Zvýšené riziko gastrointestinálnej ulcerácie alebo krvácania (pozri časť </w:t>
            </w:r>
            <w:r w:rsidRPr="00A50C96">
              <w:rPr>
                <w:spacing w:val="-1"/>
                <w:szCs w:val="22"/>
              </w:rPr>
              <w:t>4.4)</w:t>
            </w:r>
          </w:p>
        </w:tc>
      </w:tr>
      <w:tr w:rsidR="00BB465C" w:rsidRPr="008616DC" w:rsidTr="005B2886">
        <w:trPr>
          <w:trHeight w:hRule="exact" w:val="1131"/>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102"/>
              <w:rPr>
                <w:i/>
                <w:szCs w:val="22"/>
              </w:rPr>
            </w:pPr>
            <w:r>
              <w:rPr>
                <w:i/>
                <w:szCs w:val="22"/>
              </w:rPr>
              <w:t>Potentné inhibítory CYP2C9 (ako napr. sulfinpyrazón a vorikonazol</w:t>
            </w:r>
            <w:r w:rsidRPr="00A50C96">
              <w:rPr>
                <w:i/>
                <w:szCs w:val="22"/>
              </w:rPr>
              <w:t>)</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tabs>
                <w:tab w:val="left" w:pos="4525"/>
              </w:tabs>
              <w:spacing w:before="100" w:beforeAutospacing="1" w:after="100" w:afterAutospacing="1"/>
              <w:ind w:right="216"/>
              <w:rPr>
                <w:szCs w:val="22"/>
              </w:rPr>
            </w:pPr>
            <w:r>
              <w:rPr>
                <w:spacing w:val="-1"/>
                <w:szCs w:val="22"/>
              </w:rPr>
              <w:t>Významný nárast plazmatickej hladiny diklofenaku v dôsledku inhibície metabolizmu diklofenaku (odporúčané zníženie dávky) diklofenaku a monitorovanie stavu</w:t>
            </w:r>
            <w:r w:rsidRPr="00A50C96">
              <w:rPr>
                <w:szCs w:val="22"/>
              </w:rPr>
              <w:t>)</w:t>
            </w:r>
          </w:p>
        </w:tc>
      </w:tr>
      <w:tr w:rsidR="00BB465C" w:rsidRPr="008616DC" w:rsidTr="005B2886">
        <w:trPr>
          <w:trHeight w:hRule="exact" w:val="3125"/>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Diuretiká alebo antihypertenzíva (napr. betablokátory, inhibítory ACE)</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30633D" w:rsidRPr="008616DC" w:rsidRDefault="00A50C96" w:rsidP="0030633D">
            <w:pPr>
              <w:shd w:val="clear" w:color="auto" w:fill="FFFFFF"/>
              <w:ind w:right="109"/>
              <w:rPr>
                <w:szCs w:val="22"/>
              </w:rPr>
            </w:pPr>
            <w:r>
              <w:rPr>
                <w:szCs w:val="22"/>
              </w:rPr>
              <w:t xml:space="preserve">Pozri časť 4.4; </w:t>
            </w:r>
          </w:p>
          <w:p w:rsidR="0030633D" w:rsidRPr="008616DC" w:rsidRDefault="0030633D" w:rsidP="0030633D">
            <w:pPr>
              <w:shd w:val="clear" w:color="auto" w:fill="FFFFFF"/>
              <w:ind w:right="109"/>
              <w:rPr>
                <w:szCs w:val="22"/>
              </w:rPr>
            </w:pPr>
          </w:p>
          <w:p w:rsidR="0030633D" w:rsidRPr="008616DC" w:rsidRDefault="00A50C96" w:rsidP="0030633D">
            <w:pPr>
              <w:shd w:val="clear" w:color="auto" w:fill="FFFFFF"/>
              <w:ind w:right="109"/>
              <w:rPr>
                <w:szCs w:val="22"/>
              </w:rPr>
            </w:pPr>
            <w:r>
              <w:rPr>
                <w:szCs w:val="22"/>
              </w:rPr>
              <w:t xml:space="preserve">Rovnako ako pri ostatných NSAID, aj tu môže dôjsť k zníženiu antihypertenzívneho účinku (najmä u starších pacientov sa odporúča častejšie monitorovanie krvného tlaku). Zvýšené riziko nefrotoxicity v dôsledku inhibície cyklooxygenázy (najmä u dehydrovaných jedincov môže dôjsť k akútnemu zlyhaniu obličiek - monitorovanie funkcie obličiek, dostatočná hydratácia je nutná!) </w:t>
            </w:r>
          </w:p>
          <w:p w:rsidR="00BB465C" w:rsidRPr="008616DC" w:rsidRDefault="00A50C96" w:rsidP="0030633D">
            <w:pPr>
              <w:shd w:val="clear" w:color="auto" w:fill="FFFFFF"/>
              <w:ind w:right="109"/>
              <w:rPr>
                <w:szCs w:val="22"/>
              </w:rPr>
            </w:pPr>
            <w:r>
              <w:rPr>
                <w:szCs w:val="22"/>
              </w:rPr>
              <w:t>Pozri tiež „diuretiká šetriace draslík“.</w:t>
            </w:r>
          </w:p>
          <w:p w:rsidR="00BB465C" w:rsidRPr="008616DC" w:rsidRDefault="00BB465C" w:rsidP="00467391">
            <w:pPr>
              <w:shd w:val="clear" w:color="auto" w:fill="FFFFFF"/>
              <w:spacing w:before="100" w:beforeAutospacing="1" w:after="100" w:afterAutospacing="1"/>
              <w:ind w:right="109"/>
              <w:rPr>
                <w:szCs w:val="22"/>
              </w:rPr>
            </w:pPr>
          </w:p>
        </w:tc>
      </w:tr>
      <w:tr w:rsidR="00BB465C" w:rsidRPr="008616DC" w:rsidTr="005B2886">
        <w:trPr>
          <w:trHeight w:hRule="exact" w:val="801"/>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sidRPr="00A50C96">
              <w:rPr>
                <w:i/>
                <w:szCs w:val="22"/>
              </w:rPr>
              <w:t>Diuretiká šetriace draslík</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173"/>
              <w:rPr>
                <w:szCs w:val="22"/>
              </w:rPr>
            </w:pPr>
            <w:r>
              <w:rPr>
                <w:szCs w:val="22"/>
              </w:rPr>
              <w:t>Zvýšený účinok a riziko hyperkaliémie (odporúča sa monitorovanie krvného tlaku a hladiny draslíka)</w:t>
            </w:r>
          </w:p>
        </w:tc>
      </w:tr>
      <w:tr w:rsidR="00BB465C" w:rsidRPr="008616DC" w:rsidTr="005B2886">
        <w:trPr>
          <w:trHeight w:hRule="exact" w:val="4199"/>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lastRenderedPageBreak/>
              <w:t>Lítium</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F6D3D">
            <w:pPr>
              <w:shd w:val="clear" w:color="auto" w:fill="FFFFFF"/>
              <w:spacing w:before="100" w:beforeAutospacing="1" w:after="100" w:afterAutospacing="1"/>
              <w:ind w:right="29"/>
              <w:rPr>
                <w:szCs w:val="22"/>
              </w:rPr>
            </w:pPr>
            <w:r>
              <w:rPr>
                <w:spacing w:val="-1"/>
                <w:szCs w:val="22"/>
              </w:rPr>
              <w:t>Zvýšenie hladín lítia v krvi – odporúča sa monitorovanie a v prípade potreby upravenie dávkovania</w:t>
            </w:r>
          </w:p>
        </w:tc>
      </w:tr>
      <w:tr w:rsidR="00BB465C" w:rsidRPr="008616DC" w:rsidTr="005B2886">
        <w:trPr>
          <w:trHeight w:hRule="exact" w:val="344"/>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Moklobemid</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53"/>
              <w:rPr>
                <w:spacing w:val="-1"/>
                <w:szCs w:val="22"/>
              </w:rPr>
            </w:pPr>
            <w:r>
              <w:rPr>
                <w:szCs w:val="22"/>
              </w:rPr>
              <w:t>Zvýšený účinok diklofenaku</w:t>
            </w:r>
          </w:p>
        </w:tc>
      </w:tr>
      <w:tr w:rsidR="00BB465C" w:rsidRPr="008616DC" w:rsidTr="005B2886">
        <w:trPr>
          <w:trHeight w:hRule="exact" w:val="1667"/>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Metotrexát</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53"/>
              <w:rPr>
                <w:spacing w:val="-1"/>
                <w:szCs w:val="22"/>
              </w:rPr>
            </w:pPr>
            <w:r>
              <w:rPr>
                <w:spacing w:val="-1"/>
                <w:szCs w:val="22"/>
              </w:rPr>
              <w:t>Diklofenak môže inhibovať renálny tubulárny klírens. Treba zvýšiť opatrnosť, ak sa NSAID podávajú menej ako 24 hodín pred alebo po užití metotrexátu; môže dôjsť k zvýšeniu koncentrácie metotrexátu v krvi, ako aj jeho toxicity.</w:t>
            </w:r>
          </w:p>
          <w:p w:rsidR="00BB465C" w:rsidRPr="008616DC" w:rsidRDefault="00A50C96" w:rsidP="00467391">
            <w:pPr>
              <w:shd w:val="clear" w:color="auto" w:fill="FFFFFF"/>
              <w:spacing w:before="100" w:beforeAutospacing="1" w:after="100" w:afterAutospacing="1"/>
              <w:ind w:right="53"/>
              <w:rPr>
                <w:szCs w:val="22"/>
              </w:rPr>
            </w:pPr>
            <w:r>
              <w:rPr>
                <w:spacing w:val="-1"/>
                <w:szCs w:val="22"/>
              </w:rPr>
              <w:t xml:space="preserve"> </w:t>
            </w:r>
          </w:p>
        </w:tc>
      </w:tr>
      <w:tr w:rsidR="00BB465C" w:rsidRPr="008616DC" w:rsidTr="005B2886">
        <w:trPr>
          <w:trHeight w:hRule="exact" w:val="1138"/>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Iné NSAID</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173"/>
              <w:rPr>
                <w:szCs w:val="22"/>
              </w:rPr>
            </w:pPr>
            <w:r>
              <w:rPr>
                <w:spacing w:val="-1"/>
                <w:szCs w:val="22"/>
              </w:rPr>
              <w:t>Zvýšený výskyt nežiaducich účinkov, najmä vyššie riziko gastrointestinálnej ulcerácie alebo krvácania, pozri časť 4.4 (kombinácia sa neodporúča</w:t>
            </w:r>
            <w:r>
              <w:rPr>
                <w:szCs w:val="22"/>
              </w:rPr>
              <w:t>)</w:t>
            </w:r>
          </w:p>
        </w:tc>
      </w:tr>
      <w:tr w:rsidR="00BB465C" w:rsidRPr="008616DC" w:rsidTr="005B2886">
        <w:trPr>
          <w:trHeight w:hRule="exact" w:val="2118"/>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F6D3D">
            <w:pPr>
              <w:shd w:val="clear" w:color="auto" w:fill="FFFFFF"/>
              <w:spacing w:before="100" w:beforeAutospacing="1" w:after="100" w:afterAutospacing="1"/>
              <w:rPr>
                <w:i/>
                <w:szCs w:val="22"/>
              </w:rPr>
            </w:pPr>
            <w:r>
              <w:rPr>
                <w:szCs w:val="22"/>
              </w:rPr>
              <w:t>Fenytoín</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F6D3D">
            <w:pPr>
              <w:shd w:val="clear" w:color="auto" w:fill="FFFFFF"/>
              <w:spacing w:before="100" w:beforeAutospacing="1" w:after="100" w:afterAutospacing="1"/>
              <w:ind w:right="139"/>
              <w:rPr>
                <w:szCs w:val="22"/>
              </w:rPr>
            </w:pPr>
            <w:r>
              <w:rPr>
                <w:szCs w:val="22"/>
              </w:rPr>
              <w:t xml:space="preserve">V dôsledku očakávaného zvýšenia plazmatickej hladiny fenytoínu sa odporúča jeho monitorovanie / v prípade potreby upraviť dávkovanie </w:t>
            </w:r>
          </w:p>
        </w:tc>
      </w:tr>
      <w:tr w:rsidR="00BB465C" w:rsidRPr="008616DC" w:rsidTr="005B2886">
        <w:trPr>
          <w:trHeight w:hRule="exact" w:val="612"/>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Chinolóny</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9B06CF">
            <w:pPr>
              <w:shd w:val="clear" w:color="auto" w:fill="FFFFFF"/>
              <w:spacing w:before="100" w:beforeAutospacing="1" w:after="100" w:afterAutospacing="1"/>
              <w:ind w:right="38"/>
              <w:rPr>
                <w:szCs w:val="22"/>
              </w:rPr>
            </w:pPr>
            <w:r>
              <w:rPr>
                <w:spacing w:val="-1"/>
                <w:szCs w:val="22"/>
              </w:rPr>
              <w:t>Boli hlásené kŕče (kombinácia sa neodporúča</w:t>
            </w:r>
            <w:r>
              <w:rPr>
                <w:szCs w:val="22"/>
              </w:rPr>
              <w:t>)</w:t>
            </w:r>
          </w:p>
        </w:tc>
      </w:tr>
      <w:tr w:rsidR="00BB465C" w:rsidRPr="008616DC" w:rsidTr="005B2886">
        <w:trPr>
          <w:trHeight w:hRule="exact" w:val="590"/>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36"/>
              <w:rPr>
                <w:i/>
                <w:szCs w:val="22"/>
              </w:rPr>
            </w:pPr>
            <w:r>
              <w:rPr>
                <w:i/>
                <w:spacing w:val="-2"/>
                <w:szCs w:val="22"/>
              </w:rPr>
              <w:t>Selektívne inhibítory spätného vychytávania sérotonínu</w:t>
            </w:r>
            <w:r>
              <w:rPr>
                <w:i/>
                <w:szCs w:val="22"/>
              </w:rPr>
              <w:t xml:space="preserve"> (SSRI)</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17"/>
              <w:rPr>
                <w:szCs w:val="22"/>
              </w:rPr>
            </w:pPr>
            <w:r>
              <w:rPr>
                <w:spacing w:val="-1"/>
                <w:szCs w:val="22"/>
              </w:rPr>
              <w:t xml:space="preserve">Zvýšené riziko gastrointestinálneho krvácania (pozri časť </w:t>
            </w:r>
            <w:r>
              <w:rPr>
                <w:szCs w:val="22"/>
              </w:rPr>
              <w:t>4.4)</w:t>
            </w:r>
          </w:p>
        </w:tc>
      </w:tr>
      <w:tr w:rsidR="00BB465C" w:rsidRPr="008616DC" w:rsidTr="005B2886">
        <w:trPr>
          <w:trHeight w:hRule="exact" w:val="568"/>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Takrolimus</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F6D3D">
            <w:pPr>
              <w:spacing w:line="240" w:lineRule="auto"/>
              <w:rPr>
                <w:szCs w:val="22"/>
              </w:rPr>
            </w:pPr>
            <w:r>
              <w:rPr>
                <w:spacing w:val="-1"/>
                <w:szCs w:val="22"/>
              </w:rPr>
              <w:t>Hyperkaliémia, zlyhanie obličiek (je potrebné vyhnúť sa kombinácii)</w:t>
            </w:r>
          </w:p>
        </w:tc>
      </w:tr>
      <w:tr w:rsidR="00BB465C" w:rsidRPr="008616DC" w:rsidTr="005B2886">
        <w:trPr>
          <w:trHeight w:hRule="exact" w:val="360"/>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Triamterén</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szCs w:val="22"/>
              </w:rPr>
            </w:pPr>
            <w:r>
              <w:rPr>
                <w:szCs w:val="22"/>
              </w:rPr>
              <w:t>Zlyhanie obličiek</w:t>
            </w:r>
          </w:p>
        </w:tc>
      </w:tr>
      <w:tr w:rsidR="00BB465C" w:rsidRPr="008616DC" w:rsidTr="005B2886">
        <w:trPr>
          <w:trHeight w:hRule="exact" w:val="566"/>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Trimetoprim</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spacing w:val="-1"/>
                <w:szCs w:val="22"/>
              </w:rPr>
            </w:pPr>
            <w:r>
              <w:rPr>
                <w:spacing w:val="-1"/>
                <w:szCs w:val="22"/>
              </w:rPr>
              <w:t>Hyperkaliémia (odporúča sa dôkladné monitorovanie stavu)</w:t>
            </w:r>
          </w:p>
        </w:tc>
      </w:tr>
      <w:tr w:rsidR="00BB465C" w:rsidRPr="008616DC" w:rsidTr="005B2886">
        <w:trPr>
          <w:trHeight w:hRule="exact" w:val="289"/>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15239F">
            <w:pPr>
              <w:shd w:val="clear" w:color="auto" w:fill="FFFFFF"/>
              <w:spacing w:before="100" w:beforeAutospacing="1" w:after="100" w:afterAutospacing="1"/>
              <w:rPr>
                <w:i/>
                <w:szCs w:val="22"/>
              </w:rPr>
            </w:pPr>
            <w:r>
              <w:rPr>
                <w:i/>
                <w:szCs w:val="22"/>
              </w:rPr>
              <w:t>Zidovudín</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F6D3D">
            <w:pPr>
              <w:shd w:val="clear" w:color="auto" w:fill="FFFFFF"/>
              <w:spacing w:before="100" w:beforeAutospacing="1" w:after="100" w:afterAutospacing="1"/>
              <w:rPr>
                <w:spacing w:val="-1"/>
                <w:szCs w:val="22"/>
              </w:rPr>
            </w:pPr>
            <w:r>
              <w:rPr>
                <w:szCs w:val="22"/>
              </w:rPr>
              <w:t>Zvýšené riziko hematotoxicity</w:t>
            </w:r>
          </w:p>
        </w:tc>
      </w:tr>
    </w:tbl>
    <w:p w:rsidR="00BB465C" w:rsidRPr="008616DC" w:rsidRDefault="00BB465C" w:rsidP="00BB465C">
      <w:pPr>
        <w:rPr>
          <w:szCs w:val="22"/>
        </w:rPr>
      </w:pPr>
    </w:p>
    <w:p w:rsidR="00BB465C" w:rsidRPr="008616DC" w:rsidRDefault="00BB465C" w:rsidP="00BB465C">
      <w:pPr>
        <w:rPr>
          <w:szCs w:val="22"/>
        </w:rPr>
      </w:pPr>
    </w:p>
    <w:tbl>
      <w:tblPr>
        <w:tblW w:w="9221" w:type="dxa"/>
        <w:tblInd w:w="40" w:type="dxa"/>
        <w:tblLayout w:type="fixed"/>
        <w:tblCellMar>
          <w:left w:w="40" w:type="dxa"/>
          <w:right w:w="40" w:type="dxa"/>
        </w:tblCellMar>
        <w:tblLook w:val="0000" w:firstRow="0" w:lastRow="0" w:firstColumn="0" w:lastColumn="0" w:noHBand="0" w:noVBand="0"/>
      </w:tblPr>
      <w:tblGrid>
        <w:gridCol w:w="4610"/>
        <w:gridCol w:w="4611"/>
      </w:tblGrid>
      <w:tr w:rsidR="00BB465C" w:rsidRPr="008616DC" w:rsidTr="005B2886">
        <w:trPr>
          <w:trHeight w:hRule="exact" w:val="392"/>
        </w:trPr>
        <w:tc>
          <w:tcPr>
            <w:tcW w:w="4610" w:type="dxa"/>
            <w:tcBorders>
              <w:top w:val="single" w:sz="6" w:space="0" w:color="auto"/>
              <w:left w:val="single" w:sz="6" w:space="0" w:color="auto"/>
              <w:bottom w:val="single" w:sz="6" w:space="0" w:color="auto"/>
              <w:right w:val="single" w:sz="6" w:space="0" w:color="auto"/>
            </w:tcBorders>
            <w:shd w:val="clear" w:color="auto" w:fill="D9D9D9"/>
            <w:vAlign w:val="center"/>
          </w:tcPr>
          <w:p w:rsidR="00BB465C" w:rsidRPr="008616DC" w:rsidRDefault="00A50C96" w:rsidP="004F6D3D">
            <w:pPr>
              <w:tabs>
                <w:tab w:val="clear" w:pos="567"/>
              </w:tabs>
              <w:spacing w:line="240" w:lineRule="auto"/>
              <w:jc w:val="center"/>
              <w:rPr>
                <w:b/>
                <w:szCs w:val="22"/>
              </w:rPr>
            </w:pPr>
            <w:r>
              <w:rPr>
                <w:b/>
                <w:szCs w:val="22"/>
              </w:rPr>
              <w:t>Súbežné podávanie tiamínu s:</w:t>
            </w:r>
          </w:p>
        </w:tc>
        <w:tc>
          <w:tcPr>
            <w:tcW w:w="4611" w:type="dxa"/>
            <w:tcBorders>
              <w:top w:val="single" w:sz="6" w:space="0" w:color="auto"/>
              <w:left w:val="single" w:sz="6" w:space="0" w:color="auto"/>
              <w:bottom w:val="single" w:sz="6" w:space="0" w:color="auto"/>
              <w:right w:val="single" w:sz="6" w:space="0" w:color="auto"/>
            </w:tcBorders>
            <w:shd w:val="clear" w:color="auto" w:fill="D9D9D9"/>
            <w:vAlign w:val="center"/>
          </w:tcPr>
          <w:p w:rsidR="00BB465C" w:rsidRPr="008616DC" w:rsidRDefault="00A50C96" w:rsidP="004F6D3D">
            <w:pPr>
              <w:tabs>
                <w:tab w:val="clear" w:pos="567"/>
              </w:tabs>
              <w:spacing w:line="240" w:lineRule="auto"/>
              <w:jc w:val="center"/>
              <w:rPr>
                <w:b/>
                <w:szCs w:val="22"/>
              </w:rPr>
            </w:pPr>
            <w:r>
              <w:rPr>
                <w:b/>
                <w:bCs/>
                <w:spacing w:val="-2"/>
                <w:szCs w:val="22"/>
              </w:rPr>
              <w:t>Môžu sa objaviť nasledovné reakcie</w:t>
            </w:r>
            <w:r w:rsidRPr="00A50C96">
              <w:rPr>
                <w:b/>
                <w:szCs w:val="22"/>
              </w:rPr>
              <w:t>:</w:t>
            </w:r>
          </w:p>
        </w:tc>
      </w:tr>
      <w:tr w:rsidR="00BB465C" w:rsidRPr="008616DC" w:rsidTr="005B2886">
        <w:trPr>
          <w:trHeight w:hRule="exact" w:val="755"/>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lastRenderedPageBreak/>
              <w:t>Alkohol, čaj</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50"/>
              <w:rPr>
                <w:szCs w:val="22"/>
              </w:rPr>
            </w:pPr>
            <w:r>
              <w:rPr>
                <w:szCs w:val="22"/>
              </w:rPr>
              <w:t>Znížená absorpcia tiamínu</w:t>
            </w:r>
          </w:p>
        </w:tc>
      </w:tr>
      <w:tr w:rsidR="00BB465C" w:rsidRPr="008616DC" w:rsidTr="005B2886">
        <w:trPr>
          <w:trHeight w:hRule="exact" w:val="444"/>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sidRPr="00A50C96">
              <w:rPr>
                <w:i/>
                <w:szCs w:val="22"/>
              </w:rPr>
              <w:t>Antacidá</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50"/>
              <w:rPr>
                <w:szCs w:val="22"/>
              </w:rPr>
            </w:pPr>
            <w:r>
              <w:rPr>
                <w:szCs w:val="22"/>
              </w:rPr>
              <w:t>Znížená absorpcia tiamínu</w:t>
            </w:r>
          </w:p>
        </w:tc>
      </w:tr>
      <w:tr w:rsidR="00BB465C" w:rsidRPr="008616DC" w:rsidTr="005B2886">
        <w:trPr>
          <w:trHeight w:hRule="exact" w:val="420"/>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 xml:space="preserve">Nápoje obsahujúce siričitany (napr. víno) </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szCs w:val="22"/>
              </w:rPr>
            </w:pPr>
            <w:r>
              <w:rPr>
                <w:szCs w:val="22"/>
              </w:rPr>
              <w:t>Zvýšené odbúravanie tiamínu</w:t>
            </w:r>
          </w:p>
        </w:tc>
      </w:tr>
      <w:tr w:rsidR="00BB465C" w:rsidRPr="008616DC" w:rsidTr="005B2886">
        <w:trPr>
          <w:trHeight w:hRule="exact" w:val="914"/>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5-fluorouracil</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50"/>
              <w:rPr>
                <w:szCs w:val="22"/>
              </w:rPr>
            </w:pPr>
            <w:r>
              <w:rPr>
                <w:szCs w:val="22"/>
              </w:rPr>
              <w:t>Kompetitívna inhibícia fosforylácie tiamínu na tiamín pyrofosfát - inaktivácia tiamínu.</w:t>
            </w:r>
          </w:p>
        </w:tc>
      </w:tr>
      <w:tr w:rsidR="00BB465C" w:rsidRPr="008616DC" w:rsidTr="005B2886">
        <w:trPr>
          <w:trHeight w:hRule="exact" w:val="876"/>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sidRPr="00A50C96">
              <w:rPr>
                <w:i/>
                <w:szCs w:val="22"/>
              </w:rPr>
              <w:t>Slučkové diuretiká, napr. furosemid</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50"/>
              <w:rPr>
                <w:szCs w:val="22"/>
              </w:rPr>
            </w:pPr>
            <w:r>
              <w:rPr>
                <w:szCs w:val="22"/>
              </w:rPr>
              <w:t>Inhibícia tubulárnej reabsorpcie a následné zvýšenie vylučovania tiamínu počas dlhodobej liečby (znižovanie hladiny tiamínu)</w:t>
            </w:r>
          </w:p>
          <w:p w:rsidR="00BB465C" w:rsidRPr="008616DC" w:rsidRDefault="00BB465C" w:rsidP="00467391">
            <w:pPr>
              <w:shd w:val="clear" w:color="auto" w:fill="FFFFFF"/>
              <w:spacing w:before="100" w:beforeAutospacing="1" w:after="100" w:afterAutospacing="1"/>
              <w:ind w:right="350"/>
              <w:rPr>
                <w:szCs w:val="22"/>
              </w:rPr>
            </w:pPr>
          </w:p>
        </w:tc>
      </w:tr>
    </w:tbl>
    <w:p w:rsidR="00BB465C" w:rsidRPr="008616DC" w:rsidRDefault="00BB465C" w:rsidP="00BB465C">
      <w:pPr>
        <w:rPr>
          <w:szCs w:val="22"/>
        </w:rPr>
      </w:pPr>
    </w:p>
    <w:p w:rsidR="00BB465C" w:rsidRPr="008616DC" w:rsidRDefault="00BB465C" w:rsidP="00BB465C">
      <w:pPr>
        <w:rPr>
          <w:szCs w:val="22"/>
        </w:rPr>
      </w:pPr>
    </w:p>
    <w:tbl>
      <w:tblPr>
        <w:tblW w:w="9221" w:type="dxa"/>
        <w:tblInd w:w="40" w:type="dxa"/>
        <w:tblLayout w:type="fixed"/>
        <w:tblCellMar>
          <w:left w:w="40" w:type="dxa"/>
          <w:right w:w="40" w:type="dxa"/>
        </w:tblCellMar>
        <w:tblLook w:val="0000" w:firstRow="0" w:lastRow="0" w:firstColumn="0" w:lastColumn="0" w:noHBand="0" w:noVBand="0"/>
      </w:tblPr>
      <w:tblGrid>
        <w:gridCol w:w="4610"/>
        <w:gridCol w:w="4611"/>
      </w:tblGrid>
      <w:tr w:rsidR="00BB465C" w:rsidRPr="008616DC" w:rsidTr="005B2886">
        <w:trPr>
          <w:trHeight w:hRule="exact" w:val="392"/>
        </w:trPr>
        <w:tc>
          <w:tcPr>
            <w:tcW w:w="4610" w:type="dxa"/>
            <w:tcBorders>
              <w:top w:val="single" w:sz="6" w:space="0" w:color="auto"/>
              <w:left w:val="single" w:sz="6" w:space="0" w:color="auto"/>
              <w:bottom w:val="single" w:sz="6" w:space="0" w:color="auto"/>
              <w:right w:val="single" w:sz="6" w:space="0" w:color="auto"/>
            </w:tcBorders>
            <w:shd w:val="clear" w:color="auto" w:fill="D9D9D9"/>
            <w:vAlign w:val="center"/>
          </w:tcPr>
          <w:p w:rsidR="00BB465C" w:rsidRPr="008616DC" w:rsidRDefault="00A50C96" w:rsidP="004F6D3D">
            <w:pPr>
              <w:tabs>
                <w:tab w:val="clear" w:pos="567"/>
              </w:tabs>
              <w:spacing w:line="240" w:lineRule="auto"/>
              <w:jc w:val="center"/>
              <w:rPr>
                <w:b/>
                <w:szCs w:val="22"/>
                <w:highlight w:val="yellow"/>
              </w:rPr>
            </w:pPr>
            <w:r>
              <w:rPr>
                <w:b/>
                <w:szCs w:val="22"/>
              </w:rPr>
              <w:t>Súbežné podávanie pyridoxínu s:</w:t>
            </w:r>
          </w:p>
        </w:tc>
        <w:tc>
          <w:tcPr>
            <w:tcW w:w="4611" w:type="dxa"/>
            <w:tcBorders>
              <w:top w:val="single" w:sz="6" w:space="0" w:color="auto"/>
              <w:left w:val="single" w:sz="6" w:space="0" w:color="auto"/>
              <w:bottom w:val="single" w:sz="6" w:space="0" w:color="auto"/>
              <w:right w:val="single" w:sz="6" w:space="0" w:color="auto"/>
            </w:tcBorders>
            <w:shd w:val="clear" w:color="auto" w:fill="D9D9D9"/>
            <w:vAlign w:val="center"/>
          </w:tcPr>
          <w:p w:rsidR="00BB465C" w:rsidRPr="008616DC" w:rsidRDefault="00A50C96" w:rsidP="004F6D3D">
            <w:pPr>
              <w:tabs>
                <w:tab w:val="clear" w:pos="567"/>
              </w:tabs>
              <w:spacing w:line="240" w:lineRule="auto"/>
              <w:jc w:val="center"/>
              <w:rPr>
                <w:b/>
                <w:szCs w:val="22"/>
                <w:highlight w:val="yellow"/>
              </w:rPr>
            </w:pPr>
            <w:r>
              <w:rPr>
                <w:b/>
                <w:bCs/>
                <w:spacing w:val="-2"/>
                <w:szCs w:val="22"/>
              </w:rPr>
              <w:t>Môžu sa objaviť nasledovné reakcie</w:t>
            </w:r>
            <w:r w:rsidRPr="00A50C96">
              <w:rPr>
                <w:b/>
                <w:szCs w:val="22"/>
              </w:rPr>
              <w:t>:</w:t>
            </w:r>
          </w:p>
        </w:tc>
      </w:tr>
      <w:tr w:rsidR="00BB465C" w:rsidRPr="008616DC" w:rsidTr="005B2886">
        <w:trPr>
          <w:trHeight w:hRule="exact" w:val="445"/>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sidRPr="00A50C96">
              <w:rPr>
                <w:i/>
                <w:szCs w:val="22"/>
              </w:rPr>
              <w:t>L-dopa</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50"/>
              <w:rPr>
                <w:szCs w:val="22"/>
              </w:rPr>
            </w:pPr>
            <w:r>
              <w:rPr>
                <w:szCs w:val="22"/>
              </w:rPr>
              <w:t>Znížený účinok levodopy</w:t>
            </w:r>
          </w:p>
        </w:tc>
      </w:tr>
      <w:tr w:rsidR="00BB465C" w:rsidRPr="008616DC" w:rsidTr="005B2886">
        <w:trPr>
          <w:trHeight w:hRule="exact" w:val="1263"/>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122D3E">
            <w:pPr>
              <w:shd w:val="clear" w:color="auto" w:fill="FFFFFF"/>
              <w:spacing w:before="100" w:beforeAutospacing="1" w:after="100" w:afterAutospacing="1"/>
              <w:rPr>
                <w:i/>
                <w:szCs w:val="22"/>
              </w:rPr>
            </w:pPr>
            <w:r>
              <w:rPr>
                <w:i/>
                <w:szCs w:val="22"/>
              </w:rPr>
              <w:t>Antagonisty pyridoxínu (napr. izoniazid, hydralazín, D-penicilamín, cykloserín</w:t>
            </w:r>
            <w:r>
              <w:rPr>
                <w:szCs w:val="22"/>
              </w:rPr>
              <w:t xml:space="preserve">) </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023A08">
            <w:pPr>
              <w:shd w:val="clear" w:color="auto" w:fill="FFFFFF"/>
              <w:spacing w:before="100" w:beforeAutospacing="1" w:after="100" w:afterAutospacing="1"/>
              <w:ind w:right="350"/>
              <w:rPr>
                <w:szCs w:val="22"/>
              </w:rPr>
            </w:pPr>
            <w:r>
              <w:rPr>
                <w:szCs w:val="22"/>
              </w:rPr>
              <w:t>Zvýšená potreba vitamínu B</w:t>
            </w:r>
            <w:r>
              <w:rPr>
                <w:szCs w:val="22"/>
                <w:vertAlign w:val="subscript"/>
              </w:rPr>
              <w:t>6</w:t>
            </w:r>
          </w:p>
        </w:tc>
      </w:tr>
    </w:tbl>
    <w:p w:rsidR="00BB465C" w:rsidRPr="008616DC" w:rsidRDefault="00BB465C" w:rsidP="00BB465C">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outlineLvl w:val="0"/>
        <w:rPr>
          <w:szCs w:val="22"/>
        </w:rPr>
      </w:pPr>
      <w:r>
        <w:rPr>
          <w:b/>
          <w:szCs w:val="22"/>
        </w:rPr>
        <w:t>4.6</w:t>
      </w:r>
      <w:r>
        <w:rPr>
          <w:b/>
          <w:szCs w:val="22"/>
        </w:rPr>
        <w:tab/>
        <w:t>Fertilita, gravidita a laktácia</w:t>
      </w:r>
    </w:p>
    <w:p w:rsidR="003539E8" w:rsidRPr="008616DC" w:rsidRDefault="003539E8" w:rsidP="004F6D3D">
      <w:pPr>
        <w:tabs>
          <w:tab w:val="clear" w:pos="567"/>
        </w:tabs>
        <w:spacing w:line="240" w:lineRule="auto"/>
        <w:jc w:val="both"/>
        <w:rPr>
          <w:szCs w:val="22"/>
          <w:u w:val="single"/>
        </w:rPr>
      </w:pPr>
    </w:p>
    <w:p w:rsidR="00521CB7" w:rsidRPr="008616DC" w:rsidRDefault="00A50C96" w:rsidP="00521CB7">
      <w:pPr>
        <w:tabs>
          <w:tab w:val="clear" w:pos="567"/>
        </w:tabs>
        <w:spacing w:line="240" w:lineRule="auto"/>
        <w:jc w:val="both"/>
        <w:rPr>
          <w:szCs w:val="22"/>
          <w:u w:val="single"/>
        </w:rPr>
      </w:pPr>
      <w:r>
        <w:rPr>
          <w:bCs/>
          <w:szCs w:val="22"/>
          <w:u w:val="single"/>
        </w:rPr>
        <w:t>Gravidita</w:t>
      </w:r>
    </w:p>
    <w:p w:rsidR="00521CB7" w:rsidRPr="008616DC" w:rsidRDefault="00A50C96" w:rsidP="00521CB7">
      <w:pPr>
        <w:tabs>
          <w:tab w:val="clear" w:pos="567"/>
        </w:tabs>
        <w:spacing w:line="240" w:lineRule="auto"/>
        <w:jc w:val="both"/>
        <w:rPr>
          <w:i/>
          <w:szCs w:val="22"/>
        </w:rPr>
      </w:pPr>
      <w:r>
        <w:rPr>
          <w:bCs/>
          <w:i/>
          <w:iCs/>
          <w:szCs w:val="22"/>
        </w:rPr>
        <w:t>Diklofenak</w:t>
      </w:r>
    </w:p>
    <w:p w:rsidR="00521CB7" w:rsidRPr="008616DC" w:rsidRDefault="00A50C96" w:rsidP="00521CB7">
      <w:pPr>
        <w:jc w:val="both"/>
        <w:rPr>
          <w:szCs w:val="22"/>
        </w:rPr>
      </w:pPr>
      <w:r>
        <w:rPr>
          <w:szCs w:val="22"/>
        </w:rPr>
        <w:t>Inhibícia syntézy prostaglandínov môže nepriaznivo ovplyvniť graviditu a/alebo embryo/vývoj plodu. Údaje z epidemiologických štúdií naznačujú zvýšené riziko potratu a/alebo srdcovej malformácie a gastroschízy po užívaní inhibítorov syntézy prostaglandínov v počiatočnom štádiu gravidity. Predpokladá sa, že dávkou a dĺžkou liečby sa riziko zvyšuje.</w:t>
      </w:r>
    </w:p>
    <w:p w:rsidR="00521CB7" w:rsidRPr="008616DC" w:rsidRDefault="00A50C96" w:rsidP="00521CB7">
      <w:pPr>
        <w:jc w:val="both"/>
        <w:rPr>
          <w:szCs w:val="22"/>
        </w:rPr>
      </w:pPr>
      <w:r>
        <w:rPr>
          <w:szCs w:val="22"/>
        </w:rPr>
        <w:t>Absolútne riziko vzniku kardiovaskulárnych malformácií sa zvýšilo z menej ako 1 % až na približne 1,5 %.</w:t>
      </w:r>
    </w:p>
    <w:p w:rsidR="00521CB7" w:rsidRPr="008616DC" w:rsidRDefault="00A50C96" w:rsidP="004F6D3D">
      <w:pPr>
        <w:tabs>
          <w:tab w:val="clear" w:pos="567"/>
        </w:tabs>
        <w:spacing w:line="240" w:lineRule="auto"/>
        <w:jc w:val="both"/>
        <w:rPr>
          <w:szCs w:val="22"/>
        </w:rPr>
      </w:pPr>
      <w:r>
        <w:rPr>
          <w:szCs w:val="22"/>
        </w:rPr>
        <w:t>U zvierat sa ukázalo, že podávanie inhibítora syntézy prostaglandínov vedie k zvýšeniu predimplantačných a postimplantačných strát a embryofetálnym úmrtiam. Pri zvieratách, ktorým sa počas organogenetického obdobia podával inhibítor syntézy prostaglandínov, sa ďalej zaznamenal zvýšený výskyt rôznych malformácií, vrátane kardiovaskulárnych.</w:t>
      </w:r>
    </w:p>
    <w:p w:rsidR="006E7505" w:rsidRPr="008616DC" w:rsidRDefault="006E7505" w:rsidP="00C0437B">
      <w:pPr>
        <w:jc w:val="both"/>
        <w:rPr>
          <w:szCs w:val="22"/>
        </w:rPr>
      </w:pPr>
    </w:p>
    <w:p w:rsidR="00C0437B" w:rsidRPr="008616DC" w:rsidRDefault="00A50C96" w:rsidP="00C0437B">
      <w:pPr>
        <w:jc w:val="both"/>
        <w:rPr>
          <w:szCs w:val="22"/>
        </w:rPr>
      </w:pPr>
      <w:r>
        <w:rPr>
          <w:szCs w:val="22"/>
        </w:rPr>
        <w:t>Počas prvého a druhého trimestra gravidity sa môže diklofenak podávať len v prípade, ak je jasne indikovaný. Ak diklofenak užíva žena, ktorá sa snaží otehotnieť, alebo v prvom alebo druhom trimestri gravidity, dávka musí byť čo najnižšia a dĺžka liečby čo najkratšia.</w:t>
      </w:r>
    </w:p>
    <w:p w:rsidR="006E7505" w:rsidRPr="008616DC" w:rsidRDefault="006E7505" w:rsidP="00C0437B">
      <w:pPr>
        <w:jc w:val="both"/>
        <w:rPr>
          <w:szCs w:val="22"/>
        </w:rPr>
      </w:pPr>
    </w:p>
    <w:p w:rsidR="006E7505" w:rsidRPr="008616DC" w:rsidRDefault="00A50C96" w:rsidP="00C0437B">
      <w:pPr>
        <w:jc w:val="both"/>
        <w:rPr>
          <w:szCs w:val="22"/>
        </w:rPr>
      </w:pPr>
      <w:r>
        <w:rPr>
          <w:szCs w:val="22"/>
        </w:rPr>
        <w:t>Počas tretieho trimestra gravidity môžu všetky inhibítory syntézy prostaglandínov:</w:t>
      </w:r>
    </w:p>
    <w:p w:rsidR="00C0437B" w:rsidRPr="008616DC" w:rsidRDefault="00A50C96" w:rsidP="006E7505">
      <w:pPr>
        <w:numPr>
          <w:ilvl w:val="0"/>
          <w:numId w:val="10"/>
        </w:numPr>
        <w:ind w:left="567" w:hanging="567"/>
        <w:jc w:val="both"/>
        <w:rPr>
          <w:b/>
          <w:szCs w:val="22"/>
        </w:rPr>
      </w:pPr>
      <w:r>
        <w:rPr>
          <w:b/>
          <w:bCs/>
          <w:szCs w:val="22"/>
        </w:rPr>
        <w:t>vystaviť plod nasledovným rizikám</w:t>
      </w:r>
      <w:r>
        <w:rPr>
          <w:b/>
          <w:szCs w:val="22"/>
        </w:rPr>
        <w:t>:</w:t>
      </w:r>
    </w:p>
    <w:p w:rsidR="00C0437B" w:rsidRPr="008616DC" w:rsidRDefault="00A50C96" w:rsidP="00AD676D">
      <w:pPr>
        <w:numPr>
          <w:ilvl w:val="1"/>
          <w:numId w:val="11"/>
        </w:numPr>
        <w:tabs>
          <w:tab w:val="clear" w:pos="567"/>
        </w:tabs>
        <w:ind w:left="1134" w:hanging="567"/>
        <w:jc w:val="both"/>
        <w:rPr>
          <w:szCs w:val="22"/>
        </w:rPr>
      </w:pPr>
      <w:r>
        <w:rPr>
          <w:szCs w:val="22"/>
        </w:rPr>
        <w:t>kardiopulmonálnej toxicite (s predčasným uzavretím ductus arteriosus a pulmonálnou hypertenziou)</w:t>
      </w:r>
    </w:p>
    <w:p w:rsidR="00C0437B" w:rsidRPr="008616DC" w:rsidRDefault="00A50C96" w:rsidP="004F6D3D">
      <w:pPr>
        <w:numPr>
          <w:ilvl w:val="1"/>
          <w:numId w:val="11"/>
        </w:numPr>
        <w:tabs>
          <w:tab w:val="clear" w:pos="567"/>
          <w:tab w:val="left" w:pos="851"/>
        </w:tabs>
        <w:ind w:left="1134" w:hanging="567"/>
        <w:jc w:val="both"/>
        <w:rPr>
          <w:szCs w:val="22"/>
        </w:rPr>
      </w:pPr>
      <w:r>
        <w:rPr>
          <w:szCs w:val="22"/>
        </w:rPr>
        <w:tab/>
        <w:t>obličkovej dysfunkcii, ktorá môže postúpiť až do zlyhania funkcie obličiek s oligohydramniózou</w:t>
      </w:r>
    </w:p>
    <w:p w:rsidR="00C0437B" w:rsidRPr="008616DC" w:rsidRDefault="00A50C96" w:rsidP="006E7505">
      <w:pPr>
        <w:numPr>
          <w:ilvl w:val="0"/>
          <w:numId w:val="10"/>
        </w:numPr>
        <w:ind w:left="567" w:hanging="567"/>
        <w:jc w:val="both"/>
        <w:rPr>
          <w:b/>
          <w:szCs w:val="22"/>
        </w:rPr>
      </w:pPr>
      <w:r>
        <w:rPr>
          <w:b/>
          <w:bCs/>
          <w:szCs w:val="22"/>
        </w:rPr>
        <w:t>na konci gravidity vystaviť matku a dieťa nasledovným rizikám</w:t>
      </w:r>
      <w:r>
        <w:rPr>
          <w:b/>
          <w:szCs w:val="22"/>
        </w:rPr>
        <w:t xml:space="preserve">: </w:t>
      </w:r>
    </w:p>
    <w:p w:rsidR="00C0437B" w:rsidRPr="008616DC" w:rsidRDefault="00A50C96" w:rsidP="004F6D3D">
      <w:pPr>
        <w:numPr>
          <w:ilvl w:val="1"/>
          <w:numId w:val="11"/>
        </w:numPr>
        <w:tabs>
          <w:tab w:val="clear" w:pos="567"/>
        </w:tabs>
        <w:ind w:left="1134" w:hanging="567"/>
        <w:jc w:val="both"/>
        <w:rPr>
          <w:szCs w:val="22"/>
        </w:rPr>
      </w:pPr>
      <w:r>
        <w:rPr>
          <w:szCs w:val="22"/>
        </w:rPr>
        <w:t xml:space="preserve"> možnému predĺženiu doby krvácania, antiagregačnému účinku, ktorý sa môže objaviť už pri veľmi nízkych dávkach </w:t>
      </w:r>
    </w:p>
    <w:p w:rsidR="00C0437B" w:rsidRPr="008616DC" w:rsidRDefault="00A50C96" w:rsidP="00AD676D">
      <w:pPr>
        <w:numPr>
          <w:ilvl w:val="1"/>
          <w:numId w:val="11"/>
        </w:numPr>
        <w:tabs>
          <w:tab w:val="clear" w:pos="567"/>
        </w:tabs>
        <w:ind w:left="1134" w:hanging="567"/>
        <w:jc w:val="both"/>
        <w:rPr>
          <w:szCs w:val="22"/>
        </w:rPr>
      </w:pPr>
      <w:r>
        <w:rPr>
          <w:szCs w:val="22"/>
        </w:rPr>
        <w:t xml:space="preserve"> inhibícii kontrakcií maternice, ktorá vedie k oddialeniu alebo predĺženiu pôrodu.</w:t>
      </w:r>
    </w:p>
    <w:p w:rsidR="00C0437B" w:rsidRPr="008616DC" w:rsidRDefault="00A50C96" w:rsidP="006E7505">
      <w:pPr>
        <w:tabs>
          <w:tab w:val="clear" w:pos="567"/>
        </w:tabs>
        <w:jc w:val="both"/>
        <w:rPr>
          <w:szCs w:val="22"/>
        </w:rPr>
      </w:pPr>
      <w:r>
        <w:rPr>
          <w:szCs w:val="22"/>
        </w:rPr>
        <w:t xml:space="preserve">Z toho dôvodu je počas tretieho trimestra gravidity podávanie diklofenaku kontraindikované. </w:t>
      </w:r>
    </w:p>
    <w:p w:rsidR="00536F47" w:rsidRPr="008616DC" w:rsidRDefault="00536F47">
      <w:pPr>
        <w:tabs>
          <w:tab w:val="clear" w:pos="567"/>
        </w:tabs>
        <w:spacing w:line="240" w:lineRule="auto"/>
        <w:jc w:val="both"/>
        <w:rPr>
          <w:szCs w:val="22"/>
        </w:rPr>
      </w:pPr>
    </w:p>
    <w:p w:rsidR="00156153" w:rsidRPr="008616DC" w:rsidRDefault="00A50C96" w:rsidP="00156153">
      <w:pPr>
        <w:shd w:val="clear" w:color="auto" w:fill="FFFFFF"/>
        <w:jc w:val="both"/>
        <w:rPr>
          <w:i/>
          <w:szCs w:val="22"/>
        </w:rPr>
      </w:pPr>
      <w:r>
        <w:rPr>
          <w:i/>
          <w:iCs/>
          <w:spacing w:val="-1"/>
          <w:szCs w:val="22"/>
        </w:rPr>
        <w:t>Vitamíny B</w:t>
      </w:r>
      <w:r>
        <w:rPr>
          <w:i/>
          <w:iCs/>
          <w:spacing w:val="-1"/>
          <w:szCs w:val="22"/>
          <w:vertAlign w:val="subscript"/>
        </w:rPr>
        <w:t>1</w:t>
      </w:r>
      <w:r>
        <w:rPr>
          <w:i/>
          <w:iCs/>
          <w:spacing w:val="-1"/>
          <w:szCs w:val="22"/>
        </w:rPr>
        <w:t>, B</w:t>
      </w:r>
      <w:r>
        <w:rPr>
          <w:i/>
          <w:iCs/>
          <w:spacing w:val="-1"/>
          <w:szCs w:val="22"/>
          <w:vertAlign w:val="subscript"/>
        </w:rPr>
        <w:t xml:space="preserve">6 </w:t>
      </w:r>
      <w:r>
        <w:rPr>
          <w:i/>
          <w:iCs/>
          <w:spacing w:val="-1"/>
          <w:szCs w:val="22"/>
        </w:rPr>
        <w:t>a B</w:t>
      </w:r>
      <w:r>
        <w:rPr>
          <w:i/>
          <w:iCs/>
          <w:spacing w:val="-1"/>
          <w:szCs w:val="22"/>
          <w:vertAlign w:val="subscript"/>
        </w:rPr>
        <w:t>12</w:t>
      </w:r>
    </w:p>
    <w:p w:rsidR="00AD676D" w:rsidRPr="008616DC" w:rsidRDefault="00A50C96" w:rsidP="00156153">
      <w:pPr>
        <w:shd w:val="clear" w:color="auto" w:fill="FFFFFF"/>
        <w:jc w:val="both"/>
        <w:rPr>
          <w:szCs w:val="22"/>
        </w:rPr>
      </w:pPr>
      <w:r>
        <w:rPr>
          <w:szCs w:val="22"/>
        </w:rPr>
        <w:t>Obsah vitamínov v tejto kombinácii výrazne prekračuje odporúčané dávky v období gravidity. Preto sa tento liek nemá užívať počas gravidity.</w:t>
      </w:r>
    </w:p>
    <w:p w:rsidR="00536F47" w:rsidRPr="008616DC" w:rsidRDefault="00536F47">
      <w:pPr>
        <w:tabs>
          <w:tab w:val="clear" w:pos="567"/>
        </w:tabs>
        <w:spacing w:line="240" w:lineRule="auto"/>
        <w:jc w:val="both"/>
        <w:rPr>
          <w:bCs/>
          <w:szCs w:val="22"/>
        </w:rPr>
      </w:pPr>
    </w:p>
    <w:p w:rsidR="00156153" w:rsidRPr="008616DC" w:rsidRDefault="00A50C96" w:rsidP="00156153">
      <w:pPr>
        <w:tabs>
          <w:tab w:val="clear" w:pos="567"/>
        </w:tabs>
        <w:autoSpaceDE w:val="0"/>
        <w:autoSpaceDN w:val="0"/>
        <w:adjustRightInd w:val="0"/>
        <w:spacing w:line="240" w:lineRule="auto"/>
        <w:rPr>
          <w:szCs w:val="22"/>
          <w:u w:val="single"/>
        </w:rPr>
      </w:pPr>
      <w:r>
        <w:rPr>
          <w:szCs w:val="22"/>
          <w:u w:val="single"/>
        </w:rPr>
        <w:t>Dojčenie</w:t>
      </w:r>
    </w:p>
    <w:p w:rsidR="00D16D2E" w:rsidRPr="008616DC" w:rsidRDefault="00A50C96" w:rsidP="00156153">
      <w:pPr>
        <w:tabs>
          <w:tab w:val="clear" w:pos="567"/>
        </w:tabs>
        <w:autoSpaceDE w:val="0"/>
        <w:autoSpaceDN w:val="0"/>
        <w:adjustRightInd w:val="0"/>
        <w:spacing w:line="240" w:lineRule="auto"/>
        <w:jc w:val="both"/>
        <w:rPr>
          <w:szCs w:val="22"/>
        </w:rPr>
      </w:pPr>
      <w:r>
        <w:rPr>
          <w:szCs w:val="22"/>
        </w:rPr>
        <w:t>Vitamíny B</w:t>
      </w:r>
      <w:r>
        <w:rPr>
          <w:szCs w:val="22"/>
          <w:vertAlign w:val="subscript"/>
        </w:rPr>
        <w:t>1</w:t>
      </w:r>
      <w:r>
        <w:rPr>
          <w:szCs w:val="22"/>
        </w:rPr>
        <w:t>, B</w:t>
      </w:r>
      <w:r>
        <w:rPr>
          <w:szCs w:val="22"/>
          <w:vertAlign w:val="subscript"/>
        </w:rPr>
        <w:t>6</w:t>
      </w:r>
      <w:r>
        <w:rPr>
          <w:szCs w:val="22"/>
        </w:rPr>
        <w:t xml:space="preserve"> a B</w:t>
      </w:r>
      <w:r>
        <w:rPr>
          <w:szCs w:val="22"/>
          <w:vertAlign w:val="subscript"/>
        </w:rPr>
        <w:t>12</w:t>
      </w:r>
      <w:r>
        <w:rPr>
          <w:szCs w:val="22"/>
        </w:rPr>
        <w:t xml:space="preserve">, rovnako ako malé množstvá diklofenaku, prechádzajú do materského mlieka. Aby sa predišlo nežiaducim účinkom na dieťa, </w:t>
      </w:r>
      <w:r w:rsidRPr="00A50C96">
        <w:rPr>
          <w:szCs w:val="22"/>
        </w:rPr>
        <w:t xml:space="preserve">Diclovit </w:t>
      </w:r>
      <w:r>
        <w:rPr>
          <w:szCs w:val="22"/>
        </w:rPr>
        <w:t>kapsuly sa nesmú užívať v období laktácie.</w:t>
      </w:r>
    </w:p>
    <w:p w:rsidR="00D16D2E" w:rsidRPr="008616DC" w:rsidRDefault="00D16D2E" w:rsidP="00E41A2C">
      <w:pPr>
        <w:tabs>
          <w:tab w:val="clear" w:pos="567"/>
        </w:tabs>
        <w:autoSpaceDE w:val="0"/>
        <w:autoSpaceDN w:val="0"/>
        <w:adjustRightInd w:val="0"/>
        <w:spacing w:line="240" w:lineRule="auto"/>
        <w:jc w:val="both"/>
        <w:rPr>
          <w:szCs w:val="22"/>
        </w:rPr>
      </w:pPr>
    </w:p>
    <w:p w:rsidR="00156153" w:rsidRPr="008616DC" w:rsidRDefault="00A50C96" w:rsidP="00156153">
      <w:pPr>
        <w:tabs>
          <w:tab w:val="clear" w:pos="567"/>
        </w:tabs>
        <w:autoSpaceDE w:val="0"/>
        <w:autoSpaceDN w:val="0"/>
        <w:adjustRightInd w:val="0"/>
        <w:spacing w:line="240" w:lineRule="auto"/>
        <w:jc w:val="both"/>
        <w:rPr>
          <w:szCs w:val="22"/>
          <w:u w:val="single"/>
        </w:rPr>
      </w:pPr>
      <w:r>
        <w:rPr>
          <w:szCs w:val="22"/>
          <w:u w:val="single"/>
        </w:rPr>
        <w:t>Fertilita</w:t>
      </w:r>
    </w:p>
    <w:p w:rsidR="00156153" w:rsidRPr="008616DC" w:rsidRDefault="00A50C96" w:rsidP="00156153">
      <w:pPr>
        <w:tabs>
          <w:tab w:val="clear" w:pos="567"/>
        </w:tabs>
        <w:autoSpaceDE w:val="0"/>
        <w:autoSpaceDN w:val="0"/>
        <w:adjustRightInd w:val="0"/>
        <w:spacing w:line="240" w:lineRule="auto"/>
        <w:jc w:val="both"/>
        <w:rPr>
          <w:i/>
          <w:szCs w:val="22"/>
        </w:rPr>
      </w:pPr>
      <w:r>
        <w:rPr>
          <w:i/>
          <w:iCs/>
          <w:szCs w:val="22"/>
        </w:rPr>
        <w:t>Diklofenak</w:t>
      </w:r>
    </w:p>
    <w:p w:rsidR="00156153" w:rsidRPr="008616DC" w:rsidRDefault="00A50C96" w:rsidP="00156153">
      <w:pPr>
        <w:tabs>
          <w:tab w:val="clear" w:pos="567"/>
        </w:tabs>
        <w:autoSpaceDE w:val="0"/>
        <w:autoSpaceDN w:val="0"/>
        <w:adjustRightInd w:val="0"/>
        <w:spacing w:line="240" w:lineRule="auto"/>
        <w:jc w:val="both"/>
        <w:rPr>
          <w:szCs w:val="22"/>
        </w:rPr>
      </w:pPr>
      <w:r>
        <w:rPr>
          <w:szCs w:val="22"/>
        </w:rPr>
        <w:t>Prostaglandíny zohrávajú dôležitú úlohu počas ovulácie, implantácie a vaskularizácie placenty. Rovnako ako ostatné nesteroidové protizápalové lieky, aj diklofenak by mohol negatívne ovplyvniť ženskú plodnosť, a preto sa jeho užívanie neodporúča ženám, ktoré sa snažia otehotnieť. Ženy, ktoré majú problémy s otehotnením alebo podstupujú vyšetrenia kvôli týmto problémom, majú zvážiť prerušenie užívania diklofenaku.</w:t>
      </w:r>
    </w:p>
    <w:p w:rsidR="00156153" w:rsidRPr="008616DC" w:rsidRDefault="00156153" w:rsidP="00156153">
      <w:pPr>
        <w:tabs>
          <w:tab w:val="clear" w:pos="567"/>
        </w:tabs>
        <w:autoSpaceDE w:val="0"/>
        <w:autoSpaceDN w:val="0"/>
        <w:adjustRightInd w:val="0"/>
        <w:spacing w:line="240" w:lineRule="auto"/>
        <w:rPr>
          <w:szCs w:val="22"/>
        </w:rPr>
      </w:pPr>
    </w:p>
    <w:p w:rsidR="00156153" w:rsidRPr="008616DC" w:rsidRDefault="00A50C96" w:rsidP="00156153">
      <w:pPr>
        <w:shd w:val="clear" w:color="auto" w:fill="FFFFFF"/>
        <w:jc w:val="both"/>
        <w:rPr>
          <w:i/>
          <w:szCs w:val="22"/>
        </w:rPr>
      </w:pPr>
      <w:r>
        <w:rPr>
          <w:i/>
          <w:iCs/>
          <w:spacing w:val="-1"/>
          <w:szCs w:val="22"/>
        </w:rPr>
        <w:t>Vitamíny B</w:t>
      </w:r>
      <w:r>
        <w:rPr>
          <w:i/>
          <w:iCs/>
          <w:spacing w:val="-1"/>
          <w:szCs w:val="22"/>
          <w:vertAlign w:val="subscript"/>
        </w:rPr>
        <w:t>1</w:t>
      </w:r>
      <w:r>
        <w:rPr>
          <w:i/>
          <w:iCs/>
          <w:spacing w:val="-1"/>
          <w:szCs w:val="22"/>
        </w:rPr>
        <w:t>, B</w:t>
      </w:r>
      <w:r>
        <w:rPr>
          <w:i/>
          <w:iCs/>
          <w:spacing w:val="-1"/>
          <w:szCs w:val="22"/>
          <w:vertAlign w:val="subscript"/>
        </w:rPr>
        <w:t xml:space="preserve">6 </w:t>
      </w:r>
      <w:r>
        <w:rPr>
          <w:i/>
          <w:iCs/>
          <w:spacing w:val="-1"/>
          <w:szCs w:val="22"/>
        </w:rPr>
        <w:t>a B</w:t>
      </w:r>
      <w:r>
        <w:rPr>
          <w:i/>
          <w:iCs/>
          <w:spacing w:val="-1"/>
          <w:szCs w:val="22"/>
          <w:vertAlign w:val="subscript"/>
        </w:rPr>
        <w:t>12</w:t>
      </w:r>
    </w:p>
    <w:p w:rsidR="00621C1A" w:rsidRPr="008616DC" w:rsidRDefault="00A50C96" w:rsidP="00156153">
      <w:pPr>
        <w:tabs>
          <w:tab w:val="clear" w:pos="567"/>
        </w:tabs>
        <w:autoSpaceDE w:val="0"/>
        <w:autoSpaceDN w:val="0"/>
        <w:adjustRightInd w:val="0"/>
        <w:spacing w:line="240" w:lineRule="auto"/>
        <w:rPr>
          <w:szCs w:val="22"/>
        </w:rPr>
      </w:pPr>
      <w:r>
        <w:rPr>
          <w:szCs w:val="22"/>
        </w:rPr>
        <w:t>Nie sú k dispozícii žiadne klinické údaje týkajúce sa ovplyvnenia plodnosti.</w:t>
      </w:r>
    </w:p>
    <w:p w:rsidR="00AD676D" w:rsidRPr="008616DC" w:rsidRDefault="00AD676D">
      <w:pPr>
        <w:tabs>
          <w:tab w:val="clear" w:pos="567"/>
        </w:tabs>
        <w:spacing w:line="240" w:lineRule="auto"/>
        <w:jc w:val="both"/>
        <w:rPr>
          <w:bCs/>
          <w:szCs w:val="22"/>
        </w:rPr>
      </w:pPr>
    </w:p>
    <w:p w:rsidR="00574D94" w:rsidRPr="008616DC" w:rsidRDefault="00A50C96">
      <w:pPr>
        <w:tabs>
          <w:tab w:val="clear" w:pos="567"/>
        </w:tabs>
        <w:spacing w:line="240" w:lineRule="auto"/>
        <w:ind w:left="567" w:hanging="567"/>
        <w:jc w:val="both"/>
        <w:outlineLvl w:val="0"/>
        <w:rPr>
          <w:szCs w:val="22"/>
        </w:rPr>
      </w:pPr>
      <w:r>
        <w:rPr>
          <w:b/>
          <w:szCs w:val="22"/>
        </w:rPr>
        <w:t>4.7</w:t>
      </w:r>
      <w:r>
        <w:rPr>
          <w:b/>
          <w:szCs w:val="22"/>
        </w:rPr>
        <w:tab/>
        <w:t>Ovplyvnenie schopnosti viesť vozidlá a obsluhovať stroje</w:t>
      </w:r>
    </w:p>
    <w:p w:rsidR="003539E8" w:rsidRPr="008616DC" w:rsidRDefault="003539E8" w:rsidP="004F6D3D">
      <w:pPr>
        <w:jc w:val="both"/>
        <w:rPr>
          <w:szCs w:val="22"/>
          <w:highlight w:val="lightGray"/>
        </w:rPr>
      </w:pPr>
    </w:p>
    <w:p w:rsidR="00156153" w:rsidRPr="008616DC" w:rsidRDefault="008F0E15" w:rsidP="00156153">
      <w:pPr>
        <w:jc w:val="both"/>
        <w:rPr>
          <w:szCs w:val="22"/>
        </w:rPr>
      </w:pPr>
      <w:r w:rsidRPr="008F0E15">
        <w:rPr>
          <w:szCs w:val="22"/>
        </w:rPr>
        <w:t xml:space="preserve">Diclovit </w:t>
      </w:r>
      <w:r w:rsidR="00A50C96">
        <w:rPr>
          <w:szCs w:val="22"/>
        </w:rPr>
        <w:t xml:space="preserve">kapsuly majú malý vplyv na schopnosť viesť vozidlá a obsluhovať stroje. </w:t>
      </w:r>
    </w:p>
    <w:p w:rsidR="00574D94" w:rsidRPr="008616DC" w:rsidRDefault="00A50C96" w:rsidP="00156153">
      <w:pPr>
        <w:jc w:val="both"/>
        <w:rPr>
          <w:szCs w:val="22"/>
        </w:rPr>
      </w:pPr>
      <w:r>
        <w:rPr>
          <w:szCs w:val="22"/>
        </w:rPr>
        <w:t>Pacienti, ktorí pociťujú nežiaduce účinky, napr. poruchy videnia, závraty, únavu alebo iné problémy CNS, nemajú viesť motorové vozidlá a obsluhovať stroje.</w:t>
      </w:r>
    </w:p>
    <w:p w:rsidR="00574D94" w:rsidRPr="008616DC" w:rsidRDefault="00574D94">
      <w:pPr>
        <w:tabs>
          <w:tab w:val="clear" w:pos="567"/>
        </w:tabs>
        <w:spacing w:line="240" w:lineRule="auto"/>
        <w:jc w:val="both"/>
        <w:rPr>
          <w:szCs w:val="22"/>
        </w:rPr>
      </w:pPr>
    </w:p>
    <w:p w:rsidR="00574D94" w:rsidRPr="008616DC" w:rsidRDefault="00A50C96" w:rsidP="00156153">
      <w:pPr>
        <w:numPr>
          <w:ilvl w:val="1"/>
          <w:numId w:val="1"/>
        </w:numPr>
        <w:spacing w:line="240" w:lineRule="auto"/>
        <w:jc w:val="both"/>
        <w:outlineLvl w:val="0"/>
        <w:rPr>
          <w:b/>
          <w:szCs w:val="22"/>
        </w:rPr>
      </w:pPr>
      <w:r>
        <w:rPr>
          <w:b/>
          <w:szCs w:val="22"/>
        </w:rPr>
        <w:t>Nežiaduce účinky</w:t>
      </w:r>
    </w:p>
    <w:p w:rsidR="00574D94" w:rsidRPr="008616DC" w:rsidRDefault="00574D94">
      <w:pPr>
        <w:tabs>
          <w:tab w:val="clear" w:pos="567"/>
        </w:tabs>
        <w:spacing w:line="240" w:lineRule="auto"/>
        <w:ind w:left="567" w:hanging="567"/>
        <w:jc w:val="both"/>
        <w:rPr>
          <w:szCs w:val="22"/>
        </w:rPr>
      </w:pPr>
    </w:p>
    <w:p w:rsidR="00674A9D" w:rsidRPr="008616DC" w:rsidRDefault="00A50C96" w:rsidP="00460571">
      <w:pPr>
        <w:pStyle w:val="Odsekzoznamu"/>
        <w:numPr>
          <w:ilvl w:val="0"/>
          <w:numId w:val="16"/>
        </w:numPr>
        <w:tabs>
          <w:tab w:val="clear" w:pos="567"/>
        </w:tabs>
        <w:spacing w:line="240" w:lineRule="auto"/>
        <w:ind w:left="426" w:hanging="426"/>
        <w:jc w:val="both"/>
        <w:rPr>
          <w:i/>
          <w:iCs/>
          <w:szCs w:val="22"/>
          <w:u w:val="single"/>
        </w:rPr>
      </w:pPr>
      <w:r>
        <w:rPr>
          <w:i/>
          <w:iCs/>
          <w:szCs w:val="22"/>
          <w:u w:val="single"/>
        </w:rPr>
        <w:t>Zhrnutie bezpečnostného profilu</w:t>
      </w:r>
    </w:p>
    <w:p w:rsidR="009A30E6" w:rsidRPr="008616DC" w:rsidRDefault="00A50C96">
      <w:pPr>
        <w:tabs>
          <w:tab w:val="clear" w:pos="567"/>
          <w:tab w:val="left" w:pos="1800"/>
        </w:tabs>
        <w:spacing w:line="240" w:lineRule="auto"/>
        <w:jc w:val="both"/>
        <w:rPr>
          <w:szCs w:val="22"/>
        </w:rPr>
      </w:pPr>
      <w:r>
        <w:rPr>
          <w:szCs w:val="22"/>
        </w:rPr>
        <w:t>Najčastejšie pozorované vedľajšie účinky diklofenaku postihujú gastrointestinálny trakt. Výskyt peptických vredov, perforácie alebo gastrointestinálneho krvácania, najmä u starších pacientov, môžu mať fatálne následky. Nevoľnosť, vracanie, hnačka, nadúvanie, zápcha, dyspepsia, bolesti brucha, meléna, hemateméza, ulcerózna stomatitída, exacerbácia ulceróznej kolitídy a Crohnova choroba boli zaznamenané po podaní NSAID (pozri časť 4.4). Menej často bola pozorovaná gastritída.</w:t>
      </w:r>
    </w:p>
    <w:p w:rsidR="009A30E6" w:rsidRPr="008616DC" w:rsidRDefault="009A30E6">
      <w:pPr>
        <w:tabs>
          <w:tab w:val="clear" w:pos="567"/>
          <w:tab w:val="left" w:pos="1800"/>
        </w:tabs>
        <w:spacing w:line="240" w:lineRule="auto"/>
        <w:jc w:val="both"/>
        <w:rPr>
          <w:szCs w:val="22"/>
        </w:rPr>
      </w:pPr>
    </w:p>
    <w:p w:rsidR="009A30E6" w:rsidRPr="008616DC" w:rsidRDefault="00A50C96">
      <w:pPr>
        <w:tabs>
          <w:tab w:val="clear" w:pos="567"/>
          <w:tab w:val="left" w:pos="1800"/>
        </w:tabs>
        <w:spacing w:line="240" w:lineRule="auto"/>
        <w:jc w:val="both"/>
        <w:rPr>
          <w:szCs w:val="22"/>
        </w:rPr>
      </w:pPr>
      <w:r>
        <w:rPr>
          <w:szCs w:val="22"/>
        </w:rPr>
        <w:t>V súvislosti s liečbou nesteroidovými protizápalovými liekmi bol taktiež hlásený edém, hypertenzia a srdcová nedostatočnosť.</w:t>
      </w:r>
    </w:p>
    <w:p w:rsidR="009A30E6" w:rsidRPr="008616DC" w:rsidRDefault="009A30E6" w:rsidP="004F6D3D">
      <w:pPr>
        <w:tabs>
          <w:tab w:val="clear" w:pos="567"/>
        </w:tabs>
        <w:spacing w:line="240" w:lineRule="auto"/>
        <w:jc w:val="both"/>
        <w:rPr>
          <w:szCs w:val="22"/>
        </w:rPr>
      </w:pPr>
    </w:p>
    <w:p w:rsidR="00441A13" w:rsidRPr="008616DC" w:rsidRDefault="00A50C96" w:rsidP="004F6D3D">
      <w:pPr>
        <w:tabs>
          <w:tab w:val="clear" w:pos="567"/>
        </w:tabs>
        <w:spacing w:line="240" w:lineRule="auto"/>
        <w:jc w:val="both"/>
        <w:rPr>
          <w:szCs w:val="22"/>
        </w:rPr>
      </w:pPr>
      <w:r w:rsidRPr="00A50C96">
        <w:rPr>
          <w:szCs w:val="22"/>
        </w:rPr>
        <w:t>Klinické s</w:t>
      </w:r>
      <w:r>
        <w:rPr>
          <w:szCs w:val="22"/>
        </w:rPr>
        <w:t>kúšania a epidemiologické dáta zhodne poukazujú na to, že užívanie diklofenaku, najmä vo vysokých dávkach (150 mg denne) a pri dlhodobej liečbe vedú k zvýšenému riziku arteriálnych trombotických príhod</w:t>
      </w:r>
      <w:r w:rsidRPr="00A50C96">
        <w:rPr>
          <w:szCs w:val="22"/>
        </w:rPr>
        <w:t xml:space="preserve"> (napríklad infarktu myokardu alebo mozgovej príhode</w:t>
      </w:r>
      <w:r>
        <w:rPr>
          <w:szCs w:val="22"/>
        </w:rPr>
        <w:t xml:space="preserve">) </w:t>
      </w:r>
      <w:r w:rsidRPr="00A50C96">
        <w:rPr>
          <w:szCs w:val="22"/>
        </w:rPr>
        <w:t xml:space="preserve">(pozri časti 4.3 a 4.4). </w:t>
      </w:r>
    </w:p>
    <w:p w:rsidR="00C311B9" w:rsidRPr="008616DC" w:rsidRDefault="00A50C96" w:rsidP="005B2886">
      <w:pPr>
        <w:tabs>
          <w:tab w:val="clear" w:pos="567"/>
          <w:tab w:val="left" w:pos="1800"/>
        </w:tabs>
        <w:spacing w:line="240" w:lineRule="auto"/>
        <w:jc w:val="both"/>
        <w:rPr>
          <w:szCs w:val="22"/>
        </w:rPr>
      </w:pPr>
      <w:r>
        <w:rPr>
          <w:szCs w:val="22"/>
        </w:rPr>
        <w:t xml:space="preserve">Pacienti majú byť prípadne poučení o prerušení užívania </w:t>
      </w:r>
      <w:r w:rsidRPr="00A50C96">
        <w:rPr>
          <w:szCs w:val="22"/>
        </w:rPr>
        <w:t xml:space="preserve">Diclovit </w:t>
      </w:r>
      <w:r>
        <w:rPr>
          <w:szCs w:val="22"/>
        </w:rPr>
        <w:t>kapsúl a okamžitom vyhľadaní lekárskej pomoci v prípade prejavu niektorého z vážnych vedľajších účinkov:</w:t>
      </w:r>
    </w:p>
    <w:p w:rsidR="00674A9D" w:rsidRPr="008616DC" w:rsidRDefault="00A50C96" w:rsidP="00460571">
      <w:pPr>
        <w:numPr>
          <w:ilvl w:val="0"/>
          <w:numId w:val="13"/>
        </w:numPr>
        <w:tabs>
          <w:tab w:val="clear" w:pos="567"/>
        </w:tabs>
        <w:spacing w:line="240" w:lineRule="auto"/>
        <w:jc w:val="both"/>
        <w:rPr>
          <w:szCs w:val="22"/>
        </w:rPr>
      </w:pPr>
      <w:r>
        <w:rPr>
          <w:szCs w:val="22"/>
        </w:rPr>
        <w:t>žalúdočné ťažkosti, pálenie záhy, bolesti brucha</w:t>
      </w:r>
    </w:p>
    <w:p w:rsidR="00674A9D" w:rsidRPr="008616DC" w:rsidRDefault="00A50C96" w:rsidP="00460571">
      <w:pPr>
        <w:numPr>
          <w:ilvl w:val="0"/>
          <w:numId w:val="13"/>
        </w:numPr>
        <w:tabs>
          <w:tab w:val="clear" w:pos="567"/>
        </w:tabs>
        <w:spacing w:line="240" w:lineRule="auto"/>
        <w:jc w:val="both"/>
        <w:rPr>
          <w:szCs w:val="22"/>
        </w:rPr>
      </w:pPr>
      <w:r>
        <w:rPr>
          <w:szCs w:val="22"/>
        </w:rPr>
        <w:t>vracanie krvi, čierna stolica, krv v moči</w:t>
      </w:r>
    </w:p>
    <w:p w:rsidR="00674A9D" w:rsidRPr="008616DC" w:rsidRDefault="00A50C96" w:rsidP="00460571">
      <w:pPr>
        <w:numPr>
          <w:ilvl w:val="0"/>
          <w:numId w:val="13"/>
        </w:numPr>
        <w:tabs>
          <w:tab w:val="clear" w:pos="567"/>
        </w:tabs>
        <w:spacing w:line="240" w:lineRule="auto"/>
        <w:jc w:val="both"/>
        <w:rPr>
          <w:szCs w:val="22"/>
        </w:rPr>
      </w:pPr>
      <w:r>
        <w:rPr>
          <w:szCs w:val="22"/>
        </w:rPr>
        <w:t>kožné reakcie, napr. vyrážka alebo svrbenie</w:t>
      </w:r>
    </w:p>
    <w:p w:rsidR="00674A9D" w:rsidRPr="008616DC" w:rsidRDefault="00A50C96" w:rsidP="00460571">
      <w:pPr>
        <w:numPr>
          <w:ilvl w:val="0"/>
          <w:numId w:val="13"/>
        </w:numPr>
        <w:tabs>
          <w:tab w:val="clear" w:pos="567"/>
        </w:tabs>
        <w:spacing w:line="240" w:lineRule="auto"/>
        <w:jc w:val="both"/>
        <w:rPr>
          <w:szCs w:val="22"/>
        </w:rPr>
      </w:pPr>
      <w:r>
        <w:rPr>
          <w:szCs w:val="22"/>
        </w:rPr>
        <w:t>dýchacie ťažkosti, dýchavičnosť, opuchy tváre alebo iných častí hlavy</w:t>
      </w:r>
    </w:p>
    <w:p w:rsidR="00674A9D" w:rsidRPr="008616DC" w:rsidRDefault="00A50C96" w:rsidP="00460571">
      <w:pPr>
        <w:numPr>
          <w:ilvl w:val="0"/>
          <w:numId w:val="13"/>
        </w:numPr>
        <w:tabs>
          <w:tab w:val="clear" w:pos="567"/>
        </w:tabs>
        <w:spacing w:line="240" w:lineRule="auto"/>
        <w:jc w:val="both"/>
        <w:rPr>
          <w:szCs w:val="22"/>
        </w:rPr>
      </w:pPr>
      <w:r>
        <w:rPr>
          <w:szCs w:val="22"/>
        </w:rPr>
        <w:t>zožltnutie kože alebo očí</w:t>
      </w:r>
    </w:p>
    <w:p w:rsidR="00674A9D" w:rsidRPr="008616DC" w:rsidRDefault="00A50C96" w:rsidP="00460571">
      <w:pPr>
        <w:numPr>
          <w:ilvl w:val="0"/>
          <w:numId w:val="13"/>
        </w:numPr>
        <w:tabs>
          <w:tab w:val="clear" w:pos="567"/>
        </w:tabs>
        <w:spacing w:line="240" w:lineRule="auto"/>
        <w:jc w:val="both"/>
        <w:rPr>
          <w:szCs w:val="22"/>
        </w:rPr>
      </w:pPr>
      <w:r>
        <w:rPr>
          <w:szCs w:val="22"/>
        </w:rPr>
        <w:t>výrazná únava a strata chuti do jedla</w:t>
      </w:r>
    </w:p>
    <w:p w:rsidR="00674A9D" w:rsidRPr="008616DC" w:rsidRDefault="00A50C96" w:rsidP="00460571">
      <w:pPr>
        <w:numPr>
          <w:ilvl w:val="0"/>
          <w:numId w:val="13"/>
        </w:numPr>
        <w:tabs>
          <w:tab w:val="clear" w:pos="567"/>
        </w:tabs>
        <w:spacing w:line="240" w:lineRule="auto"/>
        <w:jc w:val="both"/>
        <w:rPr>
          <w:szCs w:val="22"/>
        </w:rPr>
      </w:pPr>
      <w:r>
        <w:rPr>
          <w:szCs w:val="22"/>
        </w:rPr>
        <w:t>pretrvávajúca bolesť hrdla, lézie v ústach, vyčerpanosť alebo horúčka</w:t>
      </w:r>
    </w:p>
    <w:p w:rsidR="00674A9D" w:rsidRPr="008616DC" w:rsidRDefault="00A50C96" w:rsidP="00460571">
      <w:pPr>
        <w:numPr>
          <w:ilvl w:val="0"/>
          <w:numId w:val="13"/>
        </w:numPr>
        <w:tabs>
          <w:tab w:val="clear" w:pos="567"/>
        </w:tabs>
        <w:spacing w:line="240" w:lineRule="auto"/>
        <w:jc w:val="both"/>
        <w:rPr>
          <w:szCs w:val="22"/>
        </w:rPr>
      </w:pPr>
      <w:r>
        <w:rPr>
          <w:szCs w:val="22"/>
        </w:rPr>
        <w:t>krvácanie z nosa, kožné krvácanie</w:t>
      </w:r>
    </w:p>
    <w:p w:rsidR="00674A9D" w:rsidRPr="008616DC" w:rsidRDefault="00A50C96" w:rsidP="00460571">
      <w:pPr>
        <w:numPr>
          <w:ilvl w:val="0"/>
          <w:numId w:val="13"/>
        </w:numPr>
        <w:tabs>
          <w:tab w:val="clear" w:pos="567"/>
        </w:tabs>
        <w:spacing w:line="240" w:lineRule="auto"/>
        <w:jc w:val="both"/>
        <w:rPr>
          <w:szCs w:val="22"/>
        </w:rPr>
      </w:pPr>
      <w:r>
        <w:rPr>
          <w:szCs w:val="22"/>
        </w:rPr>
        <w:t>opuchy tváre, nôh alebo chodidiel</w:t>
      </w:r>
    </w:p>
    <w:p w:rsidR="00674A9D" w:rsidRPr="008616DC" w:rsidRDefault="00A50C96" w:rsidP="00460571">
      <w:pPr>
        <w:numPr>
          <w:ilvl w:val="0"/>
          <w:numId w:val="13"/>
        </w:numPr>
        <w:tabs>
          <w:tab w:val="clear" w:pos="567"/>
        </w:tabs>
        <w:spacing w:line="240" w:lineRule="auto"/>
        <w:jc w:val="both"/>
        <w:rPr>
          <w:szCs w:val="22"/>
        </w:rPr>
      </w:pPr>
      <w:r>
        <w:rPr>
          <w:szCs w:val="22"/>
        </w:rPr>
        <w:t>znížené množstvo moču a výrazná vyčerpanosť</w:t>
      </w:r>
    </w:p>
    <w:p w:rsidR="00674A9D" w:rsidRPr="008616DC" w:rsidRDefault="00A50C96" w:rsidP="00460571">
      <w:pPr>
        <w:numPr>
          <w:ilvl w:val="0"/>
          <w:numId w:val="13"/>
        </w:numPr>
        <w:tabs>
          <w:tab w:val="clear" w:pos="567"/>
        </w:tabs>
        <w:spacing w:line="240" w:lineRule="auto"/>
        <w:jc w:val="both"/>
        <w:rPr>
          <w:szCs w:val="22"/>
        </w:rPr>
      </w:pPr>
      <w:r>
        <w:rPr>
          <w:szCs w:val="22"/>
        </w:rPr>
        <w:t>silné bolesti hlavy alebo stuhnutý krk</w:t>
      </w:r>
    </w:p>
    <w:p w:rsidR="00674A9D" w:rsidRPr="008616DC" w:rsidRDefault="00A50C96" w:rsidP="00460571">
      <w:pPr>
        <w:numPr>
          <w:ilvl w:val="0"/>
          <w:numId w:val="13"/>
        </w:numPr>
        <w:tabs>
          <w:tab w:val="clear" w:pos="567"/>
        </w:tabs>
        <w:spacing w:line="240" w:lineRule="auto"/>
        <w:jc w:val="both"/>
        <w:rPr>
          <w:szCs w:val="22"/>
        </w:rPr>
      </w:pPr>
      <w:r>
        <w:rPr>
          <w:szCs w:val="22"/>
        </w:rPr>
        <w:t>bolesti v hrudi</w:t>
      </w:r>
    </w:p>
    <w:p w:rsidR="00674A9D" w:rsidRPr="008616DC" w:rsidRDefault="00A50C96" w:rsidP="00460571">
      <w:pPr>
        <w:numPr>
          <w:ilvl w:val="0"/>
          <w:numId w:val="13"/>
        </w:numPr>
        <w:tabs>
          <w:tab w:val="clear" w:pos="567"/>
        </w:tabs>
        <w:spacing w:line="240" w:lineRule="auto"/>
        <w:jc w:val="both"/>
        <w:rPr>
          <w:szCs w:val="22"/>
        </w:rPr>
      </w:pPr>
      <w:r>
        <w:rPr>
          <w:szCs w:val="22"/>
        </w:rPr>
        <w:lastRenderedPageBreak/>
        <w:t>znížená úroveň vedomia</w:t>
      </w:r>
    </w:p>
    <w:p w:rsidR="00674A9D" w:rsidRPr="008616DC" w:rsidRDefault="00674A9D" w:rsidP="00460571">
      <w:pPr>
        <w:tabs>
          <w:tab w:val="clear" w:pos="567"/>
        </w:tabs>
        <w:spacing w:line="240" w:lineRule="auto"/>
        <w:jc w:val="both"/>
        <w:rPr>
          <w:szCs w:val="22"/>
        </w:rPr>
      </w:pPr>
    </w:p>
    <w:p w:rsidR="00674A9D" w:rsidRPr="008616DC" w:rsidRDefault="00A50C96" w:rsidP="00460571">
      <w:pPr>
        <w:pStyle w:val="Odsekzoznamu"/>
        <w:numPr>
          <w:ilvl w:val="0"/>
          <w:numId w:val="16"/>
        </w:numPr>
        <w:tabs>
          <w:tab w:val="clear" w:pos="567"/>
        </w:tabs>
        <w:spacing w:line="240" w:lineRule="auto"/>
        <w:ind w:left="426" w:hanging="426"/>
        <w:jc w:val="both"/>
        <w:rPr>
          <w:i/>
          <w:iCs/>
          <w:szCs w:val="22"/>
          <w:u w:val="single"/>
        </w:rPr>
      </w:pPr>
      <w:r>
        <w:rPr>
          <w:i/>
          <w:iCs/>
          <w:szCs w:val="22"/>
          <w:u w:val="single"/>
        </w:rPr>
        <w:t>Tabuľkový zoznam nežiaducich účinkov</w:t>
      </w:r>
    </w:p>
    <w:p w:rsidR="00674A9D" w:rsidRPr="008616DC" w:rsidRDefault="00674A9D" w:rsidP="00460571">
      <w:pPr>
        <w:tabs>
          <w:tab w:val="clear" w:pos="567"/>
        </w:tabs>
        <w:spacing w:line="240" w:lineRule="auto"/>
        <w:jc w:val="both"/>
        <w:rPr>
          <w:szCs w:val="22"/>
        </w:rPr>
      </w:pPr>
    </w:p>
    <w:p w:rsidR="00674A9D" w:rsidRPr="008616DC" w:rsidRDefault="00A50C96" w:rsidP="00460571">
      <w:pPr>
        <w:tabs>
          <w:tab w:val="clear" w:pos="567"/>
        </w:tabs>
        <w:spacing w:line="240" w:lineRule="auto"/>
        <w:jc w:val="both"/>
        <w:rPr>
          <w:szCs w:val="22"/>
        </w:rPr>
      </w:pPr>
      <w:r>
        <w:rPr>
          <w:szCs w:val="22"/>
        </w:rPr>
        <w:t>Nežiaduce účinky sú zaradené podľa frekvencie do nasledujúcich kategórií:</w:t>
      </w:r>
    </w:p>
    <w:p w:rsidR="00674A9D" w:rsidRPr="008616DC" w:rsidRDefault="00674A9D" w:rsidP="004F6D3D">
      <w:pPr>
        <w:tabs>
          <w:tab w:val="clear" w:pos="567"/>
          <w:tab w:val="left" w:pos="1800"/>
        </w:tabs>
        <w:spacing w:line="240" w:lineRule="auto"/>
        <w:jc w:val="both"/>
        <w:rPr>
          <w:szCs w:val="22"/>
        </w:rPr>
      </w:pPr>
    </w:p>
    <w:p w:rsidR="00674A9D" w:rsidRPr="008616DC" w:rsidRDefault="00A50C96" w:rsidP="00674A9D">
      <w:pPr>
        <w:tabs>
          <w:tab w:val="clear" w:pos="567"/>
          <w:tab w:val="left" w:pos="1800"/>
        </w:tabs>
        <w:spacing w:line="240" w:lineRule="auto"/>
        <w:jc w:val="both"/>
        <w:rPr>
          <w:szCs w:val="22"/>
        </w:rPr>
      </w:pPr>
      <w:r>
        <w:rPr>
          <w:b/>
          <w:szCs w:val="22"/>
        </w:rPr>
        <w:t>Veľmi časté:</w:t>
      </w:r>
      <w:r>
        <w:rPr>
          <w:szCs w:val="22"/>
        </w:rPr>
        <w:t xml:space="preserve"> </w:t>
      </w:r>
      <w:r>
        <w:rPr>
          <w:szCs w:val="22"/>
        </w:rPr>
        <w:tab/>
        <w:t>≥ 1/10</w:t>
      </w:r>
    </w:p>
    <w:p w:rsidR="00674A9D" w:rsidRPr="008616DC" w:rsidRDefault="00A50C96" w:rsidP="00674A9D">
      <w:pPr>
        <w:tabs>
          <w:tab w:val="clear" w:pos="567"/>
          <w:tab w:val="left" w:pos="1800"/>
        </w:tabs>
        <w:spacing w:line="240" w:lineRule="auto"/>
        <w:jc w:val="both"/>
        <w:rPr>
          <w:szCs w:val="22"/>
        </w:rPr>
      </w:pPr>
      <w:r>
        <w:rPr>
          <w:b/>
          <w:szCs w:val="22"/>
        </w:rPr>
        <w:t>Časté:</w:t>
      </w:r>
      <w:r>
        <w:rPr>
          <w:szCs w:val="22"/>
        </w:rPr>
        <w:t xml:space="preserve"> </w:t>
      </w:r>
      <w:r>
        <w:rPr>
          <w:szCs w:val="22"/>
        </w:rPr>
        <w:tab/>
        <w:t>≥ 1/100 až &lt; 1/10</w:t>
      </w:r>
    </w:p>
    <w:p w:rsidR="00674A9D" w:rsidRPr="008616DC" w:rsidRDefault="00A50C96" w:rsidP="00674A9D">
      <w:pPr>
        <w:tabs>
          <w:tab w:val="clear" w:pos="567"/>
          <w:tab w:val="left" w:pos="1800"/>
        </w:tabs>
        <w:spacing w:line="240" w:lineRule="auto"/>
        <w:jc w:val="both"/>
        <w:rPr>
          <w:szCs w:val="22"/>
        </w:rPr>
      </w:pPr>
      <w:r>
        <w:rPr>
          <w:b/>
          <w:szCs w:val="22"/>
        </w:rPr>
        <w:t>Menej časté:</w:t>
      </w:r>
      <w:r>
        <w:rPr>
          <w:szCs w:val="22"/>
        </w:rPr>
        <w:t xml:space="preserve"> </w:t>
      </w:r>
      <w:r>
        <w:rPr>
          <w:szCs w:val="22"/>
        </w:rPr>
        <w:tab/>
        <w:t>≥ 1/1 000 až &lt; 1/100</w:t>
      </w:r>
    </w:p>
    <w:p w:rsidR="00674A9D" w:rsidRPr="008616DC" w:rsidRDefault="00A50C96" w:rsidP="00674A9D">
      <w:pPr>
        <w:tabs>
          <w:tab w:val="clear" w:pos="567"/>
          <w:tab w:val="left" w:pos="1800"/>
        </w:tabs>
        <w:spacing w:line="240" w:lineRule="auto"/>
        <w:jc w:val="both"/>
        <w:rPr>
          <w:szCs w:val="22"/>
        </w:rPr>
      </w:pPr>
      <w:r>
        <w:rPr>
          <w:b/>
          <w:szCs w:val="22"/>
        </w:rPr>
        <w:t>Zriedkavé:</w:t>
      </w:r>
      <w:r>
        <w:rPr>
          <w:szCs w:val="22"/>
        </w:rPr>
        <w:t xml:space="preserve"> </w:t>
      </w:r>
      <w:r>
        <w:rPr>
          <w:szCs w:val="22"/>
        </w:rPr>
        <w:tab/>
        <w:t>≥ 1/10 000 až &lt; 1/1 000</w:t>
      </w:r>
    </w:p>
    <w:p w:rsidR="00674A9D" w:rsidRPr="008616DC" w:rsidRDefault="00A50C96" w:rsidP="00674A9D">
      <w:pPr>
        <w:tabs>
          <w:tab w:val="clear" w:pos="567"/>
          <w:tab w:val="left" w:pos="1800"/>
        </w:tabs>
        <w:spacing w:line="240" w:lineRule="auto"/>
        <w:jc w:val="both"/>
        <w:rPr>
          <w:szCs w:val="22"/>
        </w:rPr>
      </w:pPr>
      <w:r>
        <w:rPr>
          <w:b/>
          <w:szCs w:val="22"/>
        </w:rPr>
        <w:t>Veľmi zriedkavé:</w:t>
      </w:r>
      <w:r>
        <w:rPr>
          <w:szCs w:val="22"/>
        </w:rPr>
        <w:t xml:space="preserve"> </w:t>
      </w:r>
      <w:r>
        <w:rPr>
          <w:szCs w:val="22"/>
        </w:rPr>
        <w:tab/>
        <w:t>&lt; 1/10 000</w:t>
      </w:r>
    </w:p>
    <w:p w:rsidR="00674A9D" w:rsidRPr="008616DC" w:rsidRDefault="00A50C96" w:rsidP="00674A9D">
      <w:pPr>
        <w:tabs>
          <w:tab w:val="clear" w:pos="567"/>
          <w:tab w:val="left" w:pos="1800"/>
        </w:tabs>
        <w:spacing w:line="240" w:lineRule="auto"/>
        <w:jc w:val="both"/>
        <w:rPr>
          <w:szCs w:val="22"/>
        </w:rPr>
      </w:pPr>
      <w:r>
        <w:rPr>
          <w:b/>
          <w:szCs w:val="22"/>
        </w:rPr>
        <w:t>Neznáme:</w:t>
      </w:r>
      <w:r>
        <w:rPr>
          <w:szCs w:val="22"/>
        </w:rPr>
        <w:t xml:space="preserve"> </w:t>
      </w:r>
      <w:r>
        <w:rPr>
          <w:szCs w:val="22"/>
        </w:rPr>
        <w:tab/>
        <w:t>z dostupných údajov</w:t>
      </w:r>
    </w:p>
    <w:p w:rsidR="00674A9D" w:rsidRPr="008616DC" w:rsidRDefault="00674A9D" w:rsidP="00674A9D">
      <w:pPr>
        <w:tabs>
          <w:tab w:val="clear" w:pos="567"/>
          <w:tab w:val="left" w:pos="1800"/>
        </w:tabs>
        <w:spacing w:line="240" w:lineRule="auto"/>
        <w:jc w:val="both"/>
        <w:rPr>
          <w:szCs w:val="22"/>
        </w:rPr>
      </w:pPr>
    </w:p>
    <w:p w:rsidR="00674A9D" w:rsidRPr="008616DC" w:rsidRDefault="00A50C96" w:rsidP="00674A9D">
      <w:pPr>
        <w:tabs>
          <w:tab w:val="clear" w:pos="567"/>
          <w:tab w:val="left" w:pos="1800"/>
        </w:tabs>
        <w:spacing w:line="240" w:lineRule="auto"/>
        <w:jc w:val="both"/>
        <w:rPr>
          <w:szCs w:val="22"/>
        </w:rPr>
      </w:pPr>
      <w:r>
        <w:rPr>
          <w:szCs w:val="22"/>
        </w:rPr>
        <w:t xml:space="preserve">Nasledujúci zoznam nežiaducich účinkov pozostáva z účinkov hlásených po krátkodobom alebo dlhodobom užívaní </w:t>
      </w:r>
      <w:r w:rsidRPr="00A50C96">
        <w:rPr>
          <w:szCs w:val="22"/>
        </w:rPr>
        <w:t xml:space="preserve">Diclovitu </w:t>
      </w:r>
      <w:r>
        <w:rPr>
          <w:szCs w:val="22"/>
        </w:rPr>
        <w:t>alebo iných liekov s obsahom diklofenaku:</w:t>
      </w:r>
    </w:p>
    <w:p w:rsidR="00441A13" w:rsidRPr="008616DC" w:rsidRDefault="00441A13">
      <w:pPr>
        <w:tabs>
          <w:tab w:val="clear" w:pos="567"/>
          <w:tab w:val="left" w:pos="1800"/>
        </w:tabs>
        <w:spacing w:line="240" w:lineRule="auto"/>
        <w:jc w:val="both"/>
        <w:rPr>
          <w:szCs w:val="22"/>
        </w:rPr>
      </w:pPr>
    </w:p>
    <w:p w:rsidR="00674A9D" w:rsidRPr="008616DC" w:rsidRDefault="00674A9D" w:rsidP="00674A9D">
      <w:pPr>
        <w:tabs>
          <w:tab w:val="clear" w:pos="567"/>
          <w:tab w:val="left" w:pos="1800"/>
        </w:tabs>
        <w:spacing w:line="240" w:lineRule="auto"/>
        <w:jc w:val="both"/>
        <w:rPr>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560"/>
        <w:gridCol w:w="5103"/>
      </w:tblGrid>
      <w:tr w:rsidR="00674A9D" w:rsidRPr="008616DC" w:rsidTr="00467391">
        <w:trPr>
          <w:trHeight w:val="565"/>
          <w:tblHeader/>
        </w:trPr>
        <w:tc>
          <w:tcPr>
            <w:tcW w:w="2835" w:type="dxa"/>
            <w:shd w:val="clear" w:color="auto" w:fill="D9D9D9"/>
            <w:vAlign w:val="center"/>
          </w:tcPr>
          <w:p w:rsidR="00E463A6" w:rsidRPr="008616DC" w:rsidRDefault="00A50C96">
            <w:pPr>
              <w:tabs>
                <w:tab w:val="clear" w:pos="567"/>
              </w:tabs>
              <w:spacing w:line="240" w:lineRule="auto"/>
              <w:jc w:val="center"/>
              <w:rPr>
                <w:b/>
                <w:szCs w:val="22"/>
                <w:lang w:eastAsia="de-DE"/>
              </w:rPr>
            </w:pPr>
            <w:r>
              <w:rPr>
                <w:b/>
                <w:szCs w:val="22"/>
                <w:lang w:eastAsia="de-DE"/>
              </w:rPr>
              <w:t xml:space="preserve">Trieda orgánových systémov podľa databázy MedDRA </w:t>
            </w:r>
          </w:p>
        </w:tc>
        <w:tc>
          <w:tcPr>
            <w:tcW w:w="1560" w:type="dxa"/>
            <w:shd w:val="clear" w:color="auto" w:fill="D9D9D9"/>
            <w:vAlign w:val="center"/>
          </w:tcPr>
          <w:p w:rsidR="00674A9D" w:rsidRPr="008616DC" w:rsidRDefault="00A50C96" w:rsidP="00467391">
            <w:pPr>
              <w:keepNext/>
              <w:tabs>
                <w:tab w:val="clear" w:pos="567"/>
              </w:tabs>
              <w:spacing w:line="240" w:lineRule="auto"/>
              <w:jc w:val="center"/>
              <w:outlineLvl w:val="0"/>
              <w:rPr>
                <w:b/>
                <w:szCs w:val="22"/>
                <w:lang w:eastAsia="de-DE"/>
              </w:rPr>
            </w:pPr>
            <w:r>
              <w:rPr>
                <w:b/>
                <w:szCs w:val="22"/>
                <w:lang w:eastAsia="de-DE"/>
              </w:rPr>
              <w:t>Frekvencia</w:t>
            </w:r>
          </w:p>
        </w:tc>
        <w:tc>
          <w:tcPr>
            <w:tcW w:w="5103" w:type="dxa"/>
            <w:shd w:val="clear" w:color="auto" w:fill="D9D9D9"/>
            <w:vAlign w:val="center"/>
          </w:tcPr>
          <w:p w:rsidR="00674A9D" w:rsidRPr="008616DC" w:rsidRDefault="00A50C96" w:rsidP="00467391">
            <w:pPr>
              <w:keepNext/>
              <w:tabs>
                <w:tab w:val="clear" w:pos="567"/>
              </w:tabs>
              <w:spacing w:line="240" w:lineRule="auto"/>
              <w:jc w:val="center"/>
              <w:outlineLvl w:val="0"/>
              <w:rPr>
                <w:b/>
                <w:szCs w:val="22"/>
                <w:lang w:eastAsia="de-DE"/>
              </w:rPr>
            </w:pPr>
            <w:r>
              <w:rPr>
                <w:b/>
                <w:szCs w:val="22"/>
                <w:lang w:eastAsia="de-DE"/>
              </w:rPr>
              <w:t>Nežiaduci účinok</w:t>
            </w:r>
          </w:p>
        </w:tc>
      </w:tr>
      <w:tr w:rsidR="00674A9D" w:rsidRPr="008616DC" w:rsidTr="00467391">
        <w:trPr>
          <w:cantSplit/>
          <w:trHeight w:val="1069"/>
        </w:trPr>
        <w:tc>
          <w:tcPr>
            <w:tcW w:w="2835" w:type="dxa"/>
            <w:shd w:val="clear" w:color="auto" w:fill="F2F2F2"/>
            <w:vAlign w:val="center"/>
          </w:tcPr>
          <w:p w:rsidR="00674A9D" w:rsidRPr="008616DC" w:rsidRDefault="00A50C96" w:rsidP="00467391">
            <w:pPr>
              <w:tabs>
                <w:tab w:val="clear" w:pos="567"/>
              </w:tabs>
              <w:spacing w:line="240" w:lineRule="auto"/>
              <w:rPr>
                <w:i/>
                <w:iCs/>
                <w:szCs w:val="22"/>
                <w:lang w:eastAsia="de-DE"/>
              </w:rPr>
            </w:pPr>
            <w:r>
              <w:rPr>
                <w:i/>
                <w:iCs/>
                <w:szCs w:val="22"/>
                <w:lang w:eastAsia="de-DE"/>
              </w:rPr>
              <w:t>Infekcie a nákazy</w:t>
            </w:r>
          </w:p>
        </w:tc>
        <w:tc>
          <w:tcPr>
            <w:tcW w:w="1560" w:type="dxa"/>
            <w:shd w:val="clear" w:color="auto" w:fill="auto"/>
            <w:vAlign w:val="center"/>
          </w:tcPr>
          <w:p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68659A">
            <w:pPr>
              <w:tabs>
                <w:tab w:val="clear" w:pos="567"/>
              </w:tabs>
              <w:spacing w:line="240" w:lineRule="auto"/>
              <w:rPr>
                <w:bCs/>
                <w:szCs w:val="22"/>
                <w:lang w:eastAsia="de-DE"/>
              </w:rPr>
            </w:pPr>
            <w:r>
              <w:rPr>
                <w:bCs/>
                <w:szCs w:val="22"/>
                <w:lang w:eastAsia="de-DE"/>
              </w:rPr>
              <w:t>V čase užívania NSAID bola zaznamenaná exacerbácia zápalu súvisiaceho s infekciou. Možná súvislosť s mechanizmom pôsobenia NSAID.</w:t>
            </w:r>
          </w:p>
        </w:tc>
      </w:tr>
      <w:tr w:rsidR="00674A9D" w:rsidRPr="008616DC" w:rsidTr="00467391">
        <w:trPr>
          <w:cantSplit/>
          <w:trHeight w:val="984"/>
        </w:trPr>
        <w:tc>
          <w:tcPr>
            <w:tcW w:w="2835" w:type="dxa"/>
            <w:shd w:val="clear" w:color="auto" w:fill="F2F2F2"/>
            <w:vAlign w:val="center"/>
          </w:tcPr>
          <w:p w:rsidR="00674A9D" w:rsidRPr="008616DC" w:rsidRDefault="00A50C96" w:rsidP="00467391">
            <w:pPr>
              <w:tabs>
                <w:tab w:val="clear" w:pos="567"/>
              </w:tabs>
              <w:spacing w:line="240" w:lineRule="auto"/>
              <w:rPr>
                <w:i/>
                <w:iCs/>
                <w:szCs w:val="22"/>
                <w:lang w:eastAsia="de-DE"/>
              </w:rPr>
            </w:pPr>
            <w:r>
              <w:rPr>
                <w:i/>
                <w:iCs/>
                <w:szCs w:val="22"/>
                <w:lang w:eastAsia="de-DE"/>
              </w:rPr>
              <w:t>Poruchy krvi a lymfatického systému</w:t>
            </w:r>
          </w:p>
        </w:tc>
        <w:tc>
          <w:tcPr>
            <w:tcW w:w="1560" w:type="dxa"/>
            <w:shd w:val="clear" w:color="auto" w:fill="auto"/>
            <w:vAlign w:val="center"/>
          </w:tcPr>
          <w:p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Veľmi zriedkavé</w:t>
            </w:r>
          </w:p>
        </w:tc>
        <w:tc>
          <w:tcPr>
            <w:tcW w:w="5103" w:type="dxa"/>
            <w:shd w:val="clear" w:color="auto" w:fill="auto"/>
            <w:vAlign w:val="center"/>
          </w:tcPr>
          <w:p w:rsidR="0068659A" w:rsidRPr="008616DC" w:rsidRDefault="00A50C96" w:rsidP="00467391">
            <w:pPr>
              <w:tabs>
                <w:tab w:val="clear" w:pos="567"/>
              </w:tabs>
              <w:spacing w:line="240" w:lineRule="auto"/>
              <w:rPr>
                <w:bCs/>
                <w:szCs w:val="22"/>
                <w:lang w:eastAsia="de-DE"/>
              </w:rPr>
            </w:pPr>
            <w:r>
              <w:rPr>
                <w:bCs/>
                <w:szCs w:val="22"/>
                <w:lang w:eastAsia="de-DE"/>
              </w:rPr>
              <w:t>trombopénia</w:t>
            </w:r>
          </w:p>
          <w:p w:rsidR="0068659A" w:rsidRPr="008616DC" w:rsidRDefault="00A50C96" w:rsidP="00467391">
            <w:pPr>
              <w:tabs>
                <w:tab w:val="clear" w:pos="567"/>
              </w:tabs>
              <w:spacing w:line="240" w:lineRule="auto"/>
              <w:rPr>
                <w:bCs/>
                <w:szCs w:val="22"/>
                <w:lang w:eastAsia="de-DE"/>
              </w:rPr>
            </w:pPr>
            <w:r>
              <w:rPr>
                <w:bCs/>
                <w:szCs w:val="22"/>
                <w:lang w:eastAsia="de-DE"/>
              </w:rPr>
              <w:t>leukopénia</w:t>
            </w:r>
          </w:p>
          <w:p w:rsidR="00674A9D" w:rsidRPr="008616DC" w:rsidRDefault="00A50C96" w:rsidP="00467391">
            <w:pPr>
              <w:tabs>
                <w:tab w:val="clear" w:pos="567"/>
              </w:tabs>
              <w:spacing w:line="240" w:lineRule="auto"/>
              <w:rPr>
                <w:bCs/>
                <w:szCs w:val="22"/>
                <w:lang w:eastAsia="de-DE"/>
              </w:rPr>
            </w:pPr>
            <w:r>
              <w:rPr>
                <w:bCs/>
                <w:szCs w:val="22"/>
                <w:lang w:eastAsia="de-DE"/>
              </w:rPr>
              <w:t>anémia (vrátane hemolytickej a aplastickej anémie) agranulocytóza</w:t>
            </w:r>
          </w:p>
        </w:tc>
      </w:tr>
      <w:tr w:rsidR="00674A9D" w:rsidRPr="008616DC" w:rsidTr="00467391">
        <w:trPr>
          <w:trHeight w:val="559"/>
        </w:trPr>
        <w:tc>
          <w:tcPr>
            <w:tcW w:w="2835" w:type="dxa"/>
            <w:vMerge w:val="restart"/>
            <w:shd w:val="clear" w:color="auto" w:fill="F2F2F2"/>
            <w:vAlign w:val="center"/>
          </w:tcPr>
          <w:p w:rsidR="00674A9D" w:rsidRPr="008616DC" w:rsidRDefault="00A50C96" w:rsidP="00467391">
            <w:pPr>
              <w:tabs>
                <w:tab w:val="clear" w:pos="567"/>
              </w:tabs>
              <w:spacing w:line="240" w:lineRule="auto"/>
              <w:rPr>
                <w:i/>
                <w:iCs/>
                <w:szCs w:val="22"/>
                <w:lang w:eastAsia="de-DE"/>
              </w:rPr>
            </w:pPr>
            <w:r>
              <w:rPr>
                <w:i/>
                <w:szCs w:val="22"/>
                <w:lang w:eastAsia="de-DE"/>
              </w:rPr>
              <w:t>Poruchy imunitného systému</w:t>
            </w:r>
          </w:p>
        </w:tc>
        <w:tc>
          <w:tcPr>
            <w:tcW w:w="1560" w:type="dxa"/>
            <w:shd w:val="clear" w:color="auto" w:fill="auto"/>
            <w:vAlign w:val="center"/>
          </w:tcPr>
          <w:p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reakcie z precitlivenosti, anafylaktické/anafylaktoidné reakcie (vrátane hypotenzie, šoku</w:t>
            </w:r>
            <w:r>
              <w:rPr>
                <w:szCs w:val="22"/>
                <w:lang w:eastAsia="de-DE"/>
              </w:rPr>
              <w:t>)</w:t>
            </w:r>
          </w:p>
        </w:tc>
      </w:tr>
      <w:tr w:rsidR="00674A9D" w:rsidRPr="008616DC" w:rsidTr="00467391">
        <w:trPr>
          <w:trHeight w:val="269"/>
        </w:trPr>
        <w:tc>
          <w:tcPr>
            <w:tcW w:w="2835" w:type="dxa"/>
            <w:vMerge/>
            <w:shd w:val="clear" w:color="auto" w:fill="F2F2F2"/>
            <w:vAlign w:val="center"/>
          </w:tcPr>
          <w:p w:rsidR="00674A9D" w:rsidRPr="008616DC" w:rsidRDefault="00674A9D" w:rsidP="00467391">
            <w:pPr>
              <w:tabs>
                <w:tab w:val="clear" w:pos="567"/>
              </w:tabs>
              <w:spacing w:line="240" w:lineRule="auto"/>
              <w:rPr>
                <w:i/>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angioedém (</w:t>
            </w:r>
            <w:r>
              <w:rPr>
                <w:szCs w:val="22"/>
              </w:rPr>
              <w:t>vrátane edému tváre</w:t>
            </w:r>
            <w:r>
              <w:rPr>
                <w:szCs w:val="22"/>
                <w:lang w:eastAsia="de-DE"/>
              </w:rPr>
              <w:t>)</w:t>
            </w:r>
          </w:p>
        </w:tc>
      </w:tr>
      <w:tr w:rsidR="00674A9D" w:rsidRPr="008616DC" w:rsidTr="00467391">
        <w:trPr>
          <w:cantSplit/>
          <w:trHeight w:val="1078"/>
        </w:trPr>
        <w:tc>
          <w:tcPr>
            <w:tcW w:w="2835" w:type="dxa"/>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Psychické poruchy</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dezorientácia</w:t>
            </w:r>
          </w:p>
          <w:p w:rsidR="00674A9D" w:rsidRPr="008616DC" w:rsidRDefault="00A50C96" w:rsidP="00467391">
            <w:pPr>
              <w:tabs>
                <w:tab w:val="clear" w:pos="567"/>
              </w:tabs>
              <w:spacing w:line="240" w:lineRule="auto"/>
              <w:rPr>
                <w:szCs w:val="22"/>
                <w:lang w:eastAsia="de-DE"/>
              </w:rPr>
            </w:pPr>
            <w:r>
              <w:rPr>
                <w:szCs w:val="22"/>
                <w:lang w:eastAsia="de-DE"/>
              </w:rPr>
              <w:t>depresia</w:t>
            </w:r>
          </w:p>
          <w:p w:rsidR="00674A9D" w:rsidRPr="008616DC" w:rsidRDefault="00A50C96" w:rsidP="00467391">
            <w:pPr>
              <w:tabs>
                <w:tab w:val="clear" w:pos="567"/>
              </w:tabs>
              <w:spacing w:line="240" w:lineRule="auto"/>
              <w:rPr>
                <w:szCs w:val="22"/>
                <w:lang w:eastAsia="de-DE"/>
              </w:rPr>
            </w:pPr>
            <w:r>
              <w:rPr>
                <w:szCs w:val="22"/>
                <w:lang w:eastAsia="de-DE"/>
              </w:rPr>
              <w:t>insomnia, nočné mory</w:t>
            </w:r>
          </w:p>
          <w:p w:rsidR="00674A9D" w:rsidRPr="008616DC" w:rsidRDefault="00A50C96" w:rsidP="00467391">
            <w:pPr>
              <w:tabs>
                <w:tab w:val="clear" w:pos="567"/>
              </w:tabs>
              <w:spacing w:line="240" w:lineRule="auto"/>
              <w:rPr>
                <w:szCs w:val="22"/>
                <w:lang w:eastAsia="de-DE"/>
              </w:rPr>
            </w:pPr>
            <w:r>
              <w:rPr>
                <w:szCs w:val="22"/>
              </w:rPr>
              <w:t>podráždenosť</w:t>
            </w:r>
          </w:p>
          <w:p w:rsidR="00674A9D" w:rsidRPr="008616DC" w:rsidRDefault="00A50C96" w:rsidP="0068659A">
            <w:pPr>
              <w:tabs>
                <w:tab w:val="clear" w:pos="567"/>
              </w:tabs>
              <w:spacing w:line="240" w:lineRule="auto"/>
              <w:rPr>
                <w:szCs w:val="22"/>
                <w:lang w:eastAsia="de-DE"/>
              </w:rPr>
            </w:pPr>
            <w:r>
              <w:rPr>
                <w:szCs w:val="22"/>
                <w:lang w:eastAsia="de-DE"/>
              </w:rPr>
              <w:t>psychotické reakcie</w:t>
            </w:r>
          </w:p>
        </w:tc>
      </w:tr>
      <w:tr w:rsidR="00674A9D" w:rsidRPr="008616DC" w:rsidTr="00467391">
        <w:trPr>
          <w:cantSplit/>
          <w:trHeight w:val="267"/>
        </w:trPr>
        <w:tc>
          <w:tcPr>
            <w:tcW w:w="2835" w:type="dxa"/>
            <w:vMerge w:val="restart"/>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Poruchy nervového systému</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szCs w:val="22"/>
                <w:lang w:eastAsia="de-DE"/>
              </w:rPr>
              <w:t>Časté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bolesť hlavy</w:t>
            </w:r>
          </w:p>
          <w:p w:rsidR="00674A9D" w:rsidRPr="008616DC" w:rsidRDefault="00A50C96" w:rsidP="00467391">
            <w:pPr>
              <w:tabs>
                <w:tab w:val="clear" w:pos="567"/>
              </w:tabs>
              <w:spacing w:line="240" w:lineRule="auto"/>
              <w:rPr>
                <w:szCs w:val="22"/>
                <w:lang w:eastAsia="de-DE"/>
              </w:rPr>
            </w:pPr>
            <w:r>
              <w:rPr>
                <w:szCs w:val="22"/>
              </w:rPr>
              <w:t>závraty, vyčerpanosť, ospanlivosť</w:t>
            </w:r>
          </w:p>
        </w:tc>
      </w:tr>
      <w:tr w:rsidR="00674A9D" w:rsidRPr="008616DC" w:rsidTr="00467391">
        <w:trPr>
          <w:cantSplit/>
          <w:trHeight w:val="555"/>
        </w:trPr>
        <w:tc>
          <w:tcPr>
            <w:tcW w:w="2835" w:type="dxa"/>
            <w:vMerge/>
            <w:shd w:val="clear" w:color="auto" w:fill="F2F2F2"/>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parestézia</w:t>
            </w:r>
          </w:p>
          <w:p w:rsidR="00674A9D" w:rsidRPr="008616DC" w:rsidRDefault="00A50C96" w:rsidP="00467391">
            <w:pPr>
              <w:tabs>
                <w:tab w:val="clear" w:pos="567"/>
              </w:tabs>
              <w:spacing w:line="240" w:lineRule="auto"/>
              <w:rPr>
                <w:szCs w:val="22"/>
                <w:lang w:eastAsia="de-DE"/>
              </w:rPr>
            </w:pPr>
            <w:r>
              <w:rPr>
                <w:szCs w:val="22"/>
              </w:rPr>
              <w:t>poruchy chuti</w:t>
            </w:r>
          </w:p>
          <w:p w:rsidR="00674A9D" w:rsidRPr="008616DC" w:rsidRDefault="00A50C96" w:rsidP="00467391">
            <w:pPr>
              <w:tabs>
                <w:tab w:val="clear" w:pos="567"/>
              </w:tabs>
              <w:spacing w:line="240" w:lineRule="auto"/>
              <w:rPr>
                <w:szCs w:val="22"/>
                <w:lang w:eastAsia="de-DE"/>
              </w:rPr>
            </w:pPr>
            <w:r>
              <w:rPr>
                <w:szCs w:val="22"/>
              </w:rPr>
              <w:t>poruchy pamäte</w:t>
            </w:r>
          </w:p>
          <w:p w:rsidR="00674A9D" w:rsidRPr="008616DC" w:rsidRDefault="00A50C96" w:rsidP="00467391">
            <w:pPr>
              <w:tabs>
                <w:tab w:val="clear" w:pos="567"/>
              </w:tabs>
              <w:spacing w:line="240" w:lineRule="auto"/>
              <w:rPr>
                <w:szCs w:val="22"/>
                <w:lang w:eastAsia="de-DE"/>
              </w:rPr>
            </w:pPr>
            <w:r>
              <w:rPr>
                <w:szCs w:val="22"/>
              </w:rPr>
              <w:t>kŕče</w:t>
            </w:r>
          </w:p>
          <w:p w:rsidR="00674A9D" w:rsidRPr="008616DC" w:rsidRDefault="00A50C96" w:rsidP="00467391">
            <w:pPr>
              <w:tabs>
                <w:tab w:val="clear" w:pos="567"/>
              </w:tabs>
              <w:spacing w:line="240" w:lineRule="auto"/>
              <w:rPr>
                <w:szCs w:val="22"/>
                <w:lang w:eastAsia="de-DE"/>
              </w:rPr>
            </w:pPr>
            <w:r>
              <w:rPr>
                <w:szCs w:val="22"/>
              </w:rPr>
              <w:t>tras</w:t>
            </w:r>
          </w:p>
          <w:p w:rsidR="00674A9D" w:rsidRPr="008616DC" w:rsidRDefault="00A50C96" w:rsidP="00467391">
            <w:pPr>
              <w:tabs>
                <w:tab w:val="clear" w:pos="567"/>
              </w:tabs>
              <w:spacing w:line="240" w:lineRule="auto"/>
              <w:rPr>
                <w:szCs w:val="22"/>
                <w:lang w:eastAsia="de-DE"/>
              </w:rPr>
            </w:pPr>
            <w:r>
              <w:rPr>
                <w:szCs w:val="22"/>
                <w:lang w:eastAsia="de-DE"/>
              </w:rPr>
              <w:t>úzkosť</w:t>
            </w:r>
          </w:p>
          <w:p w:rsidR="00674A9D" w:rsidRPr="008616DC" w:rsidRDefault="00A50C96" w:rsidP="00467391">
            <w:pPr>
              <w:tabs>
                <w:tab w:val="clear" w:pos="567"/>
              </w:tabs>
              <w:spacing w:line="240" w:lineRule="auto"/>
              <w:rPr>
                <w:szCs w:val="22"/>
                <w:lang w:eastAsia="de-DE"/>
              </w:rPr>
            </w:pPr>
            <w:r>
              <w:rPr>
                <w:szCs w:val="22"/>
                <w:lang w:eastAsia="de-DE"/>
              </w:rPr>
              <w:t>aseptická meningitída</w:t>
            </w:r>
          </w:p>
          <w:p w:rsidR="00674A9D" w:rsidRPr="008616DC" w:rsidRDefault="00A50C96" w:rsidP="0068659A">
            <w:pPr>
              <w:tabs>
                <w:tab w:val="clear" w:pos="567"/>
              </w:tabs>
              <w:spacing w:line="240" w:lineRule="auto"/>
              <w:rPr>
                <w:szCs w:val="22"/>
                <w:lang w:eastAsia="de-DE"/>
              </w:rPr>
            </w:pPr>
            <w:r>
              <w:rPr>
                <w:szCs w:val="22"/>
                <w:lang w:eastAsia="de-DE"/>
              </w:rPr>
              <w:t>cerebrovaskulárne príhody</w:t>
            </w:r>
          </w:p>
        </w:tc>
      </w:tr>
      <w:tr w:rsidR="00674A9D" w:rsidRPr="008616DC" w:rsidTr="00467391">
        <w:trPr>
          <w:cantSplit/>
          <w:trHeight w:val="757"/>
        </w:trPr>
        <w:tc>
          <w:tcPr>
            <w:tcW w:w="2835" w:type="dxa"/>
            <w:vMerge/>
            <w:shd w:val="clear" w:color="auto" w:fill="F2F2F2"/>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szCs w:val="22"/>
                <w:lang w:eastAsia="de-DE"/>
              </w:rPr>
              <w:t>Neznáme</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Dlhodobé užívanie (viac ako 6 - 12 mesiacov) denných dávok prekračujúcich 50 mg vitamínu B6 môže spôsobiť periférnu senzorickú neuropatiu.</w:t>
            </w:r>
          </w:p>
        </w:tc>
      </w:tr>
      <w:tr w:rsidR="00674A9D" w:rsidRPr="008616DC" w:rsidTr="00467391">
        <w:trPr>
          <w:cantSplit/>
          <w:trHeight w:val="344"/>
        </w:trPr>
        <w:tc>
          <w:tcPr>
            <w:tcW w:w="2835" w:type="dxa"/>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Poruchy oka</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Menej časté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poruchy videnia (rozmazané videnie, dvojité videnie</w:t>
            </w:r>
            <w:r>
              <w:rPr>
                <w:szCs w:val="22"/>
                <w:lang w:eastAsia="de-DE"/>
              </w:rPr>
              <w:t>)</w:t>
            </w:r>
          </w:p>
        </w:tc>
      </w:tr>
      <w:tr w:rsidR="00087EBC" w:rsidRPr="008616DC" w:rsidTr="00460571">
        <w:trPr>
          <w:trHeight w:val="288"/>
        </w:trPr>
        <w:tc>
          <w:tcPr>
            <w:tcW w:w="2835" w:type="dxa"/>
            <w:vMerge w:val="restart"/>
            <w:shd w:val="clear" w:color="auto" w:fill="F2F2F2"/>
            <w:vAlign w:val="center"/>
          </w:tcPr>
          <w:p w:rsidR="00087EBC" w:rsidRPr="008616DC" w:rsidRDefault="00A50C96" w:rsidP="00467391">
            <w:pPr>
              <w:tabs>
                <w:tab w:val="clear" w:pos="567"/>
              </w:tabs>
              <w:spacing w:line="240" w:lineRule="auto"/>
              <w:rPr>
                <w:i/>
                <w:iCs/>
                <w:szCs w:val="22"/>
                <w:highlight w:val="yellow"/>
                <w:lang w:eastAsia="de-DE"/>
              </w:rPr>
            </w:pPr>
            <w:r>
              <w:rPr>
                <w:i/>
                <w:szCs w:val="22"/>
                <w:lang w:eastAsia="de-DE"/>
              </w:rPr>
              <w:t>Poruchy ucha a labyrintu</w:t>
            </w:r>
          </w:p>
        </w:tc>
        <w:tc>
          <w:tcPr>
            <w:tcW w:w="1560" w:type="dxa"/>
            <w:shd w:val="clear" w:color="auto" w:fill="auto"/>
            <w:vAlign w:val="center"/>
          </w:tcPr>
          <w:p w:rsidR="00087EBC" w:rsidRPr="008616DC" w:rsidRDefault="00A50C96" w:rsidP="00460571">
            <w:pPr>
              <w:tabs>
                <w:tab w:val="clear" w:pos="567"/>
              </w:tabs>
              <w:spacing w:line="240" w:lineRule="auto"/>
              <w:jc w:val="center"/>
              <w:rPr>
                <w:szCs w:val="22"/>
                <w:highlight w:val="yellow"/>
                <w:lang w:eastAsia="de-DE"/>
              </w:rPr>
            </w:pPr>
            <w:r>
              <w:rPr>
                <w:szCs w:val="22"/>
                <w:lang w:eastAsia="de-DE"/>
              </w:rPr>
              <w:t>Časté</w:t>
            </w:r>
          </w:p>
        </w:tc>
        <w:tc>
          <w:tcPr>
            <w:tcW w:w="5103" w:type="dxa"/>
            <w:shd w:val="clear" w:color="auto" w:fill="auto"/>
            <w:vAlign w:val="center"/>
          </w:tcPr>
          <w:p w:rsidR="00087EBC" w:rsidRPr="008616DC" w:rsidRDefault="00A50C96" w:rsidP="00467391">
            <w:pPr>
              <w:tabs>
                <w:tab w:val="clear" w:pos="567"/>
              </w:tabs>
              <w:spacing w:line="240" w:lineRule="auto"/>
              <w:rPr>
                <w:szCs w:val="22"/>
                <w:lang w:eastAsia="de-DE"/>
              </w:rPr>
            </w:pPr>
            <w:r>
              <w:rPr>
                <w:szCs w:val="22"/>
                <w:lang w:eastAsia="de-DE"/>
              </w:rPr>
              <w:t>vertigo</w:t>
            </w:r>
          </w:p>
        </w:tc>
      </w:tr>
      <w:tr w:rsidR="00087EBC" w:rsidRPr="008616DC" w:rsidTr="00460571">
        <w:trPr>
          <w:trHeight w:val="288"/>
        </w:trPr>
        <w:tc>
          <w:tcPr>
            <w:tcW w:w="2835" w:type="dxa"/>
            <w:vMerge/>
            <w:shd w:val="clear" w:color="auto" w:fill="F2F2F2"/>
            <w:vAlign w:val="center"/>
          </w:tcPr>
          <w:p w:rsidR="00087EBC" w:rsidRPr="008616DC" w:rsidRDefault="00087EBC" w:rsidP="00467391">
            <w:pPr>
              <w:tabs>
                <w:tab w:val="clear" w:pos="567"/>
              </w:tabs>
              <w:spacing w:line="240" w:lineRule="auto"/>
              <w:rPr>
                <w:i/>
                <w:szCs w:val="22"/>
                <w:highlight w:val="yellow"/>
                <w:lang w:eastAsia="de-DE"/>
              </w:rPr>
            </w:pPr>
          </w:p>
        </w:tc>
        <w:tc>
          <w:tcPr>
            <w:tcW w:w="1560" w:type="dxa"/>
            <w:shd w:val="clear" w:color="auto" w:fill="auto"/>
            <w:vAlign w:val="center"/>
          </w:tcPr>
          <w:p w:rsidR="00087EBC" w:rsidRPr="008616DC" w:rsidRDefault="00A50C96" w:rsidP="00087EBC">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rsidR="00087EBC" w:rsidRPr="008616DC" w:rsidRDefault="00A50C96" w:rsidP="0068659A">
            <w:pPr>
              <w:tabs>
                <w:tab w:val="clear" w:pos="567"/>
              </w:tabs>
              <w:spacing w:line="240" w:lineRule="auto"/>
              <w:rPr>
                <w:szCs w:val="22"/>
                <w:lang w:eastAsia="de-DE"/>
              </w:rPr>
            </w:pPr>
            <w:r>
              <w:rPr>
                <w:szCs w:val="22"/>
                <w:lang w:eastAsia="de-DE"/>
              </w:rPr>
              <w:t>tinnitus, zhoršenie sluchu</w:t>
            </w:r>
          </w:p>
        </w:tc>
      </w:tr>
      <w:tr w:rsidR="00FF4C72" w:rsidRPr="008616DC" w:rsidTr="00467391">
        <w:trPr>
          <w:trHeight w:val="725"/>
        </w:trPr>
        <w:tc>
          <w:tcPr>
            <w:tcW w:w="2835" w:type="dxa"/>
            <w:vMerge w:val="restart"/>
            <w:shd w:val="clear" w:color="auto" w:fill="F2F2F2"/>
            <w:vAlign w:val="center"/>
          </w:tcPr>
          <w:p w:rsidR="00FF4C72" w:rsidRPr="008616DC" w:rsidRDefault="00FF4C72" w:rsidP="00467391">
            <w:pPr>
              <w:tabs>
                <w:tab w:val="clear" w:pos="567"/>
              </w:tabs>
              <w:spacing w:line="240" w:lineRule="auto"/>
              <w:rPr>
                <w:i/>
                <w:iCs/>
                <w:szCs w:val="22"/>
                <w:highlight w:val="yellow"/>
                <w:lang w:eastAsia="de-DE"/>
              </w:rPr>
            </w:pPr>
            <w:r>
              <w:rPr>
                <w:i/>
                <w:szCs w:val="22"/>
                <w:lang w:eastAsia="de-DE"/>
              </w:rPr>
              <w:lastRenderedPageBreak/>
              <w:t>Poruchy srdca a srdcovej činnosti</w:t>
            </w:r>
          </w:p>
        </w:tc>
        <w:tc>
          <w:tcPr>
            <w:tcW w:w="1560" w:type="dxa"/>
            <w:shd w:val="clear" w:color="auto" w:fill="auto"/>
            <w:vAlign w:val="center"/>
          </w:tcPr>
          <w:p w:rsidR="00FF4C72" w:rsidRPr="008616DC" w:rsidRDefault="00FF4C72"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rsidR="00FF4C72" w:rsidRPr="008616DC" w:rsidRDefault="00FF4C72" w:rsidP="00467391">
            <w:pPr>
              <w:tabs>
                <w:tab w:val="clear" w:pos="567"/>
              </w:tabs>
              <w:spacing w:line="240" w:lineRule="auto"/>
              <w:rPr>
                <w:szCs w:val="22"/>
                <w:lang w:eastAsia="de-DE"/>
              </w:rPr>
            </w:pPr>
            <w:r>
              <w:rPr>
                <w:szCs w:val="22"/>
                <w:lang w:eastAsia="de-DE"/>
              </w:rPr>
              <w:t>palpitácie</w:t>
            </w:r>
          </w:p>
          <w:p w:rsidR="00FF4C72" w:rsidRPr="008616DC" w:rsidRDefault="00FF4C72" w:rsidP="00467391">
            <w:pPr>
              <w:tabs>
                <w:tab w:val="clear" w:pos="567"/>
              </w:tabs>
              <w:spacing w:line="240" w:lineRule="auto"/>
              <w:rPr>
                <w:szCs w:val="22"/>
                <w:lang w:eastAsia="de-DE"/>
              </w:rPr>
            </w:pPr>
            <w:r>
              <w:rPr>
                <w:szCs w:val="22"/>
              </w:rPr>
              <w:t>bolesť na hrudi</w:t>
            </w:r>
          </w:p>
          <w:p w:rsidR="00FF4C72" w:rsidRPr="008616DC" w:rsidRDefault="00FF4C72" w:rsidP="00467391">
            <w:pPr>
              <w:tabs>
                <w:tab w:val="clear" w:pos="567"/>
              </w:tabs>
              <w:spacing w:line="240" w:lineRule="auto"/>
              <w:rPr>
                <w:szCs w:val="22"/>
                <w:lang w:eastAsia="de-DE"/>
              </w:rPr>
            </w:pPr>
            <w:r>
              <w:rPr>
                <w:szCs w:val="22"/>
              </w:rPr>
              <w:t>srdcové zlyhanie, infarkt myokardu</w:t>
            </w:r>
          </w:p>
        </w:tc>
      </w:tr>
      <w:tr w:rsidR="00FF4C72" w:rsidRPr="008616DC" w:rsidTr="00467391">
        <w:trPr>
          <w:trHeight w:val="725"/>
        </w:trPr>
        <w:tc>
          <w:tcPr>
            <w:tcW w:w="2835" w:type="dxa"/>
            <w:vMerge/>
            <w:shd w:val="clear" w:color="auto" w:fill="F2F2F2"/>
            <w:vAlign w:val="center"/>
          </w:tcPr>
          <w:p w:rsidR="00FF4C72" w:rsidRDefault="00FF4C72" w:rsidP="00467391">
            <w:pPr>
              <w:tabs>
                <w:tab w:val="clear" w:pos="567"/>
              </w:tabs>
              <w:spacing w:line="240" w:lineRule="auto"/>
              <w:rPr>
                <w:i/>
                <w:szCs w:val="22"/>
                <w:lang w:eastAsia="de-DE"/>
              </w:rPr>
            </w:pPr>
          </w:p>
        </w:tc>
        <w:tc>
          <w:tcPr>
            <w:tcW w:w="1560" w:type="dxa"/>
            <w:shd w:val="clear" w:color="auto" w:fill="auto"/>
            <w:vAlign w:val="center"/>
          </w:tcPr>
          <w:p w:rsidR="00FF4C72" w:rsidRDefault="00FF4C72" w:rsidP="00467391">
            <w:pPr>
              <w:tabs>
                <w:tab w:val="clear" w:pos="567"/>
              </w:tabs>
              <w:spacing w:line="240" w:lineRule="auto"/>
              <w:jc w:val="center"/>
              <w:rPr>
                <w:bCs/>
                <w:szCs w:val="22"/>
                <w:lang w:eastAsia="de-DE"/>
              </w:rPr>
            </w:pPr>
            <w:r>
              <w:rPr>
                <w:bCs/>
                <w:szCs w:val="22"/>
                <w:lang w:eastAsia="de-DE"/>
              </w:rPr>
              <w:t>Neznáme</w:t>
            </w:r>
          </w:p>
        </w:tc>
        <w:tc>
          <w:tcPr>
            <w:tcW w:w="5103" w:type="dxa"/>
            <w:shd w:val="clear" w:color="auto" w:fill="auto"/>
            <w:vAlign w:val="center"/>
          </w:tcPr>
          <w:p w:rsidR="00FF4C72" w:rsidRDefault="00FF4C72" w:rsidP="00467391">
            <w:pPr>
              <w:tabs>
                <w:tab w:val="clear" w:pos="567"/>
              </w:tabs>
              <w:spacing w:line="240" w:lineRule="auto"/>
              <w:rPr>
                <w:szCs w:val="22"/>
                <w:lang w:eastAsia="de-DE"/>
              </w:rPr>
            </w:pPr>
            <w:r>
              <w:rPr>
                <w:szCs w:val="22"/>
                <w:lang w:eastAsia="de-DE"/>
              </w:rPr>
              <w:t>Kounisov syndróm</w:t>
            </w:r>
          </w:p>
        </w:tc>
      </w:tr>
      <w:tr w:rsidR="00674A9D" w:rsidRPr="008616DC" w:rsidTr="00467391">
        <w:trPr>
          <w:trHeight w:val="561"/>
        </w:trPr>
        <w:tc>
          <w:tcPr>
            <w:tcW w:w="2835" w:type="dxa"/>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Poruchy ciev</w:t>
            </w:r>
          </w:p>
        </w:tc>
        <w:tc>
          <w:tcPr>
            <w:tcW w:w="1560" w:type="dxa"/>
            <w:shd w:val="clear" w:color="auto" w:fill="auto"/>
            <w:vAlign w:val="center"/>
          </w:tcPr>
          <w:p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hypertenzia</w:t>
            </w:r>
          </w:p>
          <w:p w:rsidR="00674A9D" w:rsidRPr="008616DC" w:rsidRDefault="00A50C96" w:rsidP="00467391">
            <w:pPr>
              <w:tabs>
                <w:tab w:val="clear" w:pos="567"/>
              </w:tabs>
              <w:spacing w:line="240" w:lineRule="auto"/>
              <w:rPr>
                <w:szCs w:val="22"/>
                <w:lang w:eastAsia="de-DE"/>
              </w:rPr>
            </w:pPr>
            <w:r>
              <w:rPr>
                <w:szCs w:val="22"/>
                <w:lang w:eastAsia="de-DE"/>
              </w:rPr>
              <w:t>vaskulitída</w:t>
            </w:r>
          </w:p>
        </w:tc>
      </w:tr>
      <w:tr w:rsidR="00674A9D" w:rsidRPr="008616DC" w:rsidTr="00467391">
        <w:trPr>
          <w:cantSplit/>
          <w:trHeight w:val="395"/>
        </w:trPr>
        <w:tc>
          <w:tcPr>
            <w:tcW w:w="2835" w:type="dxa"/>
            <w:vMerge w:val="restart"/>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Poruchy dýchacej sústavy, hrudníka a mediastína</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Zriedkavé</w:t>
            </w:r>
          </w:p>
        </w:tc>
        <w:tc>
          <w:tcPr>
            <w:tcW w:w="5103" w:type="dxa"/>
            <w:shd w:val="clear" w:color="auto" w:fill="auto"/>
            <w:vAlign w:val="center"/>
          </w:tcPr>
          <w:p w:rsidR="00674A9D" w:rsidRPr="008616DC" w:rsidRDefault="00A50C96" w:rsidP="0068659A">
            <w:pPr>
              <w:tabs>
                <w:tab w:val="clear" w:pos="567"/>
              </w:tabs>
              <w:spacing w:line="240" w:lineRule="auto"/>
              <w:rPr>
                <w:szCs w:val="22"/>
                <w:lang w:eastAsia="de-DE"/>
              </w:rPr>
            </w:pPr>
            <w:r>
              <w:rPr>
                <w:szCs w:val="22"/>
                <w:lang w:eastAsia="de-DE"/>
              </w:rPr>
              <w:t>astma (vrátane dyspnoe)</w:t>
            </w:r>
          </w:p>
        </w:tc>
      </w:tr>
      <w:tr w:rsidR="00674A9D" w:rsidRPr="008616DC" w:rsidTr="00467391">
        <w:trPr>
          <w:cantSplit/>
          <w:trHeight w:val="357"/>
        </w:trPr>
        <w:tc>
          <w:tcPr>
            <w:tcW w:w="2835" w:type="dxa"/>
            <w:vMerge/>
            <w:shd w:val="clear" w:color="auto" w:fill="F2F2F2"/>
            <w:vAlign w:val="center"/>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pneumonitída</w:t>
            </w:r>
          </w:p>
        </w:tc>
      </w:tr>
      <w:tr w:rsidR="00674A9D" w:rsidRPr="008616DC" w:rsidTr="00467391">
        <w:trPr>
          <w:cantSplit/>
          <w:trHeight w:val="503"/>
        </w:trPr>
        <w:tc>
          <w:tcPr>
            <w:tcW w:w="2835" w:type="dxa"/>
            <w:vMerge w:val="restart"/>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Poruchy gastrointestinálneho traktu</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szCs w:val="22"/>
                <w:lang w:eastAsia="de-DE"/>
              </w:rPr>
              <w:t>Veľmi časté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nauzea, vracanie, hnačka</w:t>
            </w:r>
          </w:p>
          <w:p w:rsidR="00674A9D" w:rsidRPr="008616DC" w:rsidRDefault="00A50C96" w:rsidP="00467391">
            <w:pPr>
              <w:tabs>
                <w:tab w:val="clear" w:pos="567"/>
              </w:tabs>
              <w:spacing w:line="240" w:lineRule="auto"/>
              <w:rPr>
                <w:szCs w:val="22"/>
                <w:lang w:eastAsia="de-DE"/>
              </w:rPr>
            </w:pPr>
            <w:r>
              <w:rPr>
                <w:szCs w:val="22"/>
                <w:lang w:eastAsia="de-DE"/>
              </w:rPr>
              <w:t>slabé krvácanie</w:t>
            </w:r>
          </w:p>
        </w:tc>
      </w:tr>
      <w:tr w:rsidR="00674A9D" w:rsidRPr="008616DC" w:rsidTr="00467391">
        <w:trPr>
          <w:cantSplit/>
          <w:trHeight w:val="317"/>
        </w:trPr>
        <w:tc>
          <w:tcPr>
            <w:tcW w:w="2835" w:type="dxa"/>
            <w:vMerge/>
            <w:shd w:val="clear" w:color="auto" w:fill="F2F2F2"/>
            <w:vAlign w:val="center"/>
          </w:tcPr>
          <w:p w:rsidR="00674A9D" w:rsidRPr="008616DC" w:rsidRDefault="00674A9D" w:rsidP="00467391">
            <w:pPr>
              <w:tabs>
                <w:tab w:val="clear" w:pos="567"/>
              </w:tabs>
              <w:spacing w:line="240" w:lineRule="auto"/>
              <w:rPr>
                <w:i/>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szCs w:val="22"/>
                <w:lang w:eastAsia="de-DE"/>
              </w:rPr>
              <w:t>Časté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dyspepsia</w:t>
            </w:r>
          </w:p>
          <w:p w:rsidR="00674A9D" w:rsidRPr="008616DC" w:rsidRDefault="00A50C96" w:rsidP="00467391">
            <w:pPr>
              <w:tabs>
                <w:tab w:val="clear" w:pos="567"/>
              </w:tabs>
              <w:spacing w:line="240" w:lineRule="auto"/>
              <w:rPr>
                <w:szCs w:val="22"/>
                <w:lang w:eastAsia="de-DE"/>
              </w:rPr>
            </w:pPr>
            <w:r>
              <w:rPr>
                <w:szCs w:val="22"/>
                <w:lang w:eastAsia="de-DE"/>
              </w:rPr>
              <w:t>bolesť brucha</w:t>
            </w:r>
          </w:p>
          <w:p w:rsidR="00674A9D" w:rsidRPr="008616DC" w:rsidRDefault="00A50C96" w:rsidP="00467391">
            <w:pPr>
              <w:tabs>
                <w:tab w:val="clear" w:pos="567"/>
              </w:tabs>
              <w:spacing w:line="240" w:lineRule="auto"/>
              <w:rPr>
                <w:szCs w:val="22"/>
                <w:lang w:eastAsia="de-DE"/>
              </w:rPr>
            </w:pPr>
            <w:r>
              <w:rPr>
                <w:szCs w:val="22"/>
                <w:lang w:eastAsia="de-DE"/>
              </w:rPr>
              <w:t>nadúvanie</w:t>
            </w:r>
          </w:p>
          <w:p w:rsidR="00674A9D" w:rsidRPr="008616DC" w:rsidRDefault="00A50C96" w:rsidP="00467391">
            <w:pPr>
              <w:tabs>
                <w:tab w:val="clear" w:pos="567"/>
              </w:tabs>
              <w:spacing w:line="240" w:lineRule="auto"/>
              <w:rPr>
                <w:szCs w:val="22"/>
                <w:lang w:eastAsia="de-DE"/>
              </w:rPr>
            </w:pPr>
            <w:r>
              <w:rPr>
                <w:szCs w:val="22"/>
                <w:lang w:eastAsia="de-DE"/>
              </w:rPr>
              <w:t>anorexia</w:t>
            </w:r>
          </w:p>
        </w:tc>
      </w:tr>
      <w:tr w:rsidR="00674A9D" w:rsidRPr="008616DC" w:rsidTr="00467391">
        <w:trPr>
          <w:cantSplit/>
          <w:trHeight w:val="820"/>
        </w:trPr>
        <w:tc>
          <w:tcPr>
            <w:tcW w:w="2835" w:type="dxa"/>
            <w:vMerge/>
            <w:shd w:val="clear" w:color="auto" w:fill="F2F2F2"/>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gastritída, hemateméza, gastrointestinálne krvácanie, hemoragická hnačka, meléna, gastrointestinálne vredy (s krvácaním alebo bez krvácania či perforácie)</w:t>
            </w:r>
          </w:p>
        </w:tc>
      </w:tr>
      <w:tr w:rsidR="00674A9D" w:rsidRPr="008616DC" w:rsidTr="00467391">
        <w:trPr>
          <w:cantSplit/>
          <w:trHeight w:val="1925"/>
        </w:trPr>
        <w:tc>
          <w:tcPr>
            <w:tcW w:w="2835" w:type="dxa"/>
            <w:vMerge/>
            <w:shd w:val="clear" w:color="auto" w:fill="F2F2F2"/>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kolitída (vrátane hemoragickej kolitídy a exacerbácie ulceratívnej kolitídy alebo Crohnovej choroby</w:t>
            </w:r>
            <w:r>
              <w:rPr>
                <w:szCs w:val="22"/>
                <w:lang w:eastAsia="de-DE"/>
              </w:rPr>
              <w:t>)</w:t>
            </w:r>
          </w:p>
          <w:p w:rsidR="00674A9D" w:rsidRPr="008616DC" w:rsidRDefault="00A50C96" w:rsidP="00467391">
            <w:pPr>
              <w:tabs>
                <w:tab w:val="clear" w:pos="567"/>
              </w:tabs>
              <w:spacing w:line="240" w:lineRule="auto"/>
              <w:rPr>
                <w:szCs w:val="22"/>
                <w:lang w:eastAsia="de-DE"/>
              </w:rPr>
            </w:pPr>
            <w:r>
              <w:rPr>
                <w:szCs w:val="22"/>
                <w:lang w:eastAsia="de-DE"/>
              </w:rPr>
              <w:t>zápcha</w:t>
            </w:r>
          </w:p>
          <w:p w:rsidR="00674A9D" w:rsidRPr="008616DC" w:rsidRDefault="00A50C96" w:rsidP="00467391">
            <w:pPr>
              <w:tabs>
                <w:tab w:val="clear" w:pos="567"/>
              </w:tabs>
              <w:spacing w:line="240" w:lineRule="auto"/>
              <w:rPr>
                <w:szCs w:val="22"/>
                <w:lang w:eastAsia="de-DE"/>
              </w:rPr>
            </w:pPr>
            <w:r>
              <w:rPr>
                <w:szCs w:val="22"/>
                <w:lang w:eastAsia="de-DE"/>
              </w:rPr>
              <w:t>stomatitída (vrátane ulceratívnej stomatitídy), glositída</w:t>
            </w:r>
          </w:p>
          <w:p w:rsidR="00674A9D" w:rsidRPr="008616DC" w:rsidRDefault="00A50C96" w:rsidP="00467391">
            <w:pPr>
              <w:tabs>
                <w:tab w:val="clear" w:pos="567"/>
              </w:tabs>
              <w:spacing w:line="240" w:lineRule="auto"/>
              <w:rPr>
                <w:szCs w:val="22"/>
                <w:lang w:eastAsia="de-DE"/>
              </w:rPr>
            </w:pPr>
            <w:r>
              <w:rPr>
                <w:szCs w:val="22"/>
              </w:rPr>
              <w:t>ezofagálne lézie</w:t>
            </w:r>
          </w:p>
          <w:p w:rsidR="00674A9D" w:rsidRPr="008616DC" w:rsidRDefault="00A50C96" w:rsidP="00467391">
            <w:pPr>
              <w:tabs>
                <w:tab w:val="clear" w:pos="567"/>
              </w:tabs>
              <w:spacing w:line="240" w:lineRule="auto"/>
              <w:rPr>
                <w:szCs w:val="22"/>
                <w:lang w:eastAsia="de-DE"/>
              </w:rPr>
            </w:pPr>
            <w:r>
              <w:rPr>
                <w:szCs w:val="22"/>
                <w:lang w:eastAsia="de-DE"/>
              </w:rPr>
              <w:t>intestinálne zúženia podobné diafragme (</w:t>
            </w:r>
            <w:r>
              <w:rPr>
                <w:szCs w:val="22"/>
              </w:rPr>
              <w:t>pri perorálnom užívaní diklofenaku</w:t>
            </w:r>
            <w:r>
              <w:rPr>
                <w:szCs w:val="22"/>
                <w:lang w:eastAsia="de-DE"/>
              </w:rPr>
              <w:t>)</w:t>
            </w:r>
          </w:p>
          <w:p w:rsidR="00674A9D" w:rsidRPr="008616DC" w:rsidRDefault="00A50C96" w:rsidP="00467391">
            <w:pPr>
              <w:tabs>
                <w:tab w:val="clear" w:pos="567"/>
              </w:tabs>
              <w:spacing w:line="240" w:lineRule="auto"/>
              <w:rPr>
                <w:szCs w:val="22"/>
                <w:lang w:eastAsia="de-DE"/>
              </w:rPr>
            </w:pPr>
            <w:r>
              <w:rPr>
                <w:szCs w:val="22"/>
                <w:lang w:eastAsia="de-DE"/>
              </w:rPr>
              <w:t>pankreatitída</w:t>
            </w:r>
          </w:p>
        </w:tc>
      </w:tr>
      <w:tr w:rsidR="00674A9D" w:rsidRPr="008616DC" w:rsidTr="00467391">
        <w:trPr>
          <w:trHeight w:val="395"/>
        </w:trPr>
        <w:tc>
          <w:tcPr>
            <w:tcW w:w="2835" w:type="dxa"/>
            <w:vMerge w:val="restart"/>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Poruchy pečene a žlčových ciest</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szCs w:val="22"/>
                <w:lang w:eastAsia="de-DE"/>
              </w:rPr>
              <w:t>Časté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 xml:space="preserve">porucha funkcie pečene </w:t>
            </w:r>
            <w:r>
              <w:rPr>
                <w:szCs w:val="22"/>
                <w:lang w:eastAsia="de-DE"/>
              </w:rPr>
              <w:t>(</w:t>
            </w:r>
            <w:r>
              <w:rPr>
                <w:szCs w:val="22"/>
              </w:rPr>
              <w:t>zvýšenie hladiny transamináz v sére</w:t>
            </w:r>
            <w:r>
              <w:rPr>
                <w:szCs w:val="22"/>
                <w:lang w:eastAsia="de-DE"/>
              </w:rPr>
              <w:t>)</w:t>
            </w:r>
          </w:p>
        </w:tc>
      </w:tr>
      <w:tr w:rsidR="00674A9D" w:rsidRPr="008616DC" w:rsidTr="00467391">
        <w:trPr>
          <w:trHeight w:val="365"/>
        </w:trPr>
        <w:tc>
          <w:tcPr>
            <w:tcW w:w="2835" w:type="dxa"/>
            <w:vMerge/>
            <w:shd w:val="clear" w:color="auto" w:fill="F2F2F2"/>
            <w:vAlign w:val="center"/>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Menej časté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hepatitída, ikterus, poškodenie pečene</w:t>
            </w:r>
          </w:p>
        </w:tc>
      </w:tr>
      <w:tr w:rsidR="00674A9D" w:rsidRPr="008616DC" w:rsidTr="00467391">
        <w:trPr>
          <w:trHeight w:val="277"/>
        </w:trPr>
        <w:tc>
          <w:tcPr>
            <w:tcW w:w="2835" w:type="dxa"/>
            <w:vMerge/>
            <w:shd w:val="clear" w:color="auto" w:fill="F2F2F2"/>
            <w:vAlign w:val="center"/>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fulminantná hepatitída, nekróza pečeňových buniek, zlyhanie pečene</w:t>
            </w:r>
          </w:p>
        </w:tc>
      </w:tr>
      <w:tr w:rsidR="00674A9D" w:rsidRPr="008616DC" w:rsidTr="00467391">
        <w:trPr>
          <w:cantSplit/>
          <w:trHeight w:val="267"/>
        </w:trPr>
        <w:tc>
          <w:tcPr>
            <w:tcW w:w="2835" w:type="dxa"/>
            <w:vMerge w:val="restart"/>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Poruchy kože a podkožného tkaniva</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szCs w:val="22"/>
                <w:lang w:eastAsia="de-DE"/>
              </w:rPr>
              <w:t>Časté</w:t>
            </w:r>
          </w:p>
        </w:tc>
        <w:tc>
          <w:tcPr>
            <w:tcW w:w="5103" w:type="dxa"/>
            <w:shd w:val="clear" w:color="auto" w:fill="auto"/>
            <w:vAlign w:val="center"/>
          </w:tcPr>
          <w:p w:rsidR="00674A9D" w:rsidRPr="008616DC" w:rsidRDefault="00A50C96" w:rsidP="00087EBC">
            <w:pPr>
              <w:tabs>
                <w:tab w:val="clear" w:pos="567"/>
              </w:tabs>
              <w:spacing w:line="240" w:lineRule="auto"/>
              <w:rPr>
                <w:szCs w:val="22"/>
                <w:lang w:eastAsia="de-DE"/>
              </w:rPr>
            </w:pPr>
            <w:r>
              <w:rPr>
                <w:szCs w:val="22"/>
              </w:rPr>
              <w:t>vyrážka</w:t>
            </w:r>
          </w:p>
        </w:tc>
      </w:tr>
      <w:tr w:rsidR="00674A9D" w:rsidRPr="008616DC" w:rsidTr="00467391">
        <w:trPr>
          <w:cantSplit/>
          <w:trHeight w:val="287"/>
        </w:trPr>
        <w:tc>
          <w:tcPr>
            <w:tcW w:w="2835" w:type="dxa"/>
            <w:vMerge/>
            <w:shd w:val="clear" w:color="auto" w:fill="F2F2F2"/>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Menej časté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žihľavka</w:t>
            </w:r>
          </w:p>
        </w:tc>
      </w:tr>
      <w:tr w:rsidR="00674A9D" w:rsidRPr="008616DC" w:rsidTr="00467391">
        <w:trPr>
          <w:cantSplit/>
          <w:trHeight w:val="1963"/>
        </w:trPr>
        <w:tc>
          <w:tcPr>
            <w:tcW w:w="2835" w:type="dxa"/>
            <w:vMerge/>
            <w:shd w:val="clear" w:color="auto" w:fill="F2F2F2"/>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bulózne vyrážky</w:t>
            </w:r>
          </w:p>
          <w:p w:rsidR="00674A9D" w:rsidRPr="008616DC" w:rsidRDefault="00A50C96" w:rsidP="00467391">
            <w:pPr>
              <w:tabs>
                <w:tab w:val="clear" w:pos="567"/>
              </w:tabs>
              <w:spacing w:line="240" w:lineRule="auto"/>
              <w:rPr>
                <w:szCs w:val="22"/>
                <w:lang w:eastAsia="de-DE"/>
              </w:rPr>
            </w:pPr>
            <w:r>
              <w:rPr>
                <w:szCs w:val="22"/>
                <w:lang w:eastAsia="de-DE"/>
              </w:rPr>
              <w:t>ekzém, erytém</w:t>
            </w:r>
          </w:p>
          <w:p w:rsidR="00674A9D" w:rsidRPr="008616DC" w:rsidRDefault="00A50C96" w:rsidP="00467391">
            <w:pPr>
              <w:tabs>
                <w:tab w:val="clear" w:pos="567"/>
              </w:tabs>
              <w:spacing w:line="240" w:lineRule="auto"/>
              <w:rPr>
                <w:szCs w:val="22"/>
                <w:lang w:eastAsia="de-DE"/>
              </w:rPr>
            </w:pPr>
            <w:r>
              <w:rPr>
                <w:szCs w:val="22"/>
              </w:rPr>
              <w:t>multiformný erytém, Stevensov-Johnsonov syndróm</w:t>
            </w:r>
            <w:r>
              <w:rPr>
                <w:szCs w:val="22"/>
                <w:lang w:eastAsia="de-DE"/>
              </w:rPr>
              <w:t xml:space="preserve">, </w:t>
            </w:r>
            <w:r>
              <w:rPr>
                <w:szCs w:val="22"/>
              </w:rPr>
              <w:t>toxická epidermálna nekrolýza (Lyellov syndróm</w:t>
            </w:r>
            <w:r>
              <w:rPr>
                <w:szCs w:val="22"/>
                <w:lang w:eastAsia="de-DE"/>
              </w:rPr>
              <w:t>), exfoliatívna dermatitída</w:t>
            </w:r>
          </w:p>
          <w:p w:rsidR="00674A9D" w:rsidRPr="008616DC" w:rsidRDefault="00A50C96" w:rsidP="00467391">
            <w:pPr>
              <w:tabs>
                <w:tab w:val="clear" w:pos="567"/>
              </w:tabs>
              <w:spacing w:line="240" w:lineRule="auto"/>
              <w:rPr>
                <w:szCs w:val="22"/>
                <w:lang w:eastAsia="de-DE"/>
              </w:rPr>
            </w:pPr>
            <w:r>
              <w:rPr>
                <w:szCs w:val="22"/>
                <w:lang w:eastAsia="de-DE"/>
              </w:rPr>
              <w:t>alopécia</w:t>
            </w:r>
          </w:p>
          <w:p w:rsidR="00674A9D" w:rsidRPr="008616DC" w:rsidRDefault="00A50C96" w:rsidP="00467391">
            <w:pPr>
              <w:tabs>
                <w:tab w:val="clear" w:pos="567"/>
              </w:tabs>
              <w:spacing w:line="240" w:lineRule="auto"/>
              <w:rPr>
                <w:szCs w:val="22"/>
                <w:lang w:eastAsia="de-DE"/>
              </w:rPr>
            </w:pPr>
            <w:r>
              <w:rPr>
                <w:szCs w:val="22"/>
              </w:rPr>
              <w:t>fotosenzitívna reakcia</w:t>
            </w:r>
          </w:p>
          <w:p w:rsidR="00674A9D" w:rsidRPr="008616DC" w:rsidRDefault="00A50C96" w:rsidP="00467391">
            <w:pPr>
              <w:tabs>
                <w:tab w:val="clear" w:pos="567"/>
              </w:tabs>
              <w:spacing w:line="240" w:lineRule="auto"/>
              <w:rPr>
                <w:szCs w:val="22"/>
                <w:lang w:eastAsia="de-DE"/>
              </w:rPr>
            </w:pPr>
            <w:r>
              <w:rPr>
                <w:szCs w:val="22"/>
              </w:rPr>
              <w:t>purpura</w:t>
            </w:r>
            <w:r>
              <w:rPr>
                <w:szCs w:val="22"/>
                <w:lang w:eastAsia="de-DE"/>
              </w:rPr>
              <w:t xml:space="preserve">, </w:t>
            </w:r>
            <w:r>
              <w:rPr>
                <w:szCs w:val="22"/>
              </w:rPr>
              <w:t>alergická purpura</w:t>
            </w:r>
          </w:p>
          <w:p w:rsidR="00087EBC" w:rsidRPr="008616DC" w:rsidRDefault="00A50C96" w:rsidP="00467391">
            <w:pPr>
              <w:tabs>
                <w:tab w:val="clear" w:pos="567"/>
              </w:tabs>
              <w:spacing w:line="240" w:lineRule="auto"/>
              <w:rPr>
                <w:szCs w:val="22"/>
                <w:lang w:eastAsia="de-DE"/>
              </w:rPr>
            </w:pPr>
            <w:r>
              <w:rPr>
                <w:szCs w:val="22"/>
                <w:lang w:eastAsia="de-DE"/>
              </w:rPr>
              <w:t>pruritus</w:t>
            </w:r>
          </w:p>
        </w:tc>
      </w:tr>
      <w:tr w:rsidR="00674A9D" w:rsidRPr="008616DC" w:rsidTr="00467391">
        <w:trPr>
          <w:trHeight w:val="1409"/>
        </w:trPr>
        <w:tc>
          <w:tcPr>
            <w:tcW w:w="2835" w:type="dxa"/>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Poruchy obličiek a močových ciest</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akútna renálna nedostatočnosť</w:t>
            </w:r>
          </w:p>
          <w:p w:rsidR="00674A9D" w:rsidRPr="008616DC" w:rsidRDefault="00A50C96" w:rsidP="00467391">
            <w:pPr>
              <w:tabs>
                <w:tab w:val="clear" w:pos="567"/>
              </w:tabs>
              <w:spacing w:line="240" w:lineRule="auto"/>
              <w:rPr>
                <w:szCs w:val="22"/>
                <w:lang w:eastAsia="de-DE"/>
              </w:rPr>
            </w:pPr>
            <w:r>
              <w:rPr>
                <w:szCs w:val="22"/>
                <w:lang w:eastAsia="de-DE"/>
              </w:rPr>
              <w:t>hematúria</w:t>
            </w:r>
          </w:p>
          <w:p w:rsidR="00674A9D" w:rsidRPr="008616DC" w:rsidRDefault="00A50C96" w:rsidP="00467391">
            <w:pPr>
              <w:tabs>
                <w:tab w:val="clear" w:pos="567"/>
              </w:tabs>
              <w:spacing w:line="240" w:lineRule="auto"/>
              <w:rPr>
                <w:szCs w:val="22"/>
                <w:lang w:eastAsia="de-DE"/>
              </w:rPr>
            </w:pPr>
            <w:r>
              <w:rPr>
                <w:szCs w:val="22"/>
                <w:lang w:eastAsia="de-DE"/>
              </w:rPr>
              <w:t>proteinúria</w:t>
            </w:r>
          </w:p>
          <w:p w:rsidR="00674A9D" w:rsidRPr="008616DC" w:rsidRDefault="00A50C96" w:rsidP="00467391">
            <w:pPr>
              <w:tabs>
                <w:tab w:val="clear" w:pos="567"/>
              </w:tabs>
              <w:spacing w:line="240" w:lineRule="auto"/>
              <w:rPr>
                <w:szCs w:val="22"/>
                <w:lang w:eastAsia="de-DE"/>
              </w:rPr>
            </w:pPr>
            <w:r>
              <w:rPr>
                <w:szCs w:val="22"/>
                <w:lang w:eastAsia="de-DE"/>
              </w:rPr>
              <w:t>nefrotický syndróm</w:t>
            </w:r>
          </w:p>
          <w:p w:rsidR="00ED6FE5" w:rsidRPr="008616DC" w:rsidRDefault="00A50C96" w:rsidP="00ED6FE5">
            <w:pPr>
              <w:tabs>
                <w:tab w:val="clear" w:pos="567"/>
              </w:tabs>
              <w:spacing w:line="240" w:lineRule="auto"/>
              <w:rPr>
                <w:szCs w:val="22"/>
                <w:lang w:eastAsia="de-DE"/>
              </w:rPr>
            </w:pPr>
            <w:r>
              <w:rPr>
                <w:szCs w:val="22"/>
                <w:lang w:eastAsia="de-DE"/>
              </w:rPr>
              <w:t>intersticiálna nefritída</w:t>
            </w:r>
          </w:p>
          <w:p w:rsidR="00674A9D" w:rsidRPr="008616DC" w:rsidRDefault="00A50C96" w:rsidP="00ED6FE5">
            <w:pPr>
              <w:tabs>
                <w:tab w:val="clear" w:pos="567"/>
              </w:tabs>
              <w:spacing w:line="240" w:lineRule="auto"/>
              <w:rPr>
                <w:szCs w:val="22"/>
                <w:lang w:eastAsia="de-DE"/>
              </w:rPr>
            </w:pPr>
            <w:r>
              <w:rPr>
                <w:szCs w:val="22"/>
                <w:lang w:eastAsia="de-DE"/>
              </w:rPr>
              <w:t>papilárna nekróza</w:t>
            </w:r>
          </w:p>
        </w:tc>
      </w:tr>
      <w:tr w:rsidR="00674A9D" w:rsidRPr="008616DC" w:rsidTr="00467391">
        <w:trPr>
          <w:cantSplit/>
          <w:trHeight w:val="701"/>
        </w:trPr>
        <w:tc>
          <w:tcPr>
            <w:tcW w:w="2835" w:type="dxa"/>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lastRenderedPageBreak/>
              <w:t>Celkové poruchy a reakcie v mieste podania</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edém</w:t>
            </w:r>
          </w:p>
        </w:tc>
      </w:tr>
    </w:tbl>
    <w:p w:rsidR="00674A9D" w:rsidRPr="008616DC" w:rsidRDefault="00674A9D" w:rsidP="00674A9D">
      <w:pPr>
        <w:tabs>
          <w:tab w:val="clear" w:pos="567"/>
          <w:tab w:val="left" w:pos="1800"/>
        </w:tabs>
        <w:spacing w:line="240" w:lineRule="auto"/>
        <w:jc w:val="both"/>
        <w:rPr>
          <w:szCs w:val="22"/>
        </w:rPr>
      </w:pPr>
    </w:p>
    <w:p w:rsidR="004F2511" w:rsidRPr="008616DC" w:rsidRDefault="00A50C96" w:rsidP="004F6D3D">
      <w:pPr>
        <w:autoSpaceDE w:val="0"/>
        <w:autoSpaceDN w:val="0"/>
        <w:adjustRightInd w:val="0"/>
        <w:spacing w:line="240" w:lineRule="auto"/>
        <w:rPr>
          <w:szCs w:val="22"/>
          <w:u w:val="single"/>
        </w:rPr>
      </w:pPr>
      <w:r w:rsidRPr="00A50C96">
        <w:rPr>
          <w:szCs w:val="22"/>
          <w:u w:val="single"/>
        </w:rPr>
        <w:t>Hlásenie podozrení na nežiaduce reakcie</w:t>
      </w:r>
    </w:p>
    <w:p w:rsidR="00674A9D" w:rsidRPr="008616DC" w:rsidRDefault="00C530B7" w:rsidP="004F6D3D">
      <w:pPr>
        <w:tabs>
          <w:tab w:val="clear" w:pos="567"/>
        </w:tabs>
        <w:spacing w:line="240" w:lineRule="auto"/>
        <w:jc w:val="both"/>
        <w:rPr>
          <w:szCs w:val="22"/>
        </w:rPr>
      </w:pPr>
      <w:r w:rsidRPr="00C530B7">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A50C96">
        <w:rPr>
          <w:szCs w:val="22"/>
        </w:rPr>
        <w:t xml:space="preserve">na </w:t>
      </w:r>
      <w:r w:rsidR="00A50C96">
        <w:rPr>
          <w:szCs w:val="22"/>
          <w:highlight w:val="lightGray"/>
        </w:rPr>
        <w:t>národné centrum hlásenia uvedené v </w:t>
      </w:r>
      <w:hyperlink r:id="rId9">
        <w:r w:rsidR="00A50C96">
          <w:rPr>
            <w:rStyle w:val="Hypertextovprepojenie"/>
            <w:szCs w:val="22"/>
            <w:highlight w:val="lightGray"/>
          </w:rPr>
          <w:t>Prílohe V</w:t>
        </w:r>
      </w:hyperlink>
      <w:r w:rsidR="00674A9D" w:rsidRPr="008616DC">
        <w:rPr>
          <w:szCs w:val="22"/>
        </w:rPr>
        <w:t>.</w:t>
      </w:r>
    </w:p>
    <w:p w:rsidR="00674A9D" w:rsidRPr="008616DC" w:rsidRDefault="00674A9D" w:rsidP="00674A9D">
      <w:pPr>
        <w:tabs>
          <w:tab w:val="clear" w:pos="567"/>
        </w:tabs>
        <w:spacing w:line="240" w:lineRule="auto"/>
        <w:jc w:val="both"/>
        <w:rPr>
          <w:b/>
          <w:szCs w:val="22"/>
        </w:rPr>
      </w:pPr>
    </w:p>
    <w:p w:rsidR="004F2511" w:rsidRPr="008616DC" w:rsidRDefault="004F2511" w:rsidP="004F2511">
      <w:pPr>
        <w:pStyle w:val="Odsekzoznamu"/>
        <w:numPr>
          <w:ilvl w:val="1"/>
          <w:numId w:val="1"/>
        </w:numPr>
        <w:spacing w:line="240" w:lineRule="auto"/>
        <w:jc w:val="both"/>
        <w:outlineLvl w:val="0"/>
        <w:rPr>
          <w:b/>
          <w:bCs/>
          <w:szCs w:val="22"/>
        </w:rPr>
      </w:pPr>
      <w:r w:rsidRPr="008616DC">
        <w:rPr>
          <w:b/>
          <w:bCs/>
          <w:szCs w:val="22"/>
        </w:rPr>
        <w:t>Predávkovanie</w:t>
      </w:r>
    </w:p>
    <w:p w:rsidR="00574D94" w:rsidRPr="008616DC" w:rsidRDefault="00574D94" w:rsidP="004F6D3D">
      <w:pPr>
        <w:tabs>
          <w:tab w:val="clear" w:pos="567"/>
        </w:tabs>
        <w:spacing w:line="240" w:lineRule="auto"/>
        <w:ind w:left="567" w:hanging="567"/>
        <w:jc w:val="both"/>
        <w:outlineLvl w:val="0"/>
        <w:rPr>
          <w:szCs w:val="22"/>
        </w:rPr>
      </w:pPr>
    </w:p>
    <w:p w:rsidR="00291D20" w:rsidRPr="008616DC" w:rsidRDefault="008F0E15" w:rsidP="00291D20">
      <w:pPr>
        <w:tabs>
          <w:tab w:val="clear" w:pos="567"/>
        </w:tabs>
        <w:spacing w:line="240" w:lineRule="auto"/>
        <w:jc w:val="both"/>
        <w:rPr>
          <w:szCs w:val="22"/>
          <w:u w:val="single"/>
        </w:rPr>
      </w:pPr>
      <w:r w:rsidRPr="000D3E57">
        <w:rPr>
          <w:szCs w:val="22"/>
          <w:u w:val="single"/>
        </w:rPr>
        <w:t>Príznaky</w:t>
      </w:r>
    </w:p>
    <w:p w:rsidR="003545DB" w:rsidRPr="008616DC" w:rsidRDefault="003545DB" w:rsidP="00291D20">
      <w:pPr>
        <w:tabs>
          <w:tab w:val="clear" w:pos="567"/>
        </w:tabs>
        <w:spacing w:line="240" w:lineRule="auto"/>
        <w:jc w:val="both"/>
        <w:rPr>
          <w:szCs w:val="22"/>
          <w:u w:val="single"/>
        </w:rPr>
      </w:pPr>
    </w:p>
    <w:p w:rsidR="00291D20" w:rsidRPr="008616DC" w:rsidRDefault="008F0E15" w:rsidP="00291D20">
      <w:pPr>
        <w:tabs>
          <w:tab w:val="clear" w:pos="567"/>
        </w:tabs>
        <w:spacing w:line="240" w:lineRule="auto"/>
        <w:jc w:val="both"/>
        <w:rPr>
          <w:i/>
          <w:szCs w:val="22"/>
        </w:rPr>
      </w:pPr>
      <w:r w:rsidRPr="000D3E57">
        <w:rPr>
          <w:i/>
          <w:iCs/>
          <w:szCs w:val="22"/>
        </w:rPr>
        <w:t>Diklofenak</w:t>
      </w:r>
    </w:p>
    <w:p w:rsidR="00574D94" w:rsidRPr="008616DC" w:rsidRDefault="008F0E15" w:rsidP="00291D20">
      <w:pPr>
        <w:tabs>
          <w:tab w:val="clear" w:pos="567"/>
        </w:tabs>
        <w:spacing w:line="240" w:lineRule="auto"/>
        <w:jc w:val="both"/>
        <w:rPr>
          <w:szCs w:val="22"/>
        </w:rPr>
      </w:pPr>
      <w:r w:rsidRPr="000D3E57">
        <w:rPr>
          <w:szCs w:val="22"/>
        </w:rPr>
        <w:t>Nebol zaznamenaný žiadny typický klinický obraz predávkovania diklofenakom. Predávkovanie môže spôsobiť prejavy, ako je napríklad vracanie, gastrointestinálne krvácanie, hnačka, závrat, tinnitus a konvulzie. V prípade závažnej otravy je možné akútne zlyhanie obličiek a poškodenie pečene ako aj respiračná depresia a cyanóza.</w:t>
      </w:r>
    </w:p>
    <w:p w:rsidR="00160C83" w:rsidRPr="008616DC" w:rsidRDefault="00160C83">
      <w:pPr>
        <w:tabs>
          <w:tab w:val="clear" w:pos="567"/>
        </w:tabs>
        <w:spacing w:line="240" w:lineRule="auto"/>
        <w:jc w:val="both"/>
        <w:rPr>
          <w:szCs w:val="22"/>
        </w:rPr>
      </w:pPr>
    </w:p>
    <w:p w:rsidR="003B78B8" w:rsidRPr="008616DC" w:rsidRDefault="008F0E15" w:rsidP="003B78B8">
      <w:pPr>
        <w:tabs>
          <w:tab w:val="clear" w:pos="567"/>
        </w:tabs>
        <w:spacing w:line="240" w:lineRule="auto"/>
        <w:jc w:val="both"/>
        <w:rPr>
          <w:i/>
          <w:szCs w:val="22"/>
        </w:rPr>
      </w:pPr>
      <w:r w:rsidRPr="000D3E57">
        <w:rPr>
          <w:i/>
          <w:szCs w:val="22"/>
        </w:rPr>
        <w:t>Vitamín B</w:t>
      </w:r>
      <w:r w:rsidRPr="000D3E57">
        <w:rPr>
          <w:i/>
          <w:szCs w:val="22"/>
          <w:vertAlign w:val="subscript"/>
        </w:rPr>
        <w:t>1</w:t>
      </w:r>
    </w:p>
    <w:p w:rsidR="00160C83" w:rsidRPr="008616DC" w:rsidRDefault="008F0E15" w:rsidP="008E6AFE">
      <w:pPr>
        <w:tabs>
          <w:tab w:val="clear" w:pos="567"/>
        </w:tabs>
        <w:autoSpaceDE w:val="0"/>
        <w:autoSpaceDN w:val="0"/>
        <w:adjustRightInd w:val="0"/>
        <w:spacing w:line="240" w:lineRule="auto"/>
        <w:jc w:val="both"/>
        <w:rPr>
          <w:szCs w:val="22"/>
        </w:rPr>
      </w:pPr>
      <w:r w:rsidRPr="000D3E57">
        <w:rPr>
          <w:szCs w:val="22"/>
        </w:rPr>
        <w:t>Tiamín má široké terapeutické rozmedzie. Veľmi vysoké dávky tiamínu (nad 10 g) účinkujú ako gangliový blokátor a podobne ako kurare, potláčajú prenos nervových impulzov.</w:t>
      </w:r>
    </w:p>
    <w:p w:rsidR="00160C83" w:rsidRPr="008616DC" w:rsidRDefault="00160C83" w:rsidP="004F6D3D">
      <w:pPr>
        <w:numPr>
          <w:ilvl w:val="12"/>
          <w:numId w:val="0"/>
        </w:numPr>
        <w:tabs>
          <w:tab w:val="clear" w:pos="567"/>
        </w:tabs>
        <w:spacing w:line="240" w:lineRule="auto"/>
        <w:jc w:val="both"/>
        <w:rPr>
          <w:szCs w:val="22"/>
        </w:rPr>
      </w:pPr>
    </w:p>
    <w:p w:rsidR="003B78B8" w:rsidRPr="008616DC" w:rsidRDefault="008F0E15" w:rsidP="008E6AFE">
      <w:pPr>
        <w:tabs>
          <w:tab w:val="clear" w:pos="567"/>
        </w:tabs>
        <w:autoSpaceDE w:val="0"/>
        <w:autoSpaceDN w:val="0"/>
        <w:adjustRightInd w:val="0"/>
        <w:spacing w:line="240" w:lineRule="auto"/>
        <w:jc w:val="both"/>
        <w:rPr>
          <w:i/>
          <w:szCs w:val="22"/>
        </w:rPr>
      </w:pPr>
      <w:r w:rsidRPr="000D3E57">
        <w:rPr>
          <w:i/>
          <w:szCs w:val="22"/>
        </w:rPr>
        <w:t>Vitamín B</w:t>
      </w:r>
      <w:r w:rsidRPr="000D3E57">
        <w:rPr>
          <w:i/>
          <w:szCs w:val="22"/>
          <w:vertAlign w:val="subscript"/>
        </w:rPr>
        <w:t>6</w:t>
      </w:r>
    </w:p>
    <w:p w:rsidR="00291D20" w:rsidRPr="008616DC" w:rsidRDefault="008F0E15" w:rsidP="00291D20">
      <w:pPr>
        <w:tabs>
          <w:tab w:val="clear" w:pos="567"/>
        </w:tabs>
        <w:autoSpaceDE w:val="0"/>
        <w:autoSpaceDN w:val="0"/>
        <w:adjustRightInd w:val="0"/>
        <w:spacing w:line="240" w:lineRule="auto"/>
        <w:jc w:val="both"/>
        <w:rPr>
          <w:szCs w:val="22"/>
        </w:rPr>
      </w:pPr>
      <w:r w:rsidRPr="000D3E57">
        <w:rPr>
          <w:szCs w:val="22"/>
        </w:rPr>
        <w:t>Toxický potenciál vitamínu B</w:t>
      </w:r>
      <w:r w:rsidRPr="000D3E57">
        <w:rPr>
          <w:szCs w:val="22"/>
          <w:vertAlign w:val="subscript"/>
        </w:rPr>
        <w:t>6</w:t>
      </w:r>
      <w:r w:rsidRPr="000D3E57">
        <w:rPr>
          <w:szCs w:val="22"/>
        </w:rPr>
        <w:t xml:space="preserve"> je možno považovať za veľmi malý. Dlhodobá liečba (viac ako 6-12 mesiacov) s dennými dávkami presahujúcimi 50 mg vitamínu B</w:t>
      </w:r>
      <w:r w:rsidRPr="000D3E57">
        <w:rPr>
          <w:szCs w:val="22"/>
          <w:vertAlign w:val="subscript"/>
        </w:rPr>
        <w:t>6</w:t>
      </w:r>
      <w:r w:rsidRPr="000D3E57">
        <w:rPr>
          <w:szCs w:val="22"/>
        </w:rPr>
        <w:t>, však môže spôsobiť periférnu senzorickú neuropatiu. Kontinuálny príjem vitamínu B</w:t>
      </w:r>
      <w:r w:rsidRPr="000D3E57">
        <w:rPr>
          <w:szCs w:val="22"/>
          <w:vertAlign w:val="subscript"/>
        </w:rPr>
        <w:t>6</w:t>
      </w:r>
      <w:r w:rsidRPr="000D3E57">
        <w:rPr>
          <w:szCs w:val="22"/>
        </w:rPr>
        <w:t xml:space="preserve"> v denných dávkach vyšších ako 1 g, dlhšie ako 2 mesiace, môže mať neurotoxické účinky.</w:t>
      </w:r>
    </w:p>
    <w:p w:rsidR="00291D20" w:rsidRPr="008616DC" w:rsidRDefault="008F0E15" w:rsidP="004F6D3D">
      <w:pPr>
        <w:tabs>
          <w:tab w:val="clear" w:pos="567"/>
        </w:tabs>
        <w:autoSpaceDE w:val="0"/>
        <w:autoSpaceDN w:val="0"/>
        <w:adjustRightInd w:val="0"/>
        <w:spacing w:line="240" w:lineRule="auto"/>
        <w:jc w:val="both"/>
        <w:rPr>
          <w:szCs w:val="22"/>
        </w:rPr>
      </w:pPr>
      <w:r w:rsidRPr="000D3E57">
        <w:rPr>
          <w:szCs w:val="22"/>
        </w:rPr>
        <w:t>Po užívaní dennej dávky vyššej ako 2 g, boli opísané prípady neuropatií s ataxiou a poruchami citlivosti, cerebrálne konvulzie so zmenami EEG a vo veľmi zriedkavých prípadoch hypochrómna anémia a seboroická dermatitída.</w:t>
      </w:r>
    </w:p>
    <w:p w:rsidR="003B78B8" w:rsidRPr="008616DC" w:rsidRDefault="003B78B8" w:rsidP="004F6D3D">
      <w:pPr>
        <w:numPr>
          <w:ilvl w:val="12"/>
          <w:numId w:val="0"/>
        </w:numPr>
        <w:tabs>
          <w:tab w:val="clear" w:pos="567"/>
        </w:tabs>
        <w:spacing w:line="240" w:lineRule="auto"/>
        <w:jc w:val="both"/>
        <w:rPr>
          <w:szCs w:val="22"/>
        </w:rPr>
      </w:pPr>
    </w:p>
    <w:p w:rsidR="003B78B8" w:rsidRPr="008616DC" w:rsidRDefault="008F0E15" w:rsidP="004F6D3D">
      <w:pPr>
        <w:numPr>
          <w:ilvl w:val="12"/>
          <w:numId w:val="0"/>
        </w:numPr>
        <w:tabs>
          <w:tab w:val="clear" w:pos="567"/>
        </w:tabs>
        <w:spacing w:line="240" w:lineRule="auto"/>
        <w:jc w:val="both"/>
        <w:rPr>
          <w:i/>
          <w:szCs w:val="22"/>
        </w:rPr>
      </w:pPr>
      <w:r w:rsidRPr="000D3E57">
        <w:rPr>
          <w:i/>
          <w:szCs w:val="22"/>
        </w:rPr>
        <w:t>Vitamín B</w:t>
      </w:r>
      <w:r w:rsidRPr="000D3E57">
        <w:rPr>
          <w:i/>
          <w:szCs w:val="22"/>
          <w:vertAlign w:val="subscript"/>
        </w:rPr>
        <w:t>12</w:t>
      </w:r>
    </w:p>
    <w:p w:rsidR="003B78B8" w:rsidRPr="008616DC" w:rsidRDefault="008F0E15" w:rsidP="004F6D3D">
      <w:pPr>
        <w:numPr>
          <w:ilvl w:val="12"/>
          <w:numId w:val="0"/>
        </w:numPr>
        <w:tabs>
          <w:tab w:val="clear" w:pos="567"/>
        </w:tabs>
        <w:spacing w:line="240" w:lineRule="auto"/>
        <w:jc w:val="both"/>
        <w:rPr>
          <w:szCs w:val="22"/>
        </w:rPr>
      </w:pPr>
      <w:r w:rsidRPr="000D3E57">
        <w:rPr>
          <w:szCs w:val="22"/>
        </w:rPr>
        <w:t xml:space="preserve">Po parenterálnom podaní vysokej dávky (zriedkavo aj po perorálnom užití) boli zaznamenané alergické reakcie, kožné ekzematózne zmeny a benígne formy akné. </w:t>
      </w:r>
    </w:p>
    <w:p w:rsidR="00160C83" w:rsidRPr="008616DC" w:rsidRDefault="00160C83">
      <w:pPr>
        <w:tabs>
          <w:tab w:val="clear" w:pos="567"/>
        </w:tabs>
        <w:spacing w:line="240" w:lineRule="auto"/>
        <w:jc w:val="both"/>
        <w:rPr>
          <w:szCs w:val="22"/>
        </w:rPr>
      </w:pPr>
    </w:p>
    <w:p w:rsidR="00AB3892" w:rsidRPr="008616DC" w:rsidRDefault="008F0E15">
      <w:pPr>
        <w:tabs>
          <w:tab w:val="clear" w:pos="567"/>
        </w:tabs>
        <w:spacing w:line="240" w:lineRule="auto"/>
        <w:jc w:val="both"/>
        <w:rPr>
          <w:szCs w:val="22"/>
          <w:u w:val="single"/>
        </w:rPr>
      </w:pPr>
      <w:r w:rsidRPr="000D3E57">
        <w:rPr>
          <w:szCs w:val="22"/>
          <w:u w:val="single"/>
        </w:rPr>
        <w:t>Liečba</w:t>
      </w:r>
    </w:p>
    <w:p w:rsidR="003545DB" w:rsidRPr="008616DC" w:rsidRDefault="003545DB">
      <w:pPr>
        <w:tabs>
          <w:tab w:val="clear" w:pos="567"/>
        </w:tabs>
        <w:spacing w:line="240" w:lineRule="auto"/>
        <w:jc w:val="both"/>
        <w:rPr>
          <w:szCs w:val="22"/>
          <w:u w:val="single"/>
        </w:rPr>
      </w:pPr>
    </w:p>
    <w:p w:rsidR="008E6AFE" w:rsidRPr="008616DC" w:rsidRDefault="008F0E15" w:rsidP="00820D06">
      <w:pPr>
        <w:tabs>
          <w:tab w:val="clear" w:pos="567"/>
        </w:tabs>
        <w:spacing w:line="240" w:lineRule="auto"/>
        <w:jc w:val="both"/>
        <w:rPr>
          <w:i/>
          <w:szCs w:val="22"/>
        </w:rPr>
      </w:pPr>
      <w:r w:rsidRPr="000D3E57">
        <w:rPr>
          <w:i/>
          <w:szCs w:val="22"/>
        </w:rPr>
        <w:t>Diklofenak</w:t>
      </w:r>
    </w:p>
    <w:p w:rsidR="00820D06" w:rsidRPr="008616DC" w:rsidRDefault="008F0E15" w:rsidP="00820D06">
      <w:pPr>
        <w:tabs>
          <w:tab w:val="clear" w:pos="567"/>
        </w:tabs>
        <w:autoSpaceDE w:val="0"/>
        <w:autoSpaceDN w:val="0"/>
        <w:adjustRightInd w:val="0"/>
        <w:spacing w:line="240" w:lineRule="auto"/>
        <w:jc w:val="both"/>
        <w:rPr>
          <w:szCs w:val="22"/>
        </w:rPr>
      </w:pPr>
      <w:r w:rsidRPr="000D3E57">
        <w:rPr>
          <w:szCs w:val="22"/>
        </w:rPr>
        <w:t>Nie je žiadne špecifické antidotum. Liečba predávkovania spočíva v symptomatickej liečbe a kontrole vitálnych funkcií. Pri perorálnej intoxikácii je potrebné odstrániť z tela zvyšky lieku prostredníctvom gastrického výplachu, užitím aktívneho uhlia alebo laxatív. Pri komplikáciách typu hypotenzia, zlyhanie obličiek, kŕče, gastrointestinálne podráždenie a respiračná depresia, je potrebné začať symptomatickú liečbu a podporné opatrenia.</w:t>
      </w:r>
    </w:p>
    <w:p w:rsidR="00820D06" w:rsidRPr="008616DC" w:rsidRDefault="008F0E15" w:rsidP="004F6D3D">
      <w:pPr>
        <w:tabs>
          <w:tab w:val="clear" w:pos="567"/>
        </w:tabs>
        <w:spacing w:line="240" w:lineRule="auto"/>
        <w:jc w:val="both"/>
        <w:rPr>
          <w:szCs w:val="22"/>
        </w:rPr>
      </w:pPr>
      <w:r w:rsidRPr="000D3E57">
        <w:rPr>
          <w:szCs w:val="22"/>
        </w:rPr>
        <w:t>Osobitné opatrenia ako nútená diuréza, dialýza alebo hemoperfúzia pravdepodobne pri eliminácii NSAID nepomôžu z dôvodu vysokej väzby na bielkoviny a extenzívneho metabolizmu.</w:t>
      </w:r>
    </w:p>
    <w:p w:rsidR="00820D06" w:rsidRPr="008616DC" w:rsidRDefault="00820D06" w:rsidP="00820D06">
      <w:pPr>
        <w:tabs>
          <w:tab w:val="clear" w:pos="567"/>
        </w:tabs>
        <w:spacing w:line="240" w:lineRule="auto"/>
        <w:jc w:val="both"/>
        <w:rPr>
          <w:szCs w:val="22"/>
        </w:rPr>
      </w:pPr>
    </w:p>
    <w:p w:rsidR="00820D06" w:rsidRPr="008616DC" w:rsidRDefault="008F0E15" w:rsidP="00820D06">
      <w:pPr>
        <w:tabs>
          <w:tab w:val="clear" w:pos="567"/>
        </w:tabs>
        <w:spacing w:line="240" w:lineRule="auto"/>
        <w:jc w:val="both"/>
        <w:rPr>
          <w:szCs w:val="22"/>
        </w:rPr>
      </w:pPr>
      <w:r w:rsidRPr="000D3E57">
        <w:rPr>
          <w:szCs w:val="22"/>
        </w:rPr>
        <w:t>Po užití potenciálne toxickej nadmernej dávky sa má zvážiť podanie aktívneho uhlia a dekontaminácia žalúdka (vracanie, výplach žalúdka).</w:t>
      </w:r>
    </w:p>
    <w:p w:rsidR="003539E8" w:rsidRPr="008616DC" w:rsidRDefault="003539E8" w:rsidP="003539E8">
      <w:pPr>
        <w:tabs>
          <w:tab w:val="clear" w:pos="567"/>
        </w:tabs>
        <w:spacing w:line="240" w:lineRule="auto"/>
        <w:jc w:val="both"/>
        <w:rPr>
          <w:szCs w:val="22"/>
        </w:rPr>
      </w:pPr>
    </w:p>
    <w:p w:rsidR="00574D94" w:rsidRPr="008616DC" w:rsidRDefault="00574D94">
      <w:pPr>
        <w:tabs>
          <w:tab w:val="clear" w:pos="567"/>
        </w:tabs>
        <w:spacing w:line="240" w:lineRule="auto"/>
        <w:jc w:val="both"/>
        <w:rPr>
          <w:szCs w:val="22"/>
        </w:rPr>
      </w:pPr>
    </w:p>
    <w:p w:rsidR="00574D94" w:rsidRPr="008616DC" w:rsidRDefault="008F0E15">
      <w:pPr>
        <w:tabs>
          <w:tab w:val="clear" w:pos="567"/>
        </w:tabs>
        <w:spacing w:line="240" w:lineRule="auto"/>
        <w:ind w:left="567" w:hanging="567"/>
        <w:jc w:val="both"/>
        <w:rPr>
          <w:b/>
          <w:szCs w:val="22"/>
        </w:rPr>
      </w:pPr>
      <w:r w:rsidRPr="000D3E57">
        <w:rPr>
          <w:b/>
          <w:szCs w:val="22"/>
        </w:rPr>
        <w:t>5.</w:t>
      </w:r>
      <w:r w:rsidRPr="000D3E57">
        <w:rPr>
          <w:b/>
          <w:szCs w:val="22"/>
        </w:rPr>
        <w:tab/>
      </w:r>
      <w:r w:rsidRPr="000D3E57">
        <w:rPr>
          <w:b/>
          <w:bCs/>
          <w:szCs w:val="22"/>
        </w:rPr>
        <w:t>FARMAKOLOGICKÉ VLASTNOSTI</w:t>
      </w:r>
    </w:p>
    <w:p w:rsidR="003539E8" w:rsidRPr="008616DC" w:rsidRDefault="003539E8" w:rsidP="004F6D3D">
      <w:pPr>
        <w:tabs>
          <w:tab w:val="clear" w:pos="567"/>
        </w:tabs>
        <w:spacing w:line="240" w:lineRule="auto"/>
        <w:ind w:left="567" w:hanging="567"/>
        <w:jc w:val="both"/>
        <w:outlineLvl w:val="0"/>
        <w:rPr>
          <w:b/>
          <w:szCs w:val="22"/>
        </w:rPr>
      </w:pPr>
    </w:p>
    <w:p w:rsidR="00574D94" w:rsidRPr="008616DC" w:rsidRDefault="008F0E15">
      <w:pPr>
        <w:tabs>
          <w:tab w:val="clear" w:pos="567"/>
        </w:tabs>
        <w:spacing w:line="240" w:lineRule="auto"/>
        <w:ind w:left="567" w:hanging="567"/>
        <w:jc w:val="both"/>
        <w:outlineLvl w:val="0"/>
        <w:rPr>
          <w:szCs w:val="22"/>
        </w:rPr>
      </w:pPr>
      <w:r w:rsidRPr="000D3E57">
        <w:rPr>
          <w:b/>
          <w:szCs w:val="22"/>
        </w:rPr>
        <w:lastRenderedPageBreak/>
        <w:t xml:space="preserve">5.1 </w:t>
      </w:r>
      <w:r w:rsidRPr="000D3E57">
        <w:rPr>
          <w:b/>
          <w:szCs w:val="22"/>
        </w:rPr>
        <w:tab/>
      </w:r>
      <w:r w:rsidRPr="000D3E57">
        <w:rPr>
          <w:b/>
          <w:bCs/>
          <w:szCs w:val="22"/>
        </w:rPr>
        <w:t>Farmakodynamické vlastnosti</w:t>
      </w:r>
    </w:p>
    <w:p w:rsidR="003539E8" w:rsidRPr="008616DC" w:rsidRDefault="003539E8" w:rsidP="004F6D3D">
      <w:pPr>
        <w:jc w:val="both"/>
        <w:rPr>
          <w:szCs w:val="22"/>
        </w:rPr>
      </w:pPr>
    </w:p>
    <w:p w:rsidR="00574D94" w:rsidRPr="008616DC" w:rsidRDefault="008F0E15">
      <w:pPr>
        <w:jc w:val="both"/>
        <w:rPr>
          <w:bCs/>
          <w:szCs w:val="22"/>
        </w:rPr>
      </w:pPr>
      <w:r w:rsidRPr="000D3E57">
        <w:rPr>
          <w:szCs w:val="22"/>
        </w:rPr>
        <w:t>Farmakoterapeutická skupina:</w:t>
      </w:r>
      <w:r w:rsidRPr="000D3E57">
        <w:rPr>
          <w:b/>
          <w:szCs w:val="22"/>
        </w:rPr>
        <w:t xml:space="preserve"> </w:t>
      </w:r>
      <w:r w:rsidRPr="000D3E57">
        <w:rPr>
          <w:szCs w:val="22"/>
        </w:rPr>
        <w:t>Nesteroidové antiflogistiká a antireumatiká, deriváty kyseliny octovej a príbuzné liečivá</w:t>
      </w:r>
    </w:p>
    <w:p w:rsidR="00574D94" w:rsidRPr="008616DC" w:rsidRDefault="008F0E15">
      <w:pPr>
        <w:jc w:val="both"/>
        <w:rPr>
          <w:bCs/>
          <w:szCs w:val="22"/>
        </w:rPr>
      </w:pPr>
      <w:r w:rsidRPr="000D3E57">
        <w:rPr>
          <w:szCs w:val="22"/>
        </w:rPr>
        <w:t>ATC kód:</w:t>
      </w:r>
      <w:r w:rsidRPr="000D3E57">
        <w:rPr>
          <w:b/>
          <w:szCs w:val="22"/>
        </w:rPr>
        <w:t xml:space="preserve"> </w:t>
      </w:r>
      <w:r w:rsidRPr="000D3E57">
        <w:rPr>
          <w:bCs/>
          <w:szCs w:val="22"/>
        </w:rPr>
        <w:t>M01AB55</w:t>
      </w:r>
    </w:p>
    <w:p w:rsidR="00574D94" w:rsidRPr="008616DC" w:rsidRDefault="00574D94">
      <w:pPr>
        <w:jc w:val="both"/>
        <w:rPr>
          <w:b/>
          <w:szCs w:val="22"/>
        </w:rPr>
      </w:pPr>
    </w:p>
    <w:p w:rsidR="008944F5" w:rsidRPr="008616DC" w:rsidRDefault="008F0E15">
      <w:pPr>
        <w:jc w:val="both"/>
        <w:rPr>
          <w:szCs w:val="22"/>
        </w:rPr>
      </w:pPr>
      <w:r w:rsidRPr="000D3E57">
        <w:rPr>
          <w:szCs w:val="22"/>
        </w:rPr>
        <w:t>Diclovit</w:t>
      </w:r>
      <w:r w:rsidRPr="000D3E57">
        <w:rPr>
          <w:bCs/>
          <w:szCs w:val="22"/>
        </w:rPr>
        <w:t xml:space="preserve"> kapsuly sú kombináciou sodnej soli diklofenaku a neurotropných vitamínov</w:t>
      </w:r>
      <w:r w:rsidRPr="000D3E57">
        <w:rPr>
          <w:szCs w:val="22"/>
        </w:rPr>
        <w:t xml:space="preserve"> B</w:t>
      </w:r>
      <w:r w:rsidRPr="000D3E57">
        <w:rPr>
          <w:szCs w:val="22"/>
          <w:vertAlign w:val="subscript"/>
        </w:rPr>
        <w:t>1</w:t>
      </w:r>
      <w:r w:rsidRPr="000D3E57">
        <w:rPr>
          <w:szCs w:val="22"/>
        </w:rPr>
        <w:t>, B</w:t>
      </w:r>
      <w:r w:rsidRPr="000D3E57">
        <w:rPr>
          <w:szCs w:val="22"/>
          <w:vertAlign w:val="subscript"/>
        </w:rPr>
        <w:t>6</w:t>
      </w:r>
      <w:r w:rsidRPr="000D3E57">
        <w:rPr>
          <w:szCs w:val="22"/>
        </w:rPr>
        <w:t>, a B</w:t>
      </w:r>
      <w:r w:rsidRPr="000D3E57">
        <w:rPr>
          <w:szCs w:val="22"/>
          <w:vertAlign w:val="subscript"/>
        </w:rPr>
        <w:t>12</w:t>
      </w:r>
      <w:r w:rsidRPr="000D3E57">
        <w:rPr>
          <w:szCs w:val="22"/>
        </w:rPr>
        <w:t xml:space="preserve">. </w:t>
      </w:r>
    </w:p>
    <w:p w:rsidR="008944F5" w:rsidRPr="008616DC" w:rsidRDefault="008944F5">
      <w:pPr>
        <w:jc w:val="both"/>
        <w:rPr>
          <w:szCs w:val="22"/>
        </w:rPr>
      </w:pPr>
    </w:p>
    <w:p w:rsidR="008944F5" w:rsidRPr="008616DC" w:rsidRDefault="008F0E15">
      <w:pPr>
        <w:jc w:val="both"/>
        <w:rPr>
          <w:szCs w:val="22"/>
          <w:u w:val="single"/>
        </w:rPr>
      </w:pPr>
      <w:r w:rsidRPr="000D3E57">
        <w:rPr>
          <w:szCs w:val="22"/>
          <w:u w:val="single"/>
        </w:rPr>
        <w:t>Farmakodynamické účinky</w:t>
      </w:r>
    </w:p>
    <w:p w:rsidR="00574D94" w:rsidRPr="008616DC" w:rsidRDefault="008F0E15">
      <w:pPr>
        <w:jc w:val="both"/>
        <w:rPr>
          <w:szCs w:val="22"/>
        </w:rPr>
      </w:pPr>
      <w:r w:rsidRPr="000D3E57">
        <w:rPr>
          <w:szCs w:val="22"/>
        </w:rPr>
        <w:t>Diklofenak, nesteroidové liečivo, má antireumatické, antiflogistické, analgetické a antipyretické účinky najmä vďaka inhibícii syntézy prostaglandínov. Pri vysokých dávkach prechodne inhibuje experimentálne indukované agregácie trombocytov.</w:t>
      </w:r>
    </w:p>
    <w:p w:rsidR="00164387" w:rsidRPr="008616DC" w:rsidRDefault="008F0E15">
      <w:pPr>
        <w:jc w:val="both"/>
        <w:rPr>
          <w:szCs w:val="22"/>
        </w:rPr>
      </w:pPr>
      <w:r w:rsidRPr="000D3E57">
        <w:rPr>
          <w:szCs w:val="22"/>
        </w:rPr>
        <w:t>U ľudí diklofenak zmierňuje bolesť, opuchy a horúčku vyvolanú zápalovými procesmi. Diklofenak navyše inhibuje agregáciu trombocytov indukovanú ADP a kolagénom.</w:t>
      </w:r>
    </w:p>
    <w:p w:rsidR="00164387" w:rsidRPr="008616DC" w:rsidRDefault="00164387">
      <w:pPr>
        <w:jc w:val="both"/>
        <w:rPr>
          <w:szCs w:val="22"/>
        </w:rPr>
      </w:pPr>
    </w:p>
    <w:p w:rsidR="002E6881" w:rsidRPr="008616DC" w:rsidRDefault="008F0E15" w:rsidP="002E6881">
      <w:pPr>
        <w:tabs>
          <w:tab w:val="clear" w:pos="567"/>
        </w:tabs>
        <w:autoSpaceDE w:val="0"/>
        <w:autoSpaceDN w:val="0"/>
        <w:adjustRightInd w:val="0"/>
        <w:spacing w:line="240" w:lineRule="auto"/>
        <w:jc w:val="both"/>
        <w:rPr>
          <w:szCs w:val="22"/>
        </w:rPr>
      </w:pPr>
      <w:r w:rsidRPr="000D3E57">
        <w:rPr>
          <w:szCs w:val="22"/>
        </w:rPr>
        <w:t>Vitamíny B</w:t>
      </w:r>
      <w:r w:rsidRPr="000D3E57">
        <w:rPr>
          <w:szCs w:val="22"/>
          <w:vertAlign w:val="subscript"/>
        </w:rPr>
        <w:t xml:space="preserve">1 </w:t>
      </w:r>
      <w:r w:rsidRPr="000D3E57">
        <w:rPr>
          <w:szCs w:val="22"/>
        </w:rPr>
        <w:t>(tiamín), B</w:t>
      </w:r>
      <w:r w:rsidRPr="000D3E57">
        <w:rPr>
          <w:szCs w:val="22"/>
          <w:vertAlign w:val="subscript"/>
        </w:rPr>
        <w:t>6</w:t>
      </w:r>
      <w:r w:rsidRPr="000D3E57">
        <w:rPr>
          <w:szCs w:val="22"/>
        </w:rPr>
        <w:t xml:space="preserve"> (pyridoxín) a B</w:t>
      </w:r>
      <w:r w:rsidRPr="000D3E57">
        <w:rPr>
          <w:szCs w:val="22"/>
          <w:vertAlign w:val="subscript"/>
        </w:rPr>
        <w:t>12</w:t>
      </w:r>
      <w:r w:rsidRPr="000D3E57">
        <w:rPr>
          <w:szCs w:val="22"/>
        </w:rPr>
        <w:t xml:space="preserve"> (kyanokobalamín) sú koenzýmy, ktoré sa podieľajú na metabolických procesoch. Sú zvlášť dôležité pri metabolizme nervovej sústavy a podporujú analgetický účinok sodnej soli diklofenaku.</w:t>
      </w:r>
    </w:p>
    <w:p w:rsidR="00395222" w:rsidRPr="008616DC" w:rsidRDefault="008F0E15" w:rsidP="004F6D3D">
      <w:pPr>
        <w:tabs>
          <w:tab w:val="clear" w:pos="567"/>
        </w:tabs>
        <w:autoSpaceDE w:val="0"/>
        <w:autoSpaceDN w:val="0"/>
        <w:adjustRightInd w:val="0"/>
        <w:spacing w:line="240" w:lineRule="auto"/>
        <w:rPr>
          <w:szCs w:val="22"/>
        </w:rPr>
      </w:pPr>
      <w:r w:rsidRPr="000D3E57">
        <w:rPr>
          <w:szCs w:val="22"/>
        </w:rPr>
        <w:t>Terapeutické podávanie týchto vitamínov, v prípade porúch nervového systému, vedie k zmierneniu sprievodných javov pri nedostatku vitamínov (pravdepodobne ako následok zvýšenej potreby v súvislosti s poruchou) a na stimuláciu mechanizmov prirodzenej obnovy.</w:t>
      </w:r>
    </w:p>
    <w:p w:rsidR="00574D94" w:rsidRPr="008616DC" w:rsidRDefault="00574D94">
      <w:pPr>
        <w:tabs>
          <w:tab w:val="clear" w:pos="567"/>
        </w:tabs>
        <w:spacing w:line="240" w:lineRule="auto"/>
        <w:jc w:val="both"/>
        <w:rPr>
          <w:szCs w:val="22"/>
        </w:rPr>
      </w:pPr>
    </w:p>
    <w:p w:rsidR="00574D94" w:rsidRPr="008616DC" w:rsidRDefault="008F0E15">
      <w:pPr>
        <w:numPr>
          <w:ilvl w:val="1"/>
          <w:numId w:val="5"/>
        </w:numPr>
        <w:spacing w:line="240" w:lineRule="auto"/>
        <w:jc w:val="both"/>
        <w:outlineLvl w:val="0"/>
        <w:rPr>
          <w:b/>
          <w:szCs w:val="22"/>
        </w:rPr>
      </w:pPr>
      <w:r w:rsidRPr="000D3E57">
        <w:rPr>
          <w:b/>
          <w:bCs/>
          <w:szCs w:val="22"/>
        </w:rPr>
        <w:t>Farmakokinetické vlastnosti</w:t>
      </w:r>
    </w:p>
    <w:p w:rsidR="00A640B5" w:rsidRPr="008616DC" w:rsidRDefault="00A640B5" w:rsidP="004F6D3D">
      <w:pPr>
        <w:jc w:val="both"/>
        <w:rPr>
          <w:i/>
          <w:szCs w:val="22"/>
        </w:rPr>
      </w:pPr>
    </w:p>
    <w:p w:rsidR="00DA4CF5" w:rsidRPr="008616DC" w:rsidRDefault="008F0E15">
      <w:pPr>
        <w:jc w:val="both"/>
        <w:rPr>
          <w:i/>
          <w:szCs w:val="22"/>
        </w:rPr>
      </w:pPr>
      <w:r w:rsidRPr="000D3E57">
        <w:rPr>
          <w:i/>
          <w:szCs w:val="22"/>
        </w:rPr>
        <w:t>Diklofenak</w:t>
      </w:r>
      <w:r w:rsidRPr="000D3E57">
        <w:rPr>
          <w:b/>
          <w:bCs/>
          <w:i/>
          <w:iCs/>
          <w:szCs w:val="22"/>
        </w:rPr>
        <w:t xml:space="preserve"> </w:t>
      </w:r>
    </w:p>
    <w:p w:rsidR="002E6881" w:rsidRPr="008616DC" w:rsidRDefault="008F0E15">
      <w:pPr>
        <w:jc w:val="both"/>
        <w:rPr>
          <w:szCs w:val="22"/>
          <w:u w:val="single"/>
        </w:rPr>
      </w:pPr>
      <w:r w:rsidRPr="000D3E57">
        <w:rPr>
          <w:bCs/>
          <w:iCs/>
          <w:szCs w:val="22"/>
          <w:u w:val="single"/>
        </w:rPr>
        <w:t>Absorpcia</w:t>
      </w:r>
    </w:p>
    <w:p w:rsidR="00DF3CCC" w:rsidRPr="008616DC" w:rsidRDefault="008F0E15">
      <w:pPr>
        <w:jc w:val="both"/>
        <w:rPr>
          <w:b/>
          <w:i/>
          <w:szCs w:val="22"/>
        </w:rPr>
      </w:pPr>
      <w:r w:rsidRPr="000D3E57">
        <w:rPr>
          <w:szCs w:val="22"/>
        </w:rPr>
        <w:t>Diklofenak sa úplne absorbuje, ak je podaný vo forme perorálneho roztoku alebo obalených tabliet</w:t>
      </w:r>
      <w:r w:rsidRPr="000D3E57">
        <w:rPr>
          <w:b/>
          <w:bCs/>
          <w:i/>
          <w:iCs/>
          <w:szCs w:val="22"/>
        </w:rPr>
        <w:t xml:space="preserve">. </w:t>
      </w:r>
    </w:p>
    <w:p w:rsidR="00CD084C" w:rsidRPr="008616DC" w:rsidRDefault="008F0E15">
      <w:pPr>
        <w:jc w:val="both"/>
        <w:rPr>
          <w:szCs w:val="22"/>
        </w:rPr>
      </w:pPr>
      <w:r w:rsidRPr="000D3E57">
        <w:rPr>
          <w:szCs w:val="22"/>
        </w:rPr>
        <w:t>Priemerná maximálna koncentrácia v plazme 1,5 µg/ml (5 µmol/l) sa dosahuje asi 2 hodiny po podaní 50 mg dávky. Medzi podanou dávkou a absorbovanou dávkou je lineárny vzťah.</w:t>
      </w:r>
    </w:p>
    <w:p w:rsidR="00CD084C" w:rsidRPr="008616DC" w:rsidRDefault="008F0E15">
      <w:pPr>
        <w:jc w:val="both"/>
        <w:rPr>
          <w:szCs w:val="22"/>
        </w:rPr>
      </w:pPr>
      <w:r w:rsidRPr="000D3E57">
        <w:rPr>
          <w:szCs w:val="22"/>
        </w:rPr>
        <w:t>Prechod cez žalúdok je pomalší, ak sa kapsuly užijú s jedlom alebo po jedle, ale množstvo absorbovaného diklofenaku zostáva rovnaké v porovnaní s užitím pred jedlom.</w:t>
      </w:r>
    </w:p>
    <w:p w:rsidR="00CD084C" w:rsidRPr="008616DC" w:rsidRDefault="008F0E15" w:rsidP="00CD084C">
      <w:pPr>
        <w:jc w:val="both"/>
        <w:rPr>
          <w:szCs w:val="22"/>
        </w:rPr>
      </w:pPr>
      <w:r w:rsidRPr="000D3E57">
        <w:rPr>
          <w:szCs w:val="22"/>
        </w:rPr>
        <w:t>Približne polovica absorbovaného diklofenaku sa metabolizuje počas prvého prechodu pečeňou (efekt „prvého prechodu“).</w:t>
      </w:r>
    </w:p>
    <w:p w:rsidR="00CD084C" w:rsidRPr="008616DC" w:rsidRDefault="00CD084C" w:rsidP="00CD084C">
      <w:pPr>
        <w:jc w:val="both"/>
        <w:rPr>
          <w:szCs w:val="22"/>
        </w:rPr>
      </w:pPr>
    </w:p>
    <w:p w:rsidR="00CD084C" w:rsidRPr="008616DC" w:rsidRDefault="008F0E15">
      <w:pPr>
        <w:jc w:val="both"/>
        <w:rPr>
          <w:b/>
          <w:i/>
          <w:szCs w:val="22"/>
        </w:rPr>
      </w:pPr>
      <w:r w:rsidRPr="000D3E57">
        <w:rPr>
          <w:bCs/>
          <w:iCs/>
          <w:szCs w:val="22"/>
          <w:u w:val="single"/>
        </w:rPr>
        <w:t>Distribúcia</w:t>
      </w:r>
    </w:p>
    <w:p w:rsidR="00574D94" w:rsidRPr="008616DC" w:rsidRDefault="008F0E15">
      <w:pPr>
        <w:jc w:val="both"/>
        <w:rPr>
          <w:szCs w:val="22"/>
        </w:rPr>
      </w:pPr>
      <w:r w:rsidRPr="000D3E57">
        <w:rPr>
          <w:szCs w:val="22"/>
        </w:rPr>
        <w:t>Väzbovosť na proteíny je 99,7%, prevažne na albumín.</w:t>
      </w:r>
    </w:p>
    <w:p w:rsidR="002D7200" w:rsidRPr="008616DC" w:rsidRDefault="008F0E15">
      <w:pPr>
        <w:jc w:val="both"/>
        <w:rPr>
          <w:szCs w:val="22"/>
        </w:rPr>
      </w:pPr>
      <w:r w:rsidRPr="000D3E57">
        <w:rPr>
          <w:szCs w:val="22"/>
        </w:rPr>
        <w:t>Zdanlivý distribučný objem je možno vypočítať a je 0,12-0,17 l/kg.</w:t>
      </w:r>
    </w:p>
    <w:p w:rsidR="002D7200" w:rsidRPr="008616DC" w:rsidRDefault="008F0E15" w:rsidP="002D7200">
      <w:pPr>
        <w:jc w:val="both"/>
        <w:rPr>
          <w:szCs w:val="22"/>
        </w:rPr>
      </w:pPr>
      <w:r w:rsidRPr="000D3E57">
        <w:rPr>
          <w:szCs w:val="22"/>
        </w:rPr>
        <w:t>Diklofenak sa dostáva do synoviálnej tekutiny, kde dosahuje maximálne koncentrácie za 2 až 4 hodiny po dosiahnutí maximálnej plazmatickej koncentrácie. Zdanlivý polčas eliminácie zo synoviálnej tekutiny je 3 až 6 hodín. Dve hodiny po dosiahnutí maximálnych plazmatických koncentrácií sú koncentrácie diklofenaku vyššie v synoviálnej tekutine ako v plazme a zostávajú vyššie až po dobu 11 hodín.</w:t>
      </w:r>
    </w:p>
    <w:p w:rsidR="00574D94" w:rsidRPr="008616DC" w:rsidRDefault="008F0E15">
      <w:pPr>
        <w:jc w:val="both"/>
        <w:rPr>
          <w:szCs w:val="22"/>
        </w:rPr>
      </w:pPr>
      <w:r w:rsidRPr="000D3E57">
        <w:rPr>
          <w:szCs w:val="22"/>
        </w:rPr>
        <w:t>Diklofenak rýchlo prestupuje do cerebrospinálneho moku a dostatočná koncentrácia na inhibíciu enzýmov cyklooxygenázy sa udržiava až po dobu 4 hodín.</w:t>
      </w:r>
    </w:p>
    <w:p w:rsidR="00B140FB" w:rsidRPr="008616DC" w:rsidRDefault="00B140FB">
      <w:pPr>
        <w:jc w:val="both"/>
        <w:rPr>
          <w:szCs w:val="22"/>
        </w:rPr>
      </w:pPr>
    </w:p>
    <w:p w:rsidR="00574D94" w:rsidRPr="008616DC" w:rsidRDefault="008F0E15">
      <w:pPr>
        <w:jc w:val="both"/>
        <w:rPr>
          <w:b/>
          <w:bCs/>
          <w:i/>
          <w:iCs/>
          <w:szCs w:val="22"/>
        </w:rPr>
      </w:pPr>
      <w:r w:rsidRPr="000D3E57">
        <w:rPr>
          <w:bCs/>
          <w:iCs/>
          <w:szCs w:val="22"/>
          <w:u w:val="single"/>
        </w:rPr>
        <w:t>Biotransformácia</w:t>
      </w:r>
    </w:p>
    <w:p w:rsidR="00AA659B" w:rsidRPr="008616DC" w:rsidRDefault="008F0E15" w:rsidP="00AA659B">
      <w:pPr>
        <w:jc w:val="both"/>
        <w:rPr>
          <w:szCs w:val="22"/>
        </w:rPr>
      </w:pPr>
      <w:r w:rsidRPr="000D3E57">
        <w:rPr>
          <w:szCs w:val="22"/>
        </w:rPr>
        <w:t>Biotransformácia diklofenaku prebieha čiastočne formou glukuronidácie neporušenej molekuly, ale predovšetkým jedinou alebo viacnásobnou hydroxyláciou a metoxyláciou, čo vedie k viacerým fenolickým metabolitom, z nich väčšina sa konvertuje na glukuronidové konjugáty. Dva fenolické metabolity sú biologicky aktívne, ale v omnoho menšej miere ako diklofenak.</w:t>
      </w:r>
    </w:p>
    <w:p w:rsidR="00AA659B" w:rsidRPr="008616DC" w:rsidRDefault="00AA659B">
      <w:pPr>
        <w:jc w:val="both"/>
        <w:rPr>
          <w:szCs w:val="22"/>
        </w:rPr>
      </w:pPr>
    </w:p>
    <w:p w:rsidR="00AA659B" w:rsidRPr="008616DC" w:rsidRDefault="008F0E15">
      <w:pPr>
        <w:jc w:val="both"/>
        <w:rPr>
          <w:b/>
          <w:i/>
          <w:szCs w:val="22"/>
        </w:rPr>
      </w:pPr>
      <w:r w:rsidRPr="000D3E57">
        <w:rPr>
          <w:bCs/>
          <w:iCs/>
          <w:szCs w:val="22"/>
          <w:u w:val="single"/>
        </w:rPr>
        <w:t>Eliminácia</w:t>
      </w:r>
    </w:p>
    <w:p w:rsidR="00DC6A3C" w:rsidRPr="008616DC" w:rsidRDefault="008F0E15">
      <w:pPr>
        <w:jc w:val="both"/>
        <w:rPr>
          <w:szCs w:val="22"/>
        </w:rPr>
      </w:pPr>
      <w:r w:rsidRPr="000D3E57">
        <w:rPr>
          <w:szCs w:val="22"/>
        </w:rPr>
        <w:t xml:space="preserve">Celkový systémový klírens diklofenaku z plazmy je 263 ± 56 ml/min (stredná hodnota ± štandardná odchýlka). Terminálny polčas vylučovania je 1 - 2 hodiny. Štyri z metabolitov, vrátane dvoch </w:t>
      </w:r>
      <w:r w:rsidRPr="000D3E57">
        <w:rPr>
          <w:szCs w:val="22"/>
        </w:rPr>
        <w:lastRenderedPageBreak/>
        <w:t>aktívnych, majú tiež krátky plazmatický polčas vylučovania v trvaní 1 - 3 hodín. Takmer neaktívny metabolit 3’-hydroxy-4’-methoxy diklofenak má polčas omnoho dlhší.</w:t>
      </w:r>
    </w:p>
    <w:p w:rsidR="00574D94" w:rsidRPr="008616DC" w:rsidRDefault="008F0E15">
      <w:pPr>
        <w:jc w:val="both"/>
        <w:rPr>
          <w:szCs w:val="22"/>
        </w:rPr>
      </w:pPr>
      <w:r w:rsidRPr="000D3E57">
        <w:rPr>
          <w:szCs w:val="22"/>
        </w:rPr>
        <w:t xml:space="preserve">Približne 60% užitej dávky sa vylučuje do moču vo forme glukuronidového konjugátu nezmenenej molekuly a vo forme metabolitov, z ktorých väčšina sa taktiež mení na glukuronidové konjugáty. Menej ako 1% sa vylúči v nezmenenej podobe. Zvyšok dávky sa eliminuje v podobe metabolitov žlčou v stolici. </w:t>
      </w:r>
    </w:p>
    <w:p w:rsidR="00574D94" w:rsidRPr="008616DC" w:rsidRDefault="00574D94">
      <w:pPr>
        <w:jc w:val="both"/>
        <w:rPr>
          <w:szCs w:val="22"/>
        </w:rPr>
      </w:pPr>
    </w:p>
    <w:p w:rsidR="00416B86" w:rsidRPr="008616DC" w:rsidRDefault="008F0E15" w:rsidP="003216C4">
      <w:pPr>
        <w:jc w:val="both"/>
        <w:rPr>
          <w:i/>
          <w:iCs/>
          <w:szCs w:val="22"/>
        </w:rPr>
      </w:pPr>
      <w:r w:rsidRPr="000D3E57">
        <w:rPr>
          <w:i/>
          <w:iCs/>
          <w:szCs w:val="22"/>
        </w:rPr>
        <w:t xml:space="preserve">Tiamín </w:t>
      </w:r>
    </w:p>
    <w:p w:rsidR="003216C4" w:rsidRPr="008616DC" w:rsidRDefault="008F0E15" w:rsidP="003216C4">
      <w:pPr>
        <w:jc w:val="both"/>
        <w:rPr>
          <w:szCs w:val="22"/>
        </w:rPr>
      </w:pPr>
      <w:r w:rsidRPr="000D3E57">
        <w:rPr>
          <w:iCs/>
          <w:szCs w:val="22"/>
        </w:rPr>
        <w:t>Prebytky, ktoré telo nepotrebuje, sú vylúčené močom v nezmenenej podobe alebo vo forme metabolitov. Plazmatický polčas tiamínu je 96 min, zatiaľ čo biologický polčas je 10 až 20 dní. Tiamín sa neukladá vo väčšom množstve v tele.</w:t>
      </w:r>
    </w:p>
    <w:p w:rsidR="00574D94" w:rsidRPr="008616DC" w:rsidRDefault="00574D94">
      <w:pPr>
        <w:numPr>
          <w:ilvl w:val="12"/>
          <w:numId w:val="0"/>
        </w:numPr>
        <w:spacing w:line="240" w:lineRule="auto"/>
        <w:ind w:right="-2"/>
        <w:jc w:val="both"/>
        <w:rPr>
          <w:iCs/>
          <w:szCs w:val="22"/>
        </w:rPr>
      </w:pPr>
    </w:p>
    <w:p w:rsidR="005E37F5" w:rsidRPr="008616DC" w:rsidRDefault="008F0E15" w:rsidP="005E37F5">
      <w:pPr>
        <w:jc w:val="both"/>
        <w:rPr>
          <w:szCs w:val="22"/>
          <w:u w:val="single"/>
        </w:rPr>
      </w:pPr>
      <w:r w:rsidRPr="000D3E57">
        <w:rPr>
          <w:i/>
          <w:iCs/>
          <w:szCs w:val="22"/>
        </w:rPr>
        <w:t>Pyridoxín</w:t>
      </w:r>
    </w:p>
    <w:p w:rsidR="005E37F5" w:rsidRPr="008616DC" w:rsidRDefault="008F0E15" w:rsidP="00CE617B">
      <w:pPr>
        <w:jc w:val="both"/>
        <w:rPr>
          <w:szCs w:val="22"/>
        </w:rPr>
      </w:pPr>
      <w:r w:rsidRPr="000D3E57">
        <w:rPr>
          <w:szCs w:val="22"/>
        </w:rPr>
        <w:t xml:space="preserve">Pyridoxín sa rýchlo vstrebáva predovšetkým v hornom gastrointestinálnom trakte. Polčas </w:t>
      </w:r>
      <w:r w:rsidRPr="000D3E57">
        <w:rPr>
          <w:color w:val="222222"/>
          <w:szCs w:val="22"/>
        </w:rPr>
        <w:t>pyridoxínu je od 15 do 20 dní.</w:t>
      </w:r>
      <w:r w:rsidRPr="000D3E57">
        <w:rPr>
          <w:szCs w:val="22"/>
        </w:rPr>
        <w:t xml:space="preserve"> </w:t>
      </w:r>
    </w:p>
    <w:p w:rsidR="005E37F5" w:rsidRPr="008616DC" w:rsidRDefault="005E37F5" w:rsidP="004F6D3D">
      <w:pPr>
        <w:jc w:val="both"/>
        <w:rPr>
          <w:szCs w:val="22"/>
        </w:rPr>
      </w:pPr>
    </w:p>
    <w:p w:rsidR="005E37F5" w:rsidRPr="008616DC" w:rsidRDefault="008F0E15" w:rsidP="00CE617B">
      <w:pPr>
        <w:jc w:val="both"/>
        <w:rPr>
          <w:i/>
          <w:szCs w:val="22"/>
        </w:rPr>
      </w:pPr>
      <w:r w:rsidRPr="000D3E57">
        <w:rPr>
          <w:i/>
          <w:iCs/>
          <w:szCs w:val="22"/>
        </w:rPr>
        <w:t>Kyanokobalamín</w:t>
      </w:r>
    </w:p>
    <w:p w:rsidR="005E37F5" w:rsidRPr="008616DC" w:rsidRDefault="008F0E15" w:rsidP="00CE617B">
      <w:pPr>
        <w:jc w:val="both"/>
        <w:rPr>
          <w:szCs w:val="22"/>
        </w:rPr>
      </w:pPr>
      <w:r w:rsidRPr="000D3E57">
        <w:rPr>
          <w:szCs w:val="22"/>
        </w:rPr>
        <w:t>Vstrebávanie z gastrointestinálneho traktu sa realizuje prostredníctvom dvoch mechanizmov:</w:t>
      </w:r>
    </w:p>
    <w:p w:rsidR="003216C4" w:rsidRPr="008616DC" w:rsidRDefault="008F0E15" w:rsidP="003216C4">
      <w:pPr>
        <w:numPr>
          <w:ilvl w:val="0"/>
          <w:numId w:val="15"/>
        </w:numPr>
        <w:jc w:val="both"/>
        <w:rPr>
          <w:szCs w:val="22"/>
        </w:rPr>
      </w:pPr>
      <w:r w:rsidRPr="000D3E57">
        <w:rPr>
          <w:szCs w:val="22"/>
        </w:rPr>
        <w:t>uvoľnenie prostredníctvom gastrickej kyseliny a okamžité naviazanie na vnútorný faktor</w:t>
      </w:r>
    </w:p>
    <w:p w:rsidR="003216C4" w:rsidRPr="008616DC" w:rsidRDefault="008F0E15" w:rsidP="003216C4">
      <w:pPr>
        <w:numPr>
          <w:ilvl w:val="0"/>
          <w:numId w:val="15"/>
        </w:numPr>
        <w:jc w:val="both"/>
        <w:rPr>
          <w:szCs w:val="22"/>
        </w:rPr>
      </w:pPr>
      <w:r w:rsidRPr="000D3E57">
        <w:rPr>
          <w:szCs w:val="22"/>
        </w:rPr>
        <w:t>pasívne prúdenie do krvi nezávisle od vnútorného faktoru.</w:t>
      </w:r>
    </w:p>
    <w:p w:rsidR="003A59C5" w:rsidRPr="008616DC" w:rsidRDefault="008F0E15" w:rsidP="00EE6275">
      <w:pPr>
        <w:tabs>
          <w:tab w:val="clear" w:pos="567"/>
        </w:tabs>
        <w:autoSpaceDE w:val="0"/>
        <w:autoSpaceDN w:val="0"/>
        <w:adjustRightInd w:val="0"/>
        <w:spacing w:line="240" w:lineRule="auto"/>
        <w:jc w:val="both"/>
        <w:rPr>
          <w:szCs w:val="22"/>
        </w:rPr>
      </w:pPr>
      <w:r w:rsidRPr="000D3E57">
        <w:rPr>
          <w:szCs w:val="22"/>
        </w:rPr>
        <w:t>Absorpcia je zhoršená u pacientov, ktorým chýba vnútorný faktor, majú malabsorpčný syndróm alebo ochorenie či abnormalitu tráviaceho systému, prípadne sú po gastrektómii. Absorpcia z gastrointestinálneho traktu môže prebiehať aj pasívnou difúziou – iba málo vitamínov prítomných v jedle sa absorbuje týmto spôsobom, hoci sa tento proces stáva dôležitejším pri ich vyššom množstve ako napríklad pri terapeutickom použití.</w:t>
      </w:r>
    </w:p>
    <w:p w:rsidR="00416B86" w:rsidRPr="008616DC" w:rsidRDefault="00416B86" w:rsidP="00EE6275">
      <w:pPr>
        <w:jc w:val="both"/>
        <w:rPr>
          <w:szCs w:val="22"/>
        </w:rPr>
      </w:pPr>
    </w:p>
    <w:p w:rsidR="005E37F5" w:rsidRPr="008616DC" w:rsidRDefault="008F0E15" w:rsidP="00EE6275">
      <w:pPr>
        <w:jc w:val="both"/>
        <w:rPr>
          <w:i/>
          <w:szCs w:val="22"/>
        </w:rPr>
      </w:pPr>
      <w:r w:rsidRPr="000D3E57">
        <w:rPr>
          <w:szCs w:val="22"/>
        </w:rPr>
        <w:t>Vitamín B</w:t>
      </w:r>
      <w:r w:rsidRPr="000D3E57">
        <w:rPr>
          <w:szCs w:val="22"/>
          <w:vertAlign w:val="subscript"/>
        </w:rPr>
        <w:t xml:space="preserve">12 </w:t>
      </w:r>
      <w:r w:rsidRPr="000D3E57">
        <w:rPr>
          <w:szCs w:val="22"/>
        </w:rPr>
        <w:t>sa vylučuje prevažne do žlče a z veľkej časti sa reabsorbuje prostredníctvom enterohepatálnej cirkulácie. Polčas k</w:t>
      </w:r>
      <w:r w:rsidRPr="000D3E57">
        <w:rPr>
          <w:iCs/>
          <w:szCs w:val="22"/>
        </w:rPr>
        <w:t>yanokobalamín</w:t>
      </w:r>
      <w:r w:rsidRPr="000D3E57">
        <w:rPr>
          <w:szCs w:val="22"/>
        </w:rPr>
        <w:t>u je približne 6 dní (400 dní v pečeni).</w:t>
      </w:r>
    </w:p>
    <w:p w:rsidR="005E37F5" w:rsidRPr="008616DC" w:rsidRDefault="005E37F5" w:rsidP="004F6D3D">
      <w:pPr>
        <w:numPr>
          <w:ilvl w:val="12"/>
          <w:numId w:val="0"/>
        </w:numPr>
        <w:spacing w:line="240" w:lineRule="auto"/>
        <w:ind w:right="-2"/>
        <w:jc w:val="both"/>
        <w:rPr>
          <w:iCs/>
          <w:szCs w:val="22"/>
        </w:rPr>
      </w:pPr>
    </w:p>
    <w:p w:rsidR="00574D94" w:rsidRPr="008616DC" w:rsidRDefault="008F0E15">
      <w:pPr>
        <w:tabs>
          <w:tab w:val="clear" w:pos="567"/>
        </w:tabs>
        <w:spacing w:line="240" w:lineRule="auto"/>
        <w:ind w:left="567" w:hanging="567"/>
        <w:jc w:val="both"/>
        <w:outlineLvl w:val="0"/>
        <w:rPr>
          <w:szCs w:val="22"/>
        </w:rPr>
      </w:pPr>
      <w:r w:rsidRPr="000D3E57">
        <w:rPr>
          <w:b/>
          <w:szCs w:val="22"/>
        </w:rPr>
        <w:t>5.3</w:t>
      </w:r>
      <w:r w:rsidRPr="000D3E57">
        <w:rPr>
          <w:b/>
          <w:szCs w:val="22"/>
        </w:rPr>
        <w:tab/>
        <w:t>Predklinické údaje o bezpečnosti</w:t>
      </w:r>
    </w:p>
    <w:p w:rsidR="003539E8" w:rsidRPr="008616DC" w:rsidRDefault="003539E8">
      <w:pPr>
        <w:jc w:val="both"/>
        <w:rPr>
          <w:i/>
          <w:szCs w:val="22"/>
        </w:rPr>
      </w:pPr>
    </w:p>
    <w:p w:rsidR="001351E5" w:rsidRPr="008616DC" w:rsidRDefault="008F0E15" w:rsidP="001351E5">
      <w:pPr>
        <w:jc w:val="both"/>
        <w:rPr>
          <w:szCs w:val="22"/>
        </w:rPr>
      </w:pPr>
      <w:r w:rsidRPr="000D3E57">
        <w:rPr>
          <w:i/>
          <w:iCs/>
          <w:szCs w:val="22"/>
        </w:rPr>
        <w:t>Diklofenak</w:t>
      </w:r>
    </w:p>
    <w:p w:rsidR="00D3073D" w:rsidRPr="008616DC" w:rsidRDefault="008F0E15" w:rsidP="001351E5">
      <w:pPr>
        <w:jc w:val="both"/>
        <w:rPr>
          <w:szCs w:val="22"/>
        </w:rPr>
      </w:pPr>
      <w:r w:rsidRPr="000D3E57">
        <w:rPr>
          <w:szCs w:val="22"/>
        </w:rPr>
        <w:t xml:space="preserve">Na základe konvenčných štúdií o bezpečnosti farmakológie, genotoxicite a karcinogénnom potenciáli, predklinické údaje nepoukazujú, okrem už spomínaných rizík v iných častiach tohto súhrnu charakteristických vlastností lieku, na žiadne osobitné riziko pre človeka. Predklinické štúdie preukázali chronickú toxicitu diklofenaku predovšetkým v súvislosti so vznikom lézií a vredov v gastrointestinálnom trakte. </w:t>
      </w:r>
    </w:p>
    <w:p w:rsidR="00F5241A" w:rsidRPr="008616DC" w:rsidRDefault="00F5241A">
      <w:pPr>
        <w:jc w:val="both"/>
        <w:rPr>
          <w:szCs w:val="22"/>
        </w:rPr>
      </w:pPr>
    </w:p>
    <w:p w:rsidR="00D3073D" w:rsidRPr="008616DC" w:rsidRDefault="008F0E15">
      <w:pPr>
        <w:jc w:val="both"/>
        <w:rPr>
          <w:szCs w:val="22"/>
        </w:rPr>
      </w:pPr>
      <w:r w:rsidRPr="000D3E57">
        <w:rPr>
          <w:szCs w:val="22"/>
        </w:rPr>
        <w:t>Pri výskume vplyvu toxicity na reprodukciu u zvierat, diklofenak spôsobil inhibíciu ovulácie u králikov, zvýšený počet aborcií a nižší počet živo narodených mláďat králikov, a zníženie implantácie a poruchy embryonálneho vývinu u potkanov. Diklofenak predĺžil dobu gravidity a pôrodu. Embryotoxický potenciál diklofenaku sa sledoval na dvoch zvieracích druhoch (potkan a králik). Pri dávkach 5 a 10 mg/kg telesnej hmotnosti/deň u gravidných samíc králika sa vyskytlo úmrtie plodu a spomalenie jeho rastu. Na základe dostupných dát sa diklofenak nepovažuje za teratogénny. Dávky nižšie ako bola hladina vyvolávajúca toxicitu u matky nepôsobili na postnatálny vývin potomkov. U potkanov je možné potvrdiť riziko zúženia otvoreného ductusu Botalli.</w:t>
      </w:r>
    </w:p>
    <w:p w:rsidR="004E35D5" w:rsidRPr="008616DC" w:rsidRDefault="004E35D5">
      <w:pPr>
        <w:jc w:val="both"/>
        <w:rPr>
          <w:szCs w:val="22"/>
        </w:rPr>
      </w:pPr>
    </w:p>
    <w:p w:rsidR="00574D94" w:rsidRPr="008616DC" w:rsidRDefault="008F0E15">
      <w:pPr>
        <w:jc w:val="both"/>
        <w:rPr>
          <w:i/>
          <w:szCs w:val="22"/>
        </w:rPr>
      </w:pPr>
      <w:r w:rsidRPr="000D3E57">
        <w:rPr>
          <w:i/>
          <w:iCs/>
          <w:szCs w:val="22"/>
        </w:rPr>
        <w:t xml:space="preserve">Vitamíny </w:t>
      </w:r>
      <w:r w:rsidRPr="000D3E57">
        <w:rPr>
          <w:i/>
          <w:szCs w:val="22"/>
        </w:rPr>
        <w:t>B</w:t>
      </w:r>
      <w:r w:rsidRPr="000D3E57">
        <w:rPr>
          <w:i/>
          <w:szCs w:val="22"/>
          <w:vertAlign w:val="subscript"/>
        </w:rPr>
        <w:t>1</w:t>
      </w:r>
      <w:r w:rsidRPr="000D3E57">
        <w:rPr>
          <w:i/>
          <w:szCs w:val="22"/>
        </w:rPr>
        <w:t>, B</w:t>
      </w:r>
      <w:r w:rsidRPr="000D3E57">
        <w:rPr>
          <w:i/>
          <w:szCs w:val="22"/>
          <w:vertAlign w:val="subscript"/>
        </w:rPr>
        <w:t>6</w:t>
      </w:r>
      <w:r w:rsidRPr="000D3E57">
        <w:rPr>
          <w:i/>
          <w:szCs w:val="22"/>
        </w:rPr>
        <w:t xml:space="preserve"> a B</w:t>
      </w:r>
      <w:r w:rsidRPr="000D3E57">
        <w:rPr>
          <w:i/>
          <w:szCs w:val="22"/>
          <w:vertAlign w:val="subscript"/>
        </w:rPr>
        <w:t>12</w:t>
      </w:r>
    </w:p>
    <w:p w:rsidR="00F73721" w:rsidRPr="008616DC" w:rsidRDefault="008F0E15" w:rsidP="00F73721">
      <w:pPr>
        <w:jc w:val="both"/>
        <w:rPr>
          <w:szCs w:val="22"/>
        </w:rPr>
      </w:pPr>
      <w:r w:rsidRPr="000D3E57">
        <w:rPr>
          <w:szCs w:val="22"/>
        </w:rPr>
        <w:t>Predklinické údaje získané na základe obvyklých farmakologických štúdií bezpečnosti, genotoxicity a karcinogénneho potenciálu neodhalili žiadne osobitné riziko pre ľudí.</w:t>
      </w:r>
      <w:r w:rsidRPr="000D3E57">
        <w:rPr>
          <w:szCs w:val="22"/>
          <w:vertAlign w:val="subscript"/>
        </w:rPr>
        <w:t>.</w:t>
      </w:r>
    </w:p>
    <w:p w:rsidR="00C05EC5" w:rsidRPr="008616DC" w:rsidRDefault="00C05EC5" w:rsidP="00C05EC5">
      <w:pPr>
        <w:tabs>
          <w:tab w:val="clear" w:pos="567"/>
        </w:tabs>
        <w:jc w:val="both"/>
        <w:rPr>
          <w:szCs w:val="22"/>
        </w:rPr>
      </w:pPr>
    </w:p>
    <w:p w:rsidR="00BF744C" w:rsidRPr="008616DC" w:rsidRDefault="008F0E15" w:rsidP="00BF744C">
      <w:pPr>
        <w:tabs>
          <w:tab w:val="clear" w:pos="567"/>
        </w:tabs>
        <w:jc w:val="both"/>
        <w:rPr>
          <w:szCs w:val="22"/>
        </w:rPr>
      </w:pPr>
      <w:r w:rsidRPr="000D3E57">
        <w:rPr>
          <w:i/>
          <w:iCs/>
          <w:szCs w:val="22"/>
        </w:rPr>
        <w:t>Chronická toxicita</w:t>
      </w:r>
      <w:r w:rsidRPr="000D3E57">
        <w:rPr>
          <w:i/>
          <w:szCs w:val="22"/>
        </w:rPr>
        <w:t>:</w:t>
      </w:r>
      <w:r w:rsidRPr="000D3E57">
        <w:rPr>
          <w:szCs w:val="22"/>
        </w:rPr>
        <w:t xml:space="preserve"> Databáza toxicity u zvierat ohľadom vitamínu B</w:t>
      </w:r>
      <w:r w:rsidRPr="000D3E57">
        <w:rPr>
          <w:szCs w:val="22"/>
          <w:vertAlign w:val="subscript"/>
        </w:rPr>
        <w:t xml:space="preserve">1 </w:t>
      </w:r>
      <w:r w:rsidRPr="000D3E57">
        <w:rPr>
          <w:szCs w:val="22"/>
        </w:rPr>
        <w:t>je obmedzená. Chýbajú dáta z chronického a subchronického podávania pre expozície vysokým dávkam vo vode rozpustných derivátov tiamínu.</w:t>
      </w:r>
    </w:p>
    <w:p w:rsidR="00BF744C" w:rsidRPr="008616DC" w:rsidRDefault="008F0E15" w:rsidP="00BF744C">
      <w:pPr>
        <w:tabs>
          <w:tab w:val="clear" w:pos="567"/>
        </w:tabs>
        <w:jc w:val="both"/>
        <w:rPr>
          <w:szCs w:val="22"/>
        </w:rPr>
      </w:pPr>
      <w:r w:rsidRPr="000D3E57">
        <w:rPr>
          <w:szCs w:val="22"/>
        </w:rPr>
        <w:lastRenderedPageBreak/>
        <w:t>U psov perorálne podávanie 150 mg vitamínu B</w:t>
      </w:r>
      <w:r w:rsidRPr="000D3E57">
        <w:rPr>
          <w:szCs w:val="22"/>
          <w:vertAlign w:val="subscript"/>
        </w:rPr>
        <w:t xml:space="preserve">6 </w:t>
      </w:r>
      <w:r w:rsidRPr="000D3E57">
        <w:rPr>
          <w:szCs w:val="22"/>
        </w:rPr>
        <w:t>na kg telesnej hmotnosti na deň po dobu približne 100 dní spôsobilo ataxiu, myasténiu, poruchy rovnováhy ako aj degeneratívne zmeny axónov a myelínových pošiev. V štúdiách so zvieratami sa po podávaní vysokých dávok vitamínu B6 navyše vyskytli senzorické neuropatie a celkové zmeny funkcie centrálneho nervového systému (napr. zmenený prah záchvatovej pohotovosti).</w:t>
      </w:r>
    </w:p>
    <w:p w:rsidR="00BF744C" w:rsidRPr="008616DC" w:rsidRDefault="008F0E15" w:rsidP="00BF744C">
      <w:pPr>
        <w:tabs>
          <w:tab w:val="clear" w:pos="567"/>
        </w:tabs>
        <w:jc w:val="both"/>
        <w:rPr>
          <w:szCs w:val="22"/>
        </w:rPr>
      </w:pPr>
      <w:r w:rsidRPr="000D3E57">
        <w:rPr>
          <w:szCs w:val="22"/>
        </w:rPr>
        <w:t>Dáta týkajúce sa toxicity vitamínu B</w:t>
      </w:r>
      <w:r w:rsidRPr="000D3E57">
        <w:rPr>
          <w:szCs w:val="22"/>
          <w:vertAlign w:val="subscript"/>
        </w:rPr>
        <w:t xml:space="preserve">12 </w:t>
      </w:r>
      <w:r w:rsidRPr="000D3E57">
        <w:rPr>
          <w:szCs w:val="22"/>
        </w:rPr>
        <w:t>u experimentálnych zvierat sú obmedzené, ale vo všeobecnosti sa preukázalo, že vitamín B</w:t>
      </w:r>
      <w:r w:rsidRPr="000D3E57">
        <w:rPr>
          <w:szCs w:val="22"/>
          <w:vertAlign w:val="subscript"/>
        </w:rPr>
        <w:t xml:space="preserve">12 </w:t>
      </w:r>
      <w:r w:rsidRPr="000D3E57">
        <w:rPr>
          <w:szCs w:val="22"/>
        </w:rPr>
        <w:t>má nízku toxicitu.</w:t>
      </w:r>
    </w:p>
    <w:p w:rsidR="00BF744C" w:rsidRPr="008616DC" w:rsidRDefault="00BF744C" w:rsidP="00BF744C">
      <w:pPr>
        <w:tabs>
          <w:tab w:val="clear" w:pos="567"/>
        </w:tabs>
        <w:jc w:val="both"/>
        <w:rPr>
          <w:szCs w:val="22"/>
        </w:rPr>
      </w:pPr>
    </w:p>
    <w:p w:rsidR="00BF744C" w:rsidRPr="008616DC" w:rsidRDefault="008F0E15" w:rsidP="00BF744C">
      <w:pPr>
        <w:tabs>
          <w:tab w:val="clear" w:pos="567"/>
        </w:tabs>
        <w:jc w:val="both"/>
        <w:rPr>
          <w:szCs w:val="22"/>
        </w:rPr>
      </w:pPr>
      <w:r w:rsidRPr="000D3E57">
        <w:rPr>
          <w:i/>
          <w:iCs/>
          <w:szCs w:val="22"/>
        </w:rPr>
        <w:t>Reprodukčná toxicita</w:t>
      </w:r>
      <w:r w:rsidRPr="000D3E57">
        <w:rPr>
          <w:i/>
          <w:szCs w:val="22"/>
        </w:rPr>
        <w:t xml:space="preserve">: </w:t>
      </w:r>
      <w:r w:rsidRPr="000D3E57">
        <w:rPr>
          <w:szCs w:val="22"/>
        </w:rPr>
        <w:t xml:space="preserve">Príjem vitamínu B6 matkou ovplyvňuje ukazovatele tiamínového stavu a tiamínového metabolizmu u potomkov. </w:t>
      </w:r>
    </w:p>
    <w:p w:rsidR="00BF744C" w:rsidRPr="008616DC" w:rsidRDefault="008F0E15" w:rsidP="00BF744C">
      <w:pPr>
        <w:tabs>
          <w:tab w:val="clear" w:pos="567"/>
        </w:tabs>
        <w:jc w:val="both"/>
        <w:rPr>
          <w:szCs w:val="22"/>
        </w:rPr>
      </w:pPr>
      <w:r w:rsidRPr="000D3E57">
        <w:rPr>
          <w:szCs w:val="22"/>
        </w:rPr>
        <w:t>Vitamín B</w:t>
      </w:r>
      <w:r w:rsidRPr="000D3E57">
        <w:rPr>
          <w:szCs w:val="22"/>
          <w:vertAlign w:val="subscript"/>
        </w:rPr>
        <w:t>6</w:t>
      </w:r>
      <w:r w:rsidRPr="000D3E57">
        <w:rPr>
          <w:szCs w:val="22"/>
        </w:rPr>
        <w:t xml:space="preserve"> sa dostatočne neskúmal v štúdiách na zvieratách. Štúdie embryotoxicity u potkanov nenaznačovali teratogénny potenciál. U potkanov malo podávanie veľmi vysokých dávok vitamínu B</w:t>
      </w:r>
      <w:r w:rsidRPr="000D3E57">
        <w:rPr>
          <w:szCs w:val="22"/>
          <w:vertAlign w:val="subscript"/>
        </w:rPr>
        <w:t>6</w:t>
      </w:r>
      <w:r w:rsidRPr="000D3E57">
        <w:rPr>
          <w:szCs w:val="22"/>
        </w:rPr>
        <w:t xml:space="preserve"> negatívny dopad na spermatogenézu.</w:t>
      </w:r>
    </w:p>
    <w:p w:rsidR="00BF744C" w:rsidRPr="008616DC" w:rsidRDefault="008F0E15" w:rsidP="00BF744C">
      <w:pPr>
        <w:tabs>
          <w:tab w:val="clear" w:pos="567"/>
        </w:tabs>
        <w:jc w:val="both"/>
        <w:rPr>
          <w:szCs w:val="22"/>
        </w:rPr>
      </w:pPr>
      <w:r w:rsidRPr="000D3E57">
        <w:rPr>
          <w:szCs w:val="22"/>
        </w:rPr>
        <w:t>V súvislosti s podávaním vitamínu B</w:t>
      </w:r>
      <w:r w:rsidRPr="000D3E57">
        <w:rPr>
          <w:szCs w:val="22"/>
          <w:vertAlign w:val="subscript"/>
        </w:rPr>
        <w:t>12</w:t>
      </w:r>
      <w:r w:rsidRPr="000D3E57">
        <w:rPr>
          <w:szCs w:val="22"/>
        </w:rPr>
        <w:t xml:space="preserve"> </w:t>
      </w:r>
      <w:r w:rsidR="00221B7A" w:rsidRPr="008616DC">
        <w:rPr>
          <w:szCs w:val="22"/>
        </w:rPr>
        <w:t xml:space="preserve">neboli žiadne </w:t>
      </w:r>
      <w:r w:rsidR="00F1212D" w:rsidRPr="008616DC">
        <w:rPr>
          <w:szCs w:val="22"/>
        </w:rPr>
        <w:t>hlásenia o akýchkoľvek nežiaducich účinkoch na fertilitu mužov alebo žien alebo na pre</w:t>
      </w:r>
      <w:r w:rsidR="00221B7A" w:rsidRPr="008616DC">
        <w:rPr>
          <w:szCs w:val="22"/>
        </w:rPr>
        <w:t xml:space="preserve">natálny či </w:t>
      </w:r>
      <w:r w:rsidR="00F1212D" w:rsidRPr="008616DC">
        <w:rPr>
          <w:szCs w:val="22"/>
        </w:rPr>
        <w:t>postnatálny vývin</w:t>
      </w:r>
      <w:r w:rsidR="00221B7A" w:rsidRPr="008616DC">
        <w:rPr>
          <w:szCs w:val="22"/>
        </w:rPr>
        <w:t>.</w:t>
      </w:r>
    </w:p>
    <w:p w:rsidR="00BF744C" w:rsidRPr="008616DC" w:rsidRDefault="00BF744C" w:rsidP="004F6D3D">
      <w:pPr>
        <w:tabs>
          <w:tab w:val="clear" w:pos="567"/>
        </w:tabs>
        <w:jc w:val="both"/>
        <w:rPr>
          <w:szCs w:val="22"/>
        </w:rPr>
      </w:pPr>
    </w:p>
    <w:p w:rsidR="00C05EC5" w:rsidRPr="008616DC" w:rsidRDefault="00C05EC5">
      <w:pPr>
        <w:jc w:val="both"/>
        <w:rPr>
          <w:szCs w:val="22"/>
        </w:rPr>
      </w:pPr>
    </w:p>
    <w:p w:rsidR="00574D94" w:rsidRPr="008616DC" w:rsidRDefault="008F0E15">
      <w:pPr>
        <w:tabs>
          <w:tab w:val="clear" w:pos="567"/>
        </w:tabs>
        <w:spacing w:line="240" w:lineRule="auto"/>
        <w:ind w:left="567" w:hanging="567"/>
        <w:jc w:val="both"/>
        <w:rPr>
          <w:b/>
          <w:szCs w:val="22"/>
        </w:rPr>
      </w:pPr>
      <w:r w:rsidRPr="000D3E57">
        <w:rPr>
          <w:b/>
          <w:szCs w:val="22"/>
        </w:rPr>
        <w:t>6.</w:t>
      </w:r>
      <w:r w:rsidRPr="000D3E57">
        <w:rPr>
          <w:b/>
          <w:szCs w:val="22"/>
        </w:rPr>
        <w:tab/>
      </w:r>
      <w:r w:rsidRPr="000D3E57">
        <w:rPr>
          <w:b/>
          <w:bCs/>
          <w:szCs w:val="22"/>
        </w:rPr>
        <w:t>FARMACEUTICKÉ INFORMÁCIE</w:t>
      </w:r>
    </w:p>
    <w:p w:rsidR="00574D94" w:rsidRPr="008616DC" w:rsidRDefault="00574D94">
      <w:pPr>
        <w:tabs>
          <w:tab w:val="clear" w:pos="567"/>
        </w:tabs>
        <w:spacing w:line="240" w:lineRule="auto"/>
        <w:ind w:left="567" w:hanging="567"/>
        <w:jc w:val="both"/>
        <w:rPr>
          <w:szCs w:val="22"/>
        </w:rPr>
      </w:pPr>
    </w:p>
    <w:p w:rsidR="00574D94" w:rsidRPr="008616DC" w:rsidRDefault="008F0E15">
      <w:pPr>
        <w:tabs>
          <w:tab w:val="clear" w:pos="567"/>
        </w:tabs>
        <w:spacing w:line="240" w:lineRule="auto"/>
        <w:ind w:left="567" w:hanging="567"/>
        <w:jc w:val="both"/>
        <w:outlineLvl w:val="0"/>
        <w:rPr>
          <w:szCs w:val="22"/>
        </w:rPr>
      </w:pPr>
      <w:r w:rsidRPr="000D3E57">
        <w:rPr>
          <w:b/>
          <w:szCs w:val="22"/>
        </w:rPr>
        <w:t>6.1</w:t>
      </w:r>
      <w:r w:rsidRPr="000D3E57">
        <w:rPr>
          <w:b/>
          <w:szCs w:val="22"/>
        </w:rPr>
        <w:tab/>
      </w:r>
      <w:r w:rsidRPr="000D3E57">
        <w:rPr>
          <w:b/>
          <w:bCs/>
          <w:szCs w:val="22"/>
        </w:rPr>
        <w:t>Zoznam pomocných látok</w:t>
      </w:r>
    </w:p>
    <w:p w:rsidR="003539E8" w:rsidRPr="008616DC" w:rsidRDefault="003539E8" w:rsidP="004F6D3D">
      <w:pPr>
        <w:jc w:val="both"/>
        <w:rPr>
          <w:szCs w:val="22"/>
        </w:rPr>
      </w:pPr>
    </w:p>
    <w:p w:rsidR="00F73721" w:rsidRPr="008616DC" w:rsidRDefault="008F0E15" w:rsidP="00F73721">
      <w:pPr>
        <w:jc w:val="both"/>
        <w:rPr>
          <w:szCs w:val="22"/>
        </w:rPr>
      </w:pPr>
      <w:r w:rsidRPr="000D3E57">
        <w:rPr>
          <w:szCs w:val="22"/>
        </w:rPr>
        <w:t>Obsah kapsuly:</w:t>
      </w:r>
    </w:p>
    <w:p w:rsidR="00F73721" w:rsidRPr="008616DC" w:rsidRDefault="008F0E15" w:rsidP="00F73721">
      <w:pPr>
        <w:jc w:val="both"/>
        <w:rPr>
          <w:szCs w:val="22"/>
        </w:rPr>
      </w:pPr>
      <w:r w:rsidRPr="000D3E57">
        <w:rPr>
          <w:szCs w:val="22"/>
        </w:rPr>
        <w:t>povidón</w:t>
      </w:r>
    </w:p>
    <w:p w:rsidR="00F73721" w:rsidRPr="008616DC" w:rsidRDefault="008F0E15" w:rsidP="00F73721">
      <w:pPr>
        <w:jc w:val="both"/>
        <w:rPr>
          <w:szCs w:val="22"/>
        </w:rPr>
      </w:pPr>
      <w:r w:rsidRPr="000D3E57">
        <w:rPr>
          <w:szCs w:val="22"/>
        </w:rPr>
        <w:t>kopolymér kyseliny metakrylovej a etylakrylátu (1:1)</w:t>
      </w:r>
    </w:p>
    <w:p w:rsidR="00F73721" w:rsidRPr="008616DC" w:rsidRDefault="008F0E15" w:rsidP="00F73721">
      <w:pPr>
        <w:jc w:val="both"/>
        <w:rPr>
          <w:szCs w:val="22"/>
        </w:rPr>
      </w:pPr>
      <w:r w:rsidRPr="000D3E57">
        <w:rPr>
          <w:szCs w:val="22"/>
        </w:rPr>
        <w:t>trietylcitrát</w:t>
      </w:r>
    </w:p>
    <w:p w:rsidR="00F73721" w:rsidRPr="008616DC" w:rsidRDefault="008F0E15" w:rsidP="00F73721">
      <w:pPr>
        <w:jc w:val="both"/>
        <w:rPr>
          <w:szCs w:val="22"/>
        </w:rPr>
      </w:pPr>
      <w:r w:rsidRPr="000D3E57">
        <w:rPr>
          <w:szCs w:val="22"/>
        </w:rPr>
        <w:t>mastenec</w:t>
      </w:r>
    </w:p>
    <w:p w:rsidR="00F73721" w:rsidRPr="008616DC" w:rsidRDefault="00F73721" w:rsidP="00F73721">
      <w:pPr>
        <w:jc w:val="both"/>
        <w:rPr>
          <w:szCs w:val="22"/>
        </w:rPr>
      </w:pPr>
    </w:p>
    <w:p w:rsidR="00F73721" w:rsidRPr="008616DC" w:rsidRDefault="008F0E15" w:rsidP="00F73721">
      <w:pPr>
        <w:jc w:val="both"/>
        <w:rPr>
          <w:szCs w:val="22"/>
        </w:rPr>
      </w:pPr>
      <w:r w:rsidRPr="000D3E57">
        <w:rPr>
          <w:szCs w:val="22"/>
        </w:rPr>
        <w:t>Stena kapsuly:</w:t>
      </w:r>
    </w:p>
    <w:p w:rsidR="00F73721" w:rsidRPr="008616DC" w:rsidRDefault="008F0E15" w:rsidP="00F73721">
      <w:pPr>
        <w:jc w:val="both"/>
        <w:rPr>
          <w:szCs w:val="22"/>
        </w:rPr>
      </w:pPr>
      <w:r w:rsidRPr="000D3E57">
        <w:rPr>
          <w:szCs w:val="22"/>
        </w:rPr>
        <w:t>červený oxid železitý (E 172)</w:t>
      </w:r>
    </w:p>
    <w:p w:rsidR="00F73721" w:rsidRPr="008616DC" w:rsidRDefault="008F0E15" w:rsidP="00F73721">
      <w:pPr>
        <w:jc w:val="both"/>
        <w:rPr>
          <w:szCs w:val="22"/>
        </w:rPr>
      </w:pPr>
      <w:r w:rsidRPr="000D3E57">
        <w:rPr>
          <w:szCs w:val="22"/>
        </w:rPr>
        <w:t>žltý oxid železitý (E 172)</w:t>
      </w:r>
    </w:p>
    <w:p w:rsidR="00F73721" w:rsidRPr="008616DC" w:rsidRDefault="008F0E15" w:rsidP="00F73721">
      <w:pPr>
        <w:jc w:val="both"/>
        <w:rPr>
          <w:szCs w:val="22"/>
        </w:rPr>
      </w:pPr>
      <w:r w:rsidRPr="000D3E57">
        <w:rPr>
          <w:szCs w:val="22"/>
        </w:rPr>
        <w:t>oxid titaničitý (E 171)</w:t>
      </w:r>
    </w:p>
    <w:p w:rsidR="00F73721" w:rsidRPr="008616DC" w:rsidRDefault="008F0E15" w:rsidP="00F73721">
      <w:pPr>
        <w:jc w:val="both"/>
        <w:rPr>
          <w:szCs w:val="22"/>
        </w:rPr>
      </w:pPr>
      <w:r w:rsidRPr="000D3E57">
        <w:rPr>
          <w:szCs w:val="22"/>
        </w:rPr>
        <w:t xml:space="preserve">želatína </w:t>
      </w:r>
    </w:p>
    <w:p w:rsidR="008D4C11" w:rsidRPr="008616DC" w:rsidRDefault="008D4C11">
      <w:pPr>
        <w:tabs>
          <w:tab w:val="clear" w:pos="567"/>
        </w:tabs>
        <w:spacing w:line="240" w:lineRule="auto"/>
        <w:jc w:val="both"/>
        <w:rPr>
          <w:szCs w:val="22"/>
        </w:rPr>
      </w:pPr>
    </w:p>
    <w:p w:rsidR="00574D94" w:rsidRPr="008616DC" w:rsidRDefault="008F0E15">
      <w:pPr>
        <w:tabs>
          <w:tab w:val="clear" w:pos="567"/>
        </w:tabs>
        <w:spacing w:line="240" w:lineRule="auto"/>
        <w:ind w:left="567" w:hanging="567"/>
        <w:jc w:val="both"/>
        <w:outlineLvl w:val="0"/>
        <w:rPr>
          <w:szCs w:val="22"/>
        </w:rPr>
      </w:pPr>
      <w:r w:rsidRPr="000D3E57">
        <w:rPr>
          <w:b/>
          <w:szCs w:val="22"/>
        </w:rPr>
        <w:t>6.2</w:t>
      </w:r>
      <w:r w:rsidRPr="000D3E57">
        <w:rPr>
          <w:b/>
          <w:szCs w:val="22"/>
        </w:rPr>
        <w:tab/>
      </w:r>
      <w:r w:rsidRPr="000D3E57">
        <w:rPr>
          <w:b/>
          <w:bCs/>
          <w:szCs w:val="22"/>
        </w:rPr>
        <w:t>Inkompatibility</w:t>
      </w:r>
    </w:p>
    <w:p w:rsidR="003539E8" w:rsidRPr="008616DC" w:rsidRDefault="003539E8">
      <w:pPr>
        <w:jc w:val="both"/>
        <w:rPr>
          <w:szCs w:val="22"/>
        </w:rPr>
      </w:pPr>
    </w:p>
    <w:p w:rsidR="00574D94" w:rsidRPr="008616DC" w:rsidRDefault="008F0E15">
      <w:pPr>
        <w:jc w:val="both"/>
        <w:rPr>
          <w:szCs w:val="22"/>
        </w:rPr>
      </w:pPr>
      <w:r w:rsidRPr="000D3E57">
        <w:rPr>
          <w:szCs w:val="22"/>
        </w:rPr>
        <w:t>Neaplikovateľné.</w:t>
      </w:r>
    </w:p>
    <w:p w:rsidR="00574D94" w:rsidRPr="008616DC" w:rsidRDefault="00574D94">
      <w:pPr>
        <w:tabs>
          <w:tab w:val="clear" w:pos="567"/>
        </w:tabs>
        <w:spacing w:line="240" w:lineRule="auto"/>
        <w:jc w:val="both"/>
        <w:rPr>
          <w:szCs w:val="22"/>
        </w:rPr>
      </w:pPr>
    </w:p>
    <w:p w:rsidR="00574D94" w:rsidRPr="008616DC" w:rsidRDefault="008F0E15">
      <w:pPr>
        <w:tabs>
          <w:tab w:val="clear" w:pos="567"/>
        </w:tabs>
        <w:spacing w:line="240" w:lineRule="auto"/>
        <w:ind w:left="567" w:hanging="567"/>
        <w:jc w:val="both"/>
        <w:outlineLvl w:val="0"/>
        <w:rPr>
          <w:szCs w:val="22"/>
        </w:rPr>
      </w:pPr>
      <w:r w:rsidRPr="000D3E57">
        <w:rPr>
          <w:b/>
          <w:szCs w:val="22"/>
        </w:rPr>
        <w:t>6.3</w:t>
      </w:r>
      <w:r w:rsidRPr="000D3E57">
        <w:rPr>
          <w:b/>
          <w:szCs w:val="22"/>
        </w:rPr>
        <w:tab/>
      </w:r>
      <w:r w:rsidRPr="000D3E57">
        <w:rPr>
          <w:b/>
          <w:bCs/>
          <w:szCs w:val="22"/>
        </w:rPr>
        <w:t>Čas použiteľnosti</w:t>
      </w:r>
    </w:p>
    <w:p w:rsidR="003539E8" w:rsidRPr="008616DC" w:rsidRDefault="003539E8">
      <w:pPr>
        <w:tabs>
          <w:tab w:val="clear" w:pos="567"/>
        </w:tabs>
        <w:spacing w:line="240" w:lineRule="auto"/>
        <w:jc w:val="both"/>
        <w:rPr>
          <w:szCs w:val="22"/>
        </w:rPr>
      </w:pPr>
    </w:p>
    <w:p w:rsidR="00844011" w:rsidRPr="008616DC" w:rsidRDefault="00A50C96" w:rsidP="00844011">
      <w:pPr>
        <w:tabs>
          <w:tab w:val="clear" w:pos="567"/>
        </w:tabs>
        <w:spacing w:line="240" w:lineRule="auto"/>
        <w:jc w:val="both"/>
        <w:rPr>
          <w:szCs w:val="22"/>
        </w:rPr>
      </w:pPr>
      <w:r w:rsidRPr="00A50C96">
        <w:rPr>
          <w:rStyle w:val="shorttext"/>
          <w:color w:val="222222"/>
          <w:szCs w:val="22"/>
        </w:rPr>
        <w:t>30 mesiacov</w:t>
      </w:r>
    </w:p>
    <w:p w:rsidR="00574D94" w:rsidRPr="008616DC" w:rsidRDefault="00574D94">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outlineLvl w:val="0"/>
        <w:rPr>
          <w:szCs w:val="22"/>
        </w:rPr>
      </w:pPr>
      <w:r>
        <w:rPr>
          <w:b/>
          <w:szCs w:val="22"/>
        </w:rPr>
        <w:t>6.4</w:t>
      </w:r>
      <w:r>
        <w:rPr>
          <w:b/>
          <w:szCs w:val="22"/>
        </w:rPr>
        <w:tab/>
        <w:t>Špeciálne upozornenia na uchovávanie</w:t>
      </w:r>
    </w:p>
    <w:p w:rsidR="003539E8" w:rsidRPr="008616DC" w:rsidRDefault="003539E8">
      <w:pPr>
        <w:jc w:val="both"/>
        <w:rPr>
          <w:szCs w:val="22"/>
        </w:rPr>
      </w:pPr>
    </w:p>
    <w:p w:rsidR="00F73721" w:rsidRPr="008616DC" w:rsidRDefault="00A50C96" w:rsidP="00F73721">
      <w:pPr>
        <w:jc w:val="both"/>
        <w:rPr>
          <w:szCs w:val="22"/>
        </w:rPr>
      </w:pPr>
      <w:r>
        <w:rPr>
          <w:szCs w:val="22"/>
        </w:rPr>
        <w:t xml:space="preserve">Uchovávajte pri teplote do 25 °C. </w:t>
      </w:r>
    </w:p>
    <w:p w:rsidR="00574D94" w:rsidRPr="008616DC" w:rsidRDefault="00A50C96" w:rsidP="00F73721">
      <w:pPr>
        <w:jc w:val="both"/>
        <w:rPr>
          <w:szCs w:val="22"/>
        </w:rPr>
      </w:pPr>
      <w:r>
        <w:rPr>
          <w:szCs w:val="22"/>
        </w:rPr>
        <w:t xml:space="preserve">Uchovávajte v pôvodnom obale na ochranu pred svetlom a vlhkosťou. </w:t>
      </w:r>
    </w:p>
    <w:p w:rsidR="00574D94" w:rsidRPr="008616DC" w:rsidRDefault="00574D94">
      <w:pPr>
        <w:tabs>
          <w:tab w:val="clear" w:pos="567"/>
        </w:tabs>
        <w:spacing w:line="240" w:lineRule="auto"/>
        <w:jc w:val="both"/>
        <w:rPr>
          <w:szCs w:val="22"/>
        </w:rPr>
      </w:pPr>
    </w:p>
    <w:p w:rsidR="00F73721" w:rsidRPr="008616DC" w:rsidRDefault="00A50C96" w:rsidP="00F73721">
      <w:pPr>
        <w:numPr>
          <w:ilvl w:val="1"/>
          <w:numId w:val="2"/>
        </w:numPr>
        <w:spacing w:line="240" w:lineRule="auto"/>
        <w:jc w:val="both"/>
        <w:outlineLvl w:val="0"/>
        <w:rPr>
          <w:b/>
          <w:szCs w:val="22"/>
        </w:rPr>
      </w:pPr>
      <w:r>
        <w:rPr>
          <w:b/>
          <w:bCs/>
          <w:szCs w:val="22"/>
        </w:rPr>
        <w:t>Druh obalu a obsah balenia</w:t>
      </w:r>
    </w:p>
    <w:p w:rsidR="00F73721" w:rsidRPr="008616DC" w:rsidRDefault="00F73721">
      <w:pPr>
        <w:pStyle w:val="Zkladntext"/>
        <w:spacing w:after="0"/>
        <w:jc w:val="both"/>
        <w:rPr>
          <w:rFonts w:ascii="Times New Roman" w:hAnsi="Times New Roman"/>
          <w:sz w:val="22"/>
          <w:szCs w:val="22"/>
          <w:lang w:val="sk-SK"/>
        </w:rPr>
      </w:pPr>
    </w:p>
    <w:p w:rsidR="00574D94" w:rsidRPr="008616DC" w:rsidRDefault="00A50C96">
      <w:pPr>
        <w:pStyle w:val="Zkladntext"/>
        <w:spacing w:after="0"/>
        <w:jc w:val="both"/>
        <w:rPr>
          <w:rFonts w:ascii="Times New Roman" w:hAnsi="Times New Roman"/>
          <w:sz w:val="22"/>
          <w:szCs w:val="22"/>
          <w:lang w:val="sk-SK"/>
        </w:rPr>
      </w:pPr>
      <w:r>
        <w:rPr>
          <w:rFonts w:ascii="Times New Roman" w:hAnsi="Times New Roman"/>
          <w:sz w:val="22"/>
          <w:szCs w:val="22"/>
          <w:lang w:val="sk-SK"/>
        </w:rPr>
        <w:t>PVC/PE/PVDC - hliníkové blistrové balenie s 30 a 50 kapsulami</w:t>
      </w:r>
    </w:p>
    <w:p w:rsidR="008B35AC" w:rsidRPr="008616DC" w:rsidRDefault="00A50C96">
      <w:pPr>
        <w:pStyle w:val="Zkladntext"/>
        <w:spacing w:after="0"/>
        <w:jc w:val="both"/>
        <w:rPr>
          <w:rFonts w:ascii="Times New Roman" w:hAnsi="Times New Roman"/>
          <w:sz w:val="22"/>
          <w:szCs w:val="22"/>
          <w:lang w:val="sk-SK"/>
        </w:rPr>
      </w:pPr>
      <w:r>
        <w:rPr>
          <w:rFonts w:ascii="Times New Roman" w:hAnsi="Times New Roman"/>
          <w:sz w:val="22"/>
          <w:szCs w:val="22"/>
          <w:lang w:val="sk-SK"/>
        </w:rPr>
        <w:t>Na trh nemusia byť uvedené všetky veľkosti balenia.</w:t>
      </w:r>
    </w:p>
    <w:p w:rsidR="00574D94" w:rsidRPr="008616DC" w:rsidRDefault="00574D94">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outlineLvl w:val="0"/>
        <w:rPr>
          <w:szCs w:val="22"/>
        </w:rPr>
      </w:pPr>
      <w:r>
        <w:rPr>
          <w:b/>
          <w:szCs w:val="22"/>
        </w:rPr>
        <w:t>6.6</w:t>
      </w:r>
      <w:r>
        <w:rPr>
          <w:b/>
          <w:szCs w:val="22"/>
        </w:rPr>
        <w:tab/>
        <w:t>Špeciálne opatrenia na likvidáciu</w:t>
      </w:r>
    </w:p>
    <w:p w:rsidR="003539E8" w:rsidRPr="008616DC" w:rsidRDefault="003539E8">
      <w:pPr>
        <w:pStyle w:val="Zkladntext"/>
        <w:spacing w:after="0"/>
        <w:jc w:val="both"/>
        <w:rPr>
          <w:rFonts w:ascii="Times New Roman" w:hAnsi="Times New Roman"/>
          <w:sz w:val="22"/>
          <w:szCs w:val="22"/>
          <w:lang w:val="sk-SK"/>
        </w:rPr>
      </w:pPr>
    </w:p>
    <w:p w:rsidR="00F73721" w:rsidRPr="008616DC" w:rsidRDefault="00A50C96" w:rsidP="00F73721">
      <w:pPr>
        <w:pStyle w:val="Zkladntext"/>
        <w:spacing w:after="0"/>
        <w:jc w:val="both"/>
        <w:rPr>
          <w:rFonts w:ascii="Times New Roman" w:hAnsi="Times New Roman"/>
          <w:sz w:val="22"/>
          <w:szCs w:val="22"/>
          <w:highlight w:val="yellow"/>
          <w:lang w:val="sk-SK"/>
        </w:rPr>
      </w:pPr>
      <w:r>
        <w:rPr>
          <w:rFonts w:ascii="Times New Roman" w:hAnsi="Times New Roman"/>
          <w:sz w:val="22"/>
          <w:szCs w:val="22"/>
          <w:lang w:val="sk-SK"/>
        </w:rPr>
        <w:t>Žiadne zvláštne požiadavky.</w:t>
      </w:r>
    </w:p>
    <w:p w:rsidR="00574D94" w:rsidRPr="008616DC" w:rsidRDefault="00A50C96" w:rsidP="00F73721">
      <w:pPr>
        <w:tabs>
          <w:tab w:val="clear" w:pos="567"/>
        </w:tabs>
        <w:spacing w:line="240" w:lineRule="auto"/>
        <w:jc w:val="both"/>
        <w:rPr>
          <w:szCs w:val="22"/>
        </w:rPr>
      </w:pPr>
      <w:r>
        <w:rPr>
          <w:szCs w:val="22"/>
        </w:rPr>
        <w:lastRenderedPageBreak/>
        <w:t>Všetok nepoužitý liek alebo odpad vzniknutý z lieku sa má zlikvidovať v súlade s národnými požiadavkami.</w:t>
      </w:r>
    </w:p>
    <w:p w:rsidR="00574D94" w:rsidRPr="008616DC" w:rsidRDefault="00574D94">
      <w:pPr>
        <w:tabs>
          <w:tab w:val="clear" w:pos="567"/>
        </w:tabs>
        <w:spacing w:line="240" w:lineRule="auto"/>
        <w:jc w:val="both"/>
        <w:rPr>
          <w:szCs w:val="22"/>
        </w:rPr>
      </w:pPr>
    </w:p>
    <w:p w:rsidR="000761F1" w:rsidRPr="008616DC" w:rsidRDefault="000761F1">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rPr>
          <w:szCs w:val="22"/>
        </w:rPr>
      </w:pPr>
      <w:r>
        <w:rPr>
          <w:b/>
          <w:szCs w:val="22"/>
        </w:rPr>
        <w:t>7.</w:t>
      </w:r>
      <w:r>
        <w:rPr>
          <w:b/>
          <w:szCs w:val="22"/>
        </w:rPr>
        <w:tab/>
      </w:r>
      <w:r>
        <w:rPr>
          <w:b/>
          <w:bCs/>
          <w:szCs w:val="22"/>
        </w:rPr>
        <w:t>DRŽITEĽ ROZHODNUTIA O REGISTRÁCII</w:t>
      </w:r>
    </w:p>
    <w:p w:rsidR="003539E8" w:rsidRPr="008616DC" w:rsidRDefault="003539E8" w:rsidP="004F6D3D">
      <w:pPr>
        <w:tabs>
          <w:tab w:val="clear" w:pos="567"/>
        </w:tabs>
        <w:spacing w:line="240" w:lineRule="auto"/>
        <w:jc w:val="both"/>
        <w:rPr>
          <w:szCs w:val="22"/>
        </w:rPr>
      </w:pPr>
    </w:p>
    <w:p w:rsidR="00B16403" w:rsidRDefault="00B16403" w:rsidP="00B16403">
      <w:pPr>
        <w:tabs>
          <w:tab w:val="clear" w:pos="567"/>
          <w:tab w:val="left" w:pos="708"/>
        </w:tabs>
        <w:spacing w:line="240" w:lineRule="auto"/>
        <w:jc w:val="both"/>
        <w:rPr>
          <w:szCs w:val="22"/>
        </w:rPr>
      </w:pPr>
      <w:r>
        <w:rPr>
          <w:szCs w:val="22"/>
        </w:rPr>
        <w:t>G.L. Pharma GmbH</w:t>
      </w:r>
    </w:p>
    <w:p w:rsidR="00B16403" w:rsidRDefault="00B16403" w:rsidP="00B16403">
      <w:pPr>
        <w:tabs>
          <w:tab w:val="clear" w:pos="567"/>
          <w:tab w:val="left" w:pos="708"/>
        </w:tabs>
        <w:spacing w:line="240" w:lineRule="auto"/>
        <w:jc w:val="both"/>
        <w:rPr>
          <w:szCs w:val="22"/>
        </w:rPr>
      </w:pPr>
      <w:r>
        <w:rPr>
          <w:szCs w:val="22"/>
        </w:rPr>
        <w:t>Schlossplatz 1</w:t>
      </w:r>
    </w:p>
    <w:p w:rsidR="00B16403" w:rsidRDefault="00B16403" w:rsidP="00B16403">
      <w:pPr>
        <w:tabs>
          <w:tab w:val="clear" w:pos="567"/>
          <w:tab w:val="left" w:pos="708"/>
        </w:tabs>
        <w:spacing w:line="240" w:lineRule="auto"/>
        <w:jc w:val="both"/>
        <w:rPr>
          <w:szCs w:val="22"/>
        </w:rPr>
      </w:pPr>
      <w:r>
        <w:rPr>
          <w:szCs w:val="22"/>
        </w:rPr>
        <w:t>8502 Lannach</w:t>
      </w:r>
    </w:p>
    <w:p w:rsidR="00574D94" w:rsidRPr="008616DC" w:rsidRDefault="00B16403" w:rsidP="00844011">
      <w:pPr>
        <w:tabs>
          <w:tab w:val="clear" w:pos="567"/>
          <w:tab w:val="left" w:pos="1522"/>
        </w:tabs>
        <w:spacing w:line="240" w:lineRule="auto"/>
        <w:jc w:val="both"/>
        <w:rPr>
          <w:szCs w:val="22"/>
        </w:rPr>
      </w:pPr>
      <w:r>
        <w:rPr>
          <w:szCs w:val="22"/>
        </w:rPr>
        <w:t>Rakúsko</w:t>
      </w:r>
    </w:p>
    <w:p w:rsidR="003539E8" w:rsidRPr="008616DC" w:rsidRDefault="003539E8">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rPr>
          <w:b/>
          <w:szCs w:val="22"/>
        </w:rPr>
      </w:pPr>
      <w:r>
        <w:rPr>
          <w:b/>
          <w:szCs w:val="22"/>
        </w:rPr>
        <w:t>8.</w:t>
      </w:r>
      <w:r>
        <w:rPr>
          <w:b/>
          <w:szCs w:val="22"/>
        </w:rPr>
        <w:tab/>
      </w:r>
      <w:r>
        <w:rPr>
          <w:b/>
          <w:bCs/>
          <w:szCs w:val="22"/>
        </w:rPr>
        <w:t>REGISTRAČNÉ ČÍSLO</w:t>
      </w:r>
    </w:p>
    <w:p w:rsidR="00574D94" w:rsidRPr="008616DC" w:rsidRDefault="00574D94">
      <w:pPr>
        <w:tabs>
          <w:tab w:val="clear" w:pos="567"/>
        </w:tabs>
        <w:spacing w:line="240" w:lineRule="auto"/>
        <w:jc w:val="both"/>
        <w:rPr>
          <w:szCs w:val="22"/>
        </w:rPr>
      </w:pPr>
    </w:p>
    <w:p w:rsidR="003539E8" w:rsidRPr="008616DC" w:rsidRDefault="00A50C96">
      <w:pPr>
        <w:tabs>
          <w:tab w:val="clear" w:pos="567"/>
        </w:tabs>
        <w:spacing w:line="240" w:lineRule="auto"/>
        <w:jc w:val="both"/>
        <w:rPr>
          <w:szCs w:val="22"/>
        </w:rPr>
      </w:pPr>
      <w:r>
        <w:rPr>
          <w:szCs w:val="22"/>
        </w:rPr>
        <w:t>29/0239/17-S</w:t>
      </w:r>
    </w:p>
    <w:p w:rsidR="001C196A" w:rsidRPr="008616DC" w:rsidRDefault="001C196A">
      <w:pPr>
        <w:tabs>
          <w:tab w:val="clear" w:pos="567"/>
        </w:tabs>
        <w:spacing w:line="240" w:lineRule="auto"/>
        <w:jc w:val="both"/>
        <w:rPr>
          <w:szCs w:val="22"/>
        </w:rPr>
      </w:pPr>
    </w:p>
    <w:p w:rsidR="001C196A" w:rsidRPr="008616DC" w:rsidRDefault="001C196A">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rPr>
          <w:szCs w:val="22"/>
        </w:rPr>
      </w:pPr>
      <w:r>
        <w:rPr>
          <w:b/>
          <w:szCs w:val="22"/>
        </w:rPr>
        <w:t>9.</w:t>
      </w:r>
      <w:r>
        <w:rPr>
          <w:b/>
          <w:szCs w:val="22"/>
        </w:rPr>
        <w:tab/>
      </w:r>
      <w:r>
        <w:rPr>
          <w:b/>
          <w:bCs/>
          <w:szCs w:val="22"/>
        </w:rPr>
        <w:t>DÁTUM PRVEJ REGISTRÁCIE/PREDĹŽENIA REGISTRÁCIE</w:t>
      </w:r>
    </w:p>
    <w:p w:rsidR="00574D94" w:rsidRPr="008616DC" w:rsidRDefault="00574D94">
      <w:pPr>
        <w:tabs>
          <w:tab w:val="clear" w:pos="567"/>
        </w:tabs>
        <w:spacing w:line="240" w:lineRule="auto"/>
        <w:jc w:val="both"/>
        <w:rPr>
          <w:szCs w:val="22"/>
        </w:rPr>
      </w:pPr>
    </w:p>
    <w:p w:rsidR="00B14902" w:rsidRPr="008616DC" w:rsidRDefault="008F0E15">
      <w:pPr>
        <w:tabs>
          <w:tab w:val="clear" w:pos="567"/>
        </w:tabs>
        <w:spacing w:line="240" w:lineRule="auto"/>
        <w:jc w:val="both"/>
        <w:rPr>
          <w:szCs w:val="22"/>
        </w:rPr>
      </w:pPr>
      <w:r w:rsidRPr="000D3E57">
        <w:rPr>
          <w:szCs w:val="22"/>
        </w:rPr>
        <w:t>Dátum prvej registrácie: 21.08.2017</w:t>
      </w:r>
    </w:p>
    <w:p w:rsidR="00B14902" w:rsidRPr="008616DC" w:rsidRDefault="00B14902">
      <w:pPr>
        <w:tabs>
          <w:tab w:val="clear" w:pos="567"/>
        </w:tabs>
        <w:spacing w:line="240" w:lineRule="auto"/>
        <w:jc w:val="both"/>
        <w:rPr>
          <w:szCs w:val="22"/>
        </w:rPr>
      </w:pPr>
    </w:p>
    <w:p w:rsidR="00574D94" w:rsidRPr="00F60373" w:rsidRDefault="00574D94">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rPr>
          <w:b/>
          <w:szCs w:val="22"/>
        </w:rPr>
      </w:pPr>
      <w:r>
        <w:rPr>
          <w:b/>
          <w:szCs w:val="22"/>
        </w:rPr>
        <w:t>10.</w:t>
      </w:r>
      <w:r>
        <w:rPr>
          <w:b/>
          <w:szCs w:val="22"/>
        </w:rPr>
        <w:tab/>
      </w:r>
      <w:r>
        <w:rPr>
          <w:b/>
          <w:bCs/>
          <w:szCs w:val="22"/>
        </w:rPr>
        <w:t>DÁTUM REVÍZIE TEXTU</w:t>
      </w:r>
    </w:p>
    <w:p w:rsidR="00574D94" w:rsidRPr="008616DC" w:rsidRDefault="00574D94">
      <w:pPr>
        <w:tabs>
          <w:tab w:val="clear" w:pos="567"/>
        </w:tabs>
        <w:spacing w:line="240" w:lineRule="auto"/>
        <w:jc w:val="both"/>
        <w:rPr>
          <w:szCs w:val="22"/>
        </w:rPr>
      </w:pPr>
    </w:p>
    <w:p w:rsidR="00574D94" w:rsidRPr="008616DC" w:rsidRDefault="00EC0A9C">
      <w:pPr>
        <w:tabs>
          <w:tab w:val="clear" w:pos="567"/>
        </w:tabs>
        <w:spacing w:line="240" w:lineRule="auto"/>
        <w:jc w:val="both"/>
        <w:rPr>
          <w:szCs w:val="22"/>
        </w:rPr>
      </w:pPr>
      <w:r>
        <w:rPr>
          <w:szCs w:val="22"/>
        </w:rPr>
        <w:t>10</w:t>
      </w:r>
      <w:r w:rsidR="00D82644">
        <w:rPr>
          <w:szCs w:val="22"/>
        </w:rPr>
        <w:t>/</w:t>
      </w:r>
      <w:r w:rsidR="008F0E15" w:rsidRPr="000D3E57">
        <w:rPr>
          <w:szCs w:val="22"/>
        </w:rPr>
        <w:t>201</w:t>
      </w:r>
      <w:r w:rsidR="00FF4C72">
        <w:rPr>
          <w:szCs w:val="22"/>
        </w:rPr>
        <w:t>9</w:t>
      </w:r>
    </w:p>
    <w:sectPr w:rsidR="00574D94" w:rsidRPr="008616DC" w:rsidSect="006F0843">
      <w:headerReference w:type="default" r:id="rId10"/>
      <w:footerReference w:type="default" r:id="rId11"/>
      <w:headerReference w:type="first" r:id="rId12"/>
      <w:footerReference w:type="first" r:id="rId13"/>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A9C" w:rsidRDefault="00EC0A9C">
      <w:pPr>
        <w:spacing w:line="240" w:lineRule="auto"/>
      </w:pPr>
      <w:r>
        <w:separator/>
      </w:r>
    </w:p>
  </w:endnote>
  <w:endnote w:type="continuationSeparator" w:id="0">
    <w:p w:rsidR="00EC0A9C" w:rsidRDefault="00EC0A9C">
      <w:pPr>
        <w:spacing w:line="240" w:lineRule="auto"/>
      </w:pPr>
      <w:r>
        <w:continuationSeparator/>
      </w:r>
    </w:p>
  </w:endnote>
  <w:endnote w:type="continuationNotice" w:id="1">
    <w:p w:rsidR="00EC0A9C" w:rsidRDefault="00EC0A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464048"/>
      <w:docPartObj>
        <w:docPartGallery w:val="Page Numbers (Bottom of Page)"/>
        <w:docPartUnique/>
      </w:docPartObj>
    </w:sdtPr>
    <w:sdtEndPr>
      <w:rPr>
        <w:sz w:val="18"/>
        <w:szCs w:val="18"/>
      </w:rPr>
    </w:sdtEndPr>
    <w:sdtContent>
      <w:p w:rsidR="00EC0A9C" w:rsidRPr="006F0843" w:rsidRDefault="00EC0A9C" w:rsidP="006F0843">
        <w:pPr>
          <w:pStyle w:val="Pta"/>
          <w:jc w:val="center"/>
          <w:rPr>
            <w:sz w:val="18"/>
            <w:szCs w:val="18"/>
          </w:rPr>
        </w:pPr>
        <w:r w:rsidRPr="006F0843">
          <w:rPr>
            <w:sz w:val="18"/>
            <w:szCs w:val="18"/>
          </w:rPr>
          <w:fldChar w:fldCharType="begin"/>
        </w:r>
        <w:r w:rsidRPr="006F0843">
          <w:rPr>
            <w:sz w:val="18"/>
            <w:szCs w:val="18"/>
          </w:rPr>
          <w:instrText>PAGE   \* MERGEFORMAT</w:instrText>
        </w:r>
        <w:r w:rsidRPr="006F0843">
          <w:rPr>
            <w:sz w:val="18"/>
            <w:szCs w:val="18"/>
          </w:rPr>
          <w:fldChar w:fldCharType="separate"/>
        </w:r>
        <w:r w:rsidR="006F0843">
          <w:rPr>
            <w:noProof/>
            <w:sz w:val="18"/>
            <w:szCs w:val="18"/>
          </w:rPr>
          <w:t>16</w:t>
        </w:r>
        <w:r w:rsidRPr="006F0843">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2360"/>
      <w:docPartObj>
        <w:docPartGallery w:val="Page Numbers (Bottom of Page)"/>
        <w:docPartUnique/>
      </w:docPartObj>
    </w:sdtPr>
    <w:sdtEndPr>
      <w:rPr>
        <w:sz w:val="18"/>
        <w:szCs w:val="18"/>
      </w:rPr>
    </w:sdtEndPr>
    <w:sdtContent>
      <w:p w:rsidR="00EC0A9C" w:rsidRPr="000D3E57" w:rsidRDefault="00EC0A9C">
        <w:pPr>
          <w:pStyle w:val="Pta"/>
          <w:jc w:val="right"/>
          <w:rPr>
            <w:sz w:val="18"/>
            <w:szCs w:val="18"/>
          </w:rPr>
        </w:pPr>
        <w:r w:rsidRPr="000D3E57">
          <w:rPr>
            <w:sz w:val="18"/>
            <w:szCs w:val="18"/>
          </w:rPr>
          <w:fldChar w:fldCharType="begin"/>
        </w:r>
        <w:r w:rsidRPr="000D3E57">
          <w:rPr>
            <w:sz w:val="18"/>
            <w:szCs w:val="18"/>
          </w:rPr>
          <w:instrText xml:space="preserve"> PAGE   \* MERGEFORMAT </w:instrText>
        </w:r>
        <w:r w:rsidRPr="000D3E57">
          <w:rPr>
            <w:sz w:val="18"/>
            <w:szCs w:val="18"/>
          </w:rPr>
          <w:fldChar w:fldCharType="separate"/>
        </w:r>
        <w:r>
          <w:rPr>
            <w:noProof/>
            <w:sz w:val="18"/>
            <w:szCs w:val="18"/>
          </w:rPr>
          <w:t>1</w:t>
        </w:r>
        <w:r w:rsidRPr="000D3E57">
          <w:rPr>
            <w:sz w:val="18"/>
            <w:szCs w:val="18"/>
          </w:rPr>
          <w:fldChar w:fldCharType="end"/>
        </w:r>
      </w:p>
    </w:sdtContent>
  </w:sdt>
  <w:p w:rsidR="00EC0A9C" w:rsidRPr="000D3E57" w:rsidRDefault="00EC0A9C">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A9C" w:rsidRDefault="00EC0A9C">
      <w:pPr>
        <w:spacing w:line="240" w:lineRule="auto"/>
      </w:pPr>
      <w:r>
        <w:separator/>
      </w:r>
    </w:p>
  </w:footnote>
  <w:footnote w:type="continuationSeparator" w:id="0">
    <w:p w:rsidR="00EC0A9C" w:rsidRDefault="00EC0A9C">
      <w:pPr>
        <w:spacing w:line="240" w:lineRule="auto"/>
      </w:pPr>
      <w:r>
        <w:continuationSeparator/>
      </w:r>
    </w:p>
  </w:footnote>
  <w:footnote w:type="continuationNotice" w:id="1">
    <w:p w:rsidR="00EC0A9C" w:rsidRDefault="00EC0A9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A9C" w:rsidRPr="006F0843" w:rsidRDefault="00EC0A9C">
    <w:pPr>
      <w:pStyle w:val="Hlavika"/>
      <w:rPr>
        <w:sz w:val="18"/>
        <w:szCs w:val="18"/>
      </w:rPr>
    </w:pPr>
    <w:r w:rsidRPr="006F0843">
      <w:rPr>
        <w:sz w:val="18"/>
        <w:szCs w:val="18"/>
      </w:rPr>
      <w:t xml:space="preserve">Príloha č. 1 k notifikácii o zmene, ev. č.: </w:t>
    </w:r>
    <w:r>
      <w:rPr>
        <w:sz w:val="18"/>
        <w:szCs w:val="18"/>
      </w:rPr>
      <w:t>2019/05201-Z1B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A9C" w:rsidRPr="00916F3E" w:rsidRDefault="00EC0A9C" w:rsidP="00B14902">
    <w:pPr>
      <w:tabs>
        <w:tab w:val="clear" w:pos="567"/>
      </w:tabs>
      <w:spacing w:line="240" w:lineRule="auto"/>
      <w:rPr>
        <w:noProof/>
        <w:sz w:val="18"/>
        <w:szCs w:val="18"/>
      </w:rPr>
    </w:pPr>
    <w:r>
      <w:rPr>
        <w:sz w:val="18"/>
        <w:szCs w:val="18"/>
      </w:rPr>
      <w:t> </w:t>
    </w:r>
  </w:p>
  <w:p w:rsidR="00EC0A9C" w:rsidRDefault="00EC0A9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2472"/>
    <w:multiLevelType w:val="hybridMultilevel"/>
    <w:tmpl w:val="B6E02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58E1C12"/>
    <w:multiLevelType w:val="hybridMultilevel"/>
    <w:tmpl w:val="052227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953CE"/>
    <w:multiLevelType w:val="hybridMultilevel"/>
    <w:tmpl w:val="9A484958"/>
    <w:lvl w:ilvl="0" w:tplc="285A7A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E9B6486"/>
    <w:multiLevelType w:val="hybridMultilevel"/>
    <w:tmpl w:val="60D2C3C6"/>
    <w:lvl w:ilvl="0" w:tplc="285A7A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3BF0421"/>
    <w:multiLevelType w:val="singleLevel"/>
    <w:tmpl w:val="38EAC4D2"/>
    <w:lvl w:ilvl="0">
      <w:start w:val="4"/>
      <w:numFmt w:val="bullet"/>
      <w:lvlText w:val="-"/>
      <w:lvlJc w:val="left"/>
      <w:pPr>
        <w:tabs>
          <w:tab w:val="num" w:pos="360"/>
        </w:tabs>
        <w:ind w:left="360" w:hanging="360"/>
      </w:pPr>
      <w:rPr>
        <w:rFonts w:ascii="Times New Roman" w:hAnsi="Times New Roman" w:hint="default"/>
      </w:rPr>
    </w:lvl>
  </w:abstractNum>
  <w:abstractNum w:abstractNumId="6">
    <w:nsid w:val="26AB34F1"/>
    <w:multiLevelType w:val="hybridMultilevel"/>
    <w:tmpl w:val="7ECE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23FDE"/>
    <w:multiLevelType w:val="hybridMultilevel"/>
    <w:tmpl w:val="C4AEC0A0"/>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28916A48"/>
    <w:multiLevelType w:val="hybridMultilevel"/>
    <w:tmpl w:val="102A9726"/>
    <w:lvl w:ilvl="0" w:tplc="4314E3F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645A0"/>
    <w:multiLevelType w:val="hybridMultilevel"/>
    <w:tmpl w:val="79CCE3EC"/>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D6C6765"/>
    <w:multiLevelType w:val="hybridMultilevel"/>
    <w:tmpl w:val="D530190A"/>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544068A9"/>
    <w:multiLevelType w:val="multilevel"/>
    <w:tmpl w:val="E44E2F0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9E453D6"/>
    <w:multiLevelType w:val="hybridMultilevel"/>
    <w:tmpl w:val="EECA3FFE"/>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B132A27"/>
    <w:multiLevelType w:val="hybridMultilevel"/>
    <w:tmpl w:val="AA54F9DE"/>
    <w:lvl w:ilvl="0" w:tplc="4314E3FE">
      <w:start w:val="1"/>
      <w:numFmt w:val="bullet"/>
      <w:lvlText w:val="­"/>
      <w:lvlJc w:val="left"/>
      <w:pPr>
        <w:ind w:left="720" w:hanging="360"/>
      </w:pPr>
      <w:rPr>
        <w:rFonts w:ascii="Verdana" w:hAnsi="Verdana" w:hint="default"/>
      </w:rPr>
    </w:lvl>
    <w:lvl w:ilvl="1" w:tplc="80BAE35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6">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6E7B42FE"/>
    <w:multiLevelType w:val="hybridMultilevel"/>
    <w:tmpl w:val="BB4846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84007C"/>
    <w:multiLevelType w:val="hybridMultilevel"/>
    <w:tmpl w:val="8E000E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D144BBF"/>
    <w:multiLevelType w:val="hybridMultilevel"/>
    <w:tmpl w:val="3392C4B2"/>
    <w:lvl w:ilvl="0" w:tplc="4314E3F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4"/>
  </w:num>
  <w:num w:numId="4">
    <w:abstractNumId w:val="5"/>
  </w:num>
  <w:num w:numId="5">
    <w:abstractNumId w:val="12"/>
  </w:num>
  <w:num w:numId="6">
    <w:abstractNumId w:val="13"/>
  </w:num>
  <w:num w:numId="7">
    <w:abstractNumId w:val="7"/>
  </w:num>
  <w:num w:numId="8">
    <w:abstractNumId w:val="9"/>
  </w:num>
  <w:num w:numId="9">
    <w:abstractNumId w:val="11"/>
  </w:num>
  <w:num w:numId="10">
    <w:abstractNumId w:val="14"/>
  </w:num>
  <w:num w:numId="11">
    <w:abstractNumId w:val="1"/>
  </w:num>
  <w:num w:numId="12">
    <w:abstractNumId w:val="6"/>
  </w:num>
  <w:num w:numId="13">
    <w:abstractNumId w:val="8"/>
  </w:num>
  <w:num w:numId="14">
    <w:abstractNumId w:val="17"/>
  </w:num>
  <w:num w:numId="15">
    <w:abstractNumId w:val="19"/>
  </w:num>
  <w:num w:numId="16">
    <w:abstractNumId w:val="18"/>
  </w:num>
  <w:num w:numId="17">
    <w:abstractNumId w:val="15"/>
  </w:num>
  <w:num w:numId="18">
    <w:abstractNumId w:val="0"/>
  </w:num>
  <w:num w:numId="19">
    <w:abstractNumId w:val="3"/>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uzana Humajová">
    <w15:presenceInfo w15:providerId="Windows Live" w15:userId="33946cdf5f82d8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A71"/>
    <w:rsid w:val="0000045B"/>
    <w:rsid w:val="000020E1"/>
    <w:rsid w:val="000041E4"/>
    <w:rsid w:val="0001332C"/>
    <w:rsid w:val="00013C8A"/>
    <w:rsid w:val="00014FF1"/>
    <w:rsid w:val="00015B87"/>
    <w:rsid w:val="00023A08"/>
    <w:rsid w:val="0002606F"/>
    <w:rsid w:val="000273CE"/>
    <w:rsid w:val="00031429"/>
    <w:rsid w:val="00035D3E"/>
    <w:rsid w:val="00037B2A"/>
    <w:rsid w:val="000409EB"/>
    <w:rsid w:val="000411A8"/>
    <w:rsid w:val="000419F7"/>
    <w:rsid w:val="0004627D"/>
    <w:rsid w:val="00047155"/>
    <w:rsid w:val="000538A2"/>
    <w:rsid w:val="00057E53"/>
    <w:rsid w:val="00062401"/>
    <w:rsid w:val="00062408"/>
    <w:rsid w:val="00067E6F"/>
    <w:rsid w:val="000761F1"/>
    <w:rsid w:val="00084238"/>
    <w:rsid w:val="00085DE4"/>
    <w:rsid w:val="00087EBC"/>
    <w:rsid w:val="000913C1"/>
    <w:rsid w:val="00096951"/>
    <w:rsid w:val="000A1FAF"/>
    <w:rsid w:val="000A2ABD"/>
    <w:rsid w:val="000B1633"/>
    <w:rsid w:val="000B1FCE"/>
    <w:rsid w:val="000B21EC"/>
    <w:rsid w:val="000B5399"/>
    <w:rsid w:val="000B6A3F"/>
    <w:rsid w:val="000C0062"/>
    <w:rsid w:val="000D2C11"/>
    <w:rsid w:val="000D3E57"/>
    <w:rsid w:val="000E1C66"/>
    <w:rsid w:val="000E22E8"/>
    <w:rsid w:val="000E3527"/>
    <w:rsid w:val="000F0BB4"/>
    <w:rsid w:val="001006AD"/>
    <w:rsid w:val="0010433A"/>
    <w:rsid w:val="00107EDC"/>
    <w:rsid w:val="00107F5E"/>
    <w:rsid w:val="001104B6"/>
    <w:rsid w:val="00115AD2"/>
    <w:rsid w:val="0012187D"/>
    <w:rsid w:val="001224BE"/>
    <w:rsid w:val="00122705"/>
    <w:rsid w:val="00122D3E"/>
    <w:rsid w:val="00123788"/>
    <w:rsid w:val="00126D86"/>
    <w:rsid w:val="001351E5"/>
    <w:rsid w:val="001432AB"/>
    <w:rsid w:val="00144FCD"/>
    <w:rsid w:val="001512B6"/>
    <w:rsid w:val="0015239F"/>
    <w:rsid w:val="00153365"/>
    <w:rsid w:val="00156153"/>
    <w:rsid w:val="00160319"/>
    <w:rsid w:val="00160C83"/>
    <w:rsid w:val="00161F21"/>
    <w:rsid w:val="00164387"/>
    <w:rsid w:val="00165C9C"/>
    <w:rsid w:val="00173034"/>
    <w:rsid w:val="00174186"/>
    <w:rsid w:val="00175BD6"/>
    <w:rsid w:val="001762A5"/>
    <w:rsid w:val="001804B5"/>
    <w:rsid w:val="0018584B"/>
    <w:rsid w:val="00185DA4"/>
    <w:rsid w:val="00186546"/>
    <w:rsid w:val="00193688"/>
    <w:rsid w:val="00193AE9"/>
    <w:rsid w:val="001A1810"/>
    <w:rsid w:val="001A3C83"/>
    <w:rsid w:val="001B0426"/>
    <w:rsid w:val="001B58DF"/>
    <w:rsid w:val="001B6D78"/>
    <w:rsid w:val="001C196A"/>
    <w:rsid w:val="001C3927"/>
    <w:rsid w:val="001C55B1"/>
    <w:rsid w:val="001D107F"/>
    <w:rsid w:val="001D3851"/>
    <w:rsid w:val="001E07CF"/>
    <w:rsid w:val="001F0777"/>
    <w:rsid w:val="001F0E2B"/>
    <w:rsid w:val="001F0F95"/>
    <w:rsid w:val="001F1960"/>
    <w:rsid w:val="001F491F"/>
    <w:rsid w:val="0020280D"/>
    <w:rsid w:val="00205FDA"/>
    <w:rsid w:val="00214DA4"/>
    <w:rsid w:val="00215ED5"/>
    <w:rsid w:val="00215F9F"/>
    <w:rsid w:val="0022197C"/>
    <w:rsid w:val="00221B7A"/>
    <w:rsid w:val="00224B85"/>
    <w:rsid w:val="0023005D"/>
    <w:rsid w:val="00231EB7"/>
    <w:rsid w:val="00235381"/>
    <w:rsid w:val="00236097"/>
    <w:rsid w:val="0023695A"/>
    <w:rsid w:val="0024285E"/>
    <w:rsid w:val="00242EB6"/>
    <w:rsid w:val="00244497"/>
    <w:rsid w:val="00254515"/>
    <w:rsid w:val="0025453F"/>
    <w:rsid w:val="002549CB"/>
    <w:rsid w:val="0027150D"/>
    <w:rsid w:val="00271B3D"/>
    <w:rsid w:val="00272C9D"/>
    <w:rsid w:val="002757A3"/>
    <w:rsid w:val="00277152"/>
    <w:rsid w:val="00280819"/>
    <w:rsid w:val="00291D20"/>
    <w:rsid w:val="00292028"/>
    <w:rsid w:val="00292B92"/>
    <w:rsid w:val="002A3916"/>
    <w:rsid w:val="002A5725"/>
    <w:rsid w:val="002A5C14"/>
    <w:rsid w:val="002B1689"/>
    <w:rsid w:val="002B544A"/>
    <w:rsid w:val="002C007F"/>
    <w:rsid w:val="002C3176"/>
    <w:rsid w:val="002C4FB9"/>
    <w:rsid w:val="002D14AC"/>
    <w:rsid w:val="002D7200"/>
    <w:rsid w:val="002D7327"/>
    <w:rsid w:val="002D7CC0"/>
    <w:rsid w:val="002E2EBD"/>
    <w:rsid w:val="002E3AFC"/>
    <w:rsid w:val="002E472B"/>
    <w:rsid w:val="002E61EA"/>
    <w:rsid w:val="002E6638"/>
    <w:rsid w:val="002E6881"/>
    <w:rsid w:val="002E752B"/>
    <w:rsid w:val="002F00D1"/>
    <w:rsid w:val="002F52F3"/>
    <w:rsid w:val="002F5EBC"/>
    <w:rsid w:val="003021DE"/>
    <w:rsid w:val="00302254"/>
    <w:rsid w:val="00305399"/>
    <w:rsid w:val="0030633D"/>
    <w:rsid w:val="0031651F"/>
    <w:rsid w:val="00320330"/>
    <w:rsid w:val="003216C4"/>
    <w:rsid w:val="00322A11"/>
    <w:rsid w:val="00335178"/>
    <w:rsid w:val="0034023B"/>
    <w:rsid w:val="00342CD0"/>
    <w:rsid w:val="003539E8"/>
    <w:rsid w:val="003545DB"/>
    <w:rsid w:val="0036060D"/>
    <w:rsid w:val="00362651"/>
    <w:rsid w:val="003644FB"/>
    <w:rsid w:val="0036636F"/>
    <w:rsid w:val="00366450"/>
    <w:rsid w:val="00366634"/>
    <w:rsid w:val="0036673F"/>
    <w:rsid w:val="00374F59"/>
    <w:rsid w:val="00376931"/>
    <w:rsid w:val="00384FC3"/>
    <w:rsid w:val="00387143"/>
    <w:rsid w:val="00390909"/>
    <w:rsid w:val="00395222"/>
    <w:rsid w:val="00395591"/>
    <w:rsid w:val="003A59C5"/>
    <w:rsid w:val="003A66C3"/>
    <w:rsid w:val="003A6AB6"/>
    <w:rsid w:val="003B24C2"/>
    <w:rsid w:val="003B3EBB"/>
    <w:rsid w:val="003B78B8"/>
    <w:rsid w:val="003B7ECC"/>
    <w:rsid w:val="003C3970"/>
    <w:rsid w:val="003C39BA"/>
    <w:rsid w:val="003D782E"/>
    <w:rsid w:val="003D7FC6"/>
    <w:rsid w:val="003E2631"/>
    <w:rsid w:val="003F2756"/>
    <w:rsid w:val="003F4B4D"/>
    <w:rsid w:val="003F4EE7"/>
    <w:rsid w:val="003F5CF3"/>
    <w:rsid w:val="003F5F41"/>
    <w:rsid w:val="004026FF"/>
    <w:rsid w:val="00402BF4"/>
    <w:rsid w:val="0040371A"/>
    <w:rsid w:val="0041098B"/>
    <w:rsid w:val="0041562E"/>
    <w:rsid w:val="00415E52"/>
    <w:rsid w:val="00416B86"/>
    <w:rsid w:val="0042506C"/>
    <w:rsid w:val="004252C6"/>
    <w:rsid w:val="00431271"/>
    <w:rsid w:val="0043515C"/>
    <w:rsid w:val="00435659"/>
    <w:rsid w:val="004359BB"/>
    <w:rsid w:val="00441221"/>
    <w:rsid w:val="004418C0"/>
    <w:rsid w:val="00441A13"/>
    <w:rsid w:val="00442199"/>
    <w:rsid w:val="00446F9C"/>
    <w:rsid w:val="00447C4A"/>
    <w:rsid w:val="00452883"/>
    <w:rsid w:val="00460571"/>
    <w:rsid w:val="004640DF"/>
    <w:rsid w:val="00464ACD"/>
    <w:rsid w:val="00467391"/>
    <w:rsid w:val="00470BE1"/>
    <w:rsid w:val="00470D8E"/>
    <w:rsid w:val="00471EF2"/>
    <w:rsid w:val="00477FC7"/>
    <w:rsid w:val="00480EBC"/>
    <w:rsid w:val="004843F4"/>
    <w:rsid w:val="00484E23"/>
    <w:rsid w:val="0049027A"/>
    <w:rsid w:val="00490815"/>
    <w:rsid w:val="00494180"/>
    <w:rsid w:val="004A030A"/>
    <w:rsid w:val="004A0FE0"/>
    <w:rsid w:val="004A4B63"/>
    <w:rsid w:val="004A6187"/>
    <w:rsid w:val="004A6FF2"/>
    <w:rsid w:val="004B18C6"/>
    <w:rsid w:val="004B39C5"/>
    <w:rsid w:val="004B4C79"/>
    <w:rsid w:val="004B7E8F"/>
    <w:rsid w:val="004C0BC3"/>
    <w:rsid w:val="004D0DDE"/>
    <w:rsid w:val="004D1B88"/>
    <w:rsid w:val="004D2577"/>
    <w:rsid w:val="004E35D5"/>
    <w:rsid w:val="004E48D6"/>
    <w:rsid w:val="004E6976"/>
    <w:rsid w:val="004E6AED"/>
    <w:rsid w:val="004E76F7"/>
    <w:rsid w:val="004F0126"/>
    <w:rsid w:val="004F2511"/>
    <w:rsid w:val="004F3D4E"/>
    <w:rsid w:val="004F5572"/>
    <w:rsid w:val="004F6D3D"/>
    <w:rsid w:val="004F7A1D"/>
    <w:rsid w:val="005000BB"/>
    <w:rsid w:val="00500B04"/>
    <w:rsid w:val="00501F2C"/>
    <w:rsid w:val="005046D8"/>
    <w:rsid w:val="00514BED"/>
    <w:rsid w:val="005159F4"/>
    <w:rsid w:val="0051685C"/>
    <w:rsid w:val="00517312"/>
    <w:rsid w:val="00521BE5"/>
    <w:rsid w:val="00521CB7"/>
    <w:rsid w:val="00522A37"/>
    <w:rsid w:val="0052325A"/>
    <w:rsid w:val="00523A41"/>
    <w:rsid w:val="005250D9"/>
    <w:rsid w:val="00527473"/>
    <w:rsid w:val="00527F62"/>
    <w:rsid w:val="00530107"/>
    <w:rsid w:val="00530DF1"/>
    <w:rsid w:val="005312FE"/>
    <w:rsid w:val="00533B28"/>
    <w:rsid w:val="00533B66"/>
    <w:rsid w:val="00533E61"/>
    <w:rsid w:val="005357AE"/>
    <w:rsid w:val="005360C2"/>
    <w:rsid w:val="00536F47"/>
    <w:rsid w:val="00540454"/>
    <w:rsid w:val="0054057F"/>
    <w:rsid w:val="005414BA"/>
    <w:rsid w:val="005455FC"/>
    <w:rsid w:val="00546997"/>
    <w:rsid w:val="005473B5"/>
    <w:rsid w:val="00557F16"/>
    <w:rsid w:val="00570DB0"/>
    <w:rsid w:val="00574D94"/>
    <w:rsid w:val="00575D6D"/>
    <w:rsid w:val="00576084"/>
    <w:rsid w:val="00576BB5"/>
    <w:rsid w:val="00594A3E"/>
    <w:rsid w:val="005A4733"/>
    <w:rsid w:val="005A5DD6"/>
    <w:rsid w:val="005B1005"/>
    <w:rsid w:val="005B2886"/>
    <w:rsid w:val="005B4460"/>
    <w:rsid w:val="005B5D73"/>
    <w:rsid w:val="005B6D54"/>
    <w:rsid w:val="005C2695"/>
    <w:rsid w:val="005C34BF"/>
    <w:rsid w:val="005C43CA"/>
    <w:rsid w:val="005C5D09"/>
    <w:rsid w:val="005D1D34"/>
    <w:rsid w:val="005D6EAA"/>
    <w:rsid w:val="005E1321"/>
    <w:rsid w:val="005E37F5"/>
    <w:rsid w:val="005E432E"/>
    <w:rsid w:val="005F098C"/>
    <w:rsid w:val="005F3501"/>
    <w:rsid w:val="005F571C"/>
    <w:rsid w:val="00604197"/>
    <w:rsid w:val="00605077"/>
    <w:rsid w:val="00607EB0"/>
    <w:rsid w:val="00611ED7"/>
    <w:rsid w:val="00613A8C"/>
    <w:rsid w:val="00615283"/>
    <w:rsid w:val="00615A73"/>
    <w:rsid w:val="00617158"/>
    <w:rsid w:val="00621C1A"/>
    <w:rsid w:val="0062491D"/>
    <w:rsid w:val="00627B7F"/>
    <w:rsid w:val="006319CF"/>
    <w:rsid w:val="0063378A"/>
    <w:rsid w:val="00636135"/>
    <w:rsid w:val="00641317"/>
    <w:rsid w:val="006430E3"/>
    <w:rsid w:val="00650CA5"/>
    <w:rsid w:val="006512AA"/>
    <w:rsid w:val="00654E6D"/>
    <w:rsid w:val="00660459"/>
    <w:rsid w:val="00663E8E"/>
    <w:rsid w:val="006667B4"/>
    <w:rsid w:val="00666C98"/>
    <w:rsid w:val="00674883"/>
    <w:rsid w:val="00674A9D"/>
    <w:rsid w:val="00680B26"/>
    <w:rsid w:val="006827FE"/>
    <w:rsid w:val="00683AB2"/>
    <w:rsid w:val="0068481E"/>
    <w:rsid w:val="0068659A"/>
    <w:rsid w:val="00690688"/>
    <w:rsid w:val="00691ED3"/>
    <w:rsid w:val="006935DC"/>
    <w:rsid w:val="00693687"/>
    <w:rsid w:val="006942D4"/>
    <w:rsid w:val="0069544C"/>
    <w:rsid w:val="00696BAA"/>
    <w:rsid w:val="00697D61"/>
    <w:rsid w:val="006A0727"/>
    <w:rsid w:val="006A3D57"/>
    <w:rsid w:val="006A3F37"/>
    <w:rsid w:val="006A5832"/>
    <w:rsid w:val="006A7557"/>
    <w:rsid w:val="006B18F9"/>
    <w:rsid w:val="006B246C"/>
    <w:rsid w:val="006B2790"/>
    <w:rsid w:val="006B50DF"/>
    <w:rsid w:val="006C16CF"/>
    <w:rsid w:val="006C2D03"/>
    <w:rsid w:val="006C3094"/>
    <w:rsid w:val="006C3A1E"/>
    <w:rsid w:val="006C4F62"/>
    <w:rsid w:val="006C5F46"/>
    <w:rsid w:val="006C7481"/>
    <w:rsid w:val="006D0D8C"/>
    <w:rsid w:val="006D4695"/>
    <w:rsid w:val="006D545F"/>
    <w:rsid w:val="006D56C5"/>
    <w:rsid w:val="006D7A98"/>
    <w:rsid w:val="006E032F"/>
    <w:rsid w:val="006E7505"/>
    <w:rsid w:val="006F0843"/>
    <w:rsid w:val="006F0DBE"/>
    <w:rsid w:val="006F332E"/>
    <w:rsid w:val="006F4537"/>
    <w:rsid w:val="006F5593"/>
    <w:rsid w:val="006F5670"/>
    <w:rsid w:val="006F5D2E"/>
    <w:rsid w:val="006F7D0D"/>
    <w:rsid w:val="00700653"/>
    <w:rsid w:val="00703547"/>
    <w:rsid w:val="0070390D"/>
    <w:rsid w:val="00705860"/>
    <w:rsid w:val="0070659D"/>
    <w:rsid w:val="007108AC"/>
    <w:rsid w:val="00712063"/>
    <w:rsid w:val="007205E3"/>
    <w:rsid w:val="007311F7"/>
    <w:rsid w:val="00732556"/>
    <w:rsid w:val="007342E2"/>
    <w:rsid w:val="00740426"/>
    <w:rsid w:val="00741DD1"/>
    <w:rsid w:val="007430AA"/>
    <w:rsid w:val="00743DE2"/>
    <w:rsid w:val="00745D61"/>
    <w:rsid w:val="00746227"/>
    <w:rsid w:val="00750A9D"/>
    <w:rsid w:val="00753B94"/>
    <w:rsid w:val="00753DFD"/>
    <w:rsid w:val="00754825"/>
    <w:rsid w:val="00755803"/>
    <w:rsid w:val="00755D9A"/>
    <w:rsid w:val="0076098D"/>
    <w:rsid w:val="00767934"/>
    <w:rsid w:val="00773ACD"/>
    <w:rsid w:val="00793CFF"/>
    <w:rsid w:val="007954E2"/>
    <w:rsid w:val="007A0079"/>
    <w:rsid w:val="007A2A3F"/>
    <w:rsid w:val="007B10BF"/>
    <w:rsid w:val="007B2145"/>
    <w:rsid w:val="007C0594"/>
    <w:rsid w:val="007C2D8C"/>
    <w:rsid w:val="007C5E61"/>
    <w:rsid w:val="007D614A"/>
    <w:rsid w:val="007E0960"/>
    <w:rsid w:val="007E15B5"/>
    <w:rsid w:val="007E1983"/>
    <w:rsid w:val="007E7A88"/>
    <w:rsid w:val="007F38DD"/>
    <w:rsid w:val="007F766A"/>
    <w:rsid w:val="00803D40"/>
    <w:rsid w:val="008053F6"/>
    <w:rsid w:val="00805683"/>
    <w:rsid w:val="00805EB7"/>
    <w:rsid w:val="00805F71"/>
    <w:rsid w:val="00807B7A"/>
    <w:rsid w:val="008101DA"/>
    <w:rsid w:val="00810322"/>
    <w:rsid w:val="008124D9"/>
    <w:rsid w:val="00812861"/>
    <w:rsid w:val="008152A5"/>
    <w:rsid w:val="00815ECB"/>
    <w:rsid w:val="008160A6"/>
    <w:rsid w:val="00817AE0"/>
    <w:rsid w:val="00820D06"/>
    <w:rsid w:val="008358C8"/>
    <w:rsid w:val="008422BB"/>
    <w:rsid w:val="00842A31"/>
    <w:rsid w:val="00844011"/>
    <w:rsid w:val="00845E0A"/>
    <w:rsid w:val="00856E44"/>
    <w:rsid w:val="008616DC"/>
    <w:rsid w:val="00863F93"/>
    <w:rsid w:val="00865E91"/>
    <w:rsid w:val="00867E64"/>
    <w:rsid w:val="00870343"/>
    <w:rsid w:val="00871703"/>
    <w:rsid w:val="008720EB"/>
    <w:rsid w:val="00876A0E"/>
    <w:rsid w:val="00877DF5"/>
    <w:rsid w:val="008803F8"/>
    <w:rsid w:val="00881A91"/>
    <w:rsid w:val="008853C4"/>
    <w:rsid w:val="00886564"/>
    <w:rsid w:val="00890F0C"/>
    <w:rsid w:val="00893117"/>
    <w:rsid w:val="00893BF2"/>
    <w:rsid w:val="008944F5"/>
    <w:rsid w:val="00895F96"/>
    <w:rsid w:val="008A1145"/>
    <w:rsid w:val="008B35AC"/>
    <w:rsid w:val="008B6363"/>
    <w:rsid w:val="008B7824"/>
    <w:rsid w:val="008C1B66"/>
    <w:rsid w:val="008D1AD2"/>
    <w:rsid w:val="008D4C11"/>
    <w:rsid w:val="008E0B3A"/>
    <w:rsid w:val="008E3861"/>
    <w:rsid w:val="008E517A"/>
    <w:rsid w:val="008E6AFE"/>
    <w:rsid w:val="008F08D7"/>
    <w:rsid w:val="008F0D97"/>
    <w:rsid w:val="008F0E15"/>
    <w:rsid w:val="008F1104"/>
    <w:rsid w:val="008F278E"/>
    <w:rsid w:val="008F2A09"/>
    <w:rsid w:val="008F381E"/>
    <w:rsid w:val="008F51D1"/>
    <w:rsid w:val="008F6D74"/>
    <w:rsid w:val="008F7798"/>
    <w:rsid w:val="0090100A"/>
    <w:rsid w:val="00901800"/>
    <w:rsid w:val="009040FD"/>
    <w:rsid w:val="00904E1E"/>
    <w:rsid w:val="00914B39"/>
    <w:rsid w:val="00914FE0"/>
    <w:rsid w:val="00916F3E"/>
    <w:rsid w:val="00921F30"/>
    <w:rsid w:val="0092687B"/>
    <w:rsid w:val="009274F0"/>
    <w:rsid w:val="0093101D"/>
    <w:rsid w:val="009314B4"/>
    <w:rsid w:val="009316EF"/>
    <w:rsid w:val="009407D0"/>
    <w:rsid w:val="009433F7"/>
    <w:rsid w:val="00952E08"/>
    <w:rsid w:val="009535FA"/>
    <w:rsid w:val="00953E25"/>
    <w:rsid w:val="00955B82"/>
    <w:rsid w:val="00960962"/>
    <w:rsid w:val="00961F81"/>
    <w:rsid w:val="00964C6E"/>
    <w:rsid w:val="00976114"/>
    <w:rsid w:val="00980CD6"/>
    <w:rsid w:val="00982013"/>
    <w:rsid w:val="00985ADD"/>
    <w:rsid w:val="0098667E"/>
    <w:rsid w:val="009909B8"/>
    <w:rsid w:val="00990B97"/>
    <w:rsid w:val="009919E3"/>
    <w:rsid w:val="009A0E03"/>
    <w:rsid w:val="009A2254"/>
    <w:rsid w:val="009A30E6"/>
    <w:rsid w:val="009A3418"/>
    <w:rsid w:val="009A5A74"/>
    <w:rsid w:val="009A79B9"/>
    <w:rsid w:val="009B06CF"/>
    <w:rsid w:val="009B09EE"/>
    <w:rsid w:val="009B376C"/>
    <w:rsid w:val="009B391A"/>
    <w:rsid w:val="009B47DE"/>
    <w:rsid w:val="009B68E8"/>
    <w:rsid w:val="009B6B29"/>
    <w:rsid w:val="009B7920"/>
    <w:rsid w:val="009C2DE3"/>
    <w:rsid w:val="009C4CEC"/>
    <w:rsid w:val="009C5596"/>
    <w:rsid w:val="009D2703"/>
    <w:rsid w:val="009D2CDE"/>
    <w:rsid w:val="009D799D"/>
    <w:rsid w:val="009E14D1"/>
    <w:rsid w:val="009F7A7F"/>
    <w:rsid w:val="00A0083F"/>
    <w:rsid w:val="00A013FC"/>
    <w:rsid w:val="00A02FFF"/>
    <w:rsid w:val="00A03083"/>
    <w:rsid w:val="00A064E5"/>
    <w:rsid w:val="00A20CAB"/>
    <w:rsid w:val="00A21D91"/>
    <w:rsid w:val="00A24A0D"/>
    <w:rsid w:val="00A26133"/>
    <w:rsid w:val="00A279F0"/>
    <w:rsid w:val="00A30CAB"/>
    <w:rsid w:val="00A31069"/>
    <w:rsid w:val="00A352A3"/>
    <w:rsid w:val="00A36E3B"/>
    <w:rsid w:val="00A4049F"/>
    <w:rsid w:val="00A4181B"/>
    <w:rsid w:val="00A44061"/>
    <w:rsid w:val="00A4436B"/>
    <w:rsid w:val="00A45DE5"/>
    <w:rsid w:val="00A473C6"/>
    <w:rsid w:val="00A50A50"/>
    <w:rsid w:val="00A50C96"/>
    <w:rsid w:val="00A640B5"/>
    <w:rsid w:val="00A65635"/>
    <w:rsid w:val="00A70381"/>
    <w:rsid w:val="00A7124D"/>
    <w:rsid w:val="00A712FC"/>
    <w:rsid w:val="00A74E13"/>
    <w:rsid w:val="00A7526E"/>
    <w:rsid w:val="00A7732D"/>
    <w:rsid w:val="00A77B71"/>
    <w:rsid w:val="00A82EB7"/>
    <w:rsid w:val="00A848C9"/>
    <w:rsid w:val="00A85246"/>
    <w:rsid w:val="00A856A7"/>
    <w:rsid w:val="00A9107F"/>
    <w:rsid w:val="00AA0F7F"/>
    <w:rsid w:val="00AA644A"/>
    <w:rsid w:val="00AA659B"/>
    <w:rsid w:val="00AA74C5"/>
    <w:rsid w:val="00AB3892"/>
    <w:rsid w:val="00AB7D07"/>
    <w:rsid w:val="00AC1239"/>
    <w:rsid w:val="00AC170F"/>
    <w:rsid w:val="00AC3628"/>
    <w:rsid w:val="00AD2AFB"/>
    <w:rsid w:val="00AD676D"/>
    <w:rsid w:val="00AD6EDC"/>
    <w:rsid w:val="00AE2EEA"/>
    <w:rsid w:val="00AE350C"/>
    <w:rsid w:val="00AF289B"/>
    <w:rsid w:val="00AF2C88"/>
    <w:rsid w:val="00AF4995"/>
    <w:rsid w:val="00AF5798"/>
    <w:rsid w:val="00AF5FCE"/>
    <w:rsid w:val="00AF60A0"/>
    <w:rsid w:val="00B02DCC"/>
    <w:rsid w:val="00B036CE"/>
    <w:rsid w:val="00B13F68"/>
    <w:rsid w:val="00B140FB"/>
    <w:rsid w:val="00B14902"/>
    <w:rsid w:val="00B15FEB"/>
    <w:rsid w:val="00B16403"/>
    <w:rsid w:val="00B17132"/>
    <w:rsid w:val="00B20A8C"/>
    <w:rsid w:val="00B258FF"/>
    <w:rsid w:val="00B26418"/>
    <w:rsid w:val="00B30ABC"/>
    <w:rsid w:val="00B31648"/>
    <w:rsid w:val="00B336AA"/>
    <w:rsid w:val="00B34B54"/>
    <w:rsid w:val="00B376CD"/>
    <w:rsid w:val="00B447BD"/>
    <w:rsid w:val="00B45150"/>
    <w:rsid w:val="00B4541D"/>
    <w:rsid w:val="00B57AD8"/>
    <w:rsid w:val="00B61745"/>
    <w:rsid w:val="00B620D7"/>
    <w:rsid w:val="00B62F0B"/>
    <w:rsid w:val="00B736B8"/>
    <w:rsid w:val="00B7608A"/>
    <w:rsid w:val="00B76A88"/>
    <w:rsid w:val="00B86BDF"/>
    <w:rsid w:val="00B92940"/>
    <w:rsid w:val="00B95CA6"/>
    <w:rsid w:val="00BA74A9"/>
    <w:rsid w:val="00BA781F"/>
    <w:rsid w:val="00BB07C0"/>
    <w:rsid w:val="00BB3597"/>
    <w:rsid w:val="00BB3A71"/>
    <w:rsid w:val="00BB3AC4"/>
    <w:rsid w:val="00BB465C"/>
    <w:rsid w:val="00BC13E1"/>
    <w:rsid w:val="00BC460F"/>
    <w:rsid w:val="00BC5722"/>
    <w:rsid w:val="00BC6ED4"/>
    <w:rsid w:val="00BD068E"/>
    <w:rsid w:val="00BD0940"/>
    <w:rsid w:val="00BD2EC4"/>
    <w:rsid w:val="00BF3CCC"/>
    <w:rsid w:val="00BF7042"/>
    <w:rsid w:val="00BF744C"/>
    <w:rsid w:val="00C00D4D"/>
    <w:rsid w:val="00C03ED0"/>
    <w:rsid w:val="00C0437B"/>
    <w:rsid w:val="00C05EC5"/>
    <w:rsid w:val="00C062F7"/>
    <w:rsid w:val="00C063E4"/>
    <w:rsid w:val="00C07D9F"/>
    <w:rsid w:val="00C13499"/>
    <w:rsid w:val="00C16215"/>
    <w:rsid w:val="00C16B20"/>
    <w:rsid w:val="00C20449"/>
    <w:rsid w:val="00C22909"/>
    <w:rsid w:val="00C23AFE"/>
    <w:rsid w:val="00C23C4D"/>
    <w:rsid w:val="00C243CC"/>
    <w:rsid w:val="00C24B96"/>
    <w:rsid w:val="00C311B9"/>
    <w:rsid w:val="00C31DF2"/>
    <w:rsid w:val="00C33269"/>
    <w:rsid w:val="00C41ABE"/>
    <w:rsid w:val="00C46330"/>
    <w:rsid w:val="00C47A60"/>
    <w:rsid w:val="00C53075"/>
    <w:rsid w:val="00C530B7"/>
    <w:rsid w:val="00C60AD5"/>
    <w:rsid w:val="00C62C3D"/>
    <w:rsid w:val="00C63804"/>
    <w:rsid w:val="00C66F38"/>
    <w:rsid w:val="00C677F2"/>
    <w:rsid w:val="00C75AD9"/>
    <w:rsid w:val="00C77384"/>
    <w:rsid w:val="00C85CCD"/>
    <w:rsid w:val="00C85F4A"/>
    <w:rsid w:val="00C87F9A"/>
    <w:rsid w:val="00C907B2"/>
    <w:rsid w:val="00C97D66"/>
    <w:rsid w:val="00CA0001"/>
    <w:rsid w:val="00CA521E"/>
    <w:rsid w:val="00CB0482"/>
    <w:rsid w:val="00CB2BD8"/>
    <w:rsid w:val="00CB388E"/>
    <w:rsid w:val="00CB3A4C"/>
    <w:rsid w:val="00CB6522"/>
    <w:rsid w:val="00CC0E1A"/>
    <w:rsid w:val="00CD084C"/>
    <w:rsid w:val="00CD0C9D"/>
    <w:rsid w:val="00CD4539"/>
    <w:rsid w:val="00CD6265"/>
    <w:rsid w:val="00CD7581"/>
    <w:rsid w:val="00CE04A8"/>
    <w:rsid w:val="00CE0BAB"/>
    <w:rsid w:val="00CE112A"/>
    <w:rsid w:val="00CE390D"/>
    <w:rsid w:val="00CE4268"/>
    <w:rsid w:val="00CE617B"/>
    <w:rsid w:val="00CE7B4A"/>
    <w:rsid w:val="00D03DFA"/>
    <w:rsid w:val="00D1545D"/>
    <w:rsid w:val="00D167F9"/>
    <w:rsid w:val="00D16D2E"/>
    <w:rsid w:val="00D20D1E"/>
    <w:rsid w:val="00D3073D"/>
    <w:rsid w:val="00D328ED"/>
    <w:rsid w:val="00D342F0"/>
    <w:rsid w:val="00D368D5"/>
    <w:rsid w:val="00D459AD"/>
    <w:rsid w:val="00D463F2"/>
    <w:rsid w:val="00D46413"/>
    <w:rsid w:val="00D559BD"/>
    <w:rsid w:val="00D607A1"/>
    <w:rsid w:val="00D64698"/>
    <w:rsid w:val="00D6553C"/>
    <w:rsid w:val="00D67177"/>
    <w:rsid w:val="00D6728C"/>
    <w:rsid w:val="00D7195A"/>
    <w:rsid w:val="00D742B4"/>
    <w:rsid w:val="00D74FBF"/>
    <w:rsid w:val="00D75FCF"/>
    <w:rsid w:val="00D77446"/>
    <w:rsid w:val="00D7775A"/>
    <w:rsid w:val="00D81034"/>
    <w:rsid w:val="00D82268"/>
    <w:rsid w:val="00D82644"/>
    <w:rsid w:val="00D8310E"/>
    <w:rsid w:val="00D873F3"/>
    <w:rsid w:val="00D92246"/>
    <w:rsid w:val="00D9441E"/>
    <w:rsid w:val="00D955D5"/>
    <w:rsid w:val="00DA207A"/>
    <w:rsid w:val="00DA4CF5"/>
    <w:rsid w:val="00DA5270"/>
    <w:rsid w:val="00DB0006"/>
    <w:rsid w:val="00DB32B7"/>
    <w:rsid w:val="00DC008C"/>
    <w:rsid w:val="00DC2433"/>
    <w:rsid w:val="00DC6236"/>
    <w:rsid w:val="00DC6A3C"/>
    <w:rsid w:val="00DD3E91"/>
    <w:rsid w:val="00DE1333"/>
    <w:rsid w:val="00DE362D"/>
    <w:rsid w:val="00DF0618"/>
    <w:rsid w:val="00DF3AFF"/>
    <w:rsid w:val="00DF3CCC"/>
    <w:rsid w:val="00DF47A1"/>
    <w:rsid w:val="00DF4B98"/>
    <w:rsid w:val="00DF7585"/>
    <w:rsid w:val="00E140B9"/>
    <w:rsid w:val="00E16390"/>
    <w:rsid w:val="00E246FB"/>
    <w:rsid w:val="00E2563B"/>
    <w:rsid w:val="00E35E2F"/>
    <w:rsid w:val="00E369B7"/>
    <w:rsid w:val="00E4199F"/>
    <w:rsid w:val="00E41A2C"/>
    <w:rsid w:val="00E4353B"/>
    <w:rsid w:val="00E462D5"/>
    <w:rsid w:val="00E463A6"/>
    <w:rsid w:val="00E52250"/>
    <w:rsid w:val="00E53953"/>
    <w:rsid w:val="00E541CE"/>
    <w:rsid w:val="00E54AC7"/>
    <w:rsid w:val="00E63659"/>
    <w:rsid w:val="00E657DB"/>
    <w:rsid w:val="00E766CF"/>
    <w:rsid w:val="00E76A46"/>
    <w:rsid w:val="00E76E9F"/>
    <w:rsid w:val="00E77D69"/>
    <w:rsid w:val="00E821F2"/>
    <w:rsid w:val="00E8245B"/>
    <w:rsid w:val="00E91ADD"/>
    <w:rsid w:val="00E95261"/>
    <w:rsid w:val="00E961C7"/>
    <w:rsid w:val="00E96428"/>
    <w:rsid w:val="00EA0BC6"/>
    <w:rsid w:val="00EA2A5B"/>
    <w:rsid w:val="00EA3962"/>
    <w:rsid w:val="00EA7893"/>
    <w:rsid w:val="00EA7A64"/>
    <w:rsid w:val="00EB0678"/>
    <w:rsid w:val="00EB0748"/>
    <w:rsid w:val="00EB1B51"/>
    <w:rsid w:val="00EB2EA4"/>
    <w:rsid w:val="00EB3327"/>
    <w:rsid w:val="00EB6BC4"/>
    <w:rsid w:val="00EC0A9C"/>
    <w:rsid w:val="00EC1F48"/>
    <w:rsid w:val="00EC1FCF"/>
    <w:rsid w:val="00EC2235"/>
    <w:rsid w:val="00EC36A9"/>
    <w:rsid w:val="00EC75AC"/>
    <w:rsid w:val="00ED1CD3"/>
    <w:rsid w:val="00ED1F3B"/>
    <w:rsid w:val="00ED3E56"/>
    <w:rsid w:val="00ED6114"/>
    <w:rsid w:val="00ED6FE5"/>
    <w:rsid w:val="00ED74B2"/>
    <w:rsid w:val="00ED78F5"/>
    <w:rsid w:val="00EE07AA"/>
    <w:rsid w:val="00EE0DC2"/>
    <w:rsid w:val="00EE6229"/>
    <w:rsid w:val="00EE6275"/>
    <w:rsid w:val="00EE64F7"/>
    <w:rsid w:val="00EE6EAD"/>
    <w:rsid w:val="00EF1123"/>
    <w:rsid w:val="00EF1CEE"/>
    <w:rsid w:val="00EF2E0C"/>
    <w:rsid w:val="00EF6478"/>
    <w:rsid w:val="00F00085"/>
    <w:rsid w:val="00F00326"/>
    <w:rsid w:val="00F00C71"/>
    <w:rsid w:val="00F01519"/>
    <w:rsid w:val="00F0286B"/>
    <w:rsid w:val="00F06A77"/>
    <w:rsid w:val="00F1075D"/>
    <w:rsid w:val="00F1212D"/>
    <w:rsid w:val="00F14177"/>
    <w:rsid w:val="00F14221"/>
    <w:rsid w:val="00F21506"/>
    <w:rsid w:val="00F250F2"/>
    <w:rsid w:val="00F255DF"/>
    <w:rsid w:val="00F2620C"/>
    <w:rsid w:val="00F27A71"/>
    <w:rsid w:val="00F33C60"/>
    <w:rsid w:val="00F36172"/>
    <w:rsid w:val="00F371CA"/>
    <w:rsid w:val="00F47C64"/>
    <w:rsid w:val="00F50406"/>
    <w:rsid w:val="00F5241A"/>
    <w:rsid w:val="00F569DA"/>
    <w:rsid w:val="00F56BE6"/>
    <w:rsid w:val="00F60373"/>
    <w:rsid w:val="00F60403"/>
    <w:rsid w:val="00F61B65"/>
    <w:rsid w:val="00F642B7"/>
    <w:rsid w:val="00F650F3"/>
    <w:rsid w:val="00F65D16"/>
    <w:rsid w:val="00F724AC"/>
    <w:rsid w:val="00F73721"/>
    <w:rsid w:val="00F74CBD"/>
    <w:rsid w:val="00F761D2"/>
    <w:rsid w:val="00F84A18"/>
    <w:rsid w:val="00F9008C"/>
    <w:rsid w:val="00F90252"/>
    <w:rsid w:val="00F952A7"/>
    <w:rsid w:val="00F96502"/>
    <w:rsid w:val="00FA0B29"/>
    <w:rsid w:val="00FA3D37"/>
    <w:rsid w:val="00FB125F"/>
    <w:rsid w:val="00FB2804"/>
    <w:rsid w:val="00FB661E"/>
    <w:rsid w:val="00FB6E6D"/>
    <w:rsid w:val="00FB6FDA"/>
    <w:rsid w:val="00FC11DD"/>
    <w:rsid w:val="00FD0EA3"/>
    <w:rsid w:val="00FD17B1"/>
    <w:rsid w:val="00FD41B8"/>
    <w:rsid w:val="00FD5386"/>
    <w:rsid w:val="00FD6B0D"/>
    <w:rsid w:val="00FE329A"/>
    <w:rsid w:val="00FE6F68"/>
    <w:rsid w:val="00FF11EB"/>
    <w:rsid w:val="00FF4931"/>
    <w:rsid w:val="00FF4C72"/>
    <w:rsid w:val="00FF4D84"/>
    <w:rsid w:val="00FF77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55FC"/>
    <w:pPr>
      <w:tabs>
        <w:tab w:val="left" w:pos="567"/>
      </w:tabs>
      <w:spacing w:line="260" w:lineRule="exact"/>
    </w:pPr>
    <w:rPr>
      <w:sz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MEAEnBodyText">
    <w:name w:val="EMEA En Body Text"/>
    <w:basedOn w:val="Normlny"/>
    <w:uiPriority w:val="99"/>
    <w:rsid w:val="005455FC"/>
    <w:pPr>
      <w:tabs>
        <w:tab w:val="clear" w:pos="567"/>
      </w:tabs>
      <w:spacing w:before="120" w:after="120" w:line="240" w:lineRule="auto"/>
      <w:jc w:val="both"/>
    </w:pPr>
    <w:rPr>
      <w:lang w:val="en-US"/>
    </w:rPr>
  </w:style>
  <w:style w:type="character" w:styleId="Hypertextovprepojenie">
    <w:name w:val="Hyperlink"/>
    <w:uiPriority w:val="99"/>
    <w:rsid w:val="005455FC"/>
    <w:rPr>
      <w:color w:val="0000FF"/>
      <w:u w:val="single"/>
    </w:rPr>
  </w:style>
  <w:style w:type="paragraph" w:styleId="Hlavika">
    <w:name w:val="header"/>
    <w:basedOn w:val="Normlny"/>
    <w:link w:val="HlavikaChar"/>
    <w:uiPriority w:val="99"/>
    <w:rsid w:val="005455FC"/>
    <w:pPr>
      <w:tabs>
        <w:tab w:val="clear" w:pos="567"/>
        <w:tab w:val="center" w:pos="4536"/>
        <w:tab w:val="right" w:pos="9072"/>
      </w:tabs>
    </w:pPr>
  </w:style>
  <w:style w:type="paragraph" w:styleId="Pta">
    <w:name w:val="footer"/>
    <w:basedOn w:val="Normlny"/>
    <w:link w:val="PtaChar"/>
    <w:uiPriority w:val="99"/>
    <w:rsid w:val="005455FC"/>
    <w:pPr>
      <w:tabs>
        <w:tab w:val="clear" w:pos="567"/>
        <w:tab w:val="center" w:pos="4536"/>
        <w:tab w:val="right" w:pos="9072"/>
      </w:tabs>
    </w:pPr>
  </w:style>
  <w:style w:type="character" w:styleId="slostrany">
    <w:name w:val="page number"/>
    <w:basedOn w:val="Predvolenpsmoodseku"/>
    <w:uiPriority w:val="99"/>
    <w:rsid w:val="005455FC"/>
  </w:style>
  <w:style w:type="paragraph" w:styleId="Podtitul">
    <w:name w:val="Subtitle"/>
    <w:basedOn w:val="Normlny"/>
    <w:link w:val="PodtitulChar"/>
    <w:uiPriority w:val="99"/>
    <w:qFormat/>
    <w:rsid w:val="005455FC"/>
    <w:pPr>
      <w:tabs>
        <w:tab w:val="clear" w:pos="567"/>
      </w:tabs>
      <w:spacing w:line="240" w:lineRule="auto"/>
      <w:jc w:val="both"/>
    </w:pPr>
    <w:rPr>
      <w:rFonts w:ascii="Arial" w:hAnsi="Arial"/>
      <w:b/>
      <w:lang w:val="de-DE" w:eastAsia="de-DE"/>
    </w:rPr>
  </w:style>
  <w:style w:type="paragraph" w:styleId="Zkladntext">
    <w:name w:val="Body Text"/>
    <w:basedOn w:val="Normlny"/>
    <w:link w:val="ZkladntextChar"/>
    <w:uiPriority w:val="99"/>
    <w:rsid w:val="005455FC"/>
    <w:pPr>
      <w:tabs>
        <w:tab w:val="clear" w:pos="567"/>
      </w:tabs>
      <w:spacing w:after="120" w:line="240" w:lineRule="auto"/>
    </w:pPr>
    <w:rPr>
      <w:rFonts w:ascii="Arial" w:hAnsi="Arial"/>
      <w:sz w:val="28"/>
      <w:lang w:val="de-DE" w:eastAsia="de-DE"/>
    </w:rPr>
  </w:style>
  <w:style w:type="paragraph" w:styleId="Textbubliny">
    <w:name w:val="Balloon Text"/>
    <w:basedOn w:val="Normlny"/>
    <w:link w:val="TextbublinyChar"/>
    <w:uiPriority w:val="99"/>
    <w:semiHidden/>
    <w:unhideWhenUsed/>
    <w:rsid w:val="00EA0BC6"/>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5F3501"/>
    <w:rPr>
      <w:rFonts w:ascii="Tahoma" w:hAnsi="Tahoma" w:cs="Tahoma"/>
      <w:sz w:val="16"/>
      <w:szCs w:val="16"/>
      <w:lang w:val="en-GB"/>
    </w:rPr>
  </w:style>
  <w:style w:type="character" w:styleId="Odkaznakomentr">
    <w:name w:val="annotation reference"/>
    <w:uiPriority w:val="99"/>
    <w:unhideWhenUsed/>
    <w:rsid w:val="00EA0BC6"/>
    <w:rPr>
      <w:sz w:val="16"/>
      <w:szCs w:val="16"/>
    </w:rPr>
  </w:style>
  <w:style w:type="paragraph" w:styleId="Textkomentra">
    <w:name w:val="annotation text"/>
    <w:basedOn w:val="Normlny"/>
    <w:link w:val="TextkomentraChar"/>
    <w:uiPriority w:val="99"/>
    <w:unhideWhenUsed/>
    <w:rsid w:val="00EA0BC6"/>
    <w:rPr>
      <w:sz w:val="20"/>
    </w:rPr>
  </w:style>
  <w:style w:type="character" w:customStyle="1" w:styleId="TextkomentraChar">
    <w:name w:val="Text komentára Char"/>
    <w:link w:val="Textkomentra"/>
    <w:uiPriority w:val="99"/>
    <w:rsid w:val="006C3A1E"/>
    <w:rPr>
      <w:lang w:val="en-GB"/>
    </w:rPr>
  </w:style>
  <w:style w:type="paragraph" w:styleId="Predmetkomentra">
    <w:name w:val="annotation subject"/>
    <w:basedOn w:val="Textkomentra"/>
    <w:next w:val="Textkomentra"/>
    <w:link w:val="PredmetkomentraChar"/>
    <w:uiPriority w:val="99"/>
    <w:semiHidden/>
    <w:unhideWhenUsed/>
    <w:rsid w:val="00EA0BC6"/>
    <w:rPr>
      <w:b/>
      <w:bCs/>
    </w:rPr>
  </w:style>
  <w:style w:type="character" w:customStyle="1" w:styleId="PredmetkomentraChar">
    <w:name w:val="Predmet komentára Char"/>
    <w:link w:val="Predmetkomentra"/>
    <w:uiPriority w:val="99"/>
    <w:semiHidden/>
    <w:rsid w:val="006C3A1E"/>
    <w:rPr>
      <w:b/>
      <w:bCs/>
      <w:lang w:val="en-GB"/>
    </w:rPr>
  </w:style>
  <w:style w:type="paragraph" w:styleId="Normlnywebov">
    <w:name w:val="Normal (Web)"/>
    <w:basedOn w:val="Normlny"/>
    <w:uiPriority w:val="99"/>
    <w:semiHidden/>
    <w:unhideWhenUsed/>
    <w:rsid w:val="00EA0BC6"/>
    <w:pPr>
      <w:tabs>
        <w:tab w:val="clear" w:pos="567"/>
      </w:tabs>
      <w:spacing w:before="100" w:beforeAutospacing="1" w:after="75" w:line="240" w:lineRule="auto"/>
    </w:pPr>
    <w:rPr>
      <w:color w:val="000000"/>
      <w:sz w:val="24"/>
      <w:szCs w:val="24"/>
      <w:lang w:val="en-US"/>
    </w:rPr>
  </w:style>
  <w:style w:type="paragraph" w:customStyle="1" w:styleId="Default">
    <w:name w:val="Default"/>
    <w:uiPriority w:val="99"/>
    <w:rsid w:val="005B6D54"/>
    <w:pPr>
      <w:autoSpaceDE w:val="0"/>
      <w:autoSpaceDN w:val="0"/>
      <w:adjustRightInd w:val="0"/>
    </w:pPr>
    <w:rPr>
      <w:rFonts w:eastAsia="Calibri"/>
      <w:color w:val="000000"/>
      <w:sz w:val="24"/>
      <w:szCs w:val="24"/>
    </w:rPr>
  </w:style>
  <w:style w:type="paragraph" w:styleId="Revzia">
    <w:name w:val="Revision"/>
    <w:hidden/>
    <w:uiPriority w:val="99"/>
    <w:semiHidden/>
    <w:rsid w:val="00464ACD"/>
    <w:rPr>
      <w:sz w:val="22"/>
      <w:lang w:val="en-GB"/>
    </w:rPr>
  </w:style>
  <w:style w:type="paragraph" w:styleId="Odsekzoznamu">
    <w:name w:val="List Paragraph"/>
    <w:basedOn w:val="Normlny"/>
    <w:uiPriority w:val="99"/>
    <w:qFormat/>
    <w:rsid w:val="00674A9D"/>
    <w:pPr>
      <w:ind w:left="720"/>
      <w:contextualSpacing/>
    </w:pPr>
  </w:style>
  <w:style w:type="character" w:customStyle="1" w:styleId="ZkladntextChar">
    <w:name w:val="Základný text Char"/>
    <w:link w:val="Zkladntext"/>
    <w:uiPriority w:val="99"/>
    <w:locked/>
    <w:rsid w:val="00F73721"/>
    <w:rPr>
      <w:rFonts w:ascii="Arial" w:hAnsi="Arial"/>
      <w:sz w:val="28"/>
      <w:lang w:val="de-DE" w:eastAsia="de-DE"/>
    </w:rPr>
  </w:style>
  <w:style w:type="character" w:customStyle="1" w:styleId="shorttext">
    <w:name w:val="short_text"/>
    <w:rsid w:val="00844011"/>
  </w:style>
  <w:style w:type="character" w:customStyle="1" w:styleId="HlavikaChar">
    <w:name w:val="Hlavička Char"/>
    <w:link w:val="Hlavika"/>
    <w:uiPriority w:val="99"/>
    <w:locked/>
    <w:rsid w:val="00EA0BC6"/>
    <w:rPr>
      <w:sz w:val="22"/>
      <w:lang w:val="en-GB"/>
    </w:rPr>
  </w:style>
  <w:style w:type="character" w:customStyle="1" w:styleId="PtaChar">
    <w:name w:val="Päta Char"/>
    <w:link w:val="Pta"/>
    <w:uiPriority w:val="99"/>
    <w:locked/>
    <w:rsid w:val="00EA0BC6"/>
    <w:rPr>
      <w:sz w:val="22"/>
      <w:lang w:val="en-GB"/>
    </w:rPr>
  </w:style>
  <w:style w:type="character" w:customStyle="1" w:styleId="PodtitulChar">
    <w:name w:val="Podtitul Char"/>
    <w:link w:val="Podtitul"/>
    <w:uiPriority w:val="99"/>
    <w:locked/>
    <w:rsid w:val="00EA0BC6"/>
    <w:rPr>
      <w:rFonts w:ascii="Arial" w:hAnsi="Arial"/>
      <w:b/>
      <w:sz w:val="22"/>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55FC"/>
    <w:pPr>
      <w:tabs>
        <w:tab w:val="left" w:pos="567"/>
      </w:tabs>
      <w:spacing w:line="260" w:lineRule="exact"/>
    </w:pPr>
    <w:rPr>
      <w:sz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MEAEnBodyText">
    <w:name w:val="EMEA En Body Text"/>
    <w:basedOn w:val="Normlny"/>
    <w:uiPriority w:val="99"/>
    <w:rsid w:val="005455FC"/>
    <w:pPr>
      <w:tabs>
        <w:tab w:val="clear" w:pos="567"/>
      </w:tabs>
      <w:spacing w:before="120" w:after="120" w:line="240" w:lineRule="auto"/>
      <w:jc w:val="both"/>
    </w:pPr>
    <w:rPr>
      <w:lang w:val="en-US"/>
    </w:rPr>
  </w:style>
  <w:style w:type="character" w:styleId="Hypertextovprepojenie">
    <w:name w:val="Hyperlink"/>
    <w:uiPriority w:val="99"/>
    <w:rsid w:val="005455FC"/>
    <w:rPr>
      <w:color w:val="0000FF"/>
      <w:u w:val="single"/>
    </w:rPr>
  </w:style>
  <w:style w:type="paragraph" w:styleId="Hlavika">
    <w:name w:val="header"/>
    <w:basedOn w:val="Normlny"/>
    <w:link w:val="HlavikaChar"/>
    <w:uiPriority w:val="99"/>
    <w:rsid w:val="005455FC"/>
    <w:pPr>
      <w:tabs>
        <w:tab w:val="clear" w:pos="567"/>
        <w:tab w:val="center" w:pos="4536"/>
        <w:tab w:val="right" w:pos="9072"/>
      </w:tabs>
    </w:pPr>
  </w:style>
  <w:style w:type="paragraph" w:styleId="Pta">
    <w:name w:val="footer"/>
    <w:basedOn w:val="Normlny"/>
    <w:link w:val="PtaChar"/>
    <w:uiPriority w:val="99"/>
    <w:rsid w:val="005455FC"/>
    <w:pPr>
      <w:tabs>
        <w:tab w:val="clear" w:pos="567"/>
        <w:tab w:val="center" w:pos="4536"/>
        <w:tab w:val="right" w:pos="9072"/>
      </w:tabs>
    </w:pPr>
  </w:style>
  <w:style w:type="character" w:styleId="slostrany">
    <w:name w:val="page number"/>
    <w:basedOn w:val="Predvolenpsmoodseku"/>
    <w:uiPriority w:val="99"/>
    <w:rsid w:val="005455FC"/>
  </w:style>
  <w:style w:type="paragraph" w:styleId="Podtitul">
    <w:name w:val="Subtitle"/>
    <w:basedOn w:val="Normlny"/>
    <w:link w:val="PodtitulChar"/>
    <w:uiPriority w:val="99"/>
    <w:qFormat/>
    <w:rsid w:val="005455FC"/>
    <w:pPr>
      <w:tabs>
        <w:tab w:val="clear" w:pos="567"/>
      </w:tabs>
      <w:spacing w:line="240" w:lineRule="auto"/>
      <w:jc w:val="both"/>
    </w:pPr>
    <w:rPr>
      <w:rFonts w:ascii="Arial" w:hAnsi="Arial"/>
      <w:b/>
      <w:lang w:val="de-DE" w:eastAsia="de-DE"/>
    </w:rPr>
  </w:style>
  <w:style w:type="paragraph" w:styleId="Zkladntext">
    <w:name w:val="Body Text"/>
    <w:basedOn w:val="Normlny"/>
    <w:link w:val="ZkladntextChar"/>
    <w:uiPriority w:val="99"/>
    <w:rsid w:val="005455FC"/>
    <w:pPr>
      <w:tabs>
        <w:tab w:val="clear" w:pos="567"/>
      </w:tabs>
      <w:spacing w:after="120" w:line="240" w:lineRule="auto"/>
    </w:pPr>
    <w:rPr>
      <w:rFonts w:ascii="Arial" w:hAnsi="Arial"/>
      <w:sz w:val="28"/>
      <w:lang w:val="de-DE" w:eastAsia="de-DE"/>
    </w:rPr>
  </w:style>
  <w:style w:type="paragraph" w:styleId="Textbubliny">
    <w:name w:val="Balloon Text"/>
    <w:basedOn w:val="Normlny"/>
    <w:link w:val="TextbublinyChar"/>
    <w:uiPriority w:val="99"/>
    <w:semiHidden/>
    <w:unhideWhenUsed/>
    <w:rsid w:val="00EA0BC6"/>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5F3501"/>
    <w:rPr>
      <w:rFonts w:ascii="Tahoma" w:hAnsi="Tahoma" w:cs="Tahoma"/>
      <w:sz w:val="16"/>
      <w:szCs w:val="16"/>
      <w:lang w:val="en-GB"/>
    </w:rPr>
  </w:style>
  <w:style w:type="character" w:styleId="Odkaznakomentr">
    <w:name w:val="annotation reference"/>
    <w:uiPriority w:val="99"/>
    <w:unhideWhenUsed/>
    <w:rsid w:val="00EA0BC6"/>
    <w:rPr>
      <w:sz w:val="16"/>
      <w:szCs w:val="16"/>
    </w:rPr>
  </w:style>
  <w:style w:type="paragraph" w:styleId="Textkomentra">
    <w:name w:val="annotation text"/>
    <w:basedOn w:val="Normlny"/>
    <w:link w:val="TextkomentraChar"/>
    <w:uiPriority w:val="99"/>
    <w:unhideWhenUsed/>
    <w:rsid w:val="00EA0BC6"/>
    <w:rPr>
      <w:sz w:val="20"/>
    </w:rPr>
  </w:style>
  <w:style w:type="character" w:customStyle="1" w:styleId="TextkomentraChar">
    <w:name w:val="Text komentára Char"/>
    <w:link w:val="Textkomentra"/>
    <w:uiPriority w:val="99"/>
    <w:rsid w:val="006C3A1E"/>
    <w:rPr>
      <w:lang w:val="en-GB"/>
    </w:rPr>
  </w:style>
  <w:style w:type="paragraph" w:styleId="Predmetkomentra">
    <w:name w:val="annotation subject"/>
    <w:basedOn w:val="Textkomentra"/>
    <w:next w:val="Textkomentra"/>
    <w:link w:val="PredmetkomentraChar"/>
    <w:uiPriority w:val="99"/>
    <w:semiHidden/>
    <w:unhideWhenUsed/>
    <w:rsid w:val="00EA0BC6"/>
    <w:rPr>
      <w:b/>
      <w:bCs/>
    </w:rPr>
  </w:style>
  <w:style w:type="character" w:customStyle="1" w:styleId="PredmetkomentraChar">
    <w:name w:val="Predmet komentára Char"/>
    <w:link w:val="Predmetkomentra"/>
    <w:uiPriority w:val="99"/>
    <w:semiHidden/>
    <w:rsid w:val="006C3A1E"/>
    <w:rPr>
      <w:b/>
      <w:bCs/>
      <w:lang w:val="en-GB"/>
    </w:rPr>
  </w:style>
  <w:style w:type="paragraph" w:styleId="Normlnywebov">
    <w:name w:val="Normal (Web)"/>
    <w:basedOn w:val="Normlny"/>
    <w:uiPriority w:val="99"/>
    <w:semiHidden/>
    <w:unhideWhenUsed/>
    <w:rsid w:val="00EA0BC6"/>
    <w:pPr>
      <w:tabs>
        <w:tab w:val="clear" w:pos="567"/>
      </w:tabs>
      <w:spacing w:before="100" w:beforeAutospacing="1" w:after="75" w:line="240" w:lineRule="auto"/>
    </w:pPr>
    <w:rPr>
      <w:color w:val="000000"/>
      <w:sz w:val="24"/>
      <w:szCs w:val="24"/>
      <w:lang w:val="en-US"/>
    </w:rPr>
  </w:style>
  <w:style w:type="paragraph" w:customStyle="1" w:styleId="Default">
    <w:name w:val="Default"/>
    <w:uiPriority w:val="99"/>
    <w:rsid w:val="005B6D54"/>
    <w:pPr>
      <w:autoSpaceDE w:val="0"/>
      <w:autoSpaceDN w:val="0"/>
      <w:adjustRightInd w:val="0"/>
    </w:pPr>
    <w:rPr>
      <w:rFonts w:eastAsia="Calibri"/>
      <w:color w:val="000000"/>
      <w:sz w:val="24"/>
      <w:szCs w:val="24"/>
    </w:rPr>
  </w:style>
  <w:style w:type="paragraph" w:styleId="Revzia">
    <w:name w:val="Revision"/>
    <w:hidden/>
    <w:uiPriority w:val="99"/>
    <w:semiHidden/>
    <w:rsid w:val="00464ACD"/>
    <w:rPr>
      <w:sz w:val="22"/>
      <w:lang w:val="en-GB"/>
    </w:rPr>
  </w:style>
  <w:style w:type="paragraph" w:styleId="Odsekzoznamu">
    <w:name w:val="List Paragraph"/>
    <w:basedOn w:val="Normlny"/>
    <w:uiPriority w:val="99"/>
    <w:qFormat/>
    <w:rsid w:val="00674A9D"/>
    <w:pPr>
      <w:ind w:left="720"/>
      <w:contextualSpacing/>
    </w:pPr>
  </w:style>
  <w:style w:type="character" w:customStyle="1" w:styleId="ZkladntextChar">
    <w:name w:val="Základný text Char"/>
    <w:link w:val="Zkladntext"/>
    <w:uiPriority w:val="99"/>
    <w:locked/>
    <w:rsid w:val="00F73721"/>
    <w:rPr>
      <w:rFonts w:ascii="Arial" w:hAnsi="Arial"/>
      <w:sz w:val="28"/>
      <w:lang w:val="de-DE" w:eastAsia="de-DE"/>
    </w:rPr>
  </w:style>
  <w:style w:type="character" w:customStyle="1" w:styleId="shorttext">
    <w:name w:val="short_text"/>
    <w:rsid w:val="00844011"/>
  </w:style>
  <w:style w:type="character" w:customStyle="1" w:styleId="HlavikaChar">
    <w:name w:val="Hlavička Char"/>
    <w:link w:val="Hlavika"/>
    <w:uiPriority w:val="99"/>
    <w:locked/>
    <w:rsid w:val="00EA0BC6"/>
    <w:rPr>
      <w:sz w:val="22"/>
      <w:lang w:val="en-GB"/>
    </w:rPr>
  </w:style>
  <w:style w:type="character" w:customStyle="1" w:styleId="PtaChar">
    <w:name w:val="Päta Char"/>
    <w:link w:val="Pta"/>
    <w:uiPriority w:val="99"/>
    <w:locked/>
    <w:rsid w:val="00EA0BC6"/>
    <w:rPr>
      <w:sz w:val="22"/>
      <w:lang w:val="en-GB"/>
    </w:rPr>
  </w:style>
  <w:style w:type="character" w:customStyle="1" w:styleId="PodtitulChar">
    <w:name w:val="Podtitul Char"/>
    <w:link w:val="Podtitul"/>
    <w:uiPriority w:val="99"/>
    <w:locked/>
    <w:rsid w:val="00EA0BC6"/>
    <w:rPr>
      <w:rFonts w:ascii="Arial" w:hAnsi="Arial"/>
      <w:b/>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9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AD92D-9C5C-4761-81FC-411EA057A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5632</Words>
  <Characters>32103</Characters>
  <Application>Microsoft Office Word</Application>
  <DocSecurity>0</DocSecurity>
  <Lines>267</Lines>
  <Paragraphs>75</Paragraphs>
  <ScaleCrop>false</ScaleCrop>
  <HeadingPairs>
    <vt:vector size="10" baseType="variant">
      <vt:variant>
        <vt:lpstr>Názov</vt:lpstr>
      </vt:variant>
      <vt:variant>
        <vt:i4>1</vt:i4>
      </vt:variant>
      <vt:variant>
        <vt:lpstr>Název</vt:lpstr>
      </vt:variant>
      <vt:variant>
        <vt:i4>1</vt:i4>
      </vt:variant>
      <vt:variant>
        <vt:lpstr>Titel</vt:lpstr>
      </vt:variant>
      <vt:variant>
        <vt:i4>1</vt:i4>
      </vt:variant>
      <vt:variant>
        <vt:lpstr>Überschriften</vt:lpstr>
      </vt:variant>
      <vt:variant>
        <vt:i4>26</vt:i4>
      </vt:variant>
      <vt:variant>
        <vt:lpstr>Title</vt:lpstr>
      </vt:variant>
      <vt:variant>
        <vt:i4>1</vt:i4>
      </vt:variant>
    </vt:vector>
  </HeadingPairs>
  <TitlesOfParts>
    <vt:vector size="30" baseType="lpstr">
      <vt:lpstr>1</vt:lpstr>
      <vt:lpstr>1</vt:lpstr>
      <vt:lpstr>1</vt:lpstr>
      <vt:lpstr/>
      <vt:lpstr>4.1	Terapeutické indikácie</vt:lpstr>
      <vt:lpstr>Dávkovanie a spôsob podávania</vt:lpstr>
      <vt:lpstr>4.4	Osobitné upozornenia a  opatrenia pri používaní</vt:lpstr>
      <vt:lpstr/>
      <vt:lpstr>4.5	Liekové a  iné interakcie</vt:lpstr>
      <vt:lpstr/>
      <vt:lpstr/>
      <vt:lpstr/>
      <vt:lpstr/>
      <vt:lpstr>4.6	Fertilita, gravidita a  laktácia</vt:lpstr>
      <vt:lpstr>4.7	Ovplyvnenie schopnosti viesť motorové vozidlá a obsluhovať stroje</vt:lpstr>
      <vt:lpstr>Nežiaduce účinky</vt:lpstr>
      <vt:lpstr>Predávkovanie</vt:lpstr>
      <vt:lpstr/>
      <vt:lpstr/>
      <vt:lpstr>5.1 	Farmakodynamické vlastnosti</vt:lpstr>
      <vt:lpstr>Farmakokinetické vlastnosti</vt:lpstr>
      <vt:lpstr>5.3	Predklinické údaje o bezpečnosti</vt:lpstr>
      <vt:lpstr>6.1	Zoznam pomocných látok</vt:lpstr>
      <vt:lpstr>6.2	Inkompatibility</vt:lpstr>
      <vt:lpstr>6.3	Čas použiteľnosti</vt:lpstr>
      <vt:lpstr>6.4	UpozornenieŠpeciálne upozornenia na podmienky a spôsob uchovávaniauchovávani</vt:lpstr>
      <vt:lpstr>Druh obalu a obsah balenia</vt:lpstr>
      <vt:lpstr>6.6	Upozornenie ohľadom likvidácie</vt:lpstr>
      <vt:lpstr>6.6	Špeciálne opatrenia na likvidáciu</vt:lpstr>
      <vt:lpstr>1</vt:lpstr>
    </vt:vector>
  </TitlesOfParts>
  <Company>G.L. Pharma</Company>
  <LinksUpToDate>false</LinksUpToDate>
  <CharactersWithSpaces>37660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Zuzana Humajová</dc:creator>
  <dc:description>DS: Bearbeitung LoD August 2016,</dc:description>
  <cp:lastModifiedBy>Uhnáková Milota</cp:lastModifiedBy>
  <cp:revision>2</cp:revision>
  <cp:lastPrinted>2017-08-16T07:52:00Z</cp:lastPrinted>
  <dcterms:created xsi:type="dcterms:W3CDTF">2019-10-02T07:56:00Z</dcterms:created>
  <dcterms:modified xsi:type="dcterms:W3CDTF">2019-10-02T07:56:00Z</dcterms:modified>
</cp:coreProperties>
</file>