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81" w:rsidRPr="00C84381" w:rsidRDefault="00C84381" w:rsidP="0081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>SÚHRN CHARAKTERISTICKÝCH VLASTNOSTÍ LIEKU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1. </w:t>
      </w:r>
      <w:r w:rsidRPr="00843064">
        <w:rPr>
          <w:rFonts w:ascii="Times New Roman" w:hAnsi="Times New Roman"/>
          <w:b/>
          <w:bCs/>
          <w:color w:val="000000"/>
        </w:rPr>
        <w:tab/>
        <w:t>NÁZOV LIEKU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Duloxetin</w:t>
      </w:r>
      <w:r w:rsidR="00810B0A" w:rsidRPr="00843064">
        <w:rPr>
          <w:rFonts w:ascii="Times New Roman" w:hAnsi="Times New Roman"/>
          <w:color w:val="000000"/>
        </w:rPr>
        <w:t xml:space="preserve"> </w:t>
      </w:r>
      <w:r w:rsidR="00843064" w:rsidRPr="00843064">
        <w:rPr>
          <w:rFonts w:ascii="Times New Roman" w:hAnsi="Times New Roman"/>
          <w:color w:val="000000"/>
        </w:rPr>
        <w:t>Stada</w:t>
      </w:r>
      <w:r w:rsidR="00810B0A" w:rsidRPr="00843064">
        <w:rPr>
          <w:rFonts w:ascii="Times New Roman" w:hAnsi="Times New Roman"/>
          <w:color w:val="000000"/>
        </w:rPr>
        <w:t xml:space="preserve"> </w:t>
      </w:r>
      <w:r w:rsidR="00843064" w:rsidRPr="00843064">
        <w:rPr>
          <w:rFonts w:ascii="Times New Roman" w:hAnsi="Times New Roman"/>
          <w:color w:val="000000"/>
        </w:rPr>
        <w:t>6</w:t>
      </w:r>
      <w:r w:rsidR="00810B0A" w:rsidRPr="00843064">
        <w:rPr>
          <w:rFonts w:ascii="Times New Roman" w:hAnsi="Times New Roman"/>
          <w:color w:val="000000"/>
        </w:rPr>
        <w:t>0 mg tvrdé gastrorezistentné kapsuly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2. </w:t>
      </w:r>
      <w:r w:rsidRPr="00843064">
        <w:rPr>
          <w:rFonts w:ascii="Times New Roman" w:hAnsi="Times New Roman"/>
          <w:b/>
          <w:bCs/>
          <w:color w:val="000000"/>
        </w:rPr>
        <w:tab/>
        <w:t>KVALITATÍVNE A KVANTITATÍVNE ZLOŽENIE</w:t>
      </w:r>
    </w:p>
    <w:p w:rsidR="00843064" w:rsidRPr="00A826D7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 xml:space="preserve">Každá </w:t>
      </w:r>
      <w:r w:rsidR="00B95F39" w:rsidRPr="00C84381">
        <w:rPr>
          <w:rFonts w:ascii="Times New Roman" w:hAnsi="Times New Roman"/>
          <w:color w:val="000000"/>
        </w:rPr>
        <w:t xml:space="preserve">tvrdá </w:t>
      </w:r>
      <w:r w:rsidRPr="00C84381">
        <w:rPr>
          <w:rFonts w:ascii="Times New Roman" w:hAnsi="Times New Roman"/>
          <w:color w:val="000000"/>
        </w:rPr>
        <w:t>gastrorezistentná</w:t>
      </w:r>
      <w:r w:rsidR="00810B0A" w:rsidRPr="00C84381">
        <w:rPr>
          <w:rFonts w:ascii="Times New Roman" w:hAnsi="Times New Roman"/>
          <w:color w:val="000000"/>
        </w:rPr>
        <w:t xml:space="preserve"> kapsula obsahuje </w:t>
      </w:r>
      <w:r w:rsidRPr="00C84381">
        <w:rPr>
          <w:rFonts w:ascii="Times New Roman" w:hAnsi="Times New Roman"/>
          <w:color w:val="000000"/>
        </w:rPr>
        <w:t>6</w:t>
      </w:r>
      <w:r w:rsidR="00810B0A" w:rsidRPr="00C84381">
        <w:rPr>
          <w:rFonts w:ascii="Times New Roman" w:hAnsi="Times New Roman"/>
          <w:color w:val="000000"/>
        </w:rPr>
        <w:t>0 mg duloxetínu (vo forme chloridu).</w:t>
      </w:r>
    </w:p>
    <w:p w:rsidR="00843064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C84381">
        <w:rPr>
          <w:rFonts w:ascii="Times New Roman" w:hAnsi="Times New Roman"/>
          <w:color w:val="000000"/>
          <w:u w:val="single"/>
        </w:rPr>
        <w:t>Pomocná látka so známym účinkom</w:t>
      </w:r>
    </w:p>
    <w:p w:rsidR="00810B0A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 xml:space="preserve">Každá </w:t>
      </w:r>
      <w:r w:rsidR="00B95F39" w:rsidRPr="00C84381">
        <w:rPr>
          <w:rFonts w:ascii="Times New Roman" w:hAnsi="Times New Roman"/>
          <w:color w:val="000000"/>
        </w:rPr>
        <w:t xml:space="preserve">tvrdá </w:t>
      </w:r>
      <w:r w:rsidRPr="00C84381">
        <w:rPr>
          <w:rFonts w:ascii="Times New Roman" w:hAnsi="Times New Roman"/>
          <w:color w:val="000000"/>
        </w:rPr>
        <w:t>gastrorezistentná</w:t>
      </w:r>
      <w:r w:rsidR="00810B0A" w:rsidRPr="00C84381">
        <w:rPr>
          <w:rFonts w:ascii="Times New Roman" w:hAnsi="Times New Roman"/>
          <w:color w:val="000000"/>
        </w:rPr>
        <w:t xml:space="preserve"> kapsula obsahuje </w:t>
      </w:r>
      <w:r w:rsidRPr="00C84381">
        <w:rPr>
          <w:rFonts w:ascii="Times New Roman" w:hAnsi="Times New Roman"/>
          <w:color w:val="000000"/>
        </w:rPr>
        <w:t>132</w:t>
      </w:r>
      <w:r w:rsidR="00810B0A" w:rsidRPr="00C84381">
        <w:rPr>
          <w:rFonts w:ascii="Times New Roman" w:hAnsi="Times New Roman"/>
          <w:color w:val="000000"/>
        </w:rPr>
        <w:t xml:space="preserve"> mg sacharózy.</w:t>
      </w:r>
    </w:p>
    <w:p w:rsidR="00843064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>Úplný zoznam pomocných látok, pozri časť 6.1.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3. </w:t>
      </w:r>
      <w:r w:rsidRPr="00843064">
        <w:rPr>
          <w:rFonts w:ascii="Times New Roman" w:hAnsi="Times New Roman"/>
          <w:b/>
          <w:bCs/>
          <w:color w:val="000000"/>
        </w:rPr>
        <w:tab/>
        <w:t>LIEKOVÁ FORMA</w:t>
      </w:r>
    </w:p>
    <w:p w:rsidR="00843064" w:rsidRPr="00A826D7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>Tvrdá gastrorezistentná kapsula</w:t>
      </w:r>
    </w:p>
    <w:p w:rsidR="00843064" w:rsidRPr="00C84381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43064" w:rsidRPr="00C84381" w:rsidRDefault="00A4449E" w:rsidP="008430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  <w:color w:val="000000"/>
        </w:rPr>
        <w:t>Duloxetin</w:t>
      </w:r>
      <w:r w:rsidR="00843064" w:rsidRPr="00C84381">
        <w:rPr>
          <w:rFonts w:ascii="Times New Roman" w:hAnsi="Times New Roman"/>
          <w:color w:val="000000"/>
        </w:rPr>
        <w:t xml:space="preserve"> Stada 60 mg tvrdé gastrorezistentné kapsuly majú zelené telo, tmavomodré viečko a sú naplnené gastrorezistentnými peletami s dĺžkou </w:t>
      </w:r>
      <w:r w:rsidR="00843064" w:rsidRPr="00C84381">
        <w:rPr>
          <w:rFonts w:ascii="Times New Roman" w:hAnsi="Times New Roman"/>
        </w:rPr>
        <w:t>19.4 ±1 mm a šírkou 6.91 ±1 mm.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 </w:t>
      </w:r>
      <w:r w:rsidRPr="00843064">
        <w:rPr>
          <w:rFonts w:ascii="Times New Roman" w:hAnsi="Times New Roman"/>
          <w:b/>
          <w:bCs/>
          <w:color w:val="000000"/>
        </w:rPr>
        <w:tab/>
        <w:t>KLINICKÉ ÚDAJE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4.1 </w:t>
      </w:r>
      <w:r w:rsidRPr="00843064">
        <w:rPr>
          <w:rFonts w:ascii="Times New Roman" w:hAnsi="Times New Roman"/>
          <w:b/>
          <w:bCs/>
          <w:color w:val="000000"/>
        </w:rPr>
        <w:tab/>
        <w:t>Terapeutické indikácie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Liečba veľkej depresívnej poruchy.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Liečba diabetickej periférnej neuropatickej bolesti.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Liečba generalizovanej úzkostnej poruchy.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Duloxetin</w:t>
      </w:r>
      <w:r w:rsidR="00810B0A" w:rsidRPr="00843064">
        <w:rPr>
          <w:rFonts w:ascii="Times New Roman" w:hAnsi="Times New Roman"/>
          <w:color w:val="000000"/>
        </w:rPr>
        <w:t xml:space="preserve"> </w:t>
      </w:r>
      <w:r w:rsidR="00843064">
        <w:rPr>
          <w:rFonts w:ascii="Times New Roman" w:hAnsi="Times New Roman"/>
          <w:color w:val="000000"/>
        </w:rPr>
        <w:t>Stada</w:t>
      </w:r>
      <w:r w:rsidR="00810B0A" w:rsidRPr="00843064">
        <w:rPr>
          <w:rFonts w:ascii="Times New Roman" w:hAnsi="Times New Roman"/>
          <w:color w:val="000000"/>
        </w:rPr>
        <w:t xml:space="preserve"> je indikovaný dospelým.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Ďalšie informácie </w:t>
      </w:r>
      <w:r w:rsidR="00843064">
        <w:rPr>
          <w:rFonts w:ascii="Times New Roman" w:hAnsi="Times New Roman"/>
          <w:color w:val="000000"/>
        </w:rPr>
        <w:t>pozri</w:t>
      </w:r>
      <w:r w:rsidRPr="00843064">
        <w:rPr>
          <w:rFonts w:ascii="Times New Roman" w:hAnsi="Times New Roman"/>
          <w:color w:val="000000"/>
        </w:rPr>
        <w:t xml:space="preserve"> v časti 5.1.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4.2 </w:t>
      </w:r>
      <w:r w:rsidRPr="00843064">
        <w:rPr>
          <w:rFonts w:ascii="Times New Roman" w:hAnsi="Times New Roman"/>
          <w:b/>
          <w:bCs/>
          <w:color w:val="000000"/>
        </w:rPr>
        <w:tab/>
        <w:t>Dávkovanie a spôsob podávania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43064">
        <w:rPr>
          <w:rFonts w:ascii="Times New Roman" w:hAnsi="Times New Roman"/>
          <w:color w:val="000000"/>
          <w:u w:val="single"/>
        </w:rPr>
        <w:t>Dávkovanie</w:t>
      </w:r>
    </w:p>
    <w:p w:rsid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Veľká depresívna porucha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Začiatočná a odporúčaná udržiavacia dávka je 60 mg jedenkrát denne s jedlom alebo bez jedla.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klinických štúdiách boli z hľadiska bezpečnosti hodnotené podané dávky vyššie ako 60 mg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jedenkrát denne až po maximálnu dávku 120 mg denne. Klinický dôkaz o tom, že by pacienti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nereagujúci na </w:t>
      </w:r>
      <w:r w:rsidR="00843064">
        <w:rPr>
          <w:rFonts w:ascii="Times New Roman" w:hAnsi="Times New Roman"/>
          <w:color w:val="000000"/>
        </w:rPr>
        <w:t>za</w:t>
      </w:r>
      <w:r w:rsidRPr="00843064">
        <w:rPr>
          <w:rFonts w:ascii="Times New Roman" w:hAnsi="Times New Roman"/>
          <w:color w:val="000000"/>
        </w:rPr>
        <w:t>čiatočnú odporúčanú dávku mohli profitovať zo vzostupnej titrácie dávky však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neexistuje.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Odpoveď na liečbu sa spravidla objaví po 2-4 týždňoch liečby.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 konsolidácii antidepresívnej odpovede na liečbu sa odporúča v liečbe pokračovať ešte niekoľko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mesiacov, aby sa zabránilo relapsu. U pacientov odpovedajúcich na liečbu duloxetínom a s históriou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opakujúcich sa epizód </w:t>
      </w:r>
      <w:r w:rsidR="00BA5CA8">
        <w:rPr>
          <w:rFonts w:ascii="Times New Roman" w:hAnsi="Times New Roman"/>
          <w:color w:val="000000"/>
        </w:rPr>
        <w:t>veľkej depresie je možné</w:t>
      </w:r>
      <w:r w:rsidR="00BA5CA8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zvážiť ďalšiu dlhodobú liečbu s dávkou 60 až 120 mg/deň.</w:t>
      </w:r>
    </w:p>
    <w:p w:rsidR="00843064" w:rsidRPr="00843064" w:rsidRDefault="0084306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lastRenderedPageBreak/>
        <w:t>Generalizovaná úzkostná porucha</w:t>
      </w: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4449E">
        <w:rPr>
          <w:rFonts w:ascii="Times New Roman" w:hAnsi="Times New Roman"/>
          <w:color w:val="000000"/>
        </w:rPr>
        <w:t>Odp</w:t>
      </w:r>
      <w:r w:rsidRPr="00843064">
        <w:rPr>
          <w:rFonts w:ascii="Times New Roman" w:hAnsi="Times New Roman"/>
          <w:color w:val="000000"/>
        </w:rPr>
        <w:t xml:space="preserve">orúčaná </w:t>
      </w:r>
      <w:r w:rsidR="00843064">
        <w:rPr>
          <w:rFonts w:ascii="Times New Roman" w:hAnsi="Times New Roman"/>
          <w:color w:val="000000"/>
        </w:rPr>
        <w:t>za</w:t>
      </w:r>
      <w:r w:rsidRPr="00843064">
        <w:rPr>
          <w:rFonts w:ascii="Times New Roman" w:hAnsi="Times New Roman"/>
          <w:color w:val="000000"/>
        </w:rPr>
        <w:t>čiatočná dávka u pacientov s generalizovanou úzkostnou poruchou je 30 mg jedenkrát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denne s jedlom alebo bez jedla. U pacientov bez dostatočnej odpovede sa má dávka zvýšiť na 60 mg,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čo je zvyčajná udržiavacia dávka u väčšiny pacientov.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U pacientov, ktorí trpia tiež veľkou depresívnou poruchou, </w:t>
      </w:r>
      <w:r w:rsidR="00A4449E">
        <w:rPr>
          <w:rFonts w:ascii="Times New Roman" w:hAnsi="Times New Roman"/>
          <w:color w:val="000000"/>
        </w:rPr>
        <w:t>za</w:t>
      </w:r>
      <w:r w:rsidRPr="00843064">
        <w:rPr>
          <w:rFonts w:ascii="Times New Roman" w:hAnsi="Times New Roman"/>
          <w:color w:val="000000"/>
        </w:rPr>
        <w:t>čiatočná a udržiavacia dávka je 60 mg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jedenkrát denne (pozri tiež vyššie odporúčanie dávkovania).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Preukázalo sa, že dávky až do 120 mg denne sú účinné a v klinických </w:t>
      </w:r>
      <w:r w:rsidR="0064407E">
        <w:rPr>
          <w:rFonts w:ascii="Times New Roman" w:hAnsi="Times New Roman"/>
          <w:color w:val="000000"/>
        </w:rPr>
        <w:t xml:space="preserve">skúšaniach </w:t>
      </w:r>
      <w:r w:rsidRPr="00843064">
        <w:rPr>
          <w:rFonts w:ascii="Times New Roman" w:hAnsi="Times New Roman"/>
          <w:color w:val="000000"/>
        </w:rPr>
        <w:t>boli hodnotené aj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 hľadiska bezpečnosti. U pacientov s nedostatočnou odpoveďou na 60 mg sa môže zvážiť zvýšenie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dávky až na 90 mg alebo 120 mg. Dávka sa má zvyšovať podľa klinickej odpovede a znášanlivosti.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 konsolidácii odpovede na liečbu sa odporúča v liečbe pokračovať ešte niekoľko mesiacov, aby sa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zabránilo relapsu.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Diabetická periférna neuropatická bolesť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</w:t>
      </w:r>
      <w:r w:rsidR="00810B0A" w:rsidRPr="00843064">
        <w:rPr>
          <w:rFonts w:ascii="Times New Roman" w:hAnsi="Times New Roman"/>
          <w:color w:val="000000"/>
        </w:rPr>
        <w:t>čiatočná a odporúčaná udržiavacia dávka je 60 mg jedenkrát denne s jedlom alebo bez jedla.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klinických štúdiách boli z hľadiska bezpečnosti hodnotené dávky vyššie ako 60 mg jedenkrát denne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až po maximálnu dávku 120 mg denne podané v rovnomerne rozdelených dávkach. Plazmatická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koncentrácia duloxetínu preukazuje veľkú interindividuálnu variabilitu (pozri časť 5.2). V dôsledku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toho môže niektorým pacientom, ktorí nedostatočne reagujú na dávku 60 mg, vyššia dávka prospieť.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Odpoveď na liečbu sa má vyhodnocovať po dvoch mesiacoch liečby. U pacientov s nedostatočnou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počiatočnou odpoveďou je dodatočná odpoveď po uplynutí tejto doby nepravdepodobná.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Prínos liečby je potrebné pravidelne prehodnocovať (minimálne každé tri mesiace) (pozri časť 5.1).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</w:rPr>
      </w:pPr>
      <w:r w:rsidRPr="00C84381">
        <w:rPr>
          <w:rFonts w:ascii="Times New Roman" w:hAnsi="Times New Roman"/>
          <w:b/>
          <w:i/>
          <w:iCs/>
          <w:color w:val="000000"/>
        </w:rPr>
        <w:t>Osobitné skupiny pacientov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C84381">
        <w:rPr>
          <w:rFonts w:ascii="Times New Roman" w:hAnsi="Times New Roman"/>
          <w:i/>
          <w:iCs/>
          <w:color w:val="000000"/>
        </w:rPr>
        <w:t>Starší pacienti</w:t>
      </w:r>
    </w:p>
    <w:p w:rsidR="00810B0A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Iba na základe veku sa u starších pacientov neodporúča žiadna úprava dávky</w:t>
      </w:r>
      <w:r w:rsidR="00810B0A" w:rsidRPr="00843064">
        <w:rPr>
          <w:rFonts w:ascii="Times New Roman" w:hAnsi="Times New Roman"/>
          <w:color w:val="000000"/>
        </w:rPr>
        <w:t>. K liečbe starších pacientov je však potrebné</w:t>
      </w:r>
      <w:r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 xml:space="preserve">pristupovať opatrne, </w:t>
      </w:r>
      <w:r w:rsidR="0081184A">
        <w:rPr>
          <w:rFonts w:ascii="Times New Roman" w:hAnsi="Times New Roman"/>
          <w:color w:val="000000"/>
        </w:rPr>
        <w:t xml:space="preserve">tak ako pri akomkoľvek inom lieku, </w:t>
      </w:r>
      <w:r w:rsidR="00810B0A" w:rsidRPr="00843064">
        <w:rPr>
          <w:rFonts w:ascii="Times New Roman" w:hAnsi="Times New Roman"/>
          <w:color w:val="000000"/>
        </w:rPr>
        <w:t xml:space="preserve">najmä pri dávke </w:t>
      </w:r>
      <w:r>
        <w:rPr>
          <w:rFonts w:ascii="Times New Roman" w:hAnsi="Times New Roman"/>
          <w:color w:val="000000"/>
        </w:rPr>
        <w:t>d</w:t>
      </w:r>
      <w:r w:rsidR="00810B0A" w:rsidRPr="00843064">
        <w:rPr>
          <w:rFonts w:ascii="Times New Roman" w:hAnsi="Times New Roman"/>
          <w:color w:val="000000"/>
        </w:rPr>
        <w:t>uloxet</w:t>
      </w:r>
      <w:r>
        <w:rPr>
          <w:rFonts w:ascii="Times New Roman" w:hAnsi="Times New Roman"/>
          <w:color w:val="000000"/>
        </w:rPr>
        <w:t>í</w:t>
      </w:r>
      <w:r w:rsidR="00810B0A" w:rsidRPr="00843064">
        <w:rPr>
          <w:rFonts w:ascii="Times New Roman" w:hAnsi="Times New Roman"/>
          <w:color w:val="000000"/>
        </w:rPr>
        <w:t>nu 120 mg denne pri liečbe veľkej depresívnej</w:t>
      </w:r>
      <w:r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poruchy alebo generalizovanej úzkostnej poruchy, kde sú údaje obmedzené (pozri časti 4.4 a 5.2).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C84381">
        <w:rPr>
          <w:rFonts w:ascii="Times New Roman" w:hAnsi="Times New Roman"/>
          <w:i/>
          <w:iCs/>
          <w:color w:val="000000"/>
        </w:rPr>
        <w:t>Poškodenie pečene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sa nesmie používať u pacientov, ktorí trpia ochorením pečene poškodzujúcim jej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funkciu (pozri časti 4.3 a 5.2).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C84381">
        <w:rPr>
          <w:rFonts w:ascii="Times New Roman" w:hAnsi="Times New Roman"/>
          <w:i/>
          <w:iCs/>
          <w:color w:val="000000"/>
        </w:rPr>
        <w:t>Poškodenie obličiek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 miernym alebo stredne závažným poškodením obličiek (klírens kreatinínu 30 až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80 ml/min) nie je nutné upravovať dávku. 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nesmú užívať pacienti so závažným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obličiek (klírens kreatinínu &lt; 30 ml/min, pozri časť 4.3).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EE2805">
        <w:rPr>
          <w:rFonts w:ascii="Times New Roman" w:hAnsi="Times New Roman"/>
          <w:i/>
          <w:iCs/>
          <w:color w:val="000000"/>
        </w:rPr>
        <w:t>Pediatrická populácia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nemá používať u detí a dospievajúcich vo veku do 18 rokov na liečbu veľkej depresívnej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poruchy z dôvodu obáv o bezpečnosť a účinnosť (pozri časti 4.4, 4.8 a 5.1).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Bezpečnosť a účinnosť duloxetínu na liečbu generalizovanej úzkostnej poruchy u pediatrických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pacientov vo veku 7-17 rokov neboli stanovené. V súčasnosti dostupné údaje sú opísané v častiach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4.8, 5.1 a 5.2.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Bezpečnosť a účinnosť duloxetínu na liečbu diabetickej periférnej neuropatickej bolesti sa neskúmali.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 dispozícii nie sú žiadne údaje.</w:t>
      </w:r>
    </w:p>
    <w:p w:rsidR="0081184A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184A" w:rsidRPr="00843064" w:rsidRDefault="0081184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Ukončenie liečby</w:t>
      </w:r>
    </w:p>
    <w:p w:rsidR="0081184A" w:rsidRPr="00843064" w:rsidRDefault="0081184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lastRenderedPageBreak/>
        <w:t xml:space="preserve">Je potrebné vyhnúť sa náhlemu vysadeniu. Pri ukončovaní liečby </w:t>
      </w:r>
      <w:r>
        <w:rPr>
          <w:rFonts w:ascii="Times New Roman" w:hAnsi="Times New Roman"/>
          <w:color w:val="000000"/>
        </w:rPr>
        <w:t>d</w:t>
      </w:r>
      <w:r w:rsidRPr="00843064">
        <w:rPr>
          <w:rFonts w:ascii="Times New Roman" w:hAnsi="Times New Roman"/>
          <w:color w:val="000000"/>
        </w:rPr>
        <w:t>uloxet</w:t>
      </w:r>
      <w:r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nom sa má dávka</w:t>
      </w:r>
    </w:p>
    <w:p w:rsidR="0081184A" w:rsidRPr="00843064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znižovať postupne aspoň počas jedného až dvoch týždňov, aby sa znížilo riziko </w:t>
      </w:r>
      <w:r>
        <w:rPr>
          <w:rFonts w:ascii="Times New Roman" w:hAnsi="Times New Roman"/>
          <w:color w:val="000000"/>
        </w:rPr>
        <w:t>reakcií</w:t>
      </w:r>
    </w:p>
    <w:p w:rsidR="0081184A" w:rsidRPr="00843064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</w:t>
      </w:r>
      <w:r w:rsidRPr="00843064">
        <w:rPr>
          <w:rFonts w:ascii="Times New Roman" w:hAnsi="Times New Roman"/>
          <w:color w:val="000000"/>
        </w:rPr>
        <w:t xml:space="preserve"> vysadeni</w:t>
      </w:r>
      <w:r>
        <w:rPr>
          <w:rFonts w:ascii="Times New Roman" w:hAnsi="Times New Roman"/>
          <w:color w:val="000000"/>
        </w:rPr>
        <w:t>e lieku</w:t>
      </w:r>
      <w:r w:rsidRPr="00843064">
        <w:rPr>
          <w:rFonts w:ascii="Times New Roman" w:hAnsi="Times New Roman"/>
          <w:color w:val="000000"/>
        </w:rPr>
        <w:t xml:space="preserve"> (pozri časti 4.4 a 4.8). Ak sa po znížení dávky alebo po vysadení liečby objavia</w:t>
      </w:r>
    </w:p>
    <w:p w:rsidR="0081184A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neznesiteľné príznaky z vysadenia, je </w:t>
      </w:r>
      <w:r>
        <w:rPr>
          <w:rFonts w:ascii="Times New Roman" w:hAnsi="Times New Roman"/>
          <w:color w:val="000000"/>
        </w:rPr>
        <w:t>mož</w:t>
      </w:r>
      <w:r w:rsidRPr="00843064">
        <w:rPr>
          <w:rFonts w:ascii="Times New Roman" w:hAnsi="Times New Roman"/>
          <w:color w:val="000000"/>
        </w:rPr>
        <w:t xml:space="preserve">né zvážiť podávanie predtým predpísanej dávky. </w:t>
      </w:r>
    </w:p>
    <w:p w:rsidR="0081184A" w:rsidRPr="00843064" w:rsidRDefault="0081184A" w:rsidP="008118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Neskôr</w:t>
      </w:r>
      <w:r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môže lekár pokračovať v znižovaní dávky, ale oveľa postupnejšie.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A4449E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A4449E">
        <w:rPr>
          <w:rFonts w:ascii="Times New Roman" w:hAnsi="Times New Roman"/>
          <w:color w:val="000000"/>
          <w:u w:val="single"/>
        </w:rPr>
        <w:t>Spôsob podávania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perorálne použitie.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4.3 </w:t>
      </w:r>
      <w:r w:rsidRPr="00843064">
        <w:rPr>
          <w:rFonts w:ascii="Times New Roman" w:hAnsi="Times New Roman"/>
          <w:b/>
          <w:bCs/>
          <w:color w:val="000000"/>
        </w:rPr>
        <w:tab/>
        <w:t>Kontraindikácie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Kontraindikované je súbežné podávanie </w:t>
      </w:r>
      <w:r w:rsidR="00A4449E">
        <w:rPr>
          <w:rFonts w:ascii="Times New Roman" w:hAnsi="Times New Roman"/>
          <w:color w:val="000000"/>
        </w:rPr>
        <w:t>duloxetín</w:t>
      </w:r>
      <w:r w:rsidRPr="00843064">
        <w:rPr>
          <w:rFonts w:ascii="Times New Roman" w:hAnsi="Times New Roman"/>
          <w:color w:val="000000"/>
        </w:rPr>
        <w:t>u s neselektívnymi ireverzibilnými</w:t>
      </w:r>
      <w:r w:rsidR="00A4449E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inhibítormi monoaminooxidázy (IMAO) (pozri časť 4.5).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Ochorenie pečene s následkom poruchy funkcie pečene (pozri časť 5.2).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sa nemá používať v kombinácii s fluvoxamínom, ciprofloxacínom či enoxacínom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(t.j. silnými inhibítormi CYP1A2), pretože táto kombinácia vedie k zvýšenej plazmatickej koncentrácii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(pozri časť 4.5).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Závažné poškodenie obličiek (klírens kreatinínu &lt; 30 ml/min) (pozri časť 4.4).</w:t>
      </w:r>
    </w:p>
    <w:p w:rsidR="00A4449E" w:rsidRPr="00843064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Začatie liečby </w:t>
      </w:r>
      <w:r w:rsidR="00A4449E">
        <w:rPr>
          <w:rFonts w:ascii="Times New Roman" w:hAnsi="Times New Roman"/>
          <w:color w:val="000000"/>
        </w:rPr>
        <w:t>duloxetínom</w:t>
      </w:r>
      <w:r w:rsidRPr="00843064">
        <w:rPr>
          <w:rFonts w:ascii="Times New Roman" w:hAnsi="Times New Roman"/>
          <w:color w:val="000000"/>
        </w:rPr>
        <w:t xml:space="preserve"> je kontraindikované u pacientov s</w:t>
      </w:r>
      <w:r w:rsidR="00A4449E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nekontrolovanou</w:t>
      </w:r>
      <w:r w:rsidR="00A4449E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hypertenziou, pretože by mohlo vystaviť pacientov potenciálnemu riziku vzniku hypertenznej krízy</w:t>
      </w:r>
      <w:r w:rsidR="00A4449E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(pozri časti 4.4 a 4.8).</w:t>
      </w:r>
    </w:p>
    <w:p w:rsidR="00A4449E" w:rsidRPr="00C84381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4.4 </w:t>
      </w:r>
      <w:r w:rsidR="00A4449E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Osobitné upozornenia a opatrenia pri používaní</w:t>
      </w:r>
    </w:p>
    <w:p w:rsidR="00A4449E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Mánia a záchvaty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</w:t>
      </w:r>
      <w:r w:rsidR="00A4449E">
        <w:rPr>
          <w:rFonts w:ascii="Times New Roman" w:hAnsi="Times New Roman"/>
          <w:color w:val="000000"/>
        </w:rPr>
        <w:t>í</w:t>
      </w:r>
      <w:r w:rsidRPr="00843064">
        <w:rPr>
          <w:rFonts w:ascii="Times New Roman" w:hAnsi="Times New Roman"/>
          <w:color w:val="000000"/>
        </w:rPr>
        <w:t>n sa má s opatrnosťou používať u pacientov, ktorí majú v anamnéze mániu alebo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diagnózu bipolárnej poruchy a/alebo záchvaty.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Mydriáza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Mydriáza sa udáva v spojitosti s duloxetínom, preto je potrebné postupovať opatrne pri predpisovaní</w:t>
      </w:r>
    </w:p>
    <w:p w:rsidR="00810B0A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="00810B0A" w:rsidRPr="00843064">
        <w:rPr>
          <w:rFonts w:ascii="Times New Roman" w:hAnsi="Times New Roman"/>
          <w:color w:val="000000"/>
        </w:rPr>
        <w:t>u pacientom so zvýšeným vnútroočným tlakom alebo pacientom, u ktorých je riziko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vzniku akútneho glaukómu s úzkym uhlom.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Tlak krvi a srdcová frekvencia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niektorých pacientov bolo užívanie duloxetínu spojené so zvýšeným krvným tlakom a klinicky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významnou hypertenziou. Môže to súvisieť s </w:t>
      </w:r>
      <w:r w:rsidR="003B2B90" w:rsidRPr="00843064">
        <w:rPr>
          <w:rFonts w:ascii="Times New Roman" w:hAnsi="Times New Roman"/>
          <w:color w:val="000000"/>
        </w:rPr>
        <w:t>noradrenerg</w:t>
      </w:r>
      <w:r w:rsidR="003B2B90">
        <w:rPr>
          <w:rFonts w:ascii="Times New Roman" w:hAnsi="Times New Roman"/>
          <w:color w:val="000000"/>
        </w:rPr>
        <w:t>n</w:t>
      </w:r>
      <w:r w:rsidR="003B2B90" w:rsidRPr="00843064">
        <w:rPr>
          <w:rFonts w:ascii="Times New Roman" w:hAnsi="Times New Roman"/>
          <w:color w:val="000000"/>
        </w:rPr>
        <w:t xml:space="preserve">ým </w:t>
      </w:r>
      <w:r w:rsidRPr="00843064">
        <w:rPr>
          <w:rFonts w:ascii="Times New Roman" w:hAnsi="Times New Roman"/>
          <w:color w:val="000000"/>
        </w:rPr>
        <w:t>pôsobením duloxetínu. V súvislosti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duloxetínom boli zaznamenané prípady hypertenznej krízy, hlavne u pacientov s preexistujúcou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hypertenziou. Preto sa u pacientov so známou hypertenziou a/alebo iným ochorením srdca odporúča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monitorovanie krvného tlaku, najmä počas prvého mesiaca liečby. Pacientom, ktorých zdravotný stav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by sa mohol zhoršiť zvýšením srdcovej frekvencie alebo zvýšením krvného tlaku, sa má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podávať opatrne. Opatrnosť je tiež potrebná, keď sa duloxetín podáva s liekmi, ktoré môžu narušiť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jeho metabolizmus (pozri časť 4.5). U pacientov, u ktorých sa vyskytlo trvalé zvýšenie krvného tlaku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počas užívania duloxetínu, je potrebné zvážiť buď zníženie dávky alebo postupné vysadenie</w:t>
      </w:r>
    </w:p>
    <w:p w:rsidR="00810B0A" w:rsidRDefault="00810B0A" w:rsidP="00D93E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(pozri časť 4.8</w:t>
      </w:r>
      <w:r w:rsidRPr="00602B49">
        <w:rPr>
          <w:rFonts w:ascii="Times New Roman" w:hAnsi="Times New Roman"/>
          <w:color w:val="000000"/>
        </w:rPr>
        <w:t xml:space="preserve">). </w:t>
      </w:r>
      <w:r w:rsidR="0081184A" w:rsidRPr="00C84381">
        <w:rPr>
          <w:rFonts w:ascii="Times New Roman" w:hAnsi="Times New Roman"/>
        </w:rPr>
        <w:t>U pacientov s nekontrolovanou hypertenziou sa nemá začať liečba duloxetínom (pozri časť 4.3).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Poškodenie obličiek</w:t>
      </w: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so závažným poškodením obličiek na hemodialýze (klírens kreatinínu &lt;30 ml/min)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dochádza k zvýšenej plazmatickej koncentrácii duloxetínu. Informácie o pacientoch so závažným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obličiek pozri v časti 4.3. Informácie o pacientoch s miernym alebo stredne závažným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obličiek pozri v časti 4.2.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Sérotonínový syndróm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Tak ako pri ostatných </w:t>
      </w:r>
      <w:r w:rsidR="0048340A" w:rsidRPr="00843064">
        <w:rPr>
          <w:rFonts w:ascii="Times New Roman" w:hAnsi="Times New Roman"/>
          <w:color w:val="000000"/>
        </w:rPr>
        <w:t>sérotonerg</w:t>
      </w:r>
      <w:r w:rsidR="0048340A">
        <w:rPr>
          <w:rFonts w:ascii="Times New Roman" w:hAnsi="Times New Roman"/>
          <w:color w:val="000000"/>
        </w:rPr>
        <w:t>n</w:t>
      </w:r>
      <w:r w:rsidR="0048340A" w:rsidRPr="00843064">
        <w:rPr>
          <w:rFonts w:ascii="Times New Roman" w:hAnsi="Times New Roman"/>
          <w:color w:val="000000"/>
        </w:rPr>
        <w:t xml:space="preserve">ých </w:t>
      </w:r>
      <w:r w:rsidRPr="00843064">
        <w:rPr>
          <w:rFonts w:ascii="Times New Roman" w:hAnsi="Times New Roman"/>
          <w:color w:val="000000"/>
        </w:rPr>
        <w:t>látkach, môže sa pri liečbe duloxetínom vyskytnúť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sérotonínový syndróm</w:t>
      </w:r>
      <w:r w:rsidR="00F12973">
        <w:rPr>
          <w:rFonts w:ascii="Times New Roman" w:hAnsi="Times New Roman"/>
          <w:color w:val="000000"/>
        </w:rPr>
        <w:t>,</w:t>
      </w:r>
      <w:r w:rsidRPr="00843064">
        <w:rPr>
          <w:rFonts w:ascii="Times New Roman" w:hAnsi="Times New Roman"/>
          <w:color w:val="000000"/>
        </w:rPr>
        <w:t xml:space="preserve"> ktorý je potenciálne život ohrozujúcim stavom, najmä pri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nom podávaní</w:t>
      </w:r>
      <w:r w:rsidR="00A826D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iných </w:t>
      </w:r>
      <w:r w:rsidR="0048340A" w:rsidRPr="00843064">
        <w:rPr>
          <w:rFonts w:ascii="Times New Roman" w:hAnsi="Times New Roman"/>
          <w:color w:val="000000"/>
        </w:rPr>
        <w:t>séroton</w:t>
      </w:r>
      <w:r w:rsidR="0048340A">
        <w:rPr>
          <w:rFonts w:ascii="Times New Roman" w:hAnsi="Times New Roman"/>
          <w:color w:val="000000"/>
        </w:rPr>
        <w:t>ergn</w:t>
      </w:r>
      <w:r w:rsidR="0048340A" w:rsidRPr="00843064">
        <w:rPr>
          <w:rFonts w:ascii="Times New Roman" w:hAnsi="Times New Roman"/>
          <w:color w:val="000000"/>
        </w:rPr>
        <w:t xml:space="preserve">ých </w:t>
      </w:r>
      <w:r w:rsidRPr="00843064">
        <w:rPr>
          <w:rFonts w:ascii="Times New Roman" w:hAnsi="Times New Roman"/>
          <w:color w:val="000000"/>
        </w:rPr>
        <w:t>látok (vrátane SSRI, SNRI, tricyklických antidepresív alebo triptánov), látok,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ktoré upravujú metabolizmus sérotonínu ako napr. IMAO alebo antipsychotiká či ďalšie dopamínové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antagonisty, ktoré môžu mať vplyv na </w:t>
      </w:r>
      <w:r w:rsidR="0048340A" w:rsidRPr="00843064">
        <w:rPr>
          <w:rFonts w:ascii="Times New Roman" w:hAnsi="Times New Roman"/>
          <w:color w:val="000000"/>
        </w:rPr>
        <w:t>sérotonerg</w:t>
      </w:r>
      <w:r w:rsidR="0048340A">
        <w:rPr>
          <w:rFonts w:ascii="Times New Roman" w:hAnsi="Times New Roman"/>
          <w:color w:val="000000"/>
        </w:rPr>
        <w:t>n</w:t>
      </w:r>
      <w:r w:rsidR="0048340A" w:rsidRPr="00843064">
        <w:rPr>
          <w:rFonts w:ascii="Times New Roman" w:hAnsi="Times New Roman"/>
          <w:color w:val="000000"/>
        </w:rPr>
        <w:t xml:space="preserve">ý </w:t>
      </w:r>
      <w:r w:rsidRPr="00843064">
        <w:rPr>
          <w:rFonts w:ascii="Times New Roman" w:hAnsi="Times New Roman"/>
          <w:color w:val="000000"/>
        </w:rPr>
        <w:t>neurotransmiterový systém (pozri časti 4.3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4.5).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Symptómy sérotonínového syndrómu môžu zahŕňať zmeny psychického stavu (napr. agitáciu,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halucinácie, kómu), autonómnu nestabilitu (napr. tachykardiu, labilný krvný tlak, hypertermiu),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neuromuskulárne aberácie (napr. hyperreflexiu, nekoordináciu) a/alebo gastrointestinálne symptómy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(napr. nauzea, vracanie, hnačka).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 je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 xml:space="preserve">né podávanie duloxetínu a iných </w:t>
      </w:r>
      <w:r w:rsidR="0048340A" w:rsidRPr="00843064">
        <w:rPr>
          <w:rFonts w:ascii="Times New Roman" w:hAnsi="Times New Roman"/>
          <w:color w:val="000000"/>
        </w:rPr>
        <w:t>sérotonerg</w:t>
      </w:r>
      <w:r w:rsidR="0048340A">
        <w:rPr>
          <w:rFonts w:ascii="Times New Roman" w:hAnsi="Times New Roman"/>
          <w:color w:val="000000"/>
        </w:rPr>
        <w:t>n</w:t>
      </w:r>
      <w:r w:rsidR="0048340A" w:rsidRPr="00843064">
        <w:rPr>
          <w:rFonts w:ascii="Times New Roman" w:hAnsi="Times New Roman"/>
          <w:color w:val="000000"/>
        </w:rPr>
        <w:t xml:space="preserve">ých </w:t>
      </w:r>
      <w:r w:rsidRPr="00843064">
        <w:rPr>
          <w:rFonts w:ascii="Times New Roman" w:hAnsi="Times New Roman"/>
          <w:color w:val="000000"/>
        </w:rPr>
        <w:t>látok, ktoré môžu ovplyvniť</w:t>
      </w:r>
    </w:p>
    <w:p w:rsidR="00810B0A" w:rsidRPr="00843064" w:rsidRDefault="002A338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sérotonerg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 xml:space="preserve">é </w:t>
      </w:r>
      <w:r w:rsidR="00810B0A" w:rsidRPr="00843064">
        <w:rPr>
          <w:rFonts w:ascii="Times New Roman" w:hAnsi="Times New Roman"/>
          <w:color w:val="000000"/>
        </w:rPr>
        <w:t xml:space="preserve">a/alebo </w:t>
      </w:r>
      <w:r w:rsidRPr="00843064">
        <w:rPr>
          <w:rFonts w:ascii="Times New Roman" w:hAnsi="Times New Roman"/>
          <w:color w:val="000000"/>
        </w:rPr>
        <w:t>dopaminerg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 xml:space="preserve">é </w:t>
      </w:r>
      <w:r w:rsidR="00810B0A" w:rsidRPr="00843064">
        <w:rPr>
          <w:rFonts w:ascii="Times New Roman" w:hAnsi="Times New Roman"/>
          <w:color w:val="000000"/>
        </w:rPr>
        <w:t>neurotransmiterové systémy, klinicky opodstatnené, odporúča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sa dôkladné sledovanie pacienta, najmä na začiatku liečby a pri zvyšovaní dávok.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Ľubovník bodkovaný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Nežiaduce reakcie sa môžu častejšie vyskytovať v priebehu súbežného užívania </w:t>
      </w:r>
      <w:r w:rsidR="00C60569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u a </w:t>
      </w:r>
      <w:r w:rsidR="00C60569">
        <w:rPr>
          <w:rFonts w:ascii="Times New Roman" w:hAnsi="Times New Roman"/>
          <w:color w:val="000000"/>
        </w:rPr>
        <w:t>rastlinných</w:t>
      </w:r>
      <w:r w:rsidRPr="00843064">
        <w:rPr>
          <w:rFonts w:ascii="Times New Roman" w:hAnsi="Times New Roman"/>
          <w:color w:val="000000"/>
        </w:rPr>
        <w:t xml:space="preserve"> prípravkov obsahujúcich ľubovník bodkovaný </w:t>
      </w:r>
      <w:r w:rsidRPr="00C60569">
        <w:rPr>
          <w:rFonts w:ascii="Times New Roman" w:hAnsi="Times New Roman"/>
          <w:i/>
          <w:color w:val="000000"/>
        </w:rPr>
        <w:t>(Hypericum perforatum)</w:t>
      </w:r>
      <w:r w:rsidRPr="00C60569">
        <w:rPr>
          <w:rFonts w:ascii="Times New Roman" w:hAnsi="Times New Roman"/>
          <w:color w:val="000000"/>
        </w:rPr>
        <w:t>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Samovražda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Veľká depresívna porucha a generalizovaná úzkostná porucha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Depresiu sprevádza vyššie riziko suicidálnych myšlienok, sebapoškodzovania a samovraždy (udalosti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spojené so samovraždou). Toto riziko pretrváva, až kým sa nedostaví signifikantná remisia. Keďže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zlepšenie nemusí nastať v priebehu prvých niekoľkých alebo viacerých týždňov liečby, pacient má byť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starostlivo sledovaný, až kým sa toto zlepšenie nedostaví. Je všeobecná klinická skúsenosť, že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skorých fázach zotavovania môže riziko samovraždy vzrásť.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Aj ostatné psychické poruchy, na liečbu ktorých sa </w:t>
      </w:r>
      <w:r w:rsidR="00C60569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predpisuje, môžu byť spojené so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zvýšeným rizikom udalostí spojených so samovraždou. Navyše tieto poruchy môžu byť komorbidné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veľkou depresívnou poruchou. Pri liečbe pacientov s ostatnými psychickými poruchami sa majú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preto sledovať rovnaké opatrenia ako pri liečbe pacientov s veľkou depresívnou poruchou.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Pacienti s anamnézou udalostí spojených so samovraždou alebo tí, ktorí vykazovali významnú mieru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suicidálnych myšlienok pred začatím liečby majú vyššie riziko výskytu suicidálnych myšlienok alebo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suicidálneho správania a majú byť počas liečby starostlivo sledovaní. Metaanalýza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kontrolovaných klinických štúdií s antidepresívami u psychiatrických ochorení ukázala zvýšené riziko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suicidálneho správania u antidepresív v porovnaní s placebom u pacientov mladších ako 25 rokov.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priebehu liečby duloxetínom alebo krátko po ukončení tejto liečby boli zaznamenané prípady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výskytu suicidálnych myšlienok a suicidálneho správania (pozri časť 4.8).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U pacientov a najmä u tých s vysokým rizikom, </w:t>
      </w:r>
      <w:r w:rsidR="0048340A">
        <w:rPr>
          <w:rFonts w:ascii="Times New Roman" w:hAnsi="Times New Roman"/>
          <w:color w:val="000000"/>
        </w:rPr>
        <w:t>má</w:t>
      </w:r>
      <w:r w:rsidRPr="00843064">
        <w:rPr>
          <w:rFonts w:ascii="Times New Roman" w:hAnsi="Times New Roman"/>
          <w:color w:val="000000"/>
        </w:rPr>
        <w:t xml:space="preserve"> liekovú terapiu sprevádzať starostlivý dohľad,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hlavne počas počiatočnej liečby a po zmenách dávky. Pacienti (a opatrovníci pacientov) majú byť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upozornení na potrebu sledovať akékoľvek klinické zhoršenie, suicidálne správanie alebo myšlienky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nezvyčajné zmeny správania a na potrebu okamžitého vyhľadania lekárskej pomoci, ak sú tieto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príznaky prítomné.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Diabetická periférna neuropatická bolesť</w:t>
      </w:r>
    </w:p>
    <w:p w:rsidR="00810B0A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</w:rPr>
        <w:t xml:space="preserve">Rovnako ako u iných liekov s podobným farmakologickým účinkom (antidepresíva) boli </w:t>
      </w:r>
      <w:r w:rsidRPr="00602B49">
        <w:rPr>
          <w:rFonts w:ascii="Times New Roman" w:hAnsi="Times New Roman"/>
          <w:color w:val="000000"/>
        </w:rPr>
        <w:t>v</w:t>
      </w:r>
      <w:r w:rsidR="00C60569" w:rsidRPr="00602B49">
        <w:rPr>
          <w:rFonts w:ascii="Times New Roman" w:hAnsi="Times New Roman"/>
          <w:color w:val="000000"/>
        </w:rPr>
        <w:t> </w:t>
      </w:r>
      <w:r w:rsidR="00810B0A" w:rsidRPr="00602B49">
        <w:rPr>
          <w:rFonts w:ascii="Times New Roman" w:hAnsi="Times New Roman"/>
          <w:color w:val="000000"/>
        </w:rPr>
        <w:t>priebehu</w:t>
      </w:r>
      <w:r w:rsidR="00C60569" w:rsidRPr="00602B49">
        <w:rPr>
          <w:rFonts w:ascii="Times New Roman" w:hAnsi="Times New Roman"/>
          <w:color w:val="000000"/>
        </w:rPr>
        <w:t xml:space="preserve"> </w:t>
      </w:r>
      <w:r w:rsidR="00810B0A" w:rsidRPr="00602B49">
        <w:rPr>
          <w:rFonts w:ascii="Times New Roman" w:hAnsi="Times New Roman"/>
          <w:color w:val="000000"/>
        </w:rPr>
        <w:t xml:space="preserve">liečby duloxetínom alebo krátko po ukončení tejto liečby </w:t>
      </w:r>
      <w:r w:rsidR="00C60569" w:rsidRPr="00602B49">
        <w:rPr>
          <w:rFonts w:ascii="Times New Roman" w:hAnsi="Times New Roman"/>
          <w:color w:val="000000"/>
        </w:rPr>
        <w:t xml:space="preserve">boli </w:t>
      </w:r>
      <w:r w:rsidR="00810B0A" w:rsidRPr="00602B49">
        <w:rPr>
          <w:rFonts w:ascii="Times New Roman" w:hAnsi="Times New Roman"/>
          <w:color w:val="000000"/>
        </w:rPr>
        <w:t xml:space="preserve">zaznamenané </w:t>
      </w:r>
      <w:r w:rsidR="00C60569" w:rsidRPr="00602B49">
        <w:rPr>
          <w:rFonts w:ascii="Times New Roman" w:hAnsi="Times New Roman"/>
          <w:color w:val="000000"/>
        </w:rPr>
        <w:t>ojedinelé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prípady výskytu suicidálnych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predstáv a suicidálneho správania. Čo sa týka rizikových faktorov pre suicidalitu pri depresii, pozri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vyššie. Lekári majú povzbudiť svojich pacientov, aby kedykoľvek uviedli akékoľvek rušivé myšlienky</w:t>
      </w:r>
      <w:r w:rsidR="00C60569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alebo pocity, ktoré sa u nich vyskytnú.</w:t>
      </w:r>
    </w:p>
    <w:p w:rsidR="0081184A" w:rsidRPr="00602B49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184A" w:rsidRPr="00C84381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C84381">
        <w:rPr>
          <w:rFonts w:ascii="Times New Roman" w:hAnsi="Times New Roman"/>
          <w:i/>
        </w:rPr>
        <w:t xml:space="preserve">Podávanie deťom a dospievajúcim mladším ako 18 rokov </w:t>
      </w:r>
    </w:p>
    <w:p w:rsidR="0081184A" w:rsidRPr="00602B49" w:rsidRDefault="0081184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</w:rPr>
        <w:t>Duloxetín sa nemá užívať na liečbu detí a dospievajúcich mladších ako 18 rokov. V klinických štúdiách bolo u detí a dospievajúcich liečených antidepresívami častejšie pozorované suicidálne správanie (suicidálne pokusy a suicidálne myšlienky) a hostilita (prevažne agresia, protichodné správanie a zlosť) v porovnaní s tými, ktorým bolo podávané placebo. Ak sa rozhodnutie o liečbe založené na objektívnej potrebe predsa len urobí, musí byť pacient starostlivo sledovaný kvôli výskytu samovražedných príznakov (pozri časť 5.1). Navyše chýbajú údaje o bezpečnosti dlhodobého podávania u detí a dospievajúcich týkajúce sa rastu, dospievania a kognitívneho a behaviorálneho vývoja (pozri časť 4.8).</w:t>
      </w:r>
    </w:p>
    <w:p w:rsidR="00C60569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Krvácanie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súvislosti s inhibítormi spätného vychytávania sérotonínu (SSRI) a selektívnymi inhibítormi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spätného vychytávania sérotonínu/noradrenalínu (SNRI), vrátane duloxetínu, boli zaznamenané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prípady abnormalít spojených s krvácaním, ako sú ekchymóza, purpura a gastrointestinálne krvácanie.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užívajúcich antikoagulanciá a/alebo lieky, o ktorých je známe, že ovplyvňujú funkciu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krvných doštičiek (napr.: nesteroidné protizápalové lieky (NSAID) alebo kyselina acetylsalicylová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(ASA)) a u pacientov náchylných na krvácanie sa odporúča postupovať s opatrnosťou.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Hyponatriémia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Pri podávaní </w:t>
      </w:r>
      <w:r w:rsidR="00C60569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bola hlásená hyponatriémia, vrátane prípadov, ke</w:t>
      </w:r>
      <w:r w:rsidR="00C60569">
        <w:rPr>
          <w:rFonts w:ascii="Times New Roman" w:hAnsi="Times New Roman"/>
          <w:color w:val="000000"/>
        </w:rPr>
        <w:t>ď</w:t>
      </w:r>
      <w:r w:rsidRPr="00843064">
        <w:rPr>
          <w:rFonts w:ascii="Times New Roman" w:hAnsi="Times New Roman"/>
          <w:color w:val="000000"/>
        </w:rPr>
        <w:t xml:space="preserve"> sérová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koncentrácia sodíka bola nižšia ako 110 mmol/l. Hyponatriémia môže byť spôsobená syndrómom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neadekvátnej sekrécie antidiuretického hormónu (syndrome of inappropriate anti-diuretic hormone,</w:t>
      </w:r>
      <w:r w:rsidR="00C60569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SIADH). Najviac prípadov hyponatriémie bolo hlásených u starších pacientov,  boli spojené </w:t>
      </w:r>
      <w:r w:rsidR="002C4A10" w:rsidRPr="00843064">
        <w:rPr>
          <w:rFonts w:ascii="Times New Roman" w:hAnsi="Times New Roman"/>
          <w:color w:val="000000"/>
        </w:rPr>
        <w:t xml:space="preserve">najmä </w:t>
      </w:r>
      <w:r w:rsidRPr="00843064">
        <w:rPr>
          <w:rFonts w:ascii="Times New Roman" w:hAnsi="Times New Roman"/>
          <w:color w:val="000000"/>
        </w:rPr>
        <w:t>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nedávnou anamnézou alebo s predispozičnými podmienkami k poruche rovnováhy tekutín.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so zvýšeným rizikom vzniku hyponatriémie ako sú starší pacienti, pacienti s cirhózou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alebo dehydratovaní pacienti alebo pacienti liečení diuretikami je potrebná opatrnosť.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Ukončenie liečby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 prerušení liečby je výskyt príznakov z vysadenia častý, hlavne ak je vysadenie náhle (pozri časť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4.8). V klinických štúdiách sa nežiaduce účinky pri náhlom vysadení liečby vyskytovali približne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45 % pacientov liečených duloxetínom a u 23 % pacientov užívajúcich placebo.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Riziko príznakov z vysadenia pozorovaných u SSRI a SRNI môže závisieť od niekoľkých faktorov,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vrátane dĺžky liečby, dávky a rýchlosti znižovania dávky. Najčastejšie hlásené reakcie sú uvedené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časti 4.8. Zvyčajne sú symptómy slabé alebo mierne, avšak u niektorých pacientov môžu mať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závažnejší charakter. Obyčajne sa objavia v priebehu prvých </w:t>
      </w:r>
      <w:r w:rsidR="001D4E6B">
        <w:rPr>
          <w:rFonts w:ascii="Times New Roman" w:hAnsi="Times New Roman"/>
          <w:color w:val="000000"/>
        </w:rPr>
        <w:t>pár</w:t>
      </w:r>
      <w:r w:rsidR="001D4E6B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dní vysadzovania liečby, ale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vzácne boli hlásené takéto príznaky u pacientov, ktorí nedopatrením vynechali dávku. Zvyčajne tieto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príznaky vymiznú bez liečby, obyčajne v priebehu 2 týždňov, hoci u niektorých osôb </w:t>
      </w:r>
      <w:r w:rsidR="002C4A10" w:rsidRPr="00843064">
        <w:rPr>
          <w:rFonts w:ascii="Times New Roman" w:hAnsi="Times New Roman"/>
          <w:color w:val="000000"/>
        </w:rPr>
        <w:t>môž</w:t>
      </w:r>
      <w:r w:rsidR="002C4A10">
        <w:rPr>
          <w:rFonts w:ascii="Times New Roman" w:hAnsi="Times New Roman"/>
          <w:color w:val="000000"/>
        </w:rPr>
        <w:t>u</w:t>
      </w:r>
      <w:r w:rsidR="002C4A10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trvať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dlhšie (2 – 3 mesiace alebo viac). Preto sa pri vysadzovaní liečby odporúča postupné znižovanie dávky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počas minimálne 2 týždňov, podľa potreby pacienta (pozri časť 4.2).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Starší pacienti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Údaje o použití 120 mg duloxetínu u starších pacientov s veľkou depresívnou poruchou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generalizovanou úzkostnou poruchou sú obmedzené. Preto je pri liečbe starších pacientov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maximálnou dávkou potrebná zvýšená opatrnosť (pozri časti 4.2 a 5.2).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Akatízia/psychomotorický nepokoj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Užívanie duloxetínu je spájané so vznikom akatízie, ktorá sa prejavuje subjektívne nepríjemným alebo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trýznivým nepokojom a potrebou pohybovať sa, často sprevádzané neschopnosťou pokojne sedieť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alebo stáť. Najväčšia pravdepodobnosť jej výskytu je v priebehu prvých týždňov liečby. Na pacientov,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ktorých sa vyskytnú tieto príznaky, by mohlo mať zvýšenie dávky negatívny dopad.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obsahujúce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používa pod rôznymi obchodnými názvami vo viacerých indikáciách (liečba diabetickej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neuropatickej bolesti, veľkej depresívnej poruchy, generalizovanej úzkostnej poruchy a stresovej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inkontinencie moču). Je nutné vyvarovať sa používania viac ako jedného z týchto </w:t>
      </w:r>
      <w:r w:rsidR="00C60569">
        <w:rPr>
          <w:rFonts w:ascii="Times New Roman" w:hAnsi="Times New Roman"/>
          <w:color w:val="000000"/>
        </w:rPr>
        <w:t>liekov</w:t>
      </w:r>
      <w:r w:rsidRPr="00843064">
        <w:rPr>
          <w:rFonts w:ascii="Times New Roman" w:hAnsi="Times New Roman"/>
          <w:color w:val="000000"/>
        </w:rPr>
        <w:t xml:space="preserve">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ne.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Hepatitída/zvýšené hepatálne enzýmy</w:t>
      </w: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 podávaní duloxetínu boli hlásené prípady poškodenia pečene, vrátane závažných nárastov hladín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hepatálnych enzýmov (&gt;10 násobok hornej hranice normy), hepatitídy a žltačky (pozri časť 4.8).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Väčšina z nich sa objavila počas prvých mesiacov liečby. Charakter poškodenia pečene bol prevažne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hepatocelulárny. Duloxetín sa má užívať s opatrnosťou u pacientov liečených inými liekmi, ktoré sú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spájané s poškodením pečene.</w:t>
      </w:r>
    </w:p>
    <w:p w:rsidR="00810B0A" w:rsidRPr="008C055A" w:rsidRDefault="00810B0A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C055A" w:rsidRPr="00D307B0" w:rsidRDefault="008C055A" w:rsidP="00D307B0">
      <w:pPr>
        <w:spacing w:after="0" w:line="240" w:lineRule="auto"/>
        <w:rPr>
          <w:rFonts w:ascii="Times New Roman" w:hAnsi="Times New Roman"/>
        </w:rPr>
      </w:pPr>
      <w:r w:rsidRPr="00D307B0">
        <w:rPr>
          <w:rFonts w:ascii="Times New Roman" w:hAnsi="Times New Roman"/>
          <w:i/>
        </w:rPr>
        <w:t>Sexuálna dysfunkcia</w:t>
      </w:r>
    </w:p>
    <w:p w:rsidR="008C055A" w:rsidRPr="00D307B0" w:rsidRDefault="008C055A" w:rsidP="00D307B0">
      <w:pPr>
        <w:spacing w:after="0" w:line="240" w:lineRule="auto"/>
        <w:rPr>
          <w:rFonts w:ascii="Times New Roman" w:hAnsi="Times New Roman"/>
        </w:rPr>
      </w:pPr>
      <w:r w:rsidRPr="00D307B0">
        <w:rPr>
          <w:rFonts w:ascii="Times New Roman" w:hAnsi="Times New Roman"/>
        </w:rPr>
        <w:t xml:space="preserve">Selektívne inhibítory spätného vychytávania sérotonínu (selective serotonin reuptake inhibitors, </w:t>
      </w:r>
    </w:p>
    <w:p w:rsidR="008C055A" w:rsidRPr="00D307B0" w:rsidRDefault="008C055A" w:rsidP="00D307B0">
      <w:pPr>
        <w:spacing w:after="0" w:line="240" w:lineRule="auto"/>
        <w:rPr>
          <w:rFonts w:ascii="Times New Roman" w:hAnsi="Times New Roman"/>
        </w:rPr>
      </w:pPr>
      <w:r w:rsidRPr="00D307B0">
        <w:rPr>
          <w:rFonts w:ascii="Times New Roman" w:hAnsi="Times New Roman"/>
        </w:rPr>
        <w:t>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:rsidR="008C055A" w:rsidRPr="008C055A" w:rsidRDefault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C055A" w:rsidRDefault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C055A">
        <w:rPr>
          <w:rFonts w:ascii="Times New Roman" w:hAnsi="Times New Roman"/>
          <w:i/>
          <w:iCs/>
          <w:color w:val="000000"/>
        </w:rPr>
        <w:t>Sacharóza</w:t>
      </w:r>
    </w:p>
    <w:p w:rsidR="00202AD3" w:rsidRPr="00EE2805" w:rsidRDefault="00810B0A" w:rsidP="00E0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PT"/>
        </w:rPr>
      </w:pPr>
      <w:r w:rsidRPr="00843064">
        <w:rPr>
          <w:rFonts w:ascii="Times New Roman" w:hAnsi="Times New Roman"/>
          <w:color w:val="000000"/>
        </w:rPr>
        <w:t xml:space="preserve">Tvrdé gastrorezistentné kapsuly </w:t>
      </w:r>
      <w:r w:rsidR="00A4449E">
        <w:rPr>
          <w:rFonts w:ascii="Times New Roman" w:hAnsi="Times New Roman"/>
          <w:color w:val="000000"/>
        </w:rPr>
        <w:t>Duloxetín</w:t>
      </w:r>
      <w:r w:rsidRPr="00843064">
        <w:rPr>
          <w:rFonts w:ascii="Times New Roman" w:hAnsi="Times New Roman"/>
          <w:color w:val="000000"/>
        </w:rPr>
        <w:t xml:space="preserve">u </w:t>
      </w:r>
      <w:r w:rsidR="002C5B29">
        <w:rPr>
          <w:rFonts w:ascii="Times New Roman" w:hAnsi="Times New Roman"/>
          <w:color w:val="000000"/>
        </w:rPr>
        <w:t>Stada</w:t>
      </w:r>
      <w:r w:rsidRPr="00843064">
        <w:rPr>
          <w:rFonts w:ascii="Times New Roman" w:hAnsi="Times New Roman"/>
          <w:color w:val="000000"/>
        </w:rPr>
        <w:t xml:space="preserve"> obsahujú </w:t>
      </w:r>
      <w:r w:rsidRPr="00E026EE">
        <w:rPr>
          <w:rFonts w:ascii="Times New Roman" w:hAnsi="Times New Roman"/>
          <w:color w:val="000000"/>
        </w:rPr>
        <w:t xml:space="preserve">sacharózu. </w:t>
      </w:r>
      <w:r w:rsidR="00E026EE" w:rsidRPr="00E026EE">
        <w:rPr>
          <w:rFonts w:ascii="Times New Roman" w:hAnsi="Times New Roman"/>
          <w:lang w:val="pt-PT"/>
        </w:rPr>
        <w:t>Pacienti so zriedkavými dedičnými problémami intolerancie fruktózy, glukózo-galaktózovej malabsorpcie alebo deficitu sacharázy a izomaltázy nesmú užívať tento liek.</w:t>
      </w:r>
    </w:p>
    <w:p w:rsidR="00C60569" w:rsidRPr="00843064" w:rsidRDefault="00C6056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4.5 </w:t>
      </w:r>
      <w:r w:rsidR="002C5B29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Liekové a iné interakcie</w:t>
      </w:r>
    </w:p>
    <w:p w:rsidR="002C5B29" w:rsidRDefault="002C5B2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Inhibítory monoaminooxidázy (IMAO)</w:t>
      </w:r>
      <w:r w:rsidRPr="00843064">
        <w:rPr>
          <w:rFonts w:ascii="Times New Roman" w:hAnsi="Times New Roman"/>
          <w:color w:val="000000"/>
        </w:rPr>
        <w:t>: z dôvodu rizika vzniku sérotonínového syndrómu sa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nemá používať v kombinácii s neselektívnymi ireverzibilnými inhibítormi monoaminooxidázy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(IMAO) alebo minimálne 14 dní od ukončenia liečby IMAO. Vychádzajúc z biologického polčasu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duloxetínu, liečbu s IMAO je možné začať najskôr 5 dní po vysadení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(pozri časť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4.3).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Súbežné užívanie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so selektívnymi reverzibilnými IMAO, ako je moklobemid, sa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neodporúča (pozri časť 4.4). Antibiotikum linezolid je reverzibilným neselektívnym IMAO a nemá sa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podávať pacientom užívajúcim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(pozri časť 4.4).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Inhibítory CYP1A2</w:t>
      </w:r>
      <w:r w:rsidRPr="00843064">
        <w:rPr>
          <w:rFonts w:ascii="Times New Roman" w:hAnsi="Times New Roman"/>
          <w:color w:val="000000"/>
        </w:rPr>
        <w:t>: keďže CYP1A2 sa zúčastňuje na metabolizme duloxetínu,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užívanie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spolu so silnými inhibítormi CYP1A2 pravdepodobne vedie k zvýšenej koncentrácii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duloxetínu. Fluvoxamín (100 mg raz denne) ako silný inhibítor CYP1A2, znížil zdanlivý plazmatický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klírens duloxetínu o približne 77 %, pričom 6-násobne vzrástla AUCo-t . </w:t>
      </w:r>
      <w:r w:rsidR="00A4449E">
        <w:rPr>
          <w:rFonts w:ascii="Times New Roman" w:hAnsi="Times New Roman"/>
          <w:color w:val="000000"/>
        </w:rPr>
        <w:t>Duloxetín</w:t>
      </w:r>
      <w:r w:rsidRPr="00843064">
        <w:rPr>
          <w:rFonts w:ascii="Times New Roman" w:hAnsi="Times New Roman"/>
          <w:color w:val="000000"/>
        </w:rPr>
        <w:t xml:space="preserve"> </w:t>
      </w:r>
      <w:r w:rsidR="00DB404D">
        <w:rPr>
          <w:rFonts w:ascii="Times New Roman" w:hAnsi="Times New Roman"/>
          <w:color w:val="000000"/>
        </w:rPr>
        <w:t>Stada</w:t>
      </w:r>
      <w:r w:rsidRPr="00843064">
        <w:rPr>
          <w:rFonts w:ascii="Times New Roman" w:hAnsi="Times New Roman"/>
          <w:color w:val="000000"/>
        </w:rPr>
        <w:t xml:space="preserve"> sa preto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nemá podávať v kombinácii so silnými inhibítormi CYP1A2 typu fluvoxamínu (pozri časť 4.3).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s vplyvom na CNS</w:t>
      </w:r>
      <w:r w:rsidRPr="00843064">
        <w:rPr>
          <w:rFonts w:ascii="Times New Roman" w:hAnsi="Times New Roman"/>
          <w:color w:val="000000"/>
        </w:rPr>
        <w:t>: riziko užívania duloxetínu v kombinácii s inými liekmi s vplyvom na CNS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nebolo systematicky hodnotené, okrem prípadov opísaných v tejto časti. V dôsledku toho sa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užívaní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v kombinácii s inými centrálne pôsobiacimi liekmi alebo látkami, vrátane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alkoholu a liekov so sedatívnym účinkom (napr. benzodiazepíny, morfínomimetiká, antipsychotiká,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fenobarbital, sedatívne antihistaminiká) odporúča postupovať s opatrnosťou.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Séroton</w:t>
      </w:r>
      <w:r w:rsidR="008A2E2F">
        <w:rPr>
          <w:rFonts w:ascii="Times New Roman" w:hAnsi="Times New Roman"/>
          <w:i/>
          <w:iCs/>
          <w:color w:val="000000"/>
        </w:rPr>
        <w:t>ergné</w:t>
      </w:r>
      <w:r w:rsidR="00602B49">
        <w:rPr>
          <w:rFonts w:ascii="Times New Roman" w:hAnsi="Times New Roman"/>
          <w:i/>
          <w:iCs/>
          <w:color w:val="000000"/>
        </w:rPr>
        <w:t xml:space="preserve"> </w:t>
      </w:r>
      <w:r w:rsidR="0081184A">
        <w:rPr>
          <w:rFonts w:ascii="Times New Roman" w:hAnsi="Times New Roman"/>
          <w:i/>
          <w:iCs/>
          <w:color w:val="000000"/>
        </w:rPr>
        <w:t>látky</w:t>
      </w:r>
      <w:r w:rsidRPr="00843064">
        <w:rPr>
          <w:rFonts w:ascii="Times New Roman" w:hAnsi="Times New Roman"/>
          <w:color w:val="000000"/>
        </w:rPr>
        <w:t>: sérotonínový syndróm bol v zriedkavých prípadoch zaznamenaný u pacientov,</w:t>
      </w:r>
      <w:r w:rsidR="0081184A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ktorí užívali selektívne inhibítory spätného vychytávania sérotonínu (SSRI/SNRI) spolu s látkami,</w:t>
      </w:r>
      <w:r w:rsidR="0081184A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ktoré majú </w:t>
      </w:r>
      <w:r w:rsidR="002A338F" w:rsidRPr="00843064">
        <w:rPr>
          <w:rFonts w:ascii="Times New Roman" w:hAnsi="Times New Roman"/>
          <w:color w:val="000000"/>
        </w:rPr>
        <w:t>sérotonerg</w:t>
      </w:r>
      <w:r w:rsidR="002A338F">
        <w:rPr>
          <w:rFonts w:ascii="Times New Roman" w:hAnsi="Times New Roman"/>
          <w:color w:val="000000"/>
        </w:rPr>
        <w:t>n</w:t>
      </w:r>
      <w:r w:rsidR="002A338F" w:rsidRPr="00843064">
        <w:rPr>
          <w:rFonts w:ascii="Times New Roman" w:hAnsi="Times New Roman"/>
          <w:color w:val="000000"/>
        </w:rPr>
        <w:t xml:space="preserve">é </w:t>
      </w:r>
      <w:r w:rsidRPr="00843064">
        <w:rPr>
          <w:rFonts w:ascii="Times New Roman" w:hAnsi="Times New Roman"/>
          <w:color w:val="000000"/>
        </w:rPr>
        <w:t xml:space="preserve">účinky. Opatrnosť sa odporúča v prípade, ak sa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užíva</w:t>
      </w:r>
      <w:r w:rsidR="008A2E2F">
        <w:rPr>
          <w:rFonts w:ascii="Times New Roman" w:hAnsi="Times New Roman"/>
          <w:color w:val="000000"/>
        </w:rPr>
        <w:t xml:space="preserve"> súbežne so sérotonergnými</w:t>
      </w:r>
      <w:r w:rsidR="006103EB">
        <w:rPr>
          <w:rFonts w:ascii="Times New Roman" w:hAnsi="Times New Roman"/>
          <w:color w:val="000000"/>
        </w:rPr>
        <w:t xml:space="preserve"> látkami</w:t>
      </w:r>
      <w:r w:rsidR="008A2E2F">
        <w:rPr>
          <w:rFonts w:ascii="Times New Roman" w:hAnsi="Times New Roman"/>
          <w:color w:val="000000"/>
        </w:rPr>
        <w:t xml:space="preserve">, </w:t>
      </w:r>
      <w:r w:rsidRPr="00843064">
        <w:rPr>
          <w:rFonts w:ascii="Times New Roman" w:hAnsi="Times New Roman"/>
          <w:color w:val="000000"/>
        </w:rPr>
        <w:t>ak</w:t>
      </w:r>
      <w:r w:rsidR="008A2E2F"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 xml:space="preserve"> sú SSRI, SNRI a tricyklické antidepresíva ako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klomipramín alebo amitriptylín, IMAO, ak</w:t>
      </w:r>
      <w:r w:rsidR="008A2E2F"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 xml:space="preserve"> sú moklobemid alebo linezolid, s</w:t>
      </w:r>
      <w:r w:rsidR="008A2E2F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ľubovníkom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bodkovaným </w:t>
      </w:r>
      <w:r w:rsidRPr="008A2E2F">
        <w:rPr>
          <w:rFonts w:ascii="Times New Roman" w:hAnsi="Times New Roman"/>
          <w:i/>
          <w:color w:val="000000"/>
        </w:rPr>
        <w:t>(Hypericum perforatum)</w:t>
      </w:r>
      <w:r w:rsidRPr="00843064">
        <w:rPr>
          <w:rFonts w:ascii="Times New Roman" w:hAnsi="Times New Roman"/>
          <w:color w:val="000000"/>
        </w:rPr>
        <w:t xml:space="preserve"> či triptánmi, tramadolom, petidínom a tryptofánom (pozri časť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4.4).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Účinok duloxetínu na iné lieky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metabolizované CYP1A2</w:t>
      </w:r>
      <w:r w:rsidRPr="00843064">
        <w:rPr>
          <w:rFonts w:ascii="Times New Roman" w:hAnsi="Times New Roman"/>
          <w:color w:val="000000"/>
        </w:rPr>
        <w:t>: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podávanie duloxetínu (60 mg dvakrát denne) nemalo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významný vplyv na farmakokinetiku teofylínu, ktorý je substrátom CYP1A2.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Lieky metabolizované CYP2D6</w:t>
      </w:r>
      <w:r w:rsidRPr="00843064">
        <w:rPr>
          <w:rFonts w:ascii="Times New Roman" w:hAnsi="Times New Roman"/>
          <w:color w:val="000000"/>
        </w:rPr>
        <w:t>: duloxetín je mierny inhibítor CYP2D6. Keď sa duloxetín v dávke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60 mg dvakrát denne podal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ne s jednorazovou dávkou dezipramínu (substrát CYP2D6), AUC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dezipramínu sa trojnásobne zvýšila.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podávanie duloxetínu (40 mg dvakrát denne) zvyšuje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AUC tolterodínu (2 mg dvakrát denne) v rovnovážnom stave o 71 %, nijako však neovplyvnilo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farmakokinetiku jeho aktívneho 5-hydroxy metabolitu; úprava dávkovania </w:t>
      </w:r>
      <w:r w:rsidR="00D25E8C">
        <w:rPr>
          <w:rFonts w:ascii="Times New Roman" w:hAnsi="Times New Roman"/>
          <w:color w:val="000000"/>
        </w:rPr>
        <w:t>nie je nutná</w:t>
      </w:r>
      <w:r w:rsidRPr="00843064">
        <w:rPr>
          <w:rFonts w:ascii="Times New Roman" w:hAnsi="Times New Roman"/>
          <w:color w:val="000000"/>
        </w:rPr>
        <w:t>. Opatrnosť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sa však odporúča v prípade, že sa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 xml:space="preserve"> podáva súbežne s liekmi, ktoré sú metabolizované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prevažne izoenzýmom CYP2D6 (risperidón, tricyklické antidepresíva [TCAs] ako sú nortriptylín,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amitriptylín a imipramín), najmä ak tieto majú úzky terapeutický index (ako je flekainid, propafenón 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metoprolol).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Perorálne kontraceptíva a iné steroid</w:t>
      </w:r>
      <w:r w:rsidR="008A2E2F">
        <w:rPr>
          <w:rFonts w:ascii="Times New Roman" w:hAnsi="Times New Roman"/>
          <w:i/>
          <w:iCs/>
          <w:color w:val="000000"/>
        </w:rPr>
        <w:t>n</w:t>
      </w:r>
      <w:r w:rsidRPr="00843064">
        <w:rPr>
          <w:rFonts w:ascii="Times New Roman" w:hAnsi="Times New Roman"/>
          <w:i/>
          <w:iCs/>
          <w:color w:val="000000"/>
        </w:rPr>
        <w:t>é</w:t>
      </w:r>
      <w:r w:rsidR="006103EB">
        <w:rPr>
          <w:rFonts w:ascii="Times New Roman" w:hAnsi="Times New Roman"/>
          <w:i/>
          <w:iCs/>
          <w:color w:val="000000"/>
        </w:rPr>
        <w:t xml:space="preserve"> látky</w:t>
      </w:r>
      <w:r w:rsidRPr="00843064">
        <w:rPr>
          <w:rFonts w:ascii="Times New Roman" w:hAnsi="Times New Roman"/>
          <w:color w:val="000000"/>
        </w:rPr>
        <w:t xml:space="preserve">: výsledky štúdií </w:t>
      </w:r>
      <w:r w:rsidRPr="00843064">
        <w:rPr>
          <w:rFonts w:ascii="Times New Roman" w:hAnsi="Times New Roman"/>
          <w:i/>
          <w:iCs/>
          <w:color w:val="000000"/>
        </w:rPr>
        <w:t xml:space="preserve">in vitro </w:t>
      </w:r>
      <w:r w:rsidRPr="00843064">
        <w:rPr>
          <w:rFonts w:ascii="Times New Roman" w:hAnsi="Times New Roman"/>
          <w:color w:val="000000"/>
        </w:rPr>
        <w:t>preukázali, že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neindukuje katalytickú aktivitu izoenzýmov CYP3A. Špecifické </w:t>
      </w:r>
      <w:r w:rsidRPr="00843064">
        <w:rPr>
          <w:rFonts w:ascii="Times New Roman" w:hAnsi="Times New Roman"/>
          <w:i/>
          <w:iCs/>
          <w:color w:val="000000"/>
        </w:rPr>
        <w:t xml:space="preserve">in vivo </w:t>
      </w:r>
      <w:r w:rsidRPr="00843064">
        <w:rPr>
          <w:rFonts w:ascii="Times New Roman" w:hAnsi="Times New Roman"/>
          <w:color w:val="000000"/>
        </w:rPr>
        <w:t>liekové interakčné štúdie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zrealizované neboli.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Antikoagulanciá a antiagreganciá: </w:t>
      </w:r>
      <w:r w:rsidRPr="00843064">
        <w:rPr>
          <w:rFonts w:ascii="Times New Roman" w:hAnsi="Times New Roman"/>
          <w:color w:val="000000"/>
        </w:rPr>
        <w:t>Opatrnosť je potrebná, keď sa duloxetín kombinuje s perorálnymi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antikoagulanciami alebo antiagreganciami kvôli možnému zvýšeniu rizika krvácania, ktoré sa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pripisuje farmakodynamickej interakcii. Okrem toho sa zaznamenali zvýšené hodnoty INR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u pacientov liečených warfarínom, ktorým sa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ne podával duloxetín. Avšak sú</w:t>
      </w:r>
      <w:r w:rsidR="00A826D7">
        <w:rPr>
          <w:rFonts w:ascii="Times New Roman" w:hAnsi="Times New Roman"/>
          <w:color w:val="000000"/>
        </w:rPr>
        <w:t>bež</w:t>
      </w:r>
      <w:r w:rsidRPr="00843064">
        <w:rPr>
          <w:rFonts w:ascii="Times New Roman" w:hAnsi="Times New Roman"/>
          <w:color w:val="000000"/>
        </w:rPr>
        <w:t>né podávanie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duloxetínu s warfarínom zdravým dobrovoľníkom </w:t>
      </w:r>
      <w:r w:rsidR="00267350">
        <w:rPr>
          <w:rFonts w:ascii="Times New Roman" w:hAnsi="Times New Roman"/>
          <w:color w:val="000000"/>
        </w:rPr>
        <w:t>(za ustálených podmienok)</w:t>
      </w:r>
      <w:r w:rsidRPr="00843064">
        <w:rPr>
          <w:rFonts w:ascii="Times New Roman" w:hAnsi="Times New Roman"/>
          <w:color w:val="000000"/>
        </w:rPr>
        <w:t xml:space="preserve"> v rámci farmakologického</w:t>
      </w:r>
      <w:r w:rsidR="00267350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klinického skúšania nemalo za následok klinicky významné zmeny INR oproti počiatočným hodnotám</w:t>
      </w:r>
      <w:r w:rsidR="00267350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ani zmeny farmakokinetiky R- alebo S- warfarínu.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Účinok iných liekov na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Antacidá a antagonisty H2 receptorov</w:t>
      </w:r>
      <w:r w:rsidRPr="00843064">
        <w:rPr>
          <w:rFonts w:ascii="Times New Roman" w:hAnsi="Times New Roman"/>
          <w:color w:val="000000"/>
        </w:rPr>
        <w:t>: súbežné podávanie duloxetínu a antacíd obsahujúcich hliník 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horčík alebo duloxetínu s famotidínom nijako významne neovplyvnilo rýchlosť či rozsah absorpcie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po podaní dávky 40 mg perorálne.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Induktory CYP1A2: </w:t>
      </w:r>
      <w:r w:rsidRPr="00843064">
        <w:rPr>
          <w:rFonts w:ascii="Times New Roman" w:hAnsi="Times New Roman"/>
          <w:color w:val="000000"/>
        </w:rPr>
        <w:t>populačné farmakokinetické analýzy preukázali, že fajčiari majú takmer o 50 %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nižšie plazmatické koncentrácie duloxetínu než nefajčiari.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4.6 </w:t>
      </w:r>
      <w:r w:rsidR="008A2E2F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Fertilita, gravidita a laktácia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EE2805">
        <w:rPr>
          <w:rFonts w:ascii="Times New Roman" w:hAnsi="Times New Roman"/>
          <w:color w:val="000000"/>
          <w:u w:val="single"/>
        </w:rPr>
        <w:t>Gravidita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Nie sú k dispozícii dostatočné údaje o použití duloxetínu u gravidných žien. Štúdie na zvieratách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preukázali reprodukčnú toxicitu pri hladinách systémovej expozície (AUC) duloxetínu nižších než je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maximálna klinická expozícia (pozri časť 5.3).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Nie je známe potenciálne riziko u ľudí.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Epidemiologické údaje naznačujú, že používanie SSRI počas tehotenstva, zvlášť v pokročilom štádiu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tehotenstva, môže zvýšiť riziko perzistentnej pľúcnej hypertenzie u novorodencov (PPHN). Hoci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žiadna štúdia nesledovala súvislosť medzi PPHN a liečbou SNRI, toto potenciálne riziko sa nedá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vylúčiť pri duloxetíne, berúc do úvahy podobný mechanizmus účinku (inhibícia spätného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vychytávania sérotonínu).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6103E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84381">
        <w:rPr>
          <w:rFonts w:ascii="Times New Roman" w:hAnsi="Times New Roman"/>
        </w:rPr>
        <w:t>Ako aj u iných sérotonergických liekov,</w:t>
      </w:r>
      <w:r>
        <w:t xml:space="preserve"> </w:t>
      </w:r>
      <w:r>
        <w:rPr>
          <w:rFonts w:ascii="Times New Roman" w:hAnsi="Times New Roman"/>
          <w:color w:val="000000"/>
        </w:rPr>
        <w:t>a</w:t>
      </w:r>
      <w:r w:rsidR="00810B0A" w:rsidRPr="00843064">
        <w:rPr>
          <w:rFonts w:ascii="Times New Roman" w:hAnsi="Times New Roman"/>
          <w:color w:val="000000"/>
        </w:rPr>
        <w:t>k matka užívala krátko pred pôrodom duloxetín,</w:t>
      </w:r>
      <w:r w:rsidR="00391962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u novorodenca sa môžu vyskytnúť príznaky z vysadenia. Symptómy z vysadenia pozorované pri</w:t>
      </w:r>
      <w:r w:rsidR="00391962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duloxetíne môžu zahŕňať hypotóniu, tras, nepokoj, problémy s príjmom potravy, ťažkosti s</w:t>
      </w:r>
      <w:r w:rsidR="00391962">
        <w:rPr>
          <w:rFonts w:ascii="Times New Roman" w:hAnsi="Times New Roman"/>
          <w:color w:val="000000"/>
        </w:rPr>
        <w:t> </w:t>
      </w:r>
      <w:r w:rsidR="00810B0A" w:rsidRPr="00843064">
        <w:rPr>
          <w:rFonts w:ascii="Times New Roman" w:hAnsi="Times New Roman"/>
          <w:color w:val="000000"/>
        </w:rPr>
        <w:t>dýchaním</w:t>
      </w:r>
      <w:r w:rsidR="00391962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a kŕče. Väčšina prípadov sa vyskytla buď pri pôrode alebo niekoľko dní po pôrode.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A4449E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Duloxetín</w:t>
      </w:r>
      <w:r w:rsidR="00810B0A" w:rsidRPr="00843064">
        <w:rPr>
          <w:rFonts w:ascii="Times New Roman" w:hAnsi="Times New Roman"/>
          <w:color w:val="000000"/>
        </w:rPr>
        <w:t xml:space="preserve"> sa má užívať v priebehu gravidity len vtedy, ak jeho potenciálny prínos prevýši</w:t>
      </w:r>
      <w:r w:rsidR="008A2E2F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možné riziko pre plod. Ženy, ktoré otehotnejú alebo zamýšľajú otehotnieť v priebehu liečby, je</w:t>
      </w:r>
      <w:r w:rsidR="008A2E2F">
        <w:rPr>
          <w:rFonts w:ascii="Times New Roman" w:hAnsi="Times New Roman"/>
          <w:color w:val="000000"/>
        </w:rPr>
        <w:t xml:space="preserve"> </w:t>
      </w:r>
      <w:r w:rsidR="00810B0A" w:rsidRPr="00843064">
        <w:rPr>
          <w:rFonts w:ascii="Times New Roman" w:hAnsi="Times New Roman"/>
          <w:color w:val="000000"/>
        </w:rPr>
        <w:t>potrebné informovať, aby na to upozornili svojho lekára.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EE2805">
        <w:rPr>
          <w:rFonts w:ascii="Times New Roman" w:hAnsi="Times New Roman"/>
          <w:color w:val="000000"/>
          <w:u w:val="single"/>
        </w:rPr>
        <w:t>Dojčenie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 je veľmi málo vylučovaný do materského mlieka vychádzajúc zo štúdie so 6 </w:t>
      </w:r>
      <w:r w:rsidR="00DB404D">
        <w:rPr>
          <w:rFonts w:ascii="Times New Roman" w:hAnsi="Times New Roman"/>
          <w:color w:val="000000"/>
        </w:rPr>
        <w:t>laktujúcimi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ženami, ktoré nedojčili svoje deti. Odhadovaná denná dávka u dojčaťa v mg/kg je približne 0,14 %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dávky podanej matke (pozri časť 5.2). Keďže nie je známa bezpečnosť podávania duloxetínu u dojčiat,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užívanie </w:t>
      </w:r>
      <w:r w:rsidR="008A2E2F">
        <w:rPr>
          <w:rFonts w:ascii="Times New Roman" w:hAnsi="Times New Roman"/>
          <w:color w:val="000000"/>
        </w:rPr>
        <w:t>d</w:t>
      </w:r>
      <w:r w:rsidR="00A4449E">
        <w:rPr>
          <w:rFonts w:ascii="Times New Roman" w:hAnsi="Times New Roman"/>
          <w:color w:val="000000"/>
        </w:rPr>
        <w:t>uloxetín</w:t>
      </w:r>
      <w:r w:rsidRPr="00843064">
        <w:rPr>
          <w:rFonts w:ascii="Times New Roman" w:hAnsi="Times New Roman"/>
          <w:color w:val="000000"/>
        </w:rPr>
        <w:t>u sa počas dojčenia neodporúča.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A2E2F" w:rsidRPr="00EE2805" w:rsidRDefault="008A2E2F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bookmarkStart w:id="0" w:name="_GoBack"/>
      <w:r w:rsidRPr="00EE2805">
        <w:rPr>
          <w:rFonts w:ascii="Times New Roman" w:hAnsi="Times New Roman"/>
          <w:color w:val="000000"/>
          <w:u w:val="single"/>
        </w:rPr>
        <w:t>Fertilita</w:t>
      </w:r>
    </w:p>
    <w:p w:rsidR="008A2E2F" w:rsidRPr="00843064" w:rsidRDefault="008A2E2F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Duloxetín </w:t>
      </w:r>
      <w:bookmarkEnd w:id="0"/>
      <w:r w:rsidRPr="00843064">
        <w:rPr>
          <w:rFonts w:ascii="Times New Roman" w:hAnsi="Times New Roman"/>
          <w:color w:val="000000"/>
        </w:rPr>
        <w:t xml:space="preserve">nemal vplyv na mužskú fertilitu a u žien bol vplyv evidentný iba pri dávkach </w:t>
      </w:r>
      <w:r w:rsidR="009358A8">
        <w:rPr>
          <w:rFonts w:ascii="Times New Roman" w:hAnsi="Times New Roman"/>
          <w:color w:val="000000"/>
        </w:rPr>
        <w:t>toxických pre matku</w:t>
      </w:r>
      <w:r w:rsidRPr="00843064">
        <w:rPr>
          <w:rFonts w:ascii="Times New Roman" w:hAnsi="Times New Roman"/>
          <w:color w:val="000000"/>
        </w:rPr>
        <w:t>.</w:t>
      </w:r>
    </w:p>
    <w:p w:rsidR="008A2E2F" w:rsidRPr="00843064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4.7 </w:t>
      </w:r>
      <w:r w:rsidR="008A2E2F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Ovplyvnenie schopnosti viesť vozidlá a obsluhovať stroje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Neuskutočnili sa žiadne štúdie o účinkoch na schopnosť viesť vozidlá a obsluhovať stroje. </w:t>
      </w:r>
      <w:r w:rsidR="00A4449E">
        <w:rPr>
          <w:rFonts w:ascii="Times New Roman" w:hAnsi="Times New Roman"/>
          <w:color w:val="000000"/>
        </w:rPr>
        <w:t>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môže súvisieť s útlmom a závratom. Pacienti sa majú poučiť, že v prípade, ak sa u nich objaví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útlm alebo závrat, majú sa vyvarovať potenciálne nebezpečných úloh, akými sú vedenie vozidiel alebo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obsluha strojov.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4.8 </w:t>
      </w:r>
      <w:r w:rsidR="008A2E2F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Nežiaduce účinky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a. Zhrnutie bezpečnostného profilu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Najčastejšie uvádzané nežiaduce reakcie u pacientov liečených duloxetínom boli nauzea, bolesť hlavy,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sucho v ústach, somnolencia a závrat. Väčšinou však boli tieto časté nežiaduce reakcie len mierne či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stredne závažné, objavili sa krátko po začiatku terapie a väčšinou mali tendenciu odznieť aj keď liečba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pokračovala.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b. Tabuľkové zhrnutie nežiaducich reakcií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Tabuľka 1 uvádza výskyt nežiaducich reakcií zaznamenaný zo spontánnych hlásení a v placebom</w:t>
      </w:r>
    </w:p>
    <w:p w:rsidR="00810B0A" w:rsidRPr="00843064" w:rsidRDefault="00810B0A" w:rsidP="0060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kontrolovaných klinických štúdiách.</w:t>
      </w:r>
    </w:p>
    <w:p w:rsidR="008A2E2F" w:rsidRDefault="008A2E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Tabuľka 1: Nežiaduce reakcie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Frekvencia je definovaná nasledovne: veľmi časté (</w:t>
      </w:r>
      <w:r w:rsidR="008A2E2F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>1/10), časté (</w:t>
      </w:r>
      <w:r w:rsidR="008A2E2F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 xml:space="preserve">1/100 až </w:t>
      </w:r>
      <w:r w:rsidR="008A2E2F">
        <w:rPr>
          <w:rFonts w:ascii="Times New Roman" w:eastAsia="SymbolMT" w:hAnsi="Times New Roman"/>
          <w:color w:val="000000"/>
        </w:rPr>
        <w:t xml:space="preserve">&lt; </w:t>
      </w:r>
      <w:r w:rsidRPr="00843064">
        <w:rPr>
          <w:rFonts w:ascii="Times New Roman" w:hAnsi="Times New Roman"/>
          <w:color w:val="000000"/>
        </w:rPr>
        <w:t>1/10), menej časté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</w:t>
      </w:r>
      <w:r w:rsidR="008A2E2F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 xml:space="preserve">1/1 000 až </w:t>
      </w:r>
      <w:r w:rsidR="008A2E2F">
        <w:rPr>
          <w:rFonts w:ascii="Times New Roman" w:eastAsia="SymbolMT" w:hAnsi="Times New Roman"/>
          <w:color w:val="000000"/>
        </w:rPr>
        <w:t xml:space="preserve">&lt; </w:t>
      </w:r>
      <w:r w:rsidRPr="00843064">
        <w:rPr>
          <w:rFonts w:ascii="Times New Roman" w:hAnsi="Times New Roman"/>
          <w:color w:val="000000"/>
        </w:rPr>
        <w:t>1/100), zriedkavé (</w:t>
      </w:r>
      <w:r w:rsidR="008A2E2F">
        <w:rPr>
          <w:rFonts w:ascii="Times New Roman" w:eastAsia="SymbolMT" w:hAnsi="Times New Roman"/>
          <w:color w:val="000000"/>
        </w:rPr>
        <w:t>≥</w:t>
      </w:r>
      <w:r w:rsidRPr="00843064">
        <w:rPr>
          <w:rFonts w:ascii="Times New Roman" w:eastAsia="SymbolMT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1/10 000 až &lt; 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1/1 000), veľmi zriedkavé (&lt;</w:t>
      </w:r>
      <w:r w:rsidR="008A2E2F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1/10 000).</w:t>
      </w:r>
    </w:p>
    <w:p w:rsidR="006103EB" w:rsidRPr="00843064" w:rsidRDefault="006103E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rámci jednotlivých skupín frekvencií sú nežiaduce účinky usporiadané v poradí klesajúcej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závažnosti.</w:t>
      </w:r>
    </w:p>
    <w:p w:rsidR="00936EE2" w:rsidRDefault="00936EE2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77"/>
        <w:gridCol w:w="2037"/>
        <w:gridCol w:w="1988"/>
        <w:gridCol w:w="1757"/>
      </w:tblGrid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Veľmi časté</w:t>
            </w: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Časté</w:t>
            </w: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Menej časté</w:t>
            </w: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Zriedkavé</w:t>
            </w: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75FD4">
              <w:rPr>
                <w:rFonts w:ascii="Times New Roman" w:hAnsi="Times New Roman"/>
                <w:b/>
                <w:bCs/>
                <w:color w:val="000000"/>
              </w:rPr>
              <w:t>Veľmi zriedkavé</w:t>
            </w:r>
          </w:p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6EE2" w:rsidRPr="00475FD4" w:rsidTr="00475FD4">
        <w:tc>
          <w:tcPr>
            <w:tcW w:w="9288" w:type="dxa"/>
            <w:gridSpan w:val="5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Infekcie a nákazy</w:t>
            </w:r>
          </w:p>
        </w:tc>
      </w:tr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Laryngitída</w:t>
            </w: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6EE2" w:rsidRPr="00475FD4" w:rsidTr="00475FD4">
        <w:tc>
          <w:tcPr>
            <w:tcW w:w="9288" w:type="dxa"/>
            <w:gridSpan w:val="5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imunitného systému</w:t>
            </w:r>
          </w:p>
        </w:tc>
      </w:tr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Anafylaktická</w:t>
            </w:r>
          </w:p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reakcia</w:t>
            </w:r>
          </w:p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Hypersenzitivita</w:t>
            </w: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36EE2" w:rsidRPr="00475FD4" w:rsidTr="00475FD4">
        <w:tc>
          <w:tcPr>
            <w:tcW w:w="9288" w:type="dxa"/>
            <w:gridSpan w:val="5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endokrinného systému</w:t>
            </w:r>
          </w:p>
        </w:tc>
      </w:tr>
      <w:tr w:rsidR="00936EE2" w:rsidRPr="00475FD4" w:rsidTr="00475FD4">
        <w:tc>
          <w:tcPr>
            <w:tcW w:w="172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Hypotyreóza</w:t>
            </w:r>
          </w:p>
        </w:tc>
        <w:tc>
          <w:tcPr>
            <w:tcW w:w="1758" w:type="dxa"/>
            <w:shd w:val="clear" w:color="auto" w:fill="auto"/>
          </w:tcPr>
          <w:p w:rsidR="00936EE2" w:rsidRPr="00475FD4" w:rsidRDefault="00936EE2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E6E87" w:rsidRPr="00475FD4" w:rsidTr="00475FD4">
        <w:tc>
          <w:tcPr>
            <w:tcW w:w="9288" w:type="dxa"/>
            <w:gridSpan w:val="5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metabolizmu a výživy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Pokles chuti do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jedla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Hyperglykémia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(hlásená hlavne u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pacientov s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diabetom)</w:t>
            </w:r>
          </w:p>
        </w:tc>
        <w:tc>
          <w:tcPr>
            <w:tcW w:w="198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Dehydratácia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Hyponatriémia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SIADH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E6E87" w:rsidRPr="00475FD4" w:rsidTr="00475FD4">
        <w:tc>
          <w:tcPr>
            <w:tcW w:w="9288" w:type="dxa"/>
            <w:gridSpan w:val="5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Psychické poruchy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Nespavosť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Agitácia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Pokles libida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Úzkosť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Abnormálny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orgazmus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Abnormálne sny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Suicidálne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myšlienky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5</w:t>
            </w:r>
            <w:r w:rsidR="005126D7" w:rsidRPr="00475FD4">
              <w:rPr>
                <w:rFonts w:ascii="Times New Roman" w:hAnsi="Times New Roman"/>
                <w:color w:val="000000"/>
                <w:vertAlign w:val="superscript"/>
              </w:rPr>
              <w:t>, 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 spánku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Škrípanie zubami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Dezorientácia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Apatia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Suicidálne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475FD4">
              <w:rPr>
                <w:rFonts w:ascii="Times New Roman" w:hAnsi="Times New Roman"/>
                <w:color w:val="000000"/>
              </w:rPr>
              <w:t>správanie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5, 7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Mánia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Halucinácie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Agresia a hnev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4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nervového systému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hlavy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Spavosť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Závrat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Letargia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Tras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Parestézia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Myoklónia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Akatízia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Nervozita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pozornosti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 chuti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Dyskinéza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Syndróm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nepokojných nôh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Znížená kvalita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spánku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Sérotonínový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syndróm</w:t>
            </w:r>
            <w:r w:rsidR="005126D7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Kŕč</w:t>
            </w:r>
            <w:r w:rsidR="005126D7"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Psychomotorický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nepokoj</w:t>
            </w:r>
            <w:r w:rsidR="005126D7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Extrapyramídové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symptómy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oka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Neostré videnie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Mydriáza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Zhoršenie zraku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Glaukóm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ucha a labyrintu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Tinitus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Vertigo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ucha</w:t>
            </w:r>
          </w:p>
        </w:tc>
        <w:tc>
          <w:tcPr>
            <w:tcW w:w="198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srdca a srdcovej činnosti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Palpitácie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Tachykardia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Supraventrikulárna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arytmia,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hlavne atriálna</w:t>
            </w:r>
          </w:p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fibrilácia</w:t>
            </w:r>
          </w:p>
        </w:tc>
        <w:tc>
          <w:tcPr>
            <w:tcW w:w="198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ciev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Zvýšenie krvného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tlaku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Sčervenenie</w:t>
            </w:r>
          </w:p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Synkopa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C84381">
              <w:rPr>
                <w:rFonts w:ascii="Times New Roman" w:hAnsi="Times New Roman"/>
                <w:color w:val="000000"/>
              </w:rPr>
              <w:t>Hypertenzia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3, 7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Ortostatická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hypotenzia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Chlad periférnej</w:t>
            </w:r>
          </w:p>
          <w:p w:rsidR="00AE6E87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časti končatín</w:t>
            </w:r>
          </w:p>
        </w:tc>
        <w:tc>
          <w:tcPr>
            <w:tcW w:w="1988" w:type="dxa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Hypertenzná</w:t>
            </w:r>
          </w:p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C84381">
              <w:rPr>
                <w:rFonts w:ascii="Times New Roman" w:hAnsi="Times New Roman"/>
                <w:color w:val="000000"/>
              </w:rPr>
              <w:t>kríza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3, 6</w:t>
            </w:r>
          </w:p>
          <w:p w:rsidR="00AE6E87" w:rsidRPr="00C84381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C84381">
              <w:rPr>
                <w:rFonts w:ascii="Times New Roman" w:hAnsi="Times New Roman"/>
                <w:i/>
                <w:iCs/>
                <w:color w:val="000000"/>
              </w:rPr>
              <w:t>Poruchy dýchacej sústavy, hrudníka a mediastína</w:t>
            </w:r>
          </w:p>
        </w:tc>
      </w:tr>
      <w:tr w:rsidR="00AE6E87" w:rsidRPr="00475FD4" w:rsidTr="00475FD4">
        <w:tc>
          <w:tcPr>
            <w:tcW w:w="172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E6E87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Zívanie</w:t>
            </w:r>
          </w:p>
        </w:tc>
        <w:tc>
          <w:tcPr>
            <w:tcW w:w="2037" w:type="dxa"/>
            <w:shd w:val="clear" w:color="auto" w:fill="auto"/>
          </w:tcPr>
          <w:p w:rsidR="00E947C9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Zvieranie hrdla</w:t>
            </w:r>
          </w:p>
          <w:p w:rsidR="00AE6E87" w:rsidRPr="00C84381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Epistaxa</w:t>
            </w:r>
          </w:p>
        </w:tc>
        <w:tc>
          <w:tcPr>
            <w:tcW w:w="1988" w:type="dxa"/>
            <w:shd w:val="clear" w:color="auto" w:fill="auto"/>
          </w:tcPr>
          <w:p w:rsidR="00AE6E87" w:rsidRPr="00C84381" w:rsidRDefault="00602B4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Intersticiálna choroba pľúc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>10</w:t>
            </w:r>
          </w:p>
          <w:p w:rsidR="00602B49" w:rsidRPr="00C84381" w:rsidRDefault="00602B4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  <w:color w:val="000000"/>
              </w:rPr>
              <w:t>Eozinofilná pneumónia</w:t>
            </w:r>
            <w:r w:rsidRPr="00C84381">
              <w:rPr>
                <w:rFonts w:ascii="Times New Roman" w:hAnsi="Times New Roman"/>
                <w:color w:val="000000"/>
                <w:vertAlign w:val="superscript"/>
              </w:rPr>
              <w:t xml:space="preserve">11   </w:t>
            </w:r>
          </w:p>
        </w:tc>
        <w:tc>
          <w:tcPr>
            <w:tcW w:w="1758" w:type="dxa"/>
            <w:shd w:val="clear" w:color="auto" w:fill="auto"/>
          </w:tcPr>
          <w:p w:rsidR="00AE6E87" w:rsidRPr="00475FD4" w:rsidRDefault="00AE6E87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9288" w:type="dxa"/>
            <w:gridSpan w:val="5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gastrointestinálneho traktu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Nauzea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Sucho v ústach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Zápcha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Hnačka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brucha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Vracanie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Dyspepsia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Plynatosť</w:t>
            </w:r>
          </w:p>
        </w:tc>
        <w:tc>
          <w:tcPr>
            <w:tcW w:w="203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Gastrointestinálne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krvácanie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7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Gastroenteritída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Grganie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Gastritída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Dysfágia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Stomatitída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Hematochézia</w:t>
            </w:r>
          </w:p>
          <w:p w:rsidR="00E947C9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Zápach z</w:t>
            </w:r>
            <w:r w:rsidR="006103EB">
              <w:rPr>
                <w:rFonts w:ascii="Times New Roman" w:hAnsi="Times New Roman"/>
                <w:color w:val="000000"/>
              </w:rPr>
              <w:t> </w:t>
            </w:r>
            <w:r w:rsidRPr="00475FD4">
              <w:rPr>
                <w:rFonts w:ascii="Times New Roman" w:hAnsi="Times New Roman"/>
                <w:color w:val="000000"/>
              </w:rPr>
              <w:t>úst</w:t>
            </w:r>
          </w:p>
          <w:p w:rsidR="006103EB" w:rsidRPr="00602B49" w:rsidRDefault="006103EB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84381">
              <w:rPr>
                <w:rFonts w:ascii="Times New Roman" w:hAnsi="Times New Roman"/>
              </w:rPr>
              <w:t>Mikroskopická kolitída</w:t>
            </w:r>
            <w:r w:rsidRPr="00C84381">
              <w:rPr>
                <w:rFonts w:ascii="Times New Roman" w:hAnsi="Times New Roman"/>
                <w:vertAlign w:val="superscript"/>
              </w:rPr>
              <w:t>9</w:t>
            </w: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pečene a žlčových ciest</w:t>
            </w: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Hepatitída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Zvýšené hladiny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pečeňových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enzýmov (ALT,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AST, alkalická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fosfatáza)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Akútne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poškodenie</w:t>
            </w:r>
          </w:p>
          <w:p w:rsidR="00E947C9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pečene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Zlyhanie pečene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Žltačka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kože a podkožného tkaniva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Zvýšené potenie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Vyrážka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Nočné potenie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Urtikária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Kontaktná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dermatitída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Studený pot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Fotosenzitívne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reakcie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Zvýšený sklon k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tvorbe modrín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Stevensov-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Johnsonov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syndróm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Angioneurotický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edém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6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Kožná vaskulitída</w:t>
            </w: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kostrovej a svalovej sústavy a spojivového tkaniva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svalov 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kostí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Svalový kŕč</w:t>
            </w: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Napätie svalov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Zášklby svalov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Trizmus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obličiek a močových ciest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Dyzúria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Polakizúria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Zadržiavanie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moču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Močenie s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oneskoreným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štartom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Noktúria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Polyúria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Slabý prúd moču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Abnormálny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zápach moču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Poruchy reprodukčného systému a prsníkov</w:t>
            </w: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Erektilná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dysfunkcia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ejakulácie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Oneskorená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ejakulácia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Gynekologické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krvácanie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menštruácie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Sexuálna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dysfunkcia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Testikulárna</w:t>
            </w:r>
          </w:p>
          <w:p w:rsidR="00E947C9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Menopauzálne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symptómy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Galaktorea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Hyperprolaktinémia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Celkové poruchy a reakcie v mieste podania</w:t>
            </w:r>
          </w:p>
        </w:tc>
      </w:tr>
      <w:tr w:rsidR="00E947C9" w:rsidRPr="00475FD4" w:rsidTr="00475FD4">
        <w:tc>
          <w:tcPr>
            <w:tcW w:w="172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Pády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8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Únava</w:t>
            </w:r>
          </w:p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Bolesť v hrudi</w:t>
            </w:r>
            <w:r w:rsidRPr="00475FD4">
              <w:rPr>
                <w:rFonts w:ascii="Times New Roman" w:hAnsi="Times New Roman"/>
                <w:color w:val="000000"/>
                <w:vertAlign w:val="superscript"/>
              </w:rPr>
              <w:t>7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Neobvyklé pocity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Pocit chladu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Smäd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Zimnica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Malátnosť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Pocit tepla</w:t>
            </w:r>
          </w:p>
          <w:p w:rsidR="00E947C9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Porucha chôdze</w:t>
            </w:r>
          </w:p>
        </w:tc>
        <w:tc>
          <w:tcPr>
            <w:tcW w:w="198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E947C9" w:rsidRPr="00475FD4" w:rsidRDefault="00E947C9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2522F" w:rsidRPr="00475FD4" w:rsidTr="00475FD4">
        <w:tc>
          <w:tcPr>
            <w:tcW w:w="9288" w:type="dxa"/>
            <w:gridSpan w:val="5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475FD4">
              <w:rPr>
                <w:rFonts w:ascii="Times New Roman" w:hAnsi="Times New Roman"/>
                <w:i/>
                <w:iCs/>
                <w:color w:val="000000"/>
              </w:rPr>
              <w:t>Laboratórne a funkčné vyšetrenia</w:t>
            </w:r>
          </w:p>
        </w:tc>
      </w:tr>
      <w:tr w:rsidR="00A2522F" w:rsidRPr="00475FD4" w:rsidTr="00475FD4">
        <w:tc>
          <w:tcPr>
            <w:tcW w:w="172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Pokles hmotnosti</w:t>
            </w:r>
          </w:p>
        </w:tc>
        <w:tc>
          <w:tcPr>
            <w:tcW w:w="2037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Nárast hmotnosti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Zvýšená hladina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kreatinínfosfokinázy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v krvi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Zvýšená hladina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draslíka v krvi</w:t>
            </w:r>
          </w:p>
        </w:tc>
        <w:tc>
          <w:tcPr>
            <w:tcW w:w="198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Zvýšená hladina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5FD4">
              <w:rPr>
                <w:rFonts w:ascii="Times New Roman" w:hAnsi="Times New Roman"/>
                <w:color w:val="000000"/>
              </w:rPr>
              <w:t>cholesterolu v krvi</w:t>
            </w:r>
          </w:p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8" w:type="dxa"/>
            <w:shd w:val="clear" w:color="auto" w:fill="auto"/>
          </w:tcPr>
          <w:p w:rsidR="00A2522F" w:rsidRPr="00475FD4" w:rsidRDefault="00A2522F" w:rsidP="00475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36EE2" w:rsidRPr="00C84381" w:rsidRDefault="00936EE2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Boli hlásené tiež prípady kŕčov a tinitu po skončení liečby.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2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Hlavne na začiatku liečby boli hlásené prípady ortostatickej hypotenzie a synkopy.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3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Pozri časť 4.4.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4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Boli hlásené prípady agresie a hnevu hlavne na začiatku liečby alebo po skončení liečby.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5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Boli hlásené prípady samovražedných myšlienok a samovražedného správania počas liečby</w:t>
      </w:r>
    </w:p>
    <w:p w:rsidR="00810B0A" w:rsidRPr="00C84381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810B0A" w:rsidRPr="00C84381">
        <w:rPr>
          <w:rFonts w:ascii="Times New Roman" w:hAnsi="Times New Roman"/>
          <w:color w:val="000000"/>
          <w:sz w:val="20"/>
          <w:szCs w:val="20"/>
        </w:rPr>
        <w:t>duloxetínom alebo v krátkom čase po skončení liečby (pozri časť 4.4).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6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Odhado</w:t>
      </w:r>
      <w:r w:rsidR="00A2522F" w:rsidRPr="00C84381">
        <w:rPr>
          <w:rFonts w:ascii="Times New Roman" w:hAnsi="Times New Roman"/>
          <w:color w:val="000000"/>
          <w:sz w:val="20"/>
          <w:szCs w:val="20"/>
        </w:rPr>
        <w:t>vaná frekvencia na základe post</w:t>
      </w:r>
      <w:r w:rsidRPr="00C84381">
        <w:rPr>
          <w:rFonts w:ascii="Times New Roman" w:hAnsi="Times New Roman"/>
          <w:color w:val="000000"/>
          <w:sz w:val="20"/>
          <w:szCs w:val="20"/>
        </w:rPr>
        <w:t>marketingového sledovania nežiaducich reakcií:</w:t>
      </w:r>
    </w:p>
    <w:p w:rsidR="00810B0A" w:rsidRPr="00C84381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810B0A" w:rsidRPr="00C84381">
        <w:rPr>
          <w:rFonts w:ascii="Times New Roman" w:hAnsi="Times New Roman"/>
          <w:color w:val="000000"/>
          <w:sz w:val="20"/>
          <w:szCs w:val="20"/>
        </w:rPr>
        <w:t>nepozorované v placebom kontrolovaných klinických skúšaniach.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7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Nie je štatisticky významný rozdiel oproti placebu.</w:t>
      </w:r>
    </w:p>
    <w:p w:rsidR="00810B0A" w:rsidRPr="00C84381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color w:val="000000"/>
          <w:sz w:val="20"/>
          <w:szCs w:val="20"/>
          <w:vertAlign w:val="superscript"/>
        </w:rPr>
        <w:t>8</w:t>
      </w:r>
      <w:r w:rsidRPr="00C84381">
        <w:rPr>
          <w:rFonts w:ascii="Times New Roman" w:hAnsi="Times New Roman"/>
          <w:color w:val="000000"/>
          <w:sz w:val="20"/>
          <w:szCs w:val="20"/>
        </w:rPr>
        <w:t xml:space="preserve"> Pády boli častejšie u starších pacientov (</w:t>
      </w:r>
      <w:r w:rsidR="00A2522F" w:rsidRPr="00C84381">
        <w:rPr>
          <w:rFonts w:ascii="Times New Roman" w:hAnsi="Times New Roman"/>
          <w:color w:val="000000"/>
          <w:sz w:val="20"/>
          <w:szCs w:val="20"/>
        </w:rPr>
        <w:t xml:space="preserve">≥ </w:t>
      </w:r>
      <w:r w:rsidRPr="00C84381">
        <w:rPr>
          <w:rFonts w:ascii="Times New Roman" w:hAnsi="Times New Roman"/>
          <w:color w:val="000000"/>
          <w:sz w:val="20"/>
          <w:szCs w:val="20"/>
        </w:rPr>
        <w:t>65 rokov).</w:t>
      </w:r>
    </w:p>
    <w:p w:rsidR="006103EB" w:rsidRPr="00C84381" w:rsidRDefault="006103E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84381">
        <w:rPr>
          <w:rFonts w:ascii="Times New Roman" w:hAnsi="Times New Roman"/>
          <w:sz w:val="20"/>
          <w:szCs w:val="20"/>
          <w:vertAlign w:val="superscript"/>
        </w:rPr>
        <w:t>9</w:t>
      </w:r>
      <w:r w:rsidRPr="00C84381">
        <w:rPr>
          <w:rFonts w:ascii="Times New Roman" w:hAnsi="Times New Roman"/>
          <w:sz w:val="20"/>
          <w:szCs w:val="20"/>
        </w:rPr>
        <w:t xml:space="preserve"> Odhadovaná frekvencia na základe údajov zo všetkých klinických skúšaní.</w:t>
      </w:r>
    </w:p>
    <w:p w:rsidR="00A2522F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4381">
        <w:rPr>
          <w:rFonts w:ascii="Times New Roman" w:hAnsi="Times New Roman"/>
          <w:iCs/>
          <w:color w:val="000000"/>
          <w:sz w:val="20"/>
          <w:szCs w:val="20"/>
          <w:vertAlign w:val="superscript"/>
        </w:rPr>
        <w:t>10</w:t>
      </w:r>
      <w:r w:rsidRPr="00C84381">
        <w:rPr>
          <w:rFonts w:ascii="Times New Roman" w:hAnsi="Times New Roman"/>
          <w:iCs/>
          <w:color w:val="000000"/>
          <w:sz w:val="20"/>
          <w:szCs w:val="20"/>
        </w:rPr>
        <w:t xml:space="preserve"> </w:t>
      </w:r>
      <w:r w:rsidRPr="00C84381">
        <w:rPr>
          <w:rFonts w:ascii="Times New Roman" w:hAnsi="Times New Roman"/>
          <w:sz w:val="20"/>
          <w:szCs w:val="20"/>
        </w:rPr>
        <w:t>Odhadovaná frekvencia na základe klinických skúšaní kontrolovaných placebom.</w:t>
      </w:r>
    </w:p>
    <w:p w:rsidR="00602B49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4381">
        <w:rPr>
          <w:rFonts w:ascii="Times New Roman" w:hAnsi="Times New Roman"/>
          <w:sz w:val="20"/>
          <w:szCs w:val="20"/>
          <w:vertAlign w:val="superscript"/>
        </w:rPr>
        <w:t>11</w:t>
      </w:r>
      <w:r w:rsidRPr="00C84381">
        <w:rPr>
          <w:rFonts w:ascii="Times New Roman" w:hAnsi="Times New Roman"/>
          <w:sz w:val="20"/>
          <w:szCs w:val="20"/>
        </w:rPr>
        <w:t xml:space="preserve"> Odhadovaná frekvencia nežiaducich reakcií zo sledovaní po uvedení lieku na trh, ktoré neboli </w:t>
      </w:r>
    </w:p>
    <w:p w:rsidR="00602B49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84381">
        <w:rPr>
          <w:rFonts w:ascii="Times New Roman" w:hAnsi="Times New Roman"/>
          <w:sz w:val="20"/>
          <w:szCs w:val="20"/>
        </w:rPr>
        <w:t xml:space="preserve">   pozorované v klinických skúšaniach kontrolovaných placebom.</w:t>
      </w:r>
    </w:p>
    <w:p w:rsidR="00602B49" w:rsidRPr="00C84381" w:rsidRDefault="00602B49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c. Opis vybraných nežiaducich reakcií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Vysadenie duloxetínu (hlavne náhle) vedie často k vzniku príznakov z vysadenia. Najčastejšie sú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hlásené tieto príznaky: závrat, senzorické poruchy (vrátane parestézie alebo vnemov ako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elektrickom šoku, najmä v hlave), poruchy spánku (vrátane insomnie a intenzívnych snov), únava,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ospalosť, agitovanosť alebo úzkosť, nauzea a/alebo vracanie, tras, bolesť hlavy, myalgia,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podráždenosť, hnačka a zvýšené potenie</w:t>
      </w:r>
      <w:r w:rsidR="009358A8">
        <w:rPr>
          <w:rFonts w:ascii="Times New Roman" w:hAnsi="Times New Roman"/>
          <w:color w:val="000000"/>
        </w:rPr>
        <w:t xml:space="preserve"> a vertigo</w:t>
      </w:r>
      <w:r w:rsidRPr="00843064">
        <w:rPr>
          <w:rFonts w:ascii="Times New Roman" w:hAnsi="Times New Roman"/>
          <w:color w:val="000000"/>
        </w:rPr>
        <w:t>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Zvyčajne sú tieto reakcie, v prípade SSRI a SNRI, slabé až mierne a samé odznejú, avšak u niektorých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pacientov môžu byť vážne a/alebo dlhšieho trvania. Preto sa odporúča, ak nie je liečba duloxetínom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ďalej potrebná, postupné vysadenie liečby znižovaním dávky (pozri časti 4.2 a 4.4).</w:t>
      </w:r>
    </w:p>
    <w:p w:rsidR="00A2522F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12-týždňovej akútnej fáze troch klinických štúdií s duloxetínom u pacientov trpiacich diabetickou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neuropatickou bolesťou došlo u pacientov liečených duloxetínom k miernemu, avšak štatisticky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významnému zvýšeniu hladiny glukózy v krvi nalačno. Hodnoty HbA1c boli stabilné aj u pacientov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liečených duloxetínom aj u pacientov s placebom. V následnej fáze týchto štúdií, ktorá trvala až 52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týždňov, sa objavilo v oboch skupinách pacientov zvýšenie hodnoty HbA1c, pričom priemerné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zvýšenie bolo o 0,3 % vyššie v skupine pacientov liečených duloxetínom. Zaznamenalo sa tiež mierne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zvýšenie glukózy v krvi nalačno a celkového cholesterolu u pacientov liečených duloxetínom, pričom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tieto laboratórne testy v kontrolnej skupine ukázali mierny pokles.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QT interval korigovaný podľa srdcovej frekvencie sa u pacientov liečených duloxetínom nelíšil od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toho zisteného u placebom liečených pacientov. V rámci porovnania pacientov liečených duloxetínom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pacientov liečených placebom pri meraniach QT, PR, QRS, a QTcB žiadne klinicky významné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rozdiely zistené neboli.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d. Pediatrická populácia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klinických štúdiách bolo duloxetínom liečených celkovo 509 pediatrických pacientov s veľkou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depresívnou poruchou vo veku 7 až 17 rokov a 241 pediatrických pacientov s generalizovanou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úzkostnou poruchou vo veku 7 až 17 rokov. Vo všeobecnosti bol profil nežiaducich reakcií duloxetínu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detí a dospievajúcich podobný tomu u dospelých.</w:t>
      </w:r>
    </w:p>
    <w:p w:rsidR="00A2522F" w:rsidRPr="00843064" w:rsidRDefault="00A2522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6E3D5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Celko</w:t>
      </w:r>
      <w:r>
        <w:rPr>
          <w:rFonts w:ascii="Times New Roman" w:hAnsi="Times New Roman"/>
          <w:color w:val="000000"/>
        </w:rPr>
        <w:t>vo</w:t>
      </w:r>
      <w:r w:rsidRPr="0084306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u </w:t>
      </w:r>
      <w:r w:rsidR="00810B0A" w:rsidRPr="00843064">
        <w:rPr>
          <w:rFonts w:ascii="Times New Roman" w:hAnsi="Times New Roman"/>
          <w:color w:val="000000"/>
        </w:rPr>
        <w:t>467 pediatrických pacientov pôvodne randomizovaných na duloxetín v klinických štúdiách</w:t>
      </w:r>
    </w:p>
    <w:p w:rsidR="00810B0A" w:rsidRPr="001035AD" w:rsidRDefault="006E3D54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sa </w:t>
      </w:r>
      <w:r w:rsidRPr="001035AD">
        <w:rPr>
          <w:rFonts w:ascii="Times New Roman" w:hAnsi="Times New Roman"/>
          <w:color w:val="000000"/>
        </w:rPr>
        <w:t xml:space="preserve">zistilo </w:t>
      </w:r>
      <w:r w:rsidR="00810B0A" w:rsidRPr="001035AD">
        <w:rPr>
          <w:rFonts w:ascii="Times New Roman" w:hAnsi="Times New Roman"/>
          <w:color w:val="000000"/>
        </w:rPr>
        <w:t>zníženie hmotnosti v priemere o 0,1 kg počas 10 týždňov v porovnaní s nárastom v priemere</w:t>
      </w: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o 0,9 kg u 353 pacientov užívajúcich placebo. Následne počas 4- až 6-mesačnej predĺženej fázy mali</w:t>
      </w: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pacienti v priemere tendenciu k návratu k svojmu pôvodnému percentilu hmotnosti očakávanému na</w:t>
      </w: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základe populačných údajov o veku a pohlaví rovesníkov.</w:t>
      </w:r>
    </w:p>
    <w:p w:rsidR="00A2522F" w:rsidRPr="001035AD" w:rsidRDefault="00A2522F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1035AD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35AD">
        <w:rPr>
          <w:rFonts w:ascii="Times New Roman" w:hAnsi="Times New Roman"/>
          <w:color w:val="000000"/>
        </w:rPr>
        <w:t>V klinických štúdiách v trvaní najviac 9 mesiacov bol u pediatrických pacientov liečených</w:t>
      </w:r>
    </w:p>
    <w:p w:rsidR="00810B0A" w:rsidRPr="004E29FA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29FA">
        <w:rPr>
          <w:rFonts w:ascii="Times New Roman" w:hAnsi="Times New Roman"/>
          <w:color w:val="000000"/>
        </w:rPr>
        <w:t>duloxetínom v percentilovom grafe telesnej výšky pozorovaný celkový priemerný pokles o 1 %</w:t>
      </w:r>
    </w:p>
    <w:p w:rsidR="00810B0A" w:rsidRPr="004E29FA" w:rsidRDefault="00810B0A" w:rsidP="0010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29FA">
        <w:rPr>
          <w:rFonts w:ascii="Times New Roman" w:hAnsi="Times New Roman"/>
          <w:color w:val="000000"/>
        </w:rPr>
        <w:t>(pokles o 2 % u detí (7-11 rokov) a nárast o 0,3 % u dospievajúcich (12-17 rokov)) (pozri časť 4.4).</w:t>
      </w:r>
    </w:p>
    <w:p w:rsidR="00A2522F" w:rsidRPr="008C055A" w:rsidRDefault="00A2522F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103EB" w:rsidRPr="008C055A" w:rsidRDefault="006103EB" w:rsidP="008C055A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</w:rPr>
      </w:pPr>
      <w:r w:rsidRPr="008C055A">
        <w:rPr>
          <w:rFonts w:ascii="Times New Roman" w:hAnsi="Times New Roman"/>
          <w:u w:val="single"/>
        </w:rPr>
        <w:t>Hlásenie podozrení na nežiaduce reakcie</w:t>
      </w:r>
    </w:p>
    <w:p w:rsidR="008C055A" w:rsidRPr="008C055A" w:rsidRDefault="008C055A" w:rsidP="008C0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</w:rPr>
      </w:pPr>
      <w:r w:rsidRPr="008C055A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8C055A">
        <w:rPr>
          <w:rFonts w:ascii="Times New Roman" w:hAnsi="Times New Roman"/>
          <w:shd w:val="clear" w:color="auto" w:fill="C0C0C0"/>
        </w:rPr>
        <w:t>národné centrum hlásenia uvedené v </w:t>
      </w:r>
      <w:hyperlink r:id="rId7" w:history="1">
        <w:r w:rsidRPr="008C055A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8C055A">
        <w:rPr>
          <w:rStyle w:val="Hypertextovprepojenie"/>
          <w:rFonts w:ascii="Times New Roman" w:hAnsi="Times New Roman"/>
        </w:rPr>
        <w:t>.</w:t>
      </w:r>
    </w:p>
    <w:p w:rsidR="00A2522F" w:rsidRPr="008C055A" w:rsidRDefault="00A2522F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C055A" w:rsidRDefault="00810B0A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C055A">
        <w:rPr>
          <w:rFonts w:ascii="Times New Roman" w:hAnsi="Times New Roman"/>
          <w:b/>
          <w:bCs/>
          <w:color w:val="000000"/>
        </w:rPr>
        <w:t xml:space="preserve">4.9 </w:t>
      </w:r>
      <w:r w:rsidR="00942017" w:rsidRPr="008C055A">
        <w:rPr>
          <w:rFonts w:ascii="Times New Roman" w:hAnsi="Times New Roman"/>
          <w:b/>
          <w:bCs/>
          <w:color w:val="000000"/>
        </w:rPr>
        <w:tab/>
      </w:r>
      <w:r w:rsidRPr="008C055A">
        <w:rPr>
          <w:rFonts w:ascii="Times New Roman" w:hAnsi="Times New Roman"/>
          <w:b/>
          <w:bCs/>
          <w:color w:val="000000"/>
        </w:rPr>
        <w:t>Predávkovanie</w:t>
      </w:r>
    </w:p>
    <w:p w:rsidR="00942017" w:rsidRPr="008C055A" w:rsidRDefault="00942017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C055A" w:rsidRDefault="00810B0A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C055A">
        <w:rPr>
          <w:rFonts w:ascii="Times New Roman" w:hAnsi="Times New Roman"/>
          <w:color w:val="000000"/>
        </w:rPr>
        <w:t>Zaznamenali sa prípady predávkovania duloxetínom samotným alebo v kombinácii s inými liekmi,</w:t>
      </w:r>
    </w:p>
    <w:p w:rsidR="00810B0A" w:rsidRPr="00843064" w:rsidRDefault="00810B0A" w:rsidP="008C05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C055A">
        <w:rPr>
          <w:rFonts w:ascii="Times New Roman" w:hAnsi="Times New Roman"/>
          <w:color w:val="000000"/>
        </w:rPr>
        <w:t>v dávke 5 400 mg. Vyskytlo sa i niekoľko prípadov úmrtia, najmä</w:t>
      </w:r>
      <w:r w:rsidRPr="00843064">
        <w:rPr>
          <w:rFonts w:ascii="Times New Roman" w:hAnsi="Times New Roman"/>
          <w:color w:val="000000"/>
        </w:rPr>
        <w:t xml:space="preserve"> pri predávkovaní kombináciou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liekov, ale aj pri predávkovaní samotným duloxetínom v dávke približne 1000 mg. Príznaky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symptómy predávkovania (samotným duloxetínom alebo v kombinácii s inými liekmi) zahŕňajú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somnolenciu, kómu, sérotonínový syndróm, záchvaty, vracanie a tachykardiu.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Nie je známe žiadne špecifické antidotum duloxetínu, ale ak sa vyskytne sérotonínový syndróm, má sa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zvážiť špecifická liečba (ako je cyproheptadín a/alebo kontrola teploty). Je potrebné zabezpečiť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priechodnosť dýchacích ciest. Zároveň sa odporúča monitorovať funkciu srdca ako aj všetky vitálne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funkcie, spolu s náležitými symptomatickými a podpornými opatreniami. Výplach žalúdka sa môže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indikovať, ak je prevedený ihneď po požití alebo u symptomatických pacientov. Aktívne uhlie môže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byť prospešné na obmedzenie absorpcie. Duloxetín má rozsiahly objem distribúcie a je málo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pravdepodobné, že by forsírovaná diuréza, hemoperfúzia či výmenná perfúzia mohli byť v tomto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prípade prospešné.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5. </w:t>
      </w:r>
      <w:r w:rsidR="00942017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FARMAKOLOGICKÉ VLASTNOSTI</w:t>
      </w:r>
    </w:p>
    <w:p w:rsidR="00942017" w:rsidRPr="00C84381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5.1 </w:t>
      </w:r>
      <w:r w:rsidR="00942017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Farmakodynamické vlastnosti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Farmakoterapeutická skupina: </w:t>
      </w:r>
      <w:r w:rsidR="00942017">
        <w:rPr>
          <w:rFonts w:ascii="Times New Roman" w:hAnsi="Times New Roman"/>
          <w:color w:val="000000"/>
        </w:rPr>
        <w:t>Psychoanaleptiká, i</w:t>
      </w:r>
      <w:r w:rsidRPr="00843064">
        <w:rPr>
          <w:rFonts w:ascii="Times New Roman" w:hAnsi="Times New Roman"/>
          <w:color w:val="000000"/>
        </w:rPr>
        <w:t>né antidepresíva. ATC kód: N06AX21.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Mechanizmus účinku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je kombinovaný inhibítor spätného vychytávania sérotonínu (5-HT) a noradrenalínu (NA).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Slabo inhibuje spätné vychytávanie dopamínu, bez významnej afinity k histamínovým,</w:t>
      </w:r>
    </w:p>
    <w:p w:rsidR="00810B0A" w:rsidRPr="00843064" w:rsidRDefault="002A338F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dopaminerg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>ým</w:t>
      </w:r>
      <w:r w:rsidR="00810B0A" w:rsidRPr="00843064">
        <w:rPr>
          <w:rFonts w:ascii="Times New Roman" w:hAnsi="Times New Roman"/>
          <w:color w:val="000000"/>
        </w:rPr>
        <w:t xml:space="preserve">, </w:t>
      </w:r>
      <w:r w:rsidRPr="00843064">
        <w:rPr>
          <w:rFonts w:ascii="Times New Roman" w:hAnsi="Times New Roman"/>
          <w:color w:val="000000"/>
        </w:rPr>
        <w:t>cholinerg</w:t>
      </w:r>
      <w:r>
        <w:rPr>
          <w:rFonts w:ascii="Times New Roman" w:hAnsi="Times New Roman"/>
          <w:color w:val="000000"/>
        </w:rPr>
        <w:t>n</w:t>
      </w:r>
      <w:r w:rsidRPr="00843064">
        <w:rPr>
          <w:rFonts w:ascii="Times New Roman" w:hAnsi="Times New Roman"/>
          <w:color w:val="000000"/>
        </w:rPr>
        <w:t xml:space="preserve">ým </w:t>
      </w:r>
      <w:r w:rsidR="00810B0A" w:rsidRPr="00843064">
        <w:rPr>
          <w:rFonts w:ascii="Times New Roman" w:hAnsi="Times New Roman"/>
          <w:color w:val="000000"/>
        </w:rPr>
        <w:t xml:space="preserve">a </w:t>
      </w:r>
      <w:r w:rsidR="003B2B90" w:rsidRPr="00843064">
        <w:rPr>
          <w:rFonts w:ascii="Times New Roman" w:hAnsi="Times New Roman"/>
          <w:color w:val="000000"/>
        </w:rPr>
        <w:t>adrenerg</w:t>
      </w:r>
      <w:r w:rsidR="003B2B90">
        <w:rPr>
          <w:rFonts w:ascii="Times New Roman" w:hAnsi="Times New Roman"/>
          <w:color w:val="000000"/>
        </w:rPr>
        <w:t>n</w:t>
      </w:r>
      <w:r w:rsidR="003B2B90" w:rsidRPr="00843064">
        <w:rPr>
          <w:rFonts w:ascii="Times New Roman" w:hAnsi="Times New Roman"/>
          <w:color w:val="000000"/>
        </w:rPr>
        <w:t xml:space="preserve">ým </w:t>
      </w:r>
      <w:r w:rsidR="00810B0A" w:rsidRPr="00843064">
        <w:rPr>
          <w:rFonts w:ascii="Times New Roman" w:hAnsi="Times New Roman"/>
          <w:color w:val="000000"/>
        </w:rPr>
        <w:t>receptorom. V závislosti od dávky zvyšuje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extracelulárne hladiny sérotonínu a noradrenalínu v rozličných častiach mozgu zvierat.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Farmakodynamick</w:t>
      </w:r>
      <w:r w:rsidR="00942017" w:rsidRPr="00942017">
        <w:rPr>
          <w:rFonts w:ascii="Times New Roman" w:hAnsi="Times New Roman"/>
          <w:color w:val="000000"/>
          <w:u w:val="single"/>
        </w:rPr>
        <w:t>é</w:t>
      </w:r>
      <w:r w:rsidRPr="00942017">
        <w:rPr>
          <w:rFonts w:ascii="Times New Roman" w:hAnsi="Times New Roman"/>
          <w:color w:val="000000"/>
          <w:u w:val="single"/>
        </w:rPr>
        <w:t xml:space="preserve"> účink</w:t>
      </w:r>
      <w:r w:rsidR="00942017" w:rsidRPr="00942017">
        <w:rPr>
          <w:rFonts w:ascii="Times New Roman" w:hAnsi="Times New Roman"/>
          <w:color w:val="000000"/>
          <w:u w:val="single"/>
        </w:rPr>
        <w:t>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predklinických modeloch neuropatickej a zápalovej bolesti duloxetín normalizoval prah bolesti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v rámci modelu perzistujúcej bolesti zmierňoval bolestivé reagovanie. Predpokladá sa, že inhibičný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účinok duloxetínu na bolesť je dôsledkom potenciácie zostupných bolesť inhibujúcich dráh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centrálnom nervovom systéme.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Klinická účinnosť a bezpečnosť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Veľká depresívna porucha: </w:t>
      </w:r>
      <w:r w:rsidRPr="00843064">
        <w:rPr>
          <w:rFonts w:ascii="Times New Roman" w:hAnsi="Times New Roman"/>
          <w:color w:val="000000"/>
        </w:rPr>
        <w:t>Duloxetín bol skúmaný v klinickom programe, do ktorého bolo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zaradených 3 158 pacientov (1 285 pacientskych rokov expozície), ktorí spĺňali kritériá DSM-IV pre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veľkú depresívnu poruchu. Účinnosť duloxetínu pri odporúčanej dávke 60 mg jedenkrát denne bola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preukázaná v troch z troch randomizovaných, dvojito zaslepených, placebom kontrolovaných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akútnych (krátkodobých) štúdií s pevne stanovenou dávkou u dospelých ambulantných pacientov 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veľkou depresívnou poruchou. Celkovo sa účinnosť duloxetínu preukázala pri denných dávkach 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rozmedzí od 60 do 120 mg v celkovo piatich zo siedmich randomizovaných, dvojito zaslepených,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 kontrolovaných akútnych (krátkodobých) štúdií s pevne stanovenou dávkou u dospelých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ambulantných pacientov s veľkou depresívnou poruchou.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preukázal štatistickú prevahu nad placebom pri meraní zlepšenia celkového skóre 17-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bodovej Hamiltonovej škály na posudzovanie depresie (HAM-D) (vrátane emočných aj somatických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symptómov depresie). Miera odpovede na liečbu a remisie bola taktiež štatisticky významne vyššia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duloxetíne ako pri placebe. Iba malá časť pacientov zahrnutých do pilotných klinických štúdií mala</w:t>
      </w:r>
    </w:p>
    <w:p w:rsidR="00810B0A" w:rsidRDefault="006E3D5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ťažkú </w:t>
      </w:r>
      <w:r w:rsidR="00810B0A" w:rsidRPr="00843064">
        <w:rPr>
          <w:rFonts w:ascii="Times New Roman" w:hAnsi="Times New Roman"/>
          <w:color w:val="000000"/>
        </w:rPr>
        <w:t>depresiu (vstupné skóre HAM-D</w:t>
      </w:r>
      <w:r w:rsidR="00942017">
        <w:rPr>
          <w:rFonts w:ascii="Times New Roman" w:hAnsi="Times New Roman"/>
          <w:color w:val="000000"/>
        </w:rPr>
        <w:t xml:space="preserve"> </w:t>
      </w:r>
      <w:r w:rsidR="00942017">
        <w:rPr>
          <w:rFonts w:ascii="Times New Roman" w:eastAsia="SymbolMT" w:hAnsi="Times New Roman"/>
          <w:color w:val="000000"/>
        </w:rPr>
        <w:t xml:space="preserve">&gt; </w:t>
      </w:r>
      <w:r w:rsidR="00810B0A" w:rsidRPr="00843064">
        <w:rPr>
          <w:rFonts w:ascii="Times New Roman" w:hAnsi="Times New Roman"/>
          <w:color w:val="000000"/>
        </w:rPr>
        <w:t>25).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štúdii zameranej na prevenciu relapsu boli pacienti reagujúci na 12-týždňovú otvorenú akútnu liečbu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duloxetínom v dávke 60 mg jedenkrát denne randomizovaní k užívaniu duloxetínu 60 mg jedenkrát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denne alebo užívaniu placeba po ďalších 6-mesiacov. Duloxetín v dávke 60 mg jedenkrát denne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preukázal štatisticky signifikantnú prevahu nad placebom (p=0,004) v hodnotení hlavného cieľa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štúdie, prevencie relapsu depresie, hodnoteného časom do relapsu. Incidencia relapsu počas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nasledovného 6-mesačného dvojito zaslepeného obdobia bola 17 % a 29 % v prípade duloxetínu, resp.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placeba.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Počas 52 týždennej placebom kontrolovanej dvojito zaslepenej štúdie mali pacienti s rekurentnou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veľkou depresívnou poruchou liečení duloxetínom v porovnaní s pacientmi liečenými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podstatne dlhšie (p &lt; 0,001) obdobie bez príznakov. Všetci pacienti odpovedali na duloxetín počas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predošlej otvorenej (open-label) liečby s dávkou 60 až 120 mg/deň počas 28 až 34 týždňov. 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priebehu 52 týždennej placebom kontrolovanej dvojito zaslepenej liečby sa vrátili príznaky depresie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14,4 % pacientov liečených duloxetínom a 33,1 % pacientov liečených placebom (p &lt; 0,001).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Účinok duloxetínu 60 mg raz denne u starších depresívnych pacientov (</w:t>
      </w:r>
      <w:r w:rsidR="00942017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>65 rokov) bol konkrétne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hodnotený v štúdii, ktorá preukázala štatisticky významný rozdiel v redukcii HAMD17 skóre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liečených duloxetínom v porovnaní s placebom. Tolerabilita duloxetínu 60 mg raz denne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starších pacientov bola porovnateľná s tou pozorovanou u mladších pacientov. Avšak, údaje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 starších pacientoch vystavených maximálnej dávke (120 mg denne) sú obmedzené a preto sa pri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liečbe tejto populácie odporúča opatrnosť.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Generalizovaná úzkostná porucha: </w:t>
      </w:r>
      <w:r w:rsidRPr="00843064">
        <w:rPr>
          <w:rFonts w:ascii="Times New Roman" w:hAnsi="Times New Roman"/>
          <w:color w:val="000000"/>
        </w:rPr>
        <w:t>Duloxetín preukázal štatisticky významnú prevahu nad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piatich z piatich štúdií vrátane štyroch randomizovaných, dvojito zaslepených, placebom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kontrolovaných akútnych štúdií a štúdie na prevenciu relapsu u dospelých pacientov s generalizovanou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úzkostnou poruchou.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preukázal štatisticky významnú prevahu nad placebom meranú zlepšením celkového skóre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Hamiltonovej škále na posudzovanie úzkosti (Hamilton Anxiety Scale, HAM-A) a celkového skóre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funkčného poškodenia na Sheehanovej škále (Sheehan Disability Scale, SDS). Miera odpovede na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liečbu a </w:t>
      </w:r>
      <w:r w:rsidR="001C6C4C" w:rsidRPr="00843064">
        <w:rPr>
          <w:rFonts w:ascii="Times New Roman" w:hAnsi="Times New Roman"/>
          <w:color w:val="000000"/>
        </w:rPr>
        <w:t>remisi</w:t>
      </w:r>
      <w:r w:rsidR="001C6C4C">
        <w:rPr>
          <w:rFonts w:ascii="Times New Roman" w:hAnsi="Times New Roman"/>
          <w:color w:val="000000"/>
        </w:rPr>
        <w:t>a</w:t>
      </w:r>
      <w:r w:rsidR="001C6C4C" w:rsidRPr="00843064">
        <w:rPr>
          <w:rFonts w:ascii="Times New Roman" w:hAnsi="Times New Roman"/>
          <w:color w:val="000000"/>
        </w:rPr>
        <w:t xml:space="preserve"> bol</w:t>
      </w:r>
      <w:r w:rsidR="001C6C4C">
        <w:rPr>
          <w:rFonts w:ascii="Times New Roman" w:hAnsi="Times New Roman"/>
          <w:color w:val="000000"/>
        </w:rPr>
        <w:t>i</w:t>
      </w:r>
      <w:r w:rsidR="001C6C4C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taktiež vyššia pri duloxetíne ako pri placebe. Duloxetín preukázal porovnateľnú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účinnosť s venlafaxínom, čo sa týka zlepšení celkového skóre HAM-A.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štúdii zameranej na prevenciu relapsu boli pacienti s odpoveďou na 6-mesačnú otvorenú akútnu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liečbu duloxetínom randomizovaní k užívaniu duloxetínu alebo placeba počas ďalších 6 mesiacov.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v dávke 60 mg až 120 mg jedenkrát denne preukázal štatisticky významnú prevahu nad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 (p&lt;0,001) v prevencii relapsu, ktorá bola hodnotená časom do relapsu. Incidencia relapsu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počas nasledujúceho 6-mesačného dvojito zaslepeného obdobia bola 14 % pre duloxetín a 42 % pre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klinickom skúšaní sa vyhodnotila účinnosť duloxetínu 30-120 mg (vo flexibilnom dávkovaní) raz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denne u starších pacientov (&gt;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65 rokov) s generalizovanou úzkostnou poruchou a preukázala štatisticky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signifikantné zlepšenie celkového HAM-A skóre u pacientov liečených duloxetínom oproti pacientom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liečeným placebom. Účinnosť a bezpečnosť duloxetínu 30-120 mg raz denne u starších pacientov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s generalizovanou úzkostnou poruchou boli podobné ako v štúdiách s mladšími dospelými pacientmi.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Avšak údaje o starších pacientoch vystavených maximálnej dávke (120 mg denne) sú obmedzené,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 preto sa odporúča na liečbu starších pacientov touto dávkou pristupovať s opatrnosťou.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Diabetická periférna neuropatická bolesť: </w:t>
      </w:r>
      <w:r w:rsidRPr="00843064">
        <w:rPr>
          <w:rFonts w:ascii="Times New Roman" w:hAnsi="Times New Roman"/>
          <w:color w:val="000000"/>
        </w:rPr>
        <w:t>Účinnosť duloxetínu v liečbe diabetickej neuropatickej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bolesti bola preukázaná v dvoch randomizovaných, 12 týždňov trvajúcich, dvojito zaslepených,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 kontrolovaných štúdiách s pevne stanovenou dávkou u dospelých (22 až 88 rokov), ktorí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minimálne 6 mesiacov trpia diabetickou neuropatickou bolesťou. Pacienti, ktorí spĺňali diagnostické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kritériá pre veľkú depresívnu poruchu boli z týchto výskumných štúdií vylúčení. Primárnym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parametrom bola týždenná stredná hodnota 24-hodinovej priemernej bolesti, ktorú pacienti hodnotili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11 bodovej Likertovej škále pričom si záznamy zapisovali do denníka.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oboch štúdiách duloxetín v dávke 60 mg raz denne a 60 mg dvakrát denne viedol, v porovnaní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placebom, k signifikantnému zmierneniu bolesti. U niektorých pacientov bol tento efekt zjavný už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priebehu prvého týždňa liečby. Rozdiel priemerného zlepšenia pri porovnaní oboch uvedených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aktívnych ramien liečby nebol významný. Redukciu bolesti o minimálne 30 % uviedlo približne 65 %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pacientov liečených duloxetínom v porovnaní so 40 % pacientov liečených placebom. Počty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zodpovedajúce aspoň 50 % redukcii bolesti boli 50 % a 26 %. Hodnoty klinickej odpovede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(zmiernenie bolesti o 50 % a viac) boli analyzované s ohľadom na to, či pacient v priebehu liečby trpel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spavosťou alebo nie. Z pacientov, ktorí netrpeli spavosťou bola klinická odpoveď zaznamenaná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47 % pacientov užívajúcich duloxetín a u 27 % pacientov užívajúcich placebo. Podiel klinickej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odpovede u pacientov, ktorí zaznamenali problémy so spavosťou bol 60 % pri duloxetíne a 30 %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pri placebe. U pacientov, ktorí v priebehu 60 dní nezaznamenali zmiernenie bolesti ani o 30 % bolo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takéto zlepšenie v priebehu ďalšej liečby nepravdepodobné.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dlhodobej otvorenej nekontrolovanej štúdii pretrvávalo zmenšenie bolesti u pacientov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odpovedajúcich na 8-týždennú liečbu duloxetínom 60 mg raz denne počas nasledujúcich 6 mesiacov,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podľa merania zmeny skóre položky „24-hodinová priemerná bolesť“ na škále Brief Pain Inventory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(BPI).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Pediatrická populácia</w:t>
      </w:r>
    </w:p>
    <w:p w:rsid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Neboli vykonané štúdie s duloxetínom u pacientov mladších ako 7 rokov. 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Boli vykonané dve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randomizované, dvojito zaslepené paralelné klinické štúdie s 800 pediatrickými pacientmi s</w:t>
      </w:r>
      <w:r w:rsidR="00942017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veľkou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depresívnou poruchou vo veku 7-17 rokov (pozri časť 4.2). Tieto dve štúdie zahŕňali 10-týždňovú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placebom a aktívnou látkou (fluoxetínom) kontrolovanú fázu, po ktorej nasledovala 6-mesačná fáza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aktívne kontrolovanej pokračovacej liečby. Ani duloxetín (30 – 120 mg) ani aktívne kontrolované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rameno (fluoxetín 20 - 40 mg) sa štatisticky neodlíšili od placeba v zmene celkového skóre CDRS-R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(Children´s Depression Rating Scale-Revised) od začiatku až do konca. Ukončenie skúšania z</w:t>
      </w:r>
      <w:r w:rsidR="00942017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dôvodu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nežiaducich účinkov, najmä kvôli nauzei, bol vyšší u pacientov užívajúcich duloxetín ako u tých, čo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užívali fluoxetín. Počas 10-týždňovej liečebnej časti akútnej liečby bolo hlásené suicidálne správanie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(duloxetín 0/333 [0 %], fluoxetín 2/225 [0,9 %], placebo 1/220 [0,5 %]). Počas celého 36-týždňového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trvania štúdie, 6 z 333 pacientov pôvodne randomizovaných na duloxetín a 3 z 225 pôvodne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randomizovaných na fluoxetín zaznamenali suicidálne správanie (incidencia upravená podľa expozície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0,039 udalostí na </w:t>
      </w:r>
      <w:r w:rsidR="00CF42E1" w:rsidRPr="00843064">
        <w:rPr>
          <w:rFonts w:ascii="Times New Roman" w:hAnsi="Times New Roman"/>
          <w:color w:val="000000"/>
        </w:rPr>
        <w:t>pacientsk</w:t>
      </w:r>
      <w:r w:rsidR="00CF42E1">
        <w:rPr>
          <w:rFonts w:ascii="Times New Roman" w:hAnsi="Times New Roman"/>
          <w:color w:val="000000"/>
        </w:rPr>
        <w:t>ý</w:t>
      </w:r>
      <w:r w:rsidR="00CF42E1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rok u duloxetínu a 0,026 u fluoxetínu). Navyše jeden pacient, ktorý</w:t>
      </w:r>
      <w:r w:rsidR="00942017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prešiel z placeba na duloxetín zakúsil suicidálne správanie v čase, keď užíval duloxetín.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Randomizovaného, dvojito zaslepeného, placebom kontrolovaného klinického skúšania sa zúčastnilo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272 pacientov vo veku 7-17 rokov s generalizovanou úzkostnou poruchou (GAD). Klinické skúšanie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zahŕňalo 10-týždňovú placebom kontrolovanú akútnu fázu, po ktorej nasledovala 18-týždňová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predĺžená fáza. V tomto klinickom skúšaní bol použitý flexibilný dávkovací režim, aby bolo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umožnené pomalé zvyšovanie dávky z 30 mg jedenkrát denne na vyššie dávky (najviac 120 mg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jedenkrát denne). Liečba duloxetínom ukázala po 10 týždňoch liečby štatisticky výrazne vyššie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zlepšenie príznakov GAD, pri meraní pomocou skóre závažnosti PARS pre GAD (priemerný rozdiel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medzi duloxetínom a placebom bol 2,7 bodov [95 % CI 1,3-4,0]) po 10 týždňoch liečby. Pretrvanie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účinku nebolo hodnotené. Počas 10-týždňovej fázy akútnej liečby sa neukázal žiaden štatisticky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významný rozdiel v prerušení liečby z dôvodu nežiaducich reakcií medzi skupinami s duloxetínom 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placebom. U dvoch pacientov, ktorí prešli po akútnej liečbe z placeba na duloxetín, sa počas užívania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 v predĺženej fáze vyskytlo samovražedné správanie. Závery vzhľadom na celkový pomer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prínosu a rizika neboli pre túto vekovú skupinu stanovené (pozri tiež časti 4.2 a 4.8).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Európska lieková agentúra udelila výnimku z povinnosti predložiť výsledky štúdií pre duloxetín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 ohľadom na všetky vekové podskupiny detí a dospievajúcich v liečbe veľkej depresívnej poruchy,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diabetickej neuropatickej bolesti a generalizovanej úzkostnej poruchy. Pozri časť 4.2 pre informáciu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 pediatrickom použití.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>5.2</w:t>
      </w:r>
      <w:r w:rsidR="00942017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Farmakokinetické vlastnosti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podáva ako samostatný enantiomér. Duloxetín sa extenzívne metabolizuje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prostredníctvom oxidatívnych enzýmov (CYP1A2 a polymorfný CYP2D6) s následnou konjugáciou.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Farmakokinetika duloxetínu preukazuje veľkú interindividuálnu variabilitu (všeobecne 50–60 %),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čiastočne v súvislosti s pohlavím, vekom, fajčiarskymi návykmi a </w:t>
      </w:r>
      <w:r w:rsidR="001C6C4C">
        <w:rPr>
          <w:rFonts w:ascii="Times New Roman" w:hAnsi="Times New Roman"/>
          <w:color w:val="000000"/>
        </w:rPr>
        <w:t>typom</w:t>
      </w:r>
      <w:r w:rsidR="001C6C4C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metabolizéra CYP2D6.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Absorpcia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po perorálnom podaní dobre vstrebáva, pričom k C</w:t>
      </w:r>
      <w:r w:rsidRPr="00942017">
        <w:rPr>
          <w:rFonts w:ascii="Times New Roman" w:hAnsi="Times New Roman"/>
          <w:color w:val="000000"/>
          <w:vertAlign w:val="subscript"/>
        </w:rPr>
        <w:t>max</w:t>
      </w:r>
      <w:r w:rsidRPr="00843064">
        <w:rPr>
          <w:rFonts w:ascii="Times New Roman" w:hAnsi="Times New Roman"/>
          <w:color w:val="000000"/>
        </w:rPr>
        <w:t xml:space="preserve"> dochádza 6 hodín po podaní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dávky. Absolútna perorálna biologická dostupnosť duloxetínu je 32% až 80% (priemer 50%). Potrava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predlžuje čas potrebný na dosiahnutie najvyššej koncentrácie zo 6 na 10 hodín a okrajovo zmenšuje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rozsah absorpcie (približne 11%). Tieto zmeny nemajú žiadnu klinickú významnosť.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Distribúcia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priemerne v 96% viaže na proteíny v ľudskej plazme. Duloxetín sa viaže tak na albumín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ako aj na alfa-1-kyslý glykoproteín. Väzba na proteíny nie je ovplyvnená poškodením obličiek či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pečene.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Biotransformácia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 sa extenzívne metabolizuje a jeho metabolity sa vylučujú predovšetkým močom. Oba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cytochrómy P450–2D6 ako aj 1A2 katalyzujú tvorbu dvoch hlavných metabolitov, glukuronidového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konjugátu 4-hydroxyduloxetínu a sulfátového konjugátu 5-hydroxy 6-metoxyduloxetínu. Vychádzajúc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zo štúdií </w:t>
      </w:r>
      <w:r w:rsidRPr="00843064">
        <w:rPr>
          <w:rFonts w:ascii="Times New Roman" w:hAnsi="Times New Roman"/>
          <w:i/>
          <w:iCs/>
          <w:color w:val="000000"/>
        </w:rPr>
        <w:t>in vitro</w:t>
      </w:r>
      <w:r w:rsidRPr="00843064">
        <w:rPr>
          <w:rFonts w:ascii="Times New Roman" w:hAnsi="Times New Roman"/>
          <w:color w:val="000000"/>
        </w:rPr>
        <w:t>, cirkulujúce metabolity duloxetínu sú považované za farmakologicky neaktívne.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Farmakokinetika duloxetínu u pacientov, ktorí sú slabými metabolizérmi CYP2D6, nebola špecificky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sledovaná. Obmedzené údaje naznačujú, že plazmatické hladiny duloxetínu sú u týchto pacientov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vyššie.</w:t>
      </w:r>
    </w:p>
    <w:p w:rsidR="00942017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942017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942017">
        <w:rPr>
          <w:rFonts w:ascii="Times New Roman" w:hAnsi="Times New Roman"/>
          <w:color w:val="000000"/>
          <w:u w:val="single"/>
        </w:rPr>
        <w:t>Eliminácia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Polčas eliminácie duloxetínu sa pohybuje v rozmedzí od 8 do 17 hodín (priemerne 12 hodín).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Plazmatický klírens po intravenóznej aplikácii dávky sa pohybuje v rozpätí 22 l/h až 46 l/h (priemerne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36 l/h). Zdanlivý plazmatický klírens duloxetínu po perorálnom podaní sa pohybuje od 33 to 261 l/h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(priemer 101 l/h).</w:t>
      </w:r>
    </w:p>
    <w:p w:rsidR="00942017" w:rsidRPr="00843064" w:rsidRDefault="00942017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EE2805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EE2805">
        <w:rPr>
          <w:rFonts w:ascii="Times New Roman" w:hAnsi="Times New Roman"/>
          <w:i/>
          <w:iCs/>
          <w:color w:val="000000"/>
        </w:rPr>
        <w:t>Osobitné skupiny pacientov: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Pohlavie: </w:t>
      </w:r>
      <w:r w:rsidRPr="00843064">
        <w:rPr>
          <w:rFonts w:ascii="Times New Roman" w:hAnsi="Times New Roman"/>
          <w:color w:val="000000"/>
        </w:rPr>
        <w:t>medzi mužmi a ženami boli zistené farmakokinetické rozdiely (zdanlivý plazmatický klírens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je u žien asi o 50% nižší). Vychádzajúc z prekrývania sa rozmedzia klírensu, farmakokinetické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 xml:space="preserve">rozdiely na základe pohlavia </w:t>
      </w:r>
      <w:r w:rsidR="001C6C4C" w:rsidRPr="00843064">
        <w:rPr>
          <w:rFonts w:ascii="Times New Roman" w:hAnsi="Times New Roman"/>
          <w:color w:val="000000"/>
        </w:rPr>
        <w:t>n</w:t>
      </w:r>
      <w:r w:rsidR="001C6C4C">
        <w:rPr>
          <w:rFonts w:ascii="Times New Roman" w:hAnsi="Times New Roman"/>
          <w:color w:val="000000"/>
        </w:rPr>
        <w:t>ie sú dostatočný</w:t>
      </w:r>
      <w:r w:rsidR="000570A9">
        <w:rPr>
          <w:rFonts w:ascii="Times New Roman" w:hAnsi="Times New Roman"/>
          <w:color w:val="000000"/>
        </w:rPr>
        <w:t>m</w:t>
      </w:r>
      <w:r w:rsidR="001C6C4C">
        <w:rPr>
          <w:rFonts w:ascii="Times New Roman" w:hAnsi="Times New Roman"/>
          <w:color w:val="000000"/>
        </w:rPr>
        <w:t xml:space="preserve"> dôvod</w:t>
      </w:r>
      <w:r w:rsidR="000570A9">
        <w:rPr>
          <w:rFonts w:ascii="Times New Roman" w:hAnsi="Times New Roman"/>
          <w:color w:val="000000"/>
        </w:rPr>
        <w:t>om</w:t>
      </w:r>
      <w:r w:rsidR="001C6C4C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k odporúčaniu užívania nižších dávok u pacientok.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Vek</w:t>
      </w:r>
      <w:r w:rsidRPr="00843064">
        <w:rPr>
          <w:rFonts w:ascii="Times New Roman" w:hAnsi="Times New Roman"/>
          <w:color w:val="000000"/>
        </w:rPr>
        <w:t>: farmakokinetické rozdiely boli zistené medzi mladšími a staršími ženami (</w:t>
      </w:r>
      <w:r w:rsidR="00942017">
        <w:rPr>
          <w:rFonts w:ascii="Times New Roman" w:eastAsia="SymbolMT" w:hAnsi="Times New Roman"/>
          <w:color w:val="000000"/>
        </w:rPr>
        <w:t xml:space="preserve">≥ </w:t>
      </w:r>
      <w:r w:rsidRPr="00843064">
        <w:rPr>
          <w:rFonts w:ascii="Times New Roman" w:hAnsi="Times New Roman"/>
          <w:color w:val="000000"/>
        </w:rPr>
        <w:t>65 rokov) (u starších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pacientok sa zvyšuje AUC asi o 25% a polčas vylučovania je asi o 25 % dlhší), magnitúda týchto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zmien však nie je dostatočná na to, aby oprávňovala úpravu dávkovania. Všeobecne sa odporúča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opatrnosť pri liečbe starších (pozri časti 4.2 a 4.4).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Porucha funkcie obličiek</w:t>
      </w:r>
      <w:r w:rsidRPr="00843064">
        <w:rPr>
          <w:rFonts w:ascii="Times New Roman" w:hAnsi="Times New Roman"/>
          <w:color w:val="000000"/>
        </w:rPr>
        <w:t>: pacienti s obličkovým ochorením v konečnej fáze (End Stage Renal Disease</w:t>
      </w: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- ESRD) podrobujúci sa dialýze mali oproti zdravým jedincom dvakrát vyššie hodnoty C</w:t>
      </w:r>
      <w:r w:rsidRPr="00FC03F4">
        <w:rPr>
          <w:rFonts w:ascii="Times New Roman" w:hAnsi="Times New Roman"/>
          <w:color w:val="000000"/>
          <w:vertAlign w:val="subscript"/>
        </w:rPr>
        <w:t>max</w:t>
      </w:r>
      <w:r w:rsidRPr="00843064">
        <w:rPr>
          <w:rFonts w:ascii="Times New Roman" w:hAnsi="Times New Roman"/>
          <w:color w:val="000000"/>
        </w:rPr>
        <w:t xml:space="preserve"> a AUC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duloxetínu. Farmakokinetické údaje o duloxetíne u pacientov s miernym alebo stredne závažným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funkcie obličiek sú obmedzené.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>Porucha funkcie pečene</w:t>
      </w:r>
      <w:r w:rsidRPr="00843064">
        <w:rPr>
          <w:rFonts w:ascii="Times New Roman" w:hAnsi="Times New Roman"/>
          <w:color w:val="000000"/>
        </w:rPr>
        <w:t>: stredne závažné poškodenie pečene (Child Pugh trieda B) malo vplyv na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farmakokinetiku duloxetínu. V porovnaní so zdravými jedincami, u pacientov so stredne závažným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poškodením pečene bol zdanlivý plazmatický klírens duloxetínu o 79 % nižší, zdanlivý terminálny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polčas 2,3 krát dlhší a AUC 3,7 krát vyššie. Farmakokinetika duloxetínu a jeho metabolitov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pacientov s miernou alebo závažnou nedostatočnosťou pečene nebola sledovaná.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i/>
          <w:iCs/>
          <w:color w:val="000000"/>
        </w:rPr>
        <w:t xml:space="preserve">Dojčiace matky: </w:t>
      </w:r>
      <w:r w:rsidRPr="00843064">
        <w:rPr>
          <w:rFonts w:ascii="Times New Roman" w:hAnsi="Times New Roman"/>
          <w:color w:val="000000"/>
        </w:rPr>
        <w:t>Dispozícia duloxetínu bola skúmaná u 6 dojčiacich žien, ktoré boli minimálne 12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týždňov po pôrode. Duloxetín je detekovateľný v materskom mlieku a rovnovážne koncentrácie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materskom mlieku tvoria asi jednu štvrtinu plazmatickej koncentrácie. Množstvo duloxetínu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materskom mlieku je približne 7 μg/deň pri dávkovaní 40 mg 2x denne. Laktácia neovplyvňovala</w:t>
      </w: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farmakokinetiku duloxetínu.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C03F4" w:rsidRPr="00167583" w:rsidRDefault="00FC03F4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167583">
        <w:rPr>
          <w:rFonts w:ascii="Times New Roman" w:hAnsi="Times New Roman"/>
          <w:iCs/>
          <w:color w:val="000000"/>
          <w:u w:val="single"/>
        </w:rPr>
        <w:t>Pediatrická populácia</w:t>
      </w:r>
      <w:r w:rsidR="00810B0A" w:rsidRPr="00167583">
        <w:rPr>
          <w:rFonts w:ascii="Times New Roman" w:hAnsi="Times New Roman"/>
          <w:iCs/>
          <w:color w:val="000000"/>
          <w:u w:val="single"/>
        </w:rPr>
        <w:t xml:space="preserve"> </w:t>
      </w:r>
    </w:p>
    <w:p w:rsidR="00810B0A" w:rsidRPr="00167583" w:rsidRDefault="00810B0A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67583">
        <w:rPr>
          <w:rFonts w:ascii="Times New Roman" w:hAnsi="Times New Roman"/>
          <w:color w:val="000000"/>
        </w:rPr>
        <w:t>Farmakokinetika duloxetínu u pediatrických pacientov vo veku 7 až 17 rokov</w:t>
      </w:r>
    </w:p>
    <w:p w:rsidR="00810B0A" w:rsidRPr="00167583" w:rsidRDefault="00810B0A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67583">
        <w:rPr>
          <w:rFonts w:ascii="Times New Roman" w:hAnsi="Times New Roman"/>
          <w:color w:val="000000"/>
        </w:rPr>
        <w:t>s veľkou depresívnou poruchou po perorálnom podaní dávok 20 až 120 mg raz denne bola</w:t>
      </w:r>
    </w:p>
    <w:p w:rsidR="00810B0A" w:rsidRPr="00167583" w:rsidRDefault="00810B0A" w:rsidP="00167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67583">
        <w:rPr>
          <w:rFonts w:ascii="Times New Roman" w:hAnsi="Times New Roman"/>
          <w:color w:val="000000"/>
        </w:rPr>
        <w:t xml:space="preserve">charakterizovaná pomocou analýz modelovania populácie založených na údajoch z 3 štúdií. </w:t>
      </w:r>
    </w:p>
    <w:p w:rsidR="00167583" w:rsidRPr="008A79CB" w:rsidRDefault="00167583" w:rsidP="008A79CB">
      <w:pPr>
        <w:pStyle w:val="Textkomentra"/>
        <w:spacing w:after="0" w:line="240" w:lineRule="auto"/>
        <w:rPr>
          <w:rFonts w:ascii="Times New Roman" w:hAnsi="Times New Roman"/>
          <w:sz w:val="22"/>
          <w:szCs w:val="22"/>
        </w:rPr>
      </w:pPr>
      <w:r w:rsidRPr="008A79CB">
        <w:rPr>
          <w:rFonts w:ascii="Times New Roman" w:hAnsi="Times New Roman"/>
          <w:sz w:val="22"/>
          <w:szCs w:val="22"/>
        </w:rPr>
        <w:t xml:space="preserve">Rovnovážne plazmatické koncentrácie duloxetínu odhadnuté na základe tohto modelu u pediatrických pacientov boli väčšinou v koncentračnom rozsahu pozorovanom u dospelých pacientov. 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5.3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Predklinické údaje o bezpečnosti</w:t>
      </w:r>
    </w:p>
    <w:p w:rsidR="00FC03F4" w:rsidRDefault="00FC03F4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štandardnej sérii testov duloxetín nebol genotoxický a u potkanov nebol karcinogénny.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V štúdii karcinogenity na potkanoch boli v pečeni spozorované multijadrové bunky bez prítomnosti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iných histopatologických zmien. Mechanizmus, ktorý to spôsobuje, ani klinická závažnosť, nie sú</w:t>
      </w:r>
    </w:p>
    <w:p w:rsidR="0079088D" w:rsidRPr="00843064" w:rsidRDefault="00810B0A" w:rsidP="007908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známe. U samičiek myší, ktoré dostávali duloxetín počas 2 rokov, bola iba pri vysokej dávke</w:t>
      </w:r>
      <w:r w:rsidR="006841EF">
        <w:rPr>
          <w:rFonts w:ascii="Times New Roman" w:hAnsi="Times New Roman"/>
          <w:color w:val="000000"/>
        </w:rPr>
        <w:t xml:space="preserve"> </w:t>
      </w:r>
      <w:r w:rsidR="006841EF" w:rsidRPr="006841EF">
        <w:rPr>
          <w:rFonts w:ascii="Times New Roman" w:hAnsi="Times New Roman"/>
          <w:color w:val="000000"/>
          <w:lang w:val="en-GB"/>
        </w:rPr>
        <w:t>(144 mg/kg/d</w:t>
      </w:r>
      <w:r w:rsidR="006841EF">
        <w:rPr>
          <w:rFonts w:ascii="Times New Roman" w:hAnsi="Times New Roman"/>
          <w:color w:val="000000"/>
          <w:lang w:val="en-GB"/>
        </w:rPr>
        <w:t>eň</w:t>
      </w:r>
      <w:r w:rsidR="006841EF" w:rsidRPr="006841EF">
        <w:rPr>
          <w:rFonts w:ascii="Times New Roman" w:hAnsi="Times New Roman"/>
          <w:color w:val="000000"/>
          <w:lang w:val="en-GB"/>
        </w:rPr>
        <w:t>)</w:t>
      </w:r>
      <w:r w:rsidRPr="00843064">
        <w:rPr>
          <w:rFonts w:ascii="Times New Roman" w:hAnsi="Times New Roman"/>
          <w:color w:val="000000"/>
        </w:rPr>
        <w:t xml:space="preserve"> zvýšená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incidencia hepatocelulárnych adenómov a karcinómov, tieto však boli považované za sekundárne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následky indukcie mikrozomálnych hepatálnych enzýmov. Nie je známe, či sú tieto údaje získané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pozorovaním myší, relevantné pre ľudí. Samičky potkanov, ktoré dostávali duloxetín (45 mg/kg/deň)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 xml:space="preserve">pred a počas párenia a na počiatku gravidity, mali </w:t>
      </w:r>
      <w:r w:rsidR="000570A9">
        <w:rPr>
          <w:rFonts w:ascii="Times New Roman" w:hAnsi="Times New Roman"/>
          <w:color w:val="000000"/>
        </w:rPr>
        <w:t>nižšiu spotrebu</w:t>
      </w:r>
      <w:r w:rsidRPr="00843064">
        <w:rPr>
          <w:rFonts w:ascii="Times New Roman" w:hAnsi="Times New Roman"/>
          <w:color w:val="000000"/>
        </w:rPr>
        <w:t xml:space="preserve"> materskej potravy a</w:t>
      </w:r>
      <w:r w:rsidR="0079088D">
        <w:rPr>
          <w:rFonts w:ascii="Times New Roman" w:hAnsi="Times New Roman"/>
          <w:color w:val="000000"/>
        </w:rPr>
        <w:t> </w:t>
      </w:r>
      <w:r w:rsidRPr="00843064">
        <w:rPr>
          <w:rFonts w:ascii="Times New Roman" w:hAnsi="Times New Roman"/>
          <w:color w:val="000000"/>
        </w:rPr>
        <w:t>telesnej</w:t>
      </w:r>
      <w:r w:rsidR="0079088D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hmotnosti, poruchy estrálneho cyklu, pokles indexu živonarodeného a žijúceho potomstva a retardáciu</w:t>
      </w:r>
      <w:r w:rsidR="0079088D" w:rsidRP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rastu potomstva pri úrovniach systémovej expozície, ktoré podľa odhadu dosahovali väčšinou úroveň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maximálnej klinickej expozície (AUC). V štúdii embryotoxicity u králikov bola pri úrovniach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systémovej expozície pod maximálnou klinickou expozíciou (AUC) pozorovaná vyššia incidencia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kardiovaskulárnych a skeletálnych malformácií. V inej štúdii, ktorá skúmala vyššiu dávku inej soli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duloxetínu, žiadne malformácie pozorované neboli. V rámci štúdií prenatálnej/postnatálnej toxicity na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potkanoch duloxetín indukoval nežiaduce účinky v správaní mláďat pri expozíciách nižších ako je</w:t>
      </w:r>
      <w:r w:rsidR="0079088D">
        <w:rPr>
          <w:rFonts w:ascii="Times New Roman" w:hAnsi="Times New Roman"/>
          <w:color w:val="000000"/>
        </w:rPr>
        <w:t xml:space="preserve"> </w:t>
      </w:r>
      <w:r w:rsidR="0079088D" w:rsidRPr="00843064">
        <w:rPr>
          <w:rFonts w:ascii="Times New Roman" w:hAnsi="Times New Roman"/>
          <w:color w:val="000000"/>
        </w:rPr>
        <w:t>maximálna klinická expozícia (AUC).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Štúdie s mláďatami potkanov ukázali prechodné účinky v neurobehaviorálnej oblasti, taktiež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signifikantné zníženie telesnej hmotnosti a príjmu potravy, indukciu hepatálnych enzýmov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a hepatocelulárnu vakuolizáciu pri dávkach 45mg/kg/deň. Všeobecný profil toxicity duloxetínu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u mláďat potkanov bol podobný s tým u dospelých potkanov. Výška dávky, ktorá nevyvoláva</w:t>
      </w: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nežiaduce účinky, bola stanovená na 20 mg/kg/deň.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FARMACEUTICKÉ INFORMÁCIE</w:t>
      </w:r>
    </w:p>
    <w:p w:rsidR="00FC03F4" w:rsidRPr="00C84381" w:rsidRDefault="00FC03F4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6.1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Zoznam pomocných látok</w:t>
      </w:r>
    </w:p>
    <w:p w:rsidR="00FC03F4" w:rsidRDefault="00FC03F4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FC03F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C03F4">
        <w:rPr>
          <w:rFonts w:ascii="Times New Roman" w:hAnsi="Times New Roman"/>
          <w:b/>
          <w:color w:val="000000"/>
        </w:rPr>
        <w:t>Obsah kapsuly</w:t>
      </w:r>
    </w:p>
    <w:p w:rsidR="00FC03F4" w:rsidRDefault="00655E82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</w:t>
      </w:r>
      <w:r w:rsidR="00FC03F4">
        <w:rPr>
          <w:rFonts w:ascii="Times New Roman" w:hAnsi="Times New Roman"/>
          <w:color w:val="000000"/>
        </w:rPr>
        <w:t>ypromelóza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acetátosukcinát hypromelózy</w:t>
      </w:r>
    </w:p>
    <w:p w:rsidR="00FC03F4" w:rsidRPr="00843064" w:rsidRDefault="00FC03F4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</w:t>
      </w:r>
      <w:r w:rsidRPr="00843064">
        <w:rPr>
          <w:rFonts w:ascii="Times New Roman" w:hAnsi="Times New Roman"/>
          <w:color w:val="000000"/>
        </w:rPr>
        <w:t>acharóza</w:t>
      </w:r>
    </w:p>
    <w:p w:rsidR="00FC03F4" w:rsidRPr="00843064" w:rsidRDefault="00FC03F4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cukor</w:t>
      </w:r>
      <w:r w:rsidR="00655E82">
        <w:rPr>
          <w:rFonts w:ascii="Times New Roman" w:hAnsi="Times New Roman"/>
          <w:color w:val="000000"/>
        </w:rPr>
        <w:t>,</w:t>
      </w:r>
      <w:r w:rsidRPr="00843064">
        <w:rPr>
          <w:rFonts w:ascii="Times New Roman" w:hAnsi="Times New Roman"/>
          <w:color w:val="000000"/>
        </w:rPr>
        <w:t xml:space="preserve"> </w:t>
      </w:r>
      <w:r w:rsidR="00655E82">
        <w:rPr>
          <w:rFonts w:ascii="Times New Roman" w:hAnsi="Times New Roman"/>
          <w:color w:val="000000"/>
        </w:rPr>
        <w:t>z</w:t>
      </w:r>
      <w:r w:rsidR="00655E82" w:rsidRPr="00843064">
        <w:rPr>
          <w:rFonts w:ascii="Times New Roman" w:hAnsi="Times New Roman"/>
          <w:color w:val="000000"/>
        </w:rPr>
        <w:t>rn</w:t>
      </w:r>
      <w:r w:rsidR="00655E82">
        <w:rPr>
          <w:rFonts w:ascii="Times New Roman" w:hAnsi="Times New Roman"/>
          <w:color w:val="000000"/>
        </w:rPr>
        <w:t>ený</w:t>
      </w:r>
      <w:r w:rsidR="00655E82" w:rsidRPr="00843064">
        <w:rPr>
          <w:rFonts w:ascii="Times New Roman" w:hAnsi="Times New Roman"/>
          <w:color w:val="000000"/>
        </w:rPr>
        <w:t xml:space="preserve"> </w:t>
      </w:r>
      <w:r w:rsidRPr="00843064">
        <w:rPr>
          <w:rFonts w:ascii="Times New Roman" w:hAnsi="Times New Roman"/>
          <w:color w:val="000000"/>
        </w:rPr>
        <w:t>(sacharóza, kukuričný škrob)</w:t>
      </w:r>
    </w:p>
    <w:p w:rsidR="00FC03F4" w:rsidRPr="00843064" w:rsidRDefault="00FC03F4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</w:t>
      </w:r>
      <w:r w:rsidRPr="00843064">
        <w:rPr>
          <w:rFonts w:ascii="Times New Roman" w:hAnsi="Times New Roman"/>
          <w:color w:val="000000"/>
        </w:rPr>
        <w:t>astenec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>xid titaničitý (E 171)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hyprolóza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FC03F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C03F4">
        <w:rPr>
          <w:rFonts w:ascii="Times New Roman" w:hAnsi="Times New Roman"/>
          <w:b/>
          <w:color w:val="000000"/>
        </w:rPr>
        <w:t>Obal kapsuly</w:t>
      </w:r>
    </w:p>
    <w:p w:rsidR="00FC03F4" w:rsidRPr="00843064" w:rsidRDefault="00655E82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ž</w:t>
      </w:r>
      <w:r w:rsidR="00FC03F4" w:rsidRPr="00843064">
        <w:rPr>
          <w:rFonts w:ascii="Times New Roman" w:hAnsi="Times New Roman"/>
          <w:color w:val="000000"/>
        </w:rPr>
        <w:t>elatína</w:t>
      </w:r>
    </w:p>
    <w:p w:rsidR="00FC03F4" w:rsidRDefault="00FC03F4" w:rsidP="00FC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>xid titaničitý (E 171)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indigokarmín (E132)</w:t>
      </w:r>
    </w:p>
    <w:p w:rsidR="00810B0A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ž</w:t>
      </w:r>
      <w:r w:rsidR="00810B0A" w:rsidRPr="00843064">
        <w:rPr>
          <w:rFonts w:ascii="Times New Roman" w:hAnsi="Times New Roman"/>
          <w:color w:val="000000"/>
        </w:rPr>
        <w:t>ltý oxid železitý (E 172)</w:t>
      </w:r>
    </w:p>
    <w:p w:rsidR="00FC03F4" w:rsidRPr="0084306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6.2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Inkompatibility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Neaplikovateľné.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6.3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Čas použiteľnosti</w:t>
      </w:r>
    </w:p>
    <w:p w:rsidR="008A79CB" w:rsidRDefault="008A79C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202AD3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 w:rsidR="00FC03F4">
        <w:rPr>
          <w:rFonts w:ascii="Times New Roman" w:hAnsi="Times New Roman"/>
          <w:color w:val="000000"/>
        </w:rPr>
        <w:t xml:space="preserve"> roky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6.4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Špeciálne upozornenia na uchovávanie</w:t>
      </w:r>
    </w:p>
    <w:p w:rsidR="00FC03F4" w:rsidRDefault="00FC03F4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FC03F4" w:rsidRDefault="00FC03F4" w:rsidP="00C8438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C03F4">
        <w:rPr>
          <w:rFonts w:ascii="Times New Roman" w:hAnsi="Times New Roman"/>
          <w:noProof/>
        </w:rPr>
        <w:t xml:space="preserve">Tento liek nevyžaduje žiadne zvláštne </w:t>
      </w:r>
      <w:r w:rsidR="006841EF">
        <w:rPr>
          <w:rFonts w:ascii="Times New Roman" w:hAnsi="Times New Roman"/>
          <w:noProof/>
        </w:rPr>
        <w:t xml:space="preserve">teplotné </w:t>
      </w:r>
      <w:r w:rsidRPr="00FC03F4">
        <w:rPr>
          <w:rFonts w:ascii="Times New Roman" w:hAnsi="Times New Roman"/>
          <w:noProof/>
        </w:rPr>
        <w:t>podmienky na uchovávanie.</w:t>
      </w:r>
      <w:r w:rsidRPr="00FC03F4">
        <w:rPr>
          <w:rFonts w:ascii="Times New Roman" w:hAnsi="Times New Roman"/>
          <w:color w:val="000000"/>
        </w:rPr>
        <w:t xml:space="preserve"> </w:t>
      </w:r>
      <w:r w:rsidR="00810B0A" w:rsidRPr="00FC03F4">
        <w:rPr>
          <w:rFonts w:ascii="Times New Roman" w:hAnsi="Times New Roman"/>
          <w:color w:val="000000"/>
        </w:rPr>
        <w:t>Uchovávajte v pôvodnom obale na ochranu pred vlhkosťou.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6.5 </w:t>
      </w:r>
      <w:r w:rsidR="00FC03F4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Druh obalu a obsah balenia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C03F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PVC/PCTFE/A</w:t>
      </w:r>
      <w:r w:rsidR="00FC03F4">
        <w:rPr>
          <w:rFonts w:ascii="Times New Roman" w:hAnsi="Times New Roman"/>
          <w:color w:val="000000"/>
        </w:rPr>
        <w:t>LU</w:t>
      </w:r>
      <w:r w:rsidRPr="00843064">
        <w:rPr>
          <w:rFonts w:ascii="Times New Roman" w:hAnsi="Times New Roman"/>
          <w:color w:val="000000"/>
        </w:rPr>
        <w:t xml:space="preserve"> blistr</w:t>
      </w:r>
      <w:r w:rsidR="00FC03F4">
        <w:rPr>
          <w:rFonts w:ascii="Times New Roman" w:hAnsi="Times New Roman"/>
          <w:color w:val="000000"/>
        </w:rPr>
        <w:t>e</w:t>
      </w:r>
    </w:p>
    <w:p w:rsidR="00FC03F4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95C1D" w:rsidRPr="00843064" w:rsidRDefault="006203D9" w:rsidP="00995C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Balenia po</w:t>
      </w:r>
      <w:r w:rsidR="00995C1D" w:rsidRPr="00843064">
        <w:rPr>
          <w:rFonts w:ascii="Times New Roman" w:hAnsi="Times New Roman"/>
          <w:color w:val="000000"/>
        </w:rPr>
        <w:t xml:space="preserve"> </w:t>
      </w:r>
      <w:r w:rsidR="00995C1D">
        <w:rPr>
          <w:rFonts w:ascii="Times New Roman" w:hAnsi="Times New Roman"/>
          <w:color w:val="000000"/>
        </w:rPr>
        <w:t>7, 10, 14, 28, 30, 56, 60, 84, 90, 98,</w:t>
      </w:r>
      <w:r>
        <w:rPr>
          <w:rFonts w:ascii="Times New Roman" w:hAnsi="Times New Roman"/>
          <w:color w:val="000000"/>
        </w:rPr>
        <w:t xml:space="preserve"> 100, </w:t>
      </w:r>
      <w:r w:rsidR="00995C1D">
        <w:rPr>
          <w:rFonts w:ascii="Times New Roman" w:hAnsi="Times New Roman"/>
          <w:color w:val="000000"/>
        </w:rPr>
        <w:t>112, 140 kapsúl.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Na trh nemusia byť uvedené všetky veľkosti balenia.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6.6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Špeciálne opatrenia na likvidáciu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995C1D" w:rsidP="00995C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Žiadne zvláštne požiadavky.</w:t>
      </w: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FC03F4" w:rsidRPr="00C84381" w:rsidRDefault="00FC03F4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7.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DRŽITEĽ ROZHODNUTIA O REGISTRÁCII</w:t>
      </w:r>
    </w:p>
    <w:p w:rsidR="00995C1D" w:rsidRPr="00C84381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995C1D">
        <w:rPr>
          <w:rFonts w:ascii="Times New Roman" w:hAnsi="Times New Roman"/>
          <w:bCs/>
          <w:color w:val="000000"/>
        </w:rPr>
        <w:t>STADA A</w:t>
      </w:r>
      <w:r>
        <w:rPr>
          <w:rFonts w:ascii="Times New Roman" w:hAnsi="Times New Roman"/>
          <w:bCs/>
          <w:color w:val="000000"/>
        </w:rPr>
        <w:t>rzneimittel AG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Stadastrase 2-18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61118 Bad Vilbel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Nemecko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995C1D" w:rsidRP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Pr="00843064" w:rsidRDefault="00810B0A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8.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REGISTRAČNÉ ČÍSL</w:t>
      </w:r>
      <w:r w:rsidR="00995C1D">
        <w:rPr>
          <w:rFonts w:ascii="Times New Roman" w:hAnsi="Times New Roman"/>
          <w:b/>
          <w:bCs/>
          <w:color w:val="000000"/>
        </w:rPr>
        <w:t>O</w:t>
      </w:r>
    </w:p>
    <w:p w:rsidR="00995C1D" w:rsidRDefault="00995C1D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95C1D" w:rsidRDefault="002A338F" w:rsidP="00D307B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2A338F">
        <w:rPr>
          <w:rFonts w:ascii="Times New Roman" w:hAnsi="Times New Roman"/>
          <w:bCs/>
          <w:color w:val="000000"/>
        </w:rPr>
        <w:t>30/0400/15-S</w:t>
      </w:r>
    </w:p>
    <w:p w:rsidR="0079088D" w:rsidRDefault="0079088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9.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DÁTUM PRVEJ REGISTRÁCIE/PREDĹŽENIA REGISTRÁCIE</w:t>
      </w:r>
    </w:p>
    <w:p w:rsidR="00995C1D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10B0A" w:rsidRPr="00843064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Dátum prvej registrácie:</w:t>
      </w:r>
      <w:r w:rsidR="00664218">
        <w:rPr>
          <w:rFonts w:ascii="Times New Roman" w:hAnsi="Times New Roman"/>
          <w:color w:val="000000"/>
        </w:rPr>
        <w:t xml:space="preserve"> 22. októbra 2015</w:t>
      </w:r>
    </w:p>
    <w:p w:rsidR="00995C1D" w:rsidRPr="00C84381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995C1D" w:rsidRPr="00C84381" w:rsidRDefault="00995C1D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10B0A" w:rsidRDefault="00810B0A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43064">
        <w:rPr>
          <w:rFonts w:ascii="Times New Roman" w:hAnsi="Times New Roman"/>
          <w:b/>
          <w:bCs/>
          <w:color w:val="000000"/>
        </w:rPr>
        <w:t xml:space="preserve">10. </w:t>
      </w:r>
      <w:r w:rsidR="00995C1D">
        <w:rPr>
          <w:rFonts w:ascii="Times New Roman" w:hAnsi="Times New Roman"/>
          <w:b/>
          <w:bCs/>
          <w:color w:val="000000"/>
        </w:rPr>
        <w:tab/>
      </w:r>
      <w:r w:rsidRPr="00843064">
        <w:rPr>
          <w:rFonts w:ascii="Times New Roman" w:hAnsi="Times New Roman"/>
          <w:b/>
          <w:bCs/>
          <w:color w:val="000000"/>
        </w:rPr>
        <w:t>DÁTUM REVÍZIE TEXTU</w:t>
      </w:r>
    </w:p>
    <w:p w:rsidR="008A79CB" w:rsidRDefault="008A79CB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E02E0C" w:rsidRPr="00E02E0C" w:rsidRDefault="00DE49AC" w:rsidP="0081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10/2019</w:t>
      </w:r>
    </w:p>
    <w:sectPr w:rsidR="00E02E0C" w:rsidRPr="00E02E0C" w:rsidSect="00D307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AC" w:rsidRDefault="00DE49AC" w:rsidP="00810B0A">
      <w:pPr>
        <w:spacing w:after="0" w:line="240" w:lineRule="auto"/>
      </w:pPr>
      <w:r>
        <w:separator/>
      </w:r>
    </w:p>
  </w:endnote>
  <w:endnote w:type="continuationSeparator" w:id="0">
    <w:p w:rsidR="00DE49AC" w:rsidRDefault="00DE49AC" w:rsidP="0081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80F0000" w:usb2="00000010" w:usb3="00000000" w:csb0="00120008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AC" w:rsidRDefault="00DE49AC" w:rsidP="00D307B0">
    <w:pPr>
      <w:pStyle w:val="Pta"/>
      <w:jc w:val="center"/>
    </w:pPr>
    <w:r w:rsidRPr="00A4449E">
      <w:rPr>
        <w:rFonts w:ascii="Times New Roman" w:hAnsi="Times New Roman"/>
        <w:sz w:val="18"/>
        <w:szCs w:val="18"/>
      </w:rPr>
      <w:fldChar w:fldCharType="begin"/>
    </w:r>
    <w:r w:rsidRPr="00A4449E">
      <w:rPr>
        <w:rFonts w:ascii="Times New Roman" w:hAnsi="Times New Roman"/>
        <w:sz w:val="18"/>
        <w:szCs w:val="18"/>
      </w:rPr>
      <w:instrText>PAGE   \* MERGEFORMAT</w:instrText>
    </w:r>
    <w:r w:rsidRPr="00A4449E">
      <w:rPr>
        <w:rFonts w:ascii="Times New Roman" w:hAnsi="Times New Roman"/>
        <w:sz w:val="18"/>
        <w:szCs w:val="18"/>
      </w:rPr>
      <w:fldChar w:fldCharType="separate"/>
    </w:r>
    <w:r w:rsidR="00D307B0">
      <w:rPr>
        <w:rFonts w:ascii="Times New Roman" w:hAnsi="Times New Roman"/>
        <w:noProof/>
        <w:sz w:val="18"/>
        <w:szCs w:val="18"/>
      </w:rPr>
      <w:t>17</w:t>
    </w:r>
    <w:r w:rsidRPr="00A4449E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AC" w:rsidRDefault="00DE49AC">
    <w:pPr>
      <w:pStyle w:val="Pta"/>
      <w:jc w:val="center"/>
    </w:pPr>
    <w:r w:rsidRPr="00843064">
      <w:rPr>
        <w:rFonts w:ascii="Times New Roman" w:hAnsi="Times New Roman"/>
        <w:sz w:val="18"/>
        <w:szCs w:val="18"/>
      </w:rPr>
      <w:fldChar w:fldCharType="begin"/>
    </w:r>
    <w:r w:rsidRPr="00843064">
      <w:rPr>
        <w:rFonts w:ascii="Times New Roman" w:hAnsi="Times New Roman"/>
        <w:sz w:val="18"/>
        <w:szCs w:val="18"/>
      </w:rPr>
      <w:instrText>PAGE   \* MERGEFORMAT</w:instrText>
    </w:r>
    <w:r w:rsidRPr="00843064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843064">
      <w:rPr>
        <w:rFonts w:ascii="Times New Roman" w:hAnsi="Times New Roman"/>
        <w:sz w:val="18"/>
        <w:szCs w:val="18"/>
      </w:rPr>
      <w:fldChar w:fldCharType="end"/>
    </w:r>
  </w:p>
  <w:p w:rsidR="00DE49AC" w:rsidRDefault="00DE49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AC" w:rsidRDefault="00DE49AC" w:rsidP="00810B0A">
      <w:pPr>
        <w:spacing w:after="0" w:line="240" w:lineRule="auto"/>
      </w:pPr>
      <w:r>
        <w:separator/>
      </w:r>
    </w:p>
  </w:footnote>
  <w:footnote w:type="continuationSeparator" w:id="0">
    <w:p w:rsidR="00DE49AC" w:rsidRDefault="00DE49AC" w:rsidP="0081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AC" w:rsidRPr="00810B0A" w:rsidRDefault="00DE49AC" w:rsidP="00C84381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 2019/04613-Z1B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9AC" w:rsidRDefault="00DE49AC">
    <w:pPr>
      <w:pStyle w:val="Hlavika"/>
      <w:rPr>
        <w:rFonts w:ascii="Times New Roman" w:hAnsi="Times New Roman"/>
        <w:sz w:val="18"/>
        <w:szCs w:val="18"/>
      </w:rPr>
    </w:pPr>
  </w:p>
  <w:p w:rsidR="00DE49AC" w:rsidRDefault="00DE49AC">
    <w:pPr>
      <w:pStyle w:val="Hlavika"/>
    </w:pPr>
    <w:r>
      <w:rPr>
        <w:rFonts w:ascii="Times New Roman" w:hAnsi="Times New Roman"/>
        <w:sz w:val="18"/>
        <w:szCs w:val="18"/>
      </w:rPr>
      <w:t>Príloha č. 1 k notifikácii o zmene, ev. č.: 2017/04811-Z1B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0A"/>
    <w:rsid w:val="00012807"/>
    <w:rsid w:val="000570A9"/>
    <w:rsid w:val="00072C3D"/>
    <w:rsid w:val="001035AD"/>
    <w:rsid w:val="001161BD"/>
    <w:rsid w:val="00167583"/>
    <w:rsid w:val="0019778A"/>
    <w:rsid w:val="001C6C4C"/>
    <w:rsid w:val="001D4E6B"/>
    <w:rsid w:val="00202AD3"/>
    <w:rsid w:val="00203DE9"/>
    <w:rsid w:val="00220F13"/>
    <w:rsid w:val="00222C23"/>
    <w:rsid w:val="00267350"/>
    <w:rsid w:val="002A338F"/>
    <w:rsid w:val="002C4A10"/>
    <w:rsid w:val="002C5B29"/>
    <w:rsid w:val="002C7B2B"/>
    <w:rsid w:val="002D2885"/>
    <w:rsid w:val="00391962"/>
    <w:rsid w:val="003B2B90"/>
    <w:rsid w:val="003B751B"/>
    <w:rsid w:val="00432E54"/>
    <w:rsid w:val="00475FD4"/>
    <w:rsid w:val="0048340A"/>
    <w:rsid w:val="004A619D"/>
    <w:rsid w:val="004E29FA"/>
    <w:rsid w:val="005126D7"/>
    <w:rsid w:val="00562822"/>
    <w:rsid w:val="00564DE7"/>
    <w:rsid w:val="005729B8"/>
    <w:rsid w:val="005C710A"/>
    <w:rsid w:val="005D1488"/>
    <w:rsid w:val="005E1BC2"/>
    <w:rsid w:val="005E69C2"/>
    <w:rsid w:val="00602B49"/>
    <w:rsid w:val="006103EB"/>
    <w:rsid w:val="006203D9"/>
    <w:rsid w:val="0064407E"/>
    <w:rsid w:val="00655E82"/>
    <w:rsid w:val="00664218"/>
    <w:rsid w:val="00670F2D"/>
    <w:rsid w:val="0067206B"/>
    <w:rsid w:val="00680C14"/>
    <w:rsid w:val="006841EF"/>
    <w:rsid w:val="006E3D54"/>
    <w:rsid w:val="007072C1"/>
    <w:rsid w:val="00765414"/>
    <w:rsid w:val="00786DC2"/>
    <w:rsid w:val="0079088D"/>
    <w:rsid w:val="00794444"/>
    <w:rsid w:val="007B71E2"/>
    <w:rsid w:val="007C4BF2"/>
    <w:rsid w:val="007E7E81"/>
    <w:rsid w:val="007F60EE"/>
    <w:rsid w:val="00810B0A"/>
    <w:rsid w:val="0081184A"/>
    <w:rsid w:val="00823761"/>
    <w:rsid w:val="00823C77"/>
    <w:rsid w:val="00841A17"/>
    <w:rsid w:val="00843064"/>
    <w:rsid w:val="008A2E2F"/>
    <w:rsid w:val="008A79CB"/>
    <w:rsid w:val="008B41F6"/>
    <w:rsid w:val="008C055A"/>
    <w:rsid w:val="009358A8"/>
    <w:rsid w:val="00936EE2"/>
    <w:rsid w:val="00942017"/>
    <w:rsid w:val="00995C1D"/>
    <w:rsid w:val="009F00B8"/>
    <w:rsid w:val="00A241F1"/>
    <w:rsid w:val="00A2522F"/>
    <w:rsid w:val="00A32E12"/>
    <w:rsid w:val="00A34C0A"/>
    <w:rsid w:val="00A374D3"/>
    <w:rsid w:val="00A4449E"/>
    <w:rsid w:val="00A502DD"/>
    <w:rsid w:val="00A56D91"/>
    <w:rsid w:val="00A826D7"/>
    <w:rsid w:val="00A90E83"/>
    <w:rsid w:val="00AE6E87"/>
    <w:rsid w:val="00B327A1"/>
    <w:rsid w:val="00B655C8"/>
    <w:rsid w:val="00B778CA"/>
    <w:rsid w:val="00B83A05"/>
    <w:rsid w:val="00B95F39"/>
    <w:rsid w:val="00BA5CA8"/>
    <w:rsid w:val="00C33E9B"/>
    <w:rsid w:val="00C42C21"/>
    <w:rsid w:val="00C577D8"/>
    <w:rsid w:val="00C60569"/>
    <w:rsid w:val="00C84381"/>
    <w:rsid w:val="00CF16A1"/>
    <w:rsid w:val="00CF42E1"/>
    <w:rsid w:val="00D25E8C"/>
    <w:rsid w:val="00D307B0"/>
    <w:rsid w:val="00D60DD2"/>
    <w:rsid w:val="00D93E83"/>
    <w:rsid w:val="00DB404D"/>
    <w:rsid w:val="00DE49AC"/>
    <w:rsid w:val="00E026EE"/>
    <w:rsid w:val="00E02E0C"/>
    <w:rsid w:val="00E170D7"/>
    <w:rsid w:val="00E278DE"/>
    <w:rsid w:val="00E947C9"/>
    <w:rsid w:val="00EE2805"/>
    <w:rsid w:val="00F035D1"/>
    <w:rsid w:val="00F12973"/>
    <w:rsid w:val="00F74E8D"/>
    <w:rsid w:val="00FC03F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0B0A"/>
  </w:style>
  <w:style w:type="paragraph" w:styleId="Pta">
    <w:name w:val="footer"/>
    <w:basedOn w:val="Normlny"/>
    <w:link w:val="PtaChar"/>
    <w:uiPriority w:val="99"/>
    <w:unhideWhenUsed/>
    <w:rsid w:val="0081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0B0A"/>
  </w:style>
  <w:style w:type="paragraph" w:styleId="Textbubliny">
    <w:name w:val="Balloon Text"/>
    <w:basedOn w:val="Normlny"/>
    <w:link w:val="TextbublinyChar"/>
    <w:uiPriority w:val="99"/>
    <w:semiHidden/>
    <w:unhideWhenUsed/>
    <w:rsid w:val="00810B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10B0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93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2522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203D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3DE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03DE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DE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03DE9"/>
    <w:rPr>
      <w:b/>
      <w:bCs/>
      <w:lang w:eastAsia="en-US"/>
    </w:rPr>
  </w:style>
  <w:style w:type="paragraph" w:styleId="Revzia">
    <w:name w:val="Revision"/>
    <w:hidden/>
    <w:uiPriority w:val="99"/>
    <w:semiHidden/>
    <w:rsid w:val="0064407E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1035A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035AD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0B0A"/>
  </w:style>
  <w:style w:type="paragraph" w:styleId="Pta">
    <w:name w:val="footer"/>
    <w:basedOn w:val="Normlny"/>
    <w:link w:val="PtaChar"/>
    <w:uiPriority w:val="99"/>
    <w:unhideWhenUsed/>
    <w:rsid w:val="00810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0B0A"/>
  </w:style>
  <w:style w:type="paragraph" w:styleId="Textbubliny">
    <w:name w:val="Balloon Text"/>
    <w:basedOn w:val="Normlny"/>
    <w:link w:val="TextbublinyChar"/>
    <w:uiPriority w:val="99"/>
    <w:semiHidden/>
    <w:unhideWhenUsed/>
    <w:rsid w:val="00810B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10B0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936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2522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203D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3DE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03DE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DE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03DE9"/>
    <w:rPr>
      <w:b/>
      <w:bCs/>
      <w:lang w:eastAsia="en-US"/>
    </w:rPr>
  </w:style>
  <w:style w:type="paragraph" w:styleId="Revzia">
    <w:name w:val="Revision"/>
    <w:hidden/>
    <w:uiPriority w:val="99"/>
    <w:semiHidden/>
    <w:rsid w:val="0064407E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1035A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035AD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7519</Words>
  <Characters>42864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Natalia </cp:lastModifiedBy>
  <cp:revision>2</cp:revision>
  <dcterms:created xsi:type="dcterms:W3CDTF">2019-10-03T10:48:00Z</dcterms:created>
  <dcterms:modified xsi:type="dcterms:W3CDTF">2019-10-03T10:48:00Z</dcterms:modified>
</cp:coreProperties>
</file>