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0F02B" w14:textId="35D67E1B" w:rsidR="001575C3" w:rsidRPr="001575C3" w:rsidRDefault="00387CE2" w:rsidP="001575C3">
      <w:pPr>
        <w:tabs>
          <w:tab w:val="left" w:pos="567"/>
        </w:tabs>
        <w:ind w:left="567" w:hanging="567"/>
        <w:jc w:val="left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                       </w:t>
      </w:r>
      <w:r w:rsidR="009F32A6">
        <w:rPr>
          <w:b/>
          <w:sz w:val="22"/>
        </w:rPr>
        <w:t xml:space="preserve"> </w:t>
      </w:r>
      <w:r w:rsidR="001575C3" w:rsidRPr="001575C3">
        <w:rPr>
          <w:b/>
          <w:sz w:val="22"/>
        </w:rPr>
        <w:t>SÚHRN CHARAKTERISTICKÝCH VLASTNOSTÍ LIEKU</w:t>
      </w:r>
    </w:p>
    <w:p w14:paraId="758E77BB" w14:textId="77777777" w:rsidR="00CC24C7" w:rsidRPr="001575C3" w:rsidRDefault="00CC24C7" w:rsidP="001575C3">
      <w:pPr>
        <w:tabs>
          <w:tab w:val="center" w:pos="2624"/>
        </w:tabs>
        <w:spacing w:after="0" w:line="259" w:lineRule="auto"/>
        <w:ind w:left="-15" w:firstLine="0"/>
        <w:jc w:val="left"/>
        <w:rPr>
          <w:sz w:val="22"/>
        </w:rPr>
      </w:pPr>
    </w:p>
    <w:p w14:paraId="75943572" w14:textId="77777777" w:rsidR="00CC24C7" w:rsidRPr="001575C3" w:rsidRDefault="00CC24C7" w:rsidP="001575C3">
      <w:pPr>
        <w:tabs>
          <w:tab w:val="center" w:pos="2624"/>
        </w:tabs>
        <w:spacing w:after="0" w:line="259" w:lineRule="auto"/>
        <w:jc w:val="left"/>
        <w:rPr>
          <w:sz w:val="22"/>
        </w:rPr>
      </w:pPr>
    </w:p>
    <w:p w14:paraId="51D341A3" w14:textId="1BD0056D" w:rsidR="00F15395" w:rsidRPr="001575C3" w:rsidRDefault="00F15395" w:rsidP="001575C3">
      <w:pPr>
        <w:tabs>
          <w:tab w:val="left" w:pos="709"/>
          <w:tab w:val="center" w:pos="2624"/>
        </w:tabs>
        <w:spacing w:after="0" w:line="259" w:lineRule="auto"/>
        <w:ind w:left="-15" w:firstLine="0"/>
        <w:jc w:val="left"/>
        <w:rPr>
          <w:sz w:val="22"/>
        </w:rPr>
      </w:pPr>
      <w:r w:rsidRPr="001575C3">
        <w:rPr>
          <w:sz w:val="22"/>
        </w:rPr>
        <w:t xml:space="preserve">1. </w:t>
      </w:r>
      <w:r w:rsidRPr="001575C3">
        <w:rPr>
          <w:sz w:val="22"/>
        </w:rPr>
        <w:tab/>
      </w:r>
      <w:r w:rsidRPr="001575C3">
        <w:rPr>
          <w:b/>
          <w:sz w:val="22"/>
        </w:rPr>
        <w:t>N</w:t>
      </w:r>
      <w:r w:rsidR="004B264A" w:rsidRPr="001575C3">
        <w:rPr>
          <w:b/>
          <w:sz w:val="22"/>
        </w:rPr>
        <w:t>ÁZOV LIEKU</w:t>
      </w:r>
      <w:r w:rsidRPr="001575C3">
        <w:rPr>
          <w:sz w:val="22"/>
        </w:rPr>
        <w:t xml:space="preserve"> </w:t>
      </w:r>
    </w:p>
    <w:p w14:paraId="3089E15C" w14:textId="77F2E024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3497436A" w14:textId="4BDAAABA" w:rsidR="00F15395" w:rsidRPr="001575C3" w:rsidRDefault="00EE77AC" w:rsidP="001575C3">
      <w:pPr>
        <w:ind w:left="-5" w:right="38"/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4B264A" w:rsidRPr="001575C3">
        <w:rPr>
          <w:sz w:val="22"/>
        </w:rPr>
        <w:t xml:space="preserve"> 0,5 mg/0,</w:t>
      </w:r>
      <w:r w:rsidR="00F15395" w:rsidRPr="001575C3">
        <w:rPr>
          <w:sz w:val="22"/>
        </w:rPr>
        <w:t xml:space="preserve">4 mg </w:t>
      </w:r>
      <w:r w:rsidR="004B264A" w:rsidRPr="001575C3">
        <w:rPr>
          <w:sz w:val="22"/>
        </w:rPr>
        <w:t>tvrdé kapsuly</w:t>
      </w:r>
      <w:r w:rsidR="00F15395" w:rsidRPr="001575C3">
        <w:rPr>
          <w:sz w:val="22"/>
        </w:rPr>
        <w:t xml:space="preserve"> </w:t>
      </w:r>
    </w:p>
    <w:p w14:paraId="2BD85893" w14:textId="56FED059" w:rsidR="00F15395" w:rsidRPr="001575C3" w:rsidRDefault="00F15395" w:rsidP="001575C3">
      <w:pPr>
        <w:spacing w:after="0" w:line="259" w:lineRule="auto"/>
        <w:ind w:left="0" w:firstLine="0"/>
        <w:jc w:val="left"/>
        <w:rPr>
          <w:b/>
          <w:sz w:val="22"/>
        </w:rPr>
      </w:pPr>
    </w:p>
    <w:p w14:paraId="088BD83A" w14:textId="77777777" w:rsidR="001575C3" w:rsidRPr="001575C3" w:rsidRDefault="001575C3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25CAD6D8" w14:textId="13BEAA04" w:rsidR="00F15395" w:rsidRPr="001575C3" w:rsidRDefault="004B264A" w:rsidP="001575C3">
      <w:pPr>
        <w:pStyle w:val="Nadpis1"/>
        <w:tabs>
          <w:tab w:val="left" w:pos="709"/>
          <w:tab w:val="center" w:pos="3365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2. </w:t>
      </w:r>
      <w:r w:rsidRPr="001575C3">
        <w:rPr>
          <w:sz w:val="22"/>
          <w:lang w:val="sk-SK"/>
        </w:rPr>
        <w:tab/>
        <w:t>KVALITATÍVNE A KVANTITATÍVNE ZLOŽENIE</w:t>
      </w:r>
    </w:p>
    <w:p w14:paraId="71A0F555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46F0A80D" w14:textId="5FF1B3CF" w:rsidR="00F15395" w:rsidRPr="001575C3" w:rsidRDefault="001575C3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Kaž</w:t>
      </w:r>
      <w:r w:rsidR="004B264A" w:rsidRPr="001575C3">
        <w:rPr>
          <w:sz w:val="22"/>
        </w:rPr>
        <w:t>dá tvrdá kapsula obsahuje 0,</w:t>
      </w:r>
      <w:r w:rsidR="00F15395" w:rsidRPr="001575C3">
        <w:rPr>
          <w:sz w:val="22"/>
        </w:rPr>
        <w:t xml:space="preserve">5 mg </w:t>
      </w:r>
      <w:proofErr w:type="spellStart"/>
      <w:r w:rsidR="004B264A" w:rsidRPr="001575C3">
        <w:rPr>
          <w:sz w:val="22"/>
        </w:rPr>
        <w:t>dutasteridu</w:t>
      </w:r>
      <w:proofErr w:type="spellEnd"/>
      <w:r w:rsidR="004B264A" w:rsidRPr="001575C3">
        <w:rPr>
          <w:sz w:val="22"/>
        </w:rPr>
        <w:t xml:space="preserve"> a 0,</w:t>
      </w:r>
      <w:r w:rsidR="00F15395" w:rsidRPr="001575C3">
        <w:rPr>
          <w:sz w:val="22"/>
        </w:rPr>
        <w:t xml:space="preserve">4 mg </w:t>
      </w:r>
      <w:proofErr w:type="spellStart"/>
      <w:r w:rsidR="00F15395" w:rsidRPr="001575C3">
        <w:rPr>
          <w:sz w:val="22"/>
        </w:rPr>
        <w:t>tamsulo</w:t>
      </w:r>
      <w:r w:rsidR="004B264A" w:rsidRPr="001575C3">
        <w:rPr>
          <w:sz w:val="22"/>
        </w:rPr>
        <w:t>zíniumchloridu</w:t>
      </w:r>
      <w:proofErr w:type="spellEnd"/>
      <w:r w:rsidR="00F15395" w:rsidRPr="001575C3">
        <w:rPr>
          <w:sz w:val="22"/>
        </w:rPr>
        <w:t xml:space="preserve"> (</w:t>
      </w:r>
      <w:r w:rsidR="004B264A" w:rsidRPr="001575C3">
        <w:rPr>
          <w:sz w:val="22"/>
        </w:rPr>
        <w:t>čo zodpovedá 0,</w:t>
      </w:r>
      <w:r w:rsidR="00F15395" w:rsidRPr="001575C3">
        <w:rPr>
          <w:sz w:val="22"/>
        </w:rPr>
        <w:t xml:space="preserve">367 mg </w:t>
      </w:r>
      <w:proofErr w:type="spellStart"/>
      <w:r w:rsidR="00F15395" w:rsidRPr="001575C3">
        <w:rPr>
          <w:sz w:val="22"/>
        </w:rPr>
        <w:t>tamsulo</w:t>
      </w:r>
      <w:r w:rsidR="004B264A" w:rsidRPr="001575C3">
        <w:rPr>
          <w:sz w:val="22"/>
        </w:rPr>
        <w:t>zínu</w:t>
      </w:r>
      <w:proofErr w:type="spellEnd"/>
      <w:r w:rsidR="004B264A" w:rsidRPr="001575C3">
        <w:rPr>
          <w:sz w:val="22"/>
        </w:rPr>
        <w:t>)</w:t>
      </w:r>
      <w:r w:rsidR="00F15395" w:rsidRPr="001575C3">
        <w:rPr>
          <w:sz w:val="22"/>
        </w:rPr>
        <w:t xml:space="preserve">. </w:t>
      </w:r>
    </w:p>
    <w:p w14:paraId="196BE366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5AFF9060" w14:textId="650D0974" w:rsidR="00F15395" w:rsidRPr="001575C3" w:rsidRDefault="004B264A" w:rsidP="001575C3">
      <w:pPr>
        <w:pStyle w:val="Nadpis2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Pomocné látky so známym účinkom</w:t>
      </w:r>
      <w:r w:rsidR="00F15395" w:rsidRPr="001575C3">
        <w:rPr>
          <w:sz w:val="22"/>
          <w:u w:val="none"/>
          <w:lang w:val="sk-SK"/>
        </w:rPr>
        <w:t xml:space="preserve"> </w:t>
      </w:r>
    </w:p>
    <w:p w14:paraId="0BB6E49E" w14:textId="78A86B02" w:rsidR="0095603C" w:rsidRPr="001575C3" w:rsidRDefault="004B264A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>Každá kapsula obs</w:t>
      </w:r>
      <w:r w:rsidR="001575C3">
        <w:rPr>
          <w:sz w:val="22"/>
        </w:rPr>
        <w:t xml:space="preserve">ahuje sójový lecitín a </w:t>
      </w:r>
      <w:proofErr w:type="spellStart"/>
      <w:r w:rsidR="001575C3">
        <w:rPr>
          <w:sz w:val="22"/>
        </w:rPr>
        <w:t>propylén</w:t>
      </w:r>
      <w:r w:rsidRPr="001575C3">
        <w:rPr>
          <w:sz w:val="22"/>
        </w:rPr>
        <w:t>glykol</w:t>
      </w:r>
      <w:proofErr w:type="spellEnd"/>
      <w:r w:rsidR="0095603C" w:rsidRPr="001575C3">
        <w:rPr>
          <w:sz w:val="22"/>
        </w:rPr>
        <w:t xml:space="preserve"> </w:t>
      </w:r>
    </w:p>
    <w:p w14:paraId="7B1B5678" w14:textId="31DCF37A" w:rsidR="00D32277" w:rsidRPr="001575C3" w:rsidRDefault="00D32277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2FE950E" w14:textId="6E5D1A58" w:rsidR="00D32277" w:rsidRPr="001575C3" w:rsidRDefault="00D32277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>T</w:t>
      </w:r>
      <w:r w:rsidR="001575C3">
        <w:rPr>
          <w:sz w:val="22"/>
        </w:rPr>
        <w:t>ento liek</w:t>
      </w:r>
      <w:r w:rsidR="004B264A" w:rsidRPr="001575C3">
        <w:rPr>
          <w:sz w:val="22"/>
        </w:rPr>
        <w:t xml:space="preserve"> obsahuje 299,</w:t>
      </w:r>
      <w:r w:rsidRPr="001575C3">
        <w:rPr>
          <w:sz w:val="22"/>
        </w:rPr>
        <w:t xml:space="preserve">46 mg </w:t>
      </w:r>
      <w:proofErr w:type="spellStart"/>
      <w:r w:rsidRPr="001575C3">
        <w:rPr>
          <w:sz w:val="22"/>
        </w:rPr>
        <w:t>propyl</w:t>
      </w:r>
      <w:r w:rsidR="004B264A" w:rsidRPr="001575C3">
        <w:rPr>
          <w:sz w:val="22"/>
        </w:rPr>
        <w:t>énglykolu</w:t>
      </w:r>
      <w:proofErr w:type="spellEnd"/>
      <w:r w:rsidR="004B264A" w:rsidRPr="001575C3">
        <w:rPr>
          <w:sz w:val="22"/>
        </w:rPr>
        <w:t xml:space="preserve"> v každej tvrdej kapsul</w:t>
      </w:r>
      <w:r w:rsidR="00E33B8A">
        <w:rPr>
          <w:sz w:val="22"/>
        </w:rPr>
        <w:t>e</w:t>
      </w:r>
      <w:r w:rsidR="004B264A" w:rsidRPr="001575C3">
        <w:rPr>
          <w:sz w:val="22"/>
        </w:rPr>
        <w:t>, čo zodpovedá</w:t>
      </w:r>
      <w:r w:rsidRPr="001575C3">
        <w:rPr>
          <w:sz w:val="22"/>
        </w:rPr>
        <w:t xml:space="preserve"> </w:t>
      </w:r>
      <w:r w:rsidR="00817DD6" w:rsidRPr="001575C3">
        <w:rPr>
          <w:sz w:val="22"/>
        </w:rPr>
        <w:t>4,27</w:t>
      </w:r>
      <w:r w:rsidR="001575C3">
        <w:rPr>
          <w:sz w:val="22"/>
        </w:rPr>
        <w:t> </w:t>
      </w:r>
      <w:r w:rsidR="00817DD6" w:rsidRPr="001575C3">
        <w:rPr>
          <w:sz w:val="22"/>
        </w:rPr>
        <w:t>mg/kg</w:t>
      </w:r>
      <w:r w:rsidRPr="001575C3">
        <w:rPr>
          <w:sz w:val="22"/>
        </w:rPr>
        <w:t>.</w:t>
      </w:r>
    </w:p>
    <w:p w14:paraId="130EEA90" w14:textId="07DED3BA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3E495B52" w14:textId="76D0DAC2" w:rsidR="00F15395" w:rsidRPr="001575C3" w:rsidRDefault="004B264A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 xml:space="preserve">Úplný zoznam pomocných látok, pozri časť </w:t>
      </w:r>
      <w:r w:rsidR="00F15395" w:rsidRPr="001575C3">
        <w:rPr>
          <w:sz w:val="22"/>
        </w:rPr>
        <w:t xml:space="preserve">6.1. </w:t>
      </w:r>
    </w:p>
    <w:p w14:paraId="24EC68E4" w14:textId="71A5ED53" w:rsidR="00F15395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11C2C02" w14:textId="77777777" w:rsidR="002849AA" w:rsidRPr="001575C3" w:rsidRDefault="002849AA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C80CBFF" w14:textId="0A95A64A" w:rsidR="00F15395" w:rsidRPr="001575C3" w:rsidRDefault="004B264A" w:rsidP="001575C3">
      <w:pPr>
        <w:pStyle w:val="Nadpis1"/>
        <w:tabs>
          <w:tab w:val="left" w:pos="709"/>
          <w:tab w:val="center" w:pos="2035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3. </w:t>
      </w:r>
      <w:r w:rsidRPr="001575C3">
        <w:rPr>
          <w:sz w:val="22"/>
          <w:lang w:val="sk-SK"/>
        </w:rPr>
        <w:tab/>
        <w:t>LIEKOVÁ FORMA</w:t>
      </w:r>
      <w:r w:rsidR="00F15395" w:rsidRPr="001575C3">
        <w:rPr>
          <w:sz w:val="22"/>
          <w:lang w:val="sk-SK"/>
        </w:rPr>
        <w:t xml:space="preserve"> </w:t>
      </w:r>
    </w:p>
    <w:p w14:paraId="141EAEF6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782AC51E" w14:textId="37DDB158" w:rsidR="00F15395" w:rsidRPr="001575C3" w:rsidRDefault="004B264A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Tvrdá kapsula</w:t>
      </w:r>
      <w:r w:rsidR="00F15395" w:rsidRPr="001575C3">
        <w:rPr>
          <w:sz w:val="22"/>
        </w:rPr>
        <w:t xml:space="preserve"> </w:t>
      </w:r>
    </w:p>
    <w:p w14:paraId="1BD9011E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F0CA10E" w14:textId="04C8980F" w:rsidR="00F15395" w:rsidRPr="001575C3" w:rsidRDefault="00EE77AC" w:rsidP="001575C3">
      <w:pPr>
        <w:ind w:left="-5" w:right="38"/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4B264A" w:rsidRPr="001575C3">
        <w:rPr>
          <w:sz w:val="22"/>
        </w:rPr>
        <w:t xml:space="preserve"> sú podlhovasté tvrdé </w:t>
      </w:r>
      <w:r w:rsidR="001575C3" w:rsidRPr="001575C3">
        <w:rPr>
          <w:sz w:val="22"/>
        </w:rPr>
        <w:t>želatínové</w:t>
      </w:r>
      <w:r w:rsidR="004B264A" w:rsidRPr="001575C3">
        <w:rPr>
          <w:sz w:val="22"/>
        </w:rPr>
        <w:t xml:space="preserve"> kapsuly s rozmermi </w:t>
      </w:r>
      <w:r w:rsidR="001575C3" w:rsidRPr="001575C3">
        <w:rPr>
          <w:sz w:val="22"/>
        </w:rPr>
        <w:t>približne</w:t>
      </w:r>
      <w:r w:rsidR="004B264A" w:rsidRPr="001575C3">
        <w:rPr>
          <w:sz w:val="22"/>
        </w:rPr>
        <w:t xml:space="preserve"> 21,4 mm x 7,</w:t>
      </w:r>
      <w:r w:rsidR="0095603C" w:rsidRPr="001575C3">
        <w:rPr>
          <w:sz w:val="22"/>
        </w:rPr>
        <w:t>4 mm</w:t>
      </w:r>
      <w:r w:rsidR="004B264A" w:rsidRPr="001575C3">
        <w:rPr>
          <w:sz w:val="22"/>
        </w:rPr>
        <w:t xml:space="preserve">, s hnedým telom a oranžovým </w:t>
      </w:r>
      <w:r w:rsidR="00E33B8A">
        <w:rPr>
          <w:sz w:val="22"/>
        </w:rPr>
        <w:t>vrchnák</w:t>
      </w:r>
      <w:r w:rsidR="004B264A" w:rsidRPr="001575C3">
        <w:rPr>
          <w:sz w:val="22"/>
        </w:rPr>
        <w:t>om s vytlačeným C001 čiernym atramentom</w:t>
      </w:r>
      <w:r w:rsidR="00F15395" w:rsidRPr="001575C3">
        <w:rPr>
          <w:sz w:val="22"/>
        </w:rPr>
        <w:t>.</w:t>
      </w:r>
    </w:p>
    <w:p w14:paraId="528B8906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117A3383" w14:textId="1E7E351E" w:rsidR="004B264A" w:rsidRPr="001575C3" w:rsidRDefault="004B264A" w:rsidP="001575C3">
      <w:pPr>
        <w:jc w:val="left"/>
        <w:rPr>
          <w:sz w:val="22"/>
        </w:rPr>
      </w:pPr>
      <w:r w:rsidRPr="001575C3">
        <w:rPr>
          <w:sz w:val="22"/>
        </w:rPr>
        <w:t xml:space="preserve">Každá tvrdá kapsula obsahuje </w:t>
      </w:r>
      <w:proofErr w:type="spellStart"/>
      <w:r w:rsidRPr="001575C3">
        <w:rPr>
          <w:sz w:val="22"/>
        </w:rPr>
        <w:t>tamsulozíniumchlorid</w:t>
      </w:r>
      <w:proofErr w:type="spellEnd"/>
      <w:r w:rsidRPr="001575C3">
        <w:rPr>
          <w:sz w:val="22"/>
        </w:rPr>
        <w:t xml:space="preserve"> v </w:t>
      </w:r>
      <w:proofErr w:type="spellStart"/>
      <w:r w:rsidRPr="001575C3">
        <w:rPr>
          <w:sz w:val="22"/>
        </w:rPr>
        <w:t>peletách</w:t>
      </w:r>
      <w:proofErr w:type="spellEnd"/>
      <w:r w:rsidRPr="001575C3">
        <w:rPr>
          <w:sz w:val="22"/>
        </w:rPr>
        <w:t xml:space="preserve"> s riadeným uvoľňovaním a </w:t>
      </w:r>
      <w:proofErr w:type="spellStart"/>
      <w:r w:rsidRPr="001575C3">
        <w:rPr>
          <w:sz w:val="22"/>
        </w:rPr>
        <w:t>dutaste</w:t>
      </w:r>
      <w:r w:rsidR="00FF1A56">
        <w:rPr>
          <w:sz w:val="22"/>
        </w:rPr>
        <w:t>rid</w:t>
      </w:r>
      <w:proofErr w:type="spellEnd"/>
      <w:r w:rsidR="00FF1A56">
        <w:rPr>
          <w:sz w:val="22"/>
        </w:rPr>
        <w:t xml:space="preserve"> v mäkkej želatínovej kapsul</w:t>
      </w:r>
      <w:r w:rsidR="00E33B8A">
        <w:rPr>
          <w:sz w:val="22"/>
        </w:rPr>
        <w:t>e</w:t>
      </w:r>
      <w:r w:rsidRPr="001575C3">
        <w:rPr>
          <w:sz w:val="22"/>
        </w:rPr>
        <w:t>.</w:t>
      </w:r>
    </w:p>
    <w:p w14:paraId="421A2844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1816F638" w14:textId="77777777" w:rsidR="004B264A" w:rsidRPr="001575C3" w:rsidRDefault="004B264A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00879A7D" w14:textId="76FCE516" w:rsidR="00F15395" w:rsidRPr="001575C3" w:rsidRDefault="004B264A" w:rsidP="001575C3">
      <w:pPr>
        <w:pStyle w:val="Nadpis1"/>
        <w:tabs>
          <w:tab w:val="left" w:pos="709"/>
          <w:tab w:val="center" w:pos="1967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4. </w:t>
      </w:r>
      <w:r w:rsidRPr="001575C3">
        <w:rPr>
          <w:sz w:val="22"/>
          <w:lang w:val="sk-SK"/>
        </w:rPr>
        <w:tab/>
        <w:t>KLINICKÉ ÚDAJE</w:t>
      </w:r>
      <w:r w:rsidR="00F15395" w:rsidRPr="001575C3">
        <w:rPr>
          <w:b w:val="0"/>
          <w:sz w:val="22"/>
          <w:lang w:val="sk-SK"/>
        </w:rPr>
        <w:t xml:space="preserve"> </w:t>
      </w:r>
    </w:p>
    <w:p w14:paraId="6D3E6275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0D54136D" w14:textId="283FE965" w:rsidR="00F15395" w:rsidRPr="001575C3" w:rsidRDefault="00F15395" w:rsidP="001575C3">
      <w:pPr>
        <w:pStyle w:val="Nadpis2"/>
        <w:tabs>
          <w:tab w:val="center" w:pos="1701"/>
        </w:tabs>
        <w:spacing w:after="0"/>
        <w:ind w:left="-15" w:firstLine="0"/>
        <w:rPr>
          <w:sz w:val="22"/>
          <w:lang w:val="sk-SK"/>
        </w:rPr>
      </w:pPr>
      <w:r w:rsidRPr="001575C3">
        <w:rPr>
          <w:b/>
          <w:sz w:val="22"/>
          <w:u w:val="none"/>
          <w:lang w:val="sk-SK"/>
        </w:rPr>
        <w:t xml:space="preserve">4.1 </w:t>
      </w:r>
      <w:r w:rsidRPr="001575C3">
        <w:rPr>
          <w:b/>
          <w:sz w:val="22"/>
          <w:u w:val="none"/>
          <w:lang w:val="sk-SK"/>
        </w:rPr>
        <w:tab/>
        <w:t>T</w:t>
      </w:r>
      <w:r w:rsidR="004B264A" w:rsidRPr="001575C3">
        <w:rPr>
          <w:b/>
          <w:sz w:val="22"/>
          <w:u w:val="none"/>
          <w:lang w:val="sk-SK"/>
        </w:rPr>
        <w:t>erapeutické indikácie</w:t>
      </w:r>
      <w:r w:rsidRPr="001575C3">
        <w:rPr>
          <w:sz w:val="22"/>
          <w:u w:val="none"/>
          <w:lang w:val="sk-SK"/>
        </w:rPr>
        <w:t xml:space="preserve"> </w:t>
      </w:r>
    </w:p>
    <w:p w14:paraId="6D79F16B" w14:textId="3085351C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422B276" w14:textId="63DBE8AF" w:rsidR="004B264A" w:rsidRPr="00E33B8A" w:rsidRDefault="004B264A" w:rsidP="001575C3">
      <w:pPr>
        <w:jc w:val="left"/>
        <w:rPr>
          <w:sz w:val="22"/>
        </w:rPr>
      </w:pPr>
      <w:r w:rsidRPr="001575C3">
        <w:rPr>
          <w:sz w:val="22"/>
        </w:rPr>
        <w:t xml:space="preserve">Liečba stredne ťažkých až ťažkých symptómov benígnej </w:t>
      </w:r>
      <w:proofErr w:type="spellStart"/>
      <w:r w:rsidRPr="001575C3">
        <w:rPr>
          <w:sz w:val="22"/>
        </w:rPr>
        <w:t>hyperplázie</w:t>
      </w:r>
      <w:proofErr w:type="spellEnd"/>
      <w:r w:rsidRPr="001575C3">
        <w:rPr>
          <w:sz w:val="22"/>
        </w:rPr>
        <w:t xml:space="preserve"> prostaty (</w:t>
      </w:r>
      <w:proofErr w:type="spellStart"/>
      <w:r w:rsidR="00E33B8A" w:rsidRPr="002849AA">
        <w:rPr>
          <w:sz w:val="22"/>
        </w:rPr>
        <w:t>benign</w:t>
      </w:r>
      <w:proofErr w:type="spellEnd"/>
      <w:r w:rsidR="00E33B8A" w:rsidRPr="002849AA">
        <w:rPr>
          <w:sz w:val="22"/>
        </w:rPr>
        <w:t xml:space="preserve"> </w:t>
      </w:r>
      <w:proofErr w:type="spellStart"/>
      <w:r w:rsidR="00E33B8A" w:rsidRPr="002849AA">
        <w:rPr>
          <w:sz w:val="22"/>
        </w:rPr>
        <w:t>prostatic</w:t>
      </w:r>
      <w:proofErr w:type="spellEnd"/>
      <w:r w:rsidR="00E33B8A" w:rsidRPr="002849AA">
        <w:rPr>
          <w:sz w:val="22"/>
        </w:rPr>
        <w:t xml:space="preserve"> </w:t>
      </w:r>
      <w:proofErr w:type="spellStart"/>
      <w:r w:rsidR="00E33B8A" w:rsidRPr="002849AA">
        <w:rPr>
          <w:sz w:val="22"/>
        </w:rPr>
        <w:t>hyperplasia</w:t>
      </w:r>
      <w:proofErr w:type="spellEnd"/>
      <w:r w:rsidR="00E33B8A" w:rsidRPr="002849AA">
        <w:rPr>
          <w:sz w:val="22"/>
        </w:rPr>
        <w:t>-</w:t>
      </w:r>
      <w:r w:rsidR="00E33B8A">
        <w:rPr>
          <w:sz w:val="22"/>
        </w:rPr>
        <w:t xml:space="preserve"> </w:t>
      </w:r>
      <w:r w:rsidRPr="00E33B8A">
        <w:rPr>
          <w:sz w:val="22"/>
        </w:rPr>
        <w:t>BPH).</w:t>
      </w:r>
    </w:p>
    <w:p w14:paraId="12250F0B" w14:textId="77777777" w:rsidR="004B264A" w:rsidRPr="001575C3" w:rsidRDefault="004B264A" w:rsidP="001575C3">
      <w:pPr>
        <w:jc w:val="left"/>
        <w:rPr>
          <w:sz w:val="22"/>
        </w:rPr>
      </w:pPr>
    </w:p>
    <w:p w14:paraId="32BED8FC" w14:textId="4F11D5B0" w:rsidR="004B264A" w:rsidRPr="001575C3" w:rsidRDefault="004B264A" w:rsidP="001575C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1575C3">
        <w:rPr>
          <w:rFonts w:ascii="Times New Roman" w:hAnsi="Times New Roman"/>
          <w:color w:val="auto"/>
          <w:sz w:val="22"/>
          <w:szCs w:val="22"/>
        </w:rPr>
        <w:t xml:space="preserve">Zníženie rizika akútnej </w:t>
      </w:r>
      <w:proofErr w:type="spellStart"/>
      <w:r w:rsidRPr="001575C3">
        <w:rPr>
          <w:rFonts w:ascii="Times New Roman" w:hAnsi="Times New Roman"/>
          <w:color w:val="auto"/>
          <w:sz w:val="22"/>
          <w:szCs w:val="22"/>
        </w:rPr>
        <w:t>retencie</w:t>
      </w:r>
      <w:proofErr w:type="spellEnd"/>
      <w:r w:rsidRPr="001575C3">
        <w:rPr>
          <w:rFonts w:ascii="Times New Roman" w:hAnsi="Times New Roman"/>
          <w:color w:val="auto"/>
          <w:sz w:val="22"/>
          <w:szCs w:val="22"/>
        </w:rPr>
        <w:t xml:space="preserve"> moču </w:t>
      </w:r>
      <w:r w:rsidRPr="002849AA">
        <w:rPr>
          <w:rFonts w:ascii="Times New Roman" w:hAnsi="Times New Roman"/>
          <w:color w:val="auto"/>
          <w:sz w:val="22"/>
          <w:szCs w:val="22"/>
        </w:rPr>
        <w:t>(</w:t>
      </w:r>
      <w:proofErr w:type="spellStart"/>
      <w:r w:rsidR="00E33B8A" w:rsidRPr="002849AA">
        <w:rPr>
          <w:rFonts w:ascii="Times New Roman" w:hAnsi="Times New Roman"/>
          <w:color w:val="auto"/>
          <w:sz w:val="22"/>
          <w:szCs w:val="22"/>
        </w:rPr>
        <w:t>acute</w:t>
      </w:r>
      <w:proofErr w:type="spellEnd"/>
      <w:r w:rsidR="00E33B8A" w:rsidRPr="002849AA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33B8A" w:rsidRPr="002849AA">
        <w:rPr>
          <w:rFonts w:ascii="Times New Roman" w:hAnsi="Times New Roman"/>
          <w:color w:val="auto"/>
          <w:sz w:val="22"/>
          <w:szCs w:val="22"/>
        </w:rPr>
        <w:t>urinary</w:t>
      </w:r>
      <w:proofErr w:type="spellEnd"/>
      <w:r w:rsidR="00E33B8A" w:rsidRPr="002849AA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33B8A" w:rsidRPr="002849AA">
        <w:rPr>
          <w:rFonts w:ascii="Times New Roman" w:hAnsi="Times New Roman"/>
          <w:color w:val="auto"/>
          <w:sz w:val="22"/>
          <w:szCs w:val="22"/>
        </w:rPr>
        <w:t>retention</w:t>
      </w:r>
      <w:proofErr w:type="spellEnd"/>
      <w:r w:rsidR="005370C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33B8A" w:rsidRPr="002849AA">
        <w:rPr>
          <w:rFonts w:ascii="Times New Roman" w:hAnsi="Times New Roman"/>
          <w:color w:val="auto"/>
          <w:sz w:val="22"/>
          <w:szCs w:val="22"/>
        </w:rPr>
        <w:t>-</w:t>
      </w:r>
      <w:r w:rsidR="00E33B8A" w:rsidRPr="002849AA">
        <w:rPr>
          <w:color w:val="auto"/>
          <w:sz w:val="23"/>
          <w:szCs w:val="23"/>
        </w:rPr>
        <w:t xml:space="preserve"> </w:t>
      </w:r>
      <w:r w:rsidRPr="001575C3">
        <w:rPr>
          <w:rFonts w:ascii="Times New Roman" w:hAnsi="Times New Roman"/>
          <w:color w:val="auto"/>
          <w:sz w:val="22"/>
          <w:szCs w:val="22"/>
        </w:rPr>
        <w:t>AUR) a chirurgického zákroku u pacientov so stredne ťažkými až ťažkými symptómami BPH.</w:t>
      </w:r>
    </w:p>
    <w:p w14:paraId="5E971A08" w14:textId="77777777" w:rsidR="004B264A" w:rsidRPr="001575C3" w:rsidRDefault="004B264A" w:rsidP="001575C3">
      <w:pPr>
        <w:jc w:val="left"/>
        <w:rPr>
          <w:sz w:val="22"/>
        </w:rPr>
      </w:pPr>
    </w:p>
    <w:p w14:paraId="65CE809E" w14:textId="77777777" w:rsidR="004B264A" w:rsidRPr="001575C3" w:rsidRDefault="004B264A" w:rsidP="001575C3">
      <w:pPr>
        <w:jc w:val="left"/>
        <w:rPr>
          <w:sz w:val="22"/>
        </w:rPr>
      </w:pPr>
      <w:r w:rsidRPr="001575C3">
        <w:rPr>
          <w:sz w:val="22"/>
        </w:rPr>
        <w:t>Informácie o účinkoch liečby a populáciách pacientov skúmaných v klinických skúšaniach pozri časť 5.1.</w:t>
      </w:r>
    </w:p>
    <w:p w14:paraId="786BBD15" w14:textId="33EF4FA1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5841BBF3" w14:textId="70066EF1" w:rsidR="00F15395" w:rsidRPr="001575C3" w:rsidRDefault="00393804" w:rsidP="001575C3">
      <w:pPr>
        <w:tabs>
          <w:tab w:val="left" w:pos="709"/>
          <w:tab w:val="center" w:pos="2425"/>
        </w:tabs>
        <w:spacing w:after="0" w:line="259" w:lineRule="auto"/>
        <w:ind w:left="-15" w:firstLine="0"/>
        <w:jc w:val="left"/>
        <w:rPr>
          <w:sz w:val="22"/>
        </w:rPr>
      </w:pPr>
      <w:r w:rsidRPr="001575C3">
        <w:rPr>
          <w:b/>
          <w:sz w:val="22"/>
        </w:rPr>
        <w:t xml:space="preserve">4.2 </w:t>
      </w:r>
      <w:r w:rsidRPr="001575C3">
        <w:rPr>
          <w:b/>
          <w:sz w:val="22"/>
        </w:rPr>
        <w:tab/>
        <w:t>Dávkovanie a spôsob podávania</w:t>
      </w:r>
      <w:r w:rsidR="00F15395" w:rsidRPr="001575C3">
        <w:rPr>
          <w:b/>
          <w:sz w:val="22"/>
        </w:rPr>
        <w:t xml:space="preserve"> </w:t>
      </w:r>
    </w:p>
    <w:p w14:paraId="6CD433B7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23D0D68A" w14:textId="121EE4C1" w:rsidR="00F15395" w:rsidRPr="001575C3" w:rsidRDefault="00393804" w:rsidP="001575C3">
      <w:pPr>
        <w:pStyle w:val="Nadpis2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Dávkovanie</w:t>
      </w:r>
      <w:r w:rsidR="00F15395" w:rsidRPr="001575C3">
        <w:rPr>
          <w:b/>
          <w:sz w:val="22"/>
          <w:u w:val="none"/>
          <w:lang w:val="sk-SK"/>
        </w:rPr>
        <w:t xml:space="preserve"> </w:t>
      </w:r>
    </w:p>
    <w:p w14:paraId="1DC324B5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263EC8C" w14:textId="012C2B75" w:rsidR="00F15395" w:rsidRPr="001575C3" w:rsidRDefault="00393804" w:rsidP="001575C3">
      <w:pPr>
        <w:pStyle w:val="Nadpis3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lastRenderedPageBreak/>
        <w:t>Dospelí</w:t>
      </w:r>
      <w:r w:rsidR="00F15395" w:rsidRPr="001575C3">
        <w:rPr>
          <w:sz w:val="22"/>
          <w:lang w:val="sk-SK"/>
        </w:rPr>
        <w:t xml:space="preserve"> (</w:t>
      </w:r>
      <w:r w:rsidRPr="001575C3">
        <w:rPr>
          <w:sz w:val="22"/>
          <w:lang w:val="sk-SK"/>
        </w:rPr>
        <w:t>vrátane starších ľudí)</w:t>
      </w:r>
      <w:r w:rsidR="00F15395" w:rsidRPr="001575C3">
        <w:rPr>
          <w:sz w:val="22"/>
          <w:lang w:val="sk-SK"/>
        </w:rPr>
        <w:t xml:space="preserve"> </w:t>
      </w:r>
    </w:p>
    <w:p w14:paraId="2E76AAED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/>
          <w:sz w:val="22"/>
        </w:rPr>
        <w:t xml:space="preserve"> </w:t>
      </w:r>
    </w:p>
    <w:p w14:paraId="19880770" w14:textId="67907540" w:rsidR="00F15395" w:rsidRPr="001575C3" w:rsidRDefault="001575C3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Odporúčaná</w:t>
      </w:r>
      <w:r w:rsidR="00393804" w:rsidRPr="001575C3">
        <w:rPr>
          <w:sz w:val="22"/>
        </w:rPr>
        <w:t xml:space="preserve"> dávka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Tamsulosinu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="00393804" w:rsidRPr="001575C3">
        <w:rPr>
          <w:sz w:val="22"/>
        </w:rPr>
        <w:t xml:space="preserve"> je jedna kapsula (0,5 mg/ 0,4 mg) denne</w:t>
      </w:r>
      <w:r w:rsidR="00F15395" w:rsidRPr="001575C3">
        <w:rPr>
          <w:sz w:val="22"/>
        </w:rPr>
        <w:t xml:space="preserve">. </w:t>
      </w:r>
    </w:p>
    <w:p w14:paraId="12921627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89A3BDD" w14:textId="0903AB72" w:rsidR="00393804" w:rsidRPr="001575C3" w:rsidRDefault="0039380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lang w:eastAsia="en-GB"/>
        </w:rPr>
        <w:t xml:space="preserve">Ak je to vhodné,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  <w:lang w:eastAsia="en-GB"/>
        </w:rPr>
        <w:t xml:space="preserve"> možno použiť na nahradenie súbežného užívania </w:t>
      </w:r>
      <w:proofErr w:type="spellStart"/>
      <w:r w:rsidRPr="001575C3">
        <w:rPr>
          <w:sz w:val="22"/>
          <w:lang w:eastAsia="en-GB"/>
        </w:rPr>
        <w:t>dutasteridu</w:t>
      </w:r>
      <w:proofErr w:type="spellEnd"/>
      <w:r w:rsidRPr="001575C3">
        <w:rPr>
          <w:sz w:val="22"/>
          <w:lang w:eastAsia="en-GB"/>
        </w:rPr>
        <w:t xml:space="preserve"> a 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  <w:lang w:eastAsia="en-GB"/>
        </w:rPr>
        <w:t xml:space="preserve"> pri prebiehajúcej duálnej terapii, aby sa liečba zjednodušila.</w:t>
      </w:r>
    </w:p>
    <w:p w14:paraId="7FF784DE" w14:textId="77777777" w:rsidR="00393804" w:rsidRPr="001575C3" w:rsidRDefault="0039380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</w:p>
    <w:p w14:paraId="55B134F4" w14:textId="3DE5321B" w:rsidR="00393804" w:rsidRPr="001575C3" w:rsidRDefault="0039380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lang w:eastAsia="en-GB"/>
        </w:rPr>
        <w:t>Ak je to klinicky vhodné, možno zvážiť priame prestavenie z </w:t>
      </w:r>
      <w:proofErr w:type="spellStart"/>
      <w:r w:rsidRPr="001575C3">
        <w:rPr>
          <w:sz w:val="22"/>
          <w:lang w:eastAsia="en-GB"/>
        </w:rPr>
        <w:t>monoterapie</w:t>
      </w:r>
      <w:proofErr w:type="spellEnd"/>
      <w:r w:rsidRPr="001575C3">
        <w:rPr>
          <w:sz w:val="22"/>
          <w:lang w:eastAsia="en-GB"/>
        </w:rPr>
        <w:t xml:space="preserve"> </w:t>
      </w:r>
      <w:proofErr w:type="spellStart"/>
      <w:r w:rsidRPr="001575C3">
        <w:rPr>
          <w:sz w:val="22"/>
          <w:lang w:eastAsia="en-GB"/>
        </w:rPr>
        <w:t>dutasteridom</w:t>
      </w:r>
      <w:proofErr w:type="spellEnd"/>
      <w:r w:rsidRPr="001575C3">
        <w:rPr>
          <w:sz w:val="22"/>
          <w:lang w:eastAsia="en-GB"/>
        </w:rPr>
        <w:t xml:space="preserve"> alebo </w:t>
      </w:r>
      <w:proofErr w:type="spellStart"/>
      <w:r w:rsidRPr="001575C3">
        <w:rPr>
          <w:sz w:val="22"/>
        </w:rPr>
        <w:t>tamsulozíniumchloridom</w:t>
      </w:r>
      <w:proofErr w:type="spellEnd"/>
      <w:r w:rsidRPr="001575C3">
        <w:rPr>
          <w:sz w:val="22"/>
        </w:rPr>
        <w:t xml:space="preserve"> na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  <w:lang w:eastAsia="en-GB"/>
        </w:rPr>
        <w:t>.</w:t>
      </w:r>
    </w:p>
    <w:p w14:paraId="22564FCA" w14:textId="5C7274F6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43FB42C" w14:textId="6F40830B" w:rsidR="00F15395" w:rsidRPr="001575C3" w:rsidRDefault="00393804" w:rsidP="001575C3">
      <w:pPr>
        <w:pStyle w:val="Nadpis3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Porucha funkcie obličiek</w:t>
      </w:r>
      <w:r w:rsidR="00F15395" w:rsidRPr="001575C3">
        <w:rPr>
          <w:sz w:val="22"/>
          <w:lang w:val="sk-SK"/>
        </w:rPr>
        <w:t xml:space="preserve"> </w:t>
      </w:r>
    </w:p>
    <w:p w14:paraId="7AEFFA3C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51B692BA" w14:textId="13801690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Vplyv poruchy funkcie obličiek na </w:t>
      </w:r>
      <w:proofErr w:type="spellStart"/>
      <w:r w:rsidRPr="001575C3">
        <w:rPr>
          <w:sz w:val="22"/>
        </w:rPr>
        <w:t>farmakokinetiku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>/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sa neskúmal. U pacientov s poruchou funkcie obličiek sa nepredpokladá potreba úpravy dávkovania (pozri časť 4.4 a 5.2).</w:t>
      </w:r>
    </w:p>
    <w:p w14:paraId="6E1A3D67" w14:textId="33EE438B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7FB28343" w14:textId="3364E774" w:rsidR="00F15395" w:rsidRPr="001575C3" w:rsidRDefault="00393804" w:rsidP="001575C3">
      <w:pPr>
        <w:pStyle w:val="Nadpis3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Porucha funkcie pečene</w:t>
      </w:r>
      <w:r w:rsidR="00F15395" w:rsidRPr="001575C3">
        <w:rPr>
          <w:sz w:val="22"/>
          <w:lang w:val="sk-SK"/>
        </w:rPr>
        <w:t xml:space="preserve"> </w:t>
      </w:r>
    </w:p>
    <w:p w14:paraId="7E62A270" w14:textId="77777777" w:rsidR="00F15395" w:rsidRPr="001575C3" w:rsidRDefault="00F15395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 </w:t>
      </w:r>
    </w:p>
    <w:p w14:paraId="22780B15" w14:textId="29D07B16" w:rsidR="00393804" w:rsidRPr="001575C3" w:rsidRDefault="00393804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Vplyv poruchy funkcie pečene na </w:t>
      </w:r>
      <w:proofErr w:type="spellStart"/>
      <w:r w:rsidRPr="001575C3">
        <w:rPr>
          <w:lang w:val="sk-SK"/>
        </w:rPr>
        <w:t>farmakokinetiku</w:t>
      </w:r>
      <w:proofErr w:type="spellEnd"/>
      <w:r w:rsidRPr="001575C3">
        <w:rPr>
          <w:lang w:val="sk-SK"/>
        </w:rPr>
        <w:t xml:space="preserve">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>/</w:t>
      </w:r>
      <w:proofErr w:type="spellStart"/>
      <w:r w:rsidRPr="001575C3">
        <w:rPr>
          <w:lang w:val="sk-SK"/>
        </w:rPr>
        <w:t>tamsulozínu</w:t>
      </w:r>
      <w:proofErr w:type="spellEnd"/>
      <w:r w:rsidRPr="001575C3">
        <w:rPr>
          <w:lang w:val="sk-SK"/>
        </w:rPr>
        <w:t xml:space="preserve"> sa neskúmal, ale je potrebná opatrnosť u pacientov s miernou až stredne </w:t>
      </w:r>
      <w:r w:rsidR="00653920">
        <w:rPr>
          <w:lang w:val="sk-SK"/>
        </w:rPr>
        <w:t>závažn</w:t>
      </w:r>
      <w:r w:rsidRPr="001575C3">
        <w:rPr>
          <w:lang w:val="sk-SK"/>
        </w:rPr>
        <w:t xml:space="preserve">ou poruchou funkcie pečene (pozri časť </w:t>
      </w:r>
      <w:smartTag w:uri="urn:schemas-microsoft-com:office:smarttags" w:element="metricconverter">
        <w:smartTagPr>
          <w:attr w:name="ProductID" w:val="4.4 a"/>
        </w:smartTagPr>
        <w:r w:rsidRPr="001575C3">
          <w:rPr>
            <w:lang w:val="sk-SK"/>
          </w:rPr>
          <w:t>4.4 a</w:t>
        </w:r>
      </w:smartTag>
      <w:r w:rsidRPr="001575C3">
        <w:rPr>
          <w:lang w:val="sk-SK"/>
        </w:rPr>
        <w:t xml:space="preserve"> časť 5.2). U pacientov s </w:t>
      </w:r>
      <w:r w:rsidR="00653920">
        <w:rPr>
          <w:lang w:val="sk-SK"/>
        </w:rPr>
        <w:t>závažn</w:t>
      </w:r>
      <w:r w:rsidRPr="001575C3">
        <w:rPr>
          <w:lang w:val="sk-SK"/>
        </w:rPr>
        <w:t xml:space="preserve">ou poruchou funkcie pečene je použitie </w:t>
      </w:r>
      <w:r w:rsidR="00EE77AC">
        <w:t>Dutasteride/Tamsulosinu Krka</w:t>
      </w:r>
      <w:r w:rsidRPr="001575C3">
        <w:rPr>
          <w:lang w:val="sk-SK"/>
        </w:rPr>
        <w:t xml:space="preserve"> kontraindikované (pozri časť 4.3).</w:t>
      </w:r>
    </w:p>
    <w:p w14:paraId="724DF6F9" w14:textId="77777777" w:rsidR="00393804" w:rsidRPr="001575C3" w:rsidRDefault="00393804" w:rsidP="001575C3">
      <w:pPr>
        <w:ind w:left="-5" w:right="38"/>
        <w:jc w:val="left"/>
        <w:rPr>
          <w:sz w:val="22"/>
        </w:rPr>
      </w:pPr>
    </w:p>
    <w:p w14:paraId="1BBD0783" w14:textId="0B3C5E0A" w:rsidR="00F15395" w:rsidRPr="001575C3" w:rsidRDefault="00F15395" w:rsidP="001575C3">
      <w:pPr>
        <w:pStyle w:val="Nadpis3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P</w:t>
      </w:r>
      <w:r w:rsidR="00393804" w:rsidRPr="001575C3">
        <w:rPr>
          <w:sz w:val="22"/>
          <w:lang w:val="sk-SK"/>
        </w:rPr>
        <w:t>ediatrická populácia</w:t>
      </w:r>
      <w:r w:rsidRPr="001575C3">
        <w:rPr>
          <w:sz w:val="22"/>
          <w:lang w:val="sk-SK"/>
        </w:rPr>
        <w:t xml:space="preserve"> </w:t>
      </w:r>
    </w:p>
    <w:p w14:paraId="3DD5F0B3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537FE123" w14:textId="16CF6537" w:rsidR="00F15395" w:rsidRPr="001575C3" w:rsidRDefault="00393804" w:rsidP="001575C3">
      <w:pPr>
        <w:ind w:left="-5" w:right="-1"/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="00906191" w:rsidRPr="001575C3">
        <w:rPr>
          <w:sz w:val="22"/>
        </w:rPr>
        <w:t>/</w:t>
      </w:r>
      <w:proofErr w:type="spellStart"/>
      <w:r w:rsidR="00F15395" w:rsidRPr="001575C3">
        <w:rPr>
          <w:sz w:val="22"/>
        </w:rPr>
        <w:t>tamsulo</w:t>
      </w:r>
      <w:r w:rsidRPr="001575C3">
        <w:rPr>
          <w:sz w:val="22"/>
        </w:rPr>
        <w:t>zín</w:t>
      </w:r>
      <w:proofErr w:type="spellEnd"/>
      <w:r w:rsidR="00F15395" w:rsidRPr="001575C3">
        <w:rPr>
          <w:color w:val="008000"/>
          <w:sz w:val="22"/>
        </w:rPr>
        <w:t xml:space="preserve"> </w:t>
      </w:r>
      <w:r w:rsidRPr="001575C3">
        <w:rPr>
          <w:sz w:val="22"/>
        </w:rPr>
        <w:t>je kontraindikovaný v pediatrickej populácii (vo veku do 18 rokov) (pozri časť 4.3)</w:t>
      </w:r>
      <w:r w:rsidR="00F15395" w:rsidRPr="001575C3">
        <w:rPr>
          <w:sz w:val="22"/>
        </w:rPr>
        <w:t>.</w:t>
      </w:r>
      <w:r w:rsidR="00F15395" w:rsidRPr="001575C3">
        <w:rPr>
          <w:b/>
          <w:i/>
          <w:sz w:val="22"/>
        </w:rPr>
        <w:t xml:space="preserve">  </w:t>
      </w:r>
    </w:p>
    <w:p w14:paraId="6BECDAF2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789870F1" w14:textId="27D12D75" w:rsidR="00F15395" w:rsidRPr="001575C3" w:rsidRDefault="00393804" w:rsidP="001575C3">
      <w:pPr>
        <w:pStyle w:val="Nadpis2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Spôsob podávania</w:t>
      </w:r>
      <w:r w:rsidR="00F15395" w:rsidRPr="001575C3">
        <w:rPr>
          <w:sz w:val="22"/>
          <w:u w:val="none"/>
          <w:lang w:val="sk-SK"/>
        </w:rPr>
        <w:t xml:space="preserve">  </w:t>
      </w:r>
    </w:p>
    <w:p w14:paraId="0B31D7A6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122AA5CB" w14:textId="645996AA" w:rsidR="00F15395" w:rsidRPr="001575C3" w:rsidRDefault="00393804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Na perorálne použitie</w:t>
      </w:r>
      <w:r w:rsidR="00F15395" w:rsidRPr="001575C3">
        <w:rPr>
          <w:sz w:val="22"/>
        </w:rPr>
        <w:t xml:space="preserve">.  </w:t>
      </w:r>
    </w:p>
    <w:p w14:paraId="09270FDA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23F3D665" w14:textId="4830DE0B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Pacienti majú byť poučení, aby kapsuly prehĺtali celé, približne 30 minút po jedle v rovnakom čase každý deň. Kapsuly sa nemajú žuvať, ani otvárať. Kontakt s obsahom kapsuly, ktorá obsahuje </w:t>
      </w:r>
      <w:proofErr w:type="spellStart"/>
      <w:r w:rsidRPr="001575C3">
        <w:rPr>
          <w:sz w:val="22"/>
        </w:rPr>
        <w:t>dutasterid</w:t>
      </w:r>
      <w:proofErr w:type="spellEnd"/>
      <w:r w:rsidR="001575C3">
        <w:rPr>
          <w:sz w:val="22"/>
        </w:rPr>
        <w:t>,</w:t>
      </w:r>
      <w:r w:rsidRPr="001575C3">
        <w:rPr>
          <w:sz w:val="22"/>
        </w:rPr>
        <w:t xml:space="preserve"> v kapsule s tvrdým obalom, môže vyvolať podráždenie </w:t>
      </w:r>
      <w:proofErr w:type="spellStart"/>
      <w:r w:rsidRPr="001575C3">
        <w:rPr>
          <w:sz w:val="22"/>
        </w:rPr>
        <w:t>orofaryngálnej</w:t>
      </w:r>
      <w:proofErr w:type="spellEnd"/>
      <w:r w:rsidRPr="001575C3">
        <w:rPr>
          <w:sz w:val="22"/>
        </w:rPr>
        <w:t xml:space="preserve"> sliznice.</w:t>
      </w:r>
    </w:p>
    <w:p w14:paraId="6CA14D2C" w14:textId="2F444596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031A83B4" w14:textId="0E3B06C5" w:rsidR="00F15395" w:rsidRPr="001575C3" w:rsidRDefault="00F15395" w:rsidP="001575C3">
      <w:pPr>
        <w:pStyle w:val="Nadpis3"/>
        <w:tabs>
          <w:tab w:val="center" w:pos="1424"/>
        </w:tabs>
        <w:spacing w:after="0" w:line="259" w:lineRule="auto"/>
        <w:ind w:left="-15" w:firstLine="0"/>
        <w:rPr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>4.</w:t>
      </w:r>
      <w:r w:rsidR="00393804" w:rsidRPr="001575C3">
        <w:rPr>
          <w:b/>
          <w:i w:val="0"/>
          <w:sz w:val="22"/>
          <w:lang w:val="sk-SK"/>
        </w:rPr>
        <w:t xml:space="preserve">3 </w:t>
      </w:r>
      <w:r w:rsidR="00393804" w:rsidRPr="001575C3">
        <w:rPr>
          <w:b/>
          <w:i w:val="0"/>
          <w:sz w:val="22"/>
          <w:lang w:val="sk-SK"/>
        </w:rPr>
        <w:tab/>
        <w:t>Kontraindikácie</w:t>
      </w:r>
      <w:r w:rsidRPr="001575C3">
        <w:rPr>
          <w:i w:val="0"/>
          <w:sz w:val="22"/>
          <w:lang w:val="sk-SK"/>
        </w:rPr>
        <w:t xml:space="preserve"> </w:t>
      </w:r>
    </w:p>
    <w:p w14:paraId="2B3B4777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40C8C502" w14:textId="05D560D9" w:rsidR="00393804" w:rsidRPr="001575C3" w:rsidRDefault="00EE77AC" w:rsidP="001575C3">
      <w:pPr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393804" w:rsidRPr="001575C3">
        <w:rPr>
          <w:sz w:val="22"/>
        </w:rPr>
        <w:t xml:space="preserve"> je kontraindikovaný u:</w:t>
      </w:r>
    </w:p>
    <w:p w14:paraId="713AA97A" w14:textId="1B1D529C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>-</w:t>
      </w:r>
      <w:r w:rsidRPr="001575C3">
        <w:rPr>
          <w:sz w:val="22"/>
        </w:rPr>
        <w:tab/>
        <w:t>žien, detí a dospievajúcich (pozri časť 4.6).</w:t>
      </w:r>
    </w:p>
    <w:p w14:paraId="72849FA8" w14:textId="792F2610" w:rsidR="00393804" w:rsidRPr="001575C3" w:rsidRDefault="00393804" w:rsidP="001575C3">
      <w:pPr>
        <w:ind w:left="709" w:hanging="709"/>
        <w:jc w:val="left"/>
        <w:rPr>
          <w:sz w:val="22"/>
        </w:rPr>
      </w:pPr>
      <w:r w:rsidRPr="001575C3">
        <w:rPr>
          <w:sz w:val="22"/>
        </w:rPr>
        <w:t>-</w:t>
      </w:r>
      <w:r w:rsidRPr="001575C3">
        <w:rPr>
          <w:sz w:val="22"/>
        </w:rPr>
        <w:tab/>
        <w:t>pacientov s precitlivenosťou na liečivo, iné inhibítory 5</w:t>
      </w:r>
      <w:r w:rsidRPr="001575C3">
        <w:rPr>
          <w:sz w:val="22"/>
        </w:rPr>
        <w:noBreakHyphen/>
        <w:t>alfa</w:t>
      </w:r>
      <w:r w:rsidRPr="001575C3">
        <w:rPr>
          <w:sz w:val="22"/>
        </w:rPr>
        <w:noBreakHyphen/>
        <w:t>reduktázy, sóju, arašidy, alebo na ktorúkoľvek z pomocných látok</w:t>
      </w:r>
      <w:r w:rsidRPr="001575C3">
        <w:rPr>
          <w:sz w:val="22"/>
          <w:lang w:eastAsia="en-US"/>
        </w:rPr>
        <w:t xml:space="preserve"> </w:t>
      </w:r>
      <w:r w:rsidRPr="001575C3">
        <w:rPr>
          <w:sz w:val="22"/>
        </w:rPr>
        <w:t>uvedených v časti 6.1.</w:t>
      </w:r>
    </w:p>
    <w:p w14:paraId="64EDF76D" w14:textId="0AEC8270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>-</w:t>
      </w:r>
      <w:r w:rsidRPr="001575C3">
        <w:rPr>
          <w:sz w:val="22"/>
        </w:rPr>
        <w:tab/>
        <w:t>pacientov s </w:t>
      </w:r>
      <w:proofErr w:type="spellStart"/>
      <w:r w:rsidRPr="001575C3">
        <w:rPr>
          <w:sz w:val="22"/>
        </w:rPr>
        <w:t>ortostatickou</w:t>
      </w:r>
      <w:proofErr w:type="spellEnd"/>
      <w:r w:rsidRPr="001575C3">
        <w:rPr>
          <w:sz w:val="22"/>
        </w:rPr>
        <w:t xml:space="preserve"> hypotenziou v anamnéze.</w:t>
      </w:r>
    </w:p>
    <w:p w14:paraId="1839F322" w14:textId="3E0ED5E1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>-</w:t>
      </w:r>
      <w:r w:rsidRPr="001575C3">
        <w:rPr>
          <w:sz w:val="22"/>
        </w:rPr>
        <w:tab/>
        <w:t>pacientov s</w:t>
      </w:r>
      <w:r w:rsidR="00653920">
        <w:rPr>
          <w:sz w:val="22"/>
        </w:rPr>
        <w:t>o závažn</w:t>
      </w:r>
      <w:r w:rsidRPr="001575C3">
        <w:rPr>
          <w:sz w:val="22"/>
        </w:rPr>
        <w:t>ou poruchou funkcie pečene.</w:t>
      </w:r>
    </w:p>
    <w:p w14:paraId="6FA58B6F" w14:textId="5BAC6EBC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3CE31670" w14:textId="630854D0" w:rsidR="00F15395" w:rsidRPr="001575C3" w:rsidRDefault="00393804" w:rsidP="001575C3">
      <w:pPr>
        <w:pStyle w:val="Nadpis3"/>
        <w:tabs>
          <w:tab w:val="center" w:pos="2509"/>
        </w:tabs>
        <w:spacing w:after="0" w:line="259" w:lineRule="auto"/>
        <w:ind w:left="-15" w:firstLine="0"/>
        <w:rPr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 xml:space="preserve">4.4 </w:t>
      </w:r>
      <w:r w:rsidRPr="001575C3">
        <w:rPr>
          <w:b/>
          <w:i w:val="0"/>
          <w:sz w:val="22"/>
          <w:lang w:val="sk-SK"/>
        </w:rPr>
        <w:tab/>
        <w:t>Osobitné upozornenia a opatrenia pri používaní</w:t>
      </w:r>
      <w:r w:rsidR="00F15395" w:rsidRPr="001575C3">
        <w:rPr>
          <w:b/>
          <w:i w:val="0"/>
          <w:sz w:val="22"/>
          <w:lang w:val="sk-SK"/>
        </w:rPr>
        <w:t xml:space="preserve"> </w:t>
      </w:r>
    </w:p>
    <w:p w14:paraId="6EE09CED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/>
          <w:sz w:val="22"/>
        </w:rPr>
        <w:t xml:space="preserve"> </w:t>
      </w:r>
    </w:p>
    <w:p w14:paraId="1BC0C9FD" w14:textId="77777777" w:rsidR="00393804" w:rsidRPr="001575C3" w:rsidRDefault="00393804" w:rsidP="001575C3">
      <w:pPr>
        <w:autoSpaceDE w:val="0"/>
        <w:autoSpaceDN w:val="0"/>
        <w:adjustRightInd w:val="0"/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 xml:space="preserve">Kombinovaná liečba sa má vzhľadom na potenciálne zvýšené riziko nežiaducich príhod (vrátane srdcového zlyhávania) predpísať po starostlivom vyhodnotení pomeru rizika k prínosu a po zohľadnení alternatívnych liečebných možností vrátane </w:t>
      </w:r>
      <w:proofErr w:type="spellStart"/>
      <w:r w:rsidRPr="001575C3">
        <w:rPr>
          <w:bCs/>
          <w:iCs/>
          <w:sz w:val="22"/>
        </w:rPr>
        <w:t>monoterapií</w:t>
      </w:r>
      <w:proofErr w:type="spellEnd"/>
      <w:r w:rsidRPr="001575C3">
        <w:rPr>
          <w:bCs/>
          <w:iCs/>
          <w:sz w:val="22"/>
        </w:rPr>
        <w:t>.</w:t>
      </w:r>
    </w:p>
    <w:p w14:paraId="7D0F12B2" w14:textId="77777777" w:rsidR="000B6C2B" w:rsidRPr="001575C3" w:rsidRDefault="000B6C2B" w:rsidP="001575C3">
      <w:pPr>
        <w:widowControl w:val="0"/>
        <w:jc w:val="left"/>
        <w:rPr>
          <w:i/>
          <w:sz w:val="22"/>
        </w:rPr>
      </w:pPr>
    </w:p>
    <w:p w14:paraId="464D20B0" w14:textId="756365B9" w:rsidR="000B6C2B" w:rsidRPr="001575C3" w:rsidRDefault="00393804" w:rsidP="001575C3">
      <w:pPr>
        <w:pStyle w:val="Nadpis3"/>
        <w:keepNext w:val="0"/>
        <w:widowControl w:val="0"/>
        <w:spacing w:line="240" w:lineRule="auto"/>
        <w:ind w:left="-5"/>
        <w:rPr>
          <w:b/>
          <w:i w:val="0"/>
          <w:sz w:val="22"/>
          <w:lang w:val="sk-SK"/>
        </w:rPr>
      </w:pPr>
      <w:r w:rsidRPr="001575C3">
        <w:rPr>
          <w:sz w:val="22"/>
          <w:lang w:val="sk-SK"/>
        </w:rPr>
        <w:t>Rakovina prostaty a nádory vysokého stupňa</w:t>
      </w:r>
    </w:p>
    <w:p w14:paraId="17EBDAAE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108E49BA" w14:textId="350150D9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>Štúdia REDUCE, 4</w:t>
      </w:r>
      <w:r w:rsidRPr="001575C3">
        <w:rPr>
          <w:sz w:val="22"/>
        </w:rPr>
        <w:noBreakHyphen/>
        <w:t xml:space="preserve">ročná, </w:t>
      </w:r>
      <w:proofErr w:type="spellStart"/>
      <w:r w:rsidRPr="001575C3">
        <w:rPr>
          <w:sz w:val="22"/>
        </w:rPr>
        <w:t>multicentrická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randomizovaná</w:t>
      </w:r>
      <w:proofErr w:type="spellEnd"/>
      <w:r w:rsidRPr="001575C3">
        <w:rPr>
          <w:sz w:val="22"/>
        </w:rPr>
        <w:t xml:space="preserve">, dvojito zaslepená,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kontrolovaná štúdia, skúmala účinok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0,5 mg denne u pacientov s vysokým rizikom vzniku rakoviny prostaty (zahŕňala mužov vo veku 50 až 75 rokov, s hladinou PSA od 2,5 do 10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 xml:space="preserve">/ml a s negatívnou </w:t>
      </w:r>
      <w:proofErr w:type="spellStart"/>
      <w:r w:rsidRPr="001575C3">
        <w:rPr>
          <w:sz w:val="22"/>
        </w:rPr>
        <w:t>biopsiou</w:t>
      </w:r>
      <w:proofErr w:type="spellEnd"/>
      <w:r w:rsidRPr="001575C3">
        <w:rPr>
          <w:sz w:val="22"/>
        </w:rPr>
        <w:t xml:space="preserve"> prostaty 6 mesiacov pred zaradením do štúdie) v porovnaní s 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. Výsledky tejto štúdie odhalili vyššiu </w:t>
      </w:r>
      <w:proofErr w:type="spellStart"/>
      <w:r w:rsidRPr="001575C3">
        <w:rPr>
          <w:sz w:val="22"/>
        </w:rPr>
        <w:t>incidenciu</w:t>
      </w:r>
      <w:proofErr w:type="spellEnd"/>
      <w:r w:rsidRPr="001575C3">
        <w:rPr>
          <w:sz w:val="22"/>
        </w:rPr>
        <w:t xml:space="preserve"> karcinómov prostaty s 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</w:t>
      </w:r>
      <w:r w:rsidRPr="001575C3">
        <w:rPr>
          <w:sz w:val="22"/>
        </w:rPr>
        <w:noBreakHyphen/>
        <w:t xml:space="preserve"> 10 u mužov liečených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(n = 29, 0,9 %) v porovnaní s mužmi užívajúcimi </w:t>
      </w:r>
      <w:proofErr w:type="spellStart"/>
      <w:r w:rsidRPr="001575C3">
        <w:rPr>
          <w:sz w:val="22"/>
        </w:rPr>
        <w:t>placebo</w:t>
      </w:r>
      <w:proofErr w:type="spellEnd"/>
      <w:r w:rsidRPr="001575C3">
        <w:rPr>
          <w:sz w:val="22"/>
        </w:rPr>
        <w:t xml:space="preserve"> (n = 19, 0,6 %). Súvislosť medzi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a karcinómami prostaty s 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</w:t>
      </w:r>
      <w:r w:rsidRPr="001575C3">
        <w:rPr>
          <w:sz w:val="22"/>
        </w:rPr>
        <w:noBreakHyphen/>
        <w:t xml:space="preserve"> 10 nie je jasná. Mužov užívajúcich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je preto potrebné pravidelne vyšetrovať na prítomnosť rakoviny prostaty (pozri časť 5.1).</w:t>
      </w:r>
    </w:p>
    <w:p w14:paraId="3DAF27A2" w14:textId="77777777" w:rsidR="00393804" w:rsidRPr="001575C3" w:rsidRDefault="00393804" w:rsidP="001575C3">
      <w:pPr>
        <w:jc w:val="left"/>
        <w:rPr>
          <w:sz w:val="22"/>
        </w:rPr>
      </w:pPr>
    </w:p>
    <w:p w14:paraId="7C3C08E3" w14:textId="77777777" w:rsidR="00393804" w:rsidRPr="001575C3" w:rsidRDefault="00393804" w:rsidP="001575C3">
      <w:pPr>
        <w:keepNext/>
        <w:keepLines/>
        <w:jc w:val="left"/>
        <w:rPr>
          <w:i/>
          <w:sz w:val="22"/>
        </w:rPr>
      </w:pPr>
      <w:proofErr w:type="spellStart"/>
      <w:r w:rsidRPr="001575C3">
        <w:rPr>
          <w:i/>
          <w:iCs/>
          <w:sz w:val="22"/>
        </w:rPr>
        <w:t>Prostatický</w:t>
      </w:r>
      <w:proofErr w:type="spellEnd"/>
      <w:r w:rsidRPr="001575C3">
        <w:rPr>
          <w:i/>
          <w:iCs/>
          <w:sz w:val="22"/>
        </w:rPr>
        <w:t xml:space="preserve"> špecifický antigén (PSA)</w:t>
      </w:r>
    </w:p>
    <w:p w14:paraId="262DE421" w14:textId="77777777" w:rsidR="00393804" w:rsidRPr="001575C3" w:rsidRDefault="00393804" w:rsidP="001575C3">
      <w:pPr>
        <w:keepNext/>
        <w:keepLines/>
        <w:jc w:val="left"/>
        <w:rPr>
          <w:bCs/>
          <w:iCs/>
          <w:sz w:val="22"/>
        </w:rPr>
      </w:pPr>
    </w:p>
    <w:p w14:paraId="49957C9C" w14:textId="701B5F64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Sérová koncentrácia </w:t>
      </w:r>
      <w:proofErr w:type="spellStart"/>
      <w:r w:rsidRPr="001575C3">
        <w:rPr>
          <w:sz w:val="22"/>
        </w:rPr>
        <w:t>prostatického</w:t>
      </w:r>
      <w:proofErr w:type="spellEnd"/>
      <w:r w:rsidRPr="001575C3">
        <w:rPr>
          <w:sz w:val="22"/>
        </w:rPr>
        <w:t xml:space="preserve"> špecifického antigénu (PSA) je dôležitou súčasťou pri detekcii rakoviny prostaty.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spôsobuje zníženie priemerných sérových hladín PSA o približne 50 % po 6 mesiacoch liečby.</w:t>
      </w:r>
    </w:p>
    <w:p w14:paraId="06DA5679" w14:textId="77777777" w:rsidR="00393804" w:rsidRPr="001575C3" w:rsidRDefault="00393804" w:rsidP="001575C3">
      <w:pPr>
        <w:jc w:val="left"/>
        <w:rPr>
          <w:sz w:val="22"/>
        </w:rPr>
      </w:pPr>
    </w:p>
    <w:p w14:paraId="013425B8" w14:textId="14B738DB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U pacientov užívajúcich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sa má stanoviť nová bazálna hodnota PSA po 6 mesiacoch liečby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. Potom sa odporúča monitorovať hodnoty PSA v pravidelných intervaloch. Každé potvrdené zvýšenie z najnižšej hladiny PSA počas liečby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môže signalizovať prítomnosť rakoviny prostaty alebo nedodržiavanie liečby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zo strany pacienta a je potrebné starostlivo ho vyhodnotiť, dokonca aj vtedy, ak sú namerané hodnoty stále v rozpätí referenčných hodnôt pre mužov, ktorí neužívajú inhibítor </w:t>
      </w:r>
      <w:r w:rsidRPr="001575C3">
        <w:rPr>
          <w:snapToGrid w:val="0"/>
          <w:sz w:val="22"/>
        </w:rPr>
        <w:t>5</w:t>
      </w:r>
      <w:r w:rsidRPr="001575C3">
        <w:rPr>
          <w:snapToGrid w:val="0"/>
          <w:sz w:val="22"/>
        </w:rPr>
        <w:noBreakHyphen/>
        <w:t>alfa</w:t>
      </w:r>
      <w:r w:rsidRPr="001575C3">
        <w:rPr>
          <w:snapToGrid w:val="0"/>
          <w:sz w:val="22"/>
        </w:rPr>
        <w:noBreakHyphen/>
        <w:t>reduktázy (pozri časť 5.1)</w:t>
      </w:r>
      <w:r w:rsidRPr="001575C3">
        <w:rPr>
          <w:sz w:val="22"/>
        </w:rPr>
        <w:t xml:space="preserve">. U pacienta užívajúceho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sa má hodnota PSA interpretovať na základe porovnania s jeho predchádzajúcimi hodnotami PSA.</w:t>
      </w:r>
    </w:p>
    <w:p w14:paraId="03903B23" w14:textId="77777777" w:rsidR="00393804" w:rsidRPr="001575C3" w:rsidRDefault="00393804" w:rsidP="001575C3">
      <w:pPr>
        <w:widowControl w:val="0"/>
        <w:ind w:left="-5"/>
        <w:jc w:val="left"/>
        <w:rPr>
          <w:sz w:val="22"/>
        </w:rPr>
      </w:pPr>
    </w:p>
    <w:p w14:paraId="209E2650" w14:textId="4293C998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Liečba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nebráni používať PSA ako pomôcku pri diagnostikovaní rakoviny prostaty po stanovení novej bazálnej hodnoty.</w:t>
      </w:r>
    </w:p>
    <w:p w14:paraId="555966F8" w14:textId="77777777" w:rsidR="00393804" w:rsidRPr="001575C3" w:rsidRDefault="00393804" w:rsidP="001575C3">
      <w:pPr>
        <w:jc w:val="left"/>
        <w:rPr>
          <w:sz w:val="22"/>
        </w:rPr>
      </w:pPr>
    </w:p>
    <w:p w14:paraId="7E383D86" w14:textId="6A5B893C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Celkové sérové hladiny PSA sa vrátia do bazálnych hodnôt do 6 mesiacov po ukončení liečby. Pomer voľného k celkovému PSA zostáva nemenný aj napriek vplyvu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Tamsulosinu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. Ak lekári zvolia použitie voľného PSA ako pomôcku pri detekcii rakoviny prostaty u mužov, ktorí podstupujú liečbu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>, úprava jeho hodnoty sa nejaví ako potrebná.</w:t>
      </w:r>
    </w:p>
    <w:p w14:paraId="00E5FE3B" w14:textId="77777777" w:rsidR="00393804" w:rsidRPr="001575C3" w:rsidRDefault="00393804" w:rsidP="001575C3">
      <w:pPr>
        <w:jc w:val="left"/>
        <w:rPr>
          <w:sz w:val="22"/>
        </w:rPr>
      </w:pPr>
    </w:p>
    <w:p w14:paraId="5ED05353" w14:textId="2D9A2472" w:rsidR="00393804" w:rsidRPr="001575C3" w:rsidRDefault="00393804" w:rsidP="001575C3">
      <w:pPr>
        <w:jc w:val="left"/>
        <w:rPr>
          <w:sz w:val="22"/>
        </w:rPr>
      </w:pPr>
      <w:r w:rsidRPr="001575C3">
        <w:rPr>
          <w:sz w:val="22"/>
        </w:rPr>
        <w:t xml:space="preserve">U pacientov sa pred začiatkom liečby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, a potom pravidelne počas liečby, musí vykonať </w:t>
      </w:r>
      <w:proofErr w:type="spellStart"/>
      <w:r w:rsidRPr="001575C3">
        <w:rPr>
          <w:sz w:val="22"/>
        </w:rPr>
        <w:t>palpačné</w:t>
      </w:r>
      <w:proofErr w:type="spellEnd"/>
      <w:r w:rsidRPr="001575C3">
        <w:rPr>
          <w:sz w:val="22"/>
        </w:rPr>
        <w:t xml:space="preserve"> vyšetrenie konečníka, ako aj ďalšie vyšetrenia na rakovinu prostaty alebo iných stavov, ktoré môžu spôsobovať rovnaké príznaky aké má BPH.</w:t>
      </w:r>
    </w:p>
    <w:p w14:paraId="256DFE2D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07BCD4AD" w14:textId="7D8FF8C3" w:rsidR="000B6C2B" w:rsidRPr="001575C3" w:rsidRDefault="00393804" w:rsidP="001575C3">
      <w:pPr>
        <w:pStyle w:val="Nadpis3"/>
        <w:keepNext w:val="0"/>
        <w:widowControl w:val="0"/>
        <w:spacing w:line="240" w:lineRule="auto"/>
        <w:ind w:left="-5"/>
        <w:rPr>
          <w:b/>
          <w:i w:val="0"/>
          <w:sz w:val="22"/>
          <w:lang w:val="sk-SK"/>
        </w:rPr>
      </w:pPr>
      <w:r w:rsidRPr="001575C3">
        <w:rPr>
          <w:sz w:val="22"/>
          <w:lang w:val="sk-SK"/>
        </w:rPr>
        <w:t>Kardiovaskulárne nežiaduce udalosti</w:t>
      </w:r>
    </w:p>
    <w:p w14:paraId="4C5A4716" w14:textId="77777777" w:rsidR="00393804" w:rsidRPr="001575C3" w:rsidRDefault="00393804" w:rsidP="001575C3">
      <w:pPr>
        <w:jc w:val="left"/>
        <w:rPr>
          <w:bCs/>
          <w:iCs/>
          <w:sz w:val="22"/>
        </w:rPr>
      </w:pPr>
    </w:p>
    <w:p w14:paraId="61278B8E" w14:textId="697E5887" w:rsidR="00393804" w:rsidRPr="001575C3" w:rsidRDefault="00393804" w:rsidP="001575C3">
      <w:pPr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 xml:space="preserve">V dvoch štvorročných klinických štúdiách bola </w:t>
      </w:r>
      <w:proofErr w:type="spellStart"/>
      <w:r w:rsidRPr="001575C3">
        <w:rPr>
          <w:bCs/>
          <w:iCs/>
          <w:sz w:val="22"/>
        </w:rPr>
        <w:t>incidencia</w:t>
      </w:r>
      <w:proofErr w:type="spellEnd"/>
      <w:r w:rsidRPr="001575C3">
        <w:rPr>
          <w:bCs/>
          <w:iCs/>
          <w:sz w:val="22"/>
        </w:rPr>
        <w:t xml:space="preserve"> srdcového zlyhávania (kombinácia termínov hlásených udalostí, predovšetkým srdcové zlyhávanie a </w:t>
      </w:r>
      <w:proofErr w:type="spellStart"/>
      <w:r w:rsidRPr="001575C3">
        <w:rPr>
          <w:bCs/>
          <w:iCs/>
          <w:sz w:val="22"/>
        </w:rPr>
        <w:t>kongestívne</w:t>
      </w:r>
      <w:proofErr w:type="spellEnd"/>
      <w:r w:rsidRPr="001575C3">
        <w:rPr>
          <w:bCs/>
          <w:iCs/>
          <w:sz w:val="22"/>
        </w:rPr>
        <w:t xml:space="preserve"> srdcové zlyhávanie) </w:t>
      </w:r>
      <w:r w:rsidR="007875E5">
        <w:rPr>
          <w:bCs/>
          <w:iCs/>
          <w:sz w:val="22"/>
        </w:rPr>
        <w:t>mierne</w:t>
      </w:r>
      <w:r w:rsidRPr="001575C3">
        <w:rPr>
          <w:bCs/>
          <w:iCs/>
          <w:sz w:val="22"/>
        </w:rPr>
        <w:t xml:space="preserve"> vyššia medzi jedincami, ktorí užívali kombináciu </w:t>
      </w:r>
      <w:proofErr w:type="spellStart"/>
      <w:r w:rsidRPr="001575C3">
        <w:rPr>
          <w:bCs/>
          <w:iCs/>
          <w:sz w:val="22"/>
        </w:rPr>
        <w:t>dutasterid</w:t>
      </w:r>
      <w:proofErr w:type="spellEnd"/>
      <w:r w:rsidRPr="001575C3">
        <w:rPr>
          <w:bCs/>
          <w:iCs/>
          <w:sz w:val="22"/>
        </w:rPr>
        <w:t xml:space="preserve"> a antagonista alfa</w:t>
      </w:r>
      <w:r w:rsidRPr="001575C3">
        <w:rPr>
          <w:bCs/>
          <w:iCs/>
          <w:sz w:val="22"/>
          <w:vertAlign w:val="subscript"/>
        </w:rPr>
        <w:t>1</w:t>
      </w:r>
      <w:r w:rsidRPr="001575C3">
        <w:rPr>
          <w:bCs/>
          <w:iCs/>
          <w:sz w:val="22"/>
        </w:rPr>
        <w:noBreakHyphen/>
        <w:t xml:space="preserve">adrenergických receptorov, predovšetkým </w:t>
      </w:r>
      <w:proofErr w:type="spellStart"/>
      <w:r w:rsidRPr="001575C3">
        <w:rPr>
          <w:bCs/>
          <w:iCs/>
          <w:sz w:val="22"/>
        </w:rPr>
        <w:t>tamsulozín</w:t>
      </w:r>
      <w:proofErr w:type="spellEnd"/>
      <w:r w:rsidRPr="001575C3">
        <w:rPr>
          <w:bCs/>
          <w:iCs/>
          <w:sz w:val="22"/>
        </w:rPr>
        <w:t xml:space="preserve">, ako medzi jedincami, ktorí kombináciu neužívali. Avšak v týchto klinických skúšaniach bola </w:t>
      </w:r>
      <w:proofErr w:type="spellStart"/>
      <w:r w:rsidRPr="001575C3">
        <w:rPr>
          <w:bCs/>
          <w:iCs/>
          <w:sz w:val="22"/>
        </w:rPr>
        <w:t>incidencia</w:t>
      </w:r>
      <w:proofErr w:type="spellEnd"/>
      <w:r w:rsidRPr="001575C3">
        <w:rPr>
          <w:bCs/>
          <w:iCs/>
          <w:sz w:val="22"/>
        </w:rPr>
        <w:t xml:space="preserve"> srdcového zlyhávania nižšia vo všetkých skupinách liečených aktívnymi látkami v porovnaní so skupinou s </w:t>
      </w:r>
      <w:proofErr w:type="spellStart"/>
      <w:r w:rsidRPr="001575C3">
        <w:rPr>
          <w:bCs/>
          <w:iCs/>
          <w:sz w:val="22"/>
        </w:rPr>
        <w:t>placebom</w:t>
      </w:r>
      <w:proofErr w:type="spellEnd"/>
      <w:r w:rsidRPr="001575C3">
        <w:rPr>
          <w:bCs/>
          <w:iCs/>
          <w:sz w:val="22"/>
        </w:rPr>
        <w:t xml:space="preserve"> a ďalšie údaje týkajúce sa </w:t>
      </w:r>
      <w:proofErr w:type="spellStart"/>
      <w:r w:rsidRPr="001575C3">
        <w:rPr>
          <w:bCs/>
          <w:iCs/>
          <w:sz w:val="22"/>
        </w:rPr>
        <w:t>dutasteridu</w:t>
      </w:r>
      <w:proofErr w:type="spellEnd"/>
      <w:r w:rsidRPr="001575C3">
        <w:rPr>
          <w:bCs/>
          <w:iCs/>
          <w:sz w:val="22"/>
        </w:rPr>
        <w:t xml:space="preserve"> alebo antagonistov alfa</w:t>
      </w:r>
      <w:r w:rsidRPr="001575C3">
        <w:rPr>
          <w:bCs/>
          <w:iCs/>
          <w:sz w:val="22"/>
          <w:vertAlign w:val="subscript"/>
        </w:rPr>
        <w:t>1</w:t>
      </w:r>
      <w:r w:rsidRPr="001575C3">
        <w:rPr>
          <w:bCs/>
          <w:iCs/>
          <w:sz w:val="22"/>
        </w:rPr>
        <w:noBreakHyphen/>
        <w:t>adrenergických receptorov nepodporujú záver o zvýšenom kardiovaskulárnom riziku (pozri časť 5.1).</w:t>
      </w:r>
    </w:p>
    <w:p w14:paraId="492748F0" w14:textId="77777777" w:rsidR="000B6C2B" w:rsidRPr="001575C3" w:rsidRDefault="000B6C2B" w:rsidP="001575C3">
      <w:pPr>
        <w:widowControl w:val="0"/>
        <w:jc w:val="left"/>
        <w:rPr>
          <w:i/>
          <w:sz w:val="22"/>
        </w:rPr>
      </w:pPr>
    </w:p>
    <w:p w14:paraId="0325EBC5" w14:textId="601591E2" w:rsidR="000B6C2B" w:rsidRPr="001575C3" w:rsidRDefault="00393804" w:rsidP="001575C3">
      <w:pPr>
        <w:pStyle w:val="Nadpis3"/>
        <w:keepNext w:val="0"/>
        <w:widowControl w:val="0"/>
        <w:spacing w:line="240" w:lineRule="auto"/>
        <w:ind w:left="-5"/>
        <w:rPr>
          <w:b/>
          <w:i w:val="0"/>
          <w:sz w:val="22"/>
          <w:lang w:val="sk-SK"/>
        </w:rPr>
      </w:pPr>
      <w:proofErr w:type="spellStart"/>
      <w:r w:rsidRPr="001575C3">
        <w:rPr>
          <w:sz w:val="22"/>
          <w:lang w:val="sk-SK"/>
        </w:rPr>
        <w:lastRenderedPageBreak/>
        <w:t>Neoplázia</w:t>
      </w:r>
      <w:proofErr w:type="spellEnd"/>
      <w:r w:rsidRPr="001575C3">
        <w:rPr>
          <w:sz w:val="22"/>
          <w:lang w:val="sk-SK"/>
        </w:rPr>
        <w:t xml:space="preserve"> prsníkov</w:t>
      </w:r>
    </w:p>
    <w:p w14:paraId="60D28A1B" w14:textId="77777777" w:rsidR="000B6C2B" w:rsidRPr="001575C3" w:rsidRDefault="000B6C2B" w:rsidP="001575C3">
      <w:pPr>
        <w:widowControl w:val="0"/>
        <w:jc w:val="left"/>
        <w:rPr>
          <w:i/>
          <w:sz w:val="22"/>
        </w:rPr>
      </w:pPr>
    </w:p>
    <w:p w14:paraId="7B348AD5" w14:textId="77777777" w:rsidR="00393804" w:rsidRPr="001575C3" w:rsidRDefault="00393804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 xml:space="preserve">U mužov, ktorí užívali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v klinických skúšaniach a v období po uvedení lieku na trh, bola zriedkavo hlásená rakovina prsníka. Epidemiologické štúdie však nepreukázali zvýšenie rizika vzniku rakoviny prsníka u mužov pri užívaní inhibítorov 5</w:t>
      </w:r>
      <w:r w:rsidRPr="001575C3">
        <w:rPr>
          <w:sz w:val="22"/>
        </w:rPr>
        <w:noBreakHyphen/>
        <w:t>alfa</w:t>
      </w:r>
      <w:r w:rsidRPr="001575C3">
        <w:rPr>
          <w:sz w:val="22"/>
        </w:rPr>
        <w:noBreakHyphen/>
        <w:t>reduktázy (pozri časť 5.1). Lekári majú poučiť svojich pacientov, aby okamžite hlásili akékoľvek zmeny v tkanive prsníka, ako sú hrčky alebo výtok z bradaviek.</w:t>
      </w:r>
    </w:p>
    <w:p w14:paraId="29BF136D" w14:textId="77777777" w:rsidR="00393804" w:rsidRPr="001575C3" w:rsidRDefault="00393804" w:rsidP="001575C3">
      <w:pPr>
        <w:widowControl w:val="0"/>
        <w:ind w:left="-5"/>
        <w:jc w:val="left"/>
        <w:rPr>
          <w:sz w:val="22"/>
        </w:rPr>
      </w:pPr>
    </w:p>
    <w:p w14:paraId="7EDD36E7" w14:textId="77777777" w:rsidR="00430DA6" w:rsidRPr="001575C3" w:rsidRDefault="00430DA6" w:rsidP="001575C3">
      <w:pPr>
        <w:jc w:val="left"/>
        <w:rPr>
          <w:i/>
          <w:iCs/>
          <w:sz w:val="22"/>
        </w:rPr>
      </w:pPr>
      <w:r w:rsidRPr="001575C3">
        <w:rPr>
          <w:i/>
          <w:iCs/>
          <w:sz w:val="22"/>
        </w:rPr>
        <w:t>Porucha funkcie obličiek</w:t>
      </w:r>
    </w:p>
    <w:p w14:paraId="079028A5" w14:textId="77777777" w:rsidR="00430DA6" w:rsidRPr="001575C3" w:rsidRDefault="00430DA6" w:rsidP="001575C3">
      <w:pPr>
        <w:jc w:val="left"/>
        <w:rPr>
          <w:sz w:val="22"/>
        </w:rPr>
      </w:pPr>
    </w:p>
    <w:p w14:paraId="4073E4A2" w14:textId="5A2FFF3D" w:rsidR="00430DA6" w:rsidRPr="001575C3" w:rsidRDefault="00430DA6" w:rsidP="001575C3">
      <w:pPr>
        <w:jc w:val="left"/>
        <w:rPr>
          <w:sz w:val="22"/>
        </w:rPr>
      </w:pPr>
      <w:r w:rsidRPr="001575C3">
        <w:rPr>
          <w:sz w:val="22"/>
        </w:rPr>
        <w:t>K liečbe pacientov s</w:t>
      </w:r>
      <w:r w:rsidR="00FB50BA">
        <w:rPr>
          <w:sz w:val="22"/>
        </w:rPr>
        <w:t>o</w:t>
      </w:r>
      <w:r w:rsidRPr="001575C3">
        <w:rPr>
          <w:sz w:val="22"/>
        </w:rPr>
        <w:t> </w:t>
      </w:r>
      <w:r w:rsidR="00FB50BA">
        <w:rPr>
          <w:sz w:val="22"/>
        </w:rPr>
        <w:t>závažn</w:t>
      </w:r>
      <w:r w:rsidRPr="001575C3">
        <w:rPr>
          <w:sz w:val="22"/>
        </w:rPr>
        <w:t>ou poruchou funkcie obličiek (klírens kreatinínu nižší než 10 ml/min) sa má pristupovať s opatrnosťou, pretože s týmito pacientmi sa nevykonali žiadne štúdie.</w:t>
      </w:r>
    </w:p>
    <w:p w14:paraId="225914CA" w14:textId="77777777" w:rsidR="00393804" w:rsidRPr="001575C3" w:rsidRDefault="00393804" w:rsidP="001575C3">
      <w:pPr>
        <w:widowControl w:val="0"/>
        <w:ind w:left="-5"/>
        <w:jc w:val="left"/>
        <w:rPr>
          <w:sz w:val="22"/>
        </w:rPr>
      </w:pPr>
    </w:p>
    <w:p w14:paraId="16F80569" w14:textId="77777777" w:rsidR="00430DA6" w:rsidRPr="001575C3" w:rsidRDefault="00430DA6" w:rsidP="001575C3">
      <w:pPr>
        <w:jc w:val="left"/>
        <w:rPr>
          <w:i/>
          <w:iCs/>
          <w:sz w:val="22"/>
        </w:rPr>
      </w:pPr>
      <w:r w:rsidRPr="001575C3">
        <w:rPr>
          <w:i/>
          <w:iCs/>
          <w:sz w:val="22"/>
        </w:rPr>
        <w:t>Hypotenzia</w:t>
      </w:r>
    </w:p>
    <w:p w14:paraId="43F45201" w14:textId="77777777" w:rsidR="00430DA6" w:rsidRPr="001575C3" w:rsidRDefault="00430DA6" w:rsidP="001575C3">
      <w:pPr>
        <w:jc w:val="left"/>
        <w:rPr>
          <w:sz w:val="22"/>
        </w:rPr>
      </w:pPr>
    </w:p>
    <w:p w14:paraId="0EFAC76F" w14:textId="737A2233" w:rsidR="00430DA6" w:rsidRPr="001575C3" w:rsidRDefault="00430DA6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Ortostatická</w:t>
      </w:r>
      <w:proofErr w:type="spellEnd"/>
      <w:r w:rsidRPr="001575C3">
        <w:rPr>
          <w:sz w:val="22"/>
        </w:rPr>
        <w:t>: Tak ako pri iných antagonistoch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receptorov, aj počas liečby </w:t>
      </w:r>
      <w:proofErr w:type="spellStart"/>
      <w:r w:rsidRPr="001575C3">
        <w:rPr>
          <w:sz w:val="22"/>
        </w:rPr>
        <w:t>tamsulozínom</w:t>
      </w:r>
      <w:proofErr w:type="spellEnd"/>
      <w:r w:rsidRPr="001575C3">
        <w:rPr>
          <w:sz w:val="22"/>
        </w:rPr>
        <w:t xml:space="preserve"> sa môže znížiť krvný tlak, následkom čoho sa môže zriedkavo vyskytnúť synkopa. Pacienti, ktorí začínajú liečbu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, majú byť upozornení, aby si pri začiatočných príznakoch </w:t>
      </w:r>
      <w:proofErr w:type="spellStart"/>
      <w:r w:rsidRPr="001575C3">
        <w:rPr>
          <w:sz w:val="22"/>
        </w:rPr>
        <w:t>ortostatickej</w:t>
      </w:r>
      <w:proofErr w:type="spellEnd"/>
      <w:r w:rsidRPr="001575C3">
        <w:rPr>
          <w:sz w:val="22"/>
        </w:rPr>
        <w:t xml:space="preserve"> hypotenzie (závrat, slabosť) sadli alebo ľahli, kým príznaky nevymiznú.</w:t>
      </w:r>
    </w:p>
    <w:p w14:paraId="45C1A359" w14:textId="77777777" w:rsidR="00430DA6" w:rsidRPr="001575C3" w:rsidRDefault="00430DA6" w:rsidP="001575C3">
      <w:pPr>
        <w:jc w:val="left"/>
        <w:rPr>
          <w:sz w:val="22"/>
        </w:rPr>
      </w:pPr>
    </w:p>
    <w:p w14:paraId="30A465C0" w14:textId="77777777" w:rsidR="00430DA6" w:rsidRPr="001575C3" w:rsidRDefault="00430DA6" w:rsidP="001575C3">
      <w:pPr>
        <w:jc w:val="left"/>
        <w:rPr>
          <w:sz w:val="22"/>
        </w:rPr>
      </w:pPr>
      <w:r w:rsidRPr="001575C3">
        <w:rPr>
          <w:sz w:val="22"/>
        </w:rPr>
        <w:t>Pacient liečený antagonistom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 musí byť pred začatím užívania inhibítorov PDE5 </w:t>
      </w:r>
      <w:proofErr w:type="spellStart"/>
      <w:r w:rsidRPr="001575C3">
        <w:rPr>
          <w:sz w:val="22"/>
        </w:rPr>
        <w:t>hemodynamicky</w:t>
      </w:r>
      <w:proofErr w:type="spellEnd"/>
      <w:r w:rsidRPr="001575C3">
        <w:rPr>
          <w:sz w:val="22"/>
        </w:rPr>
        <w:t xml:space="preserve"> stabilizovaný, aby sa minimalizovala možnosť vzniku </w:t>
      </w:r>
      <w:proofErr w:type="spellStart"/>
      <w:r w:rsidRPr="001575C3">
        <w:rPr>
          <w:sz w:val="22"/>
        </w:rPr>
        <w:t>posturálnej</w:t>
      </w:r>
      <w:proofErr w:type="spellEnd"/>
      <w:r w:rsidRPr="001575C3">
        <w:rPr>
          <w:sz w:val="22"/>
        </w:rPr>
        <w:t xml:space="preserve"> hypotenzie.</w:t>
      </w:r>
    </w:p>
    <w:p w14:paraId="199F419D" w14:textId="77777777" w:rsidR="00430DA6" w:rsidRPr="001575C3" w:rsidRDefault="00430DA6" w:rsidP="001575C3">
      <w:pPr>
        <w:jc w:val="left"/>
        <w:rPr>
          <w:sz w:val="22"/>
        </w:rPr>
      </w:pPr>
    </w:p>
    <w:p w14:paraId="2DE0371D" w14:textId="219CD9C5" w:rsidR="00430DA6" w:rsidRPr="001575C3" w:rsidRDefault="00430DA6" w:rsidP="001575C3">
      <w:pPr>
        <w:jc w:val="left"/>
        <w:rPr>
          <w:sz w:val="22"/>
        </w:rPr>
      </w:pPr>
      <w:r w:rsidRPr="001575C3">
        <w:rPr>
          <w:sz w:val="22"/>
        </w:rPr>
        <w:t xml:space="preserve">Symptomatická: Odporúča sa obozretnosť, keď sa </w:t>
      </w:r>
      <w:proofErr w:type="spellStart"/>
      <w:r w:rsidRPr="001575C3">
        <w:rPr>
          <w:sz w:val="22"/>
        </w:rPr>
        <w:t>antagonisty</w:t>
      </w:r>
      <w:proofErr w:type="spellEnd"/>
      <w:r w:rsidRPr="001575C3">
        <w:rPr>
          <w:sz w:val="22"/>
        </w:rPr>
        <w:t xml:space="preserve">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 vrátane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podávajú súbežne s inhibítormi PDE5 (napr. </w:t>
      </w:r>
      <w:proofErr w:type="spellStart"/>
      <w:r w:rsidRPr="001575C3">
        <w:rPr>
          <w:sz w:val="22"/>
        </w:rPr>
        <w:t>sildenafil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tadalafil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vardenafil</w:t>
      </w:r>
      <w:proofErr w:type="spellEnd"/>
      <w:r w:rsidRPr="001575C3">
        <w:rPr>
          <w:sz w:val="22"/>
        </w:rPr>
        <w:t xml:space="preserve">). </w:t>
      </w:r>
      <w:proofErr w:type="spellStart"/>
      <w:r w:rsidRPr="001575C3">
        <w:rPr>
          <w:sz w:val="22"/>
        </w:rPr>
        <w:t>Antagonisty</w:t>
      </w:r>
      <w:proofErr w:type="spellEnd"/>
      <w:r w:rsidRPr="001575C3">
        <w:rPr>
          <w:sz w:val="22"/>
        </w:rPr>
        <w:t xml:space="preserve">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receptorov, ako aj inhibítory PDE5 sú </w:t>
      </w:r>
      <w:proofErr w:type="spellStart"/>
      <w:r w:rsidRPr="001575C3">
        <w:rPr>
          <w:sz w:val="22"/>
        </w:rPr>
        <w:t>vazodilatanciami</w:t>
      </w:r>
      <w:proofErr w:type="spellEnd"/>
      <w:r w:rsidRPr="001575C3">
        <w:rPr>
          <w:sz w:val="22"/>
        </w:rPr>
        <w:t>, ktoré môžu znižovať krvný tlak. Súbežné použitie týchto dvoch liekových skupín môže potenciálne spôsobiť symptomatickú hypotenziu (pozri časť 4.5).</w:t>
      </w:r>
    </w:p>
    <w:p w14:paraId="4E7F5B34" w14:textId="77777777" w:rsidR="00393804" w:rsidRPr="001575C3" w:rsidRDefault="00393804" w:rsidP="001575C3">
      <w:pPr>
        <w:widowControl w:val="0"/>
        <w:ind w:left="-5"/>
        <w:jc w:val="left"/>
        <w:rPr>
          <w:sz w:val="22"/>
        </w:rPr>
      </w:pPr>
    </w:p>
    <w:p w14:paraId="08A0C31B" w14:textId="77777777" w:rsidR="00430DA6" w:rsidRPr="001575C3" w:rsidRDefault="00430DA6" w:rsidP="001575C3">
      <w:pPr>
        <w:pStyle w:val="Zkladntext3"/>
        <w:rPr>
          <w:rFonts w:ascii="Times New Roman" w:hAnsi="Times New Roman"/>
          <w:i/>
          <w:iCs/>
          <w:color w:val="auto"/>
          <w:sz w:val="22"/>
          <w:szCs w:val="22"/>
        </w:rPr>
      </w:pPr>
      <w:proofErr w:type="spellStart"/>
      <w:r w:rsidRPr="001575C3">
        <w:rPr>
          <w:rFonts w:ascii="Times New Roman" w:hAnsi="Times New Roman"/>
          <w:i/>
          <w:iCs/>
          <w:color w:val="auto"/>
          <w:sz w:val="22"/>
          <w:szCs w:val="22"/>
        </w:rPr>
        <w:t>Peroperačný</w:t>
      </w:r>
      <w:proofErr w:type="spellEnd"/>
      <w:r w:rsidRPr="001575C3">
        <w:rPr>
          <w:rFonts w:ascii="Times New Roman" w:hAnsi="Times New Roman"/>
          <w:i/>
          <w:iCs/>
          <w:color w:val="auto"/>
          <w:sz w:val="22"/>
          <w:szCs w:val="22"/>
        </w:rPr>
        <w:t xml:space="preserve"> syndróm vlajúcej dúhovky</w:t>
      </w:r>
    </w:p>
    <w:p w14:paraId="1A698966" w14:textId="77777777" w:rsidR="00430DA6" w:rsidRPr="001575C3" w:rsidRDefault="00430DA6" w:rsidP="001575C3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DC8D66F" w14:textId="279B6575" w:rsidR="00430DA6" w:rsidRPr="001575C3" w:rsidRDefault="00430DA6" w:rsidP="001575C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1575C3">
        <w:rPr>
          <w:rFonts w:ascii="Times New Roman" w:hAnsi="Times New Roman"/>
          <w:color w:val="auto"/>
          <w:sz w:val="22"/>
          <w:szCs w:val="22"/>
        </w:rPr>
        <w:t xml:space="preserve">U niektorých pacientov, teraz alebo v minulosti liečených </w:t>
      </w:r>
      <w:proofErr w:type="spellStart"/>
      <w:r w:rsidRPr="001575C3">
        <w:rPr>
          <w:rFonts w:ascii="Times New Roman" w:hAnsi="Times New Roman"/>
          <w:color w:val="auto"/>
          <w:sz w:val="22"/>
          <w:szCs w:val="22"/>
        </w:rPr>
        <w:t>tamsulozínom</w:t>
      </w:r>
      <w:proofErr w:type="spellEnd"/>
      <w:r w:rsidRPr="001575C3">
        <w:rPr>
          <w:rFonts w:ascii="Times New Roman" w:hAnsi="Times New Roman"/>
          <w:color w:val="auto"/>
          <w:sz w:val="22"/>
          <w:szCs w:val="22"/>
        </w:rPr>
        <w:t xml:space="preserve">, sa počas operácie sivého zákalu pozoroval </w:t>
      </w:r>
      <w:proofErr w:type="spellStart"/>
      <w:r w:rsidRPr="001575C3">
        <w:rPr>
          <w:rFonts w:ascii="Times New Roman" w:hAnsi="Times New Roman"/>
          <w:color w:val="auto"/>
          <w:sz w:val="22"/>
          <w:szCs w:val="22"/>
        </w:rPr>
        <w:t>peroperačný</w:t>
      </w:r>
      <w:proofErr w:type="spellEnd"/>
      <w:r w:rsidRPr="001575C3">
        <w:rPr>
          <w:rFonts w:ascii="Times New Roman" w:hAnsi="Times New Roman"/>
          <w:color w:val="auto"/>
          <w:sz w:val="22"/>
          <w:szCs w:val="22"/>
        </w:rPr>
        <w:t xml:space="preserve"> syndróm vlajúcej dúhovky (</w:t>
      </w:r>
      <w:proofErr w:type="spellStart"/>
      <w:r w:rsidRPr="001575C3">
        <w:rPr>
          <w:rFonts w:ascii="Times New Roman" w:hAnsi="Times New Roman"/>
          <w:bCs/>
          <w:color w:val="auto"/>
          <w:sz w:val="22"/>
          <w:szCs w:val="22"/>
        </w:rPr>
        <w:t>Intraoperative</w:t>
      </w:r>
      <w:proofErr w:type="spellEnd"/>
      <w:r w:rsidRPr="001575C3">
        <w:rPr>
          <w:rFonts w:ascii="Times New Roman" w:hAnsi="Times New Roman"/>
          <w:bCs/>
          <w:color w:val="auto"/>
          <w:sz w:val="22"/>
          <w:szCs w:val="22"/>
        </w:rPr>
        <w:t xml:space="preserve"> Floppy Iris </w:t>
      </w:r>
      <w:proofErr w:type="spellStart"/>
      <w:r w:rsidRPr="001575C3">
        <w:rPr>
          <w:rFonts w:ascii="Times New Roman" w:hAnsi="Times New Roman"/>
          <w:bCs/>
          <w:color w:val="auto"/>
          <w:sz w:val="22"/>
          <w:szCs w:val="22"/>
        </w:rPr>
        <w:t>Syndrome</w:t>
      </w:r>
      <w:proofErr w:type="spellEnd"/>
      <w:r w:rsidRPr="001575C3">
        <w:rPr>
          <w:rFonts w:ascii="Times New Roman" w:hAnsi="Times New Roman"/>
          <w:bCs/>
          <w:color w:val="auto"/>
          <w:sz w:val="22"/>
          <w:szCs w:val="22"/>
        </w:rPr>
        <w:t>,</w:t>
      </w:r>
      <w:r w:rsidRPr="001575C3">
        <w:rPr>
          <w:rFonts w:ascii="Times New Roman" w:hAnsi="Times New Roman"/>
          <w:color w:val="auto"/>
          <w:sz w:val="22"/>
          <w:szCs w:val="22"/>
        </w:rPr>
        <w:t xml:space="preserve"> IFIS, variant syndrómu úzkej zrenice). IFIS môže zvýšiť riziko očných komplikácií počas operácie a po nej. Neodporúča sa začínať liečbu </w:t>
      </w:r>
      <w:proofErr w:type="spellStart"/>
      <w:r w:rsidR="00EE77AC" w:rsidRPr="00EE77AC">
        <w:rPr>
          <w:rFonts w:ascii="Times New Roman" w:hAnsi="Times New Roman"/>
          <w:color w:val="auto"/>
          <w:sz w:val="22"/>
          <w:szCs w:val="22"/>
        </w:rPr>
        <w:t>Dutasteride</w:t>
      </w:r>
      <w:proofErr w:type="spellEnd"/>
      <w:r w:rsidR="00EE77AC" w:rsidRPr="00EE77AC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="00EE77AC" w:rsidRPr="00EE77AC">
        <w:rPr>
          <w:rFonts w:ascii="Times New Roman" w:hAnsi="Times New Roman"/>
          <w:color w:val="auto"/>
          <w:sz w:val="22"/>
          <w:szCs w:val="22"/>
        </w:rPr>
        <w:t>Tamsulosin</w:t>
      </w:r>
      <w:r w:rsidR="00EE77AC">
        <w:rPr>
          <w:rFonts w:ascii="Times New Roman" w:hAnsi="Times New Roman"/>
          <w:color w:val="auto"/>
          <w:sz w:val="22"/>
          <w:szCs w:val="22"/>
        </w:rPr>
        <w:t>om</w:t>
      </w:r>
      <w:proofErr w:type="spellEnd"/>
      <w:r w:rsidR="00EE77AC" w:rsidRPr="00EE77AC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E77AC" w:rsidRPr="00EE77AC">
        <w:rPr>
          <w:rFonts w:ascii="Times New Roman" w:hAnsi="Times New Roman"/>
          <w:color w:val="auto"/>
          <w:sz w:val="22"/>
          <w:szCs w:val="22"/>
        </w:rPr>
        <w:t>Krka</w:t>
      </w:r>
      <w:proofErr w:type="spellEnd"/>
      <w:r w:rsidRPr="001575C3">
        <w:rPr>
          <w:rFonts w:ascii="Times New Roman" w:hAnsi="Times New Roman"/>
          <w:color w:val="auto"/>
          <w:sz w:val="22"/>
          <w:szCs w:val="22"/>
        </w:rPr>
        <w:t xml:space="preserve"> u pacientov, u ktorých je naplánovaná operácia sivého zákalu.</w:t>
      </w:r>
    </w:p>
    <w:p w14:paraId="7CD74BFE" w14:textId="77777777" w:rsidR="00430DA6" w:rsidRPr="001575C3" w:rsidRDefault="00430DA6" w:rsidP="001575C3">
      <w:pPr>
        <w:jc w:val="left"/>
        <w:rPr>
          <w:sz w:val="22"/>
        </w:rPr>
      </w:pPr>
    </w:p>
    <w:p w14:paraId="6A8B5026" w14:textId="5C2D65E5" w:rsidR="00430DA6" w:rsidRPr="001575C3" w:rsidRDefault="00430DA6" w:rsidP="001575C3">
      <w:pPr>
        <w:jc w:val="left"/>
        <w:rPr>
          <w:sz w:val="22"/>
        </w:rPr>
      </w:pPr>
      <w:r w:rsidRPr="001575C3">
        <w:rPr>
          <w:sz w:val="22"/>
        </w:rPr>
        <w:t xml:space="preserve">Počas predoperačného vyšetrenia majú </w:t>
      </w:r>
      <w:proofErr w:type="spellStart"/>
      <w:r w:rsidRPr="001575C3">
        <w:rPr>
          <w:sz w:val="22"/>
        </w:rPr>
        <w:t>oftalmochirurgovia</w:t>
      </w:r>
      <w:proofErr w:type="spellEnd"/>
      <w:r w:rsidRPr="001575C3">
        <w:rPr>
          <w:sz w:val="22"/>
        </w:rPr>
        <w:t xml:space="preserve"> a operačné tímy stanoviť, či pacienti určení na operáciu sivého zákalu sú alebo boli liečení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Tamsulosinom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, aby sa zabezpečili príslušné opatrenia, ktoré budú vhodné na </w:t>
      </w:r>
      <w:r w:rsidRPr="007875E5">
        <w:rPr>
          <w:sz w:val="22"/>
        </w:rPr>
        <w:t>manažment IFIS počas</w:t>
      </w:r>
      <w:r w:rsidRPr="001575C3">
        <w:rPr>
          <w:sz w:val="22"/>
        </w:rPr>
        <w:t xml:space="preserve"> operácie.</w:t>
      </w:r>
    </w:p>
    <w:p w14:paraId="5D7A33D9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4FE9165B" w14:textId="77777777" w:rsidR="00430DA6" w:rsidRPr="001575C3" w:rsidRDefault="00430DA6" w:rsidP="001575C3">
      <w:pPr>
        <w:jc w:val="left"/>
        <w:rPr>
          <w:sz w:val="22"/>
        </w:rPr>
      </w:pPr>
      <w:r w:rsidRPr="001575C3">
        <w:rPr>
          <w:sz w:val="22"/>
        </w:rPr>
        <w:t xml:space="preserve">Prerušenie užívania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1</w:t>
      </w:r>
      <w:r w:rsidRPr="001575C3">
        <w:rPr>
          <w:sz w:val="22"/>
        </w:rPr>
        <w:noBreakHyphen/>
        <w:t>2 týždne pred operáciou sivého zákalu sa v zásade považuje za prospešné, no prínos a dĺžka požadovaného ukončenia liečby pred operáciou sivého zákalu sa dosiaľ nestanovili.</w:t>
      </w:r>
    </w:p>
    <w:p w14:paraId="03727AE0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2F6C735E" w14:textId="77777777" w:rsidR="00430DA6" w:rsidRPr="001575C3" w:rsidRDefault="00430DA6" w:rsidP="001575C3">
      <w:pPr>
        <w:jc w:val="left"/>
        <w:rPr>
          <w:i/>
          <w:iCs/>
          <w:sz w:val="22"/>
        </w:rPr>
      </w:pPr>
      <w:r w:rsidRPr="001575C3">
        <w:rPr>
          <w:i/>
          <w:iCs/>
          <w:sz w:val="22"/>
        </w:rPr>
        <w:t>Vytekajúce kapsuly</w:t>
      </w:r>
    </w:p>
    <w:p w14:paraId="6E929D22" w14:textId="77777777" w:rsidR="00430DA6" w:rsidRPr="001575C3" w:rsidRDefault="00430DA6" w:rsidP="001575C3">
      <w:pPr>
        <w:jc w:val="left"/>
        <w:rPr>
          <w:sz w:val="22"/>
        </w:rPr>
      </w:pPr>
    </w:p>
    <w:p w14:paraId="09A32634" w14:textId="77777777" w:rsidR="00430DA6" w:rsidRPr="001575C3" w:rsidRDefault="00430DA6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sa vstrebáva cez kožu, a preto sa ženy, deti a dospievajúci musia vyhnúť kontaktu s vytekajúcimi kapsulami (pozri časť 4.6). Ak došlo ku kontaktu s vytekajúcimi kapsulami, miesto kontaktu sa musí okamžite umyť mydlom a vodou.</w:t>
      </w:r>
    </w:p>
    <w:p w14:paraId="58F70123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08034EB6" w14:textId="77777777" w:rsidR="00430DA6" w:rsidRPr="001575C3" w:rsidRDefault="00430DA6" w:rsidP="001575C3">
      <w:pPr>
        <w:jc w:val="left"/>
        <w:rPr>
          <w:i/>
          <w:sz w:val="22"/>
        </w:rPr>
      </w:pPr>
      <w:r w:rsidRPr="001575C3">
        <w:rPr>
          <w:i/>
          <w:sz w:val="22"/>
        </w:rPr>
        <w:t>Inhibítory CYP3A4 a CYP2D6</w:t>
      </w:r>
    </w:p>
    <w:p w14:paraId="01EF590A" w14:textId="77777777" w:rsidR="00430DA6" w:rsidRPr="001575C3" w:rsidRDefault="00430DA6" w:rsidP="001575C3">
      <w:pPr>
        <w:jc w:val="left"/>
        <w:rPr>
          <w:sz w:val="22"/>
        </w:rPr>
      </w:pPr>
    </w:p>
    <w:p w14:paraId="56377B98" w14:textId="77777777" w:rsidR="00430DA6" w:rsidRPr="001575C3" w:rsidRDefault="00430DA6" w:rsidP="001575C3">
      <w:pPr>
        <w:jc w:val="left"/>
        <w:rPr>
          <w:sz w:val="22"/>
        </w:rPr>
      </w:pPr>
      <w:r w:rsidRPr="001575C3">
        <w:rPr>
          <w:sz w:val="22"/>
        </w:rPr>
        <w:t xml:space="preserve">Súbežné podávanie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so silnými inhibítormi CYP3A4 (napr. </w:t>
      </w:r>
      <w:proofErr w:type="spellStart"/>
      <w:r w:rsidRPr="001575C3">
        <w:rPr>
          <w:sz w:val="22"/>
        </w:rPr>
        <w:t>ketokonazol</w:t>
      </w:r>
      <w:proofErr w:type="spellEnd"/>
      <w:r w:rsidRPr="001575C3">
        <w:rPr>
          <w:sz w:val="22"/>
        </w:rPr>
        <w:t xml:space="preserve">) alebo, v menšej miere, so silnými inhibítormi CYP2D6 (napr. </w:t>
      </w:r>
      <w:proofErr w:type="spellStart"/>
      <w:r w:rsidRPr="001575C3">
        <w:rPr>
          <w:sz w:val="22"/>
        </w:rPr>
        <w:t>paroxetín</w:t>
      </w:r>
      <w:proofErr w:type="spellEnd"/>
      <w:r w:rsidRPr="001575C3">
        <w:rPr>
          <w:sz w:val="22"/>
        </w:rPr>
        <w:t xml:space="preserve">) môže zvýšiť expozíciu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(pozri časť 4.5). </w:t>
      </w:r>
      <w:proofErr w:type="spellStart"/>
      <w:r w:rsidRPr="001575C3">
        <w:rPr>
          <w:sz w:val="22"/>
        </w:rPr>
        <w:t>Tamsulozíniumchlorid</w:t>
      </w:r>
      <w:proofErr w:type="spellEnd"/>
      <w:r w:rsidRPr="001575C3">
        <w:rPr>
          <w:sz w:val="22"/>
        </w:rPr>
        <w:t xml:space="preserve"> sa preto neodporúča u pacientov, ktorí užívajú silný inhibítor CYP3A4 a má sa používať opatrne u pacientov, ktorí užívajú stredne silný inhibítor CYP3A4, silný alebo stredne silný inhibítor CYP2D6, kombináciu inhibítora CYP3A4 a inhibítora CYP2D6, alebo u pacientov, o ktorých je známe, že sú pomalými </w:t>
      </w:r>
      <w:proofErr w:type="spellStart"/>
      <w:r w:rsidRPr="001575C3">
        <w:rPr>
          <w:sz w:val="22"/>
        </w:rPr>
        <w:t>metabolizátormi</w:t>
      </w:r>
      <w:proofErr w:type="spellEnd"/>
      <w:r w:rsidRPr="001575C3">
        <w:rPr>
          <w:sz w:val="22"/>
        </w:rPr>
        <w:t> CYP2D6.</w:t>
      </w:r>
    </w:p>
    <w:p w14:paraId="18C2EE4A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78722F5E" w14:textId="77777777" w:rsidR="00430DA6" w:rsidRPr="001575C3" w:rsidRDefault="00430DA6" w:rsidP="001575C3">
      <w:pPr>
        <w:jc w:val="left"/>
        <w:rPr>
          <w:i/>
          <w:iCs/>
          <w:sz w:val="22"/>
        </w:rPr>
      </w:pPr>
      <w:r w:rsidRPr="001575C3">
        <w:rPr>
          <w:i/>
          <w:iCs/>
          <w:sz w:val="22"/>
        </w:rPr>
        <w:t>Porucha funkcie pečene</w:t>
      </w:r>
    </w:p>
    <w:p w14:paraId="4F900FCD" w14:textId="77777777" w:rsidR="00430DA6" w:rsidRPr="001575C3" w:rsidRDefault="00430DA6" w:rsidP="001575C3">
      <w:pPr>
        <w:jc w:val="left"/>
        <w:rPr>
          <w:sz w:val="22"/>
        </w:rPr>
      </w:pPr>
    </w:p>
    <w:p w14:paraId="64BAFF9D" w14:textId="7E5FB394" w:rsidR="00430DA6" w:rsidRPr="001575C3" w:rsidRDefault="00430DA6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>/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sa neskúmal u pacientov s ochorením pečene.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="00EE77AC" w:rsidRPr="001575C3">
        <w:rPr>
          <w:sz w:val="22"/>
        </w:rPr>
        <w:t xml:space="preserve"> </w:t>
      </w:r>
      <w:r w:rsidRPr="001575C3">
        <w:rPr>
          <w:sz w:val="22"/>
        </w:rPr>
        <w:t xml:space="preserve">sa má podávať s opatrnosťou pacientom s miernou až stredne </w:t>
      </w:r>
      <w:r w:rsidR="00FB50BA">
        <w:rPr>
          <w:sz w:val="22"/>
        </w:rPr>
        <w:t>závažn</w:t>
      </w:r>
      <w:r w:rsidRPr="001575C3">
        <w:rPr>
          <w:sz w:val="22"/>
        </w:rPr>
        <w:t>ou poruchou funkcie pečene (pozri časť 4.2, časť 4.3 a časť 5.2).</w:t>
      </w:r>
    </w:p>
    <w:p w14:paraId="0368EDA9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25DBFDB0" w14:textId="0342510E" w:rsidR="00D16252" w:rsidRPr="001575C3" w:rsidRDefault="00430DA6" w:rsidP="001575C3">
      <w:pPr>
        <w:widowControl w:val="0"/>
        <w:ind w:left="-5"/>
        <w:jc w:val="left"/>
        <w:rPr>
          <w:i/>
          <w:sz w:val="22"/>
        </w:rPr>
      </w:pPr>
      <w:r w:rsidRPr="001575C3">
        <w:rPr>
          <w:i/>
          <w:sz w:val="22"/>
        </w:rPr>
        <w:t>Sodík</w:t>
      </w:r>
    </w:p>
    <w:p w14:paraId="03A019F0" w14:textId="38792E9A" w:rsidR="00D16252" w:rsidRPr="001575C3" w:rsidRDefault="00D16252" w:rsidP="001575C3">
      <w:pPr>
        <w:widowControl w:val="0"/>
        <w:ind w:left="-5"/>
        <w:jc w:val="left"/>
        <w:rPr>
          <w:sz w:val="22"/>
        </w:rPr>
      </w:pPr>
      <w:r w:rsidRPr="007875E5">
        <w:rPr>
          <w:sz w:val="22"/>
        </w:rPr>
        <w:t>T</w:t>
      </w:r>
      <w:r w:rsidR="00430DA6" w:rsidRPr="007875E5">
        <w:rPr>
          <w:sz w:val="22"/>
        </w:rPr>
        <w:t>ento liek obsahuje menej ako</w:t>
      </w:r>
      <w:r w:rsidRPr="007875E5">
        <w:rPr>
          <w:sz w:val="22"/>
        </w:rPr>
        <w:t xml:space="preserve"> 1 </w:t>
      </w:r>
      <w:proofErr w:type="spellStart"/>
      <w:r w:rsidRPr="007875E5">
        <w:rPr>
          <w:sz w:val="22"/>
        </w:rPr>
        <w:t>mmol</w:t>
      </w:r>
      <w:proofErr w:type="spellEnd"/>
      <w:r w:rsidRPr="007875E5">
        <w:rPr>
          <w:sz w:val="22"/>
        </w:rPr>
        <w:t xml:space="preserve"> so</w:t>
      </w:r>
      <w:r w:rsidR="00430DA6" w:rsidRPr="007875E5">
        <w:rPr>
          <w:sz w:val="22"/>
        </w:rPr>
        <w:t>díka</w:t>
      </w:r>
      <w:r w:rsidRPr="007875E5">
        <w:rPr>
          <w:sz w:val="22"/>
        </w:rPr>
        <w:t xml:space="preserve"> (23 mg) </w:t>
      </w:r>
      <w:r w:rsidR="00430DA6" w:rsidRPr="007875E5">
        <w:rPr>
          <w:sz w:val="22"/>
        </w:rPr>
        <w:t>v jednej kapsul</w:t>
      </w:r>
      <w:r w:rsidR="00FB50BA">
        <w:rPr>
          <w:sz w:val="22"/>
        </w:rPr>
        <w:t>e</w:t>
      </w:r>
      <w:r w:rsidRPr="007875E5">
        <w:rPr>
          <w:sz w:val="22"/>
        </w:rPr>
        <w:t xml:space="preserve">, </w:t>
      </w:r>
      <w:r w:rsidR="007875E5" w:rsidRPr="007875E5">
        <w:rPr>
          <w:sz w:val="22"/>
        </w:rPr>
        <w:t xml:space="preserve">t. j. v podstate </w:t>
      </w:r>
      <w:r w:rsidR="00430DA6" w:rsidRPr="007875E5">
        <w:rPr>
          <w:sz w:val="22"/>
        </w:rPr>
        <w:t>zanedbateľné množstvo sodíka.</w:t>
      </w:r>
    </w:p>
    <w:p w14:paraId="4BEA0CCA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CF96E8E" w14:textId="44E9A2CD" w:rsidR="00F15395" w:rsidRPr="001575C3" w:rsidRDefault="00430DA6" w:rsidP="001575C3">
      <w:pPr>
        <w:pStyle w:val="Nadpis4"/>
        <w:tabs>
          <w:tab w:val="left" w:pos="851"/>
          <w:tab w:val="center" w:pos="3999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4.5 </w:t>
      </w:r>
      <w:r w:rsidRPr="001575C3">
        <w:rPr>
          <w:sz w:val="22"/>
          <w:lang w:val="sk-SK"/>
        </w:rPr>
        <w:tab/>
        <w:t>Liekové a iné interakcie</w:t>
      </w:r>
      <w:r w:rsidR="00F15395" w:rsidRPr="001575C3">
        <w:rPr>
          <w:b w:val="0"/>
          <w:sz w:val="22"/>
          <w:lang w:val="sk-SK"/>
        </w:rPr>
        <w:t xml:space="preserve"> </w:t>
      </w:r>
    </w:p>
    <w:p w14:paraId="56B0FE9D" w14:textId="77777777" w:rsidR="00430DA6" w:rsidRPr="001575C3" w:rsidRDefault="00430DA6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4EE49E6" w14:textId="1E86F581" w:rsidR="00430DA6" w:rsidRPr="001575C3" w:rsidRDefault="00430DA6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Cs/>
          <w:iCs/>
          <w:sz w:val="22"/>
        </w:rPr>
        <w:t xml:space="preserve">Pre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>/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sa nevykonali žiadne štúdie interakcií</w:t>
      </w:r>
      <w:r w:rsidRPr="001575C3">
        <w:rPr>
          <w:bCs/>
          <w:iCs/>
          <w:sz w:val="22"/>
        </w:rPr>
        <w:t>. Nasledovné údaje odrážajú informácie dostupné pre jednotlivé zložky.</w:t>
      </w:r>
    </w:p>
    <w:p w14:paraId="6DEE1950" w14:textId="3A850D76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24E13C3" w14:textId="662C9D73" w:rsidR="00F15395" w:rsidRPr="001575C3" w:rsidRDefault="00430DA6" w:rsidP="001575C3">
      <w:pPr>
        <w:pStyle w:val="Nadpis3"/>
        <w:ind w:left="-5"/>
        <w:rPr>
          <w:sz w:val="22"/>
          <w:lang w:val="sk-SK"/>
        </w:rPr>
      </w:pPr>
      <w:proofErr w:type="spellStart"/>
      <w:r w:rsidRPr="001575C3">
        <w:rPr>
          <w:sz w:val="22"/>
          <w:lang w:val="sk-SK"/>
        </w:rPr>
        <w:t>Dutasterid</w:t>
      </w:r>
      <w:proofErr w:type="spellEnd"/>
    </w:p>
    <w:p w14:paraId="39D57A74" w14:textId="77777777" w:rsidR="00430DA6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3B7BDE67" w14:textId="4DC793AC" w:rsidR="00430DA6" w:rsidRPr="001575C3" w:rsidRDefault="00430DA6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Informáciu o znížení sérových hladín PSA počas liečby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a odporúčania týkajúce sa detekcie rakoviny prostaty, pozri časť 4.4.</w:t>
      </w:r>
    </w:p>
    <w:p w14:paraId="2E4164E0" w14:textId="7C791E06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7D9452D1" w14:textId="77777777" w:rsidR="00430DA6" w:rsidRPr="001575C3" w:rsidRDefault="00430DA6" w:rsidP="001575C3">
      <w:pPr>
        <w:pStyle w:val="Nadpis2"/>
        <w:rPr>
          <w:sz w:val="22"/>
          <w:lang w:val="sk-SK"/>
        </w:rPr>
      </w:pPr>
      <w:r w:rsidRPr="001575C3">
        <w:rPr>
          <w:i/>
          <w:sz w:val="22"/>
          <w:u w:val="none"/>
          <w:lang w:val="sk-SK"/>
        </w:rPr>
        <w:t xml:space="preserve">Účinky iných liekov na </w:t>
      </w:r>
      <w:proofErr w:type="spellStart"/>
      <w:r w:rsidRPr="001575C3">
        <w:rPr>
          <w:i/>
          <w:sz w:val="22"/>
          <w:u w:val="none"/>
          <w:lang w:val="sk-SK"/>
        </w:rPr>
        <w:t>farmakokinetiku</w:t>
      </w:r>
      <w:proofErr w:type="spellEnd"/>
      <w:r w:rsidRPr="001575C3">
        <w:rPr>
          <w:i/>
          <w:sz w:val="22"/>
          <w:u w:val="none"/>
          <w:lang w:val="sk-SK"/>
        </w:rPr>
        <w:t xml:space="preserve"> </w:t>
      </w:r>
      <w:proofErr w:type="spellStart"/>
      <w:r w:rsidRPr="001575C3">
        <w:rPr>
          <w:i/>
          <w:sz w:val="22"/>
          <w:u w:val="none"/>
          <w:lang w:val="sk-SK"/>
        </w:rPr>
        <w:t>dutasteridu</w:t>
      </w:r>
      <w:proofErr w:type="spellEnd"/>
    </w:p>
    <w:p w14:paraId="3E3A2485" w14:textId="77777777" w:rsidR="00430DA6" w:rsidRPr="001575C3" w:rsidRDefault="00430DA6" w:rsidP="001575C3">
      <w:pPr>
        <w:jc w:val="left"/>
        <w:rPr>
          <w:i/>
          <w:sz w:val="22"/>
        </w:rPr>
      </w:pPr>
    </w:p>
    <w:p w14:paraId="494F067B" w14:textId="1BFD8AE9" w:rsidR="00430DA6" w:rsidRPr="001575C3" w:rsidRDefault="00430DA6" w:rsidP="001575C3">
      <w:pPr>
        <w:pStyle w:val="Pta"/>
        <w:rPr>
          <w:szCs w:val="22"/>
        </w:rPr>
      </w:pPr>
      <w:proofErr w:type="spellStart"/>
      <w:r w:rsidRPr="001575C3">
        <w:rPr>
          <w:szCs w:val="22"/>
        </w:rPr>
        <w:t>Dutasterid</w:t>
      </w:r>
      <w:proofErr w:type="spellEnd"/>
      <w:r w:rsidRPr="001575C3">
        <w:rPr>
          <w:szCs w:val="22"/>
        </w:rPr>
        <w:t xml:space="preserve"> je </w:t>
      </w:r>
      <w:r w:rsidRPr="007875E5">
        <w:rPr>
          <w:szCs w:val="22"/>
        </w:rPr>
        <w:t>vylučovaný prevažne</w:t>
      </w:r>
      <w:r w:rsidRPr="001575C3">
        <w:rPr>
          <w:szCs w:val="22"/>
        </w:rPr>
        <w:t xml:space="preserve"> metabolizmom. </w:t>
      </w:r>
      <w:r w:rsidRPr="001575C3">
        <w:rPr>
          <w:i/>
          <w:szCs w:val="22"/>
        </w:rPr>
        <w:t xml:space="preserve">In </w:t>
      </w:r>
      <w:proofErr w:type="spellStart"/>
      <w:r w:rsidRPr="001575C3">
        <w:rPr>
          <w:i/>
          <w:szCs w:val="22"/>
        </w:rPr>
        <w:t>vitro</w:t>
      </w:r>
      <w:proofErr w:type="spellEnd"/>
      <w:r w:rsidRPr="001575C3">
        <w:rPr>
          <w:i/>
          <w:szCs w:val="22"/>
        </w:rPr>
        <w:t xml:space="preserve"> </w:t>
      </w:r>
      <w:r w:rsidRPr="001575C3">
        <w:rPr>
          <w:szCs w:val="22"/>
        </w:rPr>
        <w:t xml:space="preserve">štúdie ukazujú, že tento metabolizmus je </w:t>
      </w:r>
      <w:proofErr w:type="spellStart"/>
      <w:r w:rsidRPr="001575C3">
        <w:rPr>
          <w:szCs w:val="22"/>
        </w:rPr>
        <w:t>katalyzovaný</w:t>
      </w:r>
      <w:proofErr w:type="spellEnd"/>
      <w:r w:rsidRPr="001575C3">
        <w:rPr>
          <w:szCs w:val="22"/>
        </w:rPr>
        <w:t xml:space="preserve"> prostredníctvom CYP3A4 a CYP3A5. Neuskutočnili sa žiadne formálne interakčné štúdie s potentnými inhibítormi CYP3A4. V populačnej </w:t>
      </w:r>
      <w:proofErr w:type="spellStart"/>
      <w:r w:rsidRPr="001575C3">
        <w:rPr>
          <w:szCs w:val="22"/>
        </w:rPr>
        <w:t>farmakokinetickej</w:t>
      </w:r>
      <w:proofErr w:type="spellEnd"/>
      <w:r w:rsidRPr="001575C3">
        <w:rPr>
          <w:szCs w:val="22"/>
        </w:rPr>
        <w:t xml:space="preserve"> štúdii však boli sérové koncentrácie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 xml:space="preserve"> v priemere 1,6</w:t>
      </w:r>
      <w:r w:rsidRPr="001575C3">
        <w:rPr>
          <w:szCs w:val="22"/>
        </w:rPr>
        <w:noBreakHyphen/>
        <w:t> až 1,8</w:t>
      </w:r>
      <w:r w:rsidRPr="001575C3">
        <w:rPr>
          <w:szCs w:val="22"/>
        </w:rPr>
        <w:noBreakHyphen/>
        <w:t>násobne vyššie u malého počtu pacientov liečených sú</w:t>
      </w:r>
      <w:r w:rsidR="002E1741">
        <w:rPr>
          <w:szCs w:val="22"/>
        </w:rPr>
        <w:t>bež</w:t>
      </w:r>
      <w:r w:rsidRPr="001575C3">
        <w:rPr>
          <w:szCs w:val="22"/>
        </w:rPr>
        <w:t xml:space="preserve">ne </w:t>
      </w:r>
      <w:proofErr w:type="spellStart"/>
      <w:r w:rsidRPr="001575C3">
        <w:rPr>
          <w:szCs w:val="22"/>
        </w:rPr>
        <w:t>verapamilom</w:t>
      </w:r>
      <w:proofErr w:type="spellEnd"/>
      <w:r w:rsidRPr="001575C3">
        <w:rPr>
          <w:szCs w:val="22"/>
        </w:rPr>
        <w:t xml:space="preserve"> alebo </w:t>
      </w:r>
      <w:proofErr w:type="spellStart"/>
      <w:r w:rsidRPr="001575C3">
        <w:rPr>
          <w:szCs w:val="22"/>
        </w:rPr>
        <w:t>diltiazemom</w:t>
      </w:r>
      <w:proofErr w:type="spellEnd"/>
      <w:r w:rsidRPr="001575C3">
        <w:rPr>
          <w:szCs w:val="22"/>
        </w:rPr>
        <w:t xml:space="preserve"> (stredne silné inhibítory CYP3A4 a inhibítory </w:t>
      </w:r>
      <w:proofErr w:type="spellStart"/>
      <w:r w:rsidRPr="001575C3">
        <w:rPr>
          <w:szCs w:val="22"/>
        </w:rPr>
        <w:t>P</w:t>
      </w:r>
      <w:r w:rsidRPr="001575C3">
        <w:rPr>
          <w:szCs w:val="22"/>
        </w:rPr>
        <w:noBreakHyphen/>
        <w:t>glykoproteínu</w:t>
      </w:r>
      <w:proofErr w:type="spellEnd"/>
      <w:r w:rsidRPr="001575C3">
        <w:rPr>
          <w:szCs w:val="22"/>
        </w:rPr>
        <w:t>) ako u iných pacientov.</w:t>
      </w:r>
    </w:p>
    <w:p w14:paraId="7AF280FC" w14:textId="77777777" w:rsidR="00430DA6" w:rsidRPr="001575C3" w:rsidRDefault="00430DA6" w:rsidP="001575C3">
      <w:pPr>
        <w:pStyle w:val="Pta"/>
        <w:rPr>
          <w:szCs w:val="22"/>
        </w:rPr>
      </w:pPr>
    </w:p>
    <w:p w14:paraId="6F405590" w14:textId="68C6D2A0" w:rsidR="00430DA6" w:rsidRPr="001575C3" w:rsidRDefault="00430DA6" w:rsidP="001575C3">
      <w:pPr>
        <w:pStyle w:val="Pta"/>
        <w:rPr>
          <w:szCs w:val="22"/>
        </w:rPr>
      </w:pPr>
      <w:r w:rsidRPr="001575C3">
        <w:rPr>
          <w:szCs w:val="22"/>
        </w:rPr>
        <w:t xml:space="preserve">Dlhodobá kombinácia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 xml:space="preserve"> a iných liekov, ktoré sú potentnými </w:t>
      </w:r>
      <w:proofErr w:type="spellStart"/>
      <w:r w:rsidRPr="001575C3">
        <w:rPr>
          <w:szCs w:val="22"/>
        </w:rPr>
        <w:t>inhíbitormi</w:t>
      </w:r>
      <w:proofErr w:type="spellEnd"/>
      <w:r w:rsidRPr="001575C3">
        <w:rPr>
          <w:szCs w:val="22"/>
        </w:rPr>
        <w:t xml:space="preserve"> enzýmu CYP3A4 (napr. </w:t>
      </w:r>
      <w:proofErr w:type="spellStart"/>
      <w:r w:rsidRPr="001575C3">
        <w:rPr>
          <w:szCs w:val="22"/>
        </w:rPr>
        <w:t>ritonavir</w:t>
      </w:r>
      <w:proofErr w:type="spellEnd"/>
      <w:r w:rsidRPr="001575C3">
        <w:rPr>
          <w:szCs w:val="22"/>
        </w:rPr>
        <w:t xml:space="preserve">, </w:t>
      </w:r>
      <w:proofErr w:type="spellStart"/>
      <w:r w:rsidRPr="001575C3">
        <w:rPr>
          <w:szCs w:val="22"/>
        </w:rPr>
        <w:t>indinavir</w:t>
      </w:r>
      <w:proofErr w:type="spellEnd"/>
      <w:r w:rsidRPr="001575C3">
        <w:rPr>
          <w:szCs w:val="22"/>
        </w:rPr>
        <w:t xml:space="preserve">, </w:t>
      </w:r>
      <w:proofErr w:type="spellStart"/>
      <w:r w:rsidRPr="001575C3">
        <w:rPr>
          <w:szCs w:val="22"/>
        </w:rPr>
        <w:t>nefazodón</w:t>
      </w:r>
      <w:proofErr w:type="spellEnd"/>
      <w:r w:rsidRPr="001575C3">
        <w:rPr>
          <w:szCs w:val="22"/>
        </w:rPr>
        <w:t xml:space="preserve">, </w:t>
      </w:r>
      <w:proofErr w:type="spellStart"/>
      <w:r w:rsidRPr="001575C3">
        <w:rPr>
          <w:szCs w:val="22"/>
        </w:rPr>
        <w:t>itrakonazol</w:t>
      </w:r>
      <w:proofErr w:type="spellEnd"/>
      <w:r w:rsidRPr="001575C3">
        <w:rPr>
          <w:szCs w:val="22"/>
        </w:rPr>
        <w:t xml:space="preserve">, </w:t>
      </w:r>
      <w:proofErr w:type="spellStart"/>
      <w:r w:rsidRPr="001575C3">
        <w:rPr>
          <w:szCs w:val="22"/>
        </w:rPr>
        <w:t>ketokonazol</w:t>
      </w:r>
      <w:proofErr w:type="spellEnd"/>
      <w:r w:rsidRPr="001575C3">
        <w:rPr>
          <w:szCs w:val="22"/>
        </w:rPr>
        <w:t xml:space="preserve"> podávané perorálne) môže zvýšiť sérové koncentrácie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>. Ďalšia inhibícia 5</w:t>
      </w:r>
      <w:r w:rsidRPr="001575C3">
        <w:rPr>
          <w:szCs w:val="22"/>
        </w:rPr>
        <w:noBreakHyphen/>
        <w:t>alfa</w:t>
      </w:r>
      <w:r w:rsidRPr="001575C3">
        <w:rPr>
          <w:szCs w:val="22"/>
        </w:rPr>
        <w:noBreakHyphen/>
        <w:t xml:space="preserve">reduktázy pri zvýšenej expozícii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 xml:space="preserve"> nie je pravdepodobná. Zníženie frekvencie dávok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 xml:space="preserve"> sa však môže zvážiť, ak sa spozorujú </w:t>
      </w:r>
      <w:r w:rsidR="002E1741">
        <w:rPr>
          <w:szCs w:val="22"/>
        </w:rPr>
        <w:t>nežiaduc</w:t>
      </w:r>
      <w:r w:rsidRPr="001575C3">
        <w:rPr>
          <w:szCs w:val="22"/>
        </w:rPr>
        <w:t>e účinky. Je potrebné vziať na vedomie, že v prípade inhibície enzýmu sa môže dlhý polčas ďalej predĺžiť a môže trvať viac ako 6 mesiacov súbežnej liečby, kým sa dosiahne nový rovnovážny stav.</w:t>
      </w:r>
    </w:p>
    <w:p w14:paraId="0687E8FE" w14:textId="77777777" w:rsidR="00430DA6" w:rsidRPr="001575C3" w:rsidRDefault="00430DA6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5B5BB8F" w14:textId="77777777" w:rsidR="00430DA6" w:rsidRPr="001575C3" w:rsidRDefault="00430DA6" w:rsidP="001575C3">
      <w:pPr>
        <w:pStyle w:val="Pta"/>
        <w:rPr>
          <w:szCs w:val="22"/>
        </w:rPr>
      </w:pPr>
      <w:r w:rsidRPr="001575C3">
        <w:rPr>
          <w:szCs w:val="22"/>
        </w:rPr>
        <w:t xml:space="preserve">Podávanie 12 g </w:t>
      </w:r>
      <w:proofErr w:type="spellStart"/>
      <w:r w:rsidRPr="001575C3">
        <w:rPr>
          <w:szCs w:val="22"/>
        </w:rPr>
        <w:t>kolestyramínu</w:t>
      </w:r>
      <w:proofErr w:type="spellEnd"/>
      <w:r w:rsidRPr="001575C3">
        <w:rPr>
          <w:szCs w:val="22"/>
        </w:rPr>
        <w:t xml:space="preserve"> hodinu po podaní 5 mg jednorazovej dávky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 xml:space="preserve"> nemá vplyv na </w:t>
      </w:r>
      <w:proofErr w:type="spellStart"/>
      <w:r w:rsidRPr="001575C3">
        <w:rPr>
          <w:szCs w:val="22"/>
        </w:rPr>
        <w:t>farmakokinetiku</w:t>
      </w:r>
      <w:proofErr w:type="spellEnd"/>
      <w:r w:rsidRPr="001575C3">
        <w:rPr>
          <w:szCs w:val="22"/>
        </w:rPr>
        <w:t xml:space="preserve"> </w:t>
      </w:r>
      <w:proofErr w:type="spellStart"/>
      <w:r w:rsidRPr="001575C3">
        <w:rPr>
          <w:szCs w:val="22"/>
        </w:rPr>
        <w:t>dutasteridu</w:t>
      </w:r>
      <w:proofErr w:type="spellEnd"/>
      <w:r w:rsidRPr="001575C3">
        <w:rPr>
          <w:szCs w:val="22"/>
        </w:rPr>
        <w:t>.</w:t>
      </w:r>
    </w:p>
    <w:p w14:paraId="27020588" w14:textId="77777777" w:rsidR="00430DA6" w:rsidRPr="001575C3" w:rsidRDefault="00430DA6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271E028C" w14:textId="77777777" w:rsidR="00430DA6" w:rsidRPr="001575C3" w:rsidRDefault="00430DA6" w:rsidP="001575C3">
      <w:pPr>
        <w:pStyle w:val="Pta"/>
        <w:rPr>
          <w:i/>
          <w:szCs w:val="22"/>
        </w:rPr>
      </w:pPr>
      <w:r w:rsidRPr="001575C3">
        <w:rPr>
          <w:i/>
          <w:szCs w:val="22"/>
        </w:rPr>
        <w:t xml:space="preserve">Účinky </w:t>
      </w:r>
      <w:proofErr w:type="spellStart"/>
      <w:r w:rsidRPr="001575C3">
        <w:rPr>
          <w:i/>
          <w:szCs w:val="22"/>
        </w:rPr>
        <w:t>dutasteridu</w:t>
      </w:r>
      <w:proofErr w:type="spellEnd"/>
      <w:r w:rsidRPr="001575C3">
        <w:rPr>
          <w:i/>
          <w:szCs w:val="22"/>
        </w:rPr>
        <w:t xml:space="preserve"> na </w:t>
      </w:r>
      <w:proofErr w:type="spellStart"/>
      <w:r w:rsidRPr="001575C3">
        <w:rPr>
          <w:i/>
          <w:szCs w:val="22"/>
        </w:rPr>
        <w:t>farmakokinetiku</w:t>
      </w:r>
      <w:proofErr w:type="spellEnd"/>
      <w:r w:rsidRPr="001575C3">
        <w:rPr>
          <w:i/>
          <w:szCs w:val="22"/>
        </w:rPr>
        <w:t xml:space="preserve"> iných liekov</w:t>
      </w:r>
    </w:p>
    <w:p w14:paraId="45548628" w14:textId="77777777" w:rsidR="00430DA6" w:rsidRPr="001575C3" w:rsidRDefault="00430DA6" w:rsidP="001575C3">
      <w:pPr>
        <w:pStyle w:val="Pta"/>
        <w:rPr>
          <w:i/>
          <w:szCs w:val="22"/>
        </w:rPr>
      </w:pPr>
    </w:p>
    <w:p w14:paraId="56AB8971" w14:textId="19714BFE" w:rsidR="00430DA6" w:rsidRPr="001575C3" w:rsidRDefault="00430DA6" w:rsidP="001575C3">
      <w:pPr>
        <w:pStyle w:val="Pta"/>
        <w:rPr>
          <w:szCs w:val="22"/>
        </w:rPr>
      </w:pPr>
      <w:r w:rsidRPr="001575C3">
        <w:rPr>
          <w:szCs w:val="22"/>
        </w:rPr>
        <w:lastRenderedPageBreak/>
        <w:t xml:space="preserve">V malej dvojtýždňovej štúdii (n = 24) u zdravých mužov </w:t>
      </w:r>
      <w:proofErr w:type="spellStart"/>
      <w:r w:rsidRPr="001575C3">
        <w:rPr>
          <w:szCs w:val="22"/>
        </w:rPr>
        <w:t>dutasterid</w:t>
      </w:r>
      <w:proofErr w:type="spellEnd"/>
      <w:r w:rsidRPr="001575C3">
        <w:rPr>
          <w:szCs w:val="22"/>
        </w:rPr>
        <w:t xml:space="preserve"> (0,5 mg denne) nemal žiaden účinok na </w:t>
      </w:r>
      <w:proofErr w:type="spellStart"/>
      <w:r w:rsidRPr="001575C3">
        <w:rPr>
          <w:szCs w:val="22"/>
        </w:rPr>
        <w:t>farmakokinetiku</w:t>
      </w:r>
      <w:proofErr w:type="spellEnd"/>
      <w:r w:rsidRPr="001575C3">
        <w:rPr>
          <w:szCs w:val="22"/>
        </w:rPr>
        <w:t xml:space="preserve"> </w:t>
      </w:r>
      <w:proofErr w:type="spellStart"/>
      <w:r w:rsidRPr="001575C3">
        <w:rPr>
          <w:szCs w:val="22"/>
        </w:rPr>
        <w:t>tamsulozínu</w:t>
      </w:r>
      <w:proofErr w:type="spellEnd"/>
      <w:r w:rsidRPr="001575C3">
        <w:rPr>
          <w:szCs w:val="22"/>
        </w:rPr>
        <w:t xml:space="preserve"> alebo </w:t>
      </w:r>
      <w:proofErr w:type="spellStart"/>
      <w:r w:rsidRPr="001575C3">
        <w:rPr>
          <w:szCs w:val="22"/>
        </w:rPr>
        <w:t>terazosínu</w:t>
      </w:r>
      <w:proofErr w:type="spellEnd"/>
      <w:r w:rsidRPr="001575C3">
        <w:rPr>
          <w:szCs w:val="22"/>
        </w:rPr>
        <w:t xml:space="preserve">. V tejto štúdii neboli ani žiadne </w:t>
      </w:r>
      <w:r w:rsidR="002E1741">
        <w:rPr>
          <w:szCs w:val="22"/>
        </w:rPr>
        <w:t>ná</w:t>
      </w:r>
      <w:r w:rsidRPr="001575C3">
        <w:rPr>
          <w:szCs w:val="22"/>
        </w:rPr>
        <w:t xml:space="preserve">znaky </w:t>
      </w:r>
      <w:proofErr w:type="spellStart"/>
      <w:r w:rsidRPr="001575C3">
        <w:rPr>
          <w:szCs w:val="22"/>
        </w:rPr>
        <w:t>farmakodynamickej</w:t>
      </w:r>
      <w:proofErr w:type="spellEnd"/>
      <w:r w:rsidRPr="001575C3">
        <w:rPr>
          <w:szCs w:val="22"/>
        </w:rPr>
        <w:t xml:space="preserve"> interakcie.</w:t>
      </w:r>
    </w:p>
    <w:p w14:paraId="0DC496E2" w14:textId="77777777" w:rsidR="00430DA6" w:rsidRPr="001575C3" w:rsidRDefault="00430DA6" w:rsidP="001575C3">
      <w:pPr>
        <w:pStyle w:val="Pta"/>
        <w:rPr>
          <w:szCs w:val="22"/>
        </w:rPr>
      </w:pPr>
    </w:p>
    <w:p w14:paraId="0E8A7F30" w14:textId="4A30188E" w:rsidR="00F15395" w:rsidRPr="001575C3" w:rsidRDefault="00430DA6" w:rsidP="001575C3">
      <w:pPr>
        <w:pStyle w:val="Pta"/>
        <w:rPr>
          <w:szCs w:val="22"/>
        </w:rPr>
      </w:pPr>
      <w:proofErr w:type="spellStart"/>
      <w:r w:rsidRPr="001575C3">
        <w:rPr>
          <w:szCs w:val="22"/>
        </w:rPr>
        <w:t>Dutasterid</w:t>
      </w:r>
      <w:proofErr w:type="spellEnd"/>
      <w:r w:rsidRPr="001575C3">
        <w:rPr>
          <w:szCs w:val="22"/>
        </w:rPr>
        <w:t xml:space="preserve"> nemá žiadny účinok na </w:t>
      </w:r>
      <w:proofErr w:type="spellStart"/>
      <w:r w:rsidRPr="001575C3">
        <w:rPr>
          <w:szCs w:val="22"/>
        </w:rPr>
        <w:t>farmakokinetiku</w:t>
      </w:r>
      <w:proofErr w:type="spellEnd"/>
      <w:r w:rsidRPr="001575C3">
        <w:rPr>
          <w:szCs w:val="22"/>
        </w:rPr>
        <w:t xml:space="preserve"> </w:t>
      </w:r>
      <w:proofErr w:type="spellStart"/>
      <w:r w:rsidRPr="001575C3">
        <w:rPr>
          <w:szCs w:val="22"/>
        </w:rPr>
        <w:t>warfarínu</w:t>
      </w:r>
      <w:proofErr w:type="spellEnd"/>
      <w:r w:rsidRPr="001575C3">
        <w:rPr>
          <w:szCs w:val="22"/>
        </w:rPr>
        <w:t xml:space="preserve"> alebo </w:t>
      </w:r>
      <w:proofErr w:type="spellStart"/>
      <w:r w:rsidRPr="001575C3">
        <w:rPr>
          <w:szCs w:val="22"/>
        </w:rPr>
        <w:t>digoxínu</w:t>
      </w:r>
      <w:proofErr w:type="spellEnd"/>
      <w:r w:rsidRPr="001575C3">
        <w:rPr>
          <w:szCs w:val="22"/>
        </w:rPr>
        <w:t xml:space="preserve">. To svedčí o tom, že </w:t>
      </w:r>
      <w:proofErr w:type="spellStart"/>
      <w:r w:rsidRPr="001575C3">
        <w:rPr>
          <w:szCs w:val="22"/>
        </w:rPr>
        <w:t>dutasterid</w:t>
      </w:r>
      <w:proofErr w:type="spellEnd"/>
      <w:r w:rsidRPr="001575C3">
        <w:rPr>
          <w:szCs w:val="22"/>
        </w:rPr>
        <w:t xml:space="preserve"> </w:t>
      </w:r>
      <w:proofErr w:type="spellStart"/>
      <w:r w:rsidRPr="001575C3">
        <w:rPr>
          <w:szCs w:val="22"/>
        </w:rPr>
        <w:t>neinhibuje</w:t>
      </w:r>
      <w:proofErr w:type="spellEnd"/>
      <w:r w:rsidRPr="001575C3">
        <w:rPr>
          <w:szCs w:val="22"/>
        </w:rPr>
        <w:t xml:space="preserve">/neindukuje CYP2C9 alebo transportér </w:t>
      </w:r>
      <w:proofErr w:type="spellStart"/>
      <w:r w:rsidRPr="001575C3">
        <w:rPr>
          <w:szCs w:val="22"/>
        </w:rPr>
        <w:t>P</w:t>
      </w:r>
      <w:r w:rsidRPr="001575C3">
        <w:rPr>
          <w:szCs w:val="22"/>
        </w:rPr>
        <w:noBreakHyphen/>
        <w:t>glykoproteínu</w:t>
      </w:r>
      <w:proofErr w:type="spellEnd"/>
      <w:r w:rsidRPr="001575C3">
        <w:rPr>
          <w:szCs w:val="22"/>
        </w:rPr>
        <w:t xml:space="preserve">. </w:t>
      </w:r>
      <w:r w:rsidRPr="001575C3">
        <w:rPr>
          <w:i/>
          <w:szCs w:val="22"/>
        </w:rPr>
        <w:t xml:space="preserve">In </w:t>
      </w:r>
      <w:proofErr w:type="spellStart"/>
      <w:r w:rsidRPr="001575C3">
        <w:rPr>
          <w:i/>
          <w:szCs w:val="22"/>
        </w:rPr>
        <w:t>vitro</w:t>
      </w:r>
      <w:proofErr w:type="spellEnd"/>
      <w:r w:rsidRPr="001575C3">
        <w:rPr>
          <w:i/>
          <w:szCs w:val="22"/>
        </w:rPr>
        <w:t xml:space="preserve"> </w:t>
      </w:r>
      <w:r w:rsidRPr="001575C3">
        <w:rPr>
          <w:szCs w:val="22"/>
        </w:rPr>
        <w:t xml:space="preserve">interakčné štúdie ukazujú, že </w:t>
      </w:r>
      <w:proofErr w:type="spellStart"/>
      <w:r w:rsidRPr="001575C3">
        <w:rPr>
          <w:szCs w:val="22"/>
        </w:rPr>
        <w:t>dutasterid</w:t>
      </w:r>
      <w:proofErr w:type="spellEnd"/>
      <w:r w:rsidRPr="001575C3">
        <w:rPr>
          <w:szCs w:val="22"/>
        </w:rPr>
        <w:t xml:space="preserve"> </w:t>
      </w:r>
      <w:proofErr w:type="spellStart"/>
      <w:r w:rsidRPr="001575C3">
        <w:rPr>
          <w:szCs w:val="22"/>
        </w:rPr>
        <w:t>neinhibuje</w:t>
      </w:r>
      <w:proofErr w:type="spellEnd"/>
      <w:r w:rsidRPr="001575C3">
        <w:rPr>
          <w:szCs w:val="22"/>
        </w:rPr>
        <w:t xml:space="preserve"> enzýmy CYP1A2, CYP2D6, CYP2C9, CYP2C19 alebo CYP3A4.</w:t>
      </w:r>
    </w:p>
    <w:p w14:paraId="52C4F688" w14:textId="07E94C85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381E9C8E" w14:textId="2A4B40D0" w:rsidR="00F15395" w:rsidRPr="001575C3" w:rsidRDefault="007B4831" w:rsidP="001575C3">
      <w:pPr>
        <w:pStyle w:val="Nadpis3"/>
        <w:ind w:left="-5"/>
        <w:rPr>
          <w:sz w:val="22"/>
          <w:lang w:val="sk-SK"/>
        </w:rPr>
      </w:pPr>
      <w:proofErr w:type="spellStart"/>
      <w:r w:rsidRPr="001575C3">
        <w:rPr>
          <w:sz w:val="22"/>
          <w:lang w:val="sk-SK"/>
        </w:rPr>
        <w:t>Tamsulozín</w:t>
      </w:r>
      <w:proofErr w:type="spellEnd"/>
    </w:p>
    <w:p w14:paraId="0968C7F5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i/>
          <w:sz w:val="22"/>
        </w:rPr>
        <w:t xml:space="preserve"> </w:t>
      </w:r>
    </w:p>
    <w:p w14:paraId="381F2525" w14:textId="2E8B36FE" w:rsidR="007B4831" w:rsidRPr="001575C3" w:rsidRDefault="007B4831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Súbežné podávanie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 s liečivami, ktoré môžu znižovať krvný tlak vrátane anestetík, inhibítorov PDE5 a iných antagonistov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t>-adrenergických receptorov</w:t>
      </w:r>
      <w:r w:rsidRPr="001575C3">
        <w:rPr>
          <w:bCs/>
          <w:sz w:val="22"/>
        </w:rPr>
        <w:t xml:space="preserve"> môže viesť k zvýšeným</w:t>
      </w:r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hypotenz</w:t>
      </w:r>
      <w:r w:rsidR="002E1741">
        <w:rPr>
          <w:sz w:val="22"/>
        </w:rPr>
        <w:t>ív</w:t>
      </w:r>
      <w:r w:rsidRPr="001575C3">
        <w:rPr>
          <w:sz w:val="22"/>
        </w:rPr>
        <w:t>n</w:t>
      </w:r>
      <w:r w:rsidR="002E1741">
        <w:rPr>
          <w:sz w:val="22"/>
        </w:rPr>
        <w:t>y</w:t>
      </w:r>
      <w:r w:rsidRPr="001575C3">
        <w:rPr>
          <w:sz w:val="22"/>
        </w:rPr>
        <w:t>m</w:t>
      </w:r>
      <w:proofErr w:type="spellEnd"/>
      <w:r w:rsidRPr="001575C3">
        <w:rPr>
          <w:sz w:val="22"/>
        </w:rPr>
        <w:t xml:space="preserve"> účinkom</w:t>
      </w:r>
      <w:r w:rsidRPr="001575C3">
        <w:rPr>
          <w:bCs/>
          <w:sz w:val="22"/>
        </w:rPr>
        <w:t xml:space="preserve">.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>/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sa nemá používať v kombinácii s inými antagonistami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t>-adrenergických receptorov</w:t>
      </w:r>
      <w:r w:rsidRPr="001575C3">
        <w:rPr>
          <w:bCs/>
          <w:sz w:val="22"/>
        </w:rPr>
        <w:t>.</w:t>
      </w:r>
    </w:p>
    <w:p w14:paraId="24022C14" w14:textId="77777777" w:rsidR="007B4831" w:rsidRPr="001575C3" w:rsidRDefault="007B4831" w:rsidP="001575C3">
      <w:pPr>
        <w:ind w:left="-5" w:right="206"/>
        <w:jc w:val="left"/>
        <w:rPr>
          <w:sz w:val="22"/>
        </w:rPr>
      </w:pPr>
    </w:p>
    <w:p w14:paraId="3B32353A" w14:textId="77777777" w:rsidR="007B4831" w:rsidRPr="001575C3" w:rsidRDefault="007B4831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Súbežné podávanie </w:t>
      </w:r>
      <w:proofErr w:type="spellStart"/>
      <w:r w:rsidRPr="001575C3">
        <w:rPr>
          <w:bCs/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 a </w:t>
      </w:r>
      <w:proofErr w:type="spellStart"/>
      <w:r w:rsidRPr="001575C3">
        <w:rPr>
          <w:bCs/>
          <w:sz w:val="22"/>
        </w:rPr>
        <w:t>ketokonazolu</w:t>
      </w:r>
      <w:proofErr w:type="spellEnd"/>
      <w:r w:rsidRPr="001575C3">
        <w:rPr>
          <w:bCs/>
          <w:sz w:val="22"/>
        </w:rPr>
        <w:t xml:space="preserve"> (silný inhibítor CYP3A4) viedlo k 2,2</w:t>
      </w:r>
      <w:r w:rsidRPr="001575C3">
        <w:rPr>
          <w:bCs/>
          <w:sz w:val="22"/>
        </w:rPr>
        <w:noBreakHyphen/>
        <w:t xml:space="preserve">násobnému zvýšeniu </w:t>
      </w:r>
      <w:proofErr w:type="spellStart"/>
      <w:r w:rsidRPr="001575C3">
        <w:rPr>
          <w:bCs/>
          <w:sz w:val="22"/>
        </w:rPr>
        <w:t>C</w:t>
      </w:r>
      <w:r w:rsidRPr="001575C3">
        <w:rPr>
          <w:bCs/>
          <w:sz w:val="22"/>
          <w:vertAlign w:val="subscript"/>
        </w:rPr>
        <w:t>max</w:t>
      </w:r>
      <w:proofErr w:type="spellEnd"/>
      <w:r w:rsidRPr="001575C3">
        <w:rPr>
          <w:bCs/>
          <w:sz w:val="22"/>
        </w:rPr>
        <w:t xml:space="preserve"> a k 2,8</w:t>
      </w:r>
      <w:r w:rsidRPr="001575C3">
        <w:rPr>
          <w:bCs/>
          <w:sz w:val="22"/>
        </w:rPr>
        <w:noBreakHyphen/>
        <w:t xml:space="preserve">násobnému zvýšeniu AUC </w:t>
      </w:r>
      <w:proofErr w:type="spellStart"/>
      <w:r w:rsidRPr="001575C3">
        <w:rPr>
          <w:bCs/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. Súbežné podávanie </w:t>
      </w:r>
      <w:proofErr w:type="spellStart"/>
      <w:r w:rsidRPr="001575C3">
        <w:rPr>
          <w:bCs/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 a </w:t>
      </w:r>
      <w:proofErr w:type="spellStart"/>
      <w:r w:rsidRPr="001575C3">
        <w:rPr>
          <w:bCs/>
          <w:sz w:val="22"/>
        </w:rPr>
        <w:t>paroxetínu</w:t>
      </w:r>
      <w:proofErr w:type="spellEnd"/>
      <w:r w:rsidRPr="001575C3">
        <w:rPr>
          <w:bCs/>
          <w:sz w:val="22"/>
        </w:rPr>
        <w:t xml:space="preserve"> (silný inhibítor CYP2D6) viedlo k 1,3</w:t>
      </w:r>
      <w:r w:rsidRPr="001575C3">
        <w:rPr>
          <w:bCs/>
          <w:sz w:val="22"/>
        </w:rPr>
        <w:noBreakHyphen/>
        <w:t xml:space="preserve">násobnému zvýšeniu </w:t>
      </w:r>
      <w:proofErr w:type="spellStart"/>
      <w:r w:rsidRPr="001575C3">
        <w:rPr>
          <w:bCs/>
          <w:sz w:val="22"/>
        </w:rPr>
        <w:t>C</w:t>
      </w:r>
      <w:r w:rsidRPr="001575C3">
        <w:rPr>
          <w:bCs/>
          <w:sz w:val="22"/>
          <w:vertAlign w:val="subscript"/>
        </w:rPr>
        <w:t>max</w:t>
      </w:r>
      <w:proofErr w:type="spellEnd"/>
      <w:r w:rsidRPr="001575C3">
        <w:rPr>
          <w:bCs/>
          <w:sz w:val="22"/>
        </w:rPr>
        <w:t xml:space="preserve"> a k 1,6</w:t>
      </w:r>
      <w:r w:rsidRPr="001575C3">
        <w:rPr>
          <w:bCs/>
          <w:sz w:val="22"/>
        </w:rPr>
        <w:noBreakHyphen/>
        <w:t xml:space="preserve">násobnému zvýšeniu AUC </w:t>
      </w:r>
      <w:proofErr w:type="spellStart"/>
      <w:r w:rsidRPr="001575C3">
        <w:rPr>
          <w:bCs/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. Podobné zvýšenie expozície sa očakáva u pomalých </w:t>
      </w:r>
      <w:proofErr w:type="spellStart"/>
      <w:r w:rsidRPr="001575C3">
        <w:rPr>
          <w:bCs/>
          <w:sz w:val="22"/>
        </w:rPr>
        <w:t>metabolizátorov</w:t>
      </w:r>
      <w:proofErr w:type="spellEnd"/>
      <w:r w:rsidRPr="001575C3">
        <w:rPr>
          <w:bCs/>
          <w:sz w:val="22"/>
        </w:rPr>
        <w:t xml:space="preserve"> CYP2D6 v porovnaní s rýchlymi </w:t>
      </w:r>
      <w:proofErr w:type="spellStart"/>
      <w:r w:rsidRPr="001575C3">
        <w:rPr>
          <w:bCs/>
          <w:sz w:val="22"/>
        </w:rPr>
        <w:t>metabolizátormi</w:t>
      </w:r>
      <w:proofErr w:type="spellEnd"/>
      <w:r w:rsidRPr="001575C3">
        <w:rPr>
          <w:bCs/>
          <w:sz w:val="22"/>
        </w:rPr>
        <w:t xml:space="preserve">, keď sa </w:t>
      </w:r>
      <w:proofErr w:type="spellStart"/>
      <w:r w:rsidRPr="001575C3">
        <w:rPr>
          <w:bCs/>
          <w:sz w:val="22"/>
        </w:rPr>
        <w:t>tamsulozíniumchlorid</w:t>
      </w:r>
      <w:proofErr w:type="spellEnd"/>
      <w:r w:rsidRPr="001575C3">
        <w:rPr>
          <w:bCs/>
          <w:sz w:val="22"/>
        </w:rPr>
        <w:t xml:space="preserve"> podáva súbežne so silným inhibítorom CYP3A4. Účinky súbežného podávania inhibítora CYP3A4 aj inhibítora CYP2D6 s </w:t>
      </w:r>
      <w:proofErr w:type="spellStart"/>
      <w:r w:rsidRPr="001575C3">
        <w:rPr>
          <w:bCs/>
          <w:sz w:val="22"/>
        </w:rPr>
        <w:t>tamsulozíniumchloridom</w:t>
      </w:r>
      <w:proofErr w:type="spellEnd"/>
      <w:r w:rsidRPr="001575C3">
        <w:rPr>
          <w:bCs/>
          <w:sz w:val="22"/>
        </w:rPr>
        <w:t xml:space="preserve"> sa klinicky nehodnotili, existuje však možnosť významného zvýšenia expozície </w:t>
      </w:r>
      <w:proofErr w:type="spellStart"/>
      <w:r w:rsidRPr="001575C3">
        <w:rPr>
          <w:bCs/>
          <w:sz w:val="22"/>
        </w:rPr>
        <w:t>tamsulozínu</w:t>
      </w:r>
      <w:proofErr w:type="spellEnd"/>
      <w:r w:rsidRPr="001575C3">
        <w:rPr>
          <w:bCs/>
          <w:sz w:val="22"/>
        </w:rPr>
        <w:t xml:space="preserve"> (pozri časť 4.4).</w:t>
      </w:r>
    </w:p>
    <w:p w14:paraId="1030D341" w14:textId="77777777" w:rsidR="007B4831" w:rsidRPr="001575C3" w:rsidRDefault="007B4831" w:rsidP="001575C3">
      <w:pPr>
        <w:jc w:val="left"/>
        <w:rPr>
          <w:bCs/>
          <w:sz w:val="22"/>
        </w:rPr>
      </w:pPr>
    </w:p>
    <w:p w14:paraId="7CCFA4EA" w14:textId="449A40E2" w:rsidR="00B04D67" w:rsidRPr="001575C3" w:rsidRDefault="00B04D67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Súbežné podávanie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 (0,4 mg) a </w:t>
      </w:r>
      <w:proofErr w:type="spellStart"/>
      <w:r w:rsidRPr="001575C3">
        <w:rPr>
          <w:bCs/>
          <w:sz w:val="22"/>
        </w:rPr>
        <w:t>cimetidínu</w:t>
      </w:r>
      <w:proofErr w:type="spellEnd"/>
      <w:r w:rsidRPr="001575C3">
        <w:rPr>
          <w:bCs/>
          <w:sz w:val="22"/>
        </w:rPr>
        <w:t xml:space="preserve"> (400 mg každých šesť hodín počas šiestich dní) malo za následok znížený klírens (26 %) a zvýšenú AUC (44 %)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bCs/>
          <w:sz w:val="22"/>
        </w:rPr>
        <w:t xml:space="preserve">. Ak sa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>/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používa v kombinácii s </w:t>
      </w:r>
      <w:proofErr w:type="spellStart"/>
      <w:r w:rsidRPr="001575C3">
        <w:rPr>
          <w:sz w:val="22"/>
        </w:rPr>
        <w:t>cimetidínom</w:t>
      </w:r>
      <w:proofErr w:type="spellEnd"/>
      <w:r w:rsidRPr="001575C3">
        <w:rPr>
          <w:sz w:val="22"/>
        </w:rPr>
        <w:t>, je potrebná opatrnosť</w:t>
      </w:r>
      <w:r w:rsidRPr="001575C3">
        <w:rPr>
          <w:bCs/>
          <w:sz w:val="22"/>
        </w:rPr>
        <w:t>.</w:t>
      </w:r>
    </w:p>
    <w:p w14:paraId="0261BDCE" w14:textId="77777777" w:rsidR="007B4831" w:rsidRPr="001575C3" w:rsidRDefault="007B4831" w:rsidP="001575C3">
      <w:pPr>
        <w:ind w:left="-5" w:right="206"/>
        <w:jc w:val="left"/>
        <w:rPr>
          <w:sz w:val="22"/>
        </w:rPr>
      </w:pPr>
    </w:p>
    <w:p w14:paraId="6B5E1BB6" w14:textId="77777777" w:rsidR="00B04D67" w:rsidRPr="001575C3" w:rsidRDefault="00B04D67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Definitívna štúdia interakcií liečiv medzi </w:t>
      </w:r>
      <w:proofErr w:type="spellStart"/>
      <w:r w:rsidRPr="001575C3">
        <w:rPr>
          <w:sz w:val="22"/>
        </w:rPr>
        <w:t>tamsulozíniumchloridom</w:t>
      </w:r>
      <w:proofErr w:type="spellEnd"/>
      <w:r w:rsidRPr="001575C3">
        <w:rPr>
          <w:sz w:val="22"/>
        </w:rPr>
        <w:t xml:space="preserve"> </w:t>
      </w:r>
      <w:r w:rsidRPr="001575C3">
        <w:rPr>
          <w:bCs/>
          <w:sz w:val="22"/>
        </w:rPr>
        <w:t>a </w:t>
      </w:r>
      <w:proofErr w:type="spellStart"/>
      <w:r w:rsidRPr="001575C3">
        <w:rPr>
          <w:bCs/>
          <w:sz w:val="22"/>
        </w:rPr>
        <w:t>warfarínom</w:t>
      </w:r>
      <w:proofErr w:type="spellEnd"/>
      <w:r w:rsidRPr="001575C3">
        <w:rPr>
          <w:bCs/>
          <w:sz w:val="22"/>
        </w:rPr>
        <w:t xml:space="preserve"> sa nevykonala. Výsledky obmedzených štúdií</w:t>
      </w:r>
      <w:r w:rsidRPr="001575C3">
        <w:rPr>
          <w:bCs/>
          <w:i/>
          <w:sz w:val="22"/>
        </w:rPr>
        <w:t xml:space="preserve"> in </w:t>
      </w:r>
      <w:proofErr w:type="spellStart"/>
      <w:r w:rsidRPr="001575C3">
        <w:rPr>
          <w:bCs/>
          <w:i/>
          <w:sz w:val="22"/>
        </w:rPr>
        <w:t>vitro</w:t>
      </w:r>
      <w:proofErr w:type="spellEnd"/>
      <w:r w:rsidRPr="001575C3">
        <w:rPr>
          <w:bCs/>
          <w:i/>
          <w:sz w:val="22"/>
        </w:rPr>
        <w:t xml:space="preserve"> </w:t>
      </w:r>
      <w:r w:rsidRPr="001575C3">
        <w:rPr>
          <w:bCs/>
          <w:sz w:val="22"/>
        </w:rPr>
        <w:t xml:space="preserve">a </w:t>
      </w:r>
      <w:r w:rsidRPr="001575C3">
        <w:rPr>
          <w:bCs/>
          <w:i/>
          <w:sz w:val="22"/>
        </w:rPr>
        <w:t xml:space="preserve">in </w:t>
      </w:r>
      <w:proofErr w:type="spellStart"/>
      <w:r w:rsidRPr="001575C3">
        <w:rPr>
          <w:bCs/>
          <w:i/>
          <w:sz w:val="22"/>
        </w:rPr>
        <w:t>vivo</w:t>
      </w:r>
      <w:proofErr w:type="spellEnd"/>
      <w:r w:rsidRPr="001575C3">
        <w:rPr>
          <w:bCs/>
          <w:sz w:val="22"/>
        </w:rPr>
        <w:t xml:space="preserve"> nič nedokazujú. </w:t>
      </w:r>
      <w:proofErr w:type="spellStart"/>
      <w:r w:rsidRPr="001575C3">
        <w:rPr>
          <w:bCs/>
          <w:sz w:val="22"/>
        </w:rPr>
        <w:t>Diklofenak</w:t>
      </w:r>
      <w:proofErr w:type="spellEnd"/>
      <w:r w:rsidRPr="001575C3">
        <w:rPr>
          <w:bCs/>
          <w:sz w:val="22"/>
        </w:rPr>
        <w:t xml:space="preserve"> a </w:t>
      </w:r>
      <w:proofErr w:type="spellStart"/>
      <w:r w:rsidRPr="001575C3">
        <w:rPr>
          <w:bCs/>
          <w:sz w:val="22"/>
        </w:rPr>
        <w:t>warfarín</w:t>
      </w:r>
      <w:proofErr w:type="spellEnd"/>
      <w:r w:rsidRPr="001575C3">
        <w:rPr>
          <w:bCs/>
          <w:sz w:val="22"/>
        </w:rPr>
        <w:t xml:space="preserve"> však môžu zvýšiť rýchlosť eliminácie </w:t>
      </w:r>
      <w:proofErr w:type="spellStart"/>
      <w:r w:rsidRPr="001575C3">
        <w:rPr>
          <w:bCs/>
          <w:sz w:val="22"/>
        </w:rPr>
        <w:t>tamsulozínu</w:t>
      </w:r>
      <w:proofErr w:type="spellEnd"/>
      <w:r w:rsidRPr="001575C3">
        <w:rPr>
          <w:bCs/>
          <w:sz w:val="22"/>
        </w:rPr>
        <w:t xml:space="preserve">. Pri súbežnom podávaní </w:t>
      </w:r>
      <w:proofErr w:type="spellStart"/>
      <w:r w:rsidRPr="001575C3">
        <w:rPr>
          <w:bCs/>
          <w:sz w:val="22"/>
        </w:rPr>
        <w:t>warfarínu</w:t>
      </w:r>
      <w:proofErr w:type="spellEnd"/>
      <w:r w:rsidRPr="001575C3">
        <w:rPr>
          <w:bCs/>
          <w:sz w:val="22"/>
        </w:rPr>
        <w:t xml:space="preserve"> a 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sa vyžaduje opatrnosť</w:t>
      </w:r>
      <w:r w:rsidRPr="001575C3">
        <w:rPr>
          <w:bCs/>
          <w:sz w:val="22"/>
        </w:rPr>
        <w:t>.</w:t>
      </w:r>
    </w:p>
    <w:p w14:paraId="145A0C68" w14:textId="77777777" w:rsidR="00B04D67" w:rsidRPr="001575C3" w:rsidRDefault="00B04D67" w:rsidP="001575C3">
      <w:pPr>
        <w:jc w:val="left"/>
        <w:rPr>
          <w:bCs/>
          <w:sz w:val="22"/>
        </w:rPr>
      </w:pPr>
    </w:p>
    <w:p w14:paraId="0EE66AF4" w14:textId="77777777" w:rsidR="00B04D67" w:rsidRPr="001575C3" w:rsidRDefault="00B04D67" w:rsidP="001575C3">
      <w:pPr>
        <w:jc w:val="left"/>
        <w:rPr>
          <w:sz w:val="22"/>
        </w:rPr>
      </w:pPr>
      <w:r w:rsidRPr="001575C3">
        <w:rPr>
          <w:sz w:val="22"/>
        </w:rPr>
        <w:t xml:space="preserve">Nepozorovali sa žiadne interakcie pri podávaní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súbežne s </w:t>
      </w:r>
      <w:proofErr w:type="spellStart"/>
      <w:r w:rsidRPr="001575C3">
        <w:rPr>
          <w:sz w:val="22"/>
        </w:rPr>
        <w:t>atenololom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enalaprilom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nifedipínom</w:t>
      </w:r>
      <w:proofErr w:type="spellEnd"/>
      <w:r w:rsidRPr="001575C3">
        <w:rPr>
          <w:sz w:val="22"/>
        </w:rPr>
        <w:t xml:space="preserve"> alebo </w:t>
      </w:r>
      <w:proofErr w:type="spellStart"/>
      <w:r w:rsidRPr="001575C3">
        <w:rPr>
          <w:sz w:val="22"/>
        </w:rPr>
        <w:t>teofylínom</w:t>
      </w:r>
      <w:proofErr w:type="spellEnd"/>
      <w:r w:rsidRPr="001575C3">
        <w:rPr>
          <w:sz w:val="22"/>
        </w:rPr>
        <w:t xml:space="preserve">. Súbežne podávaný </w:t>
      </w:r>
      <w:proofErr w:type="spellStart"/>
      <w:r w:rsidRPr="001575C3">
        <w:rPr>
          <w:sz w:val="22"/>
        </w:rPr>
        <w:t>furosemid</w:t>
      </w:r>
      <w:proofErr w:type="spellEnd"/>
      <w:r w:rsidRPr="001575C3">
        <w:rPr>
          <w:sz w:val="22"/>
        </w:rPr>
        <w:t xml:space="preserve"> znižuje plazmatické koncentrácie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, no keďže koncentrácia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zotrváva v normálnom rozmedzí, nie je potrebné upravovať dávkovanie.</w:t>
      </w:r>
    </w:p>
    <w:p w14:paraId="38A1B928" w14:textId="77777777" w:rsidR="00B04D67" w:rsidRPr="001575C3" w:rsidRDefault="00B04D67" w:rsidP="001575C3">
      <w:pPr>
        <w:jc w:val="left"/>
        <w:rPr>
          <w:bCs/>
          <w:sz w:val="22"/>
        </w:rPr>
      </w:pPr>
    </w:p>
    <w:p w14:paraId="2F48F4F2" w14:textId="77777777" w:rsidR="00B04D67" w:rsidRPr="001575C3" w:rsidRDefault="00B04D67" w:rsidP="001575C3">
      <w:pPr>
        <w:jc w:val="left"/>
        <w:rPr>
          <w:sz w:val="22"/>
        </w:rPr>
      </w:pPr>
      <w:r w:rsidRPr="001575C3">
        <w:rPr>
          <w:sz w:val="22"/>
        </w:rPr>
        <w:t xml:space="preserve">Ani </w:t>
      </w:r>
      <w:proofErr w:type="spellStart"/>
      <w:r w:rsidRPr="001575C3">
        <w:rPr>
          <w:sz w:val="22"/>
        </w:rPr>
        <w:t>diazepam</w:t>
      </w:r>
      <w:proofErr w:type="spellEnd"/>
      <w:r w:rsidRPr="001575C3">
        <w:rPr>
          <w:sz w:val="22"/>
        </w:rPr>
        <w:t xml:space="preserve">, ani </w:t>
      </w:r>
      <w:proofErr w:type="spellStart"/>
      <w:r w:rsidRPr="001575C3">
        <w:rPr>
          <w:sz w:val="22"/>
        </w:rPr>
        <w:t>propranolol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trichlórmetiazid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chlórmadinón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amitriptylín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diklofenak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glibenklamid</w:t>
      </w:r>
      <w:proofErr w:type="spellEnd"/>
      <w:r w:rsidRPr="001575C3">
        <w:rPr>
          <w:sz w:val="22"/>
        </w:rPr>
        <w:t xml:space="preserve">, a </w:t>
      </w:r>
      <w:proofErr w:type="spellStart"/>
      <w:r w:rsidRPr="001575C3">
        <w:rPr>
          <w:sz w:val="22"/>
        </w:rPr>
        <w:t>simvastatín</w:t>
      </w:r>
      <w:proofErr w:type="spellEnd"/>
      <w:r w:rsidRPr="001575C3">
        <w:rPr>
          <w:sz w:val="22"/>
        </w:rPr>
        <w:t xml:space="preserve"> </w:t>
      </w:r>
      <w:r w:rsidRPr="001575C3">
        <w:rPr>
          <w:i/>
          <w:iCs/>
          <w:sz w:val="22"/>
        </w:rPr>
        <w:t xml:space="preserve">in </w:t>
      </w:r>
      <w:proofErr w:type="spellStart"/>
      <w:r w:rsidRPr="001575C3">
        <w:rPr>
          <w:i/>
          <w:iCs/>
          <w:sz w:val="22"/>
        </w:rPr>
        <w:t>vitro</w:t>
      </w:r>
      <w:proofErr w:type="spellEnd"/>
      <w:r w:rsidRPr="001575C3">
        <w:rPr>
          <w:sz w:val="22"/>
        </w:rPr>
        <w:t xml:space="preserve"> nemenia voľnú frakciu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v ľudskej plazme. Ani 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nemení voľné frakcie </w:t>
      </w:r>
      <w:proofErr w:type="spellStart"/>
      <w:r w:rsidRPr="001575C3">
        <w:rPr>
          <w:sz w:val="22"/>
        </w:rPr>
        <w:t>diazepamu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propranololu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trichlórmetiazidu</w:t>
      </w:r>
      <w:proofErr w:type="spellEnd"/>
      <w:r w:rsidRPr="001575C3">
        <w:rPr>
          <w:sz w:val="22"/>
        </w:rPr>
        <w:t xml:space="preserve"> a </w:t>
      </w:r>
      <w:proofErr w:type="spellStart"/>
      <w:r w:rsidRPr="001575C3">
        <w:rPr>
          <w:sz w:val="22"/>
        </w:rPr>
        <w:t>chlórmadinónu</w:t>
      </w:r>
      <w:proofErr w:type="spellEnd"/>
      <w:r w:rsidRPr="001575C3">
        <w:rPr>
          <w:sz w:val="22"/>
        </w:rPr>
        <w:t>.</w:t>
      </w:r>
    </w:p>
    <w:p w14:paraId="1CE9B159" w14:textId="77777777" w:rsidR="00B04D67" w:rsidRPr="001575C3" w:rsidRDefault="00B04D67" w:rsidP="001575C3">
      <w:pPr>
        <w:jc w:val="left"/>
        <w:rPr>
          <w:sz w:val="22"/>
        </w:rPr>
      </w:pPr>
    </w:p>
    <w:p w14:paraId="016D6142" w14:textId="2CFAC066" w:rsidR="00F15395" w:rsidRPr="001575C3" w:rsidRDefault="00B04D67" w:rsidP="001575C3">
      <w:pPr>
        <w:pStyle w:val="Nadpis4"/>
        <w:tabs>
          <w:tab w:val="center" w:pos="2156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4.6 </w:t>
      </w:r>
      <w:r w:rsidRPr="001575C3">
        <w:rPr>
          <w:sz w:val="22"/>
          <w:lang w:val="sk-SK"/>
        </w:rPr>
        <w:tab/>
      </w:r>
      <w:proofErr w:type="spellStart"/>
      <w:r w:rsidRPr="001575C3">
        <w:rPr>
          <w:sz w:val="22"/>
          <w:lang w:val="sk-SK"/>
        </w:rPr>
        <w:t>Fertilita</w:t>
      </w:r>
      <w:proofErr w:type="spellEnd"/>
      <w:r w:rsidRPr="007875E5">
        <w:rPr>
          <w:sz w:val="22"/>
          <w:lang w:val="sk-SK"/>
        </w:rPr>
        <w:t>, gravidita a dojčenie</w:t>
      </w:r>
      <w:r w:rsidR="00F15395" w:rsidRPr="001575C3">
        <w:rPr>
          <w:sz w:val="22"/>
          <w:lang w:val="sk-SK"/>
        </w:rPr>
        <w:t xml:space="preserve"> </w:t>
      </w:r>
    </w:p>
    <w:p w14:paraId="5C38C0E5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425C7D4E" w14:textId="76D484DC" w:rsidR="00B04D67" w:rsidRPr="001575C3" w:rsidRDefault="00B04D67" w:rsidP="001575C3">
      <w:pPr>
        <w:keepNext/>
        <w:keepLines/>
        <w:jc w:val="left"/>
        <w:rPr>
          <w:bCs/>
          <w:iCs/>
          <w:sz w:val="22"/>
        </w:rPr>
      </w:pPr>
      <w:r w:rsidRPr="001575C3">
        <w:rPr>
          <w:sz w:val="22"/>
        </w:rPr>
        <w:t xml:space="preserve">Používanie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Tamsulosinu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je u žien kontraindikované. Nie sú žiadne štúdie, ktoré skúmajú účinok </w:t>
      </w:r>
      <w:proofErr w:type="spellStart"/>
      <w:r w:rsidRPr="001575C3">
        <w:rPr>
          <w:bCs/>
          <w:iCs/>
          <w:sz w:val="22"/>
        </w:rPr>
        <w:t>dutasteridu</w:t>
      </w:r>
      <w:proofErr w:type="spellEnd"/>
      <w:r w:rsidRPr="001575C3">
        <w:rPr>
          <w:bCs/>
          <w:iCs/>
          <w:sz w:val="22"/>
        </w:rPr>
        <w:t>/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 na graviditu, dojčenie a </w:t>
      </w:r>
      <w:proofErr w:type="spellStart"/>
      <w:r w:rsidRPr="001575C3">
        <w:rPr>
          <w:bCs/>
          <w:iCs/>
          <w:sz w:val="22"/>
        </w:rPr>
        <w:t>fertilitu</w:t>
      </w:r>
      <w:proofErr w:type="spellEnd"/>
      <w:r w:rsidRPr="001575C3">
        <w:rPr>
          <w:bCs/>
          <w:iCs/>
          <w:sz w:val="22"/>
        </w:rPr>
        <w:t xml:space="preserve">. Nasledovné údaje odrážajú informácie dostupné zo štúdií pre jednotlivé zložky </w:t>
      </w:r>
      <w:r w:rsidRPr="001575C3">
        <w:rPr>
          <w:sz w:val="22"/>
          <w:lang w:eastAsia="en-GB"/>
        </w:rPr>
        <w:t>(pozri časť 5.3)</w:t>
      </w:r>
      <w:r w:rsidRPr="001575C3">
        <w:rPr>
          <w:bCs/>
          <w:iCs/>
          <w:sz w:val="22"/>
        </w:rPr>
        <w:t>.</w:t>
      </w:r>
    </w:p>
    <w:p w14:paraId="713FFB0A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2B171D4D" w14:textId="77777777" w:rsidR="00B04D67" w:rsidRPr="001575C3" w:rsidRDefault="00B04D67" w:rsidP="001575C3">
      <w:pPr>
        <w:pStyle w:val="Bezriadkovania"/>
        <w:jc w:val="left"/>
        <w:rPr>
          <w:u w:val="single"/>
          <w:lang w:val="sk-SK"/>
        </w:rPr>
      </w:pPr>
      <w:r w:rsidRPr="001575C3">
        <w:rPr>
          <w:u w:val="single"/>
          <w:lang w:val="sk-SK"/>
        </w:rPr>
        <w:t>Gravidita</w:t>
      </w:r>
    </w:p>
    <w:p w14:paraId="30CBDFB3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1851AFDE" w14:textId="5157FFB5" w:rsidR="00B04D67" w:rsidRPr="001575C3" w:rsidRDefault="00B04D67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lastRenderedPageBreak/>
        <w:t>Dutasterid</w:t>
      </w:r>
      <w:proofErr w:type="spellEnd"/>
      <w:r w:rsidRPr="001575C3">
        <w:rPr>
          <w:lang w:val="sk-SK"/>
        </w:rPr>
        <w:t>, tak ako iné inhibítory 5</w:t>
      </w:r>
      <w:r w:rsidRPr="001575C3">
        <w:rPr>
          <w:lang w:val="sk-SK"/>
        </w:rPr>
        <w:noBreakHyphen/>
        <w:t>alfa</w:t>
      </w:r>
      <w:r w:rsidRPr="001575C3">
        <w:rPr>
          <w:lang w:val="sk-SK"/>
        </w:rPr>
        <w:noBreakHyphen/>
        <w:t xml:space="preserve">reduktázy, </w:t>
      </w:r>
      <w:proofErr w:type="spellStart"/>
      <w:r w:rsidRPr="001575C3">
        <w:rPr>
          <w:lang w:val="sk-SK"/>
        </w:rPr>
        <w:t>inhibuje</w:t>
      </w:r>
      <w:proofErr w:type="spellEnd"/>
      <w:r w:rsidRPr="001575C3">
        <w:rPr>
          <w:lang w:val="sk-SK"/>
        </w:rPr>
        <w:t xml:space="preserve"> konverziu </w:t>
      </w:r>
      <w:proofErr w:type="spellStart"/>
      <w:r w:rsidRPr="001575C3">
        <w:rPr>
          <w:lang w:val="sk-SK"/>
        </w:rPr>
        <w:t>testosterónu</w:t>
      </w:r>
      <w:proofErr w:type="spellEnd"/>
      <w:r w:rsidRPr="001575C3">
        <w:rPr>
          <w:lang w:val="sk-SK"/>
        </w:rPr>
        <w:t xml:space="preserve"> na </w:t>
      </w:r>
      <w:proofErr w:type="spellStart"/>
      <w:r w:rsidRPr="001575C3">
        <w:rPr>
          <w:lang w:val="sk-SK"/>
        </w:rPr>
        <w:t>dihydrotestosterón</w:t>
      </w:r>
      <w:proofErr w:type="spellEnd"/>
      <w:r w:rsidRPr="001575C3">
        <w:rPr>
          <w:lang w:val="sk-SK"/>
        </w:rPr>
        <w:t>, a ak je podávaný žene, ktorá nosí mu</w:t>
      </w:r>
      <w:r w:rsidR="007875E5">
        <w:rPr>
          <w:lang w:val="sk-SK"/>
        </w:rPr>
        <w:t xml:space="preserve">žský plod, môže zabrániť vývinu </w:t>
      </w:r>
      <w:r w:rsidRPr="001575C3">
        <w:rPr>
          <w:lang w:val="sk-SK"/>
        </w:rPr>
        <w:t xml:space="preserve">vonkajších pohlavných orgánov plodu (pozri časť 4.4). Malé množstvá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sa získali zo spermií jedincov užívajúcich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. Nie je známe, či bude mužský plod nepriaznivo postihnutý, ak je jeho matka vystavená spermiám pacienta liečeného 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(takéto riziko je vyššie počas prvých 16 týždňov gravidity).</w:t>
      </w:r>
    </w:p>
    <w:p w14:paraId="3E8EA971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71A47D6E" w14:textId="2DC97335" w:rsidR="00B04D67" w:rsidRPr="001575C3" w:rsidRDefault="00B04D6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Tak ako u iných inhibítorov 5</w:t>
      </w:r>
      <w:r w:rsidRPr="001575C3">
        <w:rPr>
          <w:lang w:val="sk-SK"/>
        </w:rPr>
        <w:noBreakHyphen/>
        <w:t>alfa</w:t>
      </w:r>
      <w:r w:rsidRPr="001575C3">
        <w:rPr>
          <w:lang w:val="sk-SK"/>
        </w:rPr>
        <w:noBreakHyphen/>
        <w:t>reduktázy sa odporúča, aby v prípadoch, ke</w:t>
      </w:r>
      <w:r w:rsidR="002E1741">
        <w:rPr>
          <w:lang w:val="sk-SK"/>
        </w:rPr>
        <w:t>ď</w:t>
      </w:r>
      <w:r w:rsidRPr="001575C3">
        <w:rPr>
          <w:lang w:val="sk-SK"/>
        </w:rPr>
        <w:t xml:space="preserve"> pacientova partnerka je alebo pravdepodobne môže byť gravidná, pacient zabránil expozícii partnerky spermiám použitím prezervatívu.</w:t>
      </w:r>
    </w:p>
    <w:p w14:paraId="4E6CE876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431EC850" w14:textId="2455964A" w:rsidR="00B04D67" w:rsidRPr="001575C3" w:rsidRDefault="00B04D6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Podávanie </w:t>
      </w:r>
      <w:proofErr w:type="spellStart"/>
      <w:r w:rsidRPr="001575C3">
        <w:rPr>
          <w:lang w:val="sk-SK"/>
        </w:rPr>
        <w:t>tamsulozíniumchloridu</w:t>
      </w:r>
      <w:proofErr w:type="spellEnd"/>
      <w:r w:rsidRPr="001575C3">
        <w:rPr>
          <w:lang w:val="sk-SK"/>
        </w:rPr>
        <w:t xml:space="preserve"> gravidným samiciam potkanov a králikov neukázalo žiadne </w:t>
      </w:r>
      <w:r w:rsidR="002E1741">
        <w:rPr>
          <w:lang w:val="sk-SK"/>
        </w:rPr>
        <w:t>názna</w:t>
      </w:r>
      <w:r w:rsidRPr="001575C3">
        <w:rPr>
          <w:lang w:val="sk-SK"/>
        </w:rPr>
        <w:t>ky poškodenia plodu.</w:t>
      </w:r>
    </w:p>
    <w:p w14:paraId="0EF78FEA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4A58B83C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Informácie o predklinických údajoch si pozrite v časti 5.3.</w:t>
      </w:r>
    </w:p>
    <w:p w14:paraId="48A0A06D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140CFE2F" w14:textId="77777777" w:rsidR="00B04D67" w:rsidRPr="001575C3" w:rsidRDefault="00B04D67" w:rsidP="001575C3">
      <w:pPr>
        <w:pStyle w:val="Bezriadkovania"/>
        <w:jc w:val="left"/>
        <w:rPr>
          <w:u w:val="single"/>
          <w:lang w:val="sk-SK"/>
        </w:rPr>
      </w:pPr>
      <w:r w:rsidRPr="001575C3">
        <w:rPr>
          <w:u w:val="single"/>
          <w:lang w:val="sk-SK"/>
        </w:rPr>
        <w:t>Dojčenie</w:t>
      </w:r>
    </w:p>
    <w:p w14:paraId="51801ABA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3A8E409D" w14:textId="33A8CC0A" w:rsidR="00B04D67" w:rsidRPr="001575C3" w:rsidRDefault="00B04D6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Nie je známe, či sa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alebo </w:t>
      </w:r>
      <w:proofErr w:type="spellStart"/>
      <w:r w:rsidRPr="001575C3">
        <w:rPr>
          <w:lang w:val="sk-SK"/>
        </w:rPr>
        <w:t>tamsulozín</w:t>
      </w:r>
      <w:proofErr w:type="spellEnd"/>
      <w:r w:rsidRPr="001575C3">
        <w:rPr>
          <w:lang w:val="sk-SK"/>
        </w:rPr>
        <w:t xml:space="preserve"> vylučujú do ľudského materského mlieka.</w:t>
      </w:r>
    </w:p>
    <w:p w14:paraId="7E51A837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1DAF3660" w14:textId="77777777" w:rsidR="00B04D67" w:rsidRPr="001575C3" w:rsidRDefault="00B04D67" w:rsidP="001575C3">
      <w:pPr>
        <w:pStyle w:val="Bezriadkovania"/>
        <w:jc w:val="left"/>
        <w:rPr>
          <w:u w:val="single"/>
          <w:lang w:val="sk-SK"/>
        </w:rPr>
      </w:pPr>
      <w:proofErr w:type="spellStart"/>
      <w:r w:rsidRPr="001575C3">
        <w:rPr>
          <w:u w:val="single"/>
          <w:lang w:val="sk-SK"/>
        </w:rPr>
        <w:t>Fertilita</w:t>
      </w:r>
      <w:proofErr w:type="spellEnd"/>
    </w:p>
    <w:p w14:paraId="65C5C608" w14:textId="77777777" w:rsidR="00B04D67" w:rsidRPr="001575C3" w:rsidRDefault="00B04D67" w:rsidP="001575C3">
      <w:pPr>
        <w:pStyle w:val="Bezriadkovania"/>
        <w:jc w:val="left"/>
        <w:rPr>
          <w:i/>
          <w:lang w:val="sk-SK"/>
        </w:rPr>
      </w:pPr>
    </w:p>
    <w:p w14:paraId="6F4B13D8" w14:textId="179BE14D" w:rsidR="00B04D67" w:rsidRPr="001575C3" w:rsidRDefault="00B04D67" w:rsidP="001575C3">
      <w:pPr>
        <w:jc w:val="left"/>
        <w:rPr>
          <w:sz w:val="22"/>
        </w:rPr>
      </w:pPr>
      <w:r w:rsidRPr="001575C3">
        <w:rPr>
          <w:sz w:val="22"/>
        </w:rPr>
        <w:t xml:space="preserve">Bolo hlásené, že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má vplyv na charakteristické vlastnosti </w:t>
      </w:r>
      <w:r w:rsidR="007875E5">
        <w:rPr>
          <w:sz w:val="22"/>
        </w:rPr>
        <w:t>ejakulátu</w:t>
      </w:r>
      <w:r w:rsidRPr="001575C3">
        <w:rPr>
          <w:sz w:val="22"/>
        </w:rPr>
        <w:t xml:space="preserve"> (zníženie počtu spermií, objem </w:t>
      </w:r>
      <w:proofErr w:type="spellStart"/>
      <w:r w:rsidR="007875E5">
        <w:rPr>
          <w:sz w:val="22"/>
        </w:rPr>
        <w:t>ejakulátu</w:t>
      </w:r>
      <w:proofErr w:type="spellEnd"/>
      <w:r w:rsidRPr="001575C3">
        <w:rPr>
          <w:sz w:val="22"/>
        </w:rPr>
        <w:t xml:space="preserve"> a </w:t>
      </w:r>
      <w:proofErr w:type="spellStart"/>
      <w:r w:rsidRPr="001575C3">
        <w:rPr>
          <w:sz w:val="22"/>
        </w:rPr>
        <w:t>motilita</w:t>
      </w:r>
      <w:proofErr w:type="spellEnd"/>
      <w:r w:rsidRPr="001575C3">
        <w:rPr>
          <w:sz w:val="22"/>
        </w:rPr>
        <w:t xml:space="preserve"> spermií) u zdravých mužov (pozri časť 5.1). Možnosť zníženej mužskej </w:t>
      </w:r>
      <w:proofErr w:type="spellStart"/>
      <w:r w:rsidRPr="001575C3">
        <w:rPr>
          <w:sz w:val="22"/>
        </w:rPr>
        <w:t>fertility</w:t>
      </w:r>
      <w:proofErr w:type="spellEnd"/>
      <w:r w:rsidRPr="001575C3">
        <w:rPr>
          <w:sz w:val="22"/>
        </w:rPr>
        <w:t xml:space="preserve"> nie je možné vylúčiť.</w:t>
      </w:r>
    </w:p>
    <w:p w14:paraId="2E4537BC" w14:textId="77777777" w:rsidR="00B04D67" w:rsidRPr="001575C3" w:rsidRDefault="00B04D67" w:rsidP="001575C3">
      <w:pPr>
        <w:jc w:val="left"/>
        <w:rPr>
          <w:sz w:val="22"/>
        </w:rPr>
      </w:pPr>
    </w:p>
    <w:p w14:paraId="30780149" w14:textId="77777777" w:rsidR="00B04D67" w:rsidRPr="001575C3" w:rsidRDefault="00B04D67" w:rsidP="001575C3">
      <w:pPr>
        <w:jc w:val="left"/>
        <w:rPr>
          <w:sz w:val="22"/>
        </w:rPr>
      </w:pPr>
      <w:r w:rsidRPr="001575C3">
        <w:rPr>
          <w:sz w:val="22"/>
        </w:rPr>
        <w:t xml:space="preserve">Účinky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na počet spermií alebo funkciu spermií sa nehodnotili.</w:t>
      </w:r>
    </w:p>
    <w:p w14:paraId="020722CE" w14:textId="77777777" w:rsidR="00B04D67" w:rsidRPr="001575C3" w:rsidRDefault="00B04D67" w:rsidP="001575C3">
      <w:pPr>
        <w:pStyle w:val="Bezriadkovania"/>
        <w:jc w:val="left"/>
        <w:rPr>
          <w:lang w:val="sk-SK"/>
        </w:rPr>
      </w:pPr>
    </w:p>
    <w:p w14:paraId="337339A0" w14:textId="48B6CD36" w:rsidR="00F15395" w:rsidRPr="001575C3" w:rsidRDefault="00B04D67" w:rsidP="001575C3">
      <w:pPr>
        <w:pStyle w:val="Nadpis3"/>
        <w:tabs>
          <w:tab w:val="left" w:pos="567"/>
          <w:tab w:val="center" w:pos="2630"/>
        </w:tabs>
        <w:spacing w:after="0" w:line="259" w:lineRule="auto"/>
        <w:ind w:left="-15" w:firstLine="0"/>
        <w:rPr>
          <w:b/>
          <w:i w:val="0"/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>4.7</w:t>
      </w:r>
      <w:r w:rsidRPr="001575C3">
        <w:rPr>
          <w:b/>
          <w:i w:val="0"/>
          <w:sz w:val="22"/>
          <w:lang w:val="sk-SK"/>
        </w:rPr>
        <w:tab/>
        <w:t xml:space="preserve">Ovplyvnenie schopnosti viesť vozidlá a obsluhovať stroje </w:t>
      </w:r>
    </w:p>
    <w:p w14:paraId="66767482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91E9E8E" w14:textId="3F1CE6D1" w:rsidR="00B04D67" w:rsidRPr="001575C3" w:rsidRDefault="00B04D67" w:rsidP="001575C3">
      <w:pPr>
        <w:jc w:val="left"/>
        <w:rPr>
          <w:sz w:val="22"/>
        </w:rPr>
      </w:pPr>
      <w:r w:rsidRPr="001575C3">
        <w:rPr>
          <w:sz w:val="22"/>
        </w:rPr>
        <w:t xml:space="preserve">Nevykonali sa žiadne štúdie o účinkoch </w:t>
      </w:r>
      <w:proofErr w:type="spellStart"/>
      <w:r w:rsidRPr="001575C3">
        <w:rPr>
          <w:bCs/>
          <w:iCs/>
          <w:sz w:val="22"/>
        </w:rPr>
        <w:t>dutasteridu</w:t>
      </w:r>
      <w:proofErr w:type="spellEnd"/>
      <w:r w:rsidRPr="001575C3">
        <w:rPr>
          <w:bCs/>
          <w:iCs/>
          <w:sz w:val="22"/>
        </w:rPr>
        <w:t>/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 </w:t>
      </w:r>
      <w:r w:rsidRPr="001575C3">
        <w:rPr>
          <w:sz w:val="22"/>
        </w:rPr>
        <w:t xml:space="preserve">na schopnosť viesť vozidlá a obsluhovať stroje. Pri užívaní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Tamsulosinu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sz w:val="22"/>
        </w:rPr>
        <w:t xml:space="preserve"> však pacienti majú byť informovaní o možnom výskyte symptómov súvisiacich s </w:t>
      </w:r>
      <w:proofErr w:type="spellStart"/>
      <w:r w:rsidRPr="001575C3">
        <w:rPr>
          <w:sz w:val="22"/>
        </w:rPr>
        <w:t>ortostatickou</w:t>
      </w:r>
      <w:proofErr w:type="spellEnd"/>
      <w:r w:rsidRPr="001575C3">
        <w:rPr>
          <w:sz w:val="22"/>
        </w:rPr>
        <w:t xml:space="preserve"> hypotenziou, ako je závrat.</w:t>
      </w:r>
    </w:p>
    <w:p w14:paraId="56B599DB" w14:textId="77777777" w:rsidR="00B04D67" w:rsidRPr="001575C3" w:rsidRDefault="00B04D67" w:rsidP="001575C3">
      <w:pPr>
        <w:ind w:left="-5" w:right="38"/>
        <w:jc w:val="left"/>
        <w:rPr>
          <w:sz w:val="22"/>
        </w:rPr>
      </w:pPr>
    </w:p>
    <w:p w14:paraId="64B25911" w14:textId="4D712C73" w:rsidR="00F15395" w:rsidRPr="001575C3" w:rsidRDefault="00F15395" w:rsidP="001575C3">
      <w:pPr>
        <w:pStyle w:val="Nadpis3"/>
        <w:tabs>
          <w:tab w:val="center" w:pos="1484"/>
        </w:tabs>
        <w:spacing w:after="0" w:line="259" w:lineRule="auto"/>
        <w:ind w:left="-15" w:firstLine="0"/>
        <w:rPr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>4.8</w:t>
      </w:r>
      <w:r w:rsidRPr="001575C3">
        <w:rPr>
          <w:rFonts w:ascii="Arial" w:eastAsia="Arial" w:hAnsi="Arial" w:cs="Arial"/>
          <w:b/>
          <w:i w:val="0"/>
          <w:sz w:val="22"/>
          <w:lang w:val="sk-SK"/>
        </w:rPr>
        <w:t xml:space="preserve"> </w:t>
      </w:r>
      <w:r w:rsidRPr="001575C3">
        <w:rPr>
          <w:rFonts w:ascii="Arial" w:eastAsia="Arial" w:hAnsi="Arial" w:cs="Arial"/>
          <w:b/>
          <w:i w:val="0"/>
          <w:sz w:val="22"/>
          <w:lang w:val="sk-SK"/>
        </w:rPr>
        <w:tab/>
      </w:r>
      <w:r w:rsidR="00B04D67" w:rsidRPr="001575C3">
        <w:rPr>
          <w:b/>
          <w:i w:val="0"/>
          <w:sz w:val="22"/>
          <w:lang w:val="sk-SK"/>
        </w:rPr>
        <w:t>Nežiaduce účinky</w:t>
      </w:r>
      <w:r w:rsidRPr="001575C3">
        <w:rPr>
          <w:b/>
          <w:i w:val="0"/>
          <w:sz w:val="22"/>
          <w:lang w:val="sk-SK"/>
        </w:rPr>
        <w:t xml:space="preserve"> </w:t>
      </w:r>
    </w:p>
    <w:p w14:paraId="0457336E" w14:textId="77777777" w:rsidR="00DD584D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503E395C" w14:textId="3034E894" w:rsidR="00DD584D" w:rsidRPr="001575C3" w:rsidRDefault="00DD584D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Cs/>
          <w:iCs/>
          <w:sz w:val="22"/>
        </w:rPr>
        <w:t xml:space="preserve">Tu uvedené údaje sa vzťahujú k súbežnému podávaniu </w:t>
      </w:r>
      <w:proofErr w:type="spellStart"/>
      <w:r w:rsidRPr="001575C3">
        <w:rPr>
          <w:bCs/>
          <w:iCs/>
          <w:sz w:val="22"/>
        </w:rPr>
        <w:t>dutasteridu</w:t>
      </w:r>
      <w:proofErr w:type="spellEnd"/>
      <w:r w:rsidRPr="001575C3">
        <w:rPr>
          <w:bCs/>
          <w:iCs/>
          <w:sz w:val="22"/>
        </w:rPr>
        <w:t xml:space="preserve"> s </w:t>
      </w:r>
      <w:proofErr w:type="spellStart"/>
      <w:r w:rsidRPr="001575C3">
        <w:rPr>
          <w:bCs/>
          <w:iCs/>
          <w:sz w:val="22"/>
        </w:rPr>
        <w:t>tamsulozínom</w:t>
      </w:r>
      <w:proofErr w:type="spellEnd"/>
      <w:r w:rsidRPr="001575C3">
        <w:rPr>
          <w:bCs/>
          <w:iCs/>
          <w:sz w:val="22"/>
        </w:rPr>
        <w:t xml:space="preserve"> zo štvorročnej analýzy štúdie </w:t>
      </w:r>
      <w:proofErr w:type="spellStart"/>
      <w:r w:rsidRPr="001575C3">
        <w:rPr>
          <w:bCs/>
          <w:iCs/>
          <w:sz w:val="22"/>
        </w:rPr>
        <w:t>CombAT</w:t>
      </w:r>
      <w:proofErr w:type="spellEnd"/>
      <w:r w:rsidRPr="001575C3">
        <w:rPr>
          <w:bCs/>
          <w:iCs/>
          <w:sz w:val="22"/>
        </w:rPr>
        <w:t xml:space="preserve"> (</w:t>
      </w:r>
      <w:proofErr w:type="spellStart"/>
      <w:r w:rsidRPr="001575C3">
        <w:rPr>
          <w:bCs/>
          <w:iCs/>
          <w:sz w:val="22"/>
        </w:rPr>
        <w:t>Combination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Pr="001575C3">
        <w:rPr>
          <w:bCs/>
          <w:iCs/>
          <w:sz w:val="22"/>
        </w:rPr>
        <w:t>of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Pr="001575C3">
        <w:rPr>
          <w:bCs/>
          <w:iCs/>
          <w:sz w:val="22"/>
        </w:rPr>
        <w:t>Avodart</w:t>
      </w:r>
      <w:proofErr w:type="spellEnd"/>
      <w:r w:rsidRPr="001575C3">
        <w:rPr>
          <w:bCs/>
          <w:iCs/>
          <w:sz w:val="22"/>
        </w:rPr>
        <w:t xml:space="preserve"> and </w:t>
      </w:r>
      <w:proofErr w:type="spellStart"/>
      <w:r w:rsidRPr="001575C3">
        <w:rPr>
          <w:bCs/>
          <w:iCs/>
          <w:sz w:val="22"/>
        </w:rPr>
        <w:t>Tamsulosin</w:t>
      </w:r>
      <w:proofErr w:type="spellEnd"/>
      <w:r w:rsidRPr="001575C3">
        <w:rPr>
          <w:bCs/>
          <w:iCs/>
          <w:sz w:val="22"/>
        </w:rPr>
        <w:t xml:space="preserve">), porovnávajú </w:t>
      </w:r>
      <w:proofErr w:type="spellStart"/>
      <w:r w:rsidRPr="001575C3">
        <w:rPr>
          <w:bCs/>
          <w:iCs/>
          <w:sz w:val="22"/>
        </w:rPr>
        <w:t>dutasterid</w:t>
      </w:r>
      <w:proofErr w:type="spellEnd"/>
      <w:r w:rsidRPr="001575C3">
        <w:rPr>
          <w:bCs/>
          <w:iCs/>
          <w:sz w:val="22"/>
        </w:rPr>
        <w:t xml:space="preserve"> 0,5 mg a </w:t>
      </w:r>
      <w:proofErr w:type="spellStart"/>
      <w:r w:rsidRPr="001575C3">
        <w:rPr>
          <w:bCs/>
          <w:iCs/>
          <w:sz w:val="22"/>
        </w:rPr>
        <w:t>tamsulozín</w:t>
      </w:r>
      <w:proofErr w:type="spellEnd"/>
      <w:r w:rsidRPr="001575C3">
        <w:rPr>
          <w:bCs/>
          <w:iCs/>
          <w:sz w:val="22"/>
        </w:rPr>
        <w:t xml:space="preserve"> 0,4 mg raz denne počas štyroch rokov ako súbežné podávanie alebo ako </w:t>
      </w:r>
      <w:proofErr w:type="spellStart"/>
      <w:r w:rsidRPr="001575C3">
        <w:rPr>
          <w:bCs/>
          <w:iCs/>
          <w:sz w:val="22"/>
        </w:rPr>
        <w:t>monoterapiu</w:t>
      </w:r>
      <w:proofErr w:type="spellEnd"/>
      <w:r w:rsidRPr="001575C3">
        <w:rPr>
          <w:bCs/>
          <w:iCs/>
          <w:sz w:val="22"/>
        </w:rPr>
        <w:t xml:space="preserve">. Preukázala sa </w:t>
      </w:r>
      <w:proofErr w:type="spellStart"/>
      <w:r w:rsidRPr="001575C3">
        <w:rPr>
          <w:bCs/>
          <w:iCs/>
          <w:sz w:val="22"/>
        </w:rPr>
        <w:t>bioekvivalencia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="00EE77AC">
        <w:rPr>
          <w:sz w:val="22"/>
        </w:rPr>
        <w:t>Dutasteride</w:t>
      </w:r>
      <w:proofErr w:type="spellEnd"/>
      <w:r w:rsidR="00EE77AC">
        <w:rPr>
          <w:sz w:val="22"/>
        </w:rPr>
        <w:t>/</w:t>
      </w:r>
      <w:proofErr w:type="spellStart"/>
      <w:r w:rsidR="00EE77AC">
        <w:rPr>
          <w:sz w:val="22"/>
        </w:rPr>
        <w:t>Tamsulosinu</w:t>
      </w:r>
      <w:proofErr w:type="spellEnd"/>
      <w:r w:rsidR="00EE77AC">
        <w:rPr>
          <w:sz w:val="22"/>
        </w:rPr>
        <w:t xml:space="preserve"> </w:t>
      </w:r>
      <w:proofErr w:type="spellStart"/>
      <w:r w:rsidR="00EE77AC">
        <w:rPr>
          <w:sz w:val="22"/>
        </w:rPr>
        <w:t>Krka</w:t>
      </w:r>
      <w:proofErr w:type="spellEnd"/>
      <w:r w:rsidRPr="001575C3">
        <w:rPr>
          <w:bCs/>
          <w:iCs/>
          <w:sz w:val="22"/>
        </w:rPr>
        <w:t xml:space="preserve"> a súbežného podávania </w:t>
      </w:r>
      <w:proofErr w:type="spellStart"/>
      <w:r w:rsidRPr="001575C3">
        <w:rPr>
          <w:bCs/>
          <w:iCs/>
          <w:sz w:val="22"/>
        </w:rPr>
        <w:t>dutasteridu</w:t>
      </w:r>
      <w:proofErr w:type="spellEnd"/>
      <w:r w:rsidRPr="001575C3">
        <w:rPr>
          <w:bCs/>
          <w:iCs/>
          <w:sz w:val="22"/>
        </w:rPr>
        <w:t xml:space="preserve"> a 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 (pozri časť 5.2). Poskytnuté sú aj informácie o profile nežiaducich účinkov jednotlivých zložiek (</w:t>
      </w:r>
      <w:proofErr w:type="spellStart"/>
      <w:r w:rsidRPr="001575C3">
        <w:rPr>
          <w:bCs/>
          <w:iCs/>
          <w:sz w:val="22"/>
        </w:rPr>
        <w:t>dutasterid</w:t>
      </w:r>
      <w:proofErr w:type="spellEnd"/>
      <w:r w:rsidRPr="001575C3">
        <w:rPr>
          <w:bCs/>
          <w:iCs/>
          <w:sz w:val="22"/>
        </w:rPr>
        <w:t xml:space="preserve"> a </w:t>
      </w:r>
      <w:proofErr w:type="spellStart"/>
      <w:r w:rsidRPr="001575C3">
        <w:rPr>
          <w:bCs/>
          <w:iCs/>
          <w:sz w:val="22"/>
        </w:rPr>
        <w:t>tamsulozín</w:t>
      </w:r>
      <w:proofErr w:type="spellEnd"/>
      <w:r w:rsidRPr="001575C3">
        <w:rPr>
          <w:bCs/>
          <w:iCs/>
          <w:sz w:val="22"/>
        </w:rPr>
        <w:t xml:space="preserve">). Treba poznamenať, že nie všetky nežiaduce účinky hlásené pri jednotlivých zložkách boli hlásené aj pri </w:t>
      </w:r>
      <w:proofErr w:type="spellStart"/>
      <w:r w:rsidR="000945E5" w:rsidRPr="001575C3">
        <w:rPr>
          <w:bCs/>
          <w:iCs/>
          <w:sz w:val="22"/>
        </w:rPr>
        <w:t>dutasteride</w:t>
      </w:r>
      <w:proofErr w:type="spellEnd"/>
      <w:r w:rsidR="000945E5" w:rsidRPr="001575C3">
        <w:rPr>
          <w:bCs/>
          <w:iCs/>
          <w:sz w:val="22"/>
        </w:rPr>
        <w:t>/</w:t>
      </w:r>
      <w:proofErr w:type="spellStart"/>
      <w:r w:rsidR="000945E5" w:rsidRPr="001575C3">
        <w:rPr>
          <w:bCs/>
          <w:iCs/>
          <w:sz w:val="22"/>
        </w:rPr>
        <w:t>tamsulozíne</w:t>
      </w:r>
      <w:proofErr w:type="spellEnd"/>
      <w:r w:rsidRPr="001575C3">
        <w:rPr>
          <w:bCs/>
          <w:iCs/>
          <w:sz w:val="22"/>
        </w:rPr>
        <w:t xml:space="preserve"> a takéto nežiaduce účinky sú zahrnuté pre informáciu predpisujúceho lekára.</w:t>
      </w:r>
    </w:p>
    <w:p w14:paraId="7E2B710F" w14:textId="77777777" w:rsidR="00DD584D" w:rsidRPr="001575C3" w:rsidRDefault="00DD584D" w:rsidP="001575C3">
      <w:pPr>
        <w:ind w:left="-5" w:right="38"/>
        <w:jc w:val="left"/>
        <w:rPr>
          <w:sz w:val="22"/>
        </w:rPr>
      </w:pPr>
    </w:p>
    <w:p w14:paraId="5477EB49" w14:textId="77777777" w:rsidR="00173E94" w:rsidRPr="001575C3" w:rsidRDefault="00173E94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lastRenderedPageBreak/>
        <w:t>Údaje zo 4</w:t>
      </w:r>
      <w:r w:rsidRPr="001575C3">
        <w:rPr>
          <w:sz w:val="22"/>
        </w:rPr>
        <w:noBreakHyphen/>
        <w:t xml:space="preserve">ročnej štúdie </w:t>
      </w:r>
      <w:proofErr w:type="spellStart"/>
      <w:r w:rsidRPr="001575C3">
        <w:rPr>
          <w:sz w:val="22"/>
        </w:rPr>
        <w:t>CombAT</w:t>
      </w:r>
      <w:proofErr w:type="spellEnd"/>
      <w:r w:rsidRPr="001575C3">
        <w:rPr>
          <w:sz w:val="22"/>
        </w:rPr>
        <w:t xml:space="preserve"> ukázali, že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všetkých skúšajúcimi posúdených nežiaducich udalostí súvisiacich s liekom počas prvého, druhého, tretieho a štvrtého roku liečby bola pri liečbe kombináciou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>/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22 %, 6 %, 4 % a 2 %, v uvedenom poradí, pri </w:t>
      </w:r>
      <w:proofErr w:type="spellStart"/>
      <w:r w:rsidRPr="001575C3">
        <w:rPr>
          <w:sz w:val="22"/>
        </w:rPr>
        <w:t>monoterapii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15 %, 6 %, 3 % a 2 %, v uvedenom poradí, a pri </w:t>
      </w:r>
      <w:proofErr w:type="spellStart"/>
      <w:r w:rsidRPr="001575C3">
        <w:rPr>
          <w:sz w:val="22"/>
        </w:rPr>
        <w:t>monoterapii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tamsulozínom</w:t>
      </w:r>
      <w:proofErr w:type="spellEnd"/>
      <w:r w:rsidRPr="001575C3">
        <w:rPr>
          <w:sz w:val="22"/>
        </w:rPr>
        <w:t xml:space="preserve"> 13 %, 5 %, 2 % a 2 %, v uvedenom poradí. Vyššia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nežiaducich udalostí v skupine s kombinovanou liečbou počas prvého roku liečby bola v dôsledku vyššej </w:t>
      </w:r>
      <w:proofErr w:type="spellStart"/>
      <w:r w:rsidRPr="001575C3">
        <w:rPr>
          <w:sz w:val="22"/>
        </w:rPr>
        <w:t>incidencie</w:t>
      </w:r>
      <w:proofErr w:type="spellEnd"/>
      <w:r w:rsidRPr="001575C3">
        <w:rPr>
          <w:sz w:val="22"/>
        </w:rPr>
        <w:t xml:space="preserve"> ochorení reprodukčného systému, osobitne porúch ejakulácie pozorovaných v tejto skupine.</w:t>
      </w:r>
    </w:p>
    <w:p w14:paraId="639D4934" w14:textId="77777777" w:rsidR="00DD584D" w:rsidRPr="001575C3" w:rsidRDefault="00DD584D" w:rsidP="001575C3">
      <w:pPr>
        <w:ind w:left="-5" w:right="38"/>
        <w:jc w:val="left"/>
        <w:rPr>
          <w:sz w:val="22"/>
        </w:rPr>
      </w:pPr>
    </w:p>
    <w:p w14:paraId="456AB4E7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V nasledujúcej tabuľke sú uvedené skúšajúcimi posudzované nežiaduce udalosti súvisiace s liekom, ktoré boli hlásené s </w:t>
      </w:r>
      <w:proofErr w:type="spellStart"/>
      <w:r w:rsidRPr="001575C3">
        <w:rPr>
          <w:sz w:val="22"/>
        </w:rPr>
        <w:t>incidenciou</w:t>
      </w:r>
      <w:proofErr w:type="spellEnd"/>
      <w:r w:rsidRPr="001575C3">
        <w:rPr>
          <w:sz w:val="22"/>
        </w:rPr>
        <w:t xml:space="preserve"> vyššou alebo rovnou 1 % počas prvého roku liečby v štúdii </w:t>
      </w:r>
      <w:proofErr w:type="spellStart"/>
      <w:r w:rsidRPr="001575C3">
        <w:rPr>
          <w:sz w:val="22"/>
        </w:rPr>
        <w:t>CombAT</w:t>
      </w:r>
      <w:proofErr w:type="spellEnd"/>
      <w:r w:rsidRPr="001575C3">
        <w:rPr>
          <w:sz w:val="22"/>
        </w:rPr>
        <w:t xml:space="preserve">, v klinických štúdiách </w:t>
      </w:r>
      <w:proofErr w:type="spellStart"/>
      <w:r w:rsidRPr="001575C3">
        <w:rPr>
          <w:sz w:val="22"/>
        </w:rPr>
        <w:t>monoterapie</w:t>
      </w:r>
      <w:proofErr w:type="spellEnd"/>
      <w:r w:rsidRPr="001575C3">
        <w:rPr>
          <w:sz w:val="22"/>
        </w:rPr>
        <w:t xml:space="preserve"> BPH a v štúdii REDUCE.</w:t>
      </w:r>
    </w:p>
    <w:p w14:paraId="29AAE9B2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 xml:space="preserve">Okrem toho sú uvedené nežiaduce účinky týkajúce sa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založené na informáciách dostupných verejne. Frekvencie výskytu nežiaducich udalostí sa môžu zvýšiť, keď sa používa kombinovaná liečba.</w:t>
      </w:r>
    </w:p>
    <w:p w14:paraId="240E3A5E" w14:textId="77777777" w:rsidR="00DD584D" w:rsidRPr="001575C3" w:rsidRDefault="00DD584D" w:rsidP="001575C3">
      <w:pPr>
        <w:ind w:left="-5" w:right="38"/>
        <w:jc w:val="left"/>
        <w:rPr>
          <w:sz w:val="22"/>
        </w:rPr>
      </w:pPr>
    </w:p>
    <w:p w14:paraId="3D5940B7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Frekvencia výskytu nežiaducich reakcií zistených v klinických skúšaniach:</w:t>
      </w:r>
    </w:p>
    <w:p w14:paraId="40EDBAEC" w14:textId="77777777" w:rsidR="00173E94" w:rsidRPr="001575C3" w:rsidRDefault="00173E94" w:rsidP="001575C3">
      <w:pPr>
        <w:jc w:val="left"/>
        <w:rPr>
          <w:sz w:val="22"/>
        </w:rPr>
      </w:pPr>
    </w:p>
    <w:p w14:paraId="24147C35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Časté ≥ 1/100 až &lt; 1/10, menej časté ≥ 1/1 000 až &lt; 1/100, zriedkavé ≥ 1/10 000 až &lt; 1/1 000, veľmi zriedkavé &lt; 1/10 000. V rámci jednotlivých skupín frekvencií výskytu sú nežiaduce účinky usporiadané v poradí klesajúcej závažnosti.</w:t>
      </w:r>
    </w:p>
    <w:p w14:paraId="74C9CF7E" w14:textId="178A216B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tbl>
      <w:tblPr>
        <w:tblW w:w="9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417"/>
        <w:gridCol w:w="1418"/>
        <w:gridCol w:w="1809"/>
      </w:tblGrid>
      <w:tr w:rsidR="00173E94" w:rsidRPr="001575C3" w14:paraId="3E3F9511" w14:textId="77777777" w:rsidTr="00AB3CC7">
        <w:trPr>
          <w:trHeight w:val="283"/>
          <w:tblHeader/>
        </w:trPr>
        <w:tc>
          <w:tcPr>
            <w:tcW w:w="1985" w:type="dxa"/>
            <w:tcBorders>
              <w:bottom w:val="single" w:sz="4" w:space="0" w:color="auto"/>
            </w:tcBorders>
          </w:tcPr>
          <w:p w14:paraId="62AB26CD" w14:textId="77777777" w:rsidR="00173E94" w:rsidRPr="001575C3" w:rsidRDefault="00173E94" w:rsidP="001575C3">
            <w:pPr>
              <w:jc w:val="left"/>
              <w:rPr>
                <w:b/>
                <w:bCs/>
                <w:iCs/>
                <w:sz w:val="22"/>
              </w:rPr>
            </w:pPr>
            <w:r w:rsidRPr="001575C3">
              <w:rPr>
                <w:b/>
                <w:bCs/>
                <w:iCs/>
                <w:sz w:val="22"/>
              </w:rPr>
              <w:t>Trieda orgánových systémov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FC845A" w14:textId="77777777" w:rsidR="00173E94" w:rsidRPr="001575C3" w:rsidRDefault="00173E94" w:rsidP="001575C3">
            <w:pPr>
              <w:jc w:val="left"/>
              <w:rPr>
                <w:b/>
                <w:bCs/>
                <w:iCs/>
                <w:sz w:val="22"/>
              </w:rPr>
            </w:pPr>
            <w:r w:rsidRPr="001575C3">
              <w:rPr>
                <w:b/>
                <w:bCs/>
                <w:iCs/>
                <w:sz w:val="22"/>
              </w:rPr>
              <w:t>Nežiaduce reakcie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6E5088" w14:textId="77777777" w:rsidR="00173E94" w:rsidRPr="001575C3" w:rsidRDefault="00173E94" w:rsidP="001575C3">
            <w:pPr>
              <w:jc w:val="left"/>
              <w:rPr>
                <w:b/>
                <w:bCs/>
                <w:iCs/>
                <w:sz w:val="22"/>
              </w:rPr>
            </w:pPr>
            <w:proofErr w:type="spellStart"/>
            <w:r w:rsidRPr="001575C3">
              <w:rPr>
                <w:b/>
                <w:bCs/>
                <w:iCs/>
                <w:sz w:val="22"/>
              </w:rPr>
              <w:t>Dutasterid</w:t>
            </w:r>
            <w:proofErr w:type="spellEnd"/>
            <w:r w:rsidRPr="001575C3">
              <w:rPr>
                <w:b/>
                <w:bCs/>
                <w:iCs/>
                <w:sz w:val="22"/>
              </w:rPr>
              <w:t>+</w:t>
            </w:r>
          </w:p>
          <w:p w14:paraId="37143119" w14:textId="77777777" w:rsidR="00173E94" w:rsidRPr="001575C3" w:rsidRDefault="00173E94" w:rsidP="001575C3">
            <w:pPr>
              <w:jc w:val="left"/>
              <w:rPr>
                <w:b/>
                <w:bCs/>
                <w:iCs/>
                <w:sz w:val="22"/>
              </w:rPr>
            </w:pPr>
            <w:proofErr w:type="spellStart"/>
            <w:r w:rsidRPr="001575C3">
              <w:rPr>
                <w:b/>
                <w:bCs/>
                <w:iCs/>
                <w:sz w:val="22"/>
              </w:rPr>
              <w:t>tamsulozín</w:t>
            </w:r>
            <w:r w:rsidRPr="001575C3">
              <w:rPr>
                <w:b/>
                <w:bCs/>
                <w:iCs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AC4EB2" w14:textId="77777777" w:rsidR="00173E94" w:rsidRPr="001575C3" w:rsidRDefault="00173E94" w:rsidP="001575C3">
            <w:pPr>
              <w:jc w:val="left"/>
              <w:rPr>
                <w:b/>
                <w:bCs/>
                <w:iCs/>
                <w:sz w:val="22"/>
              </w:rPr>
            </w:pPr>
            <w:proofErr w:type="spellStart"/>
            <w:r w:rsidRPr="001575C3">
              <w:rPr>
                <w:b/>
                <w:bCs/>
                <w:iCs/>
                <w:sz w:val="22"/>
              </w:rPr>
              <w:t>Dutasterid</w:t>
            </w:r>
            <w:proofErr w:type="spell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953C880" w14:textId="77777777" w:rsidR="00173E94" w:rsidRPr="001575C3" w:rsidRDefault="00173E94" w:rsidP="001575C3">
            <w:pPr>
              <w:jc w:val="left"/>
              <w:rPr>
                <w:b/>
                <w:bCs/>
                <w:iCs/>
                <w:sz w:val="22"/>
              </w:rPr>
            </w:pPr>
            <w:proofErr w:type="spellStart"/>
            <w:r w:rsidRPr="001575C3">
              <w:rPr>
                <w:b/>
                <w:bCs/>
                <w:iCs/>
                <w:sz w:val="22"/>
              </w:rPr>
              <w:t>Tamsulozín</w:t>
            </w:r>
            <w:r w:rsidRPr="001575C3">
              <w:rPr>
                <w:b/>
                <w:bCs/>
                <w:iCs/>
                <w:sz w:val="22"/>
                <w:vertAlign w:val="superscript"/>
              </w:rPr>
              <w:t>c</w:t>
            </w:r>
            <w:proofErr w:type="spellEnd"/>
          </w:p>
        </w:tc>
      </w:tr>
      <w:tr w:rsidR="00173E94" w:rsidRPr="001575C3" w14:paraId="6F03B884" w14:textId="77777777" w:rsidTr="00AB3CC7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67A5B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Poruchy nervového systému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2D0ABFB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</w:rPr>
              <w:t>Synkopa</w:t>
            </w:r>
          </w:p>
        </w:tc>
        <w:tc>
          <w:tcPr>
            <w:tcW w:w="1417" w:type="dxa"/>
          </w:tcPr>
          <w:p w14:paraId="0A629B7F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03F40C6A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-</w:t>
            </w:r>
          </w:p>
        </w:tc>
        <w:tc>
          <w:tcPr>
            <w:tcW w:w="1809" w:type="dxa"/>
          </w:tcPr>
          <w:p w14:paraId="448CF79A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Zriedkavé</w:t>
            </w:r>
          </w:p>
        </w:tc>
      </w:tr>
      <w:tr w:rsidR="00173E94" w:rsidRPr="001575C3" w14:paraId="5310C483" w14:textId="77777777" w:rsidTr="00AB3CC7">
        <w:trPr>
          <w:trHeight w:val="2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A9D88" w14:textId="77777777" w:rsidR="00173E94" w:rsidRPr="001575C3" w:rsidRDefault="00173E94" w:rsidP="001575C3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40A54BC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1575C3">
              <w:rPr>
                <w:sz w:val="22"/>
              </w:rPr>
              <w:t>Závrat</w:t>
            </w:r>
          </w:p>
        </w:tc>
        <w:tc>
          <w:tcPr>
            <w:tcW w:w="1417" w:type="dxa"/>
          </w:tcPr>
          <w:p w14:paraId="1B615A2F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Časté</w:t>
            </w:r>
          </w:p>
        </w:tc>
        <w:tc>
          <w:tcPr>
            <w:tcW w:w="1418" w:type="dxa"/>
          </w:tcPr>
          <w:p w14:paraId="00CD8529" w14:textId="77777777" w:rsidR="00173E94" w:rsidRPr="001575C3" w:rsidRDefault="00173E94" w:rsidP="001575C3">
            <w:pPr>
              <w:jc w:val="left"/>
              <w:rPr>
                <w:sz w:val="22"/>
              </w:rPr>
            </w:pPr>
          </w:p>
        </w:tc>
        <w:tc>
          <w:tcPr>
            <w:tcW w:w="1809" w:type="dxa"/>
          </w:tcPr>
          <w:p w14:paraId="677A1F54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Časté</w:t>
            </w:r>
          </w:p>
        </w:tc>
      </w:tr>
      <w:tr w:rsidR="00173E94" w:rsidRPr="001575C3" w14:paraId="6B263C0F" w14:textId="77777777" w:rsidTr="00AB3CC7">
        <w:trPr>
          <w:trHeight w:val="283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4FC994" w14:textId="77777777" w:rsidR="00173E94" w:rsidRPr="001575C3" w:rsidRDefault="00173E94" w:rsidP="001575C3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0F51380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1575C3">
              <w:rPr>
                <w:sz w:val="22"/>
              </w:rPr>
              <w:t>Bolesť hlavy</w:t>
            </w:r>
          </w:p>
        </w:tc>
        <w:tc>
          <w:tcPr>
            <w:tcW w:w="1417" w:type="dxa"/>
          </w:tcPr>
          <w:p w14:paraId="74F9DC14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307CEF84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-</w:t>
            </w:r>
          </w:p>
        </w:tc>
        <w:tc>
          <w:tcPr>
            <w:tcW w:w="1809" w:type="dxa"/>
          </w:tcPr>
          <w:p w14:paraId="43FD655B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2D491845" w14:textId="77777777" w:rsidTr="00AB3CC7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AE9C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</w:rPr>
              <w:t>Poruchy srdca a srdcovej činnosti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D4791DF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  <w:lang w:eastAsia="en-GB"/>
              </w:rPr>
              <w:t>Srdcové zlyhávanie (kombinovaný termín</w:t>
            </w:r>
            <w:r w:rsidRPr="001575C3">
              <w:rPr>
                <w:sz w:val="22"/>
                <w:vertAlign w:val="superscript"/>
                <w:lang w:eastAsia="en-GB"/>
              </w:rPr>
              <w:t>1</w:t>
            </w:r>
            <w:r w:rsidRPr="001575C3">
              <w:rPr>
                <w:sz w:val="22"/>
                <w:lang w:eastAsia="en-GB"/>
              </w:rPr>
              <w:t>)</w:t>
            </w:r>
          </w:p>
        </w:tc>
        <w:tc>
          <w:tcPr>
            <w:tcW w:w="1417" w:type="dxa"/>
          </w:tcPr>
          <w:p w14:paraId="4DB3E74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</w:rPr>
              <w:t>Menej časté</w:t>
            </w:r>
          </w:p>
        </w:tc>
        <w:tc>
          <w:tcPr>
            <w:tcW w:w="1418" w:type="dxa"/>
          </w:tcPr>
          <w:p w14:paraId="09BCBC1B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</w:rPr>
              <w:t xml:space="preserve">Menej </w:t>
            </w:r>
            <w:proofErr w:type="spellStart"/>
            <w:r w:rsidRPr="001575C3">
              <w:rPr>
                <w:sz w:val="22"/>
              </w:rPr>
              <w:t>časté</w:t>
            </w:r>
            <w:r w:rsidRPr="001575C3">
              <w:rPr>
                <w:sz w:val="22"/>
                <w:vertAlign w:val="superscript"/>
              </w:rPr>
              <w:t>d</w:t>
            </w:r>
            <w:proofErr w:type="spellEnd"/>
          </w:p>
        </w:tc>
        <w:tc>
          <w:tcPr>
            <w:tcW w:w="1809" w:type="dxa"/>
          </w:tcPr>
          <w:p w14:paraId="28891075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</w:tr>
      <w:tr w:rsidR="00173E94" w:rsidRPr="001575C3" w14:paraId="08633D18" w14:textId="77777777" w:rsidTr="00AB3CC7">
        <w:trPr>
          <w:trHeight w:val="283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34D8A5" w14:textId="77777777" w:rsidR="00173E94" w:rsidRPr="001575C3" w:rsidRDefault="00173E94" w:rsidP="001575C3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E681A04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proofErr w:type="spellStart"/>
            <w:r w:rsidRPr="001575C3">
              <w:rPr>
                <w:sz w:val="22"/>
                <w:lang w:eastAsia="en-GB"/>
              </w:rPr>
              <w:t>Palpitácie</w:t>
            </w:r>
            <w:proofErr w:type="spellEnd"/>
          </w:p>
        </w:tc>
        <w:tc>
          <w:tcPr>
            <w:tcW w:w="1417" w:type="dxa"/>
          </w:tcPr>
          <w:p w14:paraId="0ABAF0C2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40B30C22" w14:textId="77777777" w:rsidR="00173E94" w:rsidRPr="001575C3" w:rsidRDefault="00173E94" w:rsidP="001575C3">
            <w:pPr>
              <w:jc w:val="left"/>
              <w:rPr>
                <w:sz w:val="22"/>
              </w:rPr>
            </w:pPr>
            <w:r w:rsidRPr="001575C3">
              <w:rPr>
                <w:sz w:val="22"/>
              </w:rPr>
              <w:t>-</w:t>
            </w:r>
          </w:p>
        </w:tc>
        <w:tc>
          <w:tcPr>
            <w:tcW w:w="1809" w:type="dxa"/>
          </w:tcPr>
          <w:p w14:paraId="2FE53D0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Menej časté</w:t>
            </w:r>
          </w:p>
        </w:tc>
      </w:tr>
      <w:tr w:rsidR="00173E94" w:rsidRPr="001575C3" w14:paraId="575B0709" w14:textId="77777777" w:rsidTr="00AB3CC7">
        <w:trPr>
          <w:trHeight w:val="283"/>
        </w:trPr>
        <w:tc>
          <w:tcPr>
            <w:tcW w:w="1985" w:type="dxa"/>
          </w:tcPr>
          <w:p w14:paraId="622B6562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Poruchy ciev</w:t>
            </w:r>
          </w:p>
        </w:tc>
        <w:tc>
          <w:tcPr>
            <w:tcW w:w="2410" w:type="dxa"/>
          </w:tcPr>
          <w:p w14:paraId="35DD4C20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sz w:val="22"/>
                <w:lang w:eastAsia="en-GB"/>
              </w:rPr>
              <w:t>Ortostatická</w:t>
            </w:r>
            <w:proofErr w:type="spellEnd"/>
            <w:r w:rsidRPr="001575C3">
              <w:rPr>
                <w:sz w:val="22"/>
                <w:lang w:eastAsia="en-GB"/>
              </w:rPr>
              <w:t xml:space="preserve"> hypotenzia</w:t>
            </w:r>
          </w:p>
        </w:tc>
        <w:tc>
          <w:tcPr>
            <w:tcW w:w="1417" w:type="dxa"/>
          </w:tcPr>
          <w:p w14:paraId="05BE3435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6CE57ACA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3AA497A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104793C9" w14:textId="77777777" w:rsidTr="00AB3CC7">
        <w:trPr>
          <w:trHeight w:val="283"/>
        </w:trPr>
        <w:tc>
          <w:tcPr>
            <w:tcW w:w="1985" w:type="dxa"/>
          </w:tcPr>
          <w:p w14:paraId="5A29B98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Poruchy dýchacej sústavy, hrudníka a </w:t>
            </w:r>
            <w:proofErr w:type="spellStart"/>
            <w:r w:rsidRPr="001575C3">
              <w:rPr>
                <w:bCs/>
                <w:iCs/>
                <w:sz w:val="22"/>
              </w:rPr>
              <w:t>mediastína</w:t>
            </w:r>
            <w:proofErr w:type="spellEnd"/>
          </w:p>
        </w:tc>
        <w:tc>
          <w:tcPr>
            <w:tcW w:w="2410" w:type="dxa"/>
          </w:tcPr>
          <w:p w14:paraId="0DBFB1BC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sz w:val="22"/>
                <w:lang w:eastAsia="en-GB"/>
              </w:rPr>
              <w:t>Rinitída</w:t>
            </w:r>
            <w:proofErr w:type="spellEnd"/>
          </w:p>
        </w:tc>
        <w:tc>
          <w:tcPr>
            <w:tcW w:w="1417" w:type="dxa"/>
          </w:tcPr>
          <w:p w14:paraId="0E124188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6D68B5C7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6512760C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31938181" w14:textId="77777777" w:rsidTr="00AB3CC7">
        <w:trPr>
          <w:trHeight w:val="283"/>
        </w:trPr>
        <w:tc>
          <w:tcPr>
            <w:tcW w:w="1985" w:type="dxa"/>
            <w:vMerge w:val="restart"/>
          </w:tcPr>
          <w:p w14:paraId="24FD4F4D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 xml:space="preserve">Poruchy </w:t>
            </w:r>
            <w:proofErr w:type="spellStart"/>
            <w:r w:rsidRPr="001575C3">
              <w:rPr>
                <w:bCs/>
                <w:iCs/>
                <w:sz w:val="22"/>
              </w:rPr>
              <w:t>gastrointestinál-neho</w:t>
            </w:r>
            <w:proofErr w:type="spellEnd"/>
            <w:r w:rsidRPr="001575C3">
              <w:rPr>
                <w:bCs/>
                <w:iCs/>
                <w:sz w:val="22"/>
              </w:rPr>
              <w:t xml:space="preserve"> traktu</w:t>
            </w:r>
          </w:p>
        </w:tc>
        <w:tc>
          <w:tcPr>
            <w:tcW w:w="2410" w:type="dxa"/>
          </w:tcPr>
          <w:p w14:paraId="24D8092D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  <w:lang w:eastAsia="en-GB"/>
              </w:rPr>
              <w:t>Zápcha</w:t>
            </w:r>
          </w:p>
        </w:tc>
        <w:tc>
          <w:tcPr>
            <w:tcW w:w="1417" w:type="dxa"/>
          </w:tcPr>
          <w:p w14:paraId="0EE4D2C6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7B76BE15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156728C3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288B0B84" w14:textId="77777777" w:rsidTr="00AB3CC7">
        <w:trPr>
          <w:trHeight w:val="283"/>
        </w:trPr>
        <w:tc>
          <w:tcPr>
            <w:tcW w:w="1985" w:type="dxa"/>
            <w:vMerge/>
          </w:tcPr>
          <w:p w14:paraId="02DC0257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4D527A3A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  <w:lang w:eastAsia="en-GB"/>
              </w:rPr>
              <w:t>Hnačka</w:t>
            </w:r>
          </w:p>
        </w:tc>
        <w:tc>
          <w:tcPr>
            <w:tcW w:w="1417" w:type="dxa"/>
          </w:tcPr>
          <w:p w14:paraId="7027ECDE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46B703C6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761897F8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53962998" w14:textId="77777777" w:rsidTr="00AB3CC7">
        <w:trPr>
          <w:trHeight w:val="283"/>
        </w:trPr>
        <w:tc>
          <w:tcPr>
            <w:tcW w:w="1985" w:type="dxa"/>
            <w:vMerge/>
          </w:tcPr>
          <w:p w14:paraId="79459BB2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7E72E635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proofErr w:type="spellStart"/>
            <w:r w:rsidRPr="001575C3">
              <w:rPr>
                <w:sz w:val="22"/>
                <w:lang w:eastAsia="en-GB"/>
              </w:rPr>
              <w:t>Nauzea</w:t>
            </w:r>
            <w:proofErr w:type="spellEnd"/>
          </w:p>
        </w:tc>
        <w:tc>
          <w:tcPr>
            <w:tcW w:w="1417" w:type="dxa"/>
          </w:tcPr>
          <w:p w14:paraId="18F68AD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45396998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4694BFFD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3BCD56DE" w14:textId="77777777" w:rsidTr="00AB3CC7">
        <w:trPr>
          <w:trHeight w:val="283"/>
        </w:trPr>
        <w:tc>
          <w:tcPr>
            <w:tcW w:w="1985" w:type="dxa"/>
            <w:vMerge/>
          </w:tcPr>
          <w:p w14:paraId="42C6A082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59087178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  <w:lang w:eastAsia="en-GB"/>
              </w:rPr>
              <w:t>Vracanie</w:t>
            </w:r>
          </w:p>
        </w:tc>
        <w:tc>
          <w:tcPr>
            <w:tcW w:w="1417" w:type="dxa"/>
          </w:tcPr>
          <w:p w14:paraId="33F5E50E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7B612977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5980C333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</w:rPr>
              <w:t>Menej časté</w:t>
            </w:r>
          </w:p>
        </w:tc>
      </w:tr>
      <w:tr w:rsidR="00173E94" w:rsidRPr="001575C3" w14:paraId="37B4A163" w14:textId="77777777" w:rsidTr="00AB3CC7">
        <w:trPr>
          <w:trHeight w:val="283"/>
        </w:trPr>
        <w:tc>
          <w:tcPr>
            <w:tcW w:w="1985" w:type="dxa"/>
            <w:vMerge w:val="restart"/>
          </w:tcPr>
          <w:p w14:paraId="4F8A463C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lastRenderedPageBreak/>
              <w:t>Poruchy kože a podkožného tkaniva</w:t>
            </w:r>
          </w:p>
        </w:tc>
        <w:tc>
          <w:tcPr>
            <w:tcW w:w="2410" w:type="dxa"/>
          </w:tcPr>
          <w:p w14:paraId="06B53F7F" w14:textId="77777777" w:rsidR="00173E94" w:rsidRPr="001575C3" w:rsidRDefault="00173E94" w:rsidP="001575C3">
            <w:pPr>
              <w:keepNext/>
              <w:keepLines/>
              <w:tabs>
                <w:tab w:val="right" w:pos="2429"/>
              </w:tabs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sz w:val="22"/>
                <w:lang w:eastAsia="en-GB"/>
              </w:rPr>
              <w:t>Angioedém</w:t>
            </w:r>
            <w:proofErr w:type="spellEnd"/>
          </w:p>
        </w:tc>
        <w:tc>
          <w:tcPr>
            <w:tcW w:w="1417" w:type="dxa"/>
          </w:tcPr>
          <w:p w14:paraId="72519A7D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3FA0A5D2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11063F3C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Zriedkavé</w:t>
            </w:r>
          </w:p>
        </w:tc>
      </w:tr>
      <w:tr w:rsidR="00173E94" w:rsidRPr="001575C3" w14:paraId="487BBE1C" w14:textId="77777777" w:rsidTr="00AB3CC7">
        <w:trPr>
          <w:trHeight w:val="283"/>
        </w:trPr>
        <w:tc>
          <w:tcPr>
            <w:tcW w:w="1985" w:type="dxa"/>
            <w:vMerge/>
          </w:tcPr>
          <w:p w14:paraId="27A01C79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447108B3" w14:textId="77777777" w:rsidR="00173E94" w:rsidRPr="001575C3" w:rsidRDefault="00173E94" w:rsidP="001575C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proofErr w:type="spellStart"/>
            <w:r w:rsidRPr="001575C3">
              <w:rPr>
                <w:sz w:val="22"/>
                <w:lang w:eastAsia="en-GB"/>
              </w:rPr>
              <w:t>Stevensov</w:t>
            </w:r>
            <w:r w:rsidRPr="001575C3">
              <w:rPr>
                <w:sz w:val="22"/>
                <w:lang w:eastAsia="en-GB"/>
              </w:rPr>
              <w:noBreakHyphen/>
              <w:t>Johnsonov</w:t>
            </w:r>
            <w:proofErr w:type="spellEnd"/>
            <w:r w:rsidRPr="001575C3">
              <w:rPr>
                <w:sz w:val="22"/>
                <w:lang w:eastAsia="en-GB"/>
              </w:rPr>
              <w:t xml:space="preserve"> syndróm</w:t>
            </w:r>
          </w:p>
        </w:tc>
        <w:tc>
          <w:tcPr>
            <w:tcW w:w="1417" w:type="dxa"/>
          </w:tcPr>
          <w:p w14:paraId="3F67A474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061CBF6D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17E85E70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Veľmi zriedkavé</w:t>
            </w:r>
          </w:p>
        </w:tc>
      </w:tr>
      <w:tr w:rsidR="00173E94" w:rsidRPr="001575C3" w14:paraId="426DC42C" w14:textId="77777777" w:rsidTr="00AB3CC7">
        <w:trPr>
          <w:trHeight w:val="283"/>
        </w:trPr>
        <w:tc>
          <w:tcPr>
            <w:tcW w:w="1985" w:type="dxa"/>
            <w:vMerge/>
          </w:tcPr>
          <w:p w14:paraId="4E3926B1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018E2B12" w14:textId="77777777" w:rsidR="00173E94" w:rsidRPr="001575C3" w:rsidRDefault="00173E94" w:rsidP="001575C3">
            <w:pPr>
              <w:keepNext/>
              <w:keepLines/>
              <w:tabs>
                <w:tab w:val="right" w:pos="2429"/>
              </w:tabs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proofErr w:type="spellStart"/>
            <w:r w:rsidRPr="001575C3">
              <w:rPr>
                <w:sz w:val="22"/>
                <w:lang w:eastAsia="en-GB"/>
              </w:rPr>
              <w:t>Urtikária</w:t>
            </w:r>
            <w:proofErr w:type="spellEnd"/>
          </w:p>
        </w:tc>
        <w:tc>
          <w:tcPr>
            <w:tcW w:w="1417" w:type="dxa"/>
          </w:tcPr>
          <w:p w14:paraId="4617120D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7E1C659F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22737575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Menej časté</w:t>
            </w:r>
          </w:p>
        </w:tc>
      </w:tr>
      <w:tr w:rsidR="00173E94" w:rsidRPr="001575C3" w14:paraId="2C457B96" w14:textId="77777777" w:rsidTr="00AB3CC7">
        <w:trPr>
          <w:trHeight w:val="283"/>
        </w:trPr>
        <w:tc>
          <w:tcPr>
            <w:tcW w:w="1985" w:type="dxa"/>
            <w:vMerge/>
          </w:tcPr>
          <w:p w14:paraId="080BAE72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432FF274" w14:textId="77777777" w:rsidR="00173E94" w:rsidRPr="001575C3" w:rsidRDefault="00173E94" w:rsidP="001575C3">
            <w:pPr>
              <w:keepNext/>
              <w:keepLines/>
              <w:tabs>
                <w:tab w:val="right" w:pos="2429"/>
              </w:tabs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  <w:lang w:eastAsia="en-GB"/>
              </w:rPr>
              <w:t>Vyrážka</w:t>
            </w:r>
          </w:p>
        </w:tc>
        <w:tc>
          <w:tcPr>
            <w:tcW w:w="1417" w:type="dxa"/>
          </w:tcPr>
          <w:p w14:paraId="217517F8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2425580B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47AF5465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Menej časté</w:t>
            </w:r>
          </w:p>
        </w:tc>
      </w:tr>
      <w:tr w:rsidR="00173E94" w:rsidRPr="001575C3" w14:paraId="0196595C" w14:textId="77777777" w:rsidTr="00AB3CC7">
        <w:trPr>
          <w:trHeight w:val="283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0A2FB9E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</w:p>
        </w:tc>
        <w:tc>
          <w:tcPr>
            <w:tcW w:w="2410" w:type="dxa"/>
          </w:tcPr>
          <w:p w14:paraId="079B92E0" w14:textId="77777777" w:rsidR="00173E94" w:rsidRPr="001575C3" w:rsidRDefault="00173E94" w:rsidP="001575C3">
            <w:pPr>
              <w:keepNext/>
              <w:keepLines/>
              <w:tabs>
                <w:tab w:val="right" w:pos="2429"/>
              </w:tabs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proofErr w:type="spellStart"/>
            <w:r w:rsidRPr="001575C3">
              <w:rPr>
                <w:sz w:val="22"/>
                <w:lang w:eastAsia="en-GB"/>
              </w:rPr>
              <w:t>Pruritus</w:t>
            </w:r>
            <w:proofErr w:type="spellEnd"/>
          </w:p>
        </w:tc>
        <w:tc>
          <w:tcPr>
            <w:tcW w:w="1417" w:type="dxa"/>
          </w:tcPr>
          <w:p w14:paraId="765E50DF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1B517AE1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1FE3CF59" w14:textId="77777777" w:rsidR="00173E94" w:rsidRPr="001575C3" w:rsidRDefault="00173E94" w:rsidP="001575C3">
            <w:pPr>
              <w:keepNext/>
              <w:keepLines/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Menej časté</w:t>
            </w:r>
          </w:p>
        </w:tc>
      </w:tr>
      <w:tr w:rsidR="00173E94" w:rsidRPr="001575C3" w14:paraId="1A422247" w14:textId="77777777" w:rsidTr="00AB3CC7">
        <w:trPr>
          <w:trHeight w:val="283"/>
        </w:trPr>
        <w:tc>
          <w:tcPr>
            <w:tcW w:w="1985" w:type="dxa"/>
            <w:vMerge w:val="restart"/>
          </w:tcPr>
          <w:p w14:paraId="7FEED198" w14:textId="77777777" w:rsidR="00173E94" w:rsidRPr="001575C3" w:rsidRDefault="00173E94" w:rsidP="001575C3">
            <w:pPr>
              <w:keepNext/>
              <w:keepLines/>
              <w:tabs>
                <w:tab w:val="left" w:pos="162"/>
              </w:tabs>
              <w:jc w:val="left"/>
              <w:rPr>
                <w:snapToGrid w:val="0"/>
                <w:sz w:val="22"/>
              </w:rPr>
            </w:pPr>
            <w:r w:rsidRPr="001575C3">
              <w:rPr>
                <w:bCs/>
                <w:sz w:val="22"/>
              </w:rPr>
              <w:t>Poruchy reprodukčného systému a prsníkov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EBB6C0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sz w:val="22"/>
                <w:lang w:eastAsia="en-GB"/>
              </w:rPr>
              <w:t>Priapizmus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CE8C6F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26EE705E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24598B4F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Veľmi zriedkavé</w:t>
            </w:r>
          </w:p>
        </w:tc>
      </w:tr>
      <w:tr w:rsidR="00173E94" w:rsidRPr="001575C3" w14:paraId="1448B121" w14:textId="77777777" w:rsidTr="00AB3CC7">
        <w:trPr>
          <w:trHeight w:val="283"/>
        </w:trPr>
        <w:tc>
          <w:tcPr>
            <w:tcW w:w="1985" w:type="dxa"/>
            <w:vMerge/>
          </w:tcPr>
          <w:p w14:paraId="7629C9B1" w14:textId="77777777" w:rsidR="00173E94" w:rsidRPr="001575C3" w:rsidRDefault="00173E94" w:rsidP="001575C3">
            <w:pPr>
              <w:keepNext/>
              <w:keepLines/>
              <w:tabs>
                <w:tab w:val="left" w:pos="162"/>
              </w:tabs>
              <w:jc w:val="left"/>
              <w:rPr>
                <w:snapToGrid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2B8B94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vertAlign w:val="superscript"/>
                <w:lang w:eastAsia="en-GB"/>
              </w:rPr>
            </w:pPr>
            <w:r w:rsidRPr="001575C3">
              <w:rPr>
                <w:bCs/>
                <w:iCs/>
                <w:sz w:val="22"/>
              </w:rPr>
              <w:t>Impotencia</w:t>
            </w:r>
            <w:r w:rsidRPr="001575C3">
              <w:rPr>
                <w:bCs/>
                <w:iCs/>
                <w:sz w:val="22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968567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Časté</w:t>
            </w:r>
          </w:p>
        </w:tc>
        <w:tc>
          <w:tcPr>
            <w:tcW w:w="1418" w:type="dxa"/>
          </w:tcPr>
          <w:p w14:paraId="4288BC0D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bCs/>
                <w:iCs/>
                <w:sz w:val="22"/>
              </w:rPr>
              <w:t>Časté</w:t>
            </w:r>
            <w:r w:rsidRPr="001575C3">
              <w:rPr>
                <w:bCs/>
                <w:iCs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809" w:type="dxa"/>
          </w:tcPr>
          <w:p w14:paraId="12A30D7A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</w:tr>
      <w:tr w:rsidR="00173E94" w:rsidRPr="001575C3" w14:paraId="28DB6858" w14:textId="77777777" w:rsidTr="00AB3CC7">
        <w:trPr>
          <w:trHeight w:val="283"/>
        </w:trPr>
        <w:tc>
          <w:tcPr>
            <w:tcW w:w="1985" w:type="dxa"/>
            <w:vMerge/>
          </w:tcPr>
          <w:p w14:paraId="43BFEE1E" w14:textId="77777777" w:rsidR="00173E94" w:rsidRPr="001575C3" w:rsidRDefault="00173E94" w:rsidP="001575C3">
            <w:pPr>
              <w:keepNext/>
              <w:keepLines/>
              <w:tabs>
                <w:tab w:val="left" w:pos="162"/>
              </w:tabs>
              <w:jc w:val="left"/>
              <w:rPr>
                <w:snapToGrid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1ED867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  <w:vertAlign w:val="superscript"/>
              </w:rPr>
            </w:pPr>
            <w:r w:rsidRPr="001575C3">
              <w:rPr>
                <w:sz w:val="22"/>
                <w:lang w:eastAsia="en-GB"/>
              </w:rPr>
              <w:t>Zmenené (znížené) libido</w:t>
            </w:r>
            <w:r w:rsidRPr="001575C3">
              <w:rPr>
                <w:sz w:val="22"/>
                <w:vertAlign w:val="superscript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60C9A5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Časté</w:t>
            </w:r>
          </w:p>
        </w:tc>
        <w:tc>
          <w:tcPr>
            <w:tcW w:w="1418" w:type="dxa"/>
          </w:tcPr>
          <w:p w14:paraId="4B24C42A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bCs/>
                <w:iCs/>
                <w:sz w:val="22"/>
              </w:rPr>
              <w:t>Časté</w:t>
            </w:r>
            <w:r w:rsidRPr="001575C3">
              <w:rPr>
                <w:bCs/>
                <w:iCs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809" w:type="dxa"/>
          </w:tcPr>
          <w:p w14:paraId="5C86579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</w:tr>
      <w:tr w:rsidR="00173E94" w:rsidRPr="001575C3" w14:paraId="05011B0A" w14:textId="77777777" w:rsidTr="00AB3CC7">
        <w:trPr>
          <w:trHeight w:val="283"/>
        </w:trPr>
        <w:tc>
          <w:tcPr>
            <w:tcW w:w="1985" w:type="dxa"/>
            <w:vMerge/>
          </w:tcPr>
          <w:p w14:paraId="043EB0B2" w14:textId="77777777" w:rsidR="00173E94" w:rsidRPr="001575C3" w:rsidRDefault="00173E94" w:rsidP="001575C3">
            <w:pPr>
              <w:keepNext/>
              <w:keepLines/>
              <w:tabs>
                <w:tab w:val="left" w:pos="162"/>
              </w:tabs>
              <w:jc w:val="left"/>
              <w:rPr>
                <w:snapToGrid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0D3D08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2"/>
                <w:vertAlign w:val="superscript"/>
              </w:rPr>
            </w:pPr>
            <w:r w:rsidRPr="001575C3">
              <w:rPr>
                <w:sz w:val="22"/>
                <w:lang w:eastAsia="en-GB"/>
              </w:rPr>
              <w:t>Poruchy ejakulácie</w:t>
            </w:r>
            <w:r w:rsidRPr="001575C3">
              <w:rPr>
                <w:sz w:val="22"/>
                <w:vertAlign w:val="superscript"/>
                <w:lang w:eastAsia="en-GB"/>
              </w:rPr>
              <w:t>3</w:t>
            </w:r>
            <w:r w:rsidRPr="001575C3">
              <w:rPr>
                <w:iCs/>
                <w:sz w:val="22"/>
                <w:vertAlign w:val="superscript"/>
              </w:rPr>
              <w:t>^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EB47BB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Časté</w:t>
            </w:r>
          </w:p>
        </w:tc>
        <w:tc>
          <w:tcPr>
            <w:tcW w:w="1418" w:type="dxa"/>
          </w:tcPr>
          <w:p w14:paraId="6F2B9318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bCs/>
                <w:iCs/>
                <w:sz w:val="22"/>
              </w:rPr>
              <w:t>Časté</w:t>
            </w:r>
            <w:r w:rsidRPr="001575C3">
              <w:rPr>
                <w:bCs/>
                <w:iCs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809" w:type="dxa"/>
          </w:tcPr>
          <w:p w14:paraId="75B6E877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Časté</w:t>
            </w:r>
          </w:p>
        </w:tc>
      </w:tr>
      <w:tr w:rsidR="00173E94" w:rsidRPr="001575C3" w14:paraId="2398BFF1" w14:textId="77777777" w:rsidTr="00AB3CC7">
        <w:trPr>
          <w:trHeight w:val="283"/>
        </w:trPr>
        <w:tc>
          <w:tcPr>
            <w:tcW w:w="1985" w:type="dxa"/>
            <w:vMerge/>
          </w:tcPr>
          <w:p w14:paraId="16770136" w14:textId="77777777" w:rsidR="00173E94" w:rsidRPr="001575C3" w:rsidRDefault="00173E94" w:rsidP="001575C3">
            <w:pPr>
              <w:keepNext/>
              <w:keepLines/>
              <w:tabs>
                <w:tab w:val="left" w:pos="162"/>
              </w:tabs>
              <w:jc w:val="left"/>
              <w:rPr>
                <w:snapToGrid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763F65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  <w:lang w:eastAsia="en-GB"/>
              </w:rPr>
              <w:t>Poruchy prsníkov</w:t>
            </w:r>
            <w:r w:rsidRPr="001575C3">
              <w:rPr>
                <w:sz w:val="22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6AEA2C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Časté</w:t>
            </w:r>
          </w:p>
        </w:tc>
        <w:tc>
          <w:tcPr>
            <w:tcW w:w="1418" w:type="dxa"/>
          </w:tcPr>
          <w:p w14:paraId="25A663CA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proofErr w:type="spellStart"/>
            <w:r w:rsidRPr="001575C3">
              <w:rPr>
                <w:bCs/>
                <w:iCs/>
                <w:sz w:val="22"/>
              </w:rPr>
              <w:t>Časté</w:t>
            </w:r>
            <w:r w:rsidRPr="001575C3">
              <w:rPr>
                <w:bCs/>
                <w:iCs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809" w:type="dxa"/>
          </w:tcPr>
          <w:p w14:paraId="7B4F12FF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</w:tr>
      <w:tr w:rsidR="00173E94" w:rsidRPr="001575C3" w14:paraId="37D33830" w14:textId="77777777" w:rsidTr="00AB3CC7">
        <w:trPr>
          <w:trHeight w:val="283"/>
        </w:trPr>
        <w:tc>
          <w:tcPr>
            <w:tcW w:w="1985" w:type="dxa"/>
          </w:tcPr>
          <w:p w14:paraId="36084B68" w14:textId="77777777" w:rsidR="00173E94" w:rsidRPr="001575C3" w:rsidRDefault="00173E94" w:rsidP="001575C3">
            <w:pPr>
              <w:keepNext/>
              <w:keepLines/>
              <w:tabs>
                <w:tab w:val="left" w:pos="162"/>
              </w:tabs>
              <w:jc w:val="left"/>
              <w:rPr>
                <w:snapToGrid w:val="0"/>
                <w:sz w:val="22"/>
              </w:rPr>
            </w:pPr>
            <w:r w:rsidRPr="001575C3">
              <w:rPr>
                <w:snapToGrid w:val="0"/>
                <w:sz w:val="22"/>
              </w:rPr>
              <w:t>Celkové poruchy a reakcie v mieste podania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4199DD" w14:textId="77777777" w:rsidR="00173E94" w:rsidRPr="001575C3" w:rsidRDefault="00173E94" w:rsidP="001575C3">
            <w:pPr>
              <w:autoSpaceDE w:val="0"/>
              <w:autoSpaceDN w:val="0"/>
              <w:adjustRightInd w:val="0"/>
              <w:jc w:val="left"/>
              <w:rPr>
                <w:sz w:val="22"/>
                <w:lang w:eastAsia="en-GB"/>
              </w:rPr>
            </w:pPr>
            <w:r w:rsidRPr="001575C3">
              <w:rPr>
                <w:sz w:val="22"/>
                <w:lang w:eastAsia="en-GB"/>
              </w:rPr>
              <w:t>Asténia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B89F42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418" w:type="dxa"/>
          </w:tcPr>
          <w:p w14:paraId="07C27714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-</w:t>
            </w:r>
          </w:p>
        </w:tc>
        <w:tc>
          <w:tcPr>
            <w:tcW w:w="1809" w:type="dxa"/>
          </w:tcPr>
          <w:p w14:paraId="4A5EF469" w14:textId="77777777" w:rsidR="00173E94" w:rsidRPr="001575C3" w:rsidRDefault="00173E94" w:rsidP="001575C3">
            <w:pPr>
              <w:jc w:val="left"/>
              <w:rPr>
                <w:bCs/>
                <w:iCs/>
                <w:sz w:val="22"/>
              </w:rPr>
            </w:pPr>
            <w:r w:rsidRPr="001575C3">
              <w:rPr>
                <w:bCs/>
                <w:iCs/>
                <w:sz w:val="22"/>
              </w:rPr>
              <w:t>Menej časté</w:t>
            </w:r>
          </w:p>
        </w:tc>
      </w:tr>
    </w:tbl>
    <w:p w14:paraId="39F94E45" w14:textId="77777777" w:rsidR="00173E94" w:rsidRPr="001575C3" w:rsidRDefault="00173E9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>a</w:t>
      </w:r>
      <w:r w:rsidRPr="001575C3">
        <w:rPr>
          <w:sz w:val="22"/>
          <w:lang w:eastAsia="en-GB"/>
        </w:rPr>
        <w:t xml:space="preserve"> </w:t>
      </w:r>
      <w:proofErr w:type="spellStart"/>
      <w:r w:rsidRPr="001575C3">
        <w:rPr>
          <w:sz w:val="22"/>
          <w:lang w:eastAsia="en-GB"/>
        </w:rPr>
        <w:t>Dutasterid</w:t>
      </w:r>
      <w:proofErr w:type="spellEnd"/>
      <w:r w:rsidRPr="001575C3">
        <w:rPr>
          <w:sz w:val="22"/>
          <w:lang w:eastAsia="en-GB"/>
        </w:rPr>
        <w:t xml:space="preserve"> + </w:t>
      </w:r>
      <w:proofErr w:type="spellStart"/>
      <w:r w:rsidRPr="001575C3">
        <w:rPr>
          <w:sz w:val="22"/>
          <w:lang w:eastAsia="en-GB"/>
        </w:rPr>
        <w:t>tamsulozín</w:t>
      </w:r>
      <w:proofErr w:type="spellEnd"/>
      <w:r w:rsidRPr="001575C3">
        <w:rPr>
          <w:sz w:val="22"/>
          <w:lang w:eastAsia="en-GB"/>
        </w:rPr>
        <w:t xml:space="preserve">: zo štúdie </w:t>
      </w:r>
      <w:proofErr w:type="spellStart"/>
      <w:r w:rsidRPr="001575C3">
        <w:rPr>
          <w:sz w:val="22"/>
          <w:lang w:eastAsia="en-GB"/>
        </w:rPr>
        <w:t>CombAT</w:t>
      </w:r>
      <w:proofErr w:type="spellEnd"/>
      <w:r w:rsidRPr="001575C3">
        <w:rPr>
          <w:sz w:val="22"/>
          <w:lang w:eastAsia="en-GB"/>
        </w:rPr>
        <w:t> – frekvencie výskytu týchto nežiaducich udalostí sa počas liečby postupom času znižovali, od 1. roku po 4. rok liečby.</w:t>
      </w:r>
    </w:p>
    <w:p w14:paraId="2C3C82C9" w14:textId="77777777" w:rsidR="00173E94" w:rsidRPr="001575C3" w:rsidRDefault="00173E9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>b</w:t>
      </w:r>
      <w:r w:rsidRPr="001575C3">
        <w:rPr>
          <w:sz w:val="22"/>
          <w:lang w:eastAsia="en-GB"/>
        </w:rPr>
        <w:t xml:space="preserve"> </w:t>
      </w:r>
      <w:proofErr w:type="spellStart"/>
      <w:r w:rsidRPr="001575C3">
        <w:rPr>
          <w:sz w:val="22"/>
          <w:lang w:eastAsia="en-GB"/>
        </w:rPr>
        <w:t>Dutasterid</w:t>
      </w:r>
      <w:proofErr w:type="spellEnd"/>
      <w:r w:rsidRPr="001575C3">
        <w:rPr>
          <w:sz w:val="22"/>
          <w:lang w:eastAsia="en-GB"/>
        </w:rPr>
        <w:t xml:space="preserve">: z klinických štúdií </w:t>
      </w:r>
      <w:proofErr w:type="spellStart"/>
      <w:r w:rsidRPr="001575C3">
        <w:rPr>
          <w:sz w:val="22"/>
          <w:lang w:eastAsia="en-GB"/>
        </w:rPr>
        <w:t>monoterapie</w:t>
      </w:r>
      <w:proofErr w:type="spellEnd"/>
      <w:r w:rsidRPr="001575C3">
        <w:rPr>
          <w:sz w:val="22"/>
          <w:lang w:eastAsia="en-GB"/>
        </w:rPr>
        <w:t xml:space="preserve"> BPH.</w:t>
      </w:r>
    </w:p>
    <w:p w14:paraId="28722B11" w14:textId="77777777" w:rsidR="00173E94" w:rsidRPr="001575C3" w:rsidRDefault="00173E9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>c</w:t>
      </w:r>
      <w:r w:rsidRPr="001575C3">
        <w:rPr>
          <w:sz w:val="22"/>
          <w:lang w:eastAsia="en-GB"/>
        </w:rPr>
        <w:t xml:space="preserve"> </w:t>
      </w:r>
      <w:proofErr w:type="spellStart"/>
      <w:r w:rsidRPr="001575C3">
        <w:rPr>
          <w:sz w:val="22"/>
          <w:lang w:eastAsia="en-GB"/>
        </w:rPr>
        <w:t>Tamsulozín</w:t>
      </w:r>
      <w:proofErr w:type="spellEnd"/>
      <w:r w:rsidRPr="001575C3">
        <w:rPr>
          <w:sz w:val="22"/>
          <w:lang w:eastAsia="en-GB"/>
        </w:rPr>
        <w:t xml:space="preserve">: z EÚ hlavného bezpečnostného profilu </w:t>
      </w:r>
      <w:proofErr w:type="spellStart"/>
      <w:r w:rsidRPr="001575C3">
        <w:rPr>
          <w:sz w:val="22"/>
          <w:lang w:eastAsia="en-GB"/>
        </w:rPr>
        <w:t>tamsulozínu</w:t>
      </w:r>
      <w:proofErr w:type="spellEnd"/>
      <w:r w:rsidRPr="001575C3">
        <w:rPr>
          <w:sz w:val="22"/>
          <w:lang w:eastAsia="en-GB"/>
        </w:rPr>
        <w:t>.</w:t>
      </w:r>
    </w:p>
    <w:p w14:paraId="3EEB010B" w14:textId="77777777" w:rsidR="00173E94" w:rsidRPr="001575C3" w:rsidRDefault="00173E9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>d</w:t>
      </w:r>
      <w:r w:rsidRPr="001575C3">
        <w:rPr>
          <w:sz w:val="22"/>
          <w:lang w:eastAsia="en-GB"/>
        </w:rPr>
        <w:t xml:space="preserve"> Štúdia REDUCE (pozri časť 5.1).</w:t>
      </w:r>
    </w:p>
    <w:p w14:paraId="5893E2FA" w14:textId="77777777" w:rsidR="00173E94" w:rsidRPr="001575C3" w:rsidRDefault="00173E94" w:rsidP="001575C3">
      <w:pPr>
        <w:autoSpaceDE w:val="0"/>
        <w:autoSpaceDN w:val="0"/>
        <w:adjustRightInd w:val="0"/>
        <w:jc w:val="left"/>
        <w:rPr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>1</w:t>
      </w:r>
      <w:r w:rsidRPr="001575C3">
        <w:rPr>
          <w:sz w:val="22"/>
          <w:lang w:eastAsia="en-GB"/>
        </w:rPr>
        <w:t xml:space="preserve"> </w:t>
      </w:r>
      <w:r w:rsidRPr="001575C3">
        <w:rPr>
          <w:sz w:val="22"/>
        </w:rPr>
        <w:t xml:space="preserve">Srdcové zlyhávanie ako kombinovaný termín zahŕňalo </w:t>
      </w:r>
      <w:proofErr w:type="spellStart"/>
      <w:r w:rsidRPr="001575C3">
        <w:rPr>
          <w:sz w:val="22"/>
        </w:rPr>
        <w:t>kongestívne</w:t>
      </w:r>
      <w:proofErr w:type="spellEnd"/>
      <w:r w:rsidRPr="001575C3">
        <w:rPr>
          <w:sz w:val="22"/>
        </w:rPr>
        <w:t xml:space="preserve"> srdcové zlyhávanie, srdcové zlyhávanie, zlyhávanie ľavej srdcovej komory, akútne srdcové zlyhávanie, </w:t>
      </w:r>
      <w:proofErr w:type="spellStart"/>
      <w:r w:rsidRPr="001575C3">
        <w:rPr>
          <w:sz w:val="22"/>
        </w:rPr>
        <w:t>kardiogénny</w:t>
      </w:r>
      <w:proofErr w:type="spellEnd"/>
      <w:r w:rsidRPr="001575C3">
        <w:rPr>
          <w:sz w:val="22"/>
        </w:rPr>
        <w:t xml:space="preserve"> šok, akútne zlyhávanie ľavej srdcovej komory, zlyhávanie pravej srdcovej komory, akútne zlyhávanie pravej srdcovej komory, zlyhávanie oboch srdcových komôr, </w:t>
      </w:r>
      <w:proofErr w:type="spellStart"/>
      <w:r w:rsidRPr="001575C3">
        <w:rPr>
          <w:sz w:val="22"/>
        </w:rPr>
        <w:t>kardiopulmonálne</w:t>
      </w:r>
      <w:proofErr w:type="spellEnd"/>
      <w:r w:rsidRPr="001575C3">
        <w:rPr>
          <w:sz w:val="22"/>
        </w:rPr>
        <w:t xml:space="preserve"> zlyhanie, </w:t>
      </w:r>
      <w:proofErr w:type="spellStart"/>
      <w:r w:rsidRPr="001575C3">
        <w:rPr>
          <w:sz w:val="22"/>
        </w:rPr>
        <w:t>kongestívnu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kardiomyopatiu</w:t>
      </w:r>
      <w:proofErr w:type="spellEnd"/>
      <w:r w:rsidRPr="001575C3">
        <w:rPr>
          <w:sz w:val="22"/>
          <w:lang w:eastAsia="en-GB"/>
        </w:rPr>
        <w:t>.</w:t>
      </w:r>
    </w:p>
    <w:p w14:paraId="3C7784CF" w14:textId="77777777" w:rsidR="00173E94" w:rsidRPr="001575C3" w:rsidRDefault="00173E94" w:rsidP="001575C3">
      <w:pPr>
        <w:jc w:val="left"/>
        <w:rPr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 xml:space="preserve">2 </w:t>
      </w:r>
      <w:r w:rsidRPr="001575C3">
        <w:rPr>
          <w:sz w:val="22"/>
          <w:lang w:eastAsia="en-GB"/>
        </w:rPr>
        <w:t>Zahŕňa citlivosť prsníkov a zväčšenie prsníkov.</w:t>
      </w:r>
    </w:p>
    <w:p w14:paraId="502ED9EE" w14:textId="77777777" w:rsidR="00173E94" w:rsidRPr="001575C3" w:rsidRDefault="00173E94" w:rsidP="001575C3">
      <w:pPr>
        <w:jc w:val="left"/>
        <w:rPr>
          <w:iCs/>
          <w:sz w:val="22"/>
          <w:lang w:eastAsia="en-GB"/>
        </w:rPr>
      </w:pPr>
      <w:r w:rsidRPr="001575C3">
        <w:rPr>
          <w:sz w:val="22"/>
          <w:vertAlign w:val="superscript"/>
          <w:lang w:eastAsia="en-GB"/>
        </w:rPr>
        <w:t xml:space="preserve">3 </w:t>
      </w:r>
      <w:r w:rsidRPr="001575C3">
        <w:rPr>
          <w:iCs/>
          <w:sz w:val="22"/>
          <w:lang w:eastAsia="en-GB"/>
        </w:rPr>
        <w:t xml:space="preserve">Tieto sexuálne nežiaduce udalosti súvisia s liečbou </w:t>
      </w:r>
      <w:proofErr w:type="spellStart"/>
      <w:r w:rsidRPr="001575C3">
        <w:rPr>
          <w:iCs/>
          <w:sz w:val="22"/>
          <w:lang w:eastAsia="en-GB"/>
        </w:rPr>
        <w:t>dutasteridom</w:t>
      </w:r>
      <w:proofErr w:type="spellEnd"/>
      <w:r w:rsidRPr="001575C3">
        <w:rPr>
          <w:iCs/>
          <w:sz w:val="22"/>
          <w:lang w:eastAsia="en-GB"/>
        </w:rPr>
        <w:t xml:space="preserve"> (vrátane </w:t>
      </w:r>
      <w:proofErr w:type="spellStart"/>
      <w:r w:rsidRPr="001575C3">
        <w:rPr>
          <w:iCs/>
          <w:sz w:val="22"/>
          <w:lang w:eastAsia="en-GB"/>
        </w:rPr>
        <w:t>monoterapie</w:t>
      </w:r>
      <w:proofErr w:type="spellEnd"/>
      <w:r w:rsidRPr="001575C3">
        <w:rPr>
          <w:iCs/>
          <w:sz w:val="22"/>
          <w:lang w:eastAsia="en-GB"/>
        </w:rPr>
        <w:t xml:space="preserve"> a kombinácie s </w:t>
      </w:r>
      <w:proofErr w:type="spellStart"/>
      <w:r w:rsidRPr="001575C3">
        <w:rPr>
          <w:iCs/>
          <w:sz w:val="22"/>
          <w:lang w:eastAsia="en-GB"/>
        </w:rPr>
        <w:t>tamsulozínom</w:t>
      </w:r>
      <w:proofErr w:type="spellEnd"/>
      <w:r w:rsidRPr="001575C3">
        <w:rPr>
          <w:iCs/>
          <w:sz w:val="22"/>
          <w:lang w:eastAsia="en-GB"/>
        </w:rPr>
        <w:t xml:space="preserve">). Tieto nežiaduce udalosti môžu pretrvávať po ukončení liečby. Úloha </w:t>
      </w:r>
      <w:proofErr w:type="spellStart"/>
      <w:r w:rsidRPr="001575C3">
        <w:rPr>
          <w:iCs/>
          <w:sz w:val="22"/>
          <w:lang w:eastAsia="en-GB"/>
        </w:rPr>
        <w:t>dutasteridu</w:t>
      </w:r>
      <w:proofErr w:type="spellEnd"/>
      <w:r w:rsidRPr="001575C3">
        <w:rPr>
          <w:iCs/>
          <w:sz w:val="22"/>
          <w:lang w:eastAsia="en-GB"/>
        </w:rPr>
        <w:t xml:space="preserve"> pri ich pretrvávaní nie je známa.</w:t>
      </w:r>
    </w:p>
    <w:p w14:paraId="306B6C68" w14:textId="306ECB87" w:rsidR="00173E94" w:rsidRPr="001575C3" w:rsidRDefault="00173E94" w:rsidP="001575C3">
      <w:pPr>
        <w:jc w:val="left"/>
        <w:rPr>
          <w:sz w:val="22"/>
          <w:lang w:eastAsia="en-GB"/>
        </w:rPr>
      </w:pPr>
      <w:r w:rsidRPr="001575C3">
        <w:rPr>
          <w:iCs/>
          <w:sz w:val="22"/>
          <w:vertAlign w:val="superscript"/>
        </w:rPr>
        <w:t>^</w:t>
      </w:r>
      <w:r w:rsidR="00B016AA">
        <w:rPr>
          <w:iCs/>
          <w:sz w:val="22"/>
        </w:rPr>
        <w:t xml:space="preserve"> Zahŕňajú znížený objem ejakulátu</w:t>
      </w:r>
      <w:r w:rsidRPr="001575C3">
        <w:rPr>
          <w:iCs/>
          <w:sz w:val="22"/>
        </w:rPr>
        <w:t>.</w:t>
      </w:r>
    </w:p>
    <w:p w14:paraId="3CF588CF" w14:textId="40213659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336D62FC" w14:textId="77777777" w:rsidR="00173E94" w:rsidRPr="001575C3" w:rsidRDefault="00173E94" w:rsidP="001575C3">
      <w:pPr>
        <w:keepNext/>
        <w:keepLines/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>ĎALŠIE ÚDAJE</w:t>
      </w:r>
    </w:p>
    <w:p w14:paraId="067B3631" w14:textId="77777777" w:rsidR="00173E94" w:rsidRPr="001575C3" w:rsidRDefault="00173E94" w:rsidP="001575C3">
      <w:pPr>
        <w:jc w:val="left"/>
        <w:rPr>
          <w:sz w:val="22"/>
        </w:rPr>
      </w:pPr>
    </w:p>
    <w:p w14:paraId="3FDAA4B5" w14:textId="77777777" w:rsidR="00173E94" w:rsidRPr="001575C3" w:rsidRDefault="00173E94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 xml:space="preserve">Štúdia REDUCE odhalila vyššiu </w:t>
      </w:r>
      <w:proofErr w:type="spellStart"/>
      <w:r w:rsidRPr="001575C3">
        <w:rPr>
          <w:sz w:val="22"/>
        </w:rPr>
        <w:t>incidenciu</w:t>
      </w:r>
      <w:proofErr w:type="spellEnd"/>
      <w:r w:rsidRPr="001575C3">
        <w:rPr>
          <w:sz w:val="22"/>
        </w:rPr>
        <w:t xml:space="preserve"> karcinómov prostaty s 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– 10 u mužov liečených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v porovnaní s mužmi užívajúcimi </w:t>
      </w:r>
      <w:proofErr w:type="spellStart"/>
      <w:r w:rsidRPr="001575C3">
        <w:rPr>
          <w:sz w:val="22"/>
        </w:rPr>
        <w:t>placebo</w:t>
      </w:r>
      <w:proofErr w:type="spellEnd"/>
      <w:r w:rsidRPr="001575C3">
        <w:rPr>
          <w:sz w:val="22"/>
        </w:rPr>
        <w:t xml:space="preserve"> (pozri časti 4.4 a 5.1). Nestanovilo sa, či účinok </w:t>
      </w:r>
      <w:proofErr w:type="spellStart"/>
      <w:r w:rsidRPr="001575C3">
        <w:rPr>
          <w:sz w:val="22"/>
        </w:rPr>
        <w:t>dustateridu</w:t>
      </w:r>
      <w:proofErr w:type="spellEnd"/>
      <w:r w:rsidRPr="001575C3">
        <w:rPr>
          <w:sz w:val="22"/>
        </w:rPr>
        <w:t xml:space="preserve"> na zníženie objemu prostaty, alebo faktory súvisiace so štúdiou, ovplyvnili výsledky tejto štúdie.</w:t>
      </w:r>
    </w:p>
    <w:p w14:paraId="41ED825B" w14:textId="77777777" w:rsidR="00173E94" w:rsidRPr="001575C3" w:rsidRDefault="00173E94" w:rsidP="001575C3">
      <w:pPr>
        <w:jc w:val="left"/>
        <w:rPr>
          <w:sz w:val="22"/>
        </w:rPr>
      </w:pPr>
    </w:p>
    <w:p w14:paraId="4FAEA54A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 xml:space="preserve">Pri používaní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v klinických skúšaniach a v období po uvedení lieku na trh bol hlásený nasledujúci nežiaduci účinok: rakovina prsníka u mužov (pozri časť 4.4).</w:t>
      </w:r>
    </w:p>
    <w:p w14:paraId="7B28B604" w14:textId="77777777" w:rsidR="00173E94" w:rsidRPr="001575C3" w:rsidRDefault="00173E94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8B96E66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Údaje po uvedení lieku na trh</w:t>
      </w:r>
    </w:p>
    <w:p w14:paraId="1CCCFF92" w14:textId="77777777" w:rsidR="00173E94" w:rsidRPr="001575C3" w:rsidRDefault="00173E94" w:rsidP="001575C3">
      <w:pPr>
        <w:jc w:val="left"/>
        <w:rPr>
          <w:sz w:val="22"/>
        </w:rPr>
      </w:pPr>
    </w:p>
    <w:p w14:paraId="7F754692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 xml:space="preserve">Nežiaduce udalosti po celosvetovom uvedení lieku na trh boli identifikované zo spontánnych </w:t>
      </w:r>
      <w:proofErr w:type="spellStart"/>
      <w:r w:rsidRPr="001575C3">
        <w:rPr>
          <w:sz w:val="22"/>
        </w:rPr>
        <w:t>postmarketingových</w:t>
      </w:r>
      <w:proofErr w:type="spellEnd"/>
      <w:r w:rsidRPr="001575C3">
        <w:rPr>
          <w:sz w:val="22"/>
        </w:rPr>
        <w:t xml:space="preserve"> hlásení, preto presná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nie je známa.</w:t>
      </w:r>
    </w:p>
    <w:p w14:paraId="7A07E59D" w14:textId="77777777" w:rsidR="00173E94" w:rsidRPr="001575C3" w:rsidRDefault="00173E94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640DFFA" w14:textId="77777777" w:rsidR="00173E94" w:rsidRPr="001575C3" w:rsidRDefault="00173E94" w:rsidP="001575C3">
      <w:pPr>
        <w:jc w:val="left"/>
        <w:rPr>
          <w:i/>
          <w:sz w:val="22"/>
        </w:rPr>
      </w:pPr>
      <w:proofErr w:type="spellStart"/>
      <w:r w:rsidRPr="001575C3">
        <w:rPr>
          <w:i/>
          <w:sz w:val="22"/>
        </w:rPr>
        <w:t>Dutasterid</w:t>
      </w:r>
      <w:proofErr w:type="spellEnd"/>
    </w:p>
    <w:p w14:paraId="61DD66EA" w14:textId="77777777" w:rsidR="00173E94" w:rsidRPr="001575C3" w:rsidRDefault="00173E94" w:rsidP="001575C3">
      <w:pPr>
        <w:jc w:val="left"/>
        <w:rPr>
          <w:sz w:val="22"/>
        </w:rPr>
      </w:pPr>
    </w:p>
    <w:p w14:paraId="05C20AD5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lastRenderedPageBreak/>
        <w:t>Poruchy imunitného systému</w:t>
      </w:r>
    </w:p>
    <w:p w14:paraId="00264F78" w14:textId="4333529D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 xml:space="preserve">Neznáme: alergické reakcie zahŕňajúce vyrážku, </w:t>
      </w:r>
      <w:proofErr w:type="spellStart"/>
      <w:r w:rsidRPr="001575C3">
        <w:rPr>
          <w:sz w:val="22"/>
        </w:rPr>
        <w:t>pruritus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urtikáriu</w:t>
      </w:r>
      <w:proofErr w:type="spellEnd"/>
      <w:r w:rsidRPr="001575C3">
        <w:rPr>
          <w:sz w:val="22"/>
        </w:rPr>
        <w:t>, lokalizovaný edém a </w:t>
      </w:r>
      <w:proofErr w:type="spellStart"/>
      <w:r w:rsidRPr="001575C3">
        <w:rPr>
          <w:sz w:val="22"/>
        </w:rPr>
        <w:t>angioedém</w:t>
      </w:r>
      <w:proofErr w:type="spellEnd"/>
      <w:r w:rsidRPr="001575C3">
        <w:rPr>
          <w:sz w:val="22"/>
        </w:rPr>
        <w:t>.</w:t>
      </w:r>
    </w:p>
    <w:p w14:paraId="58C36A03" w14:textId="77777777" w:rsidR="00173E94" w:rsidRPr="001575C3" w:rsidRDefault="00173E94" w:rsidP="001575C3">
      <w:pPr>
        <w:jc w:val="left"/>
        <w:rPr>
          <w:sz w:val="22"/>
        </w:rPr>
      </w:pPr>
    </w:p>
    <w:p w14:paraId="5BC6D081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Psychické poruchy</w:t>
      </w:r>
    </w:p>
    <w:p w14:paraId="7539BDCD" w14:textId="39FCF1EE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Neznáme: depresia.</w:t>
      </w:r>
    </w:p>
    <w:p w14:paraId="1C00C128" w14:textId="77777777" w:rsidR="00173E94" w:rsidRPr="001575C3" w:rsidRDefault="00173E94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91916B5" w14:textId="77777777" w:rsidR="00173E94" w:rsidRPr="001575C3" w:rsidRDefault="00173E94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>Poruchy kože a podkožného tkaniva</w:t>
      </w:r>
    </w:p>
    <w:p w14:paraId="0288FE31" w14:textId="4EE4C8EC" w:rsidR="00173E94" w:rsidRPr="001575C3" w:rsidRDefault="00173E94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 xml:space="preserve">Menej časté: </w:t>
      </w:r>
      <w:proofErr w:type="spellStart"/>
      <w:r w:rsidRPr="001575C3">
        <w:rPr>
          <w:sz w:val="22"/>
        </w:rPr>
        <w:t>alopécia</w:t>
      </w:r>
      <w:proofErr w:type="spellEnd"/>
      <w:r w:rsidRPr="001575C3">
        <w:rPr>
          <w:sz w:val="22"/>
        </w:rPr>
        <w:t xml:space="preserve"> (predovšetkým strata telesného ochlpenia), </w:t>
      </w:r>
      <w:proofErr w:type="spellStart"/>
      <w:r w:rsidRPr="001575C3">
        <w:rPr>
          <w:sz w:val="22"/>
        </w:rPr>
        <w:t>hypertrichóza</w:t>
      </w:r>
      <w:proofErr w:type="spellEnd"/>
      <w:r w:rsidRPr="001575C3">
        <w:rPr>
          <w:sz w:val="22"/>
        </w:rPr>
        <w:t>.</w:t>
      </w:r>
    </w:p>
    <w:p w14:paraId="5C8C4882" w14:textId="77777777" w:rsidR="00173E94" w:rsidRPr="001575C3" w:rsidRDefault="00173E94" w:rsidP="001575C3">
      <w:pPr>
        <w:jc w:val="left"/>
        <w:rPr>
          <w:sz w:val="22"/>
        </w:rPr>
      </w:pPr>
    </w:p>
    <w:p w14:paraId="0CC6919A" w14:textId="7777777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Poruchy reprodukčného systému a prsníkov</w:t>
      </w:r>
    </w:p>
    <w:p w14:paraId="38CC7A6B" w14:textId="5793F8A7" w:rsidR="00173E94" w:rsidRPr="001575C3" w:rsidRDefault="00173E94" w:rsidP="001575C3">
      <w:pPr>
        <w:jc w:val="left"/>
        <w:rPr>
          <w:sz w:val="22"/>
        </w:rPr>
      </w:pPr>
      <w:r w:rsidRPr="001575C3">
        <w:rPr>
          <w:sz w:val="22"/>
        </w:rPr>
        <w:t>Neznáme: bolesť semenníkov a opuch semenníkov</w:t>
      </w:r>
      <w:r w:rsidR="00C260AB" w:rsidRPr="001575C3">
        <w:rPr>
          <w:sz w:val="22"/>
        </w:rPr>
        <w:t>.</w:t>
      </w:r>
    </w:p>
    <w:p w14:paraId="17811A90" w14:textId="77777777" w:rsidR="00173E94" w:rsidRPr="001575C3" w:rsidRDefault="00173E94" w:rsidP="001575C3">
      <w:pPr>
        <w:jc w:val="left"/>
        <w:rPr>
          <w:sz w:val="22"/>
        </w:rPr>
      </w:pPr>
    </w:p>
    <w:p w14:paraId="10F9D8B8" w14:textId="77777777" w:rsidR="00C260AB" w:rsidRPr="001575C3" w:rsidRDefault="00C260AB" w:rsidP="001575C3">
      <w:pPr>
        <w:jc w:val="left"/>
        <w:rPr>
          <w:bCs/>
          <w:i/>
          <w:sz w:val="22"/>
        </w:rPr>
      </w:pPr>
      <w:proofErr w:type="spellStart"/>
      <w:r w:rsidRPr="001575C3">
        <w:rPr>
          <w:bCs/>
          <w:i/>
          <w:sz w:val="22"/>
        </w:rPr>
        <w:t>Tamsulozín</w:t>
      </w:r>
      <w:proofErr w:type="spellEnd"/>
    </w:p>
    <w:p w14:paraId="5BFBB70D" w14:textId="77777777" w:rsidR="00C260AB" w:rsidRPr="001575C3" w:rsidRDefault="00C260AB" w:rsidP="001575C3">
      <w:pPr>
        <w:jc w:val="left"/>
        <w:rPr>
          <w:bCs/>
          <w:sz w:val="22"/>
        </w:rPr>
      </w:pPr>
    </w:p>
    <w:p w14:paraId="62AA4E01" w14:textId="77777777" w:rsidR="00C260AB" w:rsidRPr="001575C3" w:rsidRDefault="00C260AB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Počas operácie sivého zákalu sa </w:t>
      </w:r>
      <w:r w:rsidRPr="001575C3">
        <w:rPr>
          <w:sz w:val="22"/>
        </w:rPr>
        <w:t xml:space="preserve">syndróm vlajúcej dúhovky </w:t>
      </w:r>
      <w:r w:rsidRPr="001575C3">
        <w:rPr>
          <w:bCs/>
          <w:sz w:val="22"/>
        </w:rPr>
        <w:t>(</w:t>
      </w:r>
      <w:proofErr w:type="spellStart"/>
      <w:r w:rsidRPr="001575C3">
        <w:rPr>
          <w:bCs/>
          <w:sz w:val="22"/>
        </w:rPr>
        <w:t>Intraoperative</w:t>
      </w:r>
      <w:proofErr w:type="spellEnd"/>
      <w:r w:rsidRPr="001575C3">
        <w:rPr>
          <w:bCs/>
          <w:sz w:val="22"/>
        </w:rPr>
        <w:t xml:space="preserve"> Floppy Iris </w:t>
      </w:r>
      <w:proofErr w:type="spellStart"/>
      <w:r w:rsidRPr="001575C3">
        <w:rPr>
          <w:bCs/>
          <w:sz w:val="22"/>
        </w:rPr>
        <w:t>Syndrome</w:t>
      </w:r>
      <w:proofErr w:type="spellEnd"/>
      <w:r w:rsidRPr="001575C3">
        <w:rPr>
          <w:bCs/>
          <w:sz w:val="22"/>
        </w:rPr>
        <w:t>,</w:t>
      </w:r>
      <w:r w:rsidRPr="001575C3">
        <w:rPr>
          <w:sz w:val="22"/>
        </w:rPr>
        <w:t xml:space="preserve"> </w:t>
      </w:r>
      <w:r w:rsidRPr="001575C3">
        <w:rPr>
          <w:bCs/>
          <w:sz w:val="22"/>
        </w:rPr>
        <w:t>IFIS)</w:t>
      </w:r>
      <w:r w:rsidRPr="001575C3">
        <w:rPr>
          <w:sz w:val="22"/>
        </w:rPr>
        <w:t>, variant syndrómu úzkej zrenice</w:t>
      </w:r>
      <w:r w:rsidRPr="001575C3">
        <w:rPr>
          <w:bCs/>
          <w:sz w:val="22"/>
        </w:rPr>
        <w:t xml:space="preserve"> v </w:t>
      </w:r>
      <w:proofErr w:type="spellStart"/>
      <w:r w:rsidRPr="001575C3">
        <w:rPr>
          <w:bCs/>
          <w:sz w:val="22"/>
        </w:rPr>
        <w:t>postmarketingovom</w:t>
      </w:r>
      <w:proofErr w:type="spellEnd"/>
      <w:r w:rsidRPr="001575C3">
        <w:rPr>
          <w:bCs/>
          <w:sz w:val="22"/>
        </w:rPr>
        <w:t xml:space="preserve"> sledovaní, spájal s liečbou antagonistami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>adrenergických receptorov</w:t>
      </w:r>
      <w:r w:rsidRPr="001575C3">
        <w:rPr>
          <w:bCs/>
          <w:sz w:val="22"/>
        </w:rPr>
        <w:t xml:space="preserve"> vrátane </w:t>
      </w:r>
      <w:proofErr w:type="spellStart"/>
      <w:r w:rsidRPr="001575C3">
        <w:rPr>
          <w:bCs/>
          <w:sz w:val="22"/>
        </w:rPr>
        <w:t>tamsulozínu</w:t>
      </w:r>
      <w:proofErr w:type="spellEnd"/>
      <w:r w:rsidRPr="001575C3">
        <w:rPr>
          <w:bCs/>
          <w:sz w:val="22"/>
        </w:rPr>
        <w:t xml:space="preserve"> (pozri časť 4.4).</w:t>
      </w:r>
    </w:p>
    <w:p w14:paraId="26E4750C" w14:textId="242AAFAB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47C86F45" w14:textId="77777777" w:rsidR="00C260AB" w:rsidRPr="001575C3" w:rsidRDefault="00C260AB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V súvislosti s používaním </w:t>
      </w:r>
      <w:proofErr w:type="spellStart"/>
      <w:r w:rsidRPr="001575C3">
        <w:rPr>
          <w:bCs/>
          <w:sz w:val="22"/>
        </w:rPr>
        <w:t>tamsulozínu</w:t>
      </w:r>
      <w:proofErr w:type="spellEnd"/>
      <w:r w:rsidRPr="001575C3">
        <w:rPr>
          <w:bCs/>
          <w:sz w:val="22"/>
        </w:rPr>
        <w:t xml:space="preserve"> boli navyše hlásené </w:t>
      </w:r>
      <w:proofErr w:type="spellStart"/>
      <w:r w:rsidRPr="001575C3">
        <w:rPr>
          <w:bCs/>
          <w:sz w:val="22"/>
        </w:rPr>
        <w:t>fibrilácia</w:t>
      </w:r>
      <w:proofErr w:type="spellEnd"/>
      <w:r w:rsidRPr="001575C3">
        <w:rPr>
          <w:bCs/>
          <w:sz w:val="22"/>
        </w:rPr>
        <w:t xml:space="preserve"> predsiení, </w:t>
      </w:r>
      <w:proofErr w:type="spellStart"/>
      <w:r w:rsidRPr="001575C3">
        <w:rPr>
          <w:bCs/>
          <w:sz w:val="22"/>
        </w:rPr>
        <w:t>arytmia</w:t>
      </w:r>
      <w:proofErr w:type="spellEnd"/>
      <w:r w:rsidRPr="001575C3">
        <w:rPr>
          <w:bCs/>
          <w:sz w:val="22"/>
        </w:rPr>
        <w:t xml:space="preserve">, </w:t>
      </w:r>
      <w:proofErr w:type="spellStart"/>
      <w:r w:rsidRPr="001575C3">
        <w:rPr>
          <w:bCs/>
          <w:sz w:val="22"/>
        </w:rPr>
        <w:t>tachykardia</w:t>
      </w:r>
      <w:proofErr w:type="spellEnd"/>
      <w:r w:rsidRPr="001575C3">
        <w:rPr>
          <w:bCs/>
          <w:sz w:val="22"/>
        </w:rPr>
        <w:t xml:space="preserve">, </w:t>
      </w:r>
      <w:proofErr w:type="spellStart"/>
      <w:r w:rsidRPr="001575C3">
        <w:rPr>
          <w:bCs/>
          <w:sz w:val="22"/>
        </w:rPr>
        <w:t>dyspnoe</w:t>
      </w:r>
      <w:proofErr w:type="spellEnd"/>
      <w:r w:rsidRPr="001575C3">
        <w:rPr>
          <w:bCs/>
          <w:sz w:val="22"/>
        </w:rPr>
        <w:t xml:space="preserve">, </w:t>
      </w:r>
      <w:proofErr w:type="spellStart"/>
      <w:r w:rsidRPr="001575C3">
        <w:rPr>
          <w:bCs/>
          <w:sz w:val="22"/>
        </w:rPr>
        <w:t>epistaxa</w:t>
      </w:r>
      <w:proofErr w:type="spellEnd"/>
      <w:r w:rsidRPr="001575C3">
        <w:rPr>
          <w:bCs/>
          <w:sz w:val="22"/>
        </w:rPr>
        <w:t xml:space="preserve">, rozmazané videnie, zhoršenie zraku, </w:t>
      </w:r>
      <w:proofErr w:type="spellStart"/>
      <w:r w:rsidRPr="001575C3">
        <w:rPr>
          <w:bCs/>
          <w:sz w:val="22"/>
        </w:rPr>
        <w:t>multiformný</w:t>
      </w:r>
      <w:proofErr w:type="spellEnd"/>
      <w:r w:rsidRPr="001575C3">
        <w:rPr>
          <w:bCs/>
          <w:sz w:val="22"/>
        </w:rPr>
        <w:t xml:space="preserve"> </w:t>
      </w:r>
      <w:proofErr w:type="spellStart"/>
      <w:r w:rsidRPr="001575C3">
        <w:rPr>
          <w:bCs/>
          <w:sz w:val="22"/>
        </w:rPr>
        <w:t>erytém</w:t>
      </w:r>
      <w:proofErr w:type="spellEnd"/>
      <w:r w:rsidRPr="001575C3">
        <w:rPr>
          <w:bCs/>
          <w:sz w:val="22"/>
        </w:rPr>
        <w:t xml:space="preserve">, </w:t>
      </w:r>
      <w:proofErr w:type="spellStart"/>
      <w:r w:rsidRPr="001575C3">
        <w:rPr>
          <w:bCs/>
          <w:sz w:val="22"/>
        </w:rPr>
        <w:t>exfoliatívna</w:t>
      </w:r>
      <w:proofErr w:type="spellEnd"/>
      <w:r w:rsidRPr="001575C3">
        <w:rPr>
          <w:bCs/>
          <w:sz w:val="22"/>
        </w:rPr>
        <w:t xml:space="preserve"> dermatitída, porucha ejakulácie, retrográdna ejakulácia, zlyhanie ejakulácie a suchosť v ústach. Frekvencia výskytu týchto nežiaducich udalostí a ich príčinná súvislosť s </w:t>
      </w:r>
      <w:proofErr w:type="spellStart"/>
      <w:r w:rsidRPr="001575C3">
        <w:rPr>
          <w:bCs/>
          <w:sz w:val="22"/>
        </w:rPr>
        <w:t>tamsulozínom</w:t>
      </w:r>
      <w:proofErr w:type="spellEnd"/>
      <w:r w:rsidRPr="001575C3">
        <w:rPr>
          <w:bCs/>
          <w:sz w:val="22"/>
        </w:rPr>
        <w:t xml:space="preserve"> sa nedajú spoľahlivo určiť.</w:t>
      </w:r>
    </w:p>
    <w:p w14:paraId="3A7F65DD" w14:textId="77777777" w:rsidR="00C260AB" w:rsidRPr="001575C3" w:rsidRDefault="00C260AB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6BB50F35" w14:textId="77777777" w:rsidR="00C260AB" w:rsidRPr="001575C3" w:rsidRDefault="00C260AB" w:rsidP="001575C3">
      <w:pPr>
        <w:autoSpaceDE w:val="0"/>
        <w:autoSpaceDN w:val="0"/>
        <w:adjustRightInd w:val="0"/>
        <w:jc w:val="left"/>
        <w:rPr>
          <w:sz w:val="22"/>
          <w:u w:val="single"/>
        </w:rPr>
      </w:pPr>
      <w:r w:rsidRPr="001575C3">
        <w:rPr>
          <w:sz w:val="22"/>
          <w:u w:val="single"/>
        </w:rPr>
        <w:t>Hlásenie podozrení na nežiaduce reakcie</w:t>
      </w:r>
    </w:p>
    <w:p w14:paraId="1C154CDB" w14:textId="77777777" w:rsidR="00C260AB" w:rsidRPr="001575C3" w:rsidRDefault="00C260AB" w:rsidP="001575C3">
      <w:pPr>
        <w:jc w:val="left"/>
        <w:rPr>
          <w:sz w:val="22"/>
        </w:rPr>
      </w:pPr>
      <w:r w:rsidRPr="001575C3"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1575C3">
        <w:rPr>
          <w:sz w:val="22"/>
          <w:highlight w:val="lightGray"/>
        </w:rPr>
        <w:t>národné centrum hlásenia uvedené v </w:t>
      </w:r>
      <w:hyperlink r:id="rId8" w:history="1">
        <w:r w:rsidRPr="001575C3">
          <w:rPr>
            <w:rStyle w:val="Hypertextovprepojenie"/>
            <w:sz w:val="22"/>
            <w:highlight w:val="lightGray"/>
          </w:rPr>
          <w:t>Prílohe V</w:t>
        </w:r>
      </w:hyperlink>
      <w:r w:rsidRPr="001575C3">
        <w:rPr>
          <w:sz w:val="22"/>
        </w:rPr>
        <w:t>.</w:t>
      </w:r>
    </w:p>
    <w:p w14:paraId="783236E9" w14:textId="77777777" w:rsidR="00C260AB" w:rsidRPr="001575C3" w:rsidRDefault="00C260AB" w:rsidP="001575C3">
      <w:pPr>
        <w:jc w:val="left"/>
        <w:rPr>
          <w:bCs/>
          <w:sz w:val="22"/>
        </w:rPr>
      </w:pPr>
    </w:p>
    <w:p w14:paraId="74116E6E" w14:textId="37D00E3F" w:rsidR="00F15395" w:rsidRPr="001575C3" w:rsidRDefault="00F15395" w:rsidP="001575C3">
      <w:pPr>
        <w:pStyle w:val="Nadpis3"/>
        <w:tabs>
          <w:tab w:val="left" w:pos="567"/>
          <w:tab w:val="center" w:pos="1040"/>
        </w:tabs>
        <w:spacing w:after="0" w:line="259" w:lineRule="auto"/>
        <w:ind w:left="-15" w:firstLine="0"/>
        <w:rPr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>4.9</w:t>
      </w:r>
      <w:r w:rsidRPr="001575C3">
        <w:rPr>
          <w:rFonts w:ascii="Arial" w:eastAsia="Arial" w:hAnsi="Arial" w:cs="Arial"/>
          <w:b/>
          <w:i w:val="0"/>
          <w:sz w:val="22"/>
          <w:lang w:val="sk-SK"/>
        </w:rPr>
        <w:t xml:space="preserve"> </w:t>
      </w:r>
      <w:r w:rsidRPr="001575C3">
        <w:rPr>
          <w:rFonts w:ascii="Arial" w:eastAsia="Arial" w:hAnsi="Arial" w:cs="Arial"/>
          <w:b/>
          <w:i w:val="0"/>
          <w:sz w:val="22"/>
          <w:lang w:val="sk-SK"/>
        </w:rPr>
        <w:tab/>
      </w:r>
      <w:r w:rsidR="00C260AB" w:rsidRPr="001575C3">
        <w:rPr>
          <w:b/>
          <w:i w:val="0"/>
          <w:sz w:val="22"/>
          <w:lang w:val="sk-SK"/>
        </w:rPr>
        <w:t>Predávkovanie</w:t>
      </w:r>
      <w:r w:rsidRPr="001575C3">
        <w:rPr>
          <w:b/>
          <w:i w:val="0"/>
          <w:sz w:val="22"/>
          <w:lang w:val="sk-SK"/>
        </w:rPr>
        <w:t xml:space="preserve"> </w:t>
      </w:r>
    </w:p>
    <w:p w14:paraId="5BC6759C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1DCC69D1" w14:textId="14BAFBD1" w:rsidR="00C260AB" w:rsidRPr="001575C3" w:rsidRDefault="00C260AB" w:rsidP="001575C3">
      <w:pPr>
        <w:keepNext/>
        <w:keepLines/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 xml:space="preserve">Čo sa týka predávkovania </w:t>
      </w:r>
      <w:proofErr w:type="spellStart"/>
      <w:r w:rsidRPr="001575C3">
        <w:rPr>
          <w:bCs/>
          <w:iCs/>
          <w:sz w:val="22"/>
        </w:rPr>
        <w:t>dutasteridom</w:t>
      </w:r>
      <w:proofErr w:type="spellEnd"/>
      <w:r w:rsidRPr="001575C3">
        <w:rPr>
          <w:bCs/>
          <w:iCs/>
          <w:sz w:val="22"/>
        </w:rPr>
        <w:t>/</w:t>
      </w:r>
      <w:proofErr w:type="spellStart"/>
      <w:r w:rsidRPr="001575C3">
        <w:rPr>
          <w:bCs/>
          <w:iCs/>
          <w:sz w:val="22"/>
        </w:rPr>
        <w:t>tamsulozínom</w:t>
      </w:r>
      <w:proofErr w:type="spellEnd"/>
      <w:r w:rsidRPr="001575C3">
        <w:rPr>
          <w:bCs/>
          <w:iCs/>
          <w:sz w:val="22"/>
        </w:rPr>
        <w:t>, nie sú dostupné žiadne údaje. Nasledovné údaje odrážajú informácie dostupné pre jednotlivé zložky.</w:t>
      </w:r>
    </w:p>
    <w:p w14:paraId="460439B0" w14:textId="77777777" w:rsidR="00C260AB" w:rsidRPr="001575C3" w:rsidRDefault="00C260AB" w:rsidP="001575C3">
      <w:pPr>
        <w:ind w:left="-5" w:right="38"/>
        <w:jc w:val="left"/>
        <w:rPr>
          <w:sz w:val="22"/>
        </w:rPr>
      </w:pPr>
    </w:p>
    <w:p w14:paraId="30C1F609" w14:textId="77777777" w:rsidR="00C260AB" w:rsidRPr="001575C3" w:rsidRDefault="00C260AB" w:rsidP="001575C3">
      <w:pPr>
        <w:keepNext/>
        <w:keepLines/>
        <w:jc w:val="left"/>
        <w:rPr>
          <w:bCs/>
          <w:i/>
          <w:sz w:val="22"/>
        </w:rPr>
      </w:pPr>
      <w:proofErr w:type="spellStart"/>
      <w:r w:rsidRPr="001575C3">
        <w:rPr>
          <w:bCs/>
          <w:i/>
          <w:sz w:val="22"/>
        </w:rPr>
        <w:t>Dutasterid</w:t>
      </w:r>
      <w:proofErr w:type="spellEnd"/>
    </w:p>
    <w:p w14:paraId="1C089049" w14:textId="77777777" w:rsidR="00C260AB" w:rsidRPr="001575C3" w:rsidRDefault="00C260AB" w:rsidP="001575C3">
      <w:pPr>
        <w:keepNext/>
        <w:keepLines/>
        <w:jc w:val="left"/>
        <w:rPr>
          <w:sz w:val="22"/>
        </w:rPr>
      </w:pPr>
    </w:p>
    <w:p w14:paraId="0F941245" w14:textId="02736D27" w:rsidR="00C260AB" w:rsidRPr="001575C3" w:rsidRDefault="00C260AB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 xml:space="preserve">V štúdiách s dobrovoľníkmi sa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podával v jednorazových denných dávkach až do 40 mg/deň (80</w:t>
      </w:r>
      <w:r w:rsidRPr="001575C3">
        <w:rPr>
          <w:sz w:val="22"/>
        </w:rPr>
        <w:noBreakHyphen/>
        <w:t xml:space="preserve">násobok terapeutickej dávky) počas 7 dní bez </w:t>
      </w:r>
      <w:proofErr w:type="spellStart"/>
      <w:r w:rsidRPr="001575C3">
        <w:rPr>
          <w:sz w:val="22"/>
        </w:rPr>
        <w:t>signifikantných</w:t>
      </w:r>
      <w:proofErr w:type="spellEnd"/>
      <w:r w:rsidRPr="001575C3">
        <w:rPr>
          <w:sz w:val="22"/>
        </w:rPr>
        <w:t xml:space="preserve"> </w:t>
      </w:r>
      <w:r w:rsidR="002E1741">
        <w:rPr>
          <w:sz w:val="22"/>
        </w:rPr>
        <w:t>problémov</w:t>
      </w:r>
      <w:r w:rsidRPr="001575C3">
        <w:rPr>
          <w:sz w:val="22"/>
        </w:rPr>
        <w:t xml:space="preserve"> ohľadom bezpečnosti. V klinických štúdiách, v ktorých boli osobám podávané 5 mg dávky denne počas 6 mesiacov, sa nezaznamenali ďalšie nežiaduce účinky okrem tých, ktoré sa pozorovali pri terapeutických dávkach 0,5 mg. Neexistuje žiadne špecifické </w:t>
      </w:r>
      <w:proofErr w:type="spellStart"/>
      <w:r w:rsidRPr="001575C3">
        <w:rPr>
          <w:sz w:val="22"/>
        </w:rPr>
        <w:t>antidotum</w:t>
      </w:r>
      <w:proofErr w:type="spellEnd"/>
      <w:r w:rsidRPr="001575C3">
        <w:rPr>
          <w:sz w:val="22"/>
        </w:rPr>
        <w:t xml:space="preserve"> pre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>, a preto sa pri podozrení na predávkovanie musí podľa potreby poskytnúť symptomatická a podporná liečba.</w:t>
      </w:r>
    </w:p>
    <w:p w14:paraId="2B25E8B5" w14:textId="77777777" w:rsidR="00C260AB" w:rsidRPr="001575C3" w:rsidRDefault="00C260AB" w:rsidP="001575C3">
      <w:pPr>
        <w:ind w:left="-5" w:right="38"/>
        <w:jc w:val="left"/>
        <w:rPr>
          <w:sz w:val="22"/>
        </w:rPr>
      </w:pPr>
    </w:p>
    <w:p w14:paraId="02E23127" w14:textId="77777777" w:rsidR="00C260AB" w:rsidRPr="001575C3" w:rsidRDefault="00C260AB" w:rsidP="001575C3">
      <w:pPr>
        <w:jc w:val="left"/>
        <w:rPr>
          <w:i/>
          <w:iCs/>
          <w:sz w:val="22"/>
        </w:rPr>
      </w:pPr>
      <w:proofErr w:type="spellStart"/>
      <w:r w:rsidRPr="001575C3">
        <w:rPr>
          <w:i/>
          <w:iCs/>
          <w:sz w:val="22"/>
        </w:rPr>
        <w:t>Tamsulozín</w:t>
      </w:r>
      <w:proofErr w:type="spellEnd"/>
    </w:p>
    <w:p w14:paraId="3A845652" w14:textId="77777777" w:rsidR="00C260AB" w:rsidRPr="001575C3" w:rsidRDefault="00C260AB" w:rsidP="001575C3">
      <w:pPr>
        <w:jc w:val="left"/>
        <w:rPr>
          <w:sz w:val="22"/>
        </w:rPr>
      </w:pPr>
    </w:p>
    <w:p w14:paraId="01F067A1" w14:textId="77777777" w:rsidR="00C260AB" w:rsidRPr="001575C3" w:rsidRDefault="00C260AB" w:rsidP="001575C3">
      <w:pPr>
        <w:jc w:val="left"/>
        <w:rPr>
          <w:sz w:val="22"/>
        </w:rPr>
      </w:pPr>
      <w:r w:rsidRPr="001575C3">
        <w:rPr>
          <w:sz w:val="22"/>
        </w:rPr>
        <w:t xml:space="preserve">Po 5 mg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sa nehlásili žiadne prípady akútneho predávkovania. Pozorovala sa akútna hypotenzia (</w:t>
      </w:r>
      <w:proofErr w:type="spellStart"/>
      <w:r w:rsidRPr="001575C3">
        <w:rPr>
          <w:sz w:val="22"/>
        </w:rPr>
        <w:t>systolický</w:t>
      </w:r>
      <w:proofErr w:type="spellEnd"/>
      <w:r w:rsidRPr="001575C3">
        <w:rPr>
          <w:sz w:val="22"/>
        </w:rPr>
        <w:t xml:space="preserve"> tlak krvi 70 mm </w:t>
      </w:r>
      <w:proofErr w:type="spellStart"/>
      <w:r w:rsidRPr="001575C3">
        <w:rPr>
          <w:sz w:val="22"/>
        </w:rPr>
        <w:t>Hg</w:t>
      </w:r>
      <w:proofErr w:type="spellEnd"/>
      <w:r w:rsidRPr="001575C3">
        <w:rPr>
          <w:sz w:val="22"/>
        </w:rPr>
        <w:t xml:space="preserve">), vracanie a hnačka, ktoré sa liečili náhradou tekutín a pacienta možno prepustiť domov v ten istý deň. V prípade výskytu akútnej hypotenzie po predávkovaní sa má poskytnúť podpora kardiovaskulárnym funkciám. </w:t>
      </w:r>
      <w:r w:rsidRPr="001575C3">
        <w:rPr>
          <w:sz w:val="22"/>
        </w:rPr>
        <w:lastRenderedPageBreak/>
        <w:t xml:space="preserve">Krvný tlak možno upraviť a srdcovú frekvenciu vrátiť do normálu uložením pacienta do ležiacej polohy. Ak to nepomôže, možno použiť lieky na zväčšenie </w:t>
      </w:r>
      <w:proofErr w:type="spellStart"/>
      <w:r w:rsidRPr="001575C3">
        <w:rPr>
          <w:sz w:val="22"/>
        </w:rPr>
        <w:t>intravazálneho</w:t>
      </w:r>
      <w:proofErr w:type="spellEnd"/>
      <w:r w:rsidRPr="001575C3">
        <w:rPr>
          <w:sz w:val="22"/>
        </w:rPr>
        <w:t xml:space="preserve"> objemu a, ak je to nutné, možno nasadiť </w:t>
      </w:r>
      <w:proofErr w:type="spellStart"/>
      <w:r w:rsidRPr="001575C3">
        <w:rPr>
          <w:sz w:val="22"/>
        </w:rPr>
        <w:t>vazopresory</w:t>
      </w:r>
      <w:proofErr w:type="spellEnd"/>
      <w:r w:rsidRPr="001575C3">
        <w:rPr>
          <w:sz w:val="22"/>
        </w:rPr>
        <w:t xml:space="preserve">. Má sa sledovať </w:t>
      </w:r>
      <w:proofErr w:type="spellStart"/>
      <w:r w:rsidRPr="001575C3">
        <w:rPr>
          <w:sz w:val="22"/>
        </w:rPr>
        <w:t>renálna</w:t>
      </w:r>
      <w:proofErr w:type="spellEnd"/>
      <w:r w:rsidRPr="001575C3">
        <w:rPr>
          <w:sz w:val="22"/>
        </w:rPr>
        <w:t xml:space="preserve"> funkcia a zaviesť celkové podporné opatrenia. Dialýza pravdepodobne nepomôže, pretože 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sa vo vysokej miere viaže na plazmatické proteíny.</w:t>
      </w:r>
    </w:p>
    <w:p w14:paraId="7EC43BD0" w14:textId="77777777" w:rsidR="00C260AB" w:rsidRPr="001575C3" w:rsidRDefault="00C260AB" w:rsidP="001575C3">
      <w:pPr>
        <w:jc w:val="left"/>
        <w:rPr>
          <w:sz w:val="22"/>
        </w:rPr>
      </w:pPr>
    </w:p>
    <w:p w14:paraId="1FA51190" w14:textId="212F2399" w:rsidR="00B82C94" w:rsidRPr="001575C3" w:rsidRDefault="00B82C94" w:rsidP="001575C3">
      <w:pPr>
        <w:jc w:val="left"/>
        <w:rPr>
          <w:sz w:val="22"/>
        </w:rPr>
      </w:pPr>
      <w:r w:rsidRPr="001575C3">
        <w:rPr>
          <w:sz w:val="22"/>
        </w:rPr>
        <w:t>Na zabránenie absorpcie možno zvážiť opatrenia, ako je vracanie. Po požití v</w:t>
      </w:r>
      <w:r w:rsidR="002E1741">
        <w:rPr>
          <w:sz w:val="22"/>
        </w:rPr>
        <w:t>yso</w:t>
      </w:r>
      <w:r w:rsidRPr="001575C3">
        <w:rPr>
          <w:sz w:val="22"/>
        </w:rPr>
        <w:t xml:space="preserve">kých dávok lieku možno vykonať výplach žalúdka a podať aktívne uhlie a </w:t>
      </w:r>
      <w:proofErr w:type="spellStart"/>
      <w:r w:rsidRPr="001575C3">
        <w:rPr>
          <w:sz w:val="22"/>
        </w:rPr>
        <w:t>osmotické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laxatívum</w:t>
      </w:r>
      <w:proofErr w:type="spellEnd"/>
      <w:r w:rsidRPr="001575C3">
        <w:rPr>
          <w:sz w:val="22"/>
        </w:rPr>
        <w:t>, ako je síran sodný.</w:t>
      </w:r>
    </w:p>
    <w:p w14:paraId="28FB51BA" w14:textId="1A9F9216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76B4287C" w14:textId="77777777" w:rsidR="00B82C94" w:rsidRPr="001575C3" w:rsidRDefault="00B82C94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4C7B16E6" w14:textId="2168428C" w:rsidR="00F15395" w:rsidRPr="001575C3" w:rsidRDefault="00B82C94" w:rsidP="001575C3">
      <w:pPr>
        <w:pStyle w:val="Nadpis1"/>
        <w:tabs>
          <w:tab w:val="center" w:pos="2507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5. </w:t>
      </w:r>
      <w:r w:rsidRPr="001575C3">
        <w:rPr>
          <w:sz w:val="22"/>
          <w:lang w:val="sk-SK"/>
        </w:rPr>
        <w:tab/>
        <w:t>FARMAKOLOGICKÉ VLASTNOSTI</w:t>
      </w:r>
      <w:r w:rsidR="00F15395" w:rsidRPr="001575C3">
        <w:rPr>
          <w:b w:val="0"/>
          <w:sz w:val="22"/>
          <w:lang w:val="sk-SK"/>
        </w:rPr>
        <w:t xml:space="preserve"> </w:t>
      </w:r>
    </w:p>
    <w:p w14:paraId="292A5697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/>
          <w:sz w:val="22"/>
        </w:rPr>
        <w:t xml:space="preserve"> </w:t>
      </w:r>
    </w:p>
    <w:p w14:paraId="58489AF2" w14:textId="0B9DCC26" w:rsidR="00F15395" w:rsidRPr="001575C3" w:rsidRDefault="00B82C94" w:rsidP="001575C3">
      <w:pPr>
        <w:pStyle w:val="Nadpis2"/>
        <w:tabs>
          <w:tab w:val="center" w:pos="1986"/>
        </w:tabs>
        <w:spacing w:after="0"/>
        <w:ind w:left="-15" w:firstLine="0"/>
        <w:rPr>
          <w:sz w:val="22"/>
          <w:lang w:val="sk-SK"/>
        </w:rPr>
      </w:pPr>
      <w:r w:rsidRPr="001575C3">
        <w:rPr>
          <w:b/>
          <w:sz w:val="22"/>
          <w:u w:val="none"/>
          <w:lang w:val="sk-SK"/>
        </w:rPr>
        <w:t xml:space="preserve">5.1  </w:t>
      </w:r>
      <w:r w:rsidRPr="001575C3">
        <w:rPr>
          <w:b/>
          <w:sz w:val="22"/>
          <w:u w:val="none"/>
          <w:lang w:val="sk-SK"/>
        </w:rPr>
        <w:tab/>
      </w:r>
      <w:proofErr w:type="spellStart"/>
      <w:r w:rsidRPr="001575C3">
        <w:rPr>
          <w:b/>
          <w:sz w:val="22"/>
          <w:u w:val="none"/>
          <w:lang w:val="sk-SK"/>
        </w:rPr>
        <w:t>Farmakodynamické</w:t>
      </w:r>
      <w:proofErr w:type="spellEnd"/>
      <w:r w:rsidRPr="001575C3">
        <w:rPr>
          <w:b/>
          <w:sz w:val="22"/>
          <w:u w:val="none"/>
          <w:lang w:val="sk-SK"/>
        </w:rPr>
        <w:t xml:space="preserve"> vlastnosti</w:t>
      </w:r>
      <w:r w:rsidR="00F15395" w:rsidRPr="001575C3">
        <w:rPr>
          <w:sz w:val="22"/>
          <w:u w:val="none"/>
          <w:lang w:val="sk-SK"/>
        </w:rPr>
        <w:t xml:space="preserve"> </w:t>
      </w:r>
    </w:p>
    <w:p w14:paraId="746D29AD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222CABB7" w14:textId="375B2911" w:rsidR="00AB3CC7" w:rsidRPr="001575C3" w:rsidRDefault="00AB3CC7" w:rsidP="001575C3">
      <w:pPr>
        <w:keepNext/>
        <w:keepLines/>
        <w:jc w:val="left"/>
        <w:rPr>
          <w:sz w:val="22"/>
        </w:rPr>
      </w:pPr>
      <w:proofErr w:type="spellStart"/>
      <w:r w:rsidRPr="001575C3">
        <w:rPr>
          <w:sz w:val="22"/>
        </w:rPr>
        <w:t>Farmakoterapeutická</w:t>
      </w:r>
      <w:proofErr w:type="spellEnd"/>
      <w:r w:rsidRPr="001575C3">
        <w:rPr>
          <w:sz w:val="22"/>
        </w:rPr>
        <w:t xml:space="preserve"> skupina: </w:t>
      </w:r>
      <w:proofErr w:type="spellStart"/>
      <w:r w:rsidRPr="001575C3">
        <w:rPr>
          <w:sz w:val="22"/>
        </w:rPr>
        <w:t>urologiká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antagonisty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alfa</w:t>
      </w:r>
      <w:r w:rsidRPr="001575C3">
        <w:rPr>
          <w:sz w:val="22"/>
        </w:rPr>
        <w:noBreakHyphen/>
        <w:t>adrenergických</w:t>
      </w:r>
      <w:proofErr w:type="spellEnd"/>
      <w:r w:rsidRPr="001575C3">
        <w:rPr>
          <w:sz w:val="22"/>
        </w:rPr>
        <w:t xml:space="preserve"> receptorov, ATC kód: </w:t>
      </w:r>
      <w:r w:rsidRPr="001575C3">
        <w:rPr>
          <w:bCs/>
          <w:sz w:val="22"/>
        </w:rPr>
        <w:t>G04CA52</w:t>
      </w:r>
    </w:p>
    <w:p w14:paraId="26C45403" w14:textId="77777777" w:rsidR="00AB3CC7" w:rsidRPr="001575C3" w:rsidRDefault="00AB3CC7" w:rsidP="001575C3">
      <w:pPr>
        <w:keepNext/>
        <w:keepLines/>
        <w:jc w:val="left"/>
        <w:rPr>
          <w:sz w:val="22"/>
        </w:rPr>
      </w:pPr>
    </w:p>
    <w:p w14:paraId="54D7CA56" w14:textId="2CB75476" w:rsidR="00AB3CC7" w:rsidRPr="001575C3" w:rsidRDefault="00460D63" w:rsidP="001575C3">
      <w:pPr>
        <w:keepNext/>
        <w:keepLines/>
        <w:jc w:val="left"/>
        <w:rPr>
          <w:sz w:val="22"/>
        </w:rPr>
      </w:pPr>
      <w:proofErr w:type="spellStart"/>
      <w:r>
        <w:rPr>
          <w:sz w:val="22"/>
        </w:rPr>
        <w:t>Dutasterid</w:t>
      </w:r>
      <w:proofErr w:type="spellEnd"/>
      <w:r>
        <w:rPr>
          <w:sz w:val="22"/>
        </w:rPr>
        <w:t>/</w:t>
      </w:r>
      <w:proofErr w:type="spellStart"/>
      <w:r w:rsidR="00AB3CC7" w:rsidRPr="001575C3">
        <w:rPr>
          <w:sz w:val="22"/>
        </w:rPr>
        <w:t>tamsulozín</w:t>
      </w:r>
      <w:proofErr w:type="spellEnd"/>
      <w:r w:rsidR="00AB3CC7" w:rsidRPr="001575C3">
        <w:rPr>
          <w:sz w:val="22"/>
        </w:rPr>
        <w:t xml:space="preserve"> je kombinácia dvoch liečiv: </w:t>
      </w:r>
      <w:proofErr w:type="spellStart"/>
      <w:r w:rsidR="00AB3CC7" w:rsidRPr="001575C3">
        <w:rPr>
          <w:sz w:val="22"/>
        </w:rPr>
        <w:t>dutasteridu</w:t>
      </w:r>
      <w:proofErr w:type="spellEnd"/>
      <w:r w:rsidR="00AB3CC7" w:rsidRPr="001575C3">
        <w:rPr>
          <w:sz w:val="22"/>
        </w:rPr>
        <w:t>, duálny inhibítor 5</w:t>
      </w:r>
      <w:r w:rsidR="00AB3CC7" w:rsidRPr="001575C3">
        <w:rPr>
          <w:sz w:val="22"/>
        </w:rPr>
        <w:noBreakHyphen/>
        <w:t>alfa</w:t>
      </w:r>
      <w:r w:rsidR="00AB3CC7" w:rsidRPr="001575C3">
        <w:rPr>
          <w:sz w:val="22"/>
        </w:rPr>
        <w:noBreakHyphen/>
        <w:t xml:space="preserve"> </w:t>
      </w:r>
      <w:proofErr w:type="spellStart"/>
      <w:r w:rsidR="00AB3CC7" w:rsidRPr="001575C3">
        <w:rPr>
          <w:sz w:val="22"/>
        </w:rPr>
        <w:t>reduktázy</w:t>
      </w:r>
      <w:proofErr w:type="spellEnd"/>
      <w:r w:rsidR="00AB3CC7" w:rsidRPr="001575C3">
        <w:rPr>
          <w:sz w:val="22"/>
        </w:rPr>
        <w:t xml:space="preserve"> (5 ARI) a </w:t>
      </w:r>
      <w:proofErr w:type="spellStart"/>
      <w:r w:rsidR="00AB3CC7" w:rsidRPr="001575C3">
        <w:rPr>
          <w:sz w:val="22"/>
        </w:rPr>
        <w:t>tamsulozíniumchloridu</w:t>
      </w:r>
      <w:proofErr w:type="spellEnd"/>
      <w:r w:rsidR="00AB3CC7" w:rsidRPr="001575C3">
        <w:rPr>
          <w:sz w:val="22"/>
        </w:rPr>
        <w:t>, antagonista α</w:t>
      </w:r>
      <w:r w:rsidR="00AB3CC7" w:rsidRPr="001575C3">
        <w:rPr>
          <w:sz w:val="22"/>
          <w:vertAlign w:val="subscript"/>
        </w:rPr>
        <w:t xml:space="preserve">1a </w:t>
      </w:r>
      <w:r w:rsidR="00AB3CC7" w:rsidRPr="001575C3">
        <w:rPr>
          <w:sz w:val="22"/>
        </w:rPr>
        <w:t>a α</w:t>
      </w:r>
      <w:r w:rsidR="00AB3CC7" w:rsidRPr="001575C3">
        <w:rPr>
          <w:sz w:val="22"/>
          <w:vertAlign w:val="subscript"/>
        </w:rPr>
        <w:t>1d</w:t>
      </w:r>
      <w:r w:rsidR="00AB3CC7" w:rsidRPr="001575C3">
        <w:rPr>
          <w:sz w:val="22"/>
        </w:rPr>
        <w:t xml:space="preserve"> </w:t>
      </w:r>
      <w:proofErr w:type="spellStart"/>
      <w:r w:rsidR="00AB3CC7" w:rsidRPr="001575C3">
        <w:rPr>
          <w:sz w:val="22"/>
        </w:rPr>
        <w:t>adrenergických</w:t>
      </w:r>
      <w:proofErr w:type="spellEnd"/>
      <w:r w:rsidR="00AB3CC7" w:rsidRPr="001575C3">
        <w:rPr>
          <w:sz w:val="22"/>
        </w:rPr>
        <w:t xml:space="preserve"> receptorov. Tieto liečivá majú komplementárny mechanizmus účinku, ktorý rýchlo zlepšuje symptómy, prietok moču a znižuje riziko akútnej </w:t>
      </w:r>
      <w:proofErr w:type="spellStart"/>
      <w:r w:rsidR="00AB3CC7" w:rsidRPr="001575C3">
        <w:rPr>
          <w:sz w:val="22"/>
        </w:rPr>
        <w:t>retencie</w:t>
      </w:r>
      <w:proofErr w:type="spellEnd"/>
      <w:r w:rsidR="00AB3CC7" w:rsidRPr="001575C3">
        <w:rPr>
          <w:sz w:val="22"/>
        </w:rPr>
        <w:t xml:space="preserve"> moču (AUR) a potrebu operácie v súvislosti s BPH.</w:t>
      </w:r>
    </w:p>
    <w:p w14:paraId="757A1783" w14:textId="77777777" w:rsidR="00AB3CC7" w:rsidRPr="001575C3" w:rsidRDefault="00AB3CC7" w:rsidP="001575C3">
      <w:pPr>
        <w:jc w:val="left"/>
        <w:rPr>
          <w:sz w:val="22"/>
        </w:rPr>
      </w:pPr>
    </w:p>
    <w:p w14:paraId="67E4E75C" w14:textId="77777777" w:rsidR="00AB3CC7" w:rsidRPr="001575C3" w:rsidRDefault="00AB3CC7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inhibuje</w:t>
      </w:r>
      <w:proofErr w:type="spellEnd"/>
      <w:r w:rsidRPr="001575C3">
        <w:rPr>
          <w:sz w:val="22"/>
        </w:rPr>
        <w:t xml:space="preserve"> typ 1 aj typ 2 </w:t>
      </w:r>
      <w:proofErr w:type="spellStart"/>
      <w:r w:rsidRPr="001575C3">
        <w:rPr>
          <w:sz w:val="22"/>
        </w:rPr>
        <w:t>izoenzýmov</w:t>
      </w:r>
      <w:proofErr w:type="spellEnd"/>
      <w:r w:rsidRPr="001575C3">
        <w:rPr>
          <w:sz w:val="22"/>
        </w:rPr>
        <w:t xml:space="preserve"> 5</w:t>
      </w:r>
      <w:r w:rsidRPr="001575C3">
        <w:rPr>
          <w:sz w:val="22"/>
        </w:rPr>
        <w:noBreakHyphen/>
        <w:t>alfa</w:t>
      </w:r>
      <w:r w:rsidRPr="001575C3">
        <w:rPr>
          <w:sz w:val="22"/>
        </w:rPr>
        <w:noBreakHyphen/>
        <w:t xml:space="preserve">reduktázy, ktoré sú zodpovedné za konverziu </w:t>
      </w:r>
      <w:proofErr w:type="spellStart"/>
      <w:r w:rsidRPr="001575C3">
        <w:rPr>
          <w:sz w:val="22"/>
        </w:rPr>
        <w:t>testosterónu</w:t>
      </w:r>
      <w:proofErr w:type="spellEnd"/>
      <w:r w:rsidRPr="001575C3">
        <w:rPr>
          <w:sz w:val="22"/>
        </w:rPr>
        <w:t xml:space="preserve"> na </w:t>
      </w:r>
      <w:proofErr w:type="spellStart"/>
      <w:r w:rsidRPr="001575C3">
        <w:rPr>
          <w:sz w:val="22"/>
        </w:rPr>
        <w:t>dihydrotestosterón</w:t>
      </w:r>
      <w:proofErr w:type="spellEnd"/>
      <w:r w:rsidRPr="001575C3">
        <w:rPr>
          <w:sz w:val="22"/>
        </w:rPr>
        <w:t xml:space="preserve"> (DHT). DHT je </w:t>
      </w:r>
      <w:proofErr w:type="spellStart"/>
      <w:r w:rsidRPr="001575C3">
        <w:rPr>
          <w:sz w:val="22"/>
        </w:rPr>
        <w:t>androgén</w:t>
      </w:r>
      <w:proofErr w:type="spellEnd"/>
      <w:r w:rsidRPr="001575C3">
        <w:rPr>
          <w:sz w:val="22"/>
        </w:rPr>
        <w:t xml:space="preserve"> primárne zodpovedný za rast prostaty a vývoj BPH. 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inhibuje</w:t>
      </w:r>
      <w:proofErr w:type="spellEnd"/>
      <w:r w:rsidRPr="001575C3">
        <w:rPr>
          <w:sz w:val="22"/>
        </w:rPr>
        <w:t xml:space="preserve"> α</w:t>
      </w:r>
      <w:r w:rsidRPr="001575C3">
        <w:rPr>
          <w:sz w:val="22"/>
          <w:vertAlign w:val="subscript"/>
        </w:rPr>
        <w:t>1a</w:t>
      </w:r>
      <w:r w:rsidRPr="001575C3">
        <w:rPr>
          <w:sz w:val="22"/>
        </w:rPr>
        <w:t xml:space="preserve"> a α</w:t>
      </w:r>
      <w:r w:rsidRPr="001575C3">
        <w:rPr>
          <w:sz w:val="22"/>
          <w:vertAlign w:val="subscript"/>
        </w:rPr>
        <w:t>1d</w:t>
      </w:r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adrenergické</w:t>
      </w:r>
      <w:proofErr w:type="spellEnd"/>
      <w:r w:rsidRPr="001575C3">
        <w:rPr>
          <w:sz w:val="22"/>
        </w:rPr>
        <w:t xml:space="preserve"> receptory v hladkých svaloch </w:t>
      </w:r>
      <w:proofErr w:type="spellStart"/>
      <w:r w:rsidRPr="001575C3">
        <w:rPr>
          <w:sz w:val="22"/>
        </w:rPr>
        <w:t>strómy</w:t>
      </w:r>
      <w:proofErr w:type="spellEnd"/>
      <w:r w:rsidRPr="001575C3">
        <w:rPr>
          <w:sz w:val="22"/>
        </w:rPr>
        <w:t xml:space="preserve"> prostaty a </w:t>
      </w:r>
      <w:proofErr w:type="spellStart"/>
      <w:r w:rsidRPr="001575C3">
        <w:rPr>
          <w:sz w:val="22"/>
        </w:rPr>
        <w:t>uretry</w:t>
      </w:r>
      <w:proofErr w:type="spellEnd"/>
      <w:r w:rsidRPr="001575C3">
        <w:rPr>
          <w:sz w:val="22"/>
        </w:rPr>
        <w:t>. Približne 75 % α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>receptorov v prostate je α</w:t>
      </w:r>
      <w:r w:rsidRPr="001575C3">
        <w:rPr>
          <w:sz w:val="22"/>
          <w:vertAlign w:val="subscript"/>
        </w:rPr>
        <w:t>1a</w:t>
      </w:r>
      <w:r w:rsidRPr="001575C3">
        <w:rPr>
          <w:sz w:val="22"/>
        </w:rPr>
        <w:t xml:space="preserve"> podtyp.</w:t>
      </w:r>
    </w:p>
    <w:p w14:paraId="538CAE7B" w14:textId="77777777" w:rsidR="00AB3CC7" w:rsidRPr="001575C3" w:rsidRDefault="00AB3CC7" w:rsidP="001575C3">
      <w:pPr>
        <w:pStyle w:val="Bezriadkovania"/>
        <w:jc w:val="left"/>
        <w:rPr>
          <w:lang w:val="sk-SK"/>
        </w:rPr>
      </w:pPr>
    </w:p>
    <w:p w14:paraId="29A07645" w14:textId="77777777" w:rsidR="00AB3CC7" w:rsidRPr="001575C3" w:rsidRDefault="00AB3CC7" w:rsidP="001575C3">
      <w:pPr>
        <w:pStyle w:val="Bezriadkovania"/>
        <w:jc w:val="left"/>
        <w:rPr>
          <w:lang w:val="sk-SK"/>
        </w:rPr>
      </w:pPr>
      <w:r w:rsidRPr="001575C3">
        <w:rPr>
          <w:i/>
          <w:lang w:val="sk-SK"/>
        </w:rPr>
        <w:t xml:space="preserve">Súbežné podávanie </w:t>
      </w:r>
      <w:proofErr w:type="spellStart"/>
      <w:r w:rsidRPr="001575C3">
        <w:rPr>
          <w:i/>
          <w:lang w:val="sk-SK"/>
        </w:rPr>
        <w:t>dutasteridu</w:t>
      </w:r>
      <w:proofErr w:type="spellEnd"/>
      <w:r w:rsidRPr="001575C3">
        <w:rPr>
          <w:i/>
          <w:lang w:val="sk-SK"/>
        </w:rPr>
        <w:t xml:space="preserve"> s </w:t>
      </w:r>
      <w:proofErr w:type="spellStart"/>
      <w:r w:rsidRPr="001575C3">
        <w:rPr>
          <w:i/>
          <w:lang w:val="sk-SK"/>
        </w:rPr>
        <w:t>tamsulozínom</w:t>
      </w:r>
      <w:proofErr w:type="spellEnd"/>
    </w:p>
    <w:p w14:paraId="0BE600E6" w14:textId="77777777" w:rsidR="00AB3CC7" w:rsidRPr="001575C3" w:rsidRDefault="00AB3CC7" w:rsidP="001575C3">
      <w:pPr>
        <w:pStyle w:val="Bezriadkovania"/>
        <w:jc w:val="left"/>
        <w:rPr>
          <w:lang w:val="sk-SK"/>
        </w:rPr>
      </w:pPr>
    </w:p>
    <w:p w14:paraId="11BD2424" w14:textId="77777777" w:rsidR="00AB3CC7" w:rsidRPr="001575C3" w:rsidRDefault="00AB3CC7" w:rsidP="001575C3">
      <w:pPr>
        <w:pStyle w:val="Bezriadkovania"/>
        <w:jc w:val="left"/>
        <w:rPr>
          <w:lang w:val="sk-SK" w:eastAsia="en-GB"/>
        </w:rPr>
      </w:pPr>
      <w:r w:rsidRPr="001575C3">
        <w:rPr>
          <w:bCs/>
          <w:iCs/>
          <w:lang w:val="sk-SK"/>
        </w:rPr>
        <w:t xml:space="preserve">Nasledovné údaje odrážajú informácie dostupné zo súbežného podávania </w:t>
      </w:r>
      <w:proofErr w:type="spellStart"/>
      <w:r w:rsidRPr="001575C3">
        <w:rPr>
          <w:snapToGrid w:val="0"/>
          <w:lang w:val="sk-SK"/>
        </w:rPr>
        <w:t>dutasteridu</w:t>
      </w:r>
      <w:proofErr w:type="spellEnd"/>
      <w:r w:rsidRPr="001575C3">
        <w:rPr>
          <w:snapToGrid w:val="0"/>
          <w:lang w:val="sk-SK"/>
        </w:rPr>
        <w:t xml:space="preserve"> s </w:t>
      </w:r>
      <w:proofErr w:type="spellStart"/>
      <w:r w:rsidRPr="001575C3">
        <w:rPr>
          <w:snapToGrid w:val="0"/>
          <w:lang w:val="sk-SK"/>
        </w:rPr>
        <w:t>tamsulozínom</w:t>
      </w:r>
      <w:proofErr w:type="spellEnd"/>
      <w:r w:rsidRPr="001575C3">
        <w:rPr>
          <w:snapToGrid w:val="0"/>
          <w:lang w:val="sk-SK"/>
        </w:rPr>
        <w:t>.</w:t>
      </w:r>
    </w:p>
    <w:p w14:paraId="20202F7A" w14:textId="77777777" w:rsidR="00AB3CC7" w:rsidRPr="001575C3" w:rsidRDefault="00AB3CC7" w:rsidP="001575C3">
      <w:pPr>
        <w:pStyle w:val="Bezriadkovania"/>
        <w:jc w:val="left"/>
        <w:rPr>
          <w:lang w:val="sk-SK"/>
        </w:rPr>
      </w:pPr>
    </w:p>
    <w:p w14:paraId="1C6813B7" w14:textId="2875616E" w:rsidR="001F3B46" w:rsidRPr="001575C3" w:rsidRDefault="00AB3CC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Približne 53 % jedincov bolo predtým liečených inhibítorom 5</w:t>
      </w:r>
      <w:r w:rsidRPr="001575C3">
        <w:rPr>
          <w:lang w:val="sk-SK"/>
        </w:rPr>
        <w:noBreakHyphen/>
        <w:t>alfa</w:t>
      </w:r>
      <w:r w:rsidRPr="001575C3">
        <w:rPr>
          <w:lang w:val="sk-SK"/>
        </w:rPr>
        <w:noBreakHyphen/>
        <w:t>reduktázy alebo antagonistom alfa</w:t>
      </w:r>
      <w:r w:rsidRPr="001575C3">
        <w:rPr>
          <w:vertAlign w:val="subscript"/>
          <w:lang w:val="sk-SK"/>
        </w:rPr>
        <w:t>1</w:t>
      </w:r>
      <w:r w:rsidRPr="001575C3">
        <w:rPr>
          <w:lang w:val="sk-SK"/>
        </w:rPr>
        <w:noBreakHyphen/>
        <w:t xml:space="preserve">adrenergických receptorov. Primárnym </w:t>
      </w:r>
      <w:r w:rsidR="002E1741">
        <w:rPr>
          <w:lang w:val="sk-SK"/>
        </w:rPr>
        <w:t>cieľo</w:t>
      </w:r>
      <w:r w:rsidRPr="001575C3">
        <w:rPr>
          <w:lang w:val="sk-SK"/>
        </w:rPr>
        <w:t>vým ukazovateľom účinnosti počas prvých dvoch rokov liečby bola zmena medzinárodného skóre symptómov prostaty (</w:t>
      </w:r>
      <w:proofErr w:type="spellStart"/>
      <w:r w:rsidRPr="001575C3">
        <w:rPr>
          <w:lang w:val="sk-SK"/>
        </w:rPr>
        <w:t>International</w:t>
      </w:r>
      <w:proofErr w:type="spellEnd"/>
      <w:r w:rsidRPr="001575C3">
        <w:rPr>
          <w:lang w:val="sk-SK"/>
        </w:rPr>
        <w:t xml:space="preserve"> Prostate </w:t>
      </w:r>
      <w:proofErr w:type="spellStart"/>
      <w:r w:rsidRPr="001575C3">
        <w:rPr>
          <w:lang w:val="sk-SK"/>
        </w:rPr>
        <w:t>Symptom</w:t>
      </w:r>
      <w:proofErr w:type="spellEnd"/>
      <w:r w:rsidRPr="001575C3">
        <w:rPr>
          <w:lang w:val="sk-SK"/>
        </w:rPr>
        <w:t xml:space="preserve"> </w:t>
      </w:r>
      <w:proofErr w:type="spellStart"/>
      <w:r w:rsidRPr="001575C3">
        <w:rPr>
          <w:lang w:val="sk-SK"/>
        </w:rPr>
        <w:t>Score</w:t>
      </w:r>
      <w:proofErr w:type="spellEnd"/>
      <w:r w:rsidRPr="001575C3">
        <w:rPr>
          <w:lang w:val="sk-SK"/>
        </w:rPr>
        <w:t>, IPSS), čo je dotazník s ôsmymi otázkami vychádzajúci z AUA</w:t>
      </w:r>
      <w:r w:rsidRPr="001575C3">
        <w:rPr>
          <w:lang w:val="sk-SK"/>
        </w:rPr>
        <w:noBreakHyphen/>
        <w:t xml:space="preserve">SI s dodatočnou otázkou o kvalite života. </w:t>
      </w:r>
    </w:p>
    <w:p w14:paraId="0DCA3038" w14:textId="3A276FF6" w:rsidR="00AB3CC7" w:rsidRPr="001575C3" w:rsidRDefault="00AB3CC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Sekundárne </w:t>
      </w:r>
      <w:r w:rsidR="002E1741">
        <w:rPr>
          <w:lang w:val="sk-SK"/>
        </w:rPr>
        <w:t>cieľ</w:t>
      </w:r>
      <w:r w:rsidRPr="001575C3">
        <w:rPr>
          <w:lang w:val="sk-SK"/>
        </w:rPr>
        <w:t>ové ukazovatele účinnosti po 2 rokoch liečby zahŕňali maximálnu rýchlosť prietoku moču (</w:t>
      </w:r>
      <w:proofErr w:type="spellStart"/>
      <w:r w:rsidRPr="001575C3">
        <w:rPr>
          <w:lang w:val="sk-SK"/>
        </w:rPr>
        <w:t>Q</w:t>
      </w:r>
      <w:r w:rsidRPr="001575C3">
        <w:rPr>
          <w:vertAlign w:val="subscript"/>
          <w:lang w:val="sk-SK"/>
        </w:rPr>
        <w:t>max</w:t>
      </w:r>
      <w:proofErr w:type="spellEnd"/>
      <w:r w:rsidRPr="001575C3">
        <w:rPr>
          <w:lang w:val="sk-SK"/>
        </w:rPr>
        <w:t>) a objem prostaty. Pri kombinácii sa dosiahlo významné zlepšenie skóre IPSS od 3. mesiaca v porovnaní s 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a od 9. mesiaca v porovnaní s </w:t>
      </w:r>
      <w:proofErr w:type="spellStart"/>
      <w:r w:rsidRPr="001575C3">
        <w:rPr>
          <w:lang w:val="sk-SK"/>
        </w:rPr>
        <w:t>tamsulozínom</w:t>
      </w:r>
      <w:proofErr w:type="spellEnd"/>
      <w:r w:rsidRPr="001575C3">
        <w:rPr>
          <w:lang w:val="sk-SK"/>
        </w:rPr>
        <w:t>. Pokiaľ ide o </w:t>
      </w:r>
      <w:proofErr w:type="spellStart"/>
      <w:r w:rsidRPr="001575C3">
        <w:rPr>
          <w:lang w:val="sk-SK"/>
        </w:rPr>
        <w:t>Q</w:t>
      </w:r>
      <w:r w:rsidRPr="001575C3">
        <w:rPr>
          <w:vertAlign w:val="subscript"/>
          <w:lang w:val="sk-SK"/>
        </w:rPr>
        <w:t>max</w:t>
      </w:r>
      <w:proofErr w:type="spellEnd"/>
      <w:r w:rsidRPr="001575C3">
        <w:rPr>
          <w:lang w:val="sk-SK"/>
        </w:rPr>
        <w:t>, pri kombinácii sa dosiahlo významné zlepšenie od 6. mesiaca v porovnaní s 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aj </w:t>
      </w:r>
      <w:proofErr w:type="spellStart"/>
      <w:r w:rsidRPr="001575C3">
        <w:rPr>
          <w:lang w:val="sk-SK"/>
        </w:rPr>
        <w:t>tamsulozínom</w:t>
      </w:r>
      <w:proofErr w:type="spellEnd"/>
      <w:r w:rsidRPr="001575C3">
        <w:rPr>
          <w:lang w:val="sk-SK"/>
        </w:rPr>
        <w:t>.</w:t>
      </w:r>
    </w:p>
    <w:p w14:paraId="570E7A67" w14:textId="77777777" w:rsidR="00AB3CC7" w:rsidRPr="001575C3" w:rsidRDefault="00AB3CC7" w:rsidP="001575C3">
      <w:pPr>
        <w:pStyle w:val="Bezriadkovania"/>
        <w:jc w:val="left"/>
        <w:rPr>
          <w:lang w:val="sk-SK"/>
        </w:rPr>
      </w:pPr>
    </w:p>
    <w:p w14:paraId="65180406" w14:textId="00FC9352" w:rsidR="001F3B46" w:rsidRPr="001575C3" w:rsidRDefault="001F3B46" w:rsidP="001575C3">
      <w:pPr>
        <w:jc w:val="left"/>
        <w:rPr>
          <w:bCs/>
          <w:sz w:val="22"/>
        </w:rPr>
      </w:pPr>
      <w:r w:rsidRPr="001575C3">
        <w:rPr>
          <w:bCs/>
          <w:sz w:val="22"/>
        </w:rPr>
        <w:t xml:space="preserve">Kombinácia </w:t>
      </w:r>
      <w:proofErr w:type="spellStart"/>
      <w:r w:rsidRPr="001575C3">
        <w:rPr>
          <w:bCs/>
          <w:sz w:val="22"/>
        </w:rPr>
        <w:t>dutasteridu</w:t>
      </w:r>
      <w:proofErr w:type="spellEnd"/>
      <w:r w:rsidRPr="001575C3">
        <w:rPr>
          <w:bCs/>
          <w:sz w:val="22"/>
        </w:rPr>
        <w:t xml:space="preserve"> s </w:t>
      </w:r>
      <w:proofErr w:type="spellStart"/>
      <w:r w:rsidRPr="001575C3">
        <w:rPr>
          <w:bCs/>
          <w:sz w:val="22"/>
        </w:rPr>
        <w:t>tamsulozínom</w:t>
      </w:r>
      <w:proofErr w:type="spellEnd"/>
      <w:r w:rsidRPr="001575C3">
        <w:rPr>
          <w:bCs/>
          <w:sz w:val="22"/>
        </w:rPr>
        <w:t xml:space="preserve"> </w:t>
      </w:r>
      <w:r w:rsidR="002E1741" w:rsidRPr="00A379E5">
        <w:rPr>
          <w:bCs/>
          <w:sz w:val="22"/>
        </w:rPr>
        <w:t>vedie k výraznejšiemu </w:t>
      </w:r>
      <w:r w:rsidR="002E1741" w:rsidRPr="001575C3">
        <w:rPr>
          <w:bCs/>
          <w:sz w:val="22"/>
        </w:rPr>
        <w:t xml:space="preserve"> </w:t>
      </w:r>
      <w:r w:rsidRPr="001575C3">
        <w:rPr>
          <w:bCs/>
          <w:sz w:val="22"/>
        </w:rPr>
        <w:t>zlepšen</w:t>
      </w:r>
      <w:r w:rsidR="002E1741">
        <w:rPr>
          <w:bCs/>
          <w:sz w:val="22"/>
        </w:rPr>
        <w:t>iu</w:t>
      </w:r>
      <w:r w:rsidRPr="001575C3">
        <w:rPr>
          <w:bCs/>
          <w:sz w:val="22"/>
        </w:rPr>
        <w:t xml:space="preserve"> príznakov voči jednotlivým samotným zložkám. Po dvoch rokoch liečby ukázala súbežná liečba štatisticky významnú úpravu priemerného zlepšenia v skóre symptómov z východiskovej hodnoty </w:t>
      </w:r>
      <w:r w:rsidRPr="001575C3">
        <w:rPr>
          <w:bCs/>
          <w:sz w:val="22"/>
        </w:rPr>
        <w:noBreakHyphen/>
        <w:t>6,2 jednotky.</w:t>
      </w:r>
    </w:p>
    <w:p w14:paraId="655F4FE4" w14:textId="77777777" w:rsidR="001F3B46" w:rsidRPr="001575C3" w:rsidRDefault="001F3B46" w:rsidP="001575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bCs/>
          <w:sz w:val="22"/>
        </w:rPr>
      </w:pPr>
    </w:p>
    <w:p w14:paraId="5E08F520" w14:textId="7F0D5BDE" w:rsidR="001F3B46" w:rsidRPr="001575C3" w:rsidRDefault="001F3B46" w:rsidP="001575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bCs/>
          <w:sz w:val="22"/>
        </w:rPr>
      </w:pPr>
      <w:r w:rsidRPr="001575C3">
        <w:rPr>
          <w:bCs/>
          <w:sz w:val="22"/>
        </w:rPr>
        <w:t xml:space="preserve">Upravené priemerné zlepšenie v rýchlosti prietoku v porovnaní s východiskovou hodnotou bolo 2,4 ml/s. pri súbežnej liečbe, 1,9 ml/s. pri </w:t>
      </w:r>
      <w:proofErr w:type="spellStart"/>
      <w:r w:rsidRPr="001575C3">
        <w:rPr>
          <w:bCs/>
          <w:sz w:val="22"/>
        </w:rPr>
        <w:t>dutasteride</w:t>
      </w:r>
      <w:proofErr w:type="spellEnd"/>
      <w:r w:rsidRPr="001575C3">
        <w:rPr>
          <w:bCs/>
          <w:sz w:val="22"/>
        </w:rPr>
        <w:t xml:space="preserve"> a 0,9 ml/s. pri </w:t>
      </w:r>
      <w:proofErr w:type="spellStart"/>
      <w:r w:rsidRPr="001575C3">
        <w:rPr>
          <w:bCs/>
          <w:sz w:val="22"/>
        </w:rPr>
        <w:t>tamsulozíne</w:t>
      </w:r>
      <w:proofErr w:type="spellEnd"/>
      <w:r w:rsidRPr="001575C3">
        <w:rPr>
          <w:bCs/>
          <w:sz w:val="22"/>
        </w:rPr>
        <w:t>. Upravené priemerné zlepšenie v </w:t>
      </w:r>
      <w:r w:rsidRPr="001575C3">
        <w:rPr>
          <w:sz w:val="22"/>
        </w:rPr>
        <w:t>BPH Indexe dopadu</w:t>
      </w:r>
      <w:r w:rsidRPr="001575C3">
        <w:rPr>
          <w:bCs/>
          <w:sz w:val="22"/>
        </w:rPr>
        <w:t xml:space="preserve"> (</w:t>
      </w:r>
      <w:r w:rsidR="002E1741">
        <w:rPr>
          <w:sz w:val="22"/>
        </w:rPr>
        <w:t xml:space="preserve">BPH </w:t>
      </w:r>
      <w:proofErr w:type="spellStart"/>
      <w:r w:rsidR="002E1741">
        <w:rPr>
          <w:sz w:val="22"/>
        </w:rPr>
        <w:t>Impact</w:t>
      </w:r>
      <w:proofErr w:type="spellEnd"/>
      <w:r w:rsidR="002E1741">
        <w:rPr>
          <w:sz w:val="22"/>
        </w:rPr>
        <w:t xml:space="preserve"> Index- </w:t>
      </w:r>
      <w:r w:rsidRPr="001575C3">
        <w:rPr>
          <w:bCs/>
          <w:sz w:val="22"/>
        </w:rPr>
        <w:t xml:space="preserve">BII) v porovnaní </w:t>
      </w:r>
      <w:r w:rsidRPr="001575C3">
        <w:rPr>
          <w:bCs/>
          <w:sz w:val="22"/>
        </w:rPr>
        <w:lastRenderedPageBreak/>
        <w:t xml:space="preserve">s východiskovou hodnotou bolo </w:t>
      </w:r>
      <w:r w:rsidRPr="001575C3">
        <w:rPr>
          <w:bCs/>
          <w:sz w:val="22"/>
        </w:rPr>
        <w:noBreakHyphen/>
        <w:t xml:space="preserve">2,1 jednotky pri súbežnej liečbe, </w:t>
      </w:r>
      <w:r w:rsidRPr="001575C3">
        <w:rPr>
          <w:bCs/>
          <w:sz w:val="22"/>
        </w:rPr>
        <w:noBreakHyphen/>
        <w:t xml:space="preserve">1,7 jednotky pri </w:t>
      </w:r>
      <w:proofErr w:type="spellStart"/>
      <w:r w:rsidRPr="001575C3">
        <w:rPr>
          <w:bCs/>
          <w:sz w:val="22"/>
        </w:rPr>
        <w:t>dutasteride</w:t>
      </w:r>
      <w:proofErr w:type="spellEnd"/>
      <w:r w:rsidRPr="001575C3">
        <w:rPr>
          <w:bCs/>
          <w:sz w:val="22"/>
        </w:rPr>
        <w:t xml:space="preserve"> a </w:t>
      </w:r>
      <w:r w:rsidRPr="001575C3">
        <w:rPr>
          <w:bCs/>
          <w:sz w:val="22"/>
        </w:rPr>
        <w:noBreakHyphen/>
        <w:t xml:space="preserve">1,5 pri </w:t>
      </w:r>
      <w:proofErr w:type="spellStart"/>
      <w:r w:rsidRPr="001575C3">
        <w:rPr>
          <w:bCs/>
          <w:sz w:val="22"/>
        </w:rPr>
        <w:t>tamsulozíne</w:t>
      </w:r>
      <w:proofErr w:type="spellEnd"/>
      <w:r w:rsidRPr="001575C3">
        <w:rPr>
          <w:bCs/>
          <w:sz w:val="22"/>
        </w:rPr>
        <w:t xml:space="preserve">. Tieto zlepšenia v rýchlosti prietoku a BII boli štatisticky významné pri súbežnom podávaní v porovnaní s oboma </w:t>
      </w:r>
      <w:proofErr w:type="spellStart"/>
      <w:r w:rsidRPr="001575C3">
        <w:rPr>
          <w:bCs/>
          <w:sz w:val="22"/>
        </w:rPr>
        <w:t>monoterapiami</w:t>
      </w:r>
      <w:proofErr w:type="spellEnd"/>
      <w:r w:rsidRPr="001575C3">
        <w:rPr>
          <w:bCs/>
          <w:sz w:val="22"/>
        </w:rPr>
        <w:t>.</w:t>
      </w:r>
    </w:p>
    <w:p w14:paraId="37A4BAFE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p w14:paraId="75B202D4" w14:textId="77777777" w:rsidR="001F3B46" w:rsidRPr="001575C3" w:rsidRDefault="001F3B46" w:rsidP="001575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bCs/>
          <w:sz w:val="22"/>
        </w:rPr>
      </w:pPr>
      <w:r w:rsidRPr="001575C3">
        <w:rPr>
          <w:bCs/>
          <w:sz w:val="22"/>
        </w:rPr>
        <w:t>Zníženie celkového objemu prostaty a objemu</w:t>
      </w:r>
      <w:r w:rsidRPr="001575C3">
        <w:rPr>
          <w:sz w:val="22"/>
        </w:rPr>
        <w:t xml:space="preserve"> prechodnej </w:t>
      </w:r>
      <w:r w:rsidRPr="001575C3">
        <w:rPr>
          <w:bCs/>
          <w:sz w:val="22"/>
        </w:rPr>
        <w:t xml:space="preserve">zóny prostaty po dvoch rokoch liečby bolo štatisticky významné pri súbežnom podávaní v porovnaní so samotným </w:t>
      </w:r>
      <w:proofErr w:type="spellStart"/>
      <w:r w:rsidRPr="001575C3">
        <w:rPr>
          <w:bCs/>
          <w:sz w:val="22"/>
        </w:rPr>
        <w:t>tamsulozínom</w:t>
      </w:r>
      <w:proofErr w:type="spellEnd"/>
      <w:r w:rsidRPr="001575C3">
        <w:rPr>
          <w:bCs/>
          <w:sz w:val="22"/>
        </w:rPr>
        <w:t xml:space="preserve"> v </w:t>
      </w:r>
      <w:proofErr w:type="spellStart"/>
      <w:r w:rsidRPr="001575C3">
        <w:rPr>
          <w:bCs/>
          <w:sz w:val="22"/>
        </w:rPr>
        <w:t>monoterapii</w:t>
      </w:r>
      <w:proofErr w:type="spellEnd"/>
      <w:r w:rsidRPr="001575C3">
        <w:rPr>
          <w:bCs/>
          <w:sz w:val="22"/>
        </w:rPr>
        <w:t>.</w:t>
      </w:r>
    </w:p>
    <w:p w14:paraId="49236631" w14:textId="77777777" w:rsidR="001F3B46" w:rsidRPr="001575C3" w:rsidRDefault="001F3B46" w:rsidP="001575C3">
      <w:pPr>
        <w:jc w:val="left"/>
        <w:rPr>
          <w:sz w:val="22"/>
        </w:rPr>
      </w:pPr>
    </w:p>
    <w:p w14:paraId="1B203DDD" w14:textId="3E8A5E44" w:rsidR="001F3B46" w:rsidRPr="001575C3" w:rsidRDefault="001F3B46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 xml:space="preserve">Primárnym </w:t>
      </w:r>
      <w:r w:rsidR="002E1741">
        <w:rPr>
          <w:sz w:val="22"/>
        </w:rPr>
        <w:t>cieľ</w:t>
      </w:r>
      <w:r w:rsidRPr="001575C3">
        <w:rPr>
          <w:sz w:val="22"/>
        </w:rPr>
        <w:t>ovým ukazovateľom účinnosti po 4 rokoch liečby bol čas do objavenia sa prvej epizódy AUR alebo do potreby chirurgického zákroku súvisiaceho s BPH. Po 4 rokoch liečby sa pri kombinovanej liečbe štatisticky významne znížilo riziko AUR alebo chirurgického zákroku súvisiaceho s BPH (65,8 % zníženie rizika, p &lt; 0,001 [95 % CI 54,7 % až 74,1 %]) v porovnaní s </w:t>
      </w:r>
      <w:proofErr w:type="spellStart"/>
      <w:r w:rsidRPr="001575C3">
        <w:rPr>
          <w:sz w:val="22"/>
        </w:rPr>
        <w:t>monoterapiou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tamsulozínom</w:t>
      </w:r>
      <w:proofErr w:type="spellEnd"/>
      <w:r w:rsidRPr="001575C3">
        <w:rPr>
          <w:sz w:val="22"/>
        </w:rPr>
        <w:t xml:space="preserve">.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AUR alebo chirurgického zákroku súvisiaceho s BPH do 4. roka bola 4,2 % pri kombinovanej liečbe a 11,9 % pri </w:t>
      </w:r>
      <w:proofErr w:type="spellStart"/>
      <w:r w:rsidRPr="001575C3">
        <w:rPr>
          <w:sz w:val="22"/>
        </w:rPr>
        <w:t>tamsulozíne</w:t>
      </w:r>
      <w:proofErr w:type="spellEnd"/>
      <w:r w:rsidRPr="001575C3">
        <w:rPr>
          <w:sz w:val="22"/>
        </w:rPr>
        <w:t xml:space="preserve"> (p &lt; 0,001). V porovnaní s </w:t>
      </w:r>
      <w:proofErr w:type="spellStart"/>
      <w:r w:rsidRPr="001575C3">
        <w:rPr>
          <w:sz w:val="22"/>
        </w:rPr>
        <w:t>monoterapiou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sa pri kombinovanej liečbe znížilo riziko AUR alebo chirurgického zákroku súvisiaceho s BPH o 19,6 % (p = 0,18 [95 % CI </w:t>
      </w:r>
      <w:r w:rsidRPr="001575C3">
        <w:rPr>
          <w:sz w:val="22"/>
        </w:rPr>
        <w:noBreakHyphen/>
        <w:t xml:space="preserve">10,9 % až 41,7 %]).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AUR alebo chirurgického zákroku súvisiaceho s BPH do 4. roka bola 5,2 % pri </w:t>
      </w:r>
      <w:proofErr w:type="spellStart"/>
      <w:r w:rsidRPr="001575C3">
        <w:rPr>
          <w:sz w:val="22"/>
        </w:rPr>
        <w:t>dutasteride</w:t>
      </w:r>
      <w:proofErr w:type="spellEnd"/>
      <w:r w:rsidRPr="001575C3">
        <w:rPr>
          <w:sz w:val="22"/>
        </w:rPr>
        <w:t>.</w:t>
      </w:r>
    </w:p>
    <w:p w14:paraId="3EF20660" w14:textId="77777777" w:rsidR="001F3B46" w:rsidRPr="001575C3" w:rsidRDefault="001F3B46" w:rsidP="001575C3">
      <w:pPr>
        <w:jc w:val="left"/>
        <w:rPr>
          <w:sz w:val="22"/>
        </w:rPr>
      </w:pPr>
    </w:p>
    <w:p w14:paraId="3DAE3778" w14:textId="5D4F320A" w:rsidR="00472007" w:rsidRPr="001575C3" w:rsidRDefault="00472007" w:rsidP="001575C3">
      <w:pPr>
        <w:jc w:val="left"/>
        <w:rPr>
          <w:sz w:val="22"/>
        </w:rPr>
      </w:pPr>
      <w:r w:rsidRPr="001575C3">
        <w:rPr>
          <w:sz w:val="22"/>
        </w:rPr>
        <w:t xml:space="preserve">Sekundárne </w:t>
      </w:r>
      <w:r w:rsidR="002E1741">
        <w:rPr>
          <w:sz w:val="22"/>
        </w:rPr>
        <w:t>cieľ</w:t>
      </w:r>
      <w:r w:rsidRPr="001575C3">
        <w:rPr>
          <w:sz w:val="22"/>
        </w:rPr>
        <w:t>ové ukazovatele účinnosti po 4 rokoch liečby zahŕňali čas do klinickej progresie (definovanej kombinovane ako: zhoršenie skóre IPSS o </w:t>
      </w:r>
      <w:r w:rsidRPr="001575C3">
        <w:rPr>
          <w:sz w:val="22"/>
        </w:rPr>
        <w:sym w:font="Symbol" w:char="F0B3"/>
      </w:r>
      <w:r w:rsidRPr="001575C3">
        <w:rPr>
          <w:sz w:val="22"/>
        </w:rPr>
        <w:t> 4 body, epizódy AUR súvisiace s BPH, inkontinencia, infekcia močových ciest (UTI) a </w:t>
      </w:r>
      <w:proofErr w:type="spellStart"/>
      <w:r w:rsidRPr="001575C3">
        <w:rPr>
          <w:sz w:val="22"/>
        </w:rPr>
        <w:t>renálna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insuficiencia</w:t>
      </w:r>
      <w:proofErr w:type="spellEnd"/>
      <w:r w:rsidRPr="001575C3">
        <w:rPr>
          <w:sz w:val="22"/>
        </w:rPr>
        <w:t>), zmenu medzinárodného skóre symptómov prostaty (IPSS), maximálnu rýchlosť prietoku moču (</w:t>
      </w:r>
      <w:proofErr w:type="spellStart"/>
      <w:r w:rsidRPr="001575C3">
        <w:rPr>
          <w:sz w:val="22"/>
        </w:rPr>
        <w:t>Q</w:t>
      </w:r>
      <w:r w:rsidRPr="001575C3">
        <w:rPr>
          <w:sz w:val="22"/>
          <w:vertAlign w:val="subscript"/>
        </w:rPr>
        <w:t>max</w:t>
      </w:r>
      <w:proofErr w:type="spellEnd"/>
      <w:r w:rsidRPr="001575C3">
        <w:rPr>
          <w:sz w:val="22"/>
        </w:rPr>
        <w:t>) a objem prostaty. IPSS je dotazník s ôsmymi otázkami vychádzajúci z AUA</w:t>
      </w:r>
      <w:r w:rsidRPr="001575C3">
        <w:rPr>
          <w:sz w:val="22"/>
        </w:rPr>
        <w:noBreakHyphen/>
        <w:t>SI s dodatočnou otázkou o kvalite života. Výsledky po 4 rokoch liečby sú uvedené nižšie:</w:t>
      </w:r>
    </w:p>
    <w:p w14:paraId="4EC94016" w14:textId="77777777" w:rsidR="000B6C2B" w:rsidRPr="001575C3" w:rsidRDefault="000B6C2B" w:rsidP="001575C3">
      <w:pPr>
        <w:widowControl w:val="0"/>
        <w:jc w:val="left"/>
        <w:rPr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976"/>
        <w:gridCol w:w="1323"/>
        <w:gridCol w:w="1323"/>
        <w:gridCol w:w="1323"/>
      </w:tblGrid>
      <w:tr w:rsidR="00472007" w:rsidRPr="001575C3" w14:paraId="508EBCCC" w14:textId="77777777" w:rsidTr="007C721C">
        <w:tc>
          <w:tcPr>
            <w:tcW w:w="2235" w:type="dxa"/>
          </w:tcPr>
          <w:p w14:paraId="1159BD2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lastRenderedPageBreak/>
              <w:t>Parameter</w:t>
            </w:r>
          </w:p>
          <w:p w14:paraId="3ABA4FD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</w:p>
        </w:tc>
        <w:tc>
          <w:tcPr>
            <w:tcW w:w="2976" w:type="dxa"/>
          </w:tcPr>
          <w:p w14:paraId="1895E0AC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 xml:space="preserve">Časový ukazovateľ </w:t>
            </w:r>
          </w:p>
        </w:tc>
        <w:tc>
          <w:tcPr>
            <w:tcW w:w="1323" w:type="dxa"/>
          </w:tcPr>
          <w:p w14:paraId="48D8D9BC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 xml:space="preserve">Kombinácia </w:t>
            </w:r>
          </w:p>
        </w:tc>
        <w:tc>
          <w:tcPr>
            <w:tcW w:w="1323" w:type="dxa"/>
          </w:tcPr>
          <w:p w14:paraId="4225E46D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proofErr w:type="spellStart"/>
            <w:r w:rsidRPr="001575C3">
              <w:rPr>
                <w:sz w:val="22"/>
              </w:rPr>
              <w:t>Dutasterid</w:t>
            </w:r>
            <w:proofErr w:type="spellEnd"/>
          </w:p>
        </w:tc>
        <w:tc>
          <w:tcPr>
            <w:tcW w:w="1323" w:type="dxa"/>
          </w:tcPr>
          <w:p w14:paraId="42B90F5A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proofErr w:type="spellStart"/>
            <w:r w:rsidRPr="001575C3">
              <w:rPr>
                <w:sz w:val="22"/>
              </w:rPr>
              <w:t>Tamsulozín</w:t>
            </w:r>
            <w:proofErr w:type="spellEnd"/>
            <w:r w:rsidRPr="001575C3">
              <w:rPr>
                <w:sz w:val="22"/>
              </w:rPr>
              <w:t xml:space="preserve"> </w:t>
            </w:r>
          </w:p>
        </w:tc>
      </w:tr>
      <w:tr w:rsidR="00472007" w:rsidRPr="001575C3" w14:paraId="31E96C5E" w14:textId="77777777" w:rsidTr="007C721C">
        <w:tc>
          <w:tcPr>
            <w:tcW w:w="2235" w:type="dxa"/>
          </w:tcPr>
          <w:p w14:paraId="0EEDB46E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AUR alebo chirurgický zákrok súvisiaci s BPH (%)</w:t>
            </w:r>
          </w:p>
        </w:tc>
        <w:tc>
          <w:tcPr>
            <w:tcW w:w="2976" w:type="dxa"/>
          </w:tcPr>
          <w:p w14:paraId="502F9D07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proofErr w:type="spellStart"/>
            <w:r w:rsidRPr="001575C3">
              <w:rPr>
                <w:sz w:val="22"/>
              </w:rPr>
              <w:t>Incidencia</w:t>
            </w:r>
            <w:proofErr w:type="spellEnd"/>
            <w:r w:rsidRPr="001575C3">
              <w:rPr>
                <w:sz w:val="22"/>
              </w:rPr>
              <w:t xml:space="preserve"> v 48. mesiaci</w:t>
            </w:r>
          </w:p>
        </w:tc>
        <w:tc>
          <w:tcPr>
            <w:tcW w:w="1323" w:type="dxa"/>
          </w:tcPr>
          <w:p w14:paraId="4DA7F0CE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bCs/>
                <w:sz w:val="22"/>
                <w:lang w:eastAsia="en-GB"/>
              </w:rPr>
              <w:t>4,2</w:t>
            </w:r>
          </w:p>
        </w:tc>
        <w:tc>
          <w:tcPr>
            <w:tcW w:w="1323" w:type="dxa"/>
          </w:tcPr>
          <w:p w14:paraId="3ECDF1D1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bCs/>
                <w:sz w:val="22"/>
                <w:lang w:eastAsia="en-GB"/>
              </w:rPr>
              <w:t>5,2</w:t>
            </w:r>
          </w:p>
        </w:tc>
        <w:tc>
          <w:tcPr>
            <w:tcW w:w="1323" w:type="dxa"/>
          </w:tcPr>
          <w:p w14:paraId="7DC2B6BD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bCs/>
                <w:sz w:val="22"/>
                <w:lang w:eastAsia="en-GB"/>
              </w:rPr>
              <w:t>11,9a</w:t>
            </w:r>
          </w:p>
        </w:tc>
      </w:tr>
      <w:tr w:rsidR="00472007" w:rsidRPr="001575C3" w14:paraId="65ACD777" w14:textId="77777777" w:rsidTr="007C721C">
        <w:tc>
          <w:tcPr>
            <w:tcW w:w="2235" w:type="dxa"/>
          </w:tcPr>
          <w:p w14:paraId="62EF27CA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Klinická progresia* (%)</w:t>
            </w:r>
          </w:p>
        </w:tc>
        <w:tc>
          <w:tcPr>
            <w:tcW w:w="2976" w:type="dxa"/>
          </w:tcPr>
          <w:p w14:paraId="0BD661D4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</w:t>
            </w:r>
          </w:p>
        </w:tc>
        <w:tc>
          <w:tcPr>
            <w:tcW w:w="1323" w:type="dxa"/>
          </w:tcPr>
          <w:p w14:paraId="3A73B5A4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12,6</w:t>
            </w:r>
          </w:p>
        </w:tc>
        <w:tc>
          <w:tcPr>
            <w:tcW w:w="1323" w:type="dxa"/>
          </w:tcPr>
          <w:p w14:paraId="040C3431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17,8b</w:t>
            </w:r>
          </w:p>
        </w:tc>
        <w:tc>
          <w:tcPr>
            <w:tcW w:w="1323" w:type="dxa"/>
          </w:tcPr>
          <w:p w14:paraId="633AE695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21,5a</w:t>
            </w:r>
          </w:p>
        </w:tc>
      </w:tr>
      <w:tr w:rsidR="00472007" w:rsidRPr="001575C3" w14:paraId="1CC564E3" w14:textId="77777777" w:rsidTr="007C721C">
        <w:tc>
          <w:tcPr>
            <w:tcW w:w="2235" w:type="dxa"/>
          </w:tcPr>
          <w:p w14:paraId="32D2DB4E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IPSS (jednotky)</w:t>
            </w:r>
          </w:p>
        </w:tc>
        <w:tc>
          <w:tcPr>
            <w:tcW w:w="2976" w:type="dxa"/>
          </w:tcPr>
          <w:p w14:paraId="5E340877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[Východisková hodnota]</w:t>
            </w:r>
          </w:p>
          <w:p w14:paraId="0D35A1DD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 (Zmena oproti východiskovej hodnote)</w:t>
            </w:r>
          </w:p>
        </w:tc>
        <w:tc>
          <w:tcPr>
            <w:tcW w:w="1323" w:type="dxa"/>
          </w:tcPr>
          <w:p w14:paraId="5D8F4C96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[16,6]</w:t>
            </w:r>
          </w:p>
          <w:p w14:paraId="5D7A0443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-6,3</w:t>
            </w:r>
          </w:p>
        </w:tc>
        <w:tc>
          <w:tcPr>
            <w:tcW w:w="1323" w:type="dxa"/>
          </w:tcPr>
          <w:p w14:paraId="2D025C27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[16,4]</w:t>
            </w:r>
          </w:p>
          <w:p w14:paraId="4E960787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-5,3b</w:t>
            </w:r>
          </w:p>
        </w:tc>
        <w:tc>
          <w:tcPr>
            <w:tcW w:w="1323" w:type="dxa"/>
          </w:tcPr>
          <w:p w14:paraId="6CABAB32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[16,4]</w:t>
            </w:r>
          </w:p>
          <w:p w14:paraId="10D37F40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-3,8a</w:t>
            </w:r>
          </w:p>
        </w:tc>
      </w:tr>
      <w:tr w:rsidR="00472007" w:rsidRPr="001575C3" w14:paraId="100E01A7" w14:textId="77777777" w:rsidTr="007C721C">
        <w:tc>
          <w:tcPr>
            <w:tcW w:w="2235" w:type="dxa"/>
          </w:tcPr>
          <w:p w14:paraId="5BBC1980" w14:textId="1C0D8ED4" w:rsidR="00472007" w:rsidRPr="001575C3" w:rsidRDefault="00472007" w:rsidP="002E1741">
            <w:pPr>
              <w:keepNext/>
              <w:keepLines/>
              <w:jc w:val="left"/>
              <w:rPr>
                <w:sz w:val="22"/>
              </w:rPr>
            </w:pPr>
            <w:proofErr w:type="spellStart"/>
            <w:r w:rsidRPr="001575C3">
              <w:rPr>
                <w:sz w:val="22"/>
              </w:rPr>
              <w:t>Q</w:t>
            </w:r>
            <w:r w:rsidRPr="001575C3">
              <w:rPr>
                <w:sz w:val="22"/>
                <w:vertAlign w:val="subscript"/>
              </w:rPr>
              <w:t>max</w:t>
            </w:r>
            <w:proofErr w:type="spellEnd"/>
            <w:r w:rsidRPr="001575C3">
              <w:rPr>
                <w:sz w:val="22"/>
              </w:rPr>
              <w:t xml:space="preserve"> (ml/s)</w:t>
            </w:r>
          </w:p>
        </w:tc>
        <w:tc>
          <w:tcPr>
            <w:tcW w:w="2976" w:type="dxa"/>
          </w:tcPr>
          <w:p w14:paraId="5A2B36D0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[Východisková hodnota]</w:t>
            </w:r>
          </w:p>
          <w:p w14:paraId="46E2B84E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 (Zmena oproti východiskovej hodnote)</w:t>
            </w:r>
          </w:p>
        </w:tc>
        <w:tc>
          <w:tcPr>
            <w:tcW w:w="1323" w:type="dxa"/>
          </w:tcPr>
          <w:p w14:paraId="02C57403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[10,9]</w:t>
            </w:r>
          </w:p>
          <w:p w14:paraId="6C004B3D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2,4</w:t>
            </w:r>
          </w:p>
        </w:tc>
        <w:tc>
          <w:tcPr>
            <w:tcW w:w="1323" w:type="dxa"/>
          </w:tcPr>
          <w:p w14:paraId="62534D2F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[10,6]</w:t>
            </w:r>
          </w:p>
          <w:p w14:paraId="30C4F5BE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2,0</w:t>
            </w:r>
          </w:p>
        </w:tc>
        <w:tc>
          <w:tcPr>
            <w:tcW w:w="1323" w:type="dxa"/>
          </w:tcPr>
          <w:p w14:paraId="0F14428F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[10,7]</w:t>
            </w:r>
          </w:p>
          <w:p w14:paraId="174A14D6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0,7a</w:t>
            </w:r>
          </w:p>
        </w:tc>
      </w:tr>
      <w:tr w:rsidR="00472007" w:rsidRPr="001575C3" w14:paraId="3D6C66F2" w14:textId="77777777" w:rsidTr="007C721C">
        <w:tc>
          <w:tcPr>
            <w:tcW w:w="2235" w:type="dxa"/>
          </w:tcPr>
          <w:p w14:paraId="04622815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Objem prostaty (ml)</w:t>
            </w:r>
          </w:p>
        </w:tc>
        <w:tc>
          <w:tcPr>
            <w:tcW w:w="2976" w:type="dxa"/>
          </w:tcPr>
          <w:p w14:paraId="44A85AE3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[Východisková hodnota]</w:t>
            </w:r>
          </w:p>
          <w:p w14:paraId="09B3853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 (% zmena oproti východiskovej hodnote)</w:t>
            </w:r>
          </w:p>
        </w:tc>
        <w:tc>
          <w:tcPr>
            <w:tcW w:w="1323" w:type="dxa"/>
          </w:tcPr>
          <w:p w14:paraId="470A6526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[54,7]</w:t>
            </w:r>
          </w:p>
          <w:p w14:paraId="74D7384C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-27,3</w:t>
            </w:r>
          </w:p>
        </w:tc>
        <w:tc>
          <w:tcPr>
            <w:tcW w:w="1323" w:type="dxa"/>
          </w:tcPr>
          <w:p w14:paraId="7F979F1C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[54,6]</w:t>
            </w:r>
          </w:p>
          <w:p w14:paraId="76BFFDC3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-28,0</w:t>
            </w:r>
          </w:p>
        </w:tc>
        <w:tc>
          <w:tcPr>
            <w:tcW w:w="1323" w:type="dxa"/>
          </w:tcPr>
          <w:p w14:paraId="3E772723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[55,8]</w:t>
            </w:r>
          </w:p>
          <w:p w14:paraId="7C2548F2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+4,6a</w:t>
            </w:r>
          </w:p>
        </w:tc>
      </w:tr>
      <w:tr w:rsidR="00472007" w:rsidRPr="001575C3" w14:paraId="0CA9F36E" w14:textId="77777777" w:rsidTr="007C721C">
        <w:tc>
          <w:tcPr>
            <w:tcW w:w="2235" w:type="dxa"/>
          </w:tcPr>
          <w:p w14:paraId="02B635A6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O</w:t>
            </w:r>
            <w:r w:rsidRPr="001575C3">
              <w:rPr>
                <w:bCs/>
                <w:sz w:val="22"/>
              </w:rPr>
              <w:t>bjem</w:t>
            </w:r>
            <w:r w:rsidRPr="001575C3">
              <w:rPr>
                <w:sz w:val="22"/>
              </w:rPr>
              <w:t xml:space="preserve"> prechodnej </w:t>
            </w:r>
            <w:r w:rsidRPr="001575C3">
              <w:rPr>
                <w:bCs/>
                <w:sz w:val="22"/>
              </w:rPr>
              <w:t xml:space="preserve">zóny prostaty </w:t>
            </w:r>
            <w:r w:rsidRPr="001575C3">
              <w:rPr>
                <w:sz w:val="22"/>
              </w:rPr>
              <w:t>(ml)</w:t>
            </w:r>
            <w:r w:rsidRPr="001575C3">
              <w:rPr>
                <w:bCs/>
                <w:sz w:val="22"/>
                <w:lang w:eastAsia="en-GB"/>
              </w:rPr>
              <w:t>#</w:t>
            </w:r>
          </w:p>
          <w:p w14:paraId="2334CBB7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</w:p>
        </w:tc>
        <w:tc>
          <w:tcPr>
            <w:tcW w:w="2976" w:type="dxa"/>
          </w:tcPr>
          <w:p w14:paraId="3B77FDFB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[Východisková hodnota]</w:t>
            </w:r>
          </w:p>
          <w:p w14:paraId="05575024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 (% zmena oproti východiskovej hodnote)</w:t>
            </w:r>
          </w:p>
        </w:tc>
        <w:tc>
          <w:tcPr>
            <w:tcW w:w="1323" w:type="dxa"/>
          </w:tcPr>
          <w:p w14:paraId="01AA3346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[27,7]</w:t>
            </w:r>
          </w:p>
          <w:p w14:paraId="797DAEC3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-17,9</w:t>
            </w:r>
          </w:p>
        </w:tc>
        <w:tc>
          <w:tcPr>
            <w:tcW w:w="1323" w:type="dxa"/>
          </w:tcPr>
          <w:p w14:paraId="65A660BB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[30,3]</w:t>
            </w:r>
          </w:p>
          <w:p w14:paraId="3AD9CEE9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-26,5</w:t>
            </w:r>
          </w:p>
        </w:tc>
        <w:tc>
          <w:tcPr>
            <w:tcW w:w="1323" w:type="dxa"/>
          </w:tcPr>
          <w:p w14:paraId="50E3867A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[30,5]</w:t>
            </w:r>
          </w:p>
          <w:p w14:paraId="43AADB40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18,2a</w:t>
            </w:r>
          </w:p>
        </w:tc>
      </w:tr>
      <w:tr w:rsidR="00472007" w:rsidRPr="001575C3" w14:paraId="4F5643CA" w14:textId="77777777" w:rsidTr="007C721C">
        <w:tc>
          <w:tcPr>
            <w:tcW w:w="2235" w:type="dxa"/>
          </w:tcPr>
          <w:p w14:paraId="6EEC79E1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BPH Index dopadu (BII) (jednotky)</w:t>
            </w:r>
          </w:p>
        </w:tc>
        <w:tc>
          <w:tcPr>
            <w:tcW w:w="2976" w:type="dxa"/>
          </w:tcPr>
          <w:p w14:paraId="010CB26A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[Východisková hodnota]</w:t>
            </w:r>
          </w:p>
          <w:p w14:paraId="5F2541C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 (Zmena oproti východiskovej hodnote)</w:t>
            </w:r>
          </w:p>
        </w:tc>
        <w:tc>
          <w:tcPr>
            <w:tcW w:w="1323" w:type="dxa"/>
          </w:tcPr>
          <w:p w14:paraId="3359751E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[5,3]</w:t>
            </w:r>
          </w:p>
          <w:p w14:paraId="09EECE94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-2,2</w:t>
            </w:r>
          </w:p>
        </w:tc>
        <w:tc>
          <w:tcPr>
            <w:tcW w:w="1323" w:type="dxa"/>
          </w:tcPr>
          <w:p w14:paraId="2977AC9A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[5,3]</w:t>
            </w:r>
          </w:p>
          <w:p w14:paraId="6F25698F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-1,8b</w:t>
            </w:r>
          </w:p>
        </w:tc>
        <w:tc>
          <w:tcPr>
            <w:tcW w:w="1323" w:type="dxa"/>
          </w:tcPr>
          <w:p w14:paraId="094F7615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[5,3]</w:t>
            </w:r>
          </w:p>
          <w:p w14:paraId="4871C31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-1,2a</w:t>
            </w:r>
          </w:p>
        </w:tc>
      </w:tr>
      <w:tr w:rsidR="00472007" w:rsidRPr="001575C3" w14:paraId="638C94F2" w14:textId="77777777" w:rsidTr="007C721C">
        <w:tc>
          <w:tcPr>
            <w:tcW w:w="2235" w:type="dxa"/>
          </w:tcPr>
          <w:p w14:paraId="3B736E94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IPSS otázka 8 (BPH - súvisiaca so zdravotným stavom) (jednotky)</w:t>
            </w:r>
          </w:p>
        </w:tc>
        <w:tc>
          <w:tcPr>
            <w:tcW w:w="2976" w:type="dxa"/>
          </w:tcPr>
          <w:p w14:paraId="56660792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[Východisková hodnota]</w:t>
            </w:r>
          </w:p>
          <w:p w14:paraId="233D43C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48. mesiac (Zmena oproti východiskovej hodnote)</w:t>
            </w:r>
          </w:p>
        </w:tc>
        <w:tc>
          <w:tcPr>
            <w:tcW w:w="1323" w:type="dxa"/>
          </w:tcPr>
          <w:p w14:paraId="005E1E09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[3,6]</w:t>
            </w:r>
          </w:p>
          <w:p w14:paraId="35B2F299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-1,5</w:t>
            </w:r>
          </w:p>
        </w:tc>
        <w:tc>
          <w:tcPr>
            <w:tcW w:w="1323" w:type="dxa"/>
          </w:tcPr>
          <w:p w14:paraId="2D119B52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[3,6]</w:t>
            </w:r>
          </w:p>
          <w:p w14:paraId="17806272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-1,3b</w:t>
            </w:r>
          </w:p>
        </w:tc>
        <w:tc>
          <w:tcPr>
            <w:tcW w:w="1323" w:type="dxa"/>
          </w:tcPr>
          <w:p w14:paraId="334D7818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[3,6]</w:t>
            </w:r>
          </w:p>
          <w:p w14:paraId="3E0511E7" w14:textId="77777777" w:rsidR="00472007" w:rsidRPr="001575C3" w:rsidRDefault="00472007" w:rsidP="001575C3">
            <w:pPr>
              <w:keepNext/>
              <w:keepLines/>
              <w:jc w:val="left"/>
              <w:rPr>
                <w:sz w:val="22"/>
              </w:rPr>
            </w:pPr>
            <w:r w:rsidRPr="001575C3">
              <w:rPr>
                <w:sz w:val="22"/>
              </w:rPr>
              <w:t>-1,1a</w:t>
            </w:r>
          </w:p>
        </w:tc>
      </w:tr>
    </w:tbl>
    <w:p w14:paraId="5F92D048" w14:textId="77777777" w:rsidR="00472007" w:rsidRPr="001575C3" w:rsidRDefault="00472007" w:rsidP="001575C3">
      <w:pPr>
        <w:widowControl w:val="0"/>
        <w:jc w:val="left"/>
        <w:rPr>
          <w:sz w:val="22"/>
        </w:rPr>
      </w:pPr>
    </w:p>
    <w:p w14:paraId="154A6F18" w14:textId="77777777" w:rsidR="00472007" w:rsidRPr="001575C3" w:rsidRDefault="00472007" w:rsidP="001575C3">
      <w:pPr>
        <w:jc w:val="left"/>
        <w:rPr>
          <w:sz w:val="22"/>
        </w:rPr>
      </w:pPr>
      <w:r w:rsidRPr="001575C3">
        <w:rPr>
          <w:sz w:val="22"/>
        </w:rPr>
        <w:t>Východiskové hodnoty sú priemerné hodnoty a zmeny od východiskového stavu sú upravené priemerné zmeny.</w:t>
      </w:r>
    </w:p>
    <w:p w14:paraId="6394B67F" w14:textId="77777777" w:rsidR="00472007" w:rsidRPr="001575C3" w:rsidRDefault="00472007" w:rsidP="001575C3">
      <w:pPr>
        <w:jc w:val="left"/>
        <w:rPr>
          <w:sz w:val="22"/>
        </w:rPr>
      </w:pPr>
      <w:r w:rsidRPr="001575C3">
        <w:rPr>
          <w:sz w:val="22"/>
        </w:rPr>
        <w:t>* Klinická progresia bola definovaná kombinovane ako: zhoršenie skóre IPSS o </w:t>
      </w:r>
      <w:r w:rsidRPr="001575C3">
        <w:rPr>
          <w:sz w:val="22"/>
        </w:rPr>
        <w:sym w:font="Symbol" w:char="F0B3"/>
      </w:r>
      <w:r w:rsidRPr="001575C3">
        <w:rPr>
          <w:sz w:val="22"/>
        </w:rPr>
        <w:t> 4 body, epizódy AUR súvisiace s BPH, inkontinencia, UTI a </w:t>
      </w:r>
      <w:proofErr w:type="spellStart"/>
      <w:r w:rsidRPr="001575C3">
        <w:rPr>
          <w:sz w:val="22"/>
        </w:rPr>
        <w:t>renálna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insuficiencia</w:t>
      </w:r>
      <w:proofErr w:type="spellEnd"/>
      <w:r w:rsidRPr="001575C3">
        <w:rPr>
          <w:sz w:val="22"/>
        </w:rPr>
        <w:t>.</w:t>
      </w:r>
    </w:p>
    <w:p w14:paraId="5B2A0A9D" w14:textId="77777777" w:rsidR="00472007" w:rsidRPr="001575C3" w:rsidRDefault="00472007" w:rsidP="001575C3">
      <w:pPr>
        <w:jc w:val="left"/>
        <w:rPr>
          <w:sz w:val="22"/>
        </w:rPr>
      </w:pPr>
      <w:r w:rsidRPr="001575C3">
        <w:rPr>
          <w:sz w:val="22"/>
        </w:rPr>
        <w:t xml:space="preserve"># Meraný vo vybraných miestach štúdie (13 % </w:t>
      </w:r>
      <w:proofErr w:type="spellStart"/>
      <w:r w:rsidRPr="001575C3">
        <w:rPr>
          <w:sz w:val="22"/>
        </w:rPr>
        <w:t>randomizovaných</w:t>
      </w:r>
      <w:proofErr w:type="spellEnd"/>
      <w:r w:rsidRPr="001575C3">
        <w:rPr>
          <w:sz w:val="22"/>
        </w:rPr>
        <w:t xml:space="preserve"> pacientov)</w:t>
      </w:r>
    </w:p>
    <w:p w14:paraId="76E61920" w14:textId="77777777" w:rsidR="00472007" w:rsidRPr="001575C3" w:rsidRDefault="00472007" w:rsidP="001575C3">
      <w:pPr>
        <w:jc w:val="left"/>
        <w:rPr>
          <w:rFonts w:eastAsia="MS Mincho"/>
          <w:sz w:val="22"/>
          <w:lang w:eastAsia="ja-JP"/>
        </w:rPr>
      </w:pPr>
      <w:r w:rsidRPr="001575C3">
        <w:rPr>
          <w:sz w:val="22"/>
        </w:rPr>
        <w:t xml:space="preserve">a. Pri kombinácii sa dosiahlo významné zlepšenie </w:t>
      </w:r>
      <w:r w:rsidRPr="001575C3">
        <w:rPr>
          <w:rFonts w:eastAsia="MS Mincho"/>
          <w:sz w:val="22"/>
          <w:lang w:eastAsia="ja-JP"/>
        </w:rPr>
        <w:t xml:space="preserve">(p &lt; 0,001) oproti </w:t>
      </w:r>
      <w:proofErr w:type="spellStart"/>
      <w:r w:rsidRPr="001575C3">
        <w:rPr>
          <w:rFonts w:eastAsia="MS Mincho"/>
          <w:sz w:val="22"/>
          <w:lang w:eastAsia="ja-JP"/>
        </w:rPr>
        <w:t>tamsulozínu</w:t>
      </w:r>
      <w:proofErr w:type="spellEnd"/>
      <w:r w:rsidRPr="001575C3">
        <w:rPr>
          <w:rFonts w:eastAsia="MS Mincho"/>
          <w:sz w:val="22"/>
          <w:lang w:eastAsia="ja-JP"/>
        </w:rPr>
        <w:t xml:space="preserve"> v 48. mesiaci</w:t>
      </w:r>
    </w:p>
    <w:p w14:paraId="745ED6A2" w14:textId="77777777" w:rsidR="00472007" w:rsidRPr="001575C3" w:rsidRDefault="00472007" w:rsidP="001575C3">
      <w:pPr>
        <w:jc w:val="left"/>
        <w:rPr>
          <w:sz w:val="22"/>
        </w:rPr>
      </w:pPr>
      <w:r w:rsidRPr="001575C3">
        <w:rPr>
          <w:rFonts w:eastAsia="MS Mincho"/>
          <w:sz w:val="22"/>
          <w:lang w:eastAsia="ja-JP"/>
        </w:rPr>
        <w:t xml:space="preserve">b. </w:t>
      </w:r>
      <w:r w:rsidRPr="001575C3">
        <w:rPr>
          <w:sz w:val="22"/>
        </w:rPr>
        <w:t xml:space="preserve">Pri kombinácii sa dosiahlo významné zlepšenie </w:t>
      </w:r>
      <w:r w:rsidRPr="001575C3">
        <w:rPr>
          <w:rFonts w:eastAsia="MS Mincho"/>
          <w:sz w:val="22"/>
          <w:lang w:eastAsia="ja-JP"/>
        </w:rPr>
        <w:t xml:space="preserve">(p &lt; 0,001) oproti </w:t>
      </w:r>
      <w:proofErr w:type="spellStart"/>
      <w:r w:rsidRPr="001575C3">
        <w:rPr>
          <w:rFonts w:eastAsia="MS Mincho"/>
          <w:sz w:val="22"/>
          <w:lang w:eastAsia="ja-JP"/>
        </w:rPr>
        <w:t>dutasteridu</w:t>
      </w:r>
      <w:proofErr w:type="spellEnd"/>
      <w:r w:rsidRPr="001575C3">
        <w:rPr>
          <w:rFonts w:eastAsia="MS Mincho"/>
          <w:sz w:val="22"/>
          <w:lang w:eastAsia="ja-JP"/>
        </w:rPr>
        <w:t xml:space="preserve"> v 48. mesiaci</w:t>
      </w:r>
    </w:p>
    <w:p w14:paraId="755D0859" w14:textId="77777777" w:rsidR="00472007" w:rsidRPr="001575C3" w:rsidRDefault="00472007" w:rsidP="001575C3">
      <w:pPr>
        <w:jc w:val="left"/>
        <w:rPr>
          <w:sz w:val="22"/>
        </w:rPr>
      </w:pPr>
    </w:p>
    <w:p w14:paraId="6C45CF74" w14:textId="77777777" w:rsidR="00472007" w:rsidRPr="001575C3" w:rsidRDefault="00472007" w:rsidP="001575C3">
      <w:pPr>
        <w:keepNext/>
        <w:keepLines/>
        <w:jc w:val="left"/>
        <w:rPr>
          <w:sz w:val="22"/>
        </w:rPr>
      </w:pPr>
      <w:proofErr w:type="spellStart"/>
      <w:r w:rsidRPr="001575C3">
        <w:rPr>
          <w:i/>
          <w:sz w:val="22"/>
        </w:rPr>
        <w:t>Dutasterid</w:t>
      </w:r>
      <w:proofErr w:type="spellEnd"/>
    </w:p>
    <w:p w14:paraId="4D34926C" w14:textId="77777777" w:rsidR="00472007" w:rsidRPr="001575C3" w:rsidRDefault="00472007" w:rsidP="001575C3">
      <w:pPr>
        <w:keepNext/>
        <w:keepLines/>
        <w:jc w:val="left"/>
        <w:rPr>
          <w:i/>
          <w:sz w:val="22"/>
        </w:rPr>
      </w:pPr>
    </w:p>
    <w:p w14:paraId="74E207AE" w14:textId="77777777" w:rsidR="00472007" w:rsidRPr="001575C3" w:rsidRDefault="00472007" w:rsidP="001575C3">
      <w:pPr>
        <w:keepNext/>
        <w:keepLines/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v dávke 0,5 mg/deň alebo </w:t>
      </w:r>
      <w:proofErr w:type="spellStart"/>
      <w:r w:rsidRPr="001575C3">
        <w:rPr>
          <w:sz w:val="22"/>
        </w:rPr>
        <w:t>placebo</w:t>
      </w:r>
      <w:proofErr w:type="spellEnd"/>
      <w:r w:rsidRPr="001575C3">
        <w:rPr>
          <w:sz w:val="22"/>
        </w:rPr>
        <w:t xml:space="preserve"> boli vyhodnotené u 4 325 mužov so stredne ťažkými až ťažkými symptómami BPH, ktorí mali prostatu </w:t>
      </w:r>
      <w:r w:rsidRPr="001575C3">
        <w:rPr>
          <w:sz w:val="22"/>
        </w:rPr>
        <w:sym w:font="Symbol" w:char="F0B3"/>
      </w:r>
      <w:r w:rsidRPr="001575C3">
        <w:rPr>
          <w:sz w:val="22"/>
        </w:rPr>
        <w:t> 30 ml a hodnotu PSA v rozsahu 1,5 – 10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/ml, v troch 2</w:t>
      </w:r>
      <w:r w:rsidRPr="001575C3">
        <w:rPr>
          <w:sz w:val="22"/>
        </w:rPr>
        <w:noBreakHyphen/>
        <w:t xml:space="preserve">ročných </w:t>
      </w:r>
      <w:proofErr w:type="spellStart"/>
      <w:r w:rsidRPr="001575C3">
        <w:rPr>
          <w:sz w:val="22"/>
        </w:rPr>
        <w:t>multicentrických</w:t>
      </w:r>
      <w:proofErr w:type="spellEnd"/>
      <w:r w:rsidRPr="001575C3">
        <w:rPr>
          <w:sz w:val="22"/>
        </w:rPr>
        <w:t xml:space="preserve">, medzinárodných,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kontrolovaných, dvojito</w:t>
      </w:r>
      <w:r w:rsidRPr="001575C3">
        <w:rPr>
          <w:sz w:val="22"/>
        </w:rPr>
        <w:noBreakHyphen/>
        <w:t xml:space="preserve">zaslepených štúdiách primárnej účinnosti. Štúdie potom pokračovali do 4 rokov ako predĺžené otvorené so všetkými pacientmi zostávajúcimi v štúdii, ktorí užívali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v rovnakej dávke 0,5 mg. 37 % pacientov pôvodne </w:t>
      </w:r>
      <w:proofErr w:type="spellStart"/>
      <w:r w:rsidRPr="001575C3">
        <w:rPr>
          <w:sz w:val="22"/>
        </w:rPr>
        <w:t>randomizovaných</w:t>
      </w:r>
      <w:proofErr w:type="spellEnd"/>
      <w:r w:rsidRPr="001575C3">
        <w:rPr>
          <w:sz w:val="22"/>
        </w:rPr>
        <w:t xml:space="preserve"> k </w:t>
      </w:r>
      <w:proofErr w:type="spellStart"/>
      <w:r w:rsidRPr="001575C3">
        <w:rPr>
          <w:sz w:val="22"/>
        </w:rPr>
        <w:t>placebu</w:t>
      </w:r>
      <w:proofErr w:type="spellEnd"/>
      <w:r w:rsidRPr="001575C3">
        <w:rPr>
          <w:sz w:val="22"/>
        </w:rPr>
        <w:t xml:space="preserve"> a 40 % pacientov </w:t>
      </w:r>
      <w:proofErr w:type="spellStart"/>
      <w:r w:rsidRPr="001575C3">
        <w:rPr>
          <w:sz w:val="22"/>
        </w:rPr>
        <w:t>randomizovaných</w:t>
      </w:r>
      <w:proofErr w:type="spellEnd"/>
      <w:r w:rsidRPr="001575C3">
        <w:rPr>
          <w:sz w:val="22"/>
        </w:rPr>
        <w:t xml:space="preserve"> k 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zostalo v štúdii 4 roky. Väčšina (71 %) z 2 340 jedincov v predĺženej otvorenej štúdii dokončila ďalšie 2 roky otvorenej liečby.</w:t>
      </w:r>
    </w:p>
    <w:p w14:paraId="1E4D4442" w14:textId="77777777" w:rsidR="00472007" w:rsidRPr="001575C3" w:rsidRDefault="00472007" w:rsidP="001575C3">
      <w:pPr>
        <w:pStyle w:val="Bezriadkovania"/>
        <w:jc w:val="left"/>
        <w:rPr>
          <w:lang w:val="sk-SK"/>
        </w:rPr>
      </w:pPr>
    </w:p>
    <w:p w14:paraId="23C8AE90" w14:textId="77777777" w:rsidR="00472007" w:rsidRPr="001575C3" w:rsidRDefault="00472007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Najdôležitejšími parametrami klinickej účinnosti bol Index symptómov Americkej urologickej asociácie (AUA</w:t>
      </w:r>
      <w:r w:rsidRPr="001575C3">
        <w:rPr>
          <w:lang w:val="sk-SK"/>
        </w:rPr>
        <w:noBreakHyphen/>
        <w:t>SI), maximálny prietok moču (</w:t>
      </w:r>
      <w:proofErr w:type="spellStart"/>
      <w:r w:rsidRPr="001575C3">
        <w:rPr>
          <w:lang w:val="sk-SK"/>
        </w:rPr>
        <w:t>Q</w:t>
      </w:r>
      <w:r w:rsidRPr="001575C3">
        <w:rPr>
          <w:vertAlign w:val="subscript"/>
          <w:lang w:val="sk-SK"/>
        </w:rPr>
        <w:t>max</w:t>
      </w:r>
      <w:proofErr w:type="spellEnd"/>
      <w:r w:rsidRPr="001575C3">
        <w:rPr>
          <w:lang w:val="sk-SK"/>
        </w:rPr>
        <w:t xml:space="preserve">) a výskyt akútnej </w:t>
      </w:r>
      <w:proofErr w:type="spellStart"/>
      <w:r w:rsidRPr="001575C3">
        <w:rPr>
          <w:lang w:val="sk-SK"/>
        </w:rPr>
        <w:t>retencie</w:t>
      </w:r>
      <w:proofErr w:type="spellEnd"/>
      <w:r w:rsidRPr="001575C3">
        <w:rPr>
          <w:lang w:val="sk-SK"/>
        </w:rPr>
        <w:t xml:space="preserve"> moču a chirurgického zákroku súvisiaceho s BPH.</w:t>
      </w:r>
    </w:p>
    <w:p w14:paraId="791021CE" w14:textId="1540533F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4B34EC5C" w14:textId="69AF2228" w:rsidR="00472007" w:rsidRPr="001575C3" w:rsidRDefault="00472007" w:rsidP="001575C3">
      <w:pPr>
        <w:jc w:val="left"/>
        <w:rPr>
          <w:sz w:val="22"/>
        </w:rPr>
      </w:pPr>
      <w:r w:rsidRPr="001575C3">
        <w:rPr>
          <w:sz w:val="22"/>
        </w:rPr>
        <w:t>AUA</w:t>
      </w:r>
      <w:r w:rsidRPr="001575C3">
        <w:rPr>
          <w:sz w:val="22"/>
        </w:rPr>
        <w:noBreakHyphen/>
        <w:t xml:space="preserve">SI je </w:t>
      </w:r>
      <w:proofErr w:type="spellStart"/>
      <w:r w:rsidRPr="001575C3">
        <w:rPr>
          <w:sz w:val="22"/>
        </w:rPr>
        <w:t>sedempoložkový</w:t>
      </w:r>
      <w:proofErr w:type="spellEnd"/>
      <w:r w:rsidRPr="001575C3">
        <w:rPr>
          <w:sz w:val="22"/>
        </w:rPr>
        <w:t xml:space="preserve"> dotazník o symptómoch týkajúcich sa BPH s maximálnym bodovým skóre 35. Na začiatku štúdií mali pacienti priemerné skóre približne 17. Po </w:t>
      </w:r>
      <w:r w:rsidRPr="001575C3">
        <w:rPr>
          <w:sz w:val="22"/>
        </w:rPr>
        <w:lastRenderedPageBreak/>
        <w:t xml:space="preserve">šesťmesačnej, jednoročnej a dvojročnej liečbe mala skupina s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priemerné zlepšenia o 2,5; </w:t>
      </w:r>
      <w:smartTag w:uri="urn:schemas-microsoft-com:office:smarttags" w:element="metricconverter">
        <w:smartTagPr>
          <w:attr w:name="ProductID" w:val="2,5 a"/>
        </w:smartTagPr>
        <w:r w:rsidRPr="001575C3">
          <w:rPr>
            <w:sz w:val="22"/>
          </w:rPr>
          <w:t>2,5 a</w:t>
        </w:r>
      </w:smartTag>
      <w:r w:rsidRPr="001575C3">
        <w:rPr>
          <w:sz w:val="22"/>
        </w:rPr>
        <w:t xml:space="preserve"> 2,3 bodu, zatiaľ čo skupina s </w:t>
      </w:r>
      <w:proofErr w:type="spellStart"/>
      <w:r w:rsidR="002E0DF6"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sa zlepšila o 3,2; </w:t>
      </w:r>
      <w:smartTag w:uri="urn:schemas-microsoft-com:office:smarttags" w:element="metricconverter">
        <w:smartTagPr>
          <w:attr w:name="ProductID" w:val="3,8 a"/>
        </w:smartTagPr>
        <w:r w:rsidRPr="001575C3">
          <w:rPr>
            <w:sz w:val="22"/>
          </w:rPr>
          <w:t>3,8 a</w:t>
        </w:r>
      </w:smartTag>
      <w:r w:rsidRPr="001575C3">
        <w:rPr>
          <w:sz w:val="22"/>
        </w:rPr>
        <w:t xml:space="preserve"> 4,5 bodu. Rozdiely medzi skupinami boli štatisticky </w:t>
      </w:r>
      <w:proofErr w:type="spellStart"/>
      <w:r w:rsidRPr="001575C3">
        <w:rPr>
          <w:sz w:val="22"/>
        </w:rPr>
        <w:t>signifikantné</w:t>
      </w:r>
      <w:proofErr w:type="spellEnd"/>
      <w:r w:rsidRPr="001575C3">
        <w:rPr>
          <w:sz w:val="22"/>
        </w:rPr>
        <w:t>. Zlepšenie uvedené v AUA</w:t>
      </w:r>
      <w:r w:rsidRPr="001575C3">
        <w:rPr>
          <w:sz w:val="22"/>
        </w:rPr>
        <w:noBreakHyphen/>
        <w:t>SI pozorované počas prvých 2 rokov dvojito zaslepenej liečby sa zachovalo počas ďalších 2 rokov predĺžených otvorených štúdií.</w:t>
      </w:r>
    </w:p>
    <w:p w14:paraId="69211E81" w14:textId="77777777" w:rsidR="000B6C2B" w:rsidRPr="001575C3" w:rsidRDefault="000B6C2B" w:rsidP="001575C3">
      <w:pPr>
        <w:pStyle w:val="Nadpis2"/>
        <w:spacing w:after="8" w:line="251" w:lineRule="auto"/>
        <w:ind w:left="-5"/>
        <w:rPr>
          <w:i/>
          <w:sz w:val="22"/>
          <w:u w:val="none"/>
          <w:lang w:val="sk-SK"/>
        </w:rPr>
      </w:pPr>
    </w:p>
    <w:p w14:paraId="0455E754" w14:textId="77777777" w:rsidR="0020200E" w:rsidRPr="001575C3" w:rsidRDefault="0020200E" w:rsidP="001575C3">
      <w:pPr>
        <w:keepNext/>
        <w:keepLines/>
        <w:jc w:val="left"/>
        <w:rPr>
          <w:sz w:val="22"/>
        </w:rPr>
      </w:pPr>
      <w:proofErr w:type="spellStart"/>
      <w:r w:rsidRPr="001575C3">
        <w:rPr>
          <w:sz w:val="22"/>
        </w:rPr>
        <w:t>Q</w:t>
      </w:r>
      <w:r w:rsidRPr="001575C3">
        <w:rPr>
          <w:sz w:val="22"/>
          <w:vertAlign w:val="subscript"/>
        </w:rPr>
        <w:t>max</w:t>
      </w:r>
      <w:proofErr w:type="spellEnd"/>
      <w:r w:rsidRPr="001575C3">
        <w:rPr>
          <w:sz w:val="22"/>
        </w:rPr>
        <w:t xml:space="preserve"> (maximálny prietok moču)</w:t>
      </w:r>
    </w:p>
    <w:p w14:paraId="6E98221B" w14:textId="77777777" w:rsidR="0020200E" w:rsidRPr="001575C3" w:rsidRDefault="0020200E" w:rsidP="001575C3">
      <w:pPr>
        <w:keepNext/>
        <w:keepLines/>
        <w:jc w:val="left"/>
        <w:rPr>
          <w:sz w:val="22"/>
        </w:rPr>
      </w:pPr>
    </w:p>
    <w:p w14:paraId="5D616689" w14:textId="58C933D1" w:rsidR="0020200E" w:rsidRPr="001575C3" w:rsidRDefault="0020200E" w:rsidP="001575C3">
      <w:pPr>
        <w:keepNext/>
        <w:keepLines/>
        <w:jc w:val="left"/>
        <w:rPr>
          <w:sz w:val="22"/>
        </w:rPr>
      </w:pPr>
      <w:r w:rsidRPr="001575C3">
        <w:rPr>
          <w:sz w:val="22"/>
        </w:rPr>
        <w:t xml:space="preserve">Priemerná bazálna hodnota </w:t>
      </w:r>
      <w:proofErr w:type="spellStart"/>
      <w:r w:rsidRPr="001575C3">
        <w:rPr>
          <w:sz w:val="22"/>
        </w:rPr>
        <w:t>Q</w:t>
      </w:r>
      <w:r w:rsidRPr="001575C3">
        <w:rPr>
          <w:sz w:val="22"/>
          <w:vertAlign w:val="subscript"/>
        </w:rPr>
        <w:t>max</w:t>
      </w:r>
      <w:proofErr w:type="spellEnd"/>
      <w:r w:rsidRPr="001575C3">
        <w:rPr>
          <w:sz w:val="22"/>
        </w:rPr>
        <w:t xml:space="preserve"> v štúdiách bola približne 10 ml/sekundu (normálny </w:t>
      </w:r>
      <w:proofErr w:type="spellStart"/>
      <w:r w:rsidRPr="001575C3">
        <w:rPr>
          <w:sz w:val="22"/>
        </w:rPr>
        <w:t>Q</w:t>
      </w:r>
      <w:r w:rsidRPr="001575C3">
        <w:rPr>
          <w:sz w:val="22"/>
          <w:vertAlign w:val="subscript"/>
        </w:rPr>
        <w:t>max</w:t>
      </w:r>
      <w:proofErr w:type="spellEnd"/>
      <w:r w:rsidRPr="001575C3">
        <w:rPr>
          <w:sz w:val="22"/>
        </w:rPr>
        <w:t> </w:t>
      </w:r>
      <w:r w:rsidRPr="001575C3">
        <w:rPr>
          <w:sz w:val="22"/>
        </w:rPr>
        <w:sym w:font="Symbol" w:char="F0B3"/>
      </w:r>
      <w:r w:rsidRPr="001575C3">
        <w:rPr>
          <w:sz w:val="22"/>
        </w:rPr>
        <w:t> 15 ml/s.). Po jednom a dvoch rokoch liečby sa prietok v skupine s 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zlepšil o 0,8 a 0,9 ml/s., v uvedenom poradí, a o 1,7 a 2,0 ml/s., v uvedenom poradí, v skupine s 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. Rozdiel medzi skupinami bol štatisticky </w:t>
      </w:r>
      <w:proofErr w:type="spellStart"/>
      <w:r w:rsidRPr="001575C3">
        <w:rPr>
          <w:sz w:val="22"/>
        </w:rPr>
        <w:t>signifikantný</w:t>
      </w:r>
      <w:proofErr w:type="spellEnd"/>
      <w:r w:rsidRPr="001575C3">
        <w:rPr>
          <w:sz w:val="22"/>
        </w:rPr>
        <w:t xml:space="preserve"> od 1. mesiaca po 24. mesiac. Zvýšenie maximálnej rýchlosti prietoku moču pozorované počas prvých 2 rokov dvojito zaslepenej liečby sa zachovalo počas ďalších 2 rokov </w:t>
      </w:r>
      <w:bookmarkStart w:id="1" w:name="OLE_LINK1"/>
      <w:r w:rsidRPr="001575C3">
        <w:rPr>
          <w:sz w:val="22"/>
        </w:rPr>
        <w:t>predĺžených otvorených štúdií.</w:t>
      </w:r>
      <w:bookmarkEnd w:id="1"/>
    </w:p>
    <w:p w14:paraId="4B420960" w14:textId="77777777" w:rsidR="000B6C2B" w:rsidRPr="001575C3" w:rsidRDefault="000B6C2B" w:rsidP="001575C3">
      <w:pPr>
        <w:pStyle w:val="Bezriadkovania"/>
        <w:jc w:val="left"/>
        <w:rPr>
          <w:lang w:val="sk-SK"/>
        </w:rPr>
      </w:pPr>
    </w:p>
    <w:p w14:paraId="59C77E1C" w14:textId="77777777" w:rsidR="0020200E" w:rsidRPr="001575C3" w:rsidRDefault="0020200E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Akútna </w:t>
      </w:r>
      <w:proofErr w:type="spellStart"/>
      <w:r w:rsidRPr="001575C3">
        <w:rPr>
          <w:lang w:val="sk-SK"/>
        </w:rPr>
        <w:t>retencia</w:t>
      </w:r>
      <w:proofErr w:type="spellEnd"/>
      <w:r w:rsidRPr="001575C3">
        <w:rPr>
          <w:lang w:val="sk-SK"/>
        </w:rPr>
        <w:t xml:space="preserve"> moču a chirurgická intervencia</w:t>
      </w:r>
    </w:p>
    <w:p w14:paraId="553DE2B9" w14:textId="77777777" w:rsidR="0020200E" w:rsidRPr="001575C3" w:rsidRDefault="0020200E" w:rsidP="001575C3">
      <w:pPr>
        <w:pStyle w:val="Bezriadkovania"/>
        <w:jc w:val="left"/>
        <w:rPr>
          <w:lang w:val="sk-SK"/>
        </w:rPr>
      </w:pPr>
    </w:p>
    <w:p w14:paraId="422FA8ED" w14:textId="64CE15C8" w:rsidR="0020200E" w:rsidRPr="001575C3" w:rsidRDefault="0020200E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Po dvoch rokoch liečby bol výskyt AUR v skupine s </w:t>
      </w:r>
      <w:proofErr w:type="spellStart"/>
      <w:r w:rsidRPr="001575C3">
        <w:rPr>
          <w:lang w:val="sk-SK"/>
        </w:rPr>
        <w:t>placebom</w:t>
      </w:r>
      <w:proofErr w:type="spellEnd"/>
      <w:r w:rsidRPr="001575C3">
        <w:rPr>
          <w:lang w:val="sk-SK"/>
        </w:rPr>
        <w:t xml:space="preserve"> 4,2 % oproti 1,8 % v skupine s </w:t>
      </w:r>
      <w:proofErr w:type="spellStart"/>
      <w:r w:rsidR="00E1293F"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(57 % zníženie rizika). Tento rozdiel je štatisticky </w:t>
      </w:r>
      <w:proofErr w:type="spellStart"/>
      <w:r w:rsidRPr="001575C3">
        <w:rPr>
          <w:lang w:val="sk-SK"/>
        </w:rPr>
        <w:t>signifikantný</w:t>
      </w:r>
      <w:proofErr w:type="spellEnd"/>
      <w:r w:rsidRPr="001575C3">
        <w:rPr>
          <w:lang w:val="sk-SK"/>
        </w:rPr>
        <w:t xml:space="preserve"> a znamená, že 42 pacientov (95 % CI 30 – 73) musí byť liečených počas dvoch rokov, aby sa zabránilo 1 prípadu AUR.</w:t>
      </w:r>
    </w:p>
    <w:p w14:paraId="39705E25" w14:textId="77777777" w:rsidR="0020200E" w:rsidRPr="001575C3" w:rsidRDefault="0020200E" w:rsidP="001575C3">
      <w:pPr>
        <w:jc w:val="left"/>
        <w:rPr>
          <w:sz w:val="22"/>
        </w:rPr>
      </w:pPr>
    </w:p>
    <w:p w14:paraId="26D88750" w14:textId="204F38B2" w:rsidR="0020200E" w:rsidRPr="001575C3" w:rsidRDefault="0020200E" w:rsidP="001575C3">
      <w:pPr>
        <w:jc w:val="left"/>
        <w:rPr>
          <w:sz w:val="22"/>
        </w:rPr>
      </w:pPr>
      <w:r w:rsidRPr="001575C3">
        <w:rPr>
          <w:sz w:val="22"/>
        </w:rPr>
        <w:t xml:space="preserve">Výskyt chirurgického zákroku súvisiaceho s BPH po dvoch rokoch bol 4,1 % v skupine s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a 2,2 % v skupine s </w:t>
      </w:r>
      <w:proofErr w:type="spellStart"/>
      <w:r w:rsidR="00E1293F"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(48 % zníženie rizika). Tento rozdiel je štatisticky </w:t>
      </w:r>
      <w:proofErr w:type="spellStart"/>
      <w:r w:rsidRPr="001575C3">
        <w:rPr>
          <w:sz w:val="22"/>
        </w:rPr>
        <w:t>signifikantný</w:t>
      </w:r>
      <w:proofErr w:type="spellEnd"/>
      <w:r w:rsidRPr="001575C3">
        <w:rPr>
          <w:sz w:val="22"/>
        </w:rPr>
        <w:t xml:space="preserve"> a znamená, že 51 pacientov (95 % CI 33 – 109) musí byť liečených počas dvoch rokov, aby sa zabránilo jednej chirurgickej intervencii.</w:t>
      </w:r>
    </w:p>
    <w:p w14:paraId="0D3F5D7C" w14:textId="77777777" w:rsidR="000B6C2B" w:rsidRPr="001575C3" w:rsidRDefault="000B6C2B" w:rsidP="001575C3">
      <w:pPr>
        <w:pStyle w:val="Bezriadkovania"/>
        <w:jc w:val="left"/>
        <w:rPr>
          <w:lang w:val="sk-SK"/>
        </w:rPr>
      </w:pPr>
    </w:p>
    <w:p w14:paraId="5B373DFC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Distribúcia vlasov</w:t>
      </w:r>
    </w:p>
    <w:p w14:paraId="7151D49F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</w:p>
    <w:p w14:paraId="6B56BD10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Účinok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na distribúciu vlasov sa počas fázy III programu formálne neskúmal, inhibítory 5</w:t>
      </w:r>
      <w:r w:rsidRPr="001575C3">
        <w:rPr>
          <w:lang w:val="sk-SK"/>
        </w:rPr>
        <w:noBreakHyphen/>
        <w:t>alfa</w:t>
      </w:r>
      <w:r w:rsidRPr="001575C3">
        <w:rPr>
          <w:lang w:val="sk-SK"/>
        </w:rPr>
        <w:noBreakHyphen/>
        <w:t xml:space="preserve">reduktázy však môžu znížiť vypadávanie vlasov a môžu vyvolať rast vlasov u osôb s mužským typom vypadávania vlasov (mužskou </w:t>
      </w:r>
      <w:proofErr w:type="spellStart"/>
      <w:r w:rsidRPr="001575C3">
        <w:rPr>
          <w:lang w:val="sk-SK"/>
        </w:rPr>
        <w:t>androgenetickou</w:t>
      </w:r>
      <w:proofErr w:type="spellEnd"/>
      <w:r w:rsidRPr="001575C3">
        <w:rPr>
          <w:lang w:val="sk-SK"/>
        </w:rPr>
        <w:t xml:space="preserve"> </w:t>
      </w:r>
      <w:proofErr w:type="spellStart"/>
      <w:r w:rsidRPr="001575C3">
        <w:rPr>
          <w:lang w:val="sk-SK"/>
        </w:rPr>
        <w:t>alopéciou</w:t>
      </w:r>
      <w:proofErr w:type="spellEnd"/>
      <w:r w:rsidRPr="001575C3">
        <w:rPr>
          <w:lang w:val="sk-SK"/>
        </w:rPr>
        <w:t>).</w:t>
      </w:r>
    </w:p>
    <w:p w14:paraId="2B241887" w14:textId="77777777" w:rsidR="000B6C2B" w:rsidRPr="001575C3" w:rsidRDefault="000B6C2B" w:rsidP="001575C3">
      <w:pPr>
        <w:pStyle w:val="Bezriadkovania"/>
        <w:jc w:val="left"/>
        <w:rPr>
          <w:lang w:val="sk-SK"/>
        </w:rPr>
      </w:pPr>
    </w:p>
    <w:p w14:paraId="5618D8C7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Funkcia štítnej žľazy</w:t>
      </w:r>
    </w:p>
    <w:p w14:paraId="12413D3C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</w:p>
    <w:p w14:paraId="6BD6F2B2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Funkcia štítnej žľazy u zdravých mužov bola vyhodnotená v jednoročnej štúdii. Hladiny voľného </w:t>
      </w:r>
      <w:proofErr w:type="spellStart"/>
      <w:r w:rsidRPr="001575C3">
        <w:rPr>
          <w:lang w:val="sk-SK"/>
        </w:rPr>
        <w:t>tyroxínu</w:t>
      </w:r>
      <w:proofErr w:type="spellEnd"/>
      <w:r w:rsidRPr="001575C3">
        <w:rPr>
          <w:lang w:val="sk-SK"/>
        </w:rPr>
        <w:t xml:space="preserve"> boli počas liečby 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stabilné, ale hladiny TSH boli na konci jednoročnej liečby v porovnaní s </w:t>
      </w:r>
      <w:proofErr w:type="spellStart"/>
      <w:r w:rsidRPr="001575C3">
        <w:rPr>
          <w:lang w:val="sk-SK"/>
        </w:rPr>
        <w:t>placebom</w:t>
      </w:r>
      <w:proofErr w:type="spellEnd"/>
      <w:r w:rsidRPr="001575C3">
        <w:rPr>
          <w:lang w:val="sk-SK"/>
        </w:rPr>
        <w:t xml:space="preserve"> mierne zvýšené (o 0,4 MCIU/ml). Hladiny TSH boli variabilné, ale priemerné rozsahy TSH (1,4 – 1,9 MCIU/ml) zostali v rámci normálnych limitov (0,5 – 5/6 MCIU/ml), hladiny voľného </w:t>
      </w:r>
      <w:proofErr w:type="spellStart"/>
      <w:r w:rsidRPr="001575C3">
        <w:rPr>
          <w:lang w:val="sk-SK"/>
        </w:rPr>
        <w:t>tyroxínu</w:t>
      </w:r>
      <w:proofErr w:type="spellEnd"/>
      <w:r w:rsidRPr="001575C3">
        <w:rPr>
          <w:lang w:val="sk-SK"/>
        </w:rPr>
        <w:t xml:space="preserve"> boli stabilné v rámci normálneho rozsahu a podobné v liečbe </w:t>
      </w:r>
      <w:proofErr w:type="spellStart"/>
      <w:r w:rsidRPr="001575C3">
        <w:rPr>
          <w:lang w:val="sk-SK"/>
        </w:rPr>
        <w:t>placebom</w:t>
      </w:r>
      <w:proofErr w:type="spellEnd"/>
      <w:r w:rsidRPr="001575C3">
        <w:rPr>
          <w:lang w:val="sk-SK"/>
        </w:rPr>
        <w:t xml:space="preserve"> a aj v liečbe 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, zmeny v TSH neboli považované za klinicky </w:t>
      </w:r>
      <w:proofErr w:type="spellStart"/>
      <w:r w:rsidRPr="001575C3">
        <w:rPr>
          <w:lang w:val="sk-SK"/>
        </w:rPr>
        <w:t>signifikantné</w:t>
      </w:r>
      <w:proofErr w:type="spellEnd"/>
      <w:r w:rsidRPr="001575C3">
        <w:rPr>
          <w:lang w:val="sk-SK"/>
        </w:rPr>
        <w:t xml:space="preserve">. V klinických štúdiách sa nedokázal nepriaznivý vplyv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na funkciu štítnej žľazy.</w:t>
      </w:r>
    </w:p>
    <w:p w14:paraId="2AC725DF" w14:textId="6CE29702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0920EE24" w14:textId="77777777" w:rsidR="00E1293F" w:rsidRPr="001575C3" w:rsidRDefault="00E1293F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Neoplázia</w:t>
      </w:r>
      <w:proofErr w:type="spellEnd"/>
      <w:r w:rsidRPr="001575C3">
        <w:rPr>
          <w:sz w:val="22"/>
        </w:rPr>
        <w:t xml:space="preserve"> prsníkov</w:t>
      </w:r>
    </w:p>
    <w:p w14:paraId="4F5CA34F" w14:textId="77777777" w:rsidR="00E1293F" w:rsidRPr="001575C3" w:rsidRDefault="00E1293F" w:rsidP="001575C3">
      <w:pPr>
        <w:jc w:val="left"/>
        <w:rPr>
          <w:sz w:val="22"/>
        </w:rPr>
      </w:pPr>
    </w:p>
    <w:p w14:paraId="2FF1EB70" w14:textId="77777777" w:rsidR="00E1293F" w:rsidRPr="001575C3" w:rsidRDefault="00E1293F" w:rsidP="001575C3">
      <w:pPr>
        <w:jc w:val="left"/>
        <w:rPr>
          <w:sz w:val="22"/>
        </w:rPr>
      </w:pPr>
      <w:r w:rsidRPr="001575C3">
        <w:rPr>
          <w:sz w:val="22"/>
        </w:rPr>
        <w:t>V dvojročných klinických skúšaniach, ktoré poskytujú 3 374 </w:t>
      </w:r>
      <w:proofErr w:type="spellStart"/>
      <w:r w:rsidRPr="001575C3">
        <w:rPr>
          <w:sz w:val="22"/>
        </w:rPr>
        <w:t>pacientorokov</w:t>
      </w:r>
      <w:proofErr w:type="spellEnd"/>
      <w:r w:rsidRPr="001575C3">
        <w:rPr>
          <w:sz w:val="22"/>
        </w:rPr>
        <w:t xml:space="preserve"> expozície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, a v čase registrácie v predĺženej dvojročnej otvorenej štúdii, boli hlásené 2 prípady mužskej rakoviny prsníka u pacientov liečených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a 1 prípad u pacienta užívajúceho </w:t>
      </w:r>
      <w:proofErr w:type="spellStart"/>
      <w:r w:rsidRPr="001575C3">
        <w:rPr>
          <w:sz w:val="22"/>
        </w:rPr>
        <w:t>placebo</w:t>
      </w:r>
      <w:proofErr w:type="spellEnd"/>
      <w:r w:rsidRPr="001575C3">
        <w:rPr>
          <w:sz w:val="22"/>
        </w:rPr>
        <w:t>. V 4</w:t>
      </w:r>
      <w:r w:rsidRPr="001575C3">
        <w:rPr>
          <w:sz w:val="22"/>
        </w:rPr>
        <w:noBreakHyphen/>
        <w:t xml:space="preserve">ročných klinických skúšaniach </w:t>
      </w:r>
      <w:proofErr w:type="spellStart"/>
      <w:r w:rsidRPr="001575C3">
        <w:rPr>
          <w:sz w:val="22"/>
        </w:rPr>
        <w:t>CombAT</w:t>
      </w:r>
      <w:proofErr w:type="spellEnd"/>
      <w:r w:rsidRPr="001575C3">
        <w:rPr>
          <w:sz w:val="22"/>
        </w:rPr>
        <w:t xml:space="preserve"> a REDUCE, ktoré poskytujú 17 489 </w:t>
      </w:r>
      <w:proofErr w:type="spellStart"/>
      <w:r w:rsidRPr="001575C3">
        <w:rPr>
          <w:sz w:val="22"/>
        </w:rPr>
        <w:t>pacientorokov</w:t>
      </w:r>
      <w:proofErr w:type="spellEnd"/>
      <w:r w:rsidRPr="001575C3">
        <w:rPr>
          <w:sz w:val="22"/>
        </w:rPr>
        <w:t xml:space="preserve"> expozície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a 5 027 </w:t>
      </w:r>
      <w:proofErr w:type="spellStart"/>
      <w:r w:rsidRPr="001575C3">
        <w:rPr>
          <w:sz w:val="22"/>
        </w:rPr>
        <w:t>pacientorokov</w:t>
      </w:r>
      <w:proofErr w:type="spellEnd"/>
      <w:r w:rsidRPr="001575C3">
        <w:rPr>
          <w:sz w:val="22"/>
        </w:rPr>
        <w:t xml:space="preserve"> expozície kombinácii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a 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>, neboli hlásené žiadne prípady rakoviny prsníka v žiadnej z liečebných skupín.</w:t>
      </w:r>
    </w:p>
    <w:p w14:paraId="09E147CB" w14:textId="51268AB9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7E97B7F" w14:textId="77777777" w:rsidR="00E1293F" w:rsidRPr="001575C3" w:rsidRDefault="00E1293F" w:rsidP="001575C3">
      <w:pPr>
        <w:jc w:val="left"/>
        <w:rPr>
          <w:sz w:val="22"/>
        </w:rPr>
      </w:pPr>
      <w:r w:rsidRPr="001575C3">
        <w:rPr>
          <w:sz w:val="22"/>
        </w:rPr>
        <w:lastRenderedPageBreak/>
        <w:t xml:space="preserve">Dve epidemiologické štúdie typu </w:t>
      </w:r>
      <w:proofErr w:type="spellStart"/>
      <w:r w:rsidRPr="001575C3">
        <w:rPr>
          <w:sz w:val="22"/>
        </w:rPr>
        <w:t>prípad</w:t>
      </w:r>
      <w:r w:rsidRPr="001575C3">
        <w:rPr>
          <w:sz w:val="22"/>
        </w:rPr>
        <w:noBreakHyphen/>
        <w:t>kontrola</w:t>
      </w:r>
      <w:proofErr w:type="spellEnd"/>
      <w:r w:rsidRPr="001575C3">
        <w:rPr>
          <w:sz w:val="22"/>
        </w:rPr>
        <w:t xml:space="preserve">, jedna sa vykonala s využitím údajov o zdravotnej starostlivosti z US databázy (n = 339 prípadov rakoviny prsníka a n = 6780 kontrol) a druhá z UK databázy (n = 398 prípadov rakoviny prsníka a n = 3 930 kontrol), nepreukázali zvýšenie rizika vzniku rakoviny prsníka u mužov pri užívaní 5 ARI (pozri časť 4.4). </w:t>
      </w:r>
    </w:p>
    <w:p w14:paraId="3D08DBEA" w14:textId="733388A8" w:rsidR="00E1293F" w:rsidRPr="001575C3" w:rsidRDefault="00E1293F" w:rsidP="001575C3">
      <w:pPr>
        <w:jc w:val="left"/>
        <w:rPr>
          <w:sz w:val="22"/>
        </w:rPr>
      </w:pPr>
      <w:r w:rsidRPr="001575C3">
        <w:rPr>
          <w:sz w:val="22"/>
        </w:rPr>
        <w:t>Výsledky prvej štúdie neodhalili pozitívnu súvislosť s rakovinou prsníka u mužov (relatívne riziko pri ≥ 1</w:t>
      </w:r>
      <w:r w:rsidRPr="001575C3">
        <w:rPr>
          <w:sz w:val="22"/>
        </w:rPr>
        <w:noBreakHyphen/>
        <w:t>ročnom používaní pred diagnostikovaním rakoviny prsníka v porovnaní s &lt; 1</w:t>
      </w:r>
      <w:r w:rsidRPr="001575C3">
        <w:rPr>
          <w:sz w:val="22"/>
        </w:rPr>
        <w:noBreakHyphen/>
        <w:t>ročným používaním: 0,70: 95 % IS: 0,34; 1,45). V druhej štúdii bol odhadovaný pomer rizík (</w:t>
      </w:r>
      <w:proofErr w:type="spellStart"/>
      <w:r w:rsidRPr="001575C3">
        <w:rPr>
          <w:sz w:val="22"/>
        </w:rPr>
        <w:t>odds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ratio</w:t>
      </w:r>
      <w:proofErr w:type="spellEnd"/>
      <w:r w:rsidRPr="001575C3">
        <w:rPr>
          <w:sz w:val="22"/>
        </w:rPr>
        <w:t>) pre rakovinu prsníka súvisiacu s užívaním 5 ARI v porovnaní s ich neužívaním: 1,08: 95 % IS: 0,62; 1,87).</w:t>
      </w:r>
    </w:p>
    <w:p w14:paraId="566CB752" w14:textId="6E682F5A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078B48BC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Príčinná súvislosť medzi výskytom rakoviny prsníka u mužov a dlhodobým používaním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nebola stanovená.</w:t>
      </w:r>
    </w:p>
    <w:p w14:paraId="0572120B" w14:textId="77777777" w:rsidR="00E1293F" w:rsidRPr="001575C3" w:rsidRDefault="00E1293F" w:rsidP="001575C3">
      <w:pPr>
        <w:pStyle w:val="Bezriadkovania"/>
        <w:jc w:val="left"/>
        <w:rPr>
          <w:lang w:val="sk-SK"/>
        </w:rPr>
      </w:pPr>
    </w:p>
    <w:p w14:paraId="72F33D6F" w14:textId="77777777" w:rsidR="00E1293F" w:rsidRPr="001575C3" w:rsidRDefault="00E1293F" w:rsidP="001575C3">
      <w:pPr>
        <w:pStyle w:val="Bezriadkovania"/>
        <w:jc w:val="left"/>
        <w:rPr>
          <w:iCs/>
          <w:lang w:val="sk-SK"/>
        </w:rPr>
      </w:pPr>
      <w:r w:rsidRPr="001575C3">
        <w:rPr>
          <w:iCs/>
          <w:lang w:val="sk-SK"/>
        </w:rPr>
        <w:t xml:space="preserve">Účinky na mužskú </w:t>
      </w:r>
      <w:proofErr w:type="spellStart"/>
      <w:r w:rsidRPr="001575C3">
        <w:rPr>
          <w:iCs/>
          <w:lang w:val="sk-SK"/>
        </w:rPr>
        <w:t>fertilitu</w:t>
      </w:r>
      <w:proofErr w:type="spellEnd"/>
    </w:p>
    <w:p w14:paraId="7888C993" w14:textId="77777777" w:rsidR="00E1293F" w:rsidRPr="001575C3" w:rsidRDefault="00E1293F" w:rsidP="001575C3">
      <w:pPr>
        <w:pStyle w:val="Bezriadkovania"/>
        <w:jc w:val="left"/>
        <w:rPr>
          <w:i/>
          <w:iCs/>
          <w:lang w:val="sk-SK"/>
        </w:rPr>
      </w:pPr>
    </w:p>
    <w:p w14:paraId="32AA0F27" w14:textId="754E3A36" w:rsidR="00E1293F" w:rsidRPr="001575C3" w:rsidRDefault="00E1293F" w:rsidP="001575C3">
      <w:pPr>
        <w:pStyle w:val="Bezriadkovania"/>
        <w:jc w:val="left"/>
        <w:rPr>
          <w:i/>
          <w:iCs/>
          <w:lang w:val="sk-SK"/>
        </w:rPr>
      </w:pPr>
      <w:r w:rsidRPr="001575C3">
        <w:rPr>
          <w:lang w:val="sk-SK"/>
        </w:rPr>
        <w:t xml:space="preserve">Účinky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v dávke 0,5 mg/deň na charakteristické vlastnosti </w:t>
      </w:r>
      <w:r w:rsidR="00311C2E">
        <w:rPr>
          <w:lang w:val="sk-SK"/>
        </w:rPr>
        <w:t>ejakulátu</w:t>
      </w:r>
      <w:r w:rsidRPr="001575C3">
        <w:rPr>
          <w:lang w:val="sk-SK"/>
        </w:rPr>
        <w:t xml:space="preserve"> boli hodnotené u zdravých dobrovoľníkov vo veku 18 až 52 rokov (n = 27 pre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, n = 23 pre </w:t>
      </w:r>
      <w:proofErr w:type="spellStart"/>
      <w:r w:rsidRPr="001575C3">
        <w:rPr>
          <w:lang w:val="sk-SK"/>
        </w:rPr>
        <w:t>placebo</w:t>
      </w:r>
      <w:proofErr w:type="spellEnd"/>
      <w:r w:rsidRPr="001575C3">
        <w:rPr>
          <w:lang w:val="sk-SK"/>
        </w:rPr>
        <w:t>) počas 52 týždňov liečby a 24 týždňov sledovania po liečbe. V 52. týždni bolo v skupine s 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priemerné percentuálne zníženie od bazálnych hodnôt v celkovom počte spermií 23 %, v objeme </w:t>
      </w:r>
      <w:r w:rsidR="00311C2E">
        <w:rPr>
          <w:lang w:val="sk-SK"/>
        </w:rPr>
        <w:t>ejakulátu</w:t>
      </w:r>
      <w:r w:rsidRPr="001575C3">
        <w:rPr>
          <w:lang w:val="sk-SK"/>
        </w:rPr>
        <w:t xml:space="preserve"> 26 % a v </w:t>
      </w:r>
      <w:proofErr w:type="spellStart"/>
      <w:r w:rsidRPr="001575C3">
        <w:rPr>
          <w:lang w:val="sk-SK"/>
        </w:rPr>
        <w:t>motilite</w:t>
      </w:r>
      <w:proofErr w:type="spellEnd"/>
      <w:r w:rsidRPr="001575C3">
        <w:rPr>
          <w:lang w:val="sk-SK"/>
        </w:rPr>
        <w:t xml:space="preserve"> spermií 18 %, po prepočte na zmeny od bazálnych hodnôt v skupine s </w:t>
      </w:r>
      <w:proofErr w:type="spellStart"/>
      <w:r w:rsidRPr="001575C3">
        <w:rPr>
          <w:lang w:val="sk-SK"/>
        </w:rPr>
        <w:t>placebom</w:t>
      </w:r>
      <w:proofErr w:type="spellEnd"/>
      <w:r w:rsidRPr="001575C3">
        <w:rPr>
          <w:lang w:val="sk-SK"/>
        </w:rPr>
        <w:t>. Koncentrácia spermií a morfológia spermií nebola ovplyvnená. Po 24 týždňoch sledovania zostala priemerná percentuálna zmena v celkovom počte spermií v skupine s 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o 23 % nižšia ako boli bazálne hodnoty. Zatiaľ čo priemerné hodnoty pre všetky parametre zostali vo všetkých časových bodoch v rámci normálnych rozsahov a nesplnili vopred definované kritériá pre klinicky významnú zmenu (30 %), dvaja jedinci v skupine s 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 mali v 52. týždni zníženia v počte spermií vyššie ako 90 % od bazálnych hodnôt, s čiastočným obnovením počas 24</w:t>
      </w:r>
      <w:r w:rsidRPr="001575C3">
        <w:rPr>
          <w:lang w:val="sk-SK"/>
        </w:rPr>
        <w:noBreakHyphen/>
        <w:t xml:space="preserve">týždňového sledovania. Možnosť zníženej mužskej </w:t>
      </w:r>
      <w:proofErr w:type="spellStart"/>
      <w:r w:rsidRPr="001575C3">
        <w:rPr>
          <w:lang w:val="sk-SK"/>
        </w:rPr>
        <w:t>fertility</w:t>
      </w:r>
      <w:proofErr w:type="spellEnd"/>
      <w:r w:rsidRPr="001575C3">
        <w:rPr>
          <w:lang w:val="sk-SK"/>
        </w:rPr>
        <w:t xml:space="preserve"> nie je možné vylúčiť.</w:t>
      </w:r>
    </w:p>
    <w:p w14:paraId="669268F2" w14:textId="77777777" w:rsidR="001A69A2" w:rsidRPr="001575C3" w:rsidRDefault="001A69A2" w:rsidP="001575C3">
      <w:pPr>
        <w:pStyle w:val="Bezriadkovania"/>
        <w:jc w:val="left"/>
        <w:rPr>
          <w:lang w:val="sk-SK"/>
        </w:rPr>
      </w:pPr>
    </w:p>
    <w:p w14:paraId="2363FFE4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Kardiovaskulárne nežiaduce udalosti</w:t>
      </w:r>
    </w:p>
    <w:p w14:paraId="4E5C875F" w14:textId="77777777" w:rsidR="00B56FA9" w:rsidRPr="001575C3" w:rsidRDefault="00B56FA9" w:rsidP="001575C3">
      <w:pPr>
        <w:jc w:val="left"/>
        <w:rPr>
          <w:sz w:val="22"/>
        </w:rPr>
      </w:pPr>
    </w:p>
    <w:p w14:paraId="4EC23488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V štvorročnej štúdii BPH s 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v kombinácii s </w:t>
      </w:r>
      <w:proofErr w:type="spellStart"/>
      <w:r w:rsidRPr="001575C3">
        <w:rPr>
          <w:sz w:val="22"/>
        </w:rPr>
        <w:t>tamsulozínom</w:t>
      </w:r>
      <w:proofErr w:type="spellEnd"/>
      <w:r w:rsidRPr="001575C3">
        <w:rPr>
          <w:sz w:val="22"/>
        </w:rPr>
        <w:t xml:space="preserve">, ktorá bola vykonaná so 4 844 mužmi (štúdia </w:t>
      </w:r>
      <w:proofErr w:type="spellStart"/>
      <w:r w:rsidRPr="001575C3">
        <w:rPr>
          <w:sz w:val="22"/>
        </w:rPr>
        <w:t>CombAT</w:t>
      </w:r>
      <w:proofErr w:type="spellEnd"/>
      <w:r w:rsidRPr="001575C3">
        <w:rPr>
          <w:sz w:val="22"/>
        </w:rPr>
        <w:t xml:space="preserve">), bola </w:t>
      </w:r>
      <w:proofErr w:type="spellStart"/>
      <w:r w:rsidRPr="001575C3">
        <w:rPr>
          <w:bCs/>
          <w:iCs/>
          <w:sz w:val="22"/>
        </w:rPr>
        <w:t>incidencia</w:t>
      </w:r>
      <w:proofErr w:type="spellEnd"/>
      <w:r w:rsidRPr="001575C3">
        <w:rPr>
          <w:bCs/>
          <w:iCs/>
          <w:sz w:val="22"/>
        </w:rPr>
        <w:t xml:space="preserve"> srdcového zlyhávania ako kombinovaného termínu v skupine liečenej kombináciou </w:t>
      </w:r>
      <w:r w:rsidRPr="001575C3">
        <w:rPr>
          <w:sz w:val="22"/>
        </w:rPr>
        <w:t>(14/1 610; 0,9 %) vyššia než v skupinách liečených </w:t>
      </w:r>
      <w:proofErr w:type="spellStart"/>
      <w:r w:rsidRPr="001575C3">
        <w:rPr>
          <w:sz w:val="22"/>
        </w:rPr>
        <w:t>monoterapiou</w:t>
      </w:r>
      <w:proofErr w:type="spellEnd"/>
      <w:r w:rsidRPr="001575C3">
        <w:rPr>
          <w:sz w:val="22"/>
        </w:rPr>
        <w:t xml:space="preserve">: </w:t>
      </w:r>
      <w:proofErr w:type="spellStart"/>
      <w:r w:rsidRPr="001575C3">
        <w:rPr>
          <w:sz w:val="22"/>
        </w:rPr>
        <w:t>d</w:t>
      </w:r>
      <w:r w:rsidRPr="001575C3">
        <w:rPr>
          <w:iCs/>
          <w:sz w:val="22"/>
          <w:lang w:eastAsia="en-GB"/>
        </w:rPr>
        <w:t>utasterid</w:t>
      </w:r>
      <w:proofErr w:type="spellEnd"/>
      <w:r w:rsidRPr="001575C3">
        <w:rPr>
          <w:sz w:val="22"/>
        </w:rPr>
        <w:t xml:space="preserve"> (4/1 623; 0,2 %) a </w:t>
      </w:r>
      <w:proofErr w:type="spellStart"/>
      <w:r w:rsidRPr="001575C3">
        <w:rPr>
          <w:sz w:val="22"/>
        </w:rPr>
        <w:t>tamsulozín</w:t>
      </w:r>
      <w:proofErr w:type="spellEnd"/>
      <w:r w:rsidRPr="001575C3">
        <w:rPr>
          <w:sz w:val="22"/>
        </w:rPr>
        <w:t xml:space="preserve"> (10/1 611; 0,6 %).</w:t>
      </w:r>
    </w:p>
    <w:p w14:paraId="0B662A43" w14:textId="77777777" w:rsidR="00B56FA9" w:rsidRPr="001575C3" w:rsidRDefault="00B56FA9" w:rsidP="001575C3">
      <w:pPr>
        <w:jc w:val="left"/>
        <w:rPr>
          <w:sz w:val="22"/>
        </w:rPr>
      </w:pPr>
    </w:p>
    <w:p w14:paraId="0B846645" w14:textId="77777777" w:rsidR="00B56FA9" w:rsidRPr="001575C3" w:rsidRDefault="00B56FA9" w:rsidP="001575C3">
      <w:pPr>
        <w:keepNext/>
        <w:keepLines/>
        <w:jc w:val="left"/>
        <w:rPr>
          <w:sz w:val="22"/>
          <w:lang w:eastAsia="en-GB"/>
        </w:rPr>
      </w:pPr>
      <w:r w:rsidRPr="001575C3">
        <w:rPr>
          <w:sz w:val="22"/>
        </w:rPr>
        <w:t>V samostatnej 4</w:t>
      </w:r>
      <w:r w:rsidRPr="001575C3">
        <w:rPr>
          <w:sz w:val="22"/>
        </w:rPr>
        <w:noBreakHyphen/>
        <w:t xml:space="preserve">ročnej štúdii s 8 231 mužmi vo veku 50 až 75 rokov, s predchádzajúcou negatívnou </w:t>
      </w:r>
      <w:proofErr w:type="spellStart"/>
      <w:r w:rsidRPr="001575C3">
        <w:rPr>
          <w:sz w:val="22"/>
        </w:rPr>
        <w:t>biopsiou</w:t>
      </w:r>
      <w:proofErr w:type="spellEnd"/>
      <w:r w:rsidRPr="001575C3">
        <w:rPr>
          <w:sz w:val="22"/>
        </w:rPr>
        <w:t xml:space="preserve"> overujúcou rakovinu prostaty a s bazálnou hodnotou PSA pohybujúcou sa medzi 2,5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 a 10,0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 v prípade 50</w:t>
      </w:r>
      <w:r w:rsidRPr="001575C3">
        <w:rPr>
          <w:sz w:val="22"/>
        </w:rPr>
        <w:noBreakHyphen/>
        <w:t> až 60</w:t>
      </w:r>
      <w:r w:rsidRPr="001575C3">
        <w:rPr>
          <w:sz w:val="22"/>
        </w:rPr>
        <w:noBreakHyphen/>
        <w:t>ročných mužov, alebo medzi 3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 a 10,0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 xml:space="preserve">/ml v prípade mužov starších ako 60 rokov (štúdia REDUCE), sa zistila vyššia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srdcového zlyhávania ako kombinovaného termínu u jedincov, ktorí užívali 0,5 mg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jedenkrát denne (30/4 105; 0,7 %) v porovnaní s jedincami, ktorí užívali </w:t>
      </w:r>
      <w:proofErr w:type="spellStart"/>
      <w:r w:rsidRPr="001575C3">
        <w:rPr>
          <w:sz w:val="22"/>
        </w:rPr>
        <w:t>placebo</w:t>
      </w:r>
      <w:proofErr w:type="spellEnd"/>
      <w:r w:rsidRPr="001575C3">
        <w:rPr>
          <w:sz w:val="22"/>
        </w:rPr>
        <w:t xml:space="preserve"> (16/4 126; 0,4 %). </w:t>
      </w:r>
      <w:proofErr w:type="spellStart"/>
      <w:r w:rsidRPr="001575C3">
        <w:rPr>
          <w:i/>
          <w:iCs/>
          <w:sz w:val="22"/>
        </w:rPr>
        <w:t>Post</w:t>
      </w:r>
      <w:r w:rsidRPr="001575C3">
        <w:rPr>
          <w:i/>
          <w:iCs/>
          <w:sz w:val="22"/>
        </w:rPr>
        <w:noBreakHyphen/>
        <w:t>hoc</w:t>
      </w:r>
      <w:proofErr w:type="spellEnd"/>
      <w:r w:rsidRPr="001575C3">
        <w:rPr>
          <w:sz w:val="22"/>
        </w:rPr>
        <w:t xml:space="preserve"> analýza tejto štúdie preukázala vyššiu </w:t>
      </w:r>
      <w:proofErr w:type="spellStart"/>
      <w:r w:rsidRPr="001575C3">
        <w:rPr>
          <w:sz w:val="22"/>
        </w:rPr>
        <w:t>incidenciu</w:t>
      </w:r>
      <w:proofErr w:type="spellEnd"/>
      <w:r w:rsidRPr="001575C3">
        <w:rPr>
          <w:sz w:val="22"/>
        </w:rPr>
        <w:t xml:space="preserve"> srdcového zlyhávania ako kombinovaného termínu u jedincov, ktorí užívali </w:t>
      </w:r>
      <w:proofErr w:type="spellStart"/>
      <w:r w:rsidRPr="001575C3">
        <w:rPr>
          <w:bCs/>
          <w:iCs/>
          <w:snapToGrid w:val="0"/>
          <w:sz w:val="22"/>
        </w:rPr>
        <w:t>dutasterid</w:t>
      </w:r>
      <w:proofErr w:type="spellEnd"/>
      <w:r w:rsidRPr="001575C3">
        <w:rPr>
          <w:bCs/>
          <w:iCs/>
          <w:snapToGrid w:val="0"/>
          <w:sz w:val="22"/>
        </w:rPr>
        <w:t xml:space="preserve"> </w:t>
      </w:r>
      <w:r w:rsidRPr="001575C3">
        <w:rPr>
          <w:sz w:val="22"/>
        </w:rPr>
        <w:t>a antagonistu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 súbežne </w:t>
      </w:r>
      <w:r w:rsidRPr="001575C3">
        <w:rPr>
          <w:sz w:val="22"/>
          <w:lang w:eastAsia="en-GB"/>
        </w:rPr>
        <w:t>(12/1 152</w:t>
      </w:r>
      <w:r w:rsidRPr="001575C3">
        <w:rPr>
          <w:sz w:val="22"/>
        </w:rPr>
        <w:t>;</w:t>
      </w:r>
      <w:r w:rsidRPr="001575C3">
        <w:rPr>
          <w:sz w:val="22"/>
          <w:lang w:eastAsia="en-GB"/>
        </w:rPr>
        <w:t xml:space="preserve"> 1,0 %)</w:t>
      </w:r>
      <w:r w:rsidRPr="001575C3">
        <w:rPr>
          <w:sz w:val="22"/>
        </w:rPr>
        <w:t xml:space="preserve">, v porovnaní s jedincami, ktorí užívali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a neužívali antagonistu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 </w:t>
      </w:r>
      <w:r w:rsidRPr="001575C3">
        <w:rPr>
          <w:sz w:val="22"/>
          <w:lang w:eastAsia="en-GB"/>
        </w:rPr>
        <w:t>(18/2 953</w:t>
      </w:r>
      <w:r w:rsidRPr="001575C3">
        <w:rPr>
          <w:sz w:val="22"/>
        </w:rPr>
        <w:t>;</w:t>
      </w:r>
      <w:r w:rsidRPr="001575C3">
        <w:rPr>
          <w:sz w:val="22"/>
          <w:lang w:eastAsia="en-GB"/>
        </w:rPr>
        <w:t xml:space="preserve"> 0,6 %), ktorí užívali </w:t>
      </w:r>
      <w:proofErr w:type="spellStart"/>
      <w:r w:rsidRPr="001575C3">
        <w:rPr>
          <w:sz w:val="22"/>
          <w:lang w:eastAsia="en-GB"/>
        </w:rPr>
        <w:t>placebo</w:t>
      </w:r>
      <w:proofErr w:type="spellEnd"/>
      <w:r w:rsidRPr="001575C3">
        <w:rPr>
          <w:sz w:val="22"/>
          <w:lang w:eastAsia="en-GB"/>
        </w:rPr>
        <w:t xml:space="preserve"> a</w:t>
      </w:r>
      <w:r w:rsidRPr="001575C3">
        <w:rPr>
          <w:sz w:val="22"/>
        </w:rPr>
        <w:t xml:space="preserve"> antagonistu</w:t>
      </w:r>
      <w:r w:rsidRPr="001575C3">
        <w:rPr>
          <w:sz w:val="22"/>
          <w:lang w:eastAsia="en-GB"/>
        </w:rPr>
        <w:t> alfa</w:t>
      </w:r>
      <w:r w:rsidRPr="001575C3">
        <w:rPr>
          <w:sz w:val="22"/>
          <w:vertAlign w:val="subscript"/>
          <w:lang w:eastAsia="en-GB"/>
        </w:rPr>
        <w:t>1</w:t>
      </w:r>
      <w:r w:rsidRPr="001575C3">
        <w:rPr>
          <w:sz w:val="22"/>
          <w:lang w:eastAsia="en-GB"/>
        </w:rPr>
        <w:noBreakHyphen/>
      </w:r>
      <w:r w:rsidRPr="001575C3">
        <w:rPr>
          <w:sz w:val="22"/>
        </w:rPr>
        <w:t xml:space="preserve">adrenergických receptorov </w:t>
      </w:r>
      <w:r w:rsidRPr="001575C3">
        <w:rPr>
          <w:sz w:val="22"/>
          <w:lang w:eastAsia="en-GB"/>
        </w:rPr>
        <w:t>(1/1 399</w:t>
      </w:r>
      <w:r w:rsidRPr="001575C3">
        <w:rPr>
          <w:sz w:val="22"/>
        </w:rPr>
        <w:t>;</w:t>
      </w:r>
      <w:r w:rsidRPr="001575C3">
        <w:rPr>
          <w:sz w:val="22"/>
          <w:lang w:eastAsia="en-GB"/>
        </w:rPr>
        <w:t xml:space="preserve"> &lt; 0,1 %), alebo ktorí užívali </w:t>
      </w:r>
      <w:proofErr w:type="spellStart"/>
      <w:r w:rsidRPr="001575C3">
        <w:rPr>
          <w:sz w:val="22"/>
          <w:lang w:eastAsia="en-GB"/>
        </w:rPr>
        <w:t>placebo</w:t>
      </w:r>
      <w:proofErr w:type="spellEnd"/>
      <w:r w:rsidRPr="001575C3">
        <w:rPr>
          <w:sz w:val="22"/>
          <w:lang w:eastAsia="en-GB"/>
        </w:rPr>
        <w:t xml:space="preserve"> a neužívali </w:t>
      </w:r>
      <w:r w:rsidRPr="001575C3">
        <w:rPr>
          <w:sz w:val="22"/>
        </w:rPr>
        <w:t>antagonistu</w:t>
      </w:r>
      <w:r w:rsidRPr="001575C3">
        <w:rPr>
          <w:sz w:val="22"/>
          <w:lang w:eastAsia="en-GB"/>
        </w:rPr>
        <w:t xml:space="preserve"> alfa</w:t>
      </w:r>
      <w:r w:rsidRPr="001575C3">
        <w:rPr>
          <w:sz w:val="22"/>
          <w:vertAlign w:val="subscript"/>
          <w:lang w:eastAsia="en-GB"/>
        </w:rPr>
        <w:t>1</w:t>
      </w:r>
      <w:r w:rsidRPr="001575C3">
        <w:rPr>
          <w:sz w:val="22"/>
          <w:lang w:eastAsia="en-GB"/>
        </w:rPr>
        <w:noBreakHyphen/>
      </w:r>
      <w:r w:rsidRPr="001575C3">
        <w:rPr>
          <w:sz w:val="22"/>
        </w:rPr>
        <w:t xml:space="preserve">adrenergických receptorov </w:t>
      </w:r>
      <w:r w:rsidRPr="001575C3">
        <w:rPr>
          <w:sz w:val="22"/>
          <w:lang w:eastAsia="en-GB"/>
        </w:rPr>
        <w:t>(15/2 727</w:t>
      </w:r>
      <w:r w:rsidRPr="001575C3">
        <w:rPr>
          <w:sz w:val="22"/>
        </w:rPr>
        <w:t>;</w:t>
      </w:r>
      <w:r w:rsidRPr="001575C3">
        <w:rPr>
          <w:sz w:val="22"/>
          <w:lang w:eastAsia="en-GB"/>
        </w:rPr>
        <w:t xml:space="preserve"> 0,6 %).</w:t>
      </w:r>
    </w:p>
    <w:p w14:paraId="0D9F20DB" w14:textId="6EE1E414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4301D560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V </w:t>
      </w:r>
      <w:proofErr w:type="spellStart"/>
      <w:r w:rsidRPr="001575C3">
        <w:rPr>
          <w:sz w:val="22"/>
        </w:rPr>
        <w:t>metaanalýze</w:t>
      </w:r>
      <w:proofErr w:type="spellEnd"/>
      <w:r w:rsidRPr="001575C3">
        <w:rPr>
          <w:sz w:val="22"/>
        </w:rPr>
        <w:t xml:space="preserve"> 12 </w:t>
      </w:r>
      <w:proofErr w:type="spellStart"/>
      <w:r w:rsidRPr="001575C3">
        <w:rPr>
          <w:sz w:val="22"/>
        </w:rPr>
        <w:t>randomizovaných</w:t>
      </w:r>
      <w:proofErr w:type="spellEnd"/>
      <w:r w:rsidRPr="001575C3">
        <w:rPr>
          <w:sz w:val="22"/>
        </w:rPr>
        <w:t xml:space="preserve">,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alebo </w:t>
      </w:r>
      <w:proofErr w:type="spellStart"/>
      <w:r w:rsidRPr="001575C3">
        <w:rPr>
          <w:sz w:val="22"/>
        </w:rPr>
        <w:t>komparátorom</w:t>
      </w:r>
      <w:proofErr w:type="spellEnd"/>
      <w:r w:rsidRPr="001575C3">
        <w:rPr>
          <w:sz w:val="22"/>
        </w:rPr>
        <w:t xml:space="preserve"> kontrolovaných klinických štúdií (n = 18 802), ktoré hodnotili riziko rozvoja kardiovaskulárnych nežiaducich udalostí pri užívaní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(v porovnaní s kontrolami), sa nezistilo konzistentné štatisticky významné zvýšenie rizika vzniku srdcového zlyhávania (RR 1,05; 95 % IS: 0,71; 1,57), akútneho infarktu </w:t>
      </w:r>
      <w:r w:rsidRPr="001575C3">
        <w:rPr>
          <w:sz w:val="22"/>
        </w:rPr>
        <w:lastRenderedPageBreak/>
        <w:t>myokardu (RR 1,00; 95 % IS: 0,77; 1,30) alebo cievnej mozgovej príhody (RR 1,20; 95 % IS: 0,88; 1,64).</w:t>
      </w:r>
    </w:p>
    <w:p w14:paraId="22DF8A65" w14:textId="77777777" w:rsidR="00B56FA9" w:rsidRPr="001575C3" w:rsidRDefault="00B56FA9" w:rsidP="001575C3">
      <w:pPr>
        <w:ind w:left="0" w:firstLine="0"/>
        <w:jc w:val="left"/>
        <w:rPr>
          <w:sz w:val="22"/>
        </w:rPr>
      </w:pPr>
    </w:p>
    <w:p w14:paraId="74CD0667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Rakovina prostaty a nádory vysokého stupňa</w:t>
      </w:r>
    </w:p>
    <w:p w14:paraId="787B82B8" w14:textId="77777777" w:rsidR="00B56FA9" w:rsidRPr="001575C3" w:rsidRDefault="00B56FA9" w:rsidP="001575C3">
      <w:pPr>
        <w:jc w:val="left"/>
        <w:rPr>
          <w:sz w:val="22"/>
        </w:rPr>
      </w:pPr>
    </w:p>
    <w:p w14:paraId="3552BCDD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V 4</w:t>
      </w:r>
      <w:r w:rsidRPr="001575C3">
        <w:rPr>
          <w:sz w:val="22"/>
        </w:rPr>
        <w:noBreakHyphen/>
        <w:t xml:space="preserve">ročnom porovnaní </w:t>
      </w:r>
      <w:proofErr w:type="spellStart"/>
      <w:r w:rsidRPr="001575C3">
        <w:rPr>
          <w:sz w:val="22"/>
        </w:rPr>
        <w:t>placeba</w:t>
      </w:r>
      <w:proofErr w:type="spellEnd"/>
      <w:r w:rsidRPr="001575C3">
        <w:rPr>
          <w:sz w:val="22"/>
        </w:rPr>
        <w:t xml:space="preserve"> a 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u 8 231 mužov vo veku 50 až 75 rokov, s predchádzajúcou negatívnou </w:t>
      </w:r>
      <w:proofErr w:type="spellStart"/>
      <w:r w:rsidRPr="001575C3">
        <w:rPr>
          <w:sz w:val="22"/>
        </w:rPr>
        <w:t>biopsiou</w:t>
      </w:r>
      <w:proofErr w:type="spellEnd"/>
      <w:r w:rsidRPr="001575C3">
        <w:rPr>
          <w:sz w:val="22"/>
        </w:rPr>
        <w:t xml:space="preserve"> overujúcou rakovinu prostaty a s bazálnou hodnotou PSA pohybujúcou sa medzi 2,5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 a 10,0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 v prípade 50</w:t>
      </w:r>
      <w:r w:rsidRPr="001575C3">
        <w:rPr>
          <w:sz w:val="22"/>
        </w:rPr>
        <w:noBreakHyphen/>
        <w:t> až 60</w:t>
      </w:r>
      <w:r w:rsidRPr="001575C3">
        <w:rPr>
          <w:sz w:val="22"/>
        </w:rPr>
        <w:noBreakHyphen/>
        <w:t>ročných mužov, alebo medzi 3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>/ml a 10,0 </w:t>
      </w:r>
      <w:proofErr w:type="spellStart"/>
      <w:r w:rsidRPr="001575C3">
        <w:rPr>
          <w:sz w:val="22"/>
        </w:rPr>
        <w:t>ng</w:t>
      </w:r>
      <w:proofErr w:type="spellEnd"/>
      <w:r w:rsidRPr="001575C3">
        <w:rPr>
          <w:sz w:val="22"/>
        </w:rPr>
        <w:t xml:space="preserve">/ml v prípade mužov starších ako 60 rokov (štúdia REDUCE), boli u 6 706 jedincov k dispozícii údaje o ihlovej </w:t>
      </w:r>
      <w:proofErr w:type="spellStart"/>
      <w:r w:rsidRPr="001575C3">
        <w:rPr>
          <w:sz w:val="22"/>
        </w:rPr>
        <w:t>biopsii</w:t>
      </w:r>
      <w:proofErr w:type="spellEnd"/>
      <w:r w:rsidRPr="001575C3">
        <w:rPr>
          <w:sz w:val="22"/>
        </w:rPr>
        <w:t xml:space="preserve"> prostaty (predovšetkým vyžiadanej protokolom) na analýzu zameranú na určenie </w:t>
      </w:r>
      <w:proofErr w:type="spellStart"/>
      <w:r w:rsidRPr="001575C3">
        <w:rPr>
          <w:sz w:val="22"/>
        </w:rPr>
        <w:t>Gleasonovho</w:t>
      </w:r>
      <w:proofErr w:type="spellEnd"/>
      <w:r w:rsidRPr="001575C3">
        <w:rPr>
          <w:sz w:val="22"/>
        </w:rPr>
        <w:t xml:space="preserve"> skóre. V tejto štúdii sa u 1 517 jedincov stanovila diagnóza rakoviny prostaty. Väčšina karcinómov prostaty </w:t>
      </w:r>
      <w:proofErr w:type="spellStart"/>
      <w:r w:rsidRPr="001575C3">
        <w:rPr>
          <w:sz w:val="22"/>
        </w:rPr>
        <w:t>detegovateľných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biopsiou</w:t>
      </w:r>
      <w:proofErr w:type="spellEnd"/>
      <w:r w:rsidRPr="001575C3">
        <w:rPr>
          <w:sz w:val="22"/>
        </w:rPr>
        <w:t xml:space="preserve"> v oboch liečebných skupinách bola diagnostikovaná ako karcinómy nízkeho stupňa (</w:t>
      </w:r>
      <w:proofErr w:type="spellStart"/>
      <w:r w:rsidRPr="001575C3">
        <w:rPr>
          <w:sz w:val="22"/>
        </w:rPr>
        <w:t>Gleasonovo</w:t>
      </w:r>
      <w:proofErr w:type="spellEnd"/>
      <w:r w:rsidRPr="001575C3">
        <w:rPr>
          <w:sz w:val="22"/>
        </w:rPr>
        <w:t xml:space="preserve"> skóre 5 – 6; 70 %).</w:t>
      </w:r>
    </w:p>
    <w:p w14:paraId="4224330A" w14:textId="77777777" w:rsidR="00B56FA9" w:rsidRPr="001575C3" w:rsidRDefault="00B56FA9" w:rsidP="001575C3">
      <w:pPr>
        <w:jc w:val="left"/>
        <w:rPr>
          <w:sz w:val="22"/>
        </w:rPr>
      </w:pPr>
    </w:p>
    <w:p w14:paraId="2C842200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 xml:space="preserve">Zaznamenala sa vyššia </w:t>
      </w:r>
      <w:proofErr w:type="spellStart"/>
      <w:r w:rsidRPr="001575C3">
        <w:rPr>
          <w:sz w:val="22"/>
        </w:rPr>
        <w:t>incidencia</w:t>
      </w:r>
      <w:proofErr w:type="spellEnd"/>
      <w:r w:rsidRPr="001575C3">
        <w:rPr>
          <w:sz w:val="22"/>
        </w:rPr>
        <w:t xml:space="preserve"> karcinómov prostaty s 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– 10 v skupine s 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(n = 29; 0,9 %) v porovnaní so skupinou s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(n = 19; 0,6 %) (p = 0,15). V 1. </w:t>
      </w:r>
      <w:r w:rsidRPr="001575C3">
        <w:rPr>
          <w:sz w:val="22"/>
        </w:rPr>
        <w:noBreakHyphen/>
        <w:t> 2. roku liečby bol počet jedincov s karcinómami s 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– 10 v skupine s 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(n = 17; 0,5 %) a v skupine s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(n = 18; 0,5 %) podobný. V 3. </w:t>
      </w:r>
      <w:r w:rsidRPr="001575C3">
        <w:rPr>
          <w:sz w:val="22"/>
        </w:rPr>
        <w:noBreakHyphen/>
        <w:t xml:space="preserve"> 4. roku liečby sa diagnostikoval vyšší počet karcinómov s 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</w:t>
      </w:r>
      <w:r w:rsidRPr="001575C3">
        <w:rPr>
          <w:sz w:val="22"/>
        </w:rPr>
        <w:noBreakHyphen/>
        <w:t> 10 v skupine s </w:t>
      </w:r>
      <w:proofErr w:type="spellStart"/>
      <w:r w:rsidRPr="001575C3">
        <w:rPr>
          <w:sz w:val="22"/>
        </w:rPr>
        <w:t>d</w:t>
      </w:r>
      <w:r w:rsidRPr="001575C3">
        <w:rPr>
          <w:bCs/>
          <w:iCs/>
          <w:snapToGrid w:val="0"/>
          <w:sz w:val="22"/>
        </w:rPr>
        <w:t>utasteridom</w:t>
      </w:r>
      <w:proofErr w:type="spellEnd"/>
      <w:r w:rsidRPr="001575C3">
        <w:rPr>
          <w:bCs/>
          <w:iCs/>
          <w:snapToGrid w:val="0"/>
          <w:sz w:val="22"/>
        </w:rPr>
        <w:t xml:space="preserve"> </w:t>
      </w:r>
      <w:r w:rsidRPr="001575C3">
        <w:rPr>
          <w:sz w:val="22"/>
        </w:rPr>
        <w:t xml:space="preserve">(n = 12; 0,5 %) v porovnaní so skupinou s 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(n = 1; &lt; 0,1 %) (p = 0,0035). K dispozícii nie sú údaje o vplyve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po 4 rokoch liečby u mužov s rizikom vzniku rakoviny prostaty. Percento jedincov, ktorí mali diagnostikovaný karcinóm s 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</w:t>
      </w:r>
      <w:r w:rsidRPr="001575C3">
        <w:rPr>
          <w:sz w:val="22"/>
        </w:rPr>
        <w:noBreakHyphen/>
        <w:t> 10, bolo v rámci časových období štúdie (1. </w:t>
      </w:r>
      <w:r w:rsidRPr="001575C3">
        <w:rPr>
          <w:sz w:val="22"/>
        </w:rPr>
        <w:noBreakHyphen/>
        <w:t> 2. rok a 3. </w:t>
      </w:r>
      <w:r w:rsidRPr="001575C3">
        <w:rPr>
          <w:sz w:val="22"/>
        </w:rPr>
        <w:noBreakHyphen/>
        <w:t> 4. rok) zhodné v skupine s 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(0,5 % v každom časovom období), kým v skupine s </w:t>
      </w:r>
      <w:proofErr w:type="spellStart"/>
      <w:r w:rsidRPr="001575C3">
        <w:rPr>
          <w:sz w:val="22"/>
        </w:rPr>
        <w:t>placebom</w:t>
      </w:r>
      <w:proofErr w:type="spellEnd"/>
      <w:r w:rsidRPr="001575C3">
        <w:rPr>
          <w:sz w:val="22"/>
        </w:rPr>
        <w:t xml:space="preserve"> bolo percento jedincov, ktorí mali diagnostikovaný karcinóm s 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– 10, nižšie v priebehu 3. - 4. roku ako v priebehu 1. </w:t>
      </w:r>
      <w:r w:rsidRPr="001575C3">
        <w:rPr>
          <w:sz w:val="22"/>
        </w:rPr>
        <w:noBreakHyphen/>
        <w:t> 2. roku (&lt; 0,1 % oproti 0,5 %, v uvedenom poradí) (pozri časť 4.4). V </w:t>
      </w:r>
      <w:proofErr w:type="spellStart"/>
      <w:r w:rsidRPr="001575C3">
        <w:rPr>
          <w:sz w:val="22"/>
        </w:rPr>
        <w:t>incidencii</w:t>
      </w:r>
      <w:proofErr w:type="spellEnd"/>
      <w:r w:rsidRPr="001575C3">
        <w:rPr>
          <w:sz w:val="22"/>
        </w:rPr>
        <w:t xml:space="preserve"> karcinómov s 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7 – 10 sa nezistil žiaden rozdiel (p = 0,81).</w:t>
      </w:r>
    </w:p>
    <w:p w14:paraId="641913B1" w14:textId="77777777" w:rsidR="00B56FA9" w:rsidRPr="001575C3" w:rsidRDefault="00B56FA9" w:rsidP="001575C3">
      <w:pPr>
        <w:jc w:val="left"/>
        <w:rPr>
          <w:sz w:val="22"/>
        </w:rPr>
      </w:pPr>
    </w:p>
    <w:p w14:paraId="6D54C60D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V ďalšej 2</w:t>
      </w:r>
      <w:r w:rsidRPr="001575C3">
        <w:rPr>
          <w:sz w:val="22"/>
        </w:rPr>
        <w:noBreakHyphen/>
        <w:t xml:space="preserve">ročnej štúdii nadväzujúcej na klinické skúšanie REDUCE sa nezistili žiadne nové prípady karcinómov prostaty s 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– 10.</w:t>
      </w:r>
    </w:p>
    <w:p w14:paraId="683EDEE6" w14:textId="77777777" w:rsidR="00B56FA9" w:rsidRPr="001575C3" w:rsidRDefault="00B56FA9" w:rsidP="001575C3">
      <w:pPr>
        <w:jc w:val="left"/>
        <w:rPr>
          <w:sz w:val="22"/>
        </w:rPr>
      </w:pPr>
    </w:p>
    <w:p w14:paraId="4EFA1943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V 4</w:t>
      </w:r>
      <w:r w:rsidRPr="001575C3">
        <w:rPr>
          <w:sz w:val="22"/>
        </w:rPr>
        <w:noBreakHyphen/>
        <w:t>ročnej štúdii BPH (</w:t>
      </w:r>
      <w:proofErr w:type="spellStart"/>
      <w:r w:rsidRPr="001575C3">
        <w:rPr>
          <w:sz w:val="22"/>
        </w:rPr>
        <w:t>CombAT</w:t>
      </w:r>
      <w:proofErr w:type="spellEnd"/>
      <w:r w:rsidRPr="001575C3">
        <w:rPr>
          <w:sz w:val="22"/>
        </w:rPr>
        <w:t xml:space="preserve">), v rámci ktorej sa nerobili žiadne protokolom vyžiadané </w:t>
      </w:r>
      <w:proofErr w:type="spellStart"/>
      <w:r w:rsidRPr="001575C3">
        <w:rPr>
          <w:sz w:val="22"/>
        </w:rPr>
        <w:t>biopsie</w:t>
      </w:r>
      <w:proofErr w:type="spellEnd"/>
      <w:r w:rsidRPr="001575C3">
        <w:rPr>
          <w:sz w:val="22"/>
        </w:rPr>
        <w:t xml:space="preserve"> a všetky diagnózy rakoviny prostaty sa zakladali na </w:t>
      </w:r>
      <w:proofErr w:type="spellStart"/>
      <w:r w:rsidRPr="001575C3">
        <w:rPr>
          <w:i/>
          <w:iCs/>
          <w:sz w:val="22"/>
        </w:rPr>
        <w:t>for-cause</w:t>
      </w:r>
      <w:proofErr w:type="spellEnd"/>
      <w:r w:rsidRPr="001575C3">
        <w:rPr>
          <w:i/>
          <w:iCs/>
          <w:sz w:val="22"/>
        </w:rPr>
        <w:t xml:space="preserve"> </w:t>
      </w:r>
      <w:r w:rsidRPr="001575C3">
        <w:rPr>
          <w:sz w:val="22"/>
        </w:rPr>
        <w:t xml:space="preserve">(diagnostických) </w:t>
      </w:r>
      <w:proofErr w:type="spellStart"/>
      <w:r w:rsidRPr="001575C3">
        <w:rPr>
          <w:sz w:val="22"/>
        </w:rPr>
        <w:t>biopsiách</w:t>
      </w:r>
      <w:proofErr w:type="spellEnd"/>
      <w:r w:rsidRPr="001575C3">
        <w:rPr>
          <w:sz w:val="22"/>
        </w:rPr>
        <w:t>, bol výskyt karcinómu s </w:t>
      </w:r>
      <w:proofErr w:type="spellStart"/>
      <w:r w:rsidRPr="001575C3">
        <w:rPr>
          <w:sz w:val="22"/>
        </w:rPr>
        <w:t>Gleasonovým</w:t>
      </w:r>
      <w:proofErr w:type="spellEnd"/>
      <w:r w:rsidRPr="001575C3">
        <w:rPr>
          <w:sz w:val="22"/>
        </w:rPr>
        <w:t xml:space="preserve"> skóre 8 – 10 pri </w:t>
      </w:r>
      <w:proofErr w:type="spellStart"/>
      <w:r w:rsidRPr="001575C3">
        <w:rPr>
          <w:sz w:val="22"/>
        </w:rPr>
        <w:t>dutasteride</w:t>
      </w:r>
      <w:proofErr w:type="spellEnd"/>
      <w:r w:rsidRPr="001575C3">
        <w:rPr>
          <w:sz w:val="22"/>
        </w:rPr>
        <w:t xml:space="preserve"> (n = 8; 0,5 %), pri </w:t>
      </w:r>
      <w:proofErr w:type="spellStart"/>
      <w:r w:rsidRPr="001575C3">
        <w:rPr>
          <w:sz w:val="22"/>
        </w:rPr>
        <w:t>tamsulosíne</w:t>
      </w:r>
      <w:proofErr w:type="spellEnd"/>
      <w:r w:rsidRPr="001575C3">
        <w:rPr>
          <w:sz w:val="22"/>
        </w:rPr>
        <w:t xml:space="preserve"> (n = 11; 0,7 %) a pri kombinovanej liečbe (n = 5; 0,3 %).</w:t>
      </w:r>
    </w:p>
    <w:p w14:paraId="52A6D733" w14:textId="77777777" w:rsidR="00B56FA9" w:rsidRPr="001575C3" w:rsidRDefault="00B56FA9" w:rsidP="001575C3">
      <w:pPr>
        <w:ind w:left="0" w:firstLine="0"/>
        <w:jc w:val="left"/>
        <w:rPr>
          <w:sz w:val="22"/>
        </w:rPr>
      </w:pPr>
    </w:p>
    <w:p w14:paraId="659AAC2C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>Štyri rôzne epidemiologické populačné štúdie (dve z nich boli založené na celkovej populácii 174 895 osôb, jedna na populácii 13 892 osôb a jedna na populácii 38 058 osôb) ukázali, že užívanie inhibítorov 5</w:t>
      </w:r>
      <w:r w:rsidRPr="001575C3">
        <w:rPr>
          <w:sz w:val="22"/>
        </w:rPr>
        <w:noBreakHyphen/>
        <w:t>alfa</w:t>
      </w:r>
      <w:r w:rsidRPr="001575C3">
        <w:rPr>
          <w:sz w:val="22"/>
        </w:rPr>
        <w:noBreakHyphen/>
        <w:t>reduktázy nesúvisí s výskytom rakoviny prostaty vysokého stupňa, ani s rakovinou prostaty či s celkovou mortalitou.</w:t>
      </w:r>
    </w:p>
    <w:p w14:paraId="79CBFC5B" w14:textId="77777777" w:rsidR="00B56FA9" w:rsidRPr="001575C3" w:rsidRDefault="00B56FA9" w:rsidP="001575C3">
      <w:pPr>
        <w:jc w:val="left"/>
        <w:rPr>
          <w:sz w:val="22"/>
        </w:rPr>
      </w:pPr>
    </w:p>
    <w:p w14:paraId="3A542FB0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 xml:space="preserve">Súvislosť medzi </w:t>
      </w:r>
      <w:proofErr w:type="spellStart"/>
      <w:r w:rsidRPr="001575C3">
        <w:rPr>
          <w:sz w:val="22"/>
        </w:rPr>
        <w:t>dutasteridom</w:t>
      </w:r>
      <w:proofErr w:type="spellEnd"/>
      <w:r w:rsidRPr="001575C3">
        <w:rPr>
          <w:sz w:val="22"/>
        </w:rPr>
        <w:t xml:space="preserve"> a rakovinou prostaty vysokého stupňa nie je jasná.</w:t>
      </w:r>
    </w:p>
    <w:p w14:paraId="4AB641B0" w14:textId="77777777" w:rsidR="00B56FA9" w:rsidRPr="001575C3" w:rsidRDefault="00B56FA9" w:rsidP="001575C3">
      <w:pPr>
        <w:jc w:val="left"/>
        <w:rPr>
          <w:sz w:val="22"/>
        </w:rPr>
      </w:pPr>
    </w:p>
    <w:p w14:paraId="4D02D31B" w14:textId="77777777" w:rsidR="00B56FA9" w:rsidRPr="001575C3" w:rsidRDefault="00B56FA9" w:rsidP="001575C3">
      <w:pPr>
        <w:jc w:val="left"/>
        <w:rPr>
          <w:rFonts w:eastAsia="Calibri"/>
          <w:sz w:val="22"/>
        </w:rPr>
      </w:pPr>
      <w:r w:rsidRPr="001575C3">
        <w:rPr>
          <w:rFonts w:eastAsia="Calibri"/>
          <w:sz w:val="22"/>
        </w:rPr>
        <w:t>Účinky na sexuálne funkcie:</w:t>
      </w:r>
    </w:p>
    <w:p w14:paraId="0069884E" w14:textId="77777777" w:rsidR="00B56FA9" w:rsidRPr="001575C3" w:rsidRDefault="00B56FA9" w:rsidP="001575C3">
      <w:pPr>
        <w:jc w:val="left"/>
        <w:rPr>
          <w:rFonts w:eastAsia="Calibri"/>
          <w:sz w:val="22"/>
        </w:rPr>
      </w:pPr>
    </w:p>
    <w:p w14:paraId="43A68D8B" w14:textId="132DD860" w:rsidR="00B56FA9" w:rsidRPr="001575C3" w:rsidRDefault="00B56FA9" w:rsidP="001575C3">
      <w:pPr>
        <w:jc w:val="left"/>
        <w:rPr>
          <w:rFonts w:eastAsia="Calibri"/>
          <w:sz w:val="22"/>
        </w:rPr>
      </w:pPr>
      <w:r w:rsidRPr="001575C3">
        <w:rPr>
          <w:rFonts w:eastAsia="Calibri"/>
          <w:sz w:val="22"/>
        </w:rPr>
        <w:t xml:space="preserve">Účinky </w:t>
      </w:r>
      <w:proofErr w:type="spellStart"/>
      <w:r w:rsidRPr="001575C3">
        <w:rPr>
          <w:rFonts w:eastAsia="Calibri"/>
          <w:sz w:val="22"/>
        </w:rPr>
        <w:t>dutasteridu</w:t>
      </w:r>
      <w:proofErr w:type="spellEnd"/>
      <w:r w:rsidRPr="001575C3">
        <w:rPr>
          <w:rFonts w:eastAsia="Calibri"/>
          <w:sz w:val="22"/>
        </w:rPr>
        <w:t>/</w:t>
      </w:r>
      <w:proofErr w:type="spellStart"/>
      <w:r w:rsidRPr="001575C3">
        <w:rPr>
          <w:rFonts w:eastAsia="Calibri"/>
          <w:sz w:val="22"/>
        </w:rPr>
        <w:t>tamsulozínu</w:t>
      </w:r>
      <w:proofErr w:type="spellEnd"/>
      <w:r w:rsidRPr="001575C3">
        <w:rPr>
          <w:rFonts w:eastAsia="Calibri"/>
          <w:sz w:val="22"/>
        </w:rPr>
        <w:t xml:space="preserve"> na sexuálne funkcie sa hodnotili v dvojito zaslepenej, </w:t>
      </w:r>
      <w:proofErr w:type="spellStart"/>
      <w:r w:rsidRPr="001575C3">
        <w:rPr>
          <w:rFonts w:eastAsia="Calibri"/>
          <w:sz w:val="22"/>
        </w:rPr>
        <w:t>placebom</w:t>
      </w:r>
      <w:proofErr w:type="spellEnd"/>
      <w:r w:rsidRPr="001575C3">
        <w:rPr>
          <w:rFonts w:eastAsia="Calibri"/>
          <w:sz w:val="22"/>
        </w:rPr>
        <w:t xml:space="preserve"> kontrolovanej štúdii u sexuálne aktívnych mužov s BPH (n=243 </w:t>
      </w:r>
      <w:proofErr w:type="spellStart"/>
      <w:r w:rsidRPr="001575C3">
        <w:rPr>
          <w:rFonts w:eastAsia="Calibri"/>
          <w:sz w:val="22"/>
        </w:rPr>
        <w:t>dutasterid</w:t>
      </w:r>
      <w:proofErr w:type="spellEnd"/>
      <w:r w:rsidRPr="001575C3">
        <w:rPr>
          <w:rFonts w:eastAsia="Calibri"/>
          <w:sz w:val="22"/>
        </w:rPr>
        <w:t>/</w:t>
      </w:r>
      <w:proofErr w:type="spellStart"/>
      <w:r w:rsidRPr="001575C3">
        <w:rPr>
          <w:rFonts w:eastAsia="Calibri"/>
          <w:sz w:val="22"/>
        </w:rPr>
        <w:t>tamsulozín</w:t>
      </w:r>
      <w:proofErr w:type="spellEnd"/>
      <w:r w:rsidRPr="001575C3">
        <w:rPr>
          <w:rFonts w:eastAsia="Calibri"/>
          <w:sz w:val="22"/>
        </w:rPr>
        <w:t xml:space="preserve">, n=246 </w:t>
      </w:r>
      <w:proofErr w:type="spellStart"/>
      <w:r w:rsidRPr="001575C3">
        <w:rPr>
          <w:rFonts w:eastAsia="Calibri"/>
          <w:sz w:val="22"/>
        </w:rPr>
        <w:t>placebo</w:t>
      </w:r>
      <w:proofErr w:type="spellEnd"/>
      <w:r w:rsidRPr="001575C3">
        <w:rPr>
          <w:rFonts w:eastAsia="Calibri"/>
          <w:sz w:val="22"/>
        </w:rPr>
        <w:t>). V skupine s kombinovanou liečbou sa po 12 mesiacoch pozorovalo štatisticky významné (p&lt;0,001) väčšie zníženie (zhoršenie) skóre dotazníka sexuálneho zdravia mužov (</w:t>
      </w:r>
      <w:proofErr w:type="spellStart"/>
      <w:r w:rsidRPr="001575C3">
        <w:rPr>
          <w:rFonts w:eastAsia="Calibri"/>
          <w:sz w:val="22"/>
        </w:rPr>
        <w:t>Men’s</w:t>
      </w:r>
      <w:proofErr w:type="spellEnd"/>
      <w:r w:rsidRPr="001575C3">
        <w:rPr>
          <w:rFonts w:eastAsia="Calibri"/>
          <w:sz w:val="22"/>
        </w:rPr>
        <w:t xml:space="preserve"> </w:t>
      </w:r>
      <w:proofErr w:type="spellStart"/>
      <w:r w:rsidRPr="001575C3">
        <w:rPr>
          <w:rFonts w:eastAsia="Calibri"/>
          <w:sz w:val="22"/>
        </w:rPr>
        <w:t>Sexual</w:t>
      </w:r>
      <w:proofErr w:type="spellEnd"/>
      <w:r w:rsidRPr="001575C3">
        <w:rPr>
          <w:rFonts w:eastAsia="Calibri"/>
          <w:sz w:val="22"/>
        </w:rPr>
        <w:t xml:space="preserve"> </w:t>
      </w:r>
      <w:proofErr w:type="spellStart"/>
      <w:r w:rsidRPr="001575C3">
        <w:rPr>
          <w:rFonts w:eastAsia="Calibri"/>
          <w:sz w:val="22"/>
        </w:rPr>
        <w:t>Health</w:t>
      </w:r>
      <w:proofErr w:type="spellEnd"/>
      <w:r w:rsidRPr="001575C3">
        <w:rPr>
          <w:rFonts w:eastAsia="Calibri"/>
          <w:sz w:val="22"/>
        </w:rPr>
        <w:t xml:space="preserve"> </w:t>
      </w:r>
      <w:proofErr w:type="spellStart"/>
      <w:r w:rsidRPr="001575C3">
        <w:rPr>
          <w:rFonts w:eastAsia="Calibri"/>
          <w:sz w:val="22"/>
        </w:rPr>
        <w:t>Questionnaire</w:t>
      </w:r>
      <w:proofErr w:type="spellEnd"/>
      <w:r w:rsidRPr="001575C3">
        <w:rPr>
          <w:rFonts w:eastAsia="Calibri"/>
          <w:sz w:val="22"/>
        </w:rPr>
        <w:t xml:space="preserve">, MSHQ). Zníženie skóre súviselo hlavne so zhoršením domén týkajúcich ejakulácie a celkovej spokojnosti a nie domén týkajúcich sa erekcie. Tieto </w:t>
      </w:r>
      <w:r w:rsidRPr="001575C3">
        <w:rPr>
          <w:rFonts w:eastAsia="Calibri"/>
          <w:sz w:val="22"/>
        </w:rPr>
        <w:lastRenderedPageBreak/>
        <w:t xml:space="preserve">účinky nemali vplyv na to, ako účastníci štúdie vnímali liečbu </w:t>
      </w:r>
      <w:proofErr w:type="spellStart"/>
      <w:r w:rsidRPr="001575C3">
        <w:rPr>
          <w:rFonts w:eastAsia="Calibri"/>
          <w:sz w:val="22"/>
        </w:rPr>
        <w:t>dutasteridom</w:t>
      </w:r>
      <w:proofErr w:type="spellEnd"/>
      <w:r w:rsidRPr="001575C3">
        <w:rPr>
          <w:rFonts w:eastAsia="Calibri"/>
          <w:sz w:val="22"/>
        </w:rPr>
        <w:t>/</w:t>
      </w:r>
      <w:proofErr w:type="spellStart"/>
      <w:r w:rsidRPr="001575C3">
        <w:rPr>
          <w:rFonts w:eastAsia="Calibri"/>
          <w:sz w:val="22"/>
        </w:rPr>
        <w:t>tamsulozínom</w:t>
      </w:r>
      <w:proofErr w:type="spellEnd"/>
      <w:r w:rsidRPr="001575C3">
        <w:rPr>
          <w:rFonts w:eastAsia="Calibri"/>
          <w:sz w:val="22"/>
        </w:rPr>
        <w:t>, ktorá bola počas celých 12 mesiacov hodnotená so štatisticky významnou väčšou spokojnosťou v porovnaní s </w:t>
      </w:r>
      <w:proofErr w:type="spellStart"/>
      <w:r w:rsidRPr="001575C3">
        <w:rPr>
          <w:rFonts w:eastAsia="Calibri"/>
          <w:sz w:val="22"/>
        </w:rPr>
        <w:t>placebom</w:t>
      </w:r>
      <w:proofErr w:type="spellEnd"/>
      <w:r w:rsidRPr="001575C3">
        <w:rPr>
          <w:rFonts w:eastAsia="Calibri"/>
          <w:sz w:val="22"/>
        </w:rPr>
        <w:t xml:space="preserve"> (p&lt;0,05). V tejto štúdii sa sexuálne nežiaduce udalosti vyskytli v priebehu 12 mesiacov liečby a približne polovica z nich odznela do 6 mesiacov po ukončení liečby.</w:t>
      </w:r>
    </w:p>
    <w:p w14:paraId="6B861D56" w14:textId="042AD6E3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0AA6BFAC" w14:textId="155275B1" w:rsidR="00B56FA9" w:rsidRPr="001575C3" w:rsidRDefault="00B56FA9" w:rsidP="001575C3">
      <w:pPr>
        <w:jc w:val="left"/>
        <w:rPr>
          <w:rFonts w:eastAsia="Calibri"/>
          <w:sz w:val="22"/>
        </w:rPr>
      </w:pPr>
      <w:r w:rsidRPr="001575C3">
        <w:rPr>
          <w:rFonts w:eastAsia="Calibri"/>
          <w:sz w:val="22"/>
        </w:rPr>
        <w:t xml:space="preserve">Je známe, že kombinácia </w:t>
      </w:r>
      <w:proofErr w:type="spellStart"/>
      <w:r w:rsidRPr="001575C3">
        <w:rPr>
          <w:rFonts w:eastAsia="Calibri"/>
          <w:sz w:val="22"/>
        </w:rPr>
        <w:t>dutasterid</w:t>
      </w:r>
      <w:proofErr w:type="spellEnd"/>
      <w:r w:rsidRPr="001575C3">
        <w:rPr>
          <w:rFonts w:eastAsia="Calibri"/>
          <w:sz w:val="22"/>
        </w:rPr>
        <w:t>/</w:t>
      </w:r>
      <w:proofErr w:type="spellStart"/>
      <w:r w:rsidRPr="001575C3">
        <w:rPr>
          <w:rFonts w:eastAsia="Calibri"/>
          <w:sz w:val="22"/>
        </w:rPr>
        <w:t>tamsulozín</w:t>
      </w:r>
      <w:proofErr w:type="spellEnd"/>
      <w:r w:rsidRPr="001575C3">
        <w:rPr>
          <w:rFonts w:eastAsia="Calibri"/>
          <w:sz w:val="22"/>
        </w:rPr>
        <w:t xml:space="preserve"> a </w:t>
      </w:r>
      <w:proofErr w:type="spellStart"/>
      <w:r w:rsidRPr="001575C3">
        <w:rPr>
          <w:rFonts w:eastAsia="Calibri"/>
          <w:sz w:val="22"/>
        </w:rPr>
        <w:t>dutasterid</w:t>
      </w:r>
      <w:proofErr w:type="spellEnd"/>
      <w:r w:rsidRPr="001575C3">
        <w:rPr>
          <w:rFonts w:eastAsia="Calibri"/>
          <w:sz w:val="22"/>
        </w:rPr>
        <w:t xml:space="preserve"> v </w:t>
      </w:r>
      <w:proofErr w:type="spellStart"/>
      <w:r w:rsidRPr="001575C3">
        <w:rPr>
          <w:rFonts w:eastAsia="Calibri"/>
          <w:sz w:val="22"/>
        </w:rPr>
        <w:t>monoterapii</w:t>
      </w:r>
      <w:proofErr w:type="spellEnd"/>
      <w:r w:rsidRPr="001575C3">
        <w:rPr>
          <w:rFonts w:eastAsia="Calibri"/>
          <w:sz w:val="22"/>
        </w:rPr>
        <w:t xml:space="preserve"> spôsobujú nežiaduce účinky na sexuálne funkcie (pozri časť 4.8).</w:t>
      </w:r>
    </w:p>
    <w:p w14:paraId="3A13F0E4" w14:textId="77777777" w:rsidR="00B56FA9" w:rsidRPr="001575C3" w:rsidRDefault="00B56FA9" w:rsidP="001575C3">
      <w:pPr>
        <w:jc w:val="left"/>
        <w:rPr>
          <w:rFonts w:eastAsia="Calibri"/>
          <w:sz w:val="22"/>
        </w:rPr>
      </w:pPr>
    </w:p>
    <w:p w14:paraId="2A0D38A4" w14:textId="77777777" w:rsidR="00B56FA9" w:rsidRPr="001575C3" w:rsidRDefault="00B56FA9" w:rsidP="001575C3">
      <w:pPr>
        <w:jc w:val="left"/>
        <w:rPr>
          <w:sz w:val="22"/>
        </w:rPr>
      </w:pPr>
      <w:r w:rsidRPr="001575C3">
        <w:rPr>
          <w:sz w:val="22"/>
        </w:rPr>
        <w:t xml:space="preserve">Tak ako sa to pozorovalo v iných klinických štúdiách vrátane </w:t>
      </w:r>
      <w:proofErr w:type="spellStart"/>
      <w:r w:rsidRPr="001575C3">
        <w:rPr>
          <w:sz w:val="22"/>
        </w:rPr>
        <w:t>CombAT</w:t>
      </w:r>
      <w:proofErr w:type="spellEnd"/>
      <w:r w:rsidRPr="001575C3">
        <w:rPr>
          <w:sz w:val="22"/>
        </w:rPr>
        <w:t xml:space="preserve"> a REDUCE, výskyt nežiaducich udalostí súvisiacich so sexuálnymi funkciami sa pri pokračujúcej liečbe v priebehu času znižuje.</w:t>
      </w:r>
    </w:p>
    <w:p w14:paraId="39084620" w14:textId="77777777" w:rsidR="006E1B13" w:rsidRPr="001575C3" w:rsidRDefault="006E1B13" w:rsidP="001575C3">
      <w:pPr>
        <w:pStyle w:val="Bezriadkovania"/>
        <w:jc w:val="left"/>
        <w:rPr>
          <w:lang w:val="sk-SK"/>
        </w:rPr>
      </w:pPr>
    </w:p>
    <w:p w14:paraId="1C3151A3" w14:textId="77777777" w:rsidR="00041477" w:rsidRPr="001575C3" w:rsidRDefault="00041477" w:rsidP="001575C3">
      <w:pPr>
        <w:pStyle w:val="Bezriadkovania"/>
        <w:jc w:val="left"/>
        <w:rPr>
          <w:bCs/>
          <w:lang w:val="sk-SK"/>
        </w:rPr>
      </w:pPr>
      <w:proofErr w:type="spellStart"/>
      <w:r w:rsidRPr="001575C3">
        <w:rPr>
          <w:bCs/>
          <w:i/>
          <w:lang w:val="sk-SK"/>
        </w:rPr>
        <w:t>Tamsulozín</w:t>
      </w:r>
      <w:proofErr w:type="spellEnd"/>
    </w:p>
    <w:p w14:paraId="2B15A346" w14:textId="77777777" w:rsidR="00041477" w:rsidRPr="001575C3" w:rsidRDefault="00041477" w:rsidP="001575C3">
      <w:pPr>
        <w:pStyle w:val="Bezriadkovania"/>
        <w:jc w:val="left"/>
        <w:rPr>
          <w:bCs/>
          <w:lang w:val="sk-SK"/>
        </w:rPr>
      </w:pPr>
    </w:p>
    <w:p w14:paraId="78256BB9" w14:textId="77777777" w:rsidR="00041477" w:rsidRPr="001575C3" w:rsidRDefault="00041477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Tamsulozín</w:t>
      </w:r>
      <w:proofErr w:type="spellEnd"/>
      <w:r w:rsidRPr="001575C3">
        <w:rPr>
          <w:lang w:val="sk-SK"/>
        </w:rPr>
        <w:t xml:space="preserve"> zvyšuje maximálny prietok moču. Zmierňuje obštrukciu relaxáciou hladkého svalstva prostaty a </w:t>
      </w:r>
      <w:proofErr w:type="spellStart"/>
      <w:r w:rsidRPr="001575C3">
        <w:rPr>
          <w:lang w:val="sk-SK"/>
        </w:rPr>
        <w:t>uretry</w:t>
      </w:r>
      <w:proofErr w:type="spellEnd"/>
      <w:r w:rsidRPr="001575C3">
        <w:rPr>
          <w:lang w:val="sk-SK"/>
        </w:rPr>
        <w:t xml:space="preserve">, a tým zlepšuje symptómy vyprázdňovania. Zlepšuje aj symptómy udržiavania moču, pri ktorom hrá dôležitú úlohu nestabilita močového mechúra. Tieto účinky na symptómy udržiavania moču a na vyprázdňovanie sa počas dlhodobej liečby uchovávajú. Potreba chirurgickej liečby alebo </w:t>
      </w:r>
      <w:proofErr w:type="spellStart"/>
      <w:r w:rsidRPr="001575C3">
        <w:rPr>
          <w:lang w:val="sk-SK"/>
        </w:rPr>
        <w:t>katetrizácia</w:t>
      </w:r>
      <w:proofErr w:type="spellEnd"/>
      <w:r w:rsidRPr="001575C3">
        <w:rPr>
          <w:lang w:val="sk-SK"/>
        </w:rPr>
        <w:t xml:space="preserve"> sa významne odďaľujú.</w:t>
      </w:r>
    </w:p>
    <w:p w14:paraId="01EC11A6" w14:textId="77777777" w:rsidR="006E1B13" w:rsidRPr="001575C3" w:rsidRDefault="006E1B13" w:rsidP="001575C3">
      <w:pPr>
        <w:pStyle w:val="Bezriadkovania"/>
        <w:jc w:val="left"/>
        <w:rPr>
          <w:lang w:val="sk-SK"/>
        </w:rPr>
      </w:pPr>
    </w:p>
    <w:p w14:paraId="4F088287" w14:textId="77777777" w:rsidR="00041477" w:rsidRPr="001575C3" w:rsidRDefault="00041477" w:rsidP="001575C3">
      <w:pPr>
        <w:autoSpaceDE w:val="0"/>
        <w:autoSpaceDN w:val="0"/>
        <w:adjustRightInd w:val="0"/>
        <w:jc w:val="left"/>
        <w:rPr>
          <w:bCs/>
          <w:sz w:val="22"/>
        </w:rPr>
      </w:pPr>
      <w:proofErr w:type="spellStart"/>
      <w:r w:rsidRPr="001575C3">
        <w:rPr>
          <w:bCs/>
          <w:sz w:val="22"/>
        </w:rPr>
        <w:t>Antagonisty</w:t>
      </w:r>
      <w:proofErr w:type="spellEnd"/>
      <w:r w:rsidRPr="001575C3">
        <w:rPr>
          <w:bCs/>
          <w:sz w:val="22"/>
        </w:rPr>
        <w:t xml:space="preserve"> alfa</w:t>
      </w:r>
      <w:r w:rsidRPr="001575C3">
        <w:rPr>
          <w:bCs/>
          <w:sz w:val="22"/>
          <w:vertAlign w:val="subscript"/>
        </w:rPr>
        <w:t>1</w:t>
      </w:r>
      <w:r w:rsidRPr="001575C3">
        <w:rPr>
          <w:bCs/>
          <w:sz w:val="22"/>
        </w:rPr>
        <w:noBreakHyphen/>
        <w:t>adrenergických receptorov môžu znižovaním krvného tlaku znižovať periférnu rezistenciu. Počas štúdií s </w:t>
      </w:r>
      <w:proofErr w:type="spellStart"/>
      <w:r w:rsidRPr="001575C3">
        <w:rPr>
          <w:bCs/>
          <w:sz w:val="22"/>
        </w:rPr>
        <w:t>tamsulozínom</w:t>
      </w:r>
      <w:proofErr w:type="spellEnd"/>
      <w:r w:rsidRPr="001575C3">
        <w:rPr>
          <w:bCs/>
          <w:sz w:val="22"/>
        </w:rPr>
        <w:t xml:space="preserve"> sa nepozorovalo klinicky významné zníženie krvného tlaku.</w:t>
      </w:r>
    </w:p>
    <w:p w14:paraId="0344E475" w14:textId="77777777" w:rsidR="006E1B13" w:rsidRPr="001575C3" w:rsidRDefault="006E1B13" w:rsidP="001575C3">
      <w:pPr>
        <w:widowControl w:val="0"/>
        <w:jc w:val="left"/>
        <w:rPr>
          <w:sz w:val="22"/>
        </w:rPr>
      </w:pPr>
    </w:p>
    <w:p w14:paraId="35C65811" w14:textId="4263FE73" w:rsidR="00F15395" w:rsidRPr="001575C3" w:rsidRDefault="00F15395" w:rsidP="001575C3">
      <w:pPr>
        <w:pStyle w:val="Nadpis3"/>
        <w:tabs>
          <w:tab w:val="center" w:pos="1903"/>
        </w:tabs>
        <w:spacing w:after="0" w:line="259" w:lineRule="auto"/>
        <w:ind w:left="-15" w:firstLine="0"/>
        <w:rPr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>5.2</w:t>
      </w:r>
      <w:r w:rsidRPr="001575C3">
        <w:rPr>
          <w:rFonts w:ascii="Arial" w:eastAsia="Arial" w:hAnsi="Arial" w:cs="Arial"/>
          <w:b/>
          <w:i w:val="0"/>
          <w:sz w:val="22"/>
          <w:lang w:val="sk-SK"/>
        </w:rPr>
        <w:t xml:space="preserve"> </w:t>
      </w:r>
      <w:r w:rsidRPr="001575C3">
        <w:rPr>
          <w:rFonts w:ascii="Arial" w:eastAsia="Arial" w:hAnsi="Arial" w:cs="Arial"/>
          <w:b/>
          <w:i w:val="0"/>
          <w:sz w:val="22"/>
          <w:lang w:val="sk-SK"/>
        </w:rPr>
        <w:tab/>
      </w:r>
      <w:proofErr w:type="spellStart"/>
      <w:r w:rsidR="00041477" w:rsidRPr="001575C3">
        <w:rPr>
          <w:b/>
          <w:i w:val="0"/>
          <w:sz w:val="22"/>
          <w:lang w:val="sk-SK"/>
        </w:rPr>
        <w:t>Farmakokinetické</w:t>
      </w:r>
      <w:proofErr w:type="spellEnd"/>
      <w:r w:rsidR="00041477" w:rsidRPr="001575C3">
        <w:rPr>
          <w:b/>
          <w:i w:val="0"/>
          <w:sz w:val="22"/>
          <w:lang w:val="sk-SK"/>
        </w:rPr>
        <w:t xml:space="preserve"> vlastnosti</w:t>
      </w:r>
      <w:r w:rsidRPr="001575C3">
        <w:rPr>
          <w:i w:val="0"/>
          <w:sz w:val="22"/>
          <w:lang w:val="sk-SK"/>
        </w:rPr>
        <w:t xml:space="preserve"> </w:t>
      </w:r>
    </w:p>
    <w:p w14:paraId="152D418C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778BBB75" w14:textId="614F2623" w:rsidR="00041477" w:rsidRPr="001575C3" w:rsidRDefault="00041477" w:rsidP="001575C3">
      <w:pPr>
        <w:autoSpaceDE w:val="0"/>
        <w:autoSpaceDN w:val="0"/>
        <w:adjustRightInd w:val="0"/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 xml:space="preserve">Medzi </w:t>
      </w:r>
      <w:proofErr w:type="spellStart"/>
      <w:r w:rsidRPr="001575C3">
        <w:rPr>
          <w:bCs/>
          <w:iCs/>
          <w:sz w:val="22"/>
        </w:rPr>
        <w:t>dutasterid</w:t>
      </w:r>
      <w:r w:rsidR="00991911" w:rsidRPr="001575C3">
        <w:rPr>
          <w:bCs/>
          <w:iCs/>
          <w:sz w:val="22"/>
        </w:rPr>
        <w:t>om</w:t>
      </w:r>
      <w:proofErr w:type="spellEnd"/>
      <w:r w:rsidR="00991911" w:rsidRPr="001575C3">
        <w:rPr>
          <w:bCs/>
          <w:iCs/>
          <w:sz w:val="22"/>
        </w:rPr>
        <w:t>/</w:t>
      </w:r>
      <w:proofErr w:type="spellStart"/>
      <w:r w:rsidRPr="001575C3">
        <w:rPr>
          <w:bCs/>
          <w:iCs/>
          <w:sz w:val="22"/>
        </w:rPr>
        <w:t>tamsulozínom</w:t>
      </w:r>
      <w:proofErr w:type="spellEnd"/>
      <w:r w:rsidRPr="001575C3">
        <w:rPr>
          <w:bCs/>
          <w:iCs/>
          <w:sz w:val="22"/>
        </w:rPr>
        <w:t xml:space="preserve"> a súbežným podávaním samotných kapsúl </w:t>
      </w:r>
      <w:proofErr w:type="spellStart"/>
      <w:r w:rsidRPr="001575C3">
        <w:rPr>
          <w:bCs/>
          <w:iCs/>
          <w:sz w:val="22"/>
        </w:rPr>
        <w:t>dutasteridu</w:t>
      </w:r>
      <w:proofErr w:type="spellEnd"/>
      <w:r w:rsidRPr="001575C3">
        <w:rPr>
          <w:bCs/>
          <w:iCs/>
          <w:sz w:val="22"/>
        </w:rPr>
        <w:t xml:space="preserve"> a 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 sa potvrdila </w:t>
      </w:r>
      <w:proofErr w:type="spellStart"/>
      <w:r w:rsidRPr="001575C3">
        <w:rPr>
          <w:bCs/>
          <w:iCs/>
          <w:sz w:val="22"/>
        </w:rPr>
        <w:t>bioekvivalencia</w:t>
      </w:r>
      <w:proofErr w:type="spellEnd"/>
      <w:r w:rsidRPr="001575C3">
        <w:rPr>
          <w:bCs/>
          <w:iCs/>
          <w:sz w:val="22"/>
        </w:rPr>
        <w:t>.</w:t>
      </w:r>
    </w:p>
    <w:p w14:paraId="46A369EB" w14:textId="77777777" w:rsidR="00041477" w:rsidRPr="001575C3" w:rsidRDefault="00041477" w:rsidP="001575C3">
      <w:pPr>
        <w:autoSpaceDE w:val="0"/>
        <w:autoSpaceDN w:val="0"/>
        <w:adjustRightInd w:val="0"/>
        <w:jc w:val="left"/>
        <w:rPr>
          <w:bCs/>
          <w:iCs/>
          <w:sz w:val="22"/>
        </w:rPr>
      </w:pPr>
    </w:p>
    <w:p w14:paraId="0623444D" w14:textId="6D50C309" w:rsidR="00041477" w:rsidRPr="001575C3" w:rsidRDefault="00041477" w:rsidP="001575C3">
      <w:pPr>
        <w:autoSpaceDE w:val="0"/>
        <w:autoSpaceDN w:val="0"/>
        <w:adjustRightInd w:val="0"/>
        <w:jc w:val="left"/>
        <w:rPr>
          <w:bCs/>
          <w:iCs/>
          <w:sz w:val="22"/>
        </w:rPr>
      </w:pPr>
      <w:proofErr w:type="spellStart"/>
      <w:r w:rsidRPr="001575C3">
        <w:rPr>
          <w:bCs/>
          <w:iCs/>
          <w:sz w:val="22"/>
        </w:rPr>
        <w:t>Bioekvivalenčná</w:t>
      </w:r>
      <w:proofErr w:type="spellEnd"/>
      <w:r w:rsidRPr="001575C3">
        <w:rPr>
          <w:bCs/>
          <w:iCs/>
          <w:sz w:val="22"/>
        </w:rPr>
        <w:t xml:space="preserve"> štúdia s jednorazovou dávkou sa vykonala nalačno aj v stave nasýtenia. 30 % zníženie </w:t>
      </w:r>
      <w:proofErr w:type="spellStart"/>
      <w:r w:rsidRPr="001575C3">
        <w:rPr>
          <w:bCs/>
          <w:iCs/>
          <w:sz w:val="22"/>
        </w:rPr>
        <w:t>C</w:t>
      </w:r>
      <w:r w:rsidRPr="001575C3">
        <w:rPr>
          <w:bCs/>
          <w:iCs/>
          <w:sz w:val="22"/>
          <w:vertAlign w:val="subscript"/>
        </w:rPr>
        <w:t>max</w:t>
      </w:r>
      <w:proofErr w:type="spellEnd"/>
      <w:r w:rsidRPr="001575C3">
        <w:rPr>
          <w:bCs/>
          <w:iCs/>
          <w:sz w:val="22"/>
        </w:rPr>
        <w:t xml:space="preserve"> sa pozorovalo pre </w:t>
      </w:r>
      <w:proofErr w:type="spellStart"/>
      <w:r w:rsidRPr="001575C3">
        <w:rPr>
          <w:bCs/>
          <w:iCs/>
          <w:sz w:val="22"/>
        </w:rPr>
        <w:t>tamsulozín</w:t>
      </w:r>
      <w:proofErr w:type="spellEnd"/>
      <w:r w:rsidRPr="001575C3">
        <w:rPr>
          <w:bCs/>
          <w:iCs/>
          <w:sz w:val="22"/>
        </w:rPr>
        <w:t xml:space="preserve">, zložku </w:t>
      </w:r>
      <w:proofErr w:type="spellStart"/>
      <w:r w:rsidRPr="001575C3">
        <w:rPr>
          <w:bCs/>
          <w:iCs/>
          <w:sz w:val="22"/>
        </w:rPr>
        <w:t>dutasterid</w:t>
      </w:r>
      <w:proofErr w:type="spellEnd"/>
      <w:r w:rsidR="00991911" w:rsidRPr="001575C3">
        <w:rPr>
          <w:bCs/>
          <w:iCs/>
          <w:sz w:val="22"/>
        </w:rPr>
        <w:t>/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 v stave nasýtenia v porovnaní so stavom nalačno. Jedlo nemá vplyv na AUC 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>.</w:t>
      </w:r>
    </w:p>
    <w:p w14:paraId="11FFEEFB" w14:textId="77777777" w:rsidR="00041477" w:rsidRPr="001575C3" w:rsidRDefault="00041477" w:rsidP="001575C3">
      <w:pPr>
        <w:ind w:left="-5" w:right="38"/>
        <w:jc w:val="left"/>
        <w:rPr>
          <w:sz w:val="22"/>
        </w:rPr>
      </w:pPr>
    </w:p>
    <w:p w14:paraId="3C539E56" w14:textId="0FB54D90" w:rsidR="00F15395" w:rsidRPr="001575C3" w:rsidRDefault="00991911" w:rsidP="001575C3">
      <w:pPr>
        <w:pStyle w:val="Nadpis2"/>
        <w:ind w:left="-5"/>
        <w:rPr>
          <w:sz w:val="22"/>
          <w:lang w:val="sk-SK"/>
        </w:rPr>
      </w:pPr>
      <w:r w:rsidRPr="001575C3">
        <w:rPr>
          <w:sz w:val="22"/>
          <w:lang w:val="sk-SK"/>
        </w:rPr>
        <w:t>Absorpcia</w:t>
      </w:r>
    </w:p>
    <w:p w14:paraId="6EEE1BE3" w14:textId="3D164C06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546E7ABC" w14:textId="77777777" w:rsidR="00991911" w:rsidRPr="001575C3" w:rsidRDefault="00991911" w:rsidP="001575C3">
      <w:pPr>
        <w:pStyle w:val="Bezriadkovania"/>
        <w:jc w:val="left"/>
        <w:rPr>
          <w:bCs/>
          <w:iCs/>
          <w:snapToGrid w:val="0"/>
          <w:lang w:val="sk-SK"/>
        </w:rPr>
      </w:pPr>
      <w:proofErr w:type="spellStart"/>
      <w:r w:rsidRPr="001575C3">
        <w:rPr>
          <w:bCs/>
          <w:iCs/>
          <w:snapToGrid w:val="0"/>
          <w:lang w:val="sk-SK"/>
        </w:rPr>
        <w:t>Dutasterid</w:t>
      </w:r>
      <w:proofErr w:type="spellEnd"/>
    </w:p>
    <w:p w14:paraId="2D676C98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Po perorálnom podaní jednorazovej dávky 0,5 mg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sú maximálne sérové koncentrácie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dosiahnuté za 1 až 3 hodiny. Absolútna biologická dostupnosť je približne 60 %. Biologická dostupnosť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nie je ovplyvnená jedlom.</w:t>
      </w:r>
    </w:p>
    <w:p w14:paraId="73BDC514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523E8381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Tamsulozín</w:t>
      </w:r>
      <w:proofErr w:type="spellEnd"/>
    </w:p>
    <w:p w14:paraId="4347D3CA" w14:textId="2683CF7B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Tamsulozín</w:t>
      </w:r>
      <w:proofErr w:type="spellEnd"/>
      <w:r w:rsidRPr="001575C3">
        <w:rPr>
          <w:lang w:val="sk-SK"/>
        </w:rPr>
        <w:t xml:space="preserve"> sa vstrebáva z čriev a jeho biologická dostupnosť je takmer úplná. Rýchlosť aj rozsah absorpcie sa znižujú, ak sa užije v priebehu 30 minút po jedle. Uniformitu vstrebávania možno zlepšiť, ak pacient vždy užíva </w:t>
      </w:r>
      <w:r w:rsidR="00EE77AC">
        <w:t>Dutasteride/Tamsulosin Krka</w:t>
      </w:r>
      <w:r w:rsidRPr="001575C3">
        <w:rPr>
          <w:lang w:val="sk-SK"/>
        </w:rPr>
        <w:t xml:space="preserve"> po tom istom jedle. </w:t>
      </w:r>
      <w:proofErr w:type="spellStart"/>
      <w:r w:rsidRPr="001575C3">
        <w:rPr>
          <w:lang w:val="sk-SK"/>
        </w:rPr>
        <w:t>Tamsulozín</w:t>
      </w:r>
      <w:proofErr w:type="spellEnd"/>
      <w:r w:rsidRPr="001575C3">
        <w:rPr>
          <w:lang w:val="sk-SK"/>
        </w:rPr>
        <w:t xml:space="preserve"> vykazuje dávkovo proporcionálnu expozíciu v plazme.</w:t>
      </w:r>
    </w:p>
    <w:p w14:paraId="3594C3C0" w14:textId="77777777" w:rsidR="00991911" w:rsidRPr="001575C3" w:rsidRDefault="00991911" w:rsidP="001575C3">
      <w:pPr>
        <w:jc w:val="left"/>
        <w:rPr>
          <w:sz w:val="22"/>
        </w:rPr>
      </w:pPr>
    </w:p>
    <w:p w14:paraId="6E529AD1" w14:textId="77777777" w:rsidR="00991911" w:rsidRPr="001575C3" w:rsidRDefault="00991911" w:rsidP="001575C3">
      <w:pPr>
        <w:jc w:val="left"/>
        <w:rPr>
          <w:sz w:val="22"/>
        </w:rPr>
      </w:pPr>
      <w:r w:rsidRPr="001575C3">
        <w:rPr>
          <w:sz w:val="22"/>
        </w:rPr>
        <w:t xml:space="preserve">Maximálne plazmatické hladiny sa dosahujú približne šesť hodín po jednorazovej dávke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užitej v stave nasýtenia a pri opakovanom podávaní sa rovnovážny stav dosiahne na 5. deň, keď je </w:t>
      </w:r>
      <w:proofErr w:type="spellStart"/>
      <w:r w:rsidRPr="001575C3">
        <w:rPr>
          <w:sz w:val="22"/>
        </w:rPr>
        <w:t>C</w:t>
      </w:r>
      <w:r w:rsidRPr="001575C3">
        <w:rPr>
          <w:sz w:val="22"/>
          <w:vertAlign w:val="subscript"/>
        </w:rPr>
        <w:t>max</w:t>
      </w:r>
      <w:proofErr w:type="spellEnd"/>
      <w:r w:rsidRPr="001575C3">
        <w:rPr>
          <w:sz w:val="22"/>
        </w:rPr>
        <w:t xml:space="preserve"> u pacientov približne o dve tretiny vyššia než koncentrácia dosiahnutá po jednorazovej dávke. Hoci sa to pozorovalo iba u starších pacientov, rovnaké nálezy možno tiež očakávať aj u mladších pacientov.</w:t>
      </w:r>
    </w:p>
    <w:p w14:paraId="27266EA6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2530535F" w14:textId="77777777" w:rsidR="00991911" w:rsidRPr="001575C3" w:rsidRDefault="00991911" w:rsidP="001575C3">
      <w:pPr>
        <w:pStyle w:val="Bezriadkovania"/>
        <w:jc w:val="left"/>
        <w:rPr>
          <w:i/>
          <w:u w:val="single"/>
          <w:lang w:val="sk-SK"/>
        </w:rPr>
      </w:pPr>
      <w:r w:rsidRPr="001575C3">
        <w:rPr>
          <w:i/>
          <w:u w:val="single"/>
          <w:lang w:val="sk-SK"/>
        </w:rPr>
        <w:t>Distribúcia</w:t>
      </w:r>
    </w:p>
    <w:p w14:paraId="49FB1F4E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41ECCB3A" w14:textId="77777777" w:rsidR="00991911" w:rsidRPr="001575C3" w:rsidRDefault="00991911" w:rsidP="001575C3">
      <w:pPr>
        <w:pStyle w:val="Bezriadkovania"/>
        <w:jc w:val="left"/>
        <w:rPr>
          <w:bCs/>
          <w:iCs/>
          <w:snapToGrid w:val="0"/>
          <w:lang w:val="sk-SK"/>
        </w:rPr>
      </w:pPr>
      <w:proofErr w:type="spellStart"/>
      <w:r w:rsidRPr="001575C3">
        <w:rPr>
          <w:bCs/>
          <w:iCs/>
          <w:snapToGrid w:val="0"/>
          <w:lang w:val="sk-SK"/>
        </w:rPr>
        <w:t>Dutasterid</w:t>
      </w:r>
      <w:proofErr w:type="spellEnd"/>
    </w:p>
    <w:p w14:paraId="343D4C62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má veľký distribučný objem (300 až 500 l) a je vysoko viazaný na plazmatické proteíny (</w:t>
      </w:r>
      <w:r w:rsidRPr="001575C3">
        <w:rPr>
          <w:lang w:val="sk-SK"/>
        </w:rPr>
        <w:sym w:font="Symbol" w:char="F03E"/>
      </w:r>
      <w:r w:rsidRPr="001575C3">
        <w:rPr>
          <w:lang w:val="sk-SK"/>
        </w:rPr>
        <w:t xml:space="preserve"> 99,5 %). Po dennom dávkovaní dosiahnu sérové koncentrácie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65 % rovnovážnej koncentrácie v sére po 1 mesiaci a približne 90 % po 3 mesiacoch.</w:t>
      </w:r>
    </w:p>
    <w:p w14:paraId="2EA81D0D" w14:textId="6BAFE842" w:rsidR="00991911" w:rsidRPr="001575C3" w:rsidRDefault="0099191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Rovnovážne koncentrácie v sére (C</w:t>
      </w:r>
      <w:r w:rsidRPr="001575C3">
        <w:rPr>
          <w:vertAlign w:val="subscript"/>
          <w:lang w:val="sk-SK"/>
        </w:rPr>
        <w:t>SS</w:t>
      </w:r>
      <w:r w:rsidRPr="001575C3">
        <w:rPr>
          <w:lang w:val="sk-SK"/>
        </w:rPr>
        <w:t>) v hodnote približne 40 </w:t>
      </w:r>
      <w:proofErr w:type="spellStart"/>
      <w:r w:rsidRPr="001575C3">
        <w:rPr>
          <w:lang w:val="sk-SK"/>
        </w:rPr>
        <w:t>ng</w:t>
      </w:r>
      <w:proofErr w:type="spellEnd"/>
      <w:r w:rsidRPr="001575C3">
        <w:rPr>
          <w:lang w:val="sk-SK"/>
        </w:rPr>
        <w:t xml:space="preserve">/ml sa dosiahnu po 6 mesiacoch pri dávke 0,5 mg jedenkrát denne. Oddelenie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zo séra do </w:t>
      </w:r>
      <w:r w:rsidR="00917A98">
        <w:rPr>
          <w:lang w:val="sk-SK"/>
        </w:rPr>
        <w:t>ejakulátu</w:t>
      </w:r>
      <w:r w:rsidRPr="001575C3">
        <w:rPr>
          <w:lang w:val="sk-SK"/>
        </w:rPr>
        <w:t xml:space="preserve"> bolo v priemere 11,5 %.</w:t>
      </w:r>
    </w:p>
    <w:p w14:paraId="026F4036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00FF0BD9" w14:textId="77777777" w:rsidR="00991911" w:rsidRPr="001575C3" w:rsidRDefault="00991911" w:rsidP="001575C3">
      <w:pPr>
        <w:pStyle w:val="Bezriadkovania"/>
        <w:jc w:val="left"/>
        <w:rPr>
          <w:color w:val="auto"/>
          <w:lang w:val="sk-SK"/>
        </w:rPr>
      </w:pPr>
      <w:proofErr w:type="spellStart"/>
      <w:r w:rsidRPr="001575C3">
        <w:rPr>
          <w:color w:val="auto"/>
          <w:lang w:val="sk-SK"/>
        </w:rPr>
        <w:t>Tamsulozín</w:t>
      </w:r>
      <w:proofErr w:type="spellEnd"/>
      <w:r w:rsidRPr="001575C3">
        <w:rPr>
          <w:color w:val="auto"/>
          <w:lang w:val="sk-SK"/>
        </w:rPr>
        <w:t xml:space="preserve"> </w:t>
      </w:r>
    </w:p>
    <w:p w14:paraId="53762819" w14:textId="77777777" w:rsidR="00991911" w:rsidRPr="001575C3" w:rsidRDefault="00991911" w:rsidP="001575C3">
      <w:pPr>
        <w:pStyle w:val="Bezriadkovania"/>
        <w:jc w:val="left"/>
        <w:rPr>
          <w:color w:val="auto"/>
          <w:lang w:val="sk-SK"/>
        </w:rPr>
      </w:pPr>
      <w:r w:rsidRPr="001575C3">
        <w:rPr>
          <w:color w:val="auto"/>
          <w:lang w:val="sk-SK"/>
        </w:rPr>
        <w:t xml:space="preserve">U ľudí sa asi 99 % </w:t>
      </w:r>
      <w:proofErr w:type="spellStart"/>
      <w:r w:rsidRPr="001575C3">
        <w:rPr>
          <w:color w:val="auto"/>
          <w:lang w:val="sk-SK"/>
        </w:rPr>
        <w:t>tamsulozínu</w:t>
      </w:r>
      <w:proofErr w:type="spellEnd"/>
      <w:r w:rsidRPr="001575C3">
        <w:rPr>
          <w:color w:val="auto"/>
          <w:lang w:val="sk-SK"/>
        </w:rPr>
        <w:t xml:space="preserve"> viaže na plazmatické bielkoviny. Distribučný objem je nízky (približne 0,2 l/kg).</w:t>
      </w:r>
    </w:p>
    <w:p w14:paraId="086F9E3D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6CA4F5D5" w14:textId="77777777" w:rsidR="00991911" w:rsidRPr="001575C3" w:rsidRDefault="00991911" w:rsidP="001575C3">
      <w:pPr>
        <w:keepNext/>
        <w:keepLines/>
        <w:jc w:val="left"/>
        <w:rPr>
          <w:sz w:val="22"/>
          <w:u w:val="single"/>
        </w:rPr>
      </w:pPr>
      <w:proofErr w:type="spellStart"/>
      <w:r w:rsidRPr="001575C3">
        <w:rPr>
          <w:sz w:val="22"/>
          <w:u w:val="single"/>
        </w:rPr>
        <w:t>Biotransformácia</w:t>
      </w:r>
      <w:proofErr w:type="spellEnd"/>
    </w:p>
    <w:p w14:paraId="0F77DDE6" w14:textId="77777777" w:rsidR="00991911" w:rsidRPr="001575C3" w:rsidRDefault="00991911" w:rsidP="001575C3">
      <w:pPr>
        <w:keepNext/>
        <w:keepLines/>
        <w:jc w:val="left"/>
        <w:rPr>
          <w:sz w:val="22"/>
        </w:rPr>
      </w:pPr>
    </w:p>
    <w:p w14:paraId="04887B3A" w14:textId="77777777" w:rsidR="00991911" w:rsidRPr="001575C3" w:rsidRDefault="00991911" w:rsidP="001575C3">
      <w:pPr>
        <w:keepNext/>
        <w:keepLines/>
        <w:jc w:val="left"/>
        <w:rPr>
          <w:bCs/>
          <w:iCs/>
          <w:snapToGrid w:val="0"/>
          <w:sz w:val="22"/>
        </w:rPr>
      </w:pPr>
      <w:proofErr w:type="spellStart"/>
      <w:r w:rsidRPr="001575C3">
        <w:rPr>
          <w:bCs/>
          <w:iCs/>
          <w:snapToGrid w:val="0"/>
          <w:sz w:val="22"/>
        </w:rPr>
        <w:t>Dutasterid</w:t>
      </w:r>
      <w:proofErr w:type="spellEnd"/>
    </w:p>
    <w:p w14:paraId="02EC1C2B" w14:textId="77777777" w:rsidR="00991911" w:rsidRPr="001575C3" w:rsidRDefault="00991911" w:rsidP="001575C3">
      <w:pPr>
        <w:keepNext/>
        <w:keepLines/>
        <w:jc w:val="left"/>
        <w:rPr>
          <w:sz w:val="22"/>
        </w:rPr>
      </w:pPr>
    </w:p>
    <w:p w14:paraId="370144A9" w14:textId="77777777" w:rsidR="00991911" w:rsidRPr="001575C3" w:rsidRDefault="00991911" w:rsidP="001575C3">
      <w:pPr>
        <w:keepNext/>
        <w:keepLines/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je v rozsiahlej miere metabolizovaný </w:t>
      </w:r>
      <w:r w:rsidRPr="001575C3">
        <w:rPr>
          <w:i/>
          <w:sz w:val="22"/>
        </w:rPr>
        <w:t xml:space="preserve">in </w:t>
      </w:r>
      <w:proofErr w:type="spellStart"/>
      <w:r w:rsidRPr="001575C3">
        <w:rPr>
          <w:i/>
          <w:sz w:val="22"/>
        </w:rPr>
        <w:t>vivo</w:t>
      </w:r>
      <w:proofErr w:type="spellEnd"/>
      <w:r w:rsidRPr="001575C3">
        <w:rPr>
          <w:i/>
          <w:sz w:val="22"/>
        </w:rPr>
        <w:t xml:space="preserve">. In </w:t>
      </w:r>
      <w:proofErr w:type="spellStart"/>
      <w:r w:rsidRPr="001575C3">
        <w:rPr>
          <w:i/>
          <w:sz w:val="22"/>
        </w:rPr>
        <w:t>vitro</w:t>
      </w:r>
      <w:proofErr w:type="spellEnd"/>
      <w:r w:rsidRPr="001575C3">
        <w:rPr>
          <w:i/>
          <w:sz w:val="22"/>
        </w:rPr>
        <w:t xml:space="preserve"> </w:t>
      </w:r>
      <w:r w:rsidRPr="001575C3">
        <w:rPr>
          <w:sz w:val="22"/>
        </w:rPr>
        <w:t xml:space="preserve">je </w:t>
      </w: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metabolizovaný </w:t>
      </w:r>
      <w:proofErr w:type="spellStart"/>
      <w:r w:rsidRPr="001575C3">
        <w:rPr>
          <w:sz w:val="22"/>
        </w:rPr>
        <w:t>cytochrómom</w:t>
      </w:r>
      <w:proofErr w:type="spellEnd"/>
      <w:r w:rsidRPr="001575C3">
        <w:rPr>
          <w:sz w:val="22"/>
        </w:rPr>
        <w:t xml:space="preserve"> P450 3A4 a 3A5 na tri </w:t>
      </w:r>
      <w:proofErr w:type="spellStart"/>
      <w:r w:rsidRPr="001575C3">
        <w:rPr>
          <w:sz w:val="22"/>
        </w:rPr>
        <w:t>monohydroxylové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metabolity</w:t>
      </w:r>
      <w:proofErr w:type="spellEnd"/>
      <w:r w:rsidRPr="001575C3">
        <w:rPr>
          <w:sz w:val="22"/>
        </w:rPr>
        <w:t xml:space="preserve"> a jeden </w:t>
      </w:r>
      <w:proofErr w:type="spellStart"/>
      <w:r w:rsidRPr="001575C3">
        <w:rPr>
          <w:sz w:val="22"/>
        </w:rPr>
        <w:t>dihydroxylový</w:t>
      </w:r>
      <w:proofErr w:type="spellEnd"/>
      <w:r w:rsidRPr="001575C3">
        <w:rPr>
          <w:sz w:val="22"/>
        </w:rPr>
        <w:t xml:space="preserve"> </w:t>
      </w:r>
      <w:proofErr w:type="spellStart"/>
      <w:r w:rsidRPr="001575C3">
        <w:rPr>
          <w:sz w:val="22"/>
        </w:rPr>
        <w:t>metabolit</w:t>
      </w:r>
      <w:proofErr w:type="spellEnd"/>
      <w:r w:rsidRPr="001575C3">
        <w:rPr>
          <w:sz w:val="22"/>
        </w:rPr>
        <w:t>.</w:t>
      </w:r>
    </w:p>
    <w:p w14:paraId="46B3D339" w14:textId="77777777" w:rsidR="00991911" w:rsidRPr="001575C3" w:rsidRDefault="00991911" w:rsidP="001575C3">
      <w:pPr>
        <w:jc w:val="left"/>
        <w:rPr>
          <w:sz w:val="22"/>
        </w:rPr>
      </w:pPr>
    </w:p>
    <w:p w14:paraId="7BBB1BA7" w14:textId="77777777" w:rsidR="00991911" w:rsidRPr="001575C3" w:rsidRDefault="00991911" w:rsidP="001575C3">
      <w:pPr>
        <w:jc w:val="left"/>
        <w:rPr>
          <w:sz w:val="22"/>
        </w:rPr>
      </w:pPr>
      <w:r w:rsidRPr="001575C3">
        <w:rPr>
          <w:sz w:val="22"/>
        </w:rPr>
        <w:t xml:space="preserve">Po perorálnej dávke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0,5 mg/deň do rovnovážneho stavu, sa 1,0 % až 15,4 % (5,4 % priemer) podanej dávky vylučuje vo forme nezmeneného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stolicou. Zvyšok sa vylučuje stolicou vo forme 4 hlavných </w:t>
      </w:r>
      <w:proofErr w:type="spellStart"/>
      <w:r w:rsidRPr="001575C3">
        <w:rPr>
          <w:sz w:val="22"/>
        </w:rPr>
        <w:t>metabolitov</w:t>
      </w:r>
      <w:proofErr w:type="spellEnd"/>
      <w:r w:rsidRPr="001575C3">
        <w:rPr>
          <w:sz w:val="22"/>
        </w:rPr>
        <w:t xml:space="preserve">, z ktorých každý obsahuje 39 %, 21 %, 7 % a 7 % látok súvisiacich s liekom a 6 vedľajších </w:t>
      </w:r>
      <w:proofErr w:type="spellStart"/>
      <w:r w:rsidRPr="001575C3">
        <w:rPr>
          <w:sz w:val="22"/>
        </w:rPr>
        <w:t>metabolitov</w:t>
      </w:r>
      <w:proofErr w:type="spellEnd"/>
      <w:r w:rsidRPr="001575C3">
        <w:rPr>
          <w:sz w:val="22"/>
        </w:rPr>
        <w:t xml:space="preserve"> (každý v hodnote menej ako 5 %). V ľudskom moči sú detegované len stopové množstvá nezmeneného </w:t>
      </w:r>
      <w:proofErr w:type="spellStart"/>
      <w:r w:rsidRPr="001575C3">
        <w:rPr>
          <w:sz w:val="22"/>
        </w:rPr>
        <w:t>dutasteridu</w:t>
      </w:r>
      <w:proofErr w:type="spellEnd"/>
      <w:r w:rsidRPr="001575C3">
        <w:rPr>
          <w:sz w:val="22"/>
        </w:rPr>
        <w:t xml:space="preserve"> (menej ako 0,1 % dávky).</w:t>
      </w:r>
    </w:p>
    <w:p w14:paraId="5420CFBA" w14:textId="77777777" w:rsidR="00991911" w:rsidRPr="001575C3" w:rsidRDefault="00991911" w:rsidP="001575C3">
      <w:pPr>
        <w:jc w:val="left"/>
        <w:rPr>
          <w:sz w:val="22"/>
        </w:rPr>
      </w:pPr>
    </w:p>
    <w:p w14:paraId="3C895A38" w14:textId="77777777" w:rsidR="00991911" w:rsidRPr="001575C3" w:rsidRDefault="00991911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Tamsulozín</w:t>
      </w:r>
      <w:proofErr w:type="spellEnd"/>
    </w:p>
    <w:p w14:paraId="7C56F6B3" w14:textId="57239045" w:rsidR="00991911" w:rsidRPr="001575C3" w:rsidRDefault="00991911" w:rsidP="001575C3">
      <w:pPr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>U ľudí nedochádza k </w:t>
      </w:r>
      <w:proofErr w:type="spellStart"/>
      <w:r w:rsidRPr="001575C3">
        <w:rPr>
          <w:bCs/>
          <w:iCs/>
          <w:sz w:val="22"/>
        </w:rPr>
        <w:t>enantiomerickej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Pr="001575C3">
        <w:rPr>
          <w:bCs/>
          <w:iCs/>
          <w:sz w:val="22"/>
        </w:rPr>
        <w:t>biokonverzii</w:t>
      </w:r>
      <w:proofErr w:type="spellEnd"/>
      <w:r w:rsidRPr="001575C3">
        <w:rPr>
          <w:bCs/>
          <w:iCs/>
          <w:sz w:val="22"/>
        </w:rPr>
        <w:t xml:space="preserve"> z 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[R(</w:t>
      </w:r>
      <w:r w:rsidRPr="001575C3">
        <w:rPr>
          <w:bCs/>
          <w:iCs/>
          <w:sz w:val="22"/>
        </w:rPr>
        <w:noBreakHyphen/>
        <w:t xml:space="preserve">) izomér] na S(+) izomér. </w:t>
      </w:r>
      <w:proofErr w:type="spellStart"/>
      <w:r w:rsidRPr="001575C3">
        <w:rPr>
          <w:bCs/>
          <w:iCs/>
          <w:sz w:val="22"/>
        </w:rPr>
        <w:t>Tamsulozíniumchlorid</w:t>
      </w:r>
      <w:proofErr w:type="spellEnd"/>
      <w:r w:rsidRPr="001575C3">
        <w:rPr>
          <w:bCs/>
          <w:iCs/>
          <w:sz w:val="22"/>
        </w:rPr>
        <w:t xml:space="preserve"> sa rýchlo metabolizuje prostredníctvom enzýmov </w:t>
      </w:r>
      <w:proofErr w:type="spellStart"/>
      <w:r w:rsidRPr="001575C3">
        <w:rPr>
          <w:bCs/>
          <w:iCs/>
          <w:sz w:val="22"/>
        </w:rPr>
        <w:t>cytochrómu</w:t>
      </w:r>
      <w:proofErr w:type="spellEnd"/>
      <w:r w:rsidRPr="001575C3">
        <w:rPr>
          <w:bCs/>
          <w:iCs/>
          <w:sz w:val="22"/>
        </w:rPr>
        <w:t xml:space="preserve"> P450 v pečeni a menej než 10 % dávky sa vylučuje nezmenenej močom. </w:t>
      </w:r>
      <w:proofErr w:type="spellStart"/>
      <w:r w:rsidRPr="001575C3">
        <w:rPr>
          <w:bCs/>
          <w:iCs/>
          <w:sz w:val="22"/>
        </w:rPr>
        <w:t>Farmakokinetický</w:t>
      </w:r>
      <w:proofErr w:type="spellEnd"/>
      <w:r w:rsidRPr="001575C3">
        <w:rPr>
          <w:bCs/>
          <w:iCs/>
          <w:sz w:val="22"/>
        </w:rPr>
        <w:t xml:space="preserve"> profil </w:t>
      </w:r>
      <w:proofErr w:type="spellStart"/>
      <w:r w:rsidRPr="001575C3">
        <w:rPr>
          <w:bCs/>
          <w:iCs/>
          <w:sz w:val="22"/>
        </w:rPr>
        <w:t>metabolitov</w:t>
      </w:r>
      <w:proofErr w:type="spellEnd"/>
      <w:r w:rsidRPr="001575C3">
        <w:rPr>
          <w:bCs/>
          <w:iCs/>
          <w:sz w:val="22"/>
        </w:rPr>
        <w:t xml:space="preserve"> však nie je u ľudí stanovený. </w:t>
      </w:r>
      <w:r w:rsidRPr="001575C3">
        <w:rPr>
          <w:bCs/>
          <w:i/>
          <w:iCs/>
          <w:sz w:val="22"/>
        </w:rPr>
        <w:t xml:space="preserve">In </w:t>
      </w:r>
      <w:proofErr w:type="spellStart"/>
      <w:r w:rsidRPr="001575C3">
        <w:rPr>
          <w:bCs/>
          <w:i/>
          <w:iCs/>
          <w:sz w:val="22"/>
        </w:rPr>
        <w:t>vitro</w:t>
      </w:r>
      <w:proofErr w:type="spellEnd"/>
      <w:r w:rsidRPr="001575C3">
        <w:rPr>
          <w:bCs/>
          <w:iCs/>
          <w:sz w:val="22"/>
        </w:rPr>
        <w:t xml:space="preserve"> výsledky naznačujú, že CYP3A4 a CYP2D6 sú zahrnuté v metabolizme 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, ako aj spoluúčasť určitých iných menej významných </w:t>
      </w:r>
      <w:proofErr w:type="spellStart"/>
      <w:r w:rsidRPr="001575C3">
        <w:rPr>
          <w:bCs/>
          <w:iCs/>
          <w:sz w:val="22"/>
        </w:rPr>
        <w:t>izoenzýmov</w:t>
      </w:r>
      <w:proofErr w:type="spellEnd"/>
      <w:r w:rsidRPr="001575C3">
        <w:rPr>
          <w:bCs/>
          <w:iCs/>
          <w:sz w:val="22"/>
        </w:rPr>
        <w:t xml:space="preserve"> CYP. Inhibícia pečeňových enzýmov metabolizujúcich liečivá môže viesť k zvýšenej expozícii </w:t>
      </w:r>
      <w:proofErr w:type="spellStart"/>
      <w:r w:rsidRPr="001575C3">
        <w:rPr>
          <w:bCs/>
          <w:iCs/>
          <w:sz w:val="22"/>
        </w:rPr>
        <w:t>tamsulozínu</w:t>
      </w:r>
      <w:proofErr w:type="spellEnd"/>
      <w:r w:rsidRPr="001575C3">
        <w:rPr>
          <w:bCs/>
          <w:iCs/>
          <w:sz w:val="22"/>
        </w:rPr>
        <w:t xml:space="preserve"> (pozri časť 4.4 a 4.5). </w:t>
      </w:r>
      <w:proofErr w:type="spellStart"/>
      <w:r w:rsidRPr="001575C3">
        <w:rPr>
          <w:bCs/>
          <w:iCs/>
          <w:sz w:val="22"/>
        </w:rPr>
        <w:t>Metabolity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podstupujú pred </w:t>
      </w:r>
      <w:proofErr w:type="spellStart"/>
      <w:r w:rsidRPr="001575C3">
        <w:rPr>
          <w:bCs/>
          <w:iCs/>
          <w:sz w:val="22"/>
        </w:rPr>
        <w:t>renálnou</w:t>
      </w:r>
      <w:proofErr w:type="spellEnd"/>
      <w:r w:rsidRPr="001575C3">
        <w:rPr>
          <w:bCs/>
          <w:iCs/>
          <w:sz w:val="22"/>
        </w:rPr>
        <w:t xml:space="preserve"> exkréciou rozsiahlu konjugáciu na </w:t>
      </w:r>
      <w:proofErr w:type="spellStart"/>
      <w:r w:rsidRPr="001575C3">
        <w:rPr>
          <w:bCs/>
          <w:iCs/>
          <w:sz w:val="22"/>
        </w:rPr>
        <w:t>glukuronidy</w:t>
      </w:r>
      <w:proofErr w:type="spellEnd"/>
      <w:r w:rsidRPr="001575C3">
        <w:rPr>
          <w:bCs/>
          <w:iCs/>
          <w:sz w:val="22"/>
        </w:rPr>
        <w:t xml:space="preserve"> alebo sulfáty.</w:t>
      </w:r>
    </w:p>
    <w:p w14:paraId="35F2FF49" w14:textId="1B6F4F0F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1F39E1A8" w14:textId="77777777" w:rsidR="00991911" w:rsidRPr="001575C3" w:rsidRDefault="00991911" w:rsidP="001575C3">
      <w:pPr>
        <w:pStyle w:val="Bezriadkovania"/>
        <w:jc w:val="left"/>
        <w:rPr>
          <w:u w:val="single"/>
          <w:lang w:val="sk-SK"/>
        </w:rPr>
      </w:pPr>
      <w:r w:rsidRPr="001575C3">
        <w:rPr>
          <w:u w:val="single"/>
          <w:lang w:val="sk-SK"/>
        </w:rPr>
        <w:t>Eliminácia</w:t>
      </w:r>
    </w:p>
    <w:p w14:paraId="0A92B184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38B0D35F" w14:textId="77777777" w:rsidR="00991911" w:rsidRPr="001575C3" w:rsidRDefault="00991911" w:rsidP="001575C3">
      <w:pPr>
        <w:pStyle w:val="Bezriadkovania"/>
        <w:jc w:val="left"/>
        <w:rPr>
          <w:bCs/>
          <w:iCs/>
          <w:snapToGrid w:val="0"/>
          <w:lang w:val="sk-SK"/>
        </w:rPr>
      </w:pPr>
      <w:proofErr w:type="spellStart"/>
      <w:r w:rsidRPr="001575C3">
        <w:rPr>
          <w:bCs/>
          <w:iCs/>
          <w:snapToGrid w:val="0"/>
          <w:lang w:val="sk-SK"/>
        </w:rPr>
        <w:t>Dutasterid</w:t>
      </w:r>
      <w:proofErr w:type="spellEnd"/>
    </w:p>
    <w:p w14:paraId="72A9A2C0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Eliminácia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je závislá od dávky a zdá sa, že pre proces sú charakteristické dve paralelné eliminačné cesty, jedna je </w:t>
      </w:r>
      <w:proofErr w:type="spellStart"/>
      <w:r w:rsidRPr="001575C3">
        <w:rPr>
          <w:lang w:val="sk-SK"/>
        </w:rPr>
        <w:t>saturovateľná</w:t>
      </w:r>
      <w:proofErr w:type="spellEnd"/>
      <w:r w:rsidRPr="001575C3">
        <w:rPr>
          <w:lang w:val="sk-SK"/>
        </w:rPr>
        <w:t xml:space="preserve"> pri klinicky relevantných koncentráciách a jedna nie je </w:t>
      </w:r>
      <w:proofErr w:type="spellStart"/>
      <w:r w:rsidRPr="001575C3">
        <w:rPr>
          <w:lang w:val="sk-SK"/>
        </w:rPr>
        <w:t>saturovateľná</w:t>
      </w:r>
      <w:proofErr w:type="spellEnd"/>
      <w:r w:rsidRPr="001575C3">
        <w:rPr>
          <w:lang w:val="sk-SK"/>
        </w:rPr>
        <w:t>. Pri nízkych sérových koncentráciách (menej ako 3 </w:t>
      </w:r>
      <w:proofErr w:type="spellStart"/>
      <w:r w:rsidRPr="001575C3">
        <w:rPr>
          <w:lang w:val="sk-SK"/>
        </w:rPr>
        <w:t>ng</w:t>
      </w:r>
      <w:proofErr w:type="spellEnd"/>
      <w:r w:rsidRPr="001575C3">
        <w:rPr>
          <w:lang w:val="sk-SK"/>
        </w:rPr>
        <w:t xml:space="preserve">/ml) je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rýchlo odstránený oboma eliminačnými cestami, cestou závislou od koncentrácie a aj cestou nezávislou od koncentrácie. Pri jednorazových dávkach 5 mg alebo menej bol dokázaný rýchly klírens a krátky polčas 3 až 9 dní.</w:t>
      </w:r>
    </w:p>
    <w:p w14:paraId="3584F8FD" w14:textId="38CABC9F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3C2856C6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Pri terapeutických koncentráciách, po opakovanom podávaní 0,5 mg/deň, prevláda pomalšia, lineárna eliminačná cesta a polčas je približne 3 – 5 týždňov.</w:t>
      </w:r>
    </w:p>
    <w:p w14:paraId="7295CA5C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778122DB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Tamsulozín</w:t>
      </w:r>
      <w:proofErr w:type="spellEnd"/>
    </w:p>
    <w:p w14:paraId="30231A14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lastRenderedPageBreak/>
        <w:t>Tamsulozín</w:t>
      </w:r>
      <w:proofErr w:type="spellEnd"/>
      <w:r w:rsidRPr="001575C3">
        <w:rPr>
          <w:lang w:val="sk-SK"/>
        </w:rPr>
        <w:t xml:space="preserve"> i jeho </w:t>
      </w:r>
      <w:proofErr w:type="spellStart"/>
      <w:r w:rsidRPr="001575C3">
        <w:rPr>
          <w:lang w:val="sk-SK"/>
        </w:rPr>
        <w:t>metabolity</w:t>
      </w:r>
      <w:proofErr w:type="spellEnd"/>
      <w:r w:rsidRPr="001575C3">
        <w:rPr>
          <w:lang w:val="sk-SK"/>
        </w:rPr>
        <w:t xml:space="preserve"> sa vylučujú prevažne močom a približne 9 % dávky je prítomných v nezmenenej forme.</w:t>
      </w:r>
    </w:p>
    <w:p w14:paraId="4DAC481B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5AB2E872" w14:textId="77777777" w:rsidR="00991911" w:rsidRPr="001575C3" w:rsidRDefault="00991911" w:rsidP="001575C3">
      <w:pPr>
        <w:pStyle w:val="Zkladntext"/>
        <w:jc w:val="left"/>
        <w:rPr>
          <w:sz w:val="22"/>
        </w:rPr>
      </w:pPr>
      <w:r w:rsidRPr="001575C3">
        <w:rPr>
          <w:sz w:val="22"/>
        </w:rPr>
        <w:t xml:space="preserve">Po intravenóznom alebo perorálnom podávaní liekových foriem s okamžitým uvoľňovaním je eliminačný polčas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v plazme od 5 do 7 hodín. V dôsledku kontrolovanej </w:t>
      </w:r>
      <w:proofErr w:type="spellStart"/>
      <w:r w:rsidRPr="001575C3">
        <w:rPr>
          <w:sz w:val="22"/>
        </w:rPr>
        <w:t>farmakokinetiky</w:t>
      </w:r>
      <w:proofErr w:type="spellEnd"/>
      <w:r w:rsidRPr="001575C3">
        <w:rPr>
          <w:sz w:val="22"/>
        </w:rPr>
        <w:t xml:space="preserve"> rýchlosti absorpcie kapsúl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s riadeným uvoľňovaním je zdanlivý polčas vylučovania </w:t>
      </w:r>
      <w:proofErr w:type="spellStart"/>
      <w:r w:rsidRPr="001575C3">
        <w:rPr>
          <w:sz w:val="22"/>
        </w:rPr>
        <w:t>tamzulosínu</w:t>
      </w:r>
      <w:proofErr w:type="spellEnd"/>
      <w:r w:rsidRPr="001575C3">
        <w:rPr>
          <w:sz w:val="22"/>
        </w:rPr>
        <w:t xml:space="preserve"> v stave nasýtenia približne 10 hodín a v rovnovážnom stave približne 13 hodín.</w:t>
      </w:r>
    </w:p>
    <w:p w14:paraId="5EA3F5FA" w14:textId="77777777" w:rsidR="006E1B13" w:rsidRPr="001575C3" w:rsidRDefault="006E1B13" w:rsidP="001575C3">
      <w:pPr>
        <w:pStyle w:val="Bezriadkovania"/>
        <w:jc w:val="left"/>
        <w:rPr>
          <w:lang w:val="sk-SK"/>
        </w:rPr>
      </w:pPr>
    </w:p>
    <w:p w14:paraId="39A3E07E" w14:textId="77777777" w:rsidR="00991911" w:rsidRPr="001575C3" w:rsidRDefault="00991911" w:rsidP="001575C3">
      <w:pPr>
        <w:pStyle w:val="Bezriadkovania"/>
        <w:jc w:val="left"/>
        <w:rPr>
          <w:u w:val="single"/>
          <w:lang w:val="sk-SK"/>
        </w:rPr>
      </w:pPr>
      <w:r w:rsidRPr="001575C3">
        <w:rPr>
          <w:u w:val="single"/>
          <w:lang w:val="sk-SK"/>
        </w:rPr>
        <w:t>Staršie osoby</w:t>
      </w:r>
    </w:p>
    <w:p w14:paraId="5EE815D7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089AD1AB" w14:textId="77777777" w:rsidR="00991911" w:rsidRPr="001575C3" w:rsidRDefault="00991911" w:rsidP="001575C3">
      <w:pPr>
        <w:pStyle w:val="Bezriadkovania"/>
        <w:jc w:val="left"/>
        <w:rPr>
          <w:bCs/>
          <w:iCs/>
          <w:snapToGrid w:val="0"/>
          <w:lang w:val="sk-SK"/>
        </w:rPr>
      </w:pPr>
      <w:proofErr w:type="spellStart"/>
      <w:r w:rsidRPr="001575C3">
        <w:rPr>
          <w:bCs/>
          <w:iCs/>
          <w:snapToGrid w:val="0"/>
          <w:lang w:val="sk-SK"/>
        </w:rPr>
        <w:t>Dutasterid</w:t>
      </w:r>
      <w:proofErr w:type="spellEnd"/>
    </w:p>
    <w:p w14:paraId="366A4A90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Farmakokinetické</w:t>
      </w:r>
      <w:proofErr w:type="spellEnd"/>
      <w:r w:rsidRPr="001575C3">
        <w:rPr>
          <w:lang w:val="sk-SK"/>
        </w:rPr>
        <w:t xml:space="preserve"> vlastnosti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sa hodnotili u 36 zdravých mužov vo veku medzi 24 a 87 rokmi po podávaní jednorazovej 5 mg dávky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. Nebol pozorovaný žiadny </w:t>
      </w:r>
      <w:proofErr w:type="spellStart"/>
      <w:r w:rsidRPr="001575C3">
        <w:rPr>
          <w:lang w:val="sk-SK"/>
        </w:rPr>
        <w:t>signifikantný</w:t>
      </w:r>
      <w:proofErr w:type="spellEnd"/>
      <w:r w:rsidRPr="001575C3">
        <w:rPr>
          <w:lang w:val="sk-SK"/>
        </w:rPr>
        <w:t xml:space="preserve"> vplyv veku na expozíciu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>, ale u mužov mladších ako 50 rokov bol polčas kratší. Polčas nebol štatisticky rozdielny pri porovnaní skupiny 50</w:t>
      </w:r>
      <w:r w:rsidRPr="001575C3">
        <w:rPr>
          <w:lang w:val="sk-SK"/>
        </w:rPr>
        <w:noBreakHyphen/>
        <w:t> až 69</w:t>
      </w:r>
      <w:r w:rsidRPr="001575C3">
        <w:rPr>
          <w:lang w:val="sk-SK"/>
        </w:rPr>
        <w:noBreakHyphen/>
        <w:t>ročných so skupinou starších ako 70</w:t>
      </w:r>
      <w:r w:rsidRPr="001575C3">
        <w:rPr>
          <w:lang w:val="sk-SK"/>
        </w:rPr>
        <w:noBreakHyphen/>
        <w:t>ročných.</w:t>
      </w:r>
    </w:p>
    <w:p w14:paraId="26BB4E0E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121B0F7C" w14:textId="77777777" w:rsidR="00991911" w:rsidRPr="001575C3" w:rsidRDefault="00991911" w:rsidP="001575C3">
      <w:pPr>
        <w:keepNext/>
        <w:keepLines/>
        <w:jc w:val="left"/>
        <w:rPr>
          <w:sz w:val="22"/>
        </w:rPr>
      </w:pPr>
      <w:proofErr w:type="spellStart"/>
      <w:r w:rsidRPr="001575C3">
        <w:rPr>
          <w:sz w:val="22"/>
        </w:rPr>
        <w:t>Tamsulozín</w:t>
      </w:r>
      <w:proofErr w:type="spellEnd"/>
    </w:p>
    <w:p w14:paraId="332DBA7A" w14:textId="77777777" w:rsidR="00991911" w:rsidRPr="001575C3" w:rsidRDefault="00991911" w:rsidP="001575C3">
      <w:pPr>
        <w:keepNext/>
        <w:keepLines/>
        <w:autoSpaceDE w:val="0"/>
        <w:autoSpaceDN w:val="0"/>
        <w:adjustRightInd w:val="0"/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 xml:space="preserve">Skrížená štúdia porovnávajúca celkovú expozíciu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(AUC) a polčas eliminácie naznačila, že </w:t>
      </w:r>
      <w:proofErr w:type="spellStart"/>
      <w:r w:rsidRPr="001575C3">
        <w:rPr>
          <w:bCs/>
          <w:iCs/>
          <w:sz w:val="22"/>
        </w:rPr>
        <w:t>farmakokinetika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sa môže mierne predĺžiť u starších mužov v porovnaní s mladšími zdravými dobrovoľníkmi. Skutočný klírens nie je závislý od väzby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na AAG, no klesá s vekom, čo vedie k 40 % celkovej vyššej expozícii (AUC) u jedincov vo veku 55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až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75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rokov v porovnaní s jedincami vo veku 20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až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32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rokov.</w:t>
      </w:r>
    </w:p>
    <w:p w14:paraId="1DDA84AD" w14:textId="77777777" w:rsidR="006E1B13" w:rsidRPr="001575C3" w:rsidRDefault="006E1B13" w:rsidP="001575C3">
      <w:pPr>
        <w:pStyle w:val="Bezriadkovania"/>
        <w:jc w:val="left"/>
        <w:rPr>
          <w:lang w:val="sk-SK"/>
        </w:rPr>
      </w:pPr>
    </w:p>
    <w:p w14:paraId="506F065F" w14:textId="77777777" w:rsidR="00991911" w:rsidRPr="001575C3" w:rsidRDefault="00991911" w:rsidP="001575C3">
      <w:pPr>
        <w:pStyle w:val="Bezriadkovania"/>
        <w:jc w:val="left"/>
        <w:rPr>
          <w:u w:val="single"/>
          <w:lang w:val="sk-SK"/>
        </w:rPr>
      </w:pPr>
      <w:r w:rsidRPr="001575C3">
        <w:rPr>
          <w:u w:val="single"/>
          <w:lang w:val="sk-SK"/>
        </w:rPr>
        <w:t>Porucha funkcie obličiek</w:t>
      </w:r>
    </w:p>
    <w:p w14:paraId="4E544BD8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12EE7570" w14:textId="77777777" w:rsidR="00991911" w:rsidRPr="001575C3" w:rsidRDefault="00991911" w:rsidP="001575C3">
      <w:pPr>
        <w:pStyle w:val="Bezriadkovania"/>
        <w:jc w:val="left"/>
        <w:rPr>
          <w:bCs/>
          <w:iCs/>
          <w:snapToGrid w:val="0"/>
          <w:lang w:val="sk-SK"/>
        </w:rPr>
      </w:pPr>
      <w:proofErr w:type="spellStart"/>
      <w:r w:rsidRPr="001575C3">
        <w:rPr>
          <w:bCs/>
          <w:iCs/>
          <w:snapToGrid w:val="0"/>
          <w:lang w:val="sk-SK"/>
        </w:rPr>
        <w:t>Dutasterid</w:t>
      </w:r>
      <w:proofErr w:type="spellEnd"/>
    </w:p>
    <w:p w14:paraId="611C069A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Vplyv poruchy funkcie obličiek na </w:t>
      </w:r>
      <w:proofErr w:type="spellStart"/>
      <w:r w:rsidRPr="001575C3">
        <w:rPr>
          <w:lang w:val="sk-SK"/>
        </w:rPr>
        <w:t>farmakokinetiku</w:t>
      </w:r>
      <w:proofErr w:type="spellEnd"/>
      <w:r w:rsidRPr="001575C3">
        <w:rPr>
          <w:lang w:val="sk-SK"/>
        </w:rPr>
        <w:t xml:space="preserve">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sa neskúmal. Menej ako 0,1 % 0,5 mg dávky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v rovnovážnom stave je však izolované v ľudskom moči, a tak sa u pacientov s poruchou funkcie obličiek nepredpokladá žiadne klinicky </w:t>
      </w:r>
      <w:proofErr w:type="spellStart"/>
      <w:r w:rsidRPr="001575C3">
        <w:rPr>
          <w:lang w:val="sk-SK"/>
        </w:rPr>
        <w:t>signifikantné</w:t>
      </w:r>
      <w:proofErr w:type="spellEnd"/>
      <w:r w:rsidRPr="001575C3">
        <w:rPr>
          <w:lang w:val="sk-SK"/>
        </w:rPr>
        <w:t xml:space="preserve"> zvýšenie plazmatických koncentrácií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(pozri časť 4.2).</w:t>
      </w:r>
    </w:p>
    <w:p w14:paraId="0B3635A3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1873E47C" w14:textId="77777777" w:rsidR="00991911" w:rsidRPr="001575C3" w:rsidRDefault="00991911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Tamsulozín</w:t>
      </w:r>
      <w:proofErr w:type="spellEnd"/>
    </w:p>
    <w:p w14:paraId="31111B1A" w14:textId="5D60F35D" w:rsidR="00991911" w:rsidRPr="001575C3" w:rsidRDefault="00991911" w:rsidP="001575C3">
      <w:pPr>
        <w:keepNext/>
        <w:jc w:val="left"/>
        <w:rPr>
          <w:bCs/>
          <w:iCs/>
          <w:sz w:val="22"/>
        </w:rPr>
      </w:pPr>
      <w:proofErr w:type="spellStart"/>
      <w:r w:rsidRPr="001575C3">
        <w:rPr>
          <w:bCs/>
          <w:iCs/>
          <w:sz w:val="22"/>
        </w:rPr>
        <w:t>Farmakokinetika</w:t>
      </w:r>
      <w:proofErr w:type="spellEnd"/>
      <w:r w:rsidRPr="001575C3">
        <w:rPr>
          <w:bCs/>
          <w:iCs/>
          <w:sz w:val="22"/>
        </w:rPr>
        <w:t xml:space="preserve">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sa porovnávala u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6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jedincov s miern</w:t>
      </w:r>
      <w:r w:rsidR="00BB6293">
        <w:rPr>
          <w:bCs/>
          <w:iCs/>
          <w:sz w:val="22"/>
        </w:rPr>
        <w:t>ou</w:t>
      </w:r>
      <w:r w:rsidRPr="001575C3">
        <w:rPr>
          <w:bCs/>
          <w:iCs/>
          <w:sz w:val="22"/>
        </w:rPr>
        <w:t> </w:t>
      </w:r>
      <w:r w:rsidRPr="001575C3">
        <w:rPr>
          <w:bCs/>
          <w:iCs/>
          <w:sz w:val="22"/>
        </w:rPr>
        <w:noBreakHyphen/>
        <w:t xml:space="preserve"> stredne </w:t>
      </w:r>
      <w:r w:rsidR="00BB6293">
        <w:rPr>
          <w:bCs/>
          <w:iCs/>
          <w:sz w:val="22"/>
        </w:rPr>
        <w:t>závažnou</w:t>
      </w:r>
      <w:r w:rsidRPr="001575C3">
        <w:rPr>
          <w:bCs/>
          <w:iCs/>
          <w:sz w:val="22"/>
        </w:rPr>
        <w:t xml:space="preserve"> (30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≤</w:t>
      </w:r>
      <w:r w:rsidRPr="001575C3">
        <w:rPr>
          <w:sz w:val="22"/>
        </w:rPr>
        <w:t> </w:t>
      </w:r>
      <w:proofErr w:type="spellStart"/>
      <w:r w:rsidRPr="001575C3">
        <w:rPr>
          <w:bCs/>
          <w:iCs/>
          <w:sz w:val="22"/>
        </w:rPr>
        <w:t>Cl</w:t>
      </w:r>
      <w:r w:rsidRPr="001575C3">
        <w:rPr>
          <w:bCs/>
          <w:iCs/>
          <w:sz w:val="22"/>
          <w:vertAlign w:val="subscript"/>
        </w:rPr>
        <w:t>cr</w:t>
      </w:r>
      <w:proofErr w:type="spellEnd"/>
      <w:r w:rsidRPr="001575C3">
        <w:rPr>
          <w:sz w:val="22"/>
        </w:rPr>
        <w:t> </w:t>
      </w:r>
      <w:r w:rsidRPr="001575C3">
        <w:rPr>
          <w:bCs/>
          <w:iCs/>
          <w:sz w:val="22"/>
        </w:rPr>
        <w:t>&lt;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70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ml/min/1,73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</w:t>
      </w:r>
      <w:r w:rsidRPr="001575C3">
        <w:rPr>
          <w:bCs/>
          <w:iCs/>
          <w:sz w:val="22"/>
          <w:vertAlign w:val="superscript"/>
        </w:rPr>
        <w:t>2</w:t>
      </w:r>
      <w:r w:rsidRPr="001575C3">
        <w:rPr>
          <w:bCs/>
          <w:iCs/>
          <w:sz w:val="22"/>
        </w:rPr>
        <w:t xml:space="preserve">) alebo stredne </w:t>
      </w:r>
      <w:r w:rsidR="00BB6293">
        <w:rPr>
          <w:bCs/>
          <w:iCs/>
          <w:sz w:val="22"/>
        </w:rPr>
        <w:t>závažnou</w:t>
      </w:r>
      <w:r w:rsidRPr="001575C3">
        <w:rPr>
          <w:bCs/>
          <w:iCs/>
          <w:sz w:val="22"/>
        </w:rPr>
        <w:t> </w:t>
      </w:r>
      <w:r w:rsidRPr="001575C3">
        <w:rPr>
          <w:bCs/>
          <w:iCs/>
          <w:sz w:val="22"/>
        </w:rPr>
        <w:noBreakHyphen/>
        <w:t> </w:t>
      </w:r>
      <w:r w:rsidR="00BB6293">
        <w:rPr>
          <w:bCs/>
          <w:iCs/>
          <w:sz w:val="22"/>
        </w:rPr>
        <w:t>závažnou</w:t>
      </w:r>
      <w:r w:rsidRPr="001575C3">
        <w:rPr>
          <w:bCs/>
          <w:iCs/>
          <w:sz w:val="22"/>
        </w:rPr>
        <w:t xml:space="preserve"> (10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≤</w:t>
      </w:r>
      <w:r w:rsidRPr="001575C3">
        <w:rPr>
          <w:sz w:val="22"/>
        </w:rPr>
        <w:t> </w:t>
      </w:r>
      <w:proofErr w:type="spellStart"/>
      <w:r w:rsidRPr="001575C3">
        <w:rPr>
          <w:bCs/>
          <w:iCs/>
          <w:sz w:val="22"/>
        </w:rPr>
        <w:t>Cl</w:t>
      </w:r>
      <w:r w:rsidRPr="001575C3">
        <w:rPr>
          <w:bCs/>
          <w:iCs/>
          <w:sz w:val="22"/>
          <w:vertAlign w:val="subscript"/>
        </w:rPr>
        <w:t>cr</w:t>
      </w:r>
      <w:proofErr w:type="spellEnd"/>
      <w:r w:rsidRPr="001575C3">
        <w:rPr>
          <w:sz w:val="22"/>
        </w:rPr>
        <w:t> </w:t>
      </w:r>
      <w:r w:rsidRPr="001575C3">
        <w:rPr>
          <w:bCs/>
          <w:iCs/>
          <w:sz w:val="22"/>
        </w:rPr>
        <w:t>&lt;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30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ml/min/1,73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</w:t>
      </w:r>
      <w:r w:rsidRPr="001575C3">
        <w:rPr>
          <w:bCs/>
          <w:iCs/>
          <w:sz w:val="22"/>
          <w:vertAlign w:val="superscript"/>
        </w:rPr>
        <w:t>2</w:t>
      </w:r>
      <w:r w:rsidRPr="001575C3">
        <w:rPr>
          <w:bCs/>
          <w:iCs/>
          <w:sz w:val="22"/>
        </w:rPr>
        <w:t>) po</w:t>
      </w:r>
      <w:r w:rsidR="00780CEF">
        <w:rPr>
          <w:bCs/>
          <w:iCs/>
          <w:sz w:val="22"/>
        </w:rPr>
        <w:t>ruchou</w:t>
      </w:r>
      <w:r w:rsidRPr="001575C3">
        <w:rPr>
          <w:bCs/>
          <w:iCs/>
          <w:sz w:val="22"/>
        </w:rPr>
        <w:t xml:space="preserve"> funkcie obličiek a u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6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normálnych jedincov (</w:t>
      </w:r>
      <w:proofErr w:type="spellStart"/>
      <w:r w:rsidRPr="001575C3">
        <w:rPr>
          <w:bCs/>
          <w:iCs/>
          <w:sz w:val="22"/>
        </w:rPr>
        <w:t>Cl</w:t>
      </w:r>
      <w:r w:rsidRPr="001575C3">
        <w:rPr>
          <w:bCs/>
          <w:iCs/>
          <w:sz w:val="22"/>
          <w:vertAlign w:val="subscript"/>
        </w:rPr>
        <w:t>cr</w:t>
      </w:r>
      <w:proofErr w:type="spellEnd"/>
      <w:r w:rsidRPr="001575C3">
        <w:rPr>
          <w:sz w:val="22"/>
        </w:rPr>
        <w:t> </w:t>
      </w:r>
      <w:r w:rsidRPr="001575C3">
        <w:rPr>
          <w:bCs/>
          <w:iCs/>
          <w:sz w:val="22"/>
        </w:rPr>
        <w:t>&gt;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90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ml/min/1,73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</w:t>
      </w:r>
      <w:r w:rsidRPr="001575C3">
        <w:rPr>
          <w:bCs/>
          <w:iCs/>
          <w:sz w:val="22"/>
          <w:vertAlign w:val="superscript"/>
        </w:rPr>
        <w:t>2</w:t>
      </w:r>
      <w:r w:rsidRPr="001575C3">
        <w:rPr>
          <w:bCs/>
          <w:iCs/>
          <w:sz w:val="22"/>
        </w:rPr>
        <w:t xml:space="preserve">). Bola pozorovaná zmena celkovej koncentrácie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v plazme ako následok zmenenej väzby na AAG, no voľná (aktívna) koncentrácia </w:t>
      </w:r>
      <w:proofErr w:type="spellStart"/>
      <w:r w:rsidRPr="001575C3">
        <w:rPr>
          <w:bCs/>
          <w:iCs/>
          <w:sz w:val="22"/>
        </w:rPr>
        <w:t>tamsulozíniumchloridu</w:t>
      </w:r>
      <w:proofErr w:type="spellEnd"/>
      <w:r w:rsidRPr="001575C3">
        <w:rPr>
          <w:bCs/>
          <w:iCs/>
          <w:sz w:val="22"/>
        </w:rPr>
        <w:t xml:space="preserve"> ako aj skutočný klírens sa uchovali relatívne konštantné. Preto sa u pacientov s po</w:t>
      </w:r>
      <w:r w:rsidR="00780CEF">
        <w:rPr>
          <w:bCs/>
          <w:iCs/>
          <w:sz w:val="22"/>
        </w:rPr>
        <w:t>ruchou</w:t>
      </w:r>
      <w:r w:rsidRPr="001575C3">
        <w:rPr>
          <w:bCs/>
          <w:iCs/>
          <w:sz w:val="22"/>
        </w:rPr>
        <w:t xml:space="preserve"> funkcie obličiek nevyžaduje úprava dávkovania kapsúl s </w:t>
      </w:r>
      <w:proofErr w:type="spellStart"/>
      <w:r w:rsidRPr="001575C3">
        <w:rPr>
          <w:bCs/>
          <w:iCs/>
          <w:sz w:val="22"/>
        </w:rPr>
        <w:t>tamsulozíniumchloridom</w:t>
      </w:r>
      <w:proofErr w:type="spellEnd"/>
      <w:r w:rsidRPr="001575C3">
        <w:rPr>
          <w:bCs/>
          <w:iCs/>
          <w:sz w:val="22"/>
        </w:rPr>
        <w:t xml:space="preserve">. Pacienti v konečnom štádiu </w:t>
      </w:r>
      <w:proofErr w:type="spellStart"/>
      <w:r w:rsidRPr="001575C3">
        <w:rPr>
          <w:bCs/>
          <w:iCs/>
          <w:sz w:val="22"/>
        </w:rPr>
        <w:t>renálneho</w:t>
      </w:r>
      <w:proofErr w:type="spellEnd"/>
      <w:r w:rsidRPr="001575C3">
        <w:rPr>
          <w:bCs/>
          <w:iCs/>
          <w:sz w:val="22"/>
        </w:rPr>
        <w:t xml:space="preserve"> ochorenia (</w:t>
      </w:r>
      <w:proofErr w:type="spellStart"/>
      <w:r w:rsidRPr="001575C3">
        <w:rPr>
          <w:bCs/>
          <w:iCs/>
          <w:sz w:val="22"/>
        </w:rPr>
        <w:t>Cl</w:t>
      </w:r>
      <w:r w:rsidRPr="001575C3">
        <w:rPr>
          <w:bCs/>
          <w:iCs/>
          <w:sz w:val="22"/>
          <w:vertAlign w:val="subscript"/>
        </w:rPr>
        <w:t>cr</w:t>
      </w:r>
      <w:proofErr w:type="spellEnd"/>
      <w:r w:rsidRPr="001575C3">
        <w:rPr>
          <w:sz w:val="22"/>
        </w:rPr>
        <w:t> </w:t>
      </w:r>
      <w:r w:rsidRPr="001575C3">
        <w:rPr>
          <w:bCs/>
          <w:iCs/>
          <w:sz w:val="22"/>
        </w:rPr>
        <w:t>&lt;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10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ml/min/1,73</w:t>
      </w:r>
      <w:r w:rsidRPr="001575C3">
        <w:rPr>
          <w:sz w:val="22"/>
        </w:rPr>
        <w:t> </w:t>
      </w:r>
      <w:r w:rsidRPr="001575C3">
        <w:rPr>
          <w:bCs/>
          <w:iCs/>
          <w:sz w:val="22"/>
        </w:rPr>
        <w:t>m</w:t>
      </w:r>
      <w:r w:rsidRPr="001575C3">
        <w:rPr>
          <w:bCs/>
          <w:iCs/>
          <w:sz w:val="22"/>
          <w:vertAlign w:val="superscript"/>
        </w:rPr>
        <w:t>2</w:t>
      </w:r>
      <w:r w:rsidRPr="001575C3">
        <w:rPr>
          <w:bCs/>
          <w:iCs/>
          <w:sz w:val="22"/>
        </w:rPr>
        <w:t>) sa však nesledovali.</w:t>
      </w:r>
    </w:p>
    <w:p w14:paraId="76B9432F" w14:textId="77777777" w:rsidR="006E1B13" w:rsidRPr="001575C3" w:rsidRDefault="006E1B13" w:rsidP="001575C3">
      <w:pPr>
        <w:pStyle w:val="Bezriadkovania"/>
        <w:jc w:val="left"/>
        <w:rPr>
          <w:lang w:val="sk-SK"/>
        </w:rPr>
      </w:pPr>
    </w:p>
    <w:p w14:paraId="283BC5E6" w14:textId="77777777" w:rsidR="00991911" w:rsidRPr="001575C3" w:rsidRDefault="00991911" w:rsidP="001575C3">
      <w:pPr>
        <w:pStyle w:val="Bezriadkovania"/>
        <w:jc w:val="left"/>
        <w:rPr>
          <w:u w:val="single"/>
          <w:lang w:val="sk-SK"/>
        </w:rPr>
      </w:pPr>
      <w:r w:rsidRPr="001575C3">
        <w:rPr>
          <w:u w:val="single"/>
          <w:lang w:val="sk-SK"/>
        </w:rPr>
        <w:t>Porucha funkcie pečene</w:t>
      </w:r>
    </w:p>
    <w:p w14:paraId="1823CA32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30109823" w14:textId="77777777" w:rsidR="00991911" w:rsidRPr="001575C3" w:rsidRDefault="00991911" w:rsidP="001575C3">
      <w:pPr>
        <w:pStyle w:val="Bezriadkovania"/>
        <w:jc w:val="left"/>
        <w:rPr>
          <w:bCs/>
          <w:iCs/>
          <w:snapToGrid w:val="0"/>
          <w:lang w:val="sk-SK"/>
        </w:rPr>
      </w:pPr>
      <w:proofErr w:type="spellStart"/>
      <w:r w:rsidRPr="001575C3">
        <w:rPr>
          <w:bCs/>
          <w:iCs/>
          <w:snapToGrid w:val="0"/>
          <w:lang w:val="sk-SK"/>
        </w:rPr>
        <w:t>Dutasterid</w:t>
      </w:r>
      <w:proofErr w:type="spellEnd"/>
    </w:p>
    <w:p w14:paraId="07A9447F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Vplyv poruchy funkcie pečene na </w:t>
      </w:r>
      <w:proofErr w:type="spellStart"/>
      <w:r w:rsidRPr="001575C3">
        <w:rPr>
          <w:lang w:val="sk-SK"/>
        </w:rPr>
        <w:t>farmakokinetiku</w:t>
      </w:r>
      <w:proofErr w:type="spellEnd"/>
      <w:r w:rsidRPr="001575C3">
        <w:rPr>
          <w:lang w:val="sk-SK"/>
        </w:rPr>
        <w:t xml:space="preserve">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sa neskúmal (pozri časť 4.3). Keďže sa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vylučuje hlavne cez metabolizmus, očakáva sa, že u týchto pacientov sú zvýšené plazmatické hladiny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a predĺžený polčas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(pozri časť 4.2 a časť 4.4).</w:t>
      </w:r>
    </w:p>
    <w:p w14:paraId="03B55E15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</w:p>
    <w:p w14:paraId="5FE709F8" w14:textId="77777777" w:rsidR="00991911" w:rsidRPr="001575C3" w:rsidRDefault="00991911" w:rsidP="001575C3">
      <w:pPr>
        <w:pStyle w:val="Bezriadkovania"/>
        <w:jc w:val="left"/>
        <w:rPr>
          <w:lang w:val="sk-SK"/>
        </w:rPr>
      </w:pPr>
      <w:proofErr w:type="spellStart"/>
      <w:r w:rsidRPr="001575C3">
        <w:rPr>
          <w:lang w:val="sk-SK"/>
        </w:rPr>
        <w:t>Tamsulozín</w:t>
      </w:r>
      <w:proofErr w:type="spellEnd"/>
    </w:p>
    <w:p w14:paraId="3D764DBB" w14:textId="0142FF09" w:rsidR="00991911" w:rsidRPr="001575C3" w:rsidRDefault="00991911" w:rsidP="001575C3">
      <w:pPr>
        <w:pStyle w:val="Bezriadkovania"/>
        <w:jc w:val="left"/>
        <w:rPr>
          <w:bCs/>
          <w:iCs/>
          <w:lang w:val="sk-SK"/>
        </w:rPr>
      </w:pPr>
      <w:proofErr w:type="spellStart"/>
      <w:r w:rsidRPr="001575C3">
        <w:rPr>
          <w:bCs/>
          <w:iCs/>
          <w:lang w:val="sk-SK"/>
        </w:rPr>
        <w:lastRenderedPageBreak/>
        <w:t>Farmakokinetika</w:t>
      </w:r>
      <w:proofErr w:type="spellEnd"/>
      <w:r w:rsidRPr="001575C3">
        <w:rPr>
          <w:bCs/>
          <w:iCs/>
          <w:lang w:val="sk-SK"/>
        </w:rPr>
        <w:t xml:space="preserve"> </w:t>
      </w:r>
      <w:proofErr w:type="spellStart"/>
      <w:r w:rsidRPr="001575C3">
        <w:rPr>
          <w:bCs/>
          <w:iCs/>
          <w:lang w:val="sk-SK"/>
        </w:rPr>
        <w:t>tamsulozíniumchloridu</w:t>
      </w:r>
      <w:proofErr w:type="spellEnd"/>
      <w:r w:rsidRPr="001575C3">
        <w:rPr>
          <w:bCs/>
          <w:iCs/>
          <w:lang w:val="sk-SK"/>
        </w:rPr>
        <w:t xml:space="preserve"> sa porovnávala u</w:t>
      </w:r>
      <w:r w:rsidRPr="001575C3">
        <w:rPr>
          <w:lang w:val="sk-SK"/>
        </w:rPr>
        <w:t> </w:t>
      </w:r>
      <w:r w:rsidRPr="001575C3">
        <w:rPr>
          <w:bCs/>
          <w:iCs/>
          <w:lang w:val="sk-SK"/>
        </w:rPr>
        <w:t>8</w:t>
      </w:r>
      <w:r w:rsidRPr="001575C3">
        <w:rPr>
          <w:lang w:val="sk-SK"/>
        </w:rPr>
        <w:t> </w:t>
      </w:r>
      <w:r w:rsidRPr="001575C3">
        <w:rPr>
          <w:bCs/>
          <w:iCs/>
          <w:lang w:val="sk-SK"/>
        </w:rPr>
        <w:t xml:space="preserve">jedincov so stredne </w:t>
      </w:r>
      <w:r w:rsidR="00780CEF">
        <w:rPr>
          <w:bCs/>
          <w:iCs/>
          <w:lang w:val="sk-SK"/>
        </w:rPr>
        <w:t>závažnou</w:t>
      </w:r>
      <w:r w:rsidRPr="001575C3">
        <w:rPr>
          <w:bCs/>
          <w:iCs/>
          <w:lang w:val="sk-SK"/>
        </w:rPr>
        <w:t xml:space="preserve"> po</w:t>
      </w:r>
      <w:r w:rsidR="00780CEF">
        <w:rPr>
          <w:bCs/>
          <w:iCs/>
          <w:lang w:val="sk-SK"/>
        </w:rPr>
        <w:t>ruchou</w:t>
      </w:r>
      <w:r w:rsidRPr="001575C3">
        <w:rPr>
          <w:bCs/>
          <w:iCs/>
          <w:lang w:val="sk-SK"/>
        </w:rPr>
        <w:t xml:space="preserve"> funkcie pečene (</w:t>
      </w:r>
      <w:proofErr w:type="spellStart"/>
      <w:r w:rsidRPr="001575C3">
        <w:rPr>
          <w:rStyle w:val="Zvraznenie"/>
          <w:b w:val="0"/>
          <w:lang w:val="sk-SK"/>
        </w:rPr>
        <w:t>Childova</w:t>
      </w:r>
      <w:r w:rsidRPr="001575C3">
        <w:rPr>
          <w:rStyle w:val="Zvraznenie"/>
          <w:b w:val="0"/>
          <w:lang w:val="sk-SK"/>
        </w:rPr>
        <w:noBreakHyphen/>
      </w:r>
      <w:r w:rsidRPr="001575C3">
        <w:rPr>
          <w:lang w:val="sk-SK"/>
        </w:rPr>
        <w:t>Pughova</w:t>
      </w:r>
      <w:proofErr w:type="spellEnd"/>
      <w:r w:rsidRPr="001575C3">
        <w:rPr>
          <w:lang w:val="sk-SK"/>
        </w:rPr>
        <w:t xml:space="preserve"> </w:t>
      </w:r>
      <w:r w:rsidRPr="001575C3">
        <w:rPr>
          <w:rStyle w:val="Zvraznenie"/>
          <w:b w:val="0"/>
          <w:lang w:val="sk-SK"/>
        </w:rPr>
        <w:t>klasifikácia</w:t>
      </w:r>
      <w:r w:rsidRPr="001575C3">
        <w:rPr>
          <w:bCs/>
          <w:iCs/>
          <w:lang w:val="sk-SK"/>
        </w:rPr>
        <w:t xml:space="preserve">: </w:t>
      </w:r>
      <w:r w:rsidR="00780CEF">
        <w:rPr>
          <w:bCs/>
          <w:iCs/>
          <w:lang w:val="sk-SK"/>
        </w:rPr>
        <w:t>trieda</w:t>
      </w:r>
      <w:r w:rsidRPr="001575C3">
        <w:rPr>
          <w:bCs/>
          <w:iCs/>
          <w:lang w:val="sk-SK"/>
        </w:rPr>
        <w:t xml:space="preserve"> A </w:t>
      </w:r>
      <w:proofErr w:type="spellStart"/>
      <w:r w:rsidRPr="001575C3">
        <w:rPr>
          <w:bCs/>
          <w:iCs/>
          <w:lang w:val="sk-SK"/>
        </w:rPr>
        <w:t>a</w:t>
      </w:r>
      <w:proofErr w:type="spellEnd"/>
      <w:r w:rsidRPr="001575C3">
        <w:rPr>
          <w:bCs/>
          <w:iCs/>
          <w:lang w:val="sk-SK"/>
        </w:rPr>
        <w:t> B) a u</w:t>
      </w:r>
      <w:r w:rsidRPr="001575C3">
        <w:rPr>
          <w:lang w:val="sk-SK"/>
        </w:rPr>
        <w:t> </w:t>
      </w:r>
      <w:r w:rsidRPr="001575C3">
        <w:rPr>
          <w:bCs/>
          <w:iCs/>
          <w:lang w:val="sk-SK"/>
        </w:rPr>
        <w:t>8</w:t>
      </w:r>
      <w:r w:rsidRPr="001575C3">
        <w:rPr>
          <w:lang w:val="sk-SK"/>
        </w:rPr>
        <w:t> </w:t>
      </w:r>
      <w:r w:rsidR="00780CEF">
        <w:rPr>
          <w:bCs/>
          <w:iCs/>
          <w:lang w:val="sk-SK"/>
        </w:rPr>
        <w:t>zdravý</w:t>
      </w:r>
      <w:r w:rsidRPr="001575C3">
        <w:rPr>
          <w:bCs/>
          <w:iCs/>
          <w:lang w:val="sk-SK"/>
        </w:rPr>
        <w:t xml:space="preserve">ch jedincov. Bola pozorovaná zmena celkovej koncentrácie </w:t>
      </w:r>
      <w:proofErr w:type="spellStart"/>
      <w:r w:rsidRPr="001575C3">
        <w:rPr>
          <w:bCs/>
          <w:iCs/>
          <w:lang w:val="sk-SK"/>
        </w:rPr>
        <w:t>tamsulozíniumchloridu</w:t>
      </w:r>
      <w:proofErr w:type="spellEnd"/>
      <w:r w:rsidRPr="001575C3">
        <w:rPr>
          <w:bCs/>
          <w:iCs/>
          <w:lang w:val="sk-SK"/>
        </w:rPr>
        <w:t xml:space="preserve"> v plazme ako následok zmenenej väzby na AAG, no voľná (aktívna) koncentrácia </w:t>
      </w:r>
      <w:proofErr w:type="spellStart"/>
      <w:r w:rsidRPr="001575C3">
        <w:rPr>
          <w:bCs/>
          <w:iCs/>
          <w:lang w:val="sk-SK"/>
        </w:rPr>
        <w:t>tamsulozíniumchloridu</w:t>
      </w:r>
      <w:proofErr w:type="spellEnd"/>
      <w:r w:rsidRPr="001575C3">
        <w:rPr>
          <w:bCs/>
          <w:iCs/>
          <w:lang w:val="sk-SK"/>
        </w:rPr>
        <w:t xml:space="preserve"> sa významne nemenila, iba skutočný </w:t>
      </w:r>
      <w:proofErr w:type="spellStart"/>
      <w:r w:rsidRPr="001575C3">
        <w:rPr>
          <w:bCs/>
          <w:iCs/>
          <w:lang w:val="sk-SK"/>
        </w:rPr>
        <w:t>klírens</w:t>
      </w:r>
      <w:proofErr w:type="spellEnd"/>
      <w:r w:rsidRPr="001575C3">
        <w:rPr>
          <w:bCs/>
          <w:iCs/>
          <w:lang w:val="sk-SK"/>
        </w:rPr>
        <w:t xml:space="preserve"> voľného </w:t>
      </w:r>
      <w:proofErr w:type="spellStart"/>
      <w:r w:rsidRPr="001575C3">
        <w:rPr>
          <w:bCs/>
          <w:iCs/>
          <w:lang w:val="sk-SK"/>
        </w:rPr>
        <w:t>tamsulozíniumchloridu</w:t>
      </w:r>
      <w:proofErr w:type="spellEnd"/>
      <w:r w:rsidRPr="001575C3">
        <w:rPr>
          <w:bCs/>
          <w:iCs/>
          <w:lang w:val="sk-SK"/>
        </w:rPr>
        <w:t xml:space="preserve"> sa mierne zmenil (32 %). Preto sa u pacientov so stredne </w:t>
      </w:r>
      <w:r w:rsidR="00780CEF">
        <w:rPr>
          <w:bCs/>
          <w:iCs/>
          <w:lang w:val="sk-SK"/>
        </w:rPr>
        <w:t>závažnou</w:t>
      </w:r>
      <w:r w:rsidRPr="001575C3">
        <w:rPr>
          <w:bCs/>
          <w:iCs/>
          <w:lang w:val="sk-SK"/>
        </w:rPr>
        <w:t xml:space="preserve"> po</w:t>
      </w:r>
      <w:r w:rsidR="00780CEF">
        <w:rPr>
          <w:bCs/>
          <w:iCs/>
          <w:lang w:val="sk-SK"/>
        </w:rPr>
        <w:t>ruchou</w:t>
      </w:r>
      <w:r w:rsidRPr="001575C3">
        <w:rPr>
          <w:bCs/>
          <w:iCs/>
          <w:lang w:val="sk-SK"/>
        </w:rPr>
        <w:t xml:space="preserve"> funkcie pečene nevyžaduje úprava dávkovania </w:t>
      </w:r>
      <w:proofErr w:type="spellStart"/>
      <w:r w:rsidRPr="001575C3">
        <w:rPr>
          <w:bCs/>
          <w:iCs/>
          <w:lang w:val="sk-SK"/>
        </w:rPr>
        <w:t>tamsulozíniumchloridu</w:t>
      </w:r>
      <w:proofErr w:type="spellEnd"/>
      <w:r w:rsidRPr="001575C3">
        <w:rPr>
          <w:bCs/>
          <w:iCs/>
          <w:lang w:val="sk-SK"/>
        </w:rPr>
        <w:t xml:space="preserve">. </w:t>
      </w:r>
      <w:proofErr w:type="spellStart"/>
      <w:r w:rsidRPr="001575C3">
        <w:rPr>
          <w:bCs/>
          <w:iCs/>
          <w:lang w:val="sk-SK"/>
        </w:rPr>
        <w:t>Tamsulozíniumchlorid</w:t>
      </w:r>
      <w:proofErr w:type="spellEnd"/>
      <w:r w:rsidRPr="001575C3">
        <w:rPr>
          <w:bCs/>
          <w:iCs/>
          <w:lang w:val="sk-SK"/>
        </w:rPr>
        <w:t xml:space="preserve"> sa neskúmal u pacientov s</w:t>
      </w:r>
      <w:r w:rsidR="00780CEF">
        <w:rPr>
          <w:bCs/>
          <w:iCs/>
          <w:lang w:val="sk-SK"/>
        </w:rPr>
        <w:t>o</w:t>
      </w:r>
      <w:r w:rsidRPr="001575C3">
        <w:rPr>
          <w:bCs/>
          <w:iCs/>
          <w:lang w:val="sk-SK"/>
        </w:rPr>
        <w:t> </w:t>
      </w:r>
      <w:r w:rsidR="00780CEF">
        <w:rPr>
          <w:bCs/>
          <w:iCs/>
          <w:lang w:val="sk-SK"/>
        </w:rPr>
        <w:t>závažnou</w:t>
      </w:r>
      <w:r w:rsidRPr="001575C3">
        <w:rPr>
          <w:bCs/>
          <w:iCs/>
          <w:lang w:val="sk-SK"/>
        </w:rPr>
        <w:t xml:space="preserve"> po</w:t>
      </w:r>
      <w:r w:rsidR="00780CEF">
        <w:rPr>
          <w:bCs/>
          <w:iCs/>
          <w:lang w:val="sk-SK"/>
        </w:rPr>
        <w:t>ruchou</w:t>
      </w:r>
      <w:r w:rsidRPr="001575C3">
        <w:rPr>
          <w:bCs/>
          <w:iCs/>
          <w:lang w:val="sk-SK"/>
        </w:rPr>
        <w:t xml:space="preserve"> funkcie pečene.</w:t>
      </w:r>
    </w:p>
    <w:p w14:paraId="1250E602" w14:textId="77777777" w:rsidR="006E1B13" w:rsidRPr="001575C3" w:rsidRDefault="006E1B13" w:rsidP="001575C3">
      <w:pPr>
        <w:pStyle w:val="Bezriadkovania"/>
        <w:jc w:val="left"/>
        <w:rPr>
          <w:lang w:val="sk-SK"/>
        </w:rPr>
      </w:pPr>
    </w:p>
    <w:p w14:paraId="501B9294" w14:textId="799143C2" w:rsidR="00F15395" w:rsidRPr="001575C3" w:rsidRDefault="00F15395" w:rsidP="001575C3">
      <w:pPr>
        <w:pStyle w:val="Nadpis3"/>
        <w:tabs>
          <w:tab w:val="center" w:pos="1616"/>
        </w:tabs>
        <w:spacing w:after="0" w:line="259" w:lineRule="auto"/>
        <w:ind w:left="-15" w:firstLine="0"/>
        <w:rPr>
          <w:sz w:val="22"/>
          <w:lang w:val="sk-SK"/>
        </w:rPr>
      </w:pPr>
      <w:r w:rsidRPr="001575C3">
        <w:rPr>
          <w:b/>
          <w:i w:val="0"/>
          <w:sz w:val="22"/>
          <w:lang w:val="sk-SK"/>
        </w:rPr>
        <w:t xml:space="preserve">5.3 </w:t>
      </w:r>
      <w:r w:rsidRPr="001575C3">
        <w:rPr>
          <w:b/>
          <w:i w:val="0"/>
          <w:sz w:val="22"/>
          <w:lang w:val="sk-SK"/>
        </w:rPr>
        <w:tab/>
      </w:r>
      <w:r w:rsidR="00A82032" w:rsidRPr="001575C3">
        <w:rPr>
          <w:b/>
          <w:i w:val="0"/>
          <w:sz w:val="22"/>
          <w:lang w:val="sk-SK"/>
        </w:rPr>
        <w:t xml:space="preserve">Predklinické údaje o bezpečnosti </w:t>
      </w:r>
      <w:r w:rsidRPr="001575C3">
        <w:rPr>
          <w:i w:val="0"/>
          <w:sz w:val="22"/>
          <w:lang w:val="sk-SK"/>
        </w:rPr>
        <w:t xml:space="preserve"> </w:t>
      </w:r>
    </w:p>
    <w:p w14:paraId="4CD30ADC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794429AC" w14:textId="57B0BFC6" w:rsidR="00701F71" w:rsidRPr="001575C3" w:rsidRDefault="00701F71" w:rsidP="001575C3">
      <w:pPr>
        <w:jc w:val="left"/>
        <w:rPr>
          <w:bCs/>
          <w:iCs/>
          <w:sz w:val="22"/>
        </w:rPr>
      </w:pPr>
      <w:r w:rsidRPr="001575C3">
        <w:rPr>
          <w:bCs/>
          <w:iCs/>
          <w:sz w:val="22"/>
        </w:rPr>
        <w:t>Predklinické štúdie sa s </w:t>
      </w:r>
      <w:proofErr w:type="spellStart"/>
      <w:r w:rsidRPr="001575C3">
        <w:rPr>
          <w:bCs/>
          <w:iCs/>
          <w:sz w:val="22"/>
        </w:rPr>
        <w:t>dutasteridom</w:t>
      </w:r>
      <w:proofErr w:type="spellEnd"/>
      <w:r w:rsidRPr="001575C3">
        <w:rPr>
          <w:bCs/>
          <w:iCs/>
          <w:sz w:val="22"/>
        </w:rPr>
        <w:t>/</w:t>
      </w:r>
      <w:proofErr w:type="spellStart"/>
      <w:r w:rsidRPr="001575C3">
        <w:rPr>
          <w:bCs/>
          <w:iCs/>
          <w:sz w:val="22"/>
        </w:rPr>
        <w:t>tamsulozínom</w:t>
      </w:r>
      <w:proofErr w:type="spellEnd"/>
      <w:r w:rsidRPr="001575C3">
        <w:rPr>
          <w:bCs/>
          <w:iCs/>
          <w:sz w:val="22"/>
        </w:rPr>
        <w:t xml:space="preserve"> nevykonali. </w:t>
      </w:r>
      <w:proofErr w:type="spellStart"/>
      <w:r w:rsidRPr="001575C3">
        <w:rPr>
          <w:bCs/>
          <w:iCs/>
          <w:sz w:val="22"/>
        </w:rPr>
        <w:t>Dutasterid</w:t>
      </w:r>
      <w:proofErr w:type="spellEnd"/>
      <w:r w:rsidRPr="001575C3">
        <w:rPr>
          <w:bCs/>
          <w:iCs/>
          <w:sz w:val="22"/>
        </w:rPr>
        <w:t xml:space="preserve"> a </w:t>
      </w:r>
      <w:proofErr w:type="spellStart"/>
      <w:r w:rsidRPr="001575C3">
        <w:rPr>
          <w:bCs/>
          <w:iCs/>
          <w:sz w:val="22"/>
        </w:rPr>
        <w:t>tamsulozíniumchlorid</w:t>
      </w:r>
      <w:proofErr w:type="spellEnd"/>
      <w:r w:rsidRPr="001575C3">
        <w:rPr>
          <w:bCs/>
          <w:iCs/>
          <w:sz w:val="22"/>
        </w:rPr>
        <w:t xml:space="preserve"> sa jednotlivo </w:t>
      </w:r>
      <w:r w:rsidR="00917A98">
        <w:rPr>
          <w:bCs/>
          <w:iCs/>
          <w:sz w:val="22"/>
        </w:rPr>
        <w:t>rozsiahlo</w:t>
      </w:r>
      <w:r w:rsidRPr="001575C3">
        <w:rPr>
          <w:bCs/>
          <w:iCs/>
          <w:sz w:val="22"/>
        </w:rPr>
        <w:t xml:space="preserve"> hodnotili v testoch toxicity na zvieratách a nálezy zodpovedali známym farmakologickým účinkom </w:t>
      </w:r>
      <w:r w:rsidRPr="001575C3">
        <w:rPr>
          <w:sz w:val="22"/>
        </w:rPr>
        <w:t>inhibítorov 5</w:t>
      </w:r>
      <w:r w:rsidRPr="001575C3">
        <w:rPr>
          <w:sz w:val="22"/>
        </w:rPr>
        <w:noBreakHyphen/>
        <w:t>alfa</w:t>
      </w:r>
      <w:r w:rsidRPr="001575C3">
        <w:rPr>
          <w:sz w:val="22"/>
        </w:rPr>
        <w:noBreakHyphen/>
        <w:t>reduktázy a antagonistov alfa</w:t>
      </w:r>
      <w:r w:rsidRPr="001575C3">
        <w:rPr>
          <w:sz w:val="22"/>
          <w:vertAlign w:val="subscript"/>
        </w:rPr>
        <w:t>1</w:t>
      </w:r>
      <w:r w:rsidRPr="001575C3">
        <w:rPr>
          <w:sz w:val="22"/>
        </w:rPr>
        <w:noBreakHyphen/>
        <w:t xml:space="preserve">adrenergických receptorov. </w:t>
      </w:r>
      <w:r w:rsidRPr="001575C3">
        <w:rPr>
          <w:bCs/>
          <w:iCs/>
          <w:sz w:val="22"/>
        </w:rPr>
        <w:t>Nasledovné údaje odrážajú informácie dostupné o jednotlivých zložkách.</w:t>
      </w:r>
    </w:p>
    <w:p w14:paraId="46FF9A9A" w14:textId="77777777" w:rsidR="00701F71" w:rsidRPr="001575C3" w:rsidRDefault="00701F71" w:rsidP="001575C3">
      <w:pPr>
        <w:pStyle w:val="Bezriadkovania"/>
        <w:jc w:val="left"/>
        <w:rPr>
          <w:lang w:val="sk-SK"/>
        </w:rPr>
      </w:pPr>
    </w:p>
    <w:p w14:paraId="145FB6FE" w14:textId="77777777" w:rsidR="00701F71" w:rsidRPr="001575C3" w:rsidRDefault="00701F71" w:rsidP="001575C3">
      <w:pPr>
        <w:pStyle w:val="Bezriadkovania"/>
        <w:jc w:val="left"/>
        <w:rPr>
          <w:bCs/>
          <w:i/>
          <w:iCs/>
          <w:snapToGrid w:val="0"/>
          <w:lang w:val="sk-SK"/>
        </w:rPr>
      </w:pPr>
      <w:proofErr w:type="spellStart"/>
      <w:r w:rsidRPr="001575C3">
        <w:rPr>
          <w:bCs/>
          <w:i/>
          <w:iCs/>
          <w:snapToGrid w:val="0"/>
          <w:lang w:val="sk-SK"/>
        </w:rPr>
        <w:t>Dutasterid</w:t>
      </w:r>
      <w:proofErr w:type="spellEnd"/>
    </w:p>
    <w:p w14:paraId="36FBF0A9" w14:textId="77777777" w:rsidR="00701F71" w:rsidRPr="001575C3" w:rsidRDefault="00701F71" w:rsidP="001575C3">
      <w:pPr>
        <w:pStyle w:val="Bezriadkovania"/>
        <w:jc w:val="left"/>
        <w:rPr>
          <w:bCs/>
          <w:i/>
          <w:iCs/>
          <w:snapToGrid w:val="0"/>
          <w:lang w:val="sk-SK"/>
        </w:rPr>
      </w:pPr>
    </w:p>
    <w:p w14:paraId="7A4C5AAF" w14:textId="77777777" w:rsidR="00701F71" w:rsidRPr="001575C3" w:rsidRDefault="00701F7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Súčasné štúdie všeobecnej toxicity, </w:t>
      </w:r>
      <w:proofErr w:type="spellStart"/>
      <w:r w:rsidRPr="001575C3">
        <w:rPr>
          <w:lang w:val="sk-SK"/>
        </w:rPr>
        <w:t>genotoxicity</w:t>
      </w:r>
      <w:proofErr w:type="spellEnd"/>
      <w:r w:rsidRPr="001575C3">
        <w:rPr>
          <w:lang w:val="sk-SK"/>
        </w:rPr>
        <w:t xml:space="preserve"> a karcinogenity nepreukázali žiadne konkrétne nebezpečenstvo pre človeka.</w:t>
      </w:r>
    </w:p>
    <w:p w14:paraId="5E3FDCDD" w14:textId="77777777" w:rsidR="00701F71" w:rsidRPr="001575C3" w:rsidRDefault="00701F71" w:rsidP="001575C3">
      <w:pPr>
        <w:pStyle w:val="Bezriadkovania"/>
        <w:jc w:val="left"/>
        <w:rPr>
          <w:lang w:val="sk-SK"/>
        </w:rPr>
      </w:pPr>
    </w:p>
    <w:p w14:paraId="5308FCB3" w14:textId="77777777" w:rsidR="00701F71" w:rsidRPr="001575C3" w:rsidRDefault="00701F7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 xml:space="preserve">Štúdie reprodukčnej toxicity u samčích potkanov ukázali zníženú hmotnosť prostaty a semenných mechúrikov, zníženú sekréciu z vedľajších genitálnych žliaz a redukciu v indexoch </w:t>
      </w:r>
      <w:proofErr w:type="spellStart"/>
      <w:r w:rsidRPr="001575C3">
        <w:rPr>
          <w:lang w:val="sk-SK"/>
        </w:rPr>
        <w:t>fertility</w:t>
      </w:r>
      <w:proofErr w:type="spellEnd"/>
      <w:r w:rsidRPr="001575C3">
        <w:rPr>
          <w:lang w:val="sk-SK"/>
        </w:rPr>
        <w:t xml:space="preserve"> (spôsobenú farmakologickým účinkom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>). Klinická relevancia týchto zistení nie je známa.</w:t>
      </w:r>
    </w:p>
    <w:p w14:paraId="56DAEE2B" w14:textId="77777777" w:rsidR="00701F71" w:rsidRPr="001575C3" w:rsidRDefault="00701F71" w:rsidP="001575C3">
      <w:pPr>
        <w:pStyle w:val="Bezriadkovania"/>
        <w:jc w:val="left"/>
        <w:rPr>
          <w:lang w:val="sk-SK"/>
        </w:rPr>
      </w:pPr>
    </w:p>
    <w:p w14:paraId="34E45FF1" w14:textId="3AE5F8AE" w:rsidR="00701F71" w:rsidRPr="001575C3" w:rsidRDefault="00701F71" w:rsidP="001575C3">
      <w:pPr>
        <w:pStyle w:val="Bezriadkovania"/>
        <w:jc w:val="left"/>
        <w:rPr>
          <w:lang w:val="sk-SK"/>
        </w:rPr>
      </w:pPr>
      <w:r w:rsidRPr="001575C3">
        <w:rPr>
          <w:lang w:val="sk-SK"/>
        </w:rPr>
        <w:t>Tak ako pri iných inhibítoroch 5</w:t>
      </w:r>
      <w:r w:rsidRPr="001575C3">
        <w:rPr>
          <w:lang w:val="sk-SK"/>
        </w:rPr>
        <w:noBreakHyphen/>
        <w:t>alfa</w:t>
      </w:r>
      <w:r w:rsidRPr="001575C3">
        <w:rPr>
          <w:lang w:val="sk-SK"/>
        </w:rPr>
        <w:noBreakHyphen/>
        <w:t xml:space="preserve">reduktázy bola zaznamenaná feminizácia samčích plodov u potkanov a králikov, keď bol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podávaný počas </w:t>
      </w:r>
      <w:proofErr w:type="spellStart"/>
      <w:r w:rsidRPr="001575C3">
        <w:rPr>
          <w:lang w:val="sk-SK"/>
        </w:rPr>
        <w:t>gestácie</w:t>
      </w:r>
      <w:proofErr w:type="spellEnd"/>
      <w:r w:rsidRPr="001575C3">
        <w:rPr>
          <w:lang w:val="sk-SK"/>
        </w:rPr>
        <w:t xml:space="preserve">.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bol zistený v krvi zo samičích potkanov po párení so samcami liečenými </w:t>
      </w:r>
      <w:proofErr w:type="spellStart"/>
      <w:r w:rsidRPr="001575C3">
        <w:rPr>
          <w:lang w:val="sk-SK"/>
        </w:rPr>
        <w:t>dutasteridom</w:t>
      </w:r>
      <w:proofErr w:type="spellEnd"/>
      <w:r w:rsidRPr="001575C3">
        <w:rPr>
          <w:lang w:val="sk-SK"/>
        </w:rPr>
        <w:t xml:space="preserve">. Keď bol </w:t>
      </w:r>
      <w:proofErr w:type="spellStart"/>
      <w:r w:rsidRPr="001575C3">
        <w:rPr>
          <w:lang w:val="sk-SK"/>
        </w:rPr>
        <w:t>dutasterid</w:t>
      </w:r>
      <w:proofErr w:type="spellEnd"/>
      <w:r w:rsidRPr="001575C3">
        <w:rPr>
          <w:lang w:val="sk-SK"/>
        </w:rPr>
        <w:t xml:space="preserve"> podávaný počas </w:t>
      </w:r>
      <w:proofErr w:type="spellStart"/>
      <w:r w:rsidRPr="001575C3">
        <w:rPr>
          <w:lang w:val="sk-SK"/>
        </w:rPr>
        <w:t>gestácie</w:t>
      </w:r>
      <w:proofErr w:type="spellEnd"/>
      <w:r w:rsidRPr="001575C3">
        <w:rPr>
          <w:lang w:val="sk-SK"/>
        </w:rPr>
        <w:t xml:space="preserve"> primátom, nebola pozorovaná žiadna feminizácia samčích plodov pri krvných expozíciách, ktoré značne prevyšovali tie, ktorých výskyt je pravdepodobný v spermiách človeka. Nie je pravdepodobné, že mužský plod bude nepriaznivo </w:t>
      </w:r>
      <w:r w:rsidR="00780CEF">
        <w:rPr>
          <w:lang w:val="sk-SK"/>
        </w:rPr>
        <w:t>ovplyvnen</w:t>
      </w:r>
      <w:r w:rsidRPr="001575C3">
        <w:rPr>
          <w:lang w:val="sk-SK"/>
        </w:rPr>
        <w:t xml:space="preserve">ý po transfere </w:t>
      </w:r>
      <w:proofErr w:type="spellStart"/>
      <w:r w:rsidRPr="001575C3">
        <w:rPr>
          <w:lang w:val="sk-SK"/>
        </w:rPr>
        <w:t>dutasteridu</w:t>
      </w:r>
      <w:proofErr w:type="spellEnd"/>
      <w:r w:rsidRPr="001575C3">
        <w:rPr>
          <w:lang w:val="sk-SK"/>
        </w:rPr>
        <w:t xml:space="preserve"> spermiami.</w:t>
      </w:r>
    </w:p>
    <w:p w14:paraId="60709469" w14:textId="5F2FC975" w:rsidR="00F15395" w:rsidRPr="001575C3" w:rsidRDefault="00F15395" w:rsidP="001575C3">
      <w:pPr>
        <w:pStyle w:val="Bezriadkovania"/>
        <w:jc w:val="left"/>
        <w:rPr>
          <w:lang w:val="sk-SK"/>
        </w:rPr>
      </w:pPr>
    </w:p>
    <w:p w14:paraId="23B3AAE0" w14:textId="77777777" w:rsidR="00701F71" w:rsidRPr="001575C3" w:rsidRDefault="00701F71" w:rsidP="001575C3">
      <w:pPr>
        <w:jc w:val="left"/>
        <w:rPr>
          <w:i/>
          <w:sz w:val="22"/>
        </w:rPr>
      </w:pPr>
      <w:proofErr w:type="spellStart"/>
      <w:r w:rsidRPr="001575C3">
        <w:rPr>
          <w:i/>
          <w:sz w:val="22"/>
        </w:rPr>
        <w:t>Tamsulozín</w:t>
      </w:r>
      <w:proofErr w:type="spellEnd"/>
    </w:p>
    <w:p w14:paraId="3EAF1862" w14:textId="77777777" w:rsidR="00701F71" w:rsidRPr="001575C3" w:rsidRDefault="00701F71" w:rsidP="001575C3">
      <w:pPr>
        <w:jc w:val="left"/>
        <w:rPr>
          <w:i/>
          <w:sz w:val="22"/>
        </w:rPr>
      </w:pPr>
    </w:p>
    <w:p w14:paraId="5E474C9A" w14:textId="77777777" w:rsidR="00701F71" w:rsidRPr="001575C3" w:rsidRDefault="00701F71" w:rsidP="001575C3">
      <w:pPr>
        <w:jc w:val="left"/>
        <w:rPr>
          <w:sz w:val="22"/>
        </w:rPr>
      </w:pPr>
      <w:r w:rsidRPr="001575C3">
        <w:rPr>
          <w:sz w:val="22"/>
        </w:rPr>
        <w:t xml:space="preserve">Štúdie celkovej toxicity a </w:t>
      </w:r>
      <w:proofErr w:type="spellStart"/>
      <w:r w:rsidRPr="001575C3">
        <w:rPr>
          <w:sz w:val="22"/>
        </w:rPr>
        <w:t>genotoxicity</w:t>
      </w:r>
      <w:proofErr w:type="spellEnd"/>
      <w:r w:rsidRPr="001575C3">
        <w:rPr>
          <w:sz w:val="22"/>
        </w:rPr>
        <w:t xml:space="preserve"> nepreukázali žiadne osobitné riziko pre ľudí iné než to, ktoré sa spájalo s farmakologickými vlastnosťami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>.</w:t>
      </w:r>
    </w:p>
    <w:p w14:paraId="7052AA73" w14:textId="77777777" w:rsidR="00701F71" w:rsidRPr="001575C3" w:rsidRDefault="00701F71" w:rsidP="001575C3">
      <w:pPr>
        <w:jc w:val="left"/>
        <w:rPr>
          <w:sz w:val="22"/>
        </w:rPr>
      </w:pPr>
    </w:p>
    <w:p w14:paraId="2E61FD4F" w14:textId="77777777" w:rsidR="00701F71" w:rsidRPr="001575C3" w:rsidRDefault="00701F71" w:rsidP="001575C3">
      <w:pPr>
        <w:jc w:val="left"/>
        <w:rPr>
          <w:sz w:val="22"/>
        </w:rPr>
      </w:pPr>
      <w:r w:rsidRPr="001575C3">
        <w:rPr>
          <w:sz w:val="22"/>
        </w:rPr>
        <w:t xml:space="preserve">V štúdiách karcinogenity na potkanoch a myšiach viedol </w:t>
      </w:r>
      <w:proofErr w:type="spellStart"/>
      <w:r w:rsidRPr="001575C3">
        <w:rPr>
          <w:sz w:val="22"/>
        </w:rPr>
        <w:t>tamsulozíniumchlorid</w:t>
      </w:r>
      <w:proofErr w:type="spellEnd"/>
      <w:r w:rsidRPr="001575C3">
        <w:rPr>
          <w:sz w:val="22"/>
        </w:rPr>
        <w:t xml:space="preserve"> k zvýšenému výskytu </w:t>
      </w:r>
      <w:proofErr w:type="spellStart"/>
      <w:r w:rsidRPr="001575C3">
        <w:rPr>
          <w:sz w:val="22"/>
        </w:rPr>
        <w:t>proliferatívnych</w:t>
      </w:r>
      <w:proofErr w:type="spellEnd"/>
      <w:r w:rsidRPr="001575C3">
        <w:rPr>
          <w:sz w:val="22"/>
        </w:rPr>
        <w:t xml:space="preserve"> zmien na mliečnych žľazách samíc. Tieto nálezy, ktoré sa pravdepodobne spájali so zvýšenými hladinami </w:t>
      </w:r>
      <w:proofErr w:type="spellStart"/>
      <w:r w:rsidRPr="001575C3">
        <w:rPr>
          <w:sz w:val="22"/>
        </w:rPr>
        <w:t>prolaktínu</w:t>
      </w:r>
      <w:proofErr w:type="spellEnd"/>
      <w:r w:rsidRPr="001575C3">
        <w:rPr>
          <w:sz w:val="22"/>
        </w:rPr>
        <w:t xml:space="preserve"> a vyskytli sa iba pri vysokých dávkových hladinách, sa nepovažujú za klinicky významné.</w:t>
      </w:r>
    </w:p>
    <w:p w14:paraId="003F792C" w14:textId="77777777" w:rsidR="00701F71" w:rsidRPr="001575C3" w:rsidRDefault="00701F71" w:rsidP="001575C3">
      <w:pPr>
        <w:jc w:val="left"/>
        <w:rPr>
          <w:sz w:val="22"/>
        </w:rPr>
      </w:pPr>
    </w:p>
    <w:p w14:paraId="3B08F543" w14:textId="25201154" w:rsidR="00701F71" w:rsidRPr="001575C3" w:rsidRDefault="00701F71" w:rsidP="001575C3">
      <w:pPr>
        <w:jc w:val="left"/>
        <w:rPr>
          <w:sz w:val="22"/>
        </w:rPr>
      </w:pPr>
      <w:r w:rsidRPr="001575C3">
        <w:rPr>
          <w:sz w:val="22"/>
        </w:rPr>
        <w:t xml:space="preserve">Vysoké dávky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viedli k reverzibilnému zníženiu </w:t>
      </w:r>
      <w:proofErr w:type="spellStart"/>
      <w:r w:rsidRPr="001575C3">
        <w:rPr>
          <w:sz w:val="22"/>
        </w:rPr>
        <w:t>fertility</w:t>
      </w:r>
      <w:proofErr w:type="spellEnd"/>
      <w:r w:rsidRPr="001575C3">
        <w:rPr>
          <w:sz w:val="22"/>
        </w:rPr>
        <w:t xml:space="preserve"> u samcov potkanov, čo sa predpokladá pravdepodobne z dôvodu zmien zloženia </w:t>
      </w:r>
      <w:r w:rsidR="00917A98">
        <w:rPr>
          <w:sz w:val="22"/>
        </w:rPr>
        <w:t>ejakulátu</w:t>
      </w:r>
      <w:r w:rsidRPr="001575C3">
        <w:rPr>
          <w:sz w:val="22"/>
        </w:rPr>
        <w:t xml:space="preserve"> alebo zníženej ejakulácie. Účinky </w:t>
      </w:r>
      <w:proofErr w:type="spellStart"/>
      <w:r w:rsidRPr="001575C3">
        <w:rPr>
          <w:sz w:val="22"/>
        </w:rPr>
        <w:t>tamsulozínu</w:t>
      </w:r>
      <w:proofErr w:type="spellEnd"/>
      <w:r w:rsidRPr="001575C3">
        <w:rPr>
          <w:sz w:val="22"/>
        </w:rPr>
        <w:t xml:space="preserve"> na počet spermií alebo funkciu spermií sa neskúmal.</w:t>
      </w:r>
    </w:p>
    <w:p w14:paraId="61B5EACC" w14:textId="77777777" w:rsidR="00701F71" w:rsidRPr="001575C3" w:rsidRDefault="00701F71" w:rsidP="001575C3">
      <w:pPr>
        <w:jc w:val="left"/>
        <w:rPr>
          <w:sz w:val="22"/>
        </w:rPr>
      </w:pPr>
    </w:p>
    <w:p w14:paraId="1AFD7DB0" w14:textId="2381FEB8" w:rsidR="00701F71" w:rsidRPr="001575C3" w:rsidRDefault="00701F71" w:rsidP="001575C3">
      <w:pPr>
        <w:jc w:val="left"/>
        <w:rPr>
          <w:sz w:val="22"/>
        </w:rPr>
      </w:pPr>
      <w:r w:rsidRPr="001575C3">
        <w:rPr>
          <w:sz w:val="22"/>
        </w:rPr>
        <w:t xml:space="preserve">Podávanie </w:t>
      </w:r>
      <w:proofErr w:type="spellStart"/>
      <w:r w:rsidRPr="001575C3">
        <w:rPr>
          <w:sz w:val="22"/>
        </w:rPr>
        <w:t>tamsulozíniumchloridu</w:t>
      </w:r>
      <w:proofErr w:type="spellEnd"/>
      <w:r w:rsidRPr="001575C3">
        <w:rPr>
          <w:sz w:val="22"/>
        </w:rPr>
        <w:t xml:space="preserve"> brezivým samiciam potkanov a králikov v dávkach vyšších než terapeutické dávky neukázalo žiadne </w:t>
      </w:r>
      <w:r w:rsidR="00780CEF">
        <w:rPr>
          <w:sz w:val="22"/>
        </w:rPr>
        <w:t>názna</w:t>
      </w:r>
      <w:r w:rsidRPr="001575C3">
        <w:rPr>
          <w:sz w:val="22"/>
        </w:rPr>
        <w:t>ky poškodenia plodu.</w:t>
      </w:r>
    </w:p>
    <w:p w14:paraId="09CB79CB" w14:textId="77777777" w:rsidR="00701F71" w:rsidRPr="001575C3" w:rsidRDefault="00701F71" w:rsidP="001575C3">
      <w:pPr>
        <w:jc w:val="left"/>
        <w:rPr>
          <w:sz w:val="22"/>
        </w:rPr>
      </w:pPr>
    </w:p>
    <w:p w14:paraId="1DB74181" w14:textId="12E903EE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A58C496" w14:textId="69EC700B" w:rsidR="00F15395" w:rsidRPr="001575C3" w:rsidRDefault="00701F71" w:rsidP="001575C3">
      <w:pPr>
        <w:pStyle w:val="Nadpis1"/>
        <w:tabs>
          <w:tab w:val="center" w:pos="2491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lastRenderedPageBreak/>
        <w:t xml:space="preserve">6. </w:t>
      </w:r>
      <w:r w:rsidRPr="001575C3">
        <w:rPr>
          <w:sz w:val="22"/>
          <w:lang w:val="sk-SK"/>
        </w:rPr>
        <w:tab/>
        <w:t>FARMACEUTICKÉ INFORMÁCIE</w:t>
      </w:r>
      <w:r w:rsidR="00F15395" w:rsidRPr="001575C3">
        <w:rPr>
          <w:sz w:val="22"/>
          <w:lang w:val="sk-SK"/>
        </w:rPr>
        <w:t xml:space="preserve"> </w:t>
      </w:r>
    </w:p>
    <w:p w14:paraId="5A7A7659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/>
          <w:sz w:val="22"/>
        </w:rPr>
        <w:t xml:space="preserve"> </w:t>
      </w:r>
    </w:p>
    <w:p w14:paraId="271B1597" w14:textId="18653D59" w:rsidR="00F15395" w:rsidRPr="001575C3" w:rsidRDefault="00917A98" w:rsidP="00917A98">
      <w:pPr>
        <w:pStyle w:val="Nadpis2"/>
        <w:tabs>
          <w:tab w:val="left" w:pos="709"/>
          <w:tab w:val="center" w:pos="1386"/>
        </w:tabs>
        <w:spacing w:after="0"/>
        <w:ind w:left="-15" w:firstLine="0"/>
        <w:rPr>
          <w:sz w:val="22"/>
          <w:lang w:val="sk-SK"/>
        </w:rPr>
      </w:pPr>
      <w:r>
        <w:rPr>
          <w:b/>
          <w:sz w:val="22"/>
          <w:u w:val="none"/>
          <w:lang w:val="sk-SK"/>
        </w:rPr>
        <w:t xml:space="preserve">6.1 </w:t>
      </w:r>
      <w:r>
        <w:rPr>
          <w:b/>
          <w:sz w:val="22"/>
          <w:u w:val="none"/>
          <w:lang w:val="sk-SK"/>
        </w:rPr>
        <w:tab/>
      </w:r>
      <w:r w:rsidR="00701F71" w:rsidRPr="001575C3">
        <w:rPr>
          <w:b/>
          <w:sz w:val="22"/>
          <w:u w:val="none"/>
          <w:lang w:val="sk-SK"/>
        </w:rPr>
        <w:t>Zoznam pomocných látok</w:t>
      </w:r>
      <w:r w:rsidR="00F15395" w:rsidRPr="001575C3">
        <w:rPr>
          <w:b/>
          <w:sz w:val="22"/>
          <w:u w:val="none"/>
          <w:lang w:val="sk-SK"/>
        </w:rPr>
        <w:t xml:space="preserve"> </w:t>
      </w:r>
    </w:p>
    <w:p w14:paraId="551812DA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17981C99" w14:textId="740D617E" w:rsidR="00F15395" w:rsidRPr="001575C3" w:rsidRDefault="00701F71" w:rsidP="001575C3">
      <w:pPr>
        <w:ind w:left="345" w:right="6266" w:hanging="360"/>
        <w:jc w:val="left"/>
        <w:rPr>
          <w:sz w:val="22"/>
          <w:u w:val="single"/>
        </w:rPr>
      </w:pPr>
      <w:r w:rsidRPr="001575C3">
        <w:rPr>
          <w:sz w:val="22"/>
          <w:u w:val="single"/>
        </w:rPr>
        <w:t>Obal tvrdej kapsuly</w:t>
      </w:r>
      <w:r w:rsidR="00F15395" w:rsidRPr="001575C3">
        <w:rPr>
          <w:sz w:val="22"/>
          <w:u w:val="single"/>
        </w:rPr>
        <w:t xml:space="preserve">: </w:t>
      </w:r>
    </w:p>
    <w:p w14:paraId="418DE689" w14:textId="2652CE2D" w:rsidR="00F15395" w:rsidRPr="001575C3" w:rsidRDefault="00701F71" w:rsidP="001575C3">
      <w:pPr>
        <w:ind w:left="345" w:right="3401" w:firstLine="0"/>
        <w:jc w:val="left"/>
        <w:rPr>
          <w:sz w:val="22"/>
        </w:rPr>
      </w:pPr>
      <w:r w:rsidRPr="001575C3">
        <w:rPr>
          <w:sz w:val="22"/>
        </w:rPr>
        <w:t>Čierny oxid železitý</w:t>
      </w:r>
      <w:r w:rsidR="0095603C" w:rsidRPr="001575C3">
        <w:rPr>
          <w:sz w:val="22"/>
        </w:rPr>
        <w:t xml:space="preserve"> </w:t>
      </w:r>
      <w:r w:rsidR="00F15395" w:rsidRPr="001575C3">
        <w:rPr>
          <w:sz w:val="22"/>
        </w:rPr>
        <w:t>(E172)</w:t>
      </w:r>
    </w:p>
    <w:p w14:paraId="7BD1DE26" w14:textId="6DFC70CF" w:rsidR="00F15395" w:rsidRPr="001575C3" w:rsidRDefault="00701F71" w:rsidP="001575C3">
      <w:pPr>
        <w:ind w:left="345" w:right="3117" w:firstLine="0"/>
        <w:jc w:val="left"/>
        <w:rPr>
          <w:sz w:val="22"/>
        </w:rPr>
      </w:pPr>
      <w:r w:rsidRPr="001575C3">
        <w:rPr>
          <w:sz w:val="22"/>
        </w:rPr>
        <w:t>Červený oxid železitý</w:t>
      </w:r>
      <w:r w:rsidR="0095603C" w:rsidRPr="001575C3">
        <w:rPr>
          <w:sz w:val="22"/>
        </w:rPr>
        <w:t xml:space="preserve"> </w:t>
      </w:r>
      <w:r w:rsidR="00F15395" w:rsidRPr="001575C3">
        <w:rPr>
          <w:sz w:val="22"/>
        </w:rPr>
        <w:t>(E172)</w:t>
      </w:r>
    </w:p>
    <w:p w14:paraId="60119DBB" w14:textId="0D2F728B" w:rsidR="00701F71" w:rsidRPr="001575C3" w:rsidRDefault="00701F71" w:rsidP="001575C3">
      <w:pPr>
        <w:ind w:left="345" w:right="2408" w:firstLine="0"/>
        <w:jc w:val="left"/>
        <w:rPr>
          <w:sz w:val="22"/>
        </w:rPr>
      </w:pPr>
      <w:r w:rsidRPr="001575C3">
        <w:rPr>
          <w:sz w:val="22"/>
        </w:rPr>
        <w:t xml:space="preserve">Oxid </w:t>
      </w:r>
      <w:proofErr w:type="spellStart"/>
      <w:r w:rsidRPr="001575C3">
        <w:rPr>
          <w:sz w:val="22"/>
        </w:rPr>
        <w:t>titaničitý</w:t>
      </w:r>
      <w:proofErr w:type="spellEnd"/>
      <w:r w:rsidRPr="001575C3">
        <w:rPr>
          <w:sz w:val="22"/>
        </w:rPr>
        <w:t xml:space="preserve"> (E171)</w:t>
      </w:r>
    </w:p>
    <w:p w14:paraId="7EDD79E8" w14:textId="61F3F6AF" w:rsidR="00F15395" w:rsidRPr="001575C3" w:rsidRDefault="00701F71" w:rsidP="001575C3">
      <w:pPr>
        <w:ind w:left="345" w:right="2408" w:firstLine="0"/>
        <w:jc w:val="left"/>
        <w:rPr>
          <w:sz w:val="22"/>
        </w:rPr>
      </w:pPr>
      <w:r w:rsidRPr="001575C3">
        <w:rPr>
          <w:sz w:val="22"/>
        </w:rPr>
        <w:t>Žltý oxid železitý</w:t>
      </w:r>
      <w:r w:rsidR="00F15395" w:rsidRPr="001575C3">
        <w:rPr>
          <w:sz w:val="22"/>
        </w:rPr>
        <w:t xml:space="preserve"> (E172)</w:t>
      </w:r>
    </w:p>
    <w:p w14:paraId="119AAA47" w14:textId="7FADF61B" w:rsidR="00F15395" w:rsidRPr="001575C3" w:rsidRDefault="00701F71" w:rsidP="001575C3">
      <w:pPr>
        <w:ind w:left="345" w:right="6266" w:firstLine="0"/>
        <w:jc w:val="left"/>
        <w:rPr>
          <w:sz w:val="22"/>
        </w:rPr>
      </w:pPr>
      <w:r w:rsidRPr="001575C3">
        <w:rPr>
          <w:sz w:val="22"/>
        </w:rPr>
        <w:t>Želatína</w:t>
      </w:r>
    </w:p>
    <w:p w14:paraId="758315F8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40EEC36E" w14:textId="63A7D247" w:rsidR="00F15395" w:rsidRPr="001575C3" w:rsidRDefault="00701F71" w:rsidP="001575C3">
      <w:pPr>
        <w:ind w:left="-5" w:right="38"/>
        <w:jc w:val="left"/>
        <w:rPr>
          <w:sz w:val="22"/>
          <w:u w:val="single"/>
        </w:rPr>
      </w:pPr>
      <w:r w:rsidRPr="001575C3">
        <w:rPr>
          <w:sz w:val="22"/>
          <w:u w:val="single"/>
        </w:rPr>
        <w:t xml:space="preserve">Obsah mäkkej kapsuly s </w:t>
      </w:r>
      <w:proofErr w:type="spellStart"/>
      <w:r w:rsidRPr="001575C3">
        <w:rPr>
          <w:sz w:val="22"/>
          <w:u w:val="single"/>
        </w:rPr>
        <w:t>dutasteridom</w:t>
      </w:r>
      <w:proofErr w:type="spellEnd"/>
      <w:r w:rsidR="00F15395" w:rsidRPr="001575C3">
        <w:rPr>
          <w:sz w:val="22"/>
          <w:u w:val="single"/>
        </w:rPr>
        <w:t xml:space="preserve">: </w:t>
      </w:r>
    </w:p>
    <w:p w14:paraId="22CC2203" w14:textId="24FC2521" w:rsidR="00F15395" w:rsidRPr="001575C3" w:rsidRDefault="00F15395" w:rsidP="00917A98">
      <w:pPr>
        <w:ind w:left="370" w:right="38" w:hanging="86"/>
        <w:jc w:val="left"/>
        <w:rPr>
          <w:sz w:val="22"/>
        </w:rPr>
      </w:pPr>
      <w:proofErr w:type="spellStart"/>
      <w:r w:rsidRPr="001575C3">
        <w:rPr>
          <w:sz w:val="22"/>
        </w:rPr>
        <w:t>Propyl</w:t>
      </w:r>
      <w:r w:rsidR="009A01FF" w:rsidRPr="001575C3">
        <w:rPr>
          <w:sz w:val="22"/>
        </w:rPr>
        <w:t>énglykolmonokaprylát</w:t>
      </w:r>
      <w:proofErr w:type="spellEnd"/>
      <w:r w:rsidRPr="001575C3">
        <w:rPr>
          <w:sz w:val="22"/>
        </w:rPr>
        <w:t xml:space="preserve">, </w:t>
      </w:r>
      <w:r w:rsidR="0095603C" w:rsidRPr="001575C3">
        <w:rPr>
          <w:sz w:val="22"/>
        </w:rPr>
        <w:t>t</w:t>
      </w:r>
      <w:r w:rsidR="009A01FF" w:rsidRPr="001575C3">
        <w:rPr>
          <w:sz w:val="22"/>
        </w:rPr>
        <w:t>yp</w:t>
      </w:r>
      <w:r w:rsidRPr="001575C3">
        <w:rPr>
          <w:sz w:val="22"/>
        </w:rPr>
        <w:t xml:space="preserve"> II</w:t>
      </w:r>
    </w:p>
    <w:p w14:paraId="0C4198C5" w14:textId="0D4263AF" w:rsidR="00F15395" w:rsidRPr="001575C3" w:rsidRDefault="00701F71" w:rsidP="00917A98">
      <w:pPr>
        <w:ind w:left="370" w:right="38" w:hanging="86"/>
        <w:jc w:val="left"/>
        <w:rPr>
          <w:sz w:val="22"/>
        </w:rPr>
      </w:pPr>
      <w:proofErr w:type="spellStart"/>
      <w:r w:rsidRPr="001575C3">
        <w:rPr>
          <w:sz w:val="22"/>
        </w:rPr>
        <w:t>Butylhydroxytoluén</w:t>
      </w:r>
      <w:proofErr w:type="spellEnd"/>
      <w:r w:rsidR="00F15395" w:rsidRPr="001575C3">
        <w:rPr>
          <w:sz w:val="22"/>
        </w:rPr>
        <w:t xml:space="preserve"> (E321) </w:t>
      </w:r>
    </w:p>
    <w:p w14:paraId="4B8E8293" w14:textId="77777777" w:rsidR="00F15395" w:rsidRPr="001575C3" w:rsidRDefault="00F15395" w:rsidP="001575C3">
      <w:pPr>
        <w:spacing w:after="0" w:line="259" w:lineRule="auto"/>
        <w:ind w:left="36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35342668" w14:textId="3C1CCE35" w:rsidR="00F15395" w:rsidRPr="001575C3" w:rsidRDefault="00701F71" w:rsidP="001575C3">
      <w:pPr>
        <w:ind w:right="38"/>
        <w:jc w:val="left"/>
        <w:rPr>
          <w:sz w:val="22"/>
          <w:u w:val="single"/>
        </w:rPr>
      </w:pPr>
      <w:r w:rsidRPr="001575C3">
        <w:rPr>
          <w:sz w:val="22"/>
          <w:u w:val="single"/>
        </w:rPr>
        <w:t>Obal mäkkej kapsuly</w:t>
      </w:r>
      <w:r w:rsidR="00F15395" w:rsidRPr="001575C3">
        <w:rPr>
          <w:sz w:val="22"/>
          <w:u w:val="single"/>
        </w:rPr>
        <w:t xml:space="preserve">: </w:t>
      </w:r>
    </w:p>
    <w:p w14:paraId="2CB237ED" w14:textId="045E747A" w:rsidR="00F15395" w:rsidRPr="001575C3" w:rsidRDefault="00701F71" w:rsidP="00917A98">
      <w:pPr>
        <w:ind w:left="284" w:right="38" w:firstLine="0"/>
        <w:jc w:val="left"/>
        <w:rPr>
          <w:sz w:val="22"/>
        </w:rPr>
      </w:pPr>
      <w:r w:rsidRPr="001575C3">
        <w:rPr>
          <w:sz w:val="22"/>
        </w:rPr>
        <w:t>Želatína</w:t>
      </w:r>
      <w:r w:rsidR="00F15395" w:rsidRPr="001575C3">
        <w:rPr>
          <w:sz w:val="22"/>
        </w:rPr>
        <w:t xml:space="preserve"> </w:t>
      </w:r>
    </w:p>
    <w:p w14:paraId="4C185843" w14:textId="77777777" w:rsidR="00F15395" w:rsidRPr="001575C3" w:rsidRDefault="00F15395" w:rsidP="00917A98">
      <w:pPr>
        <w:ind w:left="284" w:right="38" w:firstLine="0"/>
        <w:jc w:val="left"/>
        <w:rPr>
          <w:sz w:val="22"/>
        </w:rPr>
      </w:pPr>
      <w:proofErr w:type="spellStart"/>
      <w:r w:rsidRPr="001575C3">
        <w:rPr>
          <w:sz w:val="22"/>
        </w:rPr>
        <w:t>Glycerol</w:t>
      </w:r>
      <w:proofErr w:type="spellEnd"/>
      <w:r w:rsidRPr="001575C3">
        <w:rPr>
          <w:sz w:val="22"/>
        </w:rPr>
        <w:t xml:space="preserve"> </w:t>
      </w:r>
    </w:p>
    <w:p w14:paraId="5CFEE206" w14:textId="625CBC57" w:rsidR="00F15395" w:rsidRPr="001575C3" w:rsidRDefault="00701F71" w:rsidP="00917A98">
      <w:pPr>
        <w:ind w:left="284" w:right="38" w:firstLine="0"/>
        <w:jc w:val="left"/>
        <w:rPr>
          <w:sz w:val="22"/>
        </w:rPr>
      </w:pPr>
      <w:r w:rsidRPr="001575C3">
        <w:rPr>
          <w:sz w:val="22"/>
        </w:rPr>
        <w:t xml:space="preserve">Oxid </w:t>
      </w:r>
      <w:proofErr w:type="spellStart"/>
      <w:r w:rsidRPr="001575C3">
        <w:rPr>
          <w:sz w:val="22"/>
        </w:rPr>
        <w:t>titaničitý</w:t>
      </w:r>
      <w:proofErr w:type="spellEnd"/>
      <w:r w:rsidR="00F15395" w:rsidRPr="001575C3">
        <w:rPr>
          <w:sz w:val="22"/>
        </w:rPr>
        <w:t xml:space="preserve"> (E171) </w:t>
      </w:r>
    </w:p>
    <w:p w14:paraId="3DDD7511" w14:textId="162DD493" w:rsidR="00780CEF" w:rsidRPr="00A379E5" w:rsidRDefault="00780CEF" w:rsidP="00780CEF">
      <w:pPr>
        <w:widowControl w:val="0"/>
        <w:rPr>
          <w:sz w:val="22"/>
        </w:rPr>
      </w:pPr>
      <w:r>
        <w:rPr>
          <w:sz w:val="22"/>
        </w:rPr>
        <w:t xml:space="preserve">     </w:t>
      </w:r>
      <w:proofErr w:type="spellStart"/>
      <w:r w:rsidRPr="00A379E5">
        <w:rPr>
          <w:sz w:val="22"/>
        </w:rPr>
        <w:t>Triacylglyceroly</w:t>
      </w:r>
      <w:proofErr w:type="spellEnd"/>
      <w:r w:rsidRPr="00A379E5">
        <w:rPr>
          <w:sz w:val="22"/>
        </w:rPr>
        <w:t xml:space="preserve"> (so stredne dlhým reťazcom)</w:t>
      </w:r>
    </w:p>
    <w:p w14:paraId="4843A676" w14:textId="1EF33DDA" w:rsidR="00F15395" w:rsidRPr="001575C3" w:rsidRDefault="00F15395" w:rsidP="00917A98">
      <w:pPr>
        <w:ind w:left="284" w:right="38" w:firstLine="0"/>
        <w:jc w:val="left"/>
        <w:rPr>
          <w:sz w:val="22"/>
        </w:rPr>
      </w:pPr>
      <w:r w:rsidRPr="001575C3">
        <w:rPr>
          <w:sz w:val="22"/>
        </w:rPr>
        <w:t>Lecit</w:t>
      </w:r>
      <w:r w:rsidR="00701F71" w:rsidRPr="001575C3">
        <w:rPr>
          <w:sz w:val="22"/>
        </w:rPr>
        <w:t>ín</w:t>
      </w:r>
      <w:r w:rsidRPr="001575C3">
        <w:rPr>
          <w:sz w:val="22"/>
        </w:rPr>
        <w:t xml:space="preserve"> (</w:t>
      </w:r>
      <w:r w:rsidR="00701F71" w:rsidRPr="001575C3">
        <w:rPr>
          <w:sz w:val="22"/>
        </w:rPr>
        <w:t>môže obsahovať sójový olej</w:t>
      </w:r>
      <w:r w:rsidRPr="001575C3">
        <w:rPr>
          <w:sz w:val="22"/>
        </w:rPr>
        <w:t>)</w:t>
      </w:r>
    </w:p>
    <w:p w14:paraId="6655E850" w14:textId="77777777" w:rsidR="00F15395" w:rsidRPr="001575C3" w:rsidRDefault="00F15395" w:rsidP="001575C3">
      <w:pPr>
        <w:spacing w:after="0" w:line="259" w:lineRule="auto"/>
        <w:ind w:left="360" w:firstLine="0"/>
        <w:jc w:val="left"/>
        <w:rPr>
          <w:sz w:val="22"/>
        </w:rPr>
      </w:pPr>
    </w:p>
    <w:p w14:paraId="08BE310A" w14:textId="0F5B40CC" w:rsidR="00F15395" w:rsidRPr="001575C3" w:rsidRDefault="00701F71" w:rsidP="001575C3">
      <w:pPr>
        <w:ind w:left="-5" w:right="38"/>
        <w:jc w:val="left"/>
        <w:rPr>
          <w:sz w:val="22"/>
          <w:u w:val="single"/>
        </w:rPr>
      </w:pPr>
      <w:proofErr w:type="spellStart"/>
      <w:r w:rsidRPr="001575C3">
        <w:rPr>
          <w:sz w:val="22"/>
          <w:u w:val="single"/>
        </w:rPr>
        <w:t>Pelety</w:t>
      </w:r>
      <w:proofErr w:type="spellEnd"/>
      <w:r w:rsidRPr="001575C3">
        <w:rPr>
          <w:sz w:val="22"/>
          <w:u w:val="single"/>
        </w:rPr>
        <w:t xml:space="preserve"> </w:t>
      </w:r>
      <w:proofErr w:type="spellStart"/>
      <w:r w:rsidRPr="001575C3">
        <w:rPr>
          <w:sz w:val="22"/>
          <w:u w:val="single"/>
        </w:rPr>
        <w:t>tamsulozínu</w:t>
      </w:r>
      <w:proofErr w:type="spellEnd"/>
      <w:r w:rsidR="00F15395" w:rsidRPr="001575C3">
        <w:rPr>
          <w:sz w:val="22"/>
          <w:u w:val="single"/>
        </w:rPr>
        <w:t xml:space="preserve">: </w:t>
      </w:r>
    </w:p>
    <w:p w14:paraId="036BF64C" w14:textId="22A986D4" w:rsidR="00F15395" w:rsidRPr="00917A98" w:rsidRDefault="00150BBA" w:rsidP="001575C3">
      <w:pPr>
        <w:ind w:left="250" w:right="38"/>
        <w:jc w:val="left"/>
        <w:rPr>
          <w:sz w:val="22"/>
        </w:rPr>
      </w:pPr>
      <w:proofErr w:type="spellStart"/>
      <w:r w:rsidRPr="009B5E44">
        <w:rPr>
          <w:sz w:val="22"/>
        </w:rPr>
        <w:t>Kopolymér</w:t>
      </w:r>
      <w:proofErr w:type="spellEnd"/>
      <w:r w:rsidRPr="009B5E44">
        <w:rPr>
          <w:sz w:val="22"/>
        </w:rPr>
        <w:t xml:space="preserve"> kyseliny </w:t>
      </w:r>
      <w:proofErr w:type="spellStart"/>
      <w:r w:rsidRPr="009B5E44">
        <w:rPr>
          <w:sz w:val="22"/>
        </w:rPr>
        <w:t>metakrylovej</w:t>
      </w:r>
      <w:proofErr w:type="spellEnd"/>
      <w:r w:rsidRPr="009B5E44">
        <w:rPr>
          <w:sz w:val="22"/>
        </w:rPr>
        <w:t xml:space="preserve"> </w:t>
      </w:r>
      <w:r>
        <w:rPr>
          <w:sz w:val="22"/>
        </w:rPr>
        <w:t>s</w:t>
      </w:r>
      <w:r w:rsidRPr="009B5E44">
        <w:rPr>
          <w:sz w:val="22"/>
        </w:rPr>
        <w:t> </w:t>
      </w:r>
      <w:proofErr w:type="spellStart"/>
      <w:r w:rsidRPr="009B5E44">
        <w:rPr>
          <w:sz w:val="22"/>
        </w:rPr>
        <w:t>etylakrylát</w:t>
      </w:r>
      <w:r>
        <w:rPr>
          <w:sz w:val="22"/>
        </w:rPr>
        <w:t>om</w:t>
      </w:r>
      <w:proofErr w:type="spellEnd"/>
      <w:r w:rsidR="00F15395" w:rsidRPr="00917A98">
        <w:rPr>
          <w:sz w:val="22"/>
        </w:rPr>
        <w:t xml:space="preserve"> </w:t>
      </w:r>
      <w:r w:rsidR="00AE50B0" w:rsidRPr="00917A98">
        <w:rPr>
          <w:sz w:val="22"/>
        </w:rPr>
        <w:t>(</w:t>
      </w:r>
      <w:r w:rsidR="00F15395" w:rsidRPr="00917A98">
        <w:rPr>
          <w:sz w:val="22"/>
        </w:rPr>
        <w:t>1:1</w:t>
      </w:r>
      <w:r w:rsidR="00AE50B0" w:rsidRPr="00917A98">
        <w:rPr>
          <w:sz w:val="22"/>
        </w:rPr>
        <w:t>)</w:t>
      </w:r>
      <w:r w:rsidR="00F15395" w:rsidRPr="00917A98">
        <w:rPr>
          <w:sz w:val="22"/>
        </w:rPr>
        <w:t xml:space="preserve"> </w:t>
      </w:r>
      <w:r w:rsidR="004D2D9C" w:rsidRPr="00917A98">
        <w:rPr>
          <w:sz w:val="22"/>
        </w:rPr>
        <w:t>30 % disperzia</w:t>
      </w:r>
      <w:r w:rsidR="007D3CCC" w:rsidRPr="00917A98">
        <w:rPr>
          <w:sz w:val="22"/>
        </w:rPr>
        <w:t xml:space="preserve"> (</w:t>
      </w:r>
      <w:r w:rsidR="004D2D9C" w:rsidRPr="00917A98">
        <w:rPr>
          <w:sz w:val="22"/>
        </w:rPr>
        <w:t xml:space="preserve">obsahuje </w:t>
      </w:r>
      <w:proofErr w:type="spellStart"/>
      <w:r w:rsidR="004D2D9C" w:rsidRPr="00917A98">
        <w:rPr>
          <w:sz w:val="22"/>
        </w:rPr>
        <w:t>laur</w:t>
      </w:r>
      <w:r w:rsidR="00780CEF">
        <w:rPr>
          <w:sz w:val="22"/>
        </w:rPr>
        <w:t>ylsíran</w:t>
      </w:r>
      <w:proofErr w:type="spellEnd"/>
      <w:r w:rsidR="004D2D9C" w:rsidRPr="00917A98">
        <w:rPr>
          <w:sz w:val="22"/>
        </w:rPr>
        <w:t xml:space="preserve"> sodný, </w:t>
      </w:r>
      <w:proofErr w:type="spellStart"/>
      <w:r w:rsidR="004D2D9C" w:rsidRPr="00917A98">
        <w:rPr>
          <w:sz w:val="22"/>
        </w:rPr>
        <w:t>polysorbát</w:t>
      </w:r>
      <w:proofErr w:type="spellEnd"/>
      <w:r w:rsidR="007D3CCC" w:rsidRPr="00917A98">
        <w:rPr>
          <w:sz w:val="22"/>
        </w:rPr>
        <w:t xml:space="preserve"> 80)</w:t>
      </w:r>
    </w:p>
    <w:p w14:paraId="5FD474C9" w14:textId="05FBD8CC" w:rsidR="00F15395" w:rsidRPr="00917A98" w:rsidRDefault="00F15395" w:rsidP="001575C3">
      <w:pPr>
        <w:ind w:left="250" w:right="38"/>
        <w:jc w:val="left"/>
        <w:rPr>
          <w:sz w:val="22"/>
        </w:rPr>
      </w:pPr>
      <w:r w:rsidRPr="00917A98">
        <w:rPr>
          <w:sz w:val="22"/>
        </w:rPr>
        <w:t>Mi</w:t>
      </w:r>
      <w:r w:rsidR="004D2D9C" w:rsidRPr="00917A98">
        <w:rPr>
          <w:sz w:val="22"/>
        </w:rPr>
        <w:t>krokryštalická celulóza</w:t>
      </w:r>
    </w:p>
    <w:p w14:paraId="74911F2E" w14:textId="63B2C412" w:rsidR="00F15395" w:rsidRPr="00917A98" w:rsidRDefault="00F15395" w:rsidP="001575C3">
      <w:pPr>
        <w:ind w:left="250" w:right="38"/>
        <w:jc w:val="left"/>
        <w:rPr>
          <w:sz w:val="22"/>
        </w:rPr>
      </w:pPr>
      <w:proofErr w:type="spellStart"/>
      <w:r w:rsidRPr="00917A98">
        <w:rPr>
          <w:sz w:val="22"/>
        </w:rPr>
        <w:t>Dibutyl</w:t>
      </w:r>
      <w:r w:rsidR="004D2D9C" w:rsidRPr="00917A98">
        <w:rPr>
          <w:sz w:val="22"/>
        </w:rPr>
        <w:t>sebakát</w:t>
      </w:r>
      <w:proofErr w:type="spellEnd"/>
    </w:p>
    <w:p w14:paraId="7E661195" w14:textId="19494CDA" w:rsidR="00F15395" w:rsidRPr="00917A98" w:rsidRDefault="00F15395" w:rsidP="001575C3">
      <w:pPr>
        <w:ind w:left="250" w:right="38"/>
        <w:jc w:val="left"/>
        <w:rPr>
          <w:sz w:val="22"/>
        </w:rPr>
      </w:pPr>
      <w:proofErr w:type="spellStart"/>
      <w:r w:rsidRPr="00917A98">
        <w:rPr>
          <w:sz w:val="22"/>
        </w:rPr>
        <w:t>Polysorb</w:t>
      </w:r>
      <w:r w:rsidR="004D2D9C" w:rsidRPr="00917A98">
        <w:rPr>
          <w:sz w:val="22"/>
        </w:rPr>
        <w:t>át</w:t>
      </w:r>
      <w:proofErr w:type="spellEnd"/>
      <w:r w:rsidRPr="00917A98">
        <w:rPr>
          <w:sz w:val="22"/>
        </w:rPr>
        <w:t xml:space="preserve"> 80</w:t>
      </w:r>
    </w:p>
    <w:p w14:paraId="66FCD4DE" w14:textId="56F2D6E6" w:rsidR="007D3CCC" w:rsidRPr="00917A98" w:rsidRDefault="004D2D9C" w:rsidP="001575C3">
      <w:pPr>
        <w:spacing w:after="0" w:line="259" w:lineRule="auto"/>
        <w:ind w:left="240" w:firstLine="0"/>
        <w:jc w:val="left"/>
        <w:rPr>
          <w:sz w:val="22"/>
        </w:rPr>
      </w:pPr>
      <w:r w:rsidRPr="00917A98">
        <w:rPr>
          <w:sz w:val="22"/>
        </w:rPr>
        <w:t xml:space="preserve">Koloidný </w:t>
      </w:r>
      <w:proofErr w:type="spellStart"/>
      <w:r w:rsidRPr="00917A98">
        <w:rPr>
          <w:sz w:val="22"/>
        </w:rPr>
        <w:t>hydratovaný</w:t>
      </w:r>
      <w:proofErr w:type="spellEnd"/>
      <w:r w:rsidRPr="00917A98">
        <w:rPr>
          <w:sz w:val="22"/>
        </w:rPr>
        <w:t xml:space="preserve"> oxid kremičitý</w:t>
      </w:r>
    </w:p>
    <w:p w14:paraId="7B234220" w14:textId="35FB30FD" w:rsidR="00F15395" w:rsidRPr="00917A98" w:rsidRDefault="004D2D9C" w:rsidP="001575C3">
      <w:pPr>
        <w:spacing w:after="0" w:line="259" w:lineRule="auto"/>
        <w:ind w:left="240" w:firstLine="0"/>
        <w:jc w:val="left"/>
        <w:rPr>
          <w:sz w:val="22"/>
        </w:rPr>
      </w:pPr>
      <w:proofErr w:type="spellStart"/>
      <w:r w:rsidRPr="00917A98">
        <w:rPr>
          <w:sz w:val="22"/>
        </w:rPr>
        <w:t>Stearan</w:t>
      </w:r>
      <w:proofErr w:type="spellEnd"/>
      <w:r w:rsidRPr="00917A98">
        <w:rPr>
          <w:sz w:val="22"/>
        </w:rPr>
        <w:t xml:space="preserve"> vápenatý</w:t>
      </w:r>
    </w:p>
    <w:p w14:paraId="12ACC083" w14:textId="77777777" w:rsidR="00F15395" w:rsidRPr="00917A98" w:rsidRDefault="00F15395" w:rsidP="001575C3">
      <w:pPr>
        <w:spacing w:after="0" w:line="259" w:lineRule="auto"/>
        <w:ind w:left="240" w:firstLine="0"/>
        <w:jc w:val="left"/>
        <w:rPr>
          <w:sz w:val="22"/>
        </w:rPr>
      </w:pPr>
    </w:p>
    <w:p w14:paraId="086210E0" w14:textId="7573D5EB" w:rsidR="00F15395" w:rsidRPr="00917A98" w:rsidRDefault="00701F71" w:rsidP="001575C3">
      <w:pPr>
        <w:ind w:left="-5" w:right="38"/>
        <w:jc w:val="left"/>
        <w:rPr>
          <w:sz w:val="22"/>
          <w:u w:val="single"/>
        </w:rPr>
      </w:pPr>
      <w:r w:rsidRPr="00917A98">
        <w:rPr>
          <w:sz w:val="22"/>
          <w:u w:val="single"/>
        </w:rPr>
        <w:t>Čierny atrament</w:t>
      </w:r>
      <w:r w:rsidR="00F15395" w:rsidRPr="00917A98">
        <w:rPr>
          <w:sz w:val="22"/>
          <w:u w:val="single"/>
        </w:rPr>
        <w:t xml:space="preserve">: </w:t>
      </w:r>
    </w:p>
    <w:p w14:paraId="352E0617" w14:textId="0081E7C1" w:rsidR="00F15395" w:rsidRPr="00917A98" w:rsidRDefault="00701F71" w:rsidP="00917A98">
      <w:pPr>
        <w:ind w:left="284" w:right="38"/>
        <w:jc w:val="left"/>
        <w:rPr>
          <w:sz w:val="22"/>
        </w:rPr>
      </w:pPr>
      <w:r w:rsidRPr="00917A98">
        <w:rPr>
          <w:sz w:val="22"/>
        </w:rPr>
        <w:t>Šelak</w:t>
      </w:r>
      <w:r w:rsidR="00F15395" w:rsidRPr="00917A98">
        <w:rPr>
          <w:sz w:val="22"/>
        </w:rPr>
        <w:t xml:space="preserve"> (E904)</w:t>
      </w:r>
    </w:p>
    <w:p w14:paraId="41AC7A58" w14:textId="1B39F6F7" w:rsidR="00F15395" w:rsidRPr="00917A98" w:rsidRDefault="00701F71" w:rsidP="00917A98">
      <w:pPr>
        <w:ind w:left="284" w:right="38"/>
        <w:jc w:val="left"/>
        <w:rPr>
          <w:sz w:val="22"/>
        </w:rPr>
      </w:pPr>
      <w:r w:rsidRPr="00917A98">
        <w:rPr>
          <w:sz w:val="22"/>
        </w:rPr>
        <w:t>Čierny oxid železitý</w:t>
      </w:r>
      <w:r w:rsidR="00F15395" w:rsidRPr="00917A98">
        <w:rPr>
          <w:sz w:val="22"/>
        </w:rPr>
        <w:t xml:space="preserve"> (E172) </w:t>
      </w:r>
    </w:p>
    <w:p w14:paraId="10DE6195" w14:textId="62C13BB4" w:rsidR="00F15395" w:rsidRPr="00917A98" w:rsidRDefault="00F15395" w:rsidP="00917A98">
      <w:pPr>
        <w:ind w:left="284" w:right="38"/>
        <w:jc w:val="left"/>
        <w:rPr>
          <w:sz w:val="22"/>
        </w:rPr>
      </w:pPr>
      <w:proofErr w:type="spellStart"/>
      <w:r w:rsidRPr="00917A98">
        <w:rPr>
          <w:sz w:val="22"/>
        </w:rPr>
        <w:t>Propyl</w:t>
      </w:r>
      <w:r w:rsidR="00701F71" w:rsidRPr="00917A98">
        <w:rPr>
          <w:sz w:val="22"/>
        </w:rPr>
        <w:t>énglykol</w:t>
      </w:r>
      <w:proofErr w:type="spellEnd"/>
      <w:r w:rsidR="007D3CCC" w:rsidRPr="00917A98">
        <w:rPr>
          <w:sz w:val="22"/>
        </w:rPr>
        <w:t xml:space="preserve"> (E1520)</w:t>
      </w:r>
    </w:p>
    <w:p w14:paraId="4803D6EA" w14:textId="743E65CD" w:rsidR="007D3CCC" w:rsidRPr="00917A98" w:rsidRDefault="004D2D9C" w:rsidP="00917A98">
      <w:pPr>
        <w:ind w:left="284" w:right="38"/>
        <w:jc w:val="left"/>
        <w:rPr>
          <w:sz w:val="22"/>
        </w:rPr>
      </w:pPr>
      <w:r w:rsidRPr="00917A98">
        <w:rPr>
          <w:sz w:val="22"/>
        </w:rPr>
        <w:t>Koncentrovaný roztok amoniaku</w:t>
      </w:r>
      <w:r w:rsidR="007D3CCC" w:rsidRPr="00917A98">
        <w:rPr>
          <w:sz w:val="22"/>
        </w:rPr>
        <w:t xml:space="preserve"> (E527)</w:t>
      </w:r>
    </w:p>
    <w:p w14:paraId="73D14EFB" w14:textId="00247150" w:rsidR="00F15395" w:rsidRPr="001575C3" w:rsidRDefault="00701F71" w:rsidP="00917A98">
      <w:pPr>
        <w:ind w:left="284" w:right="38"/>
        <w:jc w:val="left"/>
        <w:rPr>
          <w:sz w:val="22"/>
        </w:rPr>
      </w:pPr>
      <w:r w:rsidRPr="00917A98">
        <w:rPr>
          <w:sz w:val="22"/>
        </w:rPr>
        <w:t>Hydroxid draselný</w:t>
      </w:r>
      <w:r w:rsidR="00F15395" w:rsidRPr="00917A98">
        <w:rPr>
          <w:sz w:val="22"/>
        </w:rPr>
        <w:t xml:space="preserve"> </w:t>
      </w:r>
      <w:r w:rsidR="007D3CCC" w:rsidRPr="00917A98">
        <w:rPr>
          <w:sz w:val="22"/>
        </w:rPr>
        <w:t>(E525)</w:t>
      </w:r>
    </w:p>
    <w:p w14:paraId="3FCFDE42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248E532F" w14:textId="0C22665B" w:rsidR="00F15395" w:rsidRPr="001575C3" w:rsidRDefault="00F15395" w:rsidP="001575C3">
      <w:pPr>
        <w:tabs>
          <w:tab w:val="center" w:pos="1379"/>
        </w:tabs>
        <w:spacing w:after="0" w:line="259" w:lineRule="auto"/>
        <w:ind w:left="-15" w:firstLine="0"/>
        <w:jc w:val="left"/>
        <w:rPr>
          <w:sz w:val="22"/>
        </w:rPr>
      </w:pPr>
      <w:r w:rsidRPr="001575C3">
        <w:rPr>
          <w:b/>
          <w:sz w:val="22"/>
        </w:rPr>
        <w:t xml:space="preserve">6.2 </w:t>
      </w:r>
      <w:r w:rsidRPr="001575C3">
        <w:rPr>
          <w:b/>
          <w:sz w:val="22"/>
        </w:rPr>
        <w:tab/>
        <w:t>In</w:t>
      </w:r>
      <w:r w:rsidR="00701F71" w:rsidRPr="001575C3">
        <w:rPr>
          <w:b/>
          <w:sz w:val="22"/>
        </w:rPr>
        <w:t>kompatibility</w:t>
      </w:r>
      <w:r w:rsidRPr="001575C3">
        <w:rPr>
          <w:sz w:val="22"/>
        </w:rPr>
        <w:t xml:space="preserve"> </w:t>
      </w:r>
    </w:p>
    <w:p w14:paraId="0319F750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1631653F" w14:textId="5C378367" w:rsidR="00F15395" w:rsidRPr="001575C3" w:rsidRDefault="00F15395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N</w:t>
      </w:r>
      <w:r w:rsidR="00701F71" w:rsidRPr="001575C3">
        <w:rPr>
          <w:sz w:val="22"/>
        </w:rPr>
        <w:t>eaplikovateľné</w:t>
      </w:r>
      <w:r w:rsidRPr="001575C3">
        <w:rPr>
          <w:sz w:val="22"/>
        </w:rPr>
        <w:t xml:space="preserve">. </w:t>
      </w:r>
    </w:p>
    <w:p w14:paraId="0005E9AD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7DE23669" w14:textId="7150986C" w:rsidR="00F15395" w:rsidRPr="001575C3" w:rsidRDefault="00701F71" w:rsidP="001575C3">
      <w:pPr>
        <w:tabs>
          <w:tab w:val="center" w:pos="973"/>
        </w:tabs>
        <w:spacing w:after="0" w:line="259" w:lineRule="auto"/>
        <w:ind w:left="-15" w:firstLine="0"/>
        <w:jc w:val="left"/>
        <w:rPr>
          <w:sz w:val="22"/>
        </w:rPr>
      </w:pPr>
      <w:r w:rsidRPr="001575C3">
        <w:rPr>
          <w:b/>
          <w:sz w:val="22"/>
        </w:rPr>
        <w:t xml:space="preserve">6.3 </w:t>
      </w:r>
      <w:r w:rsidRPr="001575C3">
        <w:rPr>
          <w:b/>
          <w:sz w:val="22"/>
        </w:rPr>
        <w:tab/>
        <w:t>Čas použiteľnosti</w:t>
      </w:r>
      <w:r w:rsidR="00F15395" w:rsidRPr="001575C3">
        <w:rPr>
          <w:sz w:val="22"/>
        </w:rPr>
        <w:t xml:space="preserve"> </w:t>
      </w:r>
    </w:p>
    <w:p w14:paraId="6A4E4C8F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E1B6835" w14:textId="4B30C80D" w:rsidR="005F0C72" w:rsidRPr="001575C3" w:rsidRDefault="00701F71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2 roky</w:t>
      </w:r>
    </w:p>
    <w:p w14:paraId="2C79A06F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b/>
          <w:sz w:val="22"/>
        </w:rPr>
        <w:t xml:space="preserve"> </w:t>
      </w:r>
    </w:p>
    <w:p w14:paraId="510C7A72" w14:textId="66581698" w:rsidR="00F15395" w:rsidRPr="001575C3" w:rsidRDefault="00701F71" w:rsidP="001575C3">
      <w:pPr>
        <w:tabs>
          <w:tab w:val="center" w:pos="2044"/>
        </w:tabs>
        <w:spacing w:after="0" w:line="259" w:lineRule="auto"/>
        <w:ind w:left="-15" w:firstLine="0"/>
        <w:jc w:val="left"/>
        <w:rPr>
          <w:sz w:val="22"/>
        </w:rPr>
      </w:pPr>
      <w:r w:rsidRPr="001575C3">
        <w:rPr>
          <w:b/>
          <w:sz w:val="22"/>
        </w:rPr>
        <w:t xml:space="preserve">6.4 </w:t>
      </w:r>
      <w:r w:rsidRPr="001575C3">
        <w:rPr>
          <w:b/>
          <w:sz w:val="22"/>
        </w:rPr>
        <w:tab/>
        <w:t>Špeciálne upozornenia na uchovávanie</w:t>
      </w:r>
      <w:r w:rsidR="00F15395" w:rsidRPr="001575C3">
        <w:rPr>
          <w:b/>
          <w:sz w:val="22"/>
        </w:rPr>
        <w:t xml:space="preserve"> </w:t>
      </w:r>
    </w:p>
    <w:p w14:paraId="66C24320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4596090D" w14:textId="5CA644B0" w:rsidR="00F15395" w:rsidRPr="001575C3" w:rsidRDefault="007D3CCC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T</w:t>
      </w:r>
      <w:r w:rsidR="00917A98">
        <w:rPr>
          <w:sz w:val="22"/>
        </w:rPr>
        <w:t>ento liek</w:t>
      </w:r>
      <w:r w:rsidR="00701F71" w:rsidRPr="001575C3">
        <w:rPr>
          <w:sz w:val="22"/>
        </w:rPr>
        <w:t xml:space="preserve"> nevyžaduje žiadne </w:t>
      </w:r>
      <w:r w:rsidR="00780CEF">
        <w:rPr>
          <w:sz w:val="22"/>
        </w:rPr>
        <w:t>zvlášt</w:t>
      </w:r>
      <w:r w:rsidR="00701F71" w:rsidRPr="001575C3">
        <w:rPr>
          <w:sz w:val="22"/>
        </w:rPr>
        <w:t>ne podmienky na uchovávanie</w:t>
      </w:r>
      <w:r w:rsidR="00CC37EB" w:rsidRPr="001575C3">
        <w:rPr>
          <w:sz w:val="22"/>
        </w:rPr>
        <w:t>.</w:t>
      </w:r>
    </w:p>
    <w:p w14:paraId="27E61D2D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41FA1EF0" w14:textId="4572FCA5" w:rsidR="00F15395" w:rsidRPr="001575C3" w:rsidRDefault="00F15395" w:rsidP="001575C3">
      <w:pPr>
        <w:pStyle w:val="Nadpis2"/>
        <w:tabs>
          <w:tab w:val="center" w:pos="2142"/>
        </w:tabs>
        <w:spacing w:after="0"/>
        <w:ind w:left="-15" w:firstLine="0"/>
        <w:rPr>
          <w:sz w:val="22"/>
          <w:lang w:val="sk-SK"/>
        </w:rPr>
      </w:pPr>
      <w:r w:rsidRPr="001575C3">
        <w:rPr>
          <w:b/>
          <w:sz w:val="22"/>
          <w:u w:val="none"/>
          <w:lang w:val="sk-SK"/>
        </w:rPr>
        <w:t>6.5</w:t>
      </w:r>
      <w:r w:rsidRPr="001575C3">
        <w:rPr>
          <w:rFonts w:ascii="Arial" w:eastAsia="Arial" w:hAnsi="Arial" w:cs="Arial"/>
          <w:b/>
          <w:sz w:val="22"/>
          <w:u w:val="none"/>
          <w:lang w:val="sk-SK"/>
        </w:rPr>
        <w:t xml:space="preserve"> </w:t>
      </w:r>
      <w:r w:rsidRPr="001575C3">
        <w:rPr>
          <w:rFonts w:ascii="Arial" w:eastAsia="Arial" w:hAnsi="Arial" w:cs="Arial"/>
          <w:b/>
          <w:sz w:val="22"/>
          <w:u w:val="none"/>
          <w:lang w:val="sk-SK"/>
        </w:rPr>
        <w:tab/>
      </w:r>
      <w:r w:rsidR="00701F71" w:rsidRPr="001575C3">
        <w:rPr>
          <w:b/>
          <w:sz w:val="22"/>
          <w:u w:val="none"/>
          <w:lang w:val="sk-SK"/>
        </w:rPr>
        <w:t>Druh obalu a obsah balenia</w:t>
      </w:r>
      <w:r w:rsidRPr="001575C3">
        <w:rPr>
          <w:b/>
          <w:sz w:val="22"/>
          <w:u w:val="none"/>
          <w:lang w:val="sk-SK"/>
        </w:rPr>
        <w:t xml:space="preserve"> </w:t>
      </w:r>
    </w:p>
    <w:p w14:paraId="3381C3FD" w14:textId="6F5564E0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448A2D8" w14:textId="2FF55450" w:rsidR="00F15395" w:rsidRPr="00917A98" w:rsidRDefault="00F15395" w:rsidP="001575C3">
      <w:pPr>
        <w:tabs>
          <w:tab w:val="left" w:pos="284"/>
        </w:tabs>
        <w:spacing w:after="0"/>
        <w:ind w:right="-20"/>
        <w:jc w:val="left"/>
        <w:rPr>
          <w:sz w:val="22"/>
        </w:rPr>
      </w:pPr>
      <w:r w:rsidRPr="00917A98">
        <w:rPr>
          <w:sz w:val="22"/>
        </w:rPr>
        <w:lastRenderedPageBreak/>
        <w:t xml:space="preserve">HDPE </w:t>
      </w:r>
      <w:r w:rsidR="00407E1B" w:rsidRPr="00917A98">
        <w:rPr>
          <w:sz w:val="22"/>
        </w:rPr>
        <w:t xml:space="preserve">fľaša so </w:t>
      </w:r>
      <w:proofErr w:type="spellStart"/>
      <w:r w:rsidR="00407E1B" w:rsidRPr="00917A98">
        <w:rPr>
          <w:sz w:val="22"/>
        </w:rPr>
        <w:t>silikagélovým</w:t>
      </w:r>
      <w:proofErr w:type="spellEnd"/>
      <w:r w:rsidR="00407E1B" w:rsidRPr="00917A98">
        <w:rPr>
          <w:sz w:val="22"/>
        </w:rPr>
        <w:t xml:space="preserve"> </w:t>
      </w:r>
      <w:proofErr w:type="spellStart"/>
      <w:r w:rsidR="00407E1B" w:rsidRPr="00917A98">
        <w:rPr>
          <w:sz w:val="22"/>
        </w:rPr>
        <w:t>vysušovadlom</w:t>
      </w:r>
      <w:proofErr w:type="spellEnd"/>
      <w:r w:rsidR="00407E1B" w:rsidRPr="00917A98">
        <w:rPr>
          <w:sz w:val="22"/>
        </w:rPr>
        <w:t xml:space="preserve"> v polypropylénovom uz</w:t>
      </w:r>
      <w:r w:rsidR="00917A98" w:rsidRPr="00917A98">
        <w:rPr>
          <w:sz w:val="22"/>
        </w:rPr>
        <w:t>á</w:t>
      </w:r>
      <w:r w:rsidR="00CD4104" w:rsidRPr="00917A98">
        <w:rPr>
          <w:sz w:val="22"/>
        </w:rPr>
        <w:t>vere</w:t>
      </w:r>
      <w:r w:rsidR="00CC37EB" w:rsidRPr="00917A98">
        <w:rPr>
          <w:sz w:val="22"/>
        </w:rPr>
        <w:t>.</w:t>
      </w:r>
    </w:p>
    <w:p w14:paraId="419BFB74" w14:textId="77777777" w:rsidR="00F15395" w:rsidRPr="001575C3" w:rsidRDefault="00F15395" w:rsidP="001575C3">
      <w:pPr>
        <w:ind w:left="-5" w:right="38"/>
        <w:jc w:val="left"/>
        <w:rPr>
          <w:sz w:val="22"/>
        </w:rPr>
      </w:pPr>
    </w:p>
    <w:p w14:paraId="36C24E40" w14:textId="470733B1" w:rsidR="0095603C" w:rsidRPr="001575C3" w:rsidRDefault="0095603C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7 </w:t>
      </w:r>
      <w:r w:rsidR="00701F71" w:rsidRPr="001575C3">
        <w:rPr>
          <w:sz w:val="22"/>
        </w:rPr>
        <w:t xml:space="preserve">tvrdých kapsúl v </w:t>
      </w:r>
      <w:r w:rsidRPr="001575C3">
        <w:rPr>
          <w:sz w:val="22"/>
        </w:rPr>
        <w:t xml:space="preserve">35 ml </w:t>
      </w:r>
      <w:r w:rsidR="00701F71" w:rsidRPr="001575C3">
        <w:rPr>
          <w:sz w:val="22"/>
        </w:rPr>
        <w:t>fľaši</w:t>
      </w:r>
      <w:r w:rsidRPr="001575C3">
        <w:rPr>
          <w:sz w:val="22"/>
        </w:rPr>
        <w:t xml:space="preserve"> </w:t>
      </w:r>
    </w:p>
    <w:p w14:paraId="5740C54A" w14:textId="166907C0" w:rsidR="0095603C" w:rsidRPr="001575C3" w:rsidRDefault="0095603C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30 </w:t>
      </w:r>
      <w:r w:rsidR="00701F71" w:rsidRPr="001575C3">
        <w:rPr>
          <w:sz w:val="22"/>
        </w:rPr>
        <w:t>tvrdých kapsúl v 100 ml fľaši</w:t>
      </w:r>
      <w:r w:rsidRPr="001575C3">
        <w:rPr>
          <w:sz w:val="22"/>
        </w:rPr>
        <w:t xml:space="preserve"> </w:t>
      </w:r>
    </w:p>
    <w:p w14:paraId="6ADD9221" w14:textId="52F56E69" w:rsidR="0095603C" w:rsidRPr="001575C3" w:rsidRDefault="00701F71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>90 tvrdých kapsúl v</w:t>
      </w:r>
      <w:r w:rsidR="0095603C" w:rsidRPr="001575C3">
        <w:rPr>
          <w:sz w:val="22"/>
        </w:rPr>
        <w:t xml:space="preserve"> 250 ml </w:t>
      </w:r>
      <w:r w:rsidRPr="001575C3">
        <w:rPr>
          <w:sz w:val="22"/>
        </w:rPr>
        <w:t>fľaši</w:t>
      </w:r>
    </w:p>
    <w:p w14:paraId="3ACBB4CE" w14:textId="08F0E096" w:rsidR="0095603C" w:rsidRPr="001575C3" w:rsidRDefault="0095603C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>N</w:t>
      </w:r>
      <w:r w:rsidR="00701F71" w:rsidRPr="001575C3">
        <w:rPr>
          <w:sz w:val="22"/>
        </w:rPr>
        <w:t>a trh nemusia byť uvedené všetky veľkosti balenia</w:t>
      </w:r>
      <w:r w:rsidRPr="001575C3">
        <w:rPr>
          <w:sz w:val="22"/>
        </w:rPr>
        <w:t>.</w:t>
      </w:r>
    </w:p>
    <w:p w14:paraId="772735AD" w14:textId="33E41615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364312ED" w14:textId="159DA95C" w:rsidR="00F15395" w:rsidRPr="001575C3" w:rsidRDefault="00701F71" w:rsidP="001575C3">
      <w:pPr>
        <w:pStyle w:val="Nadpis2"/>
        <w:tabs>
          <w:tab w:val="center" w:pos="2991"/>
        </w:tabs>
        <w:spacing w:after="0"/>
        <w:ind w:left="-15" w:firstLine="0"/>
        <w:rPr>
          <w:sz w:val="22"/>
          <w:lang w:val="sk-SK"/>
        </w:rPr>
      </w:pPr>
      <w:r w:rsidRPr="001575C3">
        <w:rPr>
          <w:b/>
          <w:sz w:val="22"/>
          <w:u w:val="none"/>
          <w:lang w:val="sk-SK"/>
        </w:rPr>
        <w:t xml:space="preserve">6.6 </w:t>
      </w:r>
      <w:r w:rsidRPr="001575C3">
        <w:rPr>
          <w:b/>
          <w:sz w:val="22"/>
          <w:u w:val="none"/>
          <w:lang w:val="sk-SK"/>
        </w:rPr>
        <w:tab/>
        <w:t>Špeciálne opatrenia na likvidáciu a iné zaobchádzanie s liekom</w:t>
      </w:r>
      <w:r w:rsidR="00F15395" w:rsidRPr="001575C3">
        <w:rPr>
          <w:sz w:val="22"/>
          <w:u w:val="none"/>
          <w:lang w:val="sk-SK"/>
        </w:rPr>
        <w:t xml:space="preserve"> </w:t>
      </w:r>
    </w:p>
    <w:p w14:paraId="4639E949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2F13727E" w14:textId="77777777" w:rsidR="002A682B" w:rsidRPr="001575C3" w:rsidRDefault="002A682B" w:rsidP="001575C3">
      <w:pPr>
        <w:jc w:val="left"/>
        <w:rPr>
          <w:sz w:val="22"/>
        </w:rPr>
      </w:pPr>
      <w:proofErr w:type="spellStart"/>
      <w:r w:rsidRPr="001575C3">
        <w:rPr>
          <w:sz w:val="22"/>
        </w:rPr>
        <w:t>Dutasterid</w:t>
      </w:r>
      <w:proofErr w:type="spellEnd"/>
      <w:r w:rsidRPr="001575C3">
        <w:rPr>
          <w:sz w:val="22"/>
        </w:rPr>
        <w:t xml:space="preserve"> sa vstrebáva cez kožu, a preto sa musí zabrániť kontaktu s vytekajúcimi kapsulami. Ak došlo ku kontaktu s vytekajúcimi kapsulami, miesto kontaktu sa musí okamžite umyť mydlom a vodou (pozri časť 4.4).</w:t>
      </w:r>
    </w:p>
    <w:p w14:paraId="181C26AA" w14:textId="77777777" w:rsidR="002A682B" w:rsidRPr="001575C3" w:rsidRDefault="002A682B" w:rsidP="001575C3">
      <w:pPr>
        <w:ind w:left="-5" w:right="38"/>
        <w:jc w:val="left"/>
        <w:rPr>
          <w:sz w:val="22"/>
        </w:rPr>
      </w:pPr>
    </w:p>
    <w:p w14:paraId="395CF60A" w14:textId="77777777" w:rsidR="002A682B" w:rsidRPr="001575C3" w:rsidRDefault="002A682B" w:rsidP="001575C3">
      <w:pPr>
        <w:jc w:val="left"/>
        <w:rPr>
          <w:sz w:val="22"/>
        </w:rPr>
      </w:pPr>
      <w:r w:rsidRPr="001575C3">
        <w:rPr>
          <w:sz w:val="22"/>
        </w:rPr>
        <w:t>Všetok nepoužitý liek alebo odpad vzniknutý z lieku sa má zlikvidovať v súlade s národnými požiadavkami.</w:t>
      </w:r>
    </w:p>
    <w:p w14:paraId="2F3B5E47" w14:textId="3E57BC0B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39CA283" w14:textId="6207104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7B133176" w14:textId="57B77EF6" w:rsidR="00F15395" w:rsidRPr="001575C3" w:rsidRDefault="002A682B" w:rsidP="001575C3">
      <w:pPr>
        <w:pStyle w:val="Nadpis1"/>
        <w:tabs>
          <w:tab w:val="center" w:pos="2773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7. </w:t>
      </w:r>
      <w:r w:rsidRPr="001575C3">
        <w:rPr>
          <w:sz w:val="22"/>
          <w:lang w:val="sk-SK"/>
        </w:rPr>
        <w:tab/>
        <w:t>DRŽITEĽ ROZHODNUTIA O REGISTRÁCIU</w:t>
      </w:r>
      <w:r w:rsidR="00F15395" w:rsidRPr="001575C3">
        <w:rPr>
          <w:b w:val="0"/>
          <w:sz w:val="22"/>
          <w:lang w:val="sk-SK"/>
        </w:rPr>
        <w:t xml:space="preserve"> </w:t>
      </w:r>
    </w:p>
    <w:p w14:paraId="2A5D6CB6" w14:textId="29E6D161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16FB4E82" w14:textId="77777777" w:rsidR="00917A98" w:rsidRPr="00A3790D" w:rsidRDefault="00917A98" w:rsidP="00917A98">
      <w:pPr>
        <w:rPr>
          <w:sz w:val="22"/>
          <w:lang w:eastAsia="cs-CZ"/>
        </w:rPr>
      </w:pPr>
      <w:r w:rsidRPr="00A3790D">
        <w:rPr>
          <w:sz w:val="22"/>
          <w:lang w:eastAsia="cs-CZ"/>
        </w:rPr>
        <w:t xml:space="preserve">KRKA, </w:t>
      </w:r>
      <w:proofErr w:type="spellStart"/>
      <w:r w:rsidRPr="00A3790D">
        <w:rPr>
          <w:sz w:val="22"/>
          <w:lang w:eastAsia="cs-CZ"/>
        </w:rPr>
        <w:t>d.d</w:t>
      </w:r>
      <w:proofErr w:type="spellEnd"/>
      <w:r w:rsidRPr="00A3790D">
        <w:rPr>
          <w:sz w:val="22"/>
          <w:lang w:eastAsia="cs-CZ"/>
        </w:rPr>
        <w:t>., Novo mesto</w:t>
      </w:r>
    </w:p>
    <w:p w14:paraId="41FF83A7" w14:textId="77777777" w:rsidR="00917A98" w:rsidRPr="00A3790D" w:rsidRDefault="00917A98" w:rsidP="00917A98">
      <w:pPr>
        <w:rPr>
          <w:sz w:val="22"/>
          <w:lang w:eastAsia="cs-CZ"/>
        </w:rPr>
      </w:pPr>
      <w:proofErr w:type="spellStart"/>
      <w:r w:rsidRPr="00A3790D">
        <w:rPr>
          <w:sz w:val="22"/>
          <w:lang w:eastAsia="cs-CZ"/>
        </w:rPr>
        <w:t>Šmarješka</w:t>
      </w:r>
      <w:proofErr w:type="spellEnd"/>
      <w:r w:rsidRPr="00A3790D">
        <w:rPr>
          <w:sz w:val="22"/>
          <w:lang w:eastAsia="cs-CZ"/>
        </w:rPr>
        <w:t xml:space="preserve"> cesta 6</w:t>
      </w:r>
    </w:p>
    <w:p w14:paraId="026A80E1" w14:textId="77777777" w:rsidR="00917A98" w:rsidRPr="00A3790D" w:rsidRDefault="00917A98" w:rsidP="00917A98">
      <w:pPr>
        <w:rPr>
          <w:sz w:val="22"/>
          <w:lang w:eastAsia="cs-CZ"/>
        </w:rPr>
      </w:pPr>
      <w:r w:rsidRPr="00A3790D">
        <w:rPr>
          <w:sz w:val="22"/>
          <w:lang w:eastAsia="cs-CZ"/>
        </w:rPr>
        <w:t>8501 Novo mesto</w:t>
      </w:r>
    </w:p>
    <w:p w14:paraId="4ADED7BB" w14:textId="77777777" w:rsidR="00917A98" w:rsidRPr="00A3790D" w:rsidRDefault="00917A98" w:rsidP="00917A98">
      <w:pPr>
        <w:rPr>
          <w:sz w:val="22"/>
          <w:lang w:eastAsia="cs-CZ"/>
        </w:rPr>
      </w:pPr>
      <w:r w:rsidRPr="00A3790D">
        <w:rPr>
          <w:sz w:val="22"/>
          <w:lang w:eastAsia="cs-CZ"/>
        </w:rPr>
        <w:t>Slovinsko</w:t>
      </w:r>
    </w:p>
    <w:p w14:paraId="3AE5352A" w14:textId="358E9A94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0635522B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469E0128" w14:textId="223A231A" w:rsidR="00F15395" w:rsidRPr="001575C3" w:rsidRDefault="002A682B" w:rsidP="00917A98">
      <w:pPr>
        <w:pStyle w:val="Nadpis1"/>
        <w:tabs>
          <w:tab w:val="left" w:pos="567"/>
          <w:tab w:val="center" w:pos="2924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8. </w:t>
      </w:r>
      <w:r w:rsidRPr="001575C3">
        <w:rPr>
          <w:sz w:val="22"/>
          <w:lang w:val="sk-SK"/>
        </w:rPr>
        <w:tab/>
        <w:t>REGISTRAČNÉ ČÍSLO</w:t>
      </w:r>
      <w:r w:rsidR="00F15395" w:rsidRPr="001575C3">
        <w:rPr>
          <w:sz w:val="22"/>
          <w:lang w:val="sk-SK"/>
        </w:rPr>
        <w:t xml:space="preserve"> </w:t>
      </w:r>
    </w:p>
    <w:p w14:paraId="369F2496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i/>
          <w:sz w:val="22"/>
        </w:rPr>
        <w:t xml:space="preserve"> </w:t>
      </w:r>
    </w:p>
    <w:p w14:paraId="7280EFF4" w14:textId="62E4F474" w:rsidR="00F15395" w:rsidRDefault="00387CE2" w:rsidP="001575C3">
      <w:pPr>
        <w:spacing w:after="0" w:line="259" w:lineRule="auto"/>
        <w:ind w:left="0" w:firstLine="0"/>
        <w:jc w:val="left"/>
        <w:rPr>
          <w:sz w:val="22"/>
        </w:rPr>
      </w:pPr>
      <w:r w:rsidRPr="00387CE2">
        <w:rPr>
          <w:sz w:val="22"/>
        </w:rPr>
        <w:t>77/0329/19-S</w:t>
      </w:r>
    </w:p>
    <w:p w14:paraId="0482F6E9" w14:textId="77777777" w:rsidR="00387CE2" w:rsidRPr="001575C3" w:rsidRDefault="00387CE2" w:rsidP="001575C3">
      <w:pPr>
        <w:spacing w:after="0" w:line="259" w:lineRule="auto"/>
        <w:ind w:left="0" w:firstLine="0"/>
        <w:jc w:val="left"/>
        <w:rPr>
          <w:sz w:val="22"/>
        </w:rPr>
      </w:pPr>
    </w:p>
    <w:p w14:paraId="57825109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3D6BA79A" w14:textId="37D863B6" w:rsidR="00F15395" w:rsidRPr="001575C3" w:rsidRDefault="00F15395" w:rsidP="00917A98">
      <w:pPr>
        <w:pStyle w:val="Nadpis1"/>
        <w:tabs>
          <w:tab w:val="left" w:pos="567"/>
          <w:tab w:val="center" w:pos="4424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9. </w:t>
      </w:r>
      <w:r w:rsidRPr="001575C3">
        <w:rPr>
          <w:sz w:val="22"/>
          <w:lang w:val="sk-SK"/>
        </w:rPr>
        <w:tab/>
        <w:t>D</w:t>
      </w:r>
      <w:r w:rsidR="002A682B" w:rsidRPr="001575C3">
        <w:rPr>
          <w:sz w:val="22"/>
          <w:lang w:val="sk-SK"/>
        </w:rPr>
        <w:t>ÁTUM PRVEJ REGISTRÁCIE/PREDĹŽENIA REGISTRÁCIE</w:t>
      </w:r>
    </w:p>
    <w:p w14:paraId="660996E9" w14:textId="54FF65CA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i/>
          <w:sz w:val="22"/>
        </w:rPr>
        <w:t xml:space="preserve"> </w:t>
      </w:r>
    </w:p>
    <w:p w14:paraId="7A8DE191" w14:textId="038077FC" w:rsidR="00F15395" w:rsidRPr="001575C3" w:rsidRDefault="00F15395" w:rsidP="001575C3">
      <w:pPr>
        <w:ind w:left="-5" w:right="38"/>
        <w:jc w:val="left"/>
        <w:rPr>
          <w:sz w:val="22"/>
        </w:rPr>
      </w:pPr>
      <w:r w:rsidRPr="001575C3">
        <w:rPr>
          <w:sz w:val="22"/>
        </w:rPr>
        <w:t>D</w:t>
      </w:r>
      <w:r w:rsidR="002A682B" w:rsidRPr="001575C3">
        <w:rPr>
          <w:sz w:val="22"/>
        </w:rPr>
        <w:t>átum prvej registrácie:</w:t>
      </w:r>
    </w:p>
    <w:p w14:paraId="30137A6D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764C8016" w14:textId="77777777" w:rsidR="00F15395" w:rsidRPr="001575C3" w:rsidRDefault="00F15395" w:rsidP="001575C3">
      <w:pPr>
        <w:spacing w:after="0" w:line="259" w:lineRule="auto"/>
        <w:ind w:left="0" w:firstLine="0"/>
        <w:jc w:val="left"/>
        <w:rPr>
          <w:sz w:val="22"/>
        </w:rPr>
      </w:pPr>
      <w:r w:rsidRPr="001575C3">
        <w:rPr>
          <w:sz w:val="22"/>
        </w:rPr>
        <w:t xml:space="preserve"> </w:t>
      </w:r>
    </w:p>
    <w:p w14:paraId="6FDAB9AF" w14:textId="7EDDCED7" w:rsidR="00F15395" w:rsidRPr="001575C3" w:rsidRDefault="002A682B" w:rsidP="00917A98">
      <w:pPr>
        <w:pStyle w:val="Nadpis1"/>
        <w:tabs>
          <w:tab w:val="left" w:pos="567"/>
          <w:tab w:val="center" w:pos="2407"/>
        </w:tabs>
        <w:ind w:left="-15" w:firstLine="0"/>
        <w:rPr>
          <w:sz w:val="22"/>
          <w:lang w:val="sk-SK"/>
        </w:rPr>
      </w:pPr>
      <w:r w:rsidRPr="001575C3">
        <w:rPr>
          <w:sz w:val="22"/>
          <w:lang w:val="sk-SK"/>
        </w:rPr>
        <w:t xml:space="preserve">10. </w:t>
      </w:r>
      <w:r w:rsidRPr="001575C3">
        <w:rPr>
          <w:sz w:val="22"/>
          <w:lang w:val="sk-SK"/>
        </w:rPr>
        <w:tab/>
        <w:t>DÁTUM REVÍZIE TEXTU</w:t>
      </w:r>
      <w:r w:rsidR="00F15395" w:rsidRPr="001575C3">
        <w:rPr>
          <w:sz w:val="22"/>
          <w:lang w:val="sk-SK"/>
        </w:rPr>
        <w:t xml:space="preserve"> </w:t>
      </w:r>
    </w:p>
    <w:p w14:paraId="46896484" w14:textId="40ECE41B" w:rsidR="004979B8" w:rsidRDefault="00F15395" w:rsidP="001575C3">
      <w:pPr>
        <w:spacing w:after="0" w:line="259" w:lineRule="auto"/>
        <w:ind w:left="0" w:firstLine="0"/>
        <w:jc w:val="left"/>
        <w:rPr>
          <w:b/>
          <w:sz w:val="22"/>
        </w:rPr>
      </w:pPr>
      <w:r w:rsidRPr="001575C3">
        <w:rPr>
          <w:b/>
          <w:sz w:val="22"/>
        </w:rPr>
        <w:t xml:space="preserve"> </w:t>
      </w:r>
    </w:p>
    <w:p w14:paraId="38E81DEE" w14:textId="3BD1000A" w:rsidR="00780CEF" w:rsidRPr="00780CEF" w:rsidRDefault="00780CEF" w:rsidP="001575C3">
      <w:pPr>
        <w:spacing w:after="0" w:line="259" w:lineRule="auto"/>
        <w:ind w:left="0" w:firstLine="0"/>
        <w:jc w:val="left"/>
        <w:rPr>
          <w:sz w:val="22"/>
        </w:rPr>
      </w:pPr>
      <w:r w:rsidRPr="002849AA">
        <w:rPr>
          <w:sz w:val="22"/>
        </w:rPr>
        <w:t>10/2019</w:t>
      </w:r>
    </w:p>
    <w:sectPr w:rsidR="00780CEF" w:rsidRPr="00780C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D661C" w14:textId="77777777" w:rsidR="00B44361" w:rsidRDefault="00B44361" w:rsidP="00F15395">
      <w:pPr>
        <w:spacing w:after="0" w:line="240" w:lineRule="auto"/>
      </w:pPr>
      <w:r>
        <w:separator/>
      </w:r>
    </w:p>
  </w:endnote>
  <w:endnote w:type="continuationSeparator" w:id="0">
    <w:p w14:paraId="2C013335" w14:textId="77777777" w:rsidR="00B44361" w:rsidRDefault="00B44361" w:rsidP="00F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02863"/>
      <w:docPartObj>
        <w:docPartGallery w:val="Page Numbers (Bottom of Page)"/>
        <w:docPartUnique/>
      </w:docPartObj>
    </w:sdtPr>
    <w:sdtEndPr/>
    <w:sdtContent>
      <w:p w14:paraId="1A0E7B80" w14:textId="1EA21E3E" w:rsidR="002849AA" w:rsidRDefault="002849AA" w:rsidP="006A08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CE2" w:rsidRPr="00387CE2">
          <w:rPr>
            <w:noProof/>
            <w:lang w:val="sl-SI"/>
          </w:rPr>
          <w:t>1</w:t>
        </w:r>
        <w:r>
          <w:fldChar w:fldCharType="end"/>
        </w:r>
      </w:p>
    </w:sdtContent>
  </w:sdt>
  <w:p w14:paraId="3E5C6767" w14:textId="77777777" w:rsidR="002849AA" w:rsidRDefault="002849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C0DAA" w14:textId="77777777" w:rsidR="00B44361" w:rsidRDefault="00B44361" w:rsidP="00F15395">
      <w:pPr>
        <w:spacing w:after="0" w:line="240" w:lineRule="auto"/>
      </w:pPr>
      <w:r>
        <w:separator/>
      </w:r>
    </w:p>
  </w:footnote>
  <w:footnote w:type="continuationSeparator" w:id="0">
    <w:p w14:paraId="052F4072" w14:textId="77777777" w:rsidR="00B44361" w:rsidRDefault="00B44361" w:rsidP="00F1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11F7A" w14:textId="58B41C28" w:rsidR="002849AA" w:rsidRPr="006A0843" w:rsidRDefault="002849AA">
    <w:pPr>
      <w:pStyle w:val="Hlavika"/>
      <w:rPr>
        <w:sz w:val="18"/>
        <w:szCs w:val="18"/>
      </w:rPr>
    </w:pPr>
    <w:r w:rsidRPr="006A0843">
      <w:rPr>
        <w:sz w:val="18"/>
        <w:szCs w:val="18"/>
      </w:rPr>
      <w:t xml:space="preserve">Schválený text k rozhodnutiu o registrácii, </w:t>
    </w:r>
    <w:proofErr w:type="spellStart"/>
    <w:r w:rsidRPr="006A0843">
      <w:rPr>
        <w:sz w:val="18"/>
        <w:szCs w:val="18"/>
      </w:rPr>
      <w:t>ev.č</w:t>
    </w:r>
    <w:proofErr w:type="spellEnd"/>
    <w:r w:rsidRPr="006A0843">
      <w:rPr>
        <w:sz w:val="18"/>
        <w:szCs w:val="18"/>
      </w:rPr>
      <w:t>.: 2018/07574-REG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B7C"/>
    <w:multiLevelType w:val="hybridMultilevel"/>
    <w:tmpl w:val="F09AD822"/>
    <w:lvl w:ilvl="0" w:tplc="4B9C158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DCF3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704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6462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9032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AC4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CF21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688A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2A4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770BF"/>
    <w:multiLevelType w:val="hybridMultilevel"/>
    <w:tmpl w:val="322C2F9A"/>
    <w:lvl w:ilvl="0" w:tplc="8F2E38F4">
      <w:start w:val="1"/>
      <w:numFmt w:val="lowerLetter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495A5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5B7AC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5F14E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23CAD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9A040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9A74C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24846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66AEA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06D432BC"/>
    <w:multiLevelType w:val="hybridMultilevel"/>
    <w:tmpl w:val="4246CDBA"/>
    <w:lvl w:ilvl="0" w:tplc="E020DAD6">
      <w:start w:val="1"/>
      <w:numFmt w:val="bullet"/>
      <w:lvlText w:val="-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1A038A">
      <w:start w:val="1"/>
      <w:numFmt w:val="bullet"/>
      <w:lvlText w:val="o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C40218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DC581C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27868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221DD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866074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F40B02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5AC9EA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5162C"/>
    <w:multiLevelType w:val="hybridMultilevel"/>
    <w:tmpl w:val="8AA09484"/>
    <w:lvl w:ilvl="0" w:tplc="2068A8E0">
      <w:start w:val="1"/>
      <w:numFmt w:val="lowerLetter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2ADF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161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9E8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088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E89D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582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CC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0AB6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92653"/>
    <w:multiLevelType w:val="hybridMultilevel"/>
    <w:tmpl w:val="F2DA2B42"/>
    <w:lvl w:ilvl="0" w:tplc="F9CED7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840B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144D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8AD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1EF6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744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DE8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B259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DC1C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8C04CC"/>
    <w:multiLevelType w:val="hybridMultilevel"/>
    <w:tmpl w:val="6A28D69C"/>
    <w:lvl w:ilvl="0" w:tplc="D4C2982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B055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CADE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8EE6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8C94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C83C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A610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C04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3EC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996FD0"/>
    <w:multiLevelType w:val="hybridMultilevel"/>
    <w:tmpl w:val="A71419CA"/>
    <w:lvl w:ilvl="0" w:tplc="B00E7F6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6A7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3C2D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125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5EF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94C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187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EE4C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2462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153D90"/>
    <w:multiLevelType w:val="hybridMultilevel"/>
    <w:tmpl w:val="002E588C"/>
    <w:lvl w:ilvl="0" w:tplc="43F2E93C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B60B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E482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C44A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F65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26C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0059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38B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62F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313D21"/>
    <w:multiLevelType w:val="hybridMultilevel"/>
    <w:tmpl w:val="A5CC2438"/>
    <w:lvl w:ilvl="0" w:tplc="EBFCB08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FAD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9644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0099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4008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245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A29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644F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8A5F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644734"/>
    <w:multiLevelType w:val="hybridMultilevel"/>
    <w:tmpl w:val="A5D091F4"/>
    <w:lvl w:ilvl="0" w:tplc="CCB60754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8447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7F08A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E428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A68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809B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66E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5601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5AFE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267926"/>
    <w:multiLevelType w:val="hybridMultilevel"/>
    <w:tmpl w:val="D1CC40C8"/>
    <w:lvl w:ilvl="0" w:tplc="97065B1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1A29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0AD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0CA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E54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74E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3E99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A8BD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BAA9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6B4E08"/>
    <w:multiLevelType w:val="hybridMultilevel"/>
    <w:tmpl w:val="8040B766"/>
    <w:lvl w:ilvl="0" w:tplc="430A24BC">
      <w:start w:val="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7CD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DA1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803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AC8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5C4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6D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8CA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9E2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81006B"/>
    <w:multiLevelType w:val="hybridMultilevel"/>
    <w:tmpl w:val="92BCDEA4"/>
    <w:lvl w:ilvl="0" w:tplc="EE640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8C8A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0A8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B4D9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2C8D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589F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9C1C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C01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EE0F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81109"/>
    <w:multiLevelType w:val="hybridMultilevel"/>
    <w:tmpl w:val="70805110"/>
    <w:lvl w:ilvl="0" w:tplc="4EBE26D2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18B8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22E4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AE37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682F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4A15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0E8F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DC52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5F7F53"/>
    <w:multiLevelType w:val="hybridMultilevel"/>
    <w:tmpl w:val="EDEE58AA"/>
    <w:lvl w:ilvl="0" w:tplc="CD025AA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2801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3A1B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B8BA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04FA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F287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AE4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EAA7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10CA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_Antonio Mena">
    <w15:presenceInfo w15:providerId="AD" w15:userId="S-1-5-21-3588293728-1801845894-3338176837-22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95"/>
    <w:rsid w:val="00004A63"/>
    <w:rsid w:val="00041477"/>
    <w:rsid w:val="000945E5"/>
    <w:rsid w:val="000974CA"/>
    <w:rsid w:val="000B6C2B"/>
    <w:rsid w:val="001318B1"/>
    <w:rsid w:val="00150BBA"/>
    <w:rsid w:val="001575C3"/>
    <w:rsid w:val="0016312E"/>
    <w:rsid w:val="00173E94"/>
    <w:rsid w:val="001A56AD"/>
    <w:rsid w:val="001A69A2"/>
    <w:rsid w:val="001D4A64"/>
    <w:rsid w:val="001F3B46"/>
    <w:rsid w:val="0020200E"/>
    <w:rsid w:val="00230B26"/>
    <w:rsid w:val="002849AA"/>
    <w:rsid w:val="00297B0B"/>
    <w:rsid w:val="002A682B"/>
    <w:rsid w:val="002E0DF6"/>
    <w:rsid w:val="002E1741"/>
    <w:rsid w:val="002F16D4"/>
    <w:rsid w:val="003010F6"/>
    <w:rsid w:val="00311C2E"/>
    <w:rsid w:val="00317FC4"/>
    <w:rsid w:val="00333F2B"/>
    <w:rsid w:val="00386428"/>
    <w:rsid w:val="00387CE2"/>
    <w:rsid w:val="00393804"/>
    <w:rsid w:val="003E5D34"/>
    <w:rsid w:val="00407E1B"/>
    <w:rsid w:val="00430DA6"/>
    <w:rsid w:val="00460D63"/>
    <w:rsid w:val="00472007"/>
    <w:rsid w:val="004757AE"/>
    <w:rsid w:val="00476921"/>
    <w:rsid w:val="004979B8"/>
    <w:rsid w:val="004B264A"/>
    <w:rsid w:val="004D2D9C"/>
    <w:rsid w:val="005370C6"/>
    <w:rsid w:val="00540FA2"/>
    <w:rsid w:val="005769D4"/>
    <w:rsid w:val="005A541E"/>
    <w:rsid w:val="005D1E7C"/>
    <w:rsid w:val="005F0C72"/>
    <w:rsid w:val="006025B1"/>
    <w:rsid w:val="00626871"/>
    <w:rsid w:val="00653920"/>
    <w:rsid w:val="00672714"/>
    <w:rsid w:val="00684590"/>
    <w:rsid w:val="006A0843"/>
    <w:rsid w:val="006B58F5"/>
    <w:rsid w:val="006D590B"/>
    <w:rsid w:val="006E1B13"/>
    <w:rsid w:val="00701F71"/>
    <w:rsid w:val="00736E1A"/>
    <w:rsid w:val="00780CEF"/>
    <w:rsid w:val="007875E5"/>
    <w:rsid w:val="007B4831"/>
    <w:rsid w:val="007C721C"/>
    <w:rsid w:val="007D3CCC"/>
    <w:rsid w:val="00817DD6"/>
    <w:rsid w:val="00830A6F"/>
    <w:rsid w:val="00867BA3"/>
    <w:rsid w:val="008E1C30"/>
    <w:rsid w:val="00906191"/>
    <w:rsid w:val="00917A98"/>
    <w:rsid w:val="0094588D"/>
    <w:rsid w:val="0095603C"/>
    <w:rsid w:val="00991911"/>
    <w:rsid w:val="009A01FF"/>
    <w:rsid w:val="009D731B"/>
    <w:rsid w:val="009F32A6"/>
    <w:rsid w:val="00A401FF"/>
    <w:rsid w:val="00A64115"/>
    <w:rsid w:val="00A82032"/>
    <w:rsid w:val="00A951A5"/>
    <w:rsid w:val="00AB3CC7"/>
    <w:rsid w:val="00AC648D"/>
    <w:rsid w:val="00AE50B0"/>
    <w:rsid w:val="00B016AA"/>
    <w:rsid w:val="00B04D67"/>
    <w:rsid w:val="00B44361"/>
    <w:rsid w:val="00B56FA9"/>
    <w:rsid w:val="00B77591"/>
    <w:rsid w:val="00B82C94"/>
    <w:rsid w:val="00BB6293"/>
    <w:rsid w:val="00BE6FD0"/>
    <w:rsid w:val="00C260AB"/>
    <w:rsid w:val="00CA476F"/>
    <w:rsid w:val="00CC24C7"/>
    <w:rsid w:val="00CC37EB"/>
    <w:rsid w:val="00CC5A27"/>
    <w:rsid w:val="00CD4104"/>
    <w:rsid w:val="00CF3BAB"/>
    <w:rsid w:val="00D16252"/>
    <w:rsid w:val="00D32277"/>
    <w:rsid w:val="00D455CE"/>
    <w:rsid w:val="00D63EDF"/>
    <w:rsid w:val="00D74C49"/>
    <w:rsid w:val="00D849D8"/>
    <w:rsid w:val="00DA4D38"/>
    <w:rsid w:val="00DB6332"/>
    <w:rsid w:val="00DC6CDB"/>
    <w:rsid w:val="00DD584D"/>
    <w:rsid w:val="00DE56A3"/>
    <w:rsid w:val="00E1293F"/>
    <w:rsid w:val="00E33B8A"/>
    <w:rsid w:val="00E94C01"/>
    <w:rsid w:val="00ED1ECE"/>
    <w:rsid w:val="00EE77AC"/>
    <w:rsid w:val="00F15395"/>
    <w:rsid w:val="00F20F31"/>
    <w:rsid w:val="00F50DD6"/>
    <w:rsid w:val="00FA2F1B"/>
    <w:rsid w:val="00FB50BA"/>
    <w:rsid w:val="00FC6865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8F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395"/>
    <w:pPr>
      <w:spacing w:after="6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sk-SK" w:eastAsia="es-ES"/>
    </w:rPr>
  </w:style>
  <w:style w:type="paragraph" w:styleId="Nadpis1">
    <w:name w:val="heading 1"/>
    <w:next w:val="Normlny"/>
    <w:link w:val="Nadpis1Char"/>
    <w:uiPriority w:val="9"/>
    <w:unhideWhenUsed/>
    <w:qFormat/>
    <w:rsid w:val="00F15395"/>
    <w:pPr>
      <w:keepNext/>
      <w:keepLines/>
      <w:spacing w:after="0"/>
      <w:ind w:left="2278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2">
    <w:name w:val="heading 2"/>
    <w:next w:val="Normlny"/>
    <w:link w:val="Nadpis2Char"/>
    <w:uiPriority w:val="9"/>
    <w:unhideWhenUsed/>
    <w:qFormat/>
    <w:rsid w:val="00F15395"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paragraph" w:styleId="Nadpis3">
    <w:name w:val="heading 3"/>
    <w:next w:val="Normlny"/>
    <w:link w:val="Nadpis3Char"/>
    <w:uiPriority w:val="9"/>
    <w:unhideWhenUsed/>
    <w:qFormat/>
    <w:rsid w:val="00F15395"/>
    <w:pPr>
      <w:keepNext/>
      <w:keepLines/>
      <w:spacing w:after="8" w:line="251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paragraph" w:styleId="Nadpis4">
    <w:name w:val="heading 4"/>
    <w:next w:val="Normlny"/>
    <w:link w:val="Nadpis4Char"/>
    <w:uiPriority w:val="9"/>
    <w:unhideWhenUsed/>
    <w:qFormat/>
    <w:rsid w:val="00F15395"/>
    <w:pPr>
      <w:keepNext/>
      <w:keepLines/>
      <w:spacing w:after="0"/>
      <w:ind w:left="2278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D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character" w:customStyle="1" w:styleId="Nadpis2Char">
    <w:name w:val="Nadpis 2 Char"/>
    <w:basedOn w:val="Predvolenpsmoodseku"/>
    <w:link w:val="Nadpis2"/>
    <w:uiPriority w:val="9"/>
    <w:rsid w:val="00F15395"/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character" w:customStyle="1" w:styleId="Nadpis3Char">
    <w:name w:val="Nadpis 3 Char"/>
    <w:basedOn w:val="Predvolenpsmoodseku"/>
    <w:link w:val="Nadpis3"/>
    <w:uiPriority w:val="9"/>
    <w:rsid w:val="00F15395"/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customStyle="1" w:styleId="footnotedescription">
    <w:name w:val="footnote description"/>
    <w:next w:val="Normlny"/>
    <w:link w:val="footnotedescriptionChar"/>
    <w:hidden/>
    <w:rsid w:val="00F15395"/>
    <w:pPr>
      <w:spacing w:after="8"/>
      <w:ind w:right="271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descriptionChar">
    <w:name w:val="footnote description Char"/>
    <w:link w:val="footnotedescription"/>
    <w:rsid w:val="00F15395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mark">
    <w:name w:val="footnote mark"/>
    <w:hidden/>
    <w:rsid w:val="00F15395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table" w:customStyle="1" w:styleId="TableGrid">
    <w:name w:val="TableGrid"/>
    <w:rsid w:val="00F1539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395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F1539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Pta">
    <w:name w:val="footer"/>
    <w:basedOn w:val="Normlny"/>
    <w:link w:val="PtaChar"/>
    <w:uiPriority w:val="99"/>
    <w:rsid w:val="00F15395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2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15395"/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CC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16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6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6D4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16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16D4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D6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3EDF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Zkladntext3">
    <w:name w:val="Body Text 3"/>
    <w:basedOn w:val="Normlny"/>
    <w:link w:val="Zkladntext3Char"/>
    <w:rsid w:val="004B264A"/>
    <w:pPr>
      <w:spacing w:after="0" w:line="240" w:lineRule="auto"/>
      <w:ind w:left="0" w:firstLine="0"/>
      <w:jc w:val="left"/>
    </w:pPr>
    <w:rPr>
      <w:rFonts w:ascii="Arial" w:hAnsi="Arial"/>
      <w:color w:val="00FF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B264A"/>
    <w:rPr>
      <w:rFonts w:ascii="Arial" w:eastAsia="Times New Roman" w:hAnsi="Arial" w:cs="Times New Roman"/>
      <w:color w:val="00FF00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38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3804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Bezriadkovania">
    <w:name w:val="No Spacing"/>
    <w:uiPriority w:val="1"/>
    <w:qFormat/>
    <w:rsid w:val="007C721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D67"/>
    <w:rPr>
      <w:rFonts w:asciiTheme="majorHAnsi" w:eastAsiaTheme="majorEastAsia" w:hAnsiTheme="majorHAnsi" w:cstheme="majorBidi"/>
      <w:color w:val="1F4D78" w:themeColor="accent1" w:themeShade="7F"/>
      <w:sz w:val="23"/>
      <w:lang w:eastAsia="es-ES"/>
    </w:rPr>
  </w:style>
  <w:style w:type="character" w:styleId="Hypertextovprepojenie">
    <w:name w:val="Hyperlink"/>
    <w:rsid w:val="00C260A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19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1911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styleId="Zvraznenie">
    <w:name w:val="Emphasis"/>
    <w:uiPriority w:val="20"/>
    <w:qFormat/>
    <w:rsid w:val="00991911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72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721C"/>
    <w:rPr>
      <w:rFonts w:ascii="Times New Roman" w:eastAsia="Times New Roman" w:hAnsi="Times New Roman" w:cs="Times New Roman"/>
      <w:color w:val="000000"/>
      <w:sz w:val="23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395"/>
    <w:pPr>
      <w:spacing w:after="6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sk-SK" w:eastAsia="es-ES"/>
    </w:rPr>
  </w:style>
  <w:style w:type="paragraph" w:styleId="Nadpis1">
    <w:name w:val="heading 1"/>
    <w:next w:val="Normlny"/>
    <w:link w:val="Nadpis1Char"/>
    <w:uiPriority w:val="9"/>
    <w:unhideWhenUsed/>
    <w:qFormat/>
    <w:rsid w:val="00F15395"/>
    <w:pPr>
      <w:keepNext/>
      <w:keepLines/>
      <w:spacing w:after="0"/>
      <w:ind w:left="2278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2">
    <w:name w:val="heading 2"/>
    <w:next w:val="Normlny"/>
    <w:link w:val="Nadpis2Char"/>
    <w:uiPriority w:val="9"/>
    <w:unhideWhenUsed/>
    <w:qFormat/>
    <w:rsid w:val="00F15395"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paragraph" w:styleId="Nadpis3">
    <w:name w:val="heading 3"/>
    <w:next w:val="Normlny"/>
    <w:link w:val="Nadpis3Char"/>
    <w:uiPriority w:val="9"/>
    <w:unhideWhenUsed/>
    <w:qFormat/>
    <w:rsid w:val="00F15395"/>
    <w:pPr>
      <w:keepNext/>
      <w:keepLines/>
      <w:spacing w:after="8" w:line="251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paragraph" w:styleId="Nadpis4">
    <w:name w:val="heading 4"/>
    <w:next w:val="Normlny"/>
    <w:link w:val="Nadpis4Char"/>
    <w:uiPriority w:val="9"/>
    <w:unhideWhenUsed/>
    <w:qFormat/>
    <w:rsid w:val="00F15395"/>
    <w:pPr>
      <w:keepNext/>
      <w:keepLines/>
      <w:spacing w:after="0"/>
      <w:ind w:left="2278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D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character" w:customStyle="1" w:styleId="Nadpis2Char">
    <w:name w:val="Nadpis 2 Char"/>
    <w:basedOn w:val="Predvolenpsmoodseku"/>
    <w:link w:val="Nadpis2"/>
    <w:uiPriority w:val="9"/>
    <w:rsid w:val="00F15395"/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character" w:customStyle="1" w:styleId="Nadpis3Char">
    <w:name w:val="Nadpis 3 Char"/>
    <w:basedOn w:val="Predvolenpsmoodseku"/>
    <w:link w:val="Nadpis3"/>
    <w:uiPriority w:val="9"/>
    <w:rsid w:val="00F15395"/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customStyle="1" w:styleId="footnotedescription">
    <w:name w:val="footnote description"/>
    <w:next w:val="Normlny"/>
    <w:link w:val="footnotedescriptionChar"/>
    <w:hidden/>
    <w:rsid w:val="00F15395"/>
    <w:pPr>
      <w:spacing w:after="8"/>
      <w:ind w:right="271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descriptionChar">
    <w:name w:val="footnote description Char"/>
    <w:link w:val="footnotedescription"/>
    <w:rsid w:val="00F15395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mark">
    <w:name w:val="footnote mark"/>
    <w:hidden/>
    <w:rsid w:val="00F15395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table" w:customStyle="1" w:styleId="TableGrid">
    <w:name w:val="TableGrid"/>
    <w:rsid w:val="00F1539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395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F1539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Pta">
    <w:name w:val="footer"/>
    <w:basedOn w:val="Normlny"/>
    <w:link w:val="PtaChar"/>
    <w:uiPriority w:val="99"/>
    <w:rsid w:val="00F15395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2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15395"/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CC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16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6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6D4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16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16D4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D6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3EDF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Zkladntext3">
    <w:name w:val="Body Text 3"/>
    <w:basedOn w:val="Normlny"/>
    <w:link w:val="Zkladntext3Char"/>
    <w:rsid w:val="004B264A"/>
    <w:pPr>
      <w:spacing w:after="0" w:line="240" w:lineRule="auto"/>
      <w:ind w:left="0" w:firstLine="0"/>
      <w:jc w:val="left"/>
    </w:pPr>
    <w:rPr>
      <w:rFonts w:ascii="Arial" w:hAnsi="Arial"/>
      <w:color w:val="00FF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B264A"/>
    <w:rPr>
      <w:rFonts w:ascii="Arial" w:eastAsia="Times New Roman" w:hAnsi="Arial" w:cs="Times New Roman"/>
      <w:color w:val="00FF00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38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3804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Bezriadkovania">
    <w:name w:val="No Spacing"/>
    <w:uiPriority w:val="1"/>
    <w:qFormat/>
    <w:rsid w:val="007C721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D67"/>
    <w:rPr>
      <w:rFonts w:asciiTheme="majorHAnsi" w:eastAsiaTheme="majorEastAsia" w:hAnsiTheme="majorHAnsi" w:cstheme="majorBidi"/>
      <w:color w:val="1F4D78" w:themeColor="accent1" w:themeShade="7F"/>
      <w:sz w:val="23"/>
      <w:lang w:eastAsia="es-ES"/>
    </w:rPr>
  </w:style>
  <w:style w:type="character" w:styleId="Hypertextovprepojenie">
    <w:name w:val="Hyperlink"/>
    <w:rsid w:val="00C260A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19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1911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styleId="Zvraznenie">
    <w:name w:val="Emphasis"/>
    <w:uiPriority w:val="20"/>
    <w:qFormat/>
    <w:rsid w:val="00991911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72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721C"/>
    <w:rPr>
      <w:rFonts w:ascii="Times New Roman" w:eastAsia="Times New Roman" w:hAnsi="Times New Roman" w:cs="Times New Roman"/>
      <w:color w:val="000000"/>
      <w:sz w:val="2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8312</Words>
  <Characters>47380</Characters>
  <Application>Microsoft Office Word</Application>
  <DocSecurity>0</DocSecurity>
  <Lines>394</Lines>
  <Paragraphs>111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Krka, d.d.</Company>
  <LinksUpToDate>false</LinksUpToDate>
  <CharactersWithSpaces>55581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Jose_Antonio Mena</dc:creator>
  <cp:lastModifiedBy>Hudecová, Martina</cp:lastModifiedBy>
  <cp:revision>2</cp:revision>
  <cp:lastPrinted>2019-09-04T10:59:00Z</cp:lastPrinted>
  <dcterms:created xsi:type="dcterms:W3CDTF">2019-10-15T10:44:00Z</dcterms:created>
  <dcterms:modified xsi:type="dcterms:W3CDTF">2019-10-15T10:44:00Z</dcterms:modified>
</cp:coreProperties>
</file>