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90" w:rsidRDefault="00D25690" w:rsidP="00526FFA">
      <w:pPr>
        <w:pStyle w:val="SPCaPILhlavika"/>
        <w:spacing w:line="240" w:lineRule="auto"/>
      </w:pPr>
      <w:bookmarkStart w:id="0" w:name="_GoBack"/>
      <w:bookmarkEnd w:id="0"/>
    </w:p>
    <w:p w:rsidR="00E0791E" w:rsidRPr="00526FFA" w:rsidRDefault="00E0791E" w:rsidP="00526FFA">
      <w:pPr>
        <w:pStyle w:val="SPCaPILhlavika"/>
        <w:spacing w:line="240" w:lineRule="auto"/>
      </w:pPr>
      <w:r w:rsidRPr="00526FFA">
        <w:t>SÚHRN CHARAKTERISTICKÝCH VLASTNOSTÍ LIEKU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526FFA" w:rsidRPr="00C34FB4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442FE7" w:rsidRDefault="00442FE7">
      <w:pPr>
        <w:pStyle w:val="Styl1"/>
        <w:rPr>
          <w:lang w:val="cs-CZ"/>
        </w:rPr>
      </w:pPr>
      <w:r w:rsidRPr="00442FE7">
        <w:rPr>
          <w:lang w:val="cs-CZ"/>
        </w:rPr>
        <w:t>1.</w:t>
      </w:r>
      <w:r w:rsidRPr="00E4123F">
        <w:rPr>
          <w:b w:val="0"/>
          <w:szCs w:val="22"/>
          <w:lang w:val="cs-CZ"/>
        </w:rPr>
        <w:tab/>
      </w:r>
      <w:r w:rsidR="00E0791E" w:rsidRPr="00442FE7">
        <w:rPr>
          <w:lang w:val="cs-CZ"/>
        </w:rPr>
        <w:t>NÁZOV LIEKU</w:t>
      </w:r>
    </w:p>
    <w:p w:rsidR="00526FFA" w:rsidRPr="00442FE7" w:rsidRDefault="00526FFA">
      <w:pPr>
        <w:pStyle w:val="Styl1"/>
        <w:rPr>
          <w:lang w:val="cs-CZ"/>
        </w:rPr>
      </w:pP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>BROMAZEPAM MEDOCHEMIE 3 mg</w:t>
      </w:r>
    </w:p>
    <w:p w:rsidR="00E0791E" w:rsidRPr="00C34FB4" w:rsidRDefault="00526FFA" w:rsidP="00D248ED">
      <w:pPr>
        <w:pStyle w:val="Normlndobloku"/>
        <w:spacing w:after="0"/>
        <w:jc w:val="left"/>
        <w:rPr>
          <w:szCs w:val="22"/>
        </w:rPr>
      </w:pPr>
      <w:r>
        <w:rPr>
          <w:szCs w:val="22"/>
        </w:rPr>
        <w:t>t</w:t>
      </w:r>
      <w:r w:rsidR="00E0791E" w:rsidRPr="00C34FB4">
        <w:rPr>
          <w:szCs w:val="22"/>
        </w:rPr>
        <w:t>ablety</w:t>
      </w:r>
    </w:p>
    <w:p w:rsidR="00526FFA" w:rsidRPr="00C34FB4" w:rsidRDefault="00526FFA" w:rsidP="00D248ED">
      <w:pPr>
        <w:pStyle w:val="Normlndobloku"/>
        <w:spacing w:after="0"/>
        <w:jc w:val="left"/>
        <w:rPr>
          <w:szCs w:val="22"/>
        </w:rPr>
      </w:pPr>
    </w:p>
    <w:p w:rsidR="00526FFA" w:rsidRPr="00A964E5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442FE7" w:rsidRDefault="00442FE7">
      <w:pPr>
        <w:pStyle w:val="Styl1"/>
        <w:rPr>
          <w:lang w:val="cs-CZ"/>
        </w:rPr>
      </w:pPr>
      <w:r>
        <w:rPr>
          <w:lang w:val="cs-CZ"/>
        </w:rPr>
        <w:t>2.</w:t>
      </w:r>
      <w:r w:rsidRPr="00E4123F">
        <w:rPr>
          <w:b w:val="0"/>
          <w:szCs w:val="22"/>
          <w:lang w:val="cs-CZ"/>
        </w:rPr>
        <w:tab/>
      </w:r>
      <w:r w:rsidR="00E0791E" w:rsidRPr="00442FE7">
        <w:rPr>
          <w:lang w:val="cs-CZ"/>
        </w:rPr>
        <w:t>KVALITATÍVNE</w:t>
      </w:r>
      <w:r w:rsidR="00A96109" w:rsidRPr="00442FE7">
        <w:rPr>
          <w:lang w:val="cs-CZ"/>
        </w:rPr>
        <w:t xml:space="preserve"> a </w:t>
      </w:r>
      <w:r w:rsidR="00E0791E" w:rsidRPr="00442FE7">
        <w:rPr>
          <w:lang w:val="cs-CZ"/>
        </w:rPr>
        <w:t>KVANTITATÍVNE ZLOŽENIE</w:t>
      </w:r>
    </w:p>
    <w:p w:rsidR="00526FFA" w:rsidRPr="00442FE7" w:rsidRDefault="00526FFA">
      <w:pPr>
        <w:pStyle w:val="Styl1"/>
        <w:rPr>
          <w:lang w:val="cs-CZ"/>
        </w:rPr>
      </w:pP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Jedna tableta obsahuje 3</w:t>
      </w:r>
      <w:r w:rsidR="00A96109" w:rsidRPr="00526FFA">
        <w:t xml:space="preserve"> mg </w:t>
      </w:r>
      <w:proofErr w:type="spellStart"/>
      <w:r w:rsidRPr="00526FFA">
        <w:t>bromazepamu</w:t>
      </w:r>
      <w:proofErr w:type="spellEnd"/>
      <w:r w:rsidRPr="00526FFA">
        <w:t>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442FE7" w:rsidRDefault="00E0791E" w:rsidP="00442FE7">
      <w:pPr>
        <w:pStyle w:val="Styl3"/>
      </w:pPr>
      <w:r w:rsidRPr="00442FE7">
        <w:t>Pomocná látka so známym účinkom: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J</w:t>
      </w:r>
      <w:r w:rsidRPr="00DF78F3">
        <w:rPr>
          <w:szCs w:val="22"/>
        </w:rPr>
        <w:t>edna tableta obsahuje 84,4</w:t>
      </w:r>
      <w:r w:rsidR="00A96109" w:rsidRPr="00DF78F3">
        <w:rPr>
          <w:szCs w:val="22"/>
        </w:rPr>
        <w:t xml:space="preserve"> mg </w:t>
      </w:r>
      <w:proofErr w:type="spellStart"/>
      <w:r w:rsidRPr="00DF78F3">
        <w:rPr>
          <w:szCs w:val="22"/>
        </w:rPr>
        <w:t>monohydrátu</w:t>
      </w:r>
      <w:proofErr w:type="spellEnd"/>
      <w:r w:rsidRPr="00DF78F3">
        <w:rPr>
          <w:szCs w:val="22"/>
        </w:rPr>
        <w:t xml:space="preserve"> laktózy.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Úplný zoznam pomocných látok, pozri časť 6.1.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442FE7" w:rsidRDefault="00442FE7">
      <w:pPr>
        <w:pStyle w:val="Styl1"/>
        <w:rPr>
          <w:lang w:val="sk-SK"/>
        </w:rPr>
      </w:pPr>
      <w:r>
        <w:rPr>
          <w:lang w:val="sk-SK"/>
        </w:rPr>
        <w:t>3.</w:t>
      </w:r>
      <w:r w:rsidRPr="003021DE">
        <w:rPr>
          <w:b w:val="0"/>
          <w:szCs w:val="22"/>
        </w:rPr>
        <w:tab/>
      </w:r>
      <w:r w:rsidR="00E0791E" w:rsidRPr="00442FE7">
        <w:rPr>
          <w:lang w:val="sk-SK"/>
        </w:rPr>
        <w:t>LIEKOVÁ FORMA</w:t>
      </w:r>
    </w:p>
    <w:p w:rsidR="00526FFA" w:rsidRPr="00442FE7" w:rsidRDefault="00526FFA">
      <w:pPr>
        <w:pStyle w:val="Styl1"/>
        <w:rPr>
          <w:lang w:val="sk-SK"/>
        </w:rPr>
      </w:pPr>
    </w:p>
    <w:p w:rsidR="00E0791E" w:rsidRPr="00442FE7" w:rsidRDefault="0090675E" w:rsidP="00442FE7">
      <w:pPr>
        <w:pStyle w:val="Styl3"/>
        <w:rPr>
          <w:u w:val="none"/>
        </w:rPr>
      </w:pPr>
      <w:r w:rsidRPr="00442FE7">
        <w:rPr>
          <w:u w:val="none"/>
        </w:rPr>
        <w:t>t</w:t>
      </w:r>
      <w:r w:rsidR="00E0791E" w:rsidRPr="00442FE7">
        <w:rPr>
          <w:u w:val="none"/>
        </w:rPr>
        <w:t>ableta</w:t>
      </w:r>
    </w:p>
    <w:p w:rsidR="0090675E" w:rsidRPr="00C34FB4" w:rsidRDefault="0090675E" w:rsidP="00442FE7">
      <w:pPr>
        <w:pStyle w:val="Styl3"/>
      </w:pPr>
    </w:p>
    <w:p w:rsidR="00E0791E" w:rsidRPr="00A964E5" w:rsidRDefault="00E0791E" w:rsidP="00D248ED">
      <w:pPr>
        <w:pStyle w:val="Normlndobloku"/>
        <w:tabs>
          <w:tab w:val="num" w:pos="0"/>
        </w:tabs>
        <w:spacing w:after="0"/>
        <w:jc w:val="left"/>
        <w:rPr>
          <w:szCs w:val="22"/>
        </w:rPr>
      </w:pPr>
      <w:r w:rsidRPr="00C34FB4">
        <w:rPr>
          <w:szCs w:val="22"/>
        </w:rPr>
        <w:t>Biele, okrúhle, ploché tablety</w:t>
      </w:r>
      <w:r w:rsidR="00A96109" w:rsidRPr="00C34FB4">
        <w:rPr>
          <w:szCs w:val="22"/>
        </w:rPr>
        <w:t xml:space="preserve"> s </w:t>
      </w:r>
      <w:r w:rsidRPr="00C34FB4">
        <w:rPr>
          <w:szCs w:val="22"/>
        </w:rPr>
        <w:t>priemerom 8 mm,</w:t>
      </w:r>
      <w:r w:rsidR="00A96109" w:rsidRPr="00C34FB4">
        <w:rPr>
          <w:szCs w:val="22"/>
        </w:rPr>
        <w:t xml:space="preserve"> s </w:t>
      </w:r>
      <w:r w:rsidRPr="00A964E5">
        <w:rPr>
          <w:szCs w:val="22"/>
        </w:rPr>
        <w:t>deliacou ryhou,</w:t>
      </w:r>
      <w:r w:rsidR="00A96109" w:rsidRPr="00A964E5">
        <w:rPr>
          <w:szCs w:val="22"/>
        </w:rPr>
        <w:t xml:space="preserve"> s </w:t>
      </w:r>
      <w:r w:rsidRPr="00A964E5">
        <w:rPr>
          <w:szCs w:val="22"/>
        </w:rPr>
        <w:t>vyrazeným označením „MC“.</w:t>
      </w:r>
    </w:p>
    <w:p w:rsidR="00E0791E" w:rsidRPr="00526FFA" w:rsidRDefault="00E0791E" w:rsidP="00D248ED">
      <w:pPr>
        <w:pStyle w:val="Normlndobloku"/>
        <w:tabs>
          <w:tab w:val="num" w:pos="0"/>
        </w:tabs>
        <w:spacing w:after="0"/>
        <w:jc w:val="left"/>
        <w:rPr>
          <w:szCs w:val="22"/>
        </w:rPr>
      </w:pPr>
      <w:r w:rsidRPr="00526FFA">
        <w:rPr>
          <w:szCs w:val="22"/>
        </w:rPr>
        <w:t>Tableta sa môže rozdeliť na rovnaké dávky.</w:t>
      </w:r>
    </w:p>
    <w:p w:rsidR="00526FFA" w:rsidRPr="00526FFA" w:rsidRDefault="00526FFA" w:rsidP="00D248ED">
      <w:pPr>
        <w:pStyle w:val="Normlndobloku"/>
        <w:tabs>
          <w:tab w:val="num" w:pos="0"/>
        </w:tabs>
        <w:spacing w:after="0"/>
        <w:jc w:val="left"/>
        <w:rPr>
          <w:szCs w:val="22"/>
        </w:rPr>
      </w:pPr>
    </w:p>
    <w:p w:rsidR="00526FFA" w:rsidRPr="00526FFA" w:rsidRDefault="00526FFA" w:rsidP="00D248ED">
      <w:pPr>
        <w:pStyle w:val="Normlndobloku"/>
        <w:tabs>
          <w:tab w:val="num" w:pos="0"/>
        </w:tabs>
        <w:spacing w:after="0"/>
        <w:jc w:val="left"/>
        <w:rPr>
          <w:szCs w:val="22"/>
        </w:rPr>
      </w:pPr>
    </w:p>
    <w:p w:rsidR="00E0791E" w:rsidRPr="00442FE7" w:rsidRDefault="00442FE7">
      <w:pPr>
        <w:pStyle w:val="Styl1"/>
        <w:rPr>
          <w:lang w:val="sk-SK"/>
        </w:rPr>
      </w:pPr>
      <w:r w:rsidRPr="00442FE7">
        <w:rPr>
          <w:lang w:val="sk-SK"/>
        </w:rPr>
        <w:t>4.</w:t>
      </w:r>
      <w:r w:rsidRPr="00442FE7">
        <w:rPr>
          <w:b w:val="0"/>
          <w:szCs w:val="22"/>
          <w:lang w:val="sk-SK"/>
        </w:rPr>
        <w:tab/>
      </w:r>
      <w:r w:rsidR="00E0791E" w:rsidRPr="00442FE7">
        <w:rPr>
          <w:lang w:val="sk-SK"/>
        </w:rPr>
        <w:t>KLINICKÉ ÚDAJE</w:t>
      </w:r>
    </w:p>
    <w:p w:rsidR="00526FFA" w:rsidRPr="00442FE7" w:rsidRDefault="00526FFA">
      <w:pPr>
        <w:pStyle w:val="Styl1"/>
        <w:rPr>
          <w:lang w:val="sk-SK"/>
        </w:rPr>
      </w:pPr>
    </w:p>
    <w:p w:rsidR="00E0791E" w:rsidRPr="00526FFA" w:rsidRDefault="00442FE7" w:rsidP="00442FE7">
      <w:pPr>
        <w:pStyle w:val="Styl2"/>
      </w:pPr>
      <w:r>
        <w:t>4.1</w:t>
      </w:r>
      <w:r w:rsidRPr="003021DE">
        <w:tab/>
      </w:r>
      <w:r w:rsidR="00E0791E" w:rsidRPr="00526FFA">
        <w:t>Terapeutické indikácie</w:t>
      </w:r>
    </w:p>
    <w:p w:rsidR="00526FFA" w:rsidRPr="00526FFA" w:rsidRDefault="00526FFA" w:rsidP="00442FE7">
      <w:pPr>
        <w:pStyle w:val="Styl2"/>
      </w:pPr>
    </w:p>
    <w:p w:rsidR="00E0791E" w:rsidRPr="00442FE7" w:rsidRDefault="00E0791E" w:rsidP="00442FE7">
      <w:pPr>
        <w:pStyle w:val="Styl3"/>
      </w:pPr>
      <w:r w:rsidRPr="00442FE7">
        <w:t>Úzkosť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C34FB4">
        <w:rPr>
          <w:szCs w:val="22"/>
        </w:rPr>
        <w:t>Benzodiazepíny</w:t>
      </w:r>
      <w:proofErr w:type="spellEnd"/>
      <w:r w:rsidRPr="00C34FB4">
        <w:rPr>
          <w:szCs w:val="22"/>
        </w:rPr>
        <w:t xml:space="preserve"> sú indikované iba ak je porucha závažná, spôsobuje neschopnosť, alebo predstavuje pre pacienta extrémnu záťaž.</w:t>
      </w:r>
    </w:p>
    <w:p w:rsidR="00526FFA" w:rsidRPr="00A964E5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442FE7" w:rsidP="00442FE7">
      <w:pPr>
        <w:pStyle w:val="Styl2"/>
      </w:pPr>
      <w:r w:rsidRPr="00442FE7">
        <w:t>4.2</w:t>
      </w:r>
      <w:r w:rsidRPr="00442FE7">
        <w:tab/>
      </w:r>
      <w:r w:rsidR="00E0791E" w:rsidRPr="00442FE7">
        <w:t>Dávkovanie</w:t>
      </w:r>
      <w:r w:rsidR="00A96109" w:rsidRPr="00526FFA">
        <w:t xml:space="preserve"> a </w:t>
      </w:r>
      <w:r w:rsidR="00E0791E" w:rsidRPr="00526FFA">
        <w:t>spôsob podávania</w:t>
      </w:r>
    </w:p>
    <w:p w:rsidR="00526FFA" w:rsidRPr="00526FFA" w:rsidRDefault="00526FFA" w:rsidP="00442FE7">
      <w:pPr>
        <w:pStyle w:val="Styl2"/>
      </w:pPr>
    </w:p>
    <w:p w:rsidR="00E0791E" w:rsidRPr="00442FE7" w:rsidRDefault="00E0791E" w:rsidP="00442FE7">
      <w:pPr>
        <w:pStyle w:val="Styl2-2"/>
      </w:pPr>
      <w:r w:rsidRPr="00442FE7">
        <w:t>Dávkovanie</w:t>
      </w:r>
    </w:p>
    <w:p w:rsidR="00526FFA" w:rsidRPr="00D248ED" w:rsidRDefault="00526FFA" w:rsidP="00D248ED">
      <w:pPr>
        <w:pStyle w:val="Normlndobloku"/>
        <w:spacing w:after="0"/>
        <w:jc w:val="left"/>
      </w:pPr>
    </w:p>
    <w:p w:rsidR="00E0791E" w:rsidRPr="00D248ED" w:rsidRDefault="00E0791E" w:rsidP="00442FE7">
      <w:pPr>
        <w:pStyle w:val="Styl3"/>
      </w:pPr>
      <w:r w:rsidRPr="00D248ED">
        <w:t>Úzkosť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Liečba má trvať čo najkratšie. Vo všeobecnosti celková doba liečby nemá byť dlhšia ako 8 až 12 týždňov, vrátane postupného vysadenia.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Toto sú všeobecné odporúčania, dávkovanie sa má stanoviť individuálne. Liečba ambulantných pacientov má začať na nižších dávkach</w:t>
      </w:r>
      <w:r w:rsidR="00A96109" w:rsidRPr="00526FFA">
        <w:t xml:space="preserve"> a </w:t>
      </w:r>
      <w:r w:rsidRPr="00526FFA">
        <w:t>postupne sa zvyšovať na optimálnu úroveň. Pacienti majú byť pravidelne sledovaní</w:t>
      </w:r>
      <w:r w:rsidR="00A96109" w:rsidRPr="00526FFA">
        <w:t xml:space="preserve"> a </w:t>
      </w:r>
      <w:r w:rsidRPr="00526FFA">
        <w:t>taktiež sa má pravidelne prehodnocovať potreba ich ďalšej liečby</w:t>
      </w:r>
      <w:r w:rsidR="00A96109" w:rsidRPr="00526FFA">
        <w:t xml:space="preserve"> a </w:t>
      </w:r>
      <w:r w:rsidRPr="00526FFA">
        <w:t>to najmä</w:t>
      </w:r>
      <w:r w:rsidR="00A96109" w:rsidRPr="00526FFA">
        <w:t xml:space="preserve"> v </w:t>
      </w:r>
      <w:r w:rsidRPr="00526FFA">
        <w:t>prípade, keď je pacient bez príznakov.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V niektorých prípadoch, ak je to potrebné, sa môže doba liečby predĺžiť nad maximálnu dobu liečby. To však vyžaduje neustále prehodnocovanie stavu pacienta skúseným lekárom.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C34FB4" w:rsidRDefault="00E0791E" w:rsidP="00442FE7">
      <w:pPr>
        <w:pStyle w:val="Styl3"/>
      </w:pPr>
      <w:r w:rsidRPr="00C34FB4">
        <w:t>Dospelí</w:t>
      </w:r>
    </w:p>
    <w:p w:rsidR="00E0791E" w:rsidRPr="00A964E5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>Ku kontrole symptómov sa má použiť najnižšia dávka.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Optimálna dávka</w:t>
      </w:r>
      <w:r w:rsidR="00A96109" w:rsidRPr="00526FFA">
        <w:t xml:space="preserve"> a </w:t>
      </w:r>
      <w:r w:rsidRPr="00526FFA">
        <w:t>frekvencia podávania lieku BROMAZEPAM MEDOCHEMIE má vychádzať zo závažnosti príznakov konkrétneho pacienta</w:t>
      </w:r>
      <w:r w:rsidR="00A96109" w:rsidRPr="00526FFA">
        <w:t xml:space="preserve"> a z </w:t>
      </w:r>
      <w:r w:rsidRPr="00526FFA">
        <w:t>jeho predchádzajúcej psychotropnej liečby.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Zvyčajná dávka</w:t>
      </w:r>
      <w:r w:rsidR="00A96109" w:rsidRPr="00526FFA">
        <w:t xml:space="preserve"> v </w:t>
      </w:r>
      <w:r w:rsidRPr="00526FFA">
        <w:t>bežnej praxi je 3</w:t>
      </w:r>
      <w:r w:rsidR="00A96109" w:rsidRPr="00526FFA">
        <w:t xml:space="preserve"> mg </w:t>
      </w:r>
      <w:r w:rsidRPr="00526FFA">
        <w:t>až 18</w:t>
      </w:r>
      <w:r w:rsidR="00A96109" w:rsidRPr="00526FFA">
        <w:t xml:space="preserve"> mg </w:t>
      </w:r>
      <w:r w:rsidRPr="00526FFA">
        <w:t>denne</w:t>
      </w:r>
      <w:r w:rsidR="00A96109" w:rsidRPr="00526FFA">
        <w:t xml:space="preserve"> v </w:t>
      </w:r>
      <w:r w:rsidRPr="00526FFA">
        <w:t>rozdelených dávkach.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lastRenderedPageBreak/>
        <w:t>Vo výnimočných prípadoch</w:t>
      </w:r>
      <w:r w:rsidR="00A96109" w:rsidRPr="00526FFA">
        <w:t xml:space="preserve"> u </w:t>
      </w:r>
      <w:r w:rsidRPr="00526FFA">
        <w:t>hospitalizovaných pacientov je možné podať maximálnu dennú dávku až 60</w:t>
      </w:r>
      <w:r w:rsidR="00A96109" w:rsidRPr="00526FFA">
        <w:t> mg v </w:t>
      </w:r>
      <w:r w:rsidRPr="00526FFA">
        <w:t>rozdelených dávkach.</w:t>
      </w:r>
    </w:p>
    <w:p w:rsidR="0090675E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Liečba sa má vždy ukončiť postupne. Pacienti, ktorí užívali </w:t>
      </w:r>
      <w:proofErr w:type="spellStart"/>
      <w:r w:rsidRPr="00526FFA">
        <w:t>benzodiazepíny</w:t>
      </w:r>
      <w:proofErr w:type="spellEnd"/>
      <w:r w:rsidRPr="00526FFA">
        <w:t xml:space="preserve"> dlhšiu dobu, môžu vyžadovať dlhšie časové obdobie na zníženie dávky. Môže byť vhodná pomoc špecialistu.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Starší pacienti a/alebo oslabení pacienti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S</w:t>
      </w:r>
      <w:r w:rsidRPr="00DF78F3">
        <w:rPr>
          <w:szCs w:val="22"/>
        </w:rPr>
        <w:t>tarší pacienti potrebujú nižšie dávky</w:t>
      </w:r>
      <w:r w:rsidR="00A96109" w:rsidRPr="00DF78F3">
        <w:rPr>
          <w:szCs w:val="22"/>
        </w:rPr>
        <w:t xml:space="preserve"> z </w:t>
      </w:r>
      <w:r w:rsidRPr="00DF78F3">
        <w:rPr>
          <w:szCs w:val="22"/>
        </w:rPr>
        <w:t>dôvodu individuálnych rozdielov</w:t>
      </w:r>
      <w:r w:rsidR="00A96109" w:rsidRPr="00DF78F3">
        <w:rPr>
          <w:szCs w:val="22"/>
        </w:rPr>
        <w:t xml:space="preserve"> v </w:t>
      </w:r>
      <w:r w:rsidRPr="00DF78F3">
        <w:rPr>
          <w:szCs w:val="22"/>
        </w:rPr>
        <w:t>citlivosti</w:t>
      </w:r>
      <w:r w:rsidR="00A96109" w:rsidRPr="00DF78F3">
        <w:rPr>
          <w:szCs w:val="22"/>
        </w:rPr>
        <w:t xml:space="preserve"> a </w:t>
      </w:r>
      <w:proofErr w:type="spellStart"/>
      <w:r w:rsidRPr="00DF78F3">
        <w:rPr>
          <w:szCs w:val="22"/>
        </w:rPr>
        <w:t>farmakokinetike</w:t>
      </w:r>
      <w:proofErr w:type="spellEnd"/>
      <w:r w:rsidRPr="00DF78F3">
        <w:rPr>
          <w:szCs w:val="22"/>
        </w:rPr>
        <w:t>, dávkovanie nemá prekročiť polovicu bežne odporučeného dávkovania (pozri časť 5.2).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Pacienti</w:t>
      </w:r>
      <w:r w:rsidR="00A96109" w:rsidRPr="00526FFA">
        <w:t xml:space="preserve"> s </w:t>
      </w:r>
      <w:r w:rsidRPr="00526FFA">
        <w:t>poruchou funkcie pečene a/alebo obličiek vyžadujú</w:t>
      </w:r>
      <w:r w:rsidR="00A96109" w:rsidRPr="00526FFA">
        <w:t xml:space="preserve"> z </w:t>
      </w:r>
      <w:r w:rsidRPr="00526FFA">
        <w:t>dôvodu individuálnych rozdielov</w:t>
      </w:r>
      <w:r w:rsidR="00A96109" w:rsidRPr="00526FFA">
        <w:t xml:space="preserve"> v </w:t>
      </w:r>
      <w:r w:rsidRPr="00526FFA">
        <w:t>citlivosti</w:t>
      </w:r>
      <w:r w:rsidR="00A96109" w:rsidRPr="00526FFA">
        <w:t xml:space="preserve"> a </w:t>
      </w:r>
      <w:proofErr w:type="spellStart"/>
      <w:r w:rsidRPr="00526FFA">
        <w:t>farmakokinetike</w:t>
      </w:r>
      <w:proofErr w:type="spellEnd"/>
      <w:r w:rsidRPr="00526FFA">
        <w:t xml:space="preserve"> nižšie dávky.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U starších pacientov</w:t>
      </w:r>
      <w:r w:rsidR="00A96109" w:rsidRPr="00526FFA">
        <w:t xml:space="preserve"> s </w:t>
      </w:r>
      <w:r w:rsidRPr="00526FFA">
        <w:t>poruchou funkcie obličiek a/alebo pečene je vhodné liečbu pravidelne prehodnocovať</w:t>
      </w:r>
      <w:r w:rsidR="00A96109" w:rsidRPr="00526FFA">
        <w:t xml:space="preserve"> a </w:t>
      </w:r>
      <w:r w:rsidRPr="00526FFA">
        <w:t>ukončiť ju čo najskôr.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Pediatrická populácia</w:t>
      </w:r>
    </w:p>
    <w:p w:rsidR="00877646" w:rsidRDefault="00E0791E" w:rsidP="00442FE7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BROMAZEPAM MEDOCHEMIE</w:t>
      </w:r>
      <w:r w:rsidRPr="00DF78F3">
        <w:rPr>
          <w:szCs w:val="22"/>
        </w:rPr>
        <w:t xml:space="preserve"> nie je určený na použitie</w:t>
      </w:r>
      <w:r w:rsidR="00A96109" w:rsidRPr="00DF78F3">
        <w:rPr>
          <w:szCs w:val="22"/>
        </w:rPr>
        <w:t xml:space="preserve"> u </w:t>
      </w:r>
      <w:r w:rsidRPr="00DF78F3">
        <w:rPr>
          <w:szCs w:val="22"/>
        </w:rPr>
        <w:t>detí mladších ako 12 rokov.</w:t>
      </w:r>
    </w:p>
    <w:p w:rsidR="00AC4E9C" w:rsidRPr="00C34FB4" w:rsidRDefault="00AC4E9C" w:rsidP="00442FE7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2-2"/>
        <w:spacing w:before="0" w:after="0"/>
      </w:pPr>
      <w:r w:rsidRPr="00A964E5">
        <w:t>Spôsob podávania</w:t>
      </w:r>
    </w:p>
    <w:p w:rsidR="00E0791E" w:rsidRPr="00C34FB4" w:rsidRDefault="00E0791E" w:rsidP="00442FE7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Perorálne pod</w:t>
      </w:r>
      <w:r w:rsidR="0090675E">
        <w:rPr>
          <w:szCs w:val="22"/>
        </w:rPr>
        <w:t>áv</w:t>
      </w:r>
      <w:r w:rsidRPr="00C34FB4">
        <w:rPr>
          <w:szCs w:val="22"/>
        </w:rPr>
        <w:t>anie</w:t>
      </w:r>
    </w:p>
    <w:p w:rsidR="00526FFA" w:rsidRPr="00C34FB4" w:rsidRDefault="00526FFA" w:rsidP="00442FE7">
      <w:pPr>
        <w:pStyle w:val="Normlndobloku"/>
        <w:spacing w:after="0"/>
        <w:jc w:val="left"/>
        <w:rPr>
          <w:szCs w:val="22"/>
        </w:rPr>
      </w:pPr>
    </w:p>
    <w:p w:rsidR="00442FE7" w:rsidRPr="004A6701" w:rsidRDefault="00442FE7" w:rsidP="00442FE7">
      <w:pPr>
        <w:spacing w:line="240" w:lineRule="auto"/>
        <w:rPr>
          <w:lang w:val="sk-SK"/>
        </w:rPr>
      </w:pPr>
      <w:r w:rsidRPr="004A6701">
        <w:rPr>
          <w:b/>
          <w:lang w:val="sk-SK"/>
        </w:rPr>
        <w:t>4.3</w:t>
      </w:r>
      <w:r w:rsidRPr="004A6701">
        <w:rPr>
          <w:b/>
          <w:lang w:val="sk-SK"/>
        </w:rPr>
        <w:tab/>
        <w:t>Kontraindikácie</w:t>
      </w:r>
    </w:p>
    <w:p w:rsidR="0090675E" w:rsidRPr="00C34FB4" w:rsidRDefault="0090675E" w:rsidP="00442FE7">
      <w:pPr>
        <w:pStyle w:val="Styl2"/>
      </w:pPr>
    </w:p>
    <w:p w:rsidR="00E0791E" w:rsidRPr="00C34FB4" w:rsidRDefault="00E0791E" w:rsidP="00D248ED">
      <w:pPr>
        <w:pStyle w:val="Normlndoblokusodrkami"/>
        <w:spacing w:after="0"/>
        <w:ind w:left="0" w:firstLine="0"/>
        <w:jc w:val="left"/>
        <w:rPr>
          <w:szCs w:val="22"/>
        </w:rPr>
      </w:pPr>
      <w:r w:rsidRPr="00C34FB4">
        <w:rPr>
          <w:szCs w:val="22"/>
        </w:rPr>
        <w:t>precitlivenosť na liečivo alebo na ktorúkoľvek</w:t>
      </w:r>
      <w:r w:rsidR="00A96109" w:rsidRPr="00C34FB4">
        <w:rPr>
          <w:szCs w:val="22"/>
        </w:rPr>
        <w:t xml:space="preserve"> z </w:t>
      </w:r>
      <w:r w:rsidRPr="00C34FB4">
        <w:rPr>
          <w:szCs w:val="22"/>
        </w:rPr>
        <w:t>pomocných látok uvedených</w:t>
      </w:r>
      <w:r w:rsidR="00A96109" w:rsidRPr="00C34FB4">
        <w:rPr>
          <w:szCs w:val="22"/>
        </w:rPr>
        <w:t xml:space="preserve"> v </w:t>
      </w:r>
      <w:r w:rsidRPr="00C34FB4">
        <w:rPr>
          <w:szCs w:val="22"/>
        </w:rPr>
        <w:t>časti 6.1</w:t>
      </w:r>
    </w:p>
    <w:p w:rsidR="00E0791E" w:rsidRPr="00A964E5" w:rsidRDefault="00E0791E" w:rsidP="00D248ED">
      <w:pPr>
        <w:pStyle w:val="Normlndoblokusodrkami"/>
        <w:spacing w:after="0"/>
        <w:ind w:left="0" w:firstLine="0"/>
        <w:jc w:val="left"/>
        <w:rPr>
          <w:szCs w:val="22"/>
        </w:rPr>
      </w:pPr>
      <w:proofErr w:type="spellStart"/>
      <w:r w:rsidRPr="00A964E5">
        <w:rPr>
          <w:szCs w:val="22"/>
        </w:rPr>
        <w:t>myastenia</w:t>
      </w:r>
      <w:proofErr w:type="spellEnd"/>
      <w:r w:rsidRPr="00A964E5">
        <w:rPr>
          <w:szCs w:val="22"/>
        </w:rPr>
        <w:t xml:space="preserve"> </w:t>
      </w:r>
      <w:proofErr w:type="spellStart"/>
      <w:r w:rsidRPr="00A964E5">
        <w:rPr>
          <w:szCs w:val="22"/>
        </w:rPr>
        <w:t>gravis</w:t>
      </w:r>
      <w:proofErr w:type="spellEnd"/>
    </w:p>
    <w:p w:rsidR="00E0791E" w:rsidRPr="00526FFA" w:rsidRDefault="00E0791E" w:rsidP="00D248ED">
      <w:pPr>
        <w:pStyle w:val="Normlndoblokusodrkami"/>
        <w:spacing w:after="0"/>
        <w:ind w:left="0" w:firstLine="0"/>
        <w:jc w:val="left"/>
        <w:rPr>
          <w:szCs w:val="22"/>
        </w:rPr>
      </w:pPr>
      <w:r w:rsidRPr="00526FFA">
        <w:rPr>
          <w:szCs w:val="22"/>
        </w:rPr>
        <w:t xml:space="preserve">akútny </w:t>
      </w:r>
      <w:proofErr w:type="spellStart"/>
      <w:r w:rsidRPr="00526FFA">
        <w:rPr>
          <w:szCs w:val="22"/>
        </w:rPr>
        <w:t>glaukóm</w:t>
      </w:r>
      <w:proofErr w:type="spellEnd"/>
    </w:p>
    <w:p w:rsidR="00E0791E" w:rsidRPr="00526FFA" w:rsidRDefault="00E0791E" w:rsidP="00D248ED">
      <w:pPr>
        <w:pStyle w:val="Normlndoblokusodrkami"/>
        <w:spacing w:after="0"/>
        <w:ind w:left="0" w:firstLine="0"/>
        <w:jc w:val="left"/>
        <w:rPr>
          <w:szCs w:val="22"/>
        </w:rPr>
      </w:pPr>
      <w:r w:rsidRPr="00526FFA">
        <w:rPr>
          <w:szCs w:val="22"/>
        </w:rPr>
        <w:t xml:space="preserve">precitlivenosť na </w:t>
      </w:r>
      <w:proofErr w:type="spellStart"/>
      <w:r w:rsidRPr="00526FFA">
        <w:rPr>
          <w:szCs w:val="22"/>
        </w:rPr>
        <w:t>benzodiazepíny</w:t>
      </w:r>
      <w:proofErr w:type="spellEnd"/>
    </w:p>
    <w:p w:rsidR="00E0791E" w:rsidRPr="00526FFA" w:rsidRDefault="00E0791E" w:rsidP="00D248ED">
      <w:pPr>
        <w:pStyle w:val="Normlndoblokusodrkami"/>
        <w:spacing w:after="0"/>
        <w:ind w:left="0" w:firstLine="0"/>
        <w:jc w:val="left"/>
        <w:rPr>
          <w:szCs w:val="22"/>
        </w:rPr>
      </w:pPr>
      <w:r w:rsidRPr="00526FFA">
        <w:rPr>
          <w:szCs w:val="22"/>
        </w:rPr>
        <w:t>závažná respiračná nedostatočnosť</w:t>
      </w:r>
    </w:p>
    <w:p w:rsidR="00E0791E" w:rsidRPr="00526FFA" w:rsidRDefault="00E0791E" w:rsidP="00D248ED">
      <w:pPr>
        <w:pStyle w:val="Normlndoblokusodrkami"/>
        <w:spacing w:after="0"/>
        <w:ind w:left="0" w:firstLine="0"/>
        <w:jc w:val="left"/>
        <w:rPr>
          <w:szCs w:val="22"/>
        </w:rPr>
      </w:pPr>
      <w:r w:rsidRPr="00526FFA">
        <w:rPr>
          <w:szCs w:val="22"/>
        </w:rPr>
        <w:t xml:space="preserve">syndróm spánkovej </w:t>
      </w:r>
      <w:proofErr w:type="spellStart"/>
      <w:r w:rsidRPr="00526FFA">
        <w:rPr>
          <w:szCs w:val="22"/>
        </w:rPr>
        <w:t>apnoe</w:t>
      </w:r>
      <w:proofErr w:type="spellEnd"/>
    </w:p>
    <w:p w:rsidR="00E0791E" w:rsidRPr="00526FFA" w:rsidRDefault="00E0791E" w:rsidP="00D248ED">
      <w:pPr>
        <w:pStyle w:val="Normlndoblokusodrkami"/>
        <w:spacing w:after="0"/>
        <w:ind w:left="709" w:hanging="709"/>
        <w:jc w:val="left"/>
        <w:rPr>
          <w:szCs w:val="22"/>
        </w:rPr>
      </w:pPr>
      <w:r w:rsidRPr="00526FFA">
        <w:rPr>
          <w:szCs w:val="22"/>
        </w:rPr>
        <w:t>závažná pečeňová nedostatočnosť (</w:t>
      </w:r>
      <w:proofErr w:type="spellStart"/>
      <w:r w:rsidRPr="00526FFA">
        <w:rPr>
          <w:szCs w:val="22"/>
        </w:rPr>
        <w:t>benzodiazepíny</w:t>
      </w:r>
      <w:proofErr w:type="spellEnd"/>
      <w:r w:rsidRPr="00526FFA">
        <w:rPr>
          <w:szCs w:val="22"/>
        </w:rPr>
        <w:t xml:space="preserve"> nie sú indikované na liečbu pacientov so závažnou pečeňovou nedostatočnosťou, lebo môžu spôsobiť </w:t>
      </w:r>
      <w:proofErr w:type="spellStart"/>
      <w:r w:rsidRPr="00526FFA">
        <w:rPr>
          <w:szCs w:val="22"/>
        </w:rPr>
        <w:t>encefalopatiu</w:t>
      </w:r>
      <w:proofErr w:type="spellEnd"/>
      <w:r w:rsidRPr="00526FFA">
        <w:rPr>
          <w:szCs w:val="22"/>
        </w:rPr>
        <w:t>)</w:t>
      </w:r>
    </w:p>
    <w:p w:rsidR="00526FFA" w:rsidRPr="00D248ED" w:rsidRDefault="00526FFA" w:rsidP="00D248ED">
      <w:pPr>
        <w:pStyle w:val="Normlndobloku"/>
        <w:spacing w:after="0"/>
        <w:jc w:val="left"/>
        <w:rPr>
          <w:szCs w:val="22"/>
          <w:lang w:eastAsia="en-US"/>
        </w:rPr>
      </w:pPr>
    </w:p>
    <w:p w:rsidR="00E0791E" w:rsidRPr="00526FFA" w:rsidRDefault="00442FE7" w:rsidP="00442FE7">
      <w:pPr>
        <w:pStyle w:val="Styl2"/>
        <w:ind w:left="0" w:firstLine="0"/>
      </w:pPr>
      <w:r w:rsidRPr="00442FE7">
        <w:t>4.4</w:t>
      </w:r>
      <w:r w:rsidRPr="00442FE7">
        <w:tab/>
      </w:r>
      <w:r w:rsidR="00E0791E" w:rsidRPr="00442FE7">
        <w:t>Osobitné</w:t>
      </w:r>
      <w:r w:rsidR="00E0791E" w:rsidRPr="00526FFA">
        <w:t xml:space="preserve"> upozornenia</w:t>
      </w:r>
      <w:r w:rsidR="00A96109" w:rsidRPr="00526FFA">
        <w:t xml:space="preserve"> a </w:t>
      </w:r>
      <w:r w:rsidR="00E0791E" w:rsidRPr="00526FFA">
        <w:t>opatrenia pri používaní</w:t>
      </w:r>
    </w:p>
    <w:p w:rsidR="00526FFA" w:rsidRPr="00526FFA" w:rsidRDefault="00526FFA" w:rsidP="00442FE7">
      <w:pPr>
        <w:pStyle w:val="Styl2"/>
        <w:ind w:left="0" w:firstLine="0"/>
      </w:pPr>
    </w:p>
    <w:p w:rsidR="00E0791E" w:rsidRPr="00526FFA" w:rsidRDefault="00E0791E" w:rsidP="00442FE7">
      <w:pPr>
        <w:pStyle w:val="Styl2-2"/>
        <w:spacing w:before="0" w:after="0"/>
      </w:pPr>
      <w:r w:rsidRPr="00526FFA">
        <w:t>Všeobecné opatrenia</w:t>
      </w:r>
    </w:p>
    <w:p w:rsidR="00526FFA" w:rsidRPr="00D248ED" w:rsidRDefault="00526FFA" w:rsidP="00442FE7">
      <w:pPr>
        <w:pStyle w:val="Normlndobloku"/>
        <w:spacing w:after="0"/>
        <w:jc w:val="left"/>
        <w:rPr>
          <w:szCs w:val="22"/>
          <w:lang w:eastAsia="en-US"/>
        </w:rPr>
      </w:pPr>
    </w:p>
    <w:p w:rsidR="00E0791E" w:rsidRPr="00C34FB4" w:rsidRDefault="00E0791E" w:rsidP="00442FE7">
      <w:pPr>
        <w:pStyle w:val="Styl3"/>
      </w:pPr>
      <w:r w:rsidRPr="003A19A6">
        <w:t>Sú</w:t>
      </w:r>
      <w:r w:rsidR="003A19A6">
        <w:t>bež</w:t>
      </w:r>
      <w:r w:rsidRPr="00C34FB4">
        <w:t>né užitie alkoholu/CNS liekov</w:t>
      </w:r>
    </w:p>
    <w:p w:rsidR="00526FFA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 xml:space="preserve">Súčasnému užívaniu </w:t>
      </w:r>
      <w:proofErr w:type="spellStart"/>
      <w:r w:rsidRPr="00C34FB4">
        <w:rPr>
          <w:szCs w:val="22"/>
        </w:rPr>
        <w:t>bromazepamu</w:t>
      </w:r>
      <w:proofErr w:type="spellEnd"/>
      <w:r w:rsidR="00A96109" w:rsidRPr="00C34FB4">
        <w:rPr>
          <w:szCs w:val="22"/>
        </w:rPr>
        <w:t xml:space="preserve"> s </w:t>
      </w:r>
      <w:r w:rsidRPr="00C34FB4">
        <w:rPr>
          <w:szCs w:val="22"/>
        </w:rPr>
        <w:t xml:space="preserve">alkoholom a/alebo CNS liekmi je potrebné sa vyhnúť, lebo môže prísť k zvýšeniu klinických účinkov </w:t>
      </w:r>
      <w:proofErr w:type="spellStart"/>
      <w:r w:rsidRPr="00C34FB4">
        <w:rPr>
          <w:szCs w:val="22"/>
        </w:rPr>
        <w:t>bromazepamu</w:t>
      </w:r>
      <w:proofErr w:type="spellEnd"/>
      <w:r w:rsidRPr="00C34FB4">
        <w:rPr>
          <w:szCs w:val="22"/>
        </w:rPr>
        <w:t xml:space="preserve">, prípadne aj k závažnej </w:t>
      </w:r>
      <w:proofErr w:type="spellStart"/>
      <w:r w:rsidRPr="00C34FB4">
        <w:rPr>
          <w:szCs w:val="22"/>
        </w:rPr>
        <w:t>sedácii</w:t>
      </w:r>
      <w:proofErr w:type="spellEnd"/>
      <w:r w:rsidR="00A96109" w:rsidRPr="00A964E5">
        <w:rPr>
          <w:szCs w:val="22"/>
        </w:rPr>
        <w:t xml:space="preserve"> a </w:t>
      </w:r>
      <w:r w:rsidRPr="00A964E5">
        <w:rPr>
          <w:szCs w:val="22"/>
        </w:rPr>
        <w:t>klinicky významnej respiračnej a/alebo kardiovaskulárnej depresii (pozri časť 4.5).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E0791E" w:rsidP="00442FE7">
      <w:pPr>
        <w:pStyle w:val="Styl3"/>
      </w:pPr>
      <w:r w:rsidRPr="00526FFA">
        <w:t>Anamnéza alkoholu alebo drog</w:t>
      </w:r>
    </w:p>
    <w:p w:rsidR="00526FFA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t>Bromazepam</w:t>
      </w:r>
      <w:proofErr w:type="spellEnd"/>
      <w:r w:rsidRPr="00526FFA">
        <w:t xml:space="preserve"> má byť používaný</w:t>
      </w:r>
      <w:r w:rsidR="00A96109" w:rsidRPr="00526FFA">
        <w:t xml:space="preserve"> s </w:t>
      </w:r>
      <w:r w:rsidRPr="00526FFA">
        <w:t>extrémnou opatrnosťou</w:t>
      </w:r>
      <w:r w:rsidR="00A96109" w:rsidRPr="00526FFA">
        <w:t xml:space="preserve"> u </w:t>
      </w:r>
      <w:r w:rsidRPr="00526FFA">
        <w:t>pacientov</w:t>
      </w:r>
      <w:r w:rsidR="00A96109" w:rsidRPr="00526FFA">
        <w:t xml:space="preserve"> s </w:t>
      </w:r>
      <w:r w:rsidRPr="00526FFA">
        <w:t>anamnézou zneužívania alkoholu alebo drog. Pacienti majú byť na začiatku liečby pravidelne kontrolovaní, aby sa minimalizovalo dávkovanie a/alebo frekvencia podávania</w:t>
      </w:r>
      <w:r w:rsidR="00A96109" w:rsidRPr="00526FFA">
        <w:t xml:space="preserve"> a </w:t>
      </w:r>
      <w:r w:rsidRPr="00526FFA">
        <w:t>aby sa zabránilo predávkovaniu</w:t>
      </w:r>
      <w:r w:rsidR="00A96109" w:rsidRPr="00526FFA">
        <w:t xml:space="preserve"> v </w:t>
      </w:r>
      <w:r w:rsidRPr="00526FFA">
        <w:t>dôsledku akumulácie.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E0791E" w:rsidP="00442FE7">
      <w:pPr>
        <w:pStyle w:val="Styl3"/>
      </w:pPr>
      <w:r w:rsidRPr="00526FFA">
        <w:t>Tolerancia</w:t>
      </w:r>
    </w:p>
    <w:p w:rsidR="00526FFA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Po opakovanom užívaní po dobu niekoľkých týždňov môže nastať čiastočná strata účinnosti </w:t>
      </w:r>
      <w:proofErr w:type="spellStart"/>
      <w:r w:rsidRPr="00526FFA">
        <w:t>bromazepamu</w:t>
      </w:r>
      <w:proofErr w:type="spellEnd"/>
      <w:r w:rsidRPr="00526FFA">
        <w:t>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E0791E" w:rsidP="00442FE7">
      <w:pPr>
        <w:pStyle w:val="Styl3"/>
      </w:pPr>
      <w:r w:rsidRPr="00526FFA">
        <w:t>Závislosť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Užívanie </w:t>
      </w:r>
      <w:proofErr w:type="spellStart"/>
      <w:r w:rsidRPr="00526FFA">
        <w:t>benzodiazepínov</w:t>
      </w:r>
      <w:proofErr w:type="spellEnd"/>
      <w:r w:rsidR="00A96109" w:rsidRPr="00526FFA">
        <w:t xml:space="preserve"> a </w:t>
      </w:r>
      <w:r w:rsidRPr="00526FFA">
        <w:t>podobných látok môže viesť k rozvoju fyzickej</w:t>
      </w:r>
      <w:r w:rsidR="00A96109" w:rsidRPr="00526FFA">
        <w:t xml:space="preserve"> a </w:t>
      </w:r>
      <w:r w:rsidRPr="00526FFA">
        <w:t>psychickej závislosti od týchto látok (pozri časť 4.8). Riziko závislosti sa zvyšuje</w:t>
      </w:r>
      <w:r w:rsidR="00A96109" w:rsidRPr="00526FFA">
        <w:t xml:space="preserve"> s </w:t>
      </w:r>
      <w:r w:rsidRPr="00526FFA">
        <w:t>dávkou</w:t>
      </w:r>
      <w:r w:rsidR="00A96109" w:rsidRPr="00526FFA">
        <w:t xml:space="preserve"> a </w:t>
      </w:r>
      <w:r w:rsidRPr="00526FFA">
        <w:t>trvaním liečby; je tiež vyššie</w:t>
      </w:r>
      <w:r w:rsidR="00A96109" w:rsidRPr="00526FFA">
        <w:t xml:space="preserve"> u </w:t>
      </w:r>
      <w:r w:rsidRPr="00526FFA">
        <w:t>pacientov</w:t>
      </w:r>
      <w:r w:rsidR="00A96109" w:rsidRPr="00526FFA">
        <w:t xml:space="preserve"> s </w:t>
      </w:r>
      <w:r w:rsidRPr="00526FFA">
        <w:t>anamnézou nadmerného príjmu alkoholu a/alebo užívania drog.</w:t>
      </w:r>
    </w:p>
    <w:p w:rsidR="00526FFA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Ako náhle vznikne fyzická závislosť, je náhle ukončenie liečby sprevádzané abstinenčnými príznakmi. Tie môžu zahŕňať bolesti hlavy, bolesti svalov, extrémnu úzkosť, napätie, nepokoj, zmätenosť</w:t>
      </w:r>
      <w:r w:rsidR="00A96109" w:rsidRPr="00526FFA">
        <w:t xml:space="preserve"> </w:t>
      </w:r>
      <w:r w:rsidR="00A96109" w:rsidRPr="00526FFA">
        <w:lastRenderedPageBreak/>
        <w:t>a </w:t>
      </w:r>
      <w:r w:rsidRPr="00526FFA">
        <w:t>podráždenosť.</w:t>
      </w:r>
      <w:r w:rsidR="00A96109" w:rsidRPr="00526FFA">
        <w:t xml:space="preserve"> V </w:t>
      </w:r>
      <w:r w:rsidRPr="00526FFA">
        <w:t xml:space="preserve">závažných prípadoch sa môžu vyskytnúť nasledujúce príznaky: </w:t>
      </w:r>
      <w:proofErr w:type="spellStart"/>
      <w:r w:rsidRPr="00526FFA">
        <w:t>derealizácia</w:t>
      </w:r>
      <w:proofErr w:type="spellEnd"/>
      <w:r w:rsidRPr="00526FFA">
        <w:t xml:space="preserve">, </w:t>
      </w:r>
      <w:proofErr w:type="spellStart"/>
      <w:r w:rsidRPr="00526FFA">
        <w:t>depersonalizácia</w:t>
      </w:r>
      <w:proofErr w:type="spellEnd"/>
      <w:r w:rsidRPr="00526FFA">
        <w:t xml:space="preserve">, </w:t>
      </w:r>
      <w:proofErr w:type="spellStart"/>
      <w:r w:rsidRPr="00526FFA">
        <w:t>hyperacusis</w:t>
      </w:r>
      <w:proofErr w:type="spellEnd"/>
      <w:r w:rsidRPr="00526FFA">
        <w:t xml:space="preserve"> (zvýšená citlivosť sluchu), necitlivosť</w:t>
      </w:r>
      <w:r w:rsidR="00A96109" w:rsidRPr="00526FFA">
        <w:t xml:space="preserve"> a </w:t>
      </w:r>
      <w:r w:rsidRPr="00526FFA">
        <w:t>brnenie končatín, precitlivenosť na svetlo, hluk</w:t>
      </w:r>
      <w:r w:rsidR="00A96109" w:rsidRPr="00526FFA">
        <w:t xml:space="preserve"> a </w:t>
      </w:r>
      <w:r w:rsidRPr="00526FFA">
        <w:t>fyzický kontakt, halucinácie alebo epileptické záchvaty (pozri časť 4.8).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E0791E" w:rsidP="00442FE7">
      <w:pPr>
        <w:pStyle w:val="Styl3"/>
      </w:pPr>
      <w:r w:rsidRPr="00526FFA">
        <w:t>Návrat nespavosti</w:t>
      </w:r>
      <w:r w:rsidR="00A96109" w:rsidRPr="00526FFA">
        <w:t xml:space="preserve"> a </w:t>
      </w:r>
      <w:r w:rsidRPr="00526FFA">
        <w:t>úzkosti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Prechodný syndróm, kedy sa symptómy, ktoré viedli k liečbe </w:t>
      </w:r>
      <w:proofErr w:type="spellStart"/>
      <w:r w:rsidRPr="00526FFA">
        <w:t>benzodiazepínmi</w:t>
      </w:r>
      <w:proofErr w:type="spellEnd"/>
      <w:r w:rsidRPr="00526FFA">
        <w:t>, vracajú</w:t>
      </w:r>
      <w:r w:rsidR="00A96109" w:rsidRPr="00526FFA">
        <w:t xml:space="preserve"> v </w:t>
      </w:r>
      <w:r w:rsidRPr="00526FFA">
        <w:t>rozšírenej podobe. Môže sa vyskytnúť po vysadení liečby. Môže byť sprevádzaný ďalšími reakciami vrátane zmien nálady, úzkosti alebo porúch spánku</w:t>
      </w:r>
      <w:r w:rsidR="00A96109" w:rsidRPr="00526FFA">
        <w:t xml:space="preserve"> a </w:t>
      </w:r>
      <w:r w:rsidRPr="00526FFA">
        <w:t>nepokoja. Pretože riziko týchto abstinenčných javov (</w:t>
      </w:r>
      <w:proofErr w:type="spellStart"/>
      <w:r w:rsidRPr="00526FFA">
        <w:t>rebound</w:t>
      </w:r>
      <w:proofErr w:type="spellEnd"/>
      <w:r w:rsidRPr="00526FFA">
        <w:t xml:space="preserve"> fenoménu) je väčší po náhlom prerušení liečby, odporúča sa dávkovanie znižovať postupne.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Dĺžka liečby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D</w:t>
      </w:r>
      <w:r w:rsidRPr="00DF78F3">
        <w:rPr>
          <w:szCs w:val="22"/>
        </w:rPr>
        <w:t>ĺžka liečby má byť čo najkratšia (pozri časť 4.2). Celková doba liečby vo všeobecnosti nemá byť dlhšia ako 8 až 12 týždňov, vrátane procesu vysadenia. Predĺženiu nad túto dobu musí predchádzať starostlivé prehodnotenie zdravotného stavu.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Pri začatí liečby môže byť užitočné informovať pacienta, že liečba bude časovo obmedzená</w:t>
      </w:r>
      <w:r w:rsidR="00A96109" w:rsidRPr="00526FFA">
        <w:t xml:space="preserve"> a </w:t>
      </w:r>
      <w:r w:rsidRPr="00526FFA">
        <w:t>presne vysvetliť, ako sa dávka bude postupne znižovať. Navyše je dôležité, aby pacient bol informovaný o</w:t>
      </w:r>
      <w:r w:rsidR="00563C7D" w:rsidRPr="00526FFA">
        <w:t> </w:t>
      </w:r>
      <w:r w:rsidRPr="00526FFA">
        <w:t xml:space="preserve">možnosti </w:t>
      </w:r>
      <w:proofErr w:type="spellStart"/>
      <w:r w:rsidRPr="00526FFA">
        <w:t>rebound</w:t>
      </w:r>
      <w:proofErr w:type="spellEnd"/>
      <w:r w:rsidRPr="00526FFA">
        <w:t xml:space="preserve"> fenoménu pri postupnom vysadení lieku</w:t>
      </w:r>
      <w:r w:rsidR="00A96109" w:rsidRPr="00526FFA">
        <w:t xml:space="preserve"> a </w:t>
      </w:r>
      <w:r w:rsidRPr="00526FFA">
        <w:t>tým sa minimalizovali obavy</w:t>
      </w:r>
      <w:r w:rsidR="00A96109" w:rsidRPr="00526FFA">
        <w:t xml:space="preserve"> z </w:t>
      </w:r>
      <w:r w:rsidRPr="00526FFA">
        <w:t>týchto príznakov.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Existujú náznaky, že</w:t>
      </w:r>
      <w:r w:rsidR="00A96109" w:rsidRPr="00526FFA">
        <w:t xml:space="preserve"> u </w:t>
      </w:r>
      <w:proofErr w:type="spellStart"/>
      <w:r w:rsidRPr="00526FFA">
        <w:t>benzodiazepínov</w:t>
      </w:r>
      <w:proofErr w:type="spellEnd"/>
      <w:r w:rsidR="00A96109" w:rsidRPr="00526FFA">
        <w:t xml:space="preserve"> s </w:t>
      </w:r>
      <w:r w:rsidRPr="00526FFA">
        <w:t>krátkodobým účinkom sa abstinenčné príznaky môžu objaviť</w:t>
      </w:r>
      <w:r w:rsidR="00A96109" w:rsidRPr="00526FFA">
        <w:t xml:space="preserve"> v </w:t>
      </w:r>
      <w:r w:rsidRPr="00526FFA">
        <w:t xml:space="preserve">čase medzi dávkami, najmä keď dávka je vysoká. Keď sa používajú </w:t>
      </w:r>
      <w:proofErr w:type="spellStart"/>
      <w:r w:rsidRPr="00526FFA">
        <w:t>benzodiazepíny</w:t>
      </w:r>
      <w:proofErr w:type="spellEnd"/>
      <w:r w:rsidR="00A96109" w:rsidRPr="00526FFA">
        <w:t xml:space="preserve"> s </w:t>
      </w:r>
      <w:r w:rsidRPr="00526FFA">
        <w:t xml:space="preserve">dlhodobým účinkom, je pri prechode na </w:t>
      </w:r>
      <w:proofErr w:type="spellStart"/>
      <w:r w:rsidRPr="00526FFA">
        <w:t>benzodiazepíny</w:t>
      </w:r>
      <w:proofErr w:type="spellEnd"/>
      <w:r w:rsidR="00A96109" w:rsidRPr="00526FFA">
        <w:t xml:space="preserve"> s </w:t>
      </w:r>
      <w:r w:rsidRPr="00526FFA">
        <w:t>krátkodobým účinkom dôležité upozorniť na možnosť vzniku abstinenčných príznakov.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C34FB4" w:rsidRDefault="00E0791E" w:rsidP="00442FE7">
      <w:pPr>
        <w:pStyle w:val="Styl3"/>
      </w:pPr>
      <w:r w:rsidRPr="00C34FB4">
        <w:t>Amnézia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 xml:space="preserve">Je potrebné mať na pamäti, že </w:t>
      </w:r>
      <w:proofErr w:type="spellStart"/>
      <w:r w:rsidRPr="00C34FB4">
        <w:rPr>
          <w:szCs w:val="22"/>
        </w:rPr>
        <w:t>benzodiazepíny</w:t>
      </w:r>
      <w:proofErr w:type="spellEnd"/>
      <w:r w:rsidRPr="00C34FB4">
        <w:rPr>
          <w:szCs w:val="22"/>
        </w:rPr>
        <w:t xml:space="preserve"> môžu vyvolať </w:t>
      </w:r>
      <w:proofErr w:type="spellStart"/>
      <w:r w:rsidRPr="00C34FB4">
        <w:rPr>
          <w:szCs w:val="22"/>
        </w:rPr>
        <w:t>anterográdnu</w:t>
      </w:r>
      <w:proofErr w:type="spellEnd"/>
      <w:r w:rsidRPr="00C34FB4">
        <w:rPr>
          <w:szCs w:val="22"/>
        </w:rPr>
        <w:t xml:space="preserve"> amnéziu. </w:t>
      </w:r>
      <w:proofErr w:type="spellStart"/>
      <w:r w:rsidRPr="00C34FB4">
        <w:rPr>
          <w:szCs w:val="22"/>
        </w:rPr>
        <w:t>Anterográdna</w:t>
      </w:r>
      <w:proofErr w:type="spellEnd"/>
      <w:r w:rsidRPr="00C34FB4">
        <w:rPr>
          <w:szCs w:val="22"/>
        </w:rPr>
        <w:t xml:space="preserve"> amnézia sa môže objaviť pri vyššej terapeutickej dávke (zdokumentované</w:t>
      </w:r>
      <w:r w:rsidR="00A96109" w:rsidRPr="00A964E5">
        <w:rPr>
          <w:szCs w:val="22"/>
        </w:rPr>
        <w:t xml:space="preserve"> u </w:t>
      </w:r>
      <w:r w:rsidRPr="00A964E5">
        <w:rPr>
          <w:szCs w:val="22"/>
        </w:rPr>
        <w:t xml:space="preserve">6 mg). Riziko sa zvyšuje pri vyšších dávkach. </w:t>
      </w:r>
      <w:proofErr w:type="spellStart"/>
      <w:r w:rsidRPr="00A964E5">
        <w:rPr>
          <w:szCs w:val="22"/>
        </w:rPr>
        <w:t>Amnestické</w:t>
      </w:r>
      <w:proofErr w:type="spellEnd"/>
      <w:r w:rsidRPr="00A964E5">
        <w:rPr>
          <w:szCs w:val="22"/>
        </w:rPr>
        <w:t xml:space="preserve"> účinky môžu byť</w:t>
      </w:r>
      <w:r w:rsidRPr="00526FFA">
        <w:t xml:space="preserve"> spojené</w:t>
      </w:r>
      <w:r w:rsidR="00A96109" w:rsidRPr="00526FFA">
        <w:t xml:space="preserve"> s </w:t>
      </w:r>
      <w:r w:rsidRPr="00526FFA">
        <w:t>nevhodným správaním. Tento stav sa vyskytuje najčastejšie niekoľko hodín po podaní lieku. K zníženiu rizika sa má pacientom zabezpečiť možnosť neprerušovaného spánku 7 – 8 hodín (pozri časť 4.8).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DF78F3" w:rsidRDefault="00E0791E" w:rsidP="00442FE7">
      <w:pPr>
        <w:pStyle w:val="Styl3"/>
      </w:pPr>
      <w:r w:rsidRPr="00A964E5">
        <w:t>Psychické</w:t>
      </w:r>
      <w:r w:rsidR="00A96109" w:rsidRPr="00A964E5">
        <w:t xml:space="preserve"> a </w:t>
      </w:r>
      <w:r w:rsidRPr="00A964E5">
        <w:t>"paradoxné" reakcie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DF78F3">
        <w:rPr>
          <w:szCs w:val="22"/>
        </w:rPr>
        <w:t xml:space="preserve">Pri užívaní </w:t>
      </w:r>
      <w:proofErr w:type="spellStart"/>
      <w:r w:rsidRPr="00DF78F3">
        <w:rPr>
          <w:szCs w:val="22"/>
        </w:rPr>
        <w:t>benzodiazepínov</w:t>
      </w:r>
      <w:proofErr w:type="spellEnd"/>
      <w:r w:rsidRPr="00DF78F3">
        <w:rPr>
          <w:szCs w:val="22"/>
        </w:rPr>
        <w:t xml:space="preserve"> sa môžu vyskytnúť reakcie ako nepokoj, </w:t>
      </w:r>
      <w:proofErr w:type="spellStart"/>
      <w:r w:rsidRPr="00DF78F3">
        <w:rPr>
          <w:szCs w:val="22"/>
        </w:rPr>
        <w:t>agitovanosť</w:t>
      </w:r>
      <w:proofErr w:type="spellEnd"/>
      <w:r w:rsidRPr="00DF78F3">
        <w:rPr>
          <w:szCs w:val="22"/>
        </w:rPr>
        <w:t>, podráždenosť, agresivita, bludy, zúrivosť, nočné mory, halucinácie, psychózy, neprimerané správanie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 xml:space="preserve">iné nežiaduce </w:t>
      </w:r>
      <w:proofErr w:type="spellStart"/>
      <w:r w:rsidRPr="00526FFA">
        <w:rPr>
          <w:szCs w:val="22"/>
        </w:rPr>
        <w:t>behaviorálne</w:t>
      </w:r>
      <w:proofErr w:type="spellEnd"/>
      <w:r w:rsidRPr="00526FFA">
        <w:rPr>
          <w:szCs w:val="22"/>
        </w:rPr>
        <w:t xml:space="preserve"> účinky. Ak k tomu dôjde, užívanie lieku sa má prerušiť.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Tieto reakcie sú častejšie</w:t>
      </w:r>
      <w:r w:rsidR="00A96109" w:rsidRPr="00526FFA">
        <w:t xml:space="preserve"> u </w:t>
      </w:r>
      <w:r w:rsidRPr="00526FFA">
        <w:t>detí</w:t>
      </w:r>
      <w:r w:rsidR="00A96109" w:rsidRPr="00526FFA">
        <w:t xml:space="preserve"> a </w:t>
      </w:r>
      <w:r w:rsidRPr="00526FFA">
        <w:t>starších osôb.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Osobitné skupiny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A964E5">
        <w:rPr>
          <w:szCs w:val="22"/>
        </w:rPr>
        <w:t>Benzodiazepíny</w:t>
      </w:r>
      <w:proofErr w:type="spellEnd"/>
      <w:r w:rsidRPr="00A964E5">
        <w:rPr>
          <w:szCs w:val="22"/>
        </w:rPr>
        <w:t xml:space="preserve"> sa nepodávajú deťom bez starostlivého zhodnotenia; dobu liečby je potrebné obmedziť na minimum. Starší pacienti majú dostať nižšiu dávku (pozri časť 4.2). Vzhľadom na </w:t>
      </w:r>
      <w:proofErr w:type="spellStart"/>
      <w:r w:rsidRPr="00A964E5">
        <w:rPr>
          <w:szCs w:val="22"/>
        </w:rPr>
        <w:t>myorelaxačný</w:t>
      </w:r>
      <w:proofErr w:type="spellEnd"/>
      <w:r w:rsidRPr="00526FFA">
        <w:rPr>
          <w:szCs w:val="22"/>
        </w:rPr>
        <w:t xml:space="preserve"> účinok </w:t>
      </w:r>
      <w:proofErr w:type="spellStart"/>
      <w:r w:rsidRPr="00526FFA">
        <w:rPr>
          <w:szCs w:val="22"/>
        </w:rPr>
        <w:t>benzodiazepínov</w:t>
      </w:r>
      <w:proofErr w:type="spellEnd"/>
      <w:r w:rsidRPr="00526FFA">
        <w:rPr>
          <w:szCs w:val="22"/>
        </w:rPr>
        <w:t xml:space="preserve"> sa</w:t>
      </w:r>
      <w:r w:rsidR="00A96109" w:rsidRPr="00526FFA">
        <w:rPr>
          <w:szCs w:val="22"/>
        </w:rPr>
        <w:t xml:space="preserve"> u </w:t>
      </w:r>
      <w:r w:rsidRPr="00526FFA">
        <w:rPr>
          <w:szCs w:val="22"/>
        </w:rPr>
        <w:t>starších pacientov zvyšuje riziko pádu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následne zlomenín krčku stehennej kosti. Nižšie dávky sa tiež odporúčajú</w:t>
      </w:r>
      <w:r w:rsidR="00A96109" w:rsidRPr="00526FFA">
        <w:rPr>
          <w:szCs w:val="22"/>
        </w:rPr>
        <w:t xml:space="preserve"> u </w:t>
      </w:r>
      <w:r w:rsidRPr="00526FFA">
        <w:rPr>
          <w:szCs w:val="22"/>
        </w:rPr>
        <w:t>pacientov</w:t>
      </w:r>
      <w:r w:rsidR="00A96109" w:rsidRPr="00526FFA">
        <w:rPr>
          <w:szCs w:val="22"/>
        </w:rPr>
        <w:t xml:space="preserve"> s </w:t>
      </w:r>
      <w:r w:rsidRPr="00526FFA">
        <w:rPr>
          <w:szCs w:val="22"/>
        </w:rPr>
        <w:t xml:space="preserve">chronickou respiračnou nedostatočnosťou vzhľadom k riziku respiračnej depresie. </w:t>
      </w:r>
      <w:proofErr w:type="spellStart"/>
      <w:r w:rsidRPr="00526FFA">
        <w:rPr>
          <w:szCs w:val="22"/>
        </w:rPr>
        <w:t>Benzodiazepíny</w:t>
      </w:r>
      <w:proofErr w:type="spellEnd"/>
      <w:r w:rsidRPr="00526FFA">
        <w:rPr>
          <w:szCs w:val="22"/>
        </w:rPr>
        <w:t xml:space="preserve"> nie sú indikované na liečbu pacientov</w:t>
      </w:r>
      <w:r w:rsidR="00A96109" w:rsidRPr="00526FFA">
        <w:rPr>
          <w:szCs w:val="22"/>
        </w:rPr>
        <w:t xml:space="preserve"> s </w:t>
      </w:r>
      <w:r w:rsidRPr="00526FFA">
        <w:rPr>
          <w:szCs w:val="22"/>
        </w:rPr>
        <w:t xml:space="preserve">ťažkou </w:t>
      </w:r>
      <w:proofErr w:type="spellStart"/>
      <w:r w:rsidRPr="00526FFA">
        <w:rPr>
          <w:szCs w:val="22"/>
        </w:rPr>
        <w:t>hepatálnou</w:t>
      </w:r>
      <w:proofErr w:type="spellEnd"/>
      <w:r w:rsidRPr="00526FFA">
        <w:rPr>
          <w:szCs w:val="22"/>
        </w:rPr>
        <w:t xml:space="preserve"> </w:t>
      </w:r>
      <w:proofErr w:type="spellStart"/>
      <w:r w:rsidRPr="00526FFA">
        <w:rPr>
          <w:szCs w:val="22"/>
        </w:rPr>
        <w:t>insuficienciou</w:t>
      </w:r>
      <w:proofErr w:type="spellEnd"/>
      <w:r w:rsidRPr="00526FFA">
        <w:rPr>
          <w:szCs w:val="22"/>
        </w:rPr>
        <w:t xml:space="preserve">, pretože môžu urýchliť vznik </w:t>
      </w:r>
      <w:proofErr w:type="spellStart"/>
      <w:r w:rsidRPr="00526FFA">
        <w:rPr>
          <w:szCs w:val="22"/>
        </w:rPr>
        <w:t>encefalopatie</w:t>
      </w:r>
      <w:proofErr w:type="spellEnd"/>
      <w:r w:rsidRPr="00526FFA">
        <w:rPr>
          <w:szCs w:val="22"/>
        </w:rPr>
        <w:t>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rPr>
          <w:szCs w:val="22"/>
        </w:rPr>
        <w:t>Benzodiazepíny</w:t>
      </w:r>
      <w:proofErr w:type="spellEnd"/>
      <w:r w:rsidRPr="00526FFA">
        <w:rPr>
          <w:szCs w:val="22"/>
        </w:rPr>
        <w:t xml:space="preserve"> sa neodporúčajú na primárnu liečbu psychotických ochorení.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t>Benzodiazepíny</w:t>
      </w:r>
      <w:proofErr w:type="spellEnd"/>
      <w:r w:rsidRPr="00526FFA">
        <w:t xml:space="preserve"> sa nemajú používať samostatne na liečbu depresie alebo úzkosti spojenej</w:t>
      </w:r>
      <w:r w:rsidR="00A96109" w:rsidRPr="00526FFA">
        <w:t xml:space="preserve"> s </w:t>
      </w:r>
      <w:r w:rsidRPr="00526FFA">
        <w:t>depresiou (u týchto pacientov sa môže zvýšiť riziko samovraždy).</w:t>
      </w:r>
    </w:p>
    <w:p w:rsidR="00DF749A" w:rsidRPr="00C34FB4" w:rsidRDefault="00DF749A" w:rsidP="00D248ED">
      <w:pPr>
        <w:pStyle w:val="Normlndobloku"/>
        <w:spacing w:after="0"/>
        <w:jc w:val="left"/>
        <w:rPr>
          <w:szCs w:val="22"/>
        </w:rPr>
      </w:pPr>
    </w:p>
    <w:p w:rsidR="00DF749A" w:rsidRPr="00A964E5" w:rsidRDefault="00DF749A" w:rsidP="00442FE7">
      <w:pPr>
        <w:pStyle w:val="Styl3"/>
      </w:pPr>
      <w:r w:rsidRPr="00A964E5">
        <w:t xml:space="preserve">Riziko súbežného užívania </w:t>
      </w:r>
      <w:proofErr w:type="spellStart"/>
      <w:r w:rsidRPr="00A964E5">
        <w:t>opioidov</w:t>
      </w:r>
      <w:proofErr w:type="spellEnd"/>
    </w:p>
    <w:p w:rsidR="00BB2874" w:rsidRDefault="00DF749A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 xml:space="preserve">Súčasné užívanie </w:t>
      </w:r>
      <w:proofErr w:type="spellStart"/>
      <w:r w:rsidRPr="00A964E5">
        <w:rPr>
          <w:szCs w:val="22"/>
        </w:rPr>
        <w:t>bromazepamu</w:t>
      </w:r>
      <w:proofErr w:type="spellEnd"/>
      <w:r w:rsidR="00A96109" w:rsidRPr="00A964E5">
        <w:rPr>
          <w:szCs w:val="22"/>
        </w:rPr>
        <w:t xml:space="preserve"> a </w:t>
      </w:r>
      <w:proofErr w:type="spellStart"/>
      <w:r w:rsidRPr="00DF78F3">
        <w:rPr>
          <w:szCs w:val="22"/>
        </w:rPr>
        <w:t>opioidov</w:t>
      </w:r>
      <w:proofErr w:type="spellEnd"/>
      <w:r w:rsidRPr="00DF78F3">
        <w:rPr>
          <w:szCs w:val="22"/>
        </w:rPr>
        <w:t xml:space="preserve"> môže mať za následok</w:t>
      </w:r>
      <w:r w:rsidR="00A96109" w:rsidRPr="00DF78F3">
        <w:rPr>
          <w:szCs w:val="22"/>
        </w:rPr>
        <w:t xml:space="preserve"> </w:t>
      </w:r>
      <w:r w:rsidRPr="00DF78F3">
        <w:rPr>
          <w:szCs w:val="22"/>
        </w:rPr>
        <w:t>útlm, respiračnú depresiu, kómu</w:t>
      </w:r>
      <w:r w:rsidR="00A96109" w:rsidRPr="00DF78F3">
        <w:rPr>
          <w:szCs w:val="22"/>
        </w:rPr>
        <w:t xml:space="preserve"> a </w:t>
      </w:r>
      <w:r w:rsidRPr="00DF78F3">
        <w:rPr>
          <w:szCs w:val="22"/>
        </w:rPr>
        <w:t xml:space="preserve">smrť. Vzhľadom na tieto riziká má byť </w:t>
      </w:r>
      <w:r w:rsidRPr="00526FFA">
        <w:rPr>
          <w:szCs w:val="22"/>
        </w:rPr>
        <w:t xml:space="preserve">súbežné predpisovanie sedatívnych liekov, ako sú </w:t>
      </w:r>
      <w:proofErr w:type="spellStart"/>
      <w:r w:rsidRPr="00526FFA">
        <w:rPr>
          <w:szCs w:val="22"/>
        </w:rPr>
        <w:t>benzodiazepíny</w:t>
      </w:r>
      <w:proofErr w:type="spellEnd"/>
      <w:r w:rsidRPr="00526FFA">
        <w:rPr>
          <w:szCs w:val="22"/>
        </w:rPr>
        <w:t xml:space="preserve"> alebo príbuzné lieky, ako napríklad </w:t>
      </w:r>
      <w:proofErr w:type="spellStart"/>
      <w:r w:rsidRPr="00526FFA">
        <w:rPr>
          <w:szCs w:val="22"/>
        </w:rPr>
        <w:t>bromazepam</w:t>
      </w:r>
      <w:proofErr w:type="spellEnd"/>
      <w:r w:rsidR="00A96109" w:rsidRPr="00526FFA">
        <w:rPr>
          <w:szCs w:val="22"/>
        </w:rPr>
        <w:t xml:space="preserve"> s </w:t>
      </w:r>
      <w:proofErr w:type="spellStart"/>
      <w:r w:rsidRPr="00526FFA">
        <w:rPr>
          <w:szCs w:val="22"/>
        </w:rPr>
        <w:t>opioidmi</w:t>
      </w:r>
      <w:proofErr w:type="spellEnd"/>
      <w:r w:rsidRPr="00526FFA">
        <w:rPr>
          <w:szCs w:val="22"/>
        </w:rPr>
        <w:t xml:space="preserve">, </w:t>
      </w:r>
      <w:r w:rsidR="00BB2874">
        <w:rPr>
          <w:szCs w:val="22"/>
        </w:rPr>
        <w:t>určené</w:t>
      </w:r>
      <w:r w:rsidRPr="00C34FB4">
        <w:rPr>
          <w:szCs w:val="22"/>
        </w:rPr>
        <w:t xml:space="preserve"> pre pacientov,</w:t>
      </w:r>
      <w:r w:rsidR="00A96109" w:rsidRPr="00C34FB4">
        <w:rPr>
          <w:szCs w:val="22"/>
        </w:rPr>
        <w:t xml:space="preserve"> u </w:t>
      </w:r>
      <w:r w:rsidRPr="00C34FB4">
        <w:rPr>
          <w:szCs w:val="22"/>
        </w:rPr>
        <w:t xml:space="preserve">ktorých nie sú </w:t>
      </w:r>
      <w:r w:rsidR="00910EAC" w:rsidRPr="00C34FB4">
        <w:rPr>
          <w:szCs w:val="22"/>
        </w:rPr>
        <w:t xml:space="preserve">možné </w:t>
      </w:r>
      <w:r w:rsidRPr="00C34FB4">
        <w:rPr>
          <w:szCs w:val="22"/>
        </w:rPr>
        <w:t xml:space="preserve">alternatívne možnosti liečby. </w:t>
      </w:r>
    </w:p>
    <w:p w:rsidR="00DF749A" w:rsidRPr="00C34FB4" w:rsidRDefault="00DF749A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 xml:space="preserve">Ak sa rozhodne o súbežnom podávaní </w:t>
      </w:r>
      <w:proofErr w:type="spellStart"/>
      <w:r w:rsidRPr="00C34FB4">
        <w:rPr>
          <w:szCs w:val="22"/>
        </w:rPr>
        <w:t>bromazepamu</w:t>
      </w:r>
      <w:proofErr w:type="spellEnd"/>
      <w:r w:rsidR="00A96109" w:rsidRPr="00C34FB4">
        <w:rPr>
          <w:szCs w:val="22"/>
        </w:rPr>
        <w:t xml:space="preserve"> s </w:t>
      </w:r>
      <w:proofErr w:type="spellStart"/>
      <w:r w:rsidR="00815ED2" w:rsidRPr="00C34FB4">
        <w:rPr>
          <w:szCs w:val="22"/>
        </w:rPr>
        <w:t>opioid</w:t>
      </w:r>
      <w:r w:rsidR="00BB2874">
        <w:rPr>
          <w:szCs w:val="22"/>
        </w:rPr>
        <w:t>mi</w:t>
      </w:r>
      <w:proofErr w:type="spellEnd"/>
      <w:r w:rsidRPr="00C34FB4">
        <w:rPr>
          <w:szCs w:val="22"/>
        </w:rPr>
        <w:t>, má byť použitá najnižšia účinná dávka</w:t>
      </w:r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>trvanie liečby má byť čo najkratšie (pozri tiež všeobecné odporúčania týkajúce sa dávky</w:t>
      </w:r>
      <w:r w:rsidR="00A96109" w:rsidRPr="00C34FB4">
        <w:rPr>
          <w:szCs w:val="22"/>
        </w:rPr>
        <w:t xml:space="preserve"> v </w:t>
      </w:r>
      <w:r w:rsidRPr="00C34FB4">
        <w:rPr>
          <w:szCs w:val="22"/>
        </w:rPr>
        <w:t>časti 4.2).</w:t>
      </w:r>
    </w:p>
    <w:p w:rsidR="00BB2874" w:rsidRPr="00C34FB4" w:rsidRDefault="00DF749A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lastRenderedPageBreak/>
        <w:t>Pacienti majú byť pozorne sledovaní</w:t>
      </w:r>
      <w:r w:rsidR="00A96109" w:rsidRPr="00C34FB4">
        <w:rPr>
          <w:szCs w:val="22"/>
        </w:rPr>
        <w:t xml:space="preserve"> </w:t>
      </w:r>
      <w:r w:rsidR="00BB2874">
        <w:rPr>
          <w:szCs w:val="22"/>
        </w:rPr>
        <w:t>kvôli</w:t>
      </w:r>
      <w:r w:rsidRPr="00A964E5">
        <w:rPr>
          <w:szCs w:val="22"/>
        </w:rPr>
        <w:t xml:space="preserve"> </w:t>
      </w:r>
      <w:r w:rsidR="00BB2874">
        <w:rPr>
          <w:szCs w:val="22"/>
        </w:rPr>
        <w:t xml:space="preserve">prejavom a </w:t>
      </w:r>
      <w:r w:rsidRPr="00C34FB4">
        <w:rPr>
          <w:szCs w:val="22"/>
        </w:rPr>
        <w:t>príznako</w:t>
      </w:r>
      <w:r w:rsidR="00BB2874">
        <w:rPr>
          <w:szCs w:val="22"/>
        </w:rPr>
        <w:t>m</w:t>
      </w:r>
      <w:r w:rsidRPr="00C34FB4">
        <w:rPr>
          <w:szCs w:val="22"/>
        </w:rPr>
        <w:t xml:space="preserve"> respiračnej depresie</w:t>
      </w:r>
      <w:r w:rsidR="00A96109" w:rsidRPr="00C34FB4">
        <w:rPr>
          <w:szCs w:val="22"/>
        </w:rPr>
        <w:t xml:space="preserve"> a </w:t>
      </w:r>
      <w:proofErr w:type="spellStart"/>
      <w:r w:rsidRPr="00C34FB4">
        <w:rPr>
          <w:szCs w:val="22"/>
        </w:rPr>
        <w:t>sedácie</w:t>
      </w:r>
      <w:proofErr w:type="spellEnd"/>
      <w:r w:rsidRPr="00C34FB4">
        <w:rPr>
          <w:szCs w:val="22"/>
        </w:rPr>
        <w:t>.</w:t>
      </w:r>
      <w:r w:rsidR="00A96109" w:rsidRPr="00C34FB4">
        <w:rPr>
          <w:szCs w:val="22"/>
        </w:rPr>
        <w:t xml:space="preserve"> V </w:t>
      </w:r>
      <w:r w:rsidRPr="00C34FB4">
        <w:rPr>
          <w:szCs w:val="22"/>
        </w:rPr>
        <w:t>tejto súvislosti sa dôrazne odporúča informovať pacientov</w:t>
      </w:r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 xml:space="preserve">osoby, ktoré sa o </w:t>
      </w:r>
      <w:proofErr w:type="spellStart"/>
      <w:r w:rsidRPr="00C34FB4">
        <w:rPr>
          <w:szCs w:val="22"/>
        </w:rPr>
        <w:t>ne</w:t>
      </w:r>
      <w:proofErr w:type="spellEnd"/>
      <w:r w:rsidRPr="00C34FB4">
        <w:rPr>
          <w:szCs w:val="22"/>
        </w:rPr>
        <w:t xml:space="preserve"> starajú o týchto príznakoch (pozri časť 4.5).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Tento liek obsahuje laktózu</w:t>
      </w:r>
      <w:r w:rsidR="002E41C3" w:rsidRPr="00A964E5">
        <w:rPr>
          <w:szCs w:val="22"/>
        </w:rPr>
        <w:t>. P</w:t>
      </w:r>
      <w:r w:rsidRPr="00DF78F3">
        <w:rPr>
          <w:szCs w:val="22"/>
        </w:rPr>
        <w:t xml:space="preserve">acienti so zriedkavými dedičnými problémami </w:t>
      </w:r>
      <w:proofErr w:type="spellStart"/>
      <w:r w:rsidRPr="00DF78F3">
        <w:rPr>
          <w:szCs w:val="22"/>
        </w:rPr>
        <w:t>galaktózovej</w:t>
      </w:r>
      <w:proofErr w:type="spellEnd"/>
      <w:r w:rsidRPr="00DF78F3">
        <w:rPr>
          <w:szCs w:val="22"/>
        </w:rPr>
        <w:t xml:space="preserve"> intolerancie, </w:t>
      </w:r>
      <w:r w:rsidR="002E41C3" w:rsidRPr="00526FFA">
        <w:rPr>
          <w:szCs w:val="22"/>
        </w:rPr>
        <w:t xml:space="preserve">celkovým deficitom </w:t>
      </w:r>
      <w:proofErr w:type="spellStart"/>
      <w:r w:rsidRPr="00526FFA">
        <w:rPr>
          <w:szCs w:val="22"/>
        </w:rPr>
        <w:t>laktázy</w:t>
      </w:r>
      <w:proofErr w:type="spellEnd"/>
      <w:r w:rsidRPr="00526FFA">
        <w:rPr>
          <w:szCs w:val="22"/>
        </w:rPr>
        <w:t xml:space="preserve"> alebo </w:t>
      </w:r>
      <w:proofErr w:type="spellStart"/>
      <w:r w:rsidRPr="00526FFA">
        <w:rPr>
          <w:szCs w:val="22"/>
        </w:rPr>
        <w:t>glukózo-galaktózovou</w:t>
      </w:r>
      <w:proofErr w:type="spellEnd"/>
      <w:r w:rsidRPr="00526FFA">
        <w:rPr>
          <w:szCs w:val="22"/>
        </w:rPr>
        <w:t xml:space="preserve"> </w:t>
      </w:r>
      <w:proofErr w:type="spellStart"/>
      <w:r w:rsidRPr="00526FFA">
        <w:rPr>
          <w:szCs w:val="22"/>
        </w:rPr>
        <w:t>malabsorpciou</w:t>
      </w:r>
      <w:proofErr w:type="spellEnd"/>
      <w:r w:rsidR="002E41C3" w:rsidRPr="00526FFA">
        <w:rPr>
          <w:szCs w:val="22"/>
        </w:rPr>
        <w:t xml:space="preserve"> nesmú užívať tento liek</w:t>
      </w:r>
      <w:r w:rsidRPr="00526FFA">
        <w:rPr>
          <w:szCs w:val="22"/>
        </w:rPr>
        <w:t>.</w:t>
      </w:r>
    </w:p>
    <w:p w:rsidR="0090675E" w:rsidRPr="00C34FB4" w:rsidRDefault="0090675E" w:rsidP="00D248ED">
      <w:pPr>
        <w:pStyle w:val="Normlndobloku"/>
        <w:spacing w:after="0"/>
        <w:jc w:val="left"/>
        <w:rPr>
          <w:szCs w:val="22"/>
        </w:rPr>
      </w:pPr>
    </w:p>
    <w:p w:rsidR="00E0791E" w:rsidRDefault="00442FE7" w:rsidP="00442FE7">
      <w:pPr>
        <w:pStyle w:val="Styl2"/>
      </w:pPr>
      <w:r w:rsidRPr="00442FE7">
        <w:t>4.5</w:t>
      </w:r>
      <w:r w:rsidRPr="00442FE7">
        <w:tab/>
      </w:r>
      <w:r w:rsidR="00E0791E" w:rsidRPr="00442FE7">
        <w:t>Liekové</w:t>
      </w:r>
      <w:r w:rsidR="00A96109" w:rsidRPr="00C34FB4">
        <w:t xml:space="preserve"> a </w:t>
      </w:r>
      <w:r w:rsidR="00E0791E" w:rsidRPr="00C34FB4">
        <w:t>iné interakcie</w:t>
      </w:r>
    </w:p>
    <w:p w:rsidR="00526FFA" w:rsidRPr="00C34FB4" w:rsidRDefault="00526FFA" w:rsidP="00442FE7">
      <w:pPr>
        <w:pStyle w:val="Styl2"/>
      </w:pPr>
    </w:p>
    <w:p w:rsidR="00E0791E" w:rsidRPr="00C34FB4" w:rsidRDefault="00E0791E" w:rsidP="00442FE7">
      <w:pPr>
        <w:pStyle w:val="Styl3"/>
      </w:pPr>
      <w:proofErr w:type="spellStart"/>
      <w:r w:rsidRPr="00C34FB4">
        <w:t>Farmakokinetické</w:t>
      </w:r>
      <w:proofErr w:type="spellEnd"/>
      <w:r w:rsidRPr="00C34FB4">
        <w:t xml:space="preserve"> liekové interakcie (DDI – </w:t>
      </w:r>
      <w:proofErr w:type="spellStart"/>
      <w:r w:rsidRPr="00C34FB4">
        <w:t>Drug-Drug</w:t>
      </w:r>
      <w:proofErr w:type="spellEnd"/>
      <w:r w:rsidRPr="00C34FB4">
        <w:t xml:space="preserve"> </w:t>
      </w:r>
      <w:proofErr w:type="spellStart"/>
      <w:r w:rsidRPr="00C34FB4">
        <w:t>Interaction</w:t>
      </w:r>
      <w:proofErr w:type="spellEnd"/>
      <w:r w:rsidRPr="00C34FB4">
        <w:t>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 xml:space="preserve">Zlúčeniny, ktoré </w:t>
      </w:r>
      <w:proofErr w:type="spellStart"/>
      <w:r w:rsidRPr="00C34FB4">
        <w:rPr>
          <w:szCs w:val="22"/>
        </w:rPr>
        <w:t>inhibujú</w:t>
      </w:r>
      <w:proofErr w:type="spellEnd"/>
      <w:r w:rsidRPr="00C34FB4">
        <w:rPr>
          <w:szCs w:val="22"/>
        </w:rPr>
        <w:t xml:space="preserve"> určité pečeňové enzýmy (najmä </w:t>
      </w:r>
      <w:proofErr w:type="spellStart"/>
      <w:r w:rsidRPr="00C34FB4">
        <w:rPr>
          <w:szCs w:val="22"/>
        </w:rPr>
        <w:t>cytochróm</w:t>
      </w:r>
      <w:proofErr w:type="spellEnd"/>
      <w:r w:rsidRPr="00C34FB4">
        <w:rPr>
          <w:szCs w:val="22"/>
        </w:rPr>
        <w:t xml:space="preserve"> P450), môžu zosilniť účinok tých </w:t>
      </w:r>
      <w:proofErr w:type="spellStart"/>
      <w:r w:rsidRPr="00C34FB4">
        <w:rPr>
          <w:szCs w:val="22"/>
        </w:rPr>
        <w:t>benzodiazepínov</w:t>
      </w:r>
      <w:proofErr w:type="spellEnd"/>
      <w:r w:rsidRPr="00C34FB4">
        <w:rPr>
          <w:szCs w:val="22"/>
        </w:rPr>
        <w:t>, ktoré sú týmito enzýmami metabolizované.</w:t>
      </w:r>
      <w:r w:rsidR="00A96109" w:rsidRPr="00A964E5">
        <w:rPr>
          <w:szCs w:val="22"/>
        </w:rPr>
        <w:t xml:space="preserve"> V </w:t>
      </w:r>
      <w:r w:rsidRPr="00A964E5">
        <w:rPr>
          <w:szCs w:val="22"/>
        </w:rPr>
        <w:t xml:space="preserve">menšej miere to platí aj pre </w:t>
      </w:r>
      <w:proofErr w:type="spellStart"/>
      <w:r w:rsidRPr="00A964E5">
        <w:rPr>
          <w:szCs w:val="22"/>
        </w:rPr>
        <w:t>benzodiazepíny</w:t>
      </w:r>
      <w:proofErr w:type="spellEnd"/>
      <w:r w:rsidRPr="00A964E5">
        <w:rPr>
          <w:szCs w:val="22"/>
        </w:rPr>
        <w:t>, ktoré sú metabolizované iba konjugáciou.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Súbežné podávanie </w:t>
      </w:r>
      <w:proofErr w:type="spellStart"/>
      <w:r w:rsidRPr="00526FFA">
        <w:t>cimetidínu</w:t>
      </w:r>
      <w:proofErr w:type="spellEnd"/>
      <w:r w:rsidRPr="00526FFA">
        <w:t xml:space="preserve"> môže predĺžiť eliminačný polčas </w:t>
      </w:r>
      <w:proofErr w:type="spellStart"/>
      <w:r w:rsidRPr="00526FFA">
        <w:t>bromazepamu</w:t>
      </w:r>
      <w:proofErr w:type="spellEnd"/>
      <w:r w:rsidRPr="00526FFA">
        <w:t>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C34FB4" w:rsidRDefault="00E0791E" w:rsidP="00442FE7">
      <w:pPr>
        <w:pStyle w:val="Styl3"/>
      </w:pPr>
      <w:proofErr w:type="spellStart"/>
      <w:r w:rsidRPr="00C34FB4">
        <w:t>Farmakodynamické</w:t>
      </w:r>
      <w:proofErr w:type="spellEnd"/>
      <w:r w:rsidRPr="00C34FB4">
        <w:t xml:space="preserve"> liekové interakcie (DDI – </w:t>
      </w:r>
      <w:proofErr w:type="spellStart"/>
      <w:r w:rsidRPr="00C34FB4">
        <w:t>Drug-Drug</w:t>
      </w:r>
      <w:proofErr w:type="spellEnd"/>
      <w:r w:rsidRPr="00C34FB4">
        <w:t xml:space="preserve"> </w:t>
      </w:r>
      <w:proofErr w:type="spellStart"/>
      <w:r w:rsidRPr="00C34FB4">
        <w:t>Interaction</w:t>
      </w:r>
      <w:proofErr w:type="spellEnd"/>
      <w:r w:rsidRPr="00C34FB4">
        <w:t>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 xml:space="preserve">Ak je </w:t>
      </w:r>
      <w:proofErr w:type="spellStart"/>
      <w:r w:rsidRPr="00C34FB4">
        <w:rPr>
          <w:szCs w:val="22"/>
        </w:rPr>
        <w:t>bromazepam</w:t>
      </w:r>
      <w:proofErr w:type="spellEnd"/>
      <w:r w:rsidRPr="00C34FB4">
        <w:rPr>
          <w:szCs w:val="22"/>
        </w:rPr>
        <w:t xml:space="preserve"> podávaný</w:t>
      </w:r>
      <w:r w:rsidR="00A96109" w:rsidRPr="00C34FB4">
        <w:rPr>
          <w:szCs w:val="22"/>
        </w:rPr>
        <w:t xml:space="preserve"> s </w:t>
      </w:r>
      <w:r w:rsidRPr="00C34FB4">
        <w:rPr>
          <w:szCs w:val="22"/>
        </w:rPr>
        <w:t>centrálne pôsobiacimi tlmiacimi liekmi alebo alkoholom, môžu byť zosilnené sedatívne účinky ako aj vplyv na dýchanie</w:t>
      </w:r>
      <w:r w:rsidR="00A96109" w:rsidRPr="00A964E5">
        <w:rPr>
          <w:szCs w:val="22"/>
        </w:rPr>
        <w:t xml:space="preserve"> a </w:t>
      </w:r>
      <w:proofErr w:type="spellStart"/>
      <w:r w:rsidRPr="00A964E5">
        <w:rPr>
          <w:szCs w:val="22"/>
        </w:rPr>
        <w:t>hemodynamiku</w:t>
      </w:r>
      <w:proofErr w:type="spellEnd"/>
      <w:r w:rsidRPr="00A964E5">
        <w:rPr>
          <w:szCs w:val="22"/>
        </w:rPr>
        <w:t>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Pacienti užívajúci </w:t>
      </w:r>
      <w:proofErr w:type="spellStart"/>
      <w:r w:rsidRPr="00526FFA">
        <w:t>bromazepam</w:t>
      </w:r>
      <w:proofErr w:type="spellEnd"/>
      <w:r w:rsidRPr="00526FFA">
        <w:t xml:space="preserve"> sa majú vyhnúť alkoholu (pozri časť 4.4).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t>Benzodiazepíny</w:t>
      </w:r>
      <w:proofErr w:type="spellEnd"/>
      <w:r w:rsidRPr="00526FFA">
        <w:t xml:space="preserve"> zvyšujú účinok ostatných látok pôsobiacich na centrálne nervový systém, vrátane alkoholu (pozri bod 4.9).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V prípade narkotických analgetík môže dôjsť k zosilneniu eufórie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tým k zvýšeniu psychickej drogovej závislosti.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C622A" w:rsidRPr="00526FFA" w:rsidRDefault="004C622A" w:rsidP="00442FE7">
      <w:pPr>
        <w:pStyle w:val="Styl3"/>
      </w:pPr>
      <w:proofErr w:type="spellStart"/>
      <w:r w:rsidRPr="00526FFA">
        <w:t>Opioidy</w:t>
      </w:r>
      <w:proofErr w:type="spellEnd"/>
    </w:p>
    <w:p w:rsidR="00526FFA" w:rsidRPr="00526FFA" w:rsidRDefault="004C622A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Súbežné užívanie sedatívnych liekov, ako sú </w:t>
      </w:r>
      <w:proofErr w:type="spellStart"/>
      <w:r w:rsidRPr="00526FFA">
        <w:t>benzodiazepíny</w:t>
      </w:r>
      <w:proofErr w:type="spellEnd"/>
      <w:r w:rsidRPr="00526FFA">
        <w:t xml:space="preserve"> alebo príbuzných liekov, ako</w:t>
      </w:r>
      <w:r w:rsidR="00BB2874">
        <w:rPr>
          <w:szCs w:val="22"/>
        </w:rPr>
        <w:t xml:space="preserve"> je</w:t>
      </w:r>
      <w:r w:rsidRPr="00C34FB4">
        <w:rPr>
          <w:szCs w:val="22"/>
        </w:rPr>
        <w:t xml:space="preserve"> </w:t>
      </w:r>
      <w:proofErr w:type="spellStart"/>
      <w:r w:rsidRPr="00C34FB4">
        <w:rPr>
          <w:szCs w:val="22"/>
        </w:rPr>
        <w:t>bromazepam</w:t>
      </w:r>
      <w:proofErr w:type="spellEnd"/>
      <w:r w:rsidR="00A96109" w:rsidRPr="00C34FB4">
        <w:rPr>
          <w:szCs w:val="22"/>
        </w:rPr>
        <w:t xml:space="preserve"> s </w:t>
      </w:r>
      <w:proofErr w:type="spellStart"/>
      <w:r w:rsidRPr="00C34FB4">
        <w:rPr>
          <w:szCs w:val="22"/>
        </w:rPr>
        <w:t>opioidmi</w:t>
      </w:r>
      <w:proofErr w:type="spellEnd"/>
      <w:r w:rsidRPr="00C34FB4">
        <w:rPr>
          <w:szCs w:val="22"/>
        </w:rPr>
        <w:t>, zvyšuje riziko útlmu, respiračnej depresie, kómy</w:t>
      </w:r>
      <w:r w:rsidR="00A96109" w:rsidRPr="00C34FB4">
        <w:rPr>
          <w:szCs w:val="22"/>
        </w:rPr>
        <w:t xml:space="preserve"> a </w:t>
      </w:r>
      <w:r w:rsidR="00BB2874">
        <w:rPr>
          <w:szCs w:val="22"/>
        </w:rPr>
        <w:t>úmrtia</w:t>
      </w:r>
      <w:r w:rsidR="00A96109" w:rsidRPr="00C34FB4">
        <w:rPr>
          <w:szCs w:val="22"/>
        </w:rPr>
        <w:t xml:space="preserve"> v </w:t>
      </w:r>
      <w:r w:rsidRPr="00C34FB4">
        <w:rPr>
          <w:szCs w:val="22"/>
        </w:rPr>
        <w:t>dôsledku aditívneho tlmiaceho účinku na CNS. Dávkovanie</w:t>
      </w:r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>trvanie súbežného užívania má byť obmedzené (pozri časť 4.4).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442FE7" w:rsidP="00442FE7">
      <w:pPr>
        <w:pStyle w:val="Styl2"/>
      </w:pPr>
      <w:r w:rsidRPr="00442FE7">
        <w:t>4.6</w:t>
      </w:r>
      <w:r w:rsidRPr="00442FE7">
        <w:tab/>
      </w:r>
      <w:proofErr w:type="spellStart"/>
      <w:r w:rsidR="00E0791E" w:rsidRPr="00442FE7">
        <w:t>Fertilita</w:t>
      </w:r>
      <w:proofErr w:type="spellEnd"/>
      <w:r w:rsidR="00E0791E" w:rsidRPr="00526FFA">
        <w:t>, gravidita</w:t>
      </w:r>
      <w:r w:rsidR="00A96109" w:rsidRPr="00526FFA">
        <w:t xml:space="preserve"> a</w:t>
      </w:r>
      <w:r w:rsidR="00526FFA" w:rsidRPr="00526FFA">
        <w:t> </w:t>
      </w:r>
      <w:r w:rsidR="00E0791E" w:rsidRPr="00526FFA">
        <w:t>laktácia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442FE7">
      <w:pPr>
        <w:pStyle w:val="Styl3"/>
      </w:pPr>
      <w:r w:rsidRPr="00526FFA">
        <w:t>Gravidita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rPr>
          <w:szCs w:val="22"/>
        </w:rPr>
        <w:t>Benzodiazepíny</w:t>
      </w:r>
      <w:proofErr w:type="spellEnd"/>
      <w:r w:rsidRPr="00526FFA">
        <w:rPr>
          <w:szCs w:val="22"/>
        </w:rPr>
        <w:t xml:space="preserve"> majú byť používané počas tehotenstva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 xml:space="preserve">dojčenia iba ak to lekár považuje za nevyhnutné. Štúdie na zvieratách preukázali malý vplyv </w:t>
      </w:r>
      <w:proofErr w:type="spellStart"/>
      <w:r w:rsidRPr="00526FFA">
        <w:rPr>
          <w:szCs w:val="22"/>
        </w:rPr>
        <w:t>benzodiazepínov</w:t>
      </w:r>
      <w:proofErr w:type="spellEnd"/>
      <w:r w:rsidRPr="00526FFA">
        <w:rPr>
          <w:szCs w:val="22"/>
        </w:rPr>
        <w:t xml:space="preserve"> na plod, niektoré štúdie uvádzajú neskoršie poruchy správania</w:t>
      </w:r>
      <w:r w:rsidR="00A96109" w:rsidRPr="00526FFA">
        <w:rPr>
          <w:szCs w:val="22"/>
        </w:rPr>
        <w:t xml:space="preserve"> u </w:t>
      </w:r>
      <w:r w:rsidRPr="00526FFA">
        <w:rPr>
          <w:szCs w:val="22"/>
        </w:rPr>
        <w:t xml:space="preserve">potomkov exponovaných in </w:t>
      </w:r>
      <w:proofErr w:type="spellStart"/>
      <w:r w:rsidRPr="00526FFA">
        <w:rPr>
          <w:szCs w:val="22"/>
        </w:rPr>
        <w:t>utero</w:t>
      </w:r>
      <w:proofErr w:type="spellEnd"/>
      <w:r w:rsidRPr="00526FFA">
        <w:rPr>
          <w:szCs w:val="22"/>
        </w:rPr>
        <w:t>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Ak sa zo závažných zdravotných dôvodov liek podáva</w:t>
      </w:r>
      <w:r w:rsidR="00A96109" w:rsidRPr="00526FFA">
        <w:rPr>
          <w:szCs w:val="22"/>
        </w:rPr>
        <w:t xml:space="preserve"> v </w:t>
      </w:r>
      <w:r w:rsidRPr="00526FFA">
        <w:rPr>
          <w:szCs w:val="22"/>
        </w:rPr>
        <w:t>neskorej fáze gravidity alebo počas pôrodu, možno vzhľadom na farmakologické účinky látky očakávať účinky na novorodenca, ako je hypotermia, hypotónia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mierna respiračná depresia.</w:t>
      </w:r>
    </w:p>
    <w:p w:rsidR="00526FFA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Okrem toho</w:t>
      </w:r>
      <w:r w:rsidR="00A96109" w:rsidRPr="00526FFA">
        <w:t xml:space="preserve"> u </w:t>
      </w:r>
      <w:r w:rsidRPr="00526FFA">
        <w:t xml:space="preserve">detí narodených matkám, ktoré chronicky užívali </w:t>
      </w:r>
      <w:proofErr w:type="spellStart"/>
      <w:r w:rsidRPr="00526FFA">
        <w:t>benzodiazepíny</w:t>
      </w:r>
      <w:proofErr w:type="spellEnd"/>
      <w:r w:rsidR="00A96109" w:rsidRPr="00526FFA">
        <w:t xml:space="preserve"> v </w:t>
      </w:r>
      <w:r w:rsidRPr="00526FFA">
        <w:t>neskorších fázach tehotenstva, môže vzniknúť fyzická závislosť</w:t>
      </w:r>
      <w:r w:rsidR="00A96109" w:rsidRPr="00526FFA">
        <w:t xml:space="preserve"> a v </w:t>
      </w:r>
      <w:r w:rsidRPr="00526FFA">
        <w:t>popôrodnom období je určité riziko vzniku abstinenčných príznakov.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E0791E" w:rsidP="00442FE7">
      <w:pPr>
        <w:pStyle w:val="Styl3"/>
      </w:pPr>
      <w:r w:rsidRPr="00526FFA">
        <w:t>Dojčenie</w:t>
      </w:r>
    </w:p>
    <w:p w:rsidR="00526FFA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Vzhľadom k tomu, že </w:t>
      </w:r>
      <w:proofErr w:type="spellStart"/>
      <w:r w:rsidRPr="00526FFA">
        <w:t>benzodiazepíny</w:t>
      </w:r>
      <w:proofErr w:type="spellEnd"/>
      <w:r w:rsidRPr="00526FFA">
        <w:t xml:space="preserve"> prechádzajú do materského mlieka, BROMAZEPAM MEDOCHEMIE nemá byť podávaný dojčiacim matkám.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E0791E" w:rsidP="00442FE7">
      <w:pPr>
        <w:pStyle w:val="Styl3"/>
      </w:pPr>
      <w:proofErr w:type="spellStart"/>
      <w:r w:rsidRPr="00526FFA">
        <w:t>Fertilita</w:t>
      </w:r>
      <w:proofErr w:type="spellEnd"/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 xml:space="preserve">Ak je </w:t>
      </w:r>
      <w:proofErr w:type="spellStart"/>
      <w:r w:rsidRPr="00526FFA">
        <w:rPr>
          <w:szCs w:val="22"/>
        </w:rPr>
        <w:t>bromazepam</w:t>
      </w:r>
      <w:proofErr w:type="spellEnd"/>
      <w:r w:rsidRPr="00526FFA">
        <w:rPr>
          <w:szCs w:val="22"/>
        </w:rPr>
        <w:t xml:space="preserve"> predpísaný žene vo fertilnom veku, mala by byť upozornená, aby navštívila lekára ohľadom vysadenia </w:t>
      </w:r>
      <w:proofErr w:type="spellStart"/>
      <w:r w:rsidRPr="00526FFA">
        <w:rPr>
          <w:szCs w:val="22"/>
        </w:rPr>
        <w:t>bromazepamu</w:t>
      </w:r>
      <w:proofErr w:type="spellEnd"/>
      <w:r w:rsidRPr="00526FFA">
        <w:rPr>
          <w:szCs w:val="22"/>
        </w:rPr>
        <w:t xml:space="preserve"> pokiaľ chce otehotnieť, alebo sa domnieva, že je tehotná.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442FE7" w:rsidP="00442FE7">
      <w:pPr>
        <w:pStyle w:val="Styl2"/>
      </w:pPr>
      <w:r w:rsidRPr="00442FE7">
        <w:t>4.7</w:t>
      </w:r>
      <w:r w:rsidRPr="00442FE7">
        <w:tab/>
      </w:r>
      <w:r w:rsidR="00E0791E" w:rsidRPr="00442FE7">
        <w:t>Ovplyvnenie</w:t>
      </w:r>
      <w:r w:rsidR="00E0791E" w:rsidRPr="00526FFA">
        <w:t xml:space="preserve"> schopnosti viesť vozidlá</w:t>
      </w:r>
      <w:r w:rsidR="00A96109" w:rsidRPr="00526FFA">
        <w:t xml:space="preserve"> a </w:t>
      </w:r>
      <w:r w:rsidR="00E0791E" w:rsidRPr="00526FFA">
        <w:t>obsluhovať stroje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rPr>
          <w:szCs w:val="22"/>
        </w:rPr>
        <w:t>Sedácia</w:t>
      </w:r>
      <w:proofErr w:type="spellEnd"/>
      <w:r w:rsidRPr="00526FFA">
        <w:rPr>
          <w:szCs w:val="22"/>
        </w:rPr>
        <w:t>, amnézia, zhoršená koncentrácia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 xml:space="preserve">zhoršená svalová funkcia môžu negatívne ovplyvniť schopnosť viesť vozidlo alebo obsluhovať stroje. Ak je nedostatok spánku, pravdepodobnosť </w:t>
      </w:r>
      <w:r w:rsidRPr="00526FFA">
        <w:rPr>
          <w:szCs w:val="22"/>
        </w:rPr>
        <w:lastRenderedPageBreak/>
        <w:t>zhoršenia pozornosti je vyššia (pozri časť 4.5). Pacienti majú byť ďalej upozornení, že alkohol môže zosilňovať akúkoľvek poruchu,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preto je potrebné sa mu počas liečby vyhnúť. Vedenie vozidiel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obsluhovanie strojov, ktorých použitie si vyžaduje osobitnú pozornosť alebo koncentráciu, sa neodporúča, kým nebude možné preukázať, že schopnosť vykonávať tieto činnosti nie je ovplyvnená.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442FE7" w:rsidP="00442FE7">
      <w:pPr>
        <w:pStyle w:val="Styl2"/>
      </w:pPr>
      <w:r w:rsidRPr="00442FE7">
        <w:t>4.8</w:t>
      </w:r>
      <w:r w:rsidRPr="00442FE7">
        <w:tab/>
      </w:r>
      <w:r w:rsidR="00E0791E" w:rsidRPr="00442FE7">
        <w:t>Nežiaduce</w:t>
      </w:r>
      <w:r w:rsidR="00E0791E" w:rsidRPr="00526FFA">
        <w:t xml:space="preserve"> účinky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Nežiaduce účinky, ktoré sa môžu objaviť počas užívania </w:t>
      </w:r>
      <w:proofErr w:type="spellStart"/>
      <w:r w:rsidRPr="00526FFA">
        <w:t>bromazepamu</w:t>
      </w:r>
      <w:proofErr w:type="spellEnd"/>
      <w:r w:rsidRPr="00526FFA">
        <w:t>, sú zoradené</w:t>
      </w:r>
      <w:r w:rsidR="00A96109" w:rsidRPr="00526FFA">
        <w:t xml:space="preserve"> v </w:t>
      </w:r>
      <w:r w:rsidRPr="00526FFA">
        <w:t>nasledujúcich skupinách podľa frekvencie výskytu: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Veľmi časté (1/10)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Časté (1/100 až &lt;1/10)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Menej časté (1/1 000 až &lt;1/100)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Zriedkavé (1/10 000 až &lt;1/1 000)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Veľmi zriedkavé (&lt;1/10 000)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Neznáme (z dostupných údajov)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V každej skupine frekvencií sú nežiaduce účinky zoradené podľa klesajúcej závažnosti. Frekvencia výskytu nežiaducich účinkov je uvedená podľa orgánových systémov: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Vo všeobecnosti je </w:t>
      </w:r>
      <w:proofErr w:type="spellStart"/>
      <w:r w:rsidRPr="00526FFA">
        <w:t>bromazepam</w:t>
      </w:r>
      <w:proofErr w:type="spellEnd"/>
      <w:r w:rsidR="00A96109" w:rsidRPr="00526FFA">
        <w:t xml:space="preserve"> v </w:t>
      </w:r>
      <w:r w:rsidRPr="00526FFA">
        <w:t>terapeutických dávkach dobre tolerovaný. Boli hlásene tieto nežiaduce účinky: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105"/>
        <w:gridCol w:w="1417"/>
        <w:gridCol w:w="1559"/>
        <w:gridCol w:w="1701"/>
        <w:gridCol w:w="1843"/>
      </w:tblGrid>
      <w:tr w:rsidR="00C34FB4" w:rsidRPr="00F94F71" w:rsidTr="00D248ED">
        <w:trPr>
          <w:trHeight w:val="513"/>
          <w:jc w:val="center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FB4" w:rsidRPr="00B64FD6" w:rsidRDefault="00C34FB4" w:rsidP="00D256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lang w:val="nb-NO" w:eastAsia="fr-FR"/>
              </w:rPr>
            </w:pPr>
            <w:r w:rsidRPr="00B64FD6">
              <w:rPr>
                <w:b/>
                <w:bCs/>
                <w:lang w:val="nb-NO" w:eastAsia="fr-FR"/>
              </w:rPr>
              <w:t>Trieda orgánových systémov MedDRA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  <w:proofErr w:type="spellStart"/>
            <w:r w:rsidRPr="00B64FD6">
              <w:rPr>
                <w:b/>
                <w:color w:val="000000"/>
              </w:rPr>
              <w:t>Časté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  <w:proofErr w:type="spellStart"/>
            <w:r w:rsidRPr="00B64FD6">
              <w:rPr>
                <w:b/>
                <w:color w:val="000000"/>
              </w:rPr>
              <w:t>Menej</w:t>
            </w:r>
            <w:proofErr w:type="spellEnd"/>
            <w:r w:rsidRPr="00B64FD6">
              <w:rPr>
                <w:b/>
                <w:color w:val="000000"/>
              </w:rPr>
              <w:t xml:space="preserve"> </w:t>
            </w:r>
            <w:proofErr w:type="spellStart"/>
            <w:r w:rsidRPr="00B64FD6">
              <w:rPr>
                <w:b/>
                <w:color w:val="000000"/>
              </w:rPr>
              <w:t>časté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  <w:r w:rsidRPr="00B64FD6">
              <w:rPr>
                <w:b/>
                <w:bCs/>
                <w:lang w:val="nb-NO"/>
              </w:rPr>
              <w:t>Zriedkavé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  <w:r w:rsidRPr="00B64FD6">
              <w:rPr>
                <w:b/>
                <w:bCs/>
                <w:lang w:val="nb-NO" w:eastAsia="fr-FR"/>
              </w:rPr>
              <w:t>Veľmi zriedkavé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  <w:r w:rsidRPr="00B64FD6">
              <w:rPr>
                <w:b/>
                <w:bCs/>
                <w:lang w:val="nb-NO" w:eastAsia="fr-FR"/>
              </w:rPr>
              <w:t>Neznáme</w:t>
            </w:r>
          </w:p>
        </w:tc>
      </w:tr>
      <w:tr w:rsidR="00C34FB4" w:rsidRPr="00F94F71" w:rsidTr="00D248ED">
        <w:trPr>
          <w:trHeight w:val="352"/>
          <w:tblHeader/>
          <w:jc w:val="center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FB4" w:rsidRPr="00B64FD6" w:rsidRDefault="00C34FB4" w:rsidP="00D248ED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b/>
                <w:bCs/>
                <w:lang w:val="nb-NO" w:eastAsia="fr-FR"/>
              </w:rPr>
            </w:pPr>
            <w:r>
              <w:rPr>
                <w:b/>
                <w:bCs/>
                <w:lang w:val="nb-NO" w:eastAsia="fr-FR"/>
              </w:rPr>
              <w:t>Poruchy krvi a lymfatického systému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FB4" w:rsidRPr="00C34FB4" w:rsidRDefault="00C34FB4" w:rsidP="00C34FB4">
            <w:pPr>
              <w:pStyle w:val="Normlndobloku"/>
              <w:spacing w:after="0"/>
              <w:jc w:val="left"/>
              <w:rPr>
                <w:szCs w:val="22"/>
              </w:rPr>
            </w:pPr>
            <w:r w:rsidRPr="00B64FD6">
              <w:rPr>
                <w:szCs w:val="22"/>
              </w:rPr>
              <w:t xml:space="preserve">krvná </w:t>
            </w:r>
            <w:proofErr w:type="spellStart"/>
            <w:r w:rsidRPr="00B64FD6">
              <w:rPr>
                <w:szCs w:val="22"/>
              </w:rPr>
              <w:t>dyskrázia</w:t>
            </w:r>
            <w:proofErr w:type="spellEnd"/>
          </w:p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FB4" w:rsidRPr="00B64FD6" w:rsidRDefault="00C34FB4" w:rsidP="00B64FD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</w:p>
        </w:tc>
      </w:tr>
      <w:tr w:rsidR="00C11558" w:rsidRPr="00F94F71" w:rsidTr="00D248ED">
        <w:trPr>
          <w:trHeight w:val="352"/>
          <w:tblHeader/>
          <w:jc w:val="center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Default="00C11558" w:rsidP="00D248ED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b/>
                <w:bCs/>
                <w:lang w:val="nb-NO" w:eastAsia="fr-FR"/>
              </w:rPr>
            </w:pPr>
            <w:proofErr w:type="spellStart"/>
            <w:r w:rsidRPr="0046692E">
              <w:rPr>
                <w:b/>
                <w:color w:val="000000"/>
              </w:rPr>
              <w:t>Poruchy</w:t>
            </w:r>
            <w:proofErr w:type="spellEnd"/>
            <w:r w:rsidRPr="0046692E">
              <w:rPr>
                <w:b/>
                <w:color w:val="000000"/>
              </w:rPr>
              <w:t xml:space="preserve"> </w:t>
            </w:r>
            <w:proofErr w:type="spellStart"/>
            <w:r w:rsidRPr="0046692E">
              <w:rPr>
                <w:b/>
                <w:color w:val="000000"/>
              </w:rPr>
              <w:t>imunitnéh</w:t>
            </w:r>
            <w:r>
              <w:rPr>
                <w:b/>
                <w:color w:val="000000"/>
              </w:rPr>
              <w:t>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systému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58" w:rsidRPr="00C34FB4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  <w:r w:rsidRPr="00B64FD6">
              <w:rPr>
                <w:szCs w:val="22"/>
              </w:rPr>
              <w:t>reakcia z</w:t>
            </w:r>
            <w:r>
              <w:rPr>
                <w:szCs w:val="22"/>
              </w:rPr>
              <w:t> </w:t>
            </w:r>
            <w:r w:rsidRPr="00C34FB4">
              <w:rPr>
                <w:szCs w:val="22"/>
              </w:rPr>
              <w:t>precitlivenosti</w:t>
            </w:r>
          </w:p>
          <w:p w:rsidR="00C11558" w:rsidRPr="00B64FD6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nb-NO" w:eastAsia="fr-FR"/>
              </w:rPr>
            </w:pPr>
          </w:p>
        </w:tc>
      </w:tr>
      <w:tr w:rsidR="00C11558" w:rsidRPr="00C609A2" w:rsidTr="00D248ED">
        <w:trPr>
          <w:cantSplit/>
          <w:trHeight w:val="2088"/>
          <w:jc w:val="center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A964E5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bCs/>
                <w:lang w:val="nb-NO" w:eastAsia="fr-FR"/>
              </w:rPr>
            </w:pPr>
            <w:r w:rsidRPr="00B64FD6">
              <w:rPr>
                <w:b/>
                <w:lang w:val="nb-NO" w:eastAsia="fr-FR"/>
              </w:rPr>
              <w:t>Psychické poruchy</w:t>
            </w:r>
            <w:r w:rsidRPr="00B64FD6">
              <w:rPr>
                <w:b/>
                <w:bCs/>
                <w:lang w:val="nb-NO" w:eastAsia="fr-FR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34FB4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  <w:r w:rsidRPr="00C34FB4">
              <w:rPr>
                <w:szCs w:val="22"/>
              </w:rPr>
              <w:t>ospalosť</w:t>
            </w:r>
          </w:p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sk-SK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  <w:r w:rsidRPr="009D15F4">
              <w:rPr>
                <w:lang w:val="nb-NO" w:eastAsia="fr-FR"/>
              </w:rPr>
              <w:t>poruchy libida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  <w:r w:rsidRPr="009D15F4">
              <w:rPr>
                <w:lang w:val="nb-NO"/>
              </w:rPr>
              <w:t>bludy, závislosť (abstinenčné syndrómy alebo rebound fenomén sa môžu vyskytnúť po prerušení liečby)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  <w:r w:rsidRPr="00F32CFE">
              <w:rPr>
                <w:lang w:val="nb-NO"/>
              </w:rPr>
              <w:t>zúrivosť, neprimerané správanie</w:t>
            </w:r>
            <w:r>
              <w:rPr>
                <w:vertAlign w:val="superscript"/>
                <w:lang w:val="nb-NO"/>
              </w:rPr>
              <w:t>*</w:t>
            </w: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A964E5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lang w:val="nb-NO" w:eastAsia="fr-FR"/>
              </w:rPr>
            </w:pPr>
            <w:r w:rsidRPr="00B64FD6">
              <w:rPr>
                <w:b/>
                <w:bCs/>
                <w:lang w:val="nb-NO" w:eastAsia="fr-FR"/>
              </w:rPr>
              <w:t>Poruchy nervového systému</w:t>
            </w:r>
            <w:r>
              <w:rPr>
                <w:b/>
                <w:bCs/>
                <w:lang w:val="nb-NO" w:eastAsia="fr-FR"/>
              </w:rPr>
              <w:t>*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34FB4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  <w:r w:rsidRPr="00C34FB4">
              <w:rPr>
                <w:szCs w:val="22"/>
              </w:rPr>
              <w:t>závraty</w:t>
            </w:r>
          </w:p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sk-SK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48ED" w:rsidRDefault="00C11558" w:rsidP="00D248ED">
            <w:pPr>
              <w:pStyle w:val="Normlndobloku"/>
              <w:spacing w:after="0"/>
              <w:jc w:val="left"/>
            </w:pPr>
            <w:r w:rsidRPr="00B64FD6">
              <w:rPr>
                <w:szCs w:val="22"/>
              </w:rPr>
              <w:t>bolesti hlavy, zhoršenie až strata pamäti, porucha koncentrácie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48ED" w:rsidRDefault="00C11558" w:rsidP="00D248ED">
            <w:pPr>
              <w:pStyle w:val="Normlndobloku"/>
              <w:spacing w:after="0"/>
              <w:jc w:val="left"/>
            </w:pPr>
            <w:proofErr w:type="spellStart"/>
            <w:r w:rsidRPr="00B64FD6">
              <w:rPr>
                <w:szCs w:val="22"/>
              </w:rPr>
              <w:t>dysartria</w:t>
            </w:r>
            <w:proofErr w:type="spellEnd"/>
            <w:r w:rsidRPr="00B64FD6">
              <w:rPr>
                <w:szCs w:val="22"/>
              </w:rPr>
              <w:t xml:space="preserve"> (porucha reči, nesúvislá reč), </w:t>
            </w:r>
            <w:proofErr w:type="spellStart"/>
            <w:r w:rsidRPr="00B64FD6">
              <w:rPr>
                <w:szCs w:val="22"/>
              </w:rPr>
              <w:t>ataxia</w:t>
            </w:r>
            <w:proofErr w:type="spellEnd"/>
            <w:r w:rsidRPr="00B64FD6">
              <w:rPr>
                <w:szCs w:val="22"/>
              </w:rPr>
              <w:t>, porucha správania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58" w:rsidRPr="00B64FD6" w:rsidRDefault="00C11558" w:rsidP="00C11558">
            <w:pPr>
              <w:rPr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58" w:rsidRPr="009D15F4" w:rsidRDefault="00C11558" w:rsidP="00C11558">
            <w:pPr>
              <w:rPr>
                <w:lang w:val="nb-NO"/>
              </w:rPr>
            </w:pPr>
            <w:proofErr w:type="spellStart"/>
            <w:r w:rsidRPr="00B64FD6">
              <w:t>znížená</w:t>
            </w:r>
            <w:proofErr w:type="spellEnd"/>
            <w:r w:rsidRPr="00B64FD6">
              <w:t xml:space="preserve"> </w:t>
            </w:r>
            <w:proofErr w:type="spellStart"/>
            <w:r w:rsidRPr="00B64FD6">
              <w:t>bdelosť</w:t>
            </w:r>
            <w:proofErr w:type="spellEnd"/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A964E5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lang w:val="nb-NO" w:eastAsia="fr-FR"/>
              </w:rPr>
            </w:pPr>
            <w:r w:rsidRPr="00B64FD6">
              <w:rPr>
                <w:b/>
                <w:lang w:val="nb-NO" w:eastAsia="fr-FR"/>
              </w:rPr>
              <w:t>Poruchy oka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Zkladntext"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  <w:proofErr w:type="spellStart"/>
            <w:r w:rsidRPr="00B64FD6">
              <w:t>poruchy</w:t>
            </w:r>
            <w:proofErr w:type="spellEnd"/>
            <w:r w:rsidRPr="00B64FD6">
              <w:t xml:space="preserve"> </w:t>
            </w:r>
            <w:proofErr w:type="spellStart"/>
            <w:r w:rsidRPr="00B64FD6">
              <w:t>zraku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48ED" w:rsidRDefault="00DF78F3" w:rsidP="00D248ED">
            <w:pPr>
              <w:suppressAutoHyphens/>
              <w:spacing w:line="240" w:lineRule="auto"/>
              <w:rPr>
                <w:rFonts w:eastAsia="Calibri"/>
              </w:rPr>
            </w:pPr>
            <w:r w:rsidRPr="00DF78F3">
              <w:rPr>
                <w:lang w:val="nb-NO"/>
              </w:rPr>
              <w:t>d</w:t>
            </w:r>
            <w:r w:rsidRPr="00D25690">
              <w:rPr>
                <w:lang w:val="nb-NO"/>
              </w:rPr>
              <w:t>iplopia**</w:t>
            </w:r>
          </w:p>
        </w:tc>
      </w:tr>
      <w:tr w:rsidR="00C11558" w:rsidRPr="00E4123F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D248ED" w:rsidRDefault="00C11558" w:rsidP="00442FE7">
            <w:pPr>
              <w:pStyle w:val="Styl3"/>
              <w:rPr>
                <w:b/>
              </w:rPr>
            </w:pPr>
            <w:r w:rsidRPr="00A964E5">
              <w:t>Poruchy srdca a srdcovej činnosti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Zkladntext"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48ED" w:rsidRDefault="00C11558" w:rsidP="00D248ED">
            <w:pPr>
              <w:pStyle w:val="Normlndobloku"/>
              <w:spacing w:after="0"/>
              <w:jc w:val="left"/>
            </w:pPr>
            <w:r w:rsidRPr="00B64FD6">
              <w:rPr>
                <w:szCs w:val="22"/>
              </w:rPr>
              <w:t>srdcové zlyhanie, vrátane zastavenia</w:t>
            </w:r>
            <w:r>
              <w:rPr>
                <w:szCs w:val="22"/>
              </w:rPr>
              <w:t xml:space="preserve"> srdca</w:t>
            </w: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A964E5" w:rsidRDefault="00C11558" w:rsidP="00442FE7">
            <w:pPr>
              <w:pStyle w:val="Styl3"/>
            </w:pPr>
            <w:r w:rsidRPr="00B64FD6">
              <w:t>Poruchy ciev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Zkladntext"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5690" w:rsidRDefault="00C11558" w:rsidP="00D248ED">
            <w:pPr>
              <w:pStyle w:val="Normlndobloku"/>
              <w:spacing w:after="0"/>
              <w:jc w:val="left"/>
            </w:pPr>
            <w:r w:rsidRPr="00B64FD6">
              <w:rPr>
                <w:szCs w:val="22"/>
              </w:rPr>
              <w:t>hypotenzia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lang w:val="sk-SK" w:eastAsia="fr-FR"/>
              </w:rPr>
            </w:pPr>
            <w:r w:rsidRPr="00B64FD6">
              <w:rPr>
                <w:b/>
                <w:lang w:val="nb-NO" w:eastAsia="fr-FR"/>
              </w:rPr>
              <w:t>Poruchy dýchacej sústavy, hrudníka a mediastína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34FB4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  <w:r w:rsidRPr="00B64FD6">
              <w:rPr>
                <w:szCs w:val="22"/>
              </w:rPr>
              <w:t>respiračná depresia</w:t>
            </w:r>
          </w:p>
          <w:p w:rsidR="00C11558" w:rsidRPr="00B441B0" w:rsidRDefault="00C11558" w:rsidP="00C11558">
            <w:pPr>
              <w:rPr>
                <w:lang w:val="nb-NO"/>
              </w:rPr>
            </w:pP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lang w:val="nb-NO" w:eastAsia="fr-FR"/>
              </w:rPr>
            </w:pPr>
            <w:r w:rsidRPr="00B64FD6">
              <w:rPr>
                <w:b/>
                <w:lang w:val="nb-NO" w:eastAsia="fr-FR"/>
              </w:rPr>
              <w:lastRenderedPageBreak/>
              <w:t>Poruchy gastrointenstinálneho traktu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Zkladntext"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48ED" w:rsidRDefault="00C11558" w:rsidP="00D248ED">
            <w:pPr>
              <w:pStyle w:val="Normlndobloku"/>
              <w:spacing w:after="0"/>
              <w:jc w:val="left"/>
            </w:pPr>
            <w:proofErr w:type="spellStart"/>
            <w:r w:rsidRPr="00B64FD6">
              <w:rPr>
                <w:szCs w:val="22"/>
              </w:rPr>
              <w:t>gastrointestinálne</w:t>
            </w:r>
            <w:proofErr w:type="spellEnd"/>
            <w:r w:rsidRPr="00B64FD6">
              <w:rPr>
                <w:szCs w:val="22"/>
              </w:rPr>
              <w:t xml:space="preserve"> poruchy</w:t>
            </w: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D248ED" w:rsidRDefault="00C11558" w:rsidP="00442FE7">
            <w:pPr>
              <w:pStyle w:val="Styl3"/>
              <w:rPr>
                <w:b/>
              </w:rPr>
            </w:pPr>
            <w:r w:rsidRPr="00B64FD6">
              <w:t>Poruchy pečene a žlčových ciest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Zkladntext"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34FB4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  <w:r w:rsidRPr="00B64FD6">
              <w:rPr>
                <w:szCs w:val="22"/>
              </w:rPr>
              <w:t>hepatitída</w:t>
            </w:r>
          </w:p>
          <w:p w:rsidR="00C11558" w:rsidRPr="00C34FB4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</w:p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lang w:val="nb-NO" w:eastAsia="fr-FR"/>
              </w:rPr>
            </w:pPr>
            <w:r w:rsidRPr="00D248ED">
              <w:rPr>
                <w:b/>
                <w:color w:val="000000"/>
                <w:lang w:val="nb-NO"/>
              </w:rPr>
              <w:t xml:space="preserve">Poruchy kože a podkožného tkaniva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Zkladntext"/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  <w:proofErr w:type="spellStart"/>
            <w:r w:rsidRPr="00B64FD6">
              <w:t>kožné</w:t>
            </w:r>
            <w:proofErr w:type="spellEnd"/>
            <w:r w:rsidRPr="00B64FD6">
              <w:t xml:space="preserve"> </w:t>
            </w:r>
            <w:proofErr w:type="spellStart"/>
            <w:r w:rsidRPr="00B64FD6">
              <w:t>výražky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pStyle w:val="Normlndobloku"/>
              <w:spacing w:after="0"/>
              <w:jc w:val="left"/>
              <w:rPr>
                <w:szCs w:val="22"/>
              </w:rPr>
            </w:pPr>
            <w:r w:rsidRPr="00B64FD6">
              <w:rPr>
                <w:szCs w:val="22"/>
              </w:rPr>
              <w:t>kožné reakcie</w:t>
            </w: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lang w:val="sk-SK" w:eastAsia="fr-FR"/>
              </w:rPr>
            </w:pPr>
            <w:r w:rsidRPr="00B64FD6">
              <w:rPr>
                <w:b/>
                <w:lang w:val="nb-NO" w:eastAsia="fr-FR"/>
              </w:rPr>
              <w:t>Celkové poruchy a reakcie v mieste podania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34FB4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nb-NO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48ED" w:rsidRDefault="00DF78F3" w:rsidP="00D248ED">
            <w:pPr>
              <w:pStyle w:val="Normlndobloku"/>
              <w:spacing w:after="0"/>
              <w:jc w:val="left"/>
            </w:pPr>
            <w:r>
              <w:rPr>
                <w:szCs w:val="22"/>
              </w:rPr>
              <w:t>únava**</w:t>
            </w:r>
            <w:r w:rsidRPr="00DF78F3">
              <w:rPr>
                <w:szCs w:val="22"/>
              </w:rPr>
              <w:t xml:space="preserve"> </w:t>
            </w:r>
          </w:p>
        </w:tc>
      </w:tr>
      <w:tr w:rsidR="00C11558" w:rsidRPr="00C609A2" w:rsidTr="00D248ED">
        <w:trPr>
          <w:trHeight w:val="352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right="-57"/>
              <w:rPr>
                <w:b/>
                <w:lang w:val="sk-SK" w:eastAsia="fr-FR"/>
              </w:rPr>
            </w:pPr>
            <w:r w:rsidRPr="00B64FD6">
              <w:rPr>
                <w:b/>
                <w:lang w:val="nb-NO" w:eastAsia="fr-FR"/>
              </w:rPr>
              <w:t>Poruchy kostrovej a svalovej sústavy a spojivového tkaniva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D248ED">
            <w:pPr>
              <w:pStyle w:val="Zkladntext"/>
              <w:tabs>
                <w:tab w:val="left" w:pos="1276"/>
              </w:tabs>
              <w:rPr>
                <w:lang w:val="nb-NO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B64FD6" w:rsidRDefault="00C11558" w:rsidP="00C1155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lang w:val="sk-SK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D248ED" w:rsidRDefault="00DF78F3" w:rsidP="00D248ED">
            <w:pPr>
              <w:pStyle w:val="Normlndobloku"/>
              <w:spacing w:after="0"/>
              <w:jc w:val="left"/>
            </w:pPr>
            <w:r>
              <w:rPr>
                <w:szCs w:val="22"/>
              </w:rPr>
              <w:t>svalová slabosť**</w:t>
            </w:r>
            <w:r w:rsidR="00C11558" w:rsidRPr="00C34FB4"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58" w:rsidRPr="00C609A2" w:rsidRDefault="00C11558" w:rsidP="00C11558">
            <w:pPr>
              <w:rPr>
                <w:lang w:val="nb-NO"/>
              </w:rPr>
            </w:pPr>
          </w:p>
        </w:tc>
      </w:tr>
    </w:tbl>
    <w:p w:rsidR="00C34FB4" w:rsidRPr="00B64FD6" w:rsidRDefault="00C34FB4" w:rsidP="00C34FB4">
      <w:pPr>
        <w:pStyle w:val="Normlndobloku"/>
        <w:spacing w:after="0"/>
        <w:jc w:val="left"/>
        <w:rPr>
          <w:szCs w:val="22"/>
        </w:rPr>
      </w:pPr>
      <w:r>
        <w:rPr>
          <w:szCs w:val="22"/>
          <w:vertAlign w:val="superscript"/>
          <w:lang w:val="nb-NO"/>
        </w:rPr>
        <w:t>*</w:t>
      </w:r>
      <w:r w:rsidRPr="00B64FD6">
        <w:rPr>
          <w:szCs w:val="22"/>
        </w:rPr>
        <w:t>Tieto javy sa vyskytujú prevažne na začiatku liečby a zvyčajne vymiznú pri opakovanom podávaní.</w:t>
      </w:r>
    </w:p>
    <w:p w:rsidR="00E0791E" w:rsidRDefault="00C34FB4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B64FD6">
        <w:rPr>
          <w:szCs w:val="22"/>
        </w:rPr>
        <w:t>Anterográdna</w:t>
      </w:r>
      <w:proofErr w:type="spellEnd"/>
      <w:r w:rsidRPr="00B64FD6">
        <w:rPr>
          <w:szCs w:val="22"/>
        </w:rPr>
        <w:t xml:space="preserve"> amnézia sa môže objaviť aj pri terapeutických dávkach, riziko sa zvyšuje pri vyšších dávkach. </w:t>
      </w:r>
      <w:proofErr w:type="spellStart"/>
      <w:r w:rsidRPr="00B64FD6">
        <w:rPr>
          <w:szCs w:val="22"/>
        </w:rPr>
        <w:t>Amnestické</w:t>
      </w:r>
      <w:proofErr w:type="spellEnd"/>
      <w:r w:rsidRPr="00B64FD6">
        <w:rPr>
          <w:szCs w:val="22"/>
        </w:rPr>
        <w:t xml:space="preserve"> prejavy môžu byť spojené s nevhodným správaním.</w:t>
      </w:r>
    </w:p>
    <w:p w:rsidR="00A964E5" w:rsidRDefault="00DF78F3" w:rsidP="00D248ED">
      <w:pPr>
        <w:pStyle w:val="Normlndobloku"/>
        <w:spacing w:after="0"/>
        <w:jc w:val="left"/>
        <w:rPr>
          <w:szCs w:val="22"/>
        </w:rPr>
      </w:pPr>
      <w:r>
        <w:rPr>
          <w:szCs w:val="22"/>
        </w:rPr>
        <w:t>**</w:t>
      </w:r>
      <w:r w:rsidRPr="00DF78F3">
        <w:rPr>
          <w:szCs w:val="22"/>
        </w:rPr>
        <w:t xml:space="preserve"> </w:t>
      </w:r>
      <w:r w:rsidRPr="00C34FB4">
        <w:rPr>
          <w:szCs w:val="22"/>
        </w:rPr>
        <w:t>Tento jav sa vyskytuje prevažne na začiatku liečby a zvyčajne vymizne pri opakovanom podávaní.</w:t>
      </w:r>
    </w:p>
    <w:p w:rsidR="00A964E5" w:rsidRPr="00C34FB4" w:rsidRDefault="00A964E5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 xml:space="preserve">Nežiaduce účinky skupiny </w:t>
      </w:r>
      <w:proofErr w:type="spellStart"/>
      <w:r w:rsidRPr="00A964E5">
        <w:t>benzodiazepínov</w:t>
      </w:r>
      <w:proofErr w:type="spellEnd"/>
    </w:p>
    <w:p w:rsidR="00E0791E" w:rsidRPr="00A964E5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 xml:space="preserve">Depresia: Pre-existujúca depresia sa môže pri užívaní </w:t>
      </w:r>
      <w:proofErr w:type="spellStart"/>
      <w:r w:rsidRPr="00A964E5">
        <w:rPr>
          <w:szCs w:val="22"/>
        </w:rPr>
        <w:t>benzodiazepínov</w:t>
      </w:r>
      <w:proofErr w:type="spellEnd"/>
      <w:r w:rsidRPr="00A964E5">
        <w:rPr>
          <w:szCs w:val="22"/>
        </w:rPr>
        <w:t xml:space="preserve"> manifestovať.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 xml:space="preserve">Paradoxné reakcie – frekvencia zriedkavé: pri užívaní </w:t>
      </w:r>
      <w:proofErr w:type="spellStart"/>
      <w:r w:rsidRPr="00526FFA">
        <w:t>benzodiazepínov</w:t>
      </w:r>
      <w:proofErr w:type="spellEnd"/>
      <w:r w:rsidRPr="00526FFA">
        <w:t xml:space="preserve"> alebo látok príbuzných</w:t>
      </w:r>
      <w:r w:rsidR="00A96109" w:rsidRPr="00526FFA">
        <w:t xml:space="preserve"> s </w:t>
      </w:r>
      <w:proofErr w:type="spellStart"/>
      <w:r w:rsidRPr="00526FFA">
        <w:t>benzodiazepínmi</w:t>
      </w:r>
      <w:proofErr w:type="spellEnd"/>
      <w:r w:rsidRPr="00526FFA">
        <w:t xml:space="preserve"> sa vyskytli reakcie ako nepokoj, </w:t>
      </w:r>
      <w:proofErr w:type="spellStart"/>
      <w:r w:rsidRPr="00526FFA">
        <w:t>agitovanosť</w:t>
      </w:r>
      <w:proofErr w:type="spellEnd"/>
      <w:r w:rsidRPr="00526FFA">
        <w:t>, podráždenosť, agresivita, bludy, zúrivosť, nočné mory, halucinácie, psychózy, neprimerané správanie</w:t>
      </w:r>
      <w:r w:rsidR="00A96109" w:rsidRPr="00526FFA">
        <w:t xml:space="preserve"> a </w:t>
      </w:r>
      <w:r w:rsidRPr="00526FFA">
        <w:t xml:space="preserve">iné nežiaduce </w:t>
      </w:r>
      <w:proofErr w:type="spellStart"/>
      <w:r w:rsidRPr="00526FFA">
        <w:t>behaviorálne</w:t>
      </w:r>
      <w:proofErr w:type="spellEnd"/>
      <w:r w:rsidRPr="00526FFA">
        <w:t xml:space="preserve"> účinky (pozri časť 4.4). Ak k tomu dôjde, užívanie lieku sa má prerušiť. Tieto reakcie sú častejšie</w:t>
      </w:r>
      <w:r w:rsidR="00A96109" w:rsidRPr="00526FFA">
        <w:t xml:space="preserve"> u </w:t>
      </w:r>
      <w:r w:rsidRPr="00526FFA">
        <w:t>detí</w:t>
      </w:r>
      <w:r w:rsidR="00A96109" w:rsidRPr="00526FFA">
        <w:t xml:space="preserve"> a </w:t>
      </w:r>
      <w:r w:rsidRPr="00526FFA">
        <w:t>starších osôb.</w:t>
      </w:r>
    </w:p>
    <w:p w:rsidR="00E0791E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Závislosť: Dlhodobé užívanie (aj</w:t>
      </w:r>
      <w:r w:rsidR="00A96109" w:rsidRPr="00526FFA">
        <w:rPr>
          <w:szCs w:val="22"/>
        </w:rPr>
        <w:t xml:space="preserve"> v </w:t>
      </w:r>
      <w:r w:rsidRPr="00526FFA">
        <w:rPr>
          <w:szCs w:val="22"/>
        </w:rPr>
        <w:t>terapeutických dávkach) môže viesť k rozvoju fyzickej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psychickej drogovej závislosti. Prerušenie liečby môžu mať za následok abstinenčné príznaky (</w:t>
      </w:r>
      <w:proofErr w:type="spellStart"/>
      <w:r w:rsidRPr="00526FFA">
        <w:rPr>
          <w:szCs w:val="22"/>
        </w:rPr>
        <w:t>rebound</w:t>
      </w:r>
      <w:proofErr w:type="spellEnd"/>
      <w:r w:rsidRPr="00526FFA">
        <w:rPr>
          <w:szCs w:val="22"/>
        </w:rPr>
        <w:t xml:space="preserve"> fenomén, pozri časť 4.4).</w:t>
      </w:r>
    </w:p>
    <w:p w:rsidR="00D25690" w:rsidRPr="00526FFA" w:rsidRDefault="00D25690" w:rsidP="00D248ED">
      <w:pPr>
        <w:pStyle w:val="Normlndobloku"/>
        <w:spacing w:after="0"/>
        <w:jc w:val="left"/>
        <w:rPr>
          <w:szCs w:val="22"/>
        </w:rPr>
      </w:pPr>
    </w:p>
    <w:p w:rsidR="00D248ED" w:rsidRDefault="00E0791E" w:rsidP="00442FE7">
      <w:pPr>
        <w:pStyle w:val="Styl3"/>
        <w:rPr>
          <w:lang w:eastAsia="cs-CZ"/>
        </w:rPr>
      </w:pPr>
      <w:r w:rsidRPr="00442FE7">
        <w:rPr>
          <w:u w:val="none"/>
          <w:lang w:eastAsia="cs-CZ"/>
        </w:rPr>
        <w:t xml:space="preserve">Bolo hlásené zneužívanie </w:t>
      </w:r>
      <w:proofErr w:type="spellStart"/>
      <w:r w:rsidRPr="00442FE7">
        <w:rPr>
          <w:u w:val="none"/>
          <w:lang w:eastAsia="cs-CZ"/>
        </w:rPr>
        <w:t>benzodiazepínov</w:t>
      </w:r>
      <w:proofErr w:type="spellEnd"/>
      <w:r w:rsidRPr="00442FE7">
        <w:rPr>
          <w:u w:val="none"/>
          <w:lang w:eastAsia="cs-CZ"/>
        </w:rPr>
        <w:t>.</w:t>
      </w:r>
    </w:p>
    <w:p w:rsidR="00D248ED" w:rsidRDefault="00D248ED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Úrazy, otravy</w:t>
      </w:r>
      <w:r w:rsidR="00A96109" w:rsidRPr="00A964E5">
        <w:t xml:space="preserve"> a </w:t>
      </w:r>
      <w:r w:rsidRPr="00A964E5">
        <w:t>komplikácie liečebného postupu</w:t>
      </w:r>
    </w:p>
    <w:p w:rsidR="00D25690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 xml:space="preserve">U starších pacientov užívajúcich </w:t>
      </w:r>
      <w:proofErr w:type="spellStart"/>
      <w:r w:rsidRPr="00A964E5">
        <w:rPr>
          <w:szCs w:val="22"/>
        </w:rPr>
        <w:t>benzodiazepíny</w:t>
      </w:r>
      <w:proofErr w:type="spellEnd"/>
      <w:r w:rsidRPr="00A964E5">
        <w:rPr>
          <w:szCs w:val="22"/>
        </w:rPr>
        <w:t xml:space="preserve"> bolo zaznamenané zvýšené riziko pádov</w:t>
      </w:r>
      <w:r w:rsidR="00A96109" w:rsidRPr="00A964E5">
        <w:rPr>
          <w:szCs w:val="22"/>
        </w:rPr>
        <w:t xml:space="preserve"> a </w:t>
      </w:r>
      <w:r w:rsidRPr="00A964E5">
        <w:rPr>
          <w:szCs w:val="22"/>
        </w:rPr>
        <w:t>zlomenín.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Hlásenie podozrení na nežiaduce reakcie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Hlásenie podozrení na nežiaduce reakcie po registrácii lieku je dôležité. Umožňuje priebežné monitorovanie pomeru prínosu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 xml:space="preserve">rizika lieku. Od zdravotníckych pracovníkov sa vyžaduje, aby hlásili akékoľvek podozrenia na nežiaduce reakcie </w:t>
      </w:r>
      <w:r w:rsidRPr="00526FFA">
        <w:rPr>
          <w:szCs w:val="22"/>
          <w:highlight w:val="lightGray"/>
        </w:rPr>
        <w:t>na národné centrum hlásenia uvedené</w:t>
      </w:r>
      <w:r w:rsidR="00A96109" w:rsidRPr="00526FFA">
        <w:rPr>
          <w:szCs w:val="22"/>
          <w:highlight w:val="lightGray"/>
        </w:rPr>
        <w:t xml:space="preserve"> v </w:t>
      </w:r>
      <w:hyperlink r:id="rId8" w:history="1">
        <w:r w:rsidR="002E41C3" w:rsidRPr="00C34FB4">
          <w:rPr>
            <w:rStyle w:val="Hypertextovprepojenie"/>
            <w:color w:val="1F4E79" w:themeColor="accent1" w:themeShade="80"/>
            <w:szCs w:val="22"/>
            <w:highlight w:val="lightGray"/>
          </w:rPr>
          <w:t>Prílohe V</w:t>
        </w:r>
      </w:hyperlink>
      <w:r w:rsidRPr="00C34FB4">
        <w:rPr>
          <w:color w:val="1F4E79" w:themeColor="accent1" w:themeShade="80"/>
          <w:szCs w:val="22"/>
          <w:highlight w:val="lightGray"/>
        </w:rPr>
        <w:t>.</w:t>
      </w:r>
    </w:p>
    <w:p w:rsidR="00526FFA" w:rsidRPr="00C34FB4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E4123F" w:rsidRDefault="00442FE7" w:rsidP="00442FE7">
      <w:pPr>
        <w:rPr>
          <w:lang w:val="sk-SK"/>
        </w:rPr>
      </w:pPr>
      <w:r w:rsidRPr="00E4123F">
        <w:rPr>
          <w:b/>
          <w:lang w:val="sk-SK"/>
        </w:rPr>
        <w:t>4.9</w:t>
      </w:r>
      <w:r w:rsidRPr="00E4123F">
        <w:rPr>
          <w:b/>
          <w:lang w:val="sk-SK"/>
        </w:rPr>
        <w:tab/>
        <w:t>Predávkovanie</w:t>
      </w:r>
    </w:p>
    <w:p w:rsidR="00526FFA" w:rsidRPr="00C34FB4" w:rsidRDefault="00526FFA" w:rsidP="00442FE7">
      <w:pPr>
        <w:pStyle w:val="Styl2"/>
      </w:pPr>
    </w:p>
    <w:p w:rsidR="00E0791E" w:rsidRPr="00C34FB4" w:rsidRDefault="00E0791E" w:rsidP="00442FE7">
      <w:pPr>
        <w:pStyle w:val="Styl3"/>
      </w:pPr>
      <w:r w:rsidRPr="00C34FB4">
        <w:t>Symptómy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C34FB4">
        <w:rPr>
          <w:szCs w:val="22"/>
        </w:rPr>
        <w:t>Benzodiazepíny</w:t>
      </w:r>
      <w:proofErr w:type="spellEnd"/>
      <w:r w:rsidRPr="00C34FB4">
        <w:rPr>
          <w:szCs w:val="22"/>
        </w:rPr>
        <w:t xml:space="preserve"> obyčajne spôsobujú ospalosť, </w:t>
      </w:r>
      <w:proofErr w:type="spellStart"/>
      <w:r w:rsidRPr="00C34FB4">
        <w:rPr>
          <w:szCs w:val="22"/>
        </w:rPr>
        <w:t>ataxiu</w:t>
      </w:r>
      <w:proofErr w:type="spellEnd"/>
      <w:r w:rsidRPr="00C34FB4">
        <w:rPr>
          <w:szCs w:val="22"/>
        </w:rPr>
        <w:t xml:space="preserve">, </w:t>
      </w:r>
      <w:proofErr w:type="spellStart"/>
      <w:r w:rsidRPr="00C34FB4">
        <w:rPr>
          <w:szCs w:val="22"/>
        </w:rPr>
        <w:t>dyzartriu</w:t>
      </w:r>
      <w:proofErr w:type="spellEnd"/>
      <w:r w:rsidR="00A96109" w:rsidRPr="00C34FB4">
        <w:rPr>
          <w:szCs w:val="22"/>
        </w:rPr>
        <w:t xml:space="preserve"> a </w:t>
      </w:r>
      <w:proofErr w:type="spellStart"/>
      <w:r w:rsidRPr="00C34FB4">
        <w:rPr>
          <w:szCs w:val="22"/>
        </w:rPr>
        <w:t>nystagmus</w:t>
      </w:r>
      <w:proofErr w:type="spellEnd"/>
      <w:r w:rsidRPr="00C34FB4">
        <w:rPr>
          <w:szCs w:val="22"/>
        </w:rPr>
        <w:t xml:space="preserve">. Predávkovanie </w:t>
      </w:r>
      <w:proofErr w:type="spellStart"/>
      <w:r w:rsidRPr="00C34FB4">
        <w:rPr>
          <w:szCs w:val="22"/>
        </w:rPr>
        <w:t>bromazepamom</w:t>
      </w:r>
      <w:proofErr w:type="spellEnd"/>
      <w:r w:rsidRPr="00C34FB4">
        <w:rPr>
          <w:szCs w:val="22"/>
        </w:rPr>
        <w:t xml:space="preserve"> je zriedkak</w:t>
      </w:r>
      <w:r w:rsidRPr="00A964E5">
        <w:rPr>
          <w:szCs w:val="22"/>
        </w:rPr>
        <w:t>edy život ohrozujúce, ak je liek užívaný samostatne, ale môže viesť k</w:t>
      </w:r>
      <w:r w:rsidR="00563C7D" w:rsidRPr="00A964E5">
        <w:rPr>
          <w:szCs w:val="22"/>
        </w:rPr>
        <w:t> </w:t>
      </w:r>
      <w:proofErr w:type="spellStart"/>
      <w:r w:rsidRPr="00A964E5">
        <w:rPr>
          <w:szCs w:val="22"/>
        </w:rPr>
        <w:t>areflexii</w:t>
      </w:r>
      <w:proofErr w:type="spellEnd"/>
      <w:r w:rsidRPr="00A964E5">
        <w:rPr>
          <w:szCs w:val="22"/>
        </w:rPr>
        <w:t xml:space="preserve">, </w:t>
      </w:r>
      <w:proofErr w:type="spellStart"/>
      <w:r w:rsidRPr="00A964E5">
        <w:rPr>
          <w:szCs w:val="22"/>
        </w:rPr>
        <w:t>apnoe</w:t>
      </w:r>
      <w:proofErr w:type="spellEnd"/>
      <w:r w:rsidRPr="00A964E5">
        <w:rPr>
          <w:szCs w:val="22"/>
        </w:rPr>
        <w:t xml:space="preserve">, hypotenzii, </w:t>
      </w:r>
      <w:proofErr w:type="spellStart"/>
      <w:r w:rsidRPr="00A964E5">
        <w:rPr>
          <w:szCs w:val="22"/>
        </w:rPr>
        <w:t>kardiorespiračnej</w:t>
      </w:r>
      <w:proofErr w:type="spellEnd"/>
      <w:r w:rsidRPr="00A964E5">
        <w:rPr>
          <w:szCs w:val="22"/>
        </w:rPr>
        <w:t xml:space="preserve"> depresii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kóme. Kóma, ak sa objaví, zvyčajne trvá niekoľko hodín, ale môže byť aj dlhšia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cyklická,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to najmä</w:t>
      </w:r>
      <w:r w:rsidR="00A96109" w:rsidRPr="00526FFA">
        <w:rPr>
          <w:szCs w:val="22"/>
        </w:rPr>
        <w:t xml:space="preserve"> u </w:t>
      </w:r>
      <w:r w:rsidRPr="00526FFA">
        <w:rPr>
          <w:szCs w:val="22"/>
        </w:rPr>
        <w:t xml:space="preserve">starších pacientov. Účinky </w:t>
      </w:r>
      <w:proofErr w:type="spellStart"/>
      <w:r w:rsidRPr="00526FFA">
        <w:rPr>
          <w:szCs w:val="22"/>
        </w:rPr>
        <w:t>benzodiazepínov</w:t>
      </w:r>
      <w:proofErr w:type="spellEnd"/>
      <w:r w:rsidRPr="00526FFA">
        <w:rPr>
          <w:szCs w:val="22"/>
        </w:rPr>
        <w:t xml:space="preserve"> na respiračnú depresiu sú závažnejšie</w:t>
      </w:r>
      <w:r w:rsidR="00A96109" w:rsidRPr="00526FFA">
        <w:rPr>
          <w:szCs w:val="22"/>
        </w:rPr>
        <w:t xml:space="preserve"> u </w:t>
      </w:r>
      <w:r w:rsidRPr="00526FFA">
        <w:rPr>
          <w:szCs w:val="22"/>
        </w:rPr>
        <w:t>pacientov</w:t>
      </w:r>
      <w:r w:rsidR="00A96109" w:rsidRPr="00526FFA">
        <w:rPr>
          <w:szCs w:val="22"/>
        </w:rPr>
        <w:t xml:space="preserve"> s </w:t>
      </w:r>
      <w:r w:rsidRPr="00526FFA">
        <w:rPr>
          <w:szCs w:val="22"/>
        </w:rPr>
        <w:t>respiračným ochorením.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t>Benzodiazepíny</w:t>
      </w:r>
      <w:proofErr w:type="spellEnd"/>
      <w:r w:rsidRPr="00526FFA">
        <w:t xml:space="preserve"> zvyšujú účinky iných látok tlmiacich centrálny nervový systém vrátane alkoholu.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Liečba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Treba monitorovať pacientove vitálne funkcie</w:t>
      </w:r>
      <w:r w:rsidR="00A96109" w:rsidRPr="00A964E5">
        <w:rPr>
          <w:szCs w:val="22"/>
        </w:rPr>
        <w:t xml:space="preserve"> a </w:t>
      </w:r>
      <w:r w:rsidRPr="00A964E5">
        <w:rPr>
          <w:szCs w:val="22"/>
        </w:rPr>
        <w:t xml:space="preserve">zaviesť podporné opatrenia podľa pacientovho klinického stavu. Niektorí pacienti môžu vyžadovať symptomatickú liečbu </w:t>
      </w:r>
      <w:proofErr w:type="spellStart"/>
      <w:r w:rsidRPr="00A964E5">
        <w:rPr>
          <w:szCs w:val="22"/>
        </w:rPr>
        <w:t>kardiorespiračných</w:t>
      </w:r>
      <w:proofErr w:type="spellEnd"/>
      <w:r w:rsidRPr="00A964E5">
        <w:rPr>
          <w:szCs w:val="22"/>
        </w:rPr>
        <w:t xml:space="preserve"> účinkov alebo účinkov na centrálny nervový systém.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Je potrebné zabrániť pokračovaniu absorpcie za použitia vhodnej metódy do 1 – 2 hodín po užití napr. podaním aktívneho uhlia. Ak sa použije aktívne uhlie, je nutné</w:t>
      </w:r>
      <w:r w:rsidR="00A96109" w:rsidRPr="00526FFA">
        <w:rPr>
          <w:szCs w:val="22"/>
        </w:rPr>
        <w:t xml:space="preserve"> u </w:t>
      </w:r>
      <w:r w:rsidRPr="00526FFA">
        <w:rPr>
          <w:szCs w:val="22"/>
        </w:rPr>
        <w:t>pacientov</w:t>
      </w:r>
      <w:r w:rsidR="00A96109" w:rsidRPr="00526FFA">
        <w:rPr>
          <w:szCs w:val="22"/>
        </w:rPr>
        <w:t xml:space="preserve"> s </w:t>
      </w:r>
      <w:r w:rsidRPr="00526FFA">
        <w:rPr>
          <w:szCs w:val="22"/>
        </w:rPr>
        <w:t>ospalosťou chrániť dýchacie cesty.</w:t>
      </w:r>
      <w:r w:rsidR="00A96109" w:rsidRPr="00526FFA">
        <w:rPr>
          <w:szCs w:val="22"/>
        </w:rPr>
        <w:t xml:space="preserve"> V </w:t>
      </w:r>
      <w:r w:rsidRPr="00526FFA">
        <w:rPr>
          <w:szCs w:val="22"/>
        </w:rPr>
        <w:t>prípade zmiešanej intoxikácie je možné zvážiť výplach žalúdka, avšak nie ako rutinné opatrenie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 xml:space="preserve">Ak je depresia CNS závažná, je možné zvážiť použitie </w:t>
      </w:r>
      <w:proofErr w:type="spellStart"/>
      <w:r w:rsidRPr="00526FFA">
        <w:rPr>
          <w:szCs w:val="22"/>
        </w:rPr>
        <w:t>flumazenilu</w:t>
      </w:r>
      <w:proofErr w:type="spellEnd"/>
      <w:r w:rsidRPr="00526FFA">
        <w:rPr>
          <w:szCs w:val="22"/>
        </w:rPr>
        <w:t xml:space="preserve">, antagonistu </w:t>
      </w:r>
      <w:proofErr w:type="spellStart"/>
      <w:r w:rsidRPr="00526FFA">
        <w:rPr>
          <w:szCs w:val="22"/>
        </w:rPr>
        <w:t>benzodiazepínov</w:t>
      </w:r>
      <w:proofErr w:type="spellEnd"/>
      <w:r w:rsidRPr="00526FFA">
        <w:rPr>
          <w:szCs w:val="22"/>
        </w:rPr>
        <w:t xml:space="preserve">, avšak iba za starostlivo monitorovaných podmienok. </w:t>
      </w:r>
      <w:proofErr w:type="spellStart"/>
      <w:r w:rsidRPr="00526FFA">
        <w:rPr>
          <w:szCs w:val="22"/>
        </w:rPr>
        <w:t>Flumazenil</w:t>
      </w:r>
      <w:proofErr w:type="spellEnd"/>
      <w:r w:rsidRPr="00526FFA">
        <w:rPr>
          <w:szCs w:val="22"/>
        </w:rPr>
        <w:t xml:space="preserve"> má krátky polčas rozpadu (asi hodinu), preto je treba pacientov liečených </w:t>
      </w:r>
      <w:proofErr w:type="spellStart"/>
      <w:r w:rsidRPr="00526FFA">
        <w:rPr>
          <w:szCs w:val="22"/>
        </w:rPr>
        <w:t>flumazenilom</w:t>
      </w:r>
      <w:proofErr w:type="spellEnd"/>
      <w:r w:rsidRPr="00526FFA">
        <w:rPr>
          <w:szCs w:val="22"/>
        </w:rPr>
        <w:t xml:space="preserve"> sledovať, pokiaľ jeho účinky nevymiznú. </w:t>
      </w:r>
      <w:proofErr w:type="spellStart"/>
      <w:r w:rsidRPr="00526FFA">
        <w:rPr>
          <w:szCs w:val="22"/>
        </w:rPr>
        <w:t>Flumazenil</w:t>
      </w:r>
      <w:proofErr w:type="spellEnd"/>
      <w:r w:rsidRPr="00526FFA">
        <w:rPr>
          <w:szCs w:val="22"/>
        </w:rPr>
        <w:t xml:space="preserve"> má byť používaný</w:t>
      </w:r>
      <w:r w:rsidR="00A96109" w:rsidRPr="00526FFA">
        <w:rPr>
          <w:szCs w:val="22"/>
        </w:rPr>
        <w:t xml:space="preserve"> s </w:t>
      </w:r>
      <w:r w:rsidRPr="00526FFA">
        <w:rPr>
          <w:szCs w:val="22"/>
        </w:rPr>
        <w:t>veľkou opatrnosťou</w:t>
      </w:r>
      <w:r w:rsidR="00A96109" w:rsidRPr="00526FFA">
        <w:rPr>
          <w:szCs w:val="22"/>
        </w:rPr>
        <w:t xml:space="preserve"> v </w:t>
      </w:r>
      <w:r w:rsidRPr="00526FFA">
        <w:rPr>
          <w:szCs w:val="22"/>
        </w:rPr>
        <w:t xml:space="preserve">prítomnosti liekov, ktoré znižujú prah záchvatu (napr. </w:t>
      </w:r>
      <w:proofErr w:type="spellStart"/>
      <w:r w:rsidRPr="00526FFA">
        <w:rPr>
          <w:szCs w:val="22"/>
        </w:rPr>
        <w:t>tricyklické</w:t>
      </w:r>
      <w:proofErr w:type="spellEnd"/>
      <w:r w:rsidRPr="00526FFA">
        <w:rPr>
          <w:szCs w:val="22"/>
        </w:rPr>
        <w:t xml:space="preserve"> </w:t>
      </w:r>
      <w:proofErr w:type="spellStart"/>
      <w:r w:rsidRPr="00526FFA">
        <w:rPr>
          <w:szCs w:val="22"/>
        </w:rPr>
        <w:t>antidepresíva</w:t>
      </w:r>
      <w:proofErr w:type="spellEnd"/>
      <w:r w:rsidRPr="00526FFA">
        <w:rPr>
          <w:szCs w:val="22"/>
        </w:rPr>
        <w:t xml:space="preserve">). Pre správne užívanie </w:t>
      </w:r>
      <w:proofErr w:type="spellStart"/>
      <w:r w:rsidRPr="00526FFA">
        <w:rPr>
          <w:szCs w:val="22"/>
        </w:rPr>
        <w:t>flumazenilu</w:t>
      </w:r>
      <w:proofErr w:type="spellEnd"/>
      <w:r w:rsidRPr="00526FFA">
        <w:rPr>
          <w:szCs w:val="22"/>
        </w:rPr>
        <w:t xml:space="preserve"> si vyhľadajte príslušné ďalšie informácie o tomto liečive.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4A6701" w:rsidRDefault="00442FE7">
      <w:pPr>
        <w:pStyle w:val="Styl1"/>
        <w:rPr>
          <w:lang w:val="sk-SK"/>
        </w:rPr>
      </w:pPr>
      <w:r w:rsidRPr="004A6701">
        <w:rPr>
          <w:szCs w:val="22"/>
          <w:lang w:val="sk-SK"/>
        </w:rPr>
        <w:t>5.</w:t>
      </w:r>
      <w:r w:rsidRPr="004A6701">
        <w:rPr>
          <w:szCs w:val="22"/>
          <w:lang w:val="sk-SK"/>
        </w:rPr>
        <w:tab/>
      </w:r>
      <w:r w:rsidR="00E0791E" w:rsidRPr="004A6701">
        <w:rPr>
          <w:lang w:val="sk-SK"/>
        </w:rPr>
        <w:t>FARMAKOLOGICKÉ VLASTNOSTI</w:t>
      </w:r>
    </w:p>
    <w:p w:rsidR="00526FFA" w:rsidRPr="004A6701" w:rsidRDefault="00526FFA">
      <w:pPr>
        <w:pStyle w:val="Styl1"/>
        <w:rPr>
          <w:lang w:val="sk-SK"/>
        </w:rPr>
      </w:pPr>
    </w:p>
    <w:p w:rsidR="00442FE7" w:rsidRPr="004A6701" w:rsidRDefault="00442FE7" w:rsidP="00442FE7">
      <w:pPr>
        <w:rPr>
          <w:lang w:val="sk-SK"/>
        </w:rPr>
      </w:pPr>
      <w:r w:rsidRPr="004A6701">
        <w:rPr>
          <w:b/>
          <w:lang w:val="sk-SK"/>
        </w:rPr>
        <w:t>5.1</w:t>
      </w:r>
      <w:r w:rsidRPr="004A6701">
        <w:rPr>
          <w:b/>
          <w:lang w:val="sk-SK"/>
        </w:rPr>
        <w:tab/>
      </w:r>
      <w:proofErr w:type="spellStart"/>
      <w:r w:rsidRPr="004A6701">
        <w:rPr>
          <w:b/>
          <w:lang w:val="sk-SK"/>
        </w:rPr>
        <w:t>Farmakodynamické</w:t>
      </w:r>
      <w:proofErr w:type="spellEnd"/>
      <w:r w:rsidRPr="004A6701">
        <w:rPr>
          <w:b/>
          <w:lang w:val="sk-SK"/>
        </w:rPr>
        <w:t xml:space="preserve"> vlastnosti</w:t>
      </w:r>
    </w:p>
    <w:p w:rsidR="00E0791E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t>Farmakoterapeutická</w:t>
      </w:r>
      <w:proofErr w:type="spellEnd"/>
      <w:r w:rsidRPr="00526FFA">
        <w:t xml:space="preserve"> skupina: </w:t>
      </w:r>
      <w:proofErr w:type="spellStart"/>
      <w:r w:rsidRPr="00526FFA">
        <w:t>Psycholeptiká</w:t>
      </w:r>
      <w:proofErr w:type="spellEnd"/>
      <w:r w:rsidRPr="00526FFA">
        <w:t xml:space="preserve">, </w:t>
      </w:r>
      <w:proofErr w:type="spellStart"/>
      <w:r w:rsidRPr="00526FFA">
        <w:t>anxiolytiká</w:t>
      </w:r>
      <w:proofErr w:type="spellEnd"/>
      <w:r w:rsidRPr="00526FFA">
        <w:t>, ATC kód: N05BA08</w:t>
      </w:r>
    </w:p>
    <w:p w:rsidR="0090675E" w:rsidRPr="00C34FB4" w:rsidRDefault="0090675E" w:rsidP="00D248ED">
      <w:pPr>
        <w:pStyle w:val="Normlndobloku"/>
        <w:spacing w:after="0"/>
        <w:jc w:val="left"/>
        <w:rPr>
          <w:szCs w:val="22"/>
        </w:rPr>
      </w:pPr>
    </w:p>
    <w:p w:rsidR="00F61483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C34FB4">
        <w:rPr>
          <w:szCs w:val="22"/>
        </w:rPr>
        <w:t>Bromazepam</w:t>
      </w:r>
      <w:proofErr w:type="spellEnd"/>
      <w:r w:rsidRPr="00C34FB4">
        <w:rPr>
          <w:szCs w:val="22"/>
        </w:rPr>
        <w:t xml:space="preserve"> je psychotropná látka triedy </w:t>
      </w:r>
      <w:proofErr w:type="spellStart"/>
      <w:r w:rsidRPr="00C34FB4">
        <w:rPr>
          <w:szCs w:val="22"/>
        </w:rPr>
        <w:t>pyridylbenzodiazepínov</w:t>
      </w:r>
      <w:proofErr w:type="spellEnd"/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 xml:space="preserve">má </w:t>
      </w:r>
      <w:proofErr w:type="spellStart"/>
      <w:r w:rsidRPr="00C34FB4">
        <w:rPr>
          <w:szCs w:val="22"/>
        </w:rPr>
        <w:t>anxiolytické</w:t>
      </w:r>
      <w:proofErr w:type="spellEnd"/>
      <w:r w:rsidRPr="00C34FB4">
        <w:rPr>
          <w:szCs w:val="22"/>
        </w:rPr>
        <w:t xml:space="preserve"> vlastnosti. Viaže sa na špecifické receptory</w:t>
      </w:r>
      <w:r w:rsidR="00A96109" w:rsidRPr="00A964E5">
        <w:rPr>
          <w:szCs w:val="22"/>
        </w:rPr>
        <w:t xml:space="preserve"> v </w:t>
      </w:r>
      <w:r w:rsidRPr="00A964E5">
        <w:rPr>
          <w:szCs w:val="22"/>
        </w:rPr>
        <w:t>centrálnom nervovom systéme</w:t>
      </w:r>
      <w:r w:rsidR="00A96109" w:rsidRPr="00A964E5">
        <w:rPr>
          <w:szCs w:val="22"/>
        </w:rPr>
        <w:t xml:space="preserve"> a </w:t>
      </w:r>
      <w:r w:rsidRPr="00A964E5">
        <w:rPr>
          <w:szCs w:val="22"/>
        </w:rPr>
        <w:t xml:space="preserve">určitých periférnych orgánoch. </w:t>
      </w:r>
      <w:proofErr w:type="spellStart"/>
      <w:r w:rsidRPr="00A964E5">
        <w:rPr>
          <w:szCs w:val="22"/>
        </w:rPr>
        <w:t>Benzodiazepínové</w:t>
      </w:r>
      <w:proofErr w:type="spellEnd"/>
      <w:r w:rsidRPr="00A964E5">
        <w:rPr>
          <w:szCs w:val="22"/>
        </w:rPr>
        <w:t xml:space="preserve"> receptory centrálneho nervového systému majú úzke funkčné spojenie</w:t>
      </w:r>
      <w:r w:rsidR="00A96109" w:rsidRPr="00DF78F3">
        <w:rPr>
          <w:szCs w:val="22"/>
        </w:rPr>
        <w:t xml:space="preserve"> s </w:t>
      </w:r>
      <w:r w:rsidRPr="00DF78F3">
        <w:rPr>
          <w:szCs w:val="22"/>
        </w:rPr>
        <w:t xml:space="preserve">receptormi </w:t>
      </w:r>
      <w:proofErr w:type="spellStart"/>
      <w:r w:rsidRPr="00DF78F3">
        <w:rPr>
          <w:szCs w:val="22"/>
        </w:rPr>
        <w:t>GABAergného</w:t>
      </w:r>
      <w:proofErr w:type="spellEnd"/>
      <w:r w:rsidRPr="00DF78F3">
        <w:rPr>
          <w:szCs w:val="22"/>
        </w:rPr>
        <w:t xml:space="preserve"> </w:t>
      </w:r>
      <w:proofErr w:type="spellStart"/>
      <w:r w:rsidRPr="00DF78F3">
        <w:rPr>
          <w:szCs w:val="22"/>
        </w:rPr>
        <w:t>transmiterového</w:t>
      </w:r>
      <w:proofErr w:type="spellEnd"/>
      <w:r w:rsidRPr="00DF78F3">
        <w:rPr>
          <w:szCs w:val="22"/>
        </w:rPr>
        <w:t xml:space="preserve"> systému. Po väzbe na </w:t>
      </w:r>
      <w:proofErr w:type="spellStart"/>
      <w:r w:rsidRPr="00DF78F3">
        <w:rPr>
          <w:szCs w:val="22"/>
        </w:rPr>
        <w:t>benzodiazepínový</w:t>
      </w:r>
      <w:proofErr w:type="spellEnd"/>
      <w:r w:rsidRPr="00DF78F3">
        <w:rPr>
          <w:szCs w:val="22"/>
        </w:rPr>
        <w:t xml:space="preserve"> receptor je inhibičný účinok </w:t>
      </w:r>
      <w:proofErr w:type="spellStart"/>
      <w:r w:rsidRPr="00DF78F3">
        <w:rPr>
          <w:szCs w:val="22"/>
        </w:rPr>
        <w:t>GABAergnej</w:t>
      </w:r>
      <w:proofErr w:type="spellEnd"/>
      <w:r w:rsidRPr="00DF78F3">
        <w:rPr>
          <w:szCs w:val="22"/>
        </w:rPr>
        <w:t xml:space="preserve"> transmisie </w:t>
      </w:r>
      <w:proofErr w:type="spellStart"/>
      <w:r w:rsidRPr="00DF78F3">
        <w:rPr>
          <w:szCs w:val="22"/>
        </w:rPr>
        <w:t>broma</w:t>
      </w:r>
      <w:r w:rsidRPr="00526FFA">
        <w:rPr>
          <w:szCs w:val="22"/>
        </w:rPr>
        <w:t>zepamom</w:t>
      </w:r>
      <w:proofErr w:type="spellEnd"/>
      <w:r w:rsidRPr="00526FFA">
        <w:rPr>
          <w:szCs w:val="22"/>
        </w:rPr>
        <w:t xml:space="preserve"> rozšírený.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E4123F" w:rsidRDefault="00442FE7" w:rsidP="00442FE7">
      <w:pPr>
        <w:rPr>
          <w:b/>
          <w:lang w:val="sk-SK"/>
        </w:rPr>
      </w:pPr>
      <w:r w:rsidRPr="00E4123F">
        <w:rPr>
          <w:b/>
          <w:lang w:val="sk-SK"/>
        </w:rPr>
        <w:t>5.2</w:t>
      </w:r>
      <w:r w:rsidRPr="00E4123F">
        <w:rPr>
          <w:b/>
          <w:lang w:val="sk-SK"/>
        </w:rPr>
        <w:tab/>
        <w:t>Farmakokinetické vlastnosti</w:t>
      </w:r>
    </w:p>
    <w:p w:rsidR="00526FFA" w:rsidRPr="00526FFA" w:rsidRDefault="00526FFA" w:rsidP="00442FE7">
      <w:pPr>
        <w:pStyle w:val="Styl2"/>
      </w:pPr>
    </w:p>
    <w:p w:rsidR="00E0791E" w:rsidRPr="00D248ED" w:rsidRDefault="00E0791E" w:rsidP="00442FE7">
      <w:pPr>
        <w:pStyle w:val="Styl3"/>
      </w:pPr>
      <w:r w:rsidRPr="00D248ED">
        <w:t>Absorpcia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t>Bromazepam</w:t>
      </w:r>
      <w:proofErr w:type="spellEnd"/>
      <w:r w:rsidRPr="00526FFA">
        <w:t xml:space="preserve"> sa rýchlo vstrebáva</w:t>
      </w:r>
      <w:r w:rsidR="00A96109" w:rsidRPr="00526FFA">
        <w:t xml:space="preserve"> z </w:t>
      </w:r>
      <w:proofErr w:type="spellStart"/>
      <w:r w:rsidRPr="00526FFA">
        <w:t>gastrointestinálneho</w:t>
      </w:r>
      <w:proofErr w:type="spellEnd"/>
      <w:r w:rsidRPr="00526FFA">
        <w:t xml:space="preserve"> traktu. Vrcholová plazmatická koncentrácia sa zvyčajne dosiahne do 2 hodín po perorálnom podaní </w:t>
      </w:r>
      <w:proofErr w:type="spellStart"/>
      <w:r w:rsidRPr="00526FFA">
        <w:t>bromazepamu</w:t>
      </w:r>
      <w:proofErr w:type="spellEnd"/>
      <w:r w:rsidRPr="00526FFA">
        <w:t xml:space="preserve">. Absolútna (oproti </w:t>
      </w:r>
      <w:proofErr w:type="spellStart"/>
      <w:r w:rsidRPr="00526FFA">
        <w:t>i.v</w:t>
      </w:r>
      <w:proofErr w:type="spellEnd"/>
      <w:r w:rsidRPr="00526FFA">
        <w:t>. podaniu)</w:t>
      </w:r>
      <w:r w:rsidR="00A96109" w:rsidRPr="00526FFA">
        <w:t xml:space="preserve"> a </w:t>
      </w:r>
      <w:r w:rsidRPr="00526FFA">
        <w:t>relatívna (v porovnaní</w:t>
      </w:r>
      <w:r w:rsidR="00A96109" w:rsidRPr="00526FFA">
        <w:t xml:space="preserve"> s </w:t>
      </w:r>
      <w:r w:rsidRPr="00526FFA">
        <w:t>perorálnym roztokom) biologická dostupnosť tabliet je 60 % resp. 100 %.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Distribúcia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 xml:space="preserve">V priemere 70 % </w:t>
      </w:r>
      <w:proofErr w:type="spellStart"/>
      <w:r w:rsidRPr="00A964E5">
        <w:rPr>
          <w:szCs w:val="22"/>
        </w:rPr>
        <w:t>bromazepamu</w:t>
      </w:r>
      <w:proofErr w:type="spellEnd"/>
      <w:r w:rsidRPr="00A964E5">
        <w:rPr>
          <w:szCs w:val="22"/>
        </w:rPr>
        <w:t xml:space="preserve"> sa viaže na plazmatické bielkoviny. Distribučný objem je 50 litrov. Rovnovážna plazmatická koncentrácia sa dosiahne za p</w:t>
      </w:r>
      <w:r w:rsidRPr="00526FFA">
        <w:t>ribližne 5 až 9 dní.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C34FB4" w:rsidRDefault="00E0791E" w:rsidP="00442FE7">
      <w:pPr>
        <w:pStyle w:val="Styl3"/>
      </w:pPr>
      <w:proofErr w:type="spellStart"/>
      <w:r w:rsidRPr="00C34FB4">
        <w:t>Biotransformácia</w:t>
      </w:r>
      <w:proofErr w:type="spellEnd"/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C34FB4">
        <w:rPr>
          <w:szCs w:val="22"/>
        </w:rPr>
        <w:t>Bromazepam</w:t>
      </w:r>
      <w:proofErr w:type="spellEnd"/>
      <w:r w:rsidRPr="00C34FB4">
        <w:rPr>
          <w:szCs w:val="22"/>
        </w:rPr>
        <w:t xml:space="preserve"> je metabolizovaný</w:t>
      </w:r>
      <w:r w:rsidR="00A96109" w:rsidRPr="00C34FB4">
        <w:rPr>
          <w:szCs w:val="22"/>
        </w:rPr>
        <w:t xml:space="preserve"> v </w:t>
      </w:r>
      <w:r w:rsidRPr="00C34FB4">
        <w:rPr>
          <w:szCs w:val="22"/>
        </w:rPr>
        <w:t xml:space="preserve">pečeni. Kvantitatívne prevládajú dva </w:t>
      </w:r>
      <w:proofErr w:type="spellStart"/>
      <w:r w:rsidRPr="00C34FB4">
        <w:rPr>
          <w:szCs w:val="22"/>
        </w:rPr>
        <w:t>metabolity</w:t>
      </w:r>
      <w:proofErr w:type="spellEnd"/>
      <w:r w:rsidRPr="00C34FB4">
        <w:rPr>
          <w:szCs w:val="22"/>
        </w:rPr>
        <w:t>: 3-hydroxy-bromazepam</w:t>
      </w:r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>2-(2-amino-5-bróm-3-hydroxybenzoyl)</w:t>
      </w:r>
      <w:r w:rsidR="00594F38" w:rsidRPr="00A964E5">
        <w:rPr>
          <w:szCs w:val="22"/>
        </w:rPr>
        <w:t xml:space="preserve"> </w:t>
      </w:r>
      <w:proofErr w:type="spellStart"/>
      <w:r w:rsidRPr="00A964E5">
        <w:rPr>
          <w:szCs w:val="22"/>
        </w:rPr>
        <w:t>pyridín</w:t>
      </w:r>
      <w:proofErr w:type="spellEnd"/>
      <w:r w:rsidRPr="00A964E5">
        <w:rPr>
          <w:szCs w:val="22"/>
        </w:rPr>
        <w:t xml:space="preserve">. </w:t>
      </w:r>
      <w:proofErr w:type="spellStart"/>
      <w:r w:rsidRPr="00A964E5">
        <w:rPr>
          <w:szCs w:val="22"/>
        </w:rPr>
        <w:t>Metabolity</w:t>
      </w:r>
      <w:proofErr w:type="spellEnd"/>
      <w:r w:rsidRPr="00A964E5">
        <w:rPr>
          <w:szCs w:val="22"/>
        </w:rPr>
        <w:t xml:space="preserve"> </w:t>
      </w:r>
      <w:proofErr w:type="spellStart"/>
      <w:r w:rsidRPr="00A964E5">
        <w:rPr>
          <w:szCs w:val="22"/>
        </w:rPr>
        <w:t>bromazepamu</w:t>
      </w:r>
      <w:proofErr w:type="spellEnd"/>
      <w:r w:rsidRPr="00A964E5">
        <w:rPr>
          <w:szCs w:val="22"/>
        </w:rPr>
        <w:t xml:space="preserve"> neprispievajú významne k účinkom lieku.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C34FB4" w:rsidRDefault="00E0791E" w:rsidP="00442FE7">
      <w:pPr>
        <w:pStyle w:val="Styl3"/>
      </w:pPr>
      <w:r w:rsidRPr="00C34FB4">
        <w:t>Eliminácia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 xml:space="preserve">Močom sa vylúči neporušený </w:t>
      </w:r>
      <w:proofErr w:type="spellStart"/>
      <w:r w:rsidRPr="00C34FB4">
        <w:rPr>
          <w:szCs w:val="22"/>
        </w:rPr>
        <w:t>bromazepam</w:t>
      </w:r>
      <w:proofErr w:type="spellEnd"/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 xml:space="preserve">jeho </w:t>
      </w:r>
      <w:proofErr w:type="spellStart"/>
      <w:r w:rsidRPr="00C34FB4">
        <w:rPr>
          <w:szCs w:val="22"/>
        </w:rPr>
        <w:t>glukuronidové</w:t>
      </w:r>
      <w:proofErr w:type="spellEnd"/>
      <w:r w:rsidRPr="00C34FB4">
        <w:rPr>
          <w:szCs w:val="22"/>
        </w:rPr>
        <w:t xml:space="preserve"> </w:t>
      </w:r>
      <w:proofErr w:type="spellStart"/>
      <w:r w:rsidRPr="00C34FB4">
        <w:rPr>
          <w:szCs w:val="22"/>
        </w:rPr>
        <w:t>konjugáty</w:t>
      </w:r>
      <w:proofErr w:type="spellEnd"/>
      <w:r w:rsidRPr="00C34FB4">
        <w:rPr>
          <w:szCs w:val="22"/>
        </w:rPr>
        <w:t xml:space="preserve"> hydroxy-3-bromazepam</w:t>
      </w:r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>2-(2-amino-5-bróm-3-hydroxybenzoyl)</w:t>
      </w:r>
      <w:proofErr w:type="spellStart"/>
      <w:r w:rsidRPr="00C34FB4">
        <w:rPr>
          <w:szCs w:val="22"/>
        </w:rPr>
        <w:t>pyridín</w:t>
      </w:r>
      <w:proofErr w:type="spellEnd"/>
      <w:r w:rsidR="00A96109" w:rsidRPr="00A964E5">
        <w:rPr>
          <w:szCs w:val="22"/>
        </w:rPr>
        <w:t xml:space="preserve"> v </w:t>
      </w:r>
      <w:r w:rsidRPr="00A964E5">
        <w:rPr>
          <w:szCs w:val="22"/>
        </w:rPr>
        <w:t>množstve 2 %, 27 %</w:t>
      </w:r>
      <w:r w:rsidR="00A96109" w:rsidRPr="00A964E5">
        <w:rPr>
          <w:szCs w:val="22"/>
        </w:rPr>
        <w:t xml:space="preserve"> a </w:t>
      </w:r>
      <w:r w:rsidRPr="00A964E5">
        <w:rPr>
          <w:szCs w:val="22"/>
        </w:rPr>
        <w:t xml:space="preserve">40 % podanej dávky. </w:t>
      </w:r>
      <w:proofErr w:type="spellStart"/>
      <w:r w:rsidRPr="00A964E5">
        <w:rPr>
          <w:szCs w:val="22"/>
        </w:rPr>
        <w:t>Bromazepam</w:t>
      </w:r>
      <w:proofErr w:type="spellEnd"/>
      <w:r w:rsidRPr="00A964E5">
        <w:rPr>
          <w:szCs w:val="22"/>
        </w:rPr>
        <w:t xml:space="preserve"> má eliminačný polčas asi 20 hodín (približne medzi 16</w:t>
      </w:r>
      <w:r w:rsidR="00A96109" w:rsidRPr="00526FFA">
        <w:t xml:space="preserve"> a </w:t>
      </w:r>
      <w:r w:rsidRPr="00526FFA">
        <w:t xml:space="preserve">30 hodín). </w:t>
      </w:r>
      <w:proofErr w:type="spellStart"/>
      <w:r w:rsidRPr="00526FFA">
        <w:t>Klírens</w:t>
      </w:r>
      <w:proofErr w:type="spellEnd"/>
      <w:r w:rsidRPr="00526FFA">
        <w:t xml:space="preserve"> je 40 ml/min.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proofErr w:type="spellStart"/>
      <w:r w:rsidRPr="00A964E5">
        <w:t>Farmakokinetika</w:t>
      </w:r>
      <w:proofErr w:type="spellEnd"/>
      <w:r w:rsidR="00A96109" w:rsidRPr="00A964E5">
        <w:t xml:space="preserve"> u </w:t>
      </w:r>
      <w:r w:rsidRPr="00A964E5">
        <w:t>osobitných skupín pacientov</w:t>
      </w:r>
    </w:p>
    <w:p w:rsidR="00E0791E" w:rsidRPr="00DF78F3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Eliminačný polčas môže byť</w:t>
      </w:r>
      <w:r w:rsidR="00A96109" w:rsidRPr="00DF78F3">
        <w:rPr>
          <w:szCs w:val="22"/>
        </w:rPr>
        <w:t xml:space="preserve"> u </w:t>
      </w:r>
      <w:r w:rsidRPr="00DF78F3">
        <w:rPr>
          <w:szCs w:val="22"/>
        </w:rPr>
        <w:t>starších pacientov predĺžený (pozri časť 4.2).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E4123F" w:rsidRDefault="00442FE7" w:rsidP="00442FE7">
      <w:pPr>
        <w:rPr>
          <w:lang w:val="sk-SK"/>
        </w:rPr>
      </w:pPr>
      <w:r w:rsidRPr="00E4123F">
        <w:rPr>
          <w:b/>
          <w:lang w:val="sk-SK"/>
        </w:rPr>
        <w:t>5.3</w:t>
      </w:r>
      <w:r w:rsidRPr="00E4123F">
        <w:rPr>
          <w:b/>
          <w:lang w:val="sk-SK"/>
        </w:rPr>
        <w:tab/>
        <w:t>Predklinické údaje o bezpečnosti</w:t>
      </w:r>
    </w:p>
    <w:p w:rsidR="00526FFA" w:rsidRPr="00526FFA" w:rsidRDefault="00526FFA" w:rsidP="00442FE7">
      <w:pPr>
        <w:pStyle w:val="Styl2"/>
      </w:pPr>
    </w:p>
    <w:p w:rsidR="00E0791E" w:rsidRPr="00D248ED" w:rsidRDefault="00E0791E" w:rsidP="00442FE7">
      <w:pPr>
        <w:pStyle w:val="Styl3"/>
      </w:pPr>
      <w:r w:rsidRPr="00D248ED">
        <w:t>Karcinogenita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Štúdie karcinogenity</w:t>
      </w:r>
      <w:r w:rsidR="00A96109" w:rsidRPr="00526FFA">
        <w:t xml:space="preserve"> u </w:t>
      </w:r>
      <w:r w:rsidRPr="00526FFA">
        <w:t xml:space="preserve">potkanov nepriniesli žiadne dôkazy o karcinogénnom potenciáli </w:t>
      </w:r>
      <w:proofErr w:type="spellStart"/>
      <w:r w:rsidRPr="00526FFA">
        <w:t>bromazepamu</w:t>
      </w:r>
      <w:proofErr w:type="spellEnd"/>
      <w:r w:rsidRPr="00526FFA">
        <w:t>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C34FB4" w:rsidRDefault="00E0791E" w:rsidP="00442FE7">
      <w:pPr>
        <w:pStyle w:val="Styl3"/>
      </w:pPr>
      <w:proofErr w:type="spellStart"/>
      <w:r w:rsidRPr="00C34FB4">
        <w:t>Mutagenita</w:t>
      </w:r>
      <w:proofErr w:type="spellEnd"/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C34FB4">
        <w:rPr>
          <w:szCs w:val="22"/>
        </w:rPr>
        <w:t>Bromazepam</w:t>
      </w:r>
      <w:proofErr w:type="spellEnd"/>
      <w:r w:rsidRPr="00C34FB4">
        <w:rPr>
          <w:szCs w:val="22"/>
        </w:rPr>
        <w:t xml:space="preserve"> nebol </w:t>
      </w:r>
      <w:proofErr w:type="spellStart"/>
      <w:r w:rsidRPr="00C34FB4">
        <w:rPr>
          <w:szCs w:val="22"/>
        </w:rPr>
        <w:t>genotoxický</w:t>
      </w:r>
      <w:proofErr w:type="spellEnd"/>
      <w:r w:rsidR="00A96109" w:rsidRPr="00C34FB4">
        <w:rPr>
          <w:szCs w:val="22"/>
        </w:rPr>
        <w:t xml:space="preserve"> v </w:t>
      </w:r>
      <w:r w:rsidRPr="00C34FB4">
        <w:rPr>
          <w:i/>
          <w:szCs w:val="22"/>
        </w:rPr>
        <w:t>in-vitro</w:t>
      </w:r>
      <w:r w:rsidR="00A96109" w:rsidRPr="00C34FB4">
        <w:rPr>
          <w:szCs w:val="22"/>
        </w:rPr>
        <w:t xml:space="preserve"> a </w:t>
      </w:r>
      <w:r w:rsidRPr="00D248ED">
        <w:rPr>
          <w:i/>
          <w:szCs w:val="22"/>
        </w:rPr>
        <w:t>in-</w:t>
      </w:r>
      <w:proofErr w:type="spellStart"/>
      <w:r w:rsidRPr="00D248ED">
        <w:rPr>
          <w:i/>
          <w:szCs w:val="22"/>
        </w:rPr>
        <w:t>vivo</w:t>
      </w:r>
      <w:proofErr w:type="spellEnd"/>
      <w:r w:rsidRPr="00C34FB4">
        <w:rPr>
          <w:szCs w:val="22"/>
        </w:rPr>
        <w:t xml:space="preserve"> testoch.</w:t>
      </w:r>
    </w:p>
    <w:p w:rsidR="00E0791E" w:rsidRPr="00C34FB4" w:rsidRDefault="00E0791E" w:rsidP="00D248ED">
      <w:pPr>
        <w:pStyle w:val="Normlndobloku"/>
        <w:spacing w:after="0"/>
        <w:jc w:val="left"/>
        <w:rPr>
          <w:szCs w:val="22"/>
        </w:rPr>
      </w:pPr>
    </w:p>
    <w:p w:rsidR="00E0791E" w:rsidRPr="00C34FB4" w:rsidRDefault="00E0791E" w:rsidP="00442FE7">
      <w:pPr>
        <w:pStyle w:val="Styl3"/>
      </w:pPr>
      <w:r w:rsidRPr="00C34FB4">
        <w:t>Zhoršenie plodnosti</w:t>
      </w:r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C34FB4">
        <w:rPr>
          <w:szCs w:val="22"/>
        </w:rPr>
        <w:t xml:space="preserve">Perorálne denné podávanie </w:t>
      </w:r>
      <w:proofErr w:type="spellStart"/>
      <w:r w:rsidRPr="00C34FB4">
        <w:rPr>
          <w:szCs w:val="22"/>
        </w:rPr>
        <w:t>bromazepamu</w:t>
      </w:r>
      <w:proofErr w:type="spellEnd"/>
      <w:r w:rsidRPr="00C34FB4">
        <w:rPr>
          <w:szCs w:val="22"/>
        </w:rPr>
        <w:t xml:space="preserve"> nemalo žiadny vplyv na plodnosť</w:t>
      </w:r>
      <w:r w:rsidR="00A96109" w:rsidRPr="00C34FB4">
        <w:rPr>
          <w:szCs w:val="22"/>
        </w:rPr>
        <w:t xml:space="preserve"> a </w:t>
      </w:r>
      <w:r w:rsidRPr="00C34FB4">
        <w:rPr>
          <w:szCs w:val="22"/>
        </w:rPr>
        <w:t>reprodukčné schopnosti potkanov.</w:t>
      </w:r>
    </w:p>
    <w:p w:rsidR="00C27D6B" w:rsidRPr="00C34FB4" w:rsidRDefault="00C27D6B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proofErr w:type="spellStart"/>
      <w:r w:rsidRPr="00A964E5">
        <w:t>Teratogenita</w:t>
      </w:r>
      <w:proofErr w:type="spellEnd"/>
    </w:p>
    <w:p w:rsidR="00526FFA" w:rsidRPr="00C34FB4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 xml:space="preserve">Pri podávaní </w:t>
      </w:r>
      <w:proofErr w:type="spellStart"/>
      <w:r w:rsidRPr="00A964E5">
        <w:rPr>
          <w:szCs w:val="22"/>
        </w:rPr>
        <w:t>bromazepamu</w:t>
      </w:r>
      <w:proofErr w:type="spellEnd"/>
      <w:r w:rsidRPr="00A964E5">
        <w:rPr>
          <w:szCs w:val="22"/>
        </w:rPr>
        <w:t xml:space="preserve"> gravidným potkanom sa pozorovalo zvýšenie </w:t>
      </w:r>
      <w:proofErr w:type="spellStart"/>
      <w:r w:rsidRPr="00A964E5">
        <w:rPr>
          <w:szCs w:val="22"/>
        </w:rPr>
        <w:t>fetálnej</w:t>
      </w:r>
      <w:proofErr w:type="spellEnd"/>
      <w:r w:rsidRPr="00A964E5">
        <w:rPr>
          <w:szCs w:val="22"/>
        </w:rPr>
        <w:t xml:space="preserve"> úmrtnosti, zvýšený počet mŕtvo narodených mláďat</w:t>
      </w:r>
      <w:r w:rsidR="00A96109" w:rsidRPr="00526FFA">
        <w:t xml:space="preserve"> a </w:t>
      </w:r>
      <w:r w:rsidRPr="00526FFA">
        <w:t>zníženie prežitia mláďat.</w:t>
      </w:r>
      <w:r w:rsidR="00A96109" w:rsidRPr="00526FFA">
        <w:t xml:space="preserve"> V </w:t>
      </w:r>
      <w:r w:rsidRPr="00526FFA">
        <w:t xml:space="preserve">štúdiách </w:t>
      </w:r>
      <w:proofErr w:type="spellStart"/>
      <w:r w:rsidRPr="00526FFA">
        <w:t>embryotoxicity</w:t>
      </w:r>
      <w:proofErr w:type="spellEnd"/>
      <w:r w:rsidRPr="00526FFA">
        <w:t>/</w:t>
      </w:r>
      <w:proofErr w:type="spellStart"/>
      <w:r w:rsidRPr="00526FFA">
        <w:t>teratogenita</w:t>
      </w:r>
      <w:proofErr w:type="spellEnd"/>
      <w:r w:rsidRPr="00526FFA">
        <w:t xml:space="preserve"> neboli zistené </w:t>
      </w:r>
      <w:proofErr w:type="spellStart"/>
      <w:r w:rsidRPr="00526FFA">
        <w:t>teratogénne</w:t>
      </w:r>
      <w:proofErr w:type="spellEnd"/>
      <w:r w:rsidRPr="00526FFA">
        <w:t xml:space="preserve"> účinky až do dávky 125 mg/kg/deň. Po podaní per os</w:t>
      </w:r>
      <w:r w:rsidR="00A96109" w:rsidRPr="00526FFA">
        <w:t xml:space="preserve"> v </w:t>
      </w:r>
      <w:r w:rsidRPr="00526FFA">
        <w:t>dávkach až 50 mg/kg/deň gravidným králikom bolo pozorované zníženie telesnej hmotnosti matky, zníženie hmotnosti plodu</w:t>
      </w:r>
      <w:r w:rsidR="00A96109" w:rsidRPr="00526FFA">
        <w:t xml:space="preserve"> a </w:t>
      </w:r>
      <w:r w:rsidRPr="00526FFA">
        <w:t xml:space="preserve">zvýšenie </w:t>
      </w:r>
      <w:proofErr w:type="spellStart"/>
      <w:r w:rsidRPr="00526FFA">
        <w:t>incidencie</w:t>
      </w:r>
      <w:proofErr w:type="spellEnd"/>
      <w:r w:rsidRPr="00526FFA">
        <w:t xml:space="preserve"> </w:t>
      </w:r>
      <w:proofErr w:type="spellStart"/>
      <w:r w:rsidRPr="00526FFA">
        <w:t>resorpcie</w:t>
      </w:r>
      <w:proofErr w:type="spellEnd"/>
      <w:r w:rsidRPr="00526FFA">
        <w:t>.</w:t>
      </w:r>
    </w:p>
    <w:p w:rsidR="00C27D6B" w:rsidRPr="00C34FB4" w:rsidRDefault="00C27D6B" w:rsidP="00D248ED">
      <w:pPr>
        <w:pStyle w:val="Normlndobloku"/>
        <w:spacing w:after="0"/>
        <w:jc w:val="left"/>
        <w:rPr>
          <w:szCs w:val="22"/>
        </w:rPr>
      </w:pPr>
    </w:p>
    <w:p w:rsidR="00E0791E" w:rsidRPr="00A964E5" w:rsidRDefault="00E0791E" w:rsidP="00442FE7">
      <w:pPr>
        <w:pStyle w:val="Styl3"/>
      </w:pPr>
      <w:r w:rsidRPr="00A964E5">
        <w:t>Chronická toxicita</w:t>
      </w:r>
    </w:p>
    <w:p w:rsidR="00C27D6B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A964E5">
        <w:rPr>
          <w:szCs w:val="22"/>
        </w:rPr>
        <w:t>Žiadne odchýlky od normálu neboli pozorované</w:t>
      </w:r>
      <w:r w:rsidR="00A96109" w:rsidRPr="00A964E5">
        <w:rPr>
          <w:szCs w:val="22"/>
        </w:rPr>
        <w:t xml:space="preserve"> v </w:t>
      </w:r>
      <w:r w:rsidRPr="00DF78F3">
        <w:rPr>
          <w:szCs w:val="22"/>
        </w:rPr>
        <w:t>dlhodobých štúdiách toxicity</w:t>
      </w:r>
      <w:r w:rsidR="00A96109" w:rsidRPr="00DF78F3">
        <w:rPr>
          <w:szCs w:val="22"/>
        </w:rPr>
        <w:t xml:space="preserve"> s </w:t>
      </w:r>
      <w:r w:rsidRPr="00DF78F3">
        <w:rPr>
          <w:szCs w:val="22"/>
        </w:rPr>
        <w:t xml:space="preserve">výnimkou zvýšenia hmotnosti pečene. </w:t>
      </w:r>
      <w:proofErr w:type="spellStart"/>
      <w:r w:rsidRPr="00DF78F3">
        <w:rPr>
          <w:szCs w:val="22"/>
        </w:rPr>
        <w:t>Histopatologické</w:t>
      </w:r>
      <w:proofErr w:type="spellEnd"/>
      <w:r w:rsidRPr="00DF78F3">
        <w:rPr>
          <w:szCs w:val="22"/>
        </w:rPr>
        <w:t xml:space="preserve"> vyšetrenie odhalilo </w:t>
      </w:r>
      <w:proofErr w:type="spellStart"/>
      <w:r w:rsidRPr="00DF78F3">
        <w:rPr>
          <w:szCs w:val="22"/>
        </w:rPr>
        <w:t>centrolobulárnu</w:t>
      </w:r>
      <w:proofErr w:type="spellEnd"/>
      <w:r w:rsidRPr="00DF78F3">
        <w:rPr>
          <w:szCs w:val="22"/>
        </w:rPr>
        <w:t xml:space="preserve"> </w:t>
      </w:r>
      <w:proofErr w:type="spellStart"/>
      <w:r w:rsidRPr="00DF78F3">
        <w:rPr>
          <w:szCs w:val="22"/>
        </w:rPr>
        <w:t>hepatocelulárnu</w:t>
      </w:r>
      <w:proofErr w:type="spellEnd"/>
      <w:r w:rsidRPr="00DF78F3">
        <w:rPr>
          <w:szCs w:val="22"/>
        </w:rPr>
        <w:t xml:space="preserve"> hypertrofiu, ktorá bola považovaná za indikatívnu pre enzýmovú indukciu </w:t>
      </w:r>
      <w:proofErr w:type="spellStart"/>
      <w:r w:rsidRPr="00DF78F3">
        <w:rPr>
          <w:szCs w:val="22"/>
        </w:rPr>
        <w:t>bromazepamom</w:t>
      </w:r>
      <w:proofErr w:type="spellEnd"/>
      <w:r w:rsidRPr="00DF78F3">
        <w:rPr>
          <w:szCs w:val="22"/>
        </w:rPr>
        <w:t xml:space="preserve">. Nežiaduce účinky zaznamenané po vysokých dávkach boli </w:t>
      </w:r>
      <w:r w:rsidRPr="00526FFA">
        <w:t xml:space="preserve">slabá až mierna </w:t>
      </w:r>
      <w:proofErr w:type="spellStart"/>
      <w:r w:rsidRPr="00526FFA">
        <w:t>sedácia</w:t>
      </w:r>
      <w:proofErr w:type="spellEnd"/>
      <w:r w:rsidRPr="00526FFA">
        <w:t xml:space="preserve">, </w:t>
      </w:r>
      <w:proofErr w:type="spellStart"/>
      <w:r w:rsidRPr="00526FFA">
        <w:t>ataxia</w:t>
      </w:r>
      <w:proofErr w:type="spellEnd"/>
      <w:r w:rsidRPr="00526FFA">
        <w:t xml:space="preserve">, izolované krátke záchvaty kŕčov, občas zvýšenie sérovej alkalickej </w:t>
      </w:r>
      <w:proofErr w:type="spellStart"/>
      <w:r w:rsidRPr="00526FFA">
        <w:t>fosfatázy</w:t>
      </w:r>
      <w:proofErr w:type="spellEnd"/>
      <w:r w:rsidR="00A96109" w:rsidRPr="00526FFA">
        <w:t xml:space="preserve"> a </w:t>
      </w:r>
      <w:r w:rsidRPr="00526FFA">
        <w:t>hraničné zvýšenie ALT.</w:t>
      </w:r>
    </w:p>
    <w:p w:rsid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D25690" w:rsidRPr="00526FFA" w:rsidRDefault="00D25690" w:rsidP="00D248ED">
      <w:pPr>
        <w:pStyle w:val="Normlndobloku"/>
        <w:spacing w:after="0"/>
        <w:jc w:val="left"/>
        <w:rPr>
          <w:szCs w:val="22"/>
        </w:rPr>
      </w:pPr>
    </w:p>
    <w:p w:rsidR="00442FE7" w:rsidRPr="00E4123F" w:rsidRDefault="00442FE7" w:rsidP="00442FE7">
      <w:pPr>
        <w:rPr>
          <w:b/>
          <w:lang w:val="sk-SK"/>
        </w:rPr>
      </w:pPr>
      <w:r w:rsidRPr="00E4123F">
        <w:rPr>
          <w:b/>
          <w:lang w:val="sk-SK"/>
        </w:rPr>
        <w:t>6.</w:t>
      </w:r>
      <w:r w:rsidRPr="00E4123F">
        <w:rPr>
          <w:b/>
          <w:lang w:val="sk-SK"/>
        </w:rPr>
        <w:tab/>
        <w:t>FARMACEUTICKÉ INFORMÁCIE</w:t>
      </w:r>
    </w:p>
    <w:p w:rsidR="00442FE7" w:rsidRPr="00E4123F" w:rsidRDefault="00442FE7" w:rsidP="00442FE7">
      <w:pPr>
        <w:rPr>
          <w:lang w:val="sk-SK"/>
        </w:rPr>
      </w:pPr>
    </w:p>
    <w:p w:rsidR="00442FE7" w:rsidRPr="00E4123F" w:rsidRDefault="00442FE7" w:rsidP="00442FE7">
      <w:pPr>
        <w:rPr>
          <w:lang w:val="sk-SK"/>
        </w:rPr>
      </w:pPr>
      <w:r w:rsidRPr="00E4123F">
        <w:rPr>
          <w:b/>
          <w:lang w:val="sk-SK"/>
        </w:rPr>
        <w:t>6.1</w:t>
      </w:r>
      <w:r w:rsidRPr="00E4123F">
        <w:rPr>
          <w:b/>
          <w:lang w:val="sk-SK"/>
        </w:rPr>
        <w:tab/>
        <w:t>Zoznam pomocných látok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rPr>
          <w:szCs w:val="22"/>
        </w:rPr>
        <w:t>monohydrát</w:t>
      </w:r>
      <w:proofErr w:type="spellEnd"/>
      <w:r w:rsidRPr="00526FFA">
        <w:rPr>
          <w:szCs w:val="22"/>
        </w:rPr>
        <w:t xml:space="preserve"> laktózy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mikrokryštalická celulóza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 xml:space="preserve">sodná soľ </w:t>
      </w:r>
      <w:proofErr w:type="spellStart"/>
      <w:r w:rsidRPr="00526FFA">
        <w:rPr>
          <w:szCs w:val="22"/>
        </w:rPr>
        <w:t>karboxymetylškrobu</w:t>
      </w:r>
      <w:proofErr w:type="spellEnd"/>
      <w:r w:rsidRPr="00526FFA">
        <w:rPr>
          <w:szCs w:val="22"/>
        </w:rPr>
        <w:t xml:space="preserve"> (typ A)</w:t>
      </w:r>
    </w:p>
    <w:p w:rsidR="00E0791E" w:rsidRPr="00526FFA" w:rsidRDefault="00526FFA" w:rsidP="00D248ED">
      <w:pPr>
        <w:pStyle w:val="Normlndobloku"/>
        <w:spacing w:after="0"/>
        <w:jc w:val="left"/>
        <w:rPr>
          <w:szCs w:val="22"/>
        </w:rPr>
      </w:pPr>
      <w:proofErr w:type="spellStart"/>
      <w:r w:rsidRPr="00526FFA">
        <w:rPr>
          <w:szCs w:val="22"/>
        </w:rPr>
        <w:t>stearan</w:t>
      </w:r>
      <w:proofErr w:type="spellEnd"/>
      <w:r w:rsidRPr="00526FFA">
        <w:rPr>
          <w:szCs w:val="22"/>
        </w:rPr>
        <w:t xml:space="preserve"> </w:t>
      </w:r>
      <w:proofErr w:type="spellStart"/>
      <w:r w:rsidRPr="00526FFA">
        <w:rPr>
          <w:szCs w:val="22"/>
        </w:rPr>
        <w:t>horečnatý</w:t>
      </w:r>
      <w:proofErr w:type="spellEnd"/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442FE7" w:rsidRDefault="00442FE7" w:rsidP="00442FE7">
      <w:pPr>
        <w:rPr>
          <w:lang w:val="sk-SK"/>
        </w:rPr>
      </w:pPr>
      <w:r w:rsidRPr="00442FE7">
        <w:rPr>
          <w:b/>
          <w:lang w:val="sk-SK"/>
        </w:rPr>
        <w:t>6.2</w:t>
      </w:r>
      <w:r w:rsidRPr="00442FE7">
        <w:rPr>
          <w:b/>
          <w:lang w:val="sk-SK"/>
        </w:rPr>
        <w:tab/>
        <w:t>Inkompatibility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Neaplikovateľné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442FE7" w:rsidRDefault="00442FE7" w:rsidP="00442FE7">
      <w:pPr>
        <w:rPr>
          <w:lang w:val="sk-SK"/>
        </w:rPr>
      </w:pPr>
      <w:r w:rsidRPr="00442FE7">
        <w:rPr>
          <w:b/>
          <w:lang w:val="sk-SK"/>
        </w:rPr>
        <w:t>6.3</w:t>
      </w:r>
      <w:r w:rsidRPr="00442FE7">
        <w:rPr>
          <w:b/>
          <w:lang w:val="sk-SK"/>
        </w:rPr>
        <w:tab/>
        <w:t>Čas použiteľnosti</w:t>
      </w:r>
    </w:p>
    <w:p w:rsidR="00D248ED" w:rsidRDefault="00D248ED" w:rsidP="00D248ED">
      <w:pPr>
        <w:pStyle w:val="Normlndobloku"/>
        <w:spacing w:after="0"/>
        <w:jc w:val="left"/>
        <w:rPr>
          <w:szCs w:val="22"/>
        </w:rPr>
      </w:pPr>
    </w:p>
    <w:p w:rsidR="00E0791E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5 rokov</w:t>
      </w:r>
    </w:p>
    <w:p w:rsidR="00D248ED" w:rsidRPr="00526FFA" w:rsidRDefault="00D248ED" w:rsidP="00D248ED">
      <w:pPr>
        <w:pStyle w:val="Normlndobloku"/>
        <w:spacing w:after="0"/>
        <w:jc w:val="left"/>
        <w:rPr>
          <w:szCs w:val="22"/>
        </w:rPr>
      </w:pPr>
    </w:p>
    <w:p w:rsidR="00442FE7" w:rsidRPr="00E4123F" w:rsidRDefault="00442FE7" w:rsidP="00442FE7">
      <w:pPr>
        <w:rPr>
          <w:lang w:val="sk-SK"/>
        </w:rPr>
      </w:pPr>
      <w:r w:rsidRPr="00E4123F">
        <w:rPr>
          <w:b/>
          <w:lang w:val="sk-SK"/>
        </w:rPr>
        <w:t>6.4</w:t>
      </w:r>
      <w:r w:rsidRPr="00E4123F">
        <w:rPr>
          <w:b/>
          <w:lang w:val="sk-SK"/>
        </w:rPr>
        <w:tab/>
        <w:t>Špeciálne upozornenia na uchovávanie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Uchovávajte pri teplote do 25 °C</w:t>
      </w:r>
      <w:r w:rsidR="00A96109" w:rsidRPr="00526FFA">
        <w:rPr>
          <w:szCs w:val="22"/>
        </w:rPr>
        <w:t xml:space="preserve"> v </w:t>
      </w:r>
      <w:r w:rsidRPr="00526FFA">
        <w:rPr>
          <w:szCs w:val="22"/>
        </w:rPr>
        <w:t>pôvodnom obale na ochranu pred svetlom</w:t>
      </w:r>
      <w:r w:rsidR="00A96109" w:rsidRPr="00526FFA">
        <w:rPr>
          <w:szCs w:val="22"/>
        </w:rPr>
        <w:t xml:space="preserve"> a </w:t>
      </w:r>
      <w:r w:rsidRPr="00526FFA">
        <w:rPr>
          <w:szCs w:val="22"/>
        </w:rPr>
        <w:t>vlhkosťou.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E4123F" w:rsidRDefault="00442FE7" w:rsidP="00442FE7">
      <w:pPr>
        <w:rPr>
          <w:lang w:val="sk-SK"/>
        </w:rPr>
      </w:pPr>
      <w:r w:rsidRPr="00E4123F">
        <w:rPr>
          <w:b/>
          <w:lang w:val="sk-SK"/>
        </w:rPr>
        <w:t>6.5</w:t>
      </w:r>
      <w:r w:rsidRPr="00E4123F">
        <w:rPr>
          <w:b/>
          <w:lang w:val="sk-SK"/>
        </w:rPr>
        <w:tab/>
        <w:t>Druh obalu a obsah balenia</w:t>
      </w:r>
      <w:r w:rsidRPr="00E4123F">
        <w:rPr>
          <w:b/>
          <w:color w:val="0000FF"/>
          <w:lang w:val="sk-SK"/>
        </w:rPr>
        <w:t xml:space="preserve"> 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 xml:space="preserve">Al/PVC </w:t>
      </w:r>
      <w:proofErr w:type="spellStart"/>
      <w:r w:rsidRPr="00526FFA">
        <w:rPr>
          <w:szCs w:val="22"/>
        </w:rPr>
        <w:t>blister</w:t>
      </w:r>
      <w:proofErr w:type="spellEnd"/>
      <w:r w:rsidRPr="00526FFA">
        <w:rPr>
          <w:szCs w:val="22"/>
        </w:rPr>
        <w:t>, papierová škatuľka.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t>Veľkosť balenia: 20, 28, 30, 40, 100, 500 alebo 1000 tabliet.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Na trh nemusia byť uvedené všetky veľkosti balenia.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E0791E" w:rsidRPr="00526FFA" w:rsidRDefault="00442FE7" w:rsidP="00442FE7">
      <w:pPr>
        <w:pStyle w:val="Styl2"/>
      </w:pPr>
      <w:r w:rsidRPr="00442FE7">
        <w:lastRenderedPageBreak/>
        <w:t>6.6</w:t>
      </w:r>
      <w:r w:rsidRPr="00442FE7">
        <w:tab/>
      </w:r>
      <w:r w:rsidRPr="00442FE7">
        <w:rPr>
          <w:bCs w:val="0"/>
          <w:noProof/>
        </w:rPr>
        <w:t xml:space="preserve">Špeciálne </w:t>
      </w:r>
      <w:r w:rsidR="00E0791E" w:rsidRPr="00442FE7">
        <w:t>opatrenia na</w:t>
      </w:r>
      <w:r w:rsidR="00E0791E" w:rsidRPr="00526FFA">
        <w:t xml:space="preserve"> likvidáciu</w:t>
      </w:r>
      <w:r w:rsidR="00A96109" w:rsidRPr="00526FFA">
        <w:t xml:space="preserve"> a </w:t>
      </w:r>
      <w:r w:rsidR="00E0791E" w:rsidRPr="00526FFA">
        <w:t>iné zaobchádzanie</w:t>
      </w:r>
      <w:r w:rsidR="00A96109" w:rsidRPr="00526FFA">
        <w:t xml:space="preserve"> s</w:t>
      </w:r>
      <w:r w:rsidR="00526FFA" w:rsidRPr="00526FFA">
        <w:t> </w:t>
      </w:r>
      <w:r w:rsidR="00E0791E" w:rsidRPr="00526FFA">
        <w:t>liekom</w:t>
      </w:r>
    </w:p>
    <w:p w:rsidR="00526FFA" w:rsidRPr="00526FFA" w:rsidRDefault="00526FFA" w:rsidP="00442FE7">
      <w:pPr>
        <w:pStyle w:val="Styl2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Nepoužitý liek alebo odpad vzniknutý</w:t>
      </w:r>
      <w:r w:rsidR="00A96109" w:rsidRPr="00526FFA">
        <w:rPr>
          <w:szCs w:val="22"/>
        </w:rPr>
        <w:t xml:space="preserve"> z </w:t>
      </w:r>
      <w:r w:rsidRPr="00526FFA">
        <w:rPr>
          <w:szCs w:val="22"/>
        </w:rPr>
        <w:t>lieku treba vrátiť do lekárne.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3021DE" w:rsidRDefault="00442FE7" w:rsidP="00442FE7">
      <w:pPr>
        <w:rPr>
          <w:b/>
        </w:rPr>
      </w:pPr>
      <w:r w:rsidRPr="003021DE">
        <w:rPr>
          <w:b/>
        </w:rPr>
        <w:t>7.</w:t>
      </w:r>
      <w:r w:rsidRPr="003021DE">
        <w:rPr>
          <w:b/>
        </w:rPr>
        <w:tab/>
        <w:t>DRŽITEĽ ROZHODNUTIA O REGISTRÁCII</w:t>
      </w:r>
    </w:p>
    <w:p w:rsidR="00526FFA" w:rsidRPr="00D248ED" w:rsidRDefault="00526FFA">
      <w:pPr>
        <w:pStyle w:val="Styl1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 xml:space="preserve">MEDOCHEMIE </w:t>
      </w:r>
      <w:proofErr w:type="spellStart"/>
      <w:r w:rsidRPr="00526FFA">
        <w:rPr>
          <w:szCs w:val="22"/>
        </w:rPr>
        <w:t>Ltd</w:t>
      </w:r>
      <w:proofErr w:type="spellEnd"/>
      <w:r w:rsidRPr="00526FFA">
        <w:rPr>
          <w:szCs w:val="22"/>
        </w:rPr>
        <w:t xml:space="preserve">., 1-10 </w:t>
      </w:r>
      <w:proofErr w:type="spellStart"/>
      <w:r w:rsidRPr="00526FFA">
        <w:rPr>
          <w:szCs w:val="22"/>
        </w:rPr>
        <w:t>Constantinoupoleos</w:t>
      </w:r>
      <w:proofErr w:type="spellEnd"/>
      <w:r w:rsidRPr="00526FFA">
        <w:rPr>
          <w:szCs w:val="22"/>
        </w:rPr>
        <w:t xml:space="preserve"> </w:t>
      </w:r>
      <w:proofErr w:type="spellStart"/>
      <w:r w:rsidRPr="00526FFA">
        <w:rPr>
          <w:szCs w:val="22"/>
        </w:rPr>
        <w:t>Street</w:t>
      </w:r>
      <w:proofErr w:type="spellEnd"/>
      <w:r w:rsidRPr="00526FFA">
        <w:rPr>
          <w:szCs w:val="22"/>
        </w:rPr>
        <w:t xml:space="preserve">, 3011 </w:t>
      </w:r>
      <w:proofErr w:type="spellStart"/>
      <w:r w:rsidRPr="00526FFA">
        <w:rPr>
          <w:szCs w:val="22"/>
        </w:rPr>
        <w:t>Limassol</w:t>
      </w:r>
      <w:proofErr w:type="spellEnd"/>
      <w:r w:rsidRPr="00526FFA">
        <w:rPr>
          <w:szCs w:val="22"/>
        </w:rPr>
        <w:t>, Cyprus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3021DE" w:rsidRDefault="00442FE7" w:rsidP="00442FE7">
      <w:pPr>
        <w:rPr>
          <w:b/>
        </w:rPr>
      </w:pPr>
      <w:r>
        <w:rPr>
          <w:b/>
        </w:rPr>
        <w:t>8.</w:t>
      </w:r>
      <w:r>
        <w:rPr>
          <w:b/>
        </w:rPr>
        <w:tab/>
        <w:t xml:space="preserve">REGISTRAČNÉ </w:t>
      </w:r>
      <w:r w:rsidRPr="003021DE">
        <w:rPr>
          <w:b/>
        </w:rPr>
        <w:t>ČÍSLO</w:t>
      </w:r>
    </w:p>
    <w:p w:rsidR="00526FFA" w:rsidRPr="00D248ED" w:rsidRDefault="00526FFA">
      <w:pPr>
        <w:pStyle w:val="Styl1"/>
      </w:pP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>70/0380/14-S</w:t>
      </w:r>
    </w:p>
    <w:p w:rsidR="00442FE7" w:rsidRPr="00526FFA" w:rsidRDefault="00442FE7" w:rsidP="00442FE7">
      <w:pPr>
        <w:pStyle w:val="Normlndobloku"/>
        <w:spacing w:after="0"/>
        <w:jc w:val="left"/>
        <w:rPr>
          <w:szCs w:val="22"/>
        </w:rPr>
      </w:pPr>
    </w:p>
    <w:p w:rsidR="00526FFA" w:rsidRPr="00526FFA" w:rsidRDefault="00526FFA" w:rsidP="00442FE7">
      <w:pPr>
        <w:pStyle w:val="Normlndobloku"/>
        <w:spacing w:after="0"/>
        <w:jc w:val="left"/>
        <w:rPr>
          <w:szCs w:val="22"/>
        </w:rPr>
      </w:pPr>
    </w:p>
    <w:p w:rsidR="00442FE7" w:rsidRPr="003021DE" w:rsidRDefault="00442FE7" w:rsidP="00442FE7">
      <w:pPr>
        <w:rPr>
          <w:b/>
        </w:rPr>
      </w:pPr>
      <w:r w:rsidRPr="003021DE">
        <w:rPr>
          <w:b/>
        </w:rPr>
        <w:t>9.</w:t>
      </w:r>
      <w:r w:rsidRPr="003021DE">
        <w:rPr>
          <w:b/>
        </w:rPr>
        <w:tab/>
        <w:t>DÁTUM PRVEJ REGISTRÁCIE/PREDĹŽENIA REGISTRÁCIE</w:t>
      </w:r>
    </w:p>
    <w:p w:rsidR="00442FE7" w:rsidRDefault="00442FE7" w:rsidP="00D248ED">
      <w:pPr>
        <w:pStyle w:val="Normlndobloku"/>
        <w:spacing w:after="0"/>
        <w:jc w:val="left"/>
      </w:pPr>
    </w:p>
    <w:p w:rsidR="00E0791E" w:rsidRPr="00526FFA" w:rsidRDefault="00526FFA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 xml:space="preserve">Dátum prvej registrácie: 25.novembra </w:t>
      </w:r>
      <w:r w:rsidR="00E0791E" w:rsidRPr="00526FFA">
        <w:rPr>
          <w:szCs w:val="22"/>
        </w:rPr>
        <w:t>2014</w:t>
      </w:r>
    </w:p>
    <w:p w:rsidR="00E0791E" w:rsidRPr="00526FFA" w:rsidRDefault="00E0791E" w:rsidP="00D248ED">
      <w:pPr>
        <w:pStyle w:val="Normlndobloku"/>
        <w:spacing w:after="0"/>
        <w:jc w:val="left"/>
        <w:rPr>
          <w:szCs w:val="22"/>
        </w:rPr>
      </w:pPr>
      <w:r w:rsidRPr="00526FFA">
        <w:rPr>
          <w:szCs w:val="22"/>
        </w:rPr>
        <w:t xml:space="preserve">Dátum posledného predĺženia registrácie: </w:t>
      </w: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526FFA" w:rsidRPr="00526FFA" w:rsidRDefault="00526FFA" w:rsidP="00D248ED">
      <w:pPr>
        <w:pStyle w:val="Normlndobloku"/>
        <w:spacing w:after="0"/>
        <w:jc w:val="left"/>
        <w:rPr>
          <w:szCs w:val="22"/>
        </w:rPr>
      </w:pPr>
    </w:p>
    <w:p w:rsidR="00442FE7" w:rsidRPr="003021DE" w:rsidRDefault="00442FE7" w:rsidP="00442FE7">
      <w:pPr>
        <w:rPr>
          <w:b/>
        </w:rPr>
      </w:pPr>
      <w:r w:rsidRPr="003021DE">
        <w:rPr>
          <w:b/>
        </w:rPr>
        <w:t>10.</w:t>
      </w:r>
      <w:r w:rsidRPr="003021DE">
        <w:rPr>
          <w:b/>
        </w:rPr>
        <w:tab/>
        <w:t>DÁTUM REVÍZIE TEXTU</w:t>
      </w:r>
    </w:p>
    <w:p w:rsidR="00526FFA" w:rsidRPr="00D248ED" w:rsidRDefault="00526FFA">
      <w:pPr>
        <w:pStyle w:val="Styl1"/>
        <w:rPr>
          <w:b w:val="0"/>
        </w:rPr>
      </w:pPr>
    </w:p>
    <w:p w:rsidR="00526FFA" w:rsidRPr="00D248ED" w:rsidRDefault="00D25690">
      <w:pPr>
        <w:pStyle w:val="Styl1"/>
        <w:rPr>
          <w:b w:val="0"/>
        </w:rPr>
      </w:pPr>
      <w:r>
        <w:rPr>
          <w:b w:val="0"/>
        </w:rPr>
        <w:t>10/2019</w:t>
      </w:r>
    </w:p>
    <w:p w:rsidR="005B65BD" w:rsidRPr="00D25690" w:rsidRDefault="005B65BD" w:rsidP="00D248ED">
      <w:pPr>
        <w:pStyle w:val="Normlndobloku"/>
        <w:spacing w:after="0"/>
        <w:jc w:val="left"/>
        <w:rPr>
          <w:szCs w:val="22"/>
        </w:rPr>
      </w:pPr>
    </w:p>
    <w:sectPr w:rsidR="005B65BD" w:rsidRPr="00D25690" w:rsidSect="00526FFA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EA" w:rsidRDefault="00226FEA" w:rsidP="00E0791E">
      <w:pPr>
        <w:spacing w:line="240" w:lineRule="auto"/>
      </w:pPr>
      <w:r>
        <w:separator/>
      </w:r>
    </w:p>
  </w:endnote>
  <w:endnote w:type="continuationSeparator" w:id="0">
    <w:p w:rsidR="00226FEA" w:rsidRDefault="00226FEA" w:rsidP="00E07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2094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26FFA" w:rsidRPr="00526FFA" w:rsidRDefault="00526FFA">
        <w:pPr>
          <w:pStyle w:val="Pta"/>
          <w:jc w:val="center"/>
          <w:rPr>
            <w:sz w:val="18"/>
            <w:szCs w:val="18"/>
          </w:rPr>
        </w:pPr>
        <w:r w:rsidRPr="00526FFA">
          <w:rPr>
            <w:sz w:val="18"/>
            <w:szCs w:val="18"/>
          </w:rPr>
          <w:fldChar w:fldCharType="begin"/>
        </w:r>
        <w:r w:rsidRPr="00526FFA">
          <w:rPr>
            <w:sz w:val="18"/>
            <w:szCs w:val="18"/>
          </w:rPr>
          <w:instrText>PAGE   \* MERGEFORMAT</w:instrText>
        </w:r>
        <w:r w:rsidRPr="00526FFA">
          <w:rPr>
            <w:sz w:val="18"/>
            <w:szCs w:val="18"/>
          </w:rPr>
          <w:fldChar w:fldCharType="separate"/>
        </w:r>
        <w:r w:rsidR="00E4123F" w:rsidRPr="00E4123F">
          <w:rPr>
            <w:noProof/>
            <w:sz w:val="18"/>
            <w:szCs w:val="18"/>
            <w:lang w:val="sk-SK"/>
          </w:rPr>
          <w:t>9</w:t>
        </w:r>
        <w:r w:rsidRPr="00526FFA">
          <w:rPr>
            <w:sz w:val="18"/>
            <w:szCs w:val="18"/>
          </w:rPr>
          <w:fldChar w:fldCharType="end"/>
        </w:r>
      </w:p>
    </w:sdtContent>
  </w:sdt>
  <w:p w:rsidR="002C486A" w:rsidRPr="001526AB" w:rsidRDefault="002C486A" w:rsidP="001526A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EA" w:rsidRDefault="00226FEA" w:rsidP="00E0791E">
      <w:pPr>
        <w:spacing w:line="240" w:lineRule="auto"/>
      </w:pPr>
      <w:r>
        <w:separator/>
      </w:r>
    </w:p>
  </w:footnote>
  <w:footnote w:type="continuationSeparator" w:id="0">
    <w:p w:rsidR="00226FEA" w:rsidRDefault="00226FEA" w:rsidP="00E07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B44" w:rsidRDefault="00986B44" w:rsidP="00E0791E">
    <w:pPr>
      <w:rPr>
        <w:sz w:val="18"/>
        <w:szCs w:val="18"/>
        <w:lang w:val="sk-SK"/>
      </w:rPr>
    </w:pPr>
    <w:r w:rsidRPr="00986B44">
      <w:rPr>
        <w:sz w:val="18"/>
        <w:szCs w:val="18"/>
        <w:lang w:val="sk-SK"/>
      </w:rPr>
      <w:t>Príloha č. 1 k notifikácii o zmene, ev. č.:</w:t>
    </w:r>
    <w:r w:rsidR="00C13A13" w:rsidRPr="00526FFA">
      <w:rPr>
        <w:lang w:val="sk-SK"/>
      </w:rPr>
      <w:t xml:space="preserve"> </w:t>
    </w:r>
    <w:r w:rsidR="00C13A13" w:rsidRPr="00C13A13">
      <w:rPr>
        <w:sz w:val="18"/>
        <w:szCs w:val="18"/>
        <w:lang w:val="sk-SK"/>
      </w:rPr>
      <w:t>2018/05068</w:t>
    </w:r>
    <w:r w:rsidR="00526FFA">
      <w:rPr>
        <w:sz w:val="18"/>
        <w:szCs w:val="18"/>
        <w:lang w:val="sk-SK"/>
      </w:rPr>
      <w:t>-ZIB</w:t>
    </w:r>
  </w:p>
  <w:p w:rsidR="00E0791E" w:rsidRPr="00E0791E" w:rsidRDefault="00C13A13" w:rsidP="00D248ED">
    <w:pPr>
      <w:pStyle w:val="Normlndobloku"/>
      <w:rPr>
        <w:sz w:val="18"/>
        <w:szCs w:val="18"/>
      </w:rPr>
    </w:pPr>
    <w:r>
      <w:rPr>
        <w:sz w:val="18"/>
        <w:szCs w:val="18"/>
      </w:rPr>
      <w:t>Schválený text k rozhodnutiu o predĺžení, ev. č.:</w:t>
    </w:r>
    <w:r w:rsidR="00526FFA">
      <w:rPr>
        <w:sz w:val="18"/>
        <w:szCs w:val="18"/>
      </w:rPr>
      <w:t xml:space="preserve"> 2019/00733-PRE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7DB5"/>
    <w:multiLevelType w:val="hybridMultilevel"/>
    <w:tmpl w:val="5AFCE5A8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10EE3"/>
    <w:multiLevelType w:val="multilevel"/>
    <w:tmpl w:val="862C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D4AA7"/>
    <w:multiLevelType w:val="multilevel"/>
    <w:tmpl w:val="5EE6F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5"/>
  </w:num>
  <w:num w:numId="7">
    <w:abstractNumId w:val="5"/>
  </w:num>
  <w:num w:numId="8">
    <w:abstractNumId w:val="0"/>
  </w:num>
  <w:num w:numId="9">
    <w:abstractNumId w:val="5"/>
  </w:num>
  <w:num w:numId="10">
    <w:abstractNumId w:val="5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1E"/>
    <w:rsid w:val="000018EF"/>
    <w:rsid w:val="000645C7"/>
    <w:rsid w:val="000A38DF"/>
    <w:rsid w:val="001123C2"/>
    <w:rsid w:val="001229D7"/>
    <w:rsid w:val="001526AB"/>
    <w:rsid w:val="001A7863"/>
    <w:rsid w:val="001F4EB2"/>
    <w:rsid w:val="00200304"/>
    <w:rsid w:val="00226FEA"/>
    <w:rsid w:val="002372AA"/>
    <w:rsid w:val="00264670"/>
    <w:rsid w:val="002C486A"/>
    <w:rsid w:val="002E41C3"/>
    <w:rsid w:val="003A19A6"/>
    <w:rsid w:val="003C533A"/>
    <w:rsid w:val="003F4C72"/>
    <w:rsid w:val="00442FE7"/>
    <w:rsid w:val="004A6701"/>
    <w:rsid w:val="004B6E56"/>
    <w:rsid w:val="004C622A"/>
    <w:rsid w:val="00500F6E"/>
    <w:rsid w:val="00526FFA"/>
    <w:rsid w:val="00530FBA"/>
    <w:rsid w:val="00563C7D"/>
    <w:rsid w:val="00594F38"/>
    <w:rsid w:val="005B65BD"/>
    <w:rsid w:val="005F596B"/>
    <w:rsid w:val="005F7CF3"/>
    <w:rsid w:val="006436AB"/>
    <w:rsid w:val="00682FAA"/>
    <w:rsid w:val="0068645F"/>
    <w:rsid w:val="006C6FAB"/>
    <w:rsid w:val="007563D2"/>
    <w:rsid w:val="00766340"/>
    <w:rsid w:val="007B0DEA"/>
    <w:rsid w:val="007E0B98"/>
    <w:rsid w:val="007F5F9C"/>
    <w:rsid w:val="00807825"/>
    <w:rsid w:val="00815ED2"/>
    <w:rsid w:val="00876B7F"/>
    <w:rsid w:val="00877646"/>
    <w:rsid w:val="008B7354"/>
    <w:rsid w:val="008E1AF3"/>
    <w:rsid w:val="0090675E"/>
    <w:rsid w:val="00910EAC"/>
    <w:rsid w:val="00986B44"/>
    <w:rsid w:val="009F3198"/>
    <w:rsid w:val="00A054C5"/>
    <w:rsid w:val="00A06B73"/>
    <w:rsid w:val="00A53E9C"/>
    <w:rsid w:val="00A85AB7"/>
    <w:rsid w:val="00A96109"/>
    <w:rsid w:val="00A964E5"/>
    <w:rsid w:val="00AA61D6"/>
    <w:rsid w:val="00AB0F2B"/>
    <w:rsid w:val="00AC4E9C"/>
    <w:rsid w:val="00AE6F9F"/>
    <w:rsid w:val="00B16B9C"/>
    <w:rsid w:val="00BB2874"/>
    <w:rsid w:val="00C11558"/>
    <w:rsid w:val="00C13A13"/>
    <w:rsid w:val="00C27D6B"/>
    <w:rsid w:val="00C34FB4"/>
    <w:rsid w:val="00C3673F"/>
    <w:rsid w:val="00C54490"/>
    <w:rsid w:val="00C75110"/>
    <w:rsid w:val="00CB5DA6"/>
    <w:rsid w:val="00D21E2E"/>
    <w:rsid w:val="00D248ED"/>
    <w:rsid w:val="00D25690"/>
    <w:rsid w:val="00D85195"/>
    <w:rsid w:val="00D91AC9"/>
    <w:rsid w:val="00DD6FC1"/>
    <w:rsid w:val="00DE696F"/>
    <w:rsid w:val="00DF749A"/>
    <w:rsid w:val="00DF78F3"/>
    <w:rsid w:val="00E0791E"/>
    <w:rsid w:val="00E4123F"/>
    <w:rsid w:val="00E73469"/>
    <w:rsid w:val="00E940BB"/>
    <w:rsid w:val="00ED7687"/>
    <w:rsid w:val="00EF7E37"/>
    <w:rsid w:val="00F21B6A"/>
    <w:rsid w:val="00F56B66"/>
    <w:rsid w:val="00F61483"/>
    <w:rsid w:val="00F76EFA"/>
    <w:rsid w:val="00F872A6"/>
    <w:rsid w:val="00F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68E591-C9B0-4BA6-AD38-B8EE12F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41C3"/>
    <w:pPr>
      <w:tabs>
        <w:tab w:val="left" w:pos="567"/>
      </w:tabs>
      <w:spacing w:after="0" w:line="260" w:lineRule="exact"/>
    </w:pPr>
    <w:rPr>
      <w:rFonts w:ascii="Times New Roman" w:hAnsi="Times New Roman" w:cs="Times New Roman"/>
      <w:lang w:val="en-GB"/>
    </w:rPr>
  </w:style>
  <w:style w:type="paragraph" w:styleId="Nadpis1">
    <w:name w:val="heading 1"/>
    <w:basedOn w:val="Normlny"/>
    <w:next w:val="Normlny"/>
    <w:link w:val="Nadpis1Char"/>
    <w:rsid w:val="002372AA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autoRedefine/>
    <w:rsid w:val="00D91AC9"/>
    <w:pPr>
      <w:suppressAutoHyphens/>
      <w:spacing w:after="120" w:line="240" w:lineRule="auto"/>
      <w:jc w:val="both"/>
    </w:pPr>
    <w:rPr>
      <w:rFonts w:eastAsia="Calibri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D91AC9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Hlavika1">
    <w:name w:val="Hlavička1"/>
    <w:basedOn w:val="Normlndobloku"/>
    <w:rsid w:val="006436AB"/>
    <w:pPr>
      <w:suppressAutoHyphens w:val="0"/>
      <w:spacing w:after="240"/>
      <w:jc w:val="center"/>
    </w:pPr>
    <w:rPr>
      <w:rFonts w:eastAsiaTheme="minorHAnsi"/>
      <w:b/>
      <w:szCs w:val="22"/>
    </w:rPr>
  </w:style>
  <w:style w:type="character" w:styleId="Hypertextovprepojenie">
    <w:name w:val="Hyperlink"/>
    <w:uiPriority w:val="99"/>
    <w:rsid w:val="00D21E2E"/>
    <w:rPr>
      <w:color w:val="0000FF"/>
      <w:u w:val="single"/>
    </w:rPr>
  </w:style>
  <w:style w:type="paragraph" w:customStyle="1" w:styleId="Normlndoblokusslovnm">
    <w:name w:val="Normální do bloku s číslováním"/>
    <w:basedOn w:val="Normlndobloku"/>
    <w:qFormat/>
    <w:rsid w:val="006436AB"/>
    <w:pPr>
      <w:numPr>
        <w:numId w:val="1"/>
      </w:numPr>
      <w:suppressAutoHyphens w:val="0"/>
    </w:pPr>
    <w:rPr>
      <w:rFonts w:eastAsiaTheme="minorHAnsi"/>
      <w:szCs w:val="2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56B66"/>
    <w:pPr>
      <w:numPr>
        <w:numId w:val="11"/>
      </w:numPr>
      <w:tabs>
        <w:tab w:val="clear" w:pos="567"/>
      </w:tabs>
    </w:pPr>
    <w:rPr>
      <w:rFonts w:eastAsia="Times New Roman"/>
      <w:lang w:eastAsia="en-US"/>
    </w:rPr>
  </w:style>
  <w:style w:type="paragraph" w:customStyle="1" w:styleId="Styl1">
    <w:name w:val="Styl1"/>
    <w:basedOn w:val="Normlny"/>
    <w:autoRedefine/>
    <w:rsid w:val="00D25690"/>
    <w:pPr>
      <w:keepNext/>
      <w:tabs>
        <w:tab w:val="clear" w:pos="567"/>
      </w:tabs>
      <w:spacing w:line="240" w:lineRule="auto"/>
    </w:pPr>
    <w:rPr>
      <w:b/>
      <w:bCs/>
      <w:caps/>
      <w:szCs w:val="24"/>
      <w:lang w:val="en-US" w:eastAsia="cs-CZ"/>
    </w:rPr>
  </w:style>
  <w:style w:type="paragraph" w:customStyle="1" w:styleId="Styl2">
    <w:name w:val="Styl2"/>
    <w:basedOn w:val="Normlny"/>
    <w:autoRedefine/>
    <w:rsid w:val="00442FE7"/>
    <w:pPr>
      <w:keepNext/>
      <w:tabs>
        <w:tab w:val="clear" w:pos="567"/>
        <w:tab w:val="num" w:pos="720"/>
      </w:tabs>
      <w:spacing w:line="240" w:lineRule="auto"/>
      <w:ind w:left="709" w:hanging="709"/>
    </w:pPr>
    <w:rPr>
      <w:b/>
      <w:bCs/>
      <w:lang w:val="sk-SK"/>
    </w:rPr>
  </w:style>
  <w:style w:type="paragraph" w:customStyle="1" w:styleId="Styl2-2">
    <w:name w:val="Styl2-2"/>
    <w:basedOn w:val="Styl2"/>
    <w:next w:val="Normlndobloku"/>
    <w:autoRedefine/>
    <w:qFormat/>
    <w:rsid w:val="00442FE7"/>
    <w:pPr>
      <w:tabs>
        <w:tab w:val="clear" w:pos="720"/>
      </w:tabs>
      <w:spacing w:before="120" w:after="120"/>
      <w:ind w:left="0" w:firstLine="0"/>
    </w:pPr>
    <w:rPr>
      <w:b w:val="0"/>
      <w:u w:val="single"/>
    </w:rPr>
  </w:style>
  <w:style w:type="paragraph" w:customStyle="1" w:styleId="Styl3">
    <w:name w:val="Styl3"/>
    <w:basedOn w:val="Normlndobloku"/>
    <w:link w:val="Styl3Char"/>
    <w:autoRedefine/>
    <w:rsid w:val="00442FE7"/>
    <w:pPr>
      <w:keepNext/>
      <w:tabs>
        <w:tab w:val="left" w:pos="6946"/>
      </w:tabs>
      <w:suppressAutoHyphens w:val="0"/>
      <w:spacing w:after="0"/>
      <w:jc w:val="left"/>
    </w:pPr>
    <w:rPr>
      <w:szCs w:val="22"/>
      <w:u w:val="single"/>
      <w:lang w:eastAsia="en-US"/>
    </w:rPr>
  </w:style>
  <w:style w:type="character" w:customStyle="1" w:styleId="Styl3Char">
    <w:name w:val="Styl3 Char"/>
    <w:link w:val="Styl3"/>
    <w:rsid w:val="00442FE7"/>
    <w:rPr>
      <w:rFonts w:ascii="Times New Roman" w:eastAsia="Calibri" w:hAnsi="Times New Roman" w:cs="Times New Roman"/>
      <w:u w:val="single"/>
      <w:lang w:val="sk-SK"/>
    </w:rPr>
  </w:style>
  <w:style w:type="paragraph" w:customStyle="1" w:styleId="Styl4">
    <w:name w:val="Styl4"/>
    <w:basedOn w:val="Styl2"/>
    <w:autoRedefine/>
    <w:rsid w:val="00D21E2E"/>
    <w:rPr>
      <w:b w:val="0"/>
      <w:i/>
    </w:rPr>
  </w:style>
  <w:style w:type="paragraph" w:styleId="Hlavika">
    <w:name w:val="header"/>
    <w:basedOn w:val="Normlny"/>
    <w:link w:val="HlavikaChar"/>
    <w:unhideWhenUsed/>
    <w:rsid w:val="00876B7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876B7F"/>
    <w:rPr>
      <w:rFonts w:ascii="Times New Roman" w:hAnsi="Times New Roman" w:cs="Times New Roman"/>
      <w:lang w:val="en-GB"/>
    </w:rPr>
  </w:style>
  <w:style w:type="paragraph" w:styleId="Pta">
    <w:name w:val="footer"/>
    <w:basedOn w:val="Normlny"/>
    <w:link w:val="PtaChar"/>
    <w:uiPriority w:val="99"/>
    <w:unhideWhenUsed/>
    <w:rsid w:val="00876B7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6B7F"/>
    <w:rPr>
      <w:rFonts w:ascii="Times New Roman" w:hAnsi="Times New Roman" w:cs="Times New Roman"/>
      <w:lang w:val="en-GB"/>
    </w:rPr>
  </w:style>
  <w:style w:type="character" w:customStyle="1" w:styleId="atn">
    <w:name w:val="atn"/>
    <w:basedOn w:val="Predvolenpsmoodseku"/>
    <w:rsid w:val="0068645F"/>
  </w:style>
  <w:style w:type="paragraph" w:customStyle="1" w:styleId="Bacil">
    <w:name w:val="Bacil"/>
    <w:basedOn w:val="Normlny"/>
    <w:autoRedefine/>
    <w:qFormat/>
    <w:rsid w:val="002372AA"/>
    <w:pPr>
      <w:spacing w:after="120"/>
    </w:pPr>
    <w:rPr>
      <w:i/>
    </w:rPr>
  </w:style>
  <w:style w:type="character" w:customStyle="1" w:styleId="Nadpis1Char">
    <w:name w:val="Nadpis 1 Char"/>
    <w:basedOn w:val="Predvolenpsmoodseku"/>
    <w:link w:val="Nadpis1"/>
    <w:rsid w:val="002372AA"/>
    <w:rPr>
      <w:rFonts w:ascii="Arial" w:eastAsia="Calibri" w:hAnsi="Arial" w:cs="Times New Roman"/>
      <w:b/>
      <w:sz w:val="28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2372AA"/>
    <w:pPr>
      <w:jc w:val="left"/>
    </w:pPr>
    <w:rPr>
      <w:szCs w:val="20"/>
    </w:rPr>
  </w:style>
  <w:style w:type="paragraph" w:customStyle="1" w:styleId="Nadpisuvnittabulky">
    <w:name w:val="Nadpis uvnitř tabulky"/>
    <w:basedOn w:val="Tabulkynormlndoblokuzarovnndoleva"/>
    <w:autoRedefine/>
    <w:rsid w:val="002372AA"/>
    <w:pPr>
      <w:spacing w:before="120"/>
    </w:pPr>
    <w:rPr>
      <w:b/>
    </w:rPr>
  </w:style>
  <w:style w:type="character" w:styleId="Odkaznakomentr">
    <w:name w:val="annotation reference"/>
    <w:basedOn w:val="Predvolenpsmoodseku"/>
    <w:uiPriority w:val="99"/>
    <w:semiHidden/>
    <w:unhideWhenUsed/>
    <w:rsid w:val="00D21E2E"/>
    <w:rPr>
      <w:sz w:val="16"/>
      <w:szCs w:val="16"/>
    </w:rPr>
  </w:style>
  <w:style w:type="paragraph" w:customStyle="1" w:styleId="Odrky2">
    <w:name w:val="Odrážky 2"/>
    <w:basedOn w:val="Normlndoblokusodrkami"/>
    <w:autoRedefine/>
    <w:rsid w:val="002372AA"/>
    <w:pPr>
      <w:numPr>
        <w:numId w:val="5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1E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1E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1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1E2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qFormat/>
    <w:rsid w:val="00D21E2E"/>
    <w:pPr>
      <w:jc w:val="center"/>
      <w:outlineLvl w:val="0"/>
    </w:pPr>
    <w:rPr>
      <w:b/>
      <w:bCs/>
      <w:caps/>
      <w:lang w:val="cs-CZ"/>
    </w:rPr>
  </w:style>
  <w:style w:type="paragraph" w:customStyle="1" w:styleId="SPCnadpis">
    <w:name w:val="SPC nadpis"/>
    <w:basedOn w:val="Nadpis1"/>
    <w:rsid w:val="002372AA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1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1E2E"/>
    <w:rPr>
      <w:rFonts w:ascii="Tahoma" w:eastAsia="Times New Roman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39"/>
    <w:rsid w:val="00D2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D21E2E"/>
    <w:rPr>
      <w:color w:val="954F72" w:themeColor="followedHyperlink"/>
      <w:u w:val="single"/>
    </w:rPr>
  </w:style>
  <w:style w:type="character" w:customStyle="1" w:styleId="Zmienka1">
    <w:name w:val="Zmienka1"/>
    <w:basedOn w:val="Predvolenpsmoodseku"/>
    <w:uiPriority w:val="99"/>
    <w:semiHidden/>
    <w:unhideWhenUsed/>
    <w:rsid w:val="00D21E2E"/>
    <w:rPr>
      <w:color w:val="2B579A"/>
      <w:shd w:val="clear" w:color="auto" w:fill="E6E6E6"/>
    </w:rPr>
  </w:style>
  <w:style w:type="paragraph" w:styleId="Zkladntext">
    <w:name w:val="Body Text"/>
    <w:basedOn w:val="Normlny"/>
    <w:link w:val="ZkladntextChar"/>
    <w:rsid w:val="00C34FB4"/>
    <w:pPr>
      <w:tabs>
        <w:tab w:val="clear" w:pos="567"/>
      </w:tabs>
      <w:spacing w:line="240" w:lineRule="auto"/>
    </w:pPr>
    <w:rPr>
      <w:sz w:val="24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C34FB4"/>
    <w:rPr>
      <w:rFonts w:ascii="Times New Roman" w:hAnsi="Times New Roman" w:cs="Times New Roman"/>
      <w:sz w:val="24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33E5-3CFC-489F-9AA1-A201F112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3063</Words>
  <Characters>17464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Kváčová</dc:creator>
  <cp:keywords/>
  <dc:description/>
  <cp:lastModifiedBy>zuzana molnarova</cp:lastModifiedBy>
  <cp:revision>8</cp:revision>
  <cp:lastPrinted>2019-10-22T07:28:00Z</cp:lastPrinted>
  <dcterms:created xsi:type="dcterms:W3CDTF">2019-10-17T11:56:00Z</dcterms:created>
  <dcterms:modified xsi:type="dcterms:W3CDTF">2019-10-22T07:30:00Z</dcterms:modified>
</cp:coreProperties>
</file>