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8C" w:rsidRPr="005F36CB" w:rsidRDefault="005F36CB">
      <w:pPr>
        <w:pStyle w:val="Podtitul"/>
      </w:pPr>
      <w:r w:rsidRPr="005F36CB">
        <w:t>SÚHRN CHARAKTERISTICKÝCH VLASTNOSTÍ LIEKU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b/>
          <w:bCs/>
          <w:sz w:val="22"/>
        </w:rPr>
        <w:t xml:space="preserve">1. </w:t>
      </w:r>
      <w:r w:rsidRPr="005F36CB">
        <w:rPr>
          <w:b/>
          <w:bCs/>
          <w:sz w:val="22"/>
        </w:rPr>
        <w:tab/>
        <w:t xml:space="preserve">NÁZOV LIEKU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TEMOSTAD 5 mg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20 mg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100 mg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140 mg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180 mg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250 mg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tvrdé kapsuly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2. </w:t>
      </w:r>
      <w:r w:rsidRPr="005F36CB">
        <w:rPr>
          <w:b/>
          <w:bCs/>
          <w:sz w:val="22"/>
        </w:rPr>
        <w:tab/>
        <w:t xml:space="preserve">KVALITATÍVNE A KVANTITATÍVNE ZLOŽENIE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Každá tvrdá kapsula obsahuje 5/20/100/140/180/250 mg temozolomidu. 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5 mg:</w:t>
      </w:r>
    </w:p>
    <w:p w:rsidR="00E91276" w:rsidRDefault="00CD258C">
      <w:pPr>
        <w:rPr>
          <w:sz w:val="22"/>
        </w:rPr>
      </w:pPr>
      <w:r w:rsidRPr="00A630B0">
        <w:rPr>
          <w:sz w:val="22"/>
          <w:u w:val="single"/>
        </w:rPr>
        <w:t>Pomocná látka</w:t>
      </w:r>
      <w:r w:rsidR="005F36CB" w:rsidRPr="00A630B0">
        <w:rPr>
          <w:sz w:val="22"/>
          <w:u w:val="single"/>
        </w:rPr>
        <w:t xml:space="preserve"> so známym účinkom</w:t>
      </w: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Každá tvrdá kapsula obsahuje 87 mg bezvodej laktózy</w:t>
      </w:r>
      <w:r w:rsidR="004C1456">
        <w:rPr>
          <w:sz w:val="22"/>
        </w:rPr>
        <w:t xml:space="preserve"> a 0,21 mg sodíka</w:t>
      </w:r>
      <w:r w:rsidRPr="005F36CB">
        <w:rPr>
          <w:sz w:val="22"/>
        </w:rPr>
        <w:t xml:space="preserve">. 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20 mg:</w:t>
      </w:r>
    </w:p>
    <w:p w:rsidR="00E91276" w:rsidRDefault="00CD258C">
      <w:pPr>
        <w:rPr>
          <w:sz w:val="22"/>
        </w:rPr>
      </w:pPr>
      <w:r w:rsidRPr="00A630B0">
        <w:rPr>
          <w:sz w:val="22"/>
          <w:u w:val="single"/>
        </w:rPr>
        <w:t>Pomocná látka</w:t>
      </w:r>
      <w:r w:rsidR="005F36CB" w:rsidRPr="00A630B0">
        <w:rPr>
          <w:sz w:val="22"/>
          <w:u w:val="single"/>
        </w:rPr>
        <w:t xml:space="preserve"> so známym účinkom</w:t>
      </w: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Každá tvrdá kapsula obsahuje 72 mg bezvodej laktózy</w:t>
      </w:r>
      <w:r w:rsidR="0030485C">
        <w:rPr>
          <w:sz w:val="22"/>
        </w:rPr>
        <w:t>,</w:t>
      </w:r>
      <w:r w:rsidRPr="005F36CB">
        <w:rPr>
          <w:sz w:val="22"/>
        </w:rPr>
        <w:t> oranžovú žlť FCF (E110)</w:t>
      </w:r>
      <w:r w:rsidR="004C1456">
        <w:rPr>
          <w:sz w:val="22"/>
        </w:rPr>
        <w:t xml:space="preserve"> a 0,21 mg sodíka</w:t>
      </w:r>
      <w:r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100 mg:</w:t>
      </w:r>
    </w:p>
    <w:p w:rsidR="00E91276" w:rsidRDefault="00CD258C">
      <w:pPr>
        <w:rPr>
          <w:sz w:val="22"/>
        </w:rPr>
      </w:pPr>
      <w:r w:rsidRPr="00A630B0">
        <w:rPr>
          <w:sz w:val="22"/>
          <w:u w:val="single"/>
        </w:rPr>
        <w:t>Pomocná látka</w:t>
      </w:r>
      <w:r w:rsidR="005F36CB" w:rsidRPr="00A630B0">
        <w:rPr>
          <w:sz w:val="22"/>
          <w:u w:val="single"/>
        </w:rPr>
        <w:t xml:space="preserve"> so známym účinkom</w:t>
      </w: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Každá tvrdá kapsula obsahuje 84 mg bezvodej laktózy</w:t>
      </w:r>
      <w:r w:rsidR="004C1456">
        <w:rPr>
          <w:sz w:val="22"/>
        </w:rPr>
        <w:t xml:space="preserve"> a 0,42 mg sodíka</w:t>
      </w:r>
      <w:r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140 mg:</w:t>
      </w:r>
    </w:p>
    <w:p w:rsidR="00E91276" w:rsidRDefault="00CD258C">
      <w:pPr>
        <w:rPr>
          <w:sz w:val="22"/>
        </w:rPr>
      </w:pPr>
      <w:r w:rsidRPr="00A630B0">
        <w:rPr>
          <w:sz w:val="22"/>
          <w:u w:val="single"/>
        </w:rPr>
        <w:t>Pomocná látka</w:t>
      </w:r>
      <w:r w:rsidR="005F36CB" w:rsidRPr="00A630B0">
        <w:rPr>
          <w:sz w:val="22"/>
          <w:u w:val="single"/>
        </w:rPr>
        <w:t xml:space="preserve"> so známym účinkom</w:t>
      </w: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Každá tvrdá kapsula obsahuje 117 mg bezvodej laktózy</w:t>
      </w:r>
      <w:r w:rsidR="004C1456">
        <w:rPr>
          <w:sz w:val="22"/>
        </w:rPr>
        <w:t xml:space="preserve"> a 0,588 mg sodíka</w:t>
      </w:r>
      <w:r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180 mg:</w:t>
      </w:r>
    </w:p>
    <w:p w:rsidR="00E91276" w:rsidRDefault="00CD258C">
      <w:pPr>
        <w:rPr>
          <w:sz w:val="22"/>
        </w:rPr>
      </w:pPr>
      <w:r w:rsidRPr="00A630B0">
        <w:rPr>
          <w:sz w:val="22"/>
          <w:u w:val="single"/>
        </w:rPr>
        <w:t>Pomocná látka</w:t>
      </w:r>
      <w:r w:rsidR="005F36CB" w:rsidRPr="00A630B0">
        <w:rPr>
          <w:sz w:val="22"/>
          <w:u w:val="single"/>
        </w:rPr>
        <w:t xml:space="preserve"> so známym účinkom</w:t>
      </w: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Každá tvrdá kapsula obsahuje 150 mg bezvodej laktózy</w:t>
      </w:r>
      <w:r w:rsidR="004C1456">
        <w:rPr>
          <w:sz w:val="22"/>
        </w:rPr>
        <w:t xml:space="preserve"> a 0,756 mg sodíka</w:t>
      </w:r>
      <w:r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250 mg:</w:t>
      </w:r>
    </w:p>
    <w:p w:rsidR="00E91276" w:rsidRDefault="00CD258C">
      <w:pPr>
        <w:rPr>
          <w:sz w:val="22"/>
        </w:rPr>
      </w:pPr>
      <w:r w:rsidRPr="00A630B0">
        <w:rPr>
          <w:sz w:val="22"/>
          <w:u w:val="single"/>
        </w:rPr>
        <w:t>Pomocná látka</w:t>
      </w:r>
      <w:r w:rsidR="005F36CB" w:rsidRPr="00A630B0">
        <w:rPr>
          <w:sz w:val="22"/>
          <w:u w:val="single"/>
        </w:rPr>
        <w:t xml:space="preserve"> so známym účinkom</w:t>
      </w: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Každá tvrdá kapsula obsahuje 209 mg bezvodej laktózy</w:t>
      </w:r>
      <w:r w:rsidR="004C1456">
        <w:rPr>
          <w:sz w:val="22"/>
        </w:rPr>
        <w:t xml:space="preserve"> a 1,05 mg sodíka</w:t>
      </w:r>
      <w:r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Úplný zoznam pomocných látok, pozri časť 6.1.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3. </w:t>
      </w:r>
      <w:r w:rsidRPr="005F36CB">
        <w:rPr>
          <w:b/>
          <w:bCs/>
          <w:sz w:val="22"/>
        </w:rPr>
        <w:tab/>
        <w:t xml:space="preserve">LIEKOVÁ FORMA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Tvrdá kapsula. 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5 mg: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Tvrdé kapsuly majú nepriehľadné biele telo a uzáver kapsuly a zeleným atramentom vytlačené dva pásiky na uzávere a „T 5 mg“ na tele kapsuly</w:t>
      </w:r>
      <w:r w:rsidR="00DB07D5">
        <w:rPr>
          <w:sz w:val="22"/>
        </w:rPr>
        <w:t xml:space="preserve"> s priemerom približne 5,7 mm a dĺžkou približne 15,9 mm</w:t>
      </w:r>
      <w:r w:rsidRPr="005F36CB">
        <w:rPr>
          <w:sz w:val="22"/>
        </w:rPr>
        <w:t xml:space="preserve">. 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20 mg: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lastRenderedPageBreak/>
        <w:t>Tvrdé kapsuly majú nepriehľadné biele telo a uzáver kapsuly a oranžovým atramentom vytlačené dva pásiky na uzávere a „T 20 mg“ na tele kapsuly</w:t>
      </w:r>
      <w:r w:rsidR="00DB07D5" w:rsidRPr="00DB07D5">
        <w:rPr>
          <w:sz w:val="22"/>
        </w:rPr>
        <w:t xml:space="preserve"> </w:t>
      </w:r>
      <w:r w:rsidR="00DB07D5">
        <w:rPr>
          <w:sz w:val="22"/>
        </w:rPr>
        <w:t>s priemerom približne 6,2 mm a dĺžkou približne 18,0 mm</w:t>
      </w:r>
      <w:r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100 mg: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Tvrdé kapsuly majú nepriehľadné biele telo a uzáver kapsuly a ružovým atramentom vytlačené dva pásiky na uzávere a „T 100 mg“ na tele kapsuly</w:t>
      </w:r>
      <w:r w:rsidR="00DB07D5">
        <w:rPr>
          <w:sz w:val="22"/>
        </w:rPr>
        <w:t xml:space="preserve"> s priemerom približne 6,8 mm a dĺžkou približne 19,4 mm</w:t>
      </w:r>
      <w:r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140 mg: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Tvrdé kapsuly majú nepriehľadné biele telo a uzáver kapsuly a modrým atramentom vytlačené dva pásiky na uzávere a „T 140 mg“ na tele kapsuly</w:t>
      </w:r>
      <w:r w:rsidR="00DB07D5">
        <w:rPr>
          <w:sz w:val="22"/>
        </w:rPr>
        <w:t xml:space="preserve"> s priemerom približne 7,5 mm a dĺžkou približne 21,7 mm</w:t>
      </w:r>
      <w:r w:rsidRPr="005F36CB">
        <w:rPr>
          <w:sz w:val="22"/>
        </w:rPr>
        <w:t>.</w:t>
      </w:r>
    </w:p>
    <w:p w:rsidR="00CD258C" w:rsidRPr="00A630B0" w:rsidRDefault="00CD258C">
      <w:pPr>
        <w:rPr>
          <w:i/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180 mg: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Tvrdé kapsuly majú nepriehľadné biele telo a uzáver kapsuly a červeným atramentom vytlačené dva pásiky na uzávere a „T 180 mg“ na tele kapsuly</w:t>
      </w:r>
      <w:r w:rsidR="00DB07D5">
        <w:rPr>
          <w:sz w:val="22"/>
        </w:rPr>
        <w:t xml:space="preserve"> s priemerom približne 7,5 mm a dĺžkou približne 21,7 mm</w:t>
      </w:r>
      <w:r w:rsidRPr="005F36CB">
        <w:rPr>
          <w:sz w:val="22"/>
        </w:rPr>
        <w:t>.</w:t>
      </w:r>
    </w:p>
    <w:p w:rsidR="00CD258C" w:rsidRPr="00A630B0" w:rsidRDefault="00CD258C">
      <w:pPr>
        <w:rPr>
          <w:i/>
          <w:sz w:val="22"/>
        </w:rPr>
      </w:pPr>
    </w:p>
    <w:p w:rsidR="00CD258C" w:rsidRPr="00A630B0" w:rsidRDefault="00CD258C">
      <w:pPr>
        <w:rPr>
          <w:i/>
          <w:sz w:val="22"/>
        </w:rPr>
      </w:pPr>
      <w:r w:rsidRPr="00A630B0">
        <w:rPr>
          <w:i/>
          <w:sz w:val="22"/>
        </w:rPr>
        <w:t>TEMOSTAD 250 mg:</w:t>
      </w:r>
    </w:p>
    <w:p w:rsidR="00CD258C" w:rsidRPr="005F36CB" w:rsidRDefault="00CD258C">
      <w:pPr>
        <w:pStyle w:val="CM70"/>
        <w:rPr>
          <w:sz w:val="22"/>
          <w:szCs w:val="22"/>
        </w:rPr>
      </w:pPr>
      <w:r w:rsidRPr="005F36CB">
        <w:rPr>
          <w:sz w:val="22"/>
        </w:rPr>
        <w:t>Tvrdé kapsuly majú nepriehľadné biele telo a uzáver kapsuly a čiernym atramentom vytlačené dva pásiky na uzávere a „T 250 mg“ na tele kapsuly</w:t>
      </w:r>
      <w:r w:rsidR="00DB07D5" w:rsidRPr="00DB07D5">
        <w:rPr>
          <w:sz w:val="22"/>
        </w:rPr>
        <w:t xml:space="preserve"> </w:t>
      </w:r>
      <w:r w:rsidR="00DB07D5">
        <w:rPr>
          <w:sz w:val="22"/>
        </w:rPr>
        <w:t>s priemerom približne 7,5 mm a dĺžkou približne 21,7 mm</w:t>
      </w:r>
      <w:r w:rsidRPr="005F36CB">
        <w:rPr>
          <w:sz w:val="22"/>
        </w:rPr>
        <w:t>.</w:t>
      </w:r>
    </w:p>
    <w:p w:rsidR="00CD258C" w:rsidRPr="005F36CB" w:rsidRDefault="00CD258C">
      <w:pPr>
        <w:pStyle w:val="CM69"/>
        <w:tabs>
          <w:tab w:val="left" w:pos="540"/>
        </w:tabs>
        <w:rPr>
          <w:bCs/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bCs/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4.</w:t>
      </w:r>
      <w:r w:rsidRPr="005F36CB">
        <w:rPr>
          <w:b/>
          <w:bCs/>
          <w:sz w:val="22"/>
          <w:szCs w:val="22"/>
        </w:rPr>
        <w:tab/>
        <w:t>KLINICKÉ ÚDAJE</w:t>
      </w:r>
    </w:p>
    <w:p w:rsidR="00CD258C" w:rsidRPr="005F36CB" w:rsidRDefault="00CD258C">
      <w:pPr>
        <w:pStyle w:val="CM69"/>
        <w:tabs>
          <w:tab w:val="left" w:pos="540"/>
        </w:tabs>
        <w:rPr>
          <w:bCs/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4.1</w:t>
      </w:r>
      <w:r w:rsidRPr="005F36CB">
        <w:rPr>
          <w:b/>
          <w:bCs/>
          <w:sz w:val="22"/>
          <w:szCs w:val="22"/>
        </w:rPr>
        <w:tab/>
        <w:t>Terapeutické indikácie</w:t>
      </w:r>
    </w:p>
    <w:p w:rsidR="00CD258C" w:rsidRPr="005F36CB" w:rsidRDefault="00CD258C">
      <w:pPr>
        <w:pStyle w:val="CM5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5"/>
        <w:spacing w:line="240" w:lineRule="auto"/>
        <w:rPr>
          <w:sz w:val="22"/>
          <w:szCs w:val="22"/>
        </w:rPr>
      </w:pPr>
      <w:r w:rsidRPr="005F36CB">
        <w:rPr>
          <w:color w:val="000000"/>
          <w:sz w:val="22"/>
          <w:szCs w:val="22"/>
        </w:rPr>
        <w:t xml:space="preserve">TEMOSTAD </w:t>
      </w:r>
      <w:r w:rsidRPr="005F36CB">
        <w:rPr>
          <w:sz w:val="22"/>
          <w:szCs w:val="22"/>
        </w:rPr>
        <w:t>je indikovaný na liečbu:</w:t>
      </w:r>
    </w:p>
    <w:p w:rsidR="00CD258C" w:rsidRPr="005F36CB" w:rsidRDefault="00CD258C">
      <w:pPr>
        <w:pStyle w:val="CM5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dospelých pacientov s novodiagnostikovaným multiformným gliobastómom súbežne s rádioterapiou (RT) a následne ako monoterapia,</w:t>
      </w:r>
    </w:p>
    <w:p w:rsidR="00CD258C" w:rsidRPr="005F36CB" w:rsidRDefault="00CD258C">
      <w:pPr>
        <w:numPr>
          <w:ilvl w:val="0"/>
          <w:numId w:val="7"/>
        </w:numPr>
        <w:rPr>
          <w:sz w:val="22"/>
          <w:szCs w:val="22"/>
        </w:rPr>
      </w:pPr>
      <w:r w:rsidRPr="005F36CB">
        <w:rPr>
          <w:sz w:val="22"/>
          <w:szCs w:val="22"/>
        </w:rPr>
        <w:t>detí od troch rokov, dospievajúcich a dospelých pacientov s malígnym gliómom, ako je multiformný glioblastóm alebo anaplastický astrocytóm, u ktorých došlo po štandardnej terapii k recidíve alebo progresii ochorenia.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4"/>
        <w:tabs>
          <w:tab w:val="left" w:pos="540"/>
        </w:tabs>
        <w:spacing w:line="240" w:lineRule="auto"/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4.2</w:t>
      </w:r>
      <w:r w:rsidRPr="005F36CB">
        <w:rPr>
          <w:b/>
          <w:bCs/>
          <w:sz w:val="22"/>
          <w:szCs w:val="22"/>
        </w:rPr>
        <w:tab/>
        <w:t>Dávkovanie a spôsob podávania</w:t>
      </w: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  <w:r w:rsidRPr="005F36CB">
        <w:rPr>
          <w:color w:val="000000"/>
          <w:sz w:val="22"/>
          <w:szCs w:val="22"/>
        </w:rPr>
        <w:t xml:space="preserve">TEMOSTAD </w:t>
      </w:r>
      <w:r w:rsidRPr="005F36CB">
        <w:rPr>
          <w:sz w:val="22"/>
          <w:szCs w:val="22"/>
        </w:rPr>
        <w:t>majú predpisovať len lekári skúsení v onkologickej liečbe nádorov mozgu.</w:t>
      </w: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Možno podávať antiemetickú liečbu (pozri časť 4.4).</w:t>
      </w: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Dávkovanie</w:t>
      </w:r>
    </w:p>
    <w:p w:rsidR="00CD258C" w:rsidRPr="005F36CB" w:rsidRDefault="00CD258C">
      <w:pPr>
        <w:pStyle w:val="CM69"/>
        <w:rPr>
          <w:iCs/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  <w:u w:val="single"/>
        </w:rPr>
        <w:t>Dospelí pacienti s novodiagnostikovaným multiformným glioblastómom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color w:val="000000"/>
          <w:sz w:val="22"/>
          <w:szCs w:val="22"/>
        </w:rPr>
        <w:t xml:space="preserve">TEMOSTAD </w:t>
      </w:r>
      <w:r w:rsidRPr="005F36CB">
        <w:rPr>
          <w:sz w:val="22"/>
          <w:szCs w:val="22"/>
        </w:rPr>
        <w:t>sa podáva v kombinácii s fokálnou rádioterapiou (súbežná fáza) nasledovanou až do 6 cyklov monoterapiou temozolomidom (TMZ) (fáza monoterapie).</w:t>
      </w:r>
    </w:p>
    <w:p w:rsidR="00CD258C" w:rsidRPr="005F36CB" w:rsidRDefault="00CD258C">
      <w:pPr>
        <w:pStyle w:val="CM69"/>
        <w:rPr>
          <w:iCs/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</w:rPr>
        <w:t>Súbežná fáza</w:t>
      </w:r>
    </w:p>
    <w:p w:rsidR="00F962A3" w:rsidRDefault="00F962A3">
      <w:pPr>
        <w:pStyle w:val="CM4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4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TMZ sa podáva perorálne v dávke 75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 denne počas 42 dní súbežne s fokálnou rádioterapiou (60 Gy podaných v 30 frakciách). Dávku sa neodporúča znižovať, ale každý týždeň sa má rozhodnúť, či sa podávanie TMZ oddiali alebo preruší, na základe kritérií hematologickej a nehematologickej toxicity. V podávaní TMZ možno pokračovať po dobu 42-dňovej súbežnej fázy (až do 49 dní), ak sú splnené všetky nasledovné podmienky:</w:t>
      </w:r>
    </w:p>
    <w:p w:rsidR="00CD258C" w:rsidRPr="005F36CB" w:rsidRDefault="00CD258C">
      <w:pPr>
        <w:pStyle w:val="CM7"/>
        <w:numPr>
          <w:ilvl w:val="0"/>
          <w:numId w:val="8"/>
        </w:numPr>
        <w:rPr>
          <w:sz w:val="22"/>
          <w:szCs w:val="22"/>
        </w:rPr>
      </w:pPr>
      <w:r w:rsidRPr="005F36CB">
        <w:rPr>
          <w:sz w:val="22"/>
          <w:szCs w:val="22"/>
        </w:rPr>
        <w:t>absolútny počet neutrofilov (Absolute Neutrophil Count – ANC) ≥ 1,5 x 10</w:t>
      </w:r>
      <w:r w:rsidRPr="005F36CB">
        <w:rPr>
          <w:sz w:val="22"/>
          <w:szCs w:val="22"/>
          <w:vertAlign w:val="superscript"/>
        </w:rPr>
        <w:t>9</w:t>
      </w:r>
      <w:r w:rsidRPr="005F36CB">
        <w:rPr>
          <w:sz w:val="22"/>
          <w:szCs w:val="22"/>
        </w:rPr>
        <w:t>/l,</w:t>
      </w:r>
    </w:p>
    <w:p w:rsidR="00CD258C" w:rsidRPr="005F36CB" w:rsidRDefault="00CD258C">
      <w:pPr>
        <w:numPr>
          <w:ilvl w:val="0"/>
          <w:numId w:val="8"/>
        </w:numPr>
        <w:rPr>
          <w:sz w:val="22"/>
          <w:szCs w:val="22"/>
        </w:rPr>
      </w:pPr>
      <w:r w:rsidRPr="005F36CB">
        <w:rPr>
          <w:sz w:val="22"/>
          <w:szCs w:val="22"/>
        </w:rPr>
        <w:lastRenderedPageBreak/>
        <w:t>počet trombocytov ≥ 100 x 10</w:t>
      </w:r>
      <w:r w:rsidRPr="005F36CB">
        <w:rPr>
          <w:sz w:val="22"/>
          <w:szCs w:val="22"/>
          <w:vertAlign w:val="superscript"/>
        </w:rPr>
        <w:t>9</w:t>
      </w:r>
      <w:r w:rsidRPr="005F36CB">
        <w:rPr>
          <w:sz w:val="22"/>
          <w:szCs w:val="22"/>
        </w:rPr>
        <w:t>/l,</w:t>
      </w:r>
    </w:p>
    <w:p w:rsidR="00CD258C" w:rsidRPr="005F36CB" w:rsidRDefault="00CD258C">
      <w:pPr>
        <w:numPr>
          <w:ilvl w:val="0"/>
          <w:numId w:val="8"/>
        </w:numPr>
        <w:rPr>
          <w:sz w:val="22"/>
          <w:szCs w:val="22"/>
        </w:rPr>
      </w:pPr>
      <w:r w:rsidRPr="005F36CB">
        <w:rPr>
          <w:sz w:val="22"/>
          <w:szCs w:val="22"/>
        </w:rPr>
        <w:t>celkové kritériá toxicity (Common Toxicity Criteria – CTC) nehematologickej toxicity ≤ 1. stupeň (okrem alopécie, nevoľnosti a vracania).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71"/>
        <w:rPr>
          <w:sz w:val="22"/>
          <w:szCs w:val="22"/>
        </w:rPr>
      </w:pPr>
      <w:r w:rsidRPr="005F36CB">
        <w:rPr>
          <w:sz w:val="22"/>
          <w:szCs w:val="22"/>
        </w:rPr>
        <w:t>Počas liečby sa má týždenne vyšetrovať úplný krvný obraz. Podávanie TMZ sa má v priebehu súbežnej fázy dočasne prerušiť alebo trvalo ukončiť podľa kritérií hematologickej a nehematologickej toxicity, ako je uvedené v Tabuľke 1.</w:t>
      </w:r>
    </w:p>
    <w:p w:rsidR="00CD258C" w:rsidRPr="005F36CB" w:rsidRDefault="00CD258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258C" w:rsidRPr="005F36CB" w:rsidRDefault="00CD258C">
      <w:pPr>
        <w:widowControl w:val="0"/>
        <w:autoSpaceDE w:val="0"/>
        <w:autoSpaceDN w:val="0"/>
        <w:adjustRightInd w:val="0"/>
        <w:rPr>
          <w:b/>
          <w:iCs/>
          <w:sz w:val="22"/>
          <w:szCs w:val="22"/>
        </w:rPr>
      </w:pPr>
      <w:r w:rsidRPr="005F36CB">
        <w:rPr>
          <w:b/>
          <w:iCs/>
          <w:sz w:val="22"/>
          <w:szCs w:val="22"/>
        </w:rPr>
        <w:t>Tabuľka 1. Prerušenie alebo ukončenie podávania TMZ počas súbežnej rádioterapie a terapie TMZ</w:t>
      </w:r>
    </w:p>
    <w:p w:rsidR="00CD258C" w:rsidRPr="005F36CB" w:rsidRDefault="00CD258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2245"/>
        <w:gridCol w:w="2245"/>
      </w:tblGrid>
      <w:tr w:rsidR="00CD258C" w:rsidRPr="005F36CB">
        <w:trPr>
          <w:trHeight w:val="302"/>
        </w:trPr>
        <w:tc>
          <w:tcPr>
            <w:tcW w:w="3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Toxicita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Prerušenie TMZ</w:t>
            </w:r>
            <w:r w:rsidRPr="005F36CB">
              <w:rPr>
                <w:b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Ukončenie TMZ</w:t>
            </w:r>
          </w:p>
        </w:tc>
      </w:tr>
      <w:tr w:rsidR="00CD258C" w:rsidRPr="005F36CB">
        <w:trPr>
          <w:trHeight w:val="320"/>
        </w:trPr>
        <w:tc>
          <w:tcPr>
            <w:tcW w:w="3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Absolútny počet neutrofilov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0,5 a"/>
              </w:smartTagPr>
              <w:r w:rsidRPr="005F36CB">
                <w:rPr>
                  <w:sz w:val="22"/>
                  <w:szCs w:val="22"/>
                </w:rPr>
                <w:t>0,5 a</w:t>
              </w:r>
            </w:smartTag>
            <w:r w:rsidRPr="005F36CB">
              <w:rPr>
                <w:sz w:val="22"/>
                <w:szCs w:val="22"/>
              </w:rPr>
              <w:t xml:space="preserve"> &lt; 1,5 x 10</w:t>
            </w:r>
            <w:r w:rsidRPr="005F36CB">
              <w:rPr>
                <w:sz w:val="22"/>
                <w:szCs w:val="22"/>
                <w:vertAlign w:val="superscript"/>
              </w:rPr>
              <w:t>9</w:t>
            </w:r>
            <w:r w:rsidRPr="005F36CB">
              <w:rPr>
                <w:sz w:val="22"/>
                <w:szCs w:val="22"/>
              </w:rPr>
              <w:t>/l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&lt; 0,5 x 10</w:t>
            </w:r>
            <w:r w:rsidRPr="005F36CB">
              <w:rPr>
                <w:sz w:val="22"/>
                <w:szCs w:val="22"/>
                <w:vertAlign w:val="superscript"/>
              </w:rPr>
              <w:t>9</w:t>
            </w:r>
            <w:r w:rsidRPr="005F36CB">
              <w:rPr>
                <w:sz w:val="22"/>
                <w:szCs w:val="22"/>
              </w:rPr>
              <w:t>/l</w:t>
            </w:r>
          </w:p>
        </w:tc>
      </w:tr>
      <w:tr w:rsidR="00CD258C" w:rsidRPr="005F36CB">
        <w:trPr>
          <w:trHeight w:val="3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Počet trombocytov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5F36CB">
                <w:rPr>
                  <w:sz w:val="22"/>
                  <w:szCs w:val="22"/>
                </w:rPr>
                <w:t>10 a</w:t>
              </w:r>
            </w:smartTag>
            <w:r w:rsidRPr="005F36CB">
              <w:rPr>
                <w:sz w:val="22"/>
                <w:szCs w:val="22"/>
              </w:rPr>
              <w:t xml:space="preserve"> &lt; 100 x 10</w:t>
            </w:r>
            <w:r w:rsidRPr="005F36CB">
              <w:rPr>
                <w:sz w:val="22"/>
                <w:szCs w:val="22"/>
                <w:vertAlign w:val="superscript"/>
              </w:rPr>
              <w:t>9</w:t>
            </w:r>
            <w:r w:rsidRPr="005F36CB">
              <w:rPr>
                <w:sz w:val="22"/>
                <w:szCs w:val="22"/>
              </w:rPr>
              <w:t>/l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&lt; 10 x 10</w:t>
            </w:r>
            <w:r w:rsidRPr="005F36CB">
              <w:rPr>
                <w:sz w:val="22"/>
                <w:szCs w:val="22"/>
                <w:vertAlign w:val="superscript"/>
              </w:rPr>
              <w:t>9</w:t>
            </w:r>
            <w:r w:rsidRPr="005F36CB">
              <w:rPr>
                <w:sz w:val="22"/>
                <w:szCs w:val="22"/>
              </w:rPr>
              <w:t>/l</w:t>
            </w:r>
          </w:p>
        </w:tc>
      </w:tr>
      <w:tr w:rsidR="00CD258C" w:rsidRPr="005F36CB">
        <w:trPr>
          <w:trHeight w:val="72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CTC nehematologickej toxicity (okrem alopécie, nevoľnosti a vracania)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CTC 2. stupňa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CTC 3. alebo 4. stupňa</w:t>
            </w:r>
          </w:p>
        </w:tc>
      </w:tr>
    </w:tbl>
    <w:p w:rsidR="00CD258C" w:rsidRPr="005F36CB" w:rsidRDefault="00CD258C">
      <w:pPr>
        <w:pStyle w:val="CM69"/>
        <w:ind w:left="539" w:hanging="539"/>
        <w:rPr>
          <w:iCs/>
          <w:sz w:val="20"/>
          <w:szCs w:val="22"/>
        </w:rPr>
      </w:pPr>
      <w:r w:rsidRPr="005F36CB">
        <w:rPr>
          <w:iCs/>
          <w:sz w:val="20"/>
          <w:szCs w:val="22"/>
          <w:vertAlign w:val="superscript"/>
        </w:rPr>
        <w:t>a</w:t>
      </w:r>
      <w:r w:rsidRPr="005F36CB">
        <w:rPr>
          <w:sz w:val="20"/>
          <w:szCs w:val="22"/>
        </w:rPr>
        <w:tab/>
      </w:r>
      <w:r w:rsidRPr="005F36CB">
        <w:rPr>
          <w:sz w:val="20"/>
          <w:szCs w:val="16"/>
        </w:rPr>
        <w:t>Súbežná liečba s TMZ môže pokračovať, keď sú splnené všetky nasledovné podmienky: absolútny počet neutrofilov ≥ 1,5 x 10</w:t>
      </w:r>
      <w:r w:rsidRPr="005F36CB">
        <w:rPr>
          <w:position w:val="8"/>
          <w:sz w:val="20"/>
          <w:szCs w:val="16"/>
          <w:vertAlign w:val="superscript"/>
        </w:rPr>
        <w:t>9</w:t>
      </w:r>
      <w:r w:rsidRPr="005F36CB">
        <w:rPr>
          <w:sz w:val="20"/>
          <w:szCs w:val="16"/>
        </w:rPr>
        <w:t>/l, počet trombocytov ≥ 100 x 10</w:t>
      </w:r>
      <w:r w:rsidRPr="005F36CB">
        <w:rPr>
          <w:position w:val="8"/>
          <w:sz w:val="20"/>
          <w:szCs w:val="16"/>
          <w:vertAlign w:val="superscript"/>
        </w:rPr>
        <w:t>9</w:t>
      </w:r>
      <w:r w:rsidRPr="005F36CB">
        <w:rPr>
          <w:sz w:val="20"/>
          <w:szCs w:val="16"/>
        </w:rPr>
        <w:t>/l, CTC nehematologickej toxicity ≤ 1. stupeň (okrem alopécie, nevoľnosti a vracania).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</w:rPr>
        <w:t>Fáza monoterapie</w:t>
      </w:r>
    </w:p>
    <w:p w:rsidR="00F962A3" w:rsidRDefault="00F962A3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Štyri týždne po ukončení súbežnej fázy TMZ + RT sa TMZ podáva až do 6 cyklov ako monoterapia. Dávka v 1. cykle (monoterapie) je 150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 raz denne počas 5 dní, po ktorých nasleduje 23 dní bez liečby. Na začiatku 2. cyklu sa dávka zvýši na 200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>, ak CTC nehematologickej toxicity (okrem alopécie, nevoľnosti a vracania) za 1. cyklus je ≤ 2. stupeň, absolútny počet neutrofilov (ANC) je ≥ 1,5 x 10</w:t>
      </w:r>
      <w:r w:rsidRPr="005F36CB">
        <w:rPr>
          <w:sz w:val="22"/>
          <w:szCs w:val="22"/>
          <w:vertAlign w:val="superscript"/>
        </w:rPr>
        <w:t>9</w:t>
      </w:r>
      <w:r w:rsidRPr="005F36CB">
        <w:rPr>
          <w:sz w:val="22"/>
          <w:szCs w:val="22"/>
        </w:rPr>
        <w:t>/l a počet trombocytov je ≥ 100 x 10</w:t>
      </w:r>
      <w:r w:rsidRPr="005F36CB">
        <w:rPr>
          <w:sz w:val="22"/>
          <w:szCs w:val="22"/>
          <w:vertAlign w:val="superscript"/>
        </w:rPr>
        <w:t>9</w:t>
      </w:r>
      <w:r w:rsidRPr="005F36CB">
        <w:rPr>
          <w:sz w:val="22"/>
          <w:szCs w:val="22"/>
        </w:rPr>
        <w:t>/l. Ak sa v 2. cykle dávka nezvýšila, nemá sa zvyšovať ani v nasledujúcich cykloch. Ak sa dávka už raz zvýšila, zostáva na 200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 denne počas prvých 5 dní v každom nasledujúcom cykle, s výnimkou objavenia sa toxicity. Znižovanie dávok a prerušovanie liečby počas fázy monoterapie sa má riadiť podľa </w:t>
      </w:r>
      <w:r w:rsidRPr="005F36CB">
        <w:rPr>
          <w:b/>
          <w:sz w:val="22"/>
          <w:szCs w:val="22"/>
        </w:rPr>
        <w:t xml:space="preserve">Tabuliek </w:t>
      </w:r>
      <w:smartTag w:uri="urn:schemas-microsoft-com:office:smarttags" w:element="metricconverter">
        <w:smartTagPr>
          <w:attr w:name="ProductID" w:val="2 a"/>
        </w:smartTagPr>
        <w:r w:rsidRPr="005F36CB">
          <w:rPr>
            <w:b/>
            <w:sz w:val="22"/>
            <w:szCs w:val="22"/>
          </w:rPr>
          <w:t>2 a</w:t>
        </w:r>
      </w:smartTag>
      <w:r w:rsidRPr="005F36CB">
        <w:rPr>
          <w:b/>
          <w:sz w:val="22"/>
          <w:szCs w:val="22"/>
        </w:rPr>
        <w:t xml:space="preserve"> 3</w:t>
      </w:r>
      <w:r w:rsidRPr="005F36CB">
        <w:rPr>
          <w:sz w:val="22"/>
          <w:szCs w:val="22"/>
        </w:rPr>
        <w:t>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71"/>
        <w:rPr>
          <w:sz w:val="22"/>
          <w:szCs w:val="22"/>
        </w:rPr>
      </w:pPr>
      <w:r w:rsidRPr="005F36CB">
        <w:rPr>
          <w:sz w:val="22"/>
          <w:szCs w:val="22"/>
        </w:rPr>
        <w:t xml:space="preserve">Počas liečby sa má 22. deň vyšetriť úplný krvný obraz (21 dní od prvej dávky TMZ). Dávkovanie sa má znížiť alebo prerušiť podľa </w:t>
      </w:r>
      <w:r w:rsidRPr="005F36CB">
        <w:rPr>
          <w:b/>
          <w:sz w:val="22"/>
          <w:szCs w:val="22"/>
        </w:rPr>
        <w:t>Tabuľky 3</w:t>
      </w:r>
      <w:r w:rsidRPr="005F36CB">
        <w:rPr>
          <w:sz w:val="22"/>
          <w:szCs w:val="22"/>
        </w:rPr>
        <w:t>.</w:t>
      </w:r>
    </w:p>
    <w:p w:rsidR="00CD258C" w:rsidRPr="005F36CB" w:rsidRDefault="00CD258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258C" w:rsidRPr="005F36CB" w:rsidRDefault="00CD258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F36CB">
        <w:rPr>
          <w:b/>
          <w:iCs/>
          <w:sz w:val="22"/>
          <w:szCs w:val="22"/>
        </w:rPr>
        <w:t>Tabuľka 2. Stupne dávkovania TMZ pri liečbe monoterapiou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02"/>
        <w:gridCol w:w="4730"/>
      </w:tblGrid>
      <w:tr w:rsidR="00CD258C" w:rsidRPr="005F36CB">
        <w:trPr>
          <w:trHeight w:val="5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Stupeň dávkovania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Dávka (mg/m</w:t>
            </w:r>
            <w:r w:rsidRPr="005F36CB">
              <w:rPr>
                <w:b/>
                <w:sz w:val="22"/>
                <w:szCs w:val="22"/>
                <w:vertAlign w:val="superscript"/>
              </w:rPr>
              <w:t>2</w:t>
            </w:r>
            <w:r w:rsidRPr="005F36CB">
              <w:rPr>
                <w:b/>
                <w:sz w:val="22"/>
                <w:szCs w:val="22"/>
              </w:rPr>
              <w:t>/deň</w:t>
            </w:r>
            <w:r w:rsidRPr="005F36CB">
              <w:rPr>
                <w:sz w:val="22"/>
                <w:szCs w:val="22"/>
              </w:rPr>
              <w:t>)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Poznámky</w:t>
            </w:r>
          </w:p>
        </w:tc>
      </w:tr>
      <w:tr w:rsidR="00CD258C" w:rsidRPr="005F36CB">
        <w:trPr>
          <w:trHeight w:val="30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–1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100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Zníženie kvôli predchádzajúcej toxicite</w:t>
            </w:r>
          </w:p>
        </w:tc>
      </w:tr>
      <w:tr w:rsidR="00CD258C" w:rsidRPr="005F36CB">
        <w:trPr>
          <w:trHeight w:val="30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150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Dávka počas 1. cyklu</w:t>
            </w:r>
          </w:p>
        </w:tc>
      </w:tr>
      <w:tr w:rsidR="00CD258C" w:rsidRPr="005F36CB">
        <w:trPr>
          <w:trHeight w:val="30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200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Dávka počas 2. – 6. cyklu, ak sa neobjavila toxicita</w:t>
            </w:r>
          </w:p>
        </w:tc>
      </w:tr>
    </w:tbl>
    <w:p w:rsidR="00CD258C" w:rsidRPr="005F36CB" w:rsidRDefault="00CD258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258C" w:rsidRPr="005F36CB" w:rsidRDefault="00CD258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F36CB">
        <w:rPr>
          <w:b/>
          <w:iCs/>
          <w:sz w:val="22"/>
          <w:szCs w:val="22"/>
        </w:rPr>
        <w:t>Tabuľka 3. Znižovanie dávky alebo prerušovanie liečby TMZ počas liečby monoterapiou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2575"/>
        <w:gridCol w:w="1912"/>
      </w:tblGrid>
      <w:tr w:rsidR="00CD258C" w:rsidRPr="005F36CB">
        <w:trPr>
          <w:trHeight w:val="54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Toxicita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Zníženie TMZ o 1 stupeň dávkovania</w:t>
            </w:r>
            <w:r w:rsidRPr="005F36CB">
              <w:rPr>
                <w:b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Ukončenie TMZ</w:t>
            </w:r>
          </w:p>
        </w:tc>
      </w:tr>
      <w:tr w:rsidR="00CD258C" w:rsidRPr="005F36CB">
        <w:trPr>
          <w:trHeight w:val="54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Absolútny počet neutrofilov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&lt; 1,0 x 10</w:t>
            </w:r>
            <w:r w:rsidRPr="005F36CB">
              <w:rPr>
                <w:sz w:val="22"/>
                <w:szCs w:val="22"/>
                <w:vertAlign w:val="superscript"/>
              </w:rPr>
              <w:t>9</w:t>
            </w:r>
            <w:r w:rsidRPr="005F36CB">
              <w:rPr>
                <w:sz w:val="22"/>
                <w:szCs w:val="22"/>
              </w:rPr>
              <w:t>/l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Pozri poznámku pod čiarou</w:t>
            </w:r>
          </w:p>
        </w:tc>
      </w:tr>
      <w:tr w:rsidR="00CD258C" w:rsidRPr="005F36CB">
        <w:trPr>
          <w:trHeight w:val="54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Počet trombocytov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&lt; 50 x 10</w:t>
            </w:r>
            <w:r w:rsidRPr="005F36CB">
              <w:rPr>
                <w:sz w:val="22"/>
                <w:szCs w:val="22"/>
                <w:vertAlign w:val="superscript"/>
              </w:rPr>
              <w:t>9</w:t>
            </w:r>
            <w:r w:rsidRPr="005F36CB">
              <w:rPr>
                <w:sz w:val="22"/>
                <w:szCs w:val="22"/>
              </w:rPr>
              <w:t>/l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Pozri poznámku pod čiarou b</w:t>
            </w:r>
          </w:p>
        </w:tc>
      </w:tr>
      <w:tr w:rsidR="00CD258C" w:rsidRPr="005F36CB">
        <w:trPr>
          <w:trHeight w:val="72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CTC nehematologickej toxicity (okrem alopécie, nevoľnosti a vracania)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CTC 3. stupňa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CTC 4</w:t>
            </w:r>
            <w:r w:rsidRPr="005F36CB">
              <w:rPr>
                <w:sz w:val="22"/>
                <w:szCs w:val="22"/>
                <w:vertAlign w:val="superscript"/>
              </w:rPr>
              <w:t>b</w:t>
            </w:r>
            <w:r w:rsidRPr="005F36CB">
              <w:rPr>
                <w:sz w:val="22"/>
                <w:szCs w:val="22"/>
              </w:rPr>
              <w:t>. stupňa</w:t>
            </w:r>
          </w:p>
        </w:tc>
      </w:tr>
    </w:tbl>
    <w:p w:rsidR="00CD258C" w:rsidRPr="005F36CB" w:rsidRDefault="00CD258C">
      <w:pPr>
        <w:pStyle w:val="CM11"/>
        <w:jc w:val="both"/>
        <w:rPr>
          <w:sz w:val="22"/>
          <w:szCs w:val="22"/>
        </w:rPr>
      </w:pPr>
    </w:p>
    <w:p w:rsidR="00CD258C" w:rsidRPr="005F36CB" w:rsidRDefault="00CD258C">
      <w:pPr>
        <w:pStyle w:val="CM11"/>
        <w:tabs>
          <w:tab w:val="left" w:pos="540"/>
        </w:tabs>
        <w:jc w:val="both"/>
        <w:rPr>
          <w:sz w:val="22"/>
          <w:szCs w:val="22"/>
        </w:rPr>
      </w:pPr>
      <w:r w:rsidRPr="005F36CB">
        <w:rPr>
          <w:sz w:val="22"/>
          <w:szCs w:val="22"/>
        </w:rPr>
        <w:lastRenderedPageBreak/>
        <w:t xml:space="preserve">a: </w:t>
      </w:r>
      <w:r w:rsidRPr="005F36CB">
        <w:rPr>
          <w:sz w:val="22"/>
          <w:szCs w:val="22"/>
        </w:rPr>
        <w:tab/>
        <w:t>Stupne dávkovania TMZ sú uvedené v Tabuľke 2.</w:t>
      </w:r>
    </w:p>
    <w:p w:rsidR="00CD258C" w:rsidRPr="005F36CB" w:rsidRDefault="00CD258C">
      <w:pPr>
        <w:tabs>
          <w:tab w:val="left" w:pos="540"/>
        </w:tabs>
        <w:rPr>
          <w:sz w:val="22"/>
          <w:szCs w:val="22"/>
        </w:rPr>
      </w:pPr>
      <w:r w:rsidRPr="005F36CB">
        <w:rPr>
          <w:sz w:val="22"/>
          <w:szCs w:val="22"/>
        </w:rPr>
        <w:t xml:space="preserve">b: </w:t>
      </w:r>
      <w:r w:rsidRPr="005F36CB">
        <w:rPr>
          <w:sz w:val="22"/>
          <w:szCs w:val="22"/>
        </w:rPr>
        <w:tab/>
        <w:t>TMZ sa má prerušiť ak:</w:t>
      </w:r>
    </w:p>
    <w:p w:rsidR="00CD258C" w:rsidRPr="005F36CB" w:rsidRDefault="00CD258C">
      <w:pPr>
        <w:pStyle w:val="Default"/>
        <w:numPr>
          <w:ilvl w:val="0"/>
          <w:numId w:val="9"/>
        </w:numPr>
        <w:tabs>
          <w:tab w:val="left" w:pos="540"/>
        </w:tabs>
        <w:rPr>
          <w:color w:val="auto"/>
          <w:sz w:val="22"/>
          <w:szCs w:val="22"/>
        </w:rPr>
      </w:pPr>
      <w:r w:rsidRPr="005F36CB">
        <w:rPr>
          <w:color w:val="auto"/>
          <w:sz w:val="22"/>
          <w:szCs w:val="22"/>
        </w:rPr>
        <w:t>pri stupni dávkovania -1 (100 mg/m</w:t>
      </w:r>
      <w:r w:rsidRPr="005F36CB">
        <w:rPr>
          <w:color w:val="auto"/>
          <w:sz w:val="22"/>
          <w:szCs w:val="22"/>
          <w:vertAlign w:val="superscript"/>
        </w:rPr>
        <w:t>2</w:t>
      </w:r>
      <w:r w:rsidRPr="005F36CB">
        <w:rPr>
          <w:color w:val="auto"/>
          <w:sz w:val="22"/>
          <w:szCs w:val="22"/>
        </w:rPr>
        <w:t>) stále pretrváva neakceptovateľná toxicita,</w:t>
      </w:r>
    </w:p>
    <w:p w:rsidR="00CD258C" w:rsidRDefault="00CD258C">
      <w:pPr>
        <w:pStyle w:val="Default"/>
        <w:numPr>
          <w:ilvl w:val="0"/>
          <w:numId w:val="9"/>
        </w:numPr>
        <w:ind w:left="540" w:hanging="540"/>
        <w:rPr>
          <w:color w:val="auto"/>
          <w:sz w:val="22"/>
          <w:szCs w:val="22"/>
        </w:rPr>
      </w:pPr>
      <w:r w:rsidRPr="005F36CB">
        <w:rPr>
          <w:color w:val="auto"/>
          <w:sz w:val="22"/>
          <w:szCs w:val="22"/>
        </w:rPr>
        <w:t>sa po znížení dávky objaví rovnaká nehematologická toxicita 3. stupňa (okrem alopécie, nevoľnosti a vracania).</w:t>
      </w:r>
    </w:p>
    <w:p w:rsidR="00E91276" w:rsidRDefault="00E91276" w:rsidP="00E91276">
      <w:pPr>
        <w:pStyle w:val="Default"/>
        <w:rPr>
          <w:color w:val="auto"/>
          <w:sz w:val="22"/>
          <w:szCs w:val="22"/>
        </w:rPr>
      </w:pPr>
    </w:p>
    <w:p w:rsidR="00CD258C" w:rsidRPr="00EE6509" w:rsidRDefault="00CD258C">
      <w:pPr>
        <w:pStyle w:val="CM69"/>
        <w:pageBreakBefore/>
        <w:rPr>
          <w:sz w:val="22"/>
          <w:szCs w:val="22"/>
        </w:rPr>
      </w:pPr>
      <w:r w:rsidRPr="00EE6509">
        <w:rPr>
          <w:iCs/>
          <w:sz w:val="22"/>
          <w:szCs w:val="22"/>
        </w:rPr>
        <w:lastRenderedPageBreak/>
        <w:t>Dospelí a pediatrickí pacienti vo veku 3 rokov alebo starší s rekurentným alebo progredujúcim malígnym gliómom</w:t>
      </w:r>
      <w:r w:rsidR="00F962A3">
        <w:rPr>
          <w:iCs/>
          <w:sz w:val="22"/>
          <w:szCs w:val="22"/>
        </w:rPr>
        <w:t>:</w:t>
      </w:r>
    </w:p>
    <w:p w:rsidR="00CD258C" w:rsidRPr="005F36CB" w:rsidRDefault="00CD258C">
      <w:pPr>
        <w:pStyle w:val="CM15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15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Liečebný cyklus trvá 28 dní. Pacientom, ktorí predtým neboli liečení chemoterapiou, sa TMZ podáva perorálne v dávke 200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 raz denne počas prvých 5 dní, po ktorých nasleduje prerušenie liečby na 23 dní (spolu 28 dní). U pacientov, ktorí sa predtým liečili chemoterapiou, je úvodná dávka 150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 raz denne, ktorá sa v druhom cykle zvýši na 200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 raz denne počas 5 dní, ak sa neobjaví hematologická toxicita (pozri časť 4.4).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i/>
          <w:iCs/>
          <w:sz w:val="22"/>
          <w:szCs w:val="22"/>
          <w:u w:val="single"/>
        </w:rPr>
      </w:pPr>
      <w:r w:rsidRPr="005F36CB">
        <w:rPr>
          <w:i/>
          <w:iCs/>
          <w:sz w:val="22"/>
          <w:szCs w:val="22"/>
          <w:u w:val="single"/>
        </w:rPr>
        <w:t>Špeciálne populácie</w:t>
      </w:r>
    </w:p>
    <w:p w:rsidR="00CD258C" w:rsidRPr="005F36CB" w:rsidRDefault="00CD258C">
      <w:pPr>
        <w:pStyle w:val="CM69"/>
        <w:rPr>
          <w:iCs/>
          <w:sz w:val="22"/>
          <w:szCs w:val="22"/>
        </w:rPr>
      </w:pPr>
    </w:p>
    <w:p w:rsidR="00CD258C" w:rsidRPr="005F36CB" w:rsidRDefault="005F36CB">
      <w:pPr>
        <w:pStyle w:val="CM69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Pediatrická populácia  </w:t>
      </w: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 xml:space="preserve">U trojročných alebo starších pacientov sa TMZ používa iba pri rekurentnom alebo progredujúcom malígnom glióme. </w:t>
      </w:r>
      <w:r w:rsidR="005F36CB" w:rsidRPr="005F36CB">
        <w:rPr>
          <w:sz w:val="22"/>
          <w:szCs w:val="22"/>
        </w:rPr>
        <w:t xml:space="preserve"> </w:t>
      </w:r>
      <w:r w:rsidR="005F36CB">
        <w:rPr>
          <w:sz w:val="22"/>
          <w:szCs w:val="22"/>
        </w:rPr>
        <w:t>Skúsenosti u týchto detí sú veľmi obmedzené (pozri časti 4.4 a 5.1). Bezpečnosť a účinnosť TMZ u detí mladších ako 3 roky neboli stanovené. K dispozícii nie sú žiadne údaje.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</w:rPr>
        <w:t>Pacienti s poškoden</w:t>
      </w:r>
      <w:r w:rsidR="00001988">
        <w:rPr>
          <w:i/>
          <w:iCs/>
          <w:sz w:val="22"/>
          <w:szCs w:val="22"/>
        </w:rPr>
        <w:t>ou</w:t>
      </w:r>
      <w:r w:rsidRPr="005F36CB">
        <w:rPr>
          <w:i/>
          <w:iCs/>
          <w:sz w:val="22"/>
          <w:szCs w:val="22"/>
        </w:rPr>
        <w:t xml:space="preserve"> funkci</w:t>
      </w:r>
      <w:r w:rsidR="00001988">
        <w:rPr>
          <w:i/>
          <w:iCs/>
          <w:sz w:val="22"/>
          <w:szCs w:val="22"/>
        </w:rPr>
        <w:t>ou</w:t>
      </w:r>
      <w:r w:rsidRPr="005F36CB">
        <w:rPr>
          <w:i/>
          <w:iCs/>
          <w:sz w:val="22"/>
          <w:szCs w:val="22"/>
        </w:rPr>
        <w:t xml:space="preserve"> pečene alebo obličiek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Farmakokinetika TMZ bola u pacientov s normálnou funkciou pečene a u pacientov s miernym alebo stredne ťažkým poškodením funkcie pečene porovnateľná. Nie sú dostupné údaje o podávaní TMZ pacientom so závažným poškodením funkcie pečene (trieda C podľa Childovej klasifikácie) alebo s poškodením funkcie obličiek. Vzhľadom na farmakokinetické vlastnosti TMZ nie je pravdepodobné, že by sa u pacientov so závažným poškodením funkcie pečene alebo akýmkoľvek stupňom poškodenia funkcie obličiek vyžadovali redukcie dávky. Ak sa však TMZ podáva týmto pacientom, má sa im venovať zvýšená pozornosť.</w:t>
      </w:r>
    </w:p>
    <w:p w:rsidR="00CD258C" w:rsidRPr="005F36CB" w:rsidRDefault="00CD258C">
      <w:pPr>
        <w:pStyle w:val="Default"/>
        <w:rPr>
          <w:color w:val="auto"/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</w:rPr>
        <w:t>Starší pacienti</w:t>
      </w:r>
    </w:p>
    <w:p w:rsidR="00CD258C" w:rsidRPr="005F36CB" w:rsidRDefault="00CD258C">
      <w:pPr>
        <w:pStyle w:val="CM2"/>
        <w:spacing w:line="240" w:lineRule="auto"/>
        <w:rPr>
          <w:sz w:val="22"/>
          <w:szCs w:val="22"/>
          <w:u w:val="single"/>
        </w:rPr>
      </w:pPr>
    </w:p>
    <w:p w:rsidR="00CD258C" w:rsidRPr="005F36CB" w:rsidRDefault="00CD258C">
      <w:pPr>
        <w:pStyle w:val="CM4"/>
        <w:rPr>
          <w:sz w:val="22"/>
          <w:szCs w:val="22"/>
        </w:rPr>
      </w:pPr>
      <w:r w:rsidRPr="005F36CB">
        <w:rPr>
          <w:sz w:val="22"/>
          <w:szCs w:val="22"/>
        </w:rPr>
        <w:t>Na základe farmakokinetickej analýzy v populácii pacientov vo veku 19 – 78 rokov, klírens TMZ nie je ovplyvnený vekom. U starších pacientov (&gt; 70 rokov) sa však zdá, že majú zvýšené riziko neutropénie a trombocytopénie (pozri časť 4.4).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2"/>
        <w:spacing w:line="240" w:lineRule="auto"/>
        <w:rPr>
          <w:sz w:val="22"/>
          <w:szCs w:val="22"/>
          <w:u w:val="single"/>
        </w:rPr>
      </w:pPr>
      <w:r w:rsidRPr="005F36CB">
        <w:rPr>
          <w:sz w:val="22"/>
          <w:szCs w:val="22"/>
          <w:u w:val="single"/>
        </w:rPr>
        <w:t>Spôsob podávania</w:t>
      </w:r>
    </w:p>
    <w:p w:rsidR="00CD258C" w:rsidRPr="005F36CB" w:rsidRDefault="00CD258C">
      <w:pPr>
        <w:pStyle w:val="CM2"/>
        <w:spacing w:line="240" w:lineRule="auto"/>
        <w:rPr>
          <w:sz w:val="22"/>
          <w:szCs w:val="22"/>
          <w:u w:val="single"/>
        </w:rPr>
      </w:pP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TEMOSTAD sa má podávať nalačno.</w:t>
      </w: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Kapsuly sa majú prehltnúť celé a zapiť pohárom vody. Nesmú sa otvárať alebo hrýzť (žuť).</w:t>
      </w:r>
    </w:p>
    <w:p w:rsidR="00CD258C" w:rsidRPr="005F36CB" w:rsidRDefault="00CD258C">
      <w:pPr>
        <w:pStyle w:val="CM2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Keď sa po podaní dávky objaví vracanie, v ten istý deň už druhú dávku nepodávajte.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tabs>
          <w:tab w:val="left" w:pos="540"/>
        </w:tabs>
        <w:rPr>
          <w:b/>
          <w:sz w:val="22"/>
          <w:szCs w:val="22"/>
        </w:rPr>
      </w:pPr>
      <w:r w:rsidRPr="005F36CB">
        <w:rPr>
          <w:b/>
          <w:sz w:val="22"/>
          <w:szCs w:val="22"/>
        </w:rPr>
        <w:t>4.3</w:t>
      </w:r>
      <w:r w:rsidRPr="005F36CB">
        <w:rPr>
          <w:b/>
          <w:sz w:val="22"/>
          <w:szCs w:val="22"/>
        </w:rPr>
        <w:tab/>
        <w:t>Kontraindikácie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rPr>
          <w:sz w:val="22"/>
          <w:szCs w:val="22"/>
        </w:rPr>
      </w:pPr>
      <w:r w:rsidRPr="005F36CB">
        <w:rPr>
          <w:sz w:val="22"/>
          <w:szCs w:val="22"/>
        </w:rPr>
        <w:t>Precitlivenosť na liečivo alebo na ktorúkoľvek z pomocných látok</w:t>
      </w:r>
      <w:r w:rsidR="005F36CB">
        <w:rPr>
          <w:sz w:val="22"/>
          <w:szCs w:val="22"/>
        </w:rPr>
        <w:t xml:space="preserve"> uvedených v časti 6.1</w:t>
      </w:r>
      <w:r w:rsidRPr="005F36CB">
        <w:rPr>
          <w:sz w:val="22"/>
          <w:szCs w:val="22"/>
        </w:rPr>
        <w:t>.</w:t>
      </w:r>
    </w:p>
    <w:p w:rsidR="00CD258C" w:rsidRPr="005F36CB" w:rsidRDefault="00CD258C">
      <w:pPr>
        <w:rPr>
          <w:sz w:val="22"/>
          <w:szCs w:val="22"/>
        </w:rPr>
      </w:pPr>
      <w:r w:rsidRPr="005F36CB">
        <w:rPr>
          <w:sz w:val="22"/>
          <w:szCs w:val="22"/>
        </w:rPr>
        <w:t>Precitlivenosť na dakarbazín (DTIC).</w:t>
      </w:r>
    </w:p>
    <w:p w:rsidR="00CD258C" w:rsidRPr="005F36CB" w:rsidRDefault="00CD258C">
      <w:pPr>
        <w:rPr>
          <w:sz w:val="22"/>
          <w:szCs w:val="22"/>
        </w:rPr>
      </w:pPr>
      <w:r w:rsidRPr="005F36CB">
        <w:rPr>
          <w:sz w:val="22"/>
          <w:szCs w:val="22"/>
        </w:rPr>
        <w:t>Závažná myelosupresia (pozri časť 4.4).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tabs>
          <w:tab w:val="left" w:pos="540"/>
        </w:tabs>
        <w:rPr>
          <w:b/>
          <w:sz w:val="22"/>
          <w:szCs w:val="22"/>
        </w:rPr>
      </w:pPr>
      <w:r w:rsidRPr="005F36CB">
        <w:rPr>
          <w:b/>
          <w:sz w:val="22"/>
          <w:szCs w:val="22"/>
        </w:rPr>
        <w:t>4.4</w:t>
      </w:r>
      <w:r w:rsidRPr="005F36CB">
        <w:rPr>
          <w:b/>
          <w:sz w:val="22"/>
          <w:szCs w:val="22"/>
        </w:rPr>
        <w:tab/>
        <w:t>Osobitné upozornenia a opatrenia pri používaní</w:t>
      </w:r>
    </w:p>
    <w:p w:rsidR="00CD258C" w:rsidRPr="005F36CB" w:rsidRDefault="00CD258C">
      <w:pPr>
        <w:rPr>
          <w:sz w:val="22"/>
          <w:szCs w:val="22"/>
        </w:rPr>
      </w:pPr>
    </w:p>
    <w:p w:rsidR="00237661" w:rsidRPr="00EE6509" w:rsidRDefault="00237661" w:rsidP="00237661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EE6509">
        <w:rPr>
          <w:iCs/>
          <w:sz w:val="22"/>
          <w:szCs w:val="22"/>
          <w:u w:val="single"/>
        </w:rPr>
        <w:t>Oportúnne infekcie a reaktivácia infekcií</w:t>
      </w:r>
    </w:p>
    <w:p w:rsidR="00237661" w:rsidRPr="00333D11" w:rsidRDefault="00237661" w:rsidP="0023766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33D11">
        <w:rPr>
          <w:rFonts w:eastAsia="TimesNewRoman"/>
          <w:sz w:val="22"/>
          <w:szCs w:val="22"/>
        </w:rPr>
        <w:t>Počas liečby TMZ sa pozorovali oportúnne infekcie (ako je pneumónia vyvolaná Pneumocystis</w:t>
      </w:r>
    </w:p>
    <w:p w:rsidR="00237661" w:rsidRPr="00EE6509" w:rsidRDefault="00237661" w:rsidP="00237661">
      <w:pPr>
        <w:rPr>
          <w:rFonts w:eastAsia="TimesNewRoman"/>
          <w:sz w:val="22"/>
          <w:szCs w:val="22"/>
        </w:rPr>
      </w:pPr>
      <w:r w:rsidRPr="00EE6509">
        <w:rPr>
          <w:rFonts w:eastAsia="TimesNewRoman"/>
          <w:sz w:val="22"/>
          <w:szCs w:val="22"/>
        </w:rPr>
        <w:t>jirovecii) a reaktivácia infekcií (ako sú HBV, CMV) (pozri časť 4.8).</w:t>
      </w:r>
    </w:p>
    <w:p w:rsidR="00F962A3" w:rsidRDefault="00F962A3" w:rsidP="00F962A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F962A3" w:rsidRPr="00EE6509" w:rsidRDefault="00F962A3" w:rsidP="00F962A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EE6509">
        <w:rPr>
          <w:iCs/>
          <w:sz w:val="22"/>
          <w:szCs w:val="22"/>
          <w:u w:val="single"/>
        </w:rPr>
        <w:t>Herpetická meningoencefalitída</w:t>
      </w:r>
    </w:p>
    <w:p w:rsidR="00F962A3" w:rsidRPr="00EE6509" w:rsidRDefault="00F962A3" w:rsidP="00F962A3">
      <w:pPr>
        <w:autoSpaceDE w:val="0"/>
        <w:autoSpaceDN w:val="0"/>
        <w:adjustRightInd w:val="0"/>
        <w:rPr>
          <w:sz w:val="22"/>
          <w:szCs w:val="22"/>
        </w:rPr>
      </w:pPr>
      <w:r w:rsidRPr="00EE6509">
        <w:rPr>
          <w:sz w:val="22"/>
          <w:szCs w:val="22"/>
        </w:rPr>
        <w:t>V prípadoch po uvedení lieku na trh sa herpetická meningoencefalitída (vrátane smrteľných prípadov)</w:t>
      </w:r>
    </w:p>
    <w:p w:rsidR="00F962A3" w:rsidRPr="00EE6509" w:rsidRDefault="00F962A3" w:rsidP="00F962A3">
      <w:pPr>
        <w:autoSpaceDE w:val="0"/>
        <w:autoSpaceDN w:val="0"/>
        <w:adjustRightInd w:val="0"/>
        <w:rPr>
          <w:sz w:val="22"/>
          <w:szCs w:val="22"/>
        </w:rPr>
      </w:pPr>
      <w:r w:rsidRPr="00EE6509">
        <w:rPr>
          <w:sz w:val="22"/>
          <w:szCs w:val="22"/>
        </w:rPr>
        <w:t>pozorovala u pacientov dostávajúcich TMZ v kombinácii s rádioterapiou, vrátane prípadov súbežného</w:t>
      </w:r>
    </w:p>
    <w:p w:rsidR="00237661" w:rsidRPr="00EE6509" w:rsidRDefault="00F962A3" w:rsidP="00F962A3">
      <w:pPr>
        <w:rPr>
          <w:i/>
          <w:iCs/>
          <w:sz w:val="22"/>
          <w:szCs w:val="22"/>
        </w:rPr>
      </w:pPr>
      <w:r w:rsidRPr="00EE6509">
        <w:rPr>
          <w:sz w:val="22"/>
          <w:szCs w:val="22"/>
        </w:rPr>
        <w:t>podávania steroidov.</w:t>
      </w:r>
    </w:p>
    <w:p w:rsidR="00F962A3" w:rsidRDefault="00F962A3">
      <w:pPr>
        <w:rPr>
          <w:i/>
          <w:iCs/>
          <w:sz w:val="22"/>
          <w:szCs w:val="22"/>
        </w:rPr>
      </w:pPr>
    </w:p>
    <w:p w:rsidR="00CD258C" w:rsidRPr="00EE6509" w:rsidRDefault="005F36CB">
      <w:pPr>
        <w:rPr>
          <w:sz w:val="22"/>
          <w:szCs w:val="22"/>
          <w:u w:val="single"/>
        </w:rPr>
      </w:pPr>
      <w:r w:rsidRPr="00EE6509">
        <w:rPr>
          <w:i/>
          <w:iCs/>
          <w:sz w:val="22"/>
          <w:szCs w:val="22"/>
          <w:u w:val="single"/>
        </w:rPr>
        <w:t xml:space="preserve">Pneumocystis jirovecii </w:t>
      </w:r>
      <w:r w:rsidRPr="00EE6509">
        <w:rPr>
          <w:sz w:val="22"/>
          <w:szCs w:val="22"/>
          <w:u w:val="single"/>
        </w:rPr>
        <w:t>pneumónia</w:t>
      </w:r>
    </w:p>
    <w:p w:rsidR="00CD258C" w:rsidRDefault="00CD258C">
      <w:pPr>
        <w:pStyle w:val="Default"/>
        <w:rPr>
          <w:color w:val="auto"/>
          <w:sz w:val="22"/>
          <w:szCs w:val="22"/>
        </w:rPr>
      </w:pPr>
      <w:r w:rsidRPr="005F36CB">
        <w:rPr>
          <w:color w:val="auto"/>
          <w:sz w:val="22"/>
          <w:szCs w:val="22"/>
        </w:rPr>
        <w:t>Ukázalo sa, že pacienti, ktorí v pilotnej štúdii dostávali súbežne TMZ a RT počas predĺženého 42-</w:t>
      </w:r>
      <w:r w:rsidRPr="005F36CB">
        <w:rPr>
          <w:color w:val="auto"/>
          <w:sz w:val="22"/>
          <w:szCs w:val="22"/>
        </w:rPr>
        <w:lastRenderedPageBreak/>
        <w:t xml:space="preserve">dňového dávkovania, boli zvlášť ohrození vývojom pneumónie vyvolanej </w:t>
      </w:r>
      <w:r w:rsidRPr="005F36CB">
        <w:rPr>
          <w:i/>
          <w:iCs/>
          <w:color w:val="auto"/>
          <w:sz w:val="22"/>
          <w:szCs w:val="22"/>
        </w:rPr>
        <w:t xml:space="preserve">Pneumocystis </w:t>
      </w:r>
      <w:r w:rsidR="005F36CB">
        <w:rPr>
          <w:i/>
          <w:iCs/>
          <w:sz w:val="22"/>
          <w:szCs w:val="22"/>
        </w:rPr>
        <w:t xml:space="preserve">jirovecii </w:t>
      </w:r>
      <w:r w:rsidRPr="005F36CB">
        <w:rPr>
          <w:color w:val="auto"/>
          <w:sz w:val="22"/>
          <w:szCs w:val="22"/>
        </w:rPr>
        <w:t>(PCP). Z tohto dôvodu sa u všetkých pacientov, ktorí dostávajú súbežne TMZ a RT počas 42-dňovej schémy (s maximom 49 dní), vyžaduje profylaxia proti PCP, a to bez ohľadu na počet lymfocytov. Ak sa objaví lymfopénia, pacienti pokračujú v profylaxii až do úpravy lymfopénie na stupeň ≤ 1.</w:t>
      </w:r>
    </w:p>
    <w:p w:rsidR="00237661" w:rsidRDefault="00237661">
      <w:pPr>
        <w:pStyle w:val="CM69"/>
        <w:rPr>
          <w:sz w:val="22"/>
          <w:szCs w:val="22"/>
        </w:rPr>
      </w:pPr>
    </w:p>
    <w:p w:rsidR="00CD258C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Pri podávaní TMZ počas dlhšej dávkovacej schémy môže byť výskyt PCP vyšší. Avšak, všetci pacienti, ktorí dostávajú TMZ, najmä pacienti, ktorí dostávajú steroidy, musia byť starostlivo sledovaní, či sa u nich nevyvinie PCP, bez ohľadu na schému.</w:t>
      </w:r>
      <w:r w:rsidR="005F36CB">
        <w:rPr>
          <w:sz w:val="22"/>
          <w:szCs w:val="22"/>
        </w:rPr>
        <w:t xml:space="preserve"> U pacientov užívajúcich TMZ najmä v kombinácii s dexametazónom alebo s inými steroidmi, sa hlásili fatálne prípady respiračného zlyhania.</w:t>
      </w:r>
    </w:p>
    <w:p w:rsidR="005F36CB" w:rsidRDefault="005F36CB" w:rsidP="005F36CB">
      <w:pPr>
        <w:pStyle w:val="Default"/>
      </w:pPr>
    </w:p>
    <w:p w:rsidR="00237661" w:rsidRPr="00EE6509" w:rsidRDefault="00237661" w:rsidP="0023766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E6509">
        <w:rPr>
          <w:rFonts w:eastAsia="TimesNewRoman"/>
          <w:sz w:val="22"/>
          <w:szCs w:val="22"/>
          <w:u w:val="single"/>
        </w:rPr>
        <w:t>HBV</w:t>
      </w:r>
    </w:p>
    <w:p w:rsidR="00237661" w:rsidRPr="00333D11" w:rsidRDefault="00237661" w:rsidP="0023766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33D11">
        <w:rPr>
          <w:rFonts w:eastAsia="TimesNewRoman"/>
          <w:sz w:val="22"/>
          <w:szCs w:val="22"/>
        </w:rPr>
        <w:t>Hlásila sa hepatitída vyvolaná reaktiváciou vírusu hepatitídy B (HBV), v niektorých prípadoch</w:t>
      </w:r>
    </w:p>
    <w:p w:rsidR="00237661" w:rsidRPr="00333D11" w:rsidRDefault="00237661" w:rsidP="0023766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33D11">
        <w:rPr>
          <w:rFonts w:eastAsia="TimesNewRoman"/>
          <w:sz w:val="22"/>
          <w:szCs w:val="22"/>
        </w:rPr>
        <w:t>končiaca smrťou. Liečba pacientov so sérologickou pozitivitou hepatitídy B (vrátane tých s aktívnym</w:t>
      </w:r>
    </w:p>
    <w:p w:rsidR="00237661" w:rsidRPr="00333D11" w:rsidRDefault="00237661" w:rsidP="0023766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33D11">
        <w:rPr>
          <w:rFonts w:eastAsia="TimesNewRoman"/>
          <w:sz w:val="22"/>
          <w:szCs w:val="22"/>
        </w:rPr>
        <w:t>ochorením) má byť pred začatím konzultovaná s hepatológmi. Počas liečby majú byť pacienti</w:t>
      </w:r>
    </w:p>
    <w:p w:rsidR="00237661" w:rsidRDefault="00237661" w:rsidP="00237661">
      <w:pPr>
        <w:pStyle w:val="Default"/>
        <w:rPr>
          <w:rFonts w:eastAsia="TimesNewRoman"/>
          <w:sz w:val="22"/>
          <w:szCs w:val="22"/>
        </w:rPr>
      </w:pPr>
      <w:r w:rsidRPr="00333D11">
        <w:rPr>
          <w:rFonts w:eastAsia="TimesNewRoman"/>
          <w:sz w:val="22"/>
          <w:szCs w:val="22"/>
        </w:rPr>
        <w:t>sledovaní a primerane liečení.</w:t>
      </w:r>
    </w:p>
    <w:p w:rsidR="00237661" w:rsidRPr="00DF03CF" w:rsidRDefault="00237661" w:rsidP="00237661">
      <w:pPr>
        <w:pStyle w:val="Default"/>
      </w:pPr>
    </w:p>
    <w:p w:rsidR="005F36CB" w:rsidRPr="00EE6509" w:rsidRDefault="005F36CB" w:rsidP="005F36CB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EE6509">
        <w:rPr>
          <w:color w:val="000000"/>
          <w:sz w:val="22"/>
          <w:szCs w:val="22"/>
          <w:u w:val="single"/>
        </w:rPr>
        <w:t xml:space="preserve">Hepatotoxicita </w:t>
      </w:r>
    </w:p>
    <w:p w:rsidR="005F36CB" w:rsidRPr="005F36CB" w:rsidRDefault="005F36CB" w:rsidP="005F36CB">
      <w:pPr>
        <w:pStyle w:val="Default"/>
      </w:pPr>
      <w:r w:rsidRPr="005F36CB">
        <w:rPr>
          <w:sz w:val="22"/>
          <w:szCs w:val="22"/>
        </w:rPr>
        <w:t>U pacientov liečených TMZ sa hlásilo poškodenie pečene vrátane smrteľného zlyhania pečene (pozri časť 4.8). Pred začiatkom liečby sa má vykonať vyšetrenie východiskového stavu funkcie pečene. V prípade abnormálnych výsledkov majú lekári pred začiatkom liečby temozolomidom zhodnotiť prínos a riziko vrátane možnosti smrteľného zlyhania pečene. U pacientov liečených 42-dňovým liečebným cyklom sa majú vyšetrenia funkcie pečene zopakovať v polovici tohto cyklu. U všetkých pacientov sa vyšetrenia funkcie pečene majú zopakovať po každom liečebnom cykle. U pacientov s výraznými abnormalitami funkcie pečene majú lekári zhodnotiť prínos/riziko pokračovania v liečbe. Toxické účinky na pečeň sa môžu objaviť po niekoľkých týždňoch alebo dlhšom období po poslednej liečbe temozolomidom.</w:t>
      </w:r>
    </w:p>
    <w:p w:rsidR="00CD258C" w:rsidRPr="005F36CB" w:rsidRDefault="00CD258C">
      <w:pPr>
        <w:pStyle w:val="Default"/>
        <w:rPr>
          <w:sz w:val="22"/>
        </w:rPr>
      </w:pPr>
    </w:p>
    <w:p w:rsidR="00CD258C" w:rsidRPr="005F36CB" w:rsidRDefault="00CD258C">
      <w:pPr>
        <w:rPr>
          <w:sz w:val="22"/>
          <w:szCs w:val="22"/>
          <w:u w:val="single"/>
        </w:rPr>
      </w:pPr>
      <w:r w:rsidRPr="005F36CB">
        <w:rPr>
          <w:sz w:val="22"/>
          <w:szCs w:val="22"/>
          <w:u w:val="single"/>
        </w:rPr>
        <w:t>Malignity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Veľmi zriedkavo sa hlásili aj prípady myelodysplastického syndrómu a sekundárnych malignít vrátane myeloidnej leukémie (pozri časť 4.8).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Antiemetická liečba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S užívaním TMZ sa veľmi často spájajú nevoľnosť a vracanie.</w:t>
      </w: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Antiemetickú liečbu možno podávať pred alebo následne po podaní TMZ.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  <w:u w:val="single"/>
        </w:rPr>
        <w:t xml:space="preserve">Dospelí pacienti s novodiagnostikovaným multiformným glioblastómom 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Antiemetická profylaxia sa odporúča pred úvodnou dávkou súbežnej fázy a dôrazne sa odporúča počas fázy monoterapie.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  <w:u w:val="single"/>
        </w:rPr>
        <w:t>Pacienti s rekurentným alebo progredujúcim malígnym gliómom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U pacientov, ktorí v predchádzajúcich liečebných cykloch trpeli závažným vracaním (3. alebo 4. stupňa), sa môže vyžadovať antiemetická liečba.</w:t>
      </w:r>
    </w:p>
    <w:p w:rsidR="00E91276" w:rsidRDefault="00E91276" w:rsidP="00E91276">
      <w:pPr>
        <w:pStyle w:val="Default"/>
      </w:pPr>
    </w:p>
    <w:p w:rsidR="00CD258C" w:rsidRPr="005F36CB" w:rsidRDefault="00CD258C">
      <w:pPr>
        <w:pStyle w:val="CM4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Laboratórne parametre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5F36CB">
      <w:pPr>
        <w:pStyle w:val="CM69"/>
        <w:rPr>
          <w:sz w:val="22"/>
          <w:szCs w:val="22"/>
        </w:rPr>
      </w:pPr>
      <w:r>
        <w:rPr>
          <w:sz w:val="22"/>
          <w:szCs w:val="22"/>
        </w:rPr>
        <w:t xml:space="preserve">U pacientov liečených TMZ sa môže objaviť myelosuspresia vrátane predĺženej pancytopénie, ktorá môže viesť k aplastickej anémii, ktorá v niektorých prípadoch viedla k fatálnemu koncu. Expozícia súbežne podávaným liekom spojeným s aplastickou anémiou vrátane karbamazepínu, fenytoínu a sulfametoxazolu/trimetoprimu v niektorých prípadoch komplikovala posúdenie. </w:t>
      </w:r>
      <w:r w:rsidR="00CD258C" w:rsidRPr="005F36CB">
        <w:rPr>
          <w:sz w:val="22"/>
          <w:szCs w:val="22"/>
        </w:rPr>
        <w:t xml:space="preserve">Pred </w:t>
      </w:r>
      <w:r>
        <w:rPr>
          <w:sz w:val="22"/>
          <w:szCs w:val="22"/>
        </w:rPr>
        <w:t xml:space="preserve">začatím </w:t>
      </w:r>
      <w:r w:rsidR="00CD258C" w:rsidRPr="005F36CB">
        <w:rPr>
          <w:sz w:val="22"/>
          <w:szCs w:val="22"/>
        </w:rPr>
        <w:t>liečby je potrebné, aby laboratórne parametre dosahovali nasledovné hodnoty: ANC ≥ 1,5 x 10</w:t>
      </w:r>
      <w:r w:rsidR="00CD258C" w:rsidRPr="005F36CB">
        <w:rPr>
          <w:sz w:val="22"/>
          <w:szCs w:val="22"/>
          <w:vertAlign w:val="superscript"/>
        </w:rPr>
        <w:t>9</w:t>
      </w:r>
      <w:r w:rsidR="00CD258C" w:rsidRPr="005F36CB">
        <w:rPr>
          <w:sz w:val="22"/>
          <w:szCs w:val="22"/>
        </w:rPr>
        <w:t>/l a počet trombocytov ≥ 100 x 10</w:t>
      </w:r>
      <w:r w:rsidR="00CD258C" w:rsidRPr="005F36CB">
        <w:rPr>
          <w:sz w:val="22"/>
          <w:szCs w:val="22"/>
          <w:vertAlign w:val="superscript"/>
        </w:rPr>
        <w:t>9</w:t>
      </w:r>
      <w:r w:rsidR="00CD258C" w:rsidRPr="005F36CB">
        <w:rPr>
          <w:sz w:val="22"/>
          <w:szCs w:val="22"/>
        </w:rPr>
        <w:t xml:space="preserve">/l. 22. deň liečby (21 dní po prvej dávke) alebo v priebehu 48 hodín od tohto </w:t>
      </w:r>
      <w:r w:rsidR="00CD258C" w:rsidRPr="005F36CB">
        <w:rPr>
          <w:sz w:val="22"/>
          <w:szCs w:val="22"/>
        </w:rPr>
        <w:lastRenderedPageBreak/>
        <w:t>dňa a potom raz týždenne sa má vyšetriť úplný krvný obraz, až pokým ANC &gt; 1,5 x 10</w:t>
      </w:r>
      <w:r w:rsidR="00CD258C" w:rsidRPr="005F36CB">
        <w:rPr>
          <w:sz w:val="22"/>
          <w:szCs w:val="22"/>
          <w:vertAlign w:val="superscript"/>
        </w:rPr>
        <w:t>9</w:t>
      </w:r>
      <w:r w:rsidR="00CD258C" w:rsidRPr="005F36CB">
        <w:rPr>
          <w:sz w:val="22"/>
          <w:szCs w:val="22"/>
        </w:rPr>
        <w:t>/l a počet trombocytov &gt; 100 x 10</w:t>
      </w:r>
      <w:r w:rsidR="00CD258C" w:rsidRPr="005F36CB">
        <w:rPr>
          <w:sz w:val="22"/>
          <w:szCs w:val="22"/>
          <w:vertAlign w:val="superscript"/>
        </w:rPr>
        <w:t>9</w:t>
      </w:r>
      <w:r w:rsidR="00CD258C" w:rsidRPr="005F36CB">
        <w:rPr>
          <w:sz w:val="22"/>
          <w:szCs w:val="22"/>
        </w:rPr>
        <w:t>/l. Ak v priebehu ktoréhokoľvek cyklu poklesne ANC na &lt; 1,0 x 10</w:t>
      </w:r>
      <w:r w:rsidR="00CD258C" w:rsidRPr="005F36CB">
        <w:rPr>
          <w:sz w:val="22"/>
          <w:szCs w:val="22"/>
          <w:vertAlign w:val="superscript"/>
        </w:rPr>
        <w:t>9</w:t>
      </w:r>
      <w:r w:rsidR="00CD258C" w:rsidRPr="005F36CB">
        <w:rPr>
          <w:sz w:val="22"/>
          <w:szCs w:val="22"/>
        </w:rPr>
        <w:t>/l alebo je počet trombocytov &lt; 50 x 10</w:t>
      </w:r>
      <w:r w:rsidR="00CD258C" w:rsidRPr="005F36CB">
        <w:rPr>
          <w:sz w:val="22"/>
          <w:szCs w:val="22"/>
          <w:vertAlign w:val="superscript"/>
        </w:rPr>
        <w:t>9</w:t>
      </w:r>
      <w:r w:rsidR="00CD258C" w:rsidRPr="005F36CB">
        <w:rPr>
          <w:sz w:val="22"/>
          <w:szCs w:val="22"/>
        </w:rPr>
        <w:t>/l, dávka sa má v nasledujúcom cykle redukovať o jeden stupeň (pozri časť 4.2). Stupne dávkovania sú 100 mg/m</w:t>
      </w:r>
      <w:r w:rsidR="00CD258C" w:rsidRPr="005F36CB">
        <w:rPr>
          <w:sz w:val="22"/>
          <w:szCs w:val="22"/>
          <w:vertAlign w:val="superscript"/>
        </w:rPr>
        <w:t>2</w:t>
      </w:r>
      <w:r w:rsidR="00CD258C" w:rsidRPr="005F36CB">
        <w:rPr>
          <w:sz w:val="22"/>
          <w:szCs w:val="22"/>
        </w:rPr>
        <w:t>, 150 mg/m</w:t>
      </w:r>
      <w:r w:rsidR="00CD258C" w:rsidRPr="005F36CB">
        <w:rPr>
          <w:sz w:val="22"/>
          <w:szCs w:val="22"/>
          <w:vertAlign w:val="superscript"/>
        </w:rPr>
        <w:t>2</w:t>
      </w:r>
      <w:r w:rsidR="00CD258C" w:rsidRPr="005F36CB">
        <w:rPr>
          <w:position w:val="9"/>
          <w:sz w:val="22"/>
          <w:szCs w:val="22"/>
          <w:vertAlign w:val="superscript"/>
        </w:rPr>
        <w:t xml:space="preserve"> </w:t>
      </w:r>
      <w:r w:rsidR="00CD258C" w:rsidRPr="005F36CB">
        <w:rPr>
          <w:sz w:val="22"/>
          <w:szCs w:val="22"/>
        </w:rPr>
        <w:t>a 200 mg/m</w:t>
      </w:r>
      <w:r w:rsidR="00CD258C" w:rsidRPr="005F36CB">
        <w:rPr>
          <w:sz w:val="22"/>
          <w:szCs w:val="22"/>
          <w:vertAlign w:val="superscript"/>
        </w:rPr>
        <w:t>2</w:t>
      </w:r>
      <w:r w:rsidR="00CD258C" w:rsidRPr="005F36CB">
        <w:rPr>
          <w:sz w:val="22"/>
          <w:szCs w:val="22"/>
        </w:rPr>
        <w:t>.</w:t>
      </w: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Najnižšia odporúčaná dávka je 100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>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1C45F3">
      <w:pPr>
        <w:pStyle w:val="CM69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Pediatrická populácia </w:t>
      </w: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 xml:space="preserve">Nie sú nijaké klinické skúsenosti s používaním TMZ u detí mladších ako 3 roky. Skúsenosti so staršími deťmi a dospievajúcimi sú veľmi obmedzené (pozri časti </w:t>
      </w:r>
      <w:smartTag w:uri="urn:schemas-microsoft-com:office:smarttags" w:element="metricconverter">
        <w:smartTagPr>
          <w:attr w:name="ProductID" w:val="4.2 a"/>
        </w:smartTagPr>
        <w:r w:rsidRPr="005F36CB">
          <w:rPr>
            <w:sz w:val="22"/>
            <w:szCs w:val="22"/>
          </w:rPr>
          <w:t>4.2 a</w:t>
        </w:r>
      </w:smartTag>
      <w:r w:rsidRPr="005F36CB">
        <w:rPr>
          <w:sz w:val="22"/>
          <w:szCs w:val="22"/>
        </w:rPr>
        <w:t xml:space="preserve"> 5.1).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Starší pacienti (&gt; 70 rokov)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Zdá sa, že starší pacienti sú oproti mladším pacientom vo vyššej miere ohrození neutropéniou a trombocytopéniou. Preto sa má starším pacientom pri podaní TMZ venovať zvláštna starostlivosť.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Pacienti mužského pohlavia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Mužov, ktorí sa majú liečiť TMZ treba poučiť, aby nesplodili dieťa až 6 mesiacov po užití poslednej dávky a aby sa ešte pred liečbou poradili o možnosti konzervácie spermy zmrazením (pozri časť 4.6).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rPr>
          <w:sz w:val="22"/>
          <w:szCs w:val="22"/>
          <w:u w:val="single"/>
        </w:rPr>
      </w:pPr>
      <w:r w:rsidRPr="005F36CB">
        <w:rPr>
          <w:sz w:val="22"/>
          <w:szCs w:val="22"/>
          <w:u w:val="single"/>
        </w:rPr>
        <w:t>Laktóza</w:t>
      </w:r>
    </w:p>
    <w:p w:rsidR="00CD258C" w:rsidRPr="005F36CB" w:rsidRDefault="00CD258C">
      <w:pPr>
        <w:rPr>
          <w:sz w:val="22"/>
          <w:szCs w:val="22"/>
        </w:rPr>
      </w:pPr>
    </w:p>
    <w:p w:rsidR="00CD258C" w:rsidRDefault="00CD258C">
      <w:pPr>
        <w:rPr>
          <w:sz w:val="22"/>
          <w:szCs w:val="22"/>
        </w:rPr>
      </w:pPr>
      <w:r w:rsidRPr="005F36CB">
        <w:rPr>
          <w:sz w:val="22"/>
          <w:szCs w:val="22"/>
        </w:rPr>
        <w:t xml:space="preserve">Tento liek obsahuje laktózu. Pacienti so zriedkavými dedičnými problémami galaktózovej intolerancie, </w:t>
      </w:r>
      <w:r w:rsidR="00F962A3">
        <w:rPr>
          <w:sz w:val="22"/>
          <w:szCs w:val="22"/>
        </w:rPr>
        <w:t xml:space="preserve">celkovým </w:t>
      </w:r>
      <w:r w:rsidRPr="005F36CB">
        <w:rPr>
          <w:sz w:val="22"/>
          <w:szCs w:val="22"/>
        </w:rPr>
        <w:t>deficit</w:t>
      </w:r>
      <w:r w:rsidR="00F962A3">
        <w:rPr>
          <w:sz w:val="22"/>
          <w:szCs w:val="22"/>
        </w:rPr>
        <w:t>om</w:t>
      </w:r>
      <w:r w:rsidRPr="005F36CB">
        <w:rPr>
          <w:sz w:val="22"/>
          <w:szCs w:val="22"/>
        </w:rPr>
        <w:t xml:space="preserve"> laktázy alebo glukózovo-galaktózov</w:t>
      </w:r>
      <w:r w:rsidR="00F962A3">
        <w:rPr>
          <w:sz w:val="22"/>
          <w:szCs w:val="22"/>
        </w:rPr>
        <w:t>ou</w:t>
      </w:r>
      <w:r w:rsidRPr="005F36CB">
        <w:rPr>
          <w:sz w:val="22"/>
          <w:szCs w:val="22"/>
        </w:rPr>
        <w:t xml:space="preserve"> malabsorpci</w:t>
      </w:r>
      <w:r w:rsidR="00F962A3">
        <w:rPr>
          <w:sz w:val="22"/>
          <w:szCs w:val="22"/>
        </w:rPr>
        <w:t>ou</w:t>
      </w:r>
      <w:r w:rsidRPr="005F36CB">
        <w:rPr>
          <w:sz w:val="22"/>
          <w:szCs w:val="22"/>
        </w:rPr>
        <w:t xml:space="preserve"> nesmú užívať tento liek.</w:t>
      </w:r>
    </w:p>
    <w:p w:rsidR="00CD258C" w:rsidRPr="005F36CB" w:rsidRDefault="00F962A3">
      <w:pPr>
        <w:rPr>
          <w:sz w:val="22"/>
          <w:szCs w:val="22"/>
        </w:rPr>
      </w:pPr>
      <w:r w:rsidRPr="00EE6509">
        <w:rPr>
          <w:sz w:val="22"/>
          <w:szCs w:val="22"/>
        </w:rPr>
        <w:t>Tento liek obsahuje menej ako 1 mmol sodíka</w:t>
      </w:r>
      <w:r>
        <w:rPr>
          <w:sz w:val="22"/>
          <w:szCs w:val="22"/>
        </w:rPr>
        <w:t xml:space="preserve"> </w:t>
      </w:r>
      <w:r w:rsidRPr="00EE6509">
        <w:rPr>
          <w:sz w:val="22"/>
          <w:szCs w:val="22"/>
        </w:rPr>
        <w:t>(23 mg) v</w:t>
      </w:r>
      <w:r>
        <w:rPr>
          <w:sz w:val="22"/>
          <w:szCs w:val="22"/>
        </w:rPr>
        <w:t> tvrdej kapsule</w:t>
      </w:r>
      <w:r w:rsidRPr="00EE6509">
        <w:rPr>
          <w:sz w:val="22"/>
          <w:szCs w:val="22"/>
        </w:rPr>
        <w:t>, t.j. v podstate zanedbateľné množstvo</w:t>
      </w:r>
      <w:r>
        <w:rPr>
          <w:sz w:val="22"/>
          <w:szCs w:val="22"/>
        </w:rPr>
        <w:t xml:space="preserve"> </w:t>
      </w:r>
      <w:r w:rsidRPr="00EE6509">
        <w:rPr>
          <w:sz w:val="22"/>
          <w:szCs w:val="22"/>
        </w:rPr>
        <w:t>sodíka.</w:t>
      </w:r>
      <w:r>
        <w:rPr>
          <w:sz w:val="22"/>
          <w:szCs w:val="22"/>
        </w:rPr>
        <w:t xml:space="preserve"> </w:t>
      </w:r>
      <w:r w:rsidR="00CD258C" w:rsidRPr="005F36CB">
        <w:rPr>
          <w:sz w:val="22"/>
          <w:szCs w:val="22"/>
        </w:rPr>
        <w:t>TEMOSTAD 20 mg:</w:t>
      </w:r>
    </w:p>
    <w:p w:rsidR="00CD258C" w:rsidRPr="005F36CB" w:rsidRDefault="00CD258C">
      <w:pPr>
        <w:rPr>
          <w:sz w:val="22"/>
          <w:szCs w:val="22"/>
        </w:rPr>
      </w:pPr>
      <w:r w:rsidRPr="005F36CB">
        <w:rPr>
          <w:sz w:val="22"/>
          <w:szCs w:val="22"/>
        </w:rPr>
        <w:t>Pomocná látka oranžová žlť FCF (E110) obsiahnutá v kapsulách môže vyvolať alergické reakcie.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4.5</w:t>
      </w:r>
      <w:r w:rsidRPr="005F36CB">
        <w:rPr>
          <w:b/>
          <w:bCs/>
          <w:sz w:val="22"/>
          <w:szCs w:val="22"/>
        </w:rPr>
        <w:tab/>
        <w:t>Liekové a iné interakcie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V samostatnej I. fáze štúdie, podávanie TMZ s ranitidínom neovplyvnilo množstvo absorbovaného temozolomidu alebo expozíciu jeho aktívneho metabolitu monometyl-triazenoimidazol-karboxamidu (MTIC).</w:t>
      </w:r>
    </w:p>
    <w:p w:rsidR="00CD258C" w:rsidRPr="005F36CB" w:rsidRDefault="00CD258C">
      <w:pPr>
        <w:pStyle w:val="Default"/>
        <w:rPr>
          <w:sz w:val="22"/>
        </w:rPr>
      </w:pPr>
    </w:p>
    <w:p w:rsidR="00CD258C" w:rsidRPr="005F36CB" w:rsidRDefault="00CD258C">
      <w:pPr>
        <w:pStyle w:val="Default"/>
        <w:rPr>
          <w:color w:val="auto"/>
          <w:sz w:val="22"/>
          <w:szCs w:val="22"/>
        </w:rPr>
      </w:pPr>
      <w:r w:rsidRPr="005F36CB">
        <w:rPr>
          <w:color w:val="auto"/>
          <w:sz w:val="22"/>
          <w:szCs w:val="22"/>
        </w:rPr>
        <w:t xml:space="preserve">Podávanie TMZ s jedlom malo za následok pokles Cmax o 33 % a pokles plochy pod krivkou (AUC) </w:t>
      </w: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o 9 %.</w:t>
      </w: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Keďže nie je možné vylúčiť, že zmeny Cmax sú klinicky signifikantné, TEMOSTAD sa nemá podávať s jedlom.</w:t>
      </w:r>
    </w:p>
    <w:p w:rsidR="00CD258C" w:rsidRPr="005F36CB" w:rsidRDefault="00CD258C">
      <w:pPr>
        <w:pStyle w:val="Default"/>
        <w:rPr>
          <w:sz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Na základe analýzy populačnej farmakokinetiky pozorovanej v skúšaniach II. fázy, súbežné podávanie dexametazónu, prochlórperazínu, fenytoínu, karbamazepínu, ondasetrónu, antagonistov H2 receptorov alebo fenobarbitalu nemení klírens TMZ. Súbežné podávanie s kyselinou valproovou bolo spojené s malým, ale štatisticky významným, poklesom klírensu TMZ.</w:t>
      </w:r>
    </w:p>
    <w:p w:rsidR="00CD258C" w:rsidRPr="005F36CB" w:rsidRDefault="00CD258C">
      <w:pPr>
        <w:pStyle w:val="Default"/>
        <w:rPr>
          <w:sz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Neboli vykonané štúdie, ktoré by zisťovali účinok TMZ na metabolizmus alebo elimináciu iných liekov. Keďže sa však TMZ nepodlieha metabolizmu v pečeni a vykazuje nízku väzbu na bielkoviny, je jeho vplyv na farmakokinetiku iných liekov nepravdepodobný (pozri časť 5.2).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Použitie TMZ v kombinácii s ďalšími myelosupresívnymi látkami môže zvýšiť pravdepodobnosť myelosupresie.</w:t>
      </w:r>
    </w:p>
    <w:p w:rsidR="001C45F3" w:rsidRDefault="001C45F3" w:rsidP="00237661">
      <w:pPr>
        <w:pStyle w:val="Default"/>
      </w:pPr>
    </w:p>
    <w:p w:rsidR="001C45F3" w:rsidRDefault="001C45F3" w:rsidP="00237661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:rsidR="00F962A3" w:rsidRDefault="00F962A3" w:rsidP="00237661">
      <w:pPr>
        <w:pStyle w:val="CM69"/>
        <w:rPr>
          <w:sz w:val="22"/>
          <w:szCs w:val="22"/>
        </w:rPr>
      </w:pPr>
    </w:p>
    <w:p w:rsidR="001C45F3" w:rsidRPr="00237661" w:rsidRDefault="001C45F3" w:rsidP="00237661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 xml:space="preserve">Interakčné štúdie </w:t>
      </w:r>
      <w:r>
        <w:rPr>
          <w:sz w:val="22"/>
          <w:szCs w:val="22"/>
        </w:rPr>
        <w:t>sa uskutočnili len u dospelých.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4.6</w:t>
      </w:r>
      <w:r w:rsidRPr="005F36CB">
        <w:rPr>
          <w:b/>
          <w:bCs/>
          <w:sz w:val="22"/>
          <w:szCs w:val="22"/>
        </w:rPr>
        <w:tab/>
      </w:r>
      <w:r w:rsidR="001C45F3">
        <w:rPr>
          <w:b/>
          <w:bCs/>
          <w:sz w:val="22"/>
          <w:szCs w:val="22"/>
        </w:rPr>
        <w:t>Fertilita, g</w:t>
      </w:r>
      <w:r w:rsidRPr="005F36CB">
        <w:rPr>
          <w:b/>
          <w:bCs/>
          <w:sz w:val="22"/>
          <w:szCs w:val="22"/>
        </w:rPr>
        <w:t>ravidita a laktácia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Gravidita</w:t>
      </w:r>
    </w:p>
    <w:p w:rsidR="00CD258C" w:rsidRPr="005F36CB" w:rsidRDefault="00CD258C">
      <w:pPr>
        <w:pStyle w:val="CM10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10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Nie sú k dispozícií žiadne údaje o použití u gravidných žien. V predklinických štúdiách sa potkanoch a králikoch, ktorí dostávali 150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 TMZ bola dokázaná teratogenita a/alebo fetálna toxicita (pozri časť 5.3). TEMOSTAD sa nemá podávať gravidným ženám. Ak musíte zvažovať </w:t>
      </w:r>
    </w:p>
    <w:p w:rsidR="00CD258C" w:rsidRPr="005F36CB" w:rsidRDefault="00CD258C">
      <w:pPr>
        <w:pStyle w:val="Default"/>
        <w:rPr>
          <w:sz w:val="22"/>
          <w:szCs w:val="22"/>
        </w:rPr>
      </w:pPr>
      <w:r w:rsidRPr="005F36CB">
        <w:rPr>
          <w:sz w:val="22"/>
          <w:szCs w:val="22"/>
        </w:rPr>
        <w:t>použitie v gravidite, oboznámte pacientku o možnom riziku pre plod. Ženám v plodnom veku sa má odporučiť, aby počas užívania TMZ zabránili otehotneniu účinnou antikoncepciou.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EC2B0C">
      <w:pPr>
        <w:pStyle w:val="CM69"/>
        <w:rPr>
          <w:sz w:val="22"/>
          <w:szCs w:val="22"/>
        </w:rPr>
      </w:pPr>
      <w:r>
        <w:rPr>
          <w:sz w:val="22"/>
          <w:szCs w:val="22"/>
          <w:u w:val="single"/>
        </w:rPr>
        <w:t>Dojčenie</w:t>
      </w:r>
    </w:p>
    <w:p w:rsidR="00F962A3" w:rsidRDefault="00F962A3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Nie je známe, či sa TMZ vylučuje do materského mlieka u ľudí; preto sa má dojčenie počas liečby TMZ prerušiť.</w:t>
      </w:r>
    </w:p>
    <w:p w:rsidR="00CD258C" w:rsidRDefault="00CD258C">
      <w:pPr>
        <w:rPr>
          <w:sz w:val="22"/>
          <w:szCs w:val="22"/>
        </w:rPr>
      </w:pPr>
    </w:p>
    <w:p w:rsidR="001C45F3" w:rsidRPr="00EE6509" w:rsidRDefault="001C45F3" w:rsidP="001C45F3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EE6509">
        <w:rPr>
          <w:color w:val="000000"/>
          <w:sz w:val="22"/>
          <w:szCs w:val="22"/>
          <w:u w:val="single"/>
        </w:rPr>
        <w:t xml:space="preserve">Ženy vo fertilnom veku </w:t>
      </w:r>
    </w:p>
    <w:p w:rsidR="001C45F3" w:rsidRDefault="001C45F3" w:rsidP="001C45F3">
      <w:pPr>
        <w:rPr>
          <w:color w:val="000000"/>
          <w:sz w:val="22"/>
          <w:szCs w:val="22"/>
        </w:rPr>
      </w:pPr>
    </w:p>
    <w:p w:rsidR="001C45F3" w:rsidRDefault="001C45F3" w:rsidP="001C45F3">
      <w:pPr>
        <w:rPr>
          <w:color w:val="000000"/>
          <w:sz w:val="22"/>
          <w:szCs w:val="22"/>
        </w:rPr>
      </w:pPr>
      <w:r w:rsidRPr="001C45F3">
        <w:rPr>
          <w:color w:val="000000"/>
          <w:sz w:val="22"/>
          <w:szCs w:val="22"/>
        </w:rPr>
        <w:t>Ženy vo fertilnom veku majú byť poučené, aby používali účinnú antikoncepciu na zabránenie gravidity, pokiaľ užívajú TMZ.</w:t>
      </w:r>
    </w:p>
    <w:p w:rsidR="001C45F3" w:rsidRPr="005F36CB" w:rsidRDefault="001C45F3" w:rsidP="001C45F3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Plodnosť u mužov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TMZ môže mať genotoxické účinky. Preto treba mužov, ktorí sa ním liečia upozorniť, aby počas 6 mesiacov po prijatí poslednej dávky nesplodili dieťa a tiež ich treba informovať o možnosti konzervácie spermy zmrazením, pretože existuje možnosť ireverzibilnej neplodnosti spôsobenej liečbou TMZ.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4.7</w:t>
      </w:r>
      <w:r w:rsidRPr="005F36CB">
        <w:rPr>
          <w:b/>
          <w:bCs/>
          <w:sz w:val="22"/>
          <w:szCs w:val="22"/>
        </w:rPr>
        <w:tab/>
        <w:t>Ovplyvnenie schopnosti viesť vozidlá a obsluhovať stroje</w:t>
      </w:r>
    </w:p>
    <w:p w:rsidR="00CD258C" w:rsidRPr="005F36CB" w:rsidRDefault="00CD258C">
      <w:pPr>
        <w:pStyle w:val="CM10"/>
        <w:spacing w:line="240" w:lineRule="auto"/>
        <w:rPr>
          <w:sz w:val="22"/>
          <w:szCs w:val="22"/>
        </w:rPr>
      </w:pPr>
    </w:p>
    <w:p w:rsidR="00CD258C" w:rsidRPr="005F36CB" w:rsidRDefault="001C45F3">
      <w:pPr>
        <w:pStyle w:val="Default"/>
        <w:rPr>
          <w:sz w:val="22"/>
        </w:rPr>
      </w:pPr>
      <w:r>
        <w:rPr>
          <w:sz w:val="22"/>
          <w:szCs w:val="22"/>
        </w:rPr>
        <w:t>TMZ má malý vplyv na schopnosť viesť vozidlá a obsluhovať stroje vzhľadom na únavu a somnolenciu (pozri časť 4.8).</w:t>
      </w:r>
    </w:p>
    <w:p w:rsidR="00237661" w:rsidRDefault="00237661">
      <w:pPr>
        <w:pStyle w:val="CM69"/>
        <w:tabs>
          <w:tab w:val="left" w:pos="540"/>
        </w:tabs>
        <w:rPr>
          <w:b/>
          <w:bCs/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b/>
          <w:bCs/>
          <w:sz w:val="22"/>
          <w:szCs w:val="22"/>
        </w:rPr>
      </w:pPr>
      <w:r w:rsidRPr="005F36CB">
        <w:rPr>
          <w:b/>
          <w:bCs/>
          <w:sz w:val="22"/>
          <w:szCs w:val="22"/>
        </w:rPr>
        <w:t>4.8</w:t>
      </w:r>
      <w:r w:rsidRPr="005F36CB">
        <w:rPr>
          <w:b/>
          <w:bCs/>
          <w:sz w:val="22"/>
          <w:szCs w:val="22"/>
        </w:rPr>
        <w:tab/>
        <w:t>Nežiaduce účinky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Skúsenosti z klinického skúšania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U pacientov liečených TMZ, či už použitím v kombinácii s RT alebo ako monoterapia s následnou RT pri novodiagnostikovanom multiformnom gliobastóme, alebo ako monoterapii u pacientov s rekurentným alebo progredujúcim gliómom boli veľmi často hlásené podobné nežiaduce reakcie: nauzea, vracanie, zápcha, nechutenstvo, bolesť hlavy a únava. Kŕče boli veľmi často hlásené u pacientov s novodiagnostikovaným multiformným gliobastómom, ktorí sa liečili monoterapiou a vyrážka bola veľmi často hlásená u pacientov s novodiagnostikovaným multiformným gliobastómom, ktorí sa liečili TMZ súbežne s RT aj pri monoterapii a často u pacientov s rekurentným gliómom. Väčšina hematologických nežiaducich reakcií bola hlásená často alebo veľmi často v oboch indikáciách (tabuľky 4 a 5); frekvencia laboratórnych nálezov 3. – 4. stupňa je uvedená po každej tabuľke.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Nežiaduce účinky sú v tabuľkách uvedené v rámci tried orgánových systémov a frekvencie. Skupiny frekvencií sú definované podľa nasledovnej konvencie: veľmi časté (≥ 1/10), časté (≥ 1/100 až &lt; 1/10), menej časté (≥ 1/1 000 až &lt; 1/100)</w:t>
      </w:r>
      <w:r w:rsidR="001C45F3">
        <w:rPr>
          <w:sz w:val="22"/>
          <w:szCs w:val="22"/>
        </w:rPr>
        <w:t>,</w:t>
      </w:r>
      <w:r w:rsidR="001C45F3" w:rsidRPr="001C45F3">
        <w:rPr>
          <w:sz w:val="22"/>
          <w:szCs w:val="22"/>
        </w:rPr>
        <w:t xml:space="preserve"> </w:t>
      </w:r>
      <w:r w:rsidR="001C45F3">
        <w:rPr>
          <w:sz w:val="22"/>
          <w:szCs w:val="22"/>
        </w:rPr>
        <w:t>zriedkavé (≥ 1/10 000 až &lt; 1/1 000), veľmi zriedkavé (&lt; 1/10 000)</w:t>
      </w:r>
      <w:r w:rsidRPr="005F36CB">
        <w:rPr>
          <w:sz w:val="22"/>
          <w:szCs w:val="22"/>
        </w:rPr>
        <w:t>. V rámci jednotlivých skupín frekvencií sú nežiaduce účinky usporiadané v poradí klesajúcej závažnosti.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  <w:u w:val="single"/>
        </w:rPr>
        <w:t>Novodiagnostikovaný multiformný glioblastóm</w:t>
      </w:r>
    </w:p>
    <w:p w:rsidR="00CD258C" w:rsidRPr="005F36CB" w:rsidRDefault="00CD258C">
      <w:pPr>
        <w:pStyle w:val="CM74"/>
        <w:rPr>
          <w:sz w:val="22"/>
          <w:szCs w:val="22"/>
        </w:rPr>
      </w:pPr>
    </w:p>
    <w:p w:rsidR="00CD258C" w:rsidRPr="005F36CB" w:rsidRDefault="00CD258C">
      <w:pPr>
        <w:pStyle w:val="CM74"/>
        <w:rPr>
          <w:sz w:val="22"/>
          <w:szCs w:val="22"/>
        </w:rPr>
      </w:pPr>
      <w:r w:rsidRPr="005F36CB">
        <w:rPr>
          <w:sz w:val="22"/>
          <w:szCs w:val="22"/>
        </w:rPr>
        <w:t>Tabuľka 4 uvádza nežiaduce udalosti vyskytujúce sa pri liečbe u pacientov s novodiagnostikovaným multiformným glioblastómom počas súbežnej fázy liečby a fázy monoterapie.</w:t>
      </w:r>
    </w:p>
    <w:p w:rsidR="00CD258C" w:rsidRPr="005F36CB" w:rsidRDefault="00CD258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728"/>
        <w:gridCol w:w="3388"/>
      </w:tblGrid>
      <w:tr w:rsidR="00CD258C" w:rsidRPr="005F36CB">
        <w:trPr>
          <w:trHeight w:val="669"/>
        </w:trPr>
        <w:tc>
          <w:tcPr>
            <w:tcW w:w="915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iCs/>
                <w:sz w:val="22"/>
                <w:szCs w:val="22"/>
              </w:rPr>
              <w:lastRenderedPageBreak/>
              <w:t>Tabuľka 4. Nežiaduce udalosti, ktoré sa vyskytujú počas súbežnej liečby a monoterapie u pacientov s novodiagnostikovaným multiformným glioblastómom</w:t>
            </w:r>
          </w:p>
        </w:tc>
      </w:tr>
      <w:tr w:rsidR="00CD258C" w:rsidRPr="005F36CB">
        <w:trPr>
          <w:trHeight w:val="4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Trieda orgánového systému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TMZ + súbežná RT</w:t>
            </w:r>
          </w:p>
          <w:p w:rsidR="00CD258C" w:rsidRPr="005F36CB" w:rsidRDefault="00CD25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n = 288*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monoterapia TMZ</w:t>
            </w:r>
          </w:p>
          <w:p w:rsidR="00CD258C" w:rsidRPr="005F36CB" w:rsidRDefault="00CD25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n = 224</w:t>
            </w:r>
          </w:p>
        </w:tc>
      </w:tr>
      <w:tr w:rsidR="00CD258C" w:rsidRPr="005F36CB">
        <w:trPr>
          <w:trHeight w:val="300"/>
        </w:trPr>
        <w:tc>
          <w:tcPr>
            <w:tcW w:w="9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Infekcie a nákazy</w:t>
            </w:r>
          </w:p>
        </w:tc>
      </w:tr>
      <w:tr w:rsidR="00CD258C" w:rsidRPr="005F36CB">
        <w:trPr>
          <w:trHeight w:val="72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infekcia</w:t>
            </w:r>
            <w:r w:rsidRPr="005F36CB">
              <w:rPr>
                <w:i/>
                <w:iCs/>
                <w:sz w:val="22"/>
                <w:szCs w:val="22"/>
              </w:rPr>
              <w:t>, herpes simplex</w:t>
            </w:r>
            <w:r w:rsidRPr="005F36CB">
              <w:rPr>
                <w:sz w:val="22"/>
                <w:szCs w:val="22"/>
              </w:rPr>
              <w:t>, infekcia rany, faryngitída, orálna kandidóza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infekcia, orálna kandidóza</w:t>
            </w:r>
          </w:p>
        </w:tc>
      </w:tr>
      <w:tr w:rsidR="00CD258C" w:rsidRPr="005F36CB">
        <w:trPr>
          <w:trHeight w:val="4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i/>
                <w:iCs/>
                <w:sz w:val="22"/>
                <w:szCs w:val="22"/>
              </w:rPr>
              <w:t>herpes simplex</w:t>
            </w:r>
            <w:r w:rsidRPr="005F36CB">
              <w:rPr>
                <w:sz w:val="22"/>
                <w:szCs w:val="22"/>
              </w:rPr>
              <w:t>, herpes zoster, symptómy podobné chrípke</w:t>
            </w:r>
          </w:p>
        </w:tc>
      </w:tr>
      <w:tr w:rsidR="00CD258C" w:rsidRPr="005F36CB">
        <w:trPr>
          <w:trHeight w:val="380"/>
        </w:trPr>
        <w:tc>
          <w:tcPr>
            <w:tcW w:w="9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krvi a lymfatického systému</w:t>
            </w:r>
          </w:p>
        </w:tc>
      </w:tr>
      <w:tr w:rsidR="00CD258C" w:rsidRPr="005F36CB">
        <w:trPr>
          <w:trHeight w:val="79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neutropénia, trombocytopénia, lymfopénia, leukopénia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febrilná neutropénia, trombocytopénia, anémia, leukopénia</w:t>
            </w:r>
          </w:p>
        </w:tc>
      </w:tr>
      <w:tr w:rsidR="00CD258C" w:rsidRPr="005F36CB">
        <w:trPr>
          <w:trHeight w:val="26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febrilná neutropénia, anémia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lymfopénia, petechie</w:t>
            </w:r>
          </w:p>
        </w:tc>
      </w:tr>
      <w:tr w:rsidR="00CD258C" w:rsidRPr="005F36CB">
        <w:trPr>
          <w:trHeight w:val="412"/>
        </w:trPr>
        <w:tc>
          <w:tcPr>
            <w:tcW w:w="9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endokrinného systému</w:t>
            </w:r>
          </w:p>
        </w:tc>
      </w:tr>
      <w:tr w:rsidR="00CD258C" w:rsidRPr="005F36CB">
        <w:trPr>
          <w:trHeight w:val="24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Cushingoidný stav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Cushingoidný stav</w:t>
            </w:r>
          </w:p>
        </w:tc>
      </w:tr>
      <w:tr w:rsidR="00CD258C" w:rsidRPr="005F36CB">
        <w:trPr>
          <w:trHeight w:val="420"/>
        </w:trPr>
        <w:tc>
          <w:tcPr>
            <w:tcW w:w="9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CD258C" w:rsidRPr="005F36CB">
        <w:trPr>
          <w:trHeight w:val="31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anorexia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anorexia</w:t>
            </w:r>
          </w:p>
        </w:tc>
      </w:tr>
      <w:tr w:rsidR="00CD258C" w:rsidRPr="005F36CB">
        <w:trPr>
          <w:trHeight w:val="30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hyperglykémia, pokles hmotnosti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pokles hmotnosti</w:t>
            </w:r>
          </w:p>
        </w:tc>
      </w:tr>
      <w:tr w:rsidR="00CD258C" w:rsidRPr="005F36CB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hypokaliémia, zvýšenie alkalickej fosfatázy, zvýšenie hmotnosti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hyperglykémia, zvýšenie hmotnosti</w:t>
            </w:r>
          </w:p>
        </w:tc>
      </w:tr>
      <w:tr w:rsidR="00CD258C" w:rsidRPr="005F36CB">
        <w:trPr>
          <w:trHeight w:val="467"/>
        </w:trPr>
        <w:tc>
          <w:tcPr>
            <w:tcW w:w="9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Psychické poruchy</w:t>
            </w:r>
          </w:p>
        </w:tc>
      </w:tr>
      <w:tr w:rsidR="00CD258C" w:rsidRPr="005F36CB">
        <w:trPr>
          <w:trHeight w:val="5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úzkosť, emočná labilita, insomnia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úzkosť, depresia, emočná labilita, insomnia</w:t>
            </w:r>
          </w:p>
        </w:tc>
      </w:tr>
      <w:tr w:rsidR="00CD258C" w:rsidRPr="005F36CB">
        <w:trPr>
          <w:trHeight w:val="697"/>
        </w:trPr>
        <w:tc>
          <w:tcPr>
            <w:tcW w:w="20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agitácia, apatia, porucha správania, depresia, halucinácie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halucinácie, strata pamäti</w:t>
            </w:r>
          </w:p>
        </w:tc>
      </w:tr>
      <w:tr w:rsidR="00CD258C" w:rsidRPr="005F36CB">
        <w:trPr>
          <w:trHeight w:val="385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4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bolesť hlavy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kŕče, bolesť hlavy</w:t>
            </w:r>
          </w:p>
        </w:tc>
      </w:tr>
      <w:tr w:rsidR="00CD258C" w:rsidRPr="005F36CB">
        <w:trPr>
          <w:trHeight w:val="179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kŕče, znížené vedomie, somnolencia, afázia, porucha rovnováhy, závrat, zmätenosť, zhoršená pamäť, zhoršená koncentrácia, neuropatia, parestézia, porucha reči, tras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hemiparéza, afázia, porucha rovnováhy, somnolencia, zmätenosť, závrat, zhoršená pamäť, zhoršená koncentrácia, dysfázia, neurologická porucha (NOS), neuropatia, periférna neuropatia, parestézia, porucha reči, tras</w:t>
            </w:r>
          </w:p>
        </w:tc>
      </w:tr>
      <w:tr w:rsidR="00CD258C" w:rsidRPr="005F36CB">
        <w:trPr>
          <w:trHeight w:val="136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status epilepticus, extrapyramidálna porucha, hemiparéza, ataxia, kognitívna porucha, dysfázia, nezvyčajná chôdza, hyperestézia, hypoestézia, neurologická porucha (NOS), periférna neuropatia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hemiplégia, ataxia, nezvyčajná koordinácia, nezvyčajná chôdza, hyperestézia, senzorická porucha</w:t>
            </w:r>
          </w:p>
        </w:tc>
      </w:tr>
      <w:tr w:rsidR="00CD258C" w:rsidRPr="005F36CB">
        <w:trPr>
          <w:trHeight w:val="385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52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rozmazané videnie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výpadok v zornom poli, rozmazané videnie, diplopia</w:t>
            </w:r>
          </w:p>
        </w:tc>
      </w:tr>
      <w:tr w:rsidR="00CD258C" w:rsidRPr="005F36CB">
        <w:trPr>
          <w:trHeight w:val="72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hemianopia, znížená zraková ostrosť, porucha zraku, výpadok v zornom poli, bolesť oka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znížená zraková ostrosť, bolesť oka, suché oči</w:t>
            </w:r>
          </w:p>
        </w:tc>
      </w:tr>
      <w:tr w:rsidR="00CD258C" w:rsidRPr="005F36CB">
        <w:trPr>
          <w:trHeight w:val="507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lastRenderedPageBreak/>
              <w:t>Poruchy ucha a labyrintu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41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porucha sluchu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porucha sluchu, tinitus</w:t>
            </w:r>
          </w:p>
        </w:tc>
      </w:tr>
      <w:tr w:rsidR="00CD258C" w:rsidRPr="005F36CB">
        <w:trPr>
          <w:trHeight w:val="58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otitis media, tinitus, zvýšená citlivosť sluchu, bolesť ucha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hluchota, vertigo, bolesť ucha</w:t>
            </w:r>
          </w:p>
        </w:tc>
      </w:tr>
      <w:tr w:rsidR="00CD258C" w:rsidRPr="005F36CB">
        <w:trPr>
          <w:trHeight w:val="485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srdca a srdcovej činnosti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3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palpitácie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470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63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krvácanie, edém, edém nohy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krvácanie, hlboká žilová trombóza, edém nohy</w:t>
            </w:r>
          </w:p>
        </w:tc>
      </w:tr>
      <w:tr w:rsidR="00CD258C" w:rsidRPr="005F36CB">
        <w:trPr>
          <w:trHeight w:val="54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mozgové krvácanie, hypertenzia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pľúcna embólia, edém, periférny edém</w:t>
            </w:r>
          </w:p>
        </w:tc>
      </w:tr>
      <w:tr w:rsidR="00CD258C" w:rsidRPr="005F36CB">
        <w:trPr>
          <w:trHeight w:val="532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4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dyspnoe, kašeľ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dyspnoe, kašeľ</w:t>
            </w:r>
          </w:p>
        </w:tc>
      </w:tr>
      <w:tr w:rsidR="00CD258C" w:rsidRPr="005F36CB">
        <w:trPr>
          <w:trHeight w:val="58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pneumónia, infekcia horných dýchacích ciest, nosová kongescia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pneumónia, sínusitída, infekcia horných dýchacích ciest, bronchitída</w:t>
            </w:r>
          </w:p>
        </w:tc>
      </w:tr>
      <w:tr w:rsidR="00CD258C" w:rsidRPr="005F36CB">
        <w:trPr>
          <w:trHeight w:val="490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gastrointestinálneho traktu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49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zápcha, nevoľnosť, vracanie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zápcha, nevoľnosť, vracanie</w:t>
            </w:r>
          </w:p>
        </w:tc>
      </w:tr>
      <w:tr w:rsidR="00CD258C" w:rsidRPr="005F36CB">
        <w:trPr>
          <w:trHeight w:val="72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stomatitída, hnačka, bolesť brucha, dyspepsia, dysfágia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stomatitída, hnačka, dyspepsia, dysfágia, sucho v ústach</w:t>
            </w:r>
          </w:p>
        </w:tc>
      </w:tr>
      <w:tr w:rsidR="00CD258C" w:rsidRPr="005F36CB">
        <w:trPr>
          <w:trHeight w:val="900"/>
        </w:trPr>
        <w:tc>
          <w:tcPr>
            <w:tcW w:w="20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abdominálna distenzia, inkontinencia stolice, gastrointestinálna porucha (NOS), gastroenteritída, hemoroidy</w:t>
            </w:r>
          </w:p>
        </w:tc>
      </w:tr>
      <w:tr w:rsidR="00CD258C" w:rsidRPr="005F36CB">
        <w:trPr>
          <w:trHeight w:val="412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kože a podkožného tkaniva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50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kožná vyrážka, alopécia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kožná vyrážka, alopécia</w:t>
            </w:r>
          </w:p>
        </w:tc>
      </w:tr>
      <w:tr w:rsidR="00CD258C" w:rsidRPr="005F36CB">
        <w:trPr>
          <w:trHeight w:val="4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dermatitída, suchá koža, erytém, pruritus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suchá koža, pruritus</w:t>
            </w:r>
          </w:p>
        </w:tc>
      </w:tr>
      <w:tr w:rsidR="00CD258C" w:rsidRPr="005F36CB">
        <w:trPr>
          <w:trHeight w:val="7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exfoliácia kože, fotosenzitívna reakcia, nezvyčajná pigmentácia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erytém, nezvyčajná pigmentácia, zvýšené potenie</w:t>
            </w:r>
          </w:p>
        </w:tc>
      </w:tr>
      <w:tr w:rsidR="00CD258C" w:rsidRPr="005F36CB">
        <w:trPr>
          <w:trHeight w:val="402"/>
        </w:trPr>
        <w:tc>
          <w:tcPr>
            <w:tcW w:w="9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kostrovej a svalovej sústavy a spojivového tkaniva</w:t>
            </w:r>
          </w:p>
        </w:tc>
      </w:tr>
      <w:tr w:rsidR="00CD258C" w:rsidRPr="005F36CB">
        <w:trPr>
          <w:trHeight w:val="60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svalová slabosť, artralgia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svalová slabosť, artralgia, muskuloskeletálna bolesť, myalgia</w:t>
            </w:r>
          </w:p>
        </w:tc>
      </w:tr>
      <w:tr w:rsidR="00CD258C" w:rsidRPr="005F36CB">
        <w:trPr>
          <w:trHeight w:val="6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myopatia, bolesť chrbta, muskuloskeletálna bolesť, myalgia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myopatia, bolesť chrbta</w:t>
            </w:r>
          </w:p>
        </w:tc>
      </w:tr>
      <w:tr w:rsidR="00CD258C" w:rsidRPr="005F36CB">
        <w:trPr>
          <w:trHeight w:val="477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4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zvýšené močenie, inkontinencia moču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inkontinencia moču</w:t>
            </w:r>
          </w:p>
        </w:tc>
      </w:tr>
      <w:tr w:rsidR="00CD258C" w:rsidRPr="005F36CB">
        <w:trPr>
          <w:trHeight w:val="53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dyzúria</w:t>
            </w:r>
          </w:p>
        </w:tc>
      </w:tr>
      <w:tr w:rsidR="00CD258C" w:rsidRPr="005F36CB">
        <w:trPr>
          <w:trHeight w:val="435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reprodukčného systému a prsníkov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49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lastRenderedPageBreak/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impotencia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krvácanie z pošvy, menorágia, amenorea, vaginitída, bolesť prsníka</w:t>
            </w:r>
          </w:p>
        </w:tc>
      </w:tr>
      <w:tr w:rsidR="00CD258C" w:rsidRPr="005F36CB">
        <w:trPr>
          <w:trHeight w:val="447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Celkové poruchy a reakcie v mieste podania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53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únava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únava</w:t>
            </w:r>
          </w:p>
        </w:tc>
      </w:tr>
      <w:tr w:rsidR="00CD258C" w:rsidRPr="005F36CB">
        <w:trPr>
          <w:trHeight w:val="96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alergická reakcia, horúčka, radiačné poškodenie, opuch tváre, bolesť, porucha chuti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alergická reakcia, horúčka, radiačné poškodenie, bolesť, porucha chuti</w:t>
            </w:r>
          </w:p>
        </w:tc>
      </w:tr>
      <w:tr w:rsidR="00CD258C" w:rsidRPr="005F36CB">
        <w:trPr>
          <w:trHeight w:val="84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asténia, sčervenenie, návaly tepla, zhoršenie stavu, zimnica, zmena farby jazyka, porucha čuchu, smäd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 w:rsidP="00237661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asténie, opuch tváre, bolesť, zhoršenie stavu, zimnica, porucha zubov</w:t>
            </w:r>
          </w:p>
        </w:tc>
      </w:tr>
      <w:tr w:rsidR="00CD258C" w:rsidRPr="005F36CB">
        <w:trPr>
          <w:trHeight w:val="417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Laboratórne a funkčné vyšetrenia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258C" w:rsidRPr="005F36CB">
        <w:trPr>
          <w:trHeight w:val="53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 xml:space="preserve">Časté: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zvýšenie ALT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zvýšenie ALT</w:t>
            </w:r>
          </w:p>
        </w:tc>
      </w:tr>
      <w:tr w:rsidR="00CD258C" w:rsidRPr="005F36CB">
        <w:trPr>
          <w:trHeight w:val="50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Zvýšenie pečeňových enzýmov, zvýšenie gamma GT, zvýšenie AST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*Pacient randomizovaný do ramena so samotnou RT, dostával TMZ + RT.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</w:rPr>
        <w:t>Laboratórne výsledky</w:t>
      </w:r>
    </w:p>
    <w:p w:rsidR="00CD258C" w:rsidRPr="005F36CB" w:rsidRDefault="00CD258C">
      <w:pPr>
        <w:pStyle w:val="CM4"/>
        <w:spacing w:line="240" w:lineRule="auto"/>
        <w:rPr>
          <w:sz w:val="22"/>
          <w:szCs w:val="22"/>
        </w:rPr>
      </w:pPr>
    </w:p>
    <w:p w:rsidR="00CD258C" w:rsidRPr="005F36CB" w:rsidRDefault="00CD258C">
      <w:pPr>
        <w:pStyle w:val="CM4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Pozorovala sa myelosupresia (neutropénia a trombocytopénia), známa ako dávku limitujúca toxicita pre väčšinu cytotoxických látok, vrátane TMZ. Keď sa skombinovali laboratórne abnormality a nežiaduce udalosti z oboch fáz liečby, súbežnej aj monoterapie, pozorovali sa abnormality neutrofilov 3. alebo 4. stupňa, vrátane neutropenických udalostí, u 8 % pacientov. Abnormality trombocytov 3. alebo 4.stupňa, vrátane trombocytopenických udalostí, sa pozorovali u 14 % pacientov, ktorí dostávali TMZ.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i/>
          <w:sz w:val="22"/>
          <w:szCs w:val="22"/>
          <w:u w:val="single"/>
        </w:rPr>
      </w:pPr>
      <w:r w:rsidRPr="005F36CB">
        <w:rPr>
          <w:i/>
          <w:sz w:val="22"/>
          <w:szCs w:val="22"/>
          <w:u w:val="single"/>
        </w:rPr>
        <w:t>Rekurentný alebo pogredujúci malígny glióm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V klinických skúšaniach boli najčastejšie sa vyskytujúce nežiaduce účinky súvisiace s liečbou gastrointestinálne poruchy, konkrétne nevoľnosť (43 %) a vracanie (36 %). Tieto reakcie dosahovali zvyčajne 1. alebo 2. stupeň (0 – 5 epizód vracania za 24 hodín) a buď spontánne ustúpili, alebo boli ľahko zvládnuté štandardnou antiemetickou liečbou. Incidencia závažnej nevoľnosti a vracania bola 4 %.</w:t>
      </w:r>
    </w:p>
    <w:p w:rsidR="00CD258C" w:rsidRPr="005F36CB" w:rsidRDefault="00CD258C">
      <w:pPr>
        <w:pStyle w:val="CM74"/>
        <w:rPr>
          <w:sz w:val="22"/>
          <w:szCs w:val="22"/>
        </w:rPr>
      </w:pPr>
    </w:p>
    <w:p w:rsidR="00CD258C" w:rsidRPr="005F36CB" w:rsidRDefault="00CD258C">
      <w:pPr>
        <w:pStyle w:val="CM74"/>
        <w:rPr>
          <w:sz w:val="22"/>
          <w:szCs w:val="22"/>
        </w:rPr>
      </w:pPr>
      <w:r w:rsidRPr="005F36CB">
        <w:rPr>
          <w:sz w:val="22"/>
          <w:szCs w:val="22"/>
        </w:rPr>
        <w:t>Nežiaduce účinky zaznamenané počas klinických skúšaní s rekurentným alebo progredujúcim malígnym gliómom a následne po uvedení TEMOSTADu na trh sú zhrnuté v Tabuľke 5.</w:t>
      </w:r>
    </w:p>
    <w:p w:rsidR="00CD258C" w:rsidRPr="005F36CB" w:rsidRDefault="00CD258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762"/>
      </w:tblGrid>
      <w:tr w:rsidR="00CD258C" w:rsidRPr="005F36CB">
        <w:trPr>
          <w:trHeight w:val="422"/>
        </w:trPr>
        <w:tc>
          <w:tcPr>
            <w:tcW w:w="842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i/>
                <w:iCs/>
                <w:sz w:val="22"/>
                <w:szCs w:val="22"/>
              </w:rPr>
              <w:t>Tabuľka 5. Nežiaduce reakcie u pacientov s rekurentným alebo progredujúcim malígnym gliómom</w:t>
            </w:r>
          </w:p>
        </w:tc>
      </w:tr>
      <w:tr w:rsidR="00CD258C" w:rsidRPr="005F36CB">
        <w:trPr>
          <w:trHeight w:val="357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Infekcie a nákazy</w:t>
            </w:r>
          </w:p>
        </w:tc>
      </w:tr>
      <w:tr w:rsidR="00CD258C" w:rsidRPr="005F36CB">
        <w:trPr>
          <w:trHeight w:val="33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Zriedkavé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oportúnne infekcie vrátane PCP</w:t>
            </w:r>
          </w:p>
        </w:tc>
      </w:tr>
      <w:tr w:rsidR="00CD258C" w:rsidRPr="005F36CB">
        <w:trPr>
          <w:trHeight w:val="337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krvi a lymfatického systému</w:t>
            </w:r>
          </w:p>
        </w:tc>
      </w:tr>
      <w:tr w:rsidR="00CD258C" w:rsidRPr="005F36CB">
        <w:trPr>
          <w:trHeight w:val="48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neutropénia alebo lymfopénia (3. – 4. stupeň), trombocytopénia (3. – 4. stupeň)</w:t>
            </w:r>
          </w:p>
        </w:tc>
      </w:tr>
      <w:tr w:rsidR="00CD258C" w:rsidRPr="005F36CB">
        <w:trPr>
          <w:trHeight w:val="25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Menej 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pancytopénia, anémia (3. – 4. stupeň), leukopénia</w:t>
            </w:r>
          </w:p>
        </w:tc>
      </w:tr>
      <w:tr w:rsidR="00CD258C" w:rsidRPr="005F36CB">
        <w:trPr>
          <w:trHeight w:val="327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CD258C" w:rsidRPr="005F36CB">
        <w:trPr>
          <w:trHeight w:val="24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anorexia</w:t>
            </w:r>
          </w:p>
        </w:tc>
      </w:tr>
      <w:tr w:rsidR="00CD258C" w:rsidRPr="005F36CB">
        <w:trPr>
          <w:trHeight w:val="33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Ćasté: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pokles hmotnosti</w:t>
            </w:r>
          </w:p>
        </w:tc>
      </w:tr>
      <w:tr w:rsidR="00CD258C" w:rsidRPr="005F36CB">
        <w:trPr>
          <w:trHeight w:val="340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CD258C" w:rsidRPr="005F36CB">
        <w:trPr>
          <w:trHeight w:val="24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lastRenderedPageBreak/>
              <w:t>Veľmi 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bolesť hlavy</w:t>
            </w:r>
          </w:p>
        </w:tc>
      </w:tr>
      <w:tr w:rsidR="00CD258C" w:rsidRPr="005F36CB">
        <w:trPr>
          <w:trHeight w:val="33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somnolencia, závrat, parestézia</w:t>
            </w:r>
          </w:p>
        </w:tc>
      </w:tr>
      <w:tr w:rsidR="00CD258C" w:rsidRPr="005F36CB">
        <w:trPr>
          <w:trHeight w:val="337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dýchacej sústavy, hrudníka a mediastína</w:t>
            </w:r>
          </w:p>
        </w:tc>
      </w:tr>
      <w:tr w:rsidR="00CD258C" w:rsidRPr="005F36CB">
        <w:trPr>
          <w:trHeight w:val="24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dyspnoe</w:t>
            </w:r>
          </w:p>
        </w:tc>
      </w:tr>
      <w:tr w:rsidR="00CD258C" w:rsidRPr="005F36CB">
        <w:trPr>
          <w:trHeight w:val="415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gastrointestinálneho traktu</w:t>
            </w:r>
          </w:p>
        </w:tc>
      </w:tr>
      <w:tr w:rsidR="00CD258C" w:rsidRPr="005F36CB">
        <w:trPr>
          <w:trHeight w:val="24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vracanie, nevoľnosť, zápcha</w:t>
            </w:r>
          </w:p>
        </w:tc>
      </w:tr>
      <w:tr w:rsidR="00CD258C" w:rsidRPr="005F36CB">
        <w:trPr>
          <w:trHeight w:val="33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hnačka, bolesť brucha, dyspepsia</w:t>
            </w:r>
          </w:p>
        </w:tc>
      </w:tr>
      <w:tr w:rsidR="00CD258C" w:rsidRPr="005F36CB">
        <w:trPr>
          <w:trHeight w:val="350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Poruchy kože a podkožného tkaniva</w:t>
            </w:r>
          </w:p>
        </w:tc>
      </w:tr>
      <w:tr w:rsidR="00CD258C" w:rsidRPr="005F36CB">
        <w:trPr>
          <w:trHeight w:val="24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kožná vyrážka, pruritus, alopécia</w:t>
            </w:r>
          </w:p>
        </w:tc>
      </w:tr>
      <w:tr w:rsidR="00CD258C" w:rsidRPr="005F36CB">
        <w:trPr>
          <w:trHeight w:val="48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zriedkavé: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multiformný erytém, erytrodermia, urtikária, exantém</w:t>
            </w:r>
          </w:p>
        </w:tc>
      </w:tr>
      <w:tr w:rsidR="00CD258C" w:rsidRPr="005F36CB">
        <w:trPr>
          <w:trHeight w:val="367"/>
        </w:trPr>
        <w:tc>
          <w:tcPr>
            <w:tcW w:w="8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b/>
                <w:sz w:val="22"/>
                <w:szCs w:val="22"/>
              </w:rPr>
            </w:pPr>
            <w:r w:rsidRPr="005F36CB">
              <w:rPr>
                <w:b/>
                <w:sz w:val="22"/>
                <w:szCs w:val="22"/>
              </w:rPr>
              <w:t>Celkové poruchy a reakcie v mieste podania</w:t>
            </w:r>
          </w:p>
        </w:tc>
      </w:tr>
      <w:tr w:rsidR="00CD258C" w:rsidRPr="005F36CB">
        <w:trPr>
          <w:trHeight w:val="24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únava</w:t>
            </w:r>
          </w:p>
        </w:tc>
      </w:tr>
      <w:tr w:rsidR="00CD258C" w:rsidRPr="005F36CB">
        <w:trPr>
          <w:trHeight w:val="48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Časté: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horúčka, asténia, zimnica, malátnosť, bolesť, zmena chuti</w:t>
            </w:r>
          </w:p>
        </w:tc>
      </w:tr>
      <w:tr w:rsidR="00CD258C" w:rsidRPr="005F36CB">
        <w:trPr>
          <w:trHeight w:val="34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Veľmi zriedkavé: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D258C" w:rsidRPr="005F36CB" w:rsidRDefault="00CD258C">
            <w:pPr>
              <w:pStyle w:val="Default"/>
              <w:rPr>
                <w:sz w:val="22"/>
                <w:szCs w:val="22"/>
              </w:rPr>
            </w:pPr>
            <w:r w:rsidRPr="005F36CB">
              <w:rPr>
                <w:sz w:val="22"/>
                <w:szCs w:val="22"/>
              </w:rPr>
              <w:t>alergické reakcie vrátane anafylaxie, angioedém</w:t>
            </w:r>
          </w:p>
        </w:tc>
      </w:tr>
    </w:tbl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i/>
          <w:iCs/>
          <w:sz w:val="22"/>
          <w:szCs w:val="22"/>
        </w:rPr>
        <w:t>Laboratórne výsledky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 xml:space="preserve">Trombocytopénia a neutropénia 3. alebo 4. stupňa sa vyskytli u 19 %, resp. 17 % pacientov liečených na malígny glióm. Toto viedlo k hospitalizácii v 8 % a/alebo k prerušeniu liečby TMZ v 4 %. Myelosupresia bola predvídateľná (zvyčajne v priebehu niekoľko prvých cyklov, s najnižšími hodnotami medzi </w:t>
      </w:r>
      <w:smartTag w:uri="urn:schemas-microsoft-com:office:smarttags" w:element="metricconverter">
        <w:smartTagPr>
          <w:attr w:name="ProductID" w:val="21. a"/>
        </w:smartTagPr>
        <w:r w:rsidRPr="005F36CB">
          <w:rPr>
            <w:sz w:val="22"/>
            <w:szCs w:val="22"/>
          </w:rPr>
          <w:t>21. a</w:t>
        </w:r>
      </w:smartTag>
      <w:r w:rsidRPr="005F36CB">
        <w:rPr>
          <w:sz w:val="22"/>
          <w:szCs w:val="22"/>
        </w:rPr>
        <w:t xml:space="preserve"> 28. dňom) a zotavenie nastalo rýchle, zvyčajne behom 1 – 2 týždňov. Výskyt kumulatívnej myelosupresie sa nepozoroval. Prítomnosť trombocytopénie môže zvýšiť riziko krvácania a prítomnosť neutropénie alebo leukopénie môže zvýšiť riziko infekcie.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Default"/>
        <w:rPr>
          <w:i/>
          <w:sz w:val="22"/>
          <w:szCs w:val="22"/>
        </w:rPr>
      </w:pPr>
      <w:r w:rsidRPr="005F36CB">
        <w:rPr>
          <w:i/>
          <w:sz w:val="22"/>
          <w:szCs w:val="22"/>
        </w:rPr>
        <w:t>Pohlavie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4"/>
        <w:spacing w:line="240" w:lineRule="auto"/>
        <w:rPr>
          <w:sz w:val="22"/>
          <w:szCs w:val="22"/>
        </w:rPr>
      </w:pPr>
      <w:r w:rsidRPr="005F36CB">
        <w:rPr>
          <w:sz w:val="22"/>
          <w:szCs w:val="22"/>
        </w:rPr>
        <w:t>Podľa farmakokinetickej analýzy populácie klinického skúšania bola hodnota najnižšieho počtu (NADIR) neutrofilov dostupná u 101 žien a 169 mužov a hodnota najnižšieho počtu krvných doštičiek u 110 žien a 174 mužov. V prvom cykle liečby bol u žien v porovnaní s mužmi vyšší výskyt neutropénie 4. stupňa (ANC &lt; 0,5 x 10</w:t>
      </w:r>
      <w:r w:rsidRPr="005F36CB">
        <w:rPr>
          <w:sz w:val="22"/>
          <w:szCs w:val="22"/>
          <w:vertAlign w:val="superscript"/>
        </w:rPr>
        <w:t>9</w:t>
      </w:r>
      <w:r w:rsidRPr="005F36CB">
        <w:rPr>
          <w:sz w:val="22"/>
          <w:szCs w:val="22"/>
        </w:rPr>
        <w:t>/l), 12 % vs. 5 %, a trombocytopénie 4. stupňa (&lt; 20 x 10</w:t>
      </w:r>
      <w:r w:rsidRPr="005F36CB">
        <w:rPr>
          <w:sz w:val="22"/>
          <w:szCs w:val="22"/>
          <w:vertAlign w:val="superscript"/>
        </w:rPr>
        <w:t>9</w:t>
      </w:r>
      <w:r w:rsidRPr="005F36CB">
        <w:rPr>
          <w:sz w:val="22"/>
          <w:szCs w:val="22"/>
        </w:rPr>
        <w:t xml:space="preserve">/l), 9 % vs. 3 %. V súbore informácií od 400 jedincov s rekurentným gliómom sa v prvom cykle liečby objavila neutropénia 4. stupňa u 8 % žien v porovnaní so 4 % mužov. V štúdii s 288 jedincami s novodiagnostikovaným multiformným gliobastómom sa v prvom cykle liečby objavila neutropénia </w:t>
      </w:r>
    </w:p>
    <w:p w:rsidR="00CD258C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4. stupňa u 3 % žien v porovnaní s 0 % mužov a trombocytopénia 4. stupňa u 1 % žien v porovnaní s 0 % mužov.</w:t>
      </w:r>
    </w:p>
    <w:p w:rsidR="001C45F3" w:rsidRDefault="001C45F3" w:rsidP="00237661">
      <w:pPr>
        <w:pStyle w:val="Default"/>
      </w:pPr>
    </w:p>
    <w:p w:rsidR="001C45F3" w:rsidRPr="00EE6509" w:rsidRDefault="001C45F3" w:rsidP="001C45F3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EE6509">
        <w:rPr>
          <w:color w:val="000000"/>
          <w:sz w:val="22"/>
          <w:szCs w:val="22"/>
          <w:u w:val="single"/>
        </w:rPr>
        <w:t xml:space="preserve">Pediatrická populácia </w:t>
      </w:r>
    </w:p>
    <w:p w:rsidR="0030485C" w:rsidRDefault="0030485C" w:rsidP="00237661">
      <w:pPr>
        <w:pStyle w:val="Default"/>
        <w:rPr>
          <w:sz w:val="22"/>
          <w:szCs w:val="22"/>
        </w:rPr>
      </w:pPr>
    </w:p>
    <w:p w:rsidR="001C45F3" w:rsidRPr="00237661" w:rsidRDefault="001C45F3" w:rsidP="00237661">
      <w:pPr>
        <w:pStyle w:val="Default"/>
      </w:pPr>
      <w:r w:rsidRPr="001C45F3">
        <w:rPr>
          <w:sz w:val="22"/>
          <w:szCs w:val="22"/>
        </w:rPr>
        <w:t>Perorálny TMZ sa skúmal u pediatrických pacientov (vo veku 3-18 rokov) s rekurentným gliómom mozgového kmeňa alebo s rekurentným astrocytómom vysokého stupňa v dávkovacom režime podávanom denne počas 5 dní každých 28 dní. Hoci sú údaje obmedzené, očakáva sa, že znášanlivosť u detí bude rovnaká ako u dospelých. Bezpečnosť TMZ u detí mladších ako 3 roky sa nestanovila.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spacing w:line="238" w:lineRule="atLeast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Skúsenosti po uvedení lieku na trh</w:t>
      </w:r>
    </w:p>
    <w:p w:rsidR="00CD258C" w:rsidRPr="005F36CB" w:rsidRDefault="00CD258C">
      <w:pPr>
        <w:pStyle w:val="CM69"/>
        <w:spacing w:line="238" w:lineRule="atLeast"/>
        <w:rPr>
          <w:sz w:val="22"/>
          <w:szCs w:val="22"/>
        </w:rPr>
      </w:pPr>
    </w:p>
    <w:p w:rsidR="00AF453A" w:rsidRDefault="001C45F3" w:rsidP="002376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Počas expozície po uvedení lieku na trh boli identifikované ďalšie nasledovné závažné nežiaduce reakcie:</w:t>
      </w:r>
    </w:p>
    <w:p w:rsidR="00237661" w:rsidRDefault="00237661" w:rsidP="0023766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4393"/>
      </w:tblGrid>
      <w:tr w:rsidR="00AF453A" w:rsidRPr="00AF453A">
        <w:trPr>
          <w:trHeight w:val="154"/>
        </w:trPr>
        <w:tc>
          <w:tcPr>
            <w:tcW w:w="8786" w:type="dxa"/>
            <w:gridSpan w:val="2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i/>
                <w:iCs/>
                <w:color w:val="000000"/>
                <w:sz w:val="22"/>
                <w:szCs w:val="22"/>
              </w:rPr>
              <w:t xml:space="preserve">Tabuľka 6. Súhrn udalostí hlásených pri temozolomide po uvedení lieku na trh* </w:t>
            </w:r>
          </w:p>
        </w:tc>
      </w:tr>
      <w:tr w:rsidR="00AF453A" w:rsidRPr="00AF453A">
        <w:trPr>
          <w:trHeight w:val="154"/>
        </w:trPr>
        <w:tc>
          <w:tcPr>
            <w:tcW w:w="8786" w:type="dxa"/>
            <w:gridSpan w:val="2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237661" w:rsidRPr="00AF453A">
        <w:trPr>
          <w:trHeight w:val="147"/>
        </w:trPr>
        <w:tc>
          <w:tcPr>
            <w:tcW w:w="8786" w:type="dxa"/>
            <w:gridSpan w:val="2"/>
          </w:tcPr>
          <w:p w:rsidR="00237661" w:rsidRPr="00237661" w:rsidRDefault="00237661" w:rsidP="00AF45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37661">
              <w:rPr>
                <w:rFonts w:eastAsia="TimesNewRoman,Bold"/>
                <w:b/>
                <w:bCs/>
                <w:sz w:val="22"/>
                <w:szCs w:val="22"/>
              </w:rPr>
              <w:t>Infekcie a nákazy</w:t>
            </w:r>
            <w:r w:rsidRPr="00237661">
              <w:rPr>
                <w:rFonts w:eastAsia="TimesNewRoman"/>
                <w:sz w:val="22"/>
                <w:szCs w:val="22"/>
              </w:rPr>
              <w:t>*</w:t>
            </w:r>
          </w:p>
        </w:tc>
      </w:tr>
      <w:tr w:rsidR="00237661" w:rsidRPr="00AF453A" w:rsidTr="00726580">
        <w:trPr>
          <w:trHeight w:val="147"/>
        </w:trPr>
        <w:tc>
          <w:tcPr>
            <w:tcW w:w="4393" w:type="dxa"/>
          </w:tcPr>
          <w:p w:rsidR="00237661" w:rsidRPr="00333D11" w:rsidRDefault="00237661" w:rsidP="00AF453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33D11">
              <w:rPr>
                <w:bCs/>
                <w:color w:val="000000"/>
                <w:sz w:val="22"/>
                <w:szCs w:val="22"/>
              </w:rPr>
              <w:lastRenderedPageBreak/>
              <w:t>Menej časté</w:t>
            </w:r>
          </w:p>
        </w:tc>
        <w:tc>
          <w:tcPr>
            <w:tcW w:w="4393" w:type="dxa"/>
          </w:tcPr>
          <w:p w:rsidR="00E91276" w:rsidRPr="005F778C" w:rsidRDefault="00237661" w:rsidP="00E91276">
            <w:r w:rsidRPr="00333D11">
              <w:rPr>
                <w:rFonts w:eastAsia="TimesNewRoman"/>
                <w:sz w:val="22"/>
                <w:szCs w:val="22"/>
              </w:rPr>
              <w:t>cytomegalovírusová infekcia, reaktivácia infekcie ako</w:t>
            </w:r>
            <w:r>
              <w:rPr>
                <w:rFonts w:eastAsia="TimesNewRoman"/>
                <w:sz w:val="22"/>
                <w:szCs w:val="22"/>
              </w:rPr>
              <w:t xml:space="preserve"> </w:t>
            </w:r>
            <w:r w:rsidRPr="00333D11">
              <w:rPr>
                <w:rFonts w:eastAsia="TimesNewRoman"/>
                <w:sz w:val="22"/>
                <w:szCs w:val="22"/>
              </w:rPr>
              <w:t>je cytomegalovírusová infekcia</w:t>
            </w:r>
            <w:r w:rsidR="00E91276">
              <w:rPr>
                <w:rFonts w:eastAsia="TimesNewRoman"/>
                <w:sz w:val="22"/>
                <w:szCs w:val="22"/>
              </w:rPr>
              <w:t>,</w:t>
            </w:r>
            <w:r w:rsidRPr="00333D11">
              <w:rPr>
                <w:rFonts w:eastAsia="TimesNewRoman"/>
                <w:sz w:val="22"/>
                <w:szCs w:val="22"/>
              </w:rPr>
              <w:t xml:space="preserve"> infekcia vírusom</w:t>
            </w:r>
            <w:r>
              <w:rPr>
                <w:rFonts w:eastAsia="TimesNewRoman"/>
                <w:sz w:val="22"/>
                <w:szCs w:val="22"/>
              </w:rPr>
              <w:t xml:space="preserve"> </w:t>
            </w:r>
            <w:r w:rsidRPr="00333D11">
              <w:rPr>
                <w:rFonts w:eastAsia="TimesNewRoman"/>
                <w:sz w:val="22"/>
                <w:szCs w:val="22"/>
              </w:rPr>
              <w:t>hepatitídy B</w:t>
            </w:r>
            <w:r w:rsidRPr="00A630B0">
              <w:rPr>
                <w:rFonts w:eastAsia="TimesNewRoman"/>
                <w:sz w:val="22"/>
                <w:szCs w:val="22"/>
                <w:vertAlign w:val="superscript"/>
              </w:rPr>
              <w:t>†</w:t>
            </w:r>
            <w:r w:rsidR="00E91276">
              <w:rPr>
                <w:rFonts w:eastAsia="TimesNewRoman"/>
                <w:sz w:val="22"/>
                <w:szCs w:val="22"/>
              </w:rPr>
              <w:t xml:space="preserve">, </w:t>
            </w:r>
            <w:r w:rsidR="00E91276">
              <w:rPr>
                <w:sz w:val="22"/>
                <w:szCs w:val="22"/>
              </w:rPr>
              <w:t>h</w:t>
            </w:r>
            <w:r w:rsidR="00E91276" w:rsidRPr="00A630B0">
              <w:rPr>
                <w:sz w:val="22"/>
                <w:szCs w:val="22"/>
              </w:rPr>
              <w:t>erpetická meningoencefalitída (vrátane prípadov so smrteľnými následkami)</w:t>
            </w:r>
            <w:r w:rsidR="00E91276" w:rsidRPr="00A630B0">
              <w:rPr>
                <w:rFonts w:eastAsia="TimesNewRoman"/>
                <w:sz w:val="22"/>
                <w:szCs w:val="22"/>
                <w:vertAlign w:val="superscript"/>
              </w:rPr>
              <w:t>†</w:t>
            </w:r>
            <w:r w:rsidR="0030485C">
              <w:rPr>
                <w:sz w:val="22"/>
                <w:szCs w:val="22"/>
              </w:rPr>
              <w:t xml:space="preserve">, </w:t>
            </w:r>
            <w:r w:rsidR="0030485C">
              <w:rPr>
                <w:rFonts w:ascii="TimesNewRoman" w:hAnsi="TimesNewRoman" w:cs="TimesNewRoman"/>
                <w:sz w:val="22"/>
                <w:szCs w:val="22"/>
              </w:rPr>
              <w:t>sepsa</w:t>
            </w:r>
            <w:r w:rsidR="0030485C" w:rsidRPr="00A630B0">
              <w:rPr>
                <w:rFonts w:eastAsia="TimesNewRoman"/>
                <w:sz w:val="22"/>
                <w:szCs w:val="22"/>
                <w:vertAlign w:val="superscript"/>
              </w:rPr>
              <w:t>†</w:t>
            </w:r>
          </w:p>
          <w:p w:rsidR="00237661" w:rsidRPr="00AF453A" w:rsidRDefault="00237661" w:rsidP="005758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453A" w:rsidRPr="00AF453A">
        <w:trPr>
          <w:trHeight w:val="147"/>
        </w:trPr>
        <w:tc>
          <w:tcPr>
            <w:tcW w:w="8786" w:type="dxa"/>
            <w:gridSpan w:val="2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b/>
                <w:bCs/>
                <w:color w:val="000000"/>
                <w:sz w:val="22"/>
                <w:szCs w:val="22"/>
              </w:rPr>
              <w:t xml:space="preserve">Poruchy krvi a lymfatického systému </w:t>
            </w:r>
          </w:p>
        </w:tc>
      </w:tr>
      <w:tr w:rsidR="00AF453A" w:rsidRPr="00AF453A">
        <w:trPr>
          <w:trHeight w:val="154"/>
        </w:trPr>
        <w:tc>
          <w:tcPr>
            <w:tcW w:w="4393" w:type="dxa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Veľmi zriedkavé: </w:t>
            </w:r>
          </w:p>
        </w:tc>
        <w:tc>
          <w:tcPr>
            <w:tcW w:w="4393" w:type="dxa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dlhotrvajúca pancytopénia, aplastická anémia† </w:t>
            </w:r>
          </w:p>
        </w:tc>
      </w:tr>
      <w:tr w:rsidR="00AF453A" w:rsidRPr="00AF453A">
        <w:trPr>
          <w:trHeight w:val="147"/>
        </w:trPr>
        <w:tc>
          <w:tcPr>
            <w:tcW w:w="8786" w:type="dxa"/>
            <w:gridSpan w:val="2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b/>
                <w:bCs/>
                <w:color w:val="000000"/>
                <w:sz w:val="22"/>
                <w:szCs w:val="22"/>
              </w:rPr>
              <w:t xml:space="preserve">Benígne a malígne nádory, vrátane nešpecifikovaných novotvarov (cysty a polypy) </w:t>
            </w:r>
          </w:p>
        </w:tc>
      </w:tr>
      <w:tr w:rsidR="00AF453A" w:rsidRPr="00AF453A">
        <w:trPr>
          <w:trHeight w:val="271"/>
        </w:trPr>
        <w:tc>
          <w:tcPr>
            <w:tcW w:w="4393" w:type="dxa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Veľmi zriedkavé: </w:t>
            </w:r>
          </w:p>
        </w:tc>
        <w:tc>
          <w:tcPr>
            <w:tcW w:w="4393" w:type="dxa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myelodysplastický syndróm (MDS), sekundárne malígne ochorenia vrátane myeloidnej leukémie </w:t>
            </w:r>
          </w:p>
        </w:tc>
      </w:tr>
      <w:tr w:rsidR="00237661" w:rsidRPr="00AF453A">
        <w:trPr>
          <w:trHeight w:val="147"/>
        </w:trPr>
        <w:tc>
          <w:tcPr>
            <w:tcW w:w="8786" w:type="dxa"/>
            <w:gridSpan w:val="2"/>
          </w:tcPr>
          <w:p w:rsidR="00237661" w:rsidRPr="00AF453A" w:rsidRDefault="00237661" w:rsidP="00AF45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Poruchy endokrinného systému*</w:t>
            </w:r>
          </w:p>
        </w:tc>
      </w:tr>
      <w:tr w:rsidR="00237661" w:rsidRPr="00AF453A" w:rsidTr="00726580">
        <w:trPr>
          <w:trHeight w:val="147"/>
        </w:trPr>
        <w:tc>
          <w:tcPr>
            <w:tcW w:w="4393" w:type="dxa"/>
          </w:tcPr>
          <w:p w:rsidR="00237661" w:rsidRPr="00333D11" w:rsidRDefault="00237661" w:rsidP="00AF453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33D11">
              <w:rPr>
                <w:bCs/>
                <w:color w:val="000000"/>
                <w:sz w:val="22"/>
                <w:szCs w:val="22"/>
              </w:rPr>
              <w:t xml:space="preserve">Menej časté: </w:t>
            </w:r>
          </w:p>
        </w:tc>
        <w:tc>
          <w:tcPr>
            <w:tcW w:w="4393" w:type="dxa"/>
          </w:tcPr>
          <w:p w:rsidR="00237661" w:rsidRPr="00333D11" w:rsidRDefault="00237661" w:rsidP="00AF453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33D11">
              <w:rPr>
                <w:bCs/>
                <w:color w:val="000000"/>
                <w:sz w:val="22"/>
                <w:szCs w:val="22"/>
              </w:rPr>
              <w:t>diabetes insipidus</w:t>
            </w:r>
          </w:p>
        </w:tc>
      </w:tr>
      <w:tr w:rsidR="00AF453A" w:rsidRPr="00AF453A">
        <w:trPr>
          <w:trHeight w:val="147"/>
        </w:trPr>
        <w:tc>
          <w:tcPr>
            <w:tcW w:w="8786" w:type="dxa"/>
            <w:gridSpan w:val="2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b/>
                <w:bCs/>
                <w:color w:val="000000"/>
                <w:sz w:val="22"/>
                <w:szCs w:val="22"/>
              </w:rPr>
              <w:t xml:space="preserve">Poruchy dýchacej sústavy, hrudníka a mediastína </w:t>
            </w:r>
          </w:p>
        </w:tc>
      </w:tr>
      <w:tr w:rsidR="00AF453A" w:rsidRPr="00AF453A">
        <w:trPr>
          <w:trHeight w:val="272"/>
        </w:trPr>
        <w:tc>
          <w:tcPr>
            <w:tcW w:w="4393" w:type="dxa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Veľmi zriedkavé: </w:t>
            </w:r>
          </w:p>
        </w:tc>
        <w:tc>
          <w:tcPr>
            <w:tcW w:w="4393" w:type="dxa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AF453A">
              <w:rPr>
                <w:color w:val="000000"/>
                <w:sz w:val="22"/>
                <w:szCs w:val="22"/>
              </w:rPr>
              <w:t>intersticiálna pneumonitída/pneumonitída, fibróza pľúc, zlyhanie dýchania</w:t>
            </w:r>
            <w:r w:rsidRPr="00AF453A">
              <w:rPr>
                <w:color w:val="000000"/>
                <w:sz w:val="14"/>
                <w:szCs w:val="14"/>
              </w:rPr>
              <w:t xml:space="preserve">† </w:t>
            </w:r>
          </w:p>
        </w:tc>
      </w:tr>
      <w:tr w:rsidR="00AF453A" w:rsidRPr="00AF453A">
        <w:trPr>
          <w:trHeight w:val="147"/>
        </w:trPr>
        <w:tc>
          <w:tcPr>
            <w:tcW w:w="8786" w:type="dxa"/>
            <w:gridSpan w:val="2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b/>
                <w:bCs/>
                <w:color w:val="000000"/>
                <w:sz w:val="22"/>
                <w:szCs w:val="22"/>
              </w:rPr>
              <w:t xml:space="preserve">Poruchy pečene a žlčových ciest </w:t>
            </w:r>
          </w:p>
        </w:tc>
      </w:tr>
      <w:tr w:rsidR="00237661" w:rsidRPr="00AF453A">
        <w:trPr>
          <w:trHeight w:val="398"/>
        </w:trPr>
        <w:tc>
          <w:tcPr>
            <w:tcW w:w="4393" w:type="dxa"/>
          </w:tcPr>
          <w:p w:rsidR="00237661" w:rsidRPr="00AF453A" w:rsidRDefault="00237661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Časté:</w:t>
            </w:r>
          </w:p>
        </w:tc>
        <w:tc>
          <w:tcPr>
            <w:tcW w:w="4393" w:type="dxa"/>
          </w:tcPr>
          <w:p w:rsidR="00237661" w:rsidRPr="00AF453A" w:rsidRDefault="00237661" w:rsidP="00DF03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>zvýšenia hladiny enzýmov pečene</w:t>
            </w:r>
          </w:p>
        </w:tc>
      </w:tr>
      <w:tr w:rsidR="00AF453A" w:rsidRPr="00AF453A">
        <w:trPr>
          <w:trHeight w:val="398"/>
        </w:trPr>
        <w:tc>
          <w:tcPr>
            <w:tcW w:w="4393" w:type="dxa"/>
          </w:tcPr>
          <w:p w:rsidR="00AF453A" w:rsidRPr="00AF453A" w:rsidRDefault="0030485C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Menej časté</w:t>
            </w:r>
            <w:r w:rsidR="00AF453A" w:rsidRPr="00AF453A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393" w:type="dxa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hyperbilirubinémia, cholestáza, hepatitída </w:t>
            </w:r>
          </w:p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AF453A">
              <w:rPr>
                <w:color w:val="000000"/>
                <w:sz w:val="22"/>
                <w:szCs w:val="22"/>
              </w:rPr>
              <w:t>poškodenie pečene, zlyhanie pečene</w:t>
            </w:r>
            <w:r w:rsidRPr="00AF453A">
              <w:rPr>
                <w:color w:val="000000"/>
                <w:sz w:val="14"/>
                <w:szCs w:val="14"/>
              </w:rPr>
              <w:t xml:space="preserve">† </w:t>
            </w:r>
          </w:p>
        </w:tc>
      </w:tr>
      <w:tr w:rsidR="00AF453A" w:rsidRPr="00AF453A">
        <w:trPr>
          <w:trHeight w:val="147"/>
        </w:trPr>
        <w:tc>
          <w:tcPr>
            <w:tcW w:w="8786" w:type="dxa"/>
            <w:gridSpan w:val="2"/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b/>
                <w:bCs/>
                <w:color w:val="000000"/>
                <w:sz w:val="22"/>
                <w:szCs w:val="22"/>
              </w:rPr>
              <w:t xml:space="preserve">Poruchy kože a podkožného tkaniva </w:t>
            </w:r>
          </w:p>
        </w:tc>
      </w:tr>
      <w:tr w:rsidR="00AF453A" w:rsidRPr="00AF453A" w:rsidTr="00333D11">
        <w:trPr>
          <w:trHeight w:val="271"/>
        </w:trPr>
        <w:tc>
          <w:tcPr>
            <w:tcW w:w="4393" w:type="dxa"/>
            <w:tcBorders>
              <w:top w:val="nil"/>
              <w:bottom w:val="nil"/>
            </w:tcBorders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Veľmi zriedkavé: 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AF453A" w:rsidRPr="00AF453A" w:rsidRDefault="00AF453A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453A">
              <w:rPr>
                <w:color w:val="000000"/>
                <w:sz w:val="22"/>
                <w:szCs w:val="22"/>
              </w:rPr>
              <w:t xml:space="preserve">toxická epidermálna nekrolýza, Stevensov-Johnsonov syndróm </w:t>
            </w:r>
          </w:p>
        </w:tc>
      </w:tr>
      <w:tr w:rsidR="004F719B" w:rsidRPr="00AF453A" w:rsidTr="00333D11">
        <w:trPr>
          <w:trHeight w:val="271"/>
        </w:trPr>
        <w:tc>
          <w:tcPr>
            <w:tcW w:w="4393" w:type="dxa"/>
            <w:tcBorders>
              <w:top w:val="nil"/>
              <w:bottom w:val="nil"/>
            </w:tcBorders>
          </w:tcPr>
          <w:p w:rsidR="004F719B" w:rsidRPr="00AF453A" w:rsidRDefault="004F719B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Neznáme: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F719B" w:rsidRPr="00AF453A" w:rsidRDefault="004F719B" w:rsidP="00AF45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lieková reakcia s eozinofíliou a systémovými príznakmi (drug reaction with eosinophilia and systemic symptoms, DRESS)</w:t>
            </w:r>
          </w:p>
        </w:tc>
      </w:tr>
    </w:tbl>
    <w:p w:rsidR="00AF453A" w:rsidRPr="00A630B0" w:rsidRDefault="00AF453A" w:rsidP="00AF453A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C2B0C" w:rsidRPr="00A630B0" w:rsidRDefault="00EC2B0C" w:rsidP="00EC2B0C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630B0">
        <w:rPr>
          <w:rFonts w:eastAsia="TimesNewRoman"/>
          <w:sz w:val="22"/>
          <w:szCs w:val="22"/>
        </w:rPr>
        <w:t>† Vrátane prípadov so smrteľným koncom</w:t>
      </w:r>
    </w:p>
    <w:p w:rsidR="00E306FE" w:rsidRPr="00A630B0" w:rsidRDefault="00EC2B0C" w:rsidP="00EC2B0C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630B0">
        <w:rPr>
          <w:rFonts w:eastAsia="TimesNewRoman"/>
          <w:sz w:val="22"/>
          <w:szCs w:val="22"/>
        </w:rPr>
        <w:t>* Frekvencie odhadnuté na základe príslušných klinických skúšaní.</w:t>
      </w:r>
    </w:p>
    <w:p w:rsidR="00E306FE" w:rsidRPr="00A630B0" w:rsidRDefault="00E306FE" w:rsidP="00AF453A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E6509" w:rsidRDefault="00EE6509" w:rsidP="00EE6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4F719B" w:rsidRDefault="004F719B" w:rsidP="004F7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AF453A" w:rsidRPr="00A630B0" w:rsidRDefault="00AF453A" w:rsidP="00237661">
      <w:pPr>
        <w:pStyle w:val="Default"/>
        <w:rPr>
          <w:sz w:val="22"/>
          <w:szCs w:val="22"/>
        </w:rPr>
      </w:pPr>
    </w:p>
    <w:p w:rsidR="00CD258C" w:rsidRPr="00A630B0" w:rsidRDefault="00CD258C">
      <w:pPr>
        <w:pStyle w:val="CM69"/>
        <w:tabs>
          <w:tab w:val="left" w:pos="540"/>
        </w:tabs>
        <w:rPr>
          <w:b/>
          <w:bCs/>
          <w:sz w:val="22"/>
          <w:szCs w:val="22"/>
        </w:rPr>
      </w:pPr>
      <w:r w:rsidRPr="00A630B0">
        <w:rPr>
          <w:b/>
          <w:bCs/>
          <w:sz w:val="22"/>
          <w:szCs w:val="22"/>
        </w:rPr>
        <w:t>4.9</w:t>
      </w:r>
      <w:r w:rsidRPr="00A630B0">
        <w:rPr>
          <w:b/>
          <w:bCs/>
          <w:sz w:val="22"/>
          <w:szCs w:val="22"/>
        </w:rPr>
        <w:tab/>
        <w:t>Predávkovanie</w:t>
      </w:r>
    </w:p>
    <w:p w:rsidR="00CD258C" w:rsidRPr="00A630B0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rPr>
          <w:bCs/>
          <w:sz w:val="22"/>
          <w:szCs w:val="22"/>
        </w:rPr>
      </w:pPr>
      <w:r w:rsidRPr="00A630B0">
        <w:rPr>
          <w:sz w:val="22"/>
          <w:szCs w:val="22"/>
        </w:rPr>
        <w:t xml:space="preserve">U pacientov sa klinicky hodnotili dávky 500, 750, </w:t>
      </w:r>
      <w:smartTag w:uri="urn:schemas-microsoft-com:office:smarttags" w:element="metricconverter">
        <w:smartTagPr>
          <w:attr w:name="ProductID" w:val="1 000 a"/>
        </w:smartTagPr>
        <w:r w:rsidRPr="00A630B0">
          <w:rPr>
            <w:sz w:val="22"/>
            <w:szCs w:val="22"/>
          </w:rPr>
          <w:t>1 000 a</w:t>
        </w:r>
      </w:smartTag>
      <w:r w:rsidRPr="00A630B0">
        <w:rPr>
          <w:sz w:val="22"/>
          <w:szCs w:val="22"/>
        </w:rPr>
        <w:t xml:space="preserve"> 1 250 mg/m</w:t>
      </w:r>
      <w:r w:rsidRPr="00A630B0">
        <w:rPr>
          <w:sz w:val="22"/>
          <w:szCs w:val="22"/>
          <w:vertAlign w:val="superscript"/>
        </w:rPr>
        <w:t>2</w:t>
      </w:r>
      <w:r w:rsidRPr="00A630B0">
        <w:rPr>
          <w:sz w:val="22"/>
          <w:szCs w:val="22"/>
        </w:rPr>
        <w:t xml:space="preserve"> (celková dávka na cyklus počas 5 dní). Toxicita limitujúca dávku bola hematologická a táto bola hlásená pri všetkých dávkach, ale predpokladá sa, že bude závažnejšia pri vyšších dávkach. Jeden pacient sa predávkoval užitím dávky 10 000</w:t>
      </w:r>
      <w:r w:rsidRPr="005F36CB">
        <w:rPr>
          <w:sz w:val="22"/>
          <w:szCs w:val="22"/>
        </w:rPr>
        <w:t xml:space="preserve"> mg (celková dávka v jednom cykle počas 5 dní) a nežiaduce reakcie hlásené pri tomto predávkovaní boli pancytopénia, pyrexia, multiorgánové zlyhanie a smrť. Existujú záznamy o pacientoch, ktorí užívali odporúčanú dávku po dobu viac ako 5 dní liečby (až do 64 dní), pričom hlásené nežiaduce udalosti zahŕňali útlm kostnej drene s infekciou alebo bez nej, ktoré boli v niektorých prípadoch závažné a pretrvávali dlhšiu dobu a skončili sa smrťou. V prípade predávkovania je potrebné hematologické vyšetrenie. V prípade potreby sa majú vykonať podporné opatrenia.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5.</w:t>
      </w:r>
      <w:r w:rsidRPr="005F36CB">
        <w:rPr>
          <w:b/>
          <w:bCs/>
          <w:sz w:val="22"/>
          <w:szCs w:val="22"/>
        </w:rPr>
        <w:tab/>
        <w:t>FARMAKOLOGICKÉ VLASTNOSTI</w:t>
      </w:r>
    </w:p>
    <w:p w:rsidR="00CD258C" w:rsidRPr="005F36CB" w:rsidRDefault="00CD258C">
      <w:pPr>
        <w:pStyle w:val="CM69"/>
        <w:tabs>
          <w:tab w:val="left" w:pos="540"/>
        </w:tabs>
        <w:rPr>
          <w:bCs/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5.1</w:t>
      </w:r>
      <w:r w:rsidRPr="005F36CB">
        <w:rPr>
          <w:b/>
          <w:bCs/>
          <w:sz w:val="22"/>
          <w:szCs w:val="22"/>
        </w:rPr>
        <w:tab/>
        <w:t>Farmakodynamické vlastnosti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 xml:space="preserve">Farmakoterapeutická skupina: </w:t>
      </w:r>
      <w:r w:rsidR="00AF453A">
        <w:rPr>
          <w:sz w:val="22"/>
          <w:szCs w:val="22"/>
        </w:rPr>
        <w:t xml:space="preserve">Cytostatiká - </w:t>
      </w:r>
      <w:r w:rsidRPr="005F36CB">
        <w:rPr>
          <w:sz w:val="22"/>
          <w:szCs w:val="22"/>
        </w:rPr>
        <w:t>Iné alkylačné látky, ATC kód: L01AX03</w:t>
      </w:r>
    </w:p>
    <w:p w:rsidR="00CD258C" w:rsidRPr="005F36CB" w:rsidRDefault="00CD258C">
      <w:pPr>
        <w:pStyle w:val="CM69"/>
        <w:rPr>
          <w:bCs/>
          <w:sz w:val="22"/>
          <w:szCs w:val="22"/>
        </w:rPr>
      </w:pPr>
    </w:p>
    <w:p w:rsidR="00AF453A" w:rsidRPr="00237661" w:rsidRDefault="00AF453A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:rsidR="00AF453A" w:rsidRDefault="00AF453A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Default"/>
        <w:rPr>
          <w:sz w:val="22"/>
          <w:szCs w:val="22"/>
        </w:rPr>
      </w:pPr>
      <w:r w:rsidRPr="005F36CB">
        <w:rPr>
          <w:sz w:val="22"/>
          <w:szCs w:val="22"/>
        </w:rPr>
        <w:t>Temozolomid je triazén, ktorý pri fyziologickom pH podlieha rýchlej chemickej konverzii na aktívny monometyl-triazenoimidazol-karboxamid (MTIC). Predpokladá sa, že cytotoxicitu MTIC primárne spôsobuje alkylácia na pozícii O</w:t>
      </w:r>
      <w:r w:rsidRPr="005F36CB">
        <w:rPr>
          <w:sz w:val="22"/>
          <w:szCs w:val="22"/>
          <w:vertAlign w:val="superscript"/>
        </w:rPr>
        <w:t>6</w:t>
      </w:r>
      <w:r w:rsidRPr="005F36CB">
        <w:rPr>
          <w:sz w:val="22"/>
          <w:szCs w:val="22"/>
        </w:rPr>
        <w:t xml:space="preserve"> guanínu spolu s ďalšou alkyláciou na pozícii N</w:t>
      </w:r>
      <w:r w:rsidRPr="005F36CB">
        <w:rPr>
          <w:sz w:val="22"/>
          <w:szCs w:val="22"/>
          <w:vertAlign w:val="superscript"/>
        </w:rPr>
        <w:t>7</w:t>
      </w:r>
      <w:r w:rsidRPr="005F36CB">
        <w:rPr>
          <w:sz w:val="22"/>
          <w:szCs w:val="22"/>
        </w:rPr>
        <w:t>. Cytotoxické lézie, ktoré sa rozvinú následne, pravdepodobne zapríčiňuje aberantná oprava metylovaného aduktu.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AF453A" w:rsidRDefault="00AF453A">
      <w:pPr>
        <w:pStyle w:val="CM69"/>
        <w:spacing w:line="238" w:lineRule="atLeas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Klinická účinnosť a bezpečnosť</w:t>
      </w:r>
    </w:p>
    <w:p w:rsidR="00AF453A" w:rsidRDefault="00AF453A">
      <w:pPr>
        <w:pStyle w:val="CM69"/>
        <w:spacing w:line="238" w:lineRule="atLeast"/>
        <w:rPr>
          <w:sz w:val="22"/>
          <w:szCs w:val="22"/>
          <w:u w:val="single"/>
        </w:rPr>
      </w:pPr>
    </w:p>
    <w:p w:rsidR="00CD258C" w:rsidRPr="00EE6509" w:rsidRDefault="00CD258C">
      <w:pPr>
        <w:pStyle w:val="CM69"/>
        <w:spacing w:line="238" w:lineRule="atLeast"/>
        <w:rPr>
          <w:i/>
          <w:sz w:val="22"/>
          <w:szCs w:val="22"/>
        </w:rPr>
      </w:pPr>
      <w:r w:rsidRPr="00EE6509">
        <w:rPr>
          <w:i/>
          <w:sz w:val="22"/>
          <w:szCs w:val="22"/>
          <w:u w:val="single"/>
        </w:rPr>
        <w:t>Novodiagnostikovaný multiformný glioblastóm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4"/>
        <w:rPr>
          <w:sz w:val="22"/>
          <w:szCs w:val="22"/>
        </w:rPr>
      </w:pPr>
      <w:r w:rsidRPr="005F36CB">
        <w:rPr>
          <w:sz w:val="22"/>
          <w:szCs w:val="22"/>
        </w:rPr>
        <w:t>Celkovo 573 pacientov bolo randomizovaných tak, aby dostávali buď TMZ + RT (n =287), alebo samotnú RT (n = 286). Pacienti v ramene TMZ + RT súbežne dostávali TMZ (75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>) jedenkrát denne, začínajúc v prvý deň RT až do posledného dňa RT, po</w:t>
      </w:r>
      <w:r w:rsidR="00AF453A">
        <w:rPr>
          <w:sz w:val="22"/>
          <w:szCs w:val="22"/>
        </w:rPr>
        <w:t>čas</w:t>
      </w:r>
      <w:r w:rsidRPr="005F36CB">
        <w:rPr>
          <w:sz w:val="22"/>
          <w:szCs w:val="22"/>
        </w:rPr>
        <w:t xml:space="preserve"> 42 dní (s maximom 49 dní). Potom nasledovala monoterapia TMZ (150 – 200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 xml:space="preserve">) 1. – 5. deň počas každého 28-dňového cyklu počas 6 cyklov a začínalo sa s ňou 4 týždne po ukončení RT. Pacienti v kontrolnom ramene dostávali len RT. Počas RT a aj kombinovanej liečby TMZ sa vyžadovala profylaxia proti pneumónii spôsobenej </w:t>
      </w:r>
      <w:r w:rsidRPr="005F36CB">
        <w:rPr>
          <w:i/>
          <w:iCs/>
          <w:sz w:val="22"/>
          <w:szCs w:val="22"/>
        </w:rPr>
        <w:t xml:space="preserve">Pneumocystis </w:t>
      </w:r>
      <w:r w:rsidR="00AF453A">
        <w:rPr>
          <w:i/>
          <w:iCs/>
          <w:sz w:val="22"/>
          <w:szCs w:val="22"/>
        </w:rPr>
        <w:t xml:space="preserve">jirovecii </w:t>
      </w:r>
      <w:r w:rsidRPr="005F36CB">
        <w:rPr>
          <w:sz w:val="22"/>
          <w:szCs w:val="22"/>
        </w:rPr>
        <w:t>(PCP).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Default"/>
        <w:rPr>
          <w:sz w:val="22"/>
          <w:szCs w:val="22"/>
        </w:rPr>
      </w:pPr>
      <w:r w:rsidRPr="005F36CB">
        <w:rPr>
          <w:sz w:val="22"/>
          <w:szCs w:val="22"/>
        </w:rPr>
        <w:t>TMZ sa podával ako záchranná terapia vo fáze sledovania 161 pacientom z 282 (57 %) z ramena so samotnou RT a 62 pacientom z 277 (22 %) z ramena TMZ + RT.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71"/>
        <w:spacing w:line="238" w:lineRule="atLeast"/>
        <w:rPr>
          <w:sz w:val="22"/>
          <w:szCs w:val="22"/>
        </w:rPr>
      </w:pPr>
      <w:r w:rsidRPr="005F36CB">
        <w:rPr>
          <w:sz w:val="22"/>
          <w:szCs w:val="22"/>
        </w:rPr>
        <w:t xml:space="preserve">Pomer rizika (Hazard ratio - HR) celkového prežívania bol 1,59 (95 % CI pre HR = 1,33 – 1,91) s log-rank p &lt; 0,0001 v prospech ramena s TMZ. Odhadovaná pravdepodobnosť prežívania 2 alebo viac rokov (26 % vs. 10 %) bola vyššia v ramene RT + TMZ. Súbežné pridanie TMZ k RT, s následnou monoterapiou TMZ, pri liečbe pacientov s novodiagnostikovaným multiformným glioblastómom preukázalo štatisticky významné zlepšenie celkového prežívania (Overall Survival – OS) v porovnaní so samotnou RT </w:t>
      </w:r>
      <w:r w:rsidRPr="00EE6509">
        <w:rPr>
          <w:b/>
          <w:bCs/>
          <w:sz w:val="22"/>
          <w:szCs w:val="22"/>
        </w:rPr>
        <w:t>(Obrázok 1).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155A58">
      <w:pPr>
        <w:pStyle w:val="CM69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238625" cy="28098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58C" w:rsidRPr="005F36CB" w:rsidRDefault="00CD258C">
      <w:pPr>
        <w:pStyle w:val="CM69"/>
        <w:rPr>
          <w:i/>
          <w:iCs/>
          <w:sz w:val="22"/>
          <w:szCs w:val="22"/>
        </w:rPr>
      </w:pPr>
      <w:r w:rsidRPr="005F36CB">
        <w:rPr>
          <w:sz w:val="22"/>
          <w:szCs w:val="22"/>
        </w:rPr>
        <w:t xml:space="preserve">Obrázok 1 </w:t>
      </w:r>
      <w:r w:rsidRPr="005F36CB">
        <w:rPr>
          <w:sz w:val="22"/>
          <w:szCs w:val="22"/>
        </w:rPr>
        <w:tab/>
      </w:r>
      <w:r w:rsidRPr="005F36CB">
        <w:rPr>
          <w:i/>
          <w:iCs/>
          <w:sz w:val="22"/>
          <w:szCs w:val="22"/>
        </w:rPr>
        <w:t>Kaplan-Meierove krivky celkového prežívania (Intent to Treat population – populácia, v ktorej bola liečba zamýšľaná)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Výsledky zo skúšania neboli konzistentné v podskupine pacientov so slabým výkonnostným stavom (WHO PS = 2, n = 70), v ktorej bolo celkové prežívanie a čas do progresie podobné v oboch ramenách. Nezdá sa však, že by v tejto skupine pacientov boli prítomné neprijateľné riziká.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spacing w:line="238" w:lineRule="atLeast"/>
        <w:rPr>
          <w:sz w:val="22"/>
          <w:szCs w:val="22"/>
          <w:u w:val="single"/>
        </w:rPr>
      </w:pPr>
      <w:r w:rsidRPr="005F36CB">
        <w:rPr>
          <w:sz w:val="22"/>
          <w:szCs w:val="22"/>
          <w:u w:val="single"/>
        </w:rPr>
        <w:t>Rekurentný alebo progredujúci malígny glióm</w:t>
      </w:r>
    </w:p>
    <w:p w:rsidR="0030485C" w:rsidRDefault="0030485C">
      <w:pPr>
        <w:pStyle w:val="CM69"/>
        <w:spacing w:line="238" w:lineRule="atLeast"/>
        <w:rPr>
          <w:sz w:val="22"/>
          <w:szCs w:val="22"/>
        </w:rPr>
      </w:pPr>
    </w:p>
    <w:p w:rsidR="00CD258C" w:rsidRPr="005F36CB" w:rsidRDefault="00CD258C">
      <w:pPr>
        <w:pStyle w:val="CM69"/>
        <w:spacing w:line="238" w:lineRule="atLeast"/>
        <w:rPr>
          <w:sz w:val="22"/>
          <w:szCs w:val="22"/>
        </w:rPr>
      </w:pPr>
      <w:r w:rsidRPr="005F36CB">
        <w:rPr>
          <w:sz w:val="22"/>
          <w:szCs w:val="22"/>
        </w:rPr>
        <w:t xml:space="preserve">Údaje o klinickej účinnosti u pacientov s multiformným glioblastómom (Karnofského skóre [Karnofsky perfomance status – KPS] ≥ 70), progredujúcom alebo recidivujúcom po chirurgickej </w:t>
      </w:r>
      <w:r w:rsidRPr="005F36CB">
        <w:rPr>
          <w:sz w:val="22"/>
          <w:szCs w:val="22"/>
        </w:rPr>
        <w:lastRenderedPageBreak/>
        <w:t xml:space="preserve">terapii a RT, sú založené na dvoch klinických skúšaniach s perorálnym TMZ. Jedno bolo nekomparatívne skúšanie u 138 pacientov (predtým dostávalo chemoterapiu 29 %) a druhé bolo randomizované aktívne kontrolované skúšanie TMZ </w:t>
      </w:r>
      <w:r w:rsidRPr="005F36CB">
        <w:rPr>
          <w:i/>
          <w:iCs/>
          <w:sz w:val="22"/>
          <w:szCs w:val="22"/>
        </w:rPr>
        <w:t>vs.</w:t>
      </w:r>
      <w:r w:rsidRPr="005F36CB">
        <w:rPr>
          <w:sz w:val="22"/>
          <w:szCs w:val="22"/>
        </w:rPr>
        <w:t xml:space="preserve"> prokarbazínu u celkovo 225 pacientov (pred liečbou dostávalo chemoterapiu na báze nitrózourey 67 % pacientov). Primárnym cieľom oboch skúšaní bolo stanoviť prežívanie bez progresie nádoru (progression free survival – PFS), definované MRI zobrazením alebo neurologickým zhoršením. V nekomparatívnom skúšaní bolo PFS v 6. mesiaci 19 %, medián prežívania bez progresie nádoru bol 2,1 mesiaca a medián celkového prežívania 5,4 mesiaca. Častosť objektívnej odpovede (Objective response rate – ORR), založená na MRI zobrazení, bola 8 %.</w:t>
      </w:r>
    </w:p>
    <w:p w:rsidR="00CD258C" w:rsidRPr="005F36CB" w:rsidRDefault="00CD258C">
      <w:pPr>
        <w:pStyle w:val="CM69"/>
        <w:rPr>
          <w:bCs/>
          <w:sz w:val="22"/>
          <w:szCs w:val="22"/>
        </w:rPr>
      </w:pPr>
    </w:p>
    <w:p w:rsidR="00CD258C" w:rsidRPr="005F36CB" w:rsidRDefault="00CD258C">
      <w:pPr>
        <w:pStyle w:val="CM4"/>
        <w:rPr>
          <w:sz w:val="22"/>
          <w:szCs w:val="22"/>
        </w:rPr>
      </w:pPr>
      <w:r w:rsidRPr="005F36CB">
        <w:rPr>
          <w:sz w:val="22"/>
          <w:szCs w:val="22"/>
        </w:rPr>
        <w:t>V randomizovanom aktívne kontrolovanom klinickom skúšaní bolo 6-mesačné PFS signifikantne dlhšie u TMZ než u prokarbazínu (21 % oproti 8 %, chí-kvadrát p = 0,008) s mediánom PFS 2,89 mesiacov pre TMZ a 1,88 mesiacov pre prokarbazín (log rank p = 0,0063). Medián prežívania pre TMZ bol 7,34 mesiaca a pre prokarbazín 5,66 mesiacov (log rank p = 0,33). Po 6 mesiacoch bol podiel prežívajúcich pacientov signifikantne vyšší v TMZ ramene (60 %) oproti ramenu s prokarbazínom (44 %) (chí-kvadrát p = 0,019). U pacientov s predchádzajúcou chemoterapiou bol zaznamenaný prínos u tých, ktorých KPS bolo ≥ 80.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spacing w:line="238" w:lineRule="atLeast"/>
        <w:rPr>
          <w:sz w:val="22"/>
          <w:szCs w:val="22"/>
        </w:rPr>
      </w:pPr>
      <w:r w:rsidRPr="005F36CB">
        <w:rPr>
          <w:sz w:val="22"/>
          <w:szCs w:val="22"/>
        </w:rPr>
        <w:t>Údaje o čase do zhoršenia neurologického stavu boli v prospech TMZ oproti prokarbazínu, takisto ako údaje o čase do zhoršenia celkového stavu (pokles na KPS na &lt; 70 alebo pokles o najmenej 30 bodov). Priemer časov do progresie nádoru podľa týchto cieľov boli u TMZ dlhšie v rozsahu 0,7 až 2,1 mesiaca než u prokarbazínu (log rank p = &lt; 0,01 – 0,03).</w:t>
      </w:r>
    </w:p>
    <w:p w:rsidR="00CD258C" w:rsidRPr="005F36CB" w:rsidRDefault="00CD258C">
      <w:pPr>
        <w:pStyle w:val="CM69"/>
        <w:spacing w:line="238" w:lineRule="atLeast"/>
        <w:rPr>
          <w:i/>
          <w:iCs/>
          <w:sz w:val="22"/>
          <w:szCs w:val="22"/>
          <w:u w:val="single"/>
        </w:rPr>
      </w:pPr>
    </w:p>
    <w:p w:rsidR="00CD258C" w:rsidRPr="005F36CB" w:rsidRDefault="00CD258C">
      <w:pPr>
        <w:pStyle w:val="CM69"/>
        <w:spacing w:line="238" w:lineRule="atLeast"/>
        <w:rPr>
          <w:sz w:val="22"/>
          <w:szCs w:val="22"/>
          <w:u w:val="single"/>
        </w:rPr>
      </w:pPr>
      <w:r w:rsidRPr="005F36CB">
        <w:rPr>
          <w:iCs/>
          <w:sz w:val="22"/>
          <w:szCs w:val="22"/>
          <w:u w:val="single"/>
        </w:rPr>
        <w:t>Rekurentný anaplastický astrocytóm</w:t>
      </w:r>
    </w:p>
    <w:p w:rsidR="00AF453A" w:rsidRDefault="00AF453A">
      <w:pPr>
        <w:pStyle w:val="CM69"/>
        <w:spacing w:line="238" w:lineRule="atLeast"/>
        <w:rPr>
          <w:sz w:val="22"/>
          <w:szCs w:val="22"/>
        </w:rPr>
      </w:pPr>
    </w:p>
    <w:p w:rsidR="00CD258C" w:rsidRPr="005F36CB" w:rsidRDefault="00CD258C">
      <w:pPr>
        <w:pStyle w:val="CM69"/>
        <w:spacing w:line="238" w:lineRule="atLeast"/>
        <w:rPr>
          <w:sz w:val="22"/>
          <w:szCs w:val="22"/>
        </w:rPr>
      </w:pPr>
      <w:r w:rsidRPr="005F36CB">
        <w:rPr>
          <w:sz w:val="22"/>
          <w:szCs w:val="22"/>
        </w:rPr>
        <w:t>V multicentrickom, prospektívnom klinickom skúšaní II. fázy, v ktorom sa vyhodnocovala bezpečnosť a účinnosť liečby perorálnym TMZ u pacientov s anaplastickým astrocytómom pri prvom relapse, bolo 6-mesačné PFS 46 %. Medián PFS bol 5,4 mesiaca. Medián celkového prežívania bol 14,6 mesiacov. V populácii pacientov, u ktorých bola liečba zamýšľaná (ITT) n = 162, bola, podľa zhodnotenia centrálnym recenzentom, častosť odpovede 35 % (13 dosiahlo kompletnú remisiu a 43 parciálnu). Stabilné ochorenie bolo hlásené u 43 pacientov. 6-mesačné prežívanie bez príhody bolo v ITT populácii 44 % s mediánom prežívania bez príhody 4,6 mesiacov, čo bolo podobné výsledkom prežívania bez progresie. Výsledky účinnosti boli podobné aj u populácie, ktorá bola vhodná na histológiu. Dosiahnutie rádiologicky objektívnej odpovede alebo udržania stavu bez progresie bolo silne viazané s udržanou alebo zlepšenou kvalitou života.</w:t>
      </w:r>
    </w:p>
    <w:p w:rsidR="00CD258C" w:rsidRPr="005F36CB" w:rsidRDefault="00CD258C">
      <w:pPr>
        <w:pStyle w:val="CM69"/>
        <w:spacing w:line="238" w:lineRule="atLeast"/>
        <w:rPr>
          <w:sz w:val="22"/>
          <w:szCs w:val="22"/>
          <w:u w:val="single"/>
        </w:rPr>
      </w:pPr>
    </w:p>
    <w:p w:rsidR="00AF453A" w:rsidRDefault="00AF453A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Pediatrická populácia </w:t>
      </w:r>
    </w:p>
    <w:p w:rsidR="0030485C" w:rsidRDefault="0030485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Default"/>
        <w:rPr>
          <w:sz w:val="22"/>
          <w:szCs w:val="22"/>
        </w:rPr>
      </w:pPr>
      <w:r w:rsidRPr="005F36CB">
        <w:rPr>
          <w:sz w:val="22"/>
          <w:szCs w:val="22"/>
        </w:rPr>
        <w:t>Perorálny TMZ sa študoval u pediatrických pacientov (vo veku 3 – 18 rokov) s rekurentným gliómom mozgového kmeňa alebo rekurentným astrocytómom vysokého stupňa v dávkovacom režime denne, počas 5 dní, každých 28 dní. Tolerancia na TMZ je podobná ako u dospelých.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5.2</w:t>
      </w:r>
      <w:r w:rsidRPr="005F36CB">
        <w:rPr>
          <w:b/>
          <w:bCs/>
          <w:sz w:val="22"/>
          <w:szCs w:val="22"/>
        </w:rPr>
        <w:tab/>
        <w:t>Farmakokinetické vlastnosti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Default"/>
        <w:rPr>
          <w:sz w:val="22"/>
          <w:szCs w:val="22"/>
        </w:rPr>
      </w:pPr>
      <w:r w:rsidRPr="005F36CB">
        <w:rPr>
          <w:sz w:val="22"/>
          <w:szCs w:val="22"/>
        </w:rPr>
        <w:t>TMZ sa pri fyziologickom pH spontánne hydrolyzuje na primárne účinné zložky, 3-metyl-(triazén-1-yl)imidazol-4-karboxamid (MTIC). MTIC sa spontánne hydrolyzuje na 5-aminoimidazol-4-karboxamid (AIC), známy medziprodukt pri biosyntéze purínu a nukleovej kyseliny, a na metylhydrazín, ktorý sa považuje za účinnú alkylačnú zložku. Predpokladá sa, že za cytotoxicitu MTIC je primárne zodpovedná alkylácia DNA, predovšetkým na pozíciách O</w:t>
      </w:r>
      <w:r w:rsidRPr="005F36CB">
        <w:rPr>
          <w:sz w:val="22"/>
          <w:szCs w:val="22"/>
          <w:vertAlign w:val="superscript"/>
        </w:rPr>
        <w:t>6</w:t>
      </w:r>
      <w:r w:rsidRPr="005F36CB">
        <w:rPr>
          <w:position w:val="9"/>
          <w:sz w:val="22"/>
          <w:szCs w:val="22"/>
          <w:vertAlign w:val="superscript"/>
        </w:rPr>
        <w:t xml:space="preserve"> </w:t>
      </w:r>
      <w:r w:rsidRPr="005F36CB">
        <w:rPr>
          <w:sz w:val="22"/>
          <w:szCs w:val="22"/>
        </w:rPr>
        <w:t>a N</w:t>
      </w:r>
      <w:r w:rsidRPr="005F36CB">
        <w:rPr>
          <w:sz w:val="22"/>
          <w:szCs w:val="22"/>
          <w:vertAlign w:val="superscript"/>
        </w:rPr>
        <w:t xml:space="preserve">7 </w:t>
      </w:r>
      <w:r w:rsidRPr="005F36CB">
        <w:rPr>
          <w:sz w:val="22"/>
          <w:szCs w:val="22"/>
        </w:rPr>
        <w:t xml:space="preserve">guanínu. V závislosti od AUC TMZ je expozícia MTIC ~ 2,4 % a expozícia AIC ~ 23 %. </w:t>
      </w:r>
      <w:r w:rsidRPr="005F36CB">
        <w:rPr>
          <w:i/>
          <w:iCs/>
          <w:sz w:val="22"/>
          <w:szCs w:val="22"/>
        </w:rPr>
        <w:t xml:space="preserve">In vivo </w:t>
      </w:r>
      <w:r w:rsidRPr="005F36CB">
        <w:rPr>
          <w:sz w:val="22"/>
          <w:szCs w:val="22"/>
        </w:rPr>
        <w:t>bol t1/2 MTIC podobný t1/2 TMZ, a to 1,8 hod.</w:t>
      </w:r>
    </w:p>
    <w:p w:rsidR="00CD258C" w:rsidRPr="005F36CB" w:rsidRDefault="00CD258C">
      <w:pPr>
        <w:pStyle w:val="Default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  <w:u w:val="single"/>
        </w:rPr>
      </w:pPr>
      <w:r w:rsidRPr="005F36CB">
        <w:rPr>
          <w:sz w:val="22"/>
          <w:szCs w:val="22"/>
          <w:u w:val="single"/>
        </w:rPr>
        <w:t>Absorpcia</w:t>
      </w:r>
    </w:p>
    <w:p w:rsidR="00AF453A" w:rsidRDefault="00AF453A">
      <w:pPr>
        <w:pStyle w:val="CM69"/>
        <w:spacing w:line="238" w:lineRule="atLeast"/>
        <w:rPr>
          <w:sz w:val="22"/>
          <w:szCs w:val="22"/>
        </w:rPr>
      </w:pPr>
    </w:p>
    <w:p w:rsidR="00CD258C" w:rsidRPr="005F36CB" w:rsidRDefault="00CD258C">
      <w:pPr>
        <w:pStyle w:val="CM69"/>
        <w:spacing w:line="238" w:lineRule="atLeast"/>
        <w:rPr>
          <w:sz w:val="22"/>
          <w:szCs w:val="22"/>
        </w:rPr>
      </w:pPr>
      <w:r w:rsidRPr="005F36CB">
        <w:rPr>
          <w:sz w:val="22"/>
          <w:szCs w:val="22"/>
        </w:rPr>
        <w:t xml:space="preserve">Po perorálnom podaní dospelým pacientom sa TMZ rýchlo vstrebáva a maximálne koncentrácie sa dosahujú už za 20 minút po podaní (priemerný čas medzi </w:t>
      </w:r>
      <w:smartTag w:uri="urn:schemas-microsoft-com:office:smarttags" w:element="metricconverter">
        <w:smartTagPr>
          <w:attr w:name="ProductID" w:val="0,5 a"/>
        </w:smartTagPr>
        <w:r w:rsidRPr="005F36CB">
          <w:rPr>
            <w:sz w:val="22"/>
            <w:szCs w:val="22"/>
          </w:rPr>
          <w:t>0,5 a</w:t>
        </w:r>
      </w:smartTag>
      <w:r w:rsidRPr="005F36CB">
        <w:rPr>
          <w:sz w:val="22"/>
          <w:szCs w:val="22"/>
        </w:rPr>
        <w:t xml:space="preserve"> 1,5 hodinou). Po perorálnom podaní TMZ označeného </w:t>
      </w:r>
      <w:r w:rsidRPr="005F36CB">
        <w:rPr>
          <w:sz w:val="22"/>
          <w:szCs w:val="22"/>
          <w:vertAlign w:val="superscript"/>
        </w:rPr>
        <w:t>14</w:t>
      </w:r>
      <w:r w:rsidRPr="005F36CB">
        <w:rPr>
          <w:sz w:val="22"/>
          <w:szCs w:val="22"/>
        </w:rPr>
        <w:t xml:space="preserve">C, počas 7 dní po podaní bola priemerná exkrécia </w:t>
      </w:r>
      <w:r w:rsidRPr="005F36CB">
        <w:rPr>
          <w:sz w:val="22"/>
          <w:szCs w:val="22"/>
          <w:vertAlign w:val="superscript"/>
        </w:rPr>
        <w:t>14</w:t>
      </w:r>
      <w:r w:rsidRPr="005F36CB">
        <w:rPr>
          <w:sz w:val="22"/>
          <w:szCs w:val="22"/>
        </w:rPr>
        <w:t xml:space="preserve">C stolicou 0,8 %, čo ukazuje </w:t>
      </w:r>
      <w:r w:rsidRPr="005F36CB">
        <w:rPr>
          <w:sz w:val="22"/>
          <w:szCs w:val="22"/>
        </w:rPr>
        <w:lastRenderedPageBreak/>
        <w:t>na jeho úplnú absorpciu.</w:t>
      </w:r>
    </w:p>
    <w:p w:rsidR="00CD258C" w:rsidRPr="005F36CB" w:rsidRDefault="00CD258C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Distribúcia</w:t>
      </w:r>
    </w:p>
    <w:p w:rsidR="00AF453A" w:rsidRDefault="00AF453A">
      <w:pPr>
        <w:pStyle w:val="CM69"/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TMZ vykazuje nízku väzbu na bielkoviny (10 % až 20 %), a preto sa neočakáva jeho interakcia s látkami, ktoré sa silne viažu na bielkoviny. PET štúdie u ľudí, ako aj predklinické údaje ukazujú, že TMZ rýchlo prechádza hematoencefalickou bariérou a je prítomný v mozgovomiechovom moku. Prienik do mozgovomiechového moku bol potvrdený u jedného pacienta; meraním AUC sa zistilo, že koncentrácia TMZ v mozgovomiechovom moku dosahuje približne 30 % hladín v plazme, čo zodpovedá údajom zisteným u</w:t>
      </w:r>
      <w:r w:rsidR="0030485C">
        <w:rPr>
          <w:sz w:val="22"/>
          <w:szCs w:val="22"/>
        </w:rPr>
        <w:t> </w:t>
      </w:r>
      <w:r w:rsidRPr="005F36CB">
        <w:rPr>
          <w:sz w:val="22"/>
          <w:szCs w:val="22"/>
        </w:rPr>
        <w:t>zvierat</w:t>
      </w:r>
      <w:r w:rsidR="0030485C">
        <w:rPr>
          <w:sz w:val="22"/>
          <w:szCs w:val="22"/>
        </w:rPr>
        <w:t>.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rPr>
          <w:sz w:val="22"/>
          <w:szCs w:val="22"/>
          <w:u w:val="single"/>
        </w:rPr>
      </w:pPr>
      <w:r w:rsidRPr="005F36CB">
        <w:rPr>
          <w:sz w:val="22"/>
          <w:szCs w:val="22"/>
          <w:u w:val="single"/>
        </w:rPr>
        <w:t>Eliminácia</w:t>
      </w:r>
    </w:p>
    <w:p w:rsidR="00AF453A" w:rsidRDefault="00AF453A">
      <w:pPr>
        <w:pStyle w:val="Default"/>
        <w:rPr>
          <w:color w:val="auto"/>
          <w:sz w:val="22"/>
          <w:szCs w:val="22"/>
        </w:rPr>
      </w:pPr>
    </w:p>
    <w:p w:rsidR="00CD258C" w:rsidRPr="005F36CB" w:rsidRDefault="00CD258C">
      <w:pPr>
        <w:pStyle w:val="Default"/>
        <w:rPr>
          <w:color w:val="auto"/>
          <w:sz w:val="22"/>
          <w:szCs w:val="22"/>
        </w:rPr>
      </w:pPr>
      <w:r w:rsidRPr="005F36CB">
        <w:rPr>
          <w:color w:val="auto"/>
          <w:sz w:val="22"/>
          <w:szCs w:val="22"/>
        </w:rPr>
        <w:t xml:space="preserve">Polčas (t1/2) v plazme je približne 1,8 hodín. Hlavnou cestou vylučovania </w:t>
      </w:r>
      <w:r w:rsidRPr="005F36CB">
        <w:rPr>
          <w:sz w:val="22"/>
          <w:szCs w:val="22"/>
          <w:vertAlign w:val="superscript"/>
        </w:rPr>
        <w:t>14</w:t>
      </w:r>
      <w:r w:rsidRPr="005F36CB">
        <w:rPr>
          <w:sz w:val="22"/>
          <w:szCs w:val="22"/>
        </w:rPr>
        <w:t>C</w:t>
      </w:r>
      <w:r w:rsidRPr="005F36CB">
        <w:rPr>
          <w:color w:val="auto"/>
          <w:sz w:val="22"/>
          <w:szCs w:val="22"/>
        </w:rPr>
        <w:t xml:space="preserve"> sú obličky. Po perorálnom podaní sa močom vylúči približne 5 % až 10 % dávky v nezmenenej forme v priebehu 24 hodín a zvyšok sa vylúči ako kyselina temozolomidová, 5-aminoimidazol-4-karboxamid (AIC) alebo neidentifikovateľné polárne metabolity.</w:t>
      </w:r>
    </w:p>
    <w:p w:rsidR="00CD258C" w:rsidRPr="005F36CB" w:rsidRDefault="00CD258C">
      <w:pPr>
        <w:rPr>
          <w:sz w:val="22"/>
          <w:szCs w:val="22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Plazmatické koncentrácie stúpajú v závislosti od podanej dávky. Plazmatický klírens, distribučný objem a polčas sú nezávislé od podanej dávky.</w:t>
      </w:r>
    </w:p>
    <w:p w:rsidR="00CD258C" w:rsidRPr="005F36CB" w:rsidRDefault="00CD258C">
      <w:pPr>
        <w:pStyle w:val="CM69"/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  <w:u w:val="single"/>
        </w:rPr>
        <w:t>Špeciálne populácie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Analýza populačnej farmakokinetiky TMZ ukázala, že plazmatický klírens TMZ bol nezávislý od veku pacienta, renálnych funkcií alebo od fajčenia. V inej farmakokinetickej štúdii boli plazmatické farmakokinetické profily u pacientov s miernym alebo stredne ťažkým poškodením funkcie pečene podobné plazmatickým farmakokinetickým profilom pozorovaným u pacientov s normálnou funkciou pečene.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Detskí pacienti mali vyššiu AUC ako dospelí pacienti; avšak maximálna tolerovaná dávka (MTD) bola 1 000 mg/m</w:t>
      </w:r>
      <w:r w:rsidRPr="005F36CB">
        <w:rPr>
          <w:sz w:val="22"/>
          <w:szCs w:val="22"/>
          <w:vertAlign w:val="superscript"/>
        </w:rPr>
        <w:t>2</w:t>
      </w:r>
      <w:r w:rsidRPr="005F36CB">
        <w:rPr>
          <w:sz w:val="22"/>
          <w:szCs w:val="22"/>
        </w:rPr>
        <w:t>/cyklus u detí aj u dospelých.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5.3</w:t>
      </w:r>
      <w:r w:rsidRPr="005F36CB">
        <w:rPr>
          <w:b/>
          <w:bCs/>
          <w:sz w:val="22"/>
          <w:szCs w:val="22"/>
        </w:rPr>
        <w:tab/>
        <w:t>Predklinické údaje o bezpečnosti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Boli vykonané jednocyklové (5-dní podávanie, 23 dní bez liečby), 3- a 6-cyklové štúdie toxicity na potkanoch a psoch. Toxicita sa primárne prejavila na kostnej dreni, lymforetikulárnom systéme, semenníkoch a gastrointestinálnom trakte. Vo vyšších dávkach, ktoré boli letálne pre 60 % až 100 % testovaných potkanov a psov, objavila sa degenerácia sietnice. Väčšina toxických zmien sa ukázala byť reverzibilná, výnimkou boli nežiaduce udalosti na mužský reprodukčný systém a degenerácia sietnice. Keďže sa však dávky, ktoré zapríčinili degeneráciu sietnice, pohybovali v rozmedzí letálnych dávok a porovnateľný účinok nebol pozorovaný v klinických štúdiách, tento nález sa nepokladá za klinicky významný.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rPr>
          <w:sz w:val="22"/>
          <w:szCs w:val="22"/>
        </w:rPr>
      </w:pPr>
      <w:r w:rsidRPr="005F36CB">
        <w:rPr>
          <w:sz w:val="22"/>
          <w:szCs w:val="22"/>
        </w:rPr>
        <w:t>TMZ je embryotoxická, teratogénna a genotoxická alkylačná látka. TMZ je toxickejší pre potkany a psov ako pre ľudí a klinická dávka sa približuje minimálnej letálnej dávke u potkanov a u psov. Na dávke závislé redukcie leukocytov a trombocytov sa javia ako senzitívne indikátory toxicity. V 6-cyklovej štúdii na potkanoch sa zaznamenali rôzne nádory, vrátane mamárnych karcinómov, keratoakantómov kože a bazocelulárnych adenómov, zatiaľ čo v štúdiách na psoch sa nádory alebo predneoplastické zmeny nezistili. Potkany sa javia byť zvlášť citlivé na onkogénne účinky TMZ, pričom prvé nádory sa zjavujú v priebehu 3 mesiacov od začiatku podávania. Táto doba latencie je veľmi krátka aj pre alkylačnú látku.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70"/>
        <w:rPr>
          <w:sz w:val="22"/>
          <w:szCs w:val="22"/>
        </w:rPr>
      </w:pPr>
      <w:r w:rsidRPr="005F36CB">
        <w:rPr>
          <w:sz w:val="22"/>
          <w:szCs w:val="22"/>
        </w:rPr>
        <w:t>Testy chromozómových aberácií Ames/salmonely a ľudských lymfocytov z periférnej krvi (Human Peripheral Blood Lymphocyte - HPBL) ukázali pozitívnu mutagénnnu odpoveď.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6.</w:t>
      </w:r>
      <w:r w:rsidRPr="005F36CB">
        <w:rPr>
          <w:b/>
          <w:bCs/>
          <w:sz w:val="22"/>
          <w:szCs w:val="22"/>
        </w:rPr>
        <w:tab/>
        <w:t>FARMACEUTICKÉ INFORMÁCIE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5F36CB" w:rsidRDefault="00CD258C">
      <w:pPr>
        <w:pStyle w:val="CM69"/>
        <w:tabs>
          <w:tab w:val="left" w:pos="540"/>
        </w:tabs>
        <w:rPr>
          <w:sz w:val="22"/>
          <w:szCs w:val="22"/>
        </w:rPr>
      </w:pPr>
      <w:r w:rsidRPr="005F36CB">
        <w:rPr>
          <w:b/>
          <w:bCs/>
          <w:sz w:val="22"/>
          <w:szCs w:val="22"/>
        </w:rPr>
        <w:t>6.1</w:t>
      </w:r>
      <w:r w:rsidRPr="005F36CB">
        <w:rPr>
          <w:b/>
          <w:bCs/>
          <w:sz w:val="22"/>
          <w:szCs w:val="22"/>
        </w:rPr>
        <w:tab/>
        <w:t>Zoznam pomocných látok</w:t>
      </w:r>
    </w:p>
    <w:p w:rsidR="00CD258C" w:rsidRPr="005F36CB" w:rsidRDefault="00CD258C">
      <w:pPr>
        <w:rPr>
          <w:sz w:val="22"/>
          <w:szCs w:val="22"/>
          <w:u w:val="single"/>
        </w:rPr>
      </w:pPr>
    </w:p>
    <w:p w:rsidR="00CD258C" w:rsidRPr="00EE6509" w:rsidRDefault="00CD258C" w:rsidP="00EE6509">
      <w:pPr>
        <w:pStyle w:val="tl1"/>
        <w:rPr>
          <w:u w:val="single"/>
        </w:rPr>
      </w:pPr>
      <w:r w:rsidRPr="00EE6509">
        <w:t>TEMOSTAD 5 mg:</w:t>
      </w:r>
    </w:p>
    <w:p w:rsidR="00CD258C" w:rsidRPr="005F36CB" w:rsidRDefault="00CD258C">
      <w:pPr>
        <w:rPr>
          <w:sz w:val="22"/>
          <w:u w:val="single"/>
        </w:rPr>
      </w:pPr>
    </w:p>
    <w:p w:rsidR="00CD258C" w:rsidRPr="005F36CB" w:rsidRDefault="00CD258C">
      <w:pPr>
        <w:rPr>
          <w:sz w:val="22"/>
          <w:u w:val="single"/>
        </w:rPr>
      </w:pPr>
      <w:r w:rsidRPr="005F36CB">
        <w:rPr>
          <w:sz w:val="22"/>
          <w:u w:val="single"/>
        </w:rPr>
        <w:t>Obsah kapsuly: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laktóza</w:t>
      </w:r>
      <w:r w:rsidR="0030485C">
        <w:rPr>
          <w:sz w:val="22"/>
        </w:rPr>
        <w:t>,</w:t>
      </w:r>
      <w:r w:rsidRPr="005F36CB">
        <w:rPr>
          <w:sz w:val="22"/>
        </w:rPr>
        <w:t xml:space="preserve"> </w:t>
      </w:r>
      <w:r w:rsidR="0030485C" w:rsidRPr="005F36CB">
        <w:rPr>
          <w:sz w:val="22"/>
        </w:rPr>
        <w:t>bezvodá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karboxymetylškrob A</w:t>
      </w:r>
      <w:r w:rsidR="0030485C">
        <w:rPr>
          <w:sz w:val="22"/>
        </w:rPr>
        <w:t xml:space="preserve">, </w:t>
      </w:r>
      <w:r w:rsidR="0030485C" w:rsidRPr="005F36CB">
        <w:rPr>
          <w:sz w:val="22"/>
        </w:rPr>
        <w:t>sodná soľ</w:t>
      </w: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oxid kremičitý</w:t>
      </w:r>
      <w:r w:rsidR="0030485C">
        <w:rPr>
          <w:sz w:val="22"/>
        </w:rPr>
        <w:t>,</w:t>
      </w:r>
      <w:r w:rsidRPr="005F36CB">
        <w:rPr>
          <w:sz w:val="22"/>
        </w:rPr>
        <w:t xml:space="preserve"> </w:t>
      </w:r>
      <w:r w:rsidR="0030485C" w:rsidRPr="005F36CB">
        <w:rPr>
          <w:sz w:val="22"/>
        </w:rPr>
        <w:t>koloidný</w:t>
      </w:r>
      <w:r w:rsidR="0030485C">
        <w:rPr>
          <w:sz w:val="22"/>
        </w:rPr>
        <w:t xml:space="preserve"> bezvodý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vínna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stearová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>Obal kapsuly: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želatína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EE6509">
        <w:rPr>
          <w:rFonts w:ascii="Times New Roman" w:hAnsi="Times New Roman" w:cs="Times New Roman"/>
          <w:bCs w:val="0"/>
          <w:sz w:val="22"/>
          <w:u w:val="single"/>
        </w:rPr>
        <w:t>Potlač</w:t>
      </w: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 xml:space="preserve">: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šelak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propylénglykol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žltý oxid železitý (E 172)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hlinitý lak indigokarmínu (E 132)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 w:rsidP="00EE6509">
      <w:pPr>
        <w:pStyle w:val="tl1"/>
      </w:pPr>
      <w:r w:rsidRPr="005F36CB">
        <w:t>TEMOSTAD 20 mg: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  <w:u w:val="single"/>
        </w:rPr>
      </w:pPr>
      <w:r w:rsidRPr="005F36CB">
        <w:rPr>
          <w:sz w:val="22"/>
          <w:u w:val="single"/>
        </w:rPr>
        <w:t>Obsah kapsuly: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laktóza</w:t>
      </w:r>
      <w:r>
        <w:rPr>
          <w:sz w:val="22"/>
        </w:rPr>
        <w:t>,</w:t>
      </w:r>
      <w:r w:rsidRPr="005F36CB">
        <w:rPr>
          <w:sz w:val="22"/>
        </w:rPr>
        <w:t xml:space="preserve"> bezvodá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karboxymetylškrob A</w:t>
      </w:r>
      <w:r>
        <w:rPr>
          <w:sz w:val="22"/>
        </w:rPr>
        <w:t xml:space="preserve">, </w:t>
      </w:r>
      <w:r w:rsidRPr="005F36CB">
        <w:rPr>
          <w:sz w:val="22"/>
        </w:rPr>
        <w:t xml:space="preserve">sodná soľ 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oxid kremičitý</w:t>
      </w:r>
      <w:r>
        <w:rPr>
          <w:sz w:val="22"/>
        </w:rPr>
        <w:t>,</w:t>
      </w:r>
      <w:r w:rsidRPr="005F36CB">
        <w:rPr>
          <w:sz w:val="22"/>
        </w:rPr>
        <w:t xml:space="preserve"> koloidný</w:t>
      </w:r>
      <w:r>
        <w:rPr>
          <w:sz w:val="22"/>
        </w:rPr>
        <w:t xml:space="preserve"> bezvodý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vínna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stearová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>Obal kapsuly: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želatína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EE6509">
        <w:rPr>
          <w:rFonts w:ascii="Times New Roman" w:hAnsi="Times New Roman" w:cs="Times New Roman"/>
          <w:bCs w:val="0"/>
          <w:sz w:val="22"/>
          <w:u w:val="single"/>
        </w:rPr>
        <w:t>Potlač</w:t>
      </w: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 xml:space="preserve">: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šelak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propylénglykol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hlinitý lak oranžovej žlte FCF (E 110)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 w:rsidP="00EE6509">
      <w:pPr>
        <w:pStyle w:val="tl1"/>
        <w:rPr>
          <w:u w:val="single"/>
        </w:rPr>
      </w:pPr>
      <w:bookmarkStart w:id="0" w:name="OLE_LINK1"/>
      <w:r w:rsidRPr="005F36CB">
        <w:t>TEMOSTAD 100 mg:</w:t>
      </w:r>
    </w:p>
    <w:p w:rsidR="00CD258C" w:rsidRPr="005F36CB" w:rsidRDefault="00CD258C">
      <w:pPr>
        <w:rPr>
          <w:sz w:val="22"/>
          <w:u w:val="single"/>
        </w:rPr>
      </w:pPr>
    </w:p>
    <w:p w:rsidR="00CD258C" w:rsidRPr="005F36CB" w:rsidRDefault="00CD258C">
      <w:pPr>
        <w:rPr>
          <w:sz w:val="22"/>
          <w:u w:val="single"/>
        </w:rPr>
      </w:pPr>
      <w:r w:rsidRPr="005F36CB">
        <w:rPr>
          <w:sz w:val="22"/>
          <w:u w:val="single"/>
        </w:rPr>
        <w:t>Obsah kapsuly: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laktóza</w:t>
      </w:r>
      <w:r>
        <w:rPr>
          <w:sz w:val="22"/>
        </w:rPr>
        <w:t>,</w:t>
      </w:r>
      <w:r w:rsidRPr="005F36CB">
        <w:rPr>
          <w:sz w:val="22"/>
        </w:rPr>
        <w:t xml:space="preserve"> bezvodá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karboxymetylškrob A</w:t>
      </w:r>
      <w:r>
        <w:rPr>
          <w:sz w:val="22"/>
        </w:rPr>
        <w:t xml:space="preserve">, </w:t>
      </w:r>
      <w:r w:rsidRPr="005F36CB">
        <w:rPr>
          <w:sz w:val="22"/>
        </w:rPr>
        <w:t xml:space="preserve">sodná soľ 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oxid kremičitý</w:t>
      </w:r>
      <w:r>
        <w:rPr>
          <w:sz w:val="22"/>
        </w:rPr>
        <w:t>,</w:t>
      </w:r>
      <w:r w:rsidRPr="005F36CB">
        <w:rPr>
          <w:sz w:val="22"/>
        </w:rPr>
        <w:t xml:space="preserve"> koloidný</w:t>
      </w:r>
      <w:r>
        <w:rPr>
          <w:sz w:val="22"/>
        </w:rPr>
        <w:t xml:space="preserve"> bezvodý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vínna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stearová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>Obal kapsuly: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želatína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EE6509">
        <w:rPr>
          <w:rFonts w:ascii="Times New Roman" w:hAnsi="Times New Roman" w:cs="Times New Roman"/>
          <w:bCs w:val="0"/>
          <w:sz w:val="22"/>
          <w:u w:val="single"/>
        </w:rPr>
        <w:t>Potlač</w:t>
      </w: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 xml:space="preserve">: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šelak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lastRenderedPageBreak/>
        <w:t xml:space="preserve">propylénglykol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červený oxid železitý (E 172)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žltý oxid železitý (E 172)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bookmarkEnd w:id="0"/>
    <w:p w:rsidR="00CD258C" w:rsidRPr="005F36CB" w:rsidRDefault="00CD258C">
      <w:pPr>
        <w:rPr>
          <w:sz w:val="22"/>
        </w:rPr>
      </w:pPr>
    </w:p>
    <w:p w:rsidR="00CD258C" w:rsidRPr="005F36CB" w:rsidRDefault="00CD258C" w:rsidP="00EE6509">
      <w:pPr>
        <w:pStyle w:val="tl1"/>
        <w:rPr>
          <w:u w:val="single"/>
        </w:rPr>
      </w:pPr>
      <w:r w:rsidRPr="005F36CB">
        <w:t>TEMOSTAD 140 mg:</w:t>
      </w:r>
    </w:p>
    <w:p w:rsidR="00CD258C" w:rsidRPr="005F36CB" w:rsidRDefault="00CD258C">
      <w:pPr>
        <w:rPr>
          <w:sz w:val="22"/>
          <w:u w:val="single"/>
        </w:rPr>
      </w:pPr>
    </w:p>
    <w:p w:rsidR="00CD258C" w:rsidRPr="005F36CB" w:rsidRDefault="00CD258C">
      <w:pPr>
        <w:rPr>
          <w:sz w:val="22"/>
          <w:u w:val="single"/>
        </w:rPr>
      </w:pPr>
      <w:r w:rsidRPr="005F36CB">
        <w:rPr>
          <w:sz w:val="22"/>
          <w:u w:val="single"/>
        </w:rPr>
        <w:t>Obsah kapsuly: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laktóza</w:t>
      </w:r>
      <w:r>
        <w:rPr>
          <w:sz w:val="22"/>
        </w:rPr>
        <w:t>,</w:t>
      </w:r>
      <w:r w:rsidRPr="005F36CB">
        <w:rPr>
          <w:sz w:val="22"/>
        </w:rPr>
        <w:t xml:space="preserve"> bezvodá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karboxymetylškrob A</w:t>
      </w:r>
      <w:r>
        <w:rPr>
          <w:sz w:val="22"/>
        </w:rPr>
        <w:t xml:space="preserve">, </w:t>
      </w:r>
      <w:r w:rsidRPr="005F36CB">
        <w:rPr>
          <w:sz w:val="22"/>
        </w:rPr>
        <w:t xml:space="preserve">sodná soľ 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oxid kremičitý</w:t>
      </w:r>
      <w:r>
        <w:rPr>
          <w:sz w:val="22"/>
        </w:rPr>
        <w:t>,</w:t>
      </w:r>
      <w:r w:rsidRPr="005F36CB">
        <w:rPr>
          <w:sz w:val="22"/>
        </w:rPr>
        <w:t xml:space="preserve"> koloidný</w:t>
      </w:r>
      <w:r>
        <w:rPr>
          <w:sz w:val="22"/>
        </w:rPr>
        <w:t xml:space="preserve"> bezvodý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vínna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stearová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>Obal kapsuly: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želatína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EE6509">
        <w:rPr>
          <w:rFonts w:ascii="Times New Roman" w:hAnsi="Times New Roman" w:cs="Times New Roman"/>
          <w:bCs w:val="0"/>
          <w:sz w:val="22"/>
          <w:u w:val="single"/>
        </w:rPr>
        <w:t>Potlač</w:t>
      </w: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 xml:space="preserve">: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šelak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propylénglykol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hlinitý lak indigokarmínu (E132)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 w:rsidP="00EE6509">
      <w:pPr>
        <w:pStyle w:val="tl1"/>
        <w:rPr>
          <w:u w:val="single"/>
        </w:rPr>
      </w:pPr>
      <w:r w:rsidRPr="005F36CB">
        <w:t>TEMOSTAD 180 mg:</w:t>
      </w:r>
    </w:p>
    <w:p w:rsidR="00CD258C" w:rsidRPr="005F36CB" w:rsidRDefault="00CD258C">
      <w:pPr>
        <w:rPr>
          <w:sz w:val="22"/>
          <w:u w:val="single"/>
        </w:rPr>
      </w:pPr>
    </w:p>
    <w:p w:rsidR="00CD258C" w:rsidRPr="005F36CB" w:rsidRDefault="00CD258C">
      <w:pPr>
        <w:rPr>
          <w:sz w:val="22"/>
          <w:u w:val="single"/>
        </w:rPr>
      </w:pPr>
      <w:r w:rsidRPr="005F36CB">
        <w:rPr>
          <w:sz w:val="22"/>
          <w:u w:val="single"/>
        </w:rPr>
        <w:t>Obsah kapsuly: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laktóza</w:t>
      </w:r>
      <w:r>
        <w:rPr>
          <w:sz w:val="22"/>
        </w:rPr>
        <w:t>,</w:t>
      </w:r>
      <w:r w:rsidRPr="005F36CB">
        <w:rPr>
          <w:sz w:val="22"/>
        </w:rPr>
        <w:t xml:space="preserve"> bezvodá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karboxymetylškrob A</w:t>
      </w:r>
      <w:r>
        <w:rPr>
          <w:sz w:val="22"/>
        </w:rPr>
        <w:t xml:space="preserve">, </w:t>
      </w:r>
      <w:r w:rsidRPr="005F36CB">
        <w:rPr>
          <w:sz w:val="22"/>
        </w:rPr>
        <w:t xml:space="preserve">sodná soľ 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oxid kremičitý</w:t>
      </w:r>
      <w:r>
        <w:rPr>
          <w:sz w:val="22"/>
        </w:rPr>
        <w:t>,</w:t>
      </w:r>
      <w:r w:rsidRPr="005F36CB">
        <w:rPr>
          <w:sz w:val="22"/>
        </w:rPr>
        <w:t xml:space="preserve"> koloidný</w:t>
      </w:r>
      <w:r>
        <w:rPr>
          <w:sz w:val="22"/>
        </w:rPr>
        <w:t xml:space="preserve"> bezvodý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vínna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stearová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>Obal kapsuly: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želatína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EE6509">
        <w:rPr>
          <w:rFonts w:ascii="Times New Roman" w:hAnsi="Times New Roman" w:cs="Times New Roman"/>
          <w:bCs w:val="0"/>
          <w:sz w:val="22"/>
          <w:u w:val="single"/>
        </w:rPr>
        <w:t>Potlač</w:t>
      </w: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 xml:space="preserve">: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šelak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propylénglykol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červený oxid železitý (E 172)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 </w:t>
      </w:r>
    </w:p>
    <w:p w:rsidR="00CD258C" w:rsidRPr="005F36CB" w:rsidRDefault="00CD258C" w:rsidP="00EE6509">
      <w:pPr>
        <w:pStyle w:val="tl1"/>
        <w:rPr>
          <w:u w:val="single"/>
        </w:rPr>
      </w:pPr>
      <w:r w:rsidRPr="005F36CB">
        <w:t>TEMOSTAD 250 mg:</w:t>
      </w:r>
    </w:p>
    <w:p w:rsidR="00CD258C" w:rsidRPr="005F36CB" w:rsidRDefault="00CD258C">
      <w:pPr>
        <w:rPr>
          <w:sz w:val="22"/>
          <w:u w:val="single"/>
        </w:rPr>
      </w:pPr>
    </w:p>
    <w:p w:rsidR="00CD258C" w:rsidRPr="005F36CB" w:rsidRDefault="00CD258C">
      <w:pPr>
        <w:rPr>
          <w:sz w:val="22"/>
          <w:u w:val="single"/>
        </w:rPr>
      </w:pPr>
      <w:r w:rsidRPr="005F36CB">
        <w:rPr>
          <w:sz w:val="22"/>
          <w:u w:val="single"/>
        </w:rPr>
        <w:t>Obsah kapsuly: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laktóza</w:t>
      </w:r>
      <w:r>
        <w:rPr>
          <w:sz w:val="22"/>
        </w:rPr>
        <w:t>,</w:t>
      </w:r>
      <w:r w:rsidRPr="005F36CB">
        <w:rPr>
          <w:sz w:val="22"/>
        </w:rPr>
        <w:t xml:space="preserve"> bezvodá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karboxymetylškrob A</w:t>
      </w:r>
      <w:r>
        <w:rPr>
          <w:sz w:val="22"/>
        </w:rPr>
        <w:t xml:space="preserve">, </w:t>
      </w:r>
      <w:r w:rsidRPr="005F36CB">
        <w:rPr>
          <w:sz w:val="22"/>
        </w:rPr>
        <w:t xml:space="preserve">sodná soľ </w:t>
      </w:r>
    </w:p>
    <w:p w:rsidR="0030485C" w:rsidRPr="005F36CB" w:rsidRDefault="0030485C" w:rsidP="0030485C">
      <w:pPr>
        <w:rPr>
          <w:sz w:val="22"/>
        </w:rPr>
      </w:pPr>
      <w:r w:rsidRPr="005F36CB">
        <w:rPr>
          <w:sz w:val="22"/>
        </w:rPr>
        <w:t>oxid kremičitý</w:t>
      </w:r>
      <w:r>
        <w:rPr>
          <w:sz w:val="22"/>
        </w:rPr>
        <w:t>,</w:t>
      </w:r>
      <w:r w:rsidRPr="005F36CB">
        <w:rPr>
          <w:sz w:val="22"/>
        </w:rPr>
        <w:t xml:space="preserve"> koloidný</w:t>
      </w:r>
      <w:r>
        <w:rPr>
          <w:sz w:val="22"/>
        </w:rPr>
        <w:t xml:space="preserve"> bezvodý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vínna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kyselina stearová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>Obal kapsuly: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želatína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oxid titaničitý (E171)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2"/>
          <w:u w:val="single"/>
        </w:rPr>
      </w:pPr>
      <w:r w:rsidRPr="00EE6509">
        <w:rPr>
          <w:rFonts w:ascii="Times New Roman" w:hAnsi="Times New Roman" w:cs="Times New Roman"/>
          <w:bCs w:val="0"/>
          <w:sz w:val="22"/>
          <w:u w:val="single"/>
        </w:rPr>
        <w:t>Potlač</w:t>
      </w:r>
      <w:r w:rsidRPr="005F36CB">
        <w:rPr>
          <w:rFonts w:ascii="Times New Roman" w:hAnsi="Times New Roman" w:cs="Times New Roman"/>
          <w:b w:val="0"/>
          <w:bCs w:val="0"/>
          <w:sz w:val="22"/>
          <w:u w:val="single"/>
        </w:rPr>
        <w:t xml:space="preserve">: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šelak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čierny oxid železitý (E 172)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lastRenderedPageBreak/>
        <w:t xml:space="preserve">propylénglykol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>6.2</w:t>
      </w:r>
      <w:r w:rsidRPr="005F36CB">
        <w:rPr>
          <w:b/>
          <w:bCs/>
          <w:sz w:val="22"/>
        </w:rPr>
        <w:tab/>
        <w:t xml:space="preserve">Inkompatibility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Neaplikovateľné.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6.3 </w:t>
      </w:r>
      <w:r w:rsidRPr="005F36CB">
        <w:rPr>
          <w:b/>
          <w:bCs/>
          <w:sz w:val="22"/>
        </w:rPr>
        <w:tab/>
        <w:t xml:space="preserve">Čas použiteľnosti </w:t>
      </w:r>
    </w:p>
    <w:p w:rsidR="00CD258C" w:rsidRPr="005F36CB" w:rsidRDefault="00CD258C">
      <w:pPr>
        <w:rPr>
          <w:sz w:val="22"/>
        </w:rPr>
      </w:pPr>
    </w:p>
    <w:p w:rsidR="00CD258C" w:rsidRPr="005F36CB" w:rsidRDefault="0095248C">
      <w:pPr>
        <w:rPr>
          <w:sz w:val="22"/>
        </w:rPr>
      </w:pPr>
      <w:r w:rsidRPr="005F36CB">
        <w:rPr>
          <w:sz w:val="22"/>
        </w:rPr>
        <w:t xml:space="preserve">3 </w:t>
      </w:r>
      <w:r w:rsidR="00CD258C" w:rsidRPr="005F36CB">
        <w:rPr>
          <w:sz w:val="22"/>
        </w:rPr>
        <w:t xml:space="preserve">roky. </w:t>
      </w:r>
    </w:p>
    <w:p w:rsidR="00CD258C" w:rsidRPr="005F36CB" w:rsidRDefault="00CD258C">
      <w:pPr>
        <w:rPr>
          <w:b/>
          <w:bCs/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b/>
          <w:bCs/>
          <w:sz w:val="22"/>
        </w:rPr>
        <w:t xml:space="preserve">6.4 </w:t>
      </w:r>
      <w:r w:rsidRPr="005F36CB">
        <w:rPr>
          <w:b/>
          <w:bCs/>
          <w:sz w:val="22"/>
        </w:rPr>
        <w:tab/>
        <w:t xml:space="preserve">Špeciálne upozornenia na uchovávanie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Uchovávajte v pôvodnom obale na ochranu pred svetlom. Fľašu udržiavajte dôkladne uzatvorenú na ochranu pred vlhkosťou. </w:t>
      </w:r>
      <w:r w:rsidR="0095248C" w:rsidRPr="005F36CB">
        <w:rPr>
          <w:sz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°C"/>
        </w:smartTagPr>
        <w:r w:rsidR="0095248C" w:rsidRPr="005F36CB">
          <w:rPr>
            <w:sz w:val="22"/>
          </w:rPr>
          <w:t>30°C</w:t>
        </w:r>
      </w:smartTag>
      <w:r w:rsidR="0095248C" w:rsidRPr="005F36CB">
        <w:rPr>
          <w:sz w:val="22"/>
        </w:rPr>
        <w:t>.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6.5 </w:t>
      </w:r>
      <w:r w:rsidRPr="005F36CB">
        <w:rPr>
          <w:b/>
          <w:bCs/>
          <w:sz w:val="22"/>
        </w:rPr>
        <w:tab/>
        <w:t xml:space="preserve">Druh obalu a obsah balenia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Fľaše z jantárového skla s polypropylénovým skrutkovacím uzáverom bezpečným pre deti vybavené indukčným polyetylénovým tesnením obsahujúce 5 alebo 20 kapsúl. </w:t>
      </w:r>
    </w:p>
    <w:p w:rsidR="00CD258C" w:rsidRPr="005F36CB" w:rsidRDefault="00CD258C">
      <w:pPr>
        <w:rPr>
          <w:sz w:val="22"/>
        </w:rPr>
      </w:pPr>
    </w:p>
    <w:p w:rsidR="00CD258C" w:rsidRPr="005F36CB" w:rsidRDefault="00AF453A">
      <w:pPr>
        <w:rPr>
          <w:sz w:val="22"/>
        </w:rPr>
      </w:pPr>
      <w:r>
        <w:rPr>
          <w:sz w:val="22"/>
        </w:rPr>
        <w:t>Na trh nemusia byť uvedené všetky veľkosti balenia.</w:t>
      </w:r>
    </w:p>
    <w:p w:rsidR="00EC2B0C" w:rsidRDefault="00EC2B0C">
      <w:pPr>
        <w:rPr>
          <w:b/>
          <w:bCs/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6.6 </w:t>
      </w:r>
      <w:r w:rsidRPr="005F36CB">
        <w:rPr>
          <w:b/>
          <w:bCs/>
          <w:sz w:val="22"/>
        </w:rPr>
        <w:tab/>
        <w:t xml:space="preserve">Špeciálne opatrenia na likvidáciu a iné zaobchádzanie s liekom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Kapsuly sa nesmú otvárať. Ak je kapsula poškodená, musíte zabrániť kontaktu práškového obsahu s kožou alebo sliznicou. Ak sa TEMOSTAD dostane do kontaktu s kožou alebo sliznicou, okamžite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a dôkladne sa musí postihnutá oblasť umyť mydlom a vodou.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Pacientov treba poučiť, aby kapsuly uchovávali mimo </w:t>
      </w:r>
      <w:r w:rsidR="0030485C">
        <w:rPr>
          <w:sz w:val="22"/>
        </w:rPr>
        <w:t> </w:t>
      </w:r>
      <w:r w:rsidRPr="005F36CB">
        <w:rPr>
          <w:sz w:val="22"/>
        </w:rPr>
        <w:t>dohľadu</w:t>
      </w:r>
      <w:r w:rsidR="0030485C">
        <w:rPr>
          <w:sz w:val="22"/>
        </w:rPr>
        <w:t xml:space="preserve"> a</w:t>
      </w:r>
      <w:r w:rsidRPr="005F36CB">
        <w:rPr>
          <w:sz w:val="22"/>
        </w:rPr>
        <w:t xml:space="preserve"> </w:t>
      </w:r>
      <w:r w:rsidR="0030485C" w:rsidRPr="005F36CB">
        <w:rPr>
          <w:sz w:val="22"/>
        </w:rPr>
        <w:t xml:space="preserve">dosahu </w:t>
      </w:r>
      <w:r w:rsidRPr="005F36CB">
        <w:rPr>
          <w:sz w:val="22"/>
        </w:rPr>
        <w:t xml:space="preserve">detí, najlepšie v uzamknutej skrini. Náhodné prehltnutie môže byť pre deti smrteľné.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Nepoužitý liek alebo odpad vzniknutý z lieku má byť zlikvidovaný v súlade s národnými 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požiadavkami.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Tehotné zdravotnícke pracovníčky nesmú narábať s týmto liekom.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7. </w:t>
      </w:r>
      <w:r w:rsidRPr="005F36CB">
        <w:rPr>
          <w:b/>
          <w:bCs/>
          <w:sz w:val="22"/>
        </w:rPr>
        <w:tab/>
        <w:t xml:space="preserve">DRŽITEĽ ROZHODNUTIA O REGISTRÁCII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STADA Arzneimittel AG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Stadastrasse 2-18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61118 Bad Vilbel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Nemecko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 xml:space="preserve">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8. </w:t>
      </w:r>
      <w:r w:rsidRPr="005F36CB">
        <w:rPr>
          <w:b/>
          <w:bCs/>
          <w:sz w:val="22"/>
        </w:rPr>
        <w:tab/>
        <w:t xml:space="preserve">REGISTRAČNÉ ČÍSLA 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5 mg: 44/0224/10-S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20 mg: 44/0225/10-S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100 mg: 44/0226/10-S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140 mg: 44/0227/10-S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180 mg: 44/0228/10-S</w:t>
      </w:r>
    </w:p>
    <w:p w:rsidR="00CD258C" w:rsidRPr="005F36CB" w:rsidRDefault="00CD258C">
      <w:pPr>
        <w:rPr>
          <w:sz w:val="22"/>
        </w:rPr>
      </w:pPr>
      <w:r w:rsidRPr="005F36CB">
        <w:rPr>
          <w:sz w:val="22"/>
        </w:rPr>
        <w:t>TEMOSTAD 250 mg: 44/0229/10-S</w:t>
      </w: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9. </w:t>
      </w:r>
      <w:r w:rsidRPr="005F36CB">
        <w:rPr>
          <w:b/>
          <w:bCs/>
          <w:sz w:val="22"/>
        </w:rPr>
        <w:tab/>
        <w:t xml:space="preserve">DÁTUM PRVEJ REGISTRÁCIE/ PREDĹŽENIA REGISTRÁCIE </w:t>
      </w:r>
    </w:p>
    <w:p w:rsidR="00CD258C" w:rsidRPr="005F36CB" w:rsidRDefault="00CD258C">
      <w:pPr>
        <w:rPr>
          <w:sz w:val="22"/>
        </w:rPr>
      </w:pPr>
    </w:p>
    <w:p w:rsidR="00CD258C" w:rsidRDefault="00001988">
      <w:pPr>
        <w:rPr>
          <w:sz w:val="22"/>
        </w:rPr>
      </w:pPr>
      <w:r>
        <w:rPr>
          <w:sz w:val="22"/>
        </w:rPr>
        <w:lastRenderedPageBreak/>
        <w:t xml:space="preserve">Dátum prvej registrácie: </w:t>
      </w:r>
      <w:r w:rsidR="00CD258C" w:rsidRPr="005F36CB">
        <w:rPr>
          <w:sz w:val="22"/>
        </w:rPr>
        <w:t>21.</w:t>
      </w:r>
      <w:r>
        <w:rPr>
          <w:sz w:val="22"/>
        </w:rPr>
        <w:t xml:space="preserve"> apríla </w:t>
      </w:r>
      <w:r w:rsidR="00CD258C" w:rsidRPr="005F36CB">
        <w:rPr>
          <w:sz w:val="22"/>
        </w:rPr>
        <w:t>2010</w:t>
      </w:r>
    </w:p>
    <w:p w:rsidR="00001988" w:rsidRPr="005F36CB" w:rsidRDefault="00001988">
      <w:pPr>
        <w:rPr>
          <w:sz w:val="22"/>
        </w:rPr>
      </w:pPr>
      <w:r>
        <w:rPr>
          <w:sz w:val="22"/>
        </w:rPr>
        <w:t xml:space="preserve">Dátum posledného predĺženia registrácie: </w:t>
      </w:r>
      <w:r w:rsidR="00EA1913">
        <w:rPr>
          <w:sz w:val="22"/>
        </w:rPr>
        <w:t>23. apríla 2015</w:t>
      </w:r>
    </w:p>
    <w:p w:rsidR="00CD258C" w:rsidRPr="005F36CB" w:rsidRDefault="00CD258C">
      <w:pPr>
        <w:rPr>
          <w:sz w:val="22"/>
        </w:rPr>
      </w:pPr>
    </w:p>
    <w:p w:rsidR="0095248C" w:rsidRPr="005F36CB" w:rsidRDefault="0095248C">
      <w:pPr>
        <w:rPr>
          <w:sz w:val="22"/>
        </w:rPr>
      </w:pPr>
    </w:p>
    <w:p w:rsidR="00CD258C" w:rsidRPr="005F36CB" w:rsidRDefault="00CD258C">
      <w:pPr>
        <w:rPr>
          <w:b/>
          <w:bCs/>
          <w:sz w:val="22"/>
        </w:rPr>
      </w:pPr>
      <w:r w:rsidRPr="005F36CB">
        <w:rPr>
          <w:b/>
          <w:bCs/>
          <w:sz w:val="22"/>
        </w:rPr>
        <w:t xml:space="preserve">10. </w:t>
      </w:r>
      <w:r w:rsidRPr="005F36CB">
        <w:rPr>
          <w:b/>
          <w:bCs/>
          <w:sz w:val="22"/>
        </w:rPr>
        <w:tab/>
        <w:t xml:space="preserve">DÁTUM REVÍZIE TEXTU </w:t>
      </w:r>
    </w:p>
    <w:p w:rsidR="00CD258C" w:rsidRDefault="00CD258C">
      <w:pPr>
        <w:rPr>
          <w:sz w:val="22"/>
        </w:rPr>
      </w:pPr>
    </w:p>
    <w:p w:rsidR="00CD258C" w:rsidRPr="005F36CB" w:rsidRDefault="00557D18">
      <w:pPr>
        <w:rPr>
          <w:sz w:val="22"/>
          <w:szCs w:val="22"/>
        </w:rPr>
      </w:pPr>
      <w:r>
        <w:rPr>
          <w:sz w:val="22"/>
        </w:rPr>
        <w:t>Október 2019</w:t>
      </w:r>
      <w:bookmarkStart w:id="1" w:name="_GoBack"/>
      <w:bookmarkEnd w:id="1"/>
    </w:p>
    <w:sectPr w:rsidR="00CD258C" w:rsidRPr="005F36CB" w:rsidSect="004C145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71" w:rsidRDefault="004B4471">
      <w:r>
        <w:separator/>
      </w:r>
    </w:p>
  </w:endnote>
  <w:endnote w:type="continuationSeparator" w:id="0">
    <w:p w:rsidR="004B4471" w:rsidRDefault="004B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18" w:rsidRDefault="00557D1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57D18" w:rsidRDefault="00557D1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18" w:rsidRPr="005F36CB" w:rsidRDefault="00557D18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5F36CB">
      <w:rPr>
        <w:rStyle w:val="slostrany"/>
        <w:sz w:val="18"/>
        <w:szCs w:val="18"/>
      </w:rPr>
      <w:fldChar w:fldCharType="begin"/>
    </w:r>
    <w:r w:rsidRPr="005F36CB">
      <w:rPr>
        <w:rStyle w:val="slostrany"/>
        <w:sz w:val="18"/>
        <w:szCs w:val="18"/>
      </w:rPr>
      <w:instrText xml:space="preserve">PAGE  </w:instrText>
    </w:r>
    <w:r w:rsidRPr="005F36CB">
      <w:rPr>
        <w:rStyle w:val="slostrany"/>
        <w:sz w:val="18"/>
        <w:szCs w:val="18"/>
      </w:rPr>
      <w:fldChar w:fldCharType="separate"/>
    </w:r>
    <w:r w:rsidR="00E074C6">
      <w:rPr>
        <w:rStyle w:val="slostrany"/>
        <w:noProof/>
        <w:sz w:val="18"/>
        <w:szCs w:val="18"/>
      </w:rPr>
      <w:t>20</w:t>
    </w:r>
    <w:r w:rsidRPr="005F36CB">
      <w:rPr>
        <w:rStyle w:val="slostrany"/>
        <w:sz w:val="18"/>
        <w:szCs w:val="18"/>
      </w:rPr>
      <w:fldChar w:fldCharType="end"/>
    </w:r>
  </w:p>
  <w:p w:rsidR="00557D18" w:rsidRDefault="00557D18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18" w:rsidRPr="00237661" w:rsidRDefault="00557D18">
    <w:pPr>
      <w:pStyle w:val="Pta"/>
      <w:jc w:val="center"/>
      <w:rPr>
        <w:sz w:val="18"/>
        <w:szCs w:val="18"/>
      </w:rPr>
    </w:pPr>
    <w:r w:rsidRPr="00237661">
      <w:rPr>
        <w:sz w:val="18"/>
        <w:szCs w:val="18"/>
      </w:rPr>
      <w:fldChar w:fldCharType="begin"/>
    </w:r>
    <w:r w:rsidRPr="00237661">
      <w:rPr>
        <w:sz w:val="18"/>
        <w:szCs w:val="18"/>
      </w:rPr>
      <w:instrText>PAGE   \* MERGEFORMAT</w:instrText>
    </w:r>
    <w:r w:rsidRPr="0023766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237661">
      <w:rPr>
        <w:sz w:val="18"/>
        <w:szCs w:val="18"/>
      </w:rPr>
      <w:fldChar w:fldCharType="end"/>
    </w:r>
  </w:p>
  <w:p w:rsidR="00557D18" w:rsidRDefault="00557D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71" w:rsidRDefault="004B4471">
      <w:r>
        <w:separator/>
      </w:r>
    </w:p>
  </w:footnote>
  <w:footnote w:type="continuationSeparator" w:id="0">
    <w:p w:rsidR="004B4471" w:rsidRDefault="004B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18" w:rsidRPr="004C1456" w:rsidRDefault="00557D18" w:rsidP="004F719B">
    <w:pPr>
      <w:pStyle w:val="Hlavika"/>
      <w:rPr>
        <w:sz w:val="18"/>
        <w:szCs w:val="18"/>
      </w:rPr>
    </w:pPr>
    <w:r w:rsidRPr="00333D11">
      <w:rPr>
        <w:sz w:val="18"/>
        <w:szCs w:val="18"/>
      </w:rPr>
      <w:t>Príloha č. 1 k notifikácii o zmene, ev. č.: 201</w:t>
    </w:r>
    <w:r>
      <w:rPr>
        <w:sz w:val="18"/>
        <w:szCs w:val="18"/>
      </w:rPr>
      <w:t>9/04792-Z1A</w:t>
    </w:r>
  </w:p>
  <w:p w:rsidR="00557D18" w:rsidRDefault="00557D1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18" w:rsidRDefault="00557D18">
    <w:pPr>
      <w:pStyle w:val="Hlavika"/>
      <w:rPr>
        <w:sz w:val="18"/>
        <w:szCs w:val="18"/>
      </w:rPr>
    </w:pPr>
  </w:p>
  <w:p w:rsidR="00557D18" w:rsidRPr="00333D11" w:rsidRDefault="00557D18" w:rsidP="006B3F37">
    <w:pPr>
      <w:pStyle w:val="Hlavika"/>
      <w:rPr>
        <w:sz w:val="18"/>
        <w:szCs w:val="18"/>
      </w:rPr>
    </w:pPr>
    <w:r w:rsidRPr="00333D11">
      <w:rPr>
        <w:sz w:val="18"/>
        <w:szCs w:val="18"/>
      </w:rPr>
      <w:t>Príloha č. 1 k notifikácii o zmene, ev. č.: 201</w:t>
    </w:r>
    <w:r>
      <w:rPr>
        <w:sz w:val="18"/>
        <w:szCs w:val="18"/>
      </w:rPr>
      <w:t>7/002993-Z1B</w:t>
    </w:r>
  </w:p>
  <w:p w:rsidR="00557D18" w:rsidRPr="00333D11" w:rsidRDefault="00557D1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A6E3B8"/>
    <w:multiLevelType w:val="hybridMultilevel"/>
    <w:tmpl w:val="EE9CED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16265C"/>
    <w:multiLevelType w:val="hybridMultilevel"/>
    <w:tmpl w:val="F5D445F8"/>
    <w:lvl w:ilvl="0" w:tplc="4E4634D4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350D9"/>
    <w:multiLevelType w:val="multilevel"/>
    <w:tmpl w:val="DD242F4C"/>
    <w:lvl w:ilvl="0">
      <w:start w:val="1"/>
      <w:numFmt w:val="decimal"/>
      <w:pStyle w:val="Lucia3"/>
      <w:lvlText w:val="3.2.%1"/>
      <w:lvlJc w:val="left"/>
      <w:pPr>
        <w:tabs>
          <w:tab w:val="num" w:pos="1752"/>
        </w:tabs>
        <w:ind w:left="17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6"/>
        </w:tabs>
        <w:ind w:left="1896" w:hanging="576"/>
      </w:pPr>
      <w:rPr>
        <w:rFonts w:hint="default"/>
      </w:rPr>
    </w:lvl>
    <w:lvl w:ilvl="2">
      <w:start w:val="1"/>
      <w:numFmt w:val="none"/>
      <w:lvlText w:val="3.2.1"/>
      <w:lvlJc w:val="left"/>
      <w:pPr>
        <w:tabs>
          <w:tab w:val="num" w:pos="1320"/>
        </w:tabs>
        <w:ind w:left="188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72"/>
        </w:tabs>
        <w:ind w:left="24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6"/>
        </w:tabs>
        <w:ind w:left="26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04"/>
        </w:tabs>
        <w:ind w:left="2904" w:hanging="1584"/>
      </w:pPr>
      <w:rPr>
        <w:rFonts w:hint="default"/>
      </w:rPr>
    </w:lvl>
  </w:abstractNum>
  <w:abstractNum w:abstractNumId="3" w15:restartNumberingAfterBreak="0">
    <w:nsid w:val="27227F4A"/>
    <w:multiLevelType w:val="multilevel"/>
    <w:tmpl w:val="84B6C6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Lula1111"/>
      <w:lvlText w:val="%1.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C70189"/>
    <w:multiLevelType w:val="multilevel"/>
    <w:tmpl w:val="9DE4DFE2"/>
    <w:name w:val="NADPIS 1"/>
    <w:lvl w:ilvl="0">
      <w:start w:val="1"/>
      <w:numFmt w:val="decimal"/>
      <w:pStyle w:val="Lucia1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9A14596"/>
    <w:multiLevelType w:val="hybridMultilevel"/>
    <w:tmpl w:val="77463CF6"/>
    <w:lvl w:ilvl="0" w:tplc="4E4634D4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17AAF"/>
    <w:multiLevelType w:val="hybridMultilevel"/>
    <w:tmpl w:val="0060B5BA"/>
    <w:lvl w:ilvl="0" w:tplc="9F60B0A8">
      <w:start w:val="1"/>
      <w:numFmt w:val="decimal"/>
      <w:pStyle w:val="Lula1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82731E"/>
    <w:multiLevelType w:val="hybridMultilevel"/>
    <w:tmpl w:val="04DCAD90"/>
    <w:lvl w:ilvl="0" w:tplc="4CDAAF5C">
      <w:start w:val="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1EBEBED0">
      <w:start w:val="3"/>
      <w:numFmt w:val="decimal"/>
      <w:lvlText w:val="%2.1"/>
      <w:lvlJc w:val="left"/>
      <w:pPr>
        <w:tabs>
          <w:tab w:val="num" w:pos="720"/>
        </w:tabs>
        <w:ind w:left="1287" w:hanging="567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8C"/>
    <w:rsid w:val="00001988"/>
    <w:rsid w:val="00011E59"/>
    <w:rsid w:val="0015423B"/>
    <w:rsid w:val="00155A58"/>
    <w:rsid w:val="001625F6"/>
    <w:rsid w:val="001970CE"/>
    <w:rsid w:val="001C45F3"/>
    <w:rsid w:val="00237661"/>
    <w:rsid w:val="0025768E"/>
    <w:rsid w:val="0030485C"/>
    <w:rsid w:val="00330FC0"/>
    <w:rsid w:val="00333D11"/>
    <w:rsid w:val="00421DE8"/>
    <w:rsid w:val="004B4471"/>
    <w:rsid w:val="004C1456"/>
    <w:rsid w:val="004F719B"/>
    <w:rsid w:val="00557D18"/>
    <w:rsid w:val="005758B7"/>
    <w:rsid w:val="005F36CB"/>
    <w:rsid w:val="006026D0"/>
    <w:rsid w:val="0061272B"/>
    <w:rsid w:val="006B3F37"/>
    <w:rsid w:val="006B510B"/>
    <w:rsid w:val="00712B87"/>
    <w:rsid w:val="00726580"/>
    <w:rsid w:val="00796F8B"/>
    <w:rsid w:val="007E1915"/>
    <w:rsid w:val="009312D1"/>
    <w:rsid w:val="00935139"/>
    <w:rsid w:val="0095248C"/>
    <w:rsid w:val="009541B4"/>
    <w:rsid w:val="00A30B75"/>
    <w:rsid w:val="00A630B0"/>
    <w:rsid w:val="00AC4495"/>
    <w:rsid w:val="00AD3421"/>
    <w:rsid w:val="00AF453A"/>
    <w:rsid w:val="00C1547A"/>
    <w:rsid w:val="00C47220"/>
    <w:rsid w:val="00C92DB5"/>
    <w:rsid w:val="00CD258C"/>
    <w:rsid w:val="00D74304"/>
    <w:rsid w:val="00D96A68"/>
    <w:rsid w:val="00DB07D5"/>
    <w:rsid w:val="00DF03CF"/>
    <w:rsid w:val="00E074C6"/>
    <w:rsid w:val="00E306FE"/>
    <w:rsid w:val="00E30DC3"/>
    <w:rsid w:val="00E91276"/>
    <w:rsid w:val="00EA1913"/>
    <w:rsid w:val="00EC2B0C"/>
    <w:rsid w:val="00EE6509"/>
    <w:rsid w:val="00F55E0B"/>
    <w:rsid w:val="00F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21D1E4E-A722-4376-9CF0-CA0A908B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outlineLvl w:val="2"/>
    </w:pPr>
    <w:rPr>
      <w:rFonts w:ascii="Arial" w:hAnsi="Arial"/>
      <w:i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ucia1">
    <w:name w:val="Lucia 1"/>
    <w:basedOn w:val="Nadpis1"/>
    <w:pPr>
      <w:numPr>
        <w:numId w:val="1"/>
      </w:numPr>
      <w:tabs>
        <w:tab w:val="left" w:pos="600"/>
      </w:tabs>
      <w:spacing w:before="0" w:after="0" w:line="360" w:lineRule="auto"/>
    </w:pPr>
    <w:rPr>
      <w:rFonts w:ascii="Times New Roman" w:hAnsi="Times New Roman" w:cs="Times New Roman"/>
      <w:sz w:val="22"/>
      <w:szCs w:val="22"/>
    </w:rPr>
  </w:style>
  <w:style w:type="paragraph" w:customStyle="1" w:styleId="Lucia3">
    <w:name w:val="Lucia 3"/>
    <w:basedOn w:val="Normlny"/>
    <w:pPr>
      <w:numPr>
        <w:numId w:val="2"/>
      </w:numPr>
      <w:spacing w:line="360" w:lineRule="auto"/>
    </w:pPr>
    <w:rPr>
      <w:b/>
      <w:sz w:val="22"/>
      <w:szCs w:val="22"/>
    </w:rPr>
  </w:style>
  <w:style w:type="paragraph" w:customStyle="1" w:styleId="tl1">
    <w:name w:val="Štýl1"/>
    <w:basedOn w:val="Normlny"/>
    <w:autoRedefine/>
    <w:rsid w:val="0030485C"/>
    <w:rPr>
      <w:bCs/>
      <w:i/>
      <w:sz w:val="22"/>
    </w:rPr>
  </w:style>
  <w:style w:type="paragraph" w:customStyle="1" w:styleId="Lula10">
    <w:name w:val="Lula 1"/>
    <w:basedOn w:val="Normlny"/>
    <w:pPr>
      <w:spacing w:line="360" w:lineRule="auto"/>
    </w:pPr>
    <w:rPr>
      <w:b/>
      <w:sz w:val="22"/>
      <w:szCs w:val="22"/>
    </w:rPr>
  </w:style>
  <w:style w:type="paragraph" w:customStyle="1" w:styleId="Lula1111">
    <w:name w:val="Lula 1.1.11"/>
    <w:basedOn w:val="Normlny"/>
    <w:autoRedefine/>
    <w:pPr>
      <w:numPr>
        <w:ilvl w:val="2"/>
        <w:numId w:val="5"/>
      </w:numPr>
      <w:tabs>
        <w:tab w:val="left" w:pos="1200"/>
      </w:tabs>
      <w:spacing w:line="360" w:lineRule="auto"/>
    </w:pPr>
    <w:rPr>
      <w:b/>
      <w:sz w:val="22"/>
      <w:szCs w:val="22"/>
    </w:rPr>
  </w:style>
  <w:style w:type="paragraph" w:customStyle="1" w:styleId="Lula1">
    <w:name w:val="Lula 1."/>
    <w:basedOn w:val="Normlny"/>
    <w:pPr>
      <w:numPr>
        <w:numId w:val="6"/>
      </w:numPr>
      <w:spacing w:line="360" w:lineRule="auto"/>
    </w:pPr>
    <w:rPr>
      <w:b/>
      <w:sz w:val="22"/>
      <w:szCs w:val="22"/>
    </w:rPr>
  </w:style>
  <w:style w:type="paragraph" w:customStyle="1" w:styleId="CM70">
    <w:name w:val="CM70"/>
    <w:basedOn w:val="Normlny"/>
    <w:next w:val="Normlny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9">
    <w:name w:val="CM69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478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38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38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71">
    <w:name w:val="CM71"/>
    <w:basedOn w:val="Default"/>
    <w:next w:val="Default"/>
    <w:rPr>
      <w:color w:val="auto"/>
    </w:rPr>
  </w:style>
  <w:style w:type="paragraph" w:customStyle="1" w:styleId="CM15">
    <w:name w:val="CM15"/>
    <w:basedOn w:val="Default"/>
    <w:next w:val="Default"/>
    <w:pPr>
      <w:spacing w:line="238" w:lineRule="atLeast"/>
    </w:pPr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pPr>
      <w:spacing w:line="238" w:lineRule="atLeast"/>
    </w:pPr>
    <w:rPr>
      <w:color w:val="auto"/>
    </w:rPr>
  </w:style>
  <w:style w:type="paragraph" w:customStyle="1" w:styleId="CM74">
    <w:name w:val="CM74"/>
    <w:basedOn w:val="Default"/>
    <w:next w:val="Default"/>
    <w:rPr>
      <w:color w:val="auto"/>
    </w:rPr>
  </w:style>
  <w:style w:type="paragraph" w:customStyle="1" w:styleId="CM72">
    <w:name w:val="CM72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Nzov">
    <w:name w:val="Title"/>
    <w:basedOn w:val="Normlny"/>
    <w:qFormat/>
    <w:pPr>
      <w:tabs>
        <w:tab w:val="left" w:pos="284"/>
      </w:tabs>
      <w:jc w:val="center"/>
    </w:pPr>
    <w:rPr>
      <w:b/>
      <w:sz w:val="28"/>
      <w:szCs w:val="20"/>
      <w:lang w:val="cs-CZ" w:eastAsia="cs-CZ"/>
    </w:rPr>
  </w:style>
  <w:style w:type="paragraph" w:styleId="Podtitul">
    <w:name w:val="Subtitle"/>
    <w:basedOn w:val="Normlny"/>
    <w:qFormat/>
    <w:pPr>
      <w:jc w:val="center"/>
    </w:pPr>
    <w:rPr>
      <w:b/>
      <w:bCs/>
      <w:sz w:val="2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link w:val="HlavikaChar"/>
    <w:uiPriority w:val="99"/>
    <w:unhideWhenUsed/>
    <w:rsid w:val="005F36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F36CB"/>
    <w:rPr>
      <w:sz w:val="24"/>
      <w:szCs w:val="24"/>
    </w:rPr>
  </w:style>
  <w:style w:type="character" w:customStyle="1" w:styleId="PtaChar">
    <w:name w:val="Päta Char"/>
    <w:link w:val="Pta"/>
    <w:uiPriority w:val="99"/>
    <w:rsid w:val="00237661"/>
    <w:rPr>
      <w:sz w:val="24"/>
      <w:szCs w:val="24"/>
    </w:rPr>
  </w:style>
  <w:style w:type="character" w:styleId="Hypertextovprepojenie">
    <w:name w:val="Hyperlink"/>
    <w:rsid w:val="00EC2B0C"/>
    <w:rPr>
      <w:color w:val="0000FF"/>
      <w:u w:val="single"/>
    </w:rPr>
  </w:style>
  <w:style w:type="character" w:customStyle="1" w:styleId="TextChar1">
    <w:name w:val="Text Char1"/>
    <w:link w:val="Text"/>
    <w:locked/>
    <w:rsid w:val="00EE650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E650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ECBD-53DC-44F3-80CC-9036B175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6331</Words>
  <Characters>36092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Regpharm</Company>
  <LinksUpToDate>false</LinksUpToDate>
  <CharactersWithSpaces>42339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R-Pharmaservices</dc:creator>
  <cp:lastModifiedBy>Bolebruchová Monika</cp:lastModifiedBy>
  <cp:revision>2</cp:revision>
  <cp:lastPrinted>2019-10-21T07:19:00Z</cp:lastPrinted>
  <dcterms:created xsi:type="dcterms:W3CDTF">2019-10-21T07:19:00Z</dcterms:created>
  <dcterms:modified xsi:type="dcterms:W3CDTF">2019-10-21T07:19:00Z</dcterms:modified>
</cp:coreProperties>
</file>