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7C92998E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Pr="008976C4">
        <w:rPr>
          <w:sz w:val="22"/>
          <w:szCs w:val="22"/>
          <w:lang w:val="sk-SK"/>
        </w:rPr>
        <w:t xml:space="preserve"> </w:t>
      </w:r>
      <w:r w:rsidR="001E116C">
        <w:rPr>
          <w:sz w:val="22"/>
          <w:szCs w:val="22"/>
          <w:lang w:val="sk-SK"/>
        </w:rPr>
        <w:t>20</w:t>
      </w:r>
      <w:r w:rsidRPr="008976C4">
        <w:rPr>
          <w:sz w:val="22"/>
          <w:szCs w:val="22"/>
          <w:lang w:val="sk-SK"/>
        </w:rPr>
        <w:t xml:space="preserve">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594C162F" w:rsidR="00875350" w:rsidRPr="008976C4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 xml:space="preserve">aždá tableta obsahuje </w:t>
      </w:r>
      <w:r w:rsidR="002131A6">
        <w:rPr>
          <w:sz w:val="22"/>
          <w:szCs w:val="22"/>
          <w:lang w:val="sk-SK"/>
        </w:rPr>
        <w:t>20</w:t>
      </w:r>
      <w:r w:rsidR="00875350" w:rsidRPr="008976C4">
        <w:rPr>
          <w:sz w:val="22"/>
          <w:szCs w:val="22"/>
          <w:lang w:val="sk-SK"/>
        </w:rPr>
        <w:t> mg tadalafilu.</w:t>
      </w:r>
    </w:p>
    <w:p w14:paraId="308BA0E2" w14:textId="77777777" w:rsidR="002131A6" w:rsidRPr="001E591F" w:rsidRDefault="002131A6" w:rsidP="00AB5340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E591F">
        <w:rPr>
          <w:sz w:val="22"/>
          <w:szCs w:val="22"/>
          <w:u w:val="single"/>
          <w:lang w:val="sk-SK"/>
        </w:rPr>
        <w:t xml:space="preserve">Pomocná látka </w:t>
      </w:r>
      <w:r w:rsidRPr="001E591F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56FBF7F8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2131A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</w:t>
      </w:r>
      <w:r w:rsidR="002131A6">
        <w:rPr>
          <w:sz w:val="22"/>
          <w:szCs w:val="22"/>
          <w:lang w:val="sk-SK"/>
        </w:rPr>
        <w:t>250</w:t>
      </w:r>
      <w:r>
        <w:rPr>
          <w:sz w:val="22"/>
          <w:szCs w:val="22"/>
          <w:lang w:val="sk-SK"/>
        </w:rPr>
        <w:t xml:space="preserve"> mg laktózy (ako monohydrát</w:t>
      </w:r>
      <w:r w:rsidRPr="00E64BA4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229ADF5F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3E52E7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0BD1035D" w14:textId="77777777" w:rsidR="00253A52" w:rsidRPr="008976C4" w:rsidRDefault="00253A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AFF6289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2131A6">
        <w:rPr>
          <w:sz w:val="22"/>
          <w:szCs w:val="22"/>
          <w:lang w:val="sk-SK"/>
        </w:rPr>
        <w:t>20</w:t>
      </w:r>
      <w:r w:rsidR="00B529C1" w:rsidRPr="008976C4">
        <w:rPr>
          <w:sz w:val="22"/>
          <w:szCs w:val="22"/>
          <w:lang w:val="sk-SK"/>
        </w:rPr>
        <w:t xml:space="preserve"> mg</w:t>
      </w:r>
      <w:r>
        <w:rPr>
          <w:sz w:val="22"/>
          <w:szCs w:val="22"/>
          <w:lang w:val="sk-SK"/>
        </w:rPr>
        <w:t xml:space="preserve"> sú</w:t>
      </w:r>
      <w:r w:rsidR="002131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</w:t>
      </w:r>
      <w:r w:rsidR="00A042E5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" na jednej strane a bez označenia na druhej strane. Tablety majú veľkosť 1</w:t>
      </w:r>
      <w:r w:rsidR="00A042E5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 xml:space="preserve"> mm x </w:t>
      </w:r>
      <w:r w:rsidR="00A042E5">
        <w:rPr>
          <w:sz w:val="22"/>
          <w:szCs w:val="22"/>
          <w:lang w:val="sk-SK"/>
        </w:rPr>
        <w:t>7,4</w:t>
      </w:r>
      <w:r>
        <w:rPr>
          <w:sz w:val="22"/>
          <w:szCs w:val="22"/>
          <w:lang w:val="sk-SK"/>
        </w:rPr>
        <w:t xml:space="preserve"> mmm a hrúbku </w:t>
      </w:r>
      <w:r w:rsidR="00A042E5">
        <w:rPr>
          <w:sz w:val="22"/>
          <w:szCs w:val="22"/>
          <w:lang w:val="sk-SK"/>
        </w:rPr>
        <w:t>4,6</w:t>
      </w:r>
      <w:r>
        <w:rPr>
          <w:sz w:val="22"/>
          <w:szCs w:val="22"/>
          <w:lang w:val="sk-SK"/>
        </w:rPr>
        <w:t xml:space="preserve"> až </w:t>
      </w:r>
      <w:r w:rsidR="00A042E5">
        <w:rPr>
          <w:sz w:val="22"/>
          <w:szCs w:val="22"/>
          <w:lang w:val="sk-SK"/>
        </w:rPr>
        <w:t>5,2</w:t>
      </w:r>
      <w:r>
        <w:rPr>
          <w:sz w:val="22"/>
          <w:szCs w:val="22"/>
          <w:lang w:val="sk-SK"/>
        </w:rPr>
        <w:t xml:space="preserve">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34E026E9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r w:rsidR="00B6606E" w:rsidRPr="008976C4">
        <w:rPr>
          <w:sz w:val="22"/>
          <w:szCs w:val="22"/>
          <w:lang w:val="sk-SK"/>
        </w:rPr>
        <w:t>tadalafil</w:t>
      </w:r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 xml:space="preserve"> je potrebná sexuálna stimulácia.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3E1E245E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Pr="008976C4">
        <w:rPr>
          <w:sz w:val="22"/>
          <w:szCs w:val="22"/>
          <w:lang w:val="sk-SK"/>
        </w:rPr>
        <w:t xml:space="preserve"> nie je </w:t>
      </w:r>
      <w:r w:rsidR="003C77F5">
        <w:rPr>
          <w:sz w:val="22"/>
          <w:szCs w:val="22"/>
          <w:lang w:val="sk-SK"/>
        </w:rPr>
        <w:t>indikovaný</w:t>
      </w:r>
      <w:r w:rsidRPr="008976C4">
        <w:rPr>
          <w:sz w:val="22"/>
          <w:szCs w:val="22"/>
          <w:lang w:val="sk-SK"/>
        </w:rPr>
        <w:t xml:space="preserve"> na použitie u žien</w:t>
      </w:r>
      <w:r w:rsidR="00E60A0A">
        <w:rPr>
          <w:sz w:val="22"/>
          <w:szCs w:val="22"/>
          <w:lang w:val="sk-SK"/>
        </w:rPr>
        <w:t>.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7B65E9BD" w:rsidR="009B20B9" w:rsidRPr="00A97DFF" w:rsidRDefault="00B20B9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í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i</w:t>
      </w:r>
    </w:p>
    <w:p w14:paraId="3094FA18" w14:textId="1EE073BC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</w:t>
      </w:r>
      <w:r w:rsidR="004E66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odporúčaná dávka je 10 mg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 xml:space="preserve">nou aktivitou </w:t>
      </w:r>
      <w:r w:rsidR="004E66EC">
        <w:rPr>
          <w:sz w:val="22"/>
          <w:szCs w:val="22"/>
          <w:lang w:val="sk-SK"/>
        </w:rPr>
        <w:t>s jedlom alebo bez jedla</w:t>
      </w:r>
      <w:r w:rsidR="004E66EC" w:rsidRPr="00B464C3">
        <w:rPr>
          <w:sz w:val="22"/>
          <w:szCs w:val="22"/>
          <w:lang w:val="sk-SK"/>
        </w:rPr>
        <w:t>.</w:t>
      </w:r>
      <w:r w:rsidR="00B464C3" w:rsidRPr="00E64BA4">
        <w:rPr>
          <w:sz w:val="22"/>
          <w:szCs w:val="22"/>
          <w:lang w:val="sk-SK"/>
        </w:rPr>
        <w:t xml:space="preserve">U pacientov, u ktorých tadalafil v dávke 10 mg nevedie k očakávanému účinku, sa môže použiť dávka 20 mg. </w:t>
      </w:r>
      <w:r w:rsidRPr="00A97DFF">
        <w:rPr>
          <w:sz w:val="22"/>
          <w:szCs w:val="22"/>
          <w:lang w:val="sk-SK"/>
        </w:rPr>
        <w:t xml:space="preserve"> Liek sa m</w:t>
      </w:r>
      <w:r w:rsidR="008713B4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užiť </w:t>
      </w:r>
      <w:r w:rsidR="007B4FDF"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72213A1D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</w:t>
      </w:r>
      <w:r w:rsidR="00AC7EDB">
        <w:rPr>
          <w:sz w:val="22"/>
          <w:szCs w:val="22"/>
          <w:lang w:val="sk-SK"/>
        </w:rPr>
        <w:t>a frekvencia</w:t>
      </w:r>
      <w:r w:rsidRPr="00A97DFF">
        <w:rPr>
          <w:sz w:val="22"/>
          <w:szCs w:val="22"/>
          <w:lang w:val="sk-SK"/>
        </w:rPr>
        <w:t xml:space="preserve"> dávkovani</w:t>
      </w:r>
      <w:r w:rsidR="00AC7EDB">
        <w:rPr>
          <w:sz w:val="22"/>
          <w:szCs w:val="22"/>
          <w:lang w:val="sk-SK"/>
        </w:rPr>
        <w:t>a</w:t>
      </w:r>
      <w:r w:rsidRPr="00A97DFF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7FBF5814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10 a 20 mg je určený na užívanie pred očakávanou sexuálnou aktivitou a neodporúča sa na </w:t>
      </w:r>
      <w:r w:rsidR="001A4244">
        <w:rPr>
          <w:sz w:val="22"/>
          <w:szCs w:val="22"/>
          <w:lang w:val="sk-SK"/>
        </w:rPr>
        <w:t>pravidelné</w:t>
      </w:r>
      <w:r w:rsidRPr="00A97DFF">
        <w:rPr>
          <w:sz w:val="22"/>
          <w:szCs w:val="22"/>
          <w:lang w:val="sk-SK"/>
        </w:rPr>
        <w:t xml:space="preserve"> každodenné užívanie.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57885D80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 xml:space="preserve">adalafilu </w:t>
      </w:r>
      <w:r w:rsidR="0055786F">
        <w:rPr>
          <w:sz w:val="22"/>
          <w:szCs w:val="22"/>
          <w:lang w:val="sk-SK"/>
        </w:rPr>
        <w:t>Teva</w:t>
      </w:r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jedenkrát denne, na 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6AA2E6AF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týchto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približne </w:t>
      </w:r>
      <w:r w:rsidR="00357BBE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0678A550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357BBE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5D6AAA7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2ED2659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4B6BEF">
        <w:rPr>
          <w:sz w:val="22"/>
          <w:szCs w:val="22"/>
          <w:lang w:val="sk-SK"/>
        </w:rPr>
        <w:t>miernou</w:t>
      </w:r>
      <w:r w:rsidRPr="00A97DFF">
        <w:rPr>
          <w:sz w:val="22"/>
          <w:szCs w:val="22"/>
          <w:lang w:val="sk-SK"/>
        </w:rPr>
        <w:t xml:space="preserve"> 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dávky. Paciento</w:t>
      </w:r>
      <w:r w:rsidR="00E2311E">
        <w:rPr>
          <w:sz w:val="22"/>
          <w:szCs w:val="22"/>
          <w:lang w:val="sk-SK"/>
        </w:rPr>
        <w:t>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E2311E">
        <w:rPr>
          <w:sz w:val="22"/>
          <w:szCs w:val="22"/>
          <w:lang w:val="sk-SK"/>
        </w:rPr>
        <w:t>pri liečbe podľa potreby 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0BEC3A6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tadalafilu jedenkrát denne 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2577E3B3" w:rsidR="00B6335E" w:rsidRDefault="00E60A0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liečbu erektilnej dysfunkcie sa o</w:t>
      </w:r>
      <w:r w:rsidRPr="00A97DFF">
        <w:rPr>
          <w:sz w:val="22"/>
          <w:szCs w:val="22"/>
          <w:lang w:val="sk-SK"/>
        </w:rPr>
        <w:t xml:space="preserve">dporúča dávka Tadalafilu </w:t>
      </w:r>
      <w:r w:rsidR="0055786F">
        <w:rPr>
          <w:sz w:val="22"/>
          <w:szCs w:val="22"/>
          <w:lang w:val="sk-SK"/>
        </w:rPr>
        <w:t>Teva</w:t>
      </w:r>
      <w:r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10 mg podaná pred očakávanou sexuálnou aktivitou </w:t>
      </w:r>
      <w:r>
        <w:rPr>
          <w:sz w:val="22"/>
          <w:szCs w:val="22"/>
          <w:lang w:val="sk-SK"/>
        </w:rPr>
        <w:t>s jedlom alebo bez jedla</w:t>
      </w:r>
      <w:r w:rsidRPr="00A97DFF">
        <w:rPr>
          <w:sz w:val="22"/>
          <w:szCs w:val="22"/>
          <w:lang w:val="sk-SK"/>
        </w:rPr>
        <w:t>.</w:t>
      </w:r>
      <w:r w:rsidR="00D7517A" w:rsidRPr="00A97DFF">
        <w:rPr>
          <w:sz w:val="22"/>
          <w:szCs w:val="22"/>
          <w:lang w:val="sk-SK"/>
        </w:rPr>
        <w:t xml:space="preserve"> O bezpečnosti použitia</w:t>
      </w:r>
      <w:r w:rsidR="008806D8"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 w:rsidR="002D384B"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 w:rsidR="0028361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 w:rsidR="0028361F">
        <w:rPr>
          <w:sz w:val="22"/>
          <w:szCs w:val="22"/>
          <w:lang w:val="sk-SK"/>
        </w:rPr>
        <w:t>o 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7399CCE7" w14:textId="219079E9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B6335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nehodnotilo u pacientov s poruchou funkcie pečene</w:t>
      </w:r>
      <w:r w:rsidR="00A01CE2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4EE5C2CA" w:rsidR="00E45E07" w:rsidRPr="00A97DFF" w:rsidRDefault="00E567C0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>užo</w:t>
      </w: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 w:rsidR="00CF2CAE"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 w:rsidR="00CF2CAE">
        <w:rPr>
          <w:sz w:val="22"/>
          <w:szCs w:val="22"/>
          <w:lang w:val="sk-SK"/>
        </w:rPr>
        <w:t xml:space="preserve"> u</w:t>
      </w:r>
      <w:r w:rsidR="00E45E07" w:rsidRPr="00A97DFF">
        <w:rPr>
          <w:sz w:val="22"/>
          <w:szCs w:val="22"/>
          <w:lang w:val="sk-SK"/>
        </w:rPr>
        <w:t>prav</w:t>
      </w:r>
      <w:r w:rsidR="00CF2CAE"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 w:rsidR="00CF2CAE"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0367089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Tadalafilu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5F6E9BD8" w:rsidR="00D7517A" w:rsidRPr="008976C4" w:rsidRDefault="00BF0B22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C473E10" w14:textId="22C17C66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</w:t>
      </w:r>
      <w:r w:rsidR="00384052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 </w:t>
      </w:r>
      <w:r w:rsidR="000F3610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ravdepodobne </w:t>
      </w:r>
      <w:r w:rsidR="000F3610">
        <w:rPr>
          <w:sz w:val="22"/>
          <w:szCs w:val="22"/>
          <w:lang w:val="sk-SK"/>
        </w:rPr>
        <w:t xml:space="preserve">to </w:t>
      </w:r>
      <w:r w:rsidRPr="00A97DFF">
        <w:rPr>
          <w:sz w:val="22"/>
          <w:szCs w:val="22"/>
          <w:lang w:val="sk-SK"/>
        </w:rPr>
        <w:t>vyplýva z kombinovaných účinkov nitrátov a tadalafilu na metabolickú dráhu</w:t>
      </w:r>
      <w:r w:rsidR="0068309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73CE0BF9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065AF0">
        <w:rPr>
          <w:sz w:val="22"/>
          <w:szCs w:val="22"/>
          <w:lang w:val="sk-SK"/>
        </w:rPr>
        <w:t>Ošetrujúci lekár má zvážiť</w:t>
      </w:r>
      <w:r w:rsidR="00065AF0" w:rsidRPr="00A97DFF">
        <w:rPr>
          <w:sz w:val="22"/>
          <w:szCs w:val="22"/>
          <w:lang w:val="sk-SK"/>
        </w:rPr>
        <w:t xml:space="preserve"> </w:t>
      </w:r>
      <w:r w:rsidR="00065AF0">
        <w:rPr>
          <w:sz w:val="22"/>
          <w:szCs w:val="22"/>
          <w:lang w:val="sk-SK"/>
        </w:rPr>
        <w:t>p</w:t>
      </w:r>
      <w:r w:rsidR="00153528" w:rsidRPr="00A97DFF">
        <w:rPr>
          <w:sz w:val="22"/>
          <w:szCs w:val="22"/>
          <w:lang w:val="sk-SK"/>
        </w:rPr>
        <w:t xml:space="preserve">otenciálne kardiálne riziko </w:t>
      </w:r>
      <w:r w:rsidR="00E94917">
        <w:rPr>
          <w:sz w:val="22"/>
          <w:szCs w:val="22"/>
          <w:lang w:val="sk-SK"/>
        </w:rPr>
        <w:t xml:space="preserve">plynúce zo </w:t>
      </w:r>
      <w:r w:rsidR="00153528" w:rsidRPr="00A97DFF">
        <w:rPr>
          <w:sz w:val="22"/>
          <w:szCs w:val="22"/>
          <w:lang w:val="sk-SK"/>
        </w:rPr>
        <w:t xml:space="preserve">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 xml:space="preserve">pacientov s </w:t>
      </w:r>
      <w:r w:rsidR="00C949D6">
        <w:rPr>
          <w:sz w:val="22"/>
          <w:szCs w:val="22"/>
          <w:lang w:val="sk-SK"/>
        </w:rPr>
        <w:t xml:space="preserve">preexistujúcim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infarktom myokardu počas posledných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0FAF79C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so zlyh</w:t>
      </w:r>
      <w:r w:rsidR="007204D9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aním srdca </w:t>
      </w:r>
      <w:r w:rsidR="007204D9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 xml:space="preserve">NYHA 2 </w:t>
      </w:r>
      <w:r w:rsidR="007204D9">
        <w:rPr>
          <w:sz w:val="22"/>
          <w:szCs w:val="22"/>
          <w:lang w:val="sk-SK"/>
        </w:rPr>
        <w:t>(</w:t>
      </w:r>
      <w:r w:rsidR="007204D9" w:rsidRPr="008E4794">
        <w:rPr>
          <w:lang w:val="en-GB"/>
        </w:rPr>
        <w:t>New York He</w:t>
      </w:r>
      <w:r w:rsidR="007204D9">
        <w:rPr>
          <w:lang w:val="en-GB"/>
        </w:rPr>
        <w:t xml:space="preserve">art Association Class 2) </w:t>
      </w:r>
      <w:r w:rsidRPr="00A97DFF">
        <w:rPr>
          <w:sz w:val="22"/>
          <w:szCs w:val="22"/>
          <w:lang w:val="sk-SK"/>
        </w:rPr>
        <w:t>alebo v</w:t>
      </w:r>
      <w:r w:rsidR="007204D9">
        <w:rPr>
          <w:sz w:val="22"/>
          <w:szCs w:val="22"/>
          <w:lang w:val="sk-SK"/>
        </w:rPr>
        <w:t>yšším</w:t>
      </w:r>
      <w:r w:rsidRPr="00A97DFF">
        <w:rPr>
          <w:sz w:val="22"/>
          <w:szCs w:val="22"/>
          <w:lang w:val="sk-SK"/>
        </w:rPr>
        <w:t xml:space="preserve"> počas posledných 6 mesiacov,</w:t>
      </w:r>
    </w:p>
    <w:p w14:paraId="60F00CB1" w14:textId="328022FC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neliečenými arytmiami, hypotenziou (&lt; 90/50 mm 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hypertenziou,</w:t>
      </w:r>
    </w:p>
    <w:p w14:paraId="1C00AB37" w14:textId="31AB47C4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r w:rsidR="0045756A">
        <w:rPr>
          <w:sz w:val="22"/>
          <w:szCs w:val="22"/>
          <w:lang w:val="sk-SK"/>
        </w:rPr>
        <w:t xml:space="preserve">cievnou </w:t>
      </w:r>
      <w:r w:rsidRPr="00A97DFF">
        <w:rPr>
          <w:sz w:val="22"/>
          <w:szCs w:val="22"/>
          <w:lang w:val="sk-SK"/>
        </w:rPr>
        <w:t>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42AE5521" w:rsidR="003B5A05" w:rsidRDefault="008806D8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je kontraindikovaný paciento</w:t>
      </w:r>
      <w:r w:rsidR="007474BD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7474BD">
        <w:rPr>
          <w:sz w:val="22"/>
          <w:szCs w:val="22"/>
          <w:lang w:val="sk-SK"/>
        </w:rPr>
        <w:t>schopnosť vidieť</w:t>
      </w:r>
      <w:r w:rsidR="00153528" w:rsidRPr="00A97DFF">
        <w:rPr>
          <w:sz w:val="22"/>
          <w:szCs w:val="22"/>
          <w:lang w:val="sk-SK"/>
        </w:rPr>
        <w:t xml:space="preserve"> jedn</w:t>
      </w:r>
      <w:r w:rsidR="007474BD">
        <w:rPr>
          <w:sz w:val="22"/>
          <w:szCs w:val="22"/>
          <w:lang w:val="sk-SK"/>
        </w:rPr>
        <w:t xml:space="preserve">ým </w:t>
      </w:r>
      <w:r w:rsidR="00153528" w:rsidRPr="00A97DFF">
        <w:rPr>
          <w:sz w:val="22"/>
          <w:szCs w:val="22"/>
          <w:lang w:val="sk-SK"/>
        </w:rPr>
        <w:t>ok</w:t>
      </w:r>
      <w:r w:rsidR="007474BD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704C22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784881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A01EAC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01EAC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21FEBAC" w14:textId="55CAB0E6" w:rsidR="007005BB" w:rsidRPr="008976C4" w:rsidRDefault="00FA1158" w:rsidP="007005B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797D51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tadalafilu so stimulátormi guanylátcyklázy, ako je riocig</w:t>
      </w:r>
      <w:r w:rsidR="00797D51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 xml:space="preserve">át,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AD36A2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7005BB">
        <w:rPr>
          <w:sz w:val="22"/>
          <w:szCs w:val="22"/>
          <w:lang w:val="sk-SK"/>
        </w:rPr>
        <w:t xml:space="preserve"> (pozri časť 4.5</w:t>
      </w:r>
      <w:r w:rsidR="007005BB" w:rsidRPr="00E64BA4">
        <w:rPr>
          <w:sz w:val="22"/>
          <w:szCs w:val="22"/>
          <w:lang w:val="sk-SK"/>
        </w:rPr>
        <w:t>)</w:t>
      </w:r>
      <w:r w:rsidR="007005BB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3504AEA0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0F73F7">
        <w:rPr>
          <w:sz w:val="22"/>
          <w:szCs w:val="22"/>
          <w:u w:val="single"/>
          <w:lang w:val="sk-SK"/>
        </w:rPr>
        <w:t xml:space="preserve">Tadalafilom </w:t>
      </w:r>
      <w:r w:rsidR="0055786F">
        <w:rPr>
          <w:sz w:val="22"/>
          <w:szCs w:val="22"/>
          <w:u w:val="single"/>
          <w:lang w:val="sk-SK"/>
        </w:rPr>
        <w:t>Teva</w:t>
      </w:r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31612CF8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diagnostike erektilnej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3323B831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51C84CF7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305068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potencuje hypotenz</w:t>
      </w:r>
      <w:r w:rsidR="000F73F7">
        <w:rPr>
          <w:sz w:val="22"/>
          <w:szCs w:val="22"/>
          <w:lang w:val="sk-SK"/>
        </w:rPr>
        <w:t>ívny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4E1BB085" w14:textId="0FAC0F96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r w:rsidRPr="00A97DFF">
        <w:rPr>
          <w:sz w:val="22"/>
          <w:szCs w:val="22"/>
          <w:lang w:val="sk-SK"/>
        </w:rPr>
        <w:t xml:space="preserve"> </w:t>
      </w:r>
      <w:r w:rsidR="0055786F">
        <w:rPr>
          <w:sz w:val="22"/>
          <w:szCs w:val="22"/>
          <w:lang w:val="sk-SK"/>
        </w:rPr>
        <w:t>Teva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účinný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56DEB0B4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r w:rsidR="001B7117">
        <w:rPr>
          <w:sz w:val="22"/>
          <w:szCs w:val="22"/>
          <w:lang w:val="sk-SK"/>
        </w:rPr>
        <w:t xml:space="preserve">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FF60B3" w14:textId="2F5C1178" w:rsidR="003B5A05" w:rsidRPr="008976C4" w:rsidRDefault="00D73FA3" w:rsidP="000F73F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C217B3">
        <w:rPr>
          <w:sz w:val="22"/>
          <w:szCs w:val="22"/>
          <w:lang w:val="sk-SK"/>
        </w:rPr>
        <w:t xml:space="preserve">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blokátory môže sú</w:t>
      </w:r>
      <w:r w:rsidR="000F73F7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</w:t>
      </w:r>
      <w:r w:rsidR="000F73F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A16EFB3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</w:t>
      </w:r>
      <w:r w:rsidR="00C217B3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4E42E4A2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E47938" w:rsidRPr="00E64BA4">
        <w:rPr>
          <w:sz w:val="22"/>
          <w:szCs w:val="22"/>
          <w:lang w:val="sk-SK"/>
        </w:rPr>
        <w:t>Analýzy sledovaných údajov naznačujú zvýšené riziko akútneho NAION u mužov s erektilnou dysfunkciou v dôsledku vystavenia sa tadalafilu alebo iným PDE5 inhibítorom. Keďže sa to môže týkať všetkých pacientov vystavených tadalafilu, p</w:t>
      </w:r>
      <w:r w:rsidRPr="00A97DFF">
        <w:rPr>
          <w:sz w:val="22"/>
          <w:szCs w:val="22"/>
          <w:lang w:val="sk-SK"/>
        </w:rPr>
        <w:t xml:space="preserve">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="006141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D776103" w14:textId="77777777" w:rsidR="00506184" w:rsidRPr="00CE148A" w:rsidRDefault="00506184" w:rsidP="0050618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E148A">
        <w:rPr>
          <w:sz w:val="22"/>
          <w:szCs w:val="22"/>
          <w:u w:val="single"/>
        </w:rPr>
        <w:t xml:space="preserve">Zhoršenie alebo náhla strata sluchu </w:t>
      </w:r>
    </w:p>
    <w:p w14:paraId="47D18F8C" w14:textId="63DA47A1" w:rsidR="00506184" w:rsidRDefault="00506184" w:rsidP="00506184">
      <w:pPr>
        <w:autoSpaceDE w:val="0"/>
        <w:autoSpaceDN w:val="0"/>
        <w:adjustRightInd w:val="0"/>
        <w:jc w:val="both"/>
      </w:pPr>
      <w:r w:rsidRPr="00CE148A">
        <w:rPr>
          <w:sz w:val="22"/>
          <w:szCs w:val="22"/>
        </w:rPr>
        <w:t xml:space="preserve">Po užití tadalafilu boli hlásené prípady náhlej straty sluchu. Hoci v niektorých prípadoch boli prítomné aj iné rizikové faktory (akými sú vek, diabetes, hypertenzia a </w:t>
      </w:r>
      <w:r w:rsidR="00C75731">
        <w:rPr>
          <w:sz w:val="22"/>
          <w:szCs w:val="22"/>
        </w:rPr>
        <w:t xml:space="preserve">strata sluchu v </w:t>
      </w:r>
      <w:r w:rsidRPr="00CE148A">
        <w:rPr>
          <w:sz w:val="22"/>
          <w:szCs w:val="22"/>
        </w:rPr>
        <w:t>anamnéz</w:t>
      </w:r>
      <w:r w:rsidR="00C75731">
        <w:rPr>
          <w:sz w:val="22"/>
          <w:szCs w:val="22"/>
        </w:rPr>
        <w:t>e</w:t>
      </w:r>
      <w:r w:rsidRPr="00CE148A">
        <w:rPr>
          <w:sz w:val="22"/>
          <w:szCs w:val="22"/>
        </w:rPr>
        <w:t>), v prípade náhleho zhoršenia alebo straty sluchu majú byť pacienti poučení, aby prestali užívať tadalafil a vyhľadali okamžitú zdravotnú starostlivosť</w:t>
      </w:r>
      <w:r>
        <w:t>.</w:t>
      </w:r>
    </w:p>
    <w:p w14:paraId="5E7584E0" w14:textId="77777777" w:rsidR="00506184" w:rsidRPr="00A97DFF" w:rsidRDefault="0050618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5CF68E53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116014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pečene</w:t>
      </w: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7749EB06" w:rsidR="00AB3B35" w:rsidRPr="00A97DFF" w:rsidRDefault="008F4B3A" w:rsidP="001160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 Child</w:t>
      </w:r>
      <w:r w:rsidR="00D46B29" w:rsidRPr="00A97DFF">
        <w:rPr>
          <w:sz w:val="22"/>
          <w:szCs w:val="22"/>
          <w:lang w:val="sk-SK"/>
        </w:rPr>
        <w:t>ov</w:t>
      </w:r>
      <w:r w:rsidR="00DB790B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DB790B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V prípade predpísania </w:t>
      </w:r>
      <w:r w:rsidR="00D46B29" w:rsidRPr="00A97DFF">
        <w:rPr>
          <w:sz w:val="22"/>
          <w:szCs w:val="22"/>
          <w:lang w:val="sk-SK"/>
        </w:rPr>
        <w:lastRenderedPageBreak/>
        <w:t xml:space="preserve">Tadalafilu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608C4AA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645BB8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69CA2CA7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Peyronieho choroba) alebo u pacientov </w:t>
      </w:r>
      <w:r w:rsidR="00702993">
        <w:rPr>
          <w:sz w:val="22"/>
          <w:szCs w:val="22"/>
          <w:lang w:val="sk-SK"/>
        </w:rPr>
        <w:t xml:space="preserve"> s</w:t>
      </w:r>
      <w:r w:rsidR="00566D93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0C1FFD08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55786F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423AC0C5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Tadalafil </w:t>
      </w:r>
      <w:r w:rsidR="0055786F">
        <w:rPr>
          <w:sz w:val="22"/>
          <w:szCs w:val="22"/>
          <w:u w:val="single"/>
          <w:lang w:val="sk-SK"/>
        </w:rPr>
        <w:t>Teva</w:t>
      </w:r>
      <w:r w:rsidR="00E122C6" w:rsidRPr="00A97DFF">
        <w:rPr>
          <w:sz w:val="22"/>
          <w:szCs w:val="22"/>
          <w:u w:val="single"/>
          <w:lang w:val="sk-SK"/>
        </w:rPr>
        <w:t xml:space="preserve"> 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63022D7D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</w:t>
      </w:r>
      <w:r w:rsidR="0055786F">
        <w:rPr>
          <w:sz w:val="22"/>
          <w:szCs w:val="22"/>
          <w:lang w:val="sk-SK"/>
        </w:rPr>
        <w:t>Teva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15FCC0FA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5786F">
        <w:rPr>
          <w:sz w:val="22"/>
          <w:szCs w:val="22"/>
          <w:lang w:val="sk-SK"/>
        </w:rPr>
        <w:t>Teva</w:t>
      </w:r>
      <w:r w:rsidR="00E122C6" w:rsidRPr="00A97DFF">
        <w:rPr>
          <w:sz w:val="22"/>
          <w:szCs w:val="22"/>
          <w:lang w:val="sk-SK"/>
        </w:rPr>
        <w:t xml:space="preserve"> obsahuje laktózu. </w:t>
      </w:r>
      <w:r w:rsidR="00D15FF3">
        <w:rPr>
          <w:sz w:val="22"/>
          <w:szCs w:val="22"/>
          <w:lang w:val="sk-SK"/>
        </w:rPr>
        <w:t>P</w:t>
      </w:r>
      <w:r w:rsidR="00D15FF3" w:rsidRPr="00E64BA4">
        <w:rPr>
          <w:sz w:val="22"/>
          <w:szCs w:val="22"/>
          <w:lang w:val="sk-SK"/>
        </w:rPr>
        <w:t xml:space="preserve">acienti so zriedkavými dedičnými problémami galaktózovej intolerancie, </w:t>
      </w:r>
      <w:r w:rsidR="00C75731" w:rsidRPr="00E64BA4">
        <w:rPr>
          <w:sz w:val="22"/>
          <w:szCs w:val="22"/>
          <w:lang w:val="sk-SK"/>
        </w:rPr>
        <w:t>celkovým</w:t>
      </w:r>
      <w:r w:rsidR="00D15FF3" w:rsidRPr="00E64BA4">
        <w:rPr>
          <w:sz w:val="22"/>
          <w:szCs w:val="22"/>
          <w:lang w:val="sk-SK"/>
        </w:rPr>
        <w:t xml:space="preserve"> deficit</w:t>
      </w:r>
      <w:r w:rsidR="00C75731" w:rsidRPr="00E64BA4">
        <w:rPr>
          <w:sz w:val="22"/>
          <w:szCs w:val="22"/>
          <w:lang w:val="sk-SK"/>
        </w:rPr>
        <w:t>om</w:t>
      </w:r>
      <w:r w:rsidR="00D15FF3" w:rsidRPr="00E64BA4">
        <w:rPr>
          <w:sz w:val="22"/>
          <w:szCs w:val="22"/>
          <w:lang w:val="sk-SK"/>
        </w:rPr>
        <w:t xml:space="preserve"> laktázy alebo glukózo-galaktózov</w:t>
      </w:r>
      <w:r w:rsidR="00C75731" w:rsidRPr="00E64BA4">
        <w:rPr>
          <w:sz w:val="22"/>
          <w:szCs w:val="22"/>
          <w:lang w:val="sk-SK"/>
        </w:rPr>
        <w:t>ou</w:t>
      </w:r>
      <w:r w:rsidR="00D15FF3" w:rsidRPr="00E64BA4">
        <w:rPr>
          <w:sz w:val="22"/>
          <w:szCs w:val="22"/>
          <w:lang w:val="sk-SK"/>
        </w:rPr>
        <w:t xml:space="preserve"> malabsorpci</w:t>
      </w:r>
      <w:r w:rsidR="00C75731" w:rsidRPr="00E64BA4">
        <w:rPr>
          <w:sz w:val="22"/>
          <w:szCs w:val="22"/>
          <w:lang w:val="sk-SK"/>
        </w:rPr>
        <w:t>ou</w:t>
      </w:r>
      <w:r w:rsidR="00D15FF3" w:rsidRPr="00E64BA4">
        <w:rPr>
          <w:sz w:val="22"/>
          <w:szCs w:val="22"/>
          <w:lang w:val="sk-SK"/>
        </w:rPr>
        <w:t xml:space="preserve"> nesmú </w:t>
      </w:r>
      <w:r w:rsidR="00E122C6" w:rsidRPr="00A97DFF">
        <w:rPr>
          <w:sz w:val="22"/>
          <w:szCs w:val="22"/>
          <w:lang w:val="sk-SK"/>
        </w:rPr>
        <w:t>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9BCEB05" w:rsidR="00802BA3" w:rsidRPr="00A97DFF" w:rsidRDefault="001F2EF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tadalafilu. Na</w:t>
      </w:r>
      <w:r w:rsidR="00002720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základe interakčných štúdií</w:t>
      </w:r>
      <w:r w:rsidR="00A01EAC">
        <w:rPr>
          <w:sz w:val="22"/>
          <w:szCs w:val="22"/>
          <w:lang w:val="sk-SK"/>
        </w:rPr>
        <w:t>,</w:t>
      </w:r>
      <w:r w:rsidR="00002F8C">
        <w:rPr>
          <w:sz w:val="22"/>
          <w:szCs w:val="22"/>
          <w:lang w:val="sk-SK"/>
        </w:rPr>
        <w:t xml:space="preserve"> v ktorých</w:t>
      </w:r>
      <w:r w:rsidR="00802BA3" w:rsidRPr="00A97DFF">
        <w:rPr>
          <w:sz w:val="22"/>
          <w:szCs w:val="22"/>
          <w:lang w:val="sk-SK"/>
        </w:rPr>
        <w:t xml:space="preserve"> bola použitá iba dávka 10 mg, sa nedajú úplne vylúčiť klinicky</w:t>
      </w:r>
      <w:r w:rsidR="008B06C3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relevantné interakcie pri vyšš</w:t>
      </w:r>
      <w:r w:rsidR="00E77B23">
        <w:rPr>
          <w:sz w:val="22"/>
          <w:szCs w:val="22"/>
          <w:lang w:val="sk-SK"/>
        </w:rPr>
        <w:t>ích</w:t>
      </w:r>
      <w:r w:rsidR="00802BA3" w:rsidRPr="00A97DFF">
        <w:rPr>
          <w:sz w:val="22"/>
          <w:szCs w:val="22"/>
          <w:lang w:val="sk-SK"/>
        </w:rPr>
        <w:t xml:space="preserve"> dávk</w:t>
      </w:r>
      <w:r w:rsidR="00E77B23">
        <w:rPr>
          <w:sz w:val="22"/>
          <w:szCs w:val="22"/>
          <w:lang w:val="sk-SK"/>
        </w:rPr>
        <w:t>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AFAF08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transportných proteínov (napr. </w:t>
      </w:r>
      <w:r w:rsidR="00AD36A2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lastRenderedPageBreak/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4DE0997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</w:t>
      </w:r>
      <w:r w:rsidR="00861CE2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733FA1B0" w14:textId="1C83FEC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55786F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861CE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  <w:r w:rsidR="0072722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92C88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</w:p>
    <w:p w14:paraId="6B2ABF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</w:p>
    <w:p w14:paraId="62003309" w14:textId="0ED0F3F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dávku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55786F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mg), ke</w:t>
      </w:r>
      <w:r w:rsidR="00992C51">
        <w:rPr>
          <w:sz w:val="22"/>
          <w:szCs w:val="22"/>
          <w:lang w:val="sk-SK"/>
        </w:rPr>
        <w:t>ď</w:t>
      </w:r>
      <w:r w:rsidRPr="00A97DFF">
        <w:rPr>
          <w:sz w:val="22"/>
          <w:szCs w:val="22"/>
          <w:lang w:val="sk-SK"/>
        </w:rPr>
        <w:t xml:space="preserve"> sa v život ohrozujúcej situácii javí podanie nitrátov</w:t>
      </w:r>
    </w:p>
    <w:p w14:paraId="3CB2D562" w14:textId="60027C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</w:p>
    <w:p w14:paraId="2491E910" w14:textId="3AA816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r w:rsidR="00AD36A2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</w:t>
      </w:r>
      <w:r w:rsidR="00992C51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>nitráty</w:t>
      </w:r>
      <w:r w:rsidR="00A01EAC">
        <w:rPr>
          <w:sz w:val="22"/>
          <w:szCs w:val="22"/>
          <w:lang w:val="sk-SK"/>
        </w:rPr>
        <w:t>,</w:t>
      </w:r>
      <w:r w:rsidR="00992C51">
        <w:rPr>
          <w:sz w:val="22"/>
          <w:szCs w:val="22"/>
          <w:lang w:val="sk-SK"/>
        </w:rPr>
        <w:t xml:space="preserve"> ale</w:t>
      </w:r>
      <w:r w:rsidRPr="00A97DFF">
        <w:rPr>
          <w:sz w:val="22"/>
          <w:szCs w:val="22"/>
          <w:lang w:val="sk-SK"/>
        </w:rPr>
        <w:t xml:space="preserve"> iba pod</w:t>
      </w:r>
      <w:r w:rsidR="00221BA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71A9E56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221BA2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né podanie doxazosínu (4 a 8 mg denne) a tadalafilu (5 mg denná dávka a 20 mg ako</w:t>
      </w:r>
    </w:p>
    <w:p w14:paraId="5BEDF2DF" w14:textId="76EC3E4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</w:t>
      </w:r>
      <w:r w:rsidR="00C6769A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C6769A">
        <w:rPr>
          <w:sz w:val="22"/>
          <w:szCs w:val="22"/>
          <w:lang w:val="sk-SK"/>
        </w:rPr>
        <w:t>y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528B2D5A" w14:textId="55D4F5EC" w:rsidR="00802BA3" w:rsidRPr="00A97DFF" w:rsidRDefault="00C6769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 xml:space="preserve">najmenej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synkopy. Preto sa táto</w:t>
      </w:r>
    </w:p>
    <w:p w14:paraId="4057B574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1EC9489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interakčných štúdiách vykonaných </w:t>
      </w:r>
      <w:r w:rsidR="00822902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822902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822902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zdravých dobrovoľníkov neboli tieto</w:t>
      </w:r>
    </w:p>
    <w:p w14:paraId="433731CE" w14:textId="3A04D09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alfuzosíne alebo tamsulozíne. </w:t>
      </w:r>
      <w:r w:rsidR="0027143B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27143B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65C28612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8D526D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729E45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</w:t>
      </w:r>
      <w:r w:rsidR="009B16F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9B16F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608F4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221BA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221BA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73F056A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3CD33A2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9B16F3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 xml:space="preserve"> nebolo spojené</w:t>
      </w:r>
    </w:p>
    <w:p w14:paraId="10643CD7" w14:textId="5501A8A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užívajú antihypertenz</w:t>
      </w:r>
      <w:r w:rsidR="00717E23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07E4F3E6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070DD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070DD5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64ADA">
        <w:rPr>
          <w:i/>
          <w:sz w:val="22"/>
          <w:szCs w:val="22"/>
          <w:lang w:val="sk-SK"/>
        </w:rPr>
        <w:t>Riociguát</w:t>
      </w:r>
    </w:p>
    <w:p w14:paraId="6A96BCA5" w14:textId="14FF2838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D93B65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D93B65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D93B65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D93B65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riociguátom. Klinické štúdie preukázali, že riociguát zosilňuje hypotenzívne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riociguátu s PDE5 inhibítormi, vrátane tadalafilu,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5D57F11D" w14:textId="1BB6988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9A145B">
        <w:rPr>
          <w:sz w:val="22"/>
          <w:szCs w:val="22"/>
          <w:lang w:val="sk-SK"/>
        </w:rPr>
        <w:t>v ktorom</w:t>
      </w:r>
      <w:r w:rsidRPr="00A97DFF">
        <w:rPr>
          <w:sz w:val="22"/>
          <w:szCs w:val="22"/>
          <w:lang w:val="sk-SK"/>
        </w:rPr>
        <w:t xml:space="preserve"> sa porovnával účinok tadalafilu 5 mg súbežn</w:t>
      </w:r>
      <w:r w:rsidR="009A145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podávan</w:t>
      </w:r>
      <w:r w:rsidR="009A145B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s finasteridom</w:t>
      </w:r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563C90">
        <w:rPr>
          <w:sz w:val="22"/>
          <w:szCs w:val="22"/>
          <w:lang w:val="sk-SK"/>
        </w:rPr>
        <w:lastRenderedPageBreak/>
        <w:t xml:space="preserve">benígnej hyperplázie </w:t>
      </w:r>
      <w:r w:rsidR="00563C90" w:rsidRPr="00B40C05">
        <w:rPr>
          <w:sz w:val="22"/>
          <w:szCs w:val="22"/>
          <w:lang w:val="sk-SK"/>
        </w:rPr>
        <w:t>prostaty</w:t>
      </w:r>
      <w:r w:rsidR="00563C90" w:rsidRPr="00A97DFF">
        <w:rPr>
          <w:sz w:val="22"/>
          <w:szCs w:val="22"/>
          <w:lang w:val="sk-SK"/>
        </w:rPr>
        <w:t xml:space="preserve"> </w:t>
      </w:r>
      <w:r w:rsidR="00563C90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B</w:t>
      </w:r>
      <w:r w:rsidR="0029622E">
        <w:rPr>
          <w:sz w:val="22"/>
          <w:szCs w:val="22"/>
          <w:lang w:val="sk-SK"/>
        </w:rPr>
        <w:t>HP)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</w:t>
      </w:r>
      <w:r w:rsidR="002C3228">
        <w:rPr>
          <w:sz w:val="22"/>
          <w:szCs w:val="22"/>
          <w:lang w:val="sk-SK"/>
        </w:rPr>
        <w:t>zistili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2C3228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2C3228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2C3228">
        <w:rPr>
          <w:sz w:val="22"/>
          <w:szCs w:val="22"/>
          <w:lang w:val="sk-SK"/>
        </w:rPr>
        <w:t>formálna</w:t>
      </w:r>
      <w:r w:rsidRPr="00A97DFF">
        <w:rPr>
          <w:sz w:val="22"/>
          <w:szCs w:val="22"/>
          <w:lang w:val="sk-SK"/>
        </w:rPr>
        <w:t xml:space="preserve">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malý a v štúdii nevykazoval klinickú významnosť,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>aní týchto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58590472" w14:textId="0A6E85F7" w:rsidR="00802BA3" w:rsidRPr="00A97DFF" w:rsidRDefault="00802BA3" w:rsidP="00070DD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podaní</w:t>
      </w:r>
      <w:r w:rsidR="006C551C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</w:t>
      </w:r>
      <w:r w:rsidR="000843CE" w:rsidRPr="00A97DFF">
        <w:rPr>
          <w:sz w:val="22"/>
          <w:szCs w:val="22"/>
          <w:lang w:val="sk-SK"/>
        </w:rPr>
        <w:t xml:space="preserve">podobné zvýšenie sa dá očakávať </w:t>
      </w:r>
      <w:r w:rsidRPr="00A97DFF">
        <w:rPr>
          <w:sz w:val="22"/>
          <w:szCs w:val="22"/>
          <w:lang w:val="sk-SK"/>
        </w:rPr>
        <w:t>pri perorálnom podaní terbutalínu, hoci</w:t>
      </w:r>
      <w:r w:rsidR="0017489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klinický</w:t>
      </w:r>
      <w:r w:rsidR="00070D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dôsledok </w:t>
      </w:r>
      <w:r w:rsidR="006B6C8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ne</w:t>
      </w:r>
      <w:r w:rsidR="006C551C">
        <w:rPr>
          <w:sz w:val="22"/>
          <w:szCs w:val="22"/>
          <w:lang w:val="sk-SK"/>
        </w:rPr>
        <w:t>jasný</w:t>
      </w:r>
      <w:r w:rsidRPr="00A97DFF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0A22CC76" w14:textId="217A2B2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571AA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alkoholu (priemerná maximálna koncentrácia alkoholu v 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</w:t>
      </w:r>
      <w:r w:rsidR="00571AA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ovplyvnen</w:t>
      </w:r>
      <w:r w:rsidR="00571AAF">
        <w:rPr>
          <w:sz w:val="22"/>
          <w:szCs w:val="22"/>
          <w:lang w:val="sk-SK"/>
        </w:rPr>
        <w:t>é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sú</w:t>
      </w:r>
      <w:r w:rsidR="0017489C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ným podaním tadalafilu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</w:p>
    <w:p w14:paraId="740A70B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požití alkoholu). Tadalafil (20 mg) nezosilňoval priemerné zníženie krvného tlaku spôsobené</w:t>
      </w:r>
    </w:p>
    <w:p w14:paraId="46F16FDE" w14:textId="66D5DE7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alkoholu [vodky] u 80-kg muža), u niektorých osôb </w:t>
      </w:r>
      <w:r w:rsidR="00571AAF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17489C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tadalafil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Kyselina acetysalicylová</w:t>
      </w:r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</w:t>
      </w:r>
      <w:r w:rsidR="00997AC4">
        <w:rPr>
          <w:sz w:val="22"/>
          <w:szCs w:val="22"/>
          <w:lang w:val="sk-SK"/>
        </w:rPr>
        <w:t>oval</w:t>
      </w:r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146B879E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753ECB62" w14:textId="25D82E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>účinky na priebeh tehotenstva, embryonálny/fetálny výv</w:t>
      </w:r>
      <w:r w:rsidR="0029622E">
        <w:rPr>
          <w:sz w:val="22"/>
          <w:szCs w:val="22"/>
          <w:lang w:val="sk-SK"/>
        </w:rPr>
        <w:t>i</w:t>
      </w:r>
      <w:r w:rsidR="001B03AD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>, pôrod alebo postnatálny výv</w:t>
      </w:r>
      <w:r w:rsidR="001B03AD">
        <w:rPr>
          <w:sz w:val="22"/>
          <w:szCs w:val="22"/>
          <w:lang w:val="sk-SK"/>
        </w:rPr>
        <w:t>in</w:t>
      </w:r>
      <w:r w:rsidRPr="00A97DFF">
        <w:rPr>
          <w:sz w:val="22"/>
          <w:szCs w:val="22"/>
          <w:lang w:val="sk-SK"/>
        </w:rPr>
        <w:t xml:space="preserve"> 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71815A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preukázali exkréciu tadalafilu do</w:t>
      </w:r>
    </w:p>
    <w:p w14:paraId="65430079" w14:textId="6C2F47E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mlieka</w:t>
      </w:r>
      <w:r w:rsidR="00655F3F">
        <w:rPr>
          <w:sz w:val="22"/>
          <w:szCs w:val="22"/>
          <w:lang w:val="sk-SK"/>
        </w:rPr>
        <w:t xml:space="preserve"> u zvierat</w:t>
      </w:r>
      <w:r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Pr="00A97DFF">
        <w:rPr>
          <w:sz w:val="22"/>
          <w:szCs w:val="22"/>
          <w:lang w:val="sk-SK"/>
        </w:rPr>
        <w:t xml:space="preserve">.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sa nemá užívať</w:t>
      </w:r>
      <w:r w:rsidR="005520DA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3312A16C" w14:textId="37FF0970" w:rsidR="00802BA3" w:rsidRPr="008976C4" w:rsidRDefault="00802BA3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CE426F">
        <w:rPr>
          <w:sz w:val="22"/>
          <w:szCs w:val="22"/>
          <w:lang w:val="sk-SK"/>
        </w:rPr>
        <w:t>že tento účinok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2962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124102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</w:t>
      </w:r>
      <w:r w:rsidR="0012410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5595D1D" w14:textId="1F6E6EBB" w:rsidR="00971C72" w:rsidRPr="00A97DFF" w:rsidRDefault="00052430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A235B">
        <w:rPr>
          <w:sz w:val="22"/>
          <w:szCs w:val="22"/>
          <w:lang w:val="sk-SK"/>
        </w:rPr>
        <w:t>Tadalafil</w:t>
      </w:r>
      <w:r w:rsidR="00802BA3" w:rsidRPr="001A235B">
        <w:rPr>
          <w:sz w:val="22"/>
          <w:szCs w:val="22"/>
          <w:lang w:val="sk-SK"/>
        </w:rPr>
        <w:t xml:space="preserve"> má zanedbateľný vplyv na schopnosť viesť vozidlá a</w:t>
      </w:r>
      <w:r w:rsidR="00ED181C">
        <w:rPr>
          <w:sz w:val="22"/>
          <w:szCs w:val="22"/>
          <w:lang w:val="sk-SK"/>
        </w:rPr>
        <w:t>lebo</w:t>
      </w:r>
      <w:r w:rsidR="00802BA3" w:rsidRPr="001A235B">
        <w:rPr>
          <w:sz w:val="22"/>
          <w:szCs w:val="22"/>
          <w:lang w:val="sk-SK"/>
        </w:rPr>
        <w:t xml:space="preserve"> obsluhovať stroje. Hoci </w:t>
      </w:r>
      <w:r w:rsidR="006E38CB">
        <w:rPr>
          <w:sz w:val="22"/>
          <w:szCs w:val="22"/>
          <w:lang w:val="sk-SK"/>
        </w:rPr>
        <w:t>frekvencia</w:t>
      </w:r>
      <w:r w:rsidR="00647A67">
        <w:rPr>
          <w:sz w:val="22"/>
          <w:szCs w:val="22"/>
          <w:lang w:val="sk-SK"/>
        </w:rPr>
        <w:t xml:space="preserve"> hlásení </w:t>
      </w:r>
      <w:r w:rsidR="00802BA3" w:rsidRPr="001A235B">
        <w:rPr>
          <w:sz w:val="22"/>
          <w:szCs w:val="22"/>
          <w:lang w:val="sk-SK"/>
        </w:rPr>
        <w:t xml:space="preserve">závratov v klinických </w:t>
      </w:r>
      <w:r w:rsidRPr="001A235B">
        <w:rPr>
          <w:sz w:val="22"/>
          <w:szCs w:val="22"/>
          <w:lang w:val="sk-SK"/>
        </w:rPr>
        <w:t>skúšaniach</w:t>
      </w:r>
      <w:r w:rsidR="00802BA3" w:rsidRPr="001A235B">
        <w:rPr>
          <w:sz w:val="22"/>
          <w:szCs w:val="22"/>
          <w:lang w:val="sk-SK"/>
        </w:rPr>
        <w:t xml:space="preserve"> bol</w:t>
      </w:r>
      <w:r w:rsidR="00205280">
        <w:rPr>
          <w:sz w:val="22"/>
          <w:szCs w:val="22"/>
          <w:lang w:val="sk-SK"/>
        </w:rPr>
        <w:t>a</w:t>
      </w:r>
      <w:r w:rsidR="00802BA3" w:rsidRPr="001A235B">
        <w:rPr>
          <w:sz w:val="22"/>
          <w:szCs w:val="22"/>
          <w:lang w:val="sk-SK"/>
        </w:rPr>
        <w:t xml:space="preserve"> podobn</w:t>
      </w:r>
      <w:r w:rsidR="00205280">
        <w:rPr>
          <w:sz w:val="22"/>
          <w:szCs w:val="22"/>
          <w:lang w:val="sk-SK"/>
        </w:rPr>
        <w:t>á</w:t>
      </w:r>
      <w:r w:rsidR="00802BA3" w:rsidRPr="001A235B">
        <w:rPr>
          <w:sz w:val="22"/>
          <w:szCs w:val="22"/>
          <w:lang w:val="sk-SK"/>
        </w:rPr>
        <w:t xml:space="preserve"> v skupinách </w:t>
      </w:r>
      <w:r w:rsidR="009A785B" w:rsidRPr="001A235B">
        <w:rPr>
          <w:sz w:val="22"/>
          <w:szCs w:val="22"/>
          <w:lang w:val="sk-SK"/>
        </w:rPr>
        <w:t xml:space="preserve">s </w:t>
      </w:r>
      <w:r w:rsidR="00802BA3" w:rsidRPr="001A235B">
        <w:rPr>
          <w:sz w:val="22"/>
          <w:szCs w:val="22"/>
          <w:lang w:val="sk-SK"/>
        </w:rPr>
        <w:t>placeb</w:t>
      </w:r>
      <w:r w:rsidR="009A785B" w:rsidRPr="001A235B">
        <w:rPr>
          <w:sz w:val="22"/>
          <w:szCs w:val="22"/>
          <w:lang w:val="sk-SK"/>
        </w:rPr>
        <w:t>om</w:t>
      </w:r>
      <w:r w:rsidR="00802BA3" w:rsidRPr="001A235B">
        <w:rPr>
          <w:sz w:val="22"/>
          <w:szCs w:val="22"/>
          <w:lang w:val="sk-SK"/>
        </w:rPr>
        <w:t xml:space="preserve"> a tadalafil</w:t>
      </w:r>
      <w:r w:rsidR="009A785B" w:rsidRPr="001A235B">
        <w:rPr>
          <w:sz w:val="22"/>
          <w:szCs w:val="22"/>
          <w:lang w:val="sk-SK"/>
        </w:rPr>
        <w:t>om</w:t>
      </w:r>
      <w:r w:rsidR="00802BA3" w:rsidRPr="001A235B">
        <w:rPr>
          <w:sz w:val="22"/>
          <w:szCs w:val="22"/>
          <w:lang w:val="sk-SK"/>
        </w:rPr>
        <w:t>, pred vedením</w:t>
      </w:r>
      <w:r w:rsidR="006C24EC">
        <w:rPr>
          <w:sz w:val="22"/>
          <w:szCs w:val="22"/>
          <w:lang w:val="sk-SK"/>
        </w:rPr>
        <w:t xml:space="preserve"> </w:t>
      </w:r>
      <w:r w:rsidR="00802BA3" w:rsidRPr="001A235B">
        <w:rPr>
          <w:sz w:val="22"/>
          <w:szCs w:val="22"/>
          <w:lang w:val="sk-SK"/>
        </w:rPr>
        <w:t xml:space="preserve"> vozidiel alebo </w:t>
      </w:r>
      <w:r w:rsidR="00321BFF" w:rsidRPr="001A235B">
        <w:rPr>
          <w:sz w:val="22"/>
          <w:szCs w:val="22"/>
          <w:lang w:val="sk-SK"/>
        </w:rPr>
        <w:t>obsluhovaním</w:t>
      </w:r>
      <w:r w:rsidR="00802BA3" w:rsidRPr="001A235B">
        <w:rPr>
          <w:sz w:val="22"/>
          <w:szCs w:val="22"/>
          <w:lang w:val="sk-SK"/>
        </w:rPr>
        <w:t xml:space="preserve"> strojov</w:t>
      </w:r>
      <w:r w:rsidR="00A01EAC">
        <w:rPr>
          <w:sz w:val="22"/>
          <w:szCs w:val="22"/>
          <w:lang w:val="sk-SK"/>
        </w:rPr>
        <w:t>,</w:t>
      </w:r>
      <w:r w:rsidR="00802BA3" w:rsidRPr="001A235B">
        <w:rPr>
          <w:sz w:val="22"/>
          <w:szCs w:val="22"/>
          <w:lang w:val="sk-SK"/>
        </w:rPr>
        <w:t xml:space="preserve"> pacienti ma</w:t>
      </w:r>
      <w:r w:rsidR="00C75731">
        <w:rPr>
          <w:sz w:val="22"/>
          <w:szCs w:val="22"/>
          <w:lang w:val="sk-SK"/>
        </w:rPr>
        <w:t>jú</w:t>
      </w:r>
      <w:r w:rsidR="00802BA3" w:rsidRPr="001A235B">
        <w:rPr>
          <w:sz w:val="22"/>
          <w:szCs w:val="22"/>
          <w:lang w:val="sk-SK"/>
        </w:rPr>
        <w:t xml:space="preserve"> poznať svoju reakciu na </w:t>
      </w:r>
      <w:r w:rsidRPr="001A235B">
        <w:rPr>
          <w:sz w:val="22"/>
          <w:szCs w:val="22"/>
          <w:lang w:val="sk-SK"/>
        </w:rPr>
        <w:t>tadalafil</w:t>
      </w:r>
      <w:r w:rsidR="00802BA3" w:rsidRPr="001A235B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34EC7E7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1A235B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benígnej hyperplázie prostaty boli bolesť hlavy, dyspepsia, bolesť chrbta a myalgia, u ktorých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1A235B">
        <w:rPr>
          <w:sz w:val="22"/>
          <w:szCs w:val="22"/>
          <w:lang w:val="sk-SK"/>
        </w:rPr>
        <w:t>Z</w:t>
      </w:r>
      <w:r w:rsidR="001C1ACF">
        <w:rPr>
          <w:sz w:val="22"/>
          <w:szCs w:val="22"/>
          <w:lang w:val="sk-SK"/>
        </w:rPr>
        <w:t xml:space="preserve">aznamenané nežiaduce </w:t>
      </w:r>
      <w:r w:rsidR="001A235B">
        <w:rPr>
          <w:sz w:val="22"/>
          <w:szCs w:val="22"/>
          <w:lang w:val="sk-SK"/>
        </w:rPr>
        <w:t>reakcie</w:t>
      </w:r>
      <w:r w:rsidR="001C1ACF">
        <w:rPr>
          <w:sz w:val="22"/>
          <w:szCs w:val="22"/>
          <w:lang w:val="sk-SK"/>
        </w:rPr>
        <w:t xml:space="preserve"> boli prechodné a vo všeob</w:t>
      </w:r>
      <w:r w:rsidR="001A235B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a 30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0AB75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1F580F88" w14:textId="324C33FD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8939B9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8939B9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943B65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liečených </w:t>
      </w:r>
      <w:r w:rsidR="00A32907" w:rsidRPr="00A97DFF">
        <w:rPr>
          <w:sz w:val="22"/>
          <w:szCs w:val="22"/>
          <w:lang w:val="sk-SK"/>
        </w:rPr>
        <w:t>tadalafilom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</w:t>
      </w:r>
      <w:r w:rsidR="00943B65">
        <w:rPr>
          <w:sz w:val="22"/>
          <w:szCs w:val="22"/>
          <w:lang w:val="sk-SK"/>
        </w:rPr>
        <w:t>4 422</w:t>
      </w:r>
      <w:r w:rsidRPr="00A97DFF">
        <w:rPr>
          <w:sz w:val="22"/>
          <w:szCs w:val="22"/>
          <w:lang w:val="sk-SK"/>
        </w:rPr>
        <w:t xml:space="preserve"> pacientov </w:t>
      </w:r>
      <w:r w:rsidR="004A24AA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placeb</w:t>
      </w:r>
      <w:r w:rsidR="004A24AA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) v liečbe erektilnej dysfunkcie </w:t>
      </w:r>
      <w:r w:rsidR="0029622E">
        <w:rPr>
          <w:sz w:val="22"/>
          <w:szCs w:val="22"/>
          <w:lang w:val="sk-SK"/>
        </w:rPr>
        <w:t>podľa potreby</w:t>
      </w:r>
      <w:r w:rsidRPr="00A97DFF">
        <w:rPr>
          <w:sz w:val="22"/>
          <w:szCs w:val="22"/>
          <w:lang w:val="sk-SK"/>
        </w:rPr>
        <w:t xml:space="preserve"> a jedenkrát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liečbe benígnej hyperplázie prostaty jedenkrát denne.</w:t>
      </w:r>
    </w:p>
    <w:p w14:paraId="451B8B53" w14:textId="77777777" w:rsidR="008939B9" w:rsidRPr="00A97DFF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589FCA" w14:textId="4DE7A31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939B9">
        <w:rPr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(≥1/10), časté (≥1/100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</w:p>
    <w:p w14:paraId="131D33FC" w14:textId="2727D2F9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>z dostupných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070DD5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4D9C20D8" w:rsidR="008A69FE" w:rsidRPr="008976C4" w:rsidRDefault="00D36ED7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79A4E7BD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070DD5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465B45BB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68EEB61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 w:rsidR="0029622E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23E8B6EA" w:rsidR="008A69FE" w:rsidRPr="00A97DFF" w:rsidRDefault="00D36ED7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070DD5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E64BA4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31BDFE35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60CE10DE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hyperémia, nearteritická</w:t>
            </w:r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070DD5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6853730B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2DCC9F81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áhla</w:t>
            </w:r>
            <w:r>
              <w:rPr>
                <w:sz w:val="22"/>
                <w:szCs w:val="22"/>
                <w:lang w:val="sk-SK"/>
              </w:rPr>
              <w:t xml:space="preserve"> strata sluchu</w:t>
            </w:r>
          </w:p>
        </w:tc>
      </w:tr>
      <w:tr w:rsidR="00264D23" w:rsidRPr="008976C4" w14:paraId="1DE4531F" w14:textId="77777777" w:rsidTr="00070DD5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1E0FF334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254A06DC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64F1D579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070DD5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2C977D04" w:rsidR="008A69FE" w:rsidRPr="008976C4" w:rsidRDefault="009B78F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4AA3D82C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070DD5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480F0FA2" w:rsidR="008A69FE" w:rsidRPr="008976C4" w:rsidRDefault="009B78F3" w:rsidP="001634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04D79A97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070DD5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5E523313" w:rsidR="008A69FE" w:rsidRPr="00A97DFF" w:rsidRDefault="004D1A3A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277B640F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5EE899E" w14:textId="77777777" w:rsidR="008A69FE" w:rsidRDefault="004D1A3A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</w:p>
          <w:p w14:paraId="4B224305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C7201BC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3CB99138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8A4904B" w14:textId="3604D801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E64BA4" w14:paraId="69318096" w14:textId="77777777" w:rsidTr="00070DD5">
        <w:tc>
          <w:tcPr>
            <w:tcW w:w="9387" w:type="dxa"/>
            <w:gridSpan w:val="4"/>
          </w:tcPr>
          <w:p w14:paraId="34E8FCA8" w14:textId="5EFCC92B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1CC2A91B" w:rsidR="008A69FE" w:rsidRPr="008976C4" w:rsidRDefault="00563671" w:rsidP="00E64B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192D7F27" w:rsidR="008A69FE" w:rsidRPr="00A97DFF" w:rsidRDefault="00563671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>ihľavka, Stevensov-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E9FE3E5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6F6A2B4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F0DD9D8" w:rsidR="00923A21" w:rsidRPr="008976C4" w:rsidRDefault="00923A21" w:rsidP="00C757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070DD5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E64BA4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0173B744" w:rsidR="008A69FE" w:rsidRPr="008976C4" w:rsidRDefault="00563671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070DD5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4F4A52BD" w:rsidR="008A69FE" w:rsidRPr="008976C4" w:rsidRDefault="00563671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070DD5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E64BA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7532D9" w14:textId="53B665AC" w:rsidR="008A69FE" w:rsidRPr="008976C4" w:rsidRDefault="00923A21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923A2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297221C1" w14:textId="7145F33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6F6DE310" w14:textId="23909DC3" w:rsidR="008A69FE" w:rsidRDefault="000C3A1F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8A69FE" w:rsidRPr="00A97DFF">
              <w:rPr>
                <w:sz w:val="22"/>
                <w:szCs w:val="22"/>
                <w:lang w:val="sk-SK"/>
              </w:rPr>
              <w:t>riapizmus</w:t>
            </w:r>
          </w:p>
          <w:p w14:paraId="65ACC2A3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 penisu,</w:t>
            </w:r>
          </w:p>
          <w:p w14:paraId="242C896C" w14:textId="2FB3E1B9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</w:tc>
      </w:tr>
      <w:tr w:rsidR="0092319C" w:rsidRPr="00E64BA4" w14:paraId="73DB694D" w14:textId="77777777" w:rsidTr="00070DD5">
        <w:trPr>
          <w:trHeight w:val="65"/>
        </w:trPr>
        <w:tc>
          <w:tcPr>
            <w:tcW w:w="9387" w:type="dxa"/>
            <w:gridSpan w:val="4"/>
          </w:tcPr>
          <w:p w14:paraId="617580CF" w14:textId="34FBA91E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8A69FE" w:rsidRPr="00E64BA4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141396" w14:textId="77777777" w:rsidR="008A69FE" w:rsidRDefault="00563671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16402F92" w14:textId="77777777" w:rsidR="00B44DB7" w:rsidRPr="00DA2C24" w:rsidRDefault="00B44DB7" w:rsidP="00B44D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periférn</w:t>
            </w:r>
            <w:r>
              <w:rPr>
                <w:sz w:val="22"/>
                <w:szCs w:val="22"/>
                <w:lang w:val="sk-SK"/>
              </w:rPr>
              <w:t>y</w:t>
            </w:r>
            <w:r w:rsidRPr="00DA2C24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376DB1DB" w:rsidR="00B44DB7" w:rsidRPr="008976C4" w:rsidRDefault="00B44DB7" w:rsidP="00B44D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30E12746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63671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postmarketingového sledovania nepozorované v placebom</w:t>
      </w:r>
      <w:r w:rsidR="00FC4977">
        <w:rPr>
          <w:sz w:val="22"/>
          <w:szCs w:val="22"/>
          <w:lang w:val="sk-SK"/>
        </w:rPr>
        <w:t xml:space="preserve"> 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716AE7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</w:t>
      </w:r>
      <w:r w:rsidR="00C75731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F7439FE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liečených tadalafilom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870DF65" w14:textId="77777777" w:rsidR="007079F4" w:rsidRPr="00A97DFF" w:rsidRDefault="00802BA3" w:rsidP="007079F4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7079F4">
        <w:rPr>
          <w:sz w:val="22"/>
          <w:szCs w:val="22"/>
          <w:u w:val="single"/>
          <w:lang w:val="sk-SK"/>
        </w:rPr>
        <w:t xml:space="preserve"> pacientov</w:t>
      </w:r>
    </w:p>
    <w:p w14:paraId="74FA1251" w14:textId="70E3A65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8DF63F5" w14:textId="7E010366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</w:t>
      </w:r>
      <w:r w:rsidR="007079F4">
        <w:rPr>
          <w:sz w:val="22"/>
          <w:szCs w:val="22"/>
          <w:lang w:val="sk-SK"/>
        </w:rPr>
        <w:t> </w:t>
      </w:r>
      <w:r w:rsidR="00723AE2">
        <w:rPr>
          <w:sz w:val="22"/>
          <w:szCs w:val="22"/>
          <w:lang w:val="sk-SK"/>
        </w:rPr>
        <w:t>tadalafilom</w:t>
      </w:r>
      <w:r w:rsidR="007079F4">
        <w:rPr>
          <w:sz w:val="22"/>
          <w:szCs w:val="22"/>
          <w:lang w:val="sk-SK"/>
        </w:rPr>
        <w:t>,</w:t>
      </w:r>
      <w:r w:rsidR="00723AE2">
        <w:rPr>
          <w:sz w:val="22"/>
          <w:szCs w:val="22"/>
          <w:lang w:val="sk-SK"/>
        </w:rPr>
        <w:t xml:space="preserve"> užívaným </w:t>
      </w:r>
      <w:r w:rsidR="007079F4">
        <w:rPr>
          <w:sz w:val="22"/>
          <w:szCs w:val="22"/>
          <w:lang w:val="sk-SK"/>
        </w:rPr>
        <w:t>podľa pot</w:t>
      </w:r>
      <w:r w:rsidR="00A01EAC">
        <w:rPr>
          <w:sz w:val="22"/>
          <w:szCs w:val="22"/>
          <w:lang w:val="sk-SK"/>
        </w:rPr>
        <w:t>r</w:t>
      </w:r>
      <w:r w:rsidR="007079F4">
        <w:rPr>
          <w:sz w:val="22"/>
          <w:szCs w:val="22"/>
          <w:lang w:val="sk-SK"/>
        </w:rPr>
        <w:t>eby</w:t>
      </w:r>
      <w:r w:rsidR="00723AE2">
        <w:rPr>
          <w:sz w:val="22"/>
          <w:szCs w:val="22"/>
          <w:lang w:val="sk-SK"/>
        </w:rPr>
        <w:t xml:space="preserve"> na liečbu erektilnej dysfunkcie bola u pacientov starších ako  65 rokov častejšie hlásená hnačka. </w:t>
      </w:r>
      <w:r w:rsidR="00BF6EFA" w:rsidRPr="00A97DFF">
        <w:rPr>
          <w:sz w:val="22"/>
          <w:szCs w:val="22"/>
          <w:lang w:val="sk-SK"/>
        </w:rPr>
        <w:t>V klinických skúšaniach s</w:t>
      </w:r>
      <w:r w:rsidR="00BF6EFA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 mg tadalafilu užívaným</w:t>
      </w:r>
      <w:r w:rsidR="007079F4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hyperplázie</w:t>
      </w:r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prostaty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071B29FC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E43C7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CE43C7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38E9DD69" w:rsidR="0096476F" w:rsidRPr="008976C4" w:rsidRDefault="00806BB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</w:t>
      </w:r>
      <w:r w:rsidR="006C46D8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a pacientom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64BD4A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Farmakoterapeutická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E6A64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7B35F35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29622E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 </w:t>
      </w:r>
      <w:r w:rsidR="006513CC">
        <w:rPr>
          <w:sz w:val="22"/>
          <w:szCs w:val="22"/>
          <w:lang w:val="sk-SK"/>
        </w:rPr>
        <w:t xml:space="preserve">špecifickej pre cyklický guanozín-monofosfát </w:t>
      </w:r>
      <w:r w:rsidRPr="00A97DFF">
        <w:rPr>
          <w:sz w:val="22"/>
          <w:szCs w:val="22"/>
          <w:lang w:val="sk-SK"/>
        </w:rPr>
        <w:t xml:space="preserve"> (cGMP).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704C2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dusnatého, inhibícia PDE5 tadalafilom zvyšuje hladiny cGMP v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8264FE3" w:rsidR="00802BA3" w:rsidRPr="00A97DFF" w:rsidRDefault="008866E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802BA3" w:rsidRPr="00A97DFF">
        <w:rPr>
          <w:sz w:val="22"/>
          <w:szCs w:val="22"/>
          <w:lang w:val="sk-SK"/>
        </w:rPr>
        <w:t>adalafil</w:t>
      </w:r>
      <w:r>
        <w:rPr>
          <w:sz w:val="22"/>
          <w:szCs w:val="22"/>
          <w:lang w:val="sk-SK"/>
        </w:rPr>
        <w:t xml:space="preserve"> nemá</w:t>
      </w:r>
      <w:r w:rsidR="00802BA3" w:rsidRPr="00A97DFF">
        <w:rPr>
          <w:sz w:val="22"/>
          <w:szCs w:val="22"/>
          <w:lang w:val="sk-SK"/>
        </w:rPr>
        <w:t xml:space="preserve"> žiadny účinok bez </w:t>
      </w:r>
      <w:r w:rsidR="009B7942" w:rsidRPr="00A97DFF">
        <w:rPr>
          <w:sz w:val="22"/>
          <w:szCs w:val="22"/>
          <w:lang w:val="sk-SK"/>
        </w:rPr>
        <w:t>sexuál</w:t>
      </w:r>
      <w:r w:rsidR="00802BA3" w:rsidRPr="00A97DFF">
        <w:rPr>
          <w:sz w:val="22"/>
          <w:szCs w:val="22"/>
          <w:lang w:val="sk-SK"/>
        </w:rPr>
        <w:t>nej stimulácie.</w:t>
      </w:r>
    </w:p>
    <w:p w14:paraId="0169723F" w14:textId="77777777" w:rsidR="008939B9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1722476F" w14:textId="40D70A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9E3A5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77777777" w:rsidR="00802BA3" w:rsidRPr="001B0E6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 bezpečnosť</w:t>
      </w:r>
    </w:p>
    <w:p w14:paraId="33A5BD62" w14:textId="77777777" w:rsidR="00215CDF" w:rsidRDefault="00215CD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7CFB56" w14:textId="53084E4B" w:rsidR="00D434A8" w:rsidRPr="00E64BA4" w:rsidRDefault="00D434A8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41E22">
        <w:rPr>
          <w:sz w:val="22"/>
          <w:szCs w:val="22"/>
          <w:lang w:val="sk-SK"/>
        </w:rPr>
        <w:t>V troch klinických štúdiách vykonaných na 1 054 pacientoch v domácom prostredí sa sledovalo obdobie reakcie pacienta na tadalafil. Tadalafil v porovnaní s placebom viedol k štatisticky 38 významnému zlepšeniu erektilnej funkcie a k schopnosti vykonať úspešný pohlavný styk v období až do 36 hodín po jeho užití, rovnako ako schopnosti dosiahnuť a udržať erekciu dostatočnú na úspešný pohlavný styk už 16 minút po jeho užití.</w:t>
      </w:r>
      <w:r w:rsidRPr="00E64BA4">
        <w:rPr>
          <w:sz w:val="22"/>
          <w:szCs w:val="22"/>
          <w:lang w:val="sk-SK"/>
        </w:rPr>
        <w:t xml:space="preserve"> </w:t>
      </w:r>
    </w:p>
    <w:p w14:paraId="043D0CD9" w14:textId="552F1C87" w:rsidR="001C3114" w:rsidRDefault="001C3114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1F4623" w14:textId="352281A7" w:rsidR="00802BA3" w:rsidRPr="00A97DFF" w:rsidRDefault="00802BA3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placebom, tadalafil 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vaný zdravým </w:t>
      </w:r>
      <w:r w:rsidR="00CE4167">
        <w:rPr>
          <w:sz w:val="22"/>
          <w:szCs w:val="22"/>
          <w:lang w:val="sk-SK"/>
        </w:rPr>
        <w:t>osobám</w:t>
      </w:r>
      <w:r w:rsidRPr="00A97DFF">
        <w:rPr>
          <w:sz w:val="22"/>
          <w:szCs w:val="22"/>
          <w:lang w:val="sk-SK"/>
        </w:rPr>
        <w:t xml:space="preserve"> neviedol k žiadnym významným</w:t>
      </w:r>
    </w:p>
    <w:p w14:paraId="67D27970" w14:textId="5E3F9BC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zmenám systolického a diastolického tlaku v ľahu (priemerné maximálne zníženie o 1,6/0,8 mmHg),</w:t>
      </w:r>
    </w:p>
    <w:p w14:paraId="1089BDE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62FCA81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4948A080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815FD2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motilita, morfológia a </w:t>
      </w:r>
      <w:r w:rsidR="00815FD2">
        <w:rPr>
          <w:sz w:val="22"/>
          <w:szCs w:val="22"/>
          <w:lang w:val="sk-SK"/>
        </w:rPr>
        <w:t> hladina folikuly stimulujúceho hormónu</w:t>
      </w:r>
      <w:r w:rsidR="00815FD2" w:rsidRPr="00A97DFF">
        <w:rPr>
          <w:sz w:val="22"/>
          <w:szCs w:val="22"/>
          <w:lang w:val="sk-SK"/>
        </w:rPr>
        <w:t xml:space="preserve"> </w:t>
      </w:r>
      <w:r w:rsidR="00815FD2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FSH</w:t>
      </w:r>
      <w:r w:rsidR="00815FD2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D1F1E9" w14:textId="6C689926" w:rsidR="003649E6" w:rsidRDefault="003649E6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89C5A9" w14:textId="77777777" w:rsidR="00EC1DF3" w:rsidRDefault="00EC1DF3" w:rsidP="00EC1DF3">
      <w:pPr>
        <w:pStyle w:val="Default"/>
        <w:rPr>
          <w:sz w:val="22"/>
          <w:szCs w:val="22"/>
        </w:rPr>
      </w:pPr>
    </w:p>
    <w:p w14:paraId="1CA92004" w14:textId="28C9C6E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Tadalafil podávaný v dávkach 2 až 100 mg bol hodnotený v 16 klinických </w:t>
      </w:r>
      <w:r w:rsidR="00E60A0A">
        <w:rPr>
          <w:sz w:val="22"/>
          <w:szCs w:val="22"/>
          <w:lang w:val="sk-SK"/>
        </w:rPr>
        <w:t xml:space="preserve">skúšanich </w:t>
      </w:r>
      <w:r w:rsidRPr="00686882">
        <w:rPr>
          <w:sz w:val="22"/>
          <w:szCs w:val="22"/>
          <w:lang w:val="sk-SK"/>
        </w:rPr>
        <w:t xml:space="preserve">zahŕňajúcich 3 </w:t>
      </w:r>
    </w:p>
    <w:p w14:paraId="1F3E0210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250 pacientov, vrátane pacientov s rozličným stupňom erektilnej dysfunkcie (mierna, stredne ťažká </w:t>
      </w:r>
    </w:p>
    <w:p w14:paraId="28E1D3AA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a ťažká), rôznymi etiologickými príčinami, rozličným vekom (v rozmedzí 21-86 rokov) a etnickou </w:t>
      </w:r>
    </w:p>
    <w:p w14:paraId="7A81EEE8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príslušnosťou. Väčšina pacientov udávala erektilnú dysfunkciu trvajúcu najmenej 1 rok. V štúdiách </w:t>
      </w:r>
    </w:p>
    <w:p w14:paraId="65B7256D" w14:textId="296E56B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skúmajúcich pr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imárnu účinnosť na vzorke všeobecnej populácie udávalo zlepšenie erekcie po užití </w:t>
      </w:r>
    </w:p>
    <w:p w14:paraId="3E23BD0F" w14:textId="5FE02DC9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tadalafilu až 81% pacientov,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35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po užití placeba. Aj pacienti s rôznym stupňom </w:t>
      </w:r>
    </w:p>
    <w:p w14:paraId="7C18C8F4" w14:textId="364955C1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erektilnej dysfunkcie udávali zlepšenie erekcie počas užívania tadalafilu (86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</w:t>
      </w:r>
      <w:r w:rsidR="00E60A0A">
        <w:rPr>
          <w:sz w:val="22"/>
          <w:szCs w:val="22"/>
          <w:lang w:val="sk-SK"/>
        </w:rPr>
        <w:t>miernej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forme, </w:t>
      </w:r>
    </w:p>
    <w:p w14:paraId="5DE2370B" w14:textId="67394E7F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83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pri stredne ťažkej forme a</w:t>
      </w:r>
      <w:r w:rsidR="004E6278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72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ťažkej forme erektilnej dysfunkcie, v porovnaní so 45%, </w:t>
      </w:r>
    </w:p>
    <w:p w14:paraId="468AEDA9" w14:textId="1C8539ED" w:rsidR="00286A5F" w:rsidRDefault="00686882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42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a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19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počas užívania placeba)</w:t>
      </w:r>
      <w:r w:rsidR="00E60A0A">
        <w:rPr>
          <w:sz w:val="22"/>
          <w:szCs w:val="22"/>
          <w:lang w:val="sk-SK"/>
        </w:rPr>
        <w:t xml:space="preserve"> v uvedenom poradí</w:t>
      </w:r>
      <w:r w:rsidRPr="00686882">
        <w:rPr>
          <w:sz w:val="22"/>
          <w:szCs w:val="22"/>
          <w:lang w:val="sk-SK"/>
        </w:rPr>
        <w:t xml:space="preserve">. V </w:t>
      </w:r>
      <w:r w:rsidR="00E60A0A">
        <w:rPr>
          <w:sz w:val="22"/>
          <w:szCs w:val="22"/>
          <w:lang w:val="sk-SK"/>
        </w:rPr>
        <w:t>skúšaniach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skúmajúcich primárnu účinnosť sa u pacientov liečených tadalafilom zaznamenala 75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úspešnosť pohlavných stykov,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u pacientov liečených placebom. </w:t>
      </w:r>
      <w:r w:rsidRPr="00686882">
        <w:rPr>
          <w:sz w:val="22"/>
          <w:szCs w:val="22"/>
          <w:lang w:val="sk-SK"/>
        </w:rPr>
        <w:cr/>
      </w:r>
    </w:p>
    <w:p w14:paraId="696030FC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12-týžd</w:t>
      </w:r>
      <w:r>
        <w:rPr>
          <w:sz w:val="22"/>
          <w:szCs w:val="22"/>
          <w:lang w:val="sk-SK"/>
        </w:rPr>
        <w:t xml:space="preserve">ňovom skúšaní </w:t>
      </w:r>
      <w:r w:rsidRPr="00A97DFF">
        <w:rPr>
          <w:sz w:val="22"/>
          <w:szCs w:val="22"/>
          <w:lang w:val="sk-SK"/>
        </w:rPr>
        <w:t>vykonan</w:t>
      </w:r>
      <w:r>
        <w:rPr>
          <w:sz w:val="22"/>
          <w:szCs w:val="22"/>
          <w:lang w:val="sk-SK"/>
        </w:rPr>
        <w:t>om na</w:t>
      </w:r>
      <w:r w:rsidRPr="00A97DFF">
        <w:rPr>
          <w:sz w:val="22"/>
          <w:szCs w:val="22"/>
          <w:lang w:val="sk-SK"/>
        </w:rPr>
        <w:t xml:space="preserve"> 186 pacient</w:t>
      </w:r>
      <w:r>
        <w:rPr>
          <w:sz w:val="22"/>
          <w:szCs w:val="22"/>
          <w:lang w:val="sk-SK"/>
        </w:rPr>
        <w:t>och</w:t>
      </w:r>
      <w:r w:rsidRPr="00A97DFF">
        <w:rPr>
          <w:sz w:val="22"/>
          <w:szCs w:val="22"/>
          <w:lang w:val="sk-SK"/>
        </w:rPr>
        <w:t xml:space="preserve"> (142 užíva</w:t>
      </w:r>
      <w:r>
        <w:rPr>
          <w:sz w:val="22"/>
          <w:szCs w:val="22"/>
          <w:lang w:val="sk-SK"/>
        </w:rPr>
        <w:t>li</w:t>
      </w:r>
      <w:r w:rsidRPr="00A97DFF">
        <w:rPr>
          <w:sz w:val="22"/>
          <w:szCs w:val="22"/>
          <w:lang w:val="sk-SK"/>
        </w:rPr>
        <w:t xml:space="preserve"> tadalafil, 44 placebo) so</w:t>
      </w:r>
    </w:p>
    <w:p w14:paraId="2A442E0E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sekundárnou erektilnou dysfunkciou spôsobenou poranením miechy</w:t>
      </w:r>
      <w:r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tadalafil signifikantne zlepšoval</w:t>
      </w:r>
    </w:p>
    <w:p w14:paraId="14A7A841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erektilnú dysfunkciu vedúcu ku 48 % priemernému podielu úspešných pokusov o pohlavný styk na účastníka u pacientov užívajúcich tadalafil 10 </w:t>
      </w:r>
      <w:r>
        <w:rPr>
          <w:sz w:val="22"/>
          <w:szCs w:val="22"/>
          <w:lang w:val="sk-SK"/>
        </w:rPr>
        <w:t xml:space="preserve">mg </w:t>
      </w:r>
      <w:r w:rsidRPr="00A97DFF">
        <w:rPr>
          <w:sz w:val="22"/>
          <w:szCs w:val="22"/>
          <w:lang w:val="sk-SK"/>
        </w:rPr>
        <w:t>alebo 20 mg (flexibilná dávka, podľa potreby) v porovnaní so 17 % pacientov užívajúcimi placebo.</w:t>
      </w:r>
    </w:p>
    <w:p w14:paraId="188353CE" w14:textId="5ACC442C" w:rsidR="00022AD1" w:rsidRDefault="000365EC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 </w:t>
      </w: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51837B44" w14:textId="36A2D86D" w:rsidR="00EF72F1" w:rsidRPr="00E64BA4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t xml:space="preserve">Bola vykonaná jedna štúdia s pediatrickými pacientmi s Duchennovou svalovou distrofiou (DMD - Duchenne Muscular Dystrophy), v ktorej sa nezaznamenala žiadna účinnosť. Randomizované, dvojito zaslepené, placebom kontrolované, paralelné klinické skúšanie s 3 </w:t>
      </w:r>
      <w:r w:rsidR="00874C85" w:rsidRPr="00E64BA4">
        <w:rPr>
          <w:sz w:val="22"/>
          <w:szCs w:val="22"/>
          <w:lang w:val="sk-SK"/>
        </w:rPr>
        <w:t>skupinami</w:t>
      </w:r>
      <w:r w:rsidRPr="00E64BA4">
        <w:rPr>
          <w:sz w:val="22"/>
          <w:szCs w:val="22"/>
          <w:lang w:val="sk-SK"/>
        </w:rPr>
        <w:t xml:space="preserve"> bolo vykonané s 331 chlapcami s DMD vo veku 7-14 rokov, ktorí užívali súčasne kortikosteroidovú liečbu. Klinické skúšanie zahŕňalo 48-týždňovú dvojitozaslepenú fázu, kde boli pacienti randomizovaní na 0,3 mg/kg tadalafilu, 0,6 mg/kg tadalafilu alebo placeba denne. Tadalafil nepreukázal spomalenie zníženia pohyblivosti stanoveného ako primárny koncový ukazovateľ počas 6-minútovej chôdzovej vzdialenosti (6MWD): najmenej štvorcov (LS) stredná zmena 6MWD počas 48 týždňov bola -51,0 metrov (m) v skupine s placebom v porovnaní s -64,7 m v skupine s 0,3 mg/kg tadalafilu (p = 0,307) a -59,1 m v skupine s 0,6 mg/kg tadalafilu (p = 0,538). Navyše sa nepreukázala účinnosť žiadnej zo sekundárnych analýz vykonaných v tomto klinickom skúšaní. Celkové bezpečnostné výsledky z tohto skúšania boli vo všeobecnosti konzistentné so známym bezpečnostným profilom tadalafilu a nežiaducimi účinkami (AE) očakávanými v pediatrickej DMD populácii užívajúcej kortikosteroidy.</w:t>
      </w:r>
    </w:p>
    <w:p w14:paraId="31B2C5B9" w14:textId="77777777" w:rsidR="00EF72F1" w:rsidRPr="00DC78D3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204E0E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686882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E64BA4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144B667F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rýchlo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44BAC">
        <w:rPr>
          <w:sz w:val="22"/>
          <w:szCs w:val="22"/>
          <w:lang w:val="sk-SK"/>
        </w:rPr>
        <w:t>(</w:t>
      </w:r>
      <w:r w:rsidR="0093203C">
        <w:rPr>
          <w:sz w:val="22"/>
          <w:szCs w:val="22"/>
          <w:lang w:val="sk-SK"/>
        </w:rPr>
        <w:t>priemerný čas</w:t>
      </w:r>
      <w:r w:rsidR="0093203C" w:rsidRPr="00E64BA4">
        <w:rPr>
          <w:sz w:val="22"/>
          <w:szCs w:val="22"/>
          <w:lang w:val="sk-SK"/>
        </w:rPr>
        <w:t>)</w:t>
      </w:r>
      <w:r w:rsidR="009320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2BA7E4D0" w:rsidR="00802BA3" w:rsidRPr="00A97DFF" w:rsidRDefault="00B8662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</w:t>
      </w:r>
      <w:r w:rsidR="00802BA3" w:rsidRPr="00A97DFF">
        <w:rPr>
          <w:sz w:val="22"/>
          <w:szCs w:val="22"/>
          <w:lang w:val="sk-SK"/>
        </w:rPr>
        <w:t>.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lastRenderedPageBreak/>
        <w:t>Distribúcia</w:t>
      </w:r>
    </w:p>
    <w:p w14:paraId="69684F9D" w14:textId="3E0C002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301C6A">
        <w:rPr>
          <w:sz w:val="22"/>
          <w:szCs w:val="22"/>
          <w:lang w:val="sk-SK"/>
        </w:rPr>
        <w:t>ukazuje</w:t>
      </w:r>
      <w:r w:rsidR="00DA1ABA">
        <w:rPr>
          <w:sz w:val="22"/>
          <w:szCs w:val="22"/>
          <w:lang w:val="sk-SK"/>
        </w:rPr>
        <w:t xml:space="preserve">, že tadalafil je distribuovaný </w:t>
      </w:r>
      <w:r w:rsidRPr="00A97DFF">
        <w:rPr>
          <w:sz w:val="22"/>
          <w:szCs w:val="22"/>
          <w:lang w:val="sk-SK"/>
        </w:rPr>
        <w:t xml:space="preserve">do tkanív. </w:t>
      </w:r>
      <w:r w:rsidR="00FC617D">
        <w:rPr>
          <w:sz w:val="22"/>
          <w:szCs w:val="22"/>
          <w:lang w:val="sk-SK"/>
        </w:rPr>
        <w:t>V</w:t>
      </w:r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ED33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71223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ejakuláte zdravých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669F75D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241F2A">
        <w:rPr>
          <w:sz w:val="22"/>
          <w:szCs w:val="22"/>
          <w:lang w:val="sk-SK"/>
        </w:rPr>
        <w:t>menší</w:t>
      </w:r>
      <w:r w:rsidRPr="00A97DFF">
        <w:rPr>
          <w:sz w:val="22"/>
          <w:szCs w:val="22"/>
          <w:lang w:val="sk-SK"/>
        </w:rPr>
        <w:t xml:space="preserve"> 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Linearita/nelinearita</w:t>
      </w:r>
    </w:p>
    <w:p w14:paraId="1399F601" w14:textId="2408806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</w:t>
      </w:r>
      <w:r w:rsidR="00AE674E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="00AE674E">
        <w:rPr>
          <w:sz w:val="22"/>
          <w:szCs w:val="22"/>
          <w:lang w:val="sk-SK"/>
        </w:rPr>
        <w:t>závislá od času a dávky.</w:t>
      </w:r>
      <w:r w:rsidRPr="00A97DFF">
        <w:rPr>
          <w:sz w:val="22"/>
          <w:szCs w:val="22"/>
          <w:lang w:val="sk-SK"/>
        </w:rPr>
        <w:t>. V dávkovom</w:t>
      </w:r>
    </w:p>
    <w:p w14:paraId="147F3AD7" w14:textId="2194812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 dávk</w:t>
      </w:r>
      <w:r w:rsidR="00AE674E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</w:p>
    <w:p w14:paraId="7000FF9A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1FA8BE4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Farmakokinetika tadalafilu u </w:t>
      </w:r>
      <w:r w:rsidR="00B16163">
        <w:rPr>
          <w:sz w:val="22"/>
          <w:szCs w:val="22"/>
          <w:lang w:val="sk-SK"/>
        </w:rPr>
        <w:t>stanovená u populácie</w:t>
      </w:r>
      <w:r w:rsidR="00B16163" w:rsidRPr="00A97DFF">
        <w:rPr>
          <w:sz w:val="22"/>
          <w:szCs w:val="22"/>
          <w:lang w:val="sk-SK"/>
        </w:rPr>
        <w:t xml:space="preserve"> </w:t>
      </w:r>
      <w:r w:rsidR="00B16163">
        <w:rPr>
          <w:sz w:val="22"/>
          <w:szCs w:val="22"/>
          <w:lang w:val="sk-SK"/>
        </w:rPr>
        <w:t>pacientov</w:t>
      </w:r>
      <w:r w:rsidRPr="00A97DFF">
        <w:rPr>
          <w:sz w:val="22"/>
          <w:szCs w:val="22"/>
          <w:lang w:val="sk-SK"/>
        </w:rPr>
        <w:t xml:space="preserve"> s erektilnou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zdravých </w:t>
      </w:r>
      <w:r w:rsidR="0082150C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FE8D3E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6E0374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plyv veku nie je klinicky významný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54428F6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</w:t>
      </w:r>
      <w:r w:rsidR="00366CCB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1CBA2A3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systémová expozícia tadalafilu (AUC) približne dvojnásobná u osôb s 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obličiek a tiež u dialyzovaných osôb v konečnom štádiu zlyhania obličiek. U hemodialyzovaných</w:t>
      </w:r>
    </w:p>
    <w:p w14:paraId="4B8C0CDE" w14:textId="78F5E1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 jednotlivcami.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0C703CA4" w14:textId="6E06DEA9" w:rsidR="00FD05C7" w:rsidRPr="00A97DFF" w:rsidRDefault="00802BA3" w:rsidP="00FD05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(Child</w:t>
      </w:r>
      <w:r w:rsidR="00A45F10" w:rsidRPr="00A97DFF">
        <w:rPr>
          <w:sz w:val="22"/>
          <w:szCs w:val="22"/>
          <w:lang w:val="sk-SK"/>
        </w:rPr>
        <w:t>ov</w:t>
      </w:r>
      <w:r w:rsidR="00CD4C2E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CD4C2E">
        <w:rPr>
          <w:sz w:val="22"/>
          <w:szCs w:val="22"/>
          <w:lang w:val="sk-SK"/>
        </w:rPr>
        <w:t>o skóre A a B</w:t>
      </w:r>
      <w:r w:rsidRPr="00A97DFF">
        <w:rPr>
          <w:sz w:val="22"/>
          <w:szCs w:val="22"/>
          <w:lang w:val="sk-SK"/>
        </w:rPr>
        <w:t>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41229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41229C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  <w:r w:rsidR="00FD05C7" w:rsidRPr="00A97DFF">
        <w:rPr>
          <w:sz w:val="22"/>
          <w:szCs w:val="22"/>
          <w:lang w:val="sk-SK"/>
        </w:rPr>
        <w:t>Ak je tadalafil predpísaný, musí lekár individuálne a dôsledne zvážiť pomer prínosu a rizika.</w:t>
      </w:r>
    </w:p>
    <w:p w14:paraId="0D8A4912" w14:textId="6D6DD351" w:rsidR="00802BA3" w:rsidRPr="00A97DFF" w:rsidRDefault="00A82B1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 podávaní vyšších dávok tadalafilu ako 10 mg pacientom s poruchou funkcie pečene nie sú dostupné žiadne údaje.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19AD4ADB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tadalafilu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C392CFF" w:rsidR="00802BA3" w:rsidRDefault="00326A84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802BA3" w:rsidRPr="00A97DFF">
        <w:rPr>
          <w:sz w:val="22"/>
          <w:szCs w:val="22"/>
          <w:lang w:val="sk-SK"/>
        </w:rPr>
        <w:t xml:space="preserve"> 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iach</w:t>
      </w:r>
      <w:r w:rsidR="00802BA3" w:rsidRPr="00A97DFF">
        <w:rPr>
          <w:sz w:val="22"/>
          <w:szCs w:val="22"/>
          <w:lang w:val="sk-SK"/>
        </w:rPr>
        <w:t xml:space="preserve">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>1 000 mg/kg/deň tadalafilu, sa nezistili žiadne</w:t>
      </w:r>
      <w:r w:rsidR="005F6A79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ná</w:t>
      </w:r>
      <w:r w:rsidR="00424F59">
        <w:rPr>
          <w:sz w:val="22"/>
          <w:szCs w:val="22"/>
          <w:lang w:val="sk-SK"/>
        </w:rPr>
        <w:t>zna</w:t>
      </w:r>
      <w:r w:rsidR="00802BA3" w:rsidRPr="00A97DFF">
        <w:rPr>
          <w:sz w:val="22"/>
          <w:szCs w:val="22"/>
          <w:lang w:val="sk-SK"/>
        </w:rPr>
        <w:t>ky teratogenity, embryotoxicity a</w:t>
      </w:r>
      <w:r w:rsidR="00BF4F52" w:rsidRPr="00A97DFF">
        <w:rPr>
          <w:sz w:val="22"/>
          <w:szCs w:val="22"/>
          <w:lang w:val="sk-SK"/>
        </w:rPr>
        <w:t>lebo</w:t>
      </w:r>
      <w:r w:rsidR="00802BA3" w:rsidRPr="00A97DFF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výv</w:t>
      </w:r>
      <w:r w:rsidR="006B67E0">
        <w:rPr>
          <w:sz w:val="22"/>
          <w:szCs w:val="22"/>
          <w:lang w:val="sk-SK"/>
        </w:rPr>
        <w:t>in</w:t>
      </w:r>
      <w:r w:rsidR="00802BA3" w:rsidRPr="00A97DFF">
        <w:rPr>
          <w:sz w:val="22"/>
          <w:szCs w:val="22"/>
          <w:lang w:val="sk-SK"/>
        </w:rPr>
        <w:t xml:space="preserve"> u potkanov, bola dávka, pri ktorej sa nezistil žiadny účinok 30 mg/kg/deň. U gravidných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5EF45A88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predželatinovaný škrob</w:t>
      </w:r>
    </w:p>
    <w:p w14:paraId="322EA17F" w14:textId="28C43ACC" w:rsidR="00890C7A" w:rsidRPr="00A97DFF" w:rsidRDefault="005017A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koloidný</w:t>
      </w:r>
      <w:r w:rsidR="0007021D">
        <w:rPr>
          <w:sz w:val="22"/>
          <w:szCs w:val="22"/>
          <w:lang w:val="sk-SK"/>
        </w:rPr>
        <w:t xml:space="preserve"> bezvodý </w:t>
      </w:r>
      <w:r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00AA2AE1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2A64AF84" w14:textId="77777777" w:rsidR="00A3461A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73AE1BC3" w14:textId="77777777" w:rsidR="00A3461A" w:rsidRPr="00A97DFF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7C7CF09F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hypromelóza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60280576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7A6669E3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4575226E" w14:textId="45F92A7E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triacetín</w:t>
      </w:r>
    </w:p>
    <w:p w14:paraId="39B6B233" w14:textId="02DFF586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64DACFAC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34679F2F" w14:textId="395DE9F4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62E518C5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09F4235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0B9A5BB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</w:t>
      </w:r>
      <w:r w:rsidR="00A86734">
        <w:rPr>
          <w:sz w:val="22"/>
          <w:szCs w:val="22"/>
          <w:lang w:val="sk-SK"/>
        </w:rPr>
        <w:t>2</w:t>
      </w:r>
      <w:r w:rsidR="00563F14">
        <w:rPr>
          <w:sz w:val="22"/>
          <w:szCs w:val="22"/>
          <w:lang w:val="sk-SK"/>
        </w:rPr>
        <w:t xml:space="preserve"> a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>56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B415E83" w14:textId="1B32778C" w:rsidR="005F55AC" w:rsidRPr="008976C4" w:rsidRDefault="0043486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lastRenderedPageBreak/>
        <w:t xml:space="preserve"> </w:t>
      </w:r>
      <w:r w:rsidR="00874C85" w:rsidRPr="00E64BA4">
        <w:rPr>
          <w:sz w:val="22"/>
          <w:szCs w:val="22"/>
          <w:lang w:val="sk-SK"/>
        </w:rPr>
        <w:t>Všetok n</w:t>
      </w:r>
      <w:r w:rsidRPr="00E64BA4">
        <w:rPr>
          <w:sz w:val="22"/>
          <w:szCs w:val="22"/>
          <w:lang w:val="sk-SK"/>
        </w:rPr>
        <w:t xml:space="preserve">epoužitý liek alebo odpad vzniknutý z lieku </w:t>
      </w:r>
      <w:r w:rsidR="00874C85" w:rsidRPr="00E64BA4">
        <w:rPr>
          <w:sz w:val="22"/>
          <w:szCs w:val="22"/>
          <w:lang w:val="sk-SK"/>
        </w:rPr>
        <w:t xml:space="preserve">sa </w:t>
      </w:r>
      <w:r w:rsidRPr="00E64BA4">
        <w:rPr>
          <w:sz w:val="22"/>
          <w:szCs w:val="22"/>
          <w:lang w:val="sk-SK"/>
        </w:rPr>
        <w:t>má  zlikvidova</w:t>
      </w:r>
      <w:r w:rsidR="00874C85" w:rsidRPr="00E64BA4">
        <w:rPr>
          <w:sz w:val="22"/>
          <w:szCs w:val="22"/>
          <w:lang w:val="sk-SK"/>
        </w:rPr>
        <w:t>ť</w:t>
      </w:r>
      <w:r w:rsidRPr="00E64BA4">
        <w:rPr>
          <w:sz w:val="22"/>
          <w:szCs w:val="22"/>
          <w:lang w:val="sk-SK"/>
        </w:rPr>
        <w:t xml:space="preserve"> v súlade s národnými požiadavkami.</w:t>
      </w: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89C54C" w14:textId="77777777" w:rsidR="00C0108D" w:rsidRDefault="00C0108D" w:rsidP="00C0108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Teva B.V.</w:t>
      </w:r>
    </w:p>
    <w:p w14:paraId="0E62B9B2" w14:textId="77777777" w:rsidR="00C0108D" w:rsidRDefault="00C0108D" w:rsidP="00C0108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Swensweg 5</w:t>
      </w:r>
    </w:p>
    <w:p w14:paraId="7C7AA745" w14:textId="77777777" w:rsidR="00C0108D" w:rsidRDefault="00C0108D" w:rsidP="00C0108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2031 GA Haarlem</w:t>
      </w:r>
    </w:p>
    <w:p w14:paraId="64FB76BA" w14:textId="256ADB75" w:rsidR="00A275BD" w:rsidRPr="00E64BA4" w:rsidRDefault="00C0108D" w:rsidP="00A275BD">
      <w:pPr>
        <w:rPr>
          <w:sz w:val="22"/>
          <w:szCs w:val="22"/>
        </w:rPr>
      </w:pPr>
      <w:r w:rsidRPr="00A65101">
        <w:rPr>
          <w:sz w:val="22"/>
          <w:szCs w:val="22"/>
          <w:lang w:val="sk-SK"/>
        </w:rPr>
        <w:t>Holandsko</w:t>
      </w:r>
      <w:r w:rsidRPr="00E64BA4" w:rsidDel="00C0108D">
        <w:rPr>
          <w:sz w:val="22"/>
          <w:szCs w:val="22"/>
          <w:lang w:val="sk-SK"/>
        </w:rPr>
        <w:t xml:space="preserve"> 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0C39FDF8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E3508C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CEF8D9B" w14:textId="3924ED4E" w:rsidR="00E3508C" w:rsidRPr="00E3508C" w:rsidRDefault="00E3508C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E3508C">
        <w:rPr>
          <w:bCs/>
          <w:sz w:val="22"/>
          <w:szCs w:val="22"/>
          <w:lang w:val="sk-SK"/>
        </w:rPr>
        <w:t>83/0268/16-S</w:t>
      </w:r>
    </w:p>
    <w:p w14:paraId="7337720A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A50711" w14:textId="7DFD73CC" w:rsidR="008715B1" w:rsidRPr="00C0108D" w:rsidRDefault="007A323E" w:rsidP="008715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0108D">
        <w:rPr>
          <w:sz w:val="22"/>
          <w:szCs w:val="22"/>
          <w:lang w:val="sk-SK"/>
        </w:rPr>
        <w:t>registr</w:t>
      </w:r>
      <w:r w:rsidR="00BF4F52" w:rsidRPr="00C0108D">
        <w:rPr>
          <w:sz w:val="22"/>
          <w:szCs w:val="22"/>
          <w:lang w:val="sk-SK"/>
        </w:rPr>
        <w:t>ácie:</w:t>
      </w:r>
      <w:r w:rsidR="008715B1" w:rsidRPr="00341E22">
        <w:rPr>
          <w:sz w:val="22"/>
          <w:szCs w:val="22"/>
          <w:lang w:val="pt-BR"/>
        </w:rPr>
        <w:t xml:space="preserve"> 19. máj</w:t>
      </w:r>
      <w:r w:rsidR="00874C85" w:rsidRPr="00341E22">
        <w:rPr>
          <w:sz w:val="22"/>
          <w:szCs w:val="22"/>
          <w:lang w:val="pt-BR"/>
        </w:rPr>
        <w:t>a</w:t>
      </w:r>
      <w:r w:rsidR="008715B1" w:rsidRPr="00341E22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Default="00C94B90">
      <w:pPr>
        <w:rPr>
          <w:sz w:val="22"/>
          <w:szCs w:val="22"/>
          <w:lang w:val="sk-SK"/>
        </w:rPr>
      </w:pPr>
    </w:p>
    <w:p w14:paraId="043A2DB2" w14:textId="2F68CFFC" w:rsidR="002379F8" w:rsidRPr="008976C4" w:rsidRDefault="00F80B5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10/2019</w:t>
      </w:r>
    </w:p>
    <w:sectPr w:rsidR="002379F8" w:rsidRPr="008976C4" w:rsidSect="00341E22">
      <w:headerReference w:type="default" r:id="rId9"/>
      <w:footerReference w:type="default" r:id="rId10"/>
      <w:headerReference w:type="first" r:id="rId11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909DE" w14:textId="77777777" w:rsidR="008272D1" w:rsidRDefault="008272D1">
      <w:r>
        <w:separator/>
      </w:r>
    </w:p>
    <w:p w14:paraId="6E1C5D91" w14:textId="77777777" w:rsidR="008272D1" w:rsidRDefault="008272D1"/>
    <w:p w14:paraId="513E6E4C" w14:textId="77777777" w:rsidR="008272D1" w:rsidRDefault="008272D1"/>
    <w:p w14:paraId="631A45BB" w14:textId="77777777" w:rsidR="008272D1" w:rsidRDefault="008272D1"/>
    <w:p w14:paraId="01F1F4E6" w14:textId="77777777" w:rsidR="008272D1" w:rsidRDefault="008272D1"/>
    <w:p w14:paraId="3A4CC67D" w14:textId="77777777" w:rsidR="008272D1" w:rsidRDefault="008272D1"/>
    <w:p w14:paraId="2E678653" w14:textId="77777777" w:rsidR="008272D1" w:rsidRDefault="008272D1"/>
    <w:p w14:paraId="5498F19F" w14:textId="77777777" w:rsidR="008272D1" w:rsidRDefault="008272D1"/>
    <w:p w14:paraId="0A7A47F1" w14:textId="77777777" w:rsidR="008272D1" w:rsidRDefault="008272D1"/>
    <w:p w14:paraId="1026A09A" w14:textId="77777777" w:rsidR="008272D1" w:rsidRDefault="008272D1"/>
    <w:p w14:paraId="34EBE254" w14:textId="77777777" w:rsidR="008272D1" w:rsidRDefault="008272D1"/>
  </w:endnote>
  <w:endnote w:type="continuationSeparator" w:id="0">
    <w:p w14:paraId="07C7DC1C" w14:textId="77777777" w:rsidR="008272D1" w:rsidRDefault="008272D1">
      <w:r>
        <w:continuationSeparator/>
      </w:r>
    </w:p>
    <w:p w14:paraId="1953D2ED" w14:textId="77777777" w:rsidR="008272D1" w:rsidRDefault="008272D1"/>
    <w:p w14:paraId="3FCF7CC7" w14:textId="77777777" w:rsidR="008272D1" w:rsidRDefault="008272D1"/>
    <w:p w14:paraId="15F2BE5B" w14:textId="77777777" w:rsidR="008272D1" w:rsidRDefault="008272D1"/>
    <w:p w14:paraId="1C7D574B" w14:textId="77777777" w:rsidR="008272D1" w:rsidRDefault="008272D1"/>
    <w:p w14:paraId="0F8A8E7F" w14:textId="77777777" w:rsidR="008272D1" w:rsidRDefault="008272D1"/>
    <w:p w14:paraId="51896518" w14:textId="77777777" w:rsidR="008272D1" w:rsidRDefault="008272D1"/>
    <w:p w14:paraId="1EF82416" w14:textId="77777777" w:rsidR="008272D1" w:rsidRDefault="008272D1"/>
    <w:p w14:paraId="308D15B8" w14:textId="77777777" w:rsidR="008272D1" w:rsidRDefault="008272D1"/>
    <w:p w14:paraId="2F86F063" w14:textId="77777777" w:rsidR="008272D1" w:rsidRDefault="008272D1"/>
    <w:p w14:paraId="66C0D6CF" w14:textId="77777777" w:rsidR="008272D1" w:rsidRDefault="0082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F37" w14:textId="77777777" w:rsidR="00070DD5" w:rsidRDefault="00070DD5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84FD1">
      <w:rPr>
        <w:rStyle w:val="slostrany"/>
        <w:noProof/>
      </w:rPr>
      <w:t>1</w:t>
    </w:r>
    <w:r>
      <w:rPr>
        <w:rStyle w:val="slostrany"/>
      </w:rPr>
      <w:fldChar w:fldCharType="end"/>
    </w:r>
  </w:p>
  <w:p w14:paraId="5D4272FC" w14:textId="77777777" w:rsidR="00070DD5" w:rsidRDefault="00070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78769" w14:textId="77777777" w:rsidR="008272D1" w:rsidRDefault="008272D1">
      <w:r>
        <w:separator/>
      </w:r>
    </w:p>
    <w:p w14:paraId="7992C326" w14:textId="77777777" w:rsidR="008272D1" w:rsidRDefault="008272D1"/>
    <w:p w14:paraId="0E557A53" w14:textId="77777777" w:rsidR="008272D1" w:rsidRDefault="008272D1"/>
    <w:p w14:paraId="00427CD3" w14:textId="77777777" w:rsidR="008272D1" w:rsidRDefault="008272D1"/>
    <w:p w14:paraId="11BB66BF" w14:textId="77777777" w:rsidR="008272D1" w:rsidRDefault="008272D1"/>
    <w:p w14:paraId="5D617ACA" w14:textId="77777777" w:rsidR="008272D1" w:rsidRDefault="008272D1"/>
    <w:p w14:paraId="7FB07193" w14:textId="77777777" w:rsidR="008272D1" w:rsidRDefault="008272D1"/>
    <w:p w14:paraId="2F0210C9" w14:textId="77777777" w:rsidR="008272D1" w:rsidRDefault="008272D1"/>
    <w:p w14:paraId="7D4AB693" w14:textId="77777777" w:rsidR="008272D1" w:rsidRDefault="008272D1"/>
    <w:p w14:paraId="364B1126" w14:textId="77777777" w:rsidR="008272D1" w:rsidRDefault="008272D1"/>
    <w:p w14:paraId="78DDC06F" w14:textId="77777777" w:rsidR="008272D1" w:rsidRDefault="008272D1"/>
  </w:footnote>
  <w:footnote w:type="continuationSeparator" w:id="0">
    <w:p w14:paraId="35F25C34" w14:textId="77777777" w:rsidR="008272D1" w:rsidRDefault="008272D1">
      <w:r>
        <w:continuationSeparator/>
      </w:r>
    </w:p>
    <w:p w14:paraId="2DC813BA" w14:textId="77777777" w:rsidR="008272D1" w:rsidRDefault="008272D1"/>
    <w:p w14:paraId="6FA9A26E" w14:textId="77777777" w:rsidR="008272D1" w:rsidRDefault="008272D1"/>
    <w:p w14:paraId="59C94A53" w14:textId="77777777" w:rsidR="008272D1" w:rsidRDefault="008272D1"/>
    <w:p w14:paraId="1A352F71" w14:textId="77777777" w:rsidR="008272D1" w:rsidRDefault="008272D1"/>
    <w:p w14:paraId="0569BB00" w14:textId="77777777" w:rsidR="008272D1" w:rsidRDefault="008272D1"/>
    <w:p w14:paraId="4437A446" w14:textId="77777777" w:rsidR="008272D1" w:rsidRDefault="008272D1"/>
    <w:p w14:paraId="25A5F0E4" w14:textId="77777777" w:rsidR="008272D1" w:rsidRDefault="008272D1"/>
    <w:p w14:paraId="6A171E09" w14:textId="77777777" w:rsidR="008272D1" w:rsidRDefault="008272D1"/>
    <w:p w14:paraId="13E83CDA" w14:textId="77777777" w:rsidR="008272D1" w:rsidRDefault="008272D1"/>
    <w:p w14:paraId="4F733B28" w14:textId="77777777" w:rsidR="008272D1" w:rsidRDefault="008272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F886" w14:textId="2D0B57FA" w:rsidR="00C0108D" w:rsidRDefault="0055786F" w:rsidP="00C0108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F80B5E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 zmene, ev. č.: </w:t>
    </w:r>
    <w:r>
      <w:rPr>
        <w:sz w:val="18"/>
        <w:szCs w:val="18"/>
        <w:lang w:val="pt-BR"/>
      </w:rPr>
      <w:t>2019/03791-Z1B</w:t>
    </w:r>
  </w:p>
  <w:p w14:paraId="6A2C0459" w14:textId="77777777" w:rsidR="00C0108D" w:rsidRDefault="00C010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D9FA4" w14:textId="77777777" w:rsidR="00C0108D" w:rsidRDefault="00C0108D" w:rsidP="00C0108D">
    <w:pPr>
      <w:pStyle w:val="Hlavika"/>
      <w:rPr>
        <w:sz w:val="18"/>
        <w:szCs w:val="18"/>
        <w:lang w:val="sk-SK"/>
      </w:rPr>
    </w:pPr>
    <w:r w:rsidRPr="002B71F6">
      <w:rPr>
        <w:sz w:val="18"/>
        <w:szCs w:val="18"/>
        <w:lang w:val="sk-SK"/>
      </w:rPr>
      <w:t>Schválený text k rozhodnutiu o prevode, ev. č.:</w:t>
    </w:r>
    <w:r w:rsidRPr="00EE7E10">
      <w:rPr>
        <w:sz w:val="18"/>
        <w:szCs w:val="18"/>
        <w:lang w:val="sk-SK"/>
      </w:rPr>
      <w:t xml:space="preserve"> </w:t>
    </w:r>
    <w:r w:rsidRPr="00A2684E">
      <w:rPr>
        <w:sz w:val="18"/>
        <w:szCs w:val="18"/>
        <w:lang w:val="sk-SK"/>
      </w:rPr>
      <w:t>2019/03792-TR</w:t>
    </w:r>
  </w:p>
  <w:p w14:paraId="1462049D" w14:textId="1C74F3B9" w:rsidR="00EE7E10" w:rsidRPr="00E64BA4" w:rsidRDefault="00EE7E10" w:rsidP="00EE7E10">
    <w:pPr>
      <w:pStyle w:val="Hlavika"/>
      <w:rPr>
        <w:sz w:val="18"/>
        <w:szCs w:val="18"/>
        <w:lang w:val="pt-BR"/>
      </w:rPr>
    </w:pPr>
  </w:p>
  <w:p w14:paraId="58808BD6" w14:textId="26DD5712" w:rsidR="00070DD5" w:rsidRPr="00722563" w:rsidRDefault="00070DD5" w:rsidP="00722563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2720"/>
    <w:rsid w:val="00002F8C"/>
    <w:rsid w:val="00005100"/>
    <w:rsid w:val="00006A72"/>
    <w:rsid w:val="000123A7"/>
    <w:rsid w:val="0001600A"/>
    <w:rsid w:val="00017742"/>
    <w:rsid w:val="0001793E"/>
    <w:rsid w:val="000210C5"/>
    <w:rsid w:val="00022AD1"/>
    <w:rsid w:val="0002789D"/>
    <w:rsid w:val="000346F7"/>
    <w:rsid w:val="000365EC"/>
    <w:rsid w:val="00043A7F"/>
    <w:rsid w:val="00044E68"/>
    <w:rsid w:val="00052430"/>
    <w:rsid w:val="0005406C"/>
    <w:rsid w:val="00056FBF"/>
    <w:rsid w:val="0006257F"/>
    <w:rsid w:val="00064ADA"/>
    <w:rsid w:val="00065AF0"/>
    <w:rsid w:val="0007021D"/>
    <w:rsid w:val="00070DD5"/>
    <w:rsid w:val="000843CE"/>
    <w:rsid w:val="00092491"/>
    <w:rsid w:val="0009673B"/>
    <w:rsid w:val="000A3FE7"/>
    <w:rsid w:val="000B654D"/>
    <w:rsid w:val="000B73B8"/>
    <w:rsid w:val="000C3A1F"/>
    <w:rsid w:val="000D477A"/>
    <w:rsid w:val="000D5A72"/>
    <w:rsid w:val="000D70DB"/>
    <w:rsid w:val="000E58F2"/>
    <w:rsid w:val="000E6ED0"/>
    <w:rsid w:val="000E7E1A"/>
    <w:rsid w:val="000F3610"/>
    <w:rsid w:val="000F4792"/>
    <w:rsid w:val="000F73F7"/>
    <w:rsid w:val="00100BF7"/>
    <w:rsid w:val="00105CBC"/>
    <w:rsid w:val="0010684E"/>
    <w:rsid w:val="00110898"/>
    <w:rsid w:val="00111EB4"/>
    <w:rsid w:val="0011219B"/>
    <w:rsid w:val="00112E53"/>
    <w:rsid w:val="0011571A"/>
    <w:rsid w:val="00116014"/>
    <w:rsid w:val="00124102"/>
    <w:rsid w:val="00134B6E"/>
    <w:rsid w:val="001476E5"/>
    <w:rsid w:val="00152148"/>
    <w:rsid w:val="00153528"/>
    <w:rsid w:val="0016341A"/>
    <w:rsid w:val="00164F8E"/>
    <w:rsid w:val="00167D50"/>
    <w:rsid w:val="0017070E"/>
    <w:rsid w:val="0017489C"/>
    <w:rsid w:val="00175219"/>
    <w:rsid w:val="001770A0"/>
    <w:rsid w:val="0018447F"/>
    <w:rsid w:val="00186691"/>
    <w:rsid w:val="00187124"/>
    <w:rsid w:val="001A235B"/>
    <w:rsid w:val="001A2771"/>
    <w:rsid w:val="001A4244"/>
    <w:rsid w:val="001A5831"/>
    <w:rsid w:val="001A6D0F"/>
    <w:rsid w:val="001B03AD"/>
    <w:rsid w:val="001B0E6A"/>
    <w:rsid w:val="001B274E"/>
    <w:rsid w:val="001B3B7B"/>
    <w:rsid w:val="001B4326"/>
    <w:rsid w:val="001B7117"/>
    <w:rsid w:val="001C1ACF"/>
    <w:rsid w:val="001C3114"/>
    <w:rsid w:val="001D2B2D"/>
    <w:rsid w:val="001D3A40"/>
    <w:rsid w:val="001E116C"/>
    <w:rsid w:val="001E4E6A"/>
    <w:rsid w:val="001E591F"/>
    <w:rsid w:val="001F2EF5"/>
    <w:rsid w:val="00203D42"/>
    <w:rsid w:val="00205280"/>
    <w:rsid w:val="002131A6"/>
    <w:rsid w:val="00214C15"/>
    <w:rsid w:val="002158E2"/>
    <w:rsid w:val="00215CDF"/>
    <w:rsid w:val="002206BC"/>
    <w:rsid w:val="00221BA2"/>
    <w:rsid w:val="00223691"/>
    <w:rsid w:val="00233205"/>
    <w:rsid w:val="0023457D"/>
    <w:rsid w:val="002379F8"/>
    <w:rsid w:val="00241F2A"/>
    <w:rsid w:val="002516B5"/>
    <w:rsid w:val="00253A52"/>
    <w:rsid w:val="00255D18"/>
    <w:rsid w:val="00257C0F"/>
    <w:rsid w:val="00262CCD"/>
    <w:rsid w:val="0026385B"/>
    <w:rsid w:val="00264D23"/>
    <w:rsid w:val="00265D2D"/>
    <w:rsid w:val="00265F74"/>
    <w:rsid w:val="0027143B"/>
    <w:rsid w:val="00273079"/>
    <w:rsid w:val="002755D8"/>
    <w:rsid w:val="002761FB"/>
    <w:rsid w:val="002768F4"/>
    <w:rsid w:val="00280220"/>
    <w:rsid w:val="002824C9"/>
    <w:rsid w:val="0028361F"/>
    <w:rsid w:val="0028468D"/>
    <w:rsid w:val="002861FB"/>
    <w:rsid w:val="00286A5F"/>
    <w:rsid w:val="00291E91"/>
    <w:rsid w:val="0029622E"/>
    <w:rsid w:val="00296863"/>
    <w:rsid w:val="00296998"/>
    <w:rsid w:val="00297491"/>
    <w:rsid w:val="002A2B3F"/>
    <w:rsid w:val="002B017D"/>
    <w:rsid w:val="002B06C4"/>
    <w:rsid w:val="002B1B38"/>
    <w:rsid w:val="002B5555"/>
    <w:rsid w:val="002C2734"/>
    <w:rsid w:val="002C3228"/>
    <w:rsid w:val="002C5807"/>
    <w:rsid w:val="002D1999"/>
    <w:rsid w:val="002D384B"/>
    <w:rsid w:val="002D47BC"/>
    <w:rsid w:val="002D5D14"/>
    <w:rsid w:val="002E5309"/>
    <w:rsid w:val="002E653E"/>
    <w:rsid w:val="002E6AB7"/>
    <w:rsid w:val="002E75BA"/>
    <w:rsid w:val="002E79E8"/>
    <w:rsid w:val="002F1D88"/>
    <w:rsid w:val="003002D7"/>
    <w:rsid w:val="00301875"/>
    <w:rsid w:val="00301C6A"/>
    <w:rsid w:val="003045BC"/>
    <w:rsid w:val="00305068"/>
    <w:rsid w:val="00306E4F"/>
    <w:rsid w:val="0031627A"/>
    <w:rsid w:val="00316E75"/>
    <w:rsid w:val="00321BFF"/>
    <w:rsid w:val="00326A84"/>
    <w:rsid w:val="00327505"/>
    <w:rsid w:val="003306AC"/>
    <w:rsid w:val="0033179C"/>
    <w:rsid w:val="0034178F"/>
    <w:rsid w:val="00341E22"/>
    <w:rsid w:val="0034547D"/>
    <w:rsid w:val="00351971"/>
    <w:rsid w:val="00353752"/>
    <w:rsid w:val="00353FB2"/>
    <w:rsid w:val="00354563"/>
    <w:rsid w:val="0035537A"/>
    <w:rsid w:val="00357BBE"/>
    <w:rsid w:val="00363083"/>
    <w:rsid w:val="003649E6"/>
    <w:rsid w:val="00366CCB"/>
    <w:rsid w:val="00374B6A"/>
    <w:rsid w:val="003757FC"/>
    <w:rsid w:val="0038069B"/>
    <w:rsid w:val="00384052"/>
    <w:rsid w:val="00391B58"/>
    <w:rsid w:val="003959BA"/>
    <w:rsid w:val="00395FF8"/>
    <w:rsid w:val="003963B9"/>
    <w:rsid w:val="003A1066"/>
    <w:rsid w:val="003A7B9C"/>
    <w:rsid w:val="003B5A05"/>
    <w:rsid w:val="003B7C9A"/>
    <w:rsid w:val="003C77F5"/>
    <w:rsid w:val="003E00A0"/>
    <w:rsid w:val="003E529A"/>
    <w:rsid w:val="003E52E7"/>
    <w:rsid w:val="003F3B4B"/>
    <w:rsid w:val="00402D8F"/>
    <w:rsid w:val="00405F84"/>
    <w:rsid w:val="004067D2"/>
    <w:rsid w:val="004100A5"/>
    <w:rsid w:val="0041229C"/>
    <w:rsid w:val="00416450"/>
    <w:rsid w:val="004205E2"/>
    <w:rsid w:val="004229EF"/>
    <w:rsid w:val="00424F59"/>
    <w:rsid w:val="00431497"/>
    <w:rsid w:val="00434860"/>
    <w:rsid w:val="00452703"/>
    <w:rsid w:val="0045756A"/>
    <w:rsid w:val="00462C50"/>
    <w:rsid w:val="00476461"/>
    <w:rsid w:val="00482715"/>
    <w:rsid w:val="004979DE"/>
    <w:rsid w:val="004A139F"/>
    <w:rsid w:val="004A24AA"/>
    <w:rsid w:val="004A528E"/>
    <w:rsid w:val="004A76B9"/>
    <w:rsid w:val="004A7839"/>
    <w:rsid w:val="004A793B"/>
    <w:rsid w:val="004B680C"/>
    <w:rsid w:val="004B6BEF"/>
    <w:rsid w:val="004C0468"/>
    <w:rsid w:val="004C1B26"/>
    <w:rsid w:val="004C2555"/>
    <w:rsid w:val="004C298A"/>
    <w:rsid w:val="004C32B9"/>
    <w:rsid w:val="004C36C2"/>
    <w:rsid w:val="004D1A3A"/>
    <w:rsid w:val="004D3013"/>
    <w:rsid w:val="004D5E23"/>
    <w:rsid w:val="004D7A4D"/>
    <w:rsid w:val="004E236F"/>
    <w:rsid w:val="004E4D16"/>
    <w:rsid w:val="004E6278"/>
    <w:rsid w:val="004E66EC"/>
    <w:rsid w:val="004F1AE8"/>
    <w:rsid w:val="004F25C6"/>
    <w:rsid w:val="004F363F"/>
    <w:rsid w:val="004F5CC5"/>
    <w:rsid w:val="004F749D"/>
    <w:rsid w:val="005017A9"/>
    <w:rsid w:val="00505F30"/>
    <w:rsid w:val="00506184"/>
    <w:rsid w:val="0051379B"/>
    <w:rsid w:val="00514B55"/>
    <w:rsid w:val="00521365"/>
    <w:rsid w:val="00522F3E"/>
    <w:rsid w:val="00525F47"/>
    <w:rsid w:val="005263E3"/>
    <w:rsid w:val="00527CD6"/>
    <w:rsid w:val="00535E41"/>
    <w:rsid w:val="005520DA"/>
    <w:rsid w:val="00554744"/>
    <w:rsid w:val="00554B83"/>
    <w:rsid w:val="0055539B"/>
    <w:rsid w:val="0055786F"/>
    <w:rsid w:val="00561470"/>
    <w:rsid w:val="00563671"/>
    <w:rsid w:val="00563C90"/>
    <w:rsid w:val="00563F14"/>
    <w:rsid w:val="00566A66"/>
    <w:rsid w:val="00566D93"/>
    <w:rsid w:val="00571AAF"/>
    <w:rsid w:val="00571D2A"/>
    <w:rsid w:val="00572414"/>
    <w:rsid w:val="00573F6D"/>
    <w:rsid w:val="00575551"/>
    <w:rsid w:val="00584158"/>
    <w:rsid w:val="0058701F"/>
    <w:rsid w:val="0059376D"/>
    <w:rsid w:val="005947AD"/>
    <w:rsid w:val="00594AC0"/>
    <w:rsid w:val="005A299B"/>
    <w:rsid w:val="005A5F7E"/>
    <w:rsid w:val="005A744A"/>
    <w:rsid w:val="005B69EB"/>
    <w:rsid w:val="005C0AFF"/>
    <w:rsid w:val="005D7483"/>
    <w:rsid w:val="005E1EB6"/>
    <w:rsid w:val="005E2495"/>
    <w:rsid w:val="005E59F8"/>
    <w:rsid w:val="005F020A"/>
    <w:rsid w:val="005F1BC1"/>
    <w:rsid w:val="005F55AC"/>
    <w:rsid w:val="005F6A79"/>
    <w:rsid w:val="005F7B7B"/>
    <w:rsid w:val="0060209E"/>
    <w:rsid w:val="006049A6"/>
    <w:rsid w:val="006141D5"/>
    <w:rsid w:val="006220F5"/>
    <w:rsid w:val="00624914"/>
    <w:rsid w:val="00630C37"/>
    <w:rsid w:val="0064051E"/>
    <w:rsid w:val="00645AAC"/>
    <w:rsid w:val="00645BB8"/>
    <w:rsid w:val="00645C44"/>
    <w:rsid w:val="00647A67"/>
    <w:rsid w:val="006513CC"/>
    <w:rsid w:val="00651996"/>
    <w:rsid w:val="00655C93"/>
    <w:rsid w:val="00655F3F"/>
    <w:rsid w:val="00663AE2"/>
    <w:rsid w:val="00665220"/>
    <w:rsid w:val="006728C7"/>
    <w:rsid w:val="00673C7E"/>
    <w:rsid w:val="006806DF"/>
    <w:rsid w:val="00683098"/>
    <w:rsid w:val="00684020"/>
    <w:rsid w:val="00686882"/>
    <w:rsid w:val="006B36F7"/>
    <w:rsid w:val="006B67E0"/>
    <w:rsid w:val="006B6C86"/>
    <w:rsid w:val="006B77CF"/>
    <w:rsid w:val="006C24EC"/>
    <w:rsid w:val="006C46D8"/>
    <w:rsid w:val="006C551C"/>
    <w:rsid w:val="006C78CC"/>
    <w:rsid w:val="006D20FD"/>
    <w:rsid w:val="006E0374"/>
    <w:rsid w:val="006E38CB"/>
    <w:rsid w:val="006E3B66"/>
    <w:rsid w:val="006F0102"/>
    <w:rsid w:val="006F3B77"/>
    <w:rsid w:val="006F64A3"/>
    <w:rsid w:val="007005BB"/>
    <w:rsid w:val="0070134D"/>
    <w:rsid w:val="00702993"/>
    <w:rsid w:val="00702FE1"/>
    <w:rsid w:val="00703608"/>
    <w:rsid w:val="00704C22"/>
    <w:rsid w:val="007079F4"/>
    <w:rsid w:val="00710409"/>
    <w:rsid w:val="00712230"/>
    <w:rsid w:val="00712631"/>
    <w:rsid w:val="00713859"/>
    <w:rsid w:val="00717E23"/>
    <w:rsid w:val="007204D9"/>
    <w:rsid w:val="00722563"/>
    <w:rsid w:val="00723351"/>
    <w:rsid w:val="00723AE2"/>
    <w:rsid w:val="00727226"/>
    <w:rsid w:val="007309B4"/>
    <w:rsid w:val="0073150D"/>
    <w:rsid w:val="007363E3"/>
    <w:rsid w:val="007474BD"/>
    <w:rsid w:val="0075385C"/>
    <w:rsid w:val="00760A45"/>
    <w:rsid w:val="007625AA"/>
    <w:rsid w:val="00772415"/>
    <w:rsid w:val="00772D92"/>
    <w:rsid w:val="007736B8"/>
    <w:rsid w:val="00774639"/>
    <w:rsid w:val="00784881"/>
    <w:rsid w:val="00787964"/>
    <w:rsid w:val="0079771F"/>
    <w:rsid w:val="00797D51"/>
    <w:rsid w:val="007A171F"/>
    <w:rsid w:val="007A3046"/>
    <w:rsid w:val="007A323E"/>
    <w:rsid w:val="007B4FDF"/>
    <w:rsid w:val="007B7808"/>
    <w:rsid w:val="007D4C08"/>
    <w:rsid w:val="007D710E"/>
    <w:rsid w:val="007F4C6B"/>
    <w:rsid w:val="008002C9"/>
    <w:rsid w:val="00802BA3"/>
    <w:rsid w:val="008056F5"/>
    <w:rsid w:val="00806BBA"/>
    <w:rsid w:val="00814394"/>
    <w:rsid w:val="00815FD2"/>
    <w:rsid w:val="0082150C"/>
    <w:rsid w:val="00822902"/>
    <w:rsid w:val="0082454C"/>
    <w:rsid w:val="008272D1"/>
    <w:rsid w:val="00827B2C"/>
    <w:rsid w:val="00830EBA"/>
    <w:rsid w:val="0083549E"/>
    <w:rsid w:val="00835A10"/>
    <w:rsid w:val="008378DF"/>
    <w:rsid w:val="0084715A"/>
    <w:rsid w:val="00847E06"/>
    <w:rsid w:val="00850211"/>
    <w:rsid w:val="00852C0C"/>
    <w:rsid w:val="00854BB1"/>
    <w:rsid w:val="00857627"/>
    <w:rsid w:val="00861CE2"/>
    <w:rsid w:val="008645F1"/>
    <w:rsid w:val="008713B4"/>
    <w:rsid w:val="008715B1"/>
    <w:rsid w:val="00874C85"/>
    <w:rsid w:val="00875350"/>
    <w:rsid w:val="00880440"/>
    <w:rsid w:val="008806D8"/>
    <w:rsid w:val="00884FD1"/>
    <w:rsid w:val="008866E5"/>
    <w:rsid w:val="00890C7A"/>
    <w:rsid w:val="0089382C"/>
    <w:rsid w:val="008939B9"/>
    <w:rsid w:val="008976C4"/>
    <w:rsid w:val="008A093E"/>
    <w:rsid w:val="008A4955"/>
    <w:rsid w:val="008A5697"/>
    <w:rsid w:val="008A69FE"/>
    <w:rsid w:val="008B06C3"/>
    <w:rsid w:val="008C0ECB"/>
    <w:rsid w:val="008C1025"/>
    <w:rsid w:val="008C1902"/>
    <w:rsid w:val="008C3A0E"/>
    <w:rsid w:val="008D184F"/>
    <w:rsid w:val="008D526D"/>
    <w:rsid w:val="008D7E63"/>
    <w:rsid w:val="008E0452"/>
    <w:rsid w:val="008E11ED"/>
    <w:rsid w:val="008E2BFC"/>
    <w:rsid w:val="008E7F22"/>
    <w:rsid w:val="008F0169"/>
    <w:rsid w:val="008F4B3A"/>
    <w:rsid w:val="008F5FF8"/>
    <w:rsid w:val="00900F22"/>
    <w:rsid w:val="00904CCE"/>
    <w:rsid w:val="009143F0"/>
    <w:rsid w:val="0092319C"/>
    <w:rsid w:val="00923A21"/>
    <w:rsid w:val="00923DC9"/>
    <w:rsid w:val="009253F8"/>
    <w:rsid w:val="00925639"/>
    <w:rsid w:val="0093203C"/>
    <w:rsid w:val="00943B65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85729"/>
    <w:rsid w:val="0099198E"/>
    <w:rsid w:val="00992C51"/>
    <w:rsid w:val="00997AC4"/>
    <w:rsid w:val="009A145B"/>
    <w:rsid w:val="009A2108"/>
    <w:rsid w:val="009A785B"/>
    <w:rsid w:val="009B16F3"/>
    <w:rsid w:val="009B20B9"/>
    <w:rsid w:val="009B3BED"/>
    <w:rsid w:val="009B4AEB"/>
    <w:rsid w:val="009B78F3"/>
    <w:rsid w:val="009B7942"/>
    <w:rsid w:val="009B7DA0"/>
    <w:rsid w:val="009C5628"/>
    <w:rsid w:val="009D13F0"/>
    <w:rsid w:val="009D56D7"/>
    <w:rsid w:val="009E1354"/>
    <w:rsid w:val="009E3A51"/>
    <w:rsid w:val="009E5601"/>
    <w:rsid w:val="009E6A64"/>
    <w:rsid w:val="009E6EC8"/>
    <w:rsid w:val="009F64A1"/>
    <w:rsid w:val="009F763A"/>
    <w:rsid w:val="00A01CE2"/>
    <w:rsid w:val="00A01EAC"/>
    <w:rsid w:val="00A022FD"/>
    <w:rsid w:val="00A042E5"/>
    <w:rsid w:val="00A167FC"/>
    <w:rsid w:val="00A26C57"/>
    <w:rsid w:val="00A275BD"/>
    <w:rsid w:val="00A32907"/>
    <w:rsid w:val="00A3461A"/>
    <w:rsid w:val="00A40716"/>
    <w:rsid w:val="00A42364"/>
    <w:rsid w:val="00A43030"/>
    <w:rsid w:val="00A44E58"/>
    <w:rsid w:val="00A44E60"/>
    <w:rsid w:val="00A45F10"/>
    <w:rsid w:val="00A5220F"/>
    <w:rsid w:val="00A56CF5"/>
    <w:rsid w:val="00A65E68"/>
    <w:rsid w:val="00A7023B"/>
    <w:rsid w:val="00A72C79"/>
    <w:rsid w:val="00A75647"/>
    <w:rsid w:val="00A82B13"/>
    <w:rsid w:val="00A855D7"/>
    <w:rsid w:val="00A86734"/>
    <w:rsid w:val="00A911A8"/>
    <w:rsid w:val="00A96BD6"/>
    <w:rsid w:val="00A97DFF"/>
    <w:rsid w:val="00AA07B8"/>
    <w:rsid w:val="00AA41C9"/>
    <w:rsid w:val="00AA5619"/>
    <w:rsid w:val="00AA64A9"/>
    <w:rsid w:val="00AB00F1"/>
    <w:rsid w:val="00AB3B35"/>
    <w:rsid w:val="00AB5340"/>
    <w:rsid w:val="00AC7EDB"/>
    <w:rsid w:val="00AD0659"/>
    <w:rsid w:val="00AD2CD8"/>
    <w:rsid w:val="00AD36A2"/>
    <w:rsid w:val="00AD70F9"/>
    <w:rsid w:val="00AD740A"/>
    <w:rsid w:val="00AE674E"/>
    <w:rsid w:val="00AF01A7"/>
    <w:rsid w:val="00B00820"/>
    <w:rsid w:val="00B11DA7"/>
    <w:rsid w:val="00B16163"/>
    <w:rsid w:val="00B20B9E"/>
    <w:rsid w:val="00B2377E"/>
    <w:rsid w:val="00B25ECF"/>
    <w:rsid w:val="00B35464"/>
    <w:rsid w:val="00B44DB7"/>
    <w:rsid w:val="00B464C3"/>
    <w:rsid w:val="00B46BCE"/>
    <w:rsid w:val="00B47490"/>
    <w:rsid w:val="00B52965"/>
    <w:rsid w:val="00B529C1"/>
    <w:rsid w:val="00B5442C"/>
    <w:rsid w:val="00B5518E"/>
    <w:rsid w:val="00B61485"/>
    <w:rsid w:val="00B61716"/>
    <w:rsid w:val="00B6335E"/>
    <w:rsid w:val="00B64428"/>
    <w:rsid w:val="00B6606E"/>
    <w:rsid w:val="00B74677"/>
    <w:rsid w:val="00B77B01"/>
    <w:rsid w:val="00B8039B"/>
    <w:rsid w:val="00B854ED"/>
    <w:rsid w:val="00B859D5"/>
    <w:rsid w:val="00B8662F"/>
    <w:rsid w:val="00B87843"/>
    <w:rsid w:val="00B92C88"/>
    <w:rsid w:val="00BA1333"/>
    <w:rsid w:val="00BA3A8B"/>
    <w:rsid w:val="00BA3ACC"/>
    <w:rsid w:val="00BA7633"/>
    <w:rsid w:val="00BB250B"/>
    <w:rsid w:val="00BD0B65"/>
    <w:rsid w:val="00BD0F13"/>
    <w:rsid w:val="00BD5B99"/>
    <w:rsid w:val="00BD7691"/>
    <w:rsid w:val="00BE1974"/>
    <w:rsid w:val="00BE25B7"/>
    <w:rsid w:val="00BF0A76"/>
    <w:rsid w:val="00BF0B22"/>
    <w:rsid w:val="00BF4312"/>
    <w:rsid w:val="00BF4F52"/>
    <w:rsid w:val="00BF6EFA"/>
    <w:rsid w:val="00C0108D"/>
    <w:rsid w:val="00C1472A"/>
    <w:rsid w:val="00C217B3"/>
    <w:rsid w:val="00C22414"/>
    <w:rsid w:val="00C311D3"/>
    <w:rsid w:val="00C454C5"/>
    <w:rsid w:val="00C5054A"/>
    <w:rsid w:val="00C52FA8"/>
    <w:rsid w:val="00C57255"/>
    <w:rsid w:val="00C621B2"/>
    <w:rsid w:val="00C63E57"/>
    <w:rsid w:val="00C66F56"/>
    <w:rsid w:val="00C6769A"/>
    <w:rsid w:val="00C70A80"/>
    <w:rsid w:val="00C70B60"/>
    <w:rsid w:val="00C734A7"/>
    <w:rsid w:val="00C75731"/>
    <w:rsid w:val="00C775F6"/>
    <w:rsid w:val="00C80631"/>
    <w:rsid w:val="00C84988"/>
    <w:rsid w:val="00C870A9"/>
    <w:rsid w:val="00C91510"/>
    <w:rsid w:val="00C91E0F"/>
    <w:rsid w:val="00C949D6"/>
    <w:rsid w:val="00C94B90"/>
    <w:rsid w:val="00C97AD0"/>
    <w:rsid w:val="00CA379B"/>
    <w:rsid w:val="00CA743F"/>
    <w:rsid w:val="00CB010F"/>
    <w:rsid w:val="00CB2E57"/>
    <w:rsid w:val="00CC4F88"/>
    <w:rsid w:val="00CD4C2E"/>
    <w:rsid w:val="00CE4167"/>
    <w:rsid w:val="00CE426F"/>
    <w:rsid w:val="00CE43C7"/>
    <w:rsid w:val="00CF2CAE"/>
    <w:rsid w:val="00CF5F66"/>
    <w:rsid w:val="00D00D46"/>
    <w:rsid w:val="00D06C95"/>
    <w:rsid w:val="00D14268"/>
    <w:rsid w:val="00D15FF3"/>
    <w:rsid w:val="00D263D4"/>
    <w:rsid w:val="00D26AE7"/>
    <w:rsid w:val="00D36ED7"/>
    <w:rsid w:val="00D426EF"/>
    <w:rsid w:val="00D434A8"/>
    <w:rsid w:val="00D46B29"/>
    <w:rsid w:val="00D52150"/>
    <w:rsid w:val="00D56AE0"/>
    <w:rsid w:val="00D60235"/>
    <w:rsid w:val="00D63276"/>
    <w:rsid w:val="00D639C4"/>
    <w:rsid w:val="00D73FA3"/>
    <w:rsid w:val="00D7517A"/>
    <w:rsid w:val="00D766E2"/>
    <w:rsid w:val="00D82028"/>
    <w:rsid w:val="00D826E8"/>
    <w:rsid w:val="00D927FD"/>
    <w:rsid w:val="00D93B65"/>
    <w:rsid w:val="00D969A0"/>
    <w:rsid w:val="00D97F25"/>
    <w:rsid w:val="00DA1ABA"/>
    <w:rsid w:val="00DA4D29"/>
    <w:rsid w:val="00DA75F6"/>
    <w:rsid w:val="00DB2BF1"/>
    <w:rsid w:val="00DB751F"/>
    <w:rsid w:val="00DB790B"/>
    <w:rsid w:val="00DC5595"/>
    <w:rsid w:val="00DC78D3"/>
    <w:rsid w:val="00DD2A5B"/>
    <w:rsid w:val="00DE4295"/>
    <w:rsid w:val="00DF0247"/>
    <w:rsid w:val="00DF1C84"/>
    <w:rsid w:val="00DF3705"/>
    <w:rsid w:val="00DF673A"/>
    <w:rsid w:val="00E03E7D"/>
    <w:rsid w:val="00E1086E"/>
    <w:rsid w:val="00E122C6"/>
    <w:rsid w:val="00E14192"/>
    <w:rsid w:val="00E20083"/>
    <w:rsid w:val="00E2311E"/>
    <w:rsid w:val="00E234EF"/>
    <w:rsid w:val="00E3508C"/>
    <w:rsid w:val="00E44BAC"/>
    <w:rsid w:val="00E45E07"/>
    <w:rsid w:val="00E47938"/>
    <w:rsid w:val="00E567C0"/>
    <w:rsid w:val="00E57607"/>
    <w:rsid w:val="00E60A0A"/>
    <w:rsid w:val="00E6109A"/>
    <w:rsid w:val="00E638BE"/>
    <w:rsid w:val="00E64BA4"/>
    <w:rsid w:val="00E664B7"/>
    <w:rsid w:val="00E67674"/>
    <w:rsid w:val="00E7506D"/>
    <w:rsid w:val="00E7565C"/>
    <w:rsid w:val="00E75B09"/>
    <w:rsid w:val="00E77B23"/>
    <w:rsid w:val="00E8690B"/>
    <w:rsid w:val="00E94917"/>
    <w:rsid w:val="00E97CEB"/>
    <w:rsid w:val="00EB18B7"/>
    <w:rsid w:val="00EB2B6B"/>
    <w:rsid w:val="00EB770B"/>
    <w:rsid w:val="00EC1DF3"/>
    <w:rsid w:val="00EC29B4"/>
    <w:rsid w:val="00EC322A"/>
    <w:rsid w:val="00ED181C"/>
    <w:rsid w:val="00ED2FE4"/>
    <w:rsid w:val="00ED3369"/>
    <w:rsid w:val="00ED3939"/>
    <w:rsid w:val="00ED4A3E"/>
    <w:rsid w:val="00ED5149"/>
    <w:rsid w:val="00ED6AFD"/>
    <w:rsid w:val="00EE0F81"/>
    <w:rsid w:val="00EE7E10"/>
    <w:rsid w:val="00EF3957"/>
    <w:rsid w:val="00EF3B93"/>
    <w:rsid w:val="00EF72F1"/>
    <w:rsid w:val="00EF7C0A"/>
    <w:rsid w:val="00F01DF2"/>
    <w:rsid w:val="00F03EE4"/>
    <w:rsid w:val="00F06670"/>
    <w:rsid w:val="00F0772C"/>
    <w:rsid w:val="00F078BC"/>
    <w:rsid w:val="00F14663"/>
    <w:rsid w:val="00F16427"/>
    <w:rsid w:val="00F27016"/>
    <w:rsid w:val="00F33C82"/>
    <w:rsid w:val="00F36A07"/>
    <w:rsid w:val="00F413D2"/>
    <w:rsid w:val="00F4701E"/>
    <w:rsid w:val="00F5053F"/>
    <w:rsid w:val="00F67F0D"/>
    <w:rsid w:val="00F70D50"/>
    <w:rsid w:val="00F80B5E"/>
    <w:rsid w:val="00F84528"/>
    <w:rsid w:val="00F93C32"/>
    <w:rsid w:val="00FA1158"/>
    <w:rsid w:val="00FA6720"/>
    <w:rsid w:val="00FA7FCB"/>
    <w:rsid w:val="00FB1897"/>
    <w:rsid w:val="00FC4977"/>
    <w:rsid w:val="00FC617D"/>
    <w:rsid w:val="00FD05C7"/>
    <w:rsid w:val="00FE3183"/>
    <w:rsid w:val="00FE5F95"/>
    <w:rsid w:val="00FF136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09E796"/>
  <w14:defaultImageDpi w14:val="300"/>
  <w15:docId w15:val="{07E5839A-301A-4819-AAEF-B549C3AB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EE7E10"/>
    <w:rPr>
      <w:sz w:val="24"/>
      <w:szCs w:val="24"/>
    </w:rPr>
  </w:style>
  <w:style w:type="paragraph" w:customStyle="1" w:styleId="Default">
    <w:name w:val="Default"/>
    <w:rsid w:val="00EC1DF3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7C13-624B-4A06-831A-685538A8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5399</Words>
  <Characters>30780</Characters>
  <Application>Microsoft Office Word</Application>
  <DocSecurity>0</DocSecurity>
  <Lines>256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36107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3</cp:revision>
  <cp:lastPrinted>2017-02-14T12:49:00Z</cp:lastPrinted>
  <dcterms:created xsi:type="dcterms:W3CDTF">2019-10-21T12:32:00Z</dcterms:created>
  <dcterms:modified xsi:type="dcterms:W3CDTF">2019-10-21T12:32:00Z</dcterms:modified>
</cp:coreProperties>
</file>