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A3" w:rsidRPr="00D900BE" w:rsidRDefault="003E50A3" w:rsidP="00D900BE">
      <w:pPr>
        <w:pStyle w:val="Nzov"/>
      </w:pPr>
      <w:bookmarkStart w:id="0" w:name="_GoBack"/>
      <w:bookmarkEnd w:id="0"/>
    </w:p>
    <w:p w:rsidR="003E50A3" w:rsidRPr="00191442" w:rsidRDefault="003E50A3" w:rsidP="003E50A3">
      <w:pPr>
        <w:pStyle w:val="Nzov"/>
        <w:rPr>
          <w:sz w:val="22"/>
          <w:szCs w:val="22"/>
        </w:rPr>
      </w:pPr>
      <w:r w:rsidRPr="00191442">
        <w:rPr>
          <w:sz w:val="22"/>
          <w:szCs w:val="22"/>
        </w:rPr>
        <w:t>SÚHRN CHARAKTERISTICKÝCH VLASTNOSTÍ LIEKU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aps/>
          <w:sz w:val="22"/>
          <w:szCs w:val="22"/>
        </w:rPr>
        <w:t>Názov lieku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2g/30g Klysmen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</w:t>
      </w:r>
    </w:p>
    <w:p w:rsidR="003E50A3" w:rsidRPr="00191442" w:rsidRDefault="003E50A3" w:rsidP="003E50A3">
      <w:pPr>
        <w:ind w:right="-1"/>
        <w:jc w:val="both"/>
        <w:rPr>
          <w:b/>
          <w:sz w:val="22"/>
          <w:szCs w:val="22"/>
          <w:u w:val="single"/>
        </w:rPr>
      </w:pPr>
    </w:p>
    <w:p w:rsidR="003E50A3" w:rsidRPr="00191442" w:rsidRDefault="003E50A3" w:rsidP="003E50A3">
      <w:pPr>
        <w:ind w:right="-1"/>
        <w:jc w:val="both"/>
        <w:rPr>
          <w:b/>
          <w:sz w:val="22"/>
          <w:szCs w:val="22"/>
          <w:u w:val="single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aps/>
          <w:sz w:val="22"/>
          <w:szCs w:val="22"/>
        </w:rPr>
        <w:t>Kvalitatívne a kvantitatívne zloženie</w:t>
      </w:r>
      <w:r>
        <w:rPr>
          <w:b/>
          <w:sz w:val="22"/>
          <w:szCs w:val="22"/>
        </w:rPr>
        <w:t xml:space="preserve">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Liečivo: mesalazín </w:t>
      </w:r>
      <w:smartTag w:uri="urn:schemas-microsoft-com:office:smarttags" w:element="metricconverter">
        <w:smartTagPr>
          <w:attr w:name="ProductID" w:val="2 g"/>
        </w:smartTagPr>
        <w:r>
          <w:rPr>
            <w:sz w:val="22"/>
            <w:szCs w:val="22"/>
          </w:rPr>
          <w:t>2 g</w:t>
        </w:r>
      </w:smartTag>
      <w:r>
        <w:rPr>
          <w:sz w:val="22"/>
          <w:szCs w:val="22"/>
        </w:rPr>
        <w:t xml:space="preserve"> v </w:t>
      </w:r>
      <w:smartTag w:uri="urn:schemas-microsoft-com:office:smarttags" w:element="metricconverter">
        <w:smartTagPr>
          <w:attr w:name="ProductID" w:val="30 g"/>
        </w:smartTagPr>
        <w:r>
          <w:rPr>
            <w:sz w:val="22"/>
            <w:szCs w:val="22"/>
          </w:rPr>
          <w:t>30 g</w:t>
        </w:r>
      </w:smartTag>
      <w:r>
        <w:rPr>
          <w:sz w:val="22"/>
          <w:szCs w:val="22"/>
        </w:rPr>
        <w:t xml:space="preserve"> rektálnej suspenzie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mesalazín </w:t>
      </w:r>
      <w:smartTag w:uri="urn:schemas-microsoft-com:office:smarttags" w:element="metricconverter">
        <w:smartTagPr>
          <w:attr w:name="ProductID" w:val="4 g"/>
        </w:smartTagPr>
        <w:r>
          <w:rPr>
            <w:sz w:val="22"/>
            <w:szCs w:val="22"/>
          </w:rPr>
          <w:t>4 g</w:t>
        </w:r>
      </w:smartTag>
      <w:r>
        <w:rPr>
          <w:sz w:val="22"/>
          <w:szCs w:val="22"/>
        </w:rPr>
        <w:t xml:space="preserve"> v </w:t>
      </w:r>
      <w:smartTag w:uri="urn:schemas-microsoft-com:office:smarttags" w:element="metricconverter">
        <w:smartTagPr>
          <w:attr w:name="ProductID" w:val="60 g"/>
        </w:smartTagPr>
        <w:r>
          <w:rPr>
            <w:sz w:val="22"/>
            <w:szCs w:val="22"/>
          </w:rPr>
          <w:t>60 g</w:t>
        </w:r>
      </w:smartTag>
      <w:r>
        <w:rPr>
          <w:sz w:val="22"/>
          <w:szCs w:val="22"/>
        </w:rPr>
        <w:t xml:space="preserve"> rektálnej suspenzie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Pomocné látky: benzoan sodný, disiričitan draselný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aps/>
          <w:sz w:val="22"/>
          <w:szCs w:val="22"/>
        </w:rPr>
        <w:t>Lieková forma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Rektálna suspenzia (klyzma)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Homogénna suspenzia krémovej až svetlohnedej farby.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aps/>
          <w:sz w:val="22"/>
          <w:szCs w:val="22"/>
        </w:rPr>
        <w:t>Klinické údaje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 Terapeutické indikácie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Liečba akútneho štádia ulceróznej kolitídy.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 Dávkovanie a spôsob podávania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Dospelí: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Raz denne večer pred spaním sa aplikuje obsah jednej klyzmy 4 g/60 g alebo dvoch klyziem 2 g/30 g ako nálev do rekta.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Deti:</w:t>
      </w:r>
    </w:p>
    <w:p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S podávaním lieku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</w:t>
      </w:r>
    </w:p>
    <w:p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>deťom sú malé skúsenosti a nie je dostatočne zdokumentovaný účinok na deti.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Všeobecné podmienky podávania: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Najlepšie výsledky sa dosiahnu, ak sa črevo pred podaním klyzmy vyprázdni.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Ak má pacient problém udržať väčšie množstvo tekutiny, dávku možno rozdeliť na dvakrát, druhú časť možno podať až potom, ako sa prvá časť vstrebá, napr. počas noci alebo skoro ráno.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Liečba liekom 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môže byť úspešná, iba ak sa podáva pravidelne a dôsledne.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 dĺžke liečby rozhoduje v konkrétnom prípade ošetrujúci lekár.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Akútny relaps odoznie po 8 až 12 týždňoch. Po odoznení sa liek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</w:p>
    <w:p w:rsidR="00443F01" w:rsidRPr="00191442" w:rsidRDefault="00FB1461" w:rsidP="003E50A3">
      <w:pPr>
        <w:rPr>
          <w:sz w:val="22"/>
          <w:szCs w:val="22"/>
        </w:rPr>
      </w:pPr>
      <w:r>
        <w:rPr>
          <w:sz w:val="22"/>
          <w:szCs w:val="22"/>
        </w:rPr>
        <w:lastRenderedPageBreak/>
        <w:t>4g/60g Klysmen spravidla už ďalej neaplikuje.</w:t>
      </w:r>
    </w:p>
    <w:p w:rsidR="003E50A3" w:rsidRPr="00191442" w:rsidRDefault="00D900BE" w:rsidP="008A55E2">
      <w:pPr>
        <w:tabs>
          <w:tab w:val="left" w:pos="81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E50A3" w:rsidRPr="00191442" w:rsidRDefault="00FB1461" w:rsidP="003E50A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podania: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Príprava: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Pred použitím treba fľašku dobre potriasť.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Odstrániť ochranný kryt.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Fľaštičku treba držať zvisle.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Správna poloha pri podaní je nasledovná: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Pacient má ležať na ľavom boku, vystrieť ľavú nohu a ohnúť pravú nohu. Takto je podanie klyzmy najjednoduchšie a najefektívnejšie.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Podanie: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Špička aplikátora sa zavedie hlboko do konečníka.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Fľaštičku treba ľahko nakloniť a potom pomaly stlačiť.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 aplikácii sa prázdna fľaštička vytiahne.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aplikácii lieku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má pacient ostať ležať najmenej 30 minút v rovnakej polohe, aby sa liek v čreve dobre rozložil.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Najlepšie je nechať klyzmu pôsobiť celú noc.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sa nesmie podávať pri: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precitlivenosti na kyselinu salicylovú, jej deriváty alebo na inú zložku lieku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ťažkých poruchách funkcie pečene a obličiek.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:rsidR="003E50A3" w:rsidRPr="00191442" w:rsidRDefault="003E50A3" w:rsidP="003E50A3">
      <w:pPr>
        <w:ind w:right="-1"/>
        <w:jc w:val="both"/>
        <w:rPr>
          <w:b/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Podľa zváženia ošetrujúceho lekára  sa majú urobiť pred a počas liečby vyšetrenia krvi (diferenciálny krvný obraz; pečeňové funkcie ako ALT alebo AST; sérový kreatinín) a moču (testovacie prúžky / sediment). Kontrolné vyšetrenia sa odporúčajú urobiť 14 dní po začatí liečby, potom ešte 2x až 3x v intervaloch 4 týždne. Pri normálnych nálezoch sú potrebné ďalšie kontrolné vyšetrenia raz za štvrť roka, pri výskyte ďalších chorobných príznakov okamžite.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Liek  Salofalk 2g/30g Klysmen </w:t>
      </w:r>
      <w:r>
        <w:rPr>
          <w:rFonts w:ascii="Times New Roman" w:hAnsi="Times New Roman" w:cs="Times New Roman"/>
          <w:b/>
          <w:sz w:val="22"/>
          <w:szCs w:val="22"/>
        </w:rPr>
        <w:t xml:space="preserve">/ </w:t>
      </w:r>
      <w:r>
        <w:rPr>
          <w:rFonts w:ascii="Times New Roman" w:hAnsi="Times New Roman" w:cs="Times New Roman"/>
          <w:sz w:val="22"/>
          <w:szCs w:val="22"/>
        </w:rPr>
        <w:t>Salofalk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4g/60g Klysmen sa nemá podávať pacientom s renálnou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 pacientov, u ktorých sa počas liečby objaví renálna dysfunkcia, môže ísť o nefrotoxicitu spôsobenú mesalazínom.</w:t>
      </w:r>
    </w:p>
    <w:p w:rsidR="003E50A3" w:rsidRPr="00191442" w:rsidRDefault="003E50A3" w:rsidP="003E50A3">
      <w:pPr>
        <w:ind w:right="-1"/>
        <w:jc w:val="both"/>
        <w:rPr>
          <w:position w:val="4"/>
          <w:sz w:val="22"/>
          <w:szCs w:val="22"/>
        </w:rPr>
      </w:pPr>
    </w:p>
    <w:p w:rsidR="00CF74B9" w:rsidRPr="001741CD" w:rsidRDefault="00CF74B9" w:rsidP="00CF74B9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D8544A">
        <w:rPr>
          <w:sz w:val="22"/>
          <w:szCs w:val="22"/>
        </w:rPr>
        <w:t>Pri užití mesalazínu boli hlásené prípady nefrolitiázy vrátane obličkových kameňov so 100 % obsahom mesalazínu. Počas liečby sa odporúča zabezpečiť dostatočný príjem tekutín.</w:t>
      </w:r>
    </w:p>
    <w:p w:rsidR="00CF74B9" w:rsidRDefault="00CF74B9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poruchách funkcie pľúc, najmä pri bronchiálnej astme, je v priebehu podávania lieku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potrebné dôsledné sledovanie.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pacientov so známou precitlivenosťou na lieky s obsahom sulfasalazínu sa má liečba liekom 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začať len pod prísnym lekárskym dozorom. Pri výskyte akútnych prejavov intolerancie, napr. kŕčov, akútnych bolestí brucha, horúčky, úporných bolestí hlavy a kožných vyrážok, sa musí liečba okamžite prerušiť.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Klysmen obsahuje benzoan sodný, ktorý môže mať mierne dráždivý účinok na pokožku, oči a sliznice a môže zvýšiť riziko vzniku žltačky u novorodencov.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Klysmen obsahuje tiež disiričitan draselný, ktorý zriedkavo môže vyvolať závažné reakcie z precitlivenosti a bronchospasmus.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Neboli vykonané špecifické štúdie interakcií.</w:t>
      </w:r>
    </w:p>
    <w:p w:rsidR="003E50A3" w:rsidRPr="00191442" w:rsidRDefault="003E50A3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pacientov, ktorí sú súbežne liečení azatioprinom, 6-merkaptopurínom alebo tioguanínom, je potrebné počítať s možným zvýšením myelosupresívneho účinku azatioprinu, 6-merkaptopurínu alebo tioguanínu.</w:t>
      </w:r>
    </w:p>
    <w:p w:rsidR="003E50A3" w:rsidRPr="00191442" w:rsidRDefault="003E50A3" w:rsidP="003E50A3">
      <w:pPr>
        <w:pStyle w:val="Zkladntext"/>
        <w:rPr>
          <w:sz w:val="22"/>
          <w:szCs w:val="22"/>
          <w:lang w:val="sk-SK"/>
        </w:rPr>
      </w:pPr>
    </w:p>
    <w:p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Mesalazín môže znížiť antikoagulačný účinok warfarínu.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4.6 Fertilita, gravidita a laktácia</w:t>
      </w:r>
    </w:p>
    <w:p w:rsidR="003E50A3" w:rsidRPr="00191442" w:rsidRDefault="003E50A3" w:rsidP="003E50A3">
      <w:pPr>
        <w:ind w:right="-1"/>
        <w:jc w:val="both"/>
        <w:rPr>
          <w:b/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Gravidita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podávaní lieku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 u tehotných žien nie sú dostatočné údaje. U limitovaného počtu tehotných žien, ktoré boli liečené mesalazínom, neboli pozorované žiadne negatívne účinky na priebeh tehotenstva alebo na zdravie plodu a novorodenca. Žiadne relevantné epidemiologické údaje nie sú momentálne dostupné. Objavil sa jeden izolovaný prípad renálneho zlyhania u novorodenca ženy, ktorá počas tehotenstva užívala dlhodobo vysoké dávky mesalazínu (2-4 g/deň p.o.).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Štúdie na zvieratách po perorálnom podaní mesalazínu nepreukázali žiadne priame alebo nepriame negatívne účinky na tehotenstvo, embryonálny vývoj, vývoj plodu, pôrod alebo postnatálny vývoj novorodenca.</w:t>
      </w:r>
    </w:p>
    <w:p w:rsidR="00673EA0" w:rsidRPr="00191442" w:rsidRDefault="00673EA0" w:rsidP="003E50A3">
      <w:pPr>
        <w:ind w:right="-1"/>
        <w:jc w:val="both"/>
        <w:rPr>
          <w:sz w:val="22"/>
          <w:szCs w:val="22"/>
        </w:rPr>
      </w:pPr>
    </w:p>
    <w:p w:rsidR="00673EA0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Napriek tomu sa má v tehotenstve podávať liek Salofalk 2g/30g Klysmen / Salofalk 4g/60g Klysmen iba v prípade, ak prínos významne prevýši možné riziko.</w:t>
      </w:r>
    </w:p>
    <w:p w:rsidR="00673EA0" w:rsidRPr="00191442" w:rsidRDefault="00673EA0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Laktácia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N-acetyl-5-aminosalicylová kyselina a malé množstvo mesalazínu prechádza do materského mlieka. Zatiaľ chýbajú dostatočné skúsenosti s podávaním lieku počas dojčenia. Nemožno vylúčiť prejavy hypersenzitivity u dieťaťa, ako je napríklad hnačka. Liek Salofalk 2g/30g Klysmen </w:t>
      </w:r>
      <w:r>
        <w:rPr>
          <w:b/>
          <w:sz w:val="22"/>
          <w:szCs w:val="22"/>
        </w:rPr>
        <w:t xml:space="preserve">/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sa má podávať počas dojčenia iba ak benefit významne preváži možné riziko. Ak sa u dojčeného dieťaťa objaví hnačka, má sa dojčenie ukončiť.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vozidlá a obsluhovať stroje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 Nežiaduce účinky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Počas užívania mesalazínu boli zaznamenané nasledovné nežiaduce účinky: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0"/>
        <w:gridCol w:w="2554"/>
        <w:gridCol w:w="2268"/>
        <w:gridCol w:w="2268"/>
      </w:tblGrid>
      <w:tr w:rsidR="003251D1" w:rsidRPr="00191442" w:rsidTr="00A3452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251D1" w:rsidRPr="00191442" w:rsidRDefault="003251D1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70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51D1" w:rsidRDefault="003251D1" w:rsidP="003E50A3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MedDRA </w:t>
            </w: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:rsidR="00CF74B9" w:rsidRPr="00191442" w:rsidRDefault="00CF74B9" w:rsidP="00CF74B9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 až&lt;1/1 000)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:rsidR="00CF74B9" w:rsidRPr="00191442" w:rsidRDefault="00CF74B9" w:rsidP="00CF74B9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D8544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neznáme (z</w:t>
            </w:r>
            <w:r w:rsidR="003251D1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 </w:t>
            </w:r>
            <w:r w:rsidRPr="00D8544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dostupných údajov)</w:t>
            </w: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v počte krviniek (aplastická anémia,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agranulocytóza, pancytopénia, neutropénia, leukopénia, trombocytopénia)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periférna neuropatia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mediast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na </w:t>
            </w:r>
          </w:p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(medzip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ľ</w:t>
            </w: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úcia)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fibrotická pľúcna reakcia (vrátane dýchavičnosti, kašľu, bronchospasmu, alveolitídy, pľúcnej eozinofílie, pľúcnej infiltrácie, zápalu pľúc).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a ochorenia gastrointestinálneho traktu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191442"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Akútny zápal slinivky brušnej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Porucha činnosti obličiek vrátane akútnej a chronickej intersticiálnej nefritídy a renálnej nedostatočnosti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 w:rsidRPr="00D8544A">
              <w:t>nefrolitiáza</w:t>
            </w:r>
            <w:r>
              <w:rPr>
                <w:sz w:val="18"/>
                <w:szCs w:val="18"/>
              </w:rPr>
              <w:t xml:space="preserve"> </w:t>
            </w:r>
            <w:r w:rsidRPr="00861F05">
              <w:rPr>
                <w:rFonts w:cs="Times New Roman"/>
              </w:rPr>
              <w:t>*</w:t>
            </w: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Vypadávanie vlasov (alopécia)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(artralgia, myalgia)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CF74B9" w:rsidRPr="00191442" w:rsidRDefault="00CF74B9" w:rsidP="00CF74B9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CF74B9" w:rsidRPr="00191442" w:rsidRDefault="00CF74B9" w:rsidP="00CF74B9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Hypersenzitívne reakcie  ako sú: alergické vyrážky, lieková horúčka,   systémový lupus erytematosus, pankolitída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vo funkcii pečene (zvýšenie hodnôt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transamináz, parametrov cholestázy), hepatitída, cholestatická hepatitída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:rsidTr="00D900BE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Ochorenia reprodukčného systému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Pr="00191442" w:rsidRDefault="00CF74B9" w:rsidP="00CF74B9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 (reverzibilná)</w:t>
            </w:r>
          </w:p>
          <w:p w:rsidR="00CF74B9" w:rsidRPr="00191442" w:rsidRDefault="00CF74B9" w:rsidP="00CF74B9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4B9" w:rsidRDefault="00CF74B9" w:rsidP="00CF74B9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CF74B9" w:rsidRPr="001741CD" w:rsidRDefault="00CF74B9" w:rsidP="00CF74B9">
      <w:pPr>
        <w:tabs>
          <w:tab w:val="left" w:pos="-720"/>
          <w:tab w:val="left" w:pos="567"/>
        </w:tabs>
        <w:ind w:right="237"/>
        <w:rPr>
          <w:rFonts w:eastAsia="Calibri"/>
          <w:noProof/>
          <w:sz w:val="22"/>
          <w:szCs w:val="22"/>
          <w:u w:val="single"/>
          <w:lang w:eastAsia="zh-CN"/>
        </w:rPr>
      </w:pPr>
      <w:r>
        <w:rPr>
          <w:sz w:val="18"/>
          <w:szCs w:val="18"/>
        </w:rPr>
        <w:t xml:space="preserve">* </w:t>
      </w:r>
      <w:r w:rsidRPr="00D8544A">
        <w:rPr>
          <w:sz w:val="22"/>
          <w:szCs w:val="22"/>
        </w:rPr>
        <w:t>Pre ďalšie informácie pozri časť 4.4</w:t>
      </w:r>
    </w:p>
    <w:p w:rsidR="00CF74B9" w:rsidRDefault="00CF74B9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9957AA" w:rsidRPr="00191442" w:rsidRDefault="00B534B5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B534B5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:rsidR="009957AA" w:rsidRPr="00191442" w:rsidRDefault="00B534B5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B534B5">
        <w:rPr>
          <w:rFonts w:eastAsia="Calibri"/>
          <w:noProof/>
          <w:sz w:val="22"/>
          <w:szCs w:val="22"/>
          <w:u w:val="single"/>
          <w:lang w:eastAsia="zh-CN"/>
        </w:rPr>
        <w:t xml:space="preserve">U pacientov s existujúcimi ochoreniamu kože, ako je atopická dermatitída a atopický ekzém, sú hlásené závažnejšie reakcie. </w:t>
      </w:r>
    </w:p>
    <w:p w:rsidR="009957AA" w:rsidRPr="00191442" w:rsidRDefault="009957AA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3E50A3" w:rsidRPr="00191442" w:rsidRDefault="003E50A3" w:rsidP="003E50A3">
      <w:pPr>
        <w:rPr>
          <w:sz w:val="22"/>
          <w:szCs w:val="22"/>
          <w:u w:val="single"/>
        </w:rPr>
      </w:pPr>
      <w:r w:rsidRPr="00191442">
        <w:rPr>
          <w:sz w:val="22"/>
          <w:szCs w:val="22"/>
          <w:u w:val="single"/>
        </w:rPr>
        <w:t>Hlásenie podozrení na nežiaduce reakcie</w:t>
      </w:r>
    </w:p>
    <w:p w:rsidR="003E50A3" w:rsidRPr="00191442" w:rsidRDefault="003E50A3" w:rsidP="003E50A3">
      <w:pPr>
        <w:rPr>
          <w:sz w:val="22"/>
          <w:szCs w:val="22"/>
        </w:rPr>
      </w:pPr>
      <w:r w:rsidRPr="00191442">
        <w:rPr>
          <w:sz w:val="22"/>
          <w:szCs w:val="22"/>
        </w:rPr>
        <w:t>Hlásenie podozrení na nežiaduce reakcie po registrácii lieku je dôležité. Umožňuje priebežné monitorovani</w:t>
      </w:r>
      <w:r w:rsidR="00FB1461">
        <w:rPr>
          <w:sz w:val="22"/>
          <w:szCs w:val="22"/>
        </w:rPr>
        <w:t>e pomeru prínosu a rizika lieku. Od zdravotníckych pracovníkov sa vyžaduje, aby hlásili akékoľvek podozrenia na nežiaduce reakcie na</w:t>
      </w:r>
      <w:r w:rsidR="00922D0B">
        <w:rPr>
          <w:sz w:val="22"/>
          <w:szCs w:val="22"/>
        </w:rPr>
        <w:t xml:space="preserve"> </w:t>
      </w:r>
      <w:r w:rsidR="00077239" w:rsidRPr="00077239">
        <w:rPr>
          <w:sz w:val="22"/>
          <w:szCs w:val="22"/>
          <w:highlight w:val="lightGray"/>
        </w:rPr>
        <w:t xml:space="preserve">národné centrum hlásenia uvedené v </w:t>
      </w:r>
      <w:hyperlink r:id="rId8" w:history="1">
        <w:r w:rsidR="003E2A7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9E527D">
        <w:t>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4.9 Predávkovanie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ormlnysozarkami1"/>
        <w:ind w:left="0"/>
        <w:rPr>
          <w:lang w:val="sk-SK"/>
        </w:rPr>
      </w:pPr>
      <w:r w:rsidRPr="00B534B5">
        <w:rPr>
          <w:lang w:val="sk-SK"/>
        </w:rPr>
        <w:t>Údaje o predávkovaní sú zriedkavé (napríklad možné sebevražedné správanie pri vysokých perorálnych dávkach mesalazínu), a z nich nie je možné naznačovať renálnu a hepat</w:t>
      </w:r>
      <w:r w:rsidR="00F80EB5">
        <w:rPr>
          <w:lang w:val="sk-SK"/>
        </w:rPr>
        <w:t>álnu</w:t>
      </w:r>
      <w:r w:rsidR="003E50A3" w:rsidRPr="00191442">
        <w:rPr>
          <w:lang w:val="sk-SK"/>
        </w:rPr>
        <w:t xml:space="preserve"> toxicitu. Neexistuje špecifické antidotum</w:t>
      </w:r>
      <w:r w:rsidRPr="00B534B5">
        <w:rPr>
          <w:lang w:val="sk-SK"/>
        </w:rPr>
        <w:t xml:space="preserve"> a liečba je symptomatická a podporná.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5. FARMAKOKINETICKÉ VLASTNOSTI </w:t>
      </w:r>
    </w:p>
    <w:p w:rsidR="003E50A3" w:rsidRPr="00191442" w:rsidRDefault="003E50A3" w:rsidP="003E50A3">
      <w:pPr>
        <w:pStyle w:val="Nadpis2"/>
        <w:jc w:val="both"/>
        <w:rPr>
          <w:sz w:val="22"/>
          <w:szCs w:val="22"/>
          <w:lang w:val="sk-SK"/>
        </w:rPr>
      </w:pPr>
    </w:p>
    <w:p w:rsidR="00397CC2" w:rsidRPr="00191442" w:rsidRDefault="00B534B5" w:rsidP="00397CC2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5.1 Farmakodynamické vlastnosti</w:t>
      </w:r>
    </w:p>
    <w:p w:rsidR="00397CC2" w:rsidRPr="00191442" w:rsidRDefault="00397CC2" w:rsidP="00397CC2">
      <w:pPr>
        <w:ind w:right="-1"/>
        <w:jc w:val="both"/>
        <w:rPr>
          <w:sz w:val="22"/>
          <w:szCs w:val="22"/>
        </w:rPr>
      </w:pPr>
    </w:p>
    <w:p w:rsidR="00397CC2" w:rsidRPr="00191442" w:rsidRDefault="00B534B5" w:rsidP="00397CC2">
      <w:pPr>
        <w:pStyle w:val="Nadpis2"/>
        <w:jc w:val="both"/>
        <w:rPr>
          <w:b w:val="0"/>
          <w:bCs/>
          <w:sz w:val="22"/>
          <w:szCs w:val="22"/>
          <w:lang w:val="sk-SK"/>
        </w:rPr>
      </w:pPr>
      <w:r w:rsidRPr="00B534B5">
        <w:rPr>
          <w:sz w:val="22"/>
          <w:szCs w:val="22"/>
          <w:lang w:val="sk-SK"/>
        </w:rPr>
        <w:t xml:space="preserve">Farmakoterapeutická skupina: </w:t>
      </w:r>
      <w:r w:rsidRPr="00B534B5">
        <w:rPr>
          <w:b w:val="0"/>
          <w:bCs/>
          <w:sz w:val="22"/>
          <w:szCs w:val="22"/>
          <w:lang w:val="sk-SK"/>
        </w:rPr>
        <w:t>Črevné protizápalové liečivá</w:t>
      </w:r>
      <w:r w:rsidR="00397108">
        <w:rPr>
          <w:b w:val="0"/>
          <w:bCs/>
          <w:sz w:val="22"/>
          <w:szCs w:val="22"/>
          <w:lang w:val="sk-SK"/>
        </w:rPr>
        <w:t>, kyselina aminosalicylová a príbuzné liečivá</w:t>
      </w:r>
    </w:p>
    <w:p w:rsidR="00397CC2" w:rsidRPr="00191442" w:rsidRDefault="00B534B5" w:rsidP="00397CC2">
      <w:pPr>
        <w:ind w:right="-1"/>
        <w:jc w:val="both"/>
        <w:rPr>
          <w:b/>
          <w:bCs/>
          <w:snapToGrid w:val="0"/>
          <w:sz w:val="22"/>
          <w:szCs w:val="22"/>
          <w:lang w:eastAsia="cs-CZ"/>
        </w:rPr>
      </w:pPr>
      <w:r w:rsidRPr="00B534B5">
        <w:rPr>
          <w:b/>
          <w:bCs/>
          <w:sz w:val="22"/>
          <w:szCs w:val="22"/>
        </w:rPr>
        <w:t xml:space="preserve">ATC kód: </w:t>
      </w:r>
      <w:r w:rsidRPr="00B534B5">
        <w:rPr>
          <w:snapToGrid w:val="0"/>
          <w:sz w:val="22"/>
          <w:szCs w:val="22"/>
          <w:lang w:eastAsia="cs-CZ"/>
        </w:rPr>
        <w:t>A07EC02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 xml:space="preserve">Mechanizmus účinku mesalazínu nie je ešte celkom objasnený. Štúdie </w:t>
      </w:r>
      <w:r w:rsidRPr="00B534B5">
        <w:rPr>
          <w:rFonts w:ascii="Times New Roman" w:hAnsi="Times New Roman" w:cs="Times New Roman"/>
          <w:i/>
          <w:sz w:val="22"/>
          <w:szCs w:val="22"/>
        </w:rPr>
        <w:t>in vitro</w:t>
      </w:r>
      <w:r w:rsidRPr="00B534B5">
        <w:rPr>
          <w:rFonts w:ascii="Times New Roman" w:hAnsi="Times New Roman" w:cs="Times New Roman"/>
          <w:sz w:val="22"/>
          <w:szCs w:val="22"/>
        </w:rPr>
        <w:t xml:space="preserve"> ukázali, že mechanizmus inhibície lipoxygenázy môže byť významným faktorom účinku.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Bol preukázaný tiež vplyv na obsah prostaglandínov v intestinálnej mukóze. Mesalazín (5-aminosalicylová kyselina / 5-ASA) tiež pôsobí ako vychytávač voľných kyslíkových radikálov.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Perorálne podaný mesalazín má predovšetkým lokálny účinok na intestinálnej mukóze a v podslizničnom tkanive.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5.2 Farmakokinetické vlastnosti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  <w:u w:val="single"/>
        </w:rPr>
      </w:pPr>
      <w:r w:rsidRPr="00B534B5">
        <w:rPr>
          <w:sz w:val="22"/>
          <w:szCs w:val="22"/>
          <w:u w:val="single"/>
        </w:rPr>
        <w:t>Všeobecné vlastnosti mesalazínu: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>Absorpcia</w:t>
      </w:r>
    </w:p>
    <w:p w:rsidR="003E50A3" w:rsidRPr="00191442" w:rsidRDefault="00B534B5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>Absorpcia mesalazínu je najvyššia v proximálnych častiach a najnižšia v distálnych častiach čreva.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lastRenderedPageBreak/>
        <w:t>Biotransformácia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Mesalazín sa metabolizuje pred vstupom do krvného obehu v intestinálnej mukóze a v pečeni na farmakologicky neaktívnu N-acetyl-5-aminosalicylovú kyselinu (N-Ac-5-ASA). Acetylácia je pravdepodobne nezávislá od acetylátorového fenotypu pacienta. Časť mesalazínu sa acetyluje baktériami v hrubom čreve. 43 % mesalazínu a 78 % N-Ac-5-ASA sa viaže na sérové bielkoviny.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>Eliminácia/exkrécia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Mesalazín a jeho metabolit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mesalazínu prechádza do materského mlieka, prevažne ako N-Ac-5-ASA.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adpis6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 xml:space="preserve">Špecifické vlastnosti lieku </w:t>
      </w:r>
      <w:r w:rsidRPr="00B534B5">
        <w:rPr>
          <w:rFonts w:ascii="Times New Roman" w:hAnsi="Times New Roman" w:cs="Times New Roman"/>
          <w:sz w:val="22"/>
          <w:szCs w:val="22"/>
          <w:u w:val="none"/>
        </w:rPr>
        <w:t xml:space="preserve">Salofalk 2g/30g Klysmen </w:t>
      </w:r>
      <w:r w:rsidRPr="00B534B5">
        <w:rPr>
          <w:rFonts w:ascii="Times New Roman" w:hAnsi="Times New Roman" w:cs="Times New Roman"/>
          <w:b/>
          <w:sz w:val="22"/>
          <w:szCs w:val="22"/>
          <w:u w:val="none"/>
        </w:rPr>
        <w:t xml:space="preserve">/ </w:t>
      </w:r>
      <w:r w:rsidRPr="00B534B5">
        <w:rPr>
          <w:rFonts w:ascii="Times New Roman" w:hAnsi="Times New Roman" w:cs="Times New Roman"/>
          <w:sz w:val="22"/>
          <w:szCs w:val="22"/>
          <w:u w:val="none"/>
        </w:rPr>
        <w:t>Salofalk</w:t>
      </w:r>
      <w:r w:rsidRPr="00B534B5">
        <w:rPr>
          <w:rFonts w:ascii="Times New Roman" w:hAnsi="Times New Roman" w:cs="Times New Roman"/>
          <w:sz w:val="22"/>
          <w:szCs w:val="22"/>
          <w:u w:val="none"/>
          <w:vertAlign w:val="superscript"/>
        </w:rPr>
        <w:t xml:space="preserve"> </w:t>
      </w:r>
      <w:r w:rsidRPr="00B534B5">
        <w:rPr>
          <w:rFonts w:ascii="Times New Roman" w:hAnsi="Times New Roman" w:cs="Times New Roman"/>
          <w:sz w:val="22"/>
          <w:szCs w:val="22"/>
          <w:u w:val="none"/>
        </w:rPr>
        <w:t>4g/60g Klysmen</w:t>
      </w:r>
    </w:p>
    <w:p w:rsidR="003E50A3" w:rsidRPr="00191442" w:rsidRDefault="003E50A3" w:rsidP="003E50A3">
      <w:pPr>
        <w:rPr>
          <w:sz w:val="22"/>
          <w:szCs w:val="22"/>
        </w:rPr>
      </w:pPr>
    </w:p>
    <w:p w:rsidR="003E50A3" w:rsidRPr="00191442" w:rsidRDefault="00B534B5" w:rsidP="003E50A3">
      <w:pPr>
        <w:pStyle w:val="Nadpis1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Distribúcia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Štúdia na pacientoch s miernou až stredne ťažkou ulceróznou kolitídou ukázala, že tekutina z klyzmy sa na začiatku liečby, aj počas remisie po 12 týždňoch distribuuje predovšetkým v rekte a colon sigmoides a v menšom množstve v hrubom čreve.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i/>
          <w:iCs/>
          <w:color w:val="auto"/>
          <w:sz w:val="22"/>
          <w:szCs w:val="22"/>
        </w:rPr>
        <w:t>Absorpcia a eliminácia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Špecifické farmakokinetické štúdie s liekom Salofalk 2 g/30 g Klysmen sa nerobili.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V štúdii s liekom Salofalk 4 g/60 g Klysmen na pacientoch s ulceróznou kolitídou v remisii plazmatické koncentrácie 5-ASA dosiahli vrcholné hodnoty 0,92 μg/ml a N-Ac-5-ASA 1,62 μg/ml po cca 11-12 hodinách za podmienok rovnovážneho stavu (steady-state). Stupeň eliminácie bol približne 13 % (hodnota po 45 hodinách); podstatná časť (85 %) bola eliminovaná vo forme metabolitu N-Ac-5-ASA.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Plazmatické koncentrácie u detí s chronickým zápalovým ochorením liečenými s liekom  Salofalk 4 g/60 g Klysmen počas steady-state boli 0,5-2,8 μg/ml u 5-ASA a 0,9-4,1 μg/ml u N-Ac-5-ASA.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Plazmatické koncentrácie u detí s chronickým zápalovým ochorením liečenými s liekom  Salofalk 2 g/30 g Klysmen počas steady-state boli 0,2-1,0 μg/ml u 5-ASA a 0,4-2,0 μg/ml u N-Ac-5-ASA.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5.3 Predklinické údaje o bezpečnosti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Predklinické údaje získané v konvenčných štúdiách na farmakologickú bezpečnosť, genotoxicitu, karcinogenitu (potkan) alebo reprodukčnú toxicitu nepreukázali žiadne osobitné riziko pre ľudí.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Renálna toxicita (renálna nekróza a poškodenie epitelu proximálnych tubulov alebo celých nefrónov) bola pozorovaná v štúdiách na toxicitu po opakovanom podaní vysokých dávok mesalazínu p.o. Klinická významnosť týchto zistení nie je jasná.</w:t>
      </w:r>
    </w:p>
    <w:p w:rsidR="003E50A3" w:rsidRPr="00191442" w:rsidRDefault="003E50A3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97CC2" w:rsidRPr="00191442" w:rsidRDefault="00397CC2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caps/>
          <w:sz w:val="22"/>
          <w:szCs w:val="22"/>
        </w:rPr>
      </w:pPr>
      <w:r w:rsidRPr="00B534B5">
        <w:rPr>
          <w:b/>
          <w:sz w:val="22"/>
          <w:szCs w:val="22"/>
        </w:rPr>
        <w:t xml:space="preserve">6. </w:t>
      </w:r>
      <w:r w:rsidRPr="00B534B5">
        <w:rPr>
          <w:b/>
          <w:caps/>
          <w:sz w:val="22"/>
          <w:szCs w:val="22"/>
        </w:rPr>
        <w:t>Farmaceutické informácie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6.1 Zoznam pomocných látok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Karbomér 934 P, benzoan sodný, dihydrát edetanu disodného, disiričitan draselný, octan draselný, xantánová guma, čistená voda.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6.2 Inkompatibility</w:t>
      </w:r>
    </w:p>
    <w:p w:rsidR="00397CC2" w:rsidRPr="00191442" w:rsidRDefault="00397CC2" w:rsidP="003E50A3">
      <w:pPr>
        <w:ind w:right="-1"/>
        <w:jc w:val="both"/>
        <w:rPr>
          <w:b/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Žiadne.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  <w:u w:val="single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6.3 Čas použiteľnosti</w:t>
      </w:r>
    </w:p>
    <w:p w:rsidR="00397CC2" w:rsidRPr="00191442" w:rsidRDefault="00397CC2" w:rsidP="003E50A3">
      <w:pPr>
        <w:ind w:right="-1"/>
        <w:jc w:val="both"/>
        <w:rPr>
          <w:sz w:val="22"/>
          <w:szCs w:val="22"/>
        </w:rPr>
      </w:pPr>
    </w:p>
    <w:p w:rsidR="003E50A3" w:rsidRDefault="00B534B5" w:rsidP="003E50A3">
      <w:pPr>
        <w:ind w:right="-1"/>
        <w:jc w:val="both"/>
        <w:rPr>
          <w:bCs/>
          <w:sz w:val="22"/>
          <w:szCs w:val="22"/>
        </w:rPr>
      </w:pPr>
      <w:r w:rsidRPr="00B534B5">
        <w:rPr>
          <w:bCs/>
          <w:sz w:val="22"/>
          <w:szCs w:val="22"/>
        </w:rPr>
        <w:t>2 roky</w:t>
      </w:r>
    </w:p>
    <w:p w:rsidR="0084386C" w:rsidRPr="00191442" w:rsidRDefault="0084386C" w:rsidP="003E50A3">
      <w:pPr>
        <w:ind w:right="-1"/>
        <w:jc w:val="both"/>
        <w:rPr>
          <w:bCs/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6.4 Špeciálne upozornenia na uchovávanie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665103" w:rsidP="003E50A3">
      <w:pPr>
        <w:ind w:right="-1"/>
        <w:jc w:val="both"/>
        <w:rPr>
          <w:sz w:val="22"/>
          <w:szCs w:val="22"/>
        </w:rPr>
      </w:pPr>
      <w:r w:rsidRPr="00187DE6">
        <w:rPr>
          <w:sz w:val="22"/>
          <w:szCs w:val="22"/>
        </w:rPr>
        <w:t>Tento liek nevyžaduje žiadne zvláštne podmienky na uchovávanie</w:t>
      </w:r>
      <w:r>
        <w:rPr>
          <w:sz w:val="22"/>
          <w:szCs w:val="22"/>
        </w:rPr>
        <w:t>.</w:t>
      </w:r>
      <w:r w:rsidR="00397CC2" w:rsidRPr="00191442">
        <w:rPr>
          <w:sz w:val="22"/>
          <w:szCs w:val="22"/>
        </w:rPr>
        <w:t xml:space="preserve"> </w:t>
      </w:r>
      <w:r>
        <w:rPr>
          <w:noProof/>
          <w:sz w:val="22"/>
        </w:rPr>
        <w:t>Uchovávajte v pôvodnom obale</w:t>
      </w:r>
      <w:r>
        <w:rPr>
          <w:sz w:val="22"/>
          <w:szCs w:val="22"/>
        </w:rPr>
        <w:t xml:space="preserve"> </w:t>
      </w:r>
      <w:r w:rsidRPr="00187DE6">
        <w:rPr>
          <w:sz w:val="22"/>
          <w:szCs w:val="22"/>
        </w:rPr>
        <w:t xml:space="preserve">na ochranu </w:t>
      </w:r>
      <w:r w:rsidR="00397CC2" w:rsidRPr="00191442">
        <w:rPr>
          <w:sz w:val="22"/>
          <w:szCs w:val="22"/>
        </w:rPr>
        <w:t>pred svetlom.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Balenie otvoriť až tesne pred použitím.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>6.5 Druh obalu a obsah balenia</w:t>
      </w:r>
      <w:r w:rsidRPr="00B534B5">
        <w:rPr>
          <w:sz w:val="22"/>
          <w:szCs w:val="22"/>
          <w:u w:val="single"/>
        </w:rPr>
        <w:t xml:space="preserve">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Plastová fľaštička s aplikátorom a krytom, každá jednotlivo zabalená do fólie, papierová škatuľka, písomná informácia pre používateľa.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  <w:u w:val="single"/>
        </w:rPr>
        <w:t>Veľkosť balenia</w:t>
      </w:r>
      <w:r w:rsidRPr="00B534B5">
        <w:rPr>
          <w:sz w:val="22"/>
          <w:szCs w:val="22"/>
        </w:rPr>
        <w:t>: 7 x 4g/60g alebo 7 x 2g/30g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97CC2" w:rsidRPr="00191442" w:rsidRDefault="00B534B5" w:rsidP="00397CC2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6.6 Špeciálne opatrenia na likvidáciu a iné zaobchádzania s liekom</w:t>
      </w:r>
    </w:p>
    <w:p w:rsidR="00397CC2" w:rsidRPr="00191442" w:rsidRDefault="00397CC2" w:rsidP="00397CC2">
      <w:pPr>
        <w:ind w:right="-1"/>
        <w:jc w:val="both"/>
        <w:rPr>
          <w:sz w:val="22"/>
          <w:szCs w:val="22"/>
        </w:rPr>
      </w:pPr>
    </w:p>
    <w:p w:rsidR="00397CC2" w:rsidRPr="00191442" w:rsidRDefault="00B534B5" w:rsidP="00397CC2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Nepoužitý liek alebo odpad vzniknutý z lieku treba vrátiť do lekárne.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  <w:u w:val="single"/>
        </w:rPr>
      </w:pPr>
    </w:p>
    <w:p w:rsidR="00397CC2" w:rsidRPr="00191442" w:rsidRDefault="00397CC2" w:rsidP="003E50A3">
      <w:pPr>
        <w:ind w:right="-1"/>
        <w:jc w:val="both"/>
        <w:rPr>
          <w:sz w:val="22"/>
          <w:szCs w:val="22"/>
          <w:u w:val="single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7. </w:t>
      </w:r>
      <w:r w:rsidRPr="00B534B5">
        <w:rPr>
          <w:b/>
          <w:caps/>
          <w:sz w:val="22"/>
          <w:szCs w:val="22"/>
        </w:rPr>
        <w:t>Držiteľ rozhodnutia o registrácii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Dr. Falk Pharma GmbH</w:t>
      </w:r>
    </w:p>
    <w:p w:rsidR="003E50A3" w:rsidRPr="00191442" w:rsidRDefault="00B534B5" w:rsidP="003E50A3">
      <w:pPr>
        <w:tabs>
          <w:tab w:val="left" w:pos="426"/>
        </w:tabs>
        <w:jc w:val="both"/>
        <w:rPr>
          <w:sz w:val="22"/>
          <w:szCs w:val="22"/>
        </w:rPr>
      </w:pPr>
      <w:r w:rsidRPr="00B534B5">
        <w:rPr>
          <w:sz w:val="22"/>
          <w:szCs w:val="22"/>
        </w:rPr>
        <w:t>Leinenweberstr</w:t>
      </w:r>
      <w:r w:rsidR="00F80EB5">
        <w:rPr>
          <w:sz w:val="22"/>
          <w:szCs w:val="22"/>
        </w:rPr>
        <w:t>asse</w:t>
      </w:r>
      <w:r w:rsidR="003E50A3" w:rsidRPr="00191442">
        <w:rPr>
          <w:sz w:val="22"/>
          <w:szCs w:val="22"/>
        </w:rPr>
        <w:t xml:space="preserve"> 5</w:t>
      </w:r>
    </w:p>
    <w:p w:rsidR="003E50A3" w:rsidRPr="00191442" w:rsidRDefault="00B534B5" w:rsidP="003E50A3">
      <w:pPr>
        <w:tabs>
          <w:tab w:val="left" w:pos="426"/>
        </w:tabs>
        <w:jc w:val="both"/>
        <w:rPr>
          <w:sz w:val="22"/>
          <w:szCs w:val="22"/>
        </w:rPr>
      </w:pPr>
      <w:r w:rsidRPr="00B534B5">
        <w:rPr>
          <w:sz w:val="22"/>
          <w:szCs w:val="22"/>
        </w:rPr>
        <w:t>791 08 Freiburg</w:t>
      </w:r>
    </w:p>
    <w:p w:rsidR="003E50A3" w:rsidRPr="00191442" w:rsidRDefault="00B534B5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B534B5">
        <w:rPr>
          <w:sz w:val="22"/>
          <w:szCs w:val="22"/>
        </w:rPr>
        <w:t xml:space="preserve">Nemecko </w:t>
      </w:r>
    </w:p>
    <w:p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3E50A3" w:rsidRPr="00191442" w:rsidRDefault="00B534B5" w:rsidP="003E50A3">
      <w:pPr>
        <w:ind w:right="-1"/>
        <w:jc w:val="both"/>
        <w:rPr>
          <w:caps/>
          <w:sz w:val="22"/>
          <w:szCs w:val="22"/>
        </w:rPr>
      </w:pPr>
      <w:r w:rsidRPr="00B534B5">
        <w:rPr>
          <w:b/>
          <w:caps/>
          <w:sz w:val="22"/>
          <w:szCs w:val="22"/>
        </w:rPr>
        <w:t>8. Registračné číslo</w:t>
      </w:r>
    </w:p>
    <w:p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3E50A3" w:rsidRPr="00191442" w:rsidRDefault="00B534B5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B534B5">
        <w:rPr>
          <w:sz w:val="22"/>
          <w:szCs w:val="22"/>
        </w:rPr>
        <w:t>Salofalk</w:t>
      </w:r>
      <w:r w:rsidRPr="00B534B5">
        <w:rPr>
          <w:sz w:val="22"/>
          <w:szCs w:val="22"/>
          <w:vertAlign w:val="superscript"/>
        </w:rPr>
        <w:t xml:space="preserve"> </w:t>
      </w:r>
      <w:r w:rsidRPr="00B534B5">
        <w:rPr>
          <w:sz w:val="22"/>
          <w:szCs w:val="22"/>
        </w:rPr>
        <w:t xml:space="preserve">2g/30g Klysmen: </w:t>
      </w:r>
      <w:r w:rsidRPr="00B534B5">
        <w:rPr>
          <w:snapToGrid w:val="0"/>
          <w:sz w:val="22"/>
          <w:szCs w:val="22"/>
          <w:lang w:eastAsia="cs-CZ"/>
        </w:rPr>
        <w:t>29/0179/92-CS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Salofalk</w:t>
      </w:r>
      <w:r w:rsidRPr="00B534B5">
        <w:rPr>
          <w:sz w:val="22"/>
          <w:szCs w:val="22"/>
          <w:vertAlign w:val="superscript"/>
        </w:rPr>
        <w:t xml:space="preserve"> </w:t>
      </w:r>
      <w:r w:rsidRPr="00B534B5">
        <w:rPr>
          <w:sz w:val="22"/>
          <w:szCs w:val="22"/>
        </w:rPr>
        <w:t>4g/60g Klysmen: 29/0229/13-S</w:t>
      </w:r>
    </w:p>
    <w:p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9. </w:t>
      </w:r>
      <w:r w:rsidRPr="00B534B5">
        <w:rPr>
          <w:b/>
          <w:caps/>
          <w:sz w:val="22"/>
          <w:szCs w:val="22"/>
        </w:rPr>
        <w:t>Dátum prvej registrácie / predĺženia registrácie</w:t>
      </w:r>
      <w:r w:rsidRPr="00B534B5">
        <w:rPr>
          <w:b/>
          <w:sz w:val="22"/>
          <w:szCs w:val="22"/>
        </w:rPr>
        <w:t xml:space="preserve"> </w:t>
      </w:r>
    </w:p>
    <w:p w:rsidR="003E50A3" w:rsidRPr="00191442" w:rsidRDefault="003E50A3" w:rsidP="003E50A3">
      <w:pPr>
        <w:tabs>
          <w:tab w:val="left" w:pos="426"/>
        </w:tabs>
        <w:jc w:val="both"/>
        <w:rPr>
          <w:sz w:val="22"/>
          <w:szCs w:val="22"/>
        </w:rPr>
      </w:pPr>
    </w:p>
    <w:p w:rsidR="003E50A3" w:rsidRPr="00191442" w:rsidRDefault="00B534B5" w:rsidP="003E50A3">
      <w:pPr>
        <w:rPr>
          <w:sz w:val="22"/>
          <w:szCs w:val="22"/>
        </w:rPr>
      </w:pPr>
      <w:r w:rsidRPr="00B534B5">
        <w:rPr>
          <w:sz w:val="22"/>
          <w:szCs w:val="22"/>
        </w:rPr>
        <w:t>Dátum prvej registrácie: 4. marca 1992</w:t>
      </w:r>
    </w:p>
    <w:p w:rsidR="003E50A3" w:rsidRPr="00191442" w:rsidRDefault="00B534B5" w:rsidP="003E50A3">
      <w:pPr>
        <w:rPr>
          <w:sz w:val="22"/>
          <w:szCs w:val="22"/>
        </w:rPr>
      </w:pPr>
      <w:r w:rsidRPr="00B534B5">
        <w:rPr>
          <w:sz w:val="22"/>
          <w:szCs w:val="22"/>
        </w:rPr>
        <w:t>Dátum posledného predĺženia: 20. decembra 2006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caps/>
          <w:sz w:val="22"/>
          <w:szCs w:val="22"/>
        </w:rPr>
      </w:pPr>
      <w:r w:rsidRPr="00B534B5">
        <w:rPr>
          <w:b/>
          <w:sz w:val="22"/>
          <w:szCs w:val="22"/>
        </w:rPr>
        <w:t xml:space="preserve">10. </w:t>
      </w:r>
      <w:r w:rsidRPr="00B534B5">
        <w:rPr>
          <w:b/>
          <w:caps/>
          <w:sz w:val="22"/>
          <w:szCs w:val="22"/>
        </w:rPr>
        <w:t>Dátum revízie textu</w:t>
      </w:r>
      <w:r w:rsidRPr="00B534B5">
        <w:rPr>
          <w:b/>
          <w:caps/>
          <w:sz w:val="22"/>
          <w:szCs w:val="22"/>
          <w:u w:val="single"/>
        </w:rPr>
        <w:t xml:space="preserve">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251D1" w:rsidP="003E50A3">
      <w:pPr>
        <w:ind w:right="-1"/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eastAsia="cs-CZ"/>
        </w:rPr>
        <w:t>11</w:t>
      </w:r>
      <w:r w:rsidR="00B534B5" w:rsidRPr="00B534B5">
        <w:rPr>
          <w:snapToGrid w:val="0"/>
          <w:sz w:val="22"/>
          <w:szCs w:val="22"/>
          <w:lang w:eastAsia="cs-CZ"/>
        </w:rPr>
        <w:t>/201</w:t>
      </w:r>
      <w:r w:rsidR="00CF74B9">
        <w:rPr>
          <w:snapToGrid w:val="0"/>
          <w:sz w:val="22"/>
          <w:szCs w:val="22"/>
          <w:lang w:eastAsia="cs-CZ"/>
        </w:rPr>
        <w:t>9</w:t>
      </w:r>
    </w:p>
    <w:p w:rsidR="003E50A3" w:rsidRPr="00464BFC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464BFC" w:rsidRDefault="003E50A3" w:rsidP="003E50A3">
      <w:pPr>
        <w:rPr>
          <w:sz w:val="22"/>
          <w:szCs w:val="22"/>
        </w:rPr>
      </w:pPr>
    </w:p>
    <w:sectPr w:rsidR="003E50A3" w:rsidRPr="00464BFC" w:rsidSect="00E6521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B1" w:rsidRDefault="00E042B1">
      <w:r>
        <w:separator/>
      </w:r>
    </w:p>
  </w:endnote>
  <w:endnote w:type="continuationSeparator" w:id="0">
    <w:p w:rsidR="00E042B1" w:rsidRDefault="00E0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FC" w:rsidRDefault="00B002D5" w:rsidP="008655A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64BF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64BFC" w:rsidRDefault="00464BFC" w:rsidP="00464BF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9782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64BFC" w:rsidRPr="00D900BE" w:rsidRDefault="003251D1" w:rsidP="00D900BE">
        <w:pPr>
          <w:pStyle w:val="Pta"/>
          <w:jc w:val="center"/>
          <w:rPr>
            <w:sz w:val="18"/>
            <w:szCs w:val="18"/>
          </w:rPr>
        </w:pPr>
        <w:r w:rsidRPr="00D900BE">
          <w:rPr>
            <w:sz w:val="18"/>
            <w:szCs w:val="18"/>
          </w:rPr>
          <w:fldChar w:fldCharType="begin"/>
        </w:r>
        <w:r w:rsidRPr="00D900BE">
          <w:rPr>
            <w:sz w:val="18"/>
            <w:szCs w:val="18"/>
          </w:rPr>
          <w:instrText>PAGE   \* MERGEFORMAT</w:instrText>
        </w:r>
        <w:r w:rsidRPr="00D900BE">
          <w:rPr>
            <w:sz w:val="18"/>
            <w:szCs w:val="18"/>
          </w:rPr>
          <w:fldChar w:fldCharType="separate"/>
        </w:r>
        <w:r w:rsidR="008A55E2">
          <w:rPr>
            <w:noProof/>
            <w:sz w:val="18"/>
            <w:szCs w:val="18"/>
          </w:rPr>
          <w:t>4</w:t>
        </w:r>
        <w:r w:rsidRPr="00D900BE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0469"/>
      <w:docPartObj>
        <w:docPartGallery w:val="Page Numbers (Bottom of Page)"/>
        <w:docPartUnique/>
      </w:docPartObj>
    </w:sdtPr>
    <w:sdtEndPr/>
    <w:sdtContent>
      <w:p w:rsidR="00191442" w:rsidRDefault="00B002D5">
        <w:pPr>
          <w:pStyle w:val="Pta"/>
          <w:jc w:val="right"/>
        </w:pPr>
        <w:r w:rsidRPr="00B534B5">
          <w:rPr>
            <w:sz w:val="18"/>
            <w:szCs w:val="18"/>
          </w:rPr>
          <w:fldChar w:fldCharType="begin"/>
        </w:r>
        <w:r w:rsidR="00B534B5" w:rsidRPr="00B534B5">
          <w:rPr>
            <w:sz w:val="18"/>
            <w:szCs w:val="18"/>
          </w:rPr>
          <w:instrText xml:space="preserve"> PAGE   \* MERGEFORMAT </w:instrText>
        </w:r>
        <w:r w:rsidRPr="00B534B5">
          <w:rPr>
            <w:sz w:val="18"/>
            <w:szCs w:val="18"/>
          </w:rPr>
          <w:fldChar w:fldCharType="separate"/>
        </w:r>
        <w:r w:rsidR="00E65211">
          <w:rPr>
            <w:noProof/>
            <w:sz w:val="18"/>
            <w:szCs w:val="18"/>
          </w:rPr>
          <w:t>1</w:t>
        </w:r>
        <w:r w:rsidRPr="00B534B5">
          <w:rPr>
            <w:sz w:val="18"/>
            <w:szCs w:val="18"/>
          </w:rPr>
          <w:fldChar w:fldCharType="end"/>
        </w:r>
      </w:p>
    </w:sdtContent>
  </w:sdt>
  <w:p w:rsidR="00191442" w:rsidRDefault="001914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B1" w:rsidRDefault="00E042B1">
      <w:r>
        <w:separator/>
      </w:r>
    </w:p>
  </w:footnote>
  <w:footnote w:type="continuationSeparator" w:id="0">
    <w:p w:rsidR="00E042B1" w:rsidRDefault="00E0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11" w:rsidRDefault="00E65211" w:rsidP="00E65211">
    <w:pPr>
      <w:pStyle w:val="Hlavika"/>
      <w:rPr>
        <w:sz w:val="18"/>
        <w:szCs w:val="18"/>
      </w:rPr>
    </w:pPr>
    <w:r w:rsidRPr="00464BFC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464BFC">
      <w:rPr>
        <w:sz w:val="18"/>
        <w:szCs w:val="18"/>
      </w:rPr>
      <w:t xml:space="preserve"> k notifikácii o zmene, ev. č.:</w:t>
    </w:r>
    <w:r>
      <w:rPr>
        <w:sz w:val="18"/>
        <w:szCs w:val="18"/>
      </w:rPr>
      <w:t xml:space="preserve"> </w:t>
    </w:r>
    <w:r w:rsidR="003251D1">
      <w:rPr>
        <w:sz w:val="18"/>
        <w:szCs w:val="18"/>
      </w:rPr>
      <w:t>2019</w:t>
    </w:r>
    <w:r>
      <w:rPr>
        <w:sz w:val="18"/>
        <w:szCs w:val="18"/>
      </w:rPr>
      <w:t>/</w:t>
    </w:r>
    <w:r w:rsidR="003251D1">
      <w:rPr>
        <w:sz w:val="18"/>
        <w:szCs w:val="18"/>
      </w:rPr>
      <w:t>05746</w:t>
    </w:r>
    <w:r>
      <w:rPr>
        <w:sz w:val="18"/>
        <w:szCs w:val="18"/>
      </w:rPr>
      <w:t>-</w:t>
    </w:r>
    <w:r w:rsidR="003251D1">
      <w:rPr>
        <w:sz w:val="18"/>
        <w:szCs w:val="18"/>
      </w:rPr>
      <w:t>Z1A</w:t>
    </w:r>
  </w:p>
  <w:p w:rsidR="00E65211" w:rsidRDefault="00E652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03" w:rsidRDefault="00665103">
    <w:pPr>
      <w:pStyle w:val="Hlavika"/>
      <w:rPr>
        <w:sz w:val="18"/>
        <w:szCs w:val="18"/>
      </w:rPr>
    </w:pPr>
  </w:p>
  <w:p w:rsidR="00B002D5" w:rsidRDefault="00B00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99C"/>
    <w:multiLevelType w:val="hybridMultilevel"/>
    <w:tmpl w:val="9F480B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 [2]">
    <w15:presenceInfo w15:providerId="AD" w15:userId="S::m.nadaska@ewopharmask.onmicrosoft.com::7dd7b05e-ca49-40dc-8dfd-fb0322873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A3"/>
    <w:rsid w:val="00006662"/>
    <w:rsid w:val="000067E0"/>
    <w:rsid w:val="00006C25"/>
    <w:rsid w:val="00007558"/>
    <w:rsid w:val="000124A9"/>
    <w:rsid w:val="00013039"/>
    <w:rsid w:val="00015DB6"/>
    <w:rsid w:val="000168F1"/>
    <w:rsid w:val="00016942"/>
    <w:rsid w:val="00017783"/>
    <w:rsid w:val="00022946"/>
    <w:rsid w:val="00031844"/>
    <w:rsid w:val="00031F0B"/>
    <w:rsid w:val="000373F6"/>
    <w:rsid w:val="000402EC"/>
    <w:rsid w:val="00040480"/>
    <w:rsid w:val="00047030"/>
    <w:rsid w:val="00051501"/>
    <w:rsid w:val="00062022"/>
    <w:rsid w:val="0006467E"/>
    <w:rsid w:val="0006593A"/>
    <w:rsid w:val="00066E94"/>
    <w:rsid w:val="00070675"/>
    <w:rsid w:val="00075D8F"/>
    <w:rsid w:val="000766A2"/>
    <w:rsid w:val="00077239"/>
    <w:rsid w:val="00077661"/>
    <w:rsid w:val="000810F7"/>
    <w:rsid w:val="0008157F"/>
    <w:rsid w:val="000819D1"/>
    <w:rsid w:val="000852B9"/>
    <w:rsid w:val="00092792"/>
    <w:rsid w:val="0009435F"/>
    <w:rsid w:val="000A31FB"/>
    <w:rsid w:val="000A53F3"/>
    <w:rsid w:val="000A79E3"/>
    <w:rsid w:val="000B08E6"/>
    <w:rsid w:val="000B2086"/>
    <w:rsid w:val="000B2EC6"/>
    <w:rsid w:val="000B6DC6"/>
    <w:rsid w:val="000B6E78"/>
    <w:rsid w:val="000B7C09"/>
    <w:rsid w:val="000C0438"/>
    <w:rsid w:val="000C206E"/>
    <w:rsid w:val="000C3C58"/>
    <w:rsid w:val="000C5EE6"/>
    <w:rsid w:val="000C78AA"/>
    <w:rsid w:val="000D02D0"/>
    <w:rsid w:val="000D2F4F"/>
    <w:rsid w:val="000D3653"/>
    <w:rsid w:val="000D61E5"/>
    <w:rsid w:val="000E37A5"/>
    <w:rsid w:val="000E3FA3"/>
    <w:rsid w:val="000E498A"/>
    <w:rsid w:val="000F1C0E"/>
    <w:rsid w:val="000F2D72"/>
    <w:rsid w:val="000F3EB2"/>
    <w:rsid w:val="000F5DDF"/>
    <w:rsid w:val="00104339"/>
    <w:rsid w:val="00113709"/>
    <w:rsid w:val="00113BB2"/>
    <w:rsid w:val="00121E03"/>
    <w:rsid w:val="00124519"/>
    <w:rsid w:val="00124699"/>
    <w:rsid w:val="00124EB6"/>
    <w:rsid w:val="001264B6"/>
    <w:rsid w:val="001279C7"/>
    <w:rsid w:val="00127EF6"/>
    <w:rsid w:val="0013153D"/>
    <w:rsid w:val="001324BA"/>
    <w:rsid w:val="00132E9C"/>
    <w:rsid w:val="00133074"/>
    <w:rsid w:val="00140F73"/>
    <w:rsid w:val="0014194E"/>
    <w:rsid w:val="00142972"/>
    <w:rsid w:val="00143A92"/>
    <w:rsid w:val="001457C1"/>
    <w:rsid w:val="00145B43"/>
    <w:rsid w:val="00147FD8"/>
    <w:rsid w:val="00150AF0"/>
    <w:rsid w:val="001513F0"/>
    <w:rsid w:val="001568DB"/>
    <w:rsid w:val="00157C2C"/>
    <w:rsid w:val="00160ED9"/>
    <w:rsid w:val="00161244"/>
    <w:rsid w:val="00177EBF"/>
    <w:rsid w:val="00180B41"/>
    <w:rsid w:val="00186043"/>
    <w:rsid w:val="001903D4"/>
    <w:rsid w:val="00190D6D"/>
    <w:rsid w:val="00191442"/>
    <w:rsid w:val="00191AC8"/>
    <w:rsid w:val="001A3E74"/>
    <w:rsid w:val="001A699A"/>
    <w:rsid w:val="001A7BAE"/>
    <w:rsid w:val="001B106A"/>
    <w:rsid w:val="001B489F"/>
    <w:rsid w:val="001B4E83"/>
    <w:rsid w:val="001B60C5"/>
    <w:rsid w:val="001C30F4"/>
    <w:rsid w:val="001C57C4"/>
    <w:rsid w:val="001D01FE"/>
    <w:rsid w:val="001D18CD"/>
    <w:rsid w:val="001D563A"/>
    <w:rsid w:val="001D68CF"/>
    <w:rsid w:val="001E17F3"/>
    <w:rsid w:val="001E4F1F"/>
    <w:rsid w:val="001E6107"/>
    <w:rsid w:val="001E6152"/>
    <w:rsid w:val="001E6CE1"/>
    <w:rsid w:val="001F128B"/>
    <w:rsid w:val="001F4D2C"/>
    <w:rsid w:val="001F6D6F"/>
    <w:rsid w:val="001F7305"/>
    <w:rsid w:val="00200203"/>
    <w:rsid w:val="0020306E"/>
    <w:rsid w:val="00205291"/>
    <w:rsid w:val="00205D5D"/>
    <w:rsid w:val="00213605"/>
    <w:rsid w:val="0021538F"/>
    <w:rsid w:val="0021554C"/>
    <w:rsid w:val="00225FAD"/>
    <w:rsid w:val="00234629"/>
    <w:rsid w:val="002379DB"/>
    <w:rsid w:val="00240B12"/>
    <w:rsid w:val="0024238E"/>
    <w:rsid w:val="00247D26"/>
    <w:rsid w:val="00252CD5"/>
    <w:rsid w:val="002600AA"/>
    <w:rsid w:val="002609FD"/>
    <w:rsid w:val="00260CE0"/>
    <w:rsid w:val="002610C4"/>
    <w:rsid w:val="00261190"/>
    <w:rsid w:val="00262D29"/>
    <w:rsid w:val="002646C8"/>
    <w:rsid w:val="00270743"/>
    <w:rsid w:val="002853C9"/>
    <w:rsid w:val="002863D8"/>
    <w:rsid w:val="00295148"/>
    <w:rsid w:val="00296B23"/>
    <w:rsid w:val="002A3AE6"/>
    <w:rsid w:val="002A7D52"/>
    <w:rsid w:val="002B14C9"/>
    <w:rsid w:val="002B24F3"/>
    <w:rsid w:val="002B27CD"/>
    <w:rsid w:val="002B4DA8"/>
    <w:rsid w:val="002B6A2E"/>
    <w:rsid w:val="002C5C44"/>
    <w:rsid w:val="002D14E0"/>
    <w:rsid w:val="002D2FDD"/>
    <w:rsid w:val="002D4F03"/>
    <w:rsid w:val="002D6558"/>
    <w:rsid w:val="002D7708"/>
    <w:rsid w:val="002D7F2E"/>
    <w:rsid w:val="002E57F6"/>
    <w:rsid w:val="002F0AF0"/>
    <w:rsid w:val="002F3E38"/>
    <w:rsid w:val="002F4461"/>
    <w:rsid w:val="002F596E"/>
    <w:rsid w:val="002F5F26"/>
    <w:rsid w:val="002F664A"/>
    <w:rsid w:val="002F7532"/>
    <w:rsid w:val="00301C4B"/>
    <w:rsid w:val="00302F93"/>
    <w:rsid w:val="0030401C"/>
    <w:rsid w:val="00306976"/>
    <w:rsid w:val="00310088"/>
    <w:rsid w:val="00314249"/>
    <w:rsid w:val="00315ACC"/>
    <w:rsid w:val="00320143"/>
    <w:rsid w:val="003237BD"/>
    <w:rsid w:val="003251D1"/>
    <w:rsid w:val="00326C98"/>
    <w:rsid w:val="0033069E"/>
    <w:rsid w:val="003308C4"/>
    <w:rsid w:val="00331259"/>
    <w:rsid w:val="00333CF8"/>
    <w:rsid w:val="003362CA"/>
    <w:rsid w:val="003379AA"/>
    <w:rsid w:val="00342BE3"/>
    <w:rsid w:val="00342D19"/>
    <w:rsid w:val="00342E2C"/>
    <w:rsid w:val="0035263A"/>
    <w:rsid w:val="0036442F"/>
    <w:rsid w:val="003659DB"/>
    <w:rsid w:val="00370CEF"/>
    <w:rsid w:val="003734D1"/>
    <w:rsid w:val="00373CFF"/>
    <w:rsid w:val="003750C1"/>
    <w:rsid w:val="00376523"/>
    <w:rsid w:val="0037662C"/>
    <w:rsid w:val="00384C72"/>
    <w:rsid w:val="00386664"/>
    <w:rsid w:val="00386C29"/>
    <w:rsid w:val="0038721F"/>
    <w:rsid w:val="00390E97"/>
    <w:rsid w:val="00395A08"/>
    <w:rsid w:val="00397108"/>
    <w:rsid w:val="00397CC2"/>
    <w:rsid w:val="003A0EE2"/>
    <w:rsid w:val="003B1D84"/>
    <w:rsid w:val="003B400D"/>
    <w:rsid w:val="003B4AB1"/>
    <w:rsid w:val="003B5572"/>
    <w:rsid w:val="003B7406"/>
    <w:rsid w:val="003C043D"/>
    <w:rsid w:val="003C5918"/>
    <w:rsid w:val="003C67E7"/>
    <w:rsid w:val="003D394E"/>
    <w:rsid w:val="003D6A5C"/>
    <w:rsid w:val="003E01DE"/>
    <w:rsid w:val="003E29F7"/>
    <w:rsid w:val="003E2A7C"/>
    <w:rsid w:val="003E50A3"/>
    <w:rsid w:val="003E5185"/>
    <w:rsid w:val="003E64C2"/>
    <w:rsid w:val="003E7E4D"/>
    <w:rsid w:val="003F1EC2"/>
    <w:rsid w:val="003F435D"/>
    <w:rsid w:val="003F4FC6"/>
    <w:rsid w:val="003F5401"/>
    <w:rsid w:val="003F547B"/>
    <w:rsid w:val="003F6EEB"/>
    <w:rsid w:val="00406001"/>
    <w:rsid w:val="0041258D"/>
    <w:rsid w:val="00413460"/>
    <w:rsid w:val="00415919"/>
    <w:rsid w:val="00423D93"/>
    <w:rsid w:val="00423FA8"/>
    <w:rsid w:val="004241C4"/>
    <w:rsid w:val="00427504"/>
    <w:rsid w:val="00430A77"/>
    <w:rsid w:val="00432436"/>
    <w:rsid w:val="00433BDE"/>
    <w:rsid w:val="00434D8A"/>
    <w:rsid w:val="0043684E"/>
    <w:rsid w:val="004371B0"/>
    <w:rsid w:val="00437DD9"/>
    <w:rsid w:val="00440D2F"/>
    <w:rsid w:val="00441707"/>
    <w:rsid w:val="00441C40"/>
    <w:rsid w:val="00443F01"/>
    <w:rsid w:val="0044521C"/>
    <w:rsid w:val="00451039"/>
    <w:rsid w:val="00452478"/>
    <w:rsid w:val="004614A3"/>
    <w:rsid w:val="0046288F"/>
    <w:rsid w:val="00464BFC"/>
    <w:rsid w:val="0046694A"/>
    <w:rsid w:val="00471490"/>
    <w:rsid w:val="004717B2"/>
    <w:rsid w:val="00472580"/>
    <w:rsid w:val="0047405F"/>
    <w:rsid w:val="00477060"/>
    <w:rsid w:val="00480059"/>
    <w:rsid w:val="004848BD"/>
    <w:rsid w:val="00487F36"/>
    <w:rsid w:val="00497C05"/>
    <w:rsid w:val="004A03E6"/>
    <w:rsid w:val="004A3B31"/>
    <w:rsid w:val="004A4045"/>
    <w:rsid w:val="004A681A"/>
    <w:rsid w:val="004A6D92"/>
    <w:rsid w:val="004A6F8F"/>
    <w:rsid w:val="004A782C"/>
    <w:rsid w:val="004B054B"/>
    <w:rsid w:val="004B2512"/>
    <w:rsid w:val="004B3B3E"/>
    <w:rsid w:val="004C2472"/>
    <w:rsid w:val="004C2B64"/>
    <w:rsid w:val="004C65F6"/>
    <w:rsid w:val="004C696C"/>
    <w:rsid w:val="004C6A04"/>
    <w:rsid w:val="004C6EB5"/>
    <w:rsid w:val="004D1ADC"/>
    <w:rsid w:val="004D1F6A"/>
    <w:rsid w:val="004D2A71"/>
    <w:rsid w:val="004D3237"/>
    <w:rsid w:val="004D62C7"/>
    <w:rsid w:val="004E203D"/>
    <w:rsid w:val="004F21A6"/>
    <w:rsid w:val="00500F94"/>
    <w:rsid w:val="00500FC7"/>
    <w:rsid w:val="005019EC"/>
    <w:rsid w:val="005043F0"/>
    <w:rsid w:val="0050669D"/>
    <w:rsid w:val="00510597"/>
    <w:rsid w:val="00510871"/>
    <w:rsid w:val="005123B7"/>
    <w:rsid w:val="00512D05"/>
    <w:rsid w:val="00526E25"/>
    <w:rsid w:val="00526FB4"/>
    <w:rsid w:val="00527736"/>
    <w:rsid w:val="00532A7E"/>
    <w:rsid w:val="00535DE6"/>
    <w:rsid w:val="005428CC"/>
    <w:rsid w:val="00544587"/>
    <w:rsid w:val="005467CE"/>
    <w:rsid w:val="00547917"/>
    <w:rsid w:val="00551738"/>
    <w:rsid w:val="005533D4"/>
    <w:rsid w:val="00554AE0"/>
    <w:rsid w:val="00554E80"/>
    <w:rsid w:val="00555429"/>
    <w:rsid w:val="00555C10"/>
    <w:rsid w:val="00557020"/>
    <w:rsid w:val="005578FF"/>
    <w:rsid w:val="00557C05"/>
    <w:rsid w:val="0056029E"/>
    <w:rsid w:val="00560DF3"/>
    <w:rsid w:val="005613DF"/>
    <w:rsid w:val="0056475A"/>
    <w:rsid w:val="0057233F"/>
    <w:rsid w:val="005728C9"/>
    <w:rsid w:val="00572EB2"/>
    <w:rsid w:val="005749E6"/>
    <w:rsid w:val="00574DF8"/>
    <w:rsid w:val="00574FAA"/>
    <w:rsid w:val="005768A7"/>
    <w:rsid w:val="0058112C"/>
    <w:rsid w:val="005818CD"/>
    <w:rsid w:val="005832E6"/>
    <w:rsid w:val="0059103C"/>
    <w:rsid w:val="00593AFC"/>
    <w:rsid w:val="00594E72"/>
    <w:rsid w:val="00595A6C"/>
    <w:rsid w:val="00595B16"/>
    <w:rsid w:val="00597594"/>
    <w:rsid w:val="00597AA7"/>
    <w:rsid w:val="005A3BA2"/>
    <w:rsid w:val="005A4DCB"/>
    <w:rsid w:val="005B1564"/>
    <w:rsid w:val="005B6640"/>
    <w:rsid w:val="005D5C87"/>
    <w:rsid w:val="005D744E"/>
    <w:rsid w:val="005E02FF"/>
    <w:rsid w:val="005E4123"/>
    <w:rsid w:val="005E4302"/>
    <w:rsid w:val="005E44EB"/>
    <w:rsid w:val="005E5113"/>
    <w:rsid w:val="005E5532"/>
    <w:rsid w:val="005F031B"/>
    <w:rsid w:val="005F0C54"/>
    <w:rsid w:val="005F0EAE"/>
    <w:rsid w:val="005F2D64"/>
    <w:rsid w:val="005F37B0"/>
    <w:rsid w:val="005F4DAE"/>
    <w:rsid w:val="005F5402"/>
    <w:rsid w:val="005F5FFB"/>
    <w:rsid w:val="005F7FCD"/>
    <w:rsid w:val="00600010"/>
    <w:rsid w:val="006019A4"/>
    <w:rsid w:val="006043D9"/>
    <w:rsid w:val="00611FB0"/>
    <w:rsid w:val="00612904"/>
    <w:rsid w:val="0061494F"/>
    <w:rsid w:val="0062013D"/>
    <w:rsid w:val="0062274B"/>
    <w:rsid w:val="00630731"/>
    <w:rsid w:val="0063198B"/>
    <w:rsid w:val="006403A3"/>
    <w:rsid w:val="00643E43"/>
    <w:rsid w:val="0064448F"/>
    <w:rsid w:val="00644D44"/>
    <w:rsid w:val="00645321"/>
    <w:rsid w:val="006467D3"/>
    <w:rsid w:val="006551A8"/>
    <w:rsid w:val="00657F73"/>
    <w:rsid w:val="0066361E"/>
    <w:rsid w:val="0066477A"/>
    <w:rsid w:val="006647D7"/>
    <w:rsid w:val="0066503D"/>
    <w:rsid w:val="00665103"/>
    <w:rsid w:val="00672174"/>
    <w:rsid w:val="00673EA0"/>
    <w:rsid w:val="00677C07"/>
    <w:rsid w:val="00680DBC"/>
    <w:rsid w:val="0068336F"/>
    <w:rsid w:val="00691C98"/>
    <w:rsid w:val="00694321"/>
    <w:rsid w:val="00695569"/>
    <w:rsid w:val="00696ADE"/>
    <w:rsid w:val="00697E35"/>
    <w:rsid w:val="006A064F"/>
    <w:rsid w:val="006A5E47"/>
    <w:rsid w:val="006A6C12"/>
    <w:rsid w:val="006B17BE"/>
    <w:rsid w:val="006B2905"/>
    <w:rsid w:val="006B407B"/>
    <w:rsid w:val="006B4D51"/>
    <w:rsid w:val="006B677F"/>
    <w:rsid w:val="006C0CFC"/>
    <w:rsid w:val="006C3793"/>
    <w:rsid w:val="006C757C"/>
    <w:rsid w:val="006C7A38"/>
    <w:rsid w:val="006D2812"/>
    <w:rsid w:val="006D3233"/>
    <w:rsid w:val="006D3457"/>
    <w:rsid w:val="006D3C05"/>
    <w:rsid w:val="006D4186"/>
    <w:rsid w:val="006D425A"/>
    <w:rsid w:val="006E23C4"/>
    <w:rsid w:val="006E2E47"/>
    <w:rsid w:val="006E5ADC"/>
    <w:rsid w:val="006F3E82"/>
    <w:rsid w:val="00700B7C"/>
    <w:rsid w:val="0070560E"/>
    <w:rsid w:val="00712769"/>
    <w:rsid w:val="00712C2E"/>
    <w:rsid w:val="0071492D"/>
    <w:rsid w:val="00721306"/>
    <w:rsid w:val="00721EF4"/>
    <w:rsid w:val="00723FE5"/>
    <w:rsid w:val="00726A1E"/>
    <w:rsid w:val="007274D2"/>
    <w:rsid w:val="007328C1"/>
    <w:rsid w:val="0073661B"/>
    <w:rsid w:val="0073790B"/>
    <w:rsid w:val="00740913"/>
    <w:rsid w:val="00740F29"/>
    <w:rsid w:val="00741160"/>
    <w:rsid w:val="0074140D"/>
    <w:rsid w:val="0074356B"/>
    <w:rsid w:val="00745AD2"/>
    <w:rsid w:val="00756369"/>
    <w:rsid w:val="00760510"/>
    <w:rsid w:val="0076691B"/>
    <w:rsid w:val="00766DE6"/>
    <w:rsid w:val="00770074"/>
    <w:rsid w:val="0077212C"/>
    <w:rsid w:val="00772F31"/>
    <w:rsid w:val="00774272"/>
    <w:rsid w:val="00777C47"/>
    <w:rsid w:val="007830B8"/>
    <w:rsid w:val="00783308"/>
    <w:rsid w:val="00785996"/>
    <w:rsid w:val="00787A16"/>
    <w:rsid w:val="00791964"/>
    <w:rsid w:val="0079462E"/>
    <w:rsid w:val="007A1C1F"/>
    <w:rsid w:val="007A4C02"/>
    <w:rsid w:val="007A729B"/>
    <w:rsid w:val="007A7D4A"/>
    <w:rsid w:val="007B122A"/>
    <w:rsid w:val="007B314B"/>
    <w:rsid w:val="007C09BD"/>
    <w:rsid w:val="007C5164"/>
    <w:rsid w:val="007C7BEA"/>
    <w:rsid w:val="007D3B82"/>
    <w:rsid w:val="007D671E"/>
    <w:rsid w:val="007D676A"/>
    <w:rsid w:val="007D7547"/>
    <w:rsid w:val="007E2CC1"/>
    <w:rsid w:val="007E44B6"/>
    <w:rsid w:val="007E4E5A"/>
    <w:rsid w:val="007E7895"/>
    <w:rsid w:val="007F4341"/>
    <w:rsid w:val="007F5B4C"/>
    <w:rsid w:val="008007D7"/>
    <w:rsid w:val="00803695"/>
    <w:rsid w:val="00805566"/>
    <w:rsid w:val="00811C2D"/>
    <w:rsid w:val="00814DB6"/>
    <w:rsid w:val="00822521"/>
    <w:rsid w:val="00831C13"/>
    <w:rsid w:val="008362F0"/>
    <w:rsid w:val="00836DB8"/>
    <w:rsid w:val="00841412"/>
    <w:rsid w:val="008419FC"/>
    <w:rsid w:val="00841F04"/>
    <w:rsid w:val="0084386C"/>
    <w:rsid w:val="00843D76"/>
    <w:rsid w:val="00843D79"/>
    <w:rsid w:val="0084693D"/>
    <w:rsid w:val="00847E21"/>
    <w:rsid w:val="008552FF"/>
    <w:rsid w:val="00857D3B"/>
    <w:rsid w:val="00857FE7"/>
    <w:rsid w:val="00862B44"/>
    <w:rsid w:val="008655A6"/>
    <w:rsid w:val="00866585"/>
    <w:rsid w:val="00867225"/>
    <w:rsid w:val="00867E4E"/>
    <w:rsid w:val="0087647D"/>
    <w:rsid w:val="0087758D"/>
    <w:rsid w:val="008822CD"/>
    <w:rsid w:val="008826B0"/>
    <w:rsid w:val="0088504C"/>
    <w:rsid w:val="00886D69"/>
    <w:rsid w:val="0088729C"/>
    <w:rsid w:val="008955A5"/>
    <w:rsid w:val="00896334"/>
    <w:rsid w:val="008A08F9"/>
    <w:rsid w:val="008A0B5F"/>
    <w:rsid w:val="008A0DFA"/>
    <w:rsid w:val="008A3A98"/>
    <w:rsid w:val="008A55E2"/>
    <w:rsid w:val="008A5FC9"/>
    <w:rsid w:val="008A68F0"/>
    <w:rsid w:val="008A7DB8"/>
    <w:rsid w:val="008B2B06"/>
    <w:rsid w:val="008B4897"/>
    <w:rsid w:val="008B664F"/>
    <w:rsid w:val="008C4C78"/>
    <w:rsid w:val="008E3E6E"/>
    <w:rsid w:val="008E50D8"/>
    <w:rsid w:val="008E6DB2"/>
    <w:rsid w:val="008E7A15"/>
    <w:rsid w:val="008F035B"/>
    <w:rsid w:val="008F2EB2"/>
    <w:rsid w:val="008F3914"/>
    <w:rsid w:val="008F57D6"/>
    <w:rsid w:val="00900644"/>
    <w:rsid w:val="00900964"/>
    <w:rsid w:val="009009E5"/>
    <w:rsid w:val="009016DD"/>
    <w:rsid w:val="00904083"/>
    <w:rsid w:val="0091065E"/>
    <w:rsid w:val="00910A80"/>
    <w:rsid w:val="009144B7"/>
    <w:rsid w:val="0091565A"/>
    <w:rsid w:val="0091579C"/>
    <w:rsid w:val="009175C3"/>
    <w:rsid w:val="0092195E"/>
    <w:rsid w:val="00922D0B"/>
    <w:rsid w:val="00922EC4"/>
    <w:rsid w:val="00923FCC"/>
    <w:rsid w:val="00924776"/>
    <w:rsid w:val="00924D7F"/>
    <w:rsid w:val="009317CA"/>
    <w:rsid w:val="00932B6D"/>
    <w:rsid w:val="0093538E"/>
    <w:rsid w:val="009374EC"/>
    <w:rsid w:val="00942EB2"/>
    <w:rsid w:val="009444C8"/>
    <w:rsid w:val="0094582B"/>
    <w:rsid w:val="00952FDC"/>
    <w:rsid w:val="0095368A"/>
    <w:rsid w:val="00955855"/>
    <w:rsid w:val="009562AD"/>
    <w:rsid w:val="00960202"/>
    <w:rsid w:val="0096175F"/>
    <w:rsid w:val="0096536D"/>
    <w:rsid w:val="00966150"/>
    <w:rsid w:val="00967828"/>
    <w:rsid w:val="009712AF"/>
    <w:rsid w:val="009717DF"/>
    <w:rsid w:val="0097414E"/>
    <w:rsid w:val="00976131"/>
    <w:rsid w:val="009813AC"/>
    <w:rsid w:val="00981473"/>
    <w:rsid w:val="009865FA"/>
    <w:rsid w:val="009874EE"/>
    <w:rsid w:val="0098779B"/>
    <w:rsid w:val="0099176A"/>
    <w:rsid w:val="009917C9"/>
    <w:rsid w:val="009920B6"/>
    <w:rsid w:val="0099567A"/>
    <w:rsid w:val="009957AA"/>
    <w:rsid w:val="00995A1B"/>
    <w:rsid w:val="00997D07"/>
    <w:rsid w:val="009A2634"/>
    <w:rsid w:val="009A53CC"/>
    <w:rsid w:val="009A5D19"/>
    <w:rsid w:val="009B0138"/>
    <w:rsid w:val="009B2CEB"/>
    <w:rsid w:val="009B5F5D"/>
    <w:rsid w:val="009C0C84"/>
    <w:rsid w:val="009C16F7"/>
    <w:rsid w:val="009C17CA"/>
    <w:rsid w:val="009C540E"/>
    <w:rsid w:val="009D5D21"/>
    <w:rsid w:val="009D60AD"/>
    <w:rsid w:val="009D6123"/>
    <w:rsid w:val="009D6DB5"/>
    <w:rsid w:val="009E021C"/>
    <w:rsid w:val="009E2A69"/>
    <w:rsid w:val="009E527D"/>
    <w:rsid w:val="009E680B"/>
    <w:rsid w:val="009F2419"/>
    <w:rsid w:val="009F3968"/>
    <w:rsid w:val="009F4001"/>
    <w:rsid w:val="009F63E5"/>
    <w:rsid w:val="009F67E4"/>
    <w:rsid w:val="009F686B"/>
    <w:rsid w:val="00A031EA"/>
    <w:rsid w:val="00A03A4A"/>
    <w:rsid w:val="00A06F7C"/>
    <w:rsid w:val="00A07ACA"/>
    <w:rsid w:val="00A10D0D"/>
    <w:rsid w:val="00A1347B"/>
    <w:rsid w:val="00A17D8E"/>
    <w:rsid w:val="00A22B2A"/>
    <w:rsid w:val="00A24EB2"/>
    <w:rsid w:val="00A27E68"/>
    <w:rsid w:val="00A301BD"/>
    <w:rsid w:val="00A320D6"/>
    <w:rsid w:val="00A32E38"/>
    <w:rsid w:val="00A33DEA"/>
    <w:rsid w:val="00A35D40"/>
    <w:rsid w:val="00A363F1"/>
    <w:rsid w:val="00A3645F"/>
    <w:rsid w:val="00A404B4"/>
    <w:rsid w:val="00A40A67"/>
    <w:rsid w:val="00A412F7"/>
    <w:rsid w:val="00A42657"/>
    <w:rsid w:val="00A44C16"/>
    <w:rsid w:val="00A463FC"/>
    <w:rsid w:val="00A502D8"/>
    <w:rsid w:val="00A51DFD"/>
    <w:rsid w:val="00A637DF"/>
    <w:rsid w:val="00A64359"/>
    <w:rsid w:val="00A668AF"/>
    <w:rsid w:val="00A6757B"/>
    <w:rsid w:val="00A67CFE"/>
    <w:rsid w:val="00A70758"/>
    <w:rsid w:val="00A7495E"/>
    <w:rsid w:val="00A76726"/>
    <w:rsid w:val="00A8131D"/>
    <w:rsid w:val="00A82AD8"/>
    <w:rsid w:val="00A840E5"/>
    <w:rsid w:val="00A85C14"/>
    <w:rsid w:val="00A86309"/>
    <w:rsid w:val="00A871AB"/>
    <w:rsid w:val="00A90472"/>
    <w:rsid w:val="00A905A4"/>
    <w:rsid w:val="00A96F55"/>
    <w:rsid w:val="00AA09CB"/>
    <w:rsid w:val="00AA14D2"/>
    <w:rsid w:val="00AA178D"/>
    <w:rsid w:val="00AA4DB3"/>
    <w:rsid w:val="00AA583F"/>
    <w:rsid w:val="00AA7EE6"/>
    <w:rsid w:val="00AB4474"/>
    <w:rsid w:val="00AB485B"/>
    <w:rsid w:val="00AB5B8A"/>
    <w:rsid w:val="00AB6F61"/>
    <w:rsid w:val="00AC616D"/>
    <w:rsid w:val="00AD0EDC"/>
    <w:rsid w:val="00AD1E0F"/>
    <w:rsid w:val="00AD50FA"/>
    <w:rsid w:val="00AD693E"/>
    <w:rsid w:val="00AE1953"/>
    <w:rsid w:val="00AE4340"/>
    <w:rsid w:val="00AF21D0"/>
    <w:rsid w:val="00AF4CE3"/>
    <w:rsid w:val="00AF4F66"/>
    <w:rsid w:val="00AF69E4"/>
    <w:rsid w:val="00AF6C30"/>
    <w:rsid w:val="00B002D5"/>
    <w:rsid w:val="00B0253F"/>
    <w:rsid w:val="00B055D4"/>
    <w:rsid w:val="00B07C8C"/>
    <w:rsid w:val="00B07D0D"/>
    <w:rsid w:val="00B1058F"/>
    <w:rsid w:val="00B119AE"/>
    <w:rsid w:val="00B12C43"/>
    <w:rsid w:val="00B12DE9"/>
    <w:rsid w:val="00B13687"/>
    <w:rsid w:val="00B13D80"/>
    <w:rsid w:val="00B14C8F"/>
    <w:rsid w:val="00B2123D"/>
    <w:rsid w:val="00B24FB6"/>
    <w:rsid w:val="00B25450"/>
    <w:rsid w:val="00B279BB"/>
    <w:rsid w:val="00B34916"/>
    <w:rsid w:val="00B36192"/>
    <w:rsid w:val="00B40818"/>
    <w:rsid w:val="00B41D12"/>
    <w:rsid w:val="00B464F9"/>
    <w:rsid w:val="00B52668"/>
    <w:rsid w:val="00B530AC"/>
    <w:rsid w:val="00B534B5"/>
    <w:rsid w:val="00B55EC9"/>
    <w:rsid w:val="00B6001A"/>
    <w:rsid w:val="00B60A5B"/>
    <w:rsid w:val="00B620B1"/>
    <w:rsid w:val="00B64CA7"/>
    <w:rsid w:val="00B66D20"/>
    <w:rsid w:val="00B73BE9"/>
    <w:rsid w:val="00B77778"/>
    <w:rsid w:val="00B80D09"/>
    <w:rsid w:val="00B80E19"/>
    <w:rsid w:val="00B83185"/>
    <w:rsid w:val="00B85FC7"/>
    <w:rsid w:val="00B90F28"/>
    <w:rsid w:val="00B90F5B"/>
    <w:rsid w:val="00B97667"/>
    <w:rsid w:val="00BA03DF"/>
    <w:rsid w:val="00BA1864"/>
    <w:rsid w:val="00BA18F9"/>
    <w:rsid w:val="00BA2066"/>
    <w:rsid w:val="00BA2252"/>
    <w:rsid w:val="00BA6688"/>
    <w:rsid w:val="00BB01B3"/>
    <w:rsid w:val="00BB3E2A"/>
    <w:rsid w:val="00BB66FA"/>
    <w:rsid w:val="00BB7BA9"/>
    <w:rsid w:val="00BC6607"/>
    <w:rsid w:val="00BD4546"/>
    <w:rsid w:val="00BE13A1"/>
    <w:rsid w:val="00BE1934"/>
    <w:rsid w:val="00BE5DAB"/>
    <w:rsid w:val="00BE6065"/>
    <w:rsid w:val="00BE6A37"/>
    <w:rsid w:val="00BF1EA4"/>
    <w:rsid w:val="00BF25A9"/>
    <w:rsid w:val="00BF411E"/>
    <w:rsid w:val="00C10A50"/>
    <w:rsid w:val="00C12AAD"/>
    <w:rsid w:val="00C15BEE"/>
    <w:rsid w:val="00C162EF"/>
    <w:rsid w:val="00C20BA4"/>
    <w:rsid w:val="00C23F75"/>
    <w:rsid w:val="00C24A51"/>
    <w:rsid w:val="00C25CF5"/>
    <w:rsid w:val="00C31985"/>
    <w:rsid w:val="00C3271F"/>
    <w:rsid w:val="00C364E2"/>
    <w:rsid w:val="00C36F20"/>
    <w:rsid w:val="00C37830"/>
    <w:rsid w:val="00C37E60"/>
    <w:rsid w:val="00C40365"/>
    <w:rsid w:val="00C403BC"/>
    <w:rsid w:val="00C4403C"/>
    <w:rsid w:val="00C46703"/>
    <w:rsid w:val="00C53BE5"/>
    <w:rsid w:val="00C60876"/>
    <w:rsid w:val="00C62A79"/>
    <w:rsid w:val="00C633B3"/>
    <w:rsid w:val="00C667C2"/>
    <w:rsid w:val="00C72E4A"/>
    <w:rsid w:val="00C76004"/>
    <w:rsid w:val="00C85885"/>
    <w:rsid w:val="00C86AE3"/>
    <w:rsid w:val="00C916C8"/>
    <w:rsid w:val="00CA2681"/>
    <w:rsid w:val="00CA2DBC"/>
    <w:rsid w:val="00CA7881"/>
    <w:rsid w:val="00CA7D6B"/>
    <w:rsid w:val="00CB070F"/>
    <w:rsid w:val="00CB2265"/>
    <w:rsid w:val="00CB2AF3"/>
    <w:rsid w:val="00CB3177"/>
    <w:rsid w:val="00CB63DB"/>
    <w:rsid w:val="00CC151A"/>
    <w:rsid w:val="00CC28AA"/>
    <w:rsid w:val="00CC4857"/>
    <w:rsid w:val="00CC56CE"/>
    <w:rsid w:val="00CC5EDB"/>
    <w:rsid w:val="00CC754F"/>
    <w:rsid w:val="00CD164E"/>
    <w:rsid w:val="00CD1E68"/>
    <w:rsid w:val="00CD598D"/>
    <w:rsid w:val="00CD654E"/>
    <w:rsid w:val="00CE00F1"/>
    <w:rsid w:val="00CE22B4"/>
    <w:rsid w:val="00CE39F4"/>
    <w:rsid w:val="00CE6FB4"/>
    <w:rsid w:val="00CF229C"/>
    <w:rsid w:val="00CF74B9"/>
    <w:rsid w:val="00CF792B"/>
    <w:rsid w:val="00D00EB7"/>
    <w:rsid w:val="00D037B8"/>
    <w:rsid w:val="00D05A3F"/>
    <w:rsid w:val="00D11E27"/>
    <w:rsid w:val="00D12C98"/>
    <w:rsid w:val="00D234C8"/>
    <w:rsid w:val="00D243B9"/>
    <w:rsid w:val="00D253D0"/>
    <w:rsid w:val="00D33372"/>
    <w:rsid w:val="00D36363"/>
    <w:rsid w:val="00D416B0"/>
    <w:rsid w:val="00D42B29"/>
    <w:rsid w:val="00D51E5C"/>
    <w:rsid w:val="00D52887"/>
    <w:rsid w:val="00D5391A"/>
    <w:rsid w:val="00D53B98"/>
    <w:rsid w:val="00D55483"/>
    <w:rsid w:val="00D65176"/>
    <w:rsid w:val="00D6600D"/>
    <w:rsid w:val="00D67410"/>
    <w:rsid w:val="00D74773"/>
    <w:rsid w:val="00D814FA"/>
    <w:rsid w:val="00D81EFE"/>
    <w:rsid w:val="00D836F5"/>
    <w:rsid w:val="00D8379B"/>
    <w:rsid w:val="00D841E7"/>
    <w:rsid w:val="00D8572D"/>
    <w:rsid w:val="00D87D29"/>
    <w:rsid w:val="00D900BE"/>
    <w:rsid w:val="00D9059F"/>
    <w:rsid w:val="00D90A3B"/>
    <w:rsid w:val="00D94A8D"/>
    <w:rsid w:val="00D9500A"/>
    <w:rsid w:val="00D97732"/>
    <w:rsid w:val="00DA6335"/>
    <w:rsid w:val="00DA67A7"/>
    <w:rsid w:val="00DA7B21"/>
    <w:rsid w:val="00DB02C5"/>
    <w:rsid w:val="00DB12A5"/>
    <w:rsid w:val="00DB1E21"/>
    <w:rsid w:val="00DB2666"/>
    <w:rsid w:val="00DB3900"/>
    <w:rsid w:val="00DB4E7A"/>
    <w:rsid w:val="00DC60E2"/>
    <w:rsid w:val="00DC61E5"/>
    <w:rsid w:val="00DC7B30"/>
    <w:rsid w:val="00DD043F"/>
    <w:rsid w:val="00DD52C1"/>
    <w:rsid w:val="00DD5F67"/>
    <w:rsid w:val="00DE0772"/>
    <w:rsid w:val="00DE10A7"/>
    <w:rsid w:val="00DE5614"/>
    <w:rsid w:val="00DE6D3E"/>
    <w:rsid w:val="00DE6FA4"/>
    <w:rsid w:val="00DF08F8"/>
    <w:rsid w:val="00DF48FB"/>
    <w:rsid w:val="00DF5722"/>
    <w:rsid w:val="00E03A20"/>
    <w:rsid w:val="00E03EE3"/>
    <w:rsid w:val="00E042B1"/>
    <w:rsid w:val="00E04718"/>
    <w:rsid w:val="00E060AA"/>
    <w:rsid w:val="00E07D45"/>
    <w:rsid w:val="00E15A04"/>
    <w:rsid w:val="00E16430"/>
    <w:rsid w:val="00E211DF"/>
    <w:rsid w:val="00E21CDE"/>
    <w:rsid w:val="00E23F29"/>
    <w:rsid w:val="00E24F45"/>
    <w:rsid w:val="00E25584"/>
    <w:rsid w:val="00E30413"/>
    <w:rsid w:val="00E34151"/>
    <w:rsid w:val="00E35BEC"/>
    <w:rsid w:val="00E4221C"/>
    <w:rsid w:val="00E432C4"/>
    <w:rsid w:val="00E45BAE"/>
    <w:rsid w:val="00E5020A"/>
    <w:rsid w:val="00E5140E"/>
    <w:rsid w:val="00E5179E"/>
    <w:rsid w:val="00E51D58"/>
    <w:rsid w:val="00E52906"/>
    <w:rsid w:val="00E535CB"/>
    <w:rsid w:val="00E55C1D"/>
    <w:rsid w:val="00E631A6"/>
    <w:rsid w:val="00E65211"/>
    <w:rsid w:val="00E70A2F"/>
    <w:rsid w:val="00E758CF"/>
    <w:rsid w:val="00E82547"/>
    <w:rsid w:val="00E91E94"/>
    <w:rsid w:val="00E958DF"/>
    <w:rsid w:val="00E9652F"/>
    <w:rsid w:val="00E975A3"/>
    <w:rsid w:val="00EA01CF"/>
    <w:rsid w:val="00EA0433"/>
    <w:rsid w:val="00EA4FD5"/>
    <w:rsid w:val="00EB3339"/>
    <w:rsid w:val="00EB4A8C"/>
    <w:rsid w:val="00EB5D5B"/>
    <w:rsid w:val="00EB6836"/>
    <w:rsid w:val="00EC022E"/>
    <w:rsid w:val="00EC542D"/>
    <w:rsid w:val="00EC6634"/>
    <w:rsid w:val="00ED0012"/>
    <w:rsid w:val="00ED2B32"/>
    <w:rsid w:val="00EE37F7"/>
    <w:rsid w:val="00EE5D47"/>
    <w:rsid w:val="00EE632D"/>
    <w:rsid w:val="00EE6F88"/>
    <w:rsid w:val="00EF6F61"/>
    <w:rsid w:val="00F03872"/>
    <w:rsid w:val="00F03DC6"/>
    <w:rsid w:val="00F11233"/>
    <w:rsid w:val="00F131AF"/>
    <w:rsid w:val="00F15394"/>
    <w:rsid w:val="00F22977"/>
    <w:rsid w:val="00F231FC"/>
    <w:rsid w:val="00F23CA9"/>
    <w:rsid w:val="00F24E26"/>
    <w:rsid w:val="00F325A6"/>
    <w:rsid w:val="00F32B01"/>
    <w:rsid w:val="00F433B5"/>
    <w:rsid w:val="00F474DD"/>
    <w:rsid w:val="00F546FE"/>
    <w:rsid w:val="00F54A13"/>
    <w:rsid w:val="00F54B60"/>
    <w:rsid w:val="00F643F7"/>
    <w:rsid w:val="00F7434E"/>
    <w:rsid w:val="00F749DA"/>
    <w:rsid w:val="00F80EB5"/>
    <w:rsid w:val="00F821CC"/>
    <w:rsid w:val="00F859FB"/>
    <w:rsid w:val="00F8631A"/>
    <w:rsid w:val="00F87159"/>
    <w:rsid w:val="00F91145"/>
    <w:rsid w:val="00F949E7"/>
    <w:rsid w:val="00F94CC6"/>
    <w:rsid w:val="00F968BD"/>
    <w:rsid w:val="00FA10C6"/>
    <w:rsid w:val="00FA57D3"/>
    <w:rsid w:val="00FB05F8"/>
    <w:rsid w:val="00FB1461"/>
    <w:rsid w:val="00FB31D0"/>
    <w:rsid w:val="00FB36EF"/>
    <w:rsid w:val="00FB37C4"/>
    <w:rsid w:val="00FB4E84"/>
    <w:rsid w:val="00FB61AB"/>
    <w:rsid w:val="00FB6518"/>
    <w:rsid w:val="00FC31DE"/>
    <w:rsid w:val="00FC5681"/>
    <w:rsid w:val="00FD169E"/>
    <w:rsid w:val="00FD3E43"/>
    <w:rsid w:val="00FE5E1D"/>
    <w:rsid w:val="00FE7C7A"/>
    <w:rsid w:val="00FF0573"/>
    <w:rsid w:val="00FF06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0A3"/>
    <w:rPr>
      <w:sz w:val="24"/>
    </w:rPr>
  </w:style>
  <w:style w:type="paragraph" w:styleId="Nadpis1">
    <w:name w:val="heading 1"/>
    <w:basedOn w:val="Normlny"/>
    <w:next w:val="Normlny"/>
    <w:qFormat/>
    <w:rsid w:val="003E50A3"/>
    <w:pPr>
      <w:keepNext/>
      <w:ind w:right="-1"/>
      <w:jc w:val="both"/>
      <w:outlineLvl w:val="0"/>
    </w:pPr>
    <w:rPr>
      <w:rFonts w:ascii="Arial" w:hAnsi="Arial" w:cs="Arial"/>
      <w:i/>
      <w:iCs/>
      <w:color w:val="FF0000"/>
      <w:sz w:val="20"/>
    </w:rPr>
  </w:style>
  <w:style w:type="paragraph" w:styleId="Nadpis2">
    <w:name w:val="heading 2"/>
    <w:basedOn w:val="Normlny"/>
    <w:next w:val="Normlny"/>
    <w:qFormat/>
    <w:rsid w:val="003E50A3"/>
    <w:pPr>
      <w:keepNext/>
      <w:ind w:right="-1"/>
      <w:outlineLvl w:val="1"/>
    </w:pPr>
    <w:rPr>
      <w:b/>
      <w:sz w:val="20"/>
      <w:lang w:val="cs-CZ"/>
    </w:rPr>
  </w:style>
  <w:style w:type="paragraph" w:styleId="Nadpis5">
    <w:name w:val="heading 5"/>
    <w:basedOn w:val="Normlny"/>
    <w:next w:val="Normlny"/>
    <w:qFormat/>
    <w:rsid w:val="003E50A3"/>
    <w:pPr>
      <w:keepNext/>
      <w:ind w:right="-1"/>
      <w:jc w:val="both"/>
      <w:outlineLvl w:val="4"/>
    </w:pPr>
    <w:rPr>
      <w:rFonts w:ascii="Arial" w:hAnsi="Arial" w:cs="Arial"/>
      <w:i/>
      <w:iCs/>
      <w:sz w:val="20"/>
    </w:rPr>
  </w:style>
  <w:style w:type="paragraph" w:styleId="Nadpis6">
    <w:name w:val="heading 6"/>
    <w:basedOn w:val="Normlny"/>
    <w:next w:val="Normlny"/>
    <w:qFormat/>
    <w:rsid w:val="003E50A3"/>
    <w:pPr>
      <w:keepNext/>
      <w:ind w:right="-1"/>
      <w:jc w:val="both"/>
      <w:outlineLvl w:val="5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E50A3"/>
    <w:pPr>
      <w:ind w:right="-1"/>
      <w:jc w:val="center"/>
    </w:pPr>
    <w:rPr>
      <w:b/>
    </w:rPr>
  </w:style>
  <w:style w:type="paragraph" w:styleId="Bezriadkovania">
    <w:name w:val="No Spacing"/>
    <w:qFormat/>
    <w:rsid w:val="003E50A3"/>
    <w:rPr>
      <w:sz w:val="24"/>
    </w:rPr>
  </w:style>
  <w:style w:type="paragraph" w:styleId="Zkladntext">
    <w:name w:val="Body Text"/>
    <w:basedOn w:val="Normlny"/>
    <w:rsid w:val="003E50A3"/>
    <w:pPr>
      <w:ind w:right="-1"/>
      <w:jc w:val="both"/>
    </w:pPr>
    <w:rPr>
      <w:lang w:val="cs-CZ"/>
    </w:rPr>
  </w:style>
  <w:style w:type="paragraph" w:styleId="Zkladntext2">
    <w:name w:val="Body Text 2"/>
    <w:basedOn w:val="Normlny"/>
    <w:rsid w:val="003E50A3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3E50A3"/>
    <w:pPr>
      <w:ind w:right="-1"/>
      <w:jc w:val="both"/>
    </w:pPr>
    <w:rPr>
      <w:rFonts w:ascii="Arial" w:hAnsi="Arial" w:cs="Arial"/>
      <w:color w:val="FF0000"/>
      <w:sz w:val="20"/>
    </w:rPr>
  </w:style>
  <w:style w:type="paragraph" w:customStyle="1" w:styleId="knZulassung02">
    <w:name w:val="knZulassung02"/>
    <w:basedOn w:val="Normlny"/>
    <w:rsid w:val="003E50A3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3E50A3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3E50A3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styleId="Hypertextovprepojenie">
    <w:name w:val="Hyperlink"/>
    <w:basedOn w:val="Predvolenpsmoodseku"/>
    <w:semiHidden/>
    <w:unhideWhenUsed/>
    <w:rsid w:val="003E50A3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64B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64BFC"/>
  </w:style>
  <w:style w:type="paragraph" w:styleId="Textbubliny">
    <w:name w:val="Balloon Text"/>
    <w:basedOn w:val="Normlny"/>
    <w:semiHidden/>
    <w:rsid w:val="00464BF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957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957AA"/>
    <w:rPr>
      <w:sz w:val="24"/>
    </w:rPr>
  </w:style>
  <w:style w:type="character" w:customStyle="1" w:styleId="PtaChar">
    <w:name w:val="Päta Char"/>
    <w:basedOn w:val="Predvolenpsmoodseku"/>
    <w:link w:val="Pta"/>
    <w:uiPriority w:val="99"/>
    <w:rsid w:val="00191442"/>
    <w:rPr>
      <w:sz w:val="24"/>
    </w:rPr>
  </w:style>
  <w:style w:type="character" w:styleId="Odkaznakomentr">
    <w:name w:val="annotation reference"/>
    <w:basedOn w:val="Predvolenpsmoodseku"/>
    <w:rsid w:val="00F80E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80EB5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80EB5"/>
  </w:style>
  <w:style w:type="paragraph" w:styleId="Predmetkomentra">
    <w:name w:val="annotation subject"/>
    <w:basedOn w:val="Textkomentra"/>
    <w:next w:val="Textkomentra"/>
    <w:link w:val="PredmetkomentraChar"/>
    <w:rsid w:val="00F80E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80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0A3"/>
    <w:rPr>
      <w:sz w:val="24"/>
    </w:rPr>
  </w:style>
  <w:style w:type="paragraph" w:styleId="Nadpis1">
    <w:name w:val="heading 1"/>
    <w:basedOn w:val="Normlny"/>
    <w:next w:val="Normlny"/>
    <w:qFormat/>
    <w:rsid w:val="003E50A3"/>
    <w:pPr>
      <w:keepNext/>
      <w:ind w:right="-1"/>
      <w:jc w:val="both"/>
      <w:outlineLvl w:val="0"/>
    </w:pPr>
    <w:rPr>
      <w:rFonts w:ascii="Arial" w:hAnsi="Arial" w:cs="Arial"/>
      <w:i/>
      <w:iCs/>
      <w:color w:val="FF0000"/>
      <w:sz w:val="20"/>
    </w:rPr>
  </w:style>
  <w:style w:type="paragraph" w:styleId="Nadpis2">
    <w:name w:val="heading 2"/>
    <w:basedOn w:val="Normlny"/>
    <w:next w:val="Normlny"/>
    <w:qFormat/>
    <w:rsid w:val="003E50A3"/>
    <w:pPr>
      <w:keepNext/>
      <w:ind w:right="-1"/>
      <w:outlineLvl w:val="1"/>
    </w:pPr>
    <w:rPr>
      <w:b/>
      <w:sz w:val="20"/>
      <w:lang w:val="cs-CZ"/>
    </w:rPr>
  </w:style>
  <w:style w:type="paragraph" w:styleId="Nadpis5">
    <w:name w:val="heading 5"/>
    <w:basedOn w:val="Normlny"/>
    <w:next w:val="Normlny"/>
    <w:qFormat/>
    <w:rsid w:val="003E50A3"/>
    <w:pPr>
      <w:keepNext/>
      <w:ind w:right="-1"/>
      <w:jc w:val="both"/>
      <w:outlineLvl w:val="4"/>
    </w:pPr>
    <w:rPr>
      <w:rFonts w:ascii="Arial" w:hAnsi="Arial" w:cs="Arial"/>
      <w:i/>
      <w:iCs/>
      <w:sz w:val="20"/>
    </w:rPr>
  </w:style>
  <w:style w:type="paragraph" w:styleId="Nadpis6">
    <w:name w:val="heading 6"/>
    <w:basedOn w:val="Normlny"/>
    <w:next w:val="Normlny"/>
    <w:qFormat/>
    <w:rsid w:val="003E50A3"/>
    <w:pPr>
      <w:keepNext/>
      <w:ind w:right="-1"/>
      <w:jc w:val="both"/>
      <w:outlineLvl w:val="5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E50A3"/>
    <w:pPr>
      <w:ind w:right="-1"/>
      <w:jc w:val="center"/>
    </w:pPr>
    <w:rPr>
      <w:b/>
    </w:rPr>
  </w:style>
  <w:style w:type="paragraph" w:styleId="Bezriadkovania">
    <w:name w:val="No Spacing"/>
    <w:qFormat/>
    <w:rsid w:val="003E50A3"/>
    <w:rPr>
      <w:sz w:val="24"/>
    </w:rPr>
  </w:style>
  <w:style w:type="paragraph" w:styleId="Zkladntext">
    <w:name w:val="Body Text"/>
    <w:basedOn w:val="Normlny"/>
    <w:rsid w:val="003E50A3"/>
    <w:pPr>
      <w:ind w:right="-1"/>
      <w:jc w:val="both"/>
    </w:pPr>
    <w:rPr>
      <w:lang w:val="cs-CZ"/>
    </w:rPr>
  </w:style>
  <w:style w:type="paragraph" w:styleId="Zkladntext2">
    <w:name w:val="Body Text 2"/>
    <w:basedOn w:val="Normlny"/>
    <w:rsid w:val="003E50A3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3E50A3"/>
    <w:pPr>
      <w:ind w:right="-1"/>
      <w:jc w:val="both"/>
    </w:pPr>
    <w:rPr>
      <w:rFonts w:ascii="Arial" w:hAnsi="Arial" w:cs="Arial"/>
      <w:color w:val="FF0000"/>
      <w:sz w:val="20"/>
    </w:rPr>
  </w:style>
  <w:style w:type="paragraph" w:customStyle="1" w:styleId="knZulassung02">
    <w:name w:val="knZulassung02"/>
    <w:basedOn w:val="Normlny"/>
    <w:rsid w:val="003E50A3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3E50A3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3E50A3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styleId="Hypertextovprepojenie">
    <w:name w:val="Hyperlink"/>
    <w:basedOn w:val="Predvolenpsmoodseku"/>
    <w:semiHidden/>
    <w:unhideWhenUsed/>
    <w:rsid w:val="003E50A3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64B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64BFC"/>
  </w:style>
  <w:style w:type="paragraph" w:styleId="Textbubliny">
    <w:name w:val="Balloon Text"/>
    <w:basedOn w:val="Normlny"/>
    <w:semiHidden/>
    <w:rsid w:val="00464BF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957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957AA"/>
    <w:rPr>
      <w:sz w:val="24"/>
    </w:rPr>
  </w:style>
  <w:style w:type="character" w:customStyle="1" w:styleId="PtaChar">
    <w:name w:val="Päta Char"/>
    <w:basedOn w:val="Predvolenpsmoodseku"/>
    <w:link w:val="Pta"/>
    <w:uiPriority w:val="99"/>
    <w:rsid w:val="00191442"/>
    <w:rPr>
      <w:sz w:val="24"/>
    </w:rPr>
  </w:style>
  <w:style w:type="character" w:styleId="Odkaznakomentr">
    <w:name w:val="annotation reference"/>
    <w:basedOn w:val="Predvolenpsmoodseku"/>
    <w:rsid w:val="00F80E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80EB5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80EB5"/>
  </w:style>
  <w:style w:type="paragraph" w:styleId="Predmetkomentra">
    <w:name w:val="annotation subject"/>
    <w:basedOn w:val="Textkomentra"/>
    <w:next w:val="Textkomentra"/>
    <w:link w:val="PredmetkomentraChar"/>
    <w:rsid w:val="00F80E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80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1740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 Company</Company>
  <LinksUpToDate>false</LinksUpToDate>
  <CharactersWithSpaces>13040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Jana Urgosova</dc:creator>
  <cp:lastModifiedBy>Uhnáková Milota</cp:lastModifiedBy>
  <cp:revision>3</cp:revision>
  <cp:lastPrinted>2017-11-20T13:56:00Z</cp:lastPrinted>
  <dcterms:created xsi:type="dcterms:W3CDTF">2019-10-30T07:24:00Z</dcterms:created>
  <dcterms:modified xsi:type="dcterms:W3CDTF">2019-10-30T07:25:00Z</dcterms:modified>
</cp:coreProperties>
</file>