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44349" w14:textId="77777777" w:rsidR="00B822E6" w:rsidRPr="00610047" w:rsidRDefault="00B822E6" w:rsidP="00BE3F0C">
      <w:pPr>
        <w:jc w:val="center"/>
        <w:rPr>
          <w:sz w:val="22"/>
          <w:szCs w:val="22"/>
          <w:lang w:val="sk-SK"/>
        </w:rPr>
      </w:pPr>
      <w:bookmarkStart w:id="0" w:name="_GoBack"/>
      <w:bookmarkEnd w:id="0"/>
    </w:p>
    <w:p w14:paraId="3CA63C55" w14:textId="77777777" w:rsidR="00B822E6" w:rsidRPr="00610047" w:rsidRDefault="00B822E6" w:rsidP="00262803">
      <w:pPr>
        <w:jc w:val="center"/>
        <w:rPr>
          <w:sz w:val="22"/>
          <w:szCs w:val="22"/>
          <w:lang w:val="sk-SK"/>
        </w:rPr>
      </w:pPr>
    </w:p>
    <w:p w14:paraId="5065699C" w14:textId="77777777" w:rsidR="00B822E6" w:rsidRPr="002D19BC" w:rsidRDefault="00B822E6">
      <w:pPr>
        <w:jc w:val="center"/>
        <w:rPr>
          <w:b/>
          <w:sz w:val="22"/>
          <w:szCs w:val="22"/>
          <w:lang w:val="sk-SK"/>
        </w:rPr>
      </w:pPr>
      <w:r w:rsidRPr="002D19BC">
        <w:rPr>
          <w:b/>
          <w:sz w:val="22"/>
          <w:szCs w:val="22"/>
          <w:lang w:val="sk-SK"/>
        </w:rPr>
        <w:t>SÚHRN CHARAKTERISTICKÝCH VLASTNOSTÍ LIEKU</w:t>
      </w:r>
    </w:p>
    <w:p w14:paraId="5D91729E" w14:textId="77777777" w:rsidR="00B822E6" w:rsidRPr="00BE3F0C" w:rsidRDefault="00B822E6">
      <w:pPr>
        <w:jc w:val="center"/>
        <w:rPr>
          <w:sz w:val="22"/>
          <w:szCs w:val="22"/>
          <w:lang w:val="sk-SK"/>
        </w:rPr>
      </w:pPr>
    </w:p>
    <w:p w14:paraId="2FE6F549" w14:textId="77777777" w:rsidR="00B822E6" w:rsidRPr="002D19BC" w:rsidRDefault="00B822E6">
      <w:pPr>
        <w:jc w:val="center"/>
        <w:rPr>
          <w:sz w:val="22"/>
          <w:szCs w:val="22"/>
          <w:lang w:val="sk-SK"/>
        </w:rPr>
      </w:pPr>
    </w:p>
    <w:p w14:paraId="4A5CBBD9" w14:textId="77777777" w:rsidR="00B822E6" w:rsidRPr="00BE3F0C" w:rsidRDefault="00B822E6" w:rsidP="00BE3F0C">
      <w:pPr>
        <w:keepNext/>
        <w:numPr>
          <w:ilvl w:val="0"/>
          <w:numId w:val="27"/>
        </w:numPr>
        <w:tabs>
          <w:tab w:val="clear" w:pos="1077"/>
          <w:tab w:val="left" w:pos="567"/>
        </w:tabs>
        <w:suppressAutoHyphens/>
        <w:ind w:left="930" w:hanging="930"/>
        <w:rPr>
          <w:b/>
          <w:sz w:val="22"/>
          <w:szCs w:val="22"/>
          <w:lang w:val="sk-SK"/>
        </w:rPr>
      </w:pPr>
      <w:r w:rsidRPr="00BE3F0C">
        <w:rPr>
          <w:b/>
          <w:sz w:val="22"/>
          <w:szCs w:val="22"/>
          <w:lang w:val="sk-SK" w:bidi="sk-SK"/>
        </w:rPr>
        <w:t>NÁZOV LIEKU</w:t>
      </w:r>
    </w:p>
    <w:p w14:paraId="629F54DD" w14:textId="77777777" w:rsidR="003607AB" w:rsidRPr="00C92195" w:rsidRDefault="003607AB" w:rsidP="00BE3F0C">
      <w:pPr>
        <w:keepNext/>
        <w:tabs>
          <w:tab w:val="left" w:pos="567"/>
        </w:tabs>
        <w:suppressAutoHyphens/>
        <w:rPr>
          <w:sz w:val="22"/>
          <w:szCs w:val="22"/>
          <w:lang w:val="sk-SK"/>
        </w:rPr>
      </w:pPr>
    </w:p>
    <w:p w14:paraId="158784BE" w14:textId="77777777" w:rsidR="00B822E6" w:rsidRPr="002D19BC" w:rsidRDefault="00B822E6" w:rsidP="00262803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Femoston conti 0,5 mg/2,5 mg</w:t>
      </w:r>
    </w:p>
    <w:p w14:paraId="0AFC3A6E" w14:textId="77777777"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filmom obalené tablety</w:t>
      </w:r>
    </w:p>
    <w:p w14:paraId="095A336E" w14:textId="77777777"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14:paraId="6473AF8B" w14:textId="77777777"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14:paraId="45224442" w14:textId="3B5381CD" w:rsidR="00B822E6" w:rsidRPr="00BE3F0C" w:rsidRDefault="00B822E6" w:rsidP="00610047">
      <w:pPr>
        <w:keepNext/>
        <w:numPr>
          <w:ilvl w:val="0"/>
          <w:numId w:val="27"/>
        </w:numPr>
        <w:tabs>
          <w:tab w:val="clear" w:pos="1077"/>
          <w:tab w:val="left" w:pos="567"/>
        </w:tabs>
        <w:suppressAutoHyphens/>
        <w:ind w:left="567" w:hanging="567"/>
        <w:rPr>
          <w:b/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KVALITATÍVNE A KVANTITATÍVNE ZLOŽENIE</w:t>
      </w:r>
    </w:p>
    <w:p w14:paraId="4EA16CDF" w14:textId="77777777" w:rsidR="003607AB" w:rsidRPr="00C92195" w:rsidRDefault="003607AB" w:rsidP="00BE3F0C">
      <w:pPr>
        <w:keepNext/>
        <w:tabs>
          <w:tab w:val="left" w:pos="567"/>
        </w:tabs>
        <w:suppressAutoHyphens/>
        <w:rPr>
          <w:sz w:val="22"/>
          <w:szCs w:val="22"/>
          <w:lang w:val="sk-SK" w:bidi="sk-SK"/>
        </w:rPr>
      </w:pPr>
    </w:p>
    <w:p w14:paraId="21DA7923" w14:textId="6E9D5E11" w:rsidR="00B822E6" w:rsidRPr="002D19BC" w:rsidRDefault="00445F3B" w:rsidP="0026280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Jedna</w:t>
      </w:r>
      <w:r w:rsidR="00B822E6" w:rsidRPr="002D19BC">
        <w:rPr>
          <w:sz w:val="22"/>
          <w:szCs w:val="22"/>
          <w:lang w:val="sk-SK"/>
        </w:rPr>
        <w:t xml:space="preserve"> tableta obsahuje 0,5</w:t>
      </w:r>
      <w:r w:rsidR="009701CC">
        <w:rPr>
          <w:sz w:val="22"/>
          <w:szCs w:val="22"/>
          <w:lang w:val="sk-SK"/>
        </w:rPr>
        <w:t> </w:t>
      </w:r>
      <w:r w:rsidR="00B822E6" w:rsidRPr="002D19BC">
        <w:rPr>
          <w:sz w:val="22"/>
          <w:szCs w:val="22"/>
          <w:lang w:val="sk-SK"/>
        </w:rPr>
        <w:t>mg</w:t>
      </w:r>
      <w:r w:rsidR="009701CC">
        <w:rPr>
          <w:sz w:val="22"/>
          <w:szCs w:val="22"/>
          <w:lang w:val="sk-SK"/>
        </w:rPr>
        <w:t> </w:t>
      </w:r>
      <w:r w:rsidR="00B822E6" w:rsidRPr="002D19BC">
        <w:rPr>
          <w:sz w:val="22"/>
          <w:szCs w:val="22"/>
          <w:lang w:val="sk-SK"/>
        </w:rPr>
        <w:t xml:space="preserve">estradiolu </w:t>
      </w:r>
      <w:r w:rsidR="00B822E6" w:rsidRPr="002D19BC">
        <w:rPr>
          <w:sz w:val="22"/>
          <w:szCs w:val="22"/>
          <w:lang w:val="sk-SK" w:eastAsia="ar-SA"/>
        </w:rPr>
        <w:t xml:space="preserve">vo forme hemihydrátu </w:t>
      </w:r>
      <w:r w:rsidR="00B822E6" w:rsidRPr="002D19BC">
        <w:rPr>
          <w:sz w:val="22"/>
          <w:szCs w:val="22"/>
          <w:lang w:val="sk-SK"/>
        </w:rPr>
        <w:t>a 2,5 mg dydrogesterónu.</w:t>
      </w:r>
    </w:p>
    <w:p w14:paraId="5565EA30" w14:textId="77777777" w:rsidR="00B822E6" w:rsidRPr="002D19BC" w:rsidRDefault="00B822E6">
      <w:pPr>
        <w:rPr>
          <w:sz w:val="22"/>
          <w:szCs w:val="22"/>
          <w:lang w:val="sk-SK"/>
        </w:rPr>
      </w:pPr>
    </w:p>
    <w:p w14:paraId="41D60F4D" w14:textId="262E9801" w:rsidR="003607AB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Pomocná látka so známym účinkom: monohydrát laktózy 117,4</w:t>
      </w:r>
      <w:r w:rsidR="009701CC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mg</w:t>
      </w:r>
    </w:p>
    <w:p w14:paraId="4C15CAF9" w14:textId="77777777" w:rsidR="003607AB" w:rsidRPr="002D19BC" w:rsidRDefault="003607AB">
      <w:pPr>
        <w:rPr>
          <w:sz w:val="22"/>
          <w:szCs w:val="22"/>
          <w:lang w:val="sk-SK"/>
        </w:rPr>
      </w:pPr>
    </w:p>
    <w:p w14:paraId="7B188FAA" w14:textId="648A3281"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Úplný zoznam pomocných látok, pozri časť</w:t>
      </w:r>
      <w:r w:rsidR="005F14B6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6.1.</w:t>
      </w:r>
    </w:p>
    <w:p w14:paraId="784C6B75" w14:textId="77777777" w:rsidR="00B822E6" w:rsidRPr="00BE3F0C" w:rsidRDefault="00B822E6">
      <w:pPr>
        <w:rPr>
          <w:sz w:val="22"/>
          <w:szCs w:val="22"/>
          <w:lang w:val="sk-SK"/>
        </w:rPr>
      </w:pPr>
    </w:p>
    <w:p w14:paraId="26C36DB4" w14:textId="77777777" w:rsidR="00B822E6" w:rsidRPr="00BE3F0C" w:rsidRDefault="00B822E6">
      <w:pPr>
        <w:rPr>
          <w:sz w:val="22"/>
          <w:szCs w:val="22"/>
          <w:lang w:val="sk-SK"/>
        </w:rPr>
      </w:pPr>
    </w:p>
    <w:p w14:paraId="32545228" w14:textId="77777777" w:rsidR="00B822E6" w:rsidRPr="00C92195" w:rsidRDefault="00B822E6" w:rsidP="00610047">
      <w:pPr>
        <w:keepNext/>
        <w:numPr>
          <w:ilvl w:val="0"/>
          <w:numId w:val="27"/>
        </w:numPr>
        <w:tabs>
          <w:tab w:val="clear" w:pos="1077"/>
          <w:tab w:val="left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LIEKOVÁ FORMA</w:t>
      </w:r>
    </w:p>
    <w:p w14:paraId="67E0921C" w14:textId="77777777" w:rsidR="003607AB" w:rsidRPr="002D19BC" w:rsidRDefault="003607AB" w:rsidP="00610047">
      <w:pPr>
        <w:keepNext/>
        <w:numPr>
          <w:ilvl w:val="12"/>
          <w:numId w:val="0"/>
        </w:numPr>
        <w:ind w:left="284" w:hanging="284"/>
        <w:rPr>
          <w:sz w:val="22"/>
          <w:szCs w:val="22"/>
          <w:lang w:val="sk-SK"/>
        </w:rPr>
      </w:pPr>
    </w:p>
    <w:p w14:paraId="2D522440" w14:textId="77777777"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Filmom obalená tableta</w:t>
      </w:r>
    </w:p>
    <w:p w14:paraId="43456A31" w14:textId="77777777"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u w:val="single"/>
          <w:lang w:val="sk-SK"/>
        </w:rPr>
      </w:pPr>
    </w:p>
    <w:p w14:paraId="5907A374" w14:textId="07BDA204"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Okrúhla, bikonvexná tableta s</w:t>
      </w:r>
      <w:r w:rsidR="00B73E2B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nápisom 379 na jednej strane (7</w:t>
      </w:r>
      <w:r w:rsidR="000976FF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mm).</w:t>
      </w:r>
    </w:p>
    <w:p w14:paraId="15168830" w14:textId="77777777"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14:paraId="1C735442" w14:textId="77777777"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Tableta je žltej farby.</w:t>
      </w:r>
    </w:p>
    <w:p w14:paraId="0F743202" w14:textId="77777777"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14:paraId="77AF3BE2" w14:textId="77777777"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14:paraId="1899400B" w14:textId="77777777" w:rsidR="00B822E6" w:rsidRPr="00BE3F0C" w:rsidRDefault="00B822E6" w:rsidP="00610047">
      <w:pPr>
        <w:keepNext/>
        <w:numPr>
          <w:ilvl w:val="0"/>
          <w:numId w:val="27"/>
        </w:numPr>
        <w:tabs>
          <w:tab w:val="clear" w:pos="1077"/>
          <w:tab w:val="left" w:pos="567"/>
        </w:tabs>
        <w:suppressAutoHyphens/>
        <w:ind w:left="567" w:hanging="567"/>
        <w:rPr>
          <w:b/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KLINICKÉ ÚDAJE</w:t>
      </w:r>
    </w:p>
    <w:p w14:paraId="4A3AB20C" w14:textId="77777777" w:rsidR="003607AB" w:rsidRPr="00C92195" w:rsidRDefault="003607AB" w:rsidP="00BE3F0C">
      <w:pPr>
        <w:keepNext/>
        <w:tabs>
          <w:tab w:val="left" w:pos="567"/>
        </w:tabs>
        <w:suppressAutoHyphens/>
        <w:rPr>
          <w:sz w:val="22"/>
          <w:szCs w:val="22"/>
          <w:lang w:val="sk-SK" w:bidi="sk-SK"/>
        </w:rPr>
      </w:pPr>
    </w:p>
    <w:p w14:paraId="48CD5E36" w14:textId="77777777"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/>
        </w:rPr>
      </w:pPr>
      <w:r w:rsidRPr="00BE3F0C">
        <w:rPr>
          <w:b/>
          <w:sz w:val="22"/>
          <w:szCs w:val="22"/>
          <w:lang w:val="sk-SK" w:bidi="sk-SK"/>
        </w:rPr>
        <w:t>Terapeutické indikácie</w:t>
      </w:r>
    </w:p>
    <w:p w14:paraId="09A40E05" w14:textId="77777777" w:rsidR="003607AB" w:rsidRPr="002D19BC" w:rsidRDefault="003607AB" w:rsidP="00610047">
      <w:pPr>
        <w:pStyle w:val="Zkladntext"/>
        <w:keepNext/>
        <w:jc w:val="left"/>
        <w:rPr>
          <w:sz w:val="22"/>
          <w:szCs w:val="22"/>
          <w:lang w:val="sk-SK"/>
        </w:rPr>
      </w:pPr>
    </w:p>
    <w:p w14:paraId="75BA8578" w14:textId="5D707634" w:rsidR="00B822E6" w:rsidRPr="002D19BC" w:rsidRDefault="00B822E6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Hormonálna substitučná terapia (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) na liečbu príznakov nedostatku estrogénu u postmenopauzálnych žien, ktoré sú minimálne </w:t>
      </w:r>
      <w:r w:rsidR="00676CD2" w:rsidRPr="002D19BC">
        <w:rPr>
          <w:sz w:val="22"/>
          <w:szCs w:val="22"/>
          <w:lang w:val="sk-SK"/>
        </w:rPr>
        <w:t>12 </w:t>
      </w:r>
      <w:r w:rsidRPr="002D19BC">
        <w:rPr>
          <w:sz w:val="22"/>
          <w:szCs w:val="22"/>
          <w:lang w:val="sk-SK"/>
        </w:rPr>
        <w:t>mesiacov po poslednej menštruácii.</w:t>
      </w:r>
    </w:p>
    <w:p w14:paraId="0F9F3A84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14:paraId="6A949F69" w14:textId="10FD2535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Skúsenosti s liečbou žien starších ako 65</w:t>
      </w:r>
      <w:r w:rsidR="00913FA8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rokov sú obmedzené.</w:t>
      </w:r>
    </w:p>
    <w:p w14:paraId="62B46798" w14:textId="77777777" w:rsidR="00B822E6" w:rsidRPr="00BE3F0C" w:rsidRDefault="00B822E6" w:rsidP="00BE3F0C">
      <w:pPr>
        <w:rPr>
          <w:sz w:val="22"/>
          <w:szCs w:val="22"/>
          <w:lang w:val="sk-SK"/>
        </w:rPr>
      </w:pPr>
    </w:p>
    <w:p w14:paraId="3DF71400" w14:textId="5A892D1B"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Dávkovanie a</w:t>
      </w:r>
      <w:r w:rsidR="001F096E">
        <w:rPr>
          <w:b/>
          <w:sz w:val="22"/>
          <w:szCs w:val="22"/>
          <w:lang w:val="sk-SK" w:bidi="sk-SK"/>
        </w:rPr>
        <w:t> </w:t>
      </w:r>
      <w:r w:rsidRPr="00BE3F0C">
        <w:rPr>
          <w:b/>
          <w:sz w:val="22"/>
          <w:szCs w:val="22"/>
          <w:lang w:val="sk-SK" w:bidi="sk-SK"/>
        </w:rPr>
        <w:t>spôsob podávania</w:t>
      </w:r>
    </w:p>
    <w:p w14:paraId="4AC71F6A" w14:textId="77777777" w:rsidR="00B822E6" w:rsidRPr="002D19BC" w:rsidRDefault="00B822E6" w:rsidP="00610047">
      <w:pPr>
        <w:keepNext/>
        <w:rPr>
          <w:sz w:val="22"/>
          <w:szCs w:val="22"/>
          <w:lang w:val="sk-SK"/>
        </w:rPr>
      </w:pPr>
    </w:p>
    <w:p w14:paraId="540CF010" w14:textId="3F34926B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Femoston conti 0,</w:t>
      </w:r>
      <w:r w:rsidR="00262803" w:rsidRPr="002D19BC">
        <w:rPr>
          <w:sz w:val="22"/>
          <w:szCs w:val="22"/>
          <w:lang w:val="sk-SK"/>
        </w:rPr>
        <w:t>5 </w:t>
      </w:r>
      <w:r w:rsidRPr="002D19BC">
        <w:rPr>
          <w:sz w:val="22"/>
          <w:szCs w:val="22"/>
          <w:lang w:val="sk-SK"/>
        </w:rPr>
        <w:t>mg/2,</w:t>
      </w:r>
      <w:r w:rsidR="00262803" w:rsidRPr="002D19BC">
        <w:rPr>
          <w:sz w:val="22"/>
          <w:szCs w:val="22"/>
          <w:lang w:val="sk-SK"/>
        </w:rPr>
        <w:t>5 </w:t>
      </w:r>
      <w:r w:rsidRPr="002D19BC">
        <w:rPr>
          <w:sz w:val="22"/>
          <w:szCs w:val="22"/>
          <w:lang w:val="sk-SK"/>
        </w:rPr>
        <w:t xml:space="preserve">mg je perorálny prípravok určený na kontinuálnu kombinovanú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>.</w:t>
      </w:r>
    </w:p>
    <w:p w14:paraId="0F626564" w14:textId="5EE1D974" w:rsidR="00B822E6" w:rsidRPr="002D19BC" w:rsidRDefault="00B822E6" w:rsidP="00BE3F0C">
      <w:pPr>
        <w:rPr>
          <w:sz w:val="22"/>
          <w:szCs w:val="22"/>
          <w:lang w:val="sk-SK"/>
        </w:rPr>
      </w:pPr>
    </w:p>
    <w:p w14:paraId="4CD85D0F" w14:textId="77777777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Estrogén a progestagén sa užívajú každý deň bez prerušenia.</w:t>
      </w:r>
    </w:p>
    <w:p w14:paraId="2376D6FA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2121F616" w14:textId="1EF72E93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Užíva sa jedna tableta denne počas 28</w:t>
      </w:r>
      <w:r w:rsidR="007B31C8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>-</w:t>
      </w:r>
      <w:r w:rsidR="007B31C8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>dňového cyklu.</w:t>
      </w:r>
    </w:p>
    <w:p w14:paraId="2EEA657D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7144286D" w14:textId="161377E0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Femoston conti 0,5 mg/2,5 mg sa užíva súvisle bez prerušenia medzi baleniami.</w:t>
      </w:r>
    </w:p>
    <w:p w14:paraId="5ECFCA64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649454A3" w14:textId="03EA870C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Pri zahajovaní a pokračovaní liečby postmenopauzálnych symptómov sa má použiť najnižšia účinná dávka a trvanie liečby má byť čo najkratšie (pozri tiež </w:t>
      </w:r>
      <w:r w:rsidR="00676CD2" w:rsidRPr="002D19BC">
        <w:rPr>
          <w:sz w:val="22"/>
          <w:szCs w:val="22"/>
          <w:lang w:val="sk-SK"/>
        </w:rPr>
        <w:t>časť </w:t>
      </w:r>
      <w:r w:rsidRPr="002D19BC">
        <w:rPr>
          <w:sz w:val="22"/>
          <w:szCs w:val="22"/>
          <w:lang w:val="sk-SK"/>
        </w:rPr>
        <w:t>4.4).</w:t>
      </w:r>
    </w:p>
    <w:p w14:paraId="297FEA27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2B469417" w14:textId="19DD80EC" w:rsidR="00B822E6" w:rsidRPr="002D19BC" w:rsidRDefault="00B822E6" w:rsidP="00262803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Kontinuálna kombinovaná liečba Femostonom conti</w:t>
      </w:r>
      <w:r w:rsidRPr="002D19BC">
        <w:rPr>
          <w:b/>
          <w:sz w:val="22"/>
          <w:szCs w:val="22"/>
          <w:vertAlign w:val="superscript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>0,</w:t>
      </w:r>
      <w:r w:rsidR="00262803" w:rsidRPr="002D19BC">
        <w:rPr>
          <w:sz w:val="22"/>
          <w:szCs w:val="22"/>
          <w:lang w:val="sk-SK"/>
        </w:rPr>
        <w:t>5 </w:t>
      </w:r>
      <w:r w:rsidRPr="002D19BC">
        <w:rPr>
          <w:sz w:val="22"/>
          <w:szCs w:val="22"/>
          <w:lang w:val="sk-SK"/>
        </w:rPr>
        <w:t>mg/2,</w:t>
      </w:r>
      <w:r w:rsidR="00262803" w:rsidRPr="002D19BC">
        <w:rPr>
          <w:sz w:val="22"/>
          <w:szCs w:val="22"/>
          <w:lang w:val="sk-SK"/>
        </w:rPr>
        <w:t>5 </w:t>
      </w:r>
      <w:r w:rsidRPr="002D19BC">
        <w:rPr>
          <w:sz w:val="22"/>
          <w:szCs w:val="22"/>
          <w:lang w:val="sk-SK"/>
        </w:rPr>
        <w:t>mg sa má začať v závislosti od času, ktorý uplynul od menopauzy a od závažnosti symptómov. Ženy, ktoré prekonali prirodzenú menopauzu, nemajú začať s liečbou Femostonom conti 0,</w:t>
      </w:r>
      <w:r w:rsidR="00262803" w:rsidRPr="002D19BC">
        <w:rPr>
          <w:sz w:val="22"/>
          <w:szCs w:val="22"/>
          <w:lang w:val="sk-SK"/>
        </w:rPr>
        <w:t>5 </w:t>
      </w:r>
      <w:r w:rsidRPr="002D19BC">
        <w:rPr>
          <w:sz w:val="22"/>
          <w:szCs w:val="22"/>
          <w:lang w:val="sk-SK"/>
        </w:rPr>
        <w:t xml:space="preserve">mg/2,5 mg skôr ako </w:t>
      </w:r>
      <w:r w:rsidR="00262803" w:rsidRPr="002D19BC">
        <w:rPr>
          <w:sz w:val="22"/>
          <w:szCs w:val="22"/>
          <w:lang w:val="sk-SK"/>
        </w:rPr>
        <w:t>12 </w:t>
      </w:r>
      <w:r w:rsidRPr="002D19BC">
        <w:rPr>
          <w:sz w:val="22"/>
          <w:szCs w:val="22"/>
          <w:lang w:val="sk-SK"/>
        </w:rPr>
        <w:t>mesiacov po ich poslednej prirodzenej menštruácii. Pri chirurgicky navodenej menopauze sa môže liečba začať okamžite.</w:t>
      </w:r>
    </w:p>
    <w:p w14:paraId="4DABF97E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598F2705" w14:textId="77777777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lastRenderedPageBreak/>
        <w:t>V závislosti od klinickej odpovede môže byť dávka následne upravená.</w:t>
      </w:r>
    </w:p>
    <w:p w14:paraId="63D8D942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1113AF24" w14:textId="272006C1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Pacientky, ktoré predtým užívali iné kontinuálne sekvenčné alebo cyklické preparáty by mali ukončiť 28</w:t>
      </w:r>
      <w:r w:rsidR="000A2AC9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>-</w:t>
      </w:r>
      <w:r w:rsidR="000A2AC9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>dňový cyklus a až potom začať užívať Femoston conti 0,</w:t>
      </w:r>
      <w:r w:rsidR="00262803" w:rsidRPr="002D19BC">
        <w:rPr>
          <w:sz w:val="22"/>
          <w:szCs w:val="22"/>
          <w:lang w:val="sk-SK"/>
        </w:rPr>
        <w:t>5 </w:t>
      </w:r>
      <w:r w:rsidRPr="002D19BC">
        <w:rPr>
          <w:sz w:val="22"/>
          <w:szCs w:val="22"/>
          <w:lang w:val="sk-SK"/>
        </w:rPr>
        <w:t>mg/2,5 mg.</w:t>
      </w:r>
    </w:p>
    <w:p w14:paraId="3B32BCB7" w14:textId="77777777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Pacientky, ktoré predtým užívali kontinuálne kombinované preparáty môžu začať s liečbou kedykoľvek.</w:t>
      </w:r>
    </w:p>
    <w:p w14:paraId="247E7AA5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2333CE54" w14:textId="57ADA548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Ak bola dávka vynechaná, má sa užiť hneď, ako je to možné. Ak uplynulo viac ako </w:t>
      </w:r>
      <w:r w:rsidR="00676CD2" w:rsidRPr="002D19BC">
        <w:rPr>
          <w:sz w:val="22"/>
          <w:szCs w:val="22"/>
          <w:lang w:val="sk-SK"/>
        </w:rPr>
        <w:t>12 </w:t>
      </w:r>
      <w:r w:rsidRPr="002D19BC">
        <w:rPr>
          <w:sz w:val="22"/>
          <w:szCs w:val="22"/>
          <w:lang w:val="sk-SK"/>
        </w:rPr>
        <w:t xml:space="preserve">hodín, liečba má </w:t>
      </w:r>
      <w:r w:rsidR="00676CD2" w:rsidRPr="002D19BC">
        <w:rPr>
          <w:sz w:val="22"/>
          <w:szCs w:val="22"/>
          <w:lang w:val="sk-SK"/>
        </w:rPr>
        <w:t xml:space="preserve">pokračovať </w:t>
      </w:r>
      <w:r w:rsidRPr="002D19BC">
        <w:rPr>
          <w:sz w:val="22"/>
          <w:szCs w:val="22"/>
          <w:lang w:val="sk-SK"/>
        </w:rPr>
        <w:t>ďalšou tabletou bez užitia zabudnutej tablety. Môže sa zvýšiť pravdepodobnosť intermenštruačného krvácania alebo špinenia.</w:t>
      </w:r>
    </w:p>
    <w:p w14:paraId="157F43CF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4E592721" w14:textId="77777777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Femoston conti 0,5 mg/2,5 mg sa môže užívať nezávisle od príjmu potravy.</w:t>
      </w:r>
    </w:p>
    <w:p w14:paraId="4D3EE90A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017F0C7D" w14:textId="77777777" w:rsidR="00B822E6" w:rsidRPr="002D19BC" w:rsidRDefault="00B822E6" w:rsidP="00610047">
      <w:pPr>
        <w:keepNext/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Pediatrická populácia:</w:t>
      </w:r>
    </w:p>
    <w:p w14:paraId="020EC173" w14:textId="3BAA98D1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Pre užívanie Femostonu conti 0,5 mg/2,5 mg u detí </w:t>
      </w:r>
      <w:r w:rsidR="00676CD2" w:rsidRPr="002D19BC">
        <w:rPr>
          <w:sz w:val="22"/>
          <w:szCs w:val="22"/>
          <w:lang w:val="sk-SK"/>
        </w:rPr>
        <w:t>a </w:t>
      </w:r>
      <w:r w:rsidRPr="002D19BC">
        <w:rPr>
          <w:sz w:val="22"/>
          <w:szCs w:val="22"/>
          <w:lang w:val="sk-SK"/>
        </w:rPr>
        <w:t>dospievajúcich nie je relevantná indikácia.</w:t>
      </w:r>
    </w:p>
    <w:p w14:paraId="0B200870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66F05D61" w14:textId="77777777" w:rsidR="00B822E6" w:rsidRPr="00BE3F0C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b/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Kontraindikácie</w:t>
      </w:r>
    </w:p>
    <w:p w14:paraId="2E3B35A4" w14:textId="77777777" w:rsidR="00262803" w:rsidRPr="00C92195" w:rsidRDefault="00262803" w:rsidP="00BE3F0C">
      <w:pPr>
        <w:keepNext/>
        <w:suppressAutoHyphens/>
        <w:rPr>
          <w:sz w:val="22"/>
          <w:szCs w:val="22"/>
          <w:lang w:val="sk-SK" w:bidi="sk-SK"/>
        </w:rPr>
      </w:pPr>
    </w:p>
    <w:p w14:paraId="3085A86D" w14:textId="1AB565B7" w:rsidR="00B822E6" w:rsidRPr="002D19BC" w:rsidRDefault="00B822E6" w:rsidP="00BE3F0C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Prítomný, diagnostikovaný </w:t>
      </w:r>
      <w:r w:rsidR="00676CD2" w:rsidRPr="002D19BC">
        <w:rPr>
          <w:sz w:val="22"/>
          <w:szCs w:val="22"/>
          <w:lang w:val="sk-SK"/>
        </w:rPr>
        <w:t>v </w:t>
      </w:r>
      <w:r w:rsidRPr="002D19BC">
        <w:rPr>
          <w:sz w:val="22"/>
          <w:szCs w:val="22"/>
          <w:lang w:val="sk-SK"/>
        </w:rPr>
        <w:t>minulosti alebo suspektný karcinóm prsníka.</w:t>
      </w:r>
    </w:p>
    <w:p w14:paraId="129B1AE4" w14:textId="77777777" w:rsidR="00B822E6" w:rsidRPr="002D19BC" w:rsidRDefault="00B822E6" w:rsidP="00BE3F0C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Známe alebo suspektné estrogén-dependentné malígne tumory (napr. karcinóm endometria).</w:t>
      </w:r>
    </w:p>
    <w:p w14:paraId="636366A1" w14:textId="3C0BE483" w:rsidR="00B822E6" w:rsidRPr="002D19BC" w:rsidRDefault="00B822E6" w:rsidP="00BE3F0C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Nediagnostikované genitálne krvácanie.</w:t>
      </w:r>
    </w:p>
    <w:p w14:paraId="77652B77" w14:textId="77777777" w:rsidR="00B822E6" w:rsidRPr="002D19BC" w:rsidRDefault="00B822E6" w:rsidP="00BE3F0C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Neliečená hyperplázia endometria.</w:t>
      </w:r>
    </w:p>
    <w:p w14:paraId="7F417388" w14:textId="77777777" w:rsidR="00B822E6" w:rsidRPr="002D19BC" w:rsidRDefault="00B822E6" w:rsidP="00BE3F0C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Predchádzajúca alebo súčasná venózna tromboembólia (hlboká žilová trombóza, pľúcna embólia).</w:t>
      </w:r>
    </w:p>
    <w:p w14:paraId="0CFA19A0" w14:textId="2F4A56EC" w:rsidR="00B822E6" w:rsidRPr="002D19BC" w:rsidRDefault="00B822E6" w:rsidP="00BE3F0C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Známe trombofilné ochorenie (napr. deficit proteínu C, proteínu S alebo antitrombínu, pozri </w:t>
      </w:r>
      <w:r w:rsidR="00676CD2" w:rsidRPr="002D19BC">
        <w:rPr>
          <w:sz w:val="22"/>
          <w:szCs w:val="22"/>
          <w:lang w:val="sk-SK"/>
        </w:rPr>
        <w:t>časť</w:t>
      </w:r>
      <w:r w:rsidR="00676CD2" w:rsidRPr="00BE3F0C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4.4).</w:t>
      </w:r>
    </w:p>
    <w:p w14:paraId="71B5D448" w14:textId="77777777" w:rsidR="00B822E6" w:rsidRPr="002D19BC" w:rsidRDefault="00B822E6" w:rsidP="00BE3F0C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Aktívne alebo nedávne arteriálne tromboembolické ochorenie (napr. </w:t>
      </w:r>
      <w:r w:rsidRPr="002D19BC">
        <w:rPr>
          <w:i/>
          <w:sz w:val="22"/>
          <w:szCs w:val="22"/>
          <w:lang w:val="sk-SK"/>
        </w:rPr>
        <w:t>angina pectoris</w:t>
      </w:r>
      <w:r w:rsidRPr="002D19BC">
        <w:rPr>
          <w:sz w:val="22"/>
          <w:szCs w:val="22"/>
          <w:lang w:val="sk-SK"/>
        </w:rPr>
        <w:t>, infarkt myokardu).</w:t>
      </w:r>
    </w:p>
    <w:p w14:paraId="679DC118" w14:textId="77777777" w:rsidR="00B822E6" w:rsidRPr="002D19BC" w:rsidRDefault="00B822E6" w:rsidP="00BE3F0C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Akútne ochorenie pečene alebo ochorenie pečene v anamnéze, kým sa hepatálne testy neupravia na referenčné hodnoty.</w:t>
      </w:r>
    </w:p>
    <w:p w14:paraId="2A05A823" w14:textId="77777777" w:rsidR="00B822E6" w:rsidRPr="002D19BC" w:rsidRDefault="00B822E6" w:rsidP="00BE3F0C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Porfýria.</w:t>
      </w:r>
    </w:p>
    <w:p w14:paraId="36100834" w14:textId="63D7B995" w:rsidR="00B822E6" w:rsidRPr="002D19BC" w:rsidRDefault="00B822E6" w:rsidP="00BE3F0C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Známa precitlivenosť na liečivo alebo na ktorúkoľvek pomocnú látku, uvedenú v</w:t>
      </w:r>
      <w:r w:rsidR="00607F8D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časti</w:t>
      </w:r>
      <w:r w:rsidR="00607F8D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6.1.</w:t>
      </w:r>
    </w:p>
    <w:p w14:paraId="2017834A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411483E7" w14:textId="77777777"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Osobité upozornenia a opatrenia pri používaní</w:t>
      </w:r>
    </w:p>
    <w:p w14:paraId="4B14FC79" w14:textId="77777777" w:rsidR="00262803" w:rsidRPr="002D19BC" w:rsidRDefault="00262803" w:rsidP="00610047">
      <w:pPr>
        <w:pStyle w:val="Zkladntext"/>
        <w:keepNext/>
        <w:jc w:val="left"/>
        <w:rPr>
          <w:sz w:val="22"/>
          <w:szCs w:val="22"/>
          <w:lang w:val="sk-SK"/>
        </w:rPr>
      </w:pPr>
    </w:p>
    <w:p w14:paraId="7F2699B3" w14:textId="50647D4F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Hormonálna substitučná terapia (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) má byť začatá iba na liečbu postmenopauzálnych príznakov, ktoré nepriaznivo ovplyvňujú kvalitu života. Vo všetkých prípadoch sa má najmenej raz ročne dôkladne zhodnotiť riziko a prínos liečby.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má pokračovať len za predpokladu, že prínos prevažuje riziko.</w:t>
      </w:r>
    </w:p>
    <w:p w14:paraId="06E36FE0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u w:val="single"/>
          <w:lang w:val="sk-SK"/>
        </w:rPr>
      </w:pPr>
    </w:p>
    <w:p w14:paraId="5E47A3FD" w14:textId="52534C63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Dôkazy týkajúce sa rizika spojeného s 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</w:t>
      </w:r>
      <w:r w:rsidR="00676CD2" w:rsidRPr="002D19BC">
        <w:rPr>
          <w:sz w:val="22"/>
          <w:szCs w:val="22"/>
          <w:lang w:val="sk-SK"/>
        </w:rPr>
        <w:t xml:space="preserve">na liečbu </w:t>
      </w:r>
      <w:r w:rsidRPr="002D19BC">
        <w:rPr>
          <w:sz w:val="22"/>
          <w:szCs w:val="22"/>
          <w:lang w:val="sk-SK"/>
        </w:rPr>
        <w:t xml:space="preserve">predčasnej menopauzy sú obmedzené. Vzhľadom k nízkej hladine absolútneho rizika u mladších žien však môže byť pomer prínosov </w:t>
      </w:r>
      <w:r w:rsidR="00676CD2" w:rsidRPr="002D19BC">
        <w:rPr>
          <w:sz w:val="22"/>
          <w:szCs w:val="22"/>
          <w:lang w:val="sk-SK"/>
        </w:rPr>
        <w:t>a </w:t>
      </w:r>
      <w:r w:rsidRPr="002D19BC">
        <w:rPr>
          <w:sz w:val="22"/>
          <w:szCs w:val="22"/>
          <w:lang w:val="sk-SK"/>
        </w:rPr>
        <w:t>rizík pre tieto ženy priaznivejší ako u starších žien.</w:t>
      </w:r>
    </w:p>
    <w:p w14:paraId="7D6B02EA" w14:textId="77777777" w:rsidR="00B822E6" w:rsidRPr="00BE3F0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14:paraId="0D5BBB54" w14:textId="77777777" w:rsidR="00B822E6" w:rsidRPr="002D19BC" w:rsidRDefault="00B822E6" w:rsidP="00610047">
      <w:pPr>
        <w:pStyle w:val="Zkladntext"/>
        <w:keepNext/>
        <w:jc w:val="left"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Lekárske vyšetrenie/konzultácia</w:t>
      </w:r>
    </w:p>
    <w:p w14:paraId="132E43C9" w14:textId="092F5BFB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Pred začiatkom alebo pred opakovaným nasadením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sa musí odobrať kompletná osobná a rodinná anamnéza. Tá je základom ďalšieho vyšetrenia (vrátane gynekologického vyšetrenia a vyšetrenia prsníkov) s prihliadnutím na kontraindikácie a zvláštne upozornenia. Počas liečby sú odporúčané pravidelné kontroly, ktorých frekvencia a povaha má byť upravená podľa individuálnych potrieb pacientky. Ženy je nutné upozorniť, o ktorých zmenách prsníkov musia informovať lekára alebo zdravotnú sestru (pozri „</w:t>
      </w:r>
      <w:r w:rsidR="002F4534">
        <w:rPr>
          <w:sz w:val="22"/>
          <w:szCs w:val="22"/>
          <w:lang w:val="sk-SK"/>
        </w:rPr>
        <w:t>Karcinóm</w:t>
      </w:r>
      <w:r w:rsidRPr="002D19BC">
        <w:rPr>
          <w:sz w:val="22"/>
          <w:szCs w:val="22"/>
          <w:lang w:val="sk-SK"/>
        </w:rPr>
        <w:t xml:space="preserve"> prsníka“ nižšie). Vyšetrenia, vrátane príslušných zobrazovacích metód, napr. mamografie, musia byť vykonané v súlade s bežnými skríningovými postupmi a upravené podľa individuálnych klinických potrieb pacientky.</w:t>
      </w:r>
    </w:p>
    <w:p w14:paraId="70EB2752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14:paraId="08506290" w14:textId="77777777" w:rsidR="00B822E6" w:rsidRPr="002D19BC" w:rsidRDefault="00B822E6" w:rsidP="00BE3F0C">
      <w:pPr>
        <w:pStyle w:val="Zkladntext"/>
        <w:keepNext/>
        <w:jc w:val="left"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lastRenderedPageBreak/>
        <w:t>Stavy vyžadujúce dohľad</w:t>
      </w:r>
    </w:p>
    <w:p w14:paraId="0EE1E5D6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Ak sú prítomné, prípadne sa predtým vyskytli niektoré z nasledujúcich stavov, a/alebo sa zhoršili v priebehu tehotenstva alebo počas predchádzajúcej hormonálnej liečby, musí byť pacientka starostlivo sledovaná. Musí sa zobrať do úvahy, že tieto stavy sa počas liečby Femostonom conti 0,5 mg/2,5 mg môžu vrátiť alebo zhoršiť, najmä:</w:t>
      </w:r>
    </w:p>
    <w:p w14:paraId="0B3B0D13" w14:textId="77777777"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leiomyóm (fibroidy maternice) alebo endometrióza;</w:t>
      </w:r>
    </w:p>
    <w:p w14:paraId="73714C92" w14:textId="77777777"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rizikové faktory pre tromboembolické ochorenia (pozri nižšie);</w:t>
      </w:r>
    </w:p>
    <w:p w14:paraId="5C935F7E" w14:textId="77777777"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rizikové faktory pre estrogén-dependentné tumory, napr. prvý stupeň dedičnosti pre karcinóm prsníka;</w:t>
      </w:r>
    </w:p>
    <w:p w14:paraId="1CC358B1" w14:textId="77777777"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hypertenzia;</w:t>
      </w:r>
    </w:p>
    <w:p w14:paraId="0D2E31B4" w14:textId="77777777"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ochorenia pečene (napr. adenóm pečene);</w:t>
      </w:r>
    </w:p>
    <w:p w14:paraId="40359118" w14:textId="65F77F83"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diabetes mellitus s alebo bez vaskulárnych komplikácií;</w:t>
      </w:r>
    </w:p>
    <w:p w14:paraId="620C233A" w14:textId="77777777"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cholelitiáza;</w:t>
      </w:r>
    </w:p>
    <w:p w14:paraId="06B05C4A" w14:textId="77777777"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migréna alebo (silné) bolesti hlavy;</w:t>
      </w:r>
    </w:p>
    <w:p w14:paraId="36D12BCB" w14:textId="77777777"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systémový lupus erythematosus;</w:t>
      </w:r>
    </w:p>
    <w:p w14:paraId="1189EB55" w14:textId="77777777"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endometriálna hyperplázia v anamnéze (pozri nižšie);</w:t>
      </w:r>
    </w:p>
    <w:p w14:paraId="7315D486" w14:textId="77777777"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epilepsia;</w:t>
      </w:r>
    </w:p>
    <w:p w14:paraId="2786FECF" w14:textId="77777777"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astma;</w:t>
      </w:r>
    </w:p>
    <w:p w14:paraId="00EA14DC" w14:textId="77777777"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otoskleróza;</w:t>
      </w:r>
    </w:p>
    <w:p w14:paraId="2F2EDE3E" w14:textId="77777777"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meningióm.</w:t>
      </w:r>
    </w:p>
    <w:p w14:paraId="3410AB58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14:paraId="7E8A247F" w14:textId="77777777" w:rsidR="00B822E6" w:rsidRPr="002D19BC" w:rsidRDefault="00B822E6" w:rsidP="00610047">
      <w:pPr>
        <w:pStyle w:val="Zkladntext"/>
        <w:keepNext/>
        <w:jc w:val="left"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Dôvody pre okamžité ukončenie liečby</w:t>
      </w:r>
    </w:p>
    <w:p w14:paraId="14A7164F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Liečba musí byť prerušená, keď sa objavia kontraindikácie a nasledujúce stavy:</w:t>
      </w:r>
    </w:p>
    <w:p w14:paraId="690FA1CC" w14:textId="77777777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žltačka alebo zhoršenie pečeňových funkcií;</w:t>
      </w:r>
    </w:p>
    <w:p w14:paraId="17BF0BCB" w14:textId="77777777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významné zvýšenie tlaku krvi;</w:t>
      </w:r>
    </w:p>
    <w:p w14:paraId="173427D1" w14:textId="77777777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nový výskyt bolestí hlavy migrenózneho typu;</w:t>
      </w:r>
    </w:p>
    <w:p w14:paraId="46E831D3" w14:textId="77777777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gravidita.</w:t>
      </w:r>
    </w:p>
    <w:p w14:paraId="54CC4EA2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14:paraId="3CF174AB" w14:textId="77777777" w:rsidR="00B822E6" w:rsidRPr="002D19BC" w:rsidRDefault="00B822E6" w:rsidP="00610047">
      <w:pPr>
        <w:pStyle w:val="Zkladntext"/>
        <w:keepNext/>
        <w:jc w:val="left"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Hyperplázia endometria a karcinóm</w:t>
      </w:r>
    </w:p>
    <w:p w14:paraId="16159978" w14:textId="344F47B3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U žien s intaktnou maternicou je riziko endometriálnej hyperplázie a karcinómu zvýšené, keď sú estrogény dlhodobo podávané samostatne. Ženy, ktoré užívajú samostatne estrogén, majú hlásené riziko </w:t>
      </w:r>
      <w:r w:rsidR="0000179D">
        <w:rPr>
          <w:sz w:val="22"/>
          <w:szCs w:val="22"/>
          <w:lang w:val="sk-SK"/>
        </w:rPr>
        <w:t>karcinómu</w:t>
      </w:r>
      <w:r w:rsidRPr="002D19BC">
        <w:rPr>
          <w:sz w:val="22"/>
          <w:szCs w:val="22"/>
          <w:lang w:val="sk-SK"/>
        </w:rPr>
        <w:t>endometria 2</w:t>
      </w:r>
      <w:r w:rsidR="00681D39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>- až 12</w:t>
      </w:r>
      <w:r w:rsidR="00681D39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>-krát vyššie v porovnaní so ženami bez liečby, a</w:t>
      </w:r>
      <w:r w:rsidR="00CF6B08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to v závislosti od trvania liečby a dávky estrogénu (pozri časť</w:t>
      </w:r>
      <w:r w:rsidR="00CF6B08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4.8). Po ukončení liečby môže zvýšené riziko pretrvávať najmenej 10</w:t>
      </w:r>
      <w:r w:rsidR="00CF6B08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rokov.</w:t>
      </w:r>
    </w:p>
    <w:p w14:paraId="55AD3FCC" w14:textId="6CD247F3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Cyklické pridávanie progestagénu najmenej 12</w:t>
      </w:r>
      <w:r w:rsidR="00160CE1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dní v</w:t>
      </w:r>
      <w:r w:rsidR="00160CE1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mesiaci počas 28</w:t>
      </w:r>
      <w:r w:rsidR="00160CE1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>-</w:t>
      </w:r>
      <w:r w:rsidR="00160CE1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 xml:space="preserve">dňového cyklu alebo kontinuálna kombinovaná estrogén-progestagénová liečba u žien, ktoré nie sú po hysterektómii, môže brániť zvýšenému riziku, ktoré má samotná estrogénová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>.</w:t>
      </w:r>
    </w:p>
    <w:p w14:paraId="72755F94" w14:textId="77777777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bookmarkStart w:id="1" w:name="OLE_LINK3"/>
      <w:bookmarkStart w:id="2" w:name="OLE_LINK4"/>
      <w:r w:rsidRPr="002D19BC">
        <w:rPr>
          <w:sz w:val="22"/>
          <w:szCs w:val="22"/>
          <w:lang w:val="sk-SK"/>
        </w:rPr>
        <w:t>Počas prvých mesiacov liečby sa môže vyskytnúť intermenštruačné krvácanie a špinenie. Ak sa intermenštruačné</w:t>
      </w:r>
      <w:r w:rsidRPr="002D19BC" w:rsidDel="005E03A3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>krvácanie alebo špinenie vyskytne po určitej dobe liečby, alebo pretrváva po prerušení liečby, musí byť vyšetrená príčina krvácania, čo môže zahŕňať biopsiu endometria za účelom vylúčenia malignity endometria.</w:t>
      </w:r>
    </w:p>
    <w:bookmarkEnd w:id="1"/>
    <w:bookmarkEnd w:id="2"/>
    <w:p w14:paraId="1BE0B53E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1695C466" w14:textId="4070ECEF" w:rsidR="00B822E6" w:rsidRPr="002D19BC" w:rsidRDefault="002F4534" w:rsidP="00610047">
      <w:pPr>
        <w:pStyle w:val="Zkladntext"/>
        <w:keepNext/>
        <w:jc w:val="left"/>
        <w:rPr>
          <w:b/>
          <w:sz w:val="22"/>
          <w:szCs w:val="22"/>
          <w:u w:val="single"/>
          <w:lang w:val="sk-SK"/>
        </w:rPr>
      </w:pPr>
      <w:r>
        <w:rPr>
          <w:b/>
          <w:sz w:val="22"/>
          <w:szCs w:val="22"/>
          <w:u w:val="single"/>
          <w:lang w:val="sk-SK"/>
        </w:rPr>
        <w:t>Karcinóm</w:t>
      </w:r>
      <w:r w:rsidR="00B822E6" w:rsidRPr="002D19BC">
        <w:rPr>
          <w:b/>
          <w:sz w:val="22"/>
          <w:szCs w:val="22"/>
          <w:u w:val="single"/>
          <w:lang w:val="sk-SK"/>
        </w:rPr>
        <w:t xml:space="preserve"> prsníka</w:t>
      </w:r>
    </w:p>
    <w:p w14:paraId="0A9C2B5D" w14:textId="6A32131F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Celkové dôkazy naznačujú zvýšené riziko </w:t>
      </w:r>
      <w:r w:rsidR="0000179D">
        <w:rPr>
          <w:sz w:val="22"/>
          <w:szCs w:val="22"/>
          <w:lang w:val="sk-SK"/>
        </w:rPr>
        <w:t>karcinómu</w:t>
      </w:r>
      <w:r w:rsidRPr="002D19BC">
        <w:rPr>
          <w:sz w:val="22"/>
          <w:szCs w:val="22"/>
          <w:lang w:val="sk-SK"/>
        </w:rPr>
        <w:t xml:space="preserve"> prsníka u žien užívajúcich kombináciu estrogén-progestagén a pravdepodobne aj samotnú estrogénovú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, ktoré je závislé na dĺžke užívania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>.</w:t>
      </w:r>
    </w:p>
    <w:p w14:paraId="24384C01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14:paraId="1EC88534" w14:textId="77777777" w:rsidR="00B822E6" w:rsidRPr="002D19BC" w:rsidRDefault="00B822E6" w:rsidP="00610047">
      <w:pPr>
        <w:pStyle w:val="Zkladntext"/>
        <w:keepNext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Kombinovaná estrogén-progestagénová liečba:</w:t>
      </w:r>
    </w:p>
    <w:p w14:paraId="0DAAD045" w14:textId="5A1F2D50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randomizovaná placebom kontrolovaná štúdia „Women`s Health Initiative study“ (WHI), a epidemiologické štúdie súhlasne potvrdili zvýšené riziko </w:t>
      </w:r>
      <w:r w:rsidR="0000179D">
        <w:rPr>
          <w:sz w:val="22"/>
          <w:szCs w:val="22"/>
          <w:lang w:val="sk-SK"/>
        </w:rPr>
        <w:t>karcinómu</w:t>
      </w:r>
      <w:r w:rsidRPr="002D19BC">
        <w:rPr>
          <w:sz w:val="22"/>
          <w:szCs w:val="22"/>
          <w:lang w:val="sk-SK"/>
        </w:rPr>
        <w:t xml:space="preserve"> prsníka u žien užívajúcich estrogén-progestagénovú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>, ktoré sa objavuje asi po 3 rokoch (pozri časť</w:t>
      </w:r>
      <w:r w:rsidR="00F3343E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4.8).</w:t>
      </w:r>
    </w:p>
    <w:p w14:paraId="6D049944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14:paraId="6478BA5D" w14:textId="77777777" w:rsidR="00B822E6" w:rsidRPr="002D19BC" w:rsidRDefault="00B822E6" w:rsidP="00610047">
      <w:pPr>
        <w:pStyle w:val="Zkladntext"/>
        <w:keepNext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Samotná estrogénová liečba:</w:t>
      </w:r>
    </w:p>
    <w:p w14:paraId="06927AF3" w14:textId="791A2F99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WHI štúdia nenašla zvýšené riziko </w:t>
      </w:r>
      <w:r w:rsidR="0000179D">
        <w:rPr>
          <w:sz w:val="22"/>
          <w:szCs w:val="22"/>
          <w:lang w:val="sk-SK"/>
        </w:rPr>
        <w:t>karcinómu</w:t>
      </w:r>
      <w:r w:rsidRPr="002D19BC">
        <w:rPr>
          <w:sz w:val="22"/>
          <w:szCs w:val="22"/>
          <w:lang w:val="sk-SK"/>
        </w:rPr>
        <w:t xml:space="preserve"> prsníka u žien po hysterektómii užívajúcich len estrogénovu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. Observačné štúdie vo väčšine prípadov zaznamenali malé zvýšenie rizika výskytu </w:t>
      </w:r>
      <w:r w:rsidR="0000179D">
        <w:rPr>
          <w:sz w:val="22"/>
          <w:szCs w:val="22"/>
          <w:lang w:val="sk-SK"/>
        </w:rPr>
        <w:t>karcinómu</w:t>
      </w:r>
      <w:r w:rsidRPr="002D19BC">
        <w:rPr>
          <w:sz w:val="22"/>
          <w:szCs w:val="22"/>
          <w:lang w:val="sk-SK"/>
        </w:rPr>
        <w:t xml:space="preserve"> prsníka, ktoré je podstatne nižšie, ako bolo zistené u užívateliek estrogén-progestagénových kombinácií (pozri časť</w:t>
      </w:r>
      <w:r w:rsidR="0087267C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4.8).</w:t>
      </w:r>
    </w:p>
    <w:p w14:paraId="3C8364BD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14:paraId="17BC83CC" w14:textId="7CA1031B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Zvýšené riziko pri liečbe trvajúcej niekoľko rokov je zjavné, ale po ukončení liečby sa v priebehu niekoľkých rokov vracia na východiskovú hodnotu (najneskôr do 5</w:t>
      </w:r>
      <w:r w:rsidR="00FB6826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rokov).</w:t>
      </w:r>
    </w:p>
    <w:p w14:paraId="3618FA7C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14:paraId="774E248F" w14:textId="48010CD5" w:rsidR="00B822E6" w:rsidRPr="002D19BC" w:rsidRDefault="0000179D" w:rsidP="00BE3F0C">
      <w:pPr>
        <w:pStyle w:val="Zkladntext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HST</w:t>
      </w:r>
      <w:r w:rsidR="00B822E6" w:rsidRPr="002D19BC">
        <w:rPr>
          <w:sz w:val="22"/>
          <w:szCs w:val="22"/>
          <w:lang w:val="sk-SK"/>
        </w:rPr>
        <w:t>, najmä liečba kombináciou estrogén-progestagén, zvyšuje denzitu mamografického obrazu, čo môže nepriaznivo ovplyvniť rádiologickú detekciu karcinómu prsníka.</w:t>
      </w:r>
    </w:p>
    <w:p w14:paraId="0BDD8706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14:paraId="4C91BB6F" w14:textId="3875CDA4" w:rsidR="00B822E6" w:rsidRPr="002D19BC" w:rsidRDefault="00897A93" w:rsidP="00610047">
      <w:pPr>
        <w:pStyle w:val="Zkladntext"/>
        <w:keepNext/>
        <w:jc w:val="left"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Ovariálny karcinóm</w:t>
      </w:r>
    </w:p>
    <w:p w14:paraId="0DD06B64" w14:textId="6B56221D" w:rsidR="00B822E6" w:rsidRPr="002D19BC" w:rsidRDefault="00897A93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Ovariálny karcinóm</w:t>
      </w:r>
      <w:r w:rsidR="00B822E6" w:rsidRPr="002D19BC">
        <w:rPr>
          <w:sz w:val="22"/>
          <w:szCs w:val="22"/>
          <w:lang w:val="sk-SK"/>
        </w:rPr>
        <w:t xml:space="preserve"> je </w:t>
      </w:r>
      <w:r w:rsidRPr="002D19BC">
        <w:rPr>
          <w:sz w:val="22"/>
          <w:szCs w:val="22"/>
          <w:lang w:val="sk-SK"/>
        </w:rPr>
        <w:t xml:space="preserve">oveľa </w:t>
      </w:r>
      <w:r w:rsidR="00B822E6" w:rsidRPr="002D19BC">
        <w:rPr>
          <w:sz w:val="22"/>
          <w:szCs w:val="22"/>
          <w:lang w:val="sk-SK"/>
        </w:rPr>
        <w:t>zriedkavejš</w:t>
      </w:r>
      <w:r w:rsidRPr="002D19BC">
        <w:rPr>
          <w:sz w:val="22"/>
          <w:szCs w:val="22"/>
          <w:lang w:val="sk-SK"/>
        </w:rPr>
        <w:t>í</w:t>
      </w:r>
      <w:r w:rsidR="00B822E6" w:rsidRPr="002D19BC">
        <w:rPr>
          <w:sz w:val="22"/>
          <w:szCs w:val="22"/>
          <w:lang w:val="sk-SK"/>
        </w:rPr>
        <w:t xml:space="preserve"> ako </w:t>
      </w:r>
      <w:r w:rsidRPr="002D19BC">
        <w:rPr>
          <w:sz w:val="22"/>
          <w:szCs w:val="22"/>
          <w:lang w:val="sk-SK"/>
        </w:rPr>
        <w:t xml:space="preserve">karcinóm </w:t>
      </w:r>
      <w:r w:rsidR="00B822E6" w:rsidRPr="002D19BC">
        <w:rPr>
          <w:sz w:val="22"/>
          <w:szCs w:val="22"/>
          <w:lang w:val="sk-SK"/>
        </w:rPr>
        <w:t xml:space="preserve">prsníka. </w:t>
      </w:r>
      <w:r w:rsidR="009139E2" w:rsidRPr="002D19BC">
        <w:rPr>
          <w:sz w:val="22"/>
          <w:szCs w:val="22"/>
          <w:lang w:val="sk-SK"/>
        </w:rPr>
        <w:t xml:space="preserve">Z epidemiologických dôkazov rozsiahlej metaanalýzy vyplýva, že u žien užívajúcich </w:t>
      </w:r>
      <w:r w:rsidR="0000179D">
        <w:rPr>
          <w:sz w:val="22"/>
          <w:szCs w:val="22"/>
          <w:lang w:val="sk-SK"/>
        </w:rPr>
        <w:t>HST</w:t>
      </w:r>
      <w:r w:rsidR="009139E2" w:rsidRPr="002D19BC">
        <w:rPr>
          <w:sz w:val="22"/>
          <w:szCs w:val="22"/>
          <w:lang w:val="sk-SK"/>
        </w:rPr>
        <w:t xml:space="preserve"> obsahujúcu iba estrogén alebo kombináciu estrogénu a progestagénu existuje mierne zvýšené riziko, ktoré sa prejaví do piatich rokov užívania a po vysadení liečby sa postupne znižuje. </w:t>
      </w:r>
      <w:r w:rsidR="00B822E6" w:rsidRPr="002D19BC">
        <w:rPr>
          <w:sz w:val="22"/>
          <w:szCs w:val="22"/>
          <w:lang w:val="sk-SK"/>
        </w:rPr>
        <w:t xml:space="preserve">Niektoré </w:t>
      </w:r>
      <w:r w:rsidR="009139E2" w:rsidRPr="002D19BC">
        <w:rPr>
          <w:sz w:val="22"/>
          <w:szCs w:val="22"/>
          <w:lang w:val="sk-SK"/>
        </w:rPr>
        <w:t xml:space="preserve">iné </w:t>
      </w:r>
      <w:r w:rsidR="00B822E6" w:rsidRPr="002D19BC">
        <w:rPr>
          <w:sz w:val="22"/>
          <w:szCs w:val="22"/>
          <w:lang w:val="sk-SK"/>
        </w:rPr>
        <w:t xml:space="preserve">štúdie, vrátane </w:t>
      </w:r>
      <w:r w:rsidR="009139E2" w:rsidRPr="002D19BC">
        <w:rPr>
          <w:sz w:val="22"/>
          <w:szCs w:val="22"/>
          <w:lang w:val="sk-SK"/>
        </w:rPr>
        <w:t>skúšania Iniciatívy pre zdravie žien (</w:t>
      </w:r>
      <w:r w:rsidR="00B822E6" w:rsidRPr="002D19BC">
        <w:rPr>
          <w:sz w:val="22"/>
          <w:szCs w:val="22"/>
          <w:lang w:val="sk-SK"/>
        </w:rPr>
        <w:t>WHI</w:t>
      </w:r>
      <w:r w:rsidR="009139E2" w:rsidRPr="002D19BC">
        <w:rPr>
          <w:sz w:val="22"/>
          <w:szCs w:val="22"/>
          <w:lang w:val="sk-SK"/>
        </w:rPr>
        <w:t>)</w:t>
      </w:r>
      <w:r w:rsidR="00B822E6" w:rsidRPr="002D19BC">
        <w:rPr>
          <w:sz w:val="22"/>
          <w:szCs w:val="22"/>
          <w:lang w:val="sk-SK"/>
        </w:rPr>
        <w:t xml:space="preserve"> naznačujú, že užívanie kombinovan</w:t>
      </w:r>
      <w:r w:rsidR="00D03D0F">
        <w:rPr>
          <w:sz w:val="22"/>
          <w:szCs w:val="22"/>
          <w:lang w:val="sk-SK"/>
        </w:rPr>
        <w:t>ej</w:t>
      </w:r>
      <w:r w:rsidR="0074771B" w:rsidRPr="002D19BC">
        <w:rPr>
          <w:sz w:val="22"/>
          <w:szCs w:val="22"/>
          <w:lang w:val="sk-SK"/>
        </w:rPr>
        <w:t xml:space="preserve"> </w:t>
      </w:r>
      <w:r w:rsidR="0000179D">
        <w:rPr>
          <w:sz w:val="22"/>
          <w:szCs w:val="22"/>
          <w:lang w:val="sk-SK"/>
        </w:rPr>
        <w:t>HST</w:t>
      </w:r>
      <w:r w:rsidR="00B822E6" w:rsidRPr="002D19BC">
        <w:rPr>
          <w:sz w:val="22"/>
          <w:szCs w:val="22"/>
          <w:lang w:val="sk-SK"/>
        </w:rPr>
        <w:t xml:space="preserve"> môže </w:t>
      </w:r>
      <w:r w:rsidR="0074771B" w:rsidRPr="002D19BC">
        <w:rPr>
          <w:sz w:val="22"/>
          <w:szCs w:val="22"/>
          <w:lang w:val="sk-SK"/>
        </w:rPr>
        <w:t xml:space="preserve">byť spojené s </w:t>
      </w:r>
      <w:r w:rsidR="00B822E6" w:rsidRPr="002D19BC">
        <w:rPr>
          <w:sz w:val="22"/>
          <w:szCs w:val="22"/>
          <w:lang w:val="sk-SK"/>
        </w:rPr>
        <w:t>podobn</w:t>
      </w:r>
      <w:r w:rsidR="0074771B" w:rsidRPr="002D19BC">
        <w:rPr>
          <w:sz w:val="22"/>
          <w:szCs w:val="22"/>
          <w:lang w:val="sk-SK"/>
        </w:rPr>
        <w:t>ým</w:t>
      </w:r>
      <w:r w:rsidR="00B822E6" w:rsidRPr="002D19BC">
        <w:rPr>
          <w:sz w:val="22"/>
          <w:szCs w:val="22"/>
          <w:lang w:val="sk-SK"/>
        </w:rPr>
        <w:t xml:space="preserve"> alebo </w:t>
      </w:r>
      <w:r w:rsidR="0074771B" w:rsidRPr="002D19BC">
        <w:rPr>
          <w:sz w:val="22"/>
          <w:szCs w:val="22"/>
          <w:lang w:val="sk-SK"/>
        </w:rPr>
        <w:t xml:space="preserve">trochu </w:t>
      </w:r>
      <w:r w:rsidR="00B822E6" w:rsidRPr="002D19BC">
        <w:rPr>
          <w:sz w:val="22"/>
          <w:szCs w:val="22"/>
          <w:lang w:val="sk-SK"/>
        </w:rPr>
        <w:t>nižš</w:t>
      </w:r>
      <w:r w:rsidR="0074771B" w:rsidRPr="002D19BC">
        <w:rPr>
          <w:sz w:val="22"/>
          <w:szCs w:val="22"/>
          <w:lang w:val="sk-SK"/>
        </w:rPr>
        <w:t>ím</w:t>
      </w:r>
      <w:r w:rsidR="00B822E6" w:rsidRPr="002D19BC">
        <w:rPr>
          <w:sz w:val="22"/>
          <w:szCs w:val="22"/>
          <w:lang w:val="sk-SK"/>
        </w:rPr>
        <w:t xml:space="preserve"> riziko</w:t>
      </w:r>
      <w:r w:rsidR="0074771B" w:rsidRPr="002D19BC">
        <w:rPr>
          <w:sz w:val="22"/>
          <w:szCs w:val="22"/>
          <w:lang w:val="sk-SK"/>
        </w:rPr>
        <w:t>m</w:t>
      </w:r>
      <w:r w:rsidR="00B822E6" w:rsidRPr="002D19BC">
        <w:rPr>
          <w:sz w:val="22"/>
          <w:szCs w:val="22"/>
          <w:lang w:val="sk-SK"/>
        </w:rPr>
        <w:t xml:space="preserve"> (pozri časť</w:t>
      </w:r>
      <w:r w:rsidR="00BD784A">
        <w:rPr>
          <w:sz w:val="22"/>
          <w:szCs w:val="22"/>
          <w:lang w:val="sk-SK"/>
        </w:rPr>
        <w:t> </w:t>
      </w:r>
      <w:r w:rsidR="00B822E6" w:rsidRPr="002D19BC">
        <w:rPr>
          <w:sz w:val="22"/>
          <w:szCs w:val="22"/>
          <w:lang w:val="sk-SK"/>
        </w:rPr>
        <w:t>4.8).</w:t>
      </w:r>
    </w:p>
    <w:p w14:paraId="0FB49B8C" w14:textId="77777777" w:rsidR="00B822E6" w:rsidRPr="003B251E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14:paraId="1EBFF086" w14:textId="77777777" w:rsidR="00B822E6" w:rsidRPr="002D19BC" w:rsidRDefault="00B822E6" w:rsidP="00610047">
      <w:pPr>
        <w:pStyle w:val="Zkladntext"/>
        <w:keepNext/>
        <w:jc w:val="left"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Venózna tromboembólia</w:t>
      </w:r>
    </w:p>
    <w:p w14:paraId="447B1407" w14:textId="619123DE" w:rsidR="00B822E6" w:rsidRPr="002D19BC" w:rsidRDefault="0000179D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HST</w:t>
      </w:r>
      <w:r w:rsidR="00B822E6" w:rsidRPr="002D19BC">
        <w:rPr>
          <w:sz w:val="22"/>
          <w:szCs w:val="22"/>
          <w:lang w:val="sk-SK"/>
        </w:rPr>
        <w:t xml:space="preserve"> je spojená s 1,3 </w:t>
      </w:r>
      <w:r w:rsidR="00E30D73">
        <w:rPr>
          <w:sz w:val="22"/>
          <w:szCs w:val="22"/>
          <w:lang w:val="sk-SK"/>
        </w:rPr>
        <w:t>–</w:t>
      </w:r>
      <w:r w:rsidR="00B822E6" w:rsidRPr="002D19BC">
        <w:rPr>
          <w:sz w:val="22"/>
          <w:szCs w:val="22"/>
          <w:lang w:val="sk-SK"/>
        </w:rPr>
        <w:t xml:space="preserve"> 3</w:t>
      </w:r>
      <w:r w:rsidR="00E30D73">
        <w:rPr>
          <w:sz w:val="22"/>
          <w:szCs w:val="22"/>
          <w:lang w:val="sk-SK"/>
        </w:rPr>
        <w:t xml:space="preserve"> </w:t>
      </w:r>
      <w:r w:rsidR="00B822E6" w:rsidRPr="002D19BC">
        <w:rPr>
          <w:sz w:val="22"/>
          <w:szCs w:val="22"/>
          <w:lang w:val="sk-SK"/>
        </w:rPr>
        <w:t xml:space="preserve">- násobne vyšším rizikom vzniku venóznej tromboembólie (VTE), čo je hlboká žilová trombóza alebo pľúcna embólia. Pravdepodobnosť výskytu týchto stavov je vyššia v prvom roku užívania </w:t>
      </w:r>
      <w:r>
        <w:rPr>
          <w:sz w:val="22"/>
          <w:szCs w:val="22"/>
          <w:lang w:val="sk-SK"/>
        </w:rPr>
        <w:t>HST</w:t>
      </w:r>
      <w:r w:rsidR="00B822E6" w:rsidRPr="002D19BC">
        <w:rPr>
          <w:sz w:val="22"/>
          <w:szCs w:val="22"/>
          <w:lang w:val="sk-SK"/>
        </w:rPr>
        <w:t>, než neskôr (pozri časť</w:t>
      </w:r>
      <w:r w:rsidR="007E753E">
        <w:rPr>
          <w:sz w:val="22"/>
          <w:szCs w:val="22"/>
          <w:lang w:val="sk-SK"/>
        </w:rPr>
        <w:t> </w:t>
      </w:r>
      <w:r w:rsidR="00B822E6" w:rsidRPr="002D19BC">
        <w:rPr>
          <w:sz w:val="22"/>
          <w:szCs w:val="22"/>
          <w:lang w:val="sk-SK"/>
        </w:rPr>
        <w:t>4.8).</w:t>
      </w:r>
    </w:p>
    <w:p w14:paraId="40BC3818" w14:textId="1819E1A1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Pacientky so známymi trombofilnými stavmi majú zvýšené riziko VTE a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môže toto riziko zvyšovať.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je preto u týchto pacientok kontraindikovaná (pozri časť</w:t>
      </w:r>
      <w:r w:rsidR="00AD4C32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4.3).</w:t>
      </w:r>
    </w:p>
    <w:p w14:paraId="0FC0CB9C" w14:textId="65C9CFE3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Všeobecne známe rizikové faktory pre VTE zahŕňajú: užívanie estrogénov, vyšší vek, vážnejší chirurgický výkon, dlhodobú imobilizáciu, obezitu (BMI &gt;30</w:t>
      </w:r>
      <w:r w:rsidR="00765ED3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kg/m</w:t>
      </w:r>
      <w:r w:rsidRPr="00610047">
        <w:rPr>
          <w:sz w:val="22"/>
          <w:szCs w:val="22"/>
          <w:vertAlign w:val="superscript"/>
          <w:lang w:val="sk-SK"/>
        </w:rPr>
        <w:t>2</w:t>
      </w:r>
      <w:r w:rsidRPr="002D19BC">
        <w:rPr>
          <w:sz w:val="22"/>
          <w:szCs w:val="22"/>
          <w:lang w:val="sk-SK"/>
        </w:rPr>
        <w:t>), tehotenstvo/popôrodné obdobie, systémový lupus erythematosus (SLE) a rakovinu. Neexistuje jednotné stanovisko k</w:t>
      </w:r>
      <w:r w:rsidR="00F35DC2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úlohe kŕčových žíl pri vzniku VTE.</w:t>
      </w:r>
    </w:p>
    <w:p w14:paraId="724FDFCF" w14:textId="105BB135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Ako u všetkých pacientov po operácii, je potrebné venovať zvýšenú pozornosť profylaktickým opatreniam na prevenciu vzniku VTE. V</w:t>
      </w:r>
      <w:r w:rsidR="00550D6F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prípadoch predpokladanej dlhodobej imobilizácie po</w:t>
      </w:r>
      <w:r w:rsidR="00550D6F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 xml:space="preserve">vybraných chirurgických výkonoch sa odporúča dočasné prerušenie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4</w:t>
      </w:r>
      <w:r w:rsidR="00550D6F">
        <w:rPr>
          <w:sz w:val="22"/>
          <w:szCs w:val="22"/>
          <w:lang w:val="sk-SK"/>
        </w:rPr>
        <w:t xml:space="preserve"> </w:t>
      </w:r>
      <w:r w:rsidR="004757B7">
        <w:rPr>
          <w:sz w:val="22"/>
          <w:szCs w:val="22"/>
          <w:lang w:val="sk-SK"/>
        </w:rPr>
        <w:t>–</w:t>
      </w:r>
      <w:r w:rsidR="00550D6F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>6</w:t>
      </w:r>
      <w:r w:rsidR="004757B7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týždňov pred chirurgickým výkonom. Liečba nesmie byť obnovená pred úplnou mobilizáciou pacientky.</w:t>
      </w:r>
    </w:p>
    <w:p w14:paraId="7D49F49E" w14:textId="77777777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Ženám bez VTE v osobnej anamnéze, ktoré majú prvostupňového príbuzného, ktorý prekonal trombózu v mladom veku, je možné po dôslednom zvážení navrhnúť skríning s ohľadom na jeho obmedzenia (skríning zachytí len časť trombofilných defektov).</w:t>
      </w:r>
    </w:p>
    <w:p w14:paraId="193A4B4F" w14:textId="19B9EF79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Ak je zistený trombofilný defekt, ktorý vymedzí členov rodiny s trombózou, alebo ak je defekt „ťažký“ (napr. deficit antitrombínu, proteínu</w:t>
      </w:r>
      <w:r w:rsidR="004757B7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S, proteínu</w:t>
      </w:r>
      <w:r w:rsidR="004757B7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 xml:space="preserve">C alebo kombinácia týchto defektov), je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kontraindikovaná.</w:t>
      </w:r>
    </w:p>
    <w:p w14:paraId="6C67DD8E" w14:textId="0D24A8E3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Pacientky už užívajúce antikoagulačnú liečbu musia mať starostlivo zvážený pomer rizika a prínosu užívania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>.</w:t>
      </w:r>
    </w:p>
    <w:p w14:paraId="67AB71D7" w14:textId="77777777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Ak sa po zahájení liečby objaví VTE, liečba musí byť ukončená. Pacientky musia byť poučené, aby ihneď kontaktovali svojho lekára, ak si všimnú možné tromboembolické príznaky (napr. bolestivý opuch dolnej končatiny, náhla bolesť v hrudníku, dýchavičnosť).</w:t>
      </w:r>
    </w:p>
    <w:p w14:paraId="373B3C9E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14:paraId="7691485F" w14:textId="77777777" w:rsidR="00B822E6" w:rsidRPr="002D19BC" w:rsidRDefault="00B822E6" w:rsidP="00610047">
      <w:pPr>
        <w:keepNext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Ochorenie koronárnych tepien (CAD)</w:t>
      </w:r>
    </w:p>
    <w:p w14:paraId="3E924F96" w14:textId="526FBB38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Randomizované kontrolované štúdie neposkytli žiaden dôkaz kardiovaskulárnej ochrany počas užívania estrogén-progestagénovej alebo samotnej estrogénovej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u</w:t>
      </w:r>
      <w:r w:rsidR="00C11EAE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žien s alebo bez existujúceho ochorenia koronárnych ciev.</w:t>
      </w:r>
    </w:p>
    <w:p w14:paraId="0E03F6B3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491BF643" w14:textId="77777777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Liečba kombináciou estrogén-progestagén:</w:t>
      </w:r>
    </w:p>
    <w:p w14:paraId="50C33BE2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6CDD3B3E" w14:textId="662CCD35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Počas užívania kombinovanej estrogén-progestagén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je mierne zvýšené riziko CAD. Kým absolútne riziko CAD je silne závislé od veku, počet extra prípadov CAD (prípadov, ktoré pribudnú) počas užívania estrogén-progestagénov je veľmi malý u zdravých pacientok blízko menopauzy, ale bude sa zvyšovať s </w:t>
      </w:r>
      <w:r w:rsidR="00D03D0F" w:rsidRPr="002D19BC">
        <w:rPr>
          <w:sz w:val="22"/>
          <w:szCs w:val="22"/>
          <w:lang w:val="sk-SK"/>
        </w:rPr>
        <w:t>prib</w:t>
      </w:r>
      <w:r w:rsidR="00D03D0F">
        <w:rPr>
          <w:sz w:val="22"/>
          <w:szCs w:val="22"/>
          <w:lang w:val="sk-SK"/>
        </w:rPr>
        <w:t>ú</w:t>
      </w:r>
      <w:r w:rsidR="00D03D0F" w:rsidRPr="002D19BC">
        <w:rPr>
          <w:sz w:val="22"/>
          <w:szCs w:val="22"/>
          <w:lang w:val="sk-SK"/>
        </w:rPr>
        <w:t xml:space="preserve">dajúcim </w:t>
      </w:r>
      <w:r w:rsidRPr="002D19BC">
        <w:rPr>
          <w:sz w:val="22"/>
          <w:szCs w:val="22"/>
          <w:lang w:val="sk-SK"/>
        </w:rPr>
        <w:t>vekom.</w:t>
      </w:r>
    </w:p>
    <w:p w14:paraId="7E36BA2C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1491258B" w14:textId="77777777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Samotný estrogén:</w:t>
      </w:r>
    </w:p>
    <w:p w14:paraId="1F5A0D34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5CB95736" w14:textId="5FC966EC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Údaje z randomizovaných kontrolovaných štúdií nepreukázali zvýšené riziko CAD u žien po hysterektómii, ktoré užívali samotnú estrogénovú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>.</w:t>
      </w:r>
    </w:p>
    <w:p w14:paraId="4D538BDB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19293737" w14:textId="77777777" w:rsidR="00B822E6" w:rsidRPr="002D19BC" w:rsidRDefault="00B822E6" w:rsidP="00610047">
      <w:pPr>
        <w:keepNext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Ischemická cievna mozgová príhoda</w:t>
      </w:r>
    </w:p>
    <w:p w14:paraId="5D37E69C" w14:textId="50D4F934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Kombinovaná estrogén-progestagénová alebo samotná estrogénova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je spojená s až 1,5</w:t>
      </w:r>
      <w:r w:rsidR="006B336A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násobne vyšším rizikom cievnej mozgovej príhody. Relatívne riziko sa nemení s vekom alebo dobou po</w:t>
      </w:r>
      <w:r w:rsidR="006E3D70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 xml:space="preserve">menopauze. Avšak pretože základné riziko mozgovej príhody je silne závislé od veku, bude sa vekom zvyšovať i celkové riziko cievnej mozgovej príhody u žien užívajúcich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(pozri časť</w:t>
      </w:r>
      <w:r w:rsidR="00FA3365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4.8).</w:t>
      </w:r>
    </w:p>
    <w:p w14:paraId="4496E043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6B265243" w14:textId="77777777" w:rsidR="00B822E6" w:rsidRPr="002D19BC" w:rsidRDefault="00B822E6" w:rsidP="00610047">
      <w:pPr>
        <w:keepNext/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Ostatné stavy</w:t>
      </w:r>
    </w:p>
    <w:p w14:paraId="382ED212" w14:textId="35F00C9F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Estrogény môžu spôsobiť zadržiavanie tekutín, a preto pacientkam so srdcovou alebo obličkovou poruchou musí byť venovaná zvýšená pozornosť.</w:t>
      </w:r>
    </w:p>
    <w:p w14:paraId="773DCE95" w14:textId="77777777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Ženy s už existujúcou hypertriglyceridémiou majú byť počas estrogénovej alebo hormonálnej substitučnej liečby pozorne sledované, keďže boli v spojitosti s estrogénovou liečbou hlásené zriedkavé prípady, kedy významné zvýšenie hladín triglyceridov v plazme spôsobilo pankreatitídu.</w:t>
      </w:r>
    </w:p>
    <w:p w14:paraId="192B265D" w14:textId="15692C04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Estrogény zvyšujú globulín viažuci hormón štítnej žľazy (TBG), čím zvyšujú hladinu celkového cirkulujúceho hormónu štítnej žľazy, vyjadrenú buď koncentráciou jódu naviazaného na bielkoviny (protein-bound iodine, PBI), hladinami T4 (stĺpcovou alebo rádioimunoanalýzou) alebo hladinami T3 (rádioimunoanalýzou). Absorpcia T3 živicou je znížená, čo odráža zvýšenú hladinu TBG. Koncentrácia voľného T4 a T3 sa nemení. V sére môžu byť zvýšené ďalšie väzobné proteíny, ako je globulín viažuci kortikoidy (corticoid binding globulin, CBG), globulín viažuci pohlavné hormóny (sex-hormone-binding globulin, SHBG), čo vedie k zvýšenej cirkulácii kortikosteroidov a pohlavných hormónov. Koncentrácie voľných alebo biologicky aktívnych hormónov sú nezmenené. Môžu byť zvýšené ďalšie plazmatické bielkoviny (angiotenzinogén/renín substrát, alfa-1-antitrypsín, ceruloplazmín).</w:t>
      </w:r>
    </w:p>
    <w:p w14:paraId="276B778F" w14:textId="6F380D97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Užívanie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nezlepšuje kognitívne funkcie. Sú určité dôkazy o zvýšenom riziku možnej demencie u žien, ktoré začínajú užívať kontinuálnu kombinovanú alebo samotnú estrogénovú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po 65. roku veku.</w:t>
      </w:r>
    </w:p>
    <w:p w14:paraId="60D65E26" w14:textId="52842CAC" w:rsidR="00B822E6" w:rsidRPr="00BE3F0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Pacientky so zriedkav</w:t>
      </w:r>
      <w:r w:rsidR="00882BBE">
        <w:rPr>
          <w:sz w:val="22"/>
          <w:szCs w:val="22"/>
          <w:lang w:val="sk-SK"/>
        </w:rPr>
        <w:t>ými</w:t>
      </w:r>
      <w:r w:rsidRPr="002D19BC">
        <w:rPr>
          <w:sz w:val="22"/>
          <w:szCs w:val="22"/>
          <w:lang w:val="sk-SK"/>
        </w:rPr>
        <w:t xml:space="preserve"> dedičn</w:t>
      </w:r>
      <w:r w:rsidR="00882BBE">
        <w:rPr>
          <w:sz w:val="22"/>
          <w:szCs w:val="22"/>
          <w:lang w:val="sk-SK"/>
        </w:rPr>
        <w:t>ými</w:t>
      </w:r>
      <w:r w:rsidRPr="002D19BC">
        <w:rPr>
          <w:sz w:val="22"/>
          <w:szCs w:val="22"/>
          <w:lang w:val="sk-SK"/>
        </w:rPr>
        <w:t xml:space="preserve"> </w:t>
      </w:r>
      <w:r w:rsidR="00882BBE">
        <w:rPr>
          <w:sz w:val="22"/>
          <w:szCs w:val="22"/>
          <w:lang w:val="sk-SK"/>
        </w:rPr>
        <w:t>problémami</w:t>
      </w:r>
      <w:r w:rsidRPr="002D19BC">
        <w:rPr>
          <w:sz w:val="22"/>
          <w:szCs w:val="22"/>
          <w:lang w:val="sk-SK"/>
        </w:rPr>
        <w:t xml:space="preserve"> </w:t>
      </w:r>
      <w:r w:rsidR="00882BBE" w:rsidRPr="006F42D9">
        <w:rPr>
          <w:sz w:val="22"/>
          <w:szCs w:val="22"/>
          <w:lang w:val="sk-SK"/>
        </w:rPr>
        <w:t>galaktózovej intolerancie</w:t>
      </w:r>
      <w:r w:rsidRPr="002D19BC">
        <w:rPr>
          <w:sz w:val="22"/>
          <w:szCs w:val="22"/>
          <w:lang w:val="sk-SK"/>
        </w:rPr>
        <w:t xml:space="preserve">, </w:t>
      </w:r>
      <w:r w:rsidR="00882BBE">
        <w:rPr>
          <w:sz w:val="22"/>
          <w:szCs w:val="22"/>
          <w:lang w:val="sk-SK"/>
        </w:rPr>
        <w:t>celkovým deficitom</w:t>
      </w:r>
      <w:r w:rsidRPr="002D19BC">
        <w:rPr>
          <w:sz w:val="22"/>
          <w:szCs w:val="22"/>
          <w:lang w:val="sk-SK"/>
        </w:rPr>
        <w:t xml:space="preserve"> laktáz</w:t>
      </w:r>
      <w:r w:rsidR="00882BBE">
        <w:rPr>
          <w:sz w:val="22"/>
          <w:szCs w:val="22"/>
          <w:lang w:val="sk-SK"/>
        </w:rPr>
        <w:t>y</w:t>
      </w:r>
      <w:r w:rsidRPr="002D19BC">
        <w:rPr>
          <w:sz w:val="22"/>
          <w:szCs w:val="22"/>
          <w:lang w:val="sk-SK"/>
        </w:rPr>
        <w:t xml:space="preserve"> alebo glukózo-galaktózov</w:t>
      </w:r>
      <w:r w:rsidR="005F14B6">
        <w:rPr>
          <w:sz w:val="22"/>
          <w:szCs w:val="22"/>
          <w:lang w:val="sk-SK"/>
        </w:rPr>
        <w:t>ou</w:t>
      </w:r>
      <w:r w:rsidRPr="002D19BC">
        <w:rPr>
          <w:sz w:val="22"/>
          <w:szCs w:val="22"/>
          <w:lang w:val="sk-SK"/>
        </w:rPr>
        <w:t xml:space="preserve"> malabsorpci</w:t>
      </w:r>
      <w:r w:rsidR="005F14B6">
        <w:rPr>
          <w:sz w:val="22"/>
          <w:szCs w:val="22"/>
          <w:lang w:val="sk-SK"/>
        </w:rPr>
        <w:t>ou</w:t>
      </w:r>
      <w:r w:rsidRPr="002D19BC">
        <w:rPr>
          <w:sz w:val="22"/>
          <w:szCs w:val="22"/>
          <w:lang w:val="sk-SK"/>
        </w:rPr>
        <w:t xml:space="preserve"> ne</w:t>
      </w:r>
      <w:r w:rsidR="00882BBE">
        <w:rPr>
          <w:sz w:val="22"/>
          <w:szCs w:val="22"/>
          <w:lang w:val="sk-SK"/>
        </w:rPr>
        <w:t>smú</w:t>
      </w:r>
      <w:r w:rsidRPr="002D19BC">
        <w:rPr>
          <w:sz w:val="22"/>
          <w:szCs w:val="22"/>
          <w:lang w:val="sk-SK"/>
        </w:rPr>
        <w:t xml:space="preserve"> užívať tento liek.</w:t>
      </w:r>
    </w:p>
    <w:p w14:paraId="1AE6B04C" w14:textId="33B2B400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Liečba kombináciou estrogén-progestagén nie je antikoncepcia.</w:t>
      </w:r>
    </w:p>
    <w:p w14:paraId="1F061AF2" w14:textId="77777777" w:rsidR="00B822E6" w:rsidRPr="00BE3F0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14:paraId="48446664" w14:textId="69B044F4"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Liekové a</w:t>
      </w:r>
      <w:r w:rsidR="004C53C4">
        <w:rPr>
          <w:b/>
          <w:sz w:val="22"/>
          <w:szCs w:val="22"/>
          <w:lang w:val="sk-SK" w:bidi="sk-SK"/>
        </w:rPr>
        <w:t> </w:t>
      </w:r>
      <w:r w:rsidRPr="00BE3F0C">
        <w:rPr>
          <w:b/>
          <w:sz w:val="22"/>
          <w:szCs w:val="22"/>
          <w:lang w:val="sk-SK" w:bidi="sk-SK"/>
        </w:rPr>
        <w:t>iné interakcie</w:t>
      </w:r>
    </w:p>
    <w:p w14:paraId="0318F82D" w14:textId="77777777" w:rsidR="00262803" w:rsidRPr="002D19BC" w:rsidRDefault="00262803" w:rsidP="00610047">
      <w:pPr>
        <w:pStyle w:val="Hlavika"/>
        <w:keepNext/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14:paraId="6FF594C3" w14:textId="77777777" w:rsidR="00B822E6" w:rsidRPr="002D19BC" w:rsidRDefault="00B822E6">
      <w:pPr>
        <w:pStyle w:val="Hlavika"/>
        <w:tabs>
          <w:tab w:val="clear" w:pos="4153"/>
          <w:tab w:val="clear" w:pos="8306"/>
        </w:tabs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Štúdie interakcií neboli uskutočnené.</w:t>
      </w:r>
    </w:p>
    <w:p w14:paraId="3B58E272" w14:textId="546E454D" w:rsidR="00B822E6" w:rsidRPr="002D19BC" w:rsidRDefault="00B822E6">
      <w:pPr>
        <w:pStyle w:val="Hlavika"/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14:paraId="5BF405A8" w14:textId="77777777" w:rsidR="00B822E6" w:rsidRPr="002D19BC" w:rsidRDefault="00B822E6" w:rsidP="00610047">
      <w:pPr>
        <w:pStyle w:val="Hlavika"/>
        <w:keepNext/>
        <w:tabs>
          <w:tab w:val="clear" w:pos="4153"/>
          <w:tab w:val="clear" w:pos="8306"/>
        </w:tabs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Účinnosť estrogénov a progestagénov môže byť zhoršená:</w:t>
      </w:r>
    </w:p>
    <w:p w14:paraId="3B89DA7E" w14:textId="77777777" w:rsidR="00B822E6" w:rsidRPr="00610047" w:rsidRDefault="00B822E6" w:rsidP="00610047">
      <w:pPr>
        <w:pStyle w:val="Hlavika"/>
        <w:keepNext/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14:paraId="328FF329" w14:textId="77777777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Látky, ktoré stimulujú pečeňové enzýmy, najmä enzýmy P450, môžu zvyšovať metabolizmus estrogénov a progestagénov. Takýmito látkami sú antikonvulzíva (napr. fenobarbital, karbamazepín, fenytoín) a antiinfektíva (napr. rifampicín, rifabutín, nevirapín, efavirenz).</w:t>
      </w:r>
    </w:p>
    <w:p w14:paraId="57702823" w14:textId="77777777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Ritonavir a nelfinavir, hoci sú známe ako silné inhibítory, majú v kombinácii so steroidnými hormónmi naopak indukčné vlastnosti.</w:t>
      </w:r>
    </w:p>
    <w:p w14:paraId="04C0A20E" w14:textId="77777777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Rastlinné prípravky obsahujúce ľubovník bodkovaný (</w:t>
      </w:r>
      <w:r w:rsidRPr="00BE3F0C">
        <w:rPr>
          <w:sz w:val="22"/>
          <w:szCs w:val="22"/>
          <w:lang w:val="sk-SK"/>
        </w:rPr>
        <w:t>Hypericum perforatum</w:t>
      </w:r>
      <w:r w:rsidRPr="002D19BC">
        <w:rPr>
          <w:sz w:val="22"/>
          <w:szCs w:val="22"/>
          <w:lang w:val="sk-SK"/>
        </w:rPr>
        <w:t>) môžu indukovať metabolizmus estrogénov a progestagénov.</w:t>
      </w:r>
    </w:p>
    <w:p w14:paraId="6D15B6AB" w14:textId="25658719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Klinický význam: zvýšený metabolizmus estrogénov a progestagénov môže znižovať ich účinok a spôsobovať zmeny maternicového krvácania.</w:t>
      </w:r>
    </w:p>
    <w:p w14:paraId="750DB82D" w14:textId="77777777" w:rsidR="00B822E6" w:rsidRPr="002D19BC" w:rsidRDefault="00B822E6">
      <w:pPr>
        <w:pStyle w:val="Hlavika"/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14:paraId="2A5F9281" w14:textId="42FC81AE"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/>
        </w:rPr>
      </w:pPr>
      <w:r w:rsidRPr="00BE3F0C">
        <w:rPr>
          <w:b/>
          <w:sz w:val="22"/>
          <w:szCs w:val="22"/>
          <w:lang w:val="sk-SK" w:bidi="sk-SK"/>
        </w:rPr>
        <w:t>Fertilita, gravidita a laktácia</w:t>
      </w:r>
    </w:p>
    <w:p w14:paraId="2F8437F4" w14:textId="77777777" w:rsidR="00262803" w:rsidRPr="00BE3F0C" w:rsidRDefault="00262803" w:rsidP="00610047">
      <w:pPr>
        <w:pStyle w:val="Hlavika"/>
        <w:keepNext/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14:paraId="7E63645A" w14:textId="77777777" w:rsidR="00B822E6" w:rsidRPr="002D19BC" w:rsidRDefault="00B822E6" w:rsidP="00610047">
      <w:pPr>
        <w:pStyle w:val="Hlavika"/>
        <w:keepNext/>
        <w:tabs>
          <w:tab w:val="clear" w:pos="4153"/>
          <w:tab w:val="clear" w:pos="8306"/>
        </w:tabs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Gravidita</w:t>
      </w:r>
    </w:p>
    <w:p w14:paraId="460DD34C" w14:textId="00977524" w:rsidR="00B822E6" w:rsidRPr="002D19BC" w:rsidRDefault="00B822E6" w:rsidP="00BE3F0C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Femoston conti 0,5 mg/2,5 mg nie je indikovaný počas gravidity. Ak sa gravidita zistí počas užívania Femostonu conti 0,5 mg/2,5 mg, liečba musí byť okamžite ukončená.</w:t>
      </w:r>
    </w:p>
    <w:p w14:paraId="1B6FD52A" w14:textId="77777777" w:rsidR="00B822E6" w:rsidRPr="002D19BC" w:rsidRDefault="00B822E6" w:rsidP="00BE3F0C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2C517BD5" w14:textId="34E99EBE" w:rsidR="00B822E6" w:rsidRPr="002D19BC" w:rsidRDefault="00B822E6" w:rsidP="00262803">
      <w:pPr>
        <w:rPr>
          <w:rFonts w:eastAsia="SimSun"/>
          <w:sz w:val="22"/>
          <w:szCs w:val="22"/>
          <w:lang w:val="sk-SK" w:eastAsia="zh-CN"/>
        </w:rPr>
      </w:pPr>
      <w:r w:rsidRPr="002D19BC">
        <w:rPr>
          <w:sz w:val="22"/>
          <w:szCs w:val="22"/>
          <w:lang w:val="sk-SK"/>
        </w:rPr>
        <w:lastRenderedPageBreak/>
        <w:t>Nie sú dostatočné údaje o užívaní estradiolu/dydrogesterónu tehotnými ženami. Doterajšie výsledky mnohých epidemiologických štúdií, ktoré sledovali neúmyselné vystavenie plodu kombináciám estrogénov a progestagénov, nepreukázali teratogénny alebo fetotoxický účinok.</w:t>
      </w:r>
    </w:p>
    <w:p w14:paraId="4D087079" w14:textId="77777777" w:rsidR="00B822E6" w:rsidRPr="002D19BC" w:rsidRDefault="00B822E6">
      <w:pPr>
        <w:rPr>
          <w:i/>
          <w:sz w:val="22"/>
          <w:szCs w:val="22"/>
          <w:lang w:val="sk-SK"/>
        </w:rPr>
      </w:pPr>
    </w:p>
    <w:p w14:paraId="57CFA07B" w14:textId="017BA1B7" w:rsidR="00B822E6" w:rsidRPr="002D19BC" w:rsidRDefault="002D19BC" w:rsidP="00610047">
      <w:pPr>
        <w:keepNext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Dojčenie</w:t>
      </w:r>
    </w:p>
    <w:p w14:paraId="534C764F" w14:textId="7EF78FEA" w:rsidR="00B822E6" w:rsidRPr="002D19BC" w:rsidRDefault="00B822E6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Femoston conti 0,</w:t>
      </w:r>
      <w:r w:rsidR="002D19BC" w:rsidRPr="002D19BC">
        <w:rPr>
          <w:sz w:val="22"/>
          <w:szCs w:val="22"/>
          <w:lang w:val="sk-SK"/>
        </w:rPr>
        <w:t>5 </w:t>
      </w:r>
      <w:r w:rsidRPr="002D19BC">
        <w:rPr>
          <w:sz w:val="22"/>
          <w:szCs w:val="22"/>
          <w:lang w:val="sk-SK"/>
        </w:rPr>
        <w:t>mg/2,5 mg nie je indikovaný počas laktácie.</w:t>
      </w:r>
    </w:p>
    <w:p w14:paraId="3763968E" w14:textId="77777777" w:rsidR="00B822E6" w:rsidRPr="002D19BC" w:rsidRDefault="00B822E6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0293A7F9" w14:textId="77777777" w:rsidR="00B822E6" w:rsidRPr="002D19BC" w:rsidRDefault="00B822E6" w:rsidP="00610047">
      <w:pPr>
        <w:keepNext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Fertilita</w:t>
      </w:r>
    </w:p>
    <w:p w14:paraId="759F9B86" w14:textId="7A590B2D" w:rsidR="00B822E6" w:rsidRPr="002D19BC" w:rsidRDefault="00B822E6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Femoston conti 0,</w:t>
      </w:r>
      <w:r w:rsidR="002D19BC" w:rsidRPr="002D19BC">
        <w:rPr>
          <w:sz w:val="22"/>
          <w:szCs w:val="22"/>
          <w:lang w:val="sk-SK"/>
        </w:rPr>
        <w:t>5 </w:t>
      </w:r>
      <w:r w:rsidRPr="002D19BC">
        <w:rPr>
          <w:sz w:val="22"/>
          <w:szCs w:val="22"/>
          <w:lang w:val="sk-SK"/>
        </w:rPr>
        <w:t>mg/2,5 mg nie je indikovaný u fertilných žien.</w:t>
      </w:r>
    </w:p>
    <w:p w14:paraId="071E59FF" w14:textId="77777777" w:rsidR="00B822E6" w:rsidRPr="002D19BC" w:rsidRDefault="00B822E6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326F4ED9" w14:textId="2A52467E"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/>
        </w:rPr>
      </w:pPr>
      <w:r w:rsidRPr="00BE3F0C">
        <w:rPr>
          <w:b/>
          <w:sz w:val="22"/>
          <w:szCs w:val="22"/>
          <w:lang w:val="sk-SK" w:bidi="sk-SK"/>
        </w:rPr>
        <w:t>Ovplyvnenie schopností viesť motorové vozidlá a</w:t>
      </w:r>
      <w:r w:rsidR="00C76C4E">
        <w:rPr>
          <w:b/>
          <w:sz w:val="22"/>
          <w:szCs w:val="22"/>
          <w:lang w:val="sk-SK" w:bidi="sk-SK"/>
        </w:rPr>
        <w:t> </w:t>
      </w:r>
      <w:r w:rsidRPr="00BE3F0C">
        <w:rPr>
          <w:b/>
          <w:sz w:val="22"/>
          <w:szCs w:val="22"/>
          <w:lang w:val="sk-SK" w:bidi="sk-SK"/>
        </w:rPr>
        <w:t>obsluhovať stroje</w:t>
      </w:r>
    </w:p>
    <w:p w14:paraId="7330B20C" w14:textId="77777777" w:rsidR="00262803" w:rsidRPr="00C92195" w:rsidRDefault="00262803" w:rsidP="00610047">
      <w:pPr>
        <w:pStyle w:val="Hlavika"/>
        <w:keepNext/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14:paraId="2E2B60AF" w14:textId="616DDD43" w:rsidR="00B822E6" w:rsidRPr="002D19BC" w:rsidRDefault="00B822E6">
      <w:pPr>
        <w:pStyle w:val="Hlavika"/>
        <w:tabs>
          <w:tab w:val="clear" w:pos="4153"/>
          <w:tab w:val="clear" w:pos="8306"/>
        </w:tabs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Femoston conti 0,</w:t>
      </w:r>
      <w:r w:rsidR="002D19BC" w:rsidRPr="002D19BC">
        <w:rPr>
          <w:sz w:val="22"/>
          <w:szCs w:val="22"/>
          <w:lang w:val="sk-SK"/>
        </w:rPr>
        <w:t>5 </w:t>
      </w:r>
      <w:r w:rsidRPr="002D19BC">
        <w:rPr>
          <w:sz w:val="22"/>
          <w:szCs w:val="22"/>
          <w:lang w:val="sk-SK"/>
        </w:rPr>
        <w:t>mg/2,5 mg nemá žiadny alebo len zanedbateľný vplyv na schopnosť viesť vozidlá a/alebo obsluhovať stroje.</w:t>
      </w:r>
    </w:p>
    <w:p w14:paraId="5128E9D2" w14:textId="77777777" w:rsidR="00B822E6" w:rsidRPr="002D19BC" w:rsidRDefault="00B822E6">
      <w:pPr>
        <w:pStyle w:val="Hlavika"/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14:paraId="299F0BBC" w14:textId="77777777"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Nežiaduce účinky</w:t>
      </w:r>
    </w:p>
    <w:p w14:paraId="5591FB18" w14:textId="77777777" w:rsidR="00262803" w:rsidRPr="00C92195" w:rsidRDefault="00262803" w:rsidP="00610047">
      <w:pPr>
        <w:pStyle w:val="Hlavika"/>
        <w:keepNext/>
        <w:tabs>
          <w:tab w:val="clear" w:pos="4153"/>
          <w:tab w:val="clear" w:pos="8306"/>
        </w:tabs>
        <w:rPr>
          <w:szCs w:val="22"/>
          <w:lang w:val="sk-SK"/>
        </w:rPr>
      </w:pPr>
    </w:p>
    <w:p w14:paraId="5C5AB2B7" w14:textId="77777777" w:rsidR="00B822E6" w:rsidRPr="00C92195" w:rsidRDefault="00B822E6" w:rsidP="00BE3F0C">
      <w:pPr>
        <w:pStyle w:val="Hlavika"/>
        <w:tabs>
          <w:tab w:val="clear" w:pos="4153"/>
          <w:tab w:val="clear" w:pos="8306"/>
        </w:tabs>
        <w:rPr>
          <w:szCs w:val="22"/>
          <w:lang w:val="sk-SK"/>
        </w:rPr>
      </w:pPr>
      <w:r w:rsidRPr="00BE3F0C">
        <w:rPr>
          <w:sz w:val="22"/>
          <w:szCs w:val="22"/>
          <w:lang w:val="sk-SK"/>
        </w:rPr>
        <w:t>Najčastejšie hlásenými nežiaducimi účinkami u pacientov liečených kombináciou estradiol/dydrogesterón počas klinických skúšaní boli: bolesť hlavy, bolesť brucha, bolestivosť alebo citlivosť prsníkov a bolesť chrbta.</w:t>
      </w:r>
    </w:p>
    <w:p w14:paraId="1E86FF02" w14:textId="77777777" w:rsidR="00B822E6" w:rsidRPr="002D19BC" w:rsidRDefault="00B822E6" w:rsidP="00BE3F0C">
      <w:pPr>
        <w:pStyle w:val="Pta"/>
        <w:rPr>
          <w:rFonts w:ascii="Times New Roman" w:hAnsi="Times New Roman"/>
          <w:sz w:val="22"/>
          <w:szCs w:val="22"/>
          <w:lang w:val="sk-SK"/>
        </w:rPr>
      </w:pPr>
      <w:r w:rsidRPr="002D19BC">
        <w:rPr>
          <w:rFonts w:ascii="Times New Roman" w:hAnsi="Times New Roman"/>
          <w:sz w:val="22"/>
          <w:szCs w:val="22"/>
          <w:lang w:val="sk-SK" w:eastAsia="cs-CZ"/>
        </w:rPr>
        <w:t>Nasledujúce nežiaduce účinky s nižšie uvedenými frekvenciami výskytu boli pozorované počas klinických skúšaní (n=4929). *Vedľajšie účinky z postmarketingového sledovania, ktoré neboli pozorované počas klinických skúšaní</w:t>
      </w:r>
      <w:r w:rsidRPr="002D19BC">
        <w:rPr>
          <w:rFonts w:ascii="Times New Roman" w:hAnsi="Times New Roman"/>
          <w:sz w:val="22"/>
          <w:szCs w:val="22"/>
          <w:lang w:val="sk-SK"/>
        </w:rPr>
        <w:t>, boli zahrnuté pod frekvenciu výskytu „zriedkavé“.</w:t>
      </w:r>
    </w:p>
    <w:p w14:paraId="3BF1B21D" w14:textId="77777777" w:rsidR="00B822E6" w:rsidRPr="002D19BC" w:rsidRDefault="00B822E6" w:rsidP="00BE3F0C">
      <w:pPr>
        <w:pStyle w:val="TextSUKL"/>
        <w:jc w:val="left"/>
        <w:rPr>
          <w:szCs w:val="22"/>
          <w:lang w:val="sk-SK"/>
        </w:rPr>
      </w:pPr>
    </w:p>
    <w:tbl>
      <w:tblPr>
        <w:tblW w:w="961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60"/>
        <w:gridCol w:w="1422"/>
        <w:gridCol w:w="1985"/>
        <w:gridCol w:w="2140"/>
        <w:gridCol w:w="1909"/>
      </w:tblGrid>
      <w:tr w:rsidR="00B822E6" w:rsidRPr="002D19BC" w14:paraId="5C73C776" w14:textId="77777777">
        <w:tc>
          <w:tcPr>
            <w:tcW w:w="2160" w:type="dxa"/>
          </w:tcPr>
          <w:p w14:paraId="424AD9D4" w14:textId="4ECE368B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MedDRA trieda orgánových systémov</w:t>
            </w:r>
          </w:p>
        </w:tc>
        <w:tc>
          <w:tcPr>
            <w:tcW w:w="1422" w:type="dxa"/>
          </w:tcPr>
          <w:p w14:paraId="4C9364F2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Veľmi časté</w:t>
            </w:r>
          </w:p>
          <w:p w14:paraId="4D9463F7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≥1/10</w:t>
            </w:r>
          </w:p>
        </w:tc>
        <w:tc>
          <w:tcPr>
            <w:tcW w:w="1985" w:type="dxa"/>
          </w:tcPr>
          <w:p w14:paraId="50CBE295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Časté</w:t>
            </w:r>
          </w:p>
          <w:p w14:paraId="38C03E87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≥1/100 až &lt;1/10</w:t>
            </w:r>
          </w:p>
        </w:tc>
        <w:tc>
          <w:tcPr>
            <w:tcW w:w="2140" w:type="dxa"/>
          </w:tcPr>
          <w:p w14:paraId="422B9710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Menej časté</w:t>
            </w:r>
          </w:p>
          <w:p w14:paraId="1D4F085F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≥1/1000 až &lt;1/100</w:t>
            </w:r>
          </w:p>
        </w:tc>
        <w:tc>
          <w:tcPr>
            <w:tcW w:w="1909" w:type="dxa"/>
          </w:tcPr>
          <w:p w14:paraId="7C00E9E4" w14:textId="580F5F3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Zriedkavé</w:t>
            </w:r>
          </w:p>
          <w:p w14:paraId="4A19D7AC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≥1/10 000 až &lt;1/1000</w:t>
            </w:r>
          </w:p>
        </w:tc>
      </w:tr>
      <w:tr w:rsidR="00B822E6" w:rsidRPr="002D19BC" w14:paraId="14973C3F" w14:textId="77777777">
        <w:tc>
          <w:tcPr>
            <w:tcW w:w="2160" w:type="dxa"/>
          </w:tcPr>
          <w:p w14:paraId="60B7DBDF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Infekcie a nákazy</w:t>
            </w:r>
          </w:p>
        </w:tc>
        <w:tc>
          <w:tcPr>
            <w:tcW w:w="1422" w:type="dxa"/>
          </w:tcPr>
          <w:p w14:paraId="087AEA55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6E7C7D11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vaginálna kandidóza</w:t>
            </w:r>
          </w:p>
        </w:tc>
        <w:tc>
          <w:tcPr>
            <w:tcW w:w="2140" w:type="dxa"/>
          </w:tcPr>
          <w:p w14:paraId="38D6EC3D" w14:textId="60C4B052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príznaky ako pri zápale močového mechúra (cystitíde podobné príznaky)</w:t>
            </w:r>
          </w:p>
        </w:tc>
        <w:tc>
          <w:tcPr>
            <w:tcW w:w="1909" w:type="dxa"/>
          </w:tcPr>
          <w:p w14:paraId="2831ABC4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</w:tr>
      <w:tr w:rsidR="00B822E6" w:rsidRPr="002D19BC" w14:paraId="48C81804" w14:textId="77777777">
        <w:tc>
          <w:tcPr>
            <w:tcW w:w="2160" w:type="dxa"/>
          </w:tcPr>
          <w:p w14:paraId="08EEFFA7" w14:textId="74AD36D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Benígne a malígne nádory vrátane nešpecifikovaných novotvarov</w:t>
            </w:r>
          </w:p>
        </w:tc>
        <w:tc>
          <w:tcPr>
            <w:tcW w:w="1422" w:type="dxa"/>
          </w:tcPr>
          <w:p w14:paraId="53D25713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47635097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2140" w:type="dxa"/>
          </w:tcPr>
          <w:p w14:paraId="48177EC8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zväčšenie leiomyómov</w:t>
            </w:r>
          </w:p>
        </w:tc>
        <w:tc>
          <w:tcPr>
            <w:tcW w:w="1909" w:type="dxa"/>
          </w:tcPr>
          <w:p w14:paraId="486794E6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</w:tr>
      <w:tr w:rsidR="00B822E6" w:rsidRPr="002D19BC" w14:paraId="460E7484" w14:textId="77777777">
        <w:tc>
          <w:tcPr>
            <w:tcW w:w="2160" w:type="dxa"/>
          </w:tcPr>
          <w:p w14:paraId="3F4E30D6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BE3F0C">
              <w:rPr>
                <w:bCs/>
                <w:szCs w:val="22"/>
                <w:lang w:val="sk-SK"/>
              </w:rPr>
              <w:t xml:space="preserve">Poruchy krvi a lymfatického systému </w:t>
            </w:r>
          </w:p>
        </w:tc>
        <w:tc>
          <w:tcPr>
            <w:tcW w:w="1422" w:type="dxa"/>
          </w:tcPr>
          <w:p w14:paraId="35B46459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647A85AB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2140" w:type="dxa"/>
          </w:tcPr>
          <w:p w14:paraId="4B66DB12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09" w:type="dxa"/>
          </w:tcPr>
          <w:p w14:paraId="43EF153C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hemolytická anémia*</w:t>
            </w:r>
          </w:p>
        </w:tc>
      </w:tr>
      <w:tr w:rsidR="00B822E6" w:rsidRPr="002D19BC" w14:paraId="647AF7AB" w14:textId="77777777">
        <w:tc>
          <w:tcPr>
            <w:tcW w:w="2160" w:type="dxa"/>
          </w:tcPr>
          <w:p w14:paraId="3398BE00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Poruchy imunitného systému</w:t>
            </w:r>
          </w:p>
        </w:tc>
        <w:tc>
          <w:tcPr>
            <w:tcW w:w="1422" w:type="dxa"/>
          </w:tcPr>
          <w:p w14:paraId="05BDDBDF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5FA8B3A1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2140" w:type="dxa"/>
          </w:tcPr>
          <w:p w14:paraId="66001B7A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hypersenzitívne reakcie</w:t>
            </w:r>
          </w:p>
        </w:tc>
        <w:tc>
          <w:tcPr>
            <w:tcW w:w="1909" w:type="dxa"/>
          </w:tcPr>
          <w:p w14:paraId="2D2AF80E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</w:tr>
      <w:tr w:rsidR="00B822E6" w:rsidRPr="002D19BC" w14:paraId="6E03C1B1" w14:textId="77777777">
        <w:tc>
          <w:tcPr>
            <w:tcW w:w="2160" w:type="dxa"/>
          </w:tcPr>
          <w:p w14:paraId="5C7C3901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 xml:space="preserve">Psychické poruchy </w:t>
            </w:r>
          </w:p>
        </w:tc>
        <w:tc>
          <w:tcPr>
            <w:tcW w:w="1422" w:type="dxa"/>
          </w:tcPr>
          <w:p w14:paraId="24A3CC0F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3AD8161E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depresia, nervozita</w:t>
            </w:r>
          </w:p>
        </w:tc>
        <w:tc>
          <w:tcPr>
            <w:tcW w:w="2140" w:type="dxa"/>
          </w:tcPr>
          <w:p w14:paraId="0ED55F5C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zmena libida</w:t>
            </w:r>
          </w:p>
        </w:tc>
        <w:tc>
          <w:tcPr>
            <w:tcW w:w="1909" w:type="dxa"/>
          </w:tcPr>
          <w:p w14:paraId="2AB7F376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</w:tr>
      <w:tr w:rsidR="00B822E6" w:rsidRPr="002D19BC" w14:paraId="2303AF31" w14:textId="77777777">
        <w:tc>
          <w:tcPr>
            <w:tcW w:w="2160" w:type="dxa"/>
          </w:tcPr>
          <w:p w14:paraId="212A9C9D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Poruchy nervového systému</w:t>
            </w:r>
          </w:p>
        </w:tc>
        <w:tc>
          <w:tcPr>
            <w:tcW w:w="1422" w:type="dxa"/>
          </w:tcPr>
          <w:p w14:paraId="7AC6E981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 xml:space="preserve">bolesť hlavy </w:t>
            </w:r>
          </w:p>
        </w:tc>
        <w:tc>
          <w:tcPr>
            <w:tcW w:w="1985" w:type="dxa"/>
          </w:tcPr>
          <w:p w14:paraId="3BF8FC17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migréna, závrat</w:t>
            </w:r>
          </w:p>
        </w:tc>
        <w:tc>
          <w:tcPr>
            <w:tcW w:w="2140" w:type="dxa"/>
          </w:tcPr>
          <w:p w14:paraId="59EBCC81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09" w:type="dxa"/>
          </w:tcPr>
          <w:p w14:paraId="46115C03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meningióm*</w:t>
            </w:r>
          </w:p>
        </w:tc>
      </w:tr>
      <w:tr w:rsidR="00B822E6" w:rsidRPr="002D19BC" w14:paraId="588DE368" w14:textId="77777777">
        <w:tc>
          <w:tcPr>
            <w:tcW w:w="2160" w:type="dxa"/>
          </w:tcPr>
          <w:p w14:paraId="5F64A4F2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BE3F0C">
              <w:rPr>
                <w:bCs/>
                <w:szCs w:val="22"/>
                <w:lang w:val="sk-SK"/>
              </w:rPr>
              <w:t xml:space="preserve">Poruchy oka </w:t>
            </w:r>
          </w:p>
        </w:tc>
        <w:tc>
          <w:tcPr>
            <w:tcW w:w="1422" w:type="dxa"/>
          </w:tcPr>
          <w:p w14:paraId="3318AFF5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55230DE3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2140" w:type="dxa"/>
          </w:tcPr>
          <w:p w14:paraId="3CD8AD09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09" w:type="dxa"/>
          </w:tcPr>
          <w:p w14:paraId="5F72F780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zmeny zakrivenia rohovky*, neznášanlivosť kontaktných šošoviek*</w:t>
            </w:r>
          </w:p>
        </w:tc>
      </w:tr>
      <w:tr w:rsidR="00B822E6" w:rsidRPr="002D19BC" w14:paraId="17460DDA" w14:textId="77777777">
        <w:tc>
          <w:tcPr>
            <w:tcW w:w="2160" w:type="dxa"/>
          </w:tcPr>
          <w:p w14:paraId="5659FAED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BE3F0C">
              <w:rPr>
                <w:bCs/>
                <w:szCs w:val="22"/>
                <w:lang w:val="sk-SK"/>
              </w:rPr>
              <w:t xml:space="preserve">Poruchy srdca a srdcovej činnosti </w:t>
            </w:r>
          </w:p>
        </w:tc>
        <w:tc>
          <w:tcPr>
            <w:tcW w:w="1422" w:type="dxa"/>
          </w:tcPr>
          <w:p w14:paraId="54FC3063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69D91B15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2140" w:type="dxa"/>
          </w:tcPr>
          <w:p w14:paraId="48F0DBA8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09" w:type="dxa"/>
          </w:tcPr>
          <w:p w14:paraId="5B278C81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infarkt myokardu</w:t>
            </w:r>
          </w:p>
        </w:tc>
      </w:tr>
      <w:tr w:rsidR="00B822E6" w:rsidRPr="002D19BC" w14:paraId="0E942A98" w14:textId="77777777">
        <w:tc>
          <w:tcPr>
            <w:tcW w:w="2160" w:type="dxa"/>
          </w:tcPr>
          <w:p w14:paraId="758E27A1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BE3F0C">
              <w:rPr>
                <w:bCs/>
                <w:szCs w:val="22"/>
                <w:lang w:val="sk-SK"/>
              </w:rPr>
              <w:t xml:space="preserve">Poruchy ciev </w:t>
            </w:r>
          </w:p>
        </w:tc>
        <w:tc>
          <w:tcPr>
            <w:tcW w:w="1422" w:type="dxa"/>
          </w:tcPr>
          <w:p w14:paraId="6993379C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4FC939B5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2140" w:type="dxa"/>
          </w:tcPr>
          <w:p w14:paraId="75B7AD04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 xml:space="preserve">venózna tromboembólia*, </w:t>
            </w:r>
            <w:r w:rsidRPr="002D19BC">
              <w:rPr>
                <w:szCs w:val="22"/>
                <w:lang w:val="sk-SK"/>
              </w:rPr>
              <w:lastRenderedPageBreak/>
              <w:t>hypertenzia, ochorenie periférnych ciev, kŕčové žily</w:t>
            </w:r>
          </w:p>
        </w:tc>
        <w:tc>
          <w:tcPr>
            <w:tcW w:w="1909" w:type="dxa"/>
          </w:tcPr>
          <w:p w14:paraId="2275719C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lastRenderedPageBreak/>
              <w:t>cievna mozgová príhoda*</w:t>
            </w:r>
          </w:p>
        </w:tc>
      </w:tr>
      <w:tr w:rsidR="00B822E6" w:rsidRPr="002D19BC" w14:paraId="082DB86C" w14:textId="77777777">
        <w:tc>
          <w:tcPr>
            <w:tcW w:w="2160" w:type="dxa"/>
          </w:tcPr>
          <w:p w14:paraId="6532B02E" w14:textId="341DDC61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BE3F0C">
              <w:rPr>
                <w:bCs/>
                <w:szCs w:val="22"/>
                <w:lang w:val="sk-SK"/>
              </w:rPr>
              <w:lastRenderedPageBreak/>
              <w:t>Poruchy gastrointestinálneho traktu</w:t>
            </w:r>
          </w:p>
        </w:tc>
        <w:tc>
          <w:tcPr>
            <w:tcW w:w="1422" w:type="dxa"/>
          </w:tcPr>
          <w:p w14:paraId="649DBFEE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bolesť brucha</w:t>
            </w:r>
          </w:p>
        </w:tc>
        <w:tc>
          <w:tcPr>
            <w:tcW w:w="1985" w:type="dxa"/>
          </w:tcPr>
          <w:p w14:paraId="12D90AE5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nauzea, vracanie, abdominálna distenzia (vrátane plynatosti)</w:t>
            </w:r>
          </w:p>
        </w:tc>
        <w:tc>
          <w:tcPr>
            <w:tcW w:w="2140" w:type="dxa"/>
          </w:tcPr>
          <w:p w14:paraId="2B83A937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dyspepsia</w:t>
            </w:r>
          </w:p>
        </w:tc>
        <w:tc>
          <w:tcPr>
            <w:tcW w:w="1909" w:type="dxa"/>
          </w:tcPr>
          <w:p w14:paraId="74FF7B65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</w:tr>
      <w:tr w:rsidR="00B822E6" w:rsidRPr="002D19BC" w14:paraId="0BA6A601" w14:textId="77777777">
        <w:tc>
          <w:tcPr>
            <w:tcW w:w="2160" w:type="dxa"/>
          </w:tcPr>
          <w:p w14:paraId="5D08BBE8" w14:textId="789C3BE4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BE3F0C">
              <w:rPr>
                <w:bCs/>
                <w:szCs w:val="22"/>
                <w:lang w:val="sk-SK"/>
              </w:rPr>
              <w:t>Poruchy pečene a žlčových ciest</w:t>
            </w:r>
          </w:p>
        </w:tc>
        <w:tc>
          <w:tcPr>
            <w:tcW w:w="1422" w:type="dxa"/>
          </w:tcPr>
          <w:p w14:paraId="331DA7B9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13B82207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2140" w:type="dxa"/>
          </w:tcPr>
          <w:p w14:paraId="19FE1467" w14:textId="1CB2A50C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zmeny pečeňových funkcií, niekedy spojené so žltačkou, slabosťou alebo nevoľnosťou a bolesťami brucha, poruchy žlčníka</w:t>
            </w:r>
          </w:p>
        </w:tc>
        <w:tc>
          <w:tcPr>
            <w:tcW w:w="1909" w:type="dxa"/>
          </w:tcPr>
          <w:p w14:paraId="43616D30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</w:tr>
      <w:tr w:rsidR="00B822E6" w:rsidRPr="002D19BC" w14:paraId="305306BC" w14:textId="77777777">
        <w:tc>
          <w:tcPr>
            <w:tcW w:w="2160" w:type="dxa"/>
          </w:tcPr>
          <w:p w14:paraId="133B267E" w14:textId="0C7283B8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Poruchy kože a podkožného tkaniva</w:t>
            </w:r>
          </w:p>
        </w:tc>
        <w:tc>
          <w:tcPr>
            <w:tcW w:w="1422" w:type="dxa"/>
          </w:tcPr>
          <w:p w14:paraId="5F40771B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47261DA6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alergické kožné reakcie (ako sú vyrážka, žihľavka, svrbenie)</w:t>
            </w:r>
          </w:p>
        </w:tc>
        <w:tc>
          <w:tcPr>
            <w:tcW w:w="2140" w:type="dxa"/>
          </w:tcPr>
          <w:p w14:paraId="1C4C5727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09" w:type="dxa"/>
          </w:tcPr>
          <w:p w14:paraId="37B83196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 xml:space="preserve">angioedém, cievna purpura, erythema nodosum*; chloazma alebo melazma, ktoré môžu pretrvávať i po prerušení liečby* </w:t>
            </w:r>
          </w:p>
        </w:tc>
      </w:tr>
      <w:tr w:rsidR="00B822E6" w:rsidRPr="002D19BC" w14:paraId="5501831E" w14:textId="77777777">
        <w:tc>
          <w:tcPr>
            <w:tcW w:w="2160" w:type="dxa"/>
          </w:tcPr>
          <w:p w14:paraId="7C361975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Poruchy kostrovej a svalovej sústavy a spojivového tkaniva</w:t>
            </w:r>
          </w:p>
        </w:tc>
        <w:tc>
          <w:tcPr>
            <w:tcW w:w="1422" w:type="dxa"/>
          </w:tcPr>
          <w:p w14:paraId="427BA26D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 xml:space="preserve">bolesť chrbta </w:t>
            </w:r>
          </w:p>
        </w:tc>
        <w:tc>
          <w:tcPr>
            <w:tcW w:w="1985" w:type="dxa"/>
          </w:tcPr>
          <w:p w14:paraId="1C13126E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2140" w:type="dxa"/>
          </w:tcPr>
          <w:p w14:paraId="22B6CFD8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09" w:type="dxa"/>
          </w:tcPr>
          <w:p w14:paraId="5A5048B1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kŕče v nohách*</w:t>
            </w:r>
          </w:p>
        </w:tc>
      </w:tr>
      <w:tr w:rsidR="00B822E6" w:rsidRPr="002D19BC" w14:paraId="6BDC4969" w14:textId="77777777">
        <w:tc>
          <w:tcPr>
            <w:tcW w:w="2160" w:type="dxa"/>
          </w:tcPr>
          <w:p w14:paraId="3610076A" w14:textId="77777777" w:rsidR="00B822E6" w:rsidRPr="002D19BC" w:rsidRDefault="00B822E6" w:rsidP="00262803">
            <w:pPr>
              <w:pStyle w:val="TextSUKL"/>
              <w:jc w:val="left"/>
              <w:rPr>
                <w:b/>
                <w:szCs w:val="22"/>
                <w:lang w:val="sk-SK"/>
              </w:rPr>
            </w:pPr>
            <w:r w:rsidRPr="00BE3F0C">
              <w:rPr>
                <w:bCs/>
                <w:szCs w:val="22"/>
                <w:lang w:val="sk-SK"/>
              </w:rPr>
              <w:t>Poruchy reprodukčného systému a prsníkov</w:t>
            </w:r>
            <w:r w:rsidRPr="00BE3F0C">
              <w:rPr>
                <w:b/>
                <w:bCs/>
                <w:szCs w:val="22"/>
                <w:lang w:val="sk-SK"/>
              </w:rPr>
              <w:t xml:space="preserve"> </w:t>
            </w:r>
          </w:p>
        </w:tc>
        <w:tc>
          <w:tcPr>
            <w:tcW w:w="1422" w:type="dxa"/>
          </w:tcPr>
          <w:p w14:paraId="1FF94E78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 xml:space="preserve">bolesť/citlivosť prsníkov </w:t>
            </w:r>
          </w:p>
        </w:tc>
        <w:tc>
          <w:tcPr>
            <w:tcW w:w="1985" w:type="dxa"/>
          </w:tcPr>
          <w:p w14:paraId="3A4406B8" w14:textId="2033F2D4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poruchy menštruácie (vrátane postmenopauzálne-ho špinenia, metrorágie, menorágie, oligo-/amenorey, nepravidelnej menštruácie, dysmenorey), bolesť v oblasti panvy, cervikálny výtok</w:t>
            </w:r>
          </w:p>
        </w:tc>
        <w:tc>
          <w:tcPr>
            <w:tcW w:w="2140" w:type="dxa"/>
          </w:tcPr>
          <w:p w14:paraId="5EC2925D" w14:textId="03F75F59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zväčšenie prsníkov, predmenštruačný syndróm</w:t>
            </w:r>
          </w:p>
        </w:tc>
        <w:tc>
          <w:tcPr>
            <w:tcW w:w="1909" w:type="dxa"/>
          </w:tcPr>
          <w:p w14:paraId="6975EB99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</w:tr>
      <w:tr w:rsidR="00B822E6" w:rsidRPr="002D19BC" w14:paraId="18B4A264" w14:textId="77777777">
        <w:tc>
          <w:tcPr>
            <w:tcW w:w="2160" w:type="dxa"/>
          </w:tcPr>
          <w:p w14:paraId="7CF93282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BE3F0C">
              <w:rPr>
                <w:bCs/>
                <w:szCs w:val="22"/>
                <w:lang w:val="sk-SK"/>
              </w:rPr>
              <w:t xml:space="preserve">Celkové poruchy a reakcie v mieste podania </w:t>
            </w:r>
          </w:p>
        </w:tc>
        <w:tc>
          <w:tcPr>
            <w:tcW w:w="1422" w:type="dxa"/>
          </w:tcPr>
          <w:p w14:paraId="7F139EAF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2EBB8A59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BE3F0C">
              <w:rPr>
                <w:szCs w:val="22"/>
                <w:lang w:val="sk-SK"/>
              </w:rPr>
              <w:t xml:space="preserve">prejavy asténie (pocit slabosti, únavy alebo indispozície), </w:t>
            </w:r>
            <w:r w:rsidRPr="002D19BC">
              <w:rPr>
                <w:szCs w:val="22"/>
                <w:lang w:val="sk-SK"/>
              </w:rPr>
              <w:t>periférny edém</w:t>
            </w:r>
          </w:p>
        </w:tc>
        <w:tc>
          <w:tcPr>
            <w:tcW w:w="2140" w:type="dxa"/>
          </w:tcPr>
          <w:p w14:paraId="6BB74C06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09" w:type="dxa"/>
          </w:tcPr>
          <w:p w14:paraId="71EC7E42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</w:tr>
      <w:tr w:rsidR="00B822E6" w:rsidRPr="002D19BC" w14:paraId="399B39A8" w14:textId="77777777">
        <w:tc>
          <w:tcPr>
            <w:tcW w:w="2160" w:type="dxa"/>
          </w:tcPr>
          <w:p w14:paraId="64C685E8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BE3F0C">
              <w:rPr>
                <w:bCs/>
                <w:szCs w:val="22"/>
                <w:lang w:val="sk-SK"/>
              </w:rPr>
              <w:t>Laboratórne a funkčné vyšetrenia</w:t>
            </w:r>
            <w:r w:rsidRPr="00BE3F0C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422" w:type="dxa"/>
          </w:tcPr>
          <w:p w14:paraId="2F0BFC3C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79D8534C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zvýšená hmotnosť</w:t>
            </w:r>
          </w:p>
        </w:tc>
        <w:tc>
          <w:tcPr>
            <w:tcW w:w="2140" w:type="dxa"/>
          </w:tcPr>
          <w:p w14:paraId="7B009214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znížená hmotnosť</w:t>
            </w:r>
          </w:p>
        </w:tc>
        <w:tc>
          <w:tcPr>
            <w:tcW w:w="1909" w:type="dxa"/>
          </w:tcPr>
          <w:p w14:paraId="5FF0F2B0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</w:tr>
    </w:tbl>
    <w:p w14:paraId="76D75731" w14:textId="77777777" w:rsidR="00B822E6" w:rsidRPr="002D19BC" w:rsidRDefault="00B822E6">
      <w:pPr>
        <w:rPr>
          <w:sz w:val="22"/>
          <w:szCs w:val="22"/>
          <w:lang w:val="sk-SK"/>
        </w:rPr>
      </w:pPr>
    </w:p>
    <w:p w14:paraId="3E38E1B2" w14:textId="441192E1" w:rsidR="00B822E6" w:rsidRPr="002D19BC" w:rsidRDefault="00B822E6" w:rsidP="00610047">
      <w:pPr>
        <w:keepNext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 xml:space="preserve">Riziko </w:t>
      </w:r>
      <w:r w:rsidR="0000179D">
        <w:rPr>
          <w:b/>
          <w:sz w:val="22"/>
          <w:szCs w:val="22"/>
          <w:u w:val="single"/>
          <w:lang w:val="sk-SK"/>
        </w:rPr>
        <w:t>karcinómu</w:t>
      </w:r>
      <w:r w:rsidRPr="002D19BC">
        <w:rPr>
          <w:b/>
          <w:sz w:val="22"/>
          <w:szCs w:val="22"/>
          <w:u w:val="single"/>
          <w:lang w:val="sk-SK"/>
        </w:rPr>
        <w:t xml:space="preserve"> prsníka</w:t>
      </w:r>
    </w:p>
    <w:p w14:paraId="27373CE9" w14:textId="3167214C" w:rsidR="00B822E6" w:rsidRPr="002D19BC" w:rsidRDefault="00B822E6">
      <w:pPr>
        <w:numPr>
          <w:ilvl w:val="0"/>
          <w:numId w:val="28"/>
        </w:numPr>
        <w:tabs>
          <w:tab w:val="left" w:pos="1080"/>
        </w:tabs>
        <w:suppressAutoHyphens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Až 2- násobne zvýšené riziko diagnostikovania </w:t>
      </w:r>
      <w:r w:rsidR="0000179D">
        <w:rPr>
          <w:sz w:val="22"/>
          <w:szCs w:val="22"/>
          <w:lang w:val="sk-SK"/>
        </w:rPr>
        <w:t>karcinómu</w:t>
      </w:r>
      <w:r w:rsidRPr="002D19BC">
        <w:rPr>
          <w:sz w:val="22"/>
          <w:szCs w:val="22"/>
          <w:lang w:val="sk-SK"/>
        </w:rPr>
        <w:t xml:space="preserve"> prsníka je hlásené u žien užívajúcich kombinovanú estrogén-progestagénovú liečbu viac ako 5</w:t>
      </w:r>
      <w:r w:rsidR="007B6668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rokov.</w:t>
      </w:r>
    </w:p>
    <w:p w14:paraId="0D2888EB" w14:textId="77777777" w:rsidR="00B822E6" w:rsidRPr="002D19BC" w:rsidRDefault="00B822E6">
      <w:pPr>
        <w:numPr>
          <w:ilvl w:val="0"/>
          <w:numId w:val="28"/>
        </w:numPr>
        <w:tabs>
          <w:tab w:val="left" w:pos="1080"/>
        </w:tabs>
        <w:suppressAutoHyphens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Akékoľvek riziko u užívateliek samotnej estrogénovej liečby je podstatne nižšie než u užívateliek kombinovanej estrogén-progestagénovej liečby.</w:t>
      </w:r>
    </w:p>
    <w:p w14:paraId="671963C7" w14:textId="5C752C10" w:rsidR="00B822E6" w:rsidRPr="002D19BC" w:rsidRDefault="00B822E6">
      <w:pPr>
        <w:numPr>
          <w:ilvl w:val="0"/>
          <w:numId w:val="28"/>
        </w:numPr>
        <w:tabs>
          <w:tab w:val="left" w:pos="1080"/>
        </w:tabs>
        <w:suppressAutoHyphens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Stupeň rizika závisí od dĺžky trvania liečby (pozri časť</w:t>
      </w:r>
      <w:r w:rsidR="007B6668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4.4.)</w:t>
      </w:r>
      <w:r w:rsidR="00F24BD5">
        <w:rPr>
          <w:sz w:val="22"/>
          <w:szCs w:val="22"/>
          <w:lang w:val="sk-SK"/>
        </w:rPr>
        <w:t>.</w:t>
      </w:r>
    </w:p>
    <w:p w14:paraId="5415C346" w14:textId="16283848" w:rsidR="00B822E6" w:rsidRPr="002D19BC" w:rsidRDefault="00B822E6">
      <w:pPr>
        <w:numPr>
          <w:ilvl w:val="0"/>
          <w:numId w:val="28"/>
        </w:numPr>
        <w:tabs>
          <w:tab w:val="left" w:pos="1080"/>
        </w:tabs>
        <w:suppressAutoHyphens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Uvedené sú výsledky najväčšej randomizovanej placebom kontrolovanej štúdie (WHI) a</w:t>
      </w:r>
      <w:r w:rsidR="007B6668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najväčšej epidemiologickej štúdie (MWS):</w:t>
      </w:r>
    </w:p>
    <w:p w14:paraId="61F1498A" w14:textId="77777777" w:rsidR="00B822E6" w:rsidRPr="002D19BC" w:rsidRDefault="00B822E6">
      <w:pPr>
        <w:autoSpaceDE w:val="0"/>
        <w:autoSpaceDN w:val="0"/>
        <w:adjustRightInd w:val="0"/>
        <w:rPr>
          <w:rFonts w:eastAsia="SimSun"/>
          <w:b/>
          <w:bCs/>
          <w:sz w:val="22"/>
          <w:szCs w:val="22"/>
          <w:highlight w:val="yellow"/>
          <w:lang w:val="sk-SK" w:eastAsia="zh-CN" w:bidi="th-TH"/>
        </w:rPr>
      </w:pPr>
    </w:p>
    <w:p w14:paraId="009F2FAB" w14:textId="2003ED29" w:rsidR="00175F7D" w:rsidRDefault="00B822E6">
      <w:pPr>
        <w:rPr>
          <w:sz w:val="22"/>
          <w:szCs w:val="22"/>
          <w:lang w:val="sk-SK"/>
        </w:rPr>
        <w:sectPr w:rsidR="00175F7D" w:rsidSect="00BE3F0C">
          <w:headerReference w:type="default" r:id="rId9"/>
          <w:footerReference w:type="even" r:id="rId10"/>
          <w:footerReference w:type="default" r:id="rId11"/>
          <w:type w:val="continuous"/>
          <w:pgSz w:w="11907" w:h="16840" w:code="9"/>
          <w:pgMar w:top="1134" w:right="1418" w:bottom="1134" w:left="1418" w:header="737" w:footer="737" w:gutter="0"/>
          <w:cols w:space="708"/>
          <w:docGrid w:linePitch="326"/>
        </w:sectPr>
      </w:pPr>
      <w:r w:rsidRPr="002D19BC">
        <w:rPr>
          <w:b/>
          <w:sz w:val="22"/>
          <w:szCs w:val="22"/>
          <w:lang w:val="sk-SK"/>
        </w:rPr>
        <w:t xml:space="preserve">Million Women Study– Odhad dodatočného rizika </w:t>
      </w:r>
      <w:r w:rsidR="0000179D">
        <w:rPr>
          <w:b/>
          <w:sz w:val="22"/>
          <w:szCs w:val="22"/>
          <w:lang w:val="sk-SK"/>
        </w:rPr>
        <w:t>karcinómu</w:t>
      </w:r>
      <w:r w:rsidRPr="002D19BC">
        <w:rPr>
          <w:b/>
          <w:sz w:val="22"/>
          <w:szCs w:val="22"/>
          <w:lang w:val="sk-SK"/>
        </w:rPr>
        <w:t xml:space="preserve"> prsníka po 5</w:t>
      </w:r>
      <w:r w:rsidR="00E1279B">
        <w:rPr>
          <w:b/>
          <w:sz w:val="22"/>
          <w:szCs w:val="22"/>
          <w:lang w:val="sk-SK"/>
        </w:rPr>
        <w:t> </w:t>
      </w:r>
      <w:r w:rsidRPr="002D19BC">
        <w:rPr>
          <w:b/>
          <w:sz w:val="22"/>
          <w:szCs w:val="22"/>
          <w:lang w:val="sk-SK"/>
        </w:rPr>
        <w:t>rokoch užívania</w:t>
      </w:r>
    </w:p>
    <w:tbl>
      <w:tblPr>
        <w:tblW w:w="9310" w:type="dxa"/>
        <w:tblLook w:val="0000" w:firstRow="0" w:lastRow="0" w:firstColumn="0" w:lastColumn="0" w:noHBand="0" w:noVBand="0"/>
      </w:tblPr>
      <w:tblGrid>
        <w:gridCol w:w="989"/>
        <w:gridCol w:w="99"/>
        <w:gridCol w:w="1615"/>
        <w:gridCol w:w="1085"/>
        <w:gridCol w:w="439"/>
        <w:gridCol w:w="1721"/>
        <w:gridCol w:w="3340"/>
        <w:gridCol w:w="22"/>
      </w:tblGrid>
      <w:tr w:rsidR="00B822E6" w:rsidRPr="002D19BC" w14:paraId="0FAE885F" w14:textId="77777777">
        <w:trPr>
          <w:trHeight w:val="127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623F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lastRenderedPageBreak/>
              <w:t xml:space="preserve">Vekové rozpätie (roky) 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14C2" w14:textId="2E491438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Dodatočné prípady na 1000 nikdy neužívajúcich </w:t>
            </w:r>
            <w:r w:rsidR="0000179D">
              <w:rPr>
                <w:sz w:val="22"/>
                <w:szCs w:val="22"/>
                <w:lang w:val="sk-SK"/>
              </w:rPr>
              <w:t>HST</w:t>
            </w:r>
            <w:r w:rsidRPr="002D19BC">
              <w:rPr>
                <w:sz w:val="22"/>
                <w:szCs w:val="22"/>
                <w:lang w:val="sk-SK"/>
              </w:rPr>
              <w:t xml:space="preserve"> v priebehu 5 ročného obdobia</w:t>
            </w:r>
            <w:r w:rsidRPr="002D19BC">
              <w:rPr>
                <w:sz w:val="22"/>
                <w:szCs w:val="22"/>
                <w:vertAlign w:val="superscript"/>
                <w:lang w:val="sk-SK"/>
              </w:rPr>
              <w:footnoteReference w:id="1"/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1DE1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>Pomer rizika</w:t>
            </w:r>
            <w:r w:rsidRPr="002D19BC">
              <w:rPr>
                <w:sz w:val="22"/>
                <w:szCs w:val="22"/>
                <w:vertAlign w:val="superscript"/>
                <w:lang w:val="sk-SK"/>
              </w:rPr>
              <w:t>#</w:t>
            </w:r>
            <w:r w:rsidRPr="002D19B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5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44EA" w14:textId="3C20EEB9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Dodatočné prípady na 1000 </w:t>
            </w:r>
            <w:r w:rsidR="0000179D">
              <w:rPr>
                <w:sz w:val="22"/>
                <w:szCs w:val="22"/>
                <w:lang w:val="sk-SK"/>
              </w:rPr>
              <w:t>HST</w:t>
            </w:r>
            <w:r w:rsidRPr="002D19BC">
              <w:rPr>
                <w:sz w:val="22"/>
                <w:szCs w:val="22"/>
                <w:lang w:val="sk-SK"/>
              </w:rPr>
              <w:t xml:space="preserve"> užívateliek v priebehu 5 rokov (95% CI) </w:t>
            </w:r>
          </w:p>
        </w:tc>
      </w:tr>
      <w:tr w:rsidR="00B822E6" w:rsidRPr="002D19BC" w14:paraId="4C1CE102" w14:textId="77777777">
        <w:trPr>
          <w:trHeight w:val="265"/>
        </w:trPr>
        <w:tc>
          <w:tcPr>
            <w:tcW w:w="2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5B2634D" w14:textId="77777777" w:rsidR="00B822E6" w:rsidRPr="002D19BC" w:rsidRDefault="00B822E6" w:rsidP="00262803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6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798630E" w14:textId="567308D2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Samotná estrogénová </w:t>
            </w:r>
            <w:r w:rsidR="0000179D">
              <w:rPr>
                <w:sz w:val="22"/>
                <w:szCs w:val="22"/>
                <w:lang w:val="sk-SK"/>
              </w:rPr>
              <w:t>HST</w:t>
            </w:r>
            <w:r w:rsidRPr="002D19BC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B822E6" w:rsidRPr="002D19BC" w14:paraId="1477778D" w14:textId="77777777">
        <w:trPr>
          <w:trHeight w:val="26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EA2A" w14:textId="77777777" w:rsidR="00B822E6" w:rsidRPr="002D19BC" w:rsidRDefault="00B822E6" w:rsidP="00262803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50 - 65 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F7F7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9 - 12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AD19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1,2 </w:t>
            </w:r>
          </w:p>
        </w:tc>
        <w:tc>
          <w:tcPr>
            <w:tcW w:w="5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8747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1 - 2 (0 - 3) </w:t>
            </w:r>
          </w:p>
        </w:tc>
      </w:tr>
      <w:tr w:rsidR="00B822E6" w:rsidRPr="002D19BC" w14:paraId="64D00888" w14:textId="77777777">
        <w:trPr>
          <w:trHeight w:val="263"/>
        </w:trPr>
        <w:tc>
          <w:tcPr>
            <w:tcW w:w="2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6321E02" w14:textId="77777777" w:rsidR="00B822E6" w:rsidRPr="002D19BC" w:rsidRDefault="00B822E6" w:rsidP="00262803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6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BB61F00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Kombinácia estrogén-progestagén </w:t>
            </w:r>
          </w:p>
        </w:tc>
      </w:tr>
      <w:tr w:rsidR="00B822E6" w:rsidRPr="002D19BC" w14:paraId="1415B868" w14:textId="77777777">
        <w:trPr>
          <w:trHeight w:val="29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438D4" w14:textId="77777777" w:rsidR="00B822E6" w:rsidRPr="002D19BC" w:rsidRDefault="00B822E6" w:rsidP="00262803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50 - 65 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4D451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9 - 12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1DCDA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1,7 </w:t>
            </w:r>
          </w:p>
        </w:tc>
        <w:tc>
          <w:tcPr>
            <w:tcW w:w="5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25E3A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6 (5 - 7) </w:t>
            </w:r>
          </w:p>
        </w:tc>
      </w:tr>
      <w:tr w:rsidR="00B822E6" w:rsidRPr="002D19BC" w14:paraId="32AA0C6E" w14:textId="77777777" w:rsidTr="000F19F7">
        <w:trPr>
          <w:trHeight w:val="626"/>
        </w:trPr>
        <w:tc>
          <w:tcPr>
            <w:tcW w:w="9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1F63" w14:textId="77777777" w:rsidR="00B822E6" w:rsidRPr="00BE3F0C" w:rsidRDefault="00B822E6" w:rsidP="0026280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BE3F0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>#Celkový pomer rizika. Pomer rizika nie je konštantný, ale bude sa zvyšovať s rastúcou dĺžkou užívania.</w:t>
            </w:r>
          </w:p>
          <w:p w14:paraId="3CD0D5E2" w14:textId="54F5459F"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BE3F0C">
              <w:rPr>
                <w:rFonts w:ascii="Times New Roman" w:hAnsi="Times New Roman" w:cs="Times New Roman"/>
                <w:sz w:val="22"/>
                <w:szCs w:val="22"/>
                <w:lang w:val="sk-SK" w:eastAsia="en-US"/>
              </w:rPr>
              <w:t xml:space="preserve">Poznámka: Pretože základná incidencia </w:t>
            </w:r>
            <w:r w:rsidR="0000179D">
              <w:rPr>
                <w:rFonts w:ascii="Times New Roman" w:hAnsi="Times New Roman" w:cs="Times New Roman"/>
                <w:sz w:val="22"/>
                <w:szCs w:val="22"/>
                <w:lang w:val="sk-SK" w:eastAsia="en-US"/>
              </w:rPr>
              <w:t>karcinómu</w:t>
            </w:r>
            <w:r w:rsidRPr="00BE3F0C">
              <w:rPr>
                <w:rFonts w:ascii="Times New Roman" w:hAnsi="Times New Roman" w:cs="Times New Roman"/>
                <w:sz w:val="22"/>
                <w:szCs w:val="22"/>
                <w:lang w:val="sk-SK" w:eastAsia="en-US"/>
              </w:rPr>
              <w:t xml:space="preserve"> </w:t>
            </w:r>
            <w:r w:rsidR="009D40DB" w:rsidRPr="00BE3F0C">
              <w:rPr>
                <w:rFonts w:ascii="Times New Roman" w:hAnsi="Times New Roman" w:cs="Times New Roman"/>
                <w:sz w:val="22"/>
                <w:szCs w:val="22"/>
                <w:lang w:val="sk-SK" w:eastAsia="en-US"/>
              </w:rPr>
              <w:t xml:space="preserve">prsníka </w:t>
            </w:r>
            <w:r w:rsidRPr="00BE3F0C">
              <w:rPr>
                <w:rFonts w:ascii="Times New Roman" w:hAnsi="Times New Roman" w:cs="Times New Roman"/>
                <w:sz w:val="22"/>
                <w:szCs w:val="22"/>
                <w:lang w:val="sk-SK" w:eastAsia="en-US"/>
              </w:rPr>
              <w:t xml:space="preserve">v krajinách EÚ sa líši, počet navýšených prípadov </w:t>
            </w:r>
            <w:r w:rsidR="0000179D">
              <w:rPr>
                <w:rFonts w:ascii="Times New Roman" w:hAnsi="Times New Roman" w:cs="Times New Roman"/>
                <w:sz w:val="22"/>
                <w:szCs w:val="22"/>
                <w:lang w:val="sk-SK" w:eastAsia="en-US"/>
              </w:rPr>
              <w:t>karcinómu</w:t>
            </w:r>
            <w:r w:rsidRPr="00BE3F0C">
              <w:rPr>
                <w:rFonts w:ascii="Times New Roman" w:hAnsi="Times New Roman" w:cs="Times New Roman"/>
                <w:sz w:val="22"/>
                <w:szCs w:val="22"/>
                <w:lang w:val="sk-SK" w:eastAsia="en-US"/>
              </w:rPr>
              <w:t xml:space="preserve"> prsníka sa tiež bude proporcionálne meniť. </w:t>
            </w:r>
          </w:p>
        </w:tc>
      </w:tr>
      <w:tr w:rsidR="00B822E6" w:rsidRPr="002D19BC" w14:paraId="48EF23D4" w14:textId="77777777">
        <w:trPr>
          <w:gridAfter w:val="1"/>
          <w:wAfter w:w="22" w:type="dxa"/>
          <w:trHeight w:val="240"/>
        </w:trPr>
        <w:tc>
          <w:tcPr>
            <w:tcW w:w="9288" w:type="dxa"/>
            <w:gridSpan w:val="7"/>
            <w:tcBorders>
              <w:bottom w:val="single" w:sz="4" w:space="0" w:color="auto"/>
            </w:tcBorders>
          </w:tcPr>
          <w:p w14:paraId="12ABFB5C" w14:textId="77777777" w:rsidR="00B822E6" w:rsidRPr="00BE3F0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</w:p>
          <w:p w14:paraId="6AD6AE71" w14:textId="76632371" w:rsidR="00B822E6" w:rsidRPr="002D19BC" w:rsidRDefault="00B822E6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k-SK" w:eastAsia="en-US" w:bidi="ar-SA"/>
              </w:rPr>
              <w:t xml:space="preserve">US WHI štúdie - dodatočné </w:t>
            </w:r>
            <w:r w:rsidRPr="002D19BC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 xml:space="preserve">riziko </w:t>
            </w:r>
            <w:r w:rsidR="0000179D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karcinómu</w:t>
            </w:r>
            <w:r w:rsidRPr="002D19BC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 xml:space="preserve"> prsníka po 5</w:t>
            </w:r>
            <w:r w:rsidR="00E1279B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 </w:t>
            </w:r>
            <w:r w:rsidRPr="002D19BC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rokoch užívania</w:t>
            </w:r>
          </w:p>
        </w:tc>
      </w:tr>
      <w:tr w:rsidR="00B822E6" w:rsidRPr="002D19BC" w14:paraId="75B436F5" w14:textId="77777777">
        <w:trPr>
          <w:gridAfter w:val="1"/>
          <w:wAfter w:w="22" w:type="dxa"/>
          <w:trHeight w:val="513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62BF" w14:textId="77777777" w:rsidR="00B822E6" w:rsidRPr="002D19BC" w:rsidRDefault="00B822E6" w:rsidP="0026280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Vekové rozpätie (roky)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EDFD" w14:textId="307FFF64"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>Výskyt na 1000 žien v skupine s placebom počas 5 rokov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CA05" w14:textId="77777777"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Pomer rizika &amp; 95% CI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E3C1" w14:textId="39755C65"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Dodatočné prípady na 1000 </w:t>
            </w:r>
            <w:r w:rsidR="0000179D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HST</w:t>
            </w:r>
            <w:r w:rsidRPr="002D19B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užívateliek v priebehu 5 rokov (95% CI) </w:t>
            </w:r>
          </w:p>
        </w:tc>
      </w:tr>
      <w:tr w:rsidR="00B822E6" w:rsidRPr="002D19BC" w14:paraId="1799BBE3" w14:textId="77777777">
        <w:trPr>
          <w:gridAfter w:val="1"/>
          <w:wAfter w:w="22" w:type="dxa"/>
          <w:trHeight w:val="263"/>
        </w:trPr>
        <w:tc>
          <w:tcPr>
            <w:tcW w:w="3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AD38A9" w14:textId="77777777" w:rsidR="00B822E6" w:rsidRPr="002D19BC" w:rsidRDefault="00B822E6" w:rsidP="0026280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</w:p>
        </w:tc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963755A" w14:textId="77777777"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 xml:space="preserve">CEE samotný estrogén </w:t>
            </w:r>
          </w:p>
        </w:tc>
      </w:tr>
      <w:tr w:rsidR="00B822E6" w:rsidRPr="002D19BC" w14:paraId="1DCB8A3C" w14:textId="77777777">
        <w:trPr>
          <w:gridAfter w:val="1"/>
          <w:wAfter w:w="22" w:type="dxa"/>
          <w:trHeight w:val="265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C429" w14:textId="77777777" w:rsidR="00B822E6" w:rsidRPr="002D19BC" w:rsidRDefault="00B822E6" w:rsidP="0026280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 xml:space="preserve">50 - 79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4AC8" w14:textId="77777777"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 xml:space="preserve">21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DE74" w14:textId="77777777"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 xml:space="preserve">0,8 (0,7 – 1,0)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F576" w14:textId="77777777"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>-4 (-6 – 0)</w:t>
            </w: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  <w:lang w:val="sk-SK" w:eastAsia="en-US" w:bidi="ar-SA"/>
              </w:rPr>
              <w:footnoteReference w:id="2"/>
            </w:r>
          </w:p>
        </w:tc>
      </w:tr>
      <w:tr w:rsidR="00B822E6" w:rsidRPr="002D19BC" w14:paraId="0201858F" w14:textId="77777777">
        <w:trPr>
          <w:gridAfter w:val="1"/>
          <w:wAfter w:w="22" w:type="dxa"/>
          <w:trHeight w:val="263"/>
        </w:trPr>
        <w:tc>
          <w:tcPr>
            <w:tcW w:w="3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82D586" w14:textId="77777777" w:rsidR="00B822E6" w:rsidRPr="002D19BC" w:rsidRDefault="00B822E6" w:rsidP="0026280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</w:p>
        </w:tc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A463239" w14:textId="77777777"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 xml:space="preserve">CEE+MPA estrogén &amp; progestagén‡ </w:t>
            </w:r>
          </w:p>
        </w:tc>
      </w:tr>
      <w:tr w:rsidR="00B822E6" w:rsidRPr="002D19BC" w14:paraId="1B283C26" w14:textId="77777777">
        <w:trPr>
          <w:gridAfter w:val="1"/>
          <w:wAfter w:w="22" w:type="dxa"/>
          <w:trHeight w:val="268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720E" w14:textId="77777777" w:rsidR="00B822E6" w:rsidRPr="002D19BC" w:rsidRDefault="00B822E6" w:rsidP="0026280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 xml:space="preserve">50 - 79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31EA" w14:textId="77777777"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 xml:space="preserve">17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E302" w14:textId="77777777"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 xml:space="preserve">1,2 (1,0 – 1,5)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8717" w14:textId="77777777"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 xml:space="preserve">+4 (0 – 9) </w:t>
            </w:r>
          </w:p>
        </w:tc>
      </w:tr>
    </w:tbl>
    <w:p w14:paraId="71983985" w14:textId="666669F4" w:rsidR="00B822E6" w:rsidRPr="00BE3F0C" w:rsidRDefault="00B822E6" w:rsidP="0026280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 xml:space="preserve">‡Keď bola analýza obmedzená na ženy, ktoré neužívali pred štúdiou </w:t>
      </w:r>
      <w:r w:rsidR="0000179D">
        <w:rPr>
          <w:sz w:val="22"/>
          <w:szCs w:val="22"/>
          <w:lang w:val="sk-SK"/>
        </w:rPr>
        <w:t>HST</w:t>
      </w:r>
      <w:r w:rsidRPr="00BE3F0C">
        <w:rPr>
          <w:sz w:val="22"/>
          <w:szCs w:val="22"/>
          <w:lang w:val="sk-SK"/>
        </w:rPr>
        <w:t>, nebolo behom prvých 5 rokov zjavné zvýšené riziko: po 5 rokoch bolo riziko vyššie ako u neužívajúcich žien.</w:t>
      </w:r>
    </w:p>
    <w:p w14:paraId="77E39A99" w14:textId="77777777" w:rsidR="00B822E6" w:rsidRPr="002D19B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1AEE660" w14:textId="01FB98A0" w:rsidR="00B822E6" w:rsidRPr="002D19BC" w:rsidRDefault="00B822E6" w:rsidP="00610047">
      <w:pPr>
        <w:keepNext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 xml:space="preserve">Riziko </w:t>
      </w:r>
      <w:r w:rsidR="0000179D">
        <w:rPr>
          <w:b/>
          <w:sz w:val="22"/>
          <w:szCs w:val="22"/>
          <w:u w:val="single"/>
          <w:lang w:val="sk-SK"/>
        </w:rPr>
        <w:t>karcinómu</w:t>
      </w:r>
      <w:r w:rsidRPr="002D19BC">
        <w:rPr>
          <w:b/>
          <w:sz w:val="22"/>
          <w:szCs w:val="22"/>
          <w:u w:val="single"/>
          <w:lang w:val="sk-SK"/>
        </w:rPr>
        <w:t xml:space="preserve"> endometria</w:t>
      </w:r>
    </w:p>
    <w:p w14:paraId="5DC8E862" w14:textId="77777777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Postmenopauzálne ženy s maternicou:</w:t>
      </w:r>
    </w:p>
    <w:p w14:paraId="7F87ED03" w14:textId="54539073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Riziko </w:t>
      </w:r>
      <w:r w:rsidR="0000179D">
        <w:rPr>
          <w:sz w:val="22"/>
          <w:szCs w:val="22"/>
          <w:lang w:val="sk-SK"/>
        </w:rPr>
        <w:t>karcinómu</w:t>
      </w:r>
      <w:r w:rsidRPr="002D19BC">
        <w:rPr>
          <w:sz w:val="22"/>
          <w:szCs w:val="22"/>
          <w:lang w:val="sk-SK"/>
        </w:rPr>
        <w:t xml:space="preserve"> endometria je okolo 5 na 1000</w:t>
      </w:r>
      <w:r w:rsidR="00147B93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 xml:space="preserve">žien, ktoré neužívali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>.</w:t>
      </w:r>
    </w:p>
    <w:p w14:paraId="1C9C7E22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3A9FA383" w14:textId="24D962EC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U žien s maternicou sa neodporúča užívanie samotnej estrogénovej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, pretože je zvýšené riziko </w:t>
      </w:r>
      <w:r w:rsidR="0000179D">
        <w:rPr>
          <w:sz w:val="22"/>
          <w:szCs w:val="22"/>
          <w:lang w:val="sk-SK"/>
        </w:rPr>
        <w:t>karcinómu</w:t>
      </w:r>
      <w:r w:rsidRPr="002D19BC">
        <w:rPr>
          <w:sz w:val="22"/>
          <w:szCs w:val="22"/>
          <w:lang w:val="sk-SK"/>
        </w:rPr>
        <w:t xml:space="preserve"> endometria (pozri časť</w:t>
      </w:r>
      <w:r w:rsidR="001B573C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 xml:space="preserve">4.4). V závislosti od dĺžky užívania samotného estrogénu a jeho dávky sa vzostup rizika </w:t>
      </w:r>
      <w:r w:rsidR="0000179D">
        <w:rPr>
          <w:sz w:val="22"/>
          <w:szCs w:val="22"/>
          <w:lang w:val="sk-SK"/>
        </w:rPr>
        <w:t>karcinómu</w:t>
      </w:r>
      <w:r w:rsidRPr="002D19BC">
        <w:rPr>
          <w:sz w:val="22"/>
          <w:szCs w:val="22"/>
          <w:lang w:val="sk-SK"/>
        </w:rPr>
        <w:t xml:space="preserve"> endometria v epidemiologických štúdiách pohybuje medzi 5 a 55 extra diagnostikovaných prípadov na každých 1000 žien vo veku od 50 do 65 rokov.</w:t>
      </w:r>
    </w:p>
    <w:p w14:paraId="1950A52B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45DD2E86" w14:textId="7C1CC162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Pridanie progestagénu k samotnej estrogénovej liečbe najmenej 12 dní počas cyklu môže zabrániť tomuto zvýšenému riziku. V „Million Women Study“ päťročné užívanie kombinovanej (sekvenčnej alebo kontinuálnej)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nezvyšovalo riziko </w:t>
      </w:r>
      <w:r w:rsidR="0000179D">
        <w:rPr>
          <w:sz w:val="22"/>
          <w:szCs w:val="22"/>
          <w:lang w:val="sk-SK"/>
        </w:rPr>
        <w:t>karcinómu</w:t>
      </w:r>
      <w:r w:rsidRPr="002D19BC">
        <w:rPr>
          <w:sz w:val="22"/>
          <w:szCs w:val="22"/>
          <w:lang w:val="sk-SK"/>
        </w:rPr>
        <w:t xml:space="preserve"> endometria (RR 1,0 (0,8</w:t>
      </w:r>
      <w:r w:rsidR="001B573C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>-</w:t>
      </w:r>
      <w:r w:rsidR="001B573C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>1,2)).</w:t>
      </w:r>
    </w:p>
    <w:p w14:paraId="514EA498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510D33DC" w14:textId="44C8A4E7" w:rsidR="00B822E6" w:rsidRPr="002D19BC" w:rsidRDefault="00C87C59" w:rsidP="00610047">
      <w:pPr>
        <w:pStyle w:val="Zkladntext"/>
        <w:keepNext/>
        <w:jc w:val="left"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Ovariálny karcinóm</w:t>
      </w:r>
    </w:p>
    <w:p w14:paraId="028B5432" w14:textId="298617DE" w:rsidR="00CE3706" w:rsidRPr="002D19BC" w:rsidRDefault="00C87C59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U</w:t>
      </w:r>
      <w:r w:rsidR="00B822E6" w:rsidRPr="002D19BC">
        <w:rPr>
          <w:sz w:val="22"/>
          <w:szCs w:val="22"/>
          <w:lang w:val="sk-SK"/>
        </w:rPr>
        <w:t xml:space="preserve">žívanie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obsahujúcej iba </w:t>
      </w:r>
      <w:r w:rsidR="00B822E6" w:rsidRPr="002D19BC">
        <w:rPr>
          <w:sz w:val="22"/>
          <w:szCs w:val="22"/>
          <w:lang w:val="sk-SK"/>
        </w:rPr>
        <w:t>estrogén a</w:t>
      </w:r>
      <w:r w:rsidRPr="002D19BC">
        <w:rPr>
          <w:sz w:val="22"/>
          <w:szCs w:val="22"/>
          <w:lang w:val="sk-SK"/>
        </w:rPr>
        <w:t>lebo</w:t>
      </w:r>
      <w:r w:rsidR="00B822E6" w:rsidRPr="002D19BC">
        <w:rPr>
          <w:sz w:val="22"/>
          <w:szCs w:val="22"/>
          <w:lang w:val="sk-SK"/>
        </w:rPr>
        <w:t> kombin</w:t>
      </w:r>
      <w:r w:rsidRPr="002D19BC">
        <w:rPr>
          <w:sz w:val="22"/>
          <w:szCs w:val="22"/>
          <w:lang w:val="sk-SK"/>
        </w:rPr>
        <w:t>áciu</w:t>
      </w:r>
      <w:r w:rsidR="00B822E6" w:rsidRPr="002D19BC">
        <w:rPr>
          <w:sz w:val="22"/>
          <w:szCs w:val="22"/>
          <w:lang w:val="sk-SK"/>
        </w:rPr>
        <w:t xml:space="preserve"> estrogén</w:t>
      </w:r>
      <w:r w:rsidRPr="002D19BC">
        <w:rPr>
          <w:sz w:val="22"/>
          <w:szCs w:val="22"/>
          <w:lang w:val="sk-SK"/>
        </w:rPr>
        <w:t xml:space="preserve">u a </w:t>
      </w:r>
      <w:r w:rsidR="00B822E6" w:rsidRPr="002D19BC">
        <w:rPr>
          <w:sz w:val="22"/>
          <w:szCs w:val="22"/>
          <w:lang w:val="sk-SK"/>
        </w:rPr>
        <w:t>progestagén</w:t>
      </w:r>
      <w:r w:rsidRPr="002D19BC">
        <w:rPr>
          <w:sz w:val="22"/>
          <w:szCs w:val="22"/>
          <w:lang w:val="sk-SK"/>
        </w:rPr>
        <w:t>u</w:t>
      </w:r>
      <w:r w:rsidR="00B822E6" w:rsidRPr="002D19BC">
        <w:rPr>
          <w:sz w:val="22"/>
          <w:szCs w:val="22"/>
          <w:lang w:val="sk-SK"/>
        </w:rPr>
        <w:t xml:space="preserve"> </w:t>
      </w:r>
      <w:r w:rsidR="00CE3706" w:rsidRPr="002D19BC">
        <w:rPr>
          <w:sz w:val="22"/>
          <w:szCs w:val="22"/>
          <w:lang w:val="sk-SK"/>
        </w:rPr>
        <w:t>sa spája</w:t>
      </w:r>
      <w:r w:rsidR="00B822E6" w:rsidRPr="002D19BC">
        <w:rPr>
          <w:sz w:val="22"/>
          <w:szCs w:val="22"/>
          <w:lang w:val="sk-SK"/>
        </w:rPr>
        <w:t xml:space="preserve"> s mierne zvýšeným rizikom</w:t>
      </w:r>
      <w:r w:rsidR="00CE3706" w:rsidRPr="002D19BC">
        <w:rPr>
          <w:sz w:val="22"/>
          <w:szCs w:val="22"/>
          <w:lang w:val="sk-SK"/>
        </w:rPr>
        <w:t>, že sa diagnostikuje</w:t>
      </w:r>
      <w:r w:rsidRPr="002D19BC">
        <w:rPr>
          <w:sz w:val="22"/>
          <w:szCs w:val="22"/>
          <w:lang w:val="sk-SK"/>
        </w:rPr>
        <w:t xml:space="preserve"> ovariáln</w:t>
      </w:r>
      <w:r w:rsidR="00CE3706" w:rsidRPr="002D19BC">
        <w:rPr>
          <w:sz w:val="22"/>
          <w:szCs w:val="22"/>
          <w:lang w:val="sk-SK"/>
        </w:rPr>
        <w:t>y</w:t>
      </w:r>
      <w:r w:rsidRPr="002D19BC">
        <w:rPr>
          <w:sz w:val="22"/>
          <w:szCs w:val="22"/>
          <w:lang w:val="sk-SK"/>
        </w:rPr>
        <w:t xml:space="preserve"> karcinóm (pozri časť</w:t>
      </w:r>
      <w:r w:rsidR="00F93DDD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4.4)</w:t>
      </w:r>
      <w:r w:rsidR="00B822E6" w:rsidRPr="002D19BC">
        <w:rPr>
          <w:sz w:val="22"/>
          <w:szCs w:val="22"/>
          <w:lang w:val="sk-SK"/>
        </w:rPr>
        <w:t>.</w:t>
      </w:r>
    </w:p>
    <w:p w14:paraId="3629AA67" w14:textId="0AB00F97" w:rsidR="00B822E6" w:rsidRPr="002D19BC" w:rsidRDefault="00CE3706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Pri metaanalýze z 52 epidemiologických štúdií sa zistilo zvýšené riziko výskytu ovariálneho karcinómu u žien, ktoré v súčasnosti užívajú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, v porovnaní so ženami, ktoré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nikdy neužívali (RR 1,43; 95</w:t>
      </w:r>
      <w:r w:rsidRPr="00BE3F0C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 xml:space="preserve">% IS 1,31 - 1,56). U žien vo veku 50 - 54 rokov, ktoré užívajú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počas piatich rokov, pripadá na 2000 žien približne jeden prípad </w:t>
      </w:r>
      <w:r w:rsidR="00EB590D">
        <w:rPr>
          <w:sz w:val="22"/>
          <w:szCs w:val="22"/>
          <w:lang w:val="sk-SK"/>
        </w:rPr>
        <w:t>navyše</w:t>
      </w:r>
      <w:r w:rsidRPr="002D19BC">
        <w:rPr>
          <w:sz w:val="22"/>
          <w:szCs w:val="22"/>
          <w:lang w:val="sk-SK"/>
        </w:rPr>
        <w:t>. Približne u dvoch žien z</w:t>
      </w:r>
      <w:r w:rsidR="00FB1F64" w:rsidRPr="002D19BC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 xml:space="preserve">2000 vo veku 50 – 54 rokov, ktoré neužívajú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>, bude v priebehu piatich rokov diagnostikovaný ovariálny karcinóm.</w:t>
      </w:r>
    </w:p>
    <w:p w14:paraId="777AF9A6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43C84A0B" w14:textId="77777777" w:rsidR="00B822E6" w:rsidRPr="002D19BC" w:rsidRDefault="00B822E6" w:rsidP="00BE3F0C">
      <w:pPr>
        <w:pStyle w:val="Zkladntext"/>
        <w:jc w:val="left"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Riziko venóznej tromboembólie</w:t>
      </w:r>
    </w:p>
    <w:p w14:paraId="75CD61D5" w14:textId="184E6064" w:rsidR="00B822E6" w:rsidRPr="002D19BC" w:rsidRDefault="0000179D" w:rsidP="00BE3F0C">
      <w:pPr>
        <w:pStyle w:val="Zkladntext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HST</w:t>
      </w:r>
      <w:r w:rsidR="00B822E6" w:rsidRPr="002D19BC">
        <w:rPr>
          <w:sz w:val="22"/>
          <w:szCs w:val="22"/>
          <w:lang w:val="sk-SK"/>
        </w:rPr>
        <w:t xml:space="preserve"> je spojená s 1,3- až 3- násobne vyšším relatívnym rizikom vzniku venóznej tromboembólie (VTE), čo je hlboká žilová trombóza alebo pľúcna embólia. Výskyt takých prípadov je pravdepodobnejší v prvom roku užívania </w:t>
      </w:r>
      <w:r>
        <w:rPr>
          <w:sz w:val="22"/>
          <w:szCs w:val="22"/>
          <w:lang w:val="sk-SK"/>
        </w:rPr>
        <w:t>HST</w:t>
      </w:r>
      <w:r w:rsidR="00B822E6" w:rsidRPr="002D19BC">
        <w:rPr>
          <w:sz w:val="22"/>
          <w:szCs w:val="22"/>
          <w:lang w:val="sk-SK"/>
        </w:rPr>
        <w:t xml:space="preserve"> (pozri časť</w:t>
      </w:r>
      <w:r w:rsidR="00461A23">
        <w:rPr>
          <w:sz w:val="22"/>
          <w:szCs w:val="22"/>
          <w:lang w:val="sk-SK"/>
        </w:rPr>
        <w:t> </w:t>
      </w:r>
      <w:r w:rsidR="00B822E6" w:rsidRPr="002D19BC">
        <w:rPr>
          <w:sz w:val="22"/>
          <w:szCs w:val="22"/>
          <w:lang w:val="sk-SK"/>
        </w:rPr>
        <w:t>4.4).</w:t>
      </w:r>
    </w:p>
    <w:p w14:paraId="632F206A" w14:textId="77777777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Výsledky WHI štúdie sú tieto:</w:t>
      </w:r>
    </w:p>
    <w:p w14:paraId="26C6DAC7" w14:textId="77777777" w:rsidR="00B822E6" w:rsidRPr="003B251E" w:rsidRDefault="00B822E6" w:rsidP="00262803">
      <w:pPr>
        <w:autoSpaceDE w:val="0"/>
        <w:autoSpaceDN w:val="0"/>
        <w:adjustRightInd w:val="0"/>
        <w:rPr>
          <w:rFonts w:eastAsia="SimSun"/>
          <w:bCs/>
          <w:sz w:val="22"/>
          <w:szCs w:val="22"/>
          <w:highlight w:val="yellow"/>
          <w:lang w:val="sk-SK" w:eastAsia="zh-CN" w:bidi="th-TH"/>
        </w:rPr>
      </w:pPr>
    </w:p>
    <w:p w14:paraId="35C3D4B1" w14:textId="11D48D69" w:rsidR="00B822E6" w:rsidRPr="002D19BC" w:rsidRDefault="00B822E6">
      <w:pPr>
        <w:rPr>
          <w:b/>
          <w:sz w:val="22"/>
          <w:szCs w:val="22"/>
          <w:lang w:val="sk-SK"/>
        </w:rPr>
      </w:pPr>
      <w:r w:rsidRPr="002D19BC">
        <w:rPr>
          <w:b/>
          <w:sz w:val="22"/>
          <w:szCs w:val="22"/>
          <w:lang w:val="sk-SK"/>
        </w:rPr>
        <w:t xml:space="preserve">WHI Štúdie – </w:t>
      </w:r>
      <w:r w:rsidRPr="002D19BC">
        <w:rPr>
          <w:b/>
          <w:sz w:val="22"/>
          <w:szCs w:val="22"/>
          <w:lang w:val="sk-SK" w:eastAsia="en-US"/>
        </w:rPr>
        <w:t>dodatočné</w:t>
      </w:r>
      <w:r w:rsidRPr="002D19BC">
        <w:rPr>
          <w:b/>
          <w:sz w:val="22"/>
          <w:szCs w:val="22"/>
          <w:lang w:val="sk-SK"/>
        </w:rPr>
        <w:t xml:space="preserve"> riziko VTE po 5</w:t>
      </w:r>
      <w:r w:rsidR="00461A23">
        <w:rPr>
          <w:b/>
          <w:sz w:val="22"/>
          <w:szCs w:val="22"/>
          <w:lang w:val="sk-SK"/>
        </w:rPr>
        <w:t> </w:t>
      </w:r>
      <w:r w:rsidRPr="002D19BC">
        <w:rPr>
          <w:b/>
          <w:sz w:val="22"/>
          <w:szCs w:val="22"/>
          <w:lang w:val="sk-SK"/>
        </w:rPr>
        <w:t>rokoch užívania</w:t>
      </w:r>
    </w:p>
    <w:tbl>
      <w:tblPr>
        <w:tblW w:w="8985" w:type="dxa"/>
        <w:tblLook w:val="0000" w:firstRow="0" w:lastRow="0" w:firstColumn="0" w:lastColumn="0" w:noHBand="0" w:noVBand="0"/>
      </w:tblPr>
      <w:tblGrid>
        <w:gridCol w:w="1835"/>
        <w:gridCol w:w="2520"/>
        <w:gridCol w:w="2040"/>
        <w:gridCol w:w="2590"/>
      </w:tblGrid>
      <w:tr w:rsidR="00B822E6" w:rsidRPr="002D19BC" w14:paraId="7598A457" w14:textId="77777777">
        <w:trPr>
          <w:trHeight w:val="285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36052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>Vekové rozpätie (roky)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52F158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>Výskyt na 1000 žien v skupine s placebom počas 5 rokov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01A8B6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Pomer rizika a 95% CI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B255F7" w14:textId="59A3B744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Dodatočné prípady na 1000 </w:t>
            </w:r>
            <w:r w:rsidR="0000179D">
              <w:rPr>
                <w:sz w:val="22"/>
                <w:szCs w:val="22"/>
                <w:lang w:val="sk-SK"/>
              </w:rPr>
              <w:t>HST</w:t>
            </w:r>
            <w:r w:rsidRPr="002D19BC">
              <w:rPr>
                <w:sz w:val="22"/>
                <w:szCs w:val="22"/>
                <w:lang w:val="sk-SK"/>
              </w:rPr>
              <w:t xml:space="preserve"> užívateliek </w:t>
            </w:r>
          </w:p>
        </w:tc>
      </w:tr>
      <w:tr w:rsidR="00B822E6" w:rsidRPr="002D19BC" w14:paraId="341D31C7" w14:textId="77777777">
        <w:trPr>
          <w:trHeight w:val="263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BE5A5F9" w14:textId="77777777" w:rsidR="00B822E6" w:rsidRPr="002D19BC" w:rsidRDefault="00B822E6" w:rsidP="00262803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>Perorálny samotný estrogén</w:t>
            </w:r>
            <w:r w:rsidRPr="002D19BC">
              <w:rPr>
                <w:sz w:val="22"/>
                <w:szCs w:val="22"/>
                <w:vertAlign w:val="superscript"/>
                <w:lang w:val="sk-SK"/>
              </w:rPr>
              <w:footnoteReference w:id="3"/>
            </w:r>
            <w:r w:rsidRPr="002D19BC">
              <w:rPr>
                <w:sz w:val="22"/>
                <w:szCs w:val="22"/>
                <w:vertAlign w:val="superscript"/>
                <w:lang w:val="sk-SK"/>
              </w:rPr>
              <w:t xml:space="preserve"> </w:t>
            </w:r>
          </w:p>
        </w:tc>
      </w:tr>
      <w:tr w:rsidR="00B822E6" w:rsidRPr="002D19BC" w14:paraId="347949AB" w14:textId="77777777">
        <w:trPr>
          <w:trHeight w:val="265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5D8F" w14:textId="77777777" w:rsidR="00B822E6" w:rsidRPr="002D19BC" w:rsidRDefault="00B822E6" w:rsidP="00262803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50 - 59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0E9D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7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8ACD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1,2 (0,6-2,4)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DEA5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1 (-3 – 10) </w:t>
            </w:r>
          </w:p>
        </w:tc>
      </w:tr>
      <w:tr w:rsidR="00B822E6" w:rsidRPr="002D19BC" w14:paraId="5F3343B9" w14:textId="77777777">
        <w:trPr>
          <w:trHeight w:val="265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C0BE3EA" w14:textId="77777777" w:rsidR="00B822E6" w:rsidRPr="002D19BC" w:rsidRDefault="00B822E6" w:rsidP="00262803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Perorálna kombinácia estrogén-progestagén </w:t>
            </w:r>
          </w:p>
        </w:tc>
      </w:tr>
      <w:tr w:rsidR="00B822E6" w:rsidRPr="002D19BC" w14:paraId="25B1D696" w14:textId="77777777">
        <w:trPr>
          <w:trHeight w:val="265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077E" w14:textId="77777777" w:rsidR="00B822E6" w:rsidRPr="002D19BC" w:rsidRDefault="00B822E6" w:rsidP="00262803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50 - 59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4D35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4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BB53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2,3 (1,2 – 4,3)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4D86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5 (1 - 13) </w:t>
            </w:r>
          </w:p>
        </w:tc>
      </w:tr>
    </w:tbl>
    <w:p w14:paraId="32820838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highlight w:val="yellow"/>
          <w:lang w:val="sk-SK"/>
        </w:rPr>
      </w:pPr>
    </w:p>
    <w:p w14:paraId="41820A03" w14:textId="77777777" w:rsidR="00B822E6" w:rsidRPr="002D19BC" w:rsidRDefault="00B822E6" w:rsidP="00610047">
      <w:pPr>
        <w:keepNext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Riziko ochorenia koronárnych tepien (CAD)</w:t>
      </w:r>
    </w:p>
    <w:p w14:paraId="34C6DB60" w14:textId="2241A7A6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Riziko ochorenia koronárnych tepien je mierne zvýšené u užívateliek kombinovanej estrogén-progestagénovej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nad 60 rokov (pozri časť</w:t>
      </w:r>
      <w:r w:rsidR="00461A23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4.4).</w:t>
      </w:r>
    </w:p>
    <w:p w14:paraId="4BDAB3E3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2033E648" w14:textId="77777777" w:rsidR="00B822E6" w:rsidRPr="002D19BC" w:rsidRDefault="00B822E6" w:rsidP="00610047">
      <w:pPr>
        <w:keepNext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Riziko cievnej mozgovej príhody</w:t>
      </w:r>
    </w:p>
    <w:p w14:paraId="02161155" w14:textId="554E3BD3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Kombinovaná estrogén-progestagénová alebo samotná estrogénova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je spojená s až 1,5</w:t>
      </w:r>
      <w:r w:rsidR="00B03C81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 xml:space="preserve">- násobne vyšším relatívnym rizikom ischemickej mozgovej príhody. Riziko hemoragickej mozgovej príhody sa nezvyšuje počas užívania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>.</w:t>
      </w:r>
    </w:p>
    <w:p w14:paraId="23A38DB2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547FB8C3" w14:textId="04ECF424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Relatívne riziko sa nemení vekom či dĺžkou trvania liečby, ale nakoľko je riziko mozgovej príhody v</w:t>
      </w:r>
      <w:r w:rsidR="00EB18FA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 xml:space="preserve">silnej závislosti od veku, aj u žien užívajúcich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sa celkové riziko mozgovej príhody bude zvyšovať s vekom (pozri časť</w:t>
      </w:r>
      <w:r w:rsidR="00EB18FA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4.4).</w:t>
      </w:r>
    </w:p>
    <w:p w14:paraId="42DFEC2D" w14:textId="77777777" w:rsidR="00B822E6" w:rsidRPr="002D19BC" w:rsidRDefault="00B822E6" w:rsidP="00262803">
      <w:pPr>
        <w:rPr>
          <w:sz w:val="22"/>
          <w:szCs w:val="22"/>
          <w:lang w:val="sk-SK"/>
        </w:rPr>
      </w:pPr>
    </w:p>
    <w:p w14:paraId="2374644C" w14:textId="115EAC13" w:rsidR="00B822E6" w:rsidRPr="002D19BC" w:rsidRDefault="00B822E6">
      <w:pPr>
        <w:rPr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lang w:val="sk-SK"/>
        </w:rPr>
        <w:t>WHI kombinované štúdie – dodatočné riziko ischemickej mozgovej príhody</w:t>
      </w:r>
      <w:r w:rsidRPr="002D19BC">
        <w:rPr>
          <w:rStyle w:val="Odkaznapoznmkupodiarou"/>
          <w:b/>
          <w:sz w:val="22"/>
          <w:szCs w:val="22"/>
          <w:lang w:val="sk-SK"/>
        </w:rPr>
        <w:footnoteReference w:id="4"/>
      </w:r>
      <w:r w:rsidRPr="002D19BC">
        <w:rPr>
          <w:b/>
          <w:sz w:val="22"/>
          <w:szCs w:val="22"/>
          <w:lang w:val="sk-SK"/>
        </w:rPr>
        <w:t xml:space="preserve"> po 5</w:t>
      </w:r>
      <w:r w:rsidR="00AB7C9D">
        <w:rPr>
          <w:b/>
          <w:sz w:val="22"/>
          <w:szCs w:val="22"/>
          <w:lang w:val="sk-SK"/>
        </w:rPr>
        <w:t> </w:t>
      </w:r>
      <w:r w:rsidRPr="002D19BC">
        <w:rPr>
          <w:b/>
          <w:sz w:val="22"/>
          <w:szCs w:val="22"/>
          <w:lang w:val="sk-SK"/>
        </w:rPr>
        <w:t>rokoch užívania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2375"/>
        <w:gridCol w:w="2375"/>
        <w:gridCol w:w="2375"/>
      </w:tblGrid>
      <w:tr w:rsidR="00B822E6" w:rsidRPr="002D19BC" w14:paraId="54663632" w14:textId="77777777">
        <w:tc>
          <w:tcPr>
            <w:tcW w:w="2375" w:type="dxa"/>
          </w:tcPr>
          <w:p w14:paraId="43388B4E" w14:textId="77777777" w:rsidR="00B822E6" w:rsidRPr="002D19BC" w:rsidRDefault="00B822E6">
            <w:pPr>
              <w:tabs>
                <w:tab w:val="left" w:pos="1080"/>
              </w:tabs>
              <w:suppressAutoHyphens/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>Vekové rozpätie (roky)</w:t>
            </w:r>
          </w:p>
        </w:tc>
        <w:tc>
          <w:tcPr>
            <w:tcW w:w="2375" w:type="dxa"/>
          </w:tcPr>
          <w:p w14:paraId="6B45050D" w14:textId="77777777" w:rsidR="00B822E6" w:rsidRPr="002D19BC" w:rsidRDefault="00B822E6">
            <w:pPr>
              <w:tabs>
                <w:tab w:val="left" w:pos="1080"/>
              </w:tabs>
              <w:suppressAutoHyphens/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>Výskyt na 1000 žien v skupine s placebom počas 5 rokov</w:t>
            </w:r>
          </w:p>
        </w:tc>
        <w:tc>
          <w:tcPr>
            <w:tcW w:w="2375" w:type="dxa"/>
          </w:tcPr>
          <w:p w14:paraId="51DFBC22" w14:textId="77777777" w:rsidR="00B822E6" w:rsidRPr="002D19BC" w:rsidRDefault="00B822E6">
            <w:pPr>
              <w:tabs>
                <w:tab w:val="left" w:pos="1080"/>
              </w:tabs>
              <w:suppressAutoHyphens/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Pomer rizika a 95% CI </w:t>
            </w:r>
          </w:p>
        </w:tc>
        <w:tc>
          <w:tcPr>
            <w:tcW w:w="2375" w:type="dxa"/>
          </w:tcPr>
          <w:p w14:paraId="0F413A4C" w14:textId="7AD43C6F" w:rsidR="00B822E6" w:rsidRPr="002D19BC" w:rsidRDefault="00B822E6">
            <w:pPr>
              <w:tabs>
                <w:tab w:val="left" w:pos="1080"/>
              </w:tabs>
              <w:suppressAutoHyphens/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Dodatočné prípady na 1000 </w:t>
            </w:r>
            <w:r w:rsidR="0000179D">
              <w:rPr>
                <w:sz w:val="22"/>
                <w:szCs w:val="22"/>
                <w:lang w:val="sk-SK"/>
              </w:rPr>
              <w:t>HST</w:t>
            </w:r>
            <w:r w:rsidRPr="002D19BC">
              <w:rPr>
                <w:sz w:val="22"/>
                <w:szCs w:val="22"/>
                <w:lang w:val="sk-SK"/>
              </w:rPr>
              <w:t xml:space="preserve"> užívateliek počas 5 rokov</w:t>
            </w:r>
          </w:p>
        </w:tc>
      </w:tr>
      <w:tr w:rsidR="00B822E6" w:rsidRPr="002D19BC" w14:paraId="06FAC2F3" w14:textId="77777777">
        <w:tc>
          <w:tcPr>
            <w:tcW w:w="2375" w:type="dxa"/>
          </w:tcPr>
          <w:p w14:paraId="703A0C08" w14:textId="77777777" w:rsidR="00B822E6" w:rsidRPr="002D19BC" w:rsidRDefault="00B822E6" w:rsidP="00262803">
            <w:pPr>
              <w:tabs>
                <w:tab w:val="left" w:pos="1080"/>
              </w:tabs>
              <w:suppressAutoHyphens/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>50 - 59</w:t>
            </w:r>
          </w:p>
        </w:tc>
        <w:tc>
          <w:tcPr>
            <w:tcW w:w="2375" w:type="dxa"/>
          </w:tcPr>
          <w:p w14:paraId="7DEC7003" w14:textId="77777777" w:rsidR="00B822E6" w:rsidRPr="002D19BC" w:rsidRDefault="00B822E6">
            <w:pPr>
              <w:tabs>
                <w:tab w:val="left" w:pos="1080"/>
              </w:tabs>
              <w:suppressAutoHyphens/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>8</w:t>
            </w:r>
          </w:p>
        </w:tc>
        <w:tc>
          <w:tcPr>
            <w:tcW w:w="2375" w:type="dxa"/>
          </w:tcPr>
          <w:p w14:paraId="72920C83" w14:textId="77777777" w:rsidR="00B822E6" w:rsidRPr="002D19BC" w:rsidRDefault="00B822E6">
            <w:pPr>
              <w:tabs>
                <w:tab w:val="left" w:pos="1080"/>
              </w:tabs>
              <w:suppressAutoHyphens/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>1,3 (1,1 - 1,6)</w:t>
            </w:r>
          </w:p>
        </w:tc>
        <w:tc>
          <w:tcPr>
            <w:tcW w:w="2375" w:type="dxa"/>
          </w:tcPr>
          <w:p w14:paraId="67F6ED4E" w14:textId="77777777" w:rsidR="00B822E6" w:rsidRPr="002D19BC" w:rsidRDefault="00B822E6">
            <w:pPr>
              <w:tabs>
                <w:tab w:val="left" w:pos="1080"/>
              </w:tabs>
              <w:suppressAutoHyphens/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>3 (1 - 5)</w:t>
            </w:r>
          </w:p>
        </w:tc>
      </w:tr>
    </w:tbl>
    <w:p w14:paraId="5D15902F" w14:textId="77777777" w:rsidR="00B822E6" w:rsidRPr="002D19BC" w:rsidRDefault="00B822E6" w:rsidP="00262803">
      <w:pPr>
        <w:rPr>
          <w:sz w:val="22"/>
          <w:szCs w:val="22"/>
          <w:u w:val="single"/>
          <w:lang w:val="sk-SK"/>
        </w:rPr>
      </w:pPr>
    </w:p>
    <w:p w14:paraId="1F4945D9" w14:textId="77777777" w:rsidR="00B822E6" w:rsidRPr="002D19BC" w:rsidRDefault="00B822E6" w:rsidP="00610047">
      <w:pPr>
        <w:keepNext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Iné nežiaduce reakcie hlásené v súvislosti s kombinovanou liečbou estrogénom a progestagénom:</w:t>
      </w:r>
    </w:p>
    <w:p w14:paraId="59096973" w14:textId="77777777" w:rsidR="00B822E6" w:rsidRPr="002D19BC" w:rsidRDefault="00B822E6" w:rsidP="00610047">
      <w:pPr>
        <w:keepNext/>
        <w:rPr>
          <w:sz w:val="22"/>
          <w:szCs w:val="22"/>
          <w:lang w:val="sk-SK"/>
        </w:rPr>
      </w:pPr>
    </w:p>
    <w:p w14:paraId="591F55E4" w14:textId="77FC01B5" w:rsidR="00B822E6" w:rsidRPr="002D19BC" w:rsidRDefault="00B822E6" w:rsidP="00610047">
      <w:pPr>
        <w:keepNext/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Benígne, malígne a</w:t>
      </w:r>
      <w:r w:rsidR="00463E17">
        <w:rPr>
          <w:sz w:val="22"/>
          <w:szCs w:val="22"/>
          <w:u w:val="single"/>
          <w:lang w:val="sk-SK"/>
        </w:rPr>
        <w:t> </w:t>
      </w:r>
      <w:r w:rsidRPr="002D19BC">
        <w:rPr>
          <w:sz w:val="22"/>
          <w:szCs w:val="22"/>
          <w:u w:val="single"/>
          <w:lang w:val="sk-SK"/>
        </w:rPr>
        <w:t>nešpecifikované nádory</w:t>
      </w:r>
    </w:p>
    <w:p w14:paraId="222EE1FF" w14:textId="3C340D01"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Estrogéndependentné neoplázie, benígne aj malígne, ako je </w:t>
      </w:r>
      <w:r w:rsidR="002F4534">
        <w:rPr>
          <w:sz w:val="22"/>
          <w:szCs w:val="22"/>
          <w:lang w:val="sk-SK"/>
        </w:rPr>
        <w:t>karcinóm</w:t>
      </w:r>
      <w:r w:rsidRPr="002D19BC">
        <w:rPr>
          <w:sz w:val="22"/>
          <w:szCs w:val="22"/>
          <w:lang w:val="sk-SK"/>
        </w:rPr>
        <w:t xml:space="preserve"> endometria, </w:t>
      </w:r>
      <w:r w:rsidR="002F4534">
        <w:rPr>
          <w:sz w:val="22"/>
          <w:szCs w:val="22"/>
          <w:lang w:val="sk-SK"/>
        </w:rPr>
        <w:t>karcinóm</w:t>
      </w:r>
      <w:r w:rsidRPr="002D19BC">
        <w:rPr>
          <w:sz w:val="22"/>
          <w:szCs w:val="22"/>
          <w:lang w:val="sk-SK"/>
        </w:rPr>
        <w:t xml:space="preserve"> vaječníkov.</w:t>
      </w:r>
    </w:p>
    <w:p w14:paraId="7BA0C920" w14:textId="33E3BDA0"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Zväčšenie veľkosti meningiómu.</w:t>
      </w:r>
    </w:p>
    <w:p w14:paraId="6250DA7E" w14:textId="77777777" w:rsidR="00B822E6" w:rsidRPr="002D19BC" w:rsidRDefault="00B822E6" w:rsidP="00610047">
      <w:pPr>
        <w:keepNext/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Poruchy imunitného systému</w:t>
      </w:r>
    </w:p>
    <w:p w14:paraId="52DAF601" w14:textId="77777777"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Systémový lupus erythematosus</w:t>
      </w:r>
    </w:p>
    <w:p w14:paraId="351C6339" w14:textId="77777777" w:rsidR="00B822E6" w:rsidRPr="002D19BC" w:rsidRDefault="00B822E6" w:rsidP="00610047">
      <w:pPr>
        <w:keepNext/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Poruchy metabolizmu a výživy</w:t>
      </w:r>
    </w:p>
    <w:p w14:paraId="1D1759E6" w14:textId="77777777"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Hypertriglyceridémia</w:t>
      </w:r>
    </w:p>
    <w:p w14:paraId="23E09E61" w14:textId="77777777" w:rsidR="00B822E6" w:rsidRPr="002D19BC" w:rsidRDefault="00B822E6" w:rsidP="00610047">
      <w:pPr>
        <w:keepNext/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Poruchy nervového systému</w:t>
      </w:r>
    </w:p>
    <w:p w14:paraId="7B28B033" w14:textId="77777777"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Možný vznik demencie, chorea, </w:t>
      </w:r>
      <w:r w:rsidR="00434CD5" w:rsidRPr="002D19BC">
        <w:rPr>
          <w:sz w:val="22"/>
          <w:szCs w:val="22"/>
          <w:lang w:val="sk-SK"/>
        </w:rPr>
        <w:t>exacerbácia</w:t>
      </w:r>
      <w:r w:rsidRPr="002D19BC">
        <w:rPr>
          <w:sz w:val="22"/>
          <w:szCs w:val="22"/>
          <w:lang w:val="sk-SK"/>
        </w:rPr>
        <w:t xml:space="preserve"> epilepsie. </w:t>
      </w:r>
    </w:p>
    <w:p w14:paraId="62FC80DF" w14:textId="77777777" w:rsidR="00B822E6" w:rsidRPr="002D19BC" w:rsidRDefault="00B822E6" w:rsidP="00610047">
      <w:pPr>
        <w:keepNext/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Poruchy ciev</w:t>
      </w:r>
    </w:p>
    <w:p w14:paraId="0BE8DE08" w14:textId="77777777"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Arteriálna tromboembólia </w:t>
      </w:r>
    </w:p>
    <w:p w14:paraId="7F9A8569" w14:textId="77777777" w:rsidR="00B822E6" w:rsidRPr="002D19BC" w:rsidRDefault="00B822E6" w:rsidP="00610047">
      <w:pPr>
        <w:keepNext/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Poruchy gastrointestinálneho traktu</w:t>
      </w:r>
    </w:p>
    <w:p w14:paraId="65FD094C" w14:textId="77777777"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Pankreatitída (u žien s hypertriglyceridémiou).</w:t>
      </w:r>
    </w:p>
    <w:p w14:paraId="375AA810" w14:textId="77777777" w:rsidR="00B822E6" w:rsidRPr="002D19BC" w:rsidRDefault="00B822E6" w:rsidP="00610047">
      <w:pPr>
        <w:keepNext/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Poruchy kože a podkožného tkaniva</w:t>
      </w:r>
    </w:p>
    <w:p w14:paraId="2BEE4687" w14:textId="42EE69EF"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Erythema multiforme</w:t>
      </w:r>
    </w:p>
    <w:p w14:paraId="6F148547" w14:textId="77777777" w:rsidR="00B822E6" w:rsidRPr="002D19BC" w:rsidRDefault="00B822E6" w:rsidP="00610047">
      <w:pPr>
        <w:keepNext/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Poruchy obličiek a močových ciest</w:t>
      </w:r>
    </w:p>
    <w:p w14:paraId="0149E5A4" w14:textId="77777777"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Inkontinencia moču</w:t>
      </w:r>
    </w:p>
    <w:p w14:paraId="0AFB66F9" w14:textId="77777777" w:rsidR="00B822E6" w:rsidRPr="002D19BC" w:rsidRDefault="00B822E6" w:rsidP="00610047">
      <w:pPr>
        <w:keepNext/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Poruchy reprodukčného systému a prsníkov</w:t>
      </w:r>
    </w:p>
    <w:p w14:paraId="69AA203E" w14:textId="77777777"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Fibrocystické zmeny prsníkov, cervikálna erózia uteru.</w:t>
      </w:r>
    </w:p>
    <w:p w14:paraId="3EA3E24C" w14:textId="77777777" w:rsidR="00B822E6" w:rsidRPr="002D19BC" w:rsidRDefault="00B822E6" w:rsidP="00610047">
      <w:pPr>
        <w:keepNext/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lastRenderedPageBreak/>
        <w:t>Vrodené, familiárne a genetické poruchy</w:t>
      </w:r>
    </w:p>
    <w:p w14:paraId="302D51D4" w14:textId="77777777"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Zhoršenie porfýrie.</w:t>
      </w:r>
    </w:p>
    <w:p w14:paraId="55A91226" w14:textId="77777777" w:rsidR="00B822E6" w:rsidRPr="002D19BC" w:rsidRDefault="00B822E6" w:rsidP="00610047">
      <w:pPr>
        <w:keepNext/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Laboratórne a funkčné vyšetrenia</w:t>
      </w:r>
    </w:p>
    <w:p w14:paraId="522A175E" w14:textId="77777777"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Zvýšenie celkovej hladiny hormónov štítnej žľazy.</w:t>
      </w:r>
    </w:p>
    <w:p w14:paraId="33CF49A4" w14:textId="77777777" w:rsidR="00B822E6" w:rsidRPr="002D19BC" w:rsidRDefault="00B822E6">
      <w:pPr>
        <w:rPr>
          <w:sz w:val="22"/>
          <w:szCs w:val="22"/>
          <w:lang w:val="sk-SK"/>
        </w:rPr>
      </w:pPr>
    </w:p>
    <w:p w14:paraId="3248DFE9" w14:textId="77777777" w:rsidR="00B822E6" w:rsidRPr="00BE3F0C" w:rsidRDefault="00B822E6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BE3F0C">
        <w:rPr>
          <w:sz w:val="22"/>
          <w:szCs w:val="22"/>
          <w:u w:val="single"/>
          <w:lang w:val="sk-SK"/>
        </w:rPr>
        <w:t>Hlásenie podozrení na nežiaduce reakcie</w:t>
      </w:r>
    </w:p>
    <w:p w14:paraId="30C2C47D" w14:textId="681A05A0" w:rsidR="00B822E6" w:rsidRPr="00BE3F0C" w:rsidRDefault="00B822E6">
      <w:pPr>
        <w:suppressLineNumbers/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262803" w:rsidRPr="00BE3F0C">
        <w:rPr>
          <w:sz w:val="22"/>
          <w:szCs w:val="22"/>
          <w:lang w:val="sk-SK"/>
        </w:rPr>
        <w:t>na</w:t>
      </w:r>
      <w:r w:rsidRPr="00BE3F0C">
        <w:rPr>
          <w:sz w:val="22"/>
          <w:szCs w:val="22"/>
          <w:lang w:val="sk-SK"/>
        </w:rPr>
        <w:t xml:space="preserve"> </w:t>
      </w:r>
      <w:r w:rsidRPr="00BE3F0C">
        <w:rPr>
          <w:sz w:val="22"/>
          <w:szCs w:val="22"/>
          <w:highlight w:val="lightGray"/>
          <w:lang w:val="sk-SK"/>
        </w:rPr>
        <w:t xml:space="preserve">národné </w:t>
      </w:r>
      <w:r w:rsidR="002D19BC" w:rsidRPr="002D19BC">
        <w:rPr>
          <w:sz w:val="22"/>
          <w:szCs w:val="22"/>
          <w:highlight w:val="lightGray"/>
          <w:lang w:val="sk-SK"/>
        </w:rPr>
        <w:t>centrum</w:t>
      </w:r>
      <w:r w:rsidR="00262803" w:rsidRPr="00BE3F0C">
        <w:rPr>
          <w:sz w:val="22"/>
          <w:szCs w:val="22"/>
          <w:highlight w:val="lightGray"/>
          <w:lang w:val="sk-SK"/>
        </w:rPr>
        <w:t xml:space="preserve"> </w:t>
      </w:r>
      <w:r w:rsidRPr="00BE3F0C">
        <w:rPr>
          <w:sz w:val="22"/>
          <w:szCs w:val="22"/>
          <w:highlight w:val="lightGray"/>
          <w:lang w:val="sk-SK"/>
        </w:rPr>
        <w:t>hlásenia uvedené v </w:t>
      </w:r>
      <w:hyperlink r:id="rId12" w:history="1">
        <w:r w:rsidRPr="00BE3F0C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BE3F0C">
        <w:rPr>
          <w:sz w:val="22"/>
          <w:szCs w:val="22"/>
          <w:lang w:val="sk-SK"/>
        </w:rPr>
        <w:t>.</w:t>
      </w:r>
    </w:p>
    <w:p w14:paraId="3AF8B6E4" w14:textId="77777777" w:rsidR="00B822E6" w:rsidRPr="002D19BC" w:rsidRDefault="00B822E6">
      <w:pPr>
        <w:rPr>
          <w:sz w:val="22"/>
          <w:szCs w:val="22"/>
          <w:lang w:val="sk-SK"/>
        </w:rPr>
      </w:pPr>
    </w:p>
    <w:p w14:paraId="728D2D9B" w14:textId="77777777"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Predávkovanie</w:t>
      </w:r>
    </w:p>
    <w:p w14:paraId="2D1B78EA" w14:textId="77777777" w:rsidR="00B822E6" w:rsidRPr="002D19BC" w:rsidRDefault="00B822E6" w:rsidP="00610047">
      <w:pPr>
        <w:keepNext/>
        <w:rPr>
          <w:sz w:val="22"/>
          <w:szCs w:val="22"/>
          <w:lang w:val="sk-SK"/>
        </w:rPr>
      </w:pPr>
    </w:p>
    <w:p w14:paraId="11FA682D" w14:textId="4956A770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Estradiol rovnako ako aj dydrogesterón sú látky s nízkou toxicitou. Pri predávkovaní sa môžu objaviť príznaky ako nevoľnosť, vracanie, citlivosť prsníkov, závrat, bolesť brucha, ospalosť, únava a vaginálne krvácanie. Nie je pravdepodobné, že by bola potrebná špecifická alebo symptomatická liečba.</w:t>
      </w:r>
    </w:p>
    <w:p w14:paraId="4E7B3E8B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691B3D2D" w14:textId="1C624523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Uvedené informácie platia aj pri predávkovaní u detí.</w:t>
      </w:r>
    </w:p>
    <w:p w14:paraId="5506C9A7" w14:textId="77777777" w:rsidR="00B822E6" w:rsidRPr="00BE3F0C" w:rsidRDefault="00B822E6" w:rsidP="00262803">
      <w:pPr>
        <w:rPr>
          <w:sz w:val="22"/>
          <w:szCs w:val="22"/>
          <w:lang w:val="sk-SK"/>
        </w:rPr>
      </w:pPr>
    </w:p>
    <w:p w14:paraId="0072F180" w14:textId="77777777" w:rsidR="00B822E6" w:rsidRPr="00BE3F0C" w:rsidRDefault="00B822E6">
      <w:pPr>
        <w:rPr>
          <w:sz w:val="22"/>
          <w:szCs w:val="22"/>
          <w:lang w:val="sk-SK"/>
        </w:rPr>
      </w:pPr>
    </w:p>
    <w:p w14:paraId="54A76935" w14:textId="77777777" w:rsidR="00B822E6" w:rsidRPr="00BE3F0C" w:rsidRDefault="00B822E6" w:rsidP="00610047">
      <w:pPr>
        <w:keepNext/>
        <w:numPr>
          <w:ilvl w:val="0"/>
          <w:numId w:val="27"/>
        </w:numPr>
        <w:tabs>
          <w:tab w:val="clear" w:pos="1077"/>
          <w:tab w:val="left" w:pos="567"/>
        </w:tabs>
        <w:suppressAutoHyphens/>
        <w:ind w:left="567" w:hanging="567"/>
        <w:rPr>
          <w:b/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FARMAKOLOGICKÉ VLASTNOSTI</w:t>
      </w:r>
    </w:p>
    <w:p w14:paraId="357BE874" w14:textId="77777777" w:rsidR="00262803" w:rsidRPr="00C92195" w:rsidRDefault="00262803" w:rsidP="00BE3F0C">
      <w:pPr>
        <w:keepNext/>
        <w:tabs>
          <w:tab w:val="left" w:pos="567"/>
        </w:tabs>
        <w:suppressAutoHyphens/>
        <w:rPr>
          <w:sz w:val="22"/>
          <w:szCs w:val="22"/>
          <w:lang w:val="sk-SK" w:bidi="sk-SK"/>
        </w:rPr>
      </w:pPr>
    </w:p>
    <w:p w14:paraId="6D91730B" w14:textId="77777777"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Farmakodynamické vlastnosti</w:t>
      </w:r>
    </w:p>
    <w:p w14:paraId="7FF76314" w14:textId="77777777" w:rsidR="00B822E6" w:rsidRPr="002D19BC" w:rsidRDefault="00B822E6" w:rsidP="00610047">
      <w:pPr>
        <w:keepNext/>
        <w:rPr>
          <w:sz w:val="22"/>
          <w:szCs w:val="22"/>
          <w:lang w:val="sk-SK"/>
        </w:rPr>
      </w:pPr>
    </w:p>
    <w:p w14:paraId="50A100A8" w14:textId="77777777"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Farmakoterapeutická skupina: Hormóny močovopohlavného systému a pohlavné hormóny, progestagény a estrogény, fixná kombinácia.</w:t>
      </w:r>
    </w:p>
    <w:p w14:paraId="4BA319C0" w14:textId="77777777"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ATC kód: G03FA14 </w:t>
      </w:r>
    </w:p>
    <w:p w14:paraId="4B1FCA18" w14:textId="77777777" w:rsidR="00B822E6" w:rsidRPr="002D19BC" w:rsidRDefault="00B822E6">
      <w:pPr>
        <w:rPr>
          <w:sz w:val="22"/>
          <w:szCs w:val="22"/>
          <w:u w:val="single"/>
          <w:lang w:val="sk-SK"/>
        </w:rPr>
      </w:pPr>
    </w:p>
    <w:p w14:paraId="1D98D16A" w14:textId="77777777" w:rsidR="00B822E6" w:rsidRPr="002D19BC" w:rsidRDefault="00B822E6" w:rsidP="00610047">
      <w:pPr>
        <w:keepNext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Estradiol</w:t>
      </w:r>
    </w:p>
    <w:p w14:paraId="0AA6890E" w14:textId="77777777"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Aktívna látka syntetický 17β-estradiol, je chemicky a biologicky identický s endogénnym ľudským estradiolom. Nahrádza stratu produkcie estrogénu u žien v menopauze a zmierňuje príznaky menopauzy.</w:t>
      </w:r>
    </w:p>
    <w:p w14:paraId="31E4A4BF" w14:textId="77777777" w:rsidR="00B822E6" w:rsidRPr="002D19BC" w:rsidRDefault="00B822E6">
      <w:pPr>
        <w:rPr>
          <w:sz w:val="22"/>
          <w:szCs w:val="22"/>
          <w:lang w:val="sk-SK"/>
        </w:rPr>
      </w:pPr>
    </w:p>
    <w:p w14:paraId="2B90F1E1" w14:textId="01031434" w:rsidR="00B822E6" w:rsidRPr="002D19BC" w:rsidRDefault="00B822E6" w:rsidP="00610047">
      <w:pPr>
        <w:keepNext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Dydrogesterón</w:t>
      </w:r>
    </w:p>
    <w:p w14:paraId="729C0AF1" w14:textId="77777777"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Dydrogesterón je perorálne aktívny progestagén s účinkom porovnateľným s parenterálne podávaným progesterónom.</w:t>
      </w:r>
    </w:p>
    <w:p w14:paraId="675CC752" w14:textId="6E2AC31D"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Nakoľko estrogény podporujú rast endometria, podávanie neoponovaných estrogénov zvyšuje riziko endometriálnej hyperplázie a </w:t>
      </w:r>
      <w:r w:rsidR="0000179D">
        <w:rPr>
          <w:sz w:val="22"/>
          <w:szCs w:val="22"/>
          <w:lang w:val="sk-SK"/>
        </w:rPr>
        <w:t>karcinómu</w:t>
      </w:r>
      <w:r w:rsidRPr="002D19BC">
        <w:rPr>
          <w:sz w:val="22"/>
          <w:szCs w:val="22"/>
          <w:lang w:val="sk-SK"/>
        </w:rPr>
        <w:t>. Pridanie progestagénu značne znižuje estrogénom indukované riziko endometriálnej hyperplázie u žien s maternicou.</w:t>
      </w:r>
    </w:p>
    <w:p w14:paraId="6D5773B9" w14:textId="77777777" w:rsidR="00B822E6" w:rsidRPr="002D19BC" w:rsidRDefault="00B822E6">
      <w:pPr>
        <w:rPr>
          <w:sz w:val="22"/>
          <w:szCs w:val="22"/>
          <w:lang w:val="sk-SK"/>
        </w:rPr>
      </w:pPr>
    </w:p>
    <w:p w14:paraId="4EFF5F5E" w14:textId="77777777" w:rsidR="00B822E6" w:rsidRPr="002D19BC" w:rsidRDefault="00B822E6" w:rsidP="00610047">
      <w:pPr>
        <w:keepNext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Informácie z klinických štúdií</w:t>
      </w:r>
    </w:p>
    <w:p w14:paraId="35FA6700" w14:textId="19DA6E6C" w:rsidR="00B822E6" w:rsidRPr="002D19BC" w:rsidRDefault="002D19BC" w:rsidP="00610047">
      <w:pPr>
        <w:pStyle w:val="Zkladntext"/>
        <w:numPr>
          <w:ilvl w:val="0"/>
          <w:numId w:val="36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Zmiernen</w:t>
      </w:r>
      <w:r w:rsidR="004E3BEA">
        <w:rPr>
          <w:sz w:val="22"/>
          <w:szCs w:val="22"/>
          <w:lang w:val="sk-SK"/>
        </w:rPr>
        <w:t>i</w:t>
      </w:r>
      <w:r>
        <w:rPr>
          <w:sz w:val="22"/>
          <w:szCs w:val="22"/>
          <w:lang w:val="sk-SK"/>
        </w:rPr>
        <w:t>e</w:t>
      </w:r>
      <w:r w:rsidRPr="002D19BC">
        <w:rPr>
          <w:sz w:val="22"/>
          <w:szCs w:val="22"/>
          <w:lang w:val="sk-SK"/>
        </w:rPr>
        <w:t xml:space="preserve"> </w:t>
      </w:r>
      <w:r w:rsidR="00B822E6" w:rsidRPr="002D19BC">
        <w:rPr>
          <w:sz w:val="22"/>
          <w:szCs w:val="22"/>
          <w:lang w:val="sk-SK"/>
        </w:rPr>
        <w:t>symptómov z</w:t>
      </w:r>
      <w:r w:rsidR="00F46D46">
        <w:rPr>
          <w:sz w:val="22"/>
          <w:szCs w:val="22"/>
          <w:lang w:val="sk-SK"/>
        </w:rPr>
        <w:t> </w:t>
      </w:r>
      <w:r w:rsidR="00B822E6" w:rsidRPr="002D19BC">
        <w:rPr>
          <w:sz w:val="22"/>
          <w:szCs w:val="22"/>
          <w:lang w:val="sk-SK"/>
        </w:rPr>
        <w:t>nedostatku estrogénu a krvácania.</w:t>
      </w:r>
    </w:p>
    <w:p w14:paraId="624E3A46" w14:textId="28D7CC2A" w:rsidR="00B822E6" w:rsidRPr="002D19BC" w:rsidRDefault="002D19BC" w:rsidP="00610047">
      <w:pPr>
        <w:pStyle w:val="Zkladntext"/>
        <w:numPr>
          <w:ilvl w:val="0"/>
          <w:numId w:val="36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Zmiernenie</w:t>
      </w:r>
      <w:r w:rsidRPr="002D19BC">
        <w:rPr>
          <w:sz w:val="22"/>
          <w:szCs w:val="22"/>
          <w:lang w:val="sk-SK"/>
        </w:rPr>
        <w:t xml:space="preserve"> </w:t>
      </w:r>
      <w:r w:rsidR="00B822E6" w:rsidRPr="002D19BC">
        <w:rPr>
          <w:sz w:val="22"/>
          <w:szCs w:val="22"/>
          <w:lang w:val="sk-SK"/>
        </w:rPr>
        <w:t>menopauzálnych symptómov sa dosiahla počas prvých týždňov liečby.</w:t>
      </w:r>
    </w:p>
    <w:p w14:paraId="6E1E7003" w14:textId="77777777" w:rsidR="00B822E6" w:rsidRPr="002D19BC" w:rsidRDefault="00B822E6" w:rsidP="00262803">
      <w:pPr>
        <w:rPr>
          <w:sz w:val="22"/>
          <w:szCs w:val="22"/>
          <w:lang w:val="sk-SK"/>
        </w:rPr>
      </w:pPr>
    </w:p>
    <w:p w14:paraId="20BC021A" w14:textId="6BCAEDD6"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Po 4</w:t>
      </w:r>
      <w:r w:rsidR="00A41FBB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týždňoch liečby liekom Femoston conti 0,5 mg/2,5 mg bolo zjavné štatisticky významné zníženie miernych až ťažkých návalov tepla v porovnaní s placebom. Počet miernych až ťažkých návalov naďalej klesal až do konca liečebného intervalu v 13. týždni.</w:t>
      </w:r>
    </w:p>
    <w:p w14:paraId="67A95F35" w14:textId="7171B6F0"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V 2 štúdiách bola počas 10 – 12</w:t>
      </w:r>
      <w:r w:rsidR="00A41FBB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mesačného trvania liečby pozorovaná amenorea (žiadne krvácanie ani špinenie) v 91 % a 88 % prípadoch žien. Nepravidelné krvácanie a/alebo špinenie sa objavilo v 10 % a 12 % prípadov žien počas prvých 3 mesiacov liečby a v 9 % a 12 % počas 10 – 12</w:t>
      </w:r>
      <w:r w:rsidR="00B477CF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mesiacov liečby.</w:t>
      </w:r>
    </w:p>
    <w:p w14:paraId="67B66432" w14:textId="77777777" w:rsidR="00B822E6" w:rsidRPr="002D19BC" w:rsidRDefault="00B822E6">
      <w:pPr>
        <w:rPr>
          <w:sz w:val="22"/>
          <w:szCs w:val="22"/>
          <w:lang w:val="sk-SK"/>
        </w:rPr>
      </w:pPr>
    </w:p>
    <w:p w14:paraId="5B2EBA3D" w14:textId="77777777"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Farmakokinetické vlastnosti</w:t>
      </w:r>
    </w:p>
    <w:p w14:paraId="2AAB9B77" w14:textId="77777777" w:rsidR="00262803" w:rsidRPr="00BE3F0C" w:rsidRDefault="00262803" w:rsidP="00610047">
      <w:pPr>
        <w:pStyle w:val="Hlavika"/>
        <w:keepNext/>
        <w:numPr>
          <w:ilvl w:val="12"/>
          <w:numId w:val="0"/>
        </w:numPr>
        <w:tabs>
          <w:tab w:val="clear" w:pos="4153"/>
          <w:tab w:val="clear" w:pos="8306"/>
        </w:tabs>
        <w:rPr>
          <w:sz w:val="22"/>
          <w:szCs w:val="22"/>
          <w:u w:val="single"/>
          <w:lang w:val="sk-SK"/>
        </w:rPr>
      </w:pPr>
    </w:p>
    <w:p w14:paraId="1477EDE3" w14:textId="77777777" w:rsidR="00B822E6" w:rsidRPr="002D19BC" w:rsidRDefault="00B822E6" w:rsidP="00610047">
      <w:pPr>
        <w:pStyle w:val="Hlavika"/>
        <w:keepNext/>
        <w:numPr>
          <w:ilvl w:val="12"/>
          <w:numId w:val="0"/>
        </w:numPr>
        <w:tabs>
          <w:tab w:val="clear" w:pos="4153"/>
          <w:tab w:val="clear" w:pos="8306"/>
        </w:tabs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Estradiol</w:t>
      </w:r>
    </w:p>
    <w:p w14:paraId="57EDE625" w14:textId="552EF975" w:rsidR="00B822E6" w:rsidRPr="002D19BC" w:rsidRDefault="00B822E6" w:rsidP="00610047">
      <w:pPr>
        <w:pStyle w:val="Hlavika"/>
        <w:keepNext/>
        <w:numPr>
          <w:ilvl w:val="12"/>
          <w:numId w:val="0"/>
        </w:numPr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14:paraId="5CA2FA9F" w14:textId="0624E5F5" w:rsidR="00B822E6" w:rsidRPr="002D19BC" w:rsidRDefault="00B822E6" w:rsidP="00610047">
      <w:pPr>
        <w:keepNext/>
        <w:numPr>
          <w:ilvl w:val="0"/>
          <w:numId w:val="39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Absorpcia</w:t>
      </w:r>
    </w:p>
    <w:p w14:paraId="73759627" w14:textId="77777777" w:rsidR="00B822E6" w:rsidRPr="002D19BC" w:rsidRDefault="00B822E6" w:rsidP="0026280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Absorpcia estradiolu je závislá od veľkosti častíc: mikronizovaný estradiol sa z gastrointestinálneho traktu absorbuje ľahko.</w:t>
      </w:r>
    </w:p>
    <w:p w14:paraId="010E41B2" w14:textId="77777777" w:rsidR="00B822E6" w:rsidRPr="002D19B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AFAEFF4" w14:textId="5DCB47DB" w:rsidR="00B822E6" w:rsidRPr="002D19B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lastRenderedPageBreak/>
        <w:t xml:space="preserve">V nasledujúcej tabuľke sa uvádzajú priemerné farmakokinetické parametre estradiolu (E2), estrónu (E1) </w:t>
      </w:r>
      <w:r w:rsidR="002D19BC" w:rsidRPr="002D19BC">
        <w:rPr>
          <w:sz w:val="22"/>
          <w:szCs w:val="22"/>
          <w:lang w:val="sk-SK"/>
        </w:rPr>
        <w:t>a</w:t>
      </w:r>
      <w:r w:rsidR="002D19BC">
        <w:t> </w:t>
      </w:r>
      <w:r w:rsidRPr="002D19BC">
        <w:rPr>
          <w:sz w:val="22"/>
          <w:szCs w:val="22"/>
          <w:lang w:val="sk-SK"/>
        </w:rPr>
        <w:t>estrónsulfátu (E1S) pre každú dávku mikronizovaného estradiolu v rovnovážnom stave. Uvádzajú sa stredné hodnoty (SD).</w:t>
      </w:r>
    </w:p>
    <w:p w14:paraId="27D43684" w14:textId="5A90927F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1502"/>
        <w:gridCol w:w="1465"/>
        <w:gridCol w:w="1701"/>
        <w:gridCol w:w="1608"/>
      </w:tblGrid>
      <w:tr w:rsidR="00B822E6" w:rsidRPr="002D19BC" w14:paraId="04C665C5" w14:textId="77777777" w:rsidTr="000D2F46">
        <w:tc>
          <w:tcPr>
            <w:tcW w:w="8662" w:type="dxa"/>
            <w:gridSpan w:val="5"/>
          </w:tcPr>
          <w:p w14:paraId="133C20E3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/>
              </w:rPr>
            </w:pPr>
            <w:r w:rsidRPr="00BE3F0C">
              <w:rPr>
                <w:b/>
                <w:sz w:val="22"/>
                <w:szCs w:val="22"/>
                <w:lang w:val="sk-SK"/>
              </w:rPr>
              <w:t>Estradiol 0,5 mg</w:t>
            </w:r>
          </w:p>
        </w:tc>
      </w:tr>
      <w:tr w:rsidR="00B822E6" w:rsidRPr="002D19BC" w14:paraId="79A8C32C" w14:textId="77777777" w:rsidTr="00B4160F">
        <w:tc>
          <w:tcPr>
            <w:tcW w:w="2386" w:type="dxa"/>
          </w:tcPr>
          <w:p w14:paraId="4A3AE25D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Hodnoty</w:t>
            </w:r>
          </w:p>
        </w:tc>
        <w:tc>
          <w:tcPr>
            <w:tcW w:w="1502" w:type="dxa"/>
          </w:tcPr>
          <w:p w14:paraId="500AD6EC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E2</w:t>
            </w:r>
          </w:p>
        </w:tc>
        <w:tc>
          <w:tcPr>
            <w:tcW w:w="1465" w:type="dxa"/>
          </w:tcPr>
          <w:p w14:paraId="4AE408AE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E1</w:t>
            </w:r>
          </w:p>
        </w:tc>
        <w:tc>
          <w:tcPr>
            <w:tcW w:w="1701" w:type="dxa"/>
          </w:tcPr>
          <w:p w14:paraId="292DD919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Hodnoty</w:t>
            </w:r>
          </w:p>
        </w:tc>
        <w:tc>
          <w:tcPr>
            <w:tcW w:w="1608" w:type="dxa"/>
          </w:tcPr>
          <w:p w14:paraId="5EEE5E69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E1S</w:t>
            </w:r>
          </w:p>
        </w:tc>
      </w:tr>
      <w:tr w:rsidR="00B822E6" w:rsidRPr="002D19BC" w14:paraId="318CB534" w14:textId="77777777" w:rsidTr="00B4160F">
        <w:tc>
          <w:tcPr>
            <w:tcW w:w="2386" w:type="dxa"/>
          </w:tcPr>
          <w:p w14:paraId="5A5477CD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C</w:t>
            </w:r>
            <w:r w:rsidRPr="00BE3F0C">
              <w:rPr>
                <w:sz w:val="22"/>
                <w:szCs w:val="22"/>
                <w:vertAlign w:val="subscript"/>
                <w:lang w:val="sk-SK"/>
              </w:rPr>
              <w:t>max</w:t>
            </w:r>
            <w:r w:rsidRPr="00BE3F0C">
              <w:rPr>
                <w:sz w:val="22"/>
                <w:szCs w:val="22"/>
                <w:lang w:val="sk-SK"/>
              </w:rPr>
              <w:t xml:space="preserve"> (pg/ml)</w:t>
            </w:r>
          </w:p>
        </w:tc>
        <w:tc>
          <w:tcPr>
            <w:tcW w:w="1502" w:type="dxa"/>
          </w:tcPr>
          <w:p w14:paraId="7584E762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34,8 (30,4)</w:t>
            </w:r>
          </w:p>
        </w:tc>
        <w:tc>
          <w:tcPr>
            <w:tcW w:w="1465" w:type="dxa"/>
          </w:tcPr>
          <w:p w14:paraId="06AD9ABC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182 (110)</w:t>
            </w:r>
          </w:p>
        </w:tc>
        <w:tc>
          <w:tcPr>
            <w:tcW w:w="1701" w:type="dxa"/>
          </w:tcPr>
          <w:p w14:paraId="4D15C2C9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C</w:t>
            </w:r>
            <w:r w:rsidRPr="00BE3F0C">
              <w:rPr>
                <w:sz w:val="22"/>
                <w:szCs w:val="22"/>
                <w:vertAlign w:val="subscript"/>
                <w:lang w:val="sk-SK"/>
              </w:rPr>
              <w:t>max</w:t>
            </w:r>
            <w:r w:rsidRPr="00BE3F0C">
              <w:rPr>
                <w:sz w:val="22"/>
                <w:szCs w:val="22"/>
                <w:lang w:val="sk-SK"/>
              </w:rPr>
              <w:t xml:space="preserve"> (ng/ml)</w:t>
            </w:r>
          </w:p>
        </w:tc>
        <w:tc>
          <w:tcPr>
            <w:tcW w:w="1608" w:type="dxa"/>
          </w:tcPr>
          <w:p w14:paraId="56DE8477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6,98 (3,32)</w:t>
            </w:r>
          </w:p>
        </w:tc>
      </w:tr>
      <w:tr w:rsidR="00B822E6" w:rsidRPr="002D19BC" w14:paraId="34518A96" w14:textId="77777777" w:rsidTr="00B4160F">
        <w:tc>
          <w:tcPr>
            <w:tcW w:w="2386" w:type="dxa"/>
          </w:tcPr>
          <w:p w14:paraId="7E105BE9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C</w:t>
            </w:r>
            <w:r w:rsidRPr="00BE3F0C">
              <w:rPr>
                <w:sz w:val="22"/>
                <w:szCs w:val="22"/>
                <w:vertAlign w:val="subscript"/>
                <w:lang w:val="sk-SK"/>
              </w:rPr>
              <w:t>min</w:t>
            </w:r>
            <w:r w:rsidRPr="00BE3F0C">
              <w:rPr>
                <w:sz w:val="22"/>
                <w:szCs w:val="22"/>
                <w:lang w:val="sk-SK"/>
              </w:rPr>
              <w:t xml:space="preserve"> (pg/ml)</w:t>
            </w:r>
          </w:p>
        </w:tc>
        <w:tc>
          <w:tcPr>
            <w:tcW w:w="1502" w:type="dxa"/>
          </w:tcPr>
          <w:p w14:paraId="54A2F98C" w14:textId="77777777" w:rsidR="00B822E6" w:rsidRPr="00BE3F0C" w:rsidDel="00540E18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1465" w:type="dxa"/>
          </w:tcPr>
          <w:p w14:paraId="0B4C4C1A" w14:textId="77777777" w:rsidR="00B822E6" w:rsidRPr="00BE3F0C" w:rsidDel="00540E18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1701" w:type="dxa"/>
          </w:tcPr>
          <w:p w14:paraId="09102590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1608" w:type="dxa"/>
          </w:tcPr>
          <w:p w14:paraId="4B7DCDEB" w14:textId="77777777" w:rsidR="00B822E6" w:rsidRPr="00BE3F0C" w:rsidDel="00540E18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-</w:t>
            </w:r>
          </w:p>
        </w:tc>
      </w:tr>
      <w:tr w:rsidR="00B822E6" w:rsidRPr="002D19BC" w14:paraId="33D1922F" w14:textId="77777777" w:rsidTr="00B4160F">
        <w:tc>
          <w:tcPr>
            <w:tcW w:w="2386" w:type="dxa"/>
          </w:tcPr>
          <w:p w14:paraId="373E6AA5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C</w:t>
            </w:r>
            <w:r w:rsidRPr="00BE3F0C">
              <w:rPr>
                <w:sz w:val="22"/>
                <w:szCs w:val="22"/>
                <w:vertAlign w:val="subscript"/>
                <w:lang w:val="sk-SK"/>
              </w:rPr>
              <w:t>av</w:t>
            </w:r>
            <w:r w:rsidRPr="00BE3F0C">
              <w:rPr>
                <w:sz w:val="22"/>
                <w:szCs w:val="22"/>
                <w:lang w:val="sk-SK"/>
              </w:rPr>
              <w:t xml:space="preserve"> (pg/ml)</w:t>
            </w:r>
          </w:p>
        </w:tc>
        <w:tc>
          <w:tcPr>
            <w:tcW w:w="1502" w:type="dxa"/>
          </w:tcPr>
          <w:p w14:paraId="708E00B9" w14:textId="77777777" w:rsidR="00B822E6" w:rsidRPr="00BE3F0C" w:rsidDel="00540E18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21,5 (16,0)</w:t>
            </w:r>
          </w:p>
        </w:tc>
        <w:tc>
          <w:tcPr>
            <w:tcW w:w="1465" w:type="dxa"/>
          </w:tcPr>
          <w:p w14:paraId="12BEAFAC" w14:textId="77777777" w:rsidR="00B822E6" w:rsidRPr="00BE3F0C" w:rsidDel="00540E18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1701" w:type="dxa"/>
          </w:tcPr>
          <w:p w14:paraId="386613B4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1608" w:type="dxa"/>
          </w:tcPr>
          <w:p w14:paraId="3F0EBF66" w14:textId="77777777" w:rsidR="00B822E6" w:rsidRPr="00BE3F0C" w:rsidDel="00540E18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-</w:t>
            </w:r>
          </w:p>
        </w:tc>
      </w:tr>
      <w:tr w:rsidR="00B822E6" w:rsidRPr="002D19BC" w14:paraId="30E9684A" w14:textId="77777777" w:rsidTr="00B4160F">
        <w:tc>
          <w:tcPr>
            <w:tcW w:w="2386" w:type="dxa"/>
          </w:tcPr>
          <w:p w14:paraId="09E1DEA8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AUC</w:t>
            </w:r>
            <w:r w:rsidRPr="00BE3F0C">
              <w:rPr>
                <w:sz w:val="22"/>
                <w:szCs w:val="22"/>
                <w:vertAlign w:val="subscript"/>
                <w:lang w:val="sk-SK"/>
              </w:rPr>
              <w:t>0</w:t>
            </w:r>
            <w:r w:rsidR="00D74190" w:rsidRPr="00BE3F0C">
              <w:rPr>
                <w:spacing w:val="-16"/>
                <w:sz w:val="22"/>
                <w:szCs w:val="22"/>
                <w:vertAlign w:val="subscript"/>
                <w:lang w:val="sk-SK"/>
              </w:rPr>
              <w:t>-</w:t>
            </w:r>
            <w:r w:rsidR="00D74190" w:rsidRPr="00BE3F0C">
              <w:rPr>
                <w:spacing w:val="-16"/>
                <w:sz w:val="22"/>
                <w:szCs w:val="22"/>
                <w:vertAlign w:val="subscript"/>
                <w:lang w:val="sk-SK"/>
              </w:rPr>
              <w:sym w:font="Symbol" w:char="F074"/>
            </w:r>
          </w:p>
          <w:p w14:paraId="392794BE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(pg.h/ml)</w:t>
            </w:r>
          </w:p>
        </w:tc>
        <w:tc>
          <w:tcPr>
            <w:tcW w:w="1502" w:type="dxa"/>
          </w:tcPr>
          <w:p w14:paraId="3E822254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516 (383)</w:t>
            </w:r>
          </w:p>
        </w:tc>
        <w:tc>
          <w:tcPr>
            <w:tcW w:w="1465" w:type="dxa"/>
          </w:tcPr>
          <w:p w14:paraId="216BBA2C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2959 (2135)</w:t>
            </w:r>
          </w:p>
        </w:tc>
        <w:tc>
          <w:tcPr>
            <w:tcW w:w="1701" w:type="dxa"/>
          </w:tcPr>
          <w:p w14:paraId="3CD1F2AA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AUC</w:t>
            </w:r>
            <w:r w:rsidRPr="00BE3F0C">
              <w:rPr>
                <w:sz w:val="22"/>
                <w:szCs w:val="22"/>
                <w:vertAlign w:val="subscript"/>
                <w:lang w:val="sk-SK"/>
              </w:rPr>
              <w:t>0</w:t>
            </w:r>
            <w:r w:rsidR="00D74190" w:rsidRPr="00BE3F0C">
              <w:rPr>
                <w:spacing w:val="-16"/>
                <w:sz w:val="22"/>
                <w:szCs w:val="22"/>
                <w:vertAlign w:val="subscript"/>
                <w:lang w:val="sk-SK"/>
              </w:rPr>
              <w:t>-</w:t>
            </w:r>
            <w:r w:rsidR="00D74190" w:rsidRPr="00BE3F0C">
              <w:rPr>
                <w:spacing w:val="-16"/>
                <w:sz w:val="22"/>
                <w:szCs w:val="22"/>
                <w:vertAlign w:val="subscript"/>
                <w:lang w:val="sk-SK"/>
              </w:rPr>
              <w:sym w:font="Symbol" w:char="F074"/>
            </w:r>
          </w:p>
          <w:p w14:paraId="5D5744F0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(ng.h/ml)</w:t>
            </w:r>
          </w:p>
        </w:tc>
        <w:tc>
          <w:tcPr>
            <w:tcW w:w="1608" w:type="dxa"/>
          </w:tcPr>
          <w:p w14:paraId="77FC9B94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82,0 (42,6)</w:t>
            </w:r>
          </w:p>
        </w:tc>
      </w:tr>
    </w:tbl>
    <w:p w14:paraId="0552AB8A" w14:textId="77777777" w:rsidR="00B822E6" w:rsidRPr="002D19BC" w:rsidRDefault="00B822E6" w:rsidP="00BE3F0C">
      <w:pPr>
        <w:pStyle w:val="Hlavika"/>
        <w:numPr>
          <w:ilvl w:val="12"/>
          <w:numId w:val="0"/>
        </w:numPr>
        <w:tabs>
          <w:tab w:val="clear" w:pos="4153"/>
          <w:tab w:val="clear" w:pos="8306"/>
        </w:tabs>
        <w:rPr>
          <w:sz w:val="22"/>
          <w:szCs w:val="22"/>
          <w:u w:val="single"/>
          <w:lang w:val="sk-SK"/>
        </w:rPr>
      </w:pPr>
    </w:p>
    <w:p w14:paraId="4F8B79A4" w14:textId="77777777" w:rsidR="00B822E6" w:rsidRPr="00BE3F0C" w:rsidRDefault="00B822E6" w:rsidP="00610047">
      <w:pPr>
        <w:keepNext/>
        <w:numPr>
          <w:ilvl w:val="0"/>
          <w:numId w:val="39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/>
        </w:rPr>
      </w:pPr>
      <w:r w:rsidRPr="00BE3F0C">
        <w:rPr>
          <w:sz w:val="22"/>
          <w:szCs w:val="22"/>
          <w:u w:val="single"/>
          <w:lang w:val="sk-SK"/>
        </w:rPr>
        <w:t>Distribúcia</w:t>
      </w:r>
    </w:p>
    <w:p w14:paraId="34C65E5F" w14:textId="77777777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>Estrogény sa vyskytujú vo viazanej alebo neviazanej forme. Približne 98-99 % dávky estradiolu sa viaže na plazmatické proteíny, z čoho asi 30-52% sa viaže na albumín a asi 46-69% na globulín viažuci pohlavné hormóny (SHBG).</w:t>
      </w:r>
    </w:p>
    <w:p w14:paraId="391F3B87" w14:textId="77777777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E3B7BC9" w14:textId="77777777" w:rsidR="00B822E6" w:rsidRPr="00BE3F0C" w:rsidRDefault="00B822E6" w:rsidP="00610047">
      <w:pPr>
        <w:keepNext/>
        <w:numPr>
          <w:ilvl w:val="0"/>
          <w:numId w:val="39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/>
        </w:rPr>
      </w:pPr>
      <w:r w:rsidRPr="00BE3F0C">
        <w:rPr>
          <w:sz w:val="22"/>
          <w:szCs w:val="22"/>
          <w:u w:val="single"/>
          <w:lang w:val="sk-SK"/>
        </w:rPr>
        <w:t>Biotransformácia</w:t>
      </w:r>
    </w:p>
    <w:p w14:paraId="4B08D4BE" w14:textId="77777777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>Po perorálnom podaní je estradiol intenzívne metabolizovaný. Hlavnými nekonjugovanými a konjugovanými metabolitmi sú estrón a estrónsulfát. Tieto metabolity môžu prispieť k estrogénnemu účinku buď priamo alebo po konverzii na estradiol. Estrónsulfát môže podliehať enterohepatálnemu obehu.</w:t>
      </w:r>
    </w:p>
    <w:p w14:paraId="2CD64747" w14:textId="77777777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37948DC" w14:textId="77777777" w:rsidR="00B822E6" w:rsidRPr="00BE3F0C" w:rsidRDefault="00B822E6" w:rsidP="00610047">
      <w:pPr>
        <w:keepNext/>
        <w:numPr>
          <w:ilvl w:val="0"/>
          <w:numId w:val="39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/>
        </w:rPr>
      </w:pPr>
      <w:r w:rsidRPr="00BE3F0C">
        <w:rPr>
          <w:sz w:val="22"/>
          <w:szCs w:val="22"/>
          <w:u w:val="single"/>
          <w:lang w:val="sk-SK"/>
        </w:rPr>
        <w:t>Eliminácia</w:t>
      </w:r>
    </w:p>
    <w:p w14:paraId="4EECE023" w14:textId="32840056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>Hlavnými metabolitmi v moči sú glukuronidy estrónu a estradiolu. Eliminačný polčas je medzi 10 až 16</w:t>
      </w:r>
      <w:r w:rsidR="00DE4CC0">
        <w:rPr>
          <w:sz w:val="22"/>
          <w:szCs w:val="22"/>
          <w:lang w:val="sk-SK"/>
        </w:rPr>
        <w:t> </w:t>
      </w:r>
      <w:r w:rsidRPr="00BE3F0C">
        <w:rPr>
          <w:sz w:val="22"/>
          <w:szCs w:val="22"/>
          <w:lang w:val="sk-SK"/>
        </w:rPr>
        <w:t>hodín. Estrogény sa vylučujú do materského mlieka dojčiacich žien.</w:t>
      </w:r>
    </w:p>
    <w:p w14:paraId="705F6BBD" w14:textId="77777777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7B52760" w14:textId="7750E83A" w:rsidR="00B822E6" w:rsidRPr="00BE3F0C" w:rsidRDefault="00B822E6" w:rsidP="00610047">
      <w:pPr>
        <w:keepNext/>
        <w:numPr>
          <w:ilvl w:val="0"/>
          <w:numId w:val="39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/>
        </w:rPr>
      </w:pPr>
      <w:r w:rsidRPr="00BE3F0C">
        <w:rPr>
          <w:sz w:val="22"/>
          <w:szCs w:val="22"/>
          <w:u w:val="single"/>
          <w:lang w:val="sk-SK"/>
        </w:rPr>
        <w:t>Závislosť dávky a času</w:t>
      </w:r>
    </w:p>
    <w:p w14:paraId="1BB44F24" w14:textId="77777777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 xml:space="preserve">Po každodennom perorálnom podávaní Femostonu koncentrácie estradiolu dosiahli rovnovážny stav približne po 5 dňoch. </w:t>
      </w:r>
    </w:p>
    <w:p w14:paraId="6F4CD392" w14:textId="61ABB0DA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>Všeobecne sa rovnovážne koncentrácie dos</w:t>
      </w:r>
      <w:r w:rsidR="00317D8F" w:rsidRPr="00BE3F0C">
        <w:rPr>
          <w:sz w:val="22"/>
          <w:szCs w:val="22"/>
          <w:lang w:val="sk-SK"/>
        </w:rPr>
        <w:t>i</w:t>
      </w:r>
      <w:r w:rsidRPr="00BE3F0C">
        <w:rPr>
          <w:sz w:val="22"/>
          <w:szCs w:val="22"/>
          <w:lang w:val="sk-SK"/>
        </w:rPr>
        <w:t>ahli v priebehu 8 až 11</w:t>
      </w:r>
      <w:r w:rsidR="00562ED0">
        <w:rPr>
          <w:sz w:val="22"/>
          <w:szCs w:val="22"/>
          <w:lang w:val="sk-SK"/>
        </w:rPr>
        <w:t> </w:t>
      </w:r>
      <w:r w:rsidRPr="00BE3F0C">
        <w:rPr>
          <w:sz w:val="22"/>
          <w:szCs w:val="22"/>
          <w:lang w:val="sk-SK"/>
        </w:rPr>
        <w:t>dní užívania dávok.</w:t>
      </w:r>
    </w:p>
    <w:p w14:paraId="715D6A6B" w14:textId="77777777" w:rsidR="00B822E6" w:rsidRPr="002D19BC" w:rsidRDefault="00B822E6" w:rsidP="00BE3F0C">
      <w:pPr>
        <w:pStyle w:val="Hlavika"/>
        <w:numPr>
          <w:ilvl w:val="12"/>
          <w:numId w:val="0"/>
        </w:numPr>
        <w:tabs>
          <w:tab w:val="clear" w:pos="4153"/>
          <w:tab w:val="clear" w:pos="8306"/>
        </w:tabs>
        <w:rPr>
          <w:sz w:val="22"/>
          <w:szCs w:val="22"/>
          <w:u w:val="single"/>
          <w:lang w:val="sk-SK"/>
        </w:rPr>
      </w:pPr>
    </w:p>
    <w:p w14:paraId="27C877BE" w14:textId="77777777" w:rsidR="00B822E6" w:rsidRPr="002D19BC" w:rsidRDefault="00B822E6" w:rsidP="00610047">
      <w:pPr>
        <w:pStyle w:val="Hlavika"/>
        <w:keepNext/>
        <w:numPr>
          <w:ilvl w:val="12"/>
          <w:numId w:val="0"/>
        </w:numPr>
        <w:tabs>
          <w:tab w:val="clear" w:pos="4153"/>
          <w:tab w:val="clear" w:pos="8306"/>
        </w:tabs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Dydrogesterón</w:t>
      </w:r>
    </w:p>
    <w:p w14:paraId="50A68B04" w14:textId="77777777" w:rsidR="00B822E6" w:rsidRPr="002D19BC" w:rsidRDefault="00B822E6" w:rsidP="00610047">
      <w:pPr>
        <w:pStyle w:val="Hlavika"/>
        <w:keepNext/>
        <w:numPr>
          <w:ilvl w:val="12"/>
          <w:numId w:val="0"/>
        </w:numPr>
        <w:tabs>
          <w:tab w:val="clear" w:pos="4153"/>
          <w:tab w:val="clear" w:pos="8306"/>
        </w:tabs>
        <w:rPr>
          <w:sz w:val="22"/>
          <w:szCs w:val="22"/>
          <w:u w:val="single"/>
          <w:lang w:val="sk-SK"/>
        </w:rPr>
      </w:pPr>
    </w:p>
    <w:p w14:paraId="202FEDE0" w14:textId="75E9EDF5" w:rsidR="00B822E6" w:rsidRPr="00BE3F0C" w:rsidRDefault="00B822E6" w:rsidP="00610047">
      <w:pPr>
        <w:keepNext/>
        <w:numPr>
          <w:ilvl w:val="0"/>
          <w:numId w:val="39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/>
        </w:rPr>
      </w:pPr>
      <w:r w:rsidRPr="00BE3F0C">
        <w:rPr>
          <w:sz w:val="22"/>
          <w:szCs w:val="22"/>
          <w:u w:val="single"/>
          <w:lang w:val="sk-SK"/>
        </w:rPr>
        <w:t>Absorpcia</w:t>
      </w:r>
    </w:p>
    <w:p w14:paraId="5415C136" w14:textId="3013F96D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>Po perorálnom podaní sa dydrogesterón rýchlo absorbuje s T</w:t>
      </w:r>
      <w:r w:rsidRPr="00BE3F0C">
        <w:rPr>
          <w:sz w:val="22"/>
          <w:szCs w:val="22"/>
          <w:vertAlign w:val="subscript"/>
          <w:lang w:val="sk-SK"/>
        </w:rPr>
        <w:t>max</w:t>
      </w:r>
      <w:r w:rsidRPr="00BE3F0C">
        <w:rPr>
          <w:sz w:val="22"/>
          <w:szCs w:val="22"/>
          <w:lang w:val="sk-SK"/>
        </w:rPr>
        <w:t xml:space="preserve"> medzi 0,5 a 2,5</w:t>
      </w:r>
      <w:r w:rsidR="001F693E">
        <w:rPr>
          <w:sz w:val="22"/>
          <w:szCs w:val="22"/>
          <w:lang w:val="sk-SK"/>
        </w:rPr>
        <w:t> </w:t>
      </w:r>
      <w:r w:rsidRPr="00BE3F0C">
        <w:rPr>
          <w:sz w:val="22"/>
          <w:szCs w:val="22"/>
          <w:lang w:val="sk-SK"/>
        </w:rPr>
        <w:t>hodín. Absolútna</w:t>
      </w:r>
      <w:r w:rsidR="006E02E7">
        <w:rPr>
          <w:sz w:val="22"/>
          <w:szCs w:val="22"/>
          <w:lang w:val="sk-SK"/>
        </w:rPr>
        <w:t xml:space="preserve"> </w:t>
      </w:r>
      <w:r w:rsidRPr="00BE3F0C">
        <w:rPr>
          <w:sz w:val="22"/>
          <w:szCs w:val="22"/>
          <w:lang w:val="sk-SK"/>
        </w:rPr>
        <w:t>biologická dostupnosť dydrogesterónu (p.o.20</w:t>
      </w:r>
      <w:r w:rsidR="001F693E">
        <w:rPr>
          <w:sz w:val="22"/>
          <w:szCs w:val="22"/>
          <w:lang w:val="sk-SK"/>
        </w:rPr>
        <w:t> </w:t>
      </w:r>
      <w:r w:rsidRPr="00BE3F0C">
        <w:rPr>
          <w:sz w:val="22"/>
          <w:szCs w:val="22"/>
          <w:lang w:val="sk-SK"/>
        </w:rPr>
        <w:t>mg vs 7,8 mg i.v. infúziou) je 28 %.</w:t>
      </w:r>
    </w:p>
    <w:p w14:paraId="61A2131A" w14:textId="77777777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1C3A829" w14:textId="75437D6B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 xml:space="preserve">Nasledovná tabuľka uvádza priemerné farmakokinetické parametre dydrogesterónu (D) a dihydrodydrogesterónu (DHD) </w:t>
      </w:r>
      <w:r w:rsidRPr="002D19BC">
        <w:rPr>
          <w:sz w:val="22"/>
          <w:szCs w:val="22"/>
          <w:lang w:val="sk-SK"/>
        </w:rPr>
        <w:t>v rovnovážnom stave</w:t>
      </w:r>
      <w:r w:rsidRPr="00BE3F0C">
        <w:rPr>
          <w:sz w:val="22"/>
          <w:szCs w:val="22"/>
          <w:lang w:val="sk-SK"/>
        </w:rPr>
        <w:t xml:space="preserve">. </w:t>
      </w:r>
      <w:r w:rsidRPr="002D19BC">
        <w:rPr>
          <w:sz w:val="22"/>
          <w:szCs w:val="22"/>
          <w:lang w:val="sk-SK"/>
        </w:rPr>
        <w:t>Uvádzajú sa stredné hodnoty (SD).</w:t>
      </w:r>
    </w:p>
    <w:p w14:paraId="0C8D5876" w14:textId="77777777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8"/>
        <w:gridCol w:w="3177"/>
        <w:gridCol w:w="2220"/>
      </w:tblGrid>
      <w:tr w:rsidR="00B822E6" w:rsidRPr="002D19BC" w14:paraId="544B7785" w14:textId="77777777" w:rsidTr="0088334C">
        <w:tc>
          <w:tcPr>
            <w:tcW w:w="8575" w:type="dxa"/>
            <w:gridSpan w:val="3"/>
          </w:tcPr>
          <w:p w14:paraId="25875819" w14:textId="09548708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/>
              </w:rPr>
            </w:pPr>
            <w:r w:rsidRPr="00BE3F0C">
              <w:rPr>
                <w:b/>
                <w:sz w:val="22"/>
                <w:szCs w:val="22"/>
                <w:lang w:val="sk-SK"/>
              </w:rPr>
              <w:t>Dydrogesterón 2,5</w:t>
            </w:r>
            <w:r w:rsidR="00691516">
              <w:rPr>
                <w:b/>
                <w:sz w:val="22"/>
                <w:szCs w:val="22"/>
                <w:lang w:val="sk-SK"/>
              </w:rPr>
              <w:t> </w:t>
            </w:r>
            <w:r w:rsidRPr="00BE3F0C">
              <w:rPr>
                <w:b/>
                <w:sz w:val="22"/>
                <w:szCs w:val="22"/>
                <w:lang w:val="sk-SK"/>
              </w:rPr>
              <w:t>mg</w:t>
            </w:r>
          </w:p>
        </w:tc>
      </w:tr>
      <w:tr w:rsidR="00B822E6" w:rsidRPr="002D19BC" w14:paraId="45DD2105" w14:textId="77777777" w:rsidTr="0088334C">
        <w:tc>
          <w:tcPr>
            <w:tcW w:w="3178" w:type="dxa"/>
          </w:tcPr>
          <w:p w14:paraId="6E350B3F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Hodnoty</w:t>
            </w:r>
          </w:p>
        </w:tc>
        <w:tc>
          <w:tcPr>
            <w:tcW w:w="3177" w:type="dxa"/>
          </w:tcPr>
          <w:p w14:paraId="03FD593D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2220" w:type="dxa"/>
          </w:tcPr>
          <w:p w14:paraId="29553BA0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DHD</w:t>
            </w:r>
          </w:p>
        </w:tc>
      </w:tr>
      <w:tr w:rsidR="00B822E6" w:rsidRPr="002D19BC" w14:paraId="77AC4131" w14:textId="77777777" w:rsidTr="0088334C">
        <w:tc>
          <w:tcPr>
            <w:tcW w:w="3178" w:type="dxa"/>
          </w:tcPr>
          <w:p w14:paraId="4F48A9FC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C</w:t>
            </w:r>
            <w:r w:rsidRPr="00BE3F0C">
              <w:rPr>
                <w:sz w:val="22"/>
                <w:szCs w:val="22"/>
                <w:vertAlign w:val="subscript"/>
                <w:lang w:val="sk-SK"/>
              </w:rPr>
              <w:t>max</w:t>
            </w:r>
            <w:r w:rsidRPr="00BE3F0C">
              <w:rPr>
                <w:sz w:val="22"/>
                <w:szCs w:val="22"/>
                <w:lang w:val="sk-SK"/>
              </w:rPr>
              <w:t xml:space="preserve"> (ng/ml)</w:t>
            </w:r>
          </w:p>
        </w:tc>
        <w:tc>
          <w:tcPr>
            <w:tcW w:w="3177" w:type="dxa"/>
          </w:tcPr>
          <w:p w14:paraId="31AE1B57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0,759 (0,313)</w:t>
            </w:r>
          </w:p>
        </w:tc>
        <w:tc>
          <w:tcPr>
            <w:tcW w:w="2220" w:type="dxa"/>
          </w:tcPr>
          <w:p w14:paraId="7F5B9691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18,9 (7,22)</w:t>
            </w:r>
          </w:p>
        </w:tc>
      </w:tr>
      <w:tr w:rsidR="00B822E6" w:rsidRPr="002D19BC" w14:paraId="180DB1A6" w14:textId="77777777" w:rsidTr="0088334C">
        <w:tc>
          <w:tcPr>
            <w:tcW w:w="3178" w:type="dxa"/>
          </w:tcPr>
          <w:p w14:paraId="264DF335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C</w:t>
            </w:r>
            <w:r w:rsidRPr="00BE3F0C">
              <w:rPr>
                <w:sz w:val="22"/>
                <w:szCs w:val="22"/>
                <w:vertAlign w:val="subscript"/>
                <w:lang w:val="sk-SK"/>
              </w:rPr>
              <w:t>min</w:t>
            </w:r>
            <w:r w:rsidRPr="00BE3F0C">
              <w:rPr>
                <w:sz w:val="22"/>
                <w:szCs w:val="22"/>
                <w:lang w:val="sk-SK"/>
              </w:rPr>
              <w:t xml:space="preserve"> (ng/ml)</w:t>
            </w:r>
          </w:p>
        </w:tc>
        <w:tc>
          <w:tcPr>
            <w:tcW w:w="3177" w:type="dxa"/>
          </w:tcPr>
          <w:p w14:paraId="1777FC37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0,0309 (0,0209)</w:t>
            </w:r>
          </w:p>
        </w:tc>
        <w:tc>
          <w:tcPr>
            <w:tcW w:w="2220" w:type="dxa"/>
          </w:tcPr>
          <w:p w14:paraId="71139A27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-</w:t>
            </w:r>
          </w:p>
        </w:tc>
      </w:tr>
      <w:tr w:rsidR="00B822E6" w:rsidRPr="002D19BC" w14:paraId="2B596FB1" w14:textId="77777777" w:rsidTr="0088334C">
        <w:tc>
          <w:tcPr>
            <w:tcW w:w="3178" w:type="dxa"/>
          </w:tcPr>
          <w:p w14:paraId="6064DAEF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C</w:t>
            </w:r>
            <w:r w:rsidRPr="00BE3F0C">
              <w:rPr>
                <w:sz w:val="22"/>
                <w:szCs w:val="22"/>
                <w:vertAlign w:val="subscript"/>
                <w:lang w:val="sk-SK"/>
              </w:rPr>
              <w:t>av</w:t>
            </w:r>
            <w:r w:rsidRPr="00BE3F0C">
              <w:rPr>
                <w:sz w:val="22"/>
                <w:szCs w:val="22"/>
                <w:lang w:val="sk-SK"/>
              </w:rPr>
              <w:t xml:space="preserve"> (ng/ml)</w:t>
            </w:r>
          </w:p>
        </w:tc>
        <w:tc>
          <w:tcPr>
            <w:tcW w:w="3177" w:type="dxa"/>
          </w:tcPr>
          <w:p w14:paraId="182FF46B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0,117 (0,0455)</w:t>
            </w:r>
          </w:p>
        </w:tc>
        <w:tc>
          <w:tcPr>
            <w:tcW w:w="2220" w:type="dxa"/>
          </w:tcPr>
          <w:p w14:paraId="02C06E70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-</w:t>
            </w:r>
          </w:p>
        </w:tc>
      </w:tr>
      <w:tr w:rsidR="00B822E6" w:rsidRPr="002D19BC" w14:paraId="2F3EA23F" w14:textId="77777777" w:rsidTr="0088334C">
        <w:tc>
          <w:tcPr>
            <w:tcW w:w="3178" w:type="dxa"/>
          </w:tcPr>
          <w:p w14:paraId="211EAB34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AUC</w:t>
            </w:r>
            <w:r w:rsidRPr="00BE3F0C">
              <w:rPr>
                <w:sz w:val="22"/>
                <w:szCs w:val="22"/>
                <w:vertAlign w:val="subscript"/>
                <w:lang w:val="sk-SK"/>
              </w:rPr>
              <w:t>0</w:t>
            </w:r>
            <w:r w:rsidR="00D74190" w:rsidRPr="00BE3F0C">
              <w:rPr>
                <w:spacing w:val="-16"/>
                <w:sz w:val="22"/>
                <w:szCs w:val="22"/>
                <w:vertAlign w:val="subscript"/>
                <w:lang w:val="sk-SK"/>
              </w:rPr>
              <w:t>-</w:t>
            </w:r>
            <w:r w:rsidR="00D74190" w:rsidRPr="00BE3F0C">
              <w:rPr>
                <w:spacing w:val="-16"/>
                <w:sz w:val="22"/>
                <w:szCs w:val="22"/>
                <w:vertAlign w:val="subscript"/>
                <w:lang w:val="sk-SK"/>
              </w:rPr>
              <w:sym w:font="Symbol" w:char="F074"/>
            </w:r>
            <w:r w:rsidR="00D74190" w:rsidRPr="00BE3F0C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="00D74190" w:rsidRPr="00BE3F0C">
              <w:rPr>
                <w:sz w:val="22"/>
                <w:szCs w:val="22"/>
                <w:vertAlign w:val="subscript"/>
                <w:lang w:val="sk-SK"/>
              </w:rPr>
              <w:t xml:space="preserve"> </w:t>
            </w:r>
            <w:r w:rsidRPr="00BE3F0C">
              <w:rPr>
                <w:sz w:val="22"/>
                <w:szCs w:val="22"/>
                <w:lang w:val="sk-SK"/>
              </w:rPr>
              <w:t>(ng.h/ml)</w:t>
            </w:r>
          </w:p>
        </w:tc>
        <w:tc>
          <w:tcPr>
            <w:tcW w:w="3177" w:type="dxa"/>
          </w:tcPr>
          <w:p w14:paraId="309AA276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2,81 (1,09)</w:t>
            </w:r>
          </w:p>
        </w:tc>
        <w:tc>
          <w:tcPr>
            <w:tcW w:w="2220" w:type="dxa"/>
          </w:tcPr>
          <w:p w14:paraId="37576807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90,4 (44,1)</w:t>
            </w:r>
          </w:p>
        </w:tc>
      </w:tr>
    </w:tbl>
    <w:p w14:paraId="10E30C3A" w14:textId="77777777" w:rsidR="00B822E6" w:rsidRPr="002D19BC" w:rsidRDefault="00B822E6" w:rsidP="00BE3F0C">
      <w:pPr>
        <w:pStyle w:val="Hlavika"/>
        <w:numPr>
          <w:ilvl w:val="12"/>
          <w:numId w:val="0"/>
        </w:numPr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14:paraId="7158CF87" w14:textId="392F5B39" w:rsidR="00B822E6" w:rsidRPr="00BE3F0C" w:rsidRDefault="00B822E6" w:rsidP="00610047">
      <w:pPr>
        <w:keepNext/>
        <w:numPr>
          <w:ilvl w:val="0"/>
          <w:numId w:val="39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/>
        </w:rPr>
      </w:pPr>
      <w:r w:rsidRPr="00BE3F0C">
        <w:rPr>
          <w:sz w:val="22"/>
          <w:szCs w:val="22"/>
          <w:u w:val="single"/>
          <w:lang w:val="sk-SK"/>
        </w:rPr>
        <w:t>Distribúcia</w:t>
      </w:r>
    </w:p>
    <w:p w14:paraId="6621D114" w14:textId="68FD69D7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>Po intravenóznom podaní dydrogesterónu distribučný objem v rovnovážnom stave predstavuje približne</w:t>
      </w:r>
      <w:r w:rsidR="009931D9">
        <w:rPr>
          <w:sz w:val="22"/>
          <w:szCs w:val="22"/>
          <w:lang w:val="sk-SK"/>
        </w:rPr>
        <w:t xml:space="preserve"> </w:t>
      </w:r>
      <w:r w:rsidRPr="00BE3F0C">
        <w:rPr>
          <w:sz w:val="22"/>
          <w:szCs w:val="22"/>
          <w:lang w:val="sk-SK"/>
        </w:rPr>
        <w:t>1400</w:t>
      </w:r>
      <w:r w:rsidR="009931D9">
        <w:rPr>
          <w:sz w:val="22"/>
          <w:szCs w:val="22"/>
          <w:lang w:val="sk-SK"/>
        </w:rPr>
        <w:t> </w:t>
      </w:r>
      <w:r w:rsidRPr="00BE3F0C">
        <w:rPr>
          <w:sz w:val="22"/>
          <w:szCs w:val="22"/>
          <w:lang w:val="sk-SK"/>
        </w:rPr>
        <w:t>l. Dydrogesterón a DHD sa viac ako v 90 % viažu na plazmatické bielkoviny.</w:t>
      </w:r>
    </w:p>
    <w:p w14:paraId="3A5EC6B4" w14:textId="77777777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0F9CA72" w14:textId="68CB5C2B" w:rsidR="00B822E6" w:rsidRPr="00BE3F0C" w:rsidRDefault="00B822E6" w:rsidP="00610047">
      <w:pPr>
        <w:keepNext/>
        <w:numPr>
          <w:ilvl w:val="0"/>
          <w:numId w:val="39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/>
        </w:rPr>
      </w:pPr>
      <w:r w:rsidRPr="00BE3F0C">
        <w:rPr>
          <w:sz w:val="22"/>
          <w:szCs w:val="22"/>
          <w:u w:val="single"/>
          <w:lang w:val="sk-SK"/>
        </w:rPr>
        <w:t>Biotransformácia</w:t>
      </w:r>
    </w:p>
    <w:p w14:paraId="69D85632" w14:textId="3C994038" w:rsidR="00B822E6" w:rsidRPr="002D19BC" w:rsidRDefault="00B822E6" w:rsidP="00BE3F0C">
      <w:pPr>
        <w:pStyle w:val="Hlavika"/>
        <w:numPr>
          <w:ilvl w:val="12"/>
          <w:numId w:val="0"/>
        </w:numPr>
        <w:tabs>
          <w:tab w:val="clear" w:pos="4153"/>
          <w:tab w:val="clear" w:pos="8306"/>
        </w:tabs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Po perorálnom podaní sa dydrogesterón rýchlo metabolizuje na DHD. Koncentrácie hlavného aktívneho metabolitu 20 </w:t>
      </w:r>
      <w:r w:rsidRPr="00BE3F0C">
        <w:rPr>
          <w:sz w:val="22"/>
          <w:szCs w:val="22"/>
          <w:lang w:val="sk-SK"/>
        </w:rPr>
        <w:t>α</w:t>
      </w:r>
      <w:r w:rsidRPr="002D19BC">
        <w:rPr>
          <w:sz w:val="22"/>
          <w:szCs w:val="22"/>
          <w:lang w:val="sk-SK"/>
        </w:rPr>
        <w:t xml:space="preserve">-dihydrodydrogesterónu (DHD) dosahujú maximum približne o 1,5 hodiny po podaní dávky. Plazmatické koncentrácie DHD sú v porovnaní s pôvodným liečivom podstatne vyššie. Pomer </w:t>
      </w:r>
      <w:r w:rsidRPr="002D19BC">
        <w:rPr>
          <w:sz w:val="22"/>
          <w:szCs w:val="22"/>
          <w:lang w:val="sk-SK"/>
        </w:rPr>
        <w:lastRenderedPageBreak/>
        <w:t xml:space="preserve">AUC DHD k dydrogesterónu je </w:t>
      </w:r>
      <w:smartTag w:uri="urn:schemas-microsoft-com:office:smarttags" w:element="metricconverter">
        <w:smartTagPr>
          <w:attr w:name="ProductID" w:val="40 a"/>
        </w:smartTagPr>
        <w:r w:rsidRPr="002D19BC">
          <w:rPr>
            <w:sz w:val="22"/>
            <w:szCs w:val="22"/>
            <w:lang w:val="sk-SK"/>
          </w:rPr>
          <w:t>40 a</w:t>
        </w:r>
      </w:smartTag>
      <w:r w:rsidRPr="002D19BC">
        <w:rPr>
          <w:sz w:val="22"/>
          <w:szCs w:val="22"/>
          <w:lang w:val="sk-SK"/>
        </w:rPr>
        <w:t xml:space="preserve"> pomer C</w:t>
      </w:r>
      <w:r w:rsidRPr="002D19BC">
        <w:rPr>
          <w:sz w:val="22"/>
          <w:szCs w:val="22"/>
          <w:vertAlign w:val="subscript"/>
          <w:lang w:val="sk-SK"/>
        </w:rPr>
        <w:t>max</w:t>
      </w:r>
      <w:r w:rsidRPr="002D19BC">
        <w:rPr>
          <w:sz w:val="22"/>
          <w:szCs w:val="22"/>
          <w:lang w:val="sk-SK"/>
        </w:rPr>
        <w:t xml:space="preserve"> DHD k dydrogesterónu je 25. Priemerný terminálny polčas dydrogesterónu kolíše medzi 5</w:t>
      </w:r>
      <w:r w:rsidR="00E3562A">
        <w:rPr>
          <w:sz w:val="22"/>
          <w:szCs w:val="22"/>
          <w:lang w:val="sk-SK"/>
        </w:rPr>
        <w:t xml:space="preserve"> – </w:t>
      </w:r>
      <w:r w:rsidRPr="002D19BC">
        <w:rPr>
          <w:sz w:val="22"/>
          <w:szCs w:val="22"/>
          <w:lang w:val="sk-SK"/>
        </w:rPr>
        <w:t>7</w:t>
      </w:r>
      <w:r w:rsidR="00E3562A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hodinami a DHD medzi 14</w:t>
      </w:r>
      <w:r w:rsidR="000679A1">
        <w:rPr>
          <w:sz w:val="22"/>
          <w:szCs w:val="22"/>
          <w:lang w:val="sk-SK"/>
        </w:rPr>
        <w:t xml:space="preserve"> </w:t>
      </w:r>
      <w:r w:rsidR="00E3562A">
        <w:rPr>
          <w:sz w:val="22"/>
          <w:szCs w:val="22"/>
          <w:lang w:val="sk-SK"/>
        </w:rPr>
        <w:t>–</w:t>
      </w:r>
      <w:r w:rsidR="000679A1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>17</w:t>
      </w:r>
      <w:r w:rsidR="00E3562A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hodinami. Spoločným znakom všetkých metabolitov je zachovanie 4,6-dién-3-ón konfigurácie pôvodného liečiva a neprítomnosť 17-α-hydroxylácie. Týmto sa vysvetľuje chýbanie estrogénovej a androgénovej aktivity dydrogesterónu.</w:t>
      </w:r>
    </w:p>
    <w:p w14:paraId="2B6FB3C0" w14:textId="5C9BBBE1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74FA2B1" w14:textId="5D8393E8" w:rsidR="00B822E6" w:rsidRPr="00BE3F0C" w:rsidRDefault="00B822E6" w:rsidP="00610047">
      <w:pPr>
        <w:keepNext/>
        <w:numPr>
          <w:ilvl w:val="0"/>
          <w:numId w:val="39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/>
        </w:rPr>
      </w:pPr>
      <w:r w:rsidRPr="00BE3F0C">
        <w:rPr>
          <w:sz w:val="22"/>
          <w:szCs w:val="22"/>
          <w:u w:val="single"/>
          <w:lang w:val="sk-SK"/>
        </w:rPr>
        <w:t>Eliminácia</w:t>
      </w:r>
    </w:p>
    <w:p w14:paraId="45214741" w14:textId="5E4175F0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>Po perorálnom podaní značeného dydrogesterónu sa priemerne 63 % dávky vylučuje do moču. Celkový plazmatický klírens je 6,4 l/min. V priebehu 72</w:t>
      </w:r>
      <w:r w:rsidR="00680E29">
        <w:rPr>
          <w:sz w:val="22"/>
          <w:szCs w:val="22"/>
          <w:lang w:val="sk-SK"/>
        </w:rPr>
        <w:t> </w:t>
      </w:r>
      <w:r w:rsidRPr="00BE3F0C">
        <w:rPr>
          <w:sz w:val="22"/>
          <w:szCs w:val="22"/>
          <w:lang w:val="sk-SK"/>
        </w:rPr>
        <w:t>hodín je vylučovanie ukončené. DHD je v moči prevažne vo forme konjugátu kyseliny glukurónovej.</w:t>
      </w:r>
    </w:p>
    <w:p w14:paraId="28B75245" w14:textId="77777777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BDBE9C0" w14:textId="1BCE1E13" w:rsidR="00B822E6" w:rsidRPr="00BE3F0C" w:rsidRDefault="00B822E6" w:rsidP="00610047">
      <w:pPr>
        <w:keepNext/>
        <w:numPr>
          <w:ilvl w:val="0"/>
          <w:numId w:val="39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/>
        </w:rPr>
      </w:pPr>
      <w:r w:rsidRPr="00BE3F0C">
        <w:rPr>
          <w:sz w:val="22"/>
          <w:szCs w:val="22"/>
          <w:u w:val="single"/>
          <w:lang w:val="sk-SK"/>
        </w:rPr>
        <w:t>Závislosť dávky a času</w:t>
      </w:r>
    </w:p>
    <w:p w14:paraId="5EA32591" w14:textId="21FBF437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>Farmakokinetika jednej a opakovanej dávky je v rozmedzí dávok 2,5 až 10</w:t>
      </w:r>
      <w:r w:rsidR="00BF7A95">
        <w:rPr>
          <w:sz w:val="22"/>
          <w:szCs w:val="22"/>
          <w:lang w:val="sk-SK"/>
        </w:rPr>
        <w:t> </w:t>
      </w:r>
      <w:r w:rsidRPr="00BE3F0C">
        <w:rPr>
          <w:sz w:val="22"/>
          <w:szCs w:val="22"/>
          <w:lang w:val="sk-SK"/>
        </w:rPr>
        <w:t>mg lineárna. Porovnanie kinetiky jednej dávky a kinetiky opakovanej dávky poukazuje na to, že farmakokinetika dydrogesterónu a DHD sa následkom opakovaných dávok nemení. Rovnovážny stav sa dosiahol po 3</w:t>
      </w:r>
      <w:r w:rsidR="000E185E">
        <w:rPr>
          <w:sz w:val="22"/>
          <w:szCs w:val="22"/>
          <w:lang w:val="sk-SK"/>
        </w:rPr>
        <w:t> </w:t>
      </w:r>
      <w:r w:rsidRPr="00BE3F0C">
        <w:rPr>
          <w:sz w:val="22"/>
          <w:szCs w:val="22"/>
          <w:lang w:val="sk-SK"/>
        </w:rPr>
        <w:t>dňoch liečby.</w:t>
      </w:r>
    </w:p>
    <w:p w14:paraId="33E51C12" w14:textId="77777777" w:rsidR="00B822E6" w:rsidRPr="002D19BC" w:rsidRDefault="00B822E6" w:rsidP="00BE3F0C">
      <w:pPr>
        <w:pStyle w:val="Hlavika"/>
        <w:numPr>
          <w:ilvl w:val="12"/>
          <w:numId w:val="0"/>
        </w:numPr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14:paraId="7772A3B2" w14:textId="77777777"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Predklinické údaje o bezpečnosti</w:t>
      </w:r>
    </w:p>
    <w:p w14:paraId="03FED69C" w14:textId="77777777" w:rsidR="00262803" w:rsidRPr="002D19BC" w:rsidRDefault="00262803" w:rsidP="00610047">
      <w:pPr>
        <w:keepNext/>
        <w:rPr>
          <w:sz w:val="22"/>
          <w:szCs w:val="22"/>
          <w:lang w:val="sk-SK"/>
        </w:rPr>
      </w:pPr>
    </w:p>
    <w:p w14:paraId="627BC45C" w14:textId="4D647CDE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Nie sú dostupné žiadne predklinické údaje </w:t>
      </w:r>
      <w:r w:rsidR="002D19BC" w:rsidRPr="002D19BC">
        <w:rPr>
          <w:sz w:val="22"/>
          <w:szCs w:val="22"/>
          <w:lang w:val="sk-SK"/>
        </w:rPr>
        <w:t>o</w:t>
      </w:r>
      <w:r w:rsidR="002D19BC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bezpečnosti, relevantné pre predpisujúceho lekára a cieľovú populáciu, ktoré by už neboli uvedené v iných častiach Súhrnu charakteristických vlastností lieku (SPC).</w:t>
      </w:r>
    </w:p>
    <w:p w14:paraId="4128E546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06B8C7F1" w14:textId="77777777" w:rsidR="00D1490F" w:rsidRDefault="00D1490F" w:rsidP="00D1490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Hodnotenie environmentálneho rizika (ERA):</w:t>
      </w:r>
    </w:p>
    <w:p w14:paraId="58F07ED4" w14:textId="04A542F7" w:rsidR="00B822E6" w:rsidRDefault="00D1490F" w:rsidP="00D1490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môže predstavovať riziko pre vodné prostredie. Lieky, ktoré už nie sú potrebné, sa nesmú likvidovať odpadovou vodou alebo domovým odpadom. Všetok nepoužitý liek alebo odpad vzniknutý z lieku sa má zlikvidovať v súlade s národnými požiadavkami alebo vrátiť do lekárne.</w:t>
      </w:r>
    </w:p>
    <w:p w14:paraId="5306AC69" w14:textId="42111834" w:rsidR="005A7AE5" w:rsidRDefault="005A7AE5" w:rsidP="00D1490F">
      <w:pPr>
        <w:rPr>
          <w:sz w:val="22"/>
          <w:szCs w:val="22"/>
          <w:lang w:val="sk-SK"/>
        </w:rPr>
      </w:pPr>
    </w:p>
    <w:p w14:paraId="24DA577D" w14:textId="77777777" w:rsidR="005A7AE5" w:rsidRPr="002D19BC" w:rsidRDefault="005A7AE5" w:rsidP="00D1490F">
      <w:pPr>
        <w:rPr>
          <w:sz w:val="22"/>
          <w:szCs w:val="22"/>
          <w:lang w:val="sk-SK"/>
        </w:rPr>
      </w:pPr>
    </w:p>
    <w:p w14:paraId="1D3E6109" w14:textId="77777777" w:rsidR="00B822E6" w:rsidRPr="00BE3F0C" w:rsidRDefault="00B822E6" w:rsidP="00610047">
      <w:pPr>
        <w:keepNext/>
        <w:numPr>
          <w:ilvl w:val="0"/>
          <w:numId w:val="27"/>
        </w:numPr>
        <w:tabs>
          <w:tab w:val="clear" w:pos="1077"/>
          <w:tab w:val="left" w:pos="567"/>
        </w:tabs>
        <w:suppressAutoHyphens/>
        <w:ind w:left="567" w:hanging="567"/>
        <w:rPr>
          <w:b/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FARMACEUTICKÉ INFORMÁCIE</w:t>
      </w:r>
    </w:p>
    <w:p w14:paraId="7D1D5DD3" w14:textId="77777777" w:rsidR="00262803" w:rsidRPr="00C92195" w:rsidRDefault="00262803" w:rsidP="00BE3F0C">
      <w:pPr>
        <w:keepNext/>
        <w:tabs>
          <w:tab w:val="left" w:pos="567"/>
        </w:tabs>
        <w:suppressAutoHyphens/>
        <w:rPr>
          <w:sz w:val="22"/>
          <w:szCs w:val="22"/>
          <w:lang w:val="sk-SK" w:bidi="sk-SK"/>
        </w:rPr>
      </w:pPr>
    </w:p>
    <w:p w14:paraId="6AA55366" w14:textId="59D4B17A"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Zoznam pomocných látok</w:t>
      </w:r>
    </w:p>
    <w:p w14:paraId="637D51AF" w14:textId="77777777" w:rsidR="00262803" w:rsidRPr="002D19BC" w:rsidRDefault="00262803" w:rsidP="00610047">
      <w:pPr>
        <w:pStyle w:val="Zkladntext"/>
        <w:keepNext/>
        <w:jc w:val="left"/>
        <w:rPr>
          <w:sz w:val="22"/>
          <w:szCs w:val="22"/>
          <w:lang w:val="sk-SK"/>
        </w:rPr>
      </w:pPr>
    </w:p>
    <w:p w14:paraId="59B39A6A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Jadro:</w:t>
      </w:r>
    </w:p>
    <w:p w14:paraId="5A37A74D" w14:textId="77777777" w:rsidR="00B822E6" w:rsidRPr="002D19BC" w:rsidRDefault="00B822E6" w:rsidP="00262803">
      <w:pPr>
        <w:pStyle w:val="Zkladntext"/>
        <w:jc w:val="left"/>
        <w:rPr>
          <w:sz w:val="22"/>
          <w:szCs w:val="22"/>
          <w:lang w:val="sk-SK" w:eastAsia="ar-SA"/>
        </w:rPr>
      </w:pPr>
      <w:r w:rsidRPr="002D19BC">
        <w:rPr>
          <w:sz w:val="22"/>
          <w:szCs w:val="22"/>
          <w:lang w:val="sk-SK" w:eastAsia="ar-SA"/>
        </w:rPr>
        <w:t>monohydrát laktózy</w:t>
      </w:r>
    </w:p>
    <w:p w14:paraId="241A2A2A" w14:textId="231732CE" w:rsidR="00B822E6" w:rsidRPr="002D19BC" w:rsidRDefault="00B822E6">
      <w:pPr>
        <w:pStyle w:val="Zkladntext"/>
        <w:jc w:val="left"/>
        <w:rPr>
          <w:sz w:val="22"/>
          <w:szCs w:val="22"/>
          <w:lang w:val="sk-SK" w:eastAsia="ar-SA"/>
        </w:rPr>
      </w:pPr>
      <w:r w:rsidRPr="002D19BC">
        <w:rPr>
          <w:sz w:val="22"/>
          <w:szCs w:val="22"/>
          <w:lang w:val="sk-SK" w:eastAsia="ar-SA"/>
        </w:rPr>
        <w:t>hypromelóza</w:t>
      </w:r>
    </w:p>
    <w:p w14:paraId="1AD04408" w14:textId="4C04E0BA" w:rsidR="00B822E6" w:rsidRPr="002D19BC" w:rsidRDefault="00B822E6">
      <w:pPr>
        <w:pStyle w:val="Zkladntext"/>
        <w:jc w:val="left"/>
        <w:rPr>
          <w:sz w:val="22"/>
          <w:szCs w:val="22"/>
          <w:lang w:val="sk-SK" w:eastAsia="ar-SA"/>
        </w:rPr>
      </w:pPr>
      <w:r w:rsidRPr="002D19BC">
        <w:rPr>
          <w:sz w:val="22"/>
          <w:szCs w:val="22"/>
          <w:lang w:val="sk-SK" w:eastAsia="ar-SA"/>
        </w:rPr>
        <w:t>kukuričný škrob</w:t>
      </w:r>
    </w:p>
    <w:p w14:paraId="42CEB847" w14:textId="13F53E92" w:rsidR="00B822E6" w:rsidRPr="002D19BC" w:rsidRDefault="00B822E6">
      <w:pPr>
        <w:pStyle w:val="Zkladntext"/>
        <w:jc w:val="left"/>
        <w:rPr>
          <w:sz w:val="22"/>
          <w:szCs w:val="22"/>
          <w:lang w:val="sk-SK" w:eastAsia="ar-SA"/>
        </w:rPr>
      </w:pPr>
      <w:r w:rsidRPr="002D19BC">
        <w:rPr>
          <w:sz w:val="22"/>
          <w:szCs w:val="22"/>
          <w:lang w:val="sk-SK" w:eastAsia="ar-SA"/>
        </w:rPr>
        <w:t>koloidný oxid kremičitý</w:t>
      </w:r>
    </w:p>
    <w:p w14:paraId="0F805FAD" w14:textId="77777777" w:rsidR="00B822E6" w:rsidRPr="00BE3F0C" w:rsidRDefault="00B822E6">
      <w:pPr>
        <w:pStyle w:val="Zkladntext"/>
        <w:jc w:val="left"/>
        <w:rPr>
          <w:sz w:val="22"/>
          <w:szCs w:val="22"/>
          <w:lang w:val="sk-SK" w:eastAsia="ar-SA"/>
        </w:rPr>
      </w:pPr>
      <w:r w:rsidRPr="00BE3F0C">
        <w:rPr>
          <w:sz w:val="22"/>
          <w:szCs w:val="22"/>
          <w:lang w:val="sk-SK" w:eastAsia="ar-SA"/>
        </w:rPr>
        <w:t>stearan horečnatý</w:t>
      </w:r>
    </w:p>
    <w:p w14:paraId="4AE32832" w14:textId="77777777" w:rsidR="00B822E6" w:rsidRPr="00BE3F0C" w:rsidRDefault="00B822E6" w:rsidP="00BE3F0C">
      <w:pPr>
        <w:pStyle w:val="Zkladntext"/>
        <w:jc w:val="left"/>
        <w:rPr>
          <w:sz w:val="22"/>
          <w:szCs w:val="22"/>
          <w:lang w:val="sk-SK" w:eastAsia="ar-SA"/>
        </w:rPr>
      </w:pPr>
    </w:p>
    <w:p w14:paraId="0789D06C" w14:textId="77777777" w:rsidR="00B822E6" w:rsidRPr="00BE3F0C" w:rsidRDefault="00B822E6" w:rsidP="00BE3F0C">
      <w:pPr>
        <w:pStyle w:val="Zkladntext"/>
        <w:jc w:val="left"/>
        <w:rPr>
          <w:sz w:val="22"/>
          <w:szCs w:val="22"/>
          <w:lang w:val="sk-SK" w:eastAsia="ar-SA"/>
        </w:rPr>
      </w:pPr>
      <w:r w:rsidRPr="00BE3F0C">
        <w:rPr>
          <w:sz w:val="22"/>
          <w:szCs w:val="22"/>
          <w:lang w:val="sk-SK" w:eastAsia="ar-SA"/>
        </w:rPr>
        <w:t>Filmový obal:</w:t>
      </w:r>
    </w:p>
    <w:p w14:paraId="4D0D72EF" w14:textId="4FA98ACF" w:rsidR="00B822E6" w:rsidRPr="00BE3F0C" w:rsidRDefault="00B822E6" w:rsidP="00262803">
      <w:pPr>
        <w:pStyle w:val="Zkladntext"/>
        <w:jc w:val="left"/>
        <w:rPr>
          <w:sz w:val="22"/>
          <w:szCs w:val="22"/>
          <w:lang w:val="sk-SK" w:eastAsia="ar-SA"/>
        </w:rPr>
      </w:pPr>
      <w:r w:rsidRPr="00BE3F0C">
        <w:rPr>
          <w:sz w:val="22"/>
          <w:szCs w:val="22"/>
          <w:lang w:val="sk-SK" w:eastAsia="ar-SA"/>
        </w:rPr>
        <w:t>makrogol</w:t>
      </w:r>
    </w:p>
    <w:p w14:paraId="17FF2167" w14:textId="77777777" w:rsidR="00B822E6" w:rsidRPr="00BE3F0C" w:rsidRDefault="00B822E6">
      <w:pPr>
        <w:pStyle w:val="Zkladntext"/>
        <w:jc w:val="left"/>
        <w:rPr>
          <w:sz w:val="22"/>
          <w:szCs w:val="22"/>
          <w:lang w:val="sk-SK" w:eastAsia="ar-SA"/>
        </w:rPr>
      </w:pPr>
      <w:r w:rsidRPr="00BE3F0C">
        <w:rPr>
          <w:sz w:val="22"/>
          <w:szCs w:val="22"/>
          <w:lang w:val="sk-SK" w:eastAsia="ar-SA"/>
        </w:rPr>
        <w:t>polyvinyl alkohol</w:t>
      </w:r>
    </w:p>
    <w:p w14:paraId="31B13972" w14:textId="77777777" w:rsidR="00B822E6" w:rsidRPr="00BE3F0C" w:rsidRDefault="00B822E6">
      <w:pPr>
        <w:pStyle w:val="Zkladntext"/>
        <w:jc w:val="left"/>
        <w:rPr>
          <w:sz w:val="22"/>
          <w:szCs w:val="22"/>
          <w:lang w:val="sk-SK" w:eastAsia="ar-SA"/>
        </w:rPr>
      </w:pPr>
      <w:r w:rsidRPr="00BE3F0C">
        <w:rPr>
          <w:sz w:val="22"/>
          <w:szCs w:val="22"/>
          <w:lang w:val="sk-SK" w:eastAsia="ar-SA"/>
        </w:rPr>
        <w:t>mastenec</w:t>
      </w:r>
    </w:p>
    <w:p w14:paraId="76F599C3" w14:textId="77777777" w:rsidR="00B822E6" w:rsidRPr="00BE3F0C" w:rsidRDefault="00B822E6">
      <w:pPr>
        <w:pStyle w:val="Zkladntext"/>
        <w:jc w:val="left"/>
        <w:rPr>
          <w:sz w:val="22"/>
          <w:szCs w:val="22"/>
          <w:lang w:val="sk-SK" w:eastAsia="ar-SA"/>
        </w:rPr>
      </w:pPr>
      <w:r w:rsidRPr="00BE3F0C">
        <w:rPr>
          <w:sz w:val="22"/>
          <w:szCs w:val="22"/>
          <w:lang w:val="sk-SK" w:eastAsia="ar-SA"/>
        </w:rPr>
        <w:t>oxid titaničitý (E171)</w:t>
      </w:r>
    </w:p>
    <w:p w14:paraId="4718B564" w14:textId="77777777" w:rsidR="00B822E6" w:rsidRPr="00BE3F0C" w:rsidRDefault="00B822E6">
      <w:pPr>
        <w:pStyle w:val="Zkladntext"/>
        <w:jc w:val="left"/>
        <w:rPr>
          <w:sz w:val="22"/>
          <w:szCs w:val="22"/>
          <w:lang w:val="sk-SK" w:eastAsia="ar-SA"/>
        </w:rPr>
      </w:pPr>
      <w:r w:rsidRPr="00BE3F0C">
        <w:rPr>
          <w:sz w:val="22"/>
          <w:szCs w:val="22"/>
          <w:lang w:val="sk-SK" w:eastAsia="ar-SA"/>
        </w:rPr>
        <w:t>žltý oxid železitý (E172)</w:t>
      </w:r>
    </w:p>
    <w:p w14:paraId="19F3985E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14:paraId="31291C3A" w14:textId="77777777"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Inkompatibility</w:t>
      </w:r>
    </w:p>
    <w:p w14:paraId="112C9AE4" w14:textId="77777777" w:rsidR="00262803" w:rsidRPr="002D19BC" w:rsidRDefault="00262803" w:rsidP="00610047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</w:p>
    <w:p w14:paraId="773ECAAE" w14:textId="77777777" w:rsidR="00B822E6" w:rsidRPr="002D19BC" w:rsidRDefault="00B822E6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Neaplikovateľné.</w:t>
      </w:r>
    </w:p>
    <w:p w14:paraId="3EF27BB5" w14:textId="77777777" w:rsidR="00B822E6" w:rsidRPr="002D19BC" w:rsidRDefault="00B822E6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7780AA63" w14:textId="77777777" w:rsidR="00B822E6" w:rsidRPr="00C92195" w:rsidRDefault="00B822E6" w:rsidP="006C1818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Čas použiteľnosti</w:t>
      </w:r>
    </w:p>
    <w:p w14:paraId="1E159DCA" w14:textId="77777777" w:rsidR="00262803" w:rsidRPr="002D19BC" w:rsidRDefault="00262803" w:rsidP="00610047">
      <w:pPr>
        <w:pStyle w:val="Hlavika"/>
        <w:keepNext/>
        <w:numPr>
          <w:ilvl w:val="12"/>
          <w:numId w:val="0"/>
        </w:numPr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14:paraId="3E5311BE" w14:textId="363EF9D9" w:rsidR="00B822E6" w:rsidRPr="002D19BC" w:rsidRDefault="00063A6D">
      <w:pPr>
        <w:pStyle w:val="Hlavika"/>
        <w:numPr>
          <w:ilvl w:val="12"/>
          <w:numId w:val="0"/>
        </w:numPr>
        <w:tabs>
          <w:tab w:val="clear" w:pos="4153"/>
          <w:tab w:val="clear" w:pos="8306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4 roky</w:t>
      </w:r>
    </w:p>
    <w:p w14:paraId="13DC8B2E" w14:textId="77777777" w:rsidR="00B822E6" w:rsidRPr="002D19BC" w:rsidRDefault="00B822E6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0ED41F6F" w14:textId="6DF07E8C"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/>
        </w:rPr>
      </w:pPr>
      <w:r w:rsidRPr="00BE3F0C">
        <w:rPr>
          <w:b/>
          <w:sz w:val="22"/>
          <w:szCs w:val="22"/>
          <w:lang w:val="sk-SK" w:bidi="sk-SK"/>
        </w:rPr>
        <w:t>Špeciálne upozornenia na uchovávanie</w:t>
      </w:r>
    </w:p>
    <w:p w14:paraId="7AC68FE1" w14:textId="77777777" w:rsidR="00262803" w:rsidRPr="002D19BC" w:rsidRDefault="00262803" w:rsidP="00610047">
      <w:pPr>
        <w:pStyle w:val="Zkladntext"/>
        <w:keepNext/>
        <w:numPr>
          <w:ilvl w:val="12"/>
          <w:numId w:val="0"/>
        </w:numPr>
        <w:jc w:val="left"/>
        <w:rPr>
          <w:sz w:val="22"/>
          <w:szCs w:val="22"/>
          <w:lang w:val="sk-SK"/>
        </w:rPr>
      </w:pPr>
    </w:p>
    <w:p w14:paraId="2E8AB189" w14:textId="3E33ABC8" w:rsidR="00B822E6" w:rsidRPr="002D19BC" w:rsidRDefault="00B822E6" w:rsidP="00BE3F0C">
      <w:pPr>
        <w:pStyle w:val="Zkladntext"/>
        <w:numPr>
          <w:ilvl w:val="12"/>
          <w:numId w:val="0"/>
        </w:numPr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Tento liek nevyžaduje žiadne zvláštne podmienky na uchovávanie.</w:t>
      </w:r>
    </w:p>
    <w:p w14:paraId="19C9A5EB" w14:textId="77777777" w:rsidR="00B822E6" w:rsidRPr="002D19BC" w:rsidRDefault="00B822E6" w:rsidP="00BE3F0C">
      <w:pPr>
        <w:pStyle w:val="Zkladntext"/>
        <w:numPr>
          <w:ilvl w:val="12"/>
          <w:numId w:val="0"/>
        </w:numPr>
        <w:jc w:val="left"/>
        <w:rPr>
          <w:sz w:val="22"/>
          <w:szCs w:val="22"/>
          <w:lang w:val="sk-SK"/>
        </w:rPr>
      </w:pPr>
    </w:p>
    <w:p w14:paraId="67EEF758" w14:textId="77777777"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lastRenderedPageBreak/>
        <w:t>Druh obalu a obsah balenia</w:t>
      </w:r>
    </w:p>
    <w:p w14:paraId="5593D60A" w14:textId="77777777" w:rsidR="00262803" w:rsidRPr="00BE3F0C" w:rsidRDefault="00262803" w:rsidP="00610047">
      <w:pPr>
        <w:pStyle w:val="Textpoznmkypodiarou"/>
        <w:keepNext/>
        <w:numPr>
          <w:ilvl w:val="12"/>
          <w:numId w:val="0"/>
        </w:numPr>
        <w:rPr>
          <w:sz w:val="22"/>
          <w:szCs w:val="22"/>
          <w:lang w:val="sk-SK"/>
        </w:rPr>
      </w:pPr>
    </w:p>
    <w:p w14:paraId="23872D21" w14:textId="5D1E6A70" w:rsidR="00B822E6" w:rsidRPr="00BE3F0C" w:rsidRDefault="00063A6D" w:rsidP="00BE3F0C">
      <w:pPr>
        <w:pStyle w:val="Textpoznmkypodiarou"/>
        <w:numPr>
          <w:ilvl w:val="12"/>
          <w:numId w:val="0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Kalendárne balenia </w:t>
      </w:r>
      <w:r w:rsidR="005F1194">
        <w:rPr>
          <w:sz w:val="22"/>
          <w:szCs w:val="22"/>
          <w:lang w:val="sk-SK"/>
        </w:rPr>
        <w:t>po</w:t>
      </w:r>
      <w:r>
        <w:rPr>
          <w:sz w:val="22"/>
          <w:szCs w:val="22"/>
          <w:lang w:val="sk-SK"/>
        </w:rPr>
        <w:t> 28, 84 (3</w:t>
      </w:r>
      <w:r w:rsidR="0090662C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x 28) alebo 280 (10 x 28) </w:t>
      </w:r>
      <w:r w:rsidR="0090662C">
        <w:rPr>
          <w:sz w:val="22"/>
          <w:szCs w:val="22"/>
          <w:lang w:val="sk-SK"/>
        </w:rPr>
        <w:t>filmom obalených tabliet v PVC/Al blistro</w:t>
      </w:r>
      <w:r w:rsidR="00A10C3C">
        <w:rPr>
          <w:sz w:val="22"/>
          <w:szCs w:val="22"/>
          <w:lang w:val="sk-SK"/>
        </w:rPr>
        <w:t>vých pásoch</w:t>
      </w:r>
      <w:r w:rsidR="0090662C">
        <w:rPr>
          <w:sz w:val="22"/>
          <w:szCs w:val="22"/>
          <w:lang w:val="sk-SK"/>
        </w:rPr>
        <w:t xml:space="preserve"> v krabičke s potlačou.</w:t>
      </w:r>
    </w:p>
    <w:p w14:paraId="77608FC6" w14:textId="26E037F2" w:rsidR="00B822E6" w:rsidRPr="002D19BC" w:rsidRDefault="00B822E6" w:rsidP="00BE3F0C">
      <w:pPr>
        <w:pStyle w:val="Textpoznmkypodiarou"/>
        <w:numPr>
          <w:ilvl w:val="12"/>
          <w:numId w:val="0"/>
        </w:numPr>
        <w:rPr>
          <w:sz w:val="22"/>
          <w:szCs w:val="22"/>
          <w:lang w:val="sk-SK"/>
        </w:rPr>
      </w:pPr>
    </w:p>
    <w:p w14:paraId="4E7887FB" w14:textId="77777777" w:rsidR="00B822E6" w:rsidRPr="002D19BC" w:rsidRDefault="00B822E6" w:rsidP="00BE3F0C">
      <w:pPr>
        <w:pStyle w:val="Textpoznmkypodiarou"/>
        <w:numPr>
          <w:ilvl w:val="12"/>
          <w:numId w:val="0"/>
        </w:num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Na trh nemusia byť uvedené všetky veľkosti balenia.</w:t>
      </w:r>
    </w:p>
    <w:p w14:paraId="01057524" w14:textId="77777777" w:rsidR="00B822E6" w:rsidRPr="002D19BC" w:rsidRDefault="00B822E6" w:rsidP="00BE3F0C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496B8818" w14:textId="5F51F949" w:rsidR="00B822E6" w:rsidRPr="00C92195" w:rsidRDefault="00B822E6" w:rsidP="006C1818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/>
        </w:rPr>
      </w:pPr>
      <w:r w:rsidRPr="00BE3F0C">
        <w:rPr>
          <w:b/>
          <w:sz w:val="22"/>
          <w:szCs w:val="22"/>
          <w:lang w:val="sk-SK" w:bidi="sk-SK"/>
        </w:rPr>
        <w:t>Špeciálne podmienky na uchovávanie</w:t>
      </w:r>
    </w:p>
    <w:p w14:paraId="3D50EC64" w14:textId="77777777" w:rsidR="00262803" w:rsidRPr="00BE3F0C" w:rsidRDefault="00262803" w:rsidP="00610047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</w:p>
    <w:p w14:paraId="0CA280C2" w14:textId="77777777" w:rsidR="00253ECD" w:rsidRDefault="00253ECD" w:rsidP="00253EC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môže predstavovať riziko pre vodné prostredie. Lieky, ktoré už nie sú potrebné, sa nesmú likvidovať odpadovou vodou alebo domovým odpadom. Všetok nepoužitý liek alebo odpad vzniknutý z lieku sa má zlikvidovať v súlade s národnými požiadavkami alebo vrátiť do lekárne.</w:t>
      </w:r>
    </w:p>
    <w:p w14:paraId="0E8AF858" w14:textId="77777777" w:rsidR="00B822E6" w:rsidRPr="002D19BC" w:rsidRDefault="00B822E6" w:rsidP="00BE3F0C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046611ED" w14:textId="77777777" w:rsidR="00B822E6" w:rsidRPr="002D19BC" w:rsidRDefault="00B822E6" w:rsidP="00BE3F0C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5ACA6F49" w14:textId="02CEF910" w:rsidR="00B822E6" w:rsidRPr="00C92195" w:rsidRDefault="00B822E6" w:rsidP="00610047">
      <w:pPr>
        <w:keepNext/>
        <w:numPr>
          <w:ilvl w:val="0"/>
          <w:numId w:val="27"/>
        </w:numPr>
        <w:tabs>
          <w:tab w:val="clear" w:pos="1077"/>
          <w:tab w:val="left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DRŽITEĽ ROZHODNUTIA O</w:t>
      </w:r>
      <w:r w:rsidR="00EE4C93">
        <w:rPr>
          <w:b/>
          <w:sz w:val="22"/>
          <w:szCs w:val="22"/>
          <w:lang w:val="sk-SK" w:bidi="sk-SK"/>
        </w:rPr>
        <w:t> </w:t>
      </w:r>
      <w:r w:rsidRPr="00BE3F0C">
        <w:rPr>
          <w:b/>
          <w:sz w:val="22"/>
          <w:szCs w:val="22"/>
          <w:lang w:val="sk-SK" w:bidi="sk-SK"/>
        </w:rPr>
        <w:t>REGISTRÁCII</w:t>
      </w:r>
    </w:p>
    <w:p w14:paraId="231C3A95" w14:textId="77777777" w:rsidR="00262803" w:rsidRPr="002D19BC" w:rsidRDefault="00262803" w:rsidP="00610047">
      <w:pPr>
        <w:keepNext/>
        <w:numPr>
          <w:ilvl w:val="12"/>
          <w:numId w:val="0"/>
        </w:numPr>
        <w:ind w:left="284" w:hanging="284"/>
        <w:rPr>
          <w:sz w:val="22"/>
          <w:szCs w:val="22"/>
          <w:lang w:val="sk-SK"/>
        </w:rPr>
      </w:pPr>
    </w:p>
    <w:p w14:paraId="0D0031A9" w14:textId="77777777" w:rsidR="00407EF4" w:rsidRPr="00BE3F0C" w:rsidRDefault="00407EF4" w:rsidP="00407EF4">
      <w:pPr>
        <w:rPr>
          <w:sz w:val="22"/>
          <w:szCs w:val="22"/>
        </w:rPr>
      </w:pPr>
      <w:r w:rsidRPr="00BE3F0C">
        <w:rPr>
          <w:sz w:val="22"/>
          <w:szCs w:val="22"/>
        </w:rPr>
        <w:t>Mylan IRE Healthcare Limited</w:t>
      </w:r>
    </w:p>
    <w:p w14:paraId="5B7DD777" w14:textId="77777777" w:rsidR="00407EF4" w:rsidRPr="00BE3F0C" w:rsidRDefault="00407EF4" w:rsidP="00407EF4">
      <w:pPr>
        <w:rPr>
          <w:sz w:val="22"/>
          <w:szCs w:val="22"/>
        </w:rPr>
      </w:pPr>
      <w:r w:rsidRPr="00BE3F0C">
        <w:rPr>
          <w:sz w:val="22"/>
          <w:szCs w:val="22"/>
        </w:rPr>
        <w:t>Unit 35/36, Grange Parade</w:t>
      </w:r>
    </w:p>
    <w:p w14:paraId="05BFDD7B" w14:textId="77777777" w:rsidR="00407EF4" w:rsidRPr="00BE3F0C" w:rsidRDefault="00407EF4" w:rsidP="00407EF4">
      <w:pPr>
        <w:rPr>
          <w:sz w:val="22"/>
          <w:szCs w:val="22"/>
        </w:rPr>
      </w:pPr>
      <w:proofErr w:type="spellStart"/>
      <w:r w:rsidRPr="00BE3F0C">
        <w:rPr>
          <w:sz w:val="22"/>
          <w:szCs w:val="22"/>
        </w:rPr>
        <w:t>Baldoyle</w:t>
      </w:r>
      <w:proofErr w:type="spellEnd"/>
      <w:r w:rsidRPr="00BE3F0C">
        <w:rPr>
          <w:sz w:val="22"/>
          <w:szCs w:val="22"/>
        </w:rPr>
        <w:t xml:space="preserve"> Industrial Estate</w:t>
      </w:r>
    </w:p>
    <w:p w14:paraId="2CA064B8" w14:textId="77777777" w:rsidR="00407EF4" w:rsidRPr="00407EF4" w:rsidRDefault="00407EF4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  <w:r w:rsidRPr="00BE3F0C">
        <w:rPr>
          <w:sz w:val="22"/>
          <w:szCs w:val="22"/>
        </w:rPr>
        <w:t xml:space="preserve">Dublin 13, </w:t>
      </w:r>
      <w:proofErr w:type="spellStart"/>
      <w:r w:rsidRPr="00BE3F0C">
        <w:rPr>
          <w:sz w:val="22"/>
          <w:szCs w:val="22"/>
        </w:rPr>
        <w:t>Írsko</w:t>
      </w:r>
      <w:proofErr w:type="spellEnd"/>
    </w:p>
    <w:p w14:paraId="2044A0B1" w14:textId="77777777" w:rsidR="00407EF4" w:rsidRPr="00407EF4" w:rsidRDefault="00407EF4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14:paraId="5DE341F7" w14:textId="77777777" w:rsidR="00262803" w:rsidRPr="00BE3F0C" w:rsidRDefault="00262803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14:paraId="72668761" w14:textId="77777777" w:rsidR="00B822E6" w:rsidRPr="00C92195" w:rsidRDefault="00B822E6" w:rsidP="00610047">
      <w:pPr>
        <w:keepNext/>
        <w:numPr>
          <w:ilvl w:val="0"/>
          <w:numId w:val="27"/>
        </w:numPr>
        <w:tabs>
          <w:tab w:val="clear" w:pos="1077"/>
          <w:tab w:val="left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REGISTRAČNÉ ČÍSLO</w:t>
      </w:r>
    </w:p>
    <w:p w14:paraId="62648E98" w14:textId="77777777" w:rsidR="00262803" w:rsidRPr="002D19BC" w:rsidRDefault="00262803" w:rsidP="00610047">
      <w:pPr>
        <w:keepNext/>
        <w:numPr>
          <w:ilvl w:val="12"/>
          <w:numId w:val="0"/>
        </w:numPr>
        <w:ind w:left="284" w:hanging="284"/>
        <w:rPr>
          <w:sz w:val="22"/>
          <w:szCs w:val="22"/>
          <w:lang w:val="sk-SK"/>
        </w:rPr>
      </w:pPr>
    </w:p>
    <w:p w14:paraId="46BF4EE3" w14:textId="77777777"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56/0432/10-S</w:t>
      </w:r>
    </w:p>
    <w:p w14:paraId="344222FF" w14:textId="77777777" w:rsidR="00B822E6" w:rsidRPr="00BE3F0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14:paraId="684563E1" w14:textId="77777777" w:rsidR="00B822E6" w:rsidRPr="00BE3F0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14:paraId="4915A75F" w14:textId="77777777" w:rsidR="00B822E6" w:rsidRPr="00C92195" w:rsidRDefault="00B822E6" w:rsidP="00610047">
      <w:pPr>
        <w:keepNext/>
        <w:numPr>
          <w:ilvl w:val="0"/>
          <w:numId w:val="27"/>
        </w:numPr>
        <w:tabs>
          <w:tab w:val="clear" w:pos="1077"/>
          <w:tab w:val="left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DÁTUM PRVEJ REGISTRÁCIE/PREDĹŽENIA REGISTRÁCIE</w:t>
      </w:r>
    </w:p>
    <w:p w14:paraId="5EC2D248" w14:textId="77777777" w:rsidR="00262803" w:rsidRPr="002D19BC" w:rsidRDefault="00262803" w:rsidP="00610047">
      <w:pPr>
        <w:keepNext/>
        <w:numPr>
          <w:ilvl w:val="12"/>
          <w:numId w:val="0"/>
        </w:numPr>
        <w:ind w:left="284" w:hanging="284"/>
        <w:rPr>
          <w:sz w:val="22"/>
          <w:szCs w:val="22"/>
          <w:lang w:val="sk-SK"/>
        </w:rPr>
      </w:pPr>
    </w:p>
    <w:p w14:paraId="730A0E23" w14:textId="1CC7FC0E"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Dátum prvej registrácie: 09.</w:t>
      </w:r>
      <w:r w:rsidR="00407EF4">
        <w:rPr>
          <w:sz w:val="22"/>
          <w:szCs w:val="22"/>
          <w:lang w:val="sk-SK"/>
        </w:rPr>
        <w:t xml:space="preserve"> júla </w:t>
      </w:r>
      <w:r w:rsidRPr="002D19BC">
        <w:rPr>
          <w:sz w:val="22"/>
          <w:szCs w:val="22"/>
          <w:lang w:val="sk-SK"/>
        </w:rPr>
        <w:t>2010</w:t>
      </w:r>
    </w:p>
    <w:p w14:paraId="63CD49D3" w14:textId="77777777" w:rsidR="00B822E6" w:rsidRPr="002D19BC" w:rsidRDefault="00434CD5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Dátum posledného predĺženia</w:t>
      </w:r>
      <w:r w:rsidR="002D19BC">
        <w:rPr>
          <w:sz w:val="22"/>
          <w:szCs w:val="22"/>
          <w:lang w:val="sk-SK"/>
        </w:rPr>
        <w:t xml:space="preserve"> registrácie:</w:t>
      </w:r>
      <w:r w:rsidR="002D6F68">
        <w:rPr>
          <w:sz w:val="22"/>
          <w:szCs w:val="22"/>
          <w:lang w:val="sk-SK"/>
        </w:rPr>
        <w:t xml:space="preserve"> 24. apríla 2015</w:t>
      </w:r>
    </w:p>
    <w:p w14:paraId="55962042" w14:textId="77777777" w:rsidR="00B822E6" w:rsidRPr="00BE3F0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14:paraId="7B60606F" w14:textId="77777777" w:rsidR="00434CD5" w:rsidRPr="00BE3F0C" w:rsidRDefault="00434CD5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14:paraId="3B608812" w14:textId="77777777" w:rsidR="00B822E6" w:rsidRPr="00C92195" w:rsidRDefault="00B822E6" w:rsidP="00610047">
      <w:pPr>
        <w:keepNext/>
        <w:numPr>
          <w:ilvl w:val="0"/>
          <w:numId w:val="27"/>
        </w:numPr>
        <w:tabs>
          <w:tab w:val="clear" w:pos="1077"/>
          <w:tab w:val="left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DÁTUM POSLEDNEJ REVÍZIE TEXTU</w:t>
      </w:r>
    </w:p>
    <w:p w14:paraId="0150FD39" w14:textId="77777777" w:rsidR="002D19BC" w:rsidRDefault="002D19BC" w:rsidP="00610047">
      <w:pPr>
        <w:pStyle w:val="Textpoznmkypodiarou"/>
        <w:keepNext/>
        <w:rPr>
          <w:sz w:val="22"/>
          <w:szCs w:val="22"/>
          <w:lang w:val="sk-SK"/>
        </w:rPr>
      </w:pPr>
    </w:p>
    <w:p w14:paraId="1B0F2FA7" w14:textId="041F7C97" w:rsidR="00B822E6" w:rsidRPr="002D19BC" w:rsidRDefault="00253ECD" w:rsidP="00262803">
      <w:pPr>
        <w:pStyle w:val="Textpoznmkypodiarou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</w:t>
      </w:r>
      <w:r w:rsidR="00997FFC">
        <w:rPr>
          <w:sz w:val="22"/>
          <w:szCs w:val="22"/>
          <w:lang w:val="sk-SK"/>
        </w:rPr>
        <w:t>1</w:t>
      </w:r>
      <w:r w:rsidR="00CA218E">
        <w:rPr>
          <w:sz w:val="22"/>
          <w:szCs w:val="22"/>
          <w:lang w:val="sk-SK"/>
        </w:rPr>
        <w:t>/2019</w:t>
      </w:r>
    </w:p>
    <w:sectPr w:rsidR="00B822E6" w:rsidRPr="002D19BC" w:rsidSect="000644AA">
      <w:footnotePr>
        <w:numFmt w:val="lowerLetter"/>
      </w:footnotePr>
      <w:type w:val="continuous"/>
      <w:pgSz w:w="11907" w:h="16840" w:code="9"/>
      <w:pgMar w:top="1134" w:right="1134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1444FF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444FF7" w16cid:durableId="215D442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715A6" w14:textId="77777777" w:rsidR="00D27FEA" w:rsidRDefault="00D27FEA">
      <w:r>
        <w:separator/>
      </w:r>
    </w:p>
  </w:endnote>
  <w:endnote w:type="continuationSeparator" w:id="0">
    <w:p w14:paraId="00AC8E42" w14:textId="77777777" w:rsidR="00D27FEA" w:rsidRDefault="00D2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GFENB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04698" w14:textId="77777777" w:rsidR="00D1490F" w:rsidRDefault="00D1490F">
    <w:pPr>
      <w:pStyle w:val="Pta"/>
      <w:framePr w:wrap="around" w:vAnchor="text" w:hAnchor="margin" w:xAlign="center" w:y="1"/>
      <w:widowControl/>
      <w:tabs>
        <w:tab w:val="clear" w:pos="4536"/>
        <w:tab w:val="clear" w:pos="9072"/>
        <w:tab w:val="center" w:pos="4153"/>
        <w:tab w:val="right" w:pos="8306"/>
      </w:tabs>
      <w:suppressAutoHyphens w:val="0"/>
      <w:overflowPunct/>
      <w:autoSpaceDE/>
      <w:autoSpaceDN/>
      <w:adjustRightInd/>
      <w:textAlignment w:val="auto"/>
      <w:rPr>
        <w:rStyle w:val="slostrany"/>
        <w:rFonts w:ascii="Times New Roman" w:hAnsi="Times New Roman"/>
        <w:sz w:val="24"/>
        <w:lang w:val="en-GB"/>
      </w:rPr>
    </w:pPr>
    <w:r>
      <w:rPr>
        <w:rStyle w:val="slostrany"/>
        <w:rFonts w:ascii="Times New Roman" w:hAnsi="Times New Roman"/>
        <w:sz w:val="24"/>
        <w:lang w:val="en-GB"/>
      </w:rPr>
      <w:fldChar w:fldCharType="begin"/>
    </w:r>
    <w:r>
      <w:rPr>
        <w:rStyle w:val="slostrany"/>
        <w:rFonts w:ascii="Times New Roman" w:hAnsi="Times New Roman"/>
        <w:sz w:val="24"/>
        <w:lang w:val="en-GB"/>
      </w:rPr>
      <w:instrText xml:space="preserve">PAGE  </w:instrText>
    </w:r>
    <w:r>
      <w:rPr>
        <w:rStyle w:val="slostrany"/>
        <w:rFonts w:ascii="Times New Roman" w:hAnsi="Times New Roman"/>
        <w:sz w:val="24"/>
        <w:lang w:val="en-GB"/>
      </w:rPr>
      <w:fldChar w:fldCharType="end"/>
    </w:r>
  </w:p>
  <w:p w14:paraId="2C111CC5" w14:textId="77777777" w:rsidR="00D1490F" w:rsidRDefault="00D1490F">
    <w:pPr>
      <w:pStyle w:val="Pta"/>
      <w:widowControl/>
      <w:tabs>
        <w:tab w:val="clear" w:pos="4536"/>
        <w:tab w:val="clear" w:pos="9072"/>
        <w:tab w:val="center" w:pos="4153"/>
        <w:tab w:val="right" w:pos="8306"/>
      </w:tabs>
      <w:suppressAutoHyphens w:val="0"/>
      <w:overflowPunct/>
      <w:autoSpaceDE/>
      <w:autoSpaceDN/>
      <w:adjustRightInd/>
      <w:textAlignment w:val="auto"/>
      <w:rPr>
        <w:rFonts w:ascii="Times New Roman" w:hAnsi="Times New Roman"/>
        <w:sz w:val="24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E24A4" w14:textId="2096CED5" w:rsidR="00D1490F" w:rsidRPr="00C574DA" w:rsidRDefault="00D1490F">
    <w:pPr>
      <w:pStyle w:val="Pta"/>
      <w:framePr w:wrap="around" w:vAnchor="text" w:hAnchor="margin" w:xAlign="center" w:y="1"/>
      <w:widowControl/>
      <w:tabs>
        <w:tab w:val="clear" w:pos="4536"/>
        <w:tab w:val="clear" w:pos="9072"/>
        <w:tab w:val="center" w:pos="4153"/>
        <w:tab w:val="right" w:pos="8306"/>
      </w:tabs>
      <w:suppressAutoHyphens w:val="0"/>
      <w:overflowPunct/>
      <w:autoSpaceDE/>
      <w:autoSpaceDN/>
      <w:adjustRightInd/>
      <w:textAlignment w:val="auto"/>
      <w:rPr>
        <w:rStyle w:val="slostrany"/>
        <w:rFonts w:ascii="Times New Roman" w:hAnsi="Times New Roman"/>
        <w:sz w:val="18"/>
        <w:szCs w:val="18"/>
        <w:lang w:val="en-GB"/>
      </w:rPr>
    </w:pPr>
    <w:r w:rsidRPr="00C574DA">
      <w:rPr>
        <w:rStyle w:val="slostrany"/>
        <w:rFonts w:ascii="Times New Roman" w:hAnsi="Times New Roman"/>
        <w:sz w:val="18"/>
        <w:szCs w:val="18"/>
        <w:lang w:val="en-GB"/>
      </w:rPr>
      <w:fldChar w:fldCharType="begin"/>
    </w:r>
    <w:r w:rsidRPr="00C574DA">
      <w:rPr>
        <w:rStyle w:val="slostrany"/>
        <w:rFonts w:ascii="Times New Roman" w:hAnsi="Times New Roman"/>
        <w:sz w:val="18"/>
        <w:szCs w:val="18"/>
        <w:lang w:val="en-GB"/>
      </w:rPr>
      <w:instrText xml:space="preserve">PAGE  </w:instrText>
    </w:r>
    <w:r w:rsidRPr="00C574DA">
      <w:rPr>
        <w:rStyle w:val="slostrany"/>
        <w:rFonts w:ascii="Times New Roman" w:hAnsi="Times New Roman"/>
        <w:sz w:val="18"/>
        <w:szCs w:val="18"/>
        <w:lang w:val="en-GB"/>
      </w:rPr>
      <w:fldChar w:fldCharType="separate"/>
    </w:r>
    <w:r w:rsidR="004B0FEA">
      <w:rPr>
        <w:rStyle w:val="slostrany"/>
        <w:rFonts w:ascii="Times New Roman" w:hAnsi="Times New Roman"/>
        <w:noProof/>
        <w:sz w:val="18"/>
        <w:szCs w:val="18"/>
        <w:lang w:val="en-GB"/>
      </w:rPr>
      <w:t>13</w:t>
    </w:r>
    <w:r w:rsidRPr="00C574DA">
      <w:rPr>
        <w:rStyle w:val="slostrany"/>
        <w:rFonts w:ascii="Times New Roman" w:hAnsi="Times New Roman"/>
        <w:sz w:val="18"/>
        <w:szCs w:val="18"/>
        <w:lang w:val="en-GB"/>
      </w:rPr>
      <w:fldChar w:fldCharType="end"/>
    </w:r>
  </w:p>
  <w:p w14:paraId="7F3093FF" w14:textId="77777777" w:rsidR="00D1490F" w:rsidRDefault="00D1490F">
    <w:pPr>
      <w:pStyle w:val="Pta"/>
      <w:widowControl/>
      <w:tabs>
        <w:tab w:val="clear" w:pos="4536"/>
        <w:tab w:val="clear" w:pos="9072"/>
        <w:tab w:val="center" w:pos="4153"/>
        <w:tab w:val="right" w:pos="8306"/>
      </w:tabs>
      <w:suppressAutoHyphens w:val="0"/>
      <w:overflowPunct/>
      <w:autoSpaceDE/>
      <w:autoSpaceDN/>
      <w:adjustRightInd/>
      <w:textAlignment w:val="auto"/>
      <w:rPr>
        <w:rFonts w:ascii="Times New Roman" w:hAnsi="Times New Roman"/>
        <w:sz w:val="24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BF47C" w14:textId="77777777" w:rsidR="00D27FEA" w:rsidRDefault="00D27FEA">
      <w:r>
        <w:separator/>
      </w:r>
    </w:p>
  </w:footnote>
  <w:footnote w:type="continuationSeparator" w:id="0">
    <w:p w14:paraId="03E1F23F" w14:textId="77777777" w:rsidR="00D27FEA" w:rsidRDefault="00D27FEA">
      <w:r>
        <w:continuationSeparator/>
      </w:r>
    </w:p>
  </w:footnote>
  <w:footnote w:id="1">
    <w:p w14:paraId="185FCCB8" w14:textId="77777777" w:rsidR="00D1490F" w:rsidRPr="00BE3F0C" w:rsidRDefault="00D1490F" w:rsidP="00C6546D">
      <w:pPr>
        <w:pStyle w:val="Default"/>
        <w:rPr>
          <w:lang w:val="sk-SK"/>
        </w:rPr>
      </w:pPr>
      <w:r w:rsidRPr="004337E4">
        <w:rPr>
          <w:rStyle w:val="Odkaznapoznmkupodiarou"/>
        </w:rPr>
        <w:footnoteRef/>
      </w:r>
      <w:r w:rsidRPr="004337E4">
        <w:t xml:space="preserve"> </w:t>
      </w:r>
      <w:r w:rsidRPr="00AD1947">
        <w:rPr>
          <w:rFonts w:ascii="Times New Roman" w:hAnsi="Times New Roman"/>
          <w:color w:val="auto"/>
          <w:sz w:val="20"/>
          <w:szCs w:val="20"/>
          <w:lang w:val="sk-SK" w:eastAsia="en-US" w:bidi="ar-SA"/>
        </w:rPr>
        <w:t>Prevzaté zo základnej incidencie pomerov v rozvinutých krajinách</w:t>
      </w:r>
    </w:p>
  </w:footnote>
  <w:footnote w:id="2">
    <w:p w14:paraId="2E3D7B7F" w14:textId="0B44C685" w:rsidR="00D1490F" w:rsidRDefault="00D1490F" w:rsidP="00FE7EF2">
      <w:pPr>
        <w:pStyle w:val="Textpoznmkypodiarou"/>
      </w:pPr>
      <w:r w:rsidRPr="00BE3F0C">
        <w:rPr>
          <w:rStyle w:val="Odkaznapoznmkupodiarou"/>
          <w:lang w:val="sk-SK"/>
        </w:rPr>
        <w:footnoteRef/>
      </w:r>
      <w:r w:rsidRPr="00BE3F0C">
        <w:rPr>
          <w:lang w:val="sk-SK"/>
        </w:rPr>
        <w:t xml:space="preserve"> Štúdia u žien, ktoré nemajú maternicu a nemajú zvýšené riziko </w:t>
      </w:r>
      <w:r>
        <w:rPr>
          <w:lang w:val="sk-SK"/>
        </w:rPr>
        <w:t>karcinómu</w:t>
      </w:r>
      <w:r w:rsidRPr="00BE3F0C">
        <w:rPr>
          <w:lang w:val="sk-SK"/>
        </w:rPr>
        <w:t xml:space="preserve"> prsníka</w:t>
      </w:r>
    </w:p>
  </w:footnote>
  <w:footnote w:id="3">
    <w:p w14:paraId="07B78A03" w14:textId="77777777" w:rsidR="00D1490F" w:rsidRPr="00BE3F0C" w:rsidRDefault="00D1490F" w:rsidP="00FE7EF2">
      <w:pPr>
        <w:pStyle w:val="Textpoznmkypodiarou"/>
        <w:rPr>
          <w:lang w:val="sk-SK"/>
        </w:rPr>
      </w:pPr>
      <w:r w:rsidRPr="00BE3F0C">
        <w:rPr>
          <w:rStyle w:val="Odkaznapoznmkupodiarou"/>
          <w:lang w:val="sk-SK"/>
        </w:rPr>
        <w:footnoteRef/>
      </w:r>
      <w:r w:rsidRPr="00BE3F0C">
        <w:rPr>
          <w:lang w:val="sk-SK"/>
        </w:rPr>
        <w:t xml:space="preserve"> Štúdia u žien, ktoré nemajú uterus</w:t>
      </w:r>
    </w:p>
  </w:footnote>
  <w:footnote w:id="4">
    <w:p w14:paraId="27364485" w14:textId="77777777" w:rsidR="00D1490F" w:rsidRDefault="00D1490F" w:rsidP="00FE7EF2">
      <w:pPr>
        <w:pStyle w:val="Textpoznmkypodiarou"/>
      </w:pPr>
      <w:r w:rsidRPr="00BE3F0C">
        <w:rPr>
          <w:rStyle w:val="Odkaznapoznmkupodiarou"/>
          <w:lang w:val="sk-SK"/>
        </w:rPr>
        <w:footnoteRef/>
      </w:r>
      <w:r w:rsidRPr="00BE3F0C">
        <w:rPr>
          <w:lang w:val="sk-SK"/>
        </w:rPr>
        <w:t xml:space="preserve"> Nie je rozdiel medzi ischemickou a hemoragickou mozgovou príhodou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C8F5F" w14:textId="21E9754A" w:rsidR="000C060A" w:rsidRPr="00D7137D" w:rsidRDefault="003B251E" w:rsidP="000C060A">
    <w:pPr>
      <w:rPr>
        <w:sz w:val="18"/>
        <w:szCs w:val="18"/>
        <w:lang w:val="sk-SK"/>
      </w:rPr>
    </w:pPr>
    <w:r>
      <w:rPr>
        <w:snapToGrid w:val="0"/>
        <w:sz w:val="18"/>
        <w:szCs w:val="18"/>
        <w:lang w:val="sk-SK" w:eastAsia="en-US"/>
      </w:rPr>
      <w:t xml:space="preserve"> Príloha č.1 k </w:t>
    </w:r>
    <w:proofErr w:type="spellStart"/>
    <w:r>
      <w:rPr>
        <w:snapToGrid w:val="0"/>
        <w:sz w:val="18"/>
        <w:szCs w:val="18"/>
        <w:lang w:val="sk-SK" w:eastAsia="en-US"/>
      </w:rPr>
      <w:t>notofiikácii</w:t>
    </w:r>
    <w:proofErr w:type="spellEnd"/>
    <w:r w:rsidR="008C1F7F">
      <w:rPr>
        <w:snapToGrid w:val="0"/>
        <w:sz w:val="18"/>
        <w:szCs w:val="18"/>
        <w:lang w:val="sk-SK" w:eastAsia="en-US"/>
      </w:rPr>
      <w:t xml:space="preserve"> o zmene, ev. č.</w:t>
    </w:r>
    <w:r w:rsidR="000C060A" w:rsidRPr="00D7137D">
      <w:rPr>
        <w:sz w:val="18"/>
        <w:szCs w:val="18"/>
        <w:lang w:val="sk-SK"/>
      </w:rPr>
      <w:t>: 2019/01166-</w:t>
    </w:r>
    <w:r w:rsidR="004B0FEA">
      <w:rPr>
        <w:sz w:val="18"/>
        <w:szCs w:val="18"/>
        <w:lang w:val="sk-SK"/>
      </w:rPr>
      <w:t>Z</w:t>
    </w:r>
    <w:r w:rsidR="00487AF7">
      <w:rPr>
        <w:sz w:val="18"/>
        <w:szCs w:val="18"/>
        <w:lang w:val="sk-SK"/>
      </w:rPr>
      <w:t>IB</w:t>
    </w:r>
  </w:p>
  <w:p w14:paraId="775D4C35" w14:textId="31F98D97" w:rsidR="00D1490F" w:rsidRPr="00BE3F0C" w:rsidRDefault="00D1490F">
    <w:pPr>
      <w:pStyle w:val="Hlavika"/>
      <w:rPr>
        <w:rFonts w:ascii="Arial" w:hAnsi="Arial" w:cs="Arial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FED"/>
    <w:multiLevelType w:val="hybridMultilevel"/>
    <w:tmpl w:val="AE849BCE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230FF8"/>
    <w:multiLevelType w:val="hybridMultilevel"/>
    <w:tmpl w:val="26AAA5C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6E657E1"/>
    <w:multiLevelType w:val="hybridMultilevel"/>
    <w:tmpl w:val="1CA65F9E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D62C6F"/>
    <w:multiLevelType w:val="singleLevel"/>
    <w:tmpl w:val="A956D6D6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  <w:sz w:val="24"/>
      </w:rPr>
    </w:lvl>
  </w:abstractNum>
  <w:abstractNum w:abstractNumId="4">
    <w:nsid w:val="11261767"/>
    <w:multiLevelType w:val="hybridMultilevel"/>
    <w:tmpl w:val="124C29C6"/>
    <w:lvl w:ilvl="0" w:tplc="041B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129476ED"/>
    <w:multiLevelType w:val="singleLevel"/>
    <w:tmpl w:val="521EE1B0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  <w:sz w:val="24"/>
      </w:rPr>
    </w:lvl>
  </w:abstractNum>
  <w:abstractNum w:abstractNumId="6">
    <w:nsid w:val="147F6FAB"/>
    <w:multiLevelType w:val="hybridMultilevel"/>
    <w:tmpl w:val="8DE88D5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75B2AC8"/>
    <w:multiLevelType w:val="hybridMultilevel"/>
    <w:tmpl w:val="C4045E9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3E657E0"/>
    <w:multiLevelType w:val="hybridMultilevel"/>
    <w:tmpl w:val="5B903652"/>
    <w:lvl w:ilvl="0" w:tplc="4A58AA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9A3E85"/>
    <w:multiLevelType w:val="multilevel"/>
    <w:tmpl w:val="53D806F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2B273F63"/>
    <w:multiLevelType w:val="hybridMultilevel"/>
    <w:tmpl w:val="1E66813C"/>
    <w:lvl w:ilvl="0" w:tplc="041B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2FBE59BC"/>
    <w:multiLevelType w:val="hybridMultilevel"/>
    <w:tmpl w:val="B3E2574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0445F6D"/>
    <w:multiLevelType w:val="hybridMultilevel"/>
    <w:tmpl w:val="60AE4D3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3894F40"/>
    <w:multiLevelType w:val="hybridMultilevel"/>
    <w:tmpl w:val="25FCC186"/>
    <w:lvl w:ilvl="0" w:tplc="041B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8280FDA"/>
    <w:multiLevelType w:val="hybridMultilevel"/>
    <w:tmpl w:val="F200AA7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879494C"/>
    <w:multiLevelType w:val="hybridMultilevel"/>
    <w:tmpl w:val="C3A2AA1A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93A36B7"/>
    <w:multiLevelType w:val="multilevel"/>
    <w:tmpl w:val="91C0D82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3DCD2FB7"/>
    <w:multiLevelType w:val="multilevel"/>
    <w:tmpl w:val="6BD67FF8"/>
    <w:lvl w:ilvl="0">
      <w:start w:val="1"/>
      <w:numFmt w:val="decimal"/>
      <w:pStyle w:val="Nadpis1"/>
      <w:lvlText w:val="%1."/>
      <w:lvlJc w:val="left"/>
      <w:pPr>
        <w:tabs>
          <w:tab w:val="num" w:pos="1077"/>
        </w:tabs>
        <w:ind w:left="1077" w:hanging="1077"/>
      </w:pPr>
      <w:rPr>
        <w:rFonts w:cs="Times New Roman"/>
        <w:b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219"/>
        </w:tabs>
        <w:ind w:left="1219" w:hanging="1077"/>
      </w:pPr>
      <w:rPr>
        <w:rFonts w:cs="Times New Roman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77"/>
        </w:tabs>
        <w:ind w:left="1077" w:hanging="1077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77"/>
        </w:tabs>
        <w:ind w:left="1077" w:hanging="107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1077" w:hanging="107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851" w:hanging="851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851" w:hanging="851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851" w:hanging="851"/>
      </w:pPr>
      <w:rPr>
        <w:rFonts w:cs="Times New Roman"/>
      </w:rPr>
    </w:lvl>
  </w:abstractNum>
  <w:abstractNum w:abstractNumId="18">
    <w:nsid w:val="3F5D1F1E"/>
    <w:multiLevelType w:val="hybridMultilevel"/>
    <w:tmpl w:val="07EA06CA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1B4C16"/>
    <w:multiLevelType w:val="hybridMultilevel"/>
    <w:tmpl w:val="3E909B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DF792B"/>
    <w:multiLevelType w:val="multilevel"/>
    <w:tmpl w:val="833047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60A3FC5"/>
    <w:multiLevelType w:val="hybridMultilevel"/>
    <w:tmpl w:val="9404E71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6EA32C0"/>
    <w:multiLevelType w:val="hybridMultilevel"/>
    <w:tmpl w:val="3F46C91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D46256"/>
    <w:multiLevelType w:val="hybridMultilevel"/>
    <w:tmpl w:val="DD3CEA5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84714E4"/>
    <w:multiLevelType w:val="singleLevel"/>
    <w:tmpl w:val="2F86B0A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  <w:sz w:val="24"/>
      </w:rPr>
    </w:lvl>
  </w:abstractNum>
  <w:abstractNum w:abstractNumId="25">
    <w:nsid w:val="4BD976F8"/>
    <w:multiLevelType w:val="hybridMultilevel"/>
    <w:tmpl w:val="D5D049BE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350EC6"/>
    <w:multiLevelType w:val="hybridMultilevel"/>
    <w:tmpl w:val="C452348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E4D6F4E"/>
    <w:multiLevelType w:val="hybridMultilevel"/>
    <w:tmpl w:val="B00890AA"/>
    <w:lvl w:ilvl="0" w:tplc="041B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>
    <w:nsid w:val="61183277"/>
    <w:multiLevelType w:val="singleLevel"/>
    <w:tmpl w:val="7AC421B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A534B0E"/>
    <w:multiLevelType w:val="hybridMultilevel"/>
    <w:tmpl w:val="15C2344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E9659E"/>
    <w:multiLevelType w:val="hybridMultilevel"/>
    <w:tmpl w:val="76BC7B68"/>
    <w:lvl w:ilvl="0" w:tplc="BA96C58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AC4E644">
      <w:numFmt w:val="bullet"/>
      <w:lvlText w:val="-"/>
      <w:lvlJc w:val="left"/>
      <w:pPr>
        <w:tabs>
          <w:tab w:val="num" w:pos="2160"/>
        </w:tabs>
        <w:ind w:left="2160" w:hanging="108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F096DD4"/>
    <w:multiLevelType w:val="singleLevel"/>
    <w:tmpl w:val="7AA6CC90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  <w:sz w:val="24"/>
      </w:rPr>
    </w:lvl>
  </w:abstractNum>
  <w:abstractNum w:abstractNumId="32">
    <w:nsid w:val="70A65713"/>
    <w:multiLevelType w:val="singleLevel"/>
    <w:tmpl w:val="7408F380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  <w:sz w:val="24"/>
      </w:rPr>
    </w:lvl>
  </w:abstractNum>
  <w:abstractNum w:abstractNumId="33">
    <w:nsid w:val="71476F68"/>
    <w:multiLevelType w:val="singleLevel"/>
    <w:tmpl w:val="7374A09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1540642"/>
    <w:multiLevelType w:val="hybridMultilevel"/>
    <w:tmpl w:val="6504DAA6"/>
    <w:lvl w:ilvl="0" w:tplc="041B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5">
    <w:nsid w:val="71744E50"/>
    <w:multiLevelType w:val="hybridMultilevel"/>
    <w:tmpl w:val="3C6C635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5"/>
  </w:num>
  <w:num w:numId="4">
    <w:abstractNumId w:val="32"/>
  </w:num>
  <w:num w:numId="5">
    <w:abstractNumId w:val="3"/>
  </w:num>
  <w:num w:numId="6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i w:val="0"/>
          <w:sz w:val="24"/>
        </w:rPr>
      </w:lvl>
    </w:lvlOverride>
  </w:num>
  <w:num w:numId="7">
    <w:abstractNumId w:val="33"/>
  </w:num>
  <w:num w:numId="8">
    <w:abstractNumId w:val="28"/>
  </w:num>
  <w:num w:numId="9">
    <w:abstractNumId w:val="25"/>
  </w:num>
  <w:num w:numId="10">
    <w:abstractNumId w:val="2"/>
  </w:num>
  <w:num w:numId="11">
    <w:abstractNumId w:val="0"/>
  </w:num>
  <w:num w:numId="12">
    <w:abstractNumId w:val="4"/>
  </w:num>
  <w:num w:numId="13">
    <w:abstractNumId w:val="34"/>
  </w:num>
  <w:num w:numId="14">
    <w:abstractNumId w:val="27"/>
  </w:num>
  <w:num w:numId="15">
    <w:abstractNumId w:val="10"/>
  </w:num>
  <w:num w:numId="16">
    <w:abstractNumId w:val="13"/>
  </w:num>
  <w:num w:numId="17">
    <w:abstractNumId w:val="20"/>
  </w:num>
  <w:num w:numId="18">
    <w:abstractNumId w:val="9"/>
  </w:num>
  <w:num w:numId="19">
    <w:abstractNumId w:val="16"/>
  </w:num>
  <w:num w:numId="20">
    <w:abstractNumId w:val="6"/>
  </w:num>
  <w:num w:numId="21">
    <w:abstractNumId w:val="11"/>
  </w:num>
  <w:num w:numId="22">
    <w:abstractNumId w:val="21"/>
  </w:num>
  <w:num w:numId="23">
    <w:abstractNumId w:val="26"/>
  </w:num>
  <w:num w:numId="24">
    <w:abstractNumId w:val="1"/>
  </w:num>
  <w:num w:numId="25">
    <w:abstractNumId w:val="17"/>
  </w:num>
  <w:num w:numId="26">
    <w:abstractNumId w:val="17"/>
  </w:num>
  <w:num w:numId="27">
    <w:abstractNumId w:val="17"/>
  </w:num>
  <w:num w:numId="28">
    <w:abstractNumId w:val="30"/>
  </w:num>
  <w:num w:numId="29">
    <w:abstractNumId w:val="8"/>
  </w:num>
  <w:num w:numId="30">
    <w:abstractNumId w:val="7"/>
  </w:num>
  <w:num w:numId="31">
    <w:abstractNumId w:val="18"/>
  </w:num>
  <w:num w:numId="32">
    <w:abstractNumId w:val="15"/>
  </w:num>
  <w:num w:numId="33">
    <w:abstractNumId w:val="35"/>
  </w:num>
  <w:num w:numId="34">
    <w:abstractNumId w:val="23"/>
  </w:num>
  <w:num w:numId="35">
    <w:abstractNumId w:val="12"/>
  </w:num>
  <w:num w:numId="36">
    <w:abstractNumId w:val="14"/>
  </w:num>
  <w:num w:numId="37">
    <w:abstractNumId w:val="19"/>
  </w:num>
  <w:num w:numId="38">
    <w:abstractNumId w:val="22"/>
  </w:num>
  <w:num w:numId="39">
    <w:abstractNumId w:val="29"/>
  </w:num>
  <w:num w:numId="40">
    <w:abstractNumId w:val="17"/>
  </w:num>
  <w:num w:numId="41">
    <w:abstractNumId w:val="17"/>
  </w:num>
  <w:num w:numId="42">
    <w:abstractNumId w:val="17"/>
  </w:num>
  <w:num w:numId="43">
    <w:abstractNumId w:val="17"/>
  </w:num>
  <w:num w:numId="44">
    <w:abstractNumId w:val="17"/>
  </w:num>
  <w:num w:numId="45">
    <w:abstractNumId w:val="17"/>
  </w:num>
  <w:num w:numId="46">
    <w:abstractNumId w:val="17"/>
  </w:num>
  <w:num w:numId="47">
    <w:abstractNumId w:val="17"/>
  </w:num>
  <w:num w:numId="48">
    <w:abstractNumId w:val="17"/>
  </w:num>
  <w:num w:numId="49">
    <w:abstractNumId w:val="17"/>
  </w:num>
  <w:num w:numId="5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rbara Hodos Durove">
    <w15:presenceInfo w15:providerId="AD" w15:userId="S::Barbara.HodosDurove@mylan.com::42389e9f-0196-4ef2-ab18-4bf870d1a5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31"/>
    <w:rsid w:val="000006F5"/>
    <w:rsid w:val="0000179D"/>
    <w:rsid w:val="00001ED5"/>
    <w:rsid w:val="00002B0A"/>
    <w:rsid w:val="0000487F"/>
    <w:rsid w:val="00006D00"/>
    <w:rsid w:val="0001294F"/>
    <w:rsid w:val="0001333D"/>
    <w:rsid w:val="000157B5"/>
    <w:rsid w:val="00017064"/>
    <w:rsid w:val="00020387"/>
    <w:rsid w:val="000212BC"/>
    <w:rsid w:val="000220E2"/>
    <w:rsid w:val="000223C4"/>
    <w:rsid w:val="00024387"/>
    <w:rsid w:val="00027C7B"/>
    <w:rsid w:val="000323BD"/>
    <w:rsid w:val="00032BC3"/>
    <w:rsid w:val="00035003"/>
    <w:rsid w:val="00035076"/>
    <w:rsid w:val="00036CA1"/>
    <w:rsid w:val="0003700E"/>
    <w:rsid w:val="0004054C"/>
    <w:rsid w:val="00040FFF"/>
    <w:rsid w:val="00047828"/>
    <w:rsid w:val="0005264F"/>
    <w:rsid w:val="00057E0D"/>
    <w:rsid w:val="000619DD"/>
    <w:rsid w:val="000636F0"/>
    <w:rsid w:val="00063980"/>
    <w:rsid w:val="00063A6D"/>
    <w:rsid w:val="000644AA"/>
    <w:rsid w:val="000679A1"/>
    <w:rsid w:val="00067AD8"/>
    <w:rsid w:val="00070EAA"/>
    <w:rsid w:val="0007614E"/>
    <w:rsid w:val="0007655A"/>
    <w:rsid w:val="00081127"/>
    <w:rsid w:val="00082742"/>
    <w:rsid w:val="00082B35"/>
    <w:rsid w:val="00084207"/>
    <w:rsid w:val="00084700"/>
    <w:rsid w:val="000852F5"/>
    <w:rsid w:val="0008679C"/>
    <w:rsid w:val="00091859"/>
    <w:rsid w:val="00093430"/>
    <w:rsid w:val="00093DB3"/>
    <w:rsid w:val="000946B3"/>
    <w:rsid w:val="00095159"/>
    <w:rsid w:val="00095AA2"/>
    <w:rsid w:val="000976FF"/>
    <w:rsid w:val="000A2AC9"/>
    <w:rsid w:val="000A2E88"/>
    <w:rsid w:val="000A3EB3"/>
    <w:rsid w:val="000A7286"/>
    <w:rsid w:val="000B003E"/>
    <w:rsid w:val="000B0F22"/>
    <w:rsid w:val="000B22A3"/>
    <w:rsid w:val="000B3234"/>
    <w:rsid w:val="000B412B"/>
    <w:rsid w:val="000C060A"/>
    <w:rsid w:val="000C28ED"/>
    <w:rsid w:val="000C3ACD"/>
    <w:rsid w:val="000C3B33"/>
    <w:rsid w:val="000C56F6"/>
    <w:rsid w:val="000C75DE"/>
    <w:rsid w:val="000C7AB3"/>
    <w:rsid w:val="000C7D89"/>
    <w:rsid w:val="000C7F68"/>
    <w:rsid w:val="000D0BB3"/>
    <w:rsid w:val="000D12D2"/>
    <w:rsid w:val="000D1C9D"/>
    <w:rsid w:val="000D2B4C"/>
    <w:rsid w:val="000D2F46"/>
    <w:rsid w:val="000D4FD5"/>
    <w:rsid w:val="000D5B0C"/>
    <w:rsid w:val="000D67A1"/>
    <w:rsid w:val="000E185E"/>
    <w:rsid w:val="000E1864"/>
    <w:rsid w:val="000E1F0F"/>
    <w:rsid w:val="000E47DB"/>
    <w:rsid w:val="000E68BD"/>
    <w:rsid w:val="000F19F7"/>
    <w:rsid w:val="000F2321"/>
    <w:rsid w:val="000F2E80"/>
    <w:rsid w:val="000F3079"/>
    <w:rsid w:val="000F5C94"/>
    <w:rsid w:val="000F5F27"/>
    <w:rsid w:val="001014DE"/>
    <w:rsid w:val="00102544"/>
    <w:rsid w:val="001033B6"/>
    <w:rsid w:val="00103561"/>
    <w:rsid w:val="00103ABD"/>
    <w:rsid w:val="0010533C"/>
    <w:rsid w:val="00106035"/>
    <w:rsid w:val="00107010"/>
    <w:rsid w:val="00111530"/>
    <w:rsid w:val="00113BCF"/>
    <w:rsid w:val="0011620D"/>
    <w:rsid w:val="0012047C"/>
    <w:rsid w:val="0013029A"/>
    <w:rsid w:val="00130D88"/>
    <w:rsid w:val="00130F02"/>
    <w:rsid w:val="00132C5D"/>
    <w:rsid w:val="00136EC4"/>
    <w:rsid w:val="00137F5B"/>
    <w:rsid w:val="00141E29"/>
    <w:rsid w:val="0014274B"/>
    <w:rsid w:val="00146E5D"/>
    <w:rsid w:val="00147B93"/>
    <w:rsid w:val="00150F3C"/>
    <w:rsid w:val="00152D0D"/>
    <w:rsid w:val="00153DEE"/>
    <w:rsid w:val="00156CF5"/>
    <w:rsid w:val="00156F2D"/>
    <w:rsid w:val="00160169"/>
    <w:rsid w:val="00160CE1"/>
    <w:rsid w:val="001660FF"/>
    <w:rsid w:val="00171108"/>
    <w:rsid w:val="00171C2C"/>
    <w:rsid w:val="00172285"/>
    <w:rsid w:val="001758F0"/>
    <w:rsid w:val="00175F7D"/>
    <w:rsid w:val="00180760"/>
    <w:rsid w:val="001835A1"/>
    <w:rsid w:val="00184F18"/>
    <w:rsid w:val="0018569C"/>
    <w:rsid w:val="0019062D"/>
    <w:rsid w:val="001911C7"/>
    <w:rsid w:val="00191660"/>
    <w:rsid w:val="001924EC"/>
    <w:rsid w:val="00193DF1"/>
    <w:rsid w:val="001949D5"/>
    <w:rsid w:val="00195250"/>
    <w:rsid w:val="001953B4"/>
    <w:rsid w:val="00196BF5"/>
    <w:rsid w:val="001A22C0"/>
    <w:rsid w:val="001A2911"/>
    <w:rsid w:val="001A31C3"/>
    <w:rsid w:val="001A4C9C"/>
    <w:rsid w:val="001A7BD4"/>
    <w:rsid w:val="001B0E51"/>
    <w:rsid w:val="001B0F94"/>
    <w:rsid w:val="001B21DB"/>
    <w:rsid w:val="001B2556"/>
    <w:rsid w:val="001B573C"/>
    <w:rsid w:val="001C2A2F"/>
    <w:rsid w:val="001C3104"/>
    <w:rsid w:val="001C3AEE"/>
    <w:rsid w:val="001C5330"/>
    <w:rsid w:val="001D0151"/>
    <w:rsid w:val="001D0297"/>
    <w:rsid w:val="001D25D1"/>
    <w:rsid w:val="001D5975"/>
    <w:rsid w:val="001E1297"/>
    <w:rsid w:val="001E14F6"/>
    <w:rsid w:val="001E5D15"/>
    <w:rsid w:val="001E5EC5"/>
    <w:rsid w:val="001E7728"/>
    <w:rsid w:val="001E7A3E"/>
    <w:rsid w:val="001F096E"/>
    <w:rsid w:val="001F0BD9"/>
    <w:rsid w:val="001F693E"/>
    <w:rsid w:val="001F75CC"/>
    <w:rsid w:val="00200C70"/>
    <w:rsid w:val="00200F50"/>
    <w:rsid w:val="002021BD"/>
    <w:rsid w:val="00204587"/>
    <w:rsid w:val="00206068"/>
    <w:rsid w:val="0020763B"/>
    <w:rsid w:val="00224A99"/>
    <w:rsid w:val="00224EA2"/>
    <w:rsid w:val="002251F1"/>
    <w:rsid w:val="00230280"/>
    <w:rsid w:val="002343B0"/>
    <w:rsid w:val="00240D75"/>
    <w:rsid w:val="00241F10"/>
    <w:rsid w:val="00250872"/>
    <w:rsid w:val="00251D50"/>
    <w:rsid w:val="0025248C"/>
    <w:rsid w:val="00253888"/>
    <w:rsid w:val="00253ACC"/>
    <w:rsid w:val="00253BCD"/>
    <w:rsid w:val="00253E22"/>
    <w:rsid w:val="00253ECD"/>
    <w:rsid w:val="0026126B"/>
    <w:rsid w:val="00262803"/>
    <w:rsid w:val="002641B2"/>
    <w:rsid w:val="00270DB4"/>
    <w:rsid w:val="00271AE7"/>
    <w:rsid w:val="00274813"/>
    <w:rsid w:val="00277E12"/>
    <w:rsid w:val="002806DB"/>
    <w:rsid w:val="00280B1D"/>
    <w:rsid w:val="00281053"/>
    <w:rsid w:val="002831A3"/>
    <w:rsid w:val="00287151"/>
    <w:rsid w:val="002874E0"/>
    <w:rsid w:val="00290DBE"/>
    <w:rsid w:val="00294E22"/>
    <w:rsid w:val="002A2C49"/>
    <w:rsid w:val="002A4A86"/>
    <w:rsid w:val="002A5392"/>
    <w:rsid w:val="002A6D7A"/>
    <w:rsid w:val="002B0EA7"/>
    <w:rsid w:val="002B367B"/>
    <w:rsid w:val="002B3690"/>
    <w:rsid w:val="002B53CD"/>
    <w:rsid w:val="002B67C9"/>
    <w:rsid w:val="002B73EF"/>
    <w:rsid w:val="002C34D2"/>
    <w:rsid w:val="002C4EDE"/>
    <w:rsid w:val="002C5EF7"/>
    <w:rsid w:val="002C74B0"/>
    <w:rsid w:val="002D0935"/>
    <w:rsid w:val="002D0A49"/>
    <w:rsid w:val="002D19BC"/>
    <w:rsid w:val="002D3025"/>
    <w:rsid w:val="002D3F4B"/>
    <w:rsid w:val="002D650E"/>
    <w:rsid w:val="002D6F68"/>
    <w:rsid w:val="002E0A04"/>
    <w:rsid w:val="002E0F7B"/>
    <w:rsid w:val="002E5AED"/>
    <w:rsid w:val="002E750D"/>
    <w:rsid w:val="002E77C4"/>
    <w:rsid w:val="002F1844"/>
    <w:rsid w:val="002F2AC5"/>
    <w:rsid w:val="002F3A87"/>
    <w:rsid w:val="002F4534"/>
    <w:rsid w:val="002F5FA7"/>
    <w:rsid w:val="002F60B3"/>
    <w:rsid w:val="003008D4"/>
    <w:rsid w:val="00301B18"/>
    <w:rsid w:val="003051FD"/>
    <w:rsid w:val="003115CC"/>
    <w:rsid w:val="00311BA6"/>
    <w:rsid w:val="00314718"/>
    <w:rsid w:val="00316527"/>
    <w:rsid w:val="00317D8F"/>
    <w:rsid w:val="00323E76"/>
    <w:rsid w:val="0032451F"/>
    <w:rsid w:val="003301B7"/>
    <w:rsid w:val="0033076F"/>
    <w:rsid w:val="00330F25"/>
    <w:rsid w:val="00333144"/>
    <w:rsid w:val="003354A4"/>
    <w:rsid w:val="00337607"/>
    <w:rsid w:val="003427A3"/>
    <w:rsid w:val="003455F3"/>
    <w:rsid w:val="00350619"/>
    <w:rsid w:val="00354266"/>
    <w:rsid w:val="00354FAD"/>
    <w:rsid w:val="003607AB"/>
    <w:rsid w:val="003608C7"/>
    <w:rsid w:val="00363B87"/>
    <w:rsid w:val="003662E1"/>
    <w:rsid w:val="003706EA"/>
    <w:rsid w:val="00372C13"/>
    <w:rsid w:val="00372CFF"/>
    <w:rsid w:val="00372DBA"/>
    <w:rsid w:val="003749AB"/>
    <w:rsid w:val="003772DF"/>
    <w:rsid w:val="003957DB"/>
    <w:rsid w:val="00396358"/>
    <w:rsid w:val="003A14DD"/>
    <w:rsid w:val="003A516A"/>
    <w:rsid w:val="003A6428"/>
    <w:rsid w:val="003B251E"/>
    <w:rsid w:val="003B2CF9"/>
    <w:rsid w:val="003B4E32"/>
    <w:rsid w:val="003B6B08"/>
    <w:rsid w:val="003C1FE4"/>
    <w:rsid w:val="003C54AD"/>
    <w:rsid w:val="003C619B"/>
    <w:rsid w:val="003D17F4"/>
    <w:rsid w:val="003D1AC0"/>
    <w:rsid w:val="003D1F9A"/>
    <w:rsid w:val="003D3DFD"/>
    <w:rsid w:val="003D4759"/>
    <w:rsid w:val="003D7CA5"/>
    <w:rsid w:val="003D7E10"/>
    <w:rsid w:val="003E2C73"/>
    <w:rsid w:val="003E34C8"/>
    <w:rsid w:val="003E61FD"/>
    <w:rsid w:val="003E77A1"/>
    <w:rsid w:val="003E7986"/>
    <w:rsid w:val="003F17C0"/>
    <w:rsid w:val="003F1EFB"/>
    <w:rsid w:val="003F55F7"/>
    <w:rsid w:val="003F7653"/>
    <w:rsid w:val="003F7DA1"/>
    <w:rsid w:val="004028FE"/>
    <w:rsid w:val="00407051"/>
    <w:rsid w:val="00407B38"/>
    <w:rsid w:val="00407EF4"/>
    <w:rsid w:val="004133FD"/>
    <w:rsid w:val="00413C35"/>
    <w:rsid w:val="0041401C"/>
    <w:rsid w:val="0041406C"/>
    <w:rsid w:val="004179EF"/>
    <w:rsid w:val="00420EA4"/>
    <w:rsid w:val="0042154D"/>
    <w:rsid w:val="0042395B"/>
    <w:rsid w:val="004243E7"/>
    <w:rsid w:val="004248B5"/>
    <w:rsid w:val="00424A16"/>
    <w:rsid w:val="00430416"/>
    <w:rsid w:val="004337E4"/>
    <w:rsid w:val="00434CD5"/>
    <w:rsid w:val="004365DD"/>
    <w:rsid w:val="00437F32"/>
    <w:rsid w:val="004402E3"/>
    <w:rsid w:val="0044086E"/>
    <w:rsid w:val="004408D6"/>
    <w:rsid w:val="004420B0"/>
    <w:rsid w:val="00443EEB"/>
    <w:rsid w:val="00445F3B"/>
    <w:rsid w:val="00447370"/>
    <w:rsid w:val="00451402"/>
    <w:rsid w:val="004514D4"/>
    <w:rsid w:val="00455F48"/>
    <w:rsid w:val="00457020"/>
    <w:rsid w:val="00461A23"/>
    <w:rsid w:val="00463CE9"/>
    <w:rsid w:val="00463E17"/>
    <w:rsid w:val="00464E2A"/>
    <w:rsid w:val="004666D9"/>
    <w:rsid w:val="00467C7A"/>
    <w:rsid w:val="00470511"/>
    <w:rsid w:val="0047124D"/>
    <w:rsid w:val="00472035"/>
    <w:rsid w:val="00473320"/>
    <w:rsid w:val="00473886"/>
    <w:rsid w:val="00473D1D"/>
    <w:rsid w:val="00473D91"/>
    <w:rsid w:val="004757B3"/>
    <w:rsid w:val="004757B7"/>
    <w:rsid w:val="00483C8E"/>
    <w:rsid w:val="00485504"/>
    <w:rsid w:val="004860C7"/>
    <w:rsid w:val="0048622F"/>
    <w:rsid w:val="0048691C"/>
    <w:rsid w:val="00487AF7"/>
    <w:rsid w:val="00487B95"/>
    <w:rsid w:val="00487B99"/>
    <w:rsid w:val="00487DDF"/>
    <w:rsid w:val="004903F9"/>
    <w:rsid w:val="00490914"/>
    <w:rsid w:val="00490934"/>
    <w:rsid w:val="00490AD1"/>
    <w:rsid w:val="00491924"/>
    <w:rsid w:val="00492136"/>
    <w:rsid w:val="00495FBB"/>
    <w:rsid w:val="00496030"/>
    <w:rsid w:val="004A4098"/>
    <w:rsid w:val="004A4111"/>
    <w:rsid w:val="004B0FEA"/>
    <w:rsid w:val="004B197A"/>
    <w:rsid w:val="004B2546"/>
    <w:rsid w:val="004B3AEC"/>
    <w:rsid w:val="004B56A3"/>
    <w:rsid w:val="004B7028"/>
    <w:rsid w:val="004C26CB"/>
    <w:rsid w:val="004C3328"/>
    <w:rsid w:val="004C53C4"/>
    <w:rsid w:val="004C6FEC"/>
    <w:rsid w:val="004C75AD"/>
    <w:rsid w:val="004C7C31"/>
    <w:rsid w:val="004D00A4"/>
    <w:rsid w:val="004D2C1D"/>
    <w:rsid w:val="004E0FAC"/>
    <w:rsid w:val="004E32DA"/>
    <w:rsid w:val="004E3BEA"/>
    <w:rsid w:val="004E54B8"/>
    <w:rsid w:val="004E6292"/>
    <w:rsid w:val="004E6B42"/>
    <w:rsid w:val="004F004F"/>
    <w:rsid w:val="004F255E"/>
    <w:rsid w:val="004F530F"/>
    <w:rsid w:val="004F77D6"/>
    <w:rsid w:val="005019BB"/>
    <w:rsid w:val="005030CB"/>
    <w:rsid w:val="00504DB9"/>
    <w:rsid w:val="005109B2"/>
    <w:rsid w:val="005130CD"/>
    <w:rsid w:val="00514C97"/>
    <w:rsid w:val="005209F3"/>
    <w:rsid w:val="00520AF9"/>
    <w:rsid w:val="00520B42"/>
    <w:rsid w:val="00520BE7"/>
    <w:rsid w:val="00521CE5"/>
    <w:rsid w:val="00522661"/>
    <w:rsid w:val="00523003"/>
    <w:rsid w:val="00523225"/>
    <w:rsid w:val="00530FA3"/>
    <w:rsid w:val="005319D5"/>
    <w:rsid w:val="00532E14"/>
    <w:rsid w:val="00533595"/>
    <w:rsid w:val="00540E18"/>
    <w:rsid w:val="00541A35"/>
    <w:rsid w:val="00541E46"/>
    <w:rsid w:val="0054245C"/>
    <w:rsid w:val="005473C0"/>
    <w:rsid w:val="00550D6F"/>
    <w:rsid w:val="00552D4E"/>
    <w:rsid w:val="0055343E"/>
    <w:rsid w:val="00554851"/>
    <w:rsid w:val="005569BC"/>
    <w:rsid w:val="00557010"/>
    <w:rsid w:val="00562ED0"/>
    <w:rsid w:val="00563645"/>
    <w:rsid w:val="00564D79"/>
    <w:rsid w:val="00565CEF"/>
    <w:rsid w:val="005666EE"/>
    <w:rsid w:val="00566A50"/>
    <w:rsid w:val="0057081E"/>
    <w:rsid w:val="005731CC"/>
    <w:rsid w:val="00573EC2"/>
    <w:rsid w:val="0057608A"/>
    <w:rsid w:val="0057722B"/>
    <w:rsid w:val="0057758D"/>
    <w:rsid w:val="005825DA"/>
    <w:rsid w:val="005831D9"/>
    <w:rsid w:val="0058572C"/>
    <w:rsid w:val="00586E9A"/>
    <w:rsid w:val="00596EEB"/>
    <w:rsid w:val="005A1243"/>
    <w:rsid w:val="005A133F"/>
    <w:rsid w:val="005A2DF5"/>
    <w:rsid w:val="005A7AE5"/>
    <w:rsid w:val="005B1DF4"/>
    <w:rsid w:val="005B1FFF"/>
    <w:rsid w:val="005B3EFD"/>
    <w:rsid w:val="005B5E84"/>
    <w:rsid w:val="005C226D"/>
    <w:rsid w:val="005D0CF1"/>
    <w:rsid w:val="005D12FB"/>
    <w:rsid w:val="005D24A7"/>
    <w:rsid w:val="005D2BB0"/>
    <w:rsid w:val="005D4465"/>
    <w:rsid w:val="005D706B"/>
    <w:rsid w:val="005D7FE3"/>
    <w:rsid w:val="005E03A3"/>
    <w:rsid w:val="005E18AB"/>
    <w:rsid w:val="005E1AF3"/>
    <w:rsid w:val="005E297E"/>
    <w:rsid w:val="005E3595"/>
    <w:rsid w:val="005E435E"/>
    <w:rsid w:val="005E4A44"/>
    <w:rsid w:val="005E4C36"/>
    <w:rsid w:val="005E59E5"/>
    <w:rsid w:val="005E7C36"/>
    <w:rsid w:val="005F0AB8"/>
    <w:rsid w:val="005F1194"/>
    <w:rsid w:val="005F11C8"/>
    <w:rsid w:val="005F14B6"/>
    <w:rsid w:val="005F41A8"/>
    <w:rsid w:val="005F53DE"/>
    <w:rsid w:val="005F56C4"/>
    <w:rsid w:val="00602391"/>
    <w:rsid w:val="00603456"/>
    <w:rsid w:val="006039D6"/>
    <w:rsid w:val="00604A7A"/>
    <w:rsid w:val="00604D86"/>
    <w:rsid w:val="00605B93"/>
    <w:rsid w:val="00607C68"/>
    <w:rsid w:val="00607E51"/>
    <w:rsid w:val="00607F8D"/>
    <w:rsid w:val="00610047"/>
    <w:rsid w:val="00610449"/>
    <w:rsid w:val="00611EF8"/>
    <w:rsid w:val="006123BD"/>
    <w:rsid w:val="00620CE1"/>
    <w:rsid w:val="00621462"/>
    <w:rsid w:val="00627B8D"/>
    <w:rsid w:val="00632F33"/>
    <w:rsid w:val="00636811"/>
    <w:rsid w:val="00636992"/>
    <w:rsid w:val="00640700"/>
    <w:rsid w:val="00640D66"/>
    <w:rsid w:val="006419F3"/>
    <w:rsid w:val="00642D2C"/>
    <w:rsid w:val="006454FC"/>
    <w:rsid w:val="00651533"/>
    <w:rsid w:val="00652734"/>
    <w:rsid w:val="00654B82"/>
    <w:rsid w:val="00654BDB"/>
    <w:rsid w:val="00655ED6"/>
    <w:rsid w:val="0066371D"/>
    <w:rsid w:val="00664C59"/>
    <w:rsid w:val="00667632"/>
    <w:rsid w:val="00672170"/>
    <w:rsid w:val="00672F65"/>
    <w:rsid w:val="0067454F"/>
    <w:rsid w:val="0067659A"/>
    <w:rsid w:val="00676CD2"/>
    <w:rsid w:val="00680D22"/>
    <w:rsid w:val="00680E29"/>
    <w:rsid w:val="00681D39"/>
    <w:rsid w:val="006836BE"/>
    <w:rsid w:val="00683B18"/>
    <w:rsid w:val="00691516"/>
    <w:rsid w:val="00692D8E"/>
    <w:rsid w:val="0069480D"/>
    <w:rsid w:val="00696E8B"/>
    <w:rsid w:val="006A0D4D"/>
    <w:rsid w:val="006A14F8"/>
    <w:rsid w:val="006A5799"/>
    <w:rsid w:val="006A6D88"/>
    <w:rsid w:val="006B2EE4"/>
    <w:rsid w:val="006B336A"/>
    <w:rsid w:val="006B5671"/>
    <w:rsid w:val="006C021F"/>
    <w:rsid w:val="006C1818"/>
    <w:rsid w:val="006C4749"/>
    <w:rsid w:val="006C4FD6"/>
    <w:rsid w:val="006C56D2"/>
    <w:rsid w:val="006D1963"/>
    <w:rsid w:val="006D6558"/>
    <w:rsid w:val="006D7552"/>
    <w:rsid w:val="006E02E7"/>
    <w:rsid w:val="006E3AE3"/>
    <w:rsid w:val="006E3D70"/>
    <w:rsid w:val="006E46FD"/>
    <w:rsid w:val="006E48D5"/>
    <w:rsid w:val="006F2E7F"/>
    <w:rsid w:val="006F6CAC"/>
    <w:rsid w:val="006F75EB"/>
    <w:rsid w:val="0070048F"/>
    <w:rsid w:val="00702820"/>
    <w:rsid w:val="00704147"/>
    <w:rsid w:val="00704888"/>
    <w:rsid w:val="00713200"/>
    <w:rsid w:val="00713BC3"/>
    <w:rsid w:val="00714E6B"/>
    <w:rsid w:val="0072151D"/>
    <w:rsid w:val="0072173E"/>
    <w:rsid w:val="00721EE1"/>
    <w:rsid w:val="00722F1E"/>
    <w:rsid w:val="00726268"/>
    <w:rsid w:val="00726596"/>
    <w:rsid w:val="00726928"/>
    <w:rsid w:val="00727AAC"/>
    <w:rsid w:val="00727DF9"/>
    <w:rsid w:val="00727F48"/>
    <w:rsid w:val="00730323"/>
    <w:rsid w:val="007338DC"/>
    <w:rsid w:val="00735DAD"/>
    <w:rsid w:val="00737D70"/>
    <w:rsid w:val="007420B7"/>
    <w:rsid w:val="0074353A"/>
    <w:rsid w:val="00745FA7"/>
    <w:rsid w:val="0074771B"/>
    <w:rsid w:val="007527B3"/>
    <w:rsid w:val="00755639"/>
    <w:rsid w:val="0076129F"/>
    <w:rsid w:val="00765D87"/>
    <w:rsid w:val="00765ED3"/>
    <w:rsid w:val="00766F1A"/>
    <w:rsid w:val="0077122C"/>
    <w:rsid w:val="00771863"/>
    <w:rsid w:val="00773B7A"/>
    <w:rsid w:val="0077401B"/>
    <w:rsid w:val="00780308"/>
    <w:rsid w:val="0078706E"/>
    <w:rsid w:val="00790B29"/>
    <w:rsid w:val="007911B3"/>
    <w:rsid w:val="00793368"/>
    <w:rsid w:val="007956A5"/>
    <w:rsid w:val="007A2E17"/>
    <w:rsid w:val="007A35DE"/>
    <w:rsid w:val="007A3690"/>
    <w:rsid w:val="007A4E8B"/>
    <w:rsid w:val="007A5FDA"/>
    <w:rsid w:val="007A624A"/>
    <w:rsid w:val="007A7D19"/>
    <w:rsid w:val="007B03A4"/>
    <w:rsid w:val="007B0687"/>
    <w:rsid w:val="007B301A"/>
    <w:rsid w:val="007B31C8"/>
    <w:rsid w:val="007B563D"/>
    <w:rsid w:val="007B6106"/>
    <w:rsid w:val="007B6668"/>
    <w:rsid w:val="007C05B0"/>
    <w:rsid w:val="007C2CD1"/>
    <w:rsid w:val="007C729E"/>
    <w:rsid w:val="007D0BE4"/>
    <w:rsid w:val="007D525D"/>
    <w:rsid w:val="007D6CC6"/>
    <w:rsid w:val="007D7FED"/>
    <w:rsid w:val="007E01AF"/>
    <w:rsid w:val="007E360B"/>
    <w:rsid w:val="007E3685"/>
    <w:rsid w:val="007E58CF"/>
    <w:rsid w:val="007E753E"/>
    <w:rsid w:val="007F1A31"/>
    <w:rsid w:val="007F2167"/>
    <w:rsid w:val="007F3D89"/>
    <w:rsid w:val="007F6BB0"/>
    <w:rsid w:val="007F79D7"/>
    <w:rsid w:val="008022AE"/>
    <w:rsid w:val="00802490"/>
    <w:rsid w:val="00803963"/>
    <w:rsid w:val="0080618F"/>
    <w:rsid w:val="00807D64"/>
    <w:rsid w:val="0081086A"/>
    <w:rsid w:val="00813DC0"/>
    <w:rsid w:val="00817C87"/>
    <w:rsid w:val="008214E5"/>
    <w:rsid w:val="00821871"/>
    <w:rsid w:val="00823E21"/>
    <w:rsid w:val="0082434D"/>
    <w:rsid w:val="008251CC"/>
    <w:rsid w:val="00825E0B"/>
    <w:rsid w:val="00832580"/>
    <w:rsid w:val="0083476D"/>
    <w:rsid w:val="008412C5"/>
    <w:rsid w:val="0084215E"/>
    <w:rsid w:val="008425D6"/>
    <w:rsid w:val="00847066"/>
    <w:rsid w:val="008526C9"/>
    <w:rsid w:val="00852B48"/>
    <w:rsid w:val="00853CEB"/>
    <w:rsid w:val="00854BA4"/>
    <w:rsid w:val="00854C4E"/>
    <w:rsid w:val="00855D0B"/>
    <w:rsid w:val="0086507C"/>
    <w:rsid w:val="00866549"/>
    <w:rsid w:val="00867A58"/>
    <w:rsid w:val="0087144F"/>
    <w:rsid w:val="0087180C"/>
    <w:rsid w:val="0087267C"/>
    <w:rsid w:val="00874116"/>
    <w:rsid w:val="008761B2"/>
    <w:rsid w:val="008815C2"/>
    <w:rsid w:val="00882BBE"/>
    <w:rsid w:val="00882FF8"/>
    <w:rsid w:val="0088334C"/>
    <w:rsid w:val="00887461"/>
    <w:rsid w:val="0088773D"/>
    <w:rsid w:val="0089113A"/>
    <w:rsid w:val="008938EC"/>
    <w:rsid w:val="00897A93"/>
    <w:rsid w:val="008A4C4E"/>
    <w:rsid w:val="008A6246"/>
    <w:rsid w:val="008A7C57"/>
    <w:rsid w:val="008B0026"/>
    <w:rsid w:val="008B161D"/>
    <w:rsid w:val="008B1F10"/>
    <w:rsid w:val="008B4D5D"/>
    <w:rsid w:val="008B7D27"/>
    <w:rsid w:val="008C1F7F"/>
    <w:rsid w:val="008C23A2"/>
    <w:rsid w:val="008C47F5"/>
    <w:rsid w:val="008C721B"/>
    <w:rsid w:val="008D40B4"/>
    <w:rsid w:val="008D7720"/>
    <w:rsid w:val="008E1CB8"/>
    <w:rsid w:val="008E2852"/>
    <w:rsid w:val="008F10B6"/>
    <w:rsid w:val="008F156C"/>
    <w:rsid w:val="008F6980"/>
    <w:rsid w:val="0090101E"/>
    <w:rsid w:val="00901E90"/>
    <w:rsid w:val="009024CB"/>
    <w:rsid w:val="0090313E"/>
    <w:rsid w:val="0090477D"/>
    <w:rsid w:val="00904B6C"/>
    <w:rsid w:val="009056D3"/>
    <w:rsid w:val="0090662C"/>
    <w:rsid w:val="00910B0A"/>
    <w:rsid w:val="0091160B"/>
    <w:rsid w:val="00912D6B"/>
    <w:rsid w:val="009139E2"/>
    <w:rsid w:val="00913FA8"/>
    <w:rsid w:val="00916DAB"/>
    <w:rsid w:val="00926FE2"/>
    <w:rsid w:val="009275F6"/>
    <w:rsid w:val="00931739"/>
    <w:rsid w:val="009327D1"/>
    <w:rsid w:val="009327E4"/>
    <w:rsid w:val="00933A1A"/>
    <w:rsid w:val="00934BFC"/>
    <w:rsid w:val="0093621B"/>
    <w:rsid w:val="00941C4A"/>
    <w:rsid w:val="00947E69"/>
    <w:rsid w:val="009570A5"/>
    <w:rsid w:val="00957E9E"/>
    <w:rsid w:val="009617F2"/>
    <w:rsid w:val="00962BF5"/>
    <w:rsid w:val="00964043"/>
    <w:rsid w:val="009701CC"/>
    <w:rsid w:val="009726A5"/>
    <w:rsid w:val="00975637"/>
    <w:rsid w:val="0098145C"/>
    <w:rsid w:val="009814DB"/>
    <w:rsid w:val="00985168"/>
    <w:rsid w:val="00986BA2"/>
    <w:rsid w:val="009870EB"/>
    <w:rsid w:val="00990CBE"/>
    <w:rsid w:val="0099264E"/>
    <w:rsid w:val="009931D9"/>
    <w:rsid w:val="00997FFC"/>
    <w:rsid w:val="009A0365"/>
    <w:rsid w:val="009A24A0"/>
    <w:rsid w:val="009A3661"/>
    <w:rsid w:val="009A7007"/>
    <w:rsid w:val="009A7CD9"/>
    <w:rsid w:val="009B05E9"/>
    <w:rsid w:val="009B49F1"/>
    <w:rsid w:val="009B63C8"/>
    <w:rsid w:val="009B71B5"/>
    <w:rsid w:val="009C34AC"/>
    <w:rsid w:val="009D3C66"/>
    <w:rsid w:val="009D40DB"/>
    <w:rsid w:val="009D5C7B"/>
    <w:rsid w:val="009E398C"/>
    <w:rsid w:val="009E4D85"/>
    <w:rsid w:val="009E52E1"/>
    <w:rsid w:val="009E64C2"/>
    <w:rsid w:val="009F4CF3"/>
    <w:rsid w:val="009F59B2"/>
    <w:rsid w:val="00A02ABC"/>
    <w:rsid w:val="00A03A7E"/>
    <w:rsid w:val="00A1045A"/>
    <w:rsid w:val="00A10C3C"/>
    <w:rsid w:val="00A11A11"/>
    <w:rsid w:val="00A156A3"/>
    <w:rsid w:val="00A166DF"/>
    <w:rsid w:val="00A22A25"/>
    <w:rsid w:val="00A2305C"/>
    <w:rsid w:val="00A2377F"/>
    <w:rsid w:val="00A23FBD"/>
    <w:rsid w:val="00A2578C"/>
    <w:rsid w:val="00A25BA4"/>
    <w:rsid w:val="00A30503"/>
    <w:rsid w:val="00A3078D"/>
    <w:rsid w:val="00A30AA5"/>
    <w:rsid w:val="00A319B4"/>
    <w:rsid w:val="00A3678E"/>
    <w:rsid w:val="00A402BB"/>
    <w:rsid w:val="00A40541"/>
    <w:rsid w:val="00A41D20"/>
    <w:rsid w:val="00A41FBB"/>
    <w:rsid w:val="00A422CE"/>
    <w:rsid w:val="00A423C8"/>
    <w:rsid w:val="00A45EE8"/>
    <w:rsid w:val="00A473E0"/>
    <w:rsid w:val="00A47EAF"/>
    <w:rsid w:val="00A5207B"/>
    <w:rsid w:val="00A52572"/>
    <w:rsid w:val="00A5327B"/>
    <w:rsid w:val="00A53C07"/>
    <w:rsid w:val="00A53C4B"/>
    <w:rsid w:val="00A542C6"/>
    <w:rsid w:val="00A54BE7"/>
    <w:rsid w:val="00A60D2C"/>
    <w:rsid w:val="00A623C9"/>
    <w:rsid w:val="00A62DEB"/>
    <w:rsid w:val="00A63E21"/>
    <w:rsid w:val="00A647FF"/>
    <w:rsid w:val="00A64F0E"/>
    <w:rsid w:val="00A65DB9"/>
    <w:rsid w:val="00A66A70"/>
    <w:rsid w:val="00A66DAC"/>
    <w:rsid w:val="00A674C4"/>
    <w:rsid w:val="00A67956"/>
    <w:rsid w:val="00A72F20"/>
    <w:rsid w:val="00A73BCC"/>
    <w:rsid w:val="00A746E4"/>
    <w:rsid w:val="00A81530"/>
    <w:rsid w:val="00A849AD"/>
    <w:rsid w:val="00A85594"/>
    <w:rsid w:val="00A90785"/>
    <w:rsid w:val="00A92ACA"/>
    <w:rsid w:val="00A95F98"/>
    <w:rsid w:val="00AA0333"/>
    <w:rsid w:val="00AA2565"/>
    <w:rsid w:val="00AA262A"/>
    <w:rsid w:val="00AA2B8A"/>
    <w:rsid w:val="00AA498B"/>
    <w:rsid w:val="00AB1DC5"/>
    <w:rsid w:val="00AB2581"/>
    <w:rsid w:val="00AB5960"/>
    <w:rsid w:val="00AB7C9D"/>
    <w:rsid w:val="00AC0FDA"/>
    <w:rsid w:val="00AC2550"/>
    <w:rsid w:val="00AC25C8"/>
    <w:rsid w:val="00AC38BB"/>
    <w:rsid w:val="00AC3FAE"/>
    <w:rsid w:val="00AC41FC"/>
    <w:rsid w:val="00AC5AE7"/>
    <w:rsid w:val="00AC5DA9"/>
    <w:rsid w:val="00AC7609"/>
    <w:rsid w:val="00AD1947"/>
    <w:rsid w:val="00AD4A9C"/>
    <w:rsid w:val="00AD4C32"/>
    <w:rsid w:val="00AD5358"/>
    <w:rsid w:val="00AE069C"/>
    <w:rsid w:val="00AE44C9"/>
    <w:rsid w:val="00AE6DDF"/>
    <w:rsid w:val="00AF3CAC"/>
    <w:rsid w:val="00AF4ED2"/>
    <w:rsid w:val="00AF5973"/>
    <w:rsid w:val="00AF6BEE"/>
    <w:rsid w:val="00B03C81"/>
    <w:rsid w:val="00B04A42"/>
    <w:rsid w:val="00B057A0"/>
    <w:rsid w:val="00B1077D"/>
    <w:rsid w:val="00B129FE"/>
    <w:rsid w:val="00B13399"/>
    <w:rsid w:val="00B169E3"/>
    <w:rsid w:val="00B17847"/>
    <w:rsid w:val="00B21841"/>
    <w:rsid w:val="00B21F0C"/>
    <w:rsid w:val="00B31DD3"/>
    <w:rsid w:val="00B34BD1"/>
    <w:rsid w:val="00B34BE4"/>
    <w:rsid w:val="00B34DC1"/>
    <w:rsid w:val="00B375A6"/>
    <w:rsid w:val="00B40214"/>
    <w:rsid w:val="00B40339"/>
    <w:rsid w:val="00B40976"/>
    <w:rsid w:val="00B40E08"/>
    <w:rsid w:val="00B4160F"/>
    <w:rsid w:val="00B45CB3"/>
    <w:rsid w:val="00B4651C"/>
    <w:rsid w:val="00B46F01"/>
    <w:rsid w:val="00B477CF"/>
    <w:rsid w:val="00B50FDF"/>
    <w:rsid w:val="00B51101"/>
    <w:rsid w:val="00B54A21"/>
    <w:rsid w:val="00B5539A"/>
    <w:rsid w:val="00B556B6"/>
    <w:rsid w:val="00B56225"/>
    <w:rsid w:val="00B64C79"/>
    <w:rsid w:val="00B67FF5"/>
    <w:rsid w:val="00B706EB"/>
    <w:rsid w:val="00B73B89"/>
    <w:rsid w:val="00B73E2B"/>
    <w:rsid w:val="00B74C8D"/>
    <w:rsid w:val="00B75218"/>
    <w:rsid w:val="00B76B05"/>
    <w:rsid w:val="00B8015F"/>
    <w:rsid w:val="00B822E6"/>
    <w:rsid w:val="00B82714"/>
    <w:rsid w:val="00B85460"/>
    <w:rsid w:val="00B86471"/>
    <w:rsid w:val="00B87B39"/>
    <w:rsid w:val="00B90C9B"/>
    <w:rsid w:val="00B94303"/>
    <w:rsid w:val="00BA2B70"/>
    <w:rsid w:val="00BA2FDB"/>
    <w:rsid w:val="00BA387D"/>
    <w:rsid w:val="00BA4D0D"/>
    <w:rsid w:val="00BA5B36"/>
    <w:rsid w:val="00BA7C23"/>
    <w:rsid w:val="00BB4410"/>
    <w:rsid w:val="00BC167F"/>
    <w:rsid w:val="00BC289B"/>
    <w:rsid w:val="00BC3EAD"/>
    <w:rsid w:val="00BC51C8"/>
    <w:rsid w:val="00BC5933"/>
    <w:rsid w:val="00BC6443"/>
    <w:rsid w:val="00BC7FFE"/>
    <w:rsid w:val="00BD3285"/>
    <w:rsid w:val="00BD4226"/>
    <w:rsid w:val="00BD5BDC"/>
    <w:rsid w:val="00BD6323"/>
    <w:rsid w:val="00BD784A"/>
    <w:rsid w:val="00BE2FA9"/>
    <w:rsid w:val="00BE333C"/>
    <w:rsid w:val="00BE3F0C"/>
    <w:rsid w:val="00BE623B"/>
    <w:rsid w:val="00BF1DB1"/>
    <w:rsid w:val="00BF2F48"/>
    <w:rsid w:val="00BF4495"/>
    <w:rsid w:val="00BF5014"/>
    <w:rsid w:val="00BF6582"/>
    <w:rsid w:val="00BF7A95"/>
    <w:rsid w:val="00C01682"/>
    <w:rsid w:val="00C02475"/>
    <w:rsid w:val="00C06610"/>
    <w:rsid w:val="00C10789"/>
    <w:rsid w:val="00C11EAE"/>
    <w:rsid w:val="00C138DC"/>
    <w:rsid w:val="00C15DE5"/>
    <w:rsid w:val="00C21635"/>
    <w:rsid w:val="00C249C5"/>
    <w:rsid w:val="00C25514"/>
    <w:rsid w:val="00C304E0"/>
    <w:rsid w:val="00C31BB8"/>
    <w:rsid w:val="00C33078"/>
    <w:rsid w:val="00C413CE"/>
    <w:rsid w:val="00C424E1"/>
    <w:rsid w:val="00C42A4E"/>
    <w:rsid w:val="00C43209"/>
    <w:rsid w:val="00C45005"/>
    <w:rsid w:val="00C47FC9"/>
    <w:rsid w:val="00C50D6D"/>
    <w:rsid w:val="00C52310"/>
    <w:rsid w:val="00C57482"/>
    <w:rsid w:val="00C574DA"/>
    <w:rsid w:val="00C574F4"/>
    <w:rsid w:val="00C61E77"/>
    <w:rsid w:val="00C61EB6"/>
    <w:rsid w:val="00C62A63"/>
    <w:rsid w:val="00C64190"/>
    <w:rsid w:val="00C6546D"/>
    <w:rsid w:val="00C7030D"/>
    <w:rsid w:val="00C70E7C"/>
    <w:rsid w:val="00C71C1C"/>
    <w:rsid w:val="00C720DA"/>
    <w:rsid w:val="00C72B20"/>
    <w:rsid w:val="00C72BE6"/>
    <w:rsid w:val="00C7335F"/>
    <w:rsid w:val="00C7513A"/>
    <w:rsid w:val="00C76ABA"/>
    <w:rsid w:val="00C76C4E"/>
    <w:rsid w:val="00C80885"/>
    <w:rsid w:val="00C8320C"/>
    <w:rsid w:val="00C860F5"/>
    <w:rsid w:val="00C87C59"/>
    <w:rsid w:val="00C87C7B"/>
    <w:rsid w:val="00C90E3D"/>
    <w:rsid w:val="00C91634"/>
    <w:rsid w:val="00C92195"/>
    <w:rsid w:val="00C9493A"/>
    <w:rsid w:val="00C94B30"/>
    <w:rsid w:val="00CA2074"/>
    <w:rsid w:val="00CA218E"/>
    <w:rsid w:val="00CA6140"/>
    <w:rsid w:val="00CB0B5B"/>
    <w:rsid w:val="00CB1178"/>
    <w:rsid w:val="00CB38F5"/>
    <w:rsid w:val="00CB49C7"/>
    <w:rsid w:val="00CB67A3"/>
    <w:rsid w:val="00CB7A19"/>
    <w:rsid w:val="00CC0616"/>
    <w:rsid w:val="00CC2C1A"/>
    <w:rsid w:val="00CC3D07"/>
    <w:rsid w:val="00CC3D56"/>
    <w:rsid w:val="00CC6C8E"/>
    <w:rsid w:val="00CC7DAA"/>
    <w:rsid w:val="00CD0768"/>
    <w:rsid w:val="00CD32F3"/>
    <w:rsid w:val="00CD483F"/>
    <w:rsid w:val="00CD5FB3"/>
    <w:rsid w:val="00CD7A13"/>
    <w:rsid w:val="00CE1A49"/>
    <w:rsid w:val="00CE21D5"/>
    <w:rsid w:val="00CE252E"/>
    <w:rsid w:val="00CE2C8B"/>
    <w:rsid w:val="00CE2E6E"/>
    <w:rsid w:val="00CE3706"/>
    <w:rsid w:val="00CE38F6"/>
    <w:rsid w:val="00CF2229"/>
    <w:rsid w:val="00CF3E2B"/>
    <w:rsid w:val="00CF4CAD"/>
    <w:rsid w:val="00CF4D11"/>
    <w:rsid w:val="00CF6877"/>
    <w:rsid w:val="00CF6B08"/>
    <w:rsid w:val="00D011E5"/>
    <w:rsid w:val="00D01D86"/>
    <w:rsid w:val="00D03D0F"/>
    <w:rsid w:val="00D07370"/>
    <w:rsid w:val="00D12A0E"/>
    <w:rsid w:val="00D14515"/>
    <w:rsid w:val="00D1490F"/>
    <w:rsid w:val="00D1682C"/>
    <w:rsid w:val="00D212B4"/>
    <w:rsid w:val="00D234A6"/>
    <w:rsid w:val="00D240BC"/>
    <w:rsid w:val="00D24C3B"/>
    <w:rsid w:val="00D26670"/>
    <w:rsid w:val="00D27FEA"/>
    <w:rsid w:val="00D31D4C"/>
    <w:rsid w:val="00D34D87"/>
    <w:rsid w:val="00D36F46"/>
    <w:rsid w:val="00D42EA8"/>
    <w:rsid w:val="00D44159"/>
    <w:rsid w:val="00D46FA0"/>
    <w:rsid w:val="00D526D9"/>
    <w:rsid w:val="00D55A23"/>
    <w:rsid w:val="00D56008"/>
    <w:rsid w:val="00D5707D"/>
    <w:rsid w:val="00D60951"/>
    <w:rsid w:val="00D67FE9"/>
    <w:rsid w:val="00D70357"/>
    <w:rsid w:val="00D71A09"/>
    <w:rsid w:val="00D7339A"/>
    <w:rsid w:val="00D73574"/>
    <w:rsid w:val="00D73F27"/>
    <w:rsid w:val="00D74190"/>
    <w:rsid w:val="00D82747"/>
    <w:rsid w:val="00D85E5C"/>
    <w:rsid w:val="00D8626E"/>
    <w:rsid w:val="00D86306"/>
    <w:rsid w:val="00D87671"/>
    <w:rsid w:val="00D878DB"/>
    <w:rsid w:val="00D90D85"/>
    <w:rsid w:val="00D94C4E"/>
    <w:rsid w:val="00D9556C"/>
    <w:rsid w:val="00D96D21"/>
    <w:rsid w:val="00DA08AB"/>
    <w:rsid w:val="00DA2616"/>
    <w:rsid w:val="00DA2959"/>
    <w:rsid w:val="00DA4E9C"/>
    <w:rsid w:val="00DB1A21"/>
    <w:rsid w:val="00DB1CD4"/>
    <w:rsid w:val="00DC0EB2"/>
    <w:rsid w:val="00DC32E8"/>
    <w:rsid w:val="00DC4ED9"/>
    <w:rsid w:val="00DC529F"/>
    <w:rsid w:val="00DC6DF8"/>
    <w:rsid w:val="00DC79D6"/>
    <w:rsid w:val="00DD1AB0"/>
    <w:rsid w:val="00DD3756"/>
    <w:rsid w:val="00DD63E3"/>
    <w:rsid w:val="00DD6BF5"/>
    <w:rsid w:val="00DD7323"/>
    <w:rsid w:val="00DD75CA"/>
    <w:rsid w:val="00DD75E7"/>
    <w:rsid w:val="00DE2C26"/>
    <w:rsid w:val="00DE4CC0"/>
    <w:rsid w:val="00DE4DB0"/>
    <w:rsid w:val="00DE5434"/>
    <w:rsid w:val="00DE6443"/>
    <w:rsid w:val="00DF158D"/>
    <w:rsid w:val="00DF44E5"/>
    <w:rsid w:val="00DF47F7"/>
    <w:rsid w:val="00DF764D"/>
    <w:rsid w:val="00E057EA"/>
    <w:rsid w:val="00E11645"/>
    <w:rsid w:val="00E11FBF"/>
    <w:rsid w:val="00E12058"/>
    <w:rsid w:val="00E1279B"/>
    <w:rsid w:val="00E14A1E"/>
    <w:rsid w:val="00E16EAD"/>
    <w:rsid w:val="00E2660E"/>
    <w:rsid w:val="00E27D33"/>
    <w:rsid w:val="00E30604"/>
    <w:rsid w:val="00E30D73"/>
    <w:rsid w:val="00E317F6"/>
    <w:rsid w:val="00E332AD"/>
    <w:rsid w:val="00E33D95"/>
    <w:rsid w:val="00E3562A"/>
    <w:rsid w:val="00E37B08"/>
    <w:rsid w:val="00E479F6"/>
    <w:rsid w:val="00E51AE2"/>
    <w:rsid w:val="00E53359"/>
    <w:rsid w:val="00E53FB7"/>
    <w:rsid w:val="00E54D92"/>
    <w:rsid w:val="00E5777D"/>
    <w:rsid w:val="00E6063D"/>
    <w:rsid w:val="00E60DD0"/>
    <w:rsid w:val="00E61BD3"/>
    <w:rsid w:val="00E66605"/>
    <w:rsid w:val="00E72747"/>
    <w:rsid w:val="00E74F6D"/>
    <w:rsid w:val="00E778B1"/>
    <w:rsid w:val="00E810B4"/>
    <w:rsid w:val="00E81312"/>
    <w:rsid w:val="00E90EA4"/>
    <w:rsid w:val="00E9241F"/>
    <w:rsid w:val="00E9392D"/>
    <w:rsid w:val="00E94748"/>
    <w:rsid w:val="00EA3D5A"/>
    <w:rsid w:val="00EB18FA"/>
    <w:rsid w:val="00EB2B96"/>
    <w:rsid w:val="00EB3BAE"/>
    <w:rsid w:val="00EB5493"/>
    <w:rsid w:val="00EB590D"/>
    <w:rsid w:val="00EB748E"/>
    <w:rsid w:val="00EB7B9E"/>
    <w:rsid w:val="00EC10D3"/>
    <w:rsid w:val="00EC12C0"/>
    <w:rsid w:val="00EC23B8"/>
    <w:rsid w:val="00EC56CD"/>
    <w:rsid w:val="00EC670D"/>
    <w:rsid w:val="00EC79B5"/>
    <w:rsid w:val="00ED0107"/>
    <w:rsid w:val="00ED76CE"/>
    <w:rsid w:val="00EE19BE"/>
    <w:rsid w:val="00EE3238"/>
    <w:rsid w:val="00EE4C93"/>
    <w:rsid w:val="00EE7474"/>
    <w:rsid w:val="00EF27E5"/>
    <w:rsid w:val="00EF4837"/>
    <w:rsid w:val="00EF6002"/>
    <w:rsid w:val="00EF6DE7"/>
    <w:rsid w:val="00F0246C"/>
    <w:rsid w:val="00F0492C"/>
    <w:rsid w:val="00F04CD4"/>
    <w:rsid w:val="00F0592E"/>
    <w:rsid w:val="00F063C4"/>
    <w:rsid w:val="00F06AD2"/>
    <w:rsid w:val="00F10805"/>
    <w:rsid w:val="00F115F8"/>
    <w:rsid w:val="00F11673"/>
    <w:rsid w:val="00F11C9D"/>
    <w:rsid w:val="00F127F0"/>
    <w:rsid w:val="00F20DB7"/>
    <w:rsid w:val="00F2176C"/>
    <w:rsid w:val="00F24495"/>
    <w:rsid w:val="00F24BD5"/>
    <w:rsid w:val="00F261DE"/>
    <w:rsid w:val="00F26220"/>
    <w:rsid w:val="00F27035"/>
    <w:rsid w:val="00F31A32"/>
    <w:rsid w:val="00F3343E"/>
    <w:rsid w:val="00F35DC2"/>
    <w:rsid w:val="00F36055"/>
    <w:rsid w:val="00F363D5"/>
    <w:rsid w:val="00F4078E"/>
    <w:rsid w:val="00F4281E"/>
    <w:rsid w:val="00F428C9"/>
    <w:rsid w:val="00F44613"/>
    <w:rsid w:val="00F4601F"/>
    <w:rsid w:val="00F46D46"/>
    <w:rsid w:val="00F50931"/>
    <w:rsid w:val="00F5345A"/>
    <w:rsid w:val="00F562B4"/>
    <w:rsid w:val="00F6186C"/>
    <w:rsid w:val="00F64DE0"/>
    <w:rsid w:val="00F677A3"/>
    <w:rsid w:val="00F71103"/>
    <w:rsid w:val="00F71D33"/>
    <w:rsid w:val="00F7633F"/>
    <w:rsid w:val="00F77465"/>
    <w:rsid w:val="00F77762"/>
    <w:rsid w:val="00F77A25"/>
    <w:rsid w:val="00F84495"/>
    <w:rsid w:val="00F84671"/>
    <w:rsid w:val="00F84DAB"/>
    <w:rsid w:val="00F9158C"/>
    <w:rsid w:val="00F9253B"/>
    <w:rsid w:val="00F93DDD"/>
    <w:rsid w:val="00F95E7E"/>
    <w:rsid w:val="00F9637F"/>
    <w:rsid w:val="00F970CA"/>
    <w:rsid w:val="00FA3365"/>
    <w:rsid w:val="00FA5DC5"/>
    <w:rsid w:val="00FB1AB6"/>
    <w:rsid w:val="00FB1F64"/>
    <w:rsid w:val="00FB6826"/>
    <w:rsid w:val="00FB787F"/>
    <w:rsid w:val="00FC0FA5"/>
    <w:rsid w:val="00FC51FF"/>
    <w:rsid w:val="00FC54DC"/>
    <w:rsid w:val="00FC67C2"/>
    <w:rsid w:val="00FC7BB7"/>
    <w:rsid w:val="00FD0673"/>
    <w:rsid w:val="00FD48F5"/>
    <w:rsid w:val="00FD6D9C"/>
    <w:rsid w:val="00FE5483"/>
    <w:rsid w:val="00FE7EF2"/>
    <w:rsid w:val="00FF0728"/>
    <w:rsid w:val="00FF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D5AC5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Body Text" w:uiPriority="99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23A2"/>
    <w:rPr>
      <w:sz w:val="24"/>
      <w:lang w:val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1C3AEE"/>
    <w:pPr>
      <w:keepNext/>
      <w:numPr>
        <w:numId w:val="27"/>
      </w:numPr>
      <w:suppressAutoHyphens/>
      <w:spacing w:after="240"/>
      <w:outlineLvl w:val="0"/>
    </w:pPr>
    <w:rPr>
      <w:b/>
      <w:caps/>
      <w:kern w:val="28"/>
      <w:lang w:val="en-US" w:eastAsia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1C3AEE"/>
    <w:pPr>
      <w:keepNext/>
      <w:numPr>
        <w:ilvl w:val="1"/>
        <w:numId w:val="27"/>
      </w:numPr>
      <w:suppressAutoHyphens/>
      <w:spacing w:after="120"/>
      <w:outlineLvl w:val="1"/>
    </w:pPr>
    <w:rPr>
      <w:b/>
      <w:lang w:val="en-US" w:eastAsia="en-US"/>
    </w:rPr>
  </w:style>
  <w:style w:type="paragraph" w:styleId="Nadpis3">
    <w:name w:val="heading 3"/>
    <w:basedOn w:val="Nadpis2"/>
    <w:next w:val="Normlny"/>
    <w:link w:val="Nadpis3Char"/>
    <w:uiPriority w:val="9"/>
    <w:qFormat/>
    <w:rsid w:val="001C3AEE"/>
    <w:pPr>
      <w:numPr>
        <w:ilvl w:val="2"/>
      </w:numPr>
      <w:outlineLvl w:val="2"/>
    </w:pPr>
  </w:style>
  <w:style w:type="paragraph" w:styleId="Nadpis4">
    <w:name w:val="heading 4"/>
    <w:basedOn w:val="Normlny"/>
    <w:next w:val="Normlny"/>
    <w:link w:val="Nadpis4Char"/>
    <w:uiPriority w:val="9"/>
    <w:qFormat/>
    <w:rsid w:val="008C23A2"/>
    <w:pPr>
      <w:keepNext/>
      <w:numPr>
        <w:ilvl w:val="3"/>
        <w:numId w:val="27"/>
      </w:numPr>
      <w:jc w:val="both"/>
      <w:outlineLvl w:val="3"/>
    </w:pPr>
    <w:rPr>
      <w:rFonts w:ascii="Arial" w:hAnsi="Arial" w:cs="Arial"/>
      <w:sz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FC1E20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Nadpis2Char">
    <w:name w:val="Nadpis 2 Char"/>
    <w:link w:val="Nadpis2"/>
    <w:uiPriority w:val="9"/>
    <w:semiHidden/>
    <w:rsid w:val="00FC1E20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Nadpis3Char">
    <w:name w:val="Nadpis 3 Char"/>
    <w:link w:val="Nadpis3"/>
    <w:uiPriority w:val="9"/>
    <w:semiHidden/>
    <w:rsid w:val="00FC1E20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Nadpis4Char">
    <w:name w:val="Nadpis 4 Char"/>
    <w:link w:val="Nadpis4"/>
    <w:uiPriority w:val="9"/>
    <w:semiHidden/>
    <w:rsid w:val="00FC1E20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lavika">
    <w:name w:val="header"/>
    <w:basedOn w:val="Normlny"/>
    <w:link w:val="HlavikaChar"/>
    <w:rsid w:val="008C23A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link w:val="Hlavika"/>
    <w:uiPriority w:val="99"/>
    <w:semiHidden/>
    <w:rsid w:val="00FC1E20"/>
    <w:rPr>
      <w:sz w:val="24"/>
      <w:lang w:val="en-GB"/>
    </w:rPr>
  </w:style>
  <w:style w:type="paragraph" w:styleId="Pta">
    <w:name w:val="footer"/>
    <w:basedOn w:val="Normlny"/>
    <w:link w:val="PtaChar"/>
    <w:uiPriority w:val="99"/>
    <w:rsid w:val="003D4759"/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Helvetica" w:hAnsi="Helvetica"/>
      <w:sz w:val="14"/>
      <w:lang w:val="en-US"/>
    </w:rPr>
  </w:style>
  <w:style w:type="character" w:customStyle="1" w:styleId="PtaChar">
    <w:name w:val="Päta Char"/>
    <w:link w:val="Pta"/>
    <w:uiPriority w:val="99"/>
    <w:semiHidden/>
    <w:rsid w:val="00FC1E20"/>
    <w:rPr>
      <w:sz w:val="24"/>
      <w:lang w:val="en-GB"/>
    </w:rPr>
  </w:style>
  <w:style w:type="paragraph" w:styleId="Zkladntext">
    <w:name w:val="Body Text"/>
    <w:basedOn w:val="Normlny"/>
    <w:link w:val="ZkladntextChar"/>
    <w:uiPriority w:val="99"/>
    <w:rsid w:val="008C23A2"/>
    <w:pPr>
      <w:jc w:val="both"/>
    </w:pPr>
  </w:style>
  <w:style w:type="character" w:customStyle="1" w:styleId="ZkladntextChar">
    <w:name w:val="Základný text Char"/>
    <w:link w:val="Zkladntext"/>
    <w:uiPriority w:val="99"/>
    <w:semiHidden/>
    <w:rsid w:val="00FC1E20"/>
    <w:rPr>
      <w:sz w:val="24"/>
      <w:lang w:val="en-GB"/>
    </w:rPr>
  </w:style>
  <w:style w:type="character" w:styleId="slostrany">
    <w:name w:val="page number"/>
    <w:uiPriority w:val="99"/>
    <w:rsid w:val="008C23A2"/>
    <w:rPr>
      <w:rFonts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C23A2"/>
    <w:rPr>
      <w:sz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A5207B"/>
    <w:rPr>
      <w:lang w:val="en-GB" w:eastAsia="x-none"/>
    </w:rPr>
  </w:style>
  <w:style w:type="paragraph" w:customStyle="1" w:styleId="TextSUKL">
    <w:name w:val="Text (SUKL)"/>
    <w:basedOn w:val="Normlny"/>
    <w:rsid w:val="008C23A2"/>
    <w:pPr>
      <w:tabs>
        <w:tab w:val="left" w:pos="567"/>
      </w:tabs>
      <w:spacing w:before="120"/>
      <w:jc w:val="both"/>
    </w:pPr>
    <w:rPr>
      <w:sz w:val="22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1A7B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1E20"/>
    <w:rPr>
      <w:sz w:val="0"/>
      <w:szCs w:val="0"/>
      <w:lang w:val="en-GB"/>
    </w:rPr>
  </w:style>
  <w:style w:type="character" w:styleId="Odkaznakomentr">
    <w:name w:val="annotation reference"/>
    <w:uiPriority w:val="99"/>
    <w:semiHidden/>
    <w:rsid w:val="00FE7EF2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FE7EF2"/>
    <w:pPr>
      <w:tabs>
        <w:tab w:val="left" w:pos="1080"/>
      </w:tabs>
      <w:suppressAutoHyphens/>
    </w:pPr>
    <w:rPr>
      <w:sz w:val="20"/>
      <w:lang w:val="en-US" w:eastAsia="en-US"/>
    </w:rPr>
  </w:style>
  <w:style w:type="character" w:customStyle="1" w:styleId="TextkomentraChar">
    <w:name w:val="Text komentára Char"/>
    <w:link w:val="Textkomentra"/>
    <w:uiPriority w:val="99"/>
    <w:semiHidden/>
    <w:rsid w:val="00FC1E20"/>
    <w:rPr>
      <w:lang w:val="en-GB"/>
    </w:rPr>
  </w:style>
  <w:style w:type="character" w:styleId="Odkaznapoznmkupodiarou">
    <w:name w:val="footnote reference"/>
    <w:uiPriority w:val="99"/>
    <w:semiHidden/>
    <w:rsid w:val="00FE7EF2"/>
    <w:rPr>
      <w:vertAlign w:val="superscript"/>
    </w:rPr>
  </w:style>
  <w:style w:type="paragraph" w:customStyle="1" w:styleId="Default">
    <w:name w:val="Default"/>
    <w:rsid w:val="00FE7EF2"/>
    <w:pPr>
      <w:autoSpaceDE w:val="0"/>
      <w:autoSpaceDN w:val="0"/>
      <w:adjustRightInd w:val="0"/>
    </w:pPr>
    <w:rPr>
      <w:rFonts w:ascii="KGFENB+TimesNewRoman" w:eastAsia="SimSun" w:hAnsi="KGFENB+TimesNewRoman" w:cs="KGFENB+TimesNewRoman"/>
      <w:color w:val="000000"/>
      <w:sz w:val="24"/>
      <w:szCs w:val="24"/>
      <w:lang w:val="en-US" w:eastAsia="zh-CN" w:bidi="he-IL"/>
    </w:rPr>
  </w:style>
  <w:style w:type="table" w:styleId="Mriekatabuky">
    <w:name w:val="Table Grid"/>
    <w:basedOn w:val="Normlnatabuka"/>
    <w:uiPriority w:val="59"/>
    <w:rsid w:val="00FE7EF2"/>
    <w:pPr>
      <w:tabs>
        <w:tab w:val="left" w:pos="1080"/>
      </w:tabs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uiPriority w:val="99"/>
    <w:semiHidden/>
    <w:rsid w:val="00A52572"/>
    <w:rPr>
      <w:sz w:val="24"/>
      <w:lang w:val="en-GB"/>
    </w:rPr>
  </w:style>
  <w:style w:type="character" w:styleId="Hypertextovprepojenie">
    <w:name w:val="Hyperlink"/>
    <w:uiPriority w:val="99"/>
    <w:rsid w:val="00CC2C1A"/>
    <w:rPr>
      <w:color w:val="0000FF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5731CC"/>
    <w:pPr>
      <w:tabs>
        <w:tab w:val="clear" w:pos="1080"/>
      </w:tabs>
      <w:suppressAutoHyphens w:val="0"/>
    </w:pPr>
    <w:rPr>
      <w:b/>
      <w:bCs/>
      <w:lang w:val="en-GB" w:eastAsia="sk-SK"/>
    </w:rPr>
  </w:style>
  <w:style w:type="character" w:customStyle="1" w:styleId="PredmetkomentraChar">
    <w:name w:val="Predmet komentára Char"/>
    <w:link w:val="Predmetkomentra"/>
    <w:uiPriority w:val="99"/>
    <w:semiHidden/>
    <w:rsid w:val="00FC1E20"/>
    <w:rPr>
      <w:b/>
      <w:bCs/>
      <w:lang w:val="en-GB"/>
    </w:rPr>
  </w:style>
  <w:style w:type="character" w:styleId="PouitHypertextovPrepojenie">
    <w:name w:val="FollowedHyperlink"/>
    <w:rsid w:val="00434CD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Body Text" w:uiPriority="99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23A2"/>
    <w:rPr>
      <w:sz w:val="24"/>
      <w:lang w:val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1C3AEE"/>
    <w:pPr>
      <w:keepNext/>
      <w:numPr>
        <w:numId w:val="27"/>
      </w:numPr>
      <w:suppressAutoHyphens/>
      <w:spacing w:after="240"/>
      <w:outlineLvl w:val="0"/>
    </w:pPr>
    <w:rPr>
      <w:b/>
      <w:caps/>
      <w:kern w:val="28"/>
      <w:lang w:val="en-US" w:eastAsia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1C3AEE"/>
    <w:pPr>
      <w:keepNext/>
      <w:numPr>
        <w:ilvl w:val="1"/>
        <w:numId w:val="27"/>
      </w:numPr>
      <w:suppressAutoHyphens/>
      <w:spacing w:after="120"/>
      <w:outlineLvl w:val="1"/>
    </w:pPr>
    <w:rPr>
      <w:b/>
      <w:lang w:val="en-US" w:eastAsia="en-US"/>
    </w:rPr>
  </w:style>
  <w:style w:type="paragraph" w:styleId="Nadpis3">
    <w:name w:val="heading 3"/>
    <w:basedOn w:val="Nadpis2"/>
    <w:next w:val="Normlny"/>
    <w:link w:val="Nadpis3Char"/>
    <w:uiPriority w:val="9"/>
    <w:qFormat/>
    <w:rsid w:val="001C3AEE"/>
    <w:pPr>
      <w:numPr>
        <w:ilvl w:val="2"/>
      </w:numPr>
      <w:outlineLvl w:val="2"/>
    </w:pPr>
  </w:style>
  <w:style w:type="paragraph" w:styleId="Nadpis4">
    <w:name w:val="heading 4"/>
    <w:basedOn w:val="Normlny"/>
    <w:next w:val="Normlny"/>
    <w:link w:val="Nadpis4Char"/>
    <w:uiPriority w:val="9"/>
    <w:qFormat/>
    <w:rsid w:val="008C23A2"/>
    <w:pPr>
      <w:keepNext/>
      <w:numPr>
        <w:ilvl w:val="3"/>
        <w:numId w:val="27"/>
      </w:numPr>
      <w:jc w:val="both"/>
      <w:outlineLvl w:val="3"/>
    </w:pPr>
    <w:rPr>
      <w:rFonts w:ascii="Arial" w:hAnsi="Arial" w:cs="Arial"/>
      <w:sz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FC1E20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Nadpis2Char">
    <w:name w:val="Nadpis 2 Char"/>
    <w:link w:val="Nadpis2"/>
    <w:uiPriority w:val="9"/>
    <w:semiHidden/>
    <w:rsid w:val="00FC1E20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Nadpis3Char">
    <w:name w:val="Nadpis 3 Char"/>
    <w:link w:val="Nadpis3"/>
    <w:uiPriority w:val="9"/>
    <w:semiHidden/>
    <w:rsid w:val="00FC1E20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Nadpis4Char">
    <w:name w:val="Nadpis 4 Char"/>
    <w:link w:val="Nadpis4"/>
    <w:uiPriority w:val="9"/>
    <w:semiHidden/>
    <w:rsid w:val="00FC1E20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lavika">
    <w:name w:val="header"/>
    <w:basedOn w:val="Normlny"/>
    <w:link w:val="HlavikaChar"/>
    <w:rsid w:val="008C23A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link w:val="Hlavika"/>
    <w:uiPriority w:val="99"/>
    <w:semiHidden/>
    <w:rsid w:val="00FC1E20"/>
    <w:rPr>
      <w:sz w:val="24"/>
      <w:lang w:val="en-GB"/>
    </w:rPr>
  </w:style>
  <w:style w:type="paragraph" w:styleId="Pta">
    <w:name w:val="footer"/>
    <w:basedOn w:val="Normlny"/>
    <w:link w:val="PtaChar"/>
    <w:uiPriority w:val="99"/>
    <w:rsid w:val="003D4759"/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Helvetica" w:hAnsi="Helvetica"/>
      <w:sz w:val="14"/>
      <w:lang w:val="en-US"/>
    </w:rPr>
  </w:style>
  <w:style w:type="character" w:customStyle="1" w:styleId="PtaChar">
    <w:name w:val="Päta Char"/>
    <w:link w:val="Pta"/>
    <w:uiPriority w:val="99"/>
    <w:semiHidden/>
    <w:rsid w:val="00FC1E20"/>
    <w:rPr>
      <w:sz w:val="24"/>
      <w:lang w:val="en-GB"/>
    </w:rPr>
  </w:style>
  <w:style w:type="paragraph" w:styleId="Zkladntext">
    <w:name w:val="Body Text"/>
    <w:basedOn w:val="Normlny"/>
    <w:link w:val="ZkladntextChar"/>
    <w:uiPriority w:val="99"/>
    <w:rsid w:val="008C23A2"/>
    <w:pPr>
      <w:jc w:val="both"/>
    </w:pPr>
  </w:style>
  <w:style w:type="character" w:customStyle="1" w:styleId="ZkladntextChar">
    <w:name w:val="Základný text Char"/>
    <w:link w:val="Zkladntext"/>
    <w:uiPriority w:val="99"/>
    <w:semiHidden/>
    <w:rsid w:val="00FC1E20"/>
    <w:rPr>
      <w:sz w:val="24"/>
      <w:lang w:val="en-GB"/>
    </w:rPr>
  </w:style>
  <w:style w:type="character" w:styleId="slostrany">
    <w:name w:val="page number"/>
    <w:uiPriority w:val="99"/>
    <w:rsid w:val="008C23A2"/>
    <w:rPr>
      <w:rFonts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C23A2"/>
    <w:rPr>
      <w:sz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A5207B"/>
    <w:rPr>
      <w:lang w:val="en-GB" w:eastAsia="x-none"/>
    </w:rPr>
  </w:style>
  <w:style w:type="paragraph" w:customStyle="1" w:styleId="TextSUKL">
    <w:name w:val="Text (SUKL)"/>
    <w:basedOn w:val="Normlny"/>
    <w:rsid w:val="008C23A2"/>
    <w:pPr>
      <w:tabs>
        <w:tab w:val="left" w:pos="567"/>
      </w:tabs>
      <w:spacing w:before="120"/>
      <w:jc w:val="both"/>
    </w:pPr>
    <w:rPr>
      <w:sz w:val="22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1A7B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1E20"/>
    <w:rPr>
      <w:sz w:val="0"/>
      <w:szCs w:val="0"/>
      <w:lang w:val="en-GB"/>
    </w:rPr>
  </w:style>
  <w:style w:type="character" w:styleId="Odkaznakomentr">
    <w:name w:val="annotation reference"/>
    <w:uiPriority w:val="99"/>
    <w:semiHidden/>
    <w:rsid w:val="00FE7EF2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FE7EF2"/>
    <w:pPr>
      <w:tabs>
        <w:tab w:val="left" w:pos="1080"/>
      </w:tabs>
      <w:suppressAutoHyphens/>
    </w:pPr>
    <w:rPr>
      <w:sz w:val="20"/>
      <w:lang w:val="en-US" w:eastAsia="en-US"/>
    </w:rPr>
  </w:style>
  <w:style w:type="character" w:customStyle="1" w:styleId="TextkomentraChar">
    <w:name w:val="Text komentára Char"/>
    <w:link w:val="Textkomentra"/>
    <w:uiPriority w:val="99"/>
    <w:semiHidden/>
    <w:rsid w:val="00FC1E20"/>
    <w:rPr>
      <w:lang w:val="en-GB"/>
    </w:rPr>
  </w:style>
  <w:style w:type="character" w:styleId="Odkaznapoznmkupodiarou">
    <w:name w:val="footnote reference"/>
    <w:uiPriority w:val="99"/>
    <w:semiHidden/>
    <w:rsid w:val="00FE7EF2"/>
    <w:rPr>
      <w:vertAlign w:val="superscript"/>
    </w:rPr>
  </w:style>
  <w:style w:type="paragraph" w:customStyle="1" w:styleId="Default">
    <w:name w:val="Default"/>
    <w:rsid w:val="00FE7EF2"/>
    <w:pPr>
      <w:autoSpaceDE w:val="0"/>
      <w:autoSpaceDN w:val="0"/>
      <w:adjustRightInd w:val="0"/>
    </w:pPr>
    <w:rPr>
      <w:rFonts w:ascii="KGFENB+TimesNewRoman" w:eastAsia="SimSun" w:hAnsi="KGFENB+TimesNewRoman" w:cs="KGFENB+TimesNewRoman"/>
      <w:color w:val="000000"/>
      <w:sz w:val="24"/>
      <w:szCs w:val="24"/>
      <w:lang w:val="en-US" w:eastAsia="zh-CN" w:bidi="he-IL"/>
    </w:rPr>
  </w:style>
  <w:style w:type="table" w:styleId="Mriekatabuky">
    <w:name w:val="Table Grid"/>
    <w:basedOn w:val="Normlnatabuka"/>
    <w:uiPriority w:val="59"/>
    <w:rsid w:val="00FE7EF2"/>
    <w:pPr>
      <w:tabs>
        <w:tab w:val="left" w:pos="1080"/>
      </w:tabs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uiPriority w:val="99"/>
    <w:semiHidden/>
    <w:rsid w:val="00A52572"/>
    <w:rPr>
      <w:sz w:val="24"/>
      <w:lang w:val="en-GB"/>
    </w:rPr>
  </w:style>
  <w:style w:type="character" w:styleId="Hypertextovprepojenie">
    <w:name w:val="Hyperlink"/>
    <w:uiPriority w:val="99"/>
    <w:rsid w:val="00CC2C1A"/>
    <w:rPr>
      <w:color w:val="0000FF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5731CC"/>
    <w:pPr>
      <w:tabs>
        <w:tab w:val="clear" w:pos="1080"/>
      </w:tabs>
      <w:suppressAutoHyphens w:val="0"/>
    </w:pPr>
    <w:rPr>
      <w:b/>
      <w:bCs/>
      <w:lang w:val="en-GB" w:eastAsia="sk-SK"/>
    </w:rPr>
  </w:style>
  <w:style w:type="character" w:customStyle="1" w:styleId="PredmetkomentraChar">
    <w:name w:val="Predmet komentára Char"/>
    <w:link w:val="Predmetkomentra"/>
    <w:uiPriority w:val="99"/>
    <w:semiHidden/>
    <w:rsid w:val="00FC1E20"/>
    <w:rPr>
      <w:b/>
      <w:bCs/>
      <w:lang w:val="en-GB"/>
    </w:rPr>
  </w:style>
  <w:style w:type="character" w:styleId="PouitHypertextovPrepojenie">
    <w:name w:val="FollowedHyperlink"/>
    <w:rsid w:val="00434CD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58053-BBBC-4F67-BFCB-5730EBDF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13</Pages>
  <Words>4578</Words>
  <Characters>26095</Characters>
  <Application>Microsoft Office Word</Application>
  <DocSecurity>0</DocSecurity>
  <Lines>217</Lines>
  <Paragraphs>61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SPC</vt:lpstr>
      <vt:lpstr>SPC</vt:lpstr>
    </vt:vector>
  </TitlesOfParts>
  <Company>Solvay Pharma</Company>
  <LinksUpToDate>false</LinksUpToDate>
  <CharactersWithSpaces>30612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</dc:title>
  <dc:creator>magalzx</dc:creator>
  <cp:lastModifiedBy>Valovičová, Monika</cp:lastModifiedBy>
  <cp:revision>281</cp:revision>
  <cp:lastPrinted>2019-11-08T09:09:00Z</cp:lastPrinted>
  <dcterms:created xsi:type="dcterms:W3CDTF">2018-10-24T11:04:00Z</dcterms:created>
  <dcterms:modified xsi:type="dcterms:W3CDTF">2019-11-08T09:09:00Z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