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1B" w:rsidRDefault="00BE581B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bookmarkStart w:id="0" w:name="_GoBack"/>
      <w:bookmarkEnd w:id="0"/>
    </w:p>
    <w:p w:rsidR="0067439C" w:rsidRPr="00DD6D3C" w:rsidRDefault="0067439C" w:rsidP="008B51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D6D3C">
        <w:rPr>
          <w:rFonts w:ascii="Times New Roman" w:hAnsi="Times New Roman"/>
          <w:b/>
          <w:bCs/>
          <w:sz w:val="22"/>
          <w:szCs w:val="22"/>
          <w:lang w:val="sk-SK"/>
        </w:rPr>
        <w:t>SÚHRN CHARAKTERISTICKÝCH VLASTNOSTÍ LIEKU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B93B2D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B66280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>Ibuprofen 400 STADA</w:t>
      </w:r>
    </w:p>
    <w:p w:rsidR="0067439C" w:rsidRPr="00B93B2D" w:rsidRDefault="00B66280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>400 mg filmom obalené tablety</w:t>
      </w:r>
      <w:r w:rsidR="0067439C" w:rsidRPr="00B93B2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KVALITATÍVNE A KVANTITATÍVNE ZLOŽENIE</w:t>
      </w:r>
    </w:p>
    <w:p w:rsidR="0067439C" w:rsidRPr="00260261" w:rsidRDefault="0067439C" w:rsidP="00260261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Každá filmom obalená tableta obsahuje 400 mg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nu</w:t>
      </w:r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Pomocná látka</w:t>
      </w:r>
    </w:p>
    <w:p w:rsid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Každá tableta obsahuje 1,09 mg sodíka.</w:t>
      </w:r>
    </w:p>
    <w:p w:rsidR="0015363D" w:rsidRPr="0015363D" w:rsidRDefault="0015363D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Filmom obalená tableta</w:t>
      </w:r>
    </w:p>
    <w:p w:rsidR="0067439C" w:rsidRPr="00260261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Okrúhle biele </w:t>
      </w:r>
      <w:r w:rsidR="00945784">
        <w:rPr>
          <w:rFonts w:ascii="Times New Roman" w:hAnsi="Times New Roman"/>
          <w:sz w:val="22"/>
          <w:szCs w:val="22"/>
          <w:lang w:val="sk-SK"/>
        </w:rPr>
        <w:t xml:space="preserve">bikonvexné </w:t>
      </w:r>
      <w:r w:rsidRPr="00260261">
        <w:rPr>
          <w:rFonts w:ascii="Times New Roman" w:hAnsi="Times New Roman"/>
          <w:sz w:val="22"/>
          <w:szCs w:val="22"/>
          <w:lang w:val="sk-SK"/>
        </w:rPr>
        <w:t>filmom obalené tablety.</w:t>
      </w:r>
    </w:p>
    <w:p w:rsidR="005B0E22" w:rsidRPr="006743EA" w:rsidRDefault="005B0E2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DD6D3C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caps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260261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Symptomatická liečba bolesti a zápalu pri nasledovných indikáciách: </w:t>
      </w:r>
    </w:p>
    <w:p w:rsidR="0067439C" w:rsidRPr="00260261" w:rsidRDefault="0067439C" w:rsidP="008B517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akútnej artritíde (vrátane záchvatov dny),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chronickej artritíde, osobitne reumatoidnej artritíde (chronickej polyartritíde),</w:t>
      </w:r>
    </w:p>
    <w:p w:rsidR="0067439C" w:rsidRPr="00260261" w:rsidRDefault="0067439C" w:rsidP="00F92AD9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ankylozujúcej spondylitíde (Morbus Bechterev) a iných zápalových reumatických ochoreniach chrbtice, </w:t>
      </w:r>
    </w:p>
    <w:p w:rsidR="0067439C" w:rsidRPr="00260261" w:rsidRDefault="0067439C" w:rsidP="00183B72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stavoch podráždenia objavujúcich sa pri degeneratívnych ochoreniach kĺbov a chrbtice (artróza a spondylartróza),</w:t>
      </w:r>
    </w:p>
    <w:p w:rsidR="0067439C" w:rsidRPr="00260261" w:rsidRDefault="0067439C" w:rsidP="00D75C0A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reumatizme mäkkých tkanív, </w:t>
      </w:r>
    </w:p>
    <w:p w:rsidR="0067439C" w:rsidRPr="00260261" w:rsidRDefault="0067439C" w:rsidP="006743EA">
      <w:pPr>
        <w:widowControl w:val="0"/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bolestivých opuchoch alebo zápaloch v dôsledku poranení.  </w:t>
      </w: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:rsidR="0067439C" w:rsidRPr="00260261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pStyle w:val="Nadpis1"/>
        <w:jc w:val="left"/>
        <w:rPr>
          <w:rFonts w:ascii="Times New Roman" w:hAnsi="Times New Roman"/>
          <w:i w:val="0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i w:val="0"/>
          <w:sz w:val="22"/>
          <w:szCs w:val="22"/>
          <w:u w:val="single"/>
          <w:lang w:val="sk-SK"/>
        </w:rPr>
        <w:t>Dávkovanie</w:t>
      </w:r>
    </w:p>
    <w:p w:rsidR="006743EA" w:rsidRPr="006743EA" w:rsidRDefault="006743EA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DD6D3C" w:rsidRDefault="0067439C" w:rsidP="008B517A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67439C" w:rsidRPr="00B93B2D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sa dávkuje v závislosti od veku a telesnej hmotnosti. Odporúčaná dávka pre dospelých a </w:t>
      </w:r>
      <w:r w:rsidR="00983003">
        <w:rPr>
          <w:rFonts w:ascii="Times New Roman" w:hAnsi="Times New Roman"/>
          <w:sz w:val="22"/>
          <w:szCs w:val="22"/>
          <w:lang w:val="sk-SK"/>
        </w:rPr>
        <w:t>dospievajúcich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od 15 rokov je v rozsahu od 1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>200 mg do 2</w:t>
      </w:r>
      <w:r w:rsidRPr="00B93B2D">
        <w:rPr>
          <w:rFonts w:ascii="Times New Roman" w:hAnsi="Times New Roman"/>
          <w:sz w:val="22"/>
          <w:szCs w:val="22"/>
          <w:lang w:val="sk-SK"/>
        </w:rPr>
        <w:t> 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400 mg </w:t>
      </w: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 xml:space="preserve"> denne. Maximálna jednorazová dávka nesmie presiahnuť 800 mg </w:t>
      </w:r>
      <w:r w:rsidRPr="00B93B2D">
        <w:rPr>
          <w:rFonts w:ascii="Times New Roman" w:hAnsi="Times New Roman"/>
          <w:sz w:val="22"/>
          <w:szCs w:val="22"/>
          <w:lang w:val="sk-SK"/>
        </w:rPr>
        <w:t>ibuprof</w:t>
      </w:r>
      <w:r w:rsidR="00143398">
        <w:rPr>
          <w:rFonts w:ascii="Times New Roman" w:hAnsi="Times New Roman"/>
          <w:sz w:val="22"/>
          <w:szCs w:val="22"/>
          <w:lang w:val="sk-SK"/>
        </w:rPr>
        <w:t>é</w:t>
      </w:r>
      <w:r w:rsidRPr="00B93B2D">
        <w:rPr>
          <w:rFonts w:ascii="Times New Roman" w:hAnsi="Times New Roman"/>
          <w:sz w:val="22"/>
          <w:szCs w:val="22"/>
          <w:lang w:val="sk-SK"/>
        </w:rPr>
        <w:t>nu</w:t>
      </w:r>
      <w:r w:rsidR="0067439C" w:rsidRPr="00B93B2D">
        <w:rPr>
          <w:rFonts w:ascii="Times New Roman" w:hAnsi="Times New Roman"/>
          <w:sz w:val="22"/>
          <w:szCs w:val="22"/>
          <w:lang w:val="sk-SK"/>
        </w:rPr>
        <w:t>.</w:t>
      </w:r>
    </w:p>
    <w:p w:rsidR="00BE581B" w:rsidRDefault="00BE581B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BE581B" w:rsidRPr="00B93B2D" w:rsidRDefault="00BE581B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183B7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5B0E22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B93B2D" w:rsidRDefault="0067439C" w:rsidP="00D75C0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93B2D">
              <w:rPr>
                <w:rFonts w:ascii="Times New Roman" w:hAnsi="Times New Roman"/>
                <w:sz w:val="22"/>
                <w:szCs w:val="22"/>
                <w:lang w:val="sk-SK"/>
              </w:rPr>
              <w:t>Celková denná dávka:</w:t>
            </w:r>
          </w:p>
        </w:tc>
      </w:tr>
      <w:tr w:rsidR="0067439C" w:rsidRPr="002602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E53FD6" w:rsidP="00260261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 xml:space="preserve">Dospievajúci 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(od 15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67439C"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1-2 filmom obalené tablety </w:t>
            </w:r>
          </w:p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(zodpovedá 400-800 mg </w:t>
            </w:r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9C" w:rsidRPr="00260261" w:rsidRDefault="0067439C" w:rsidP="008B517A">
            <w:pPr>
              <w:widowControl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3-6 filmom obalených tabliet (zodpovedá 1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200-2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400 mg </w:t>
            </w:r>
            <w:r w:rsidR="00143398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="007C40E6" w:rsidRPr="00260261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6026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</w:tbl>
    <w:p w:rsidR="00205E72" w:rsidRPr="00260261" w:rsidRDefault="00205E72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260261" w:rsidRDefault="007C40E6" w:rsidP="008B517A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a dospievajúci do 15 rokov nesmú užívať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Ibuprofen 400 STADA, pretože liek obsahuje vysokú dávku liečiva</w:t>
      </w:r>
      <w:r w:rsidRPr="00260261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 s nižšou koncentráciou liečiva.</w:t>
      </w:r>
    </w:p>
    <w:p w:rsidR="007C40E6" w:rsidRPr="00260261" w:rsidRDefault="007C40E6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7C40E6" w:rsidRPr="006743EA" w:rsidRDefault="007C40E6" w:rsidP="00F92AD9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7C40E6" w:rsidRPr="00260261" w:rsidRDefault="007C40E6" w:rsidP="00F92AD9">
      <w:pPr>
        <w:widowControl w:val="0"/>
        <w:rPr>
          <w:rFonts w:ascii="Times New Roman" w:hAnsi="Times New Roman"/>
          <w:i/>
          <w:sz w:val="22"/>
          <w:szCs w:val="22"/>
          <w:lang w:val="sk-SK"/>
        </w:rPr>
      </w:pPr>
    </w:p>
    <w:p w:rsidR="003C0837" w:rsidRDefault="0067439C" w:rsidP="00F92AD9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67439C" w:rsidRPr="00945784" w:rsidRDefault="0067439C" w:rsidP="00F92AD9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  <w:r w:rsidRPr="006743E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67439C" w:rsidRPr="00B93B2D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Filmom obalené tablety sa majú prehĺtať celé s dostatočným množstvom vody a nemajú sa užívať na lačno. Pacientom so žalúdkovými ťažkosťami sa odporúča užívať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Ibuprofen 400 STADA počas jedla. </w:t>
      </w:r>
    </w:p>
    <w:p w:rsidR="0067439C" w:rsidRPr="00B93B2D" w:rsidRDefault="0067439C" w:rsidP="00183B72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Dĺžku liečby stanoví ošetrujúci lekár. </w:t>
      </w:r>
    </w:p>
    <w:p w:rsidR="0067439C" w:rsidRPr="00B93B2D" w:rsidRDefault="0067439C" w:rsidP="005B0E22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>Ibuprofenom 400 STADA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môže byť potrebné dlhšie obdobie.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Nežiaduce účinky možno minimalizovať podávaním najnižšej účinnej dávky počas najkratšej potrebnej doby na kontrolu príznakov (pozri časť 4.4).</w:t>
      </w:r>
    </w:p>
    <w:p w:rsidR="0067439C" w:rsidRPr="00DD6D3C" w:rsidRDefault="0067439C" w:rsidP="0026026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Kontraindikácie 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sz w:val="22"/>
          <w:szCs w:val="22"/>
          <w:lang w:val="sk-SK"/>
        </w:rPr>
        <w:t>Ibuprofen 400 STADA sa nesmie používať u: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so známou precitlivenosťou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liečivo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alebo na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z pomocných látok,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 neobjasnenými poruchami krvotvorby, </w:t>
      </w:r>
    </w:p>
    <w:p w:rsidR="0067439C" w:rsidRPr="00260261" w:rsidRDefault="0067439C" w:rsidP="008B517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pacientov s cerebrovaskulárnym alebo iným aktívnym krvácaním, </w:t>
      </w:r>
    </w:p>
    <w:p w:rsidR="0067439C" w:rsidRPr="00260261" w:rsidRDefault="0067439C" w:rsidP="00F92AD9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pacientov s gastrointestinálnym krvácaním alebo perforáciou vo vzťahu k predchádzajúcej terapii NSAID,</w:t>
      </w:r>
    </w:p>
    <w:p w:rsidR="0067439C" w:rsidRPr="00260261" w:rsidRDefault="0067439C" w:rsidP="00183B7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pacientov s aktívnym alebo rekurentným peptickým vredom/krvácaním (dva alebo viac prípadov potvrdeného vredu alebo krvácania),</w:t>
      </w:r>
    </w:p>
    <w:p w:rsidR="0067439C" w:rsidRPr="006743EA" w:rsidRDefault="0067439C" w:rsidP="005B0E22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závažné srdcové zlyhanie</w:t>
      </w:r>
      <w:r w:rsidR="00DA6232" w:rsidRPr="00260261">
        <w:rPr>
          <w:rFonts w:ascii="Times New Roman" w:hAnsi="Times New Roman"/>
          <w:sz w:val="22"/>
          <w:szCs w:val="22"/>
          <w:lang w:val="sk-SK"/>
        </w:rPr>
        <w:t xml:space="preserve"> (trieda IV NYHA)</w:t>
      </w:r>
      <w:r w:rsidRPr="006743EA">
        <w:rPr>
          <w:rFonts w:ascii="Times New Roman" w:hAnsi="Times New Roman"/>
          <w:sz w:val="22"/>
          <w:szCs w:val="22"/>
          <w:lang w:val="sk-SK"/>
        </w:rPr>
        <w:t>,</w:t>
      </w:r>
    </w:p>
    <w:p w:rsidR="0067439C" w:rsidRPr="00DD6D3C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gravidných žien v poslednom trimestri gravidity,</w:t>
      </w:r>
    </w:p>
    <w:p w:rsidR="0067439C" w:rsidRPr="00B93B2D" w:rsidRDefault="0067439C" w:rsidP="00D75C0A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Deti a </w:t>
      </w:r>
      <w:r w:rsidR="00E53FD6" w:rsidRPr="00B93B2D">
        <w:rPr>
          <w:rFonts w:ascii="Times New Roman" w:hAnsi="Times New Roman"/>
          <w:sz w:val="22"/>
          <w:szCs w:val="22"/>
          <w:lang w:val="sk-SK"/>
        </w:rPr>
        <w:t>dospievajúci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do 15 rokov nesmú užívať 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>Ibuprofen 400 STADA</w:t>
      </w:r>
      <w:r w:rsidR="00E53FD6" w:rsidRPr="00B93B2D"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pretože liek obsahuje vysokú dávku liečiva</w:t>
      </w:r>
      <w:r w:rsidRPr="00B93B2D">
        <w:rPr>
          <w:rFonts w:ascii="Times New Roman" w:hAnsi="Times New Roman"/>
          <w:sz w:val="22"/>
          <w:szCs w:val="22"/>
          <w:lang w:val="sk-SK"/>
        </w:rPr>
        <w:t>. Pre túto vekovú skupinu sú dostupné lieky s 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>om s nižšou koncentráciou liečiva.</w:t>
      </w:r>
    </w:p>
    <w:p w:rsidR="0067439C" w:rsidRPr="00B93B2D" w:rsidRDefault="0067439C" w:rsidP="006743EA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DD6D3C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Deti do 6 rokov nesmú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pretože v tejto vekovej skupine nie sú dostatočné skúsenosti. </w:t>
      </w:r>
    </w:p>
    <w:p w:rsidR="0067439C" w:rsidRPr="00B93B2D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Bezpečnostné opatrenia</w:t>
      </w:r>
    </w:p>
    <w:p w:rsidR="0067439C" w:rsidRPr="00260261" w:rsidRDefault="00143398" w:rsidP="008B517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možno použiť len po starostlivom zvážení očakávaného prospechu k možným rizikám u pacientov s: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vrodenou poruchou metabolizmu porfyrínu (napr. akútna intermitentná porfýria),</w:t>
      </w:r>
    </w:p>
    <w:p w:rsidR="0067439C" w:rsidRPr="00260261" w:rsidRDefault="0067439C" w:rsidP="008B517A">
      <w:pPr>
        <w:widowControl w:val="0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systémovým lupus erythematosus (SLE) alebo so zmiešanými ochoreniami spojivového tkaniva (MCTD).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Osobitný starostlivý lekársky dohľad je potrebný u pacientov s: </w:t>
      </w:r>
    </w:p>
    <w:p w:rsidR="0067439C" w:rsidRPr="006743EA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existujúc</w:t>
      </w:r>
      <w:r w:rsidR="006743EA">
        <w:rPr>
          <w:rFonts w:ascii="Times New Roman" w:hAnsi="Times New Roman"/>
          <w:sz w:val="22"/>
          <w:szCs w:val="22"/>
          <w:lang w:val="sk-SK"/>
        </w:rPr>
        <w:t>ou poruchou funkcie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5784">
        <w:rPr>
          <w:rFonts w:ascii="Times New Roman" w:hAnsi="Times New Roman"/>
          <w:sz w:val="22"/>
          <w:szCs w:val="22"/>
          <w:lang w:val="sk-SK"/>
        </w:rPr>
        <w:t>obličiek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ťažk</w:t>
      </w:r>
      <w:r w:rsidR="008B517A" w:rsidRPr="00945784">
        <w:rPr>
          <w:rFonts w:ascii="Times New Roman" w:hAnsi="Times New Roman"/>
          <w:sz w:val="22"/>
          <w:szCs w:val="22"/>
          <w:lang w:val="sk-SK"/>
        </w:rPr>
        <w:t>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po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ruchou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funkcie pečene,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lastRenderedPageBreak/>
        <w:t xml:space="preserve">väčším chirurgickým zákrokom (okamžitom po ňom), </w:t>
      </w:r>
    </w:p>
    <w:p w:rsidR="0067439C" w:rsidRPr="00B93B2D" w:rsidRDefault="0067439C" w:rsidP="008B517A">
      <w:pPr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u starších pacientov.</w:t>
      </w:r>
    </w:p>
    <w:p w:rsidR="0067439C" w:rsidRPr="00B93B2D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Pred začatím liečby u pacientov s hypertenziou a/alebo zlyhávaním srdca je potrebná opatrnosť (konzultácia s lekárom alebo lekárnikom), pretože v súvislosti s liečbou </w:t>
      </w:r>
      <w:r w:rsidR="007C40E6" w:rsidRPr="00B93B2D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 boli hlásené retencia tekutín, hypertenzia a edémy.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bCs/>
          <w:sz w:val="22"/>
          <w:szCs w:val="22"/>
          <w:lang w:val="sk-SK"/>
        </w:rPr>
        <w:t xml:space="preserve">Ibuprofen 400 STADA </w:t>
      </w:r>
      <w:r w:rsidRPr="00B93B2D">
        <w:rPr>
          <w:rFonts w:ascii="Times New Roman" w:hAnsi="Times New Roman"/>
          <w:sz w:val="22"/>
          <w:szCs w:val="22"/>
          <w:lang w:val="sk-SK"/>
        </w:rPr>
        <w:t>sa nes</w:t>
      </w:r>
      <w:r w:rsidRPr="003C0837">
        <w:rPr>
          <w:rFonts w:ascii="Times New Roman" w:hAnsi="Times New Roman"/>
          <w:sz w:val="22"/>
          <w:szCs w:val="22"/>
          <w:lang w:val="sk-SK"/>
        </w:rPr>
        <w:t>mie podávať súbežne s iným NSAID vrátane selektívnych inhibítorov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cyklooxyganázy-2. </w:t>
      </w: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Starší pacienti: majú zvýšenú frekvenciu výskytu nežiaducich účinkov spôsobených užívaním 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najmä gastrointestinálne krvácanie a perforácia, ktoré môžu byť fatálne (pozri časť 4.2).</w:t>
      </w:r>
    </w:p>
    <w:p w:rsidR="0067439C" w:rsidRPr="006743EA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6743EA">
        <w:rPr>
          <w:rFonts w:ascii="Times New Roman" w:hAnsi="Times New Roman"/>
          <w:sz w:val="22"/>
          <w:szCs w:val="22"/>
          <w:lang w:val="sk-SK"/>
        </w:rPr>
        <w:t xml:space="preserve">Gastrointestinálne krvácanie, vredy a perforácia: GIT krvácania, ulcerácia a perforácia, ktoré môžu byť smrteľné, sú popísané u všetkých </w:t>
      </w:r>
      <w:r w:rsidR="007C40E6" w:rsidRPr="00DD6D3C">
        <w:rPr>
          <w:rFonts w:ascii="Times New Roman" w:hAnsi="Times New Roman"/>
          <w:sz w:val="22"/>
          <w:szCs w:val="22"/>
          <w:lang w:val="sk-SK"/>
        </w:rPr>
        <w:t>NSAID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a môžu sa vyskytnúť kedykoľvek po</w:t>
      </w:r>
      <w:r w:rsidRPr="00B93B2D">
        <w:rPr>
          <w:rFonts w:ascii="Times New Roman" w:hAnsi="Times New Roman"/>
          <w:sz w:val="22"/>
          <w:szCs w:val="22"/>
          <w:lang w:val="sk-SK"/>
        </w:rPr>
        <w:t>čas liečby, a to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alebo bez varovných príznakov alebo predchádzajúcej anamnézy závažných gastrointestinálnych príhod.</w:t>
      </w:r>
    </w:p>
    <w:p w:rsidR="0067439C" w:rsidRPr="00B93B2D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Riziko gastrointestinálneho krvácania, ulcerácie a perforácie sa zvyšuje so zvyšujúcou sa dávkou NSAID, u pacientov s anamnézou vredovej choroby, obzvlášť ak bola komplikovaná s krvácaním alebo perforáciou (pozri časť 4.3) a u starších pacientov. U takýchto pacientov treba začať s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najnižšou možnou dávkou. U týchto pacientov a tiež u pacientov vyžadujúcich súbežnú liečbu nízkymi dávkami kyseliny acetylsalicylovej alebo iných látok zvyšujúcich </w:t>
      </w:r>
      <w:r w:rsidRPr="003C0837">
        <w:rPr>
          <w:rFonts w:ascii="Times New Roman" w:hAnsi="Times New Roman"/>
          <w:sz w:val="22"/>
          <w:szCs w:val="22"/>
          <w:lang w:val="sk-SK"/>
        </w:rPr>
        <w:t>gastrointestinálne riziko by sa malo zvážiť súbežné podávanie protektívnej liečby (napr. misoprostol alebo inhibítory protónovej pumpy).</w:t>
      </w: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>Pacienti s anamnézou gastrointestinálnej toxicity, najmä starší pacienti, majú informovať o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akýchkoľvek nezvyčajných abdominálnych príznakoch (najmä GI krvácania) obzvlášť na začiatku liečby.</w:t>
      </w:r>
    </w:p>
    <w:p w:rsidR="0067439C" w:rsidRPr="0048338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>Zvýšenú opatrnosť je treba u pacientov liečených súbežne liekmi, ktoré môžu zvyšovať riziko ulcerácie alebo krvácania, ako sú perorálne kortikosteroidy, antikoagulanciá ako warfarín, SSR</w:t>
      </w:r>
      <w:r w:rsidRPr="00317F6D">
        <w:rPr>
          <w:rFonts w:ascii="Times New Roman" w:hAnsi="Times New Roman"/>
          <w:sz w:val="22"/>
          <w:szCs w:val="22"/>
          <w:lang w:val="sk-SK"/>
        </w:rPr>
        <w:t xml:space="preserve">I </w:t>
      </w:r>
      <w:r w:rsidRPr="00483381">
        <w:rPr>
          <w:rFonts w:ascii="Times New Roman" w:hAnsi="Times New Roman"/>
          <w:sz w:val="22"/>
          <w:szCs w:val="22"/>
          <w:lang w:val="sk-SK"/>
        </w:rPr>
        <w:t>alebo antiagregačné lieky ako je kyselina acetylsalicylová (pozri časť 4.5).</w:t>
      </w: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511A2">
        <w:rPr>
          <w:rFonts w:ascii="Times New Roman" w:hAnsi="Times New Roman"/>
          <w:sz w:val="22"/>
          <w:szCs w:val="22"/>
          <w:lang w:val="sk-SK"/>
        </w:rPr>
        <w:t xml:space="preserve">Ak sa u pacienta liečeného </w:t>
      </w:r>
      <w:r w:rsidRPr="007511A2">
        <w:rPr>
          <w:rFonts w:ascii="Times New Roman" w:hAnsi="Times New Roman"/>
          <w:bCs/>
          <w:sz w:val="22"/>
          <w:szCs w:val="22"/>
          <w:lang w:val="sk-SK"/>
        </w:rPr>
        <w:t xml:space="preserve">Ibuprofen 400 STADA </w:t>
      </w:r>
      <w:r w:rsidRPr="007511A2">
        <w:rPr>
          <w:rFonts w:ascii="Times New Roman" w:hAnsi="Times New Roman"/>
          <w:sz w:val="22"/>
          <w:szCs w:val="22"/>
          <w:lang w:val="sk-SK"/>
        </w:rPr>
        <w:t xml:space="preserve">objaví GI krvácanie alebo ulcerácia, liek sa musí vysadiť. </w:t>
      </w:r>
    </w:p>
    <w:p w:rsidR="0067439C" w:rsidRPr="000B6AAA" w:rsidRDefault="0067439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983003" w:rsidRDefault="007C40E6" w:rsidP="00B93B2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21EF9">
        <w:rPr>
          <w:rFonts w:ascii="Times New Roman" w:hAnsi="Times New Roman"/>
          <w:sz w:val="22"/>
          <w:szCs w:val="22"/>
          <w:lang w:val="sk-SK"/>
        </w:rPr>
        <w:t>NSAID</w:t>
      </w:r>
      <w:r w:rsidR="0067439C" w:rsidRPr="00762C96">
        <w:rPr>
          <w:rFonts w:ascii="Times New Roman" w:hAnsi="Times New Roman"/>
          <w:sz w:val="22"/>
          <w:szCs w:val="22"/>
          <w:lang w:val="sk-SK"/>
        </w:rPr>
        <w:t xml:space="preserve"> sa majú podávať s opatrnosťou u pacientov s anamnézou gastrointes</w:t>
      </w:r>
      <w:r w:rsidR="0067439C" w:rsidRPr="00983003">
        <w:rPr>
          <w:rFonts w:ascii="Times New Roman" w:hAnsi="Times New Roman"/>
          <w:sz w:val="22"/>
          <w:szCs w:val="22"/>
          <w:lang w:val="sk-SK"/>
        </w:rPr>
        <w:t>tinálnych ochorení (ulcerózna kolitída, Crohnova choroba), pretože by mohlo dôjsť k exacerbácii týchto ochorení.</w:t>
      </w:r>
    </w:p>
    <w:p w:rsidR="0067439C" w:rsidRPr="00260261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6743EA" w:rsidRDefault="0067439C" w:rsidP="00B93B2D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veľmi zriedkavo hlásili závažné kožné reakcie, a to exfoliatívna dermatitída, Stevensov-Johnsonov syndróm a toxická epidermálna nekrolýza, niektoré z nich fatálne. Zdá sa, že najvyššie riziko je na začiatku liečby; väčšina z nich sa objavila v prvom mesiaci liečby.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Ibuprofen 400 STADA sa má vysadiť </w:t>
      </w:r>
      <w:r w:rsidRPr="00260261">
        <w:rPr>
          <w:rFonts w:ascii="Times New Roman" w:hAnsi="Times New Roman"/>
          <w:sz w:val="22"/>
          <w:szCs w:val="22"/>
          <w:lang w:val="sk-SK"/>
        </w:rPr>
        <w:t>pri prvom výskyte kožných vyrážok, mukóznych lézií alebo iných prejavov hypersenzitivity.</w:t>
      </w:r>
    </w:p>
    <w:p w:rsidR="0067439C" w:rsidRPr="00DD6D3C" w:rsidRDefault="0067439C" w:rsidP="00B93B2D">
      <w:pPr>
        <w:widowControl w:val="0"/>
        <w:rPr>
          <w:rFonts w:ascii="Times New Roman" w:hAnsi="Times New Roman"/>
          <w:color w:val="FF0000"/>
          <w:sz w:val="22"/>
          <w:szCs w:val="22"/>
          <w:lang w:val="sk-SK"/>
        </w:rPr>
      </w:pP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Pacienti, ktorí </w:t>
      </w:r>
      <w:r w:rsidR="00404D19" w:rsidRPr="00B93B2D">
        <w:rPr>
          <w:rFonts w:ascii="Times New Roman" w:hAnsi="Times New Roman"/>
          <w:sz w:val="22"/>
          <w:szCs w:val="22"/>
          <w:lang w:val="sk-SK"/>
        </w:rPr>
        <w:t>majú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sennú nádchu, nosové polypy alebo na chronické obštrukčné ochorenie dýchacích ciest a pacienti s precitlivenosťou na iné analgetiká a antireumatiká zo skupiny nesteroidových antiflogistík/analgetík môžu užívať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iba so špeciálnou opatrnosťou (v</w:t>
      </w:r>
      <w:r w:rsidR="008B517A" w:rsidRPr="003C0837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stave pohotovosti) a pod priamym dohľadom lekára, pretože majú zvýšené riziko výskytu alergických reakcií. Môžu sa prejaviť ako záchvaty astmy (takzvaná analgetická astma), </w:t>
      </w:r>
      <w:r w:rsidR="005873F3" w:rsidRPr="003C0837">
        <w:rPr>
          <w:rFonts w:ascii="Times New Roman" w:hAnsi="Times New Roman"/>
          <w:sz w:val="22"/>
          <w:szCs w:val="22"/>
          <w:lang w:val="sk-SK"/>
        </w:rPr>
        <w:t>angioedém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 alebo žihľavka.</w:t>
      </w:r>
    </w:p>
    <w:p w:rsidR="0067439C" w:rsidRPr="003C0837" w:rsidRDefault="0067439C" w:rsidP="00B93B2D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17F6D" w:rsidRDefault="0067439C" w:rsidP="00260261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Osobitná opatrnosť je tiež potrebná u pacientov s reakciami precitlivenosti (alergiou) na iné liečivá, pretože majú tiež zvýšené riziko výskytu alergických rekcií po použití </w:t>
      </w:r>
      <w:r w:rsidRPr="00317F6D">
        <w:rPr>
          <w:rFonts w:ascii="Times New Roman" w:hAnsi="Times New Roman"/>
          <w:bCs/>
          <w:sz w:val="22"/>
          <w:szCs w:val="22"/>
          <w:lang w:val="sk-SK"/>
        </w:rPr>
        <w:t>Ibuprofenu 400 STADA.</w:t>
      </w:r>
    </w:p>
    <w:p w:rsidR="0067439C" w:rsidRPr="00483381" w:rsidRDefault="0067439C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7511A2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7511A2">
        <w:rPr>
          <w:rFonts w:ascii="Times New Roman" w:hAnsi="Times New Roman"/>
          <w:sz w:val="22"/>
          <w:szCs w:val="22"/>
          <w:lang w:val="sk-SK"/>
        </w:rPr>
        <w:t xml:space="preserve"> môže dočasne inhibovať agregáciu trombocytov. Pacienti s poruchami krvnej zrážavosti musia byť preto starostlivo sledovaní.</w:t>
      </w:r>
    </w:p>
    <w:p w:rsidR="0067439C" w:rsidRPr="000B6AA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762C96">
        <w:rPr>
          <w:rFonts w:ascii="Times New Roman" w:hAnsi="Times New Roman"/>
          <w:sz w:val="22"/>
          <w:szCs w:val="22"/>
          <w:lang w:val="sk-SK"/>
        </w:rPr>
        <w:t xml:space="preserve">Súbežné používanie </w:t>
      </w:r>
      <w:r w:rsidRPr="00762C96">
        <w:rPr>
          <w:rFonts w:ascii="Times New Roman" w:hAnsi="Times New Roman"/>
          <w:bCs/>
          <w:sz w:val="22"/>
          <w:szCs w:val="22"/>
          <w:lang w:val="sk-SK"/>
        </w:rPr>
        <w:t>Ibuprofenu 400 STADA</w:t>
      </w:r>
      <w:r w:rsidRPr="00762C96">
        <w:rPr>
          <w:rFonts w:ascii="Times New Roman" w:hAnsi="Times New Roman"/>
          <w:sz w:val="22"/>
          <w:szCs w:val="22"/>
          <w:lang w:val="sk-SK"/>
        </w:rPr>
        <w:t xml:space="preserve"> a liekov s obsahom lítia alebo draslík šetriacimi diur</w:t>
      </w:r>
      <w:r w:rsidRPr="00983003">
        <w:rPr>
          <w:rFonts w:ascii="Times New Roman" w:hAnsi="Times New Roman"/>
          <w:sz w:val="22"/>
          <w:szCs w:val="22"/>
          <w:lang w:val="sk-SK"/>
        </w:rPr>
        <w:t xml:space="preserve">etikami si vyžaduje kontrolu koncentrácie lítia a draslíka v krvi (pozri časť </w:t>
      </w:r>
      <w:r w:rsidRPr="00260261">
        <w:rPr>
          <w:rFonts w:ascii="Times New Roman" w:hAnsi="Times New Roman"/>
          <w:sz w:val="22"/>
          <w:szCs w:val="22"/>
          <w:lang w:val="sk-SK"/>
        </w:rPr>
        <w:t>4.5).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Klinické štúdie ukazujú, že súbežné používanie </w:t>
      </w:r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bCs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oslabuje inhibičný účinok kyseliny acetylsalicylovej na agregáciu trombocytov. Táto interakcia môže znížiť požadovaný ochranný účinok  kyseliny acetylsalicylovej na kardiovaskulárny systém. </w:t>
      </w:r>
      <w:r w:rsidR="00143398">
        <w:rPr>
          <w:rFonts w:ascii="Times New Roman" w:hAnsi="Times New Roman"/>
          <w:bCs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 xml:space="preserve"> sa má preto používať iba s mimoriadnou opatrnosťou u pacientov, ktorí užívajú kyselinu acetylsalicylovú na inhibíciu agregácie trombocytov </w:t>
      </w:r>
      <w:r w:rsidRPr="00260261">
        <w:rPr>
          <w:rFonts w:ascii="Times New Roman" w:hAnsi="Times New Roman"/>
          <w:sz w:val="22"/>
          <w:szCs w:val="22"/>
          <w:lang w:val="sk-SK"/>
        </w:rPr>
        <w:t>(pozri časť 4.5).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260261">
        <w:rPr>
          <w:rFonts w:ascii="Times New Roman" w:hAnsi="Times New Roman"/>
          <w:i/>
          <w:iCs/>
          <w:sz w:val="22"/>
          <w:szCs w:val="22"/>
          <w:lang w:val="sk-SK"/>
        </w:rPr>
        <w:t>Ďalšie bezpečnostné opatrenia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Pri dlhodobom používaní Ibuprofenu 400 STADA sú potrebné pravidelné kontroly funkcie pe</w:t>
      </w:r>
      <w:r w:rsidRPr="006743EA">
        <w:rPr>
          <w:rFonts w:ascii="Times New Roman" w:hAnsi="Times New Roman"/>
          <w:sz w:val="22"/>
          <w:szCs w:val="22"/>
          <w:lang w:val="sk-SK"/>
        </w:rPr>
        <w:t>čene a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obličiek a krvného obrazu.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Dlhodobé používanie vysokých dávok analgetík, ktoré nie sú opodstatnené, môže vyvolať bolesti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hlavy, ktoré sa nesmú liečiť zvýšením dávok týchto liekov. </w:t>
      </w:r>
    </w:p>
    <w:p w:rsidR="0067439C" w:rsidRPr="00B93B2D" w:rsidRDefault="0067439C" w:rsidP="00260261">
      <w:pPr>
        <w:widowControl w:val="0"/>
        <w:rPr>
          <w:rFonts w:ascii="Times New Roman" w:hAnsi="Times New Roman"/>
          <w:sz w:val="22"/>
          <w:szCs w:val="22"/>
          <w:highlight w:val="green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Všeobecne môže návykové používanie analgetík, osobitne ak sa užíva viacero analgetík v</w:t>
      </w:r>
      <w:r w:rsidR="008B517A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kombinácii, spôsobiť trvalé poškodenie obličiek s rizikom zlyhania obličiek (analgetická nefropatia).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>Nežiaduce účinky sa môžu minimalizovať použitím najmenšej účinnej dávky počas najkratšieho obdobia, ktoré je potrebné na kontrolu symptómov (pozri GI a kardiovaskulárne riziko nižšie).</w:t>
      </w:r>
    </w:p>
    <w:p w:rsidR="00205E72" w:rsidRPr="003C0837" w:rsidRDefault="00205E7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i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i/>
          <w:sz w:val="22"/>
          <w:szCs w:val="22"/>
          <w:lang w:val="sk-SK"/>
        </w:rPr>
        <w:t>Kardiovaskulárne a cerebrovaskulárne účinky</w:t>
      </w:r>
    </w:p>
    <w:p w:rsidR="00DA6232" w:rsidRPr="00DD6D3C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Klinické štúdie naznačili, že používanie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 (napr. (1 200 mg denne) boli spojené so zvýšeným rizikom arteriálnych trombotických udalostí.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97742" w:rsidRPr="006743EA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Pacienti s nekontrolovanou hypertenziou, kongestívnym zlyhaním srdca (triedy II – III NYHA), diagnostikovaným ischemickým ochorením srdca, ochorením periférnych artérií a cerebrovaskulárnym ochorením majú byť liečení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om len po dôkladnom zvážení a nemajú sa používať vysoké dávky (2 400 mg denne). </w:t>
      </w:r>
    </w:p>
    <w:p w:rsidR="00D97742" w:rsidRPr="00260261" w:rsidRDefault="00D97742" w:rsidP="008B517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A6232" w:rsidRDefault="00D97742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u (2 400 mg/denne).</w:t>
      </w:r>
    </w:p>
    <w:p w:rsidR="00DE4720" w:rsidRDefault="00DE4720" w:rsidP="00260261">
      <w:pPr>
        <w:rPr>
          <w:rFonts w:ascii="Times New Roman" w:hAnsi="Times New Roman"/>
          <w:color w:val="000000"/>
          <w:sz w:val="22"/>
          <w:szCs w:val="22"/>
          <w:lang w:val="sk-SK" w:eastAsia="sk-SK"/>
        </w:rPr>
      </w:pPr>
    </w:p>
    <w:p w:rsidR="00DE4720" w:rsidRPr="003D68C1" w:rsidRDefault="00DE4720" w:rsidP="00DE4720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3D68C1">
        <w:rPr>
          <w:rFonts w:ascii="Times New Roman" w:hAnsi="Times New Roman" w:cs="Times New Roman"/>
          <w:i/>
          <w:sz w:val="22"/>
          <w:szCs w:val="22"/>
        </w:rPr>
        <w:t xml:space="preserve">Závažné kožné reakcie </w:t>
      </w: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E4720" w:rsidRDefault="00DE4720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363D" w:rsidRDefault="0015363D" w:rsidP="00DE472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Pomocná látka</w:t>
      </w:r>
    </w:p>
    <w:p w:rsidR="0015363D" w:rsidRPr="0015363D" w:rsidRDefault="0015363D" w:rsidP="0015363D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  <w:u w:val="single"/>
        </w:rPr>
        <w:t>tablete</w:t>
      </w:r>
      <w:r w:rsidRPr="0015363D">
        <w:rPr>
          <w:rFonts w:ascii="Times New Roman" w:hAnsi="Times New Roman" w:cs="Times New Roman"/>
          <w:sz w:val="22"/>
          <w:szCs w:val="22"/>
          <w:u w:val="single"/>
        </w:rPr>
        <w:t xml:space="preserve">, t.j. v podstate zanedbateľné množstvo </w:t>
      </w:r>
    </w:p>
    <w:p w:rsidR="00DE4720" w:rsidRPr="006743EA" w:rsidRDefault="0015363D" w:rsidP="003D68C1">
      <w:pPr>
        <w:pStyle w:val="Default"/>
        <w:rPr>
          <w:rFonts w:ascii="Times New Roman" w:hAnsi="Times New Roman"/>
          <w:bCs/>
          <w:sz w:val="22"/>
          <w:szCs w:val="22"/>
        </w:rPr>
      </w:pPr>
      <w:r w:rsidRPr="0015363D">
        <w:rPr>
          <w:rFonts w:ascii="Times New Roman" w:hAnsi="Times New Roman" w:cs="Times New Roman"/>
          <w:sz w:val="22"/>
          <w:szCs w:val="22"/>
          <w:u w:val="single"/>
        </w:rPr>
        <w:t>sodíka.</w:t>
      </w:r>
    </w:p>
    <w:p w:rsidR="0067439C" w:rsidRPr="00DD6D3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Kortikosteroidy: zvýšené riziko gastrointestinálnych vredov alebo krvácania.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Antikoagulačné lieky: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môžu zvyšovať účinok antikoagulačných liekov ako je warfarín.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Antiagregačné lieky a SSRI: zvýšené riziko gastrointestinálneho krvácania.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 liekov s obsahom digoxínu, fenytoínu alebo lítia môže zvýšiť</w:t>
      </w:r>
    </w:p>
    <w:p w:rsidR="0067439C" w:rsidRPr="00260261" w:rsidRDefault="0067439C" w:rsidP="00183B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plazmatické koncentrácie týchto liekov. Je potrebná kontrola sérovej hladiny lítia. 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účinky diuretík a antihypertenzív.</w:t>
      </w:r>
    </w:p>
    <w:p w:rsidR="0067439C" w:rsidRPr="00260261" w:rsidRDefault="0067439C" w:rsidP="00F2172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21729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môže oslabiť inhibičný účinok nízkych dávok kyseliny acetylsalicylovej na agregáciu trombocytov (pozri časť 4.4).</w:t>
      </w:r>
    </w:p>
    <w:p w:rsidR="0067439C" w:rsidRPr="00260261" w:rsidRDefault="0067439C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143398" w:rsidP="005B0E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môže znížiť účinok ACE inhibítorov. Súbežné použitie týchto liekov môže ďalej zvyšovať riziko po</w:t>
      </w:r>
      <w:r w:rsidR="00EF572B" w:rsidRPr="00260261">
        <w:rPr>
          <w:rFonts w:ascii="Times New Roman" w:hAnsi="Times New Roman"/>
          <w:sz w:val="22"/>
          <w:szCs w:val="22"/>
          <w:lang w:val="sk-SK"/>
        </w:rPr>
        <w:t>ruchy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funkcie obličiek. </w:t>
      </w: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D75C0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 draslík šetriacich diuretík môže vyvolať hyperkaliémiu.</w:t>
      </w: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6743E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Súbežné použitie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 inými nesteroidovými antiflogistikami alebo glukokortiko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stero</w:t>
      </w:r>
      <w:r w:rsidRPr="00260261">
        <w:rPr>
          <w:rFonts w:ascii="Times New Roman" w:hAnsi="Times New Roman"/>
          <w:sz w:val="22"/>
          <w:szCs w:val="22"/>
          <w:lang w:val="sk-SK"/>
        </w:rPr>
        <w:t>idmi zvyšuje riziko nežiaducich účinkov na gastrointestinálny trakt.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Podanie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24 hodín pred alebo po podaní metotrexátu môže vyvolať zvýšenie koncentrácií metotrexátu a zvýšiť toxické účinky metotrexátu.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Riziko toxického účinku cyklosporínu na obličky sa môže zvýšiť pri súbežnom podaní určitých antiflogistík. Tento účinok nemožno vylúčiť ani pri použití kombinácie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 cyklosporínu.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Lieky, ktoré obsahujú probenecid alebo sulfinpyraz</w:t>
      </w:r>
      <w:r w:rsidR="006219BF" w:rsidRPr="00260261">
        <w:rPr>
          <w:rFonts w:ascii="Times New Roman" w:hAnsi="Times New Roman"/>
          <w:sz w:val="22"/>
          <w:szCs w:val="22"/>
          <w:lang w:val="sk-SK"/>
        </w:rPr>
        <w:t>ó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n môžu spomaliť vylučovanie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jednotlivých prípadoch sa popísali interakcie medzi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om a antikoagulanciami. Pacientom, ktorí sa súbežne liečia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om a antikoagulanciom sa preto má kontrolovať zrážavosť krvi.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Klinické skúšania ukázali liekové interakcie medzi nesteroidovými antiflogistikami a perorálnymi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antidiabetikami (sulfonylmočovinou). Hoci sa doteraz neobjavili interakcie medzi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om a perorálnymi antidiabetikami, u pacientov so súbežnou liečbou sa odporúča kontrola koncentrácie krvnej glukózy, aby sa predišlo možným ťažkostiam. </w:t>
      </w: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 w:eastAsia="sk-SK"/>
        </w:rPr>
        <w:t xml:space="preserve">Kyselina acetylsalicylová </w:t>
      </w:r>
    </w:p>
    <w:p w:rsidR="00D97742" w:rsidRPr="00260261" w:rsidRDefault="00D97742" w:rsidP="00183B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>Sú</w:t>
      </w:r>
      <w:r w:rsidR="006743EA">
        <w:rPr>
          <w:rFonts w:ascii="Times New Roman" w:hAnsi="Times New Roman"/>
          <w:color w:val="000000"/>
          <w:sz w:val="22"/>
          <w:szCs w:val="22"/>
          <w:lang w:val="sk-SK" w:eastAsia="sk-SK"/>
        </w:rPr>
        <w:t>bež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né podávanie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u a kyseliny acetylsalicylovej sa neodporúča z dôvodu možných zvýšených nežiaducich udalostí. </w:t>
      </w:r>
    </w:p>
    <w:p w:rsidR="00DA6232" w:rsidRPr="006743EA" w:rsidRDefault="00D97742" w:rsidP="0026026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Experimentálne údaje naznačujú, že </w:t>
      </w:r>
      <w:r w:rsidR="00143398">
        <w:rPr>
          <w:rFonts w:ascii="Times New Roman" w:hAnsi="Times New Roman"/>
          <w:color w:val="000000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môže pri sú</w:t>
      </w:r>
      <w:r w:rsidR="00317F6D">
        <w:rPr>
          <w:rFonts w:ascii="Times New Roman" w:hAnsi="Times New Roman"/>
          <w:color w:val="000000"/>
          <w:sz w:val="22"/>
          <w:szCs w:val="22"/>
          <w:lang w:val="sk-SK" w:eastAsia="sk-SK"/>
        </w:rPr>
        <w:t>bežnom</w:t>
      </w:r>
      <w:r w:rsidRPr="00260261"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 dávkovaní kompetitívne inhibovať účinok nízkej dávky kyseliny acetylsalicylovej na agregáciu trombocytov. Hoci existujú nejasnosti 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s ohľadom na extrapoláciu týchto údajov na klinickú situáciu, nedá sa vylúčiť možnosť, že pravidelné, dlhodobé používanie </w:t>
      </w:r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 xml:space="preserve">u môže znížiť kardioprotektívny účinok nízkej dávky kyseliny acetylsalicylovej. V prípade príležitostného používania </w:t>
      </w:r>
      <w:r w:rsidR="00143398">
        <w:rPr>
          <w:rFonts w:ascii="Times New Roman" w:hAnsi="Times New Roman"/>
          <w:sz w:val="22"/>
          <w:szCs w:val="22"/>
          <w:lang w:val="sk-SK" w:eastAsia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 w:eastAsia="sk-SK"/>
        </w:rPr>
        <w:t>u sa žiaden klinicky relevantný účinok nepovažuje za pravdepodobný (pozri časť 5.1).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r w:rsidR="006743EA">
        <w:rPr>
          <w:rFonts w:ascii="Times New Roman" w:hAnsi="Times New Roman"/>
          <w:b/>
          <w:sz w:val="22"/>
          <w:szCs w:val="22"/>
          <w:lang w:val="sk-SK"/>
        </w:rPr>
        <w:t>Fertilita, g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:rsidR="0067439C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260261">
      <w:pPr>
        <w:widowContro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lastRenderedPageBreak/>
        <w:t>Gravidita</w:t>
      </w:r>
    </w:p>
    <w:p w:rsidR="0067439C" w:rsidRPr="00945784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Inhibícia syntézy prostaglandínov môže nepriaznivo ovplyvňovať graviditu a/alebo vývoj embrya alebo pl</w:t>
      </w:r>
      <w:r w:rsidRPr="00B93B2D">
        <w:rPr>
          <w:rFonts w:ascii="Times New Roman" w:hAnsi="Times New Roman"/>
          <w:sz w:val="22"/>
          <w:szCs w:val="22"/>
          <w:lang w:val="sk-SK"/>
        </w:rPr>
        <w:t>odu. Údaje z epidemiologických štúdií poukazujú na zvýšené riziko potratu, malformácií srdca a gastroschízy po užívaní inhibítorov syntézy prostaglandínov v začiatkoch gravidity. Absolútne riziko kardiovaskulárnych malformácií bolo zvýšené z menej ako 1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 na približne 1,5</w:t>
      </w:r>
      <w:r w:rsidR="005D3DC1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R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iziko sa zvyšuje s dávkou a dĺžkou terapie. U zvierat podávanie inhibítorov syntézy prostaglandínov ukázalo zvýšenie pre- a postimplantačných strát a embryo-fetálnu letalitu.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Okrem toho </w:t>
      </w:r>
      <w:r w:rsidRPr="006743EA">
        <w:rPr>
          <w:rFonts w:ascii="Times New Roman" w:hAnsi="Times New Roman"/>
          <w:sz w:val="22"/>
          <w:szCs w:val="22"/>
          <w:lang w:val="sk-SK"/>
        </w:rPr>
        <w:t>u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zvierat, ktoré dostávali počas organogenézy inhibítory syntézy prostaglandínov, bola opísaná zvýšená incidencia rôznych malformácií, vrátane kardiovaskulárnych. Pokiaľ to nie je jednoznačne nevyhnutné,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sa nemá podávať počas prvého a druhého trimestra gravidity. Ak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945784">
        <w:rPr>
          <w:rFonts w:ascii="Times New Roman" w:hAnsi="Times New Roman"/>
          <w:sz w:val="22"/>
          <w:szCs w:val="22"/>
          <w:lang w:val="sk-SK"/>
        </w:rPr>
        <w:t xml:space="preserve"> užíva žena, ktorá sa snaží otehotnieť alebo žena v prvom ale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bo druhom trimestri gravidity, má užívať nízke dávky a liečba má byť čo najkratšia. V treťom trimestri gravidity môžu všetky inhibítory syntézy prostaglandínov vystaviť plod kardiovaskulárnej toxicite (s predčasným uzáverom 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ductus arteriosus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a pulmonálnou hypertenziou) a renálnej dysfunkcii, ktorá môže progredovať do poškodenia obličiek s oligohydramniónom a matku a plod na konci gravidity možnému predĺženiu času krvácania, antiagregačnému účinku, ktorý sa môže vyskytnúť aj po ve</w:t>
      </w:r>
      <w:r w:rsidRPr="00DD6D3C">
        <w:rPr>
          <w:rFonts w:ascii="Times New Roman" w:hAnsi="Times New Roman"/>
          <w:sz w:val="22"/>
          <w:szCs w:val="22"/>
          <w:lang w:val="sk-SK"/>
        </w:rPr>
        <w:t>ľ</w:t>
      </w:r>
      <w:r w:rsidRPr="00945784">
        <w:rPr>
          <w:rFonts w:ascii="Times New Roman" w:hAnsi="Times New Roman"/>
          <w:sz w:val="22"/>
          <w:szCs w:val="22"/>
          <w:lang w:val="sk-SK"/>
        </w:rPr>
        <w:t>mi nízkych dávkach, inhibícii kontrakcií maternice rezultujúcich do oneskoreného alebo predĺženého pôrodu.</w:t>
      </w:r>
    </w:p>
    <w:p w:rsidR="0067439C" w:rsidRP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V dôsledku toho je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kontraindikovaný v treťom trimestri gravidity.</w:t>
      </w:r>
    </w:p>
    <w:p w:rsidR="0067439C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EA" w:rsidRPr="00260261" w:rsidRDefault="006743EA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67439C" w:rsidRPr="006743EA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 xml:space="preserve">Malé množstvo liečiva,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945784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a jeho metabolitov sa vylučuje do materského mlieka. </w:t>
      </w:r>
      <w:r w:rsidR="006743EA">
        <w:rPr>
          <w:rFonts w:ascii="Times New Roman" w:hAnsi="Times New Roman"/>
          <w:sz w:val="22"/>
          <w:szCs w:val="22"/>
          <w:lang w:val="sk-SK"/>
        </w:rPr>
        <w:t>Keď</w:t>
      </w:r>
      <w:r w:rsidRPr="006743EA">
        <w:rPr>
          <w:rFonts w:ascii="Times New Roman" w:hAnsi="Times New Roman"/>
          <w:sz w:val="22"/>
          <w:szCs w:val="22"/>
          <w:lang w:val="sk-SK"/>
        </w:rPr>
        <w:t>že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dosiaľ nie sú známe </w:t>
      </w:r>
      <w:r w:rsidR="006743EA">
        <w:rPr>
          <w:rFonts w:ascii="Times New Roman" w:hAnsi="Times New Roman"/>
          <w:sz w:val="22"/>
          <w:szCs w:val="22"/>
          <w:lang w:val="sk-SK"/>
        </w:rPr>
        <w:t xml:space="preserve">nežiaduce 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účinky na dojča, pri krátkodobej liečbe nie je potrebné prerušiť dojčenie. Ak je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predpísaný na dlhodobú liečbu alebo vo vysokých dávkach na liečbu reumatických ochorení</w:t>
      </w:r>
      <w:r w:rsidR="006743EA">
        <w:rPr>
          <w:rFonts w:ascii="Times New Roman" w:hAnsi="Times New Roman"/>
          <w:sz w:val="22"/>
          <w:szCs w:val="22"/>
          <w:lang w:val="sk-SK"/>
        </w:rPr>
        <w:t>,</w:t>
      </w:r>
      <w:r w:rsidRPr="006743EA">
        <w:rPr>
          <w:rFonts w:ascii="Times New Roman" w:hAnsi="Times New Roman"/>
          <w:sz w:val="22"/>
          <w:szCs w:val="22"/>
          <w:lang w:val="sk-SK"/>
        </w:rPr>
        <w:t xml:space="preserve"> je potrebné zvážiť skoré ukončenie dojčenia.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pStyle w:val="Zkladntext3"/>
      </w:pPr>
      <w:r w:rsidRPr="00260261">
        <w:t xml:space="preserve">Keďže pri vyšších dávkach môže </w:t>
      </w:r>
      <w:r w:rsidR="00143398">
        <w:t>ibuprofén</w:t>
      </w:r>
      <w:r w:rsidRPr="00260261">
        <w:t xml:space="preserve"> vyvolávať nežiaduce účinky na centrálny nervový systém, ako je únava a závrat, niektorí pacienti môžu mať porušenú schopnosť viesť vozidlá a/alebo obsluhovať stroje, osobitne to platí pri súbežnom požívaní s alkoholom.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Nasledovné nežiaduce reakcie lieku sú typicky závislé od dávky a sú individuálne rozdielne od pacienta k pacientovi. Osobitne riziko gastrointestinálneho krvácania (vredy, defekty sliznice, gastritída) je závislé od dávky a dĺžky liečby.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Najčastejšie pozorované nežiaduce účinky sú gastrointestinálne.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Vyskytnúť sa môže žalúdočný vred, perforácia alebo GI krvácanie, ktoré môžu byť fatálne.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Pri liečbe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boli ďalej popísané nevoľnosť, vracanie, hnačky, plynatosť, zápcha, dyspepsia, bolesť brucha, meléna, hemateméza, ulcerózna stomatitída, exacerbácia Crohnovej choroby a menej často gastritída.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V súvislosti s liečbou 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NSAID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sa hlásili edémy, hypertenzia a srdcové zlyhanie.</w:t>
      </w:r>
    </w:p>
    <w:p w:rsidR="0067439C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Výskyt nežiaducich účinkov je zhrnutý nižšie. Zoradené sú podľa triedy orgánových systémov a frekvencie definovanej nižšie: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1/100 až &lt; 1/10)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Menej časté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1/1 000 až &lt; 1/100)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Zriedkavé (</w:t>
      </w:r>
      <w:r w:rsidRPr="003040BD">
        <w:rPr>
          <w:rFonts w:ascii="Times New Roman" w:hAnsi="Times New Roman"/>
          <w:sz w:val="22"/>
          <w:szCs w:val="22"/>
          <w:u w:val="single"/>
          <w:lang w:val="sk-SK"/>
        </w:rPr>
        <w:t>&gt;</w:t>
      </w:r>
      <w:r w:rsidRPr="003040BD">
        <w:rPr>
          <w:rFonts w:ascii="Times New Roman" w:hAnsi="Times New Roman"/>
          <w:sz w:val="22"/>
          <w:szCs w:val="22"/>
          <w:lang w:val="sk-SK"/>
        </w:rPr>
        <w:t xml:space="preserve"> 1/10 000 až &lt; 1/1 000)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Veľmi zriedkavé (&lt; 1/10 000)</w:t>
      </w:r>
    </w:p>
    <w:p w:rsidR="00DD6D3C" w:rsidRPr="003040BD" w:rsidRDefault="00DD6D3C" w:rsidP="00DD6D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3040BD">
        <w:rPr>
          <w:rFonts w:ascii="Times New Roman" w:hAnsi="Times New Roman"/>
          <w:sz w:val="22"/>
          <w:szCs w:val="22"/>
          <w:lang w:val="sk-SK"/>
        </w:rPr>
        <w:t>Neznáme (z dostupných údajov)</w:t>
      </w:r>
    </w:p>
    <w:p w:rsidR="00DD6D3C" w:rsidRPr="00DD6D3C" w:rsidRDefault="00DD6D3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Infekcie a nákazy</w:t>
      </w:r>
    </w:p>
    <w:p w:rsidR="00762C96" w:rsidRPr="006743EA" w:rsidRDefault="00762C96" w:rsidP="00762C96">
      <w:pPr>
        <w:autoSpaceDE w:val="0"/>
        <w:autoSpaceDN w:val="0"/>
        <w:adjustRightInd w:val="0"/>
        <w:ind w:left="1708" w:hanging="1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5784">
        <w:rPr>
          <w:rFonts w:ascii="Times New Roman" w:hAnsi="Times New Roman"/>
          <w:sz w:val="22"/>
          <w:szCs w:val="22"/>
          <w:lang w:val="sk-SK"/>
        </w:rPr>
        <w:t>symptómy aseptickej mening</w:t>
      </w:r>
      <w:r w:rsidRPr="00D8610C">
        <w:rPr>
          <w:rFonts w:ascii="Times New Roman" w:hAnsi="Times New Roman"/>
          <w:sz w:val="22"/>
          <w:szCs w:val="22"/>
          <w:lang w:val="sk-SK"/>
        </w:rPr>
        <w:t>i</w:t>
      </w:r>
      <w:r w:rsidRPr="006743EA">
        <w:rPr>
          <w:rFonts w:ascii="Times New Roman" w:hAnsi="Times New Roman"/>
          <w:sz w:val="22"/>
          <w:szCs w:val="22"/>
          <w:lang w:val="sk-SK"/>
        </w:rPr>
        <w:t>tídy vrátane stuhnutia šije, bolesti hlavy, nevoľnosti, vracania, horúčky alebo poruchy vedomia.</w:t>
      </w:r>
    </w:p>
    <w:p w:rsidR="00762C96" w:rsidRPr="00DD6D3C" w:rsidRDefault="00762C96" w:rsidP="00762C96">
      <w:pPr>
        <w:autoSpaceDE w:val="0"/>
        <w:autoSpaceDN w:val="0"/>
        <w:adjustRightInd w:val="0"/>
        <w:ind w:left="1708"/>
        <w:rPr>
          <w:rFonts w:ascii="Times New Roman" w:hAnsi="Times New Roman"/>
          <w:sz w:val="22"/>
          <w:szCs w:val="22"/>
          <w:lang w:val="sk-SK"/>
        </w:rPr>
      </w:pPr>
      <w:r w:rsidRPr="00DD6D3C">
        <w:rPr>
          <w:rFonts w:ascii="Times New Roman" w:hAnsi="Times New Roman"/>
          <w:sz w:val="22"/>
          <w:szCs w:val="22"/>
          <w:lang w:val="sk-SK"/>
        </w:rPr>
        <w:t>Predisponovaní na túto nežiaducu udalosť sa zdajú byť pacienti s autoimunitnými chorobami (SLE, zmiešanými ochoreniami spojivového tkaniva).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krvi a lymfatického systému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poruchy krvotvorby (anémia, leukopénia, trombocytopénia, pancytopénia, agranulocytóza). Skoré znaky môžu zahŕňať: horúčku, bolesti hrdla, povrchové lézie v ústach, chrípke podobné symptómy, závažná únava, krvácanie z nosa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krvácanie z kože. Pri dlhodobej liečbe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om sa má pravidelne kontrolovať krvný obraz. 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imunitného systému</w:t>
      </w:r>
    </w:p>
    <w:p w:rsidR="00762C96" w:rsidRPr="00945784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závažné celkové reakcie precitlivenosti. Tie sa môžu prejaviť ako opuch tváre, opuch jazyka, opuch glotisu so zúžením dýchacích ciest, dýchavičnosť, tachykardia a/alebo pokles krvného tlaku až život ohrozujúci šok. Pri výskyte týchto nežiaducich účinkov sa musí bezodkladne vyhľadať rýchla lekár</w:t>
      </w:r>
      <w:r w:rsidRPr="00945784">
        <w:rPr>
          <w:rFonts w:ascii="Times New Roman" w:hAnsi="Times New Roman"/>
          <w:sz w:val="22"/>
          <w:szCs w:val="22"/>
          <w:lang w:val="sk-SK"/>
        </w:rPr>
        <w:t>ska pomoc.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tinitus 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psychotické reakcie, depresia</w:t>
      </w:r>
    </w:p>
    <w:p w:rsidR="00762C96" w:rsidRPr="00B93B2D" w:rsidRDefault="00762C96" w:rsidP="00762C96">
      <w:pPr>
        <w:widowControl w:val="0"/>
        <w:numPr>
          <w:ilvl w:val="0"/>
          <w:numId w:val="7"/>
        </w:numPr>
        <w:ind w:left="1701" w:firstLine="21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alopécia.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i/>
          <w:sz w:val="22"/>
          <w:szCs w:val="22"/>
          <w:lang w:val="sk-SK"/>
        </w:rPr>
        <w:t>Poruchy nervového systému</w:t>
      </w:r>
    </w:p>
    <w:p w:rsidR="00762C96" w:rsidRPr="00DD6D3C" w:rsidRDefault="00762C96" w:rsidP="00762C96">
      <w:pPr>
        <w:pStyle w:val="Zkladntext3"/>
        <w:widowControl/>
        <w:autoSpaceDE w:val="0"/>
        <w:autoSpaceDN w:val="0"/>
        <w:adjustRightInd w:val="0"/>
        <w:ind w:left="1701" w:hanging="1701"/>
      </w:pPr>
      <w:r>
        <w:t xml:space="preserve">Časté: </w:t>
      </w:r>
      <w:r>
        <w:tab/>
        <w:t>n</w:t>
      </w:r>
      <w:r w:rsidRPr="006743EA">
        <w:t>ežiaduce reakcie centrálneho nervového systému ako je bolesť hlavy, závrat, nespavosť, vzruše</w:t>
      </w:r>
      <w:r w:rsidRPr="00DD6D3C">
        <w:t>nie, podráždenosť a únava.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oka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poruchy videnia; v takomto prípade má byť pacient informovaný, aby okamžite informoval lekára a ukončil užívane Ibuprofenu 400 STADA.</w:t>
      </w: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 w:rsidR="00983003"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obličkového tkaniva (nekróza obličkovej papily)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AC1E80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dýchacej sústavy, hrudníka a mediastína</w:t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tvorba intestinálnych a diafragmatických štruktúr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Poruchy gastrointestinálneho traktu 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ezofagitída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pečene a žlčových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poškodenie pečene, najmä u pacientov s dlhodobou liečbou. Pri dlhodobej liečbe je potrebná pravidelná kontrola funkcie pečene.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kože a podkožného tkaniva</w:t>
      </w:r>
    </w:p>
    <w:p w:rsidR="00762C96" w:rsidRPr="00AC1E80" w:rsidRDefault="00762C96" w:rsidP="00762C96">
      <w:pPr>
        <w:widowControl w:val="0"/>
        <w:tabs>
          <w:tab w:val="left" w:pos="1701"/>
        </w:tabs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>závažný priebeh kožnej reakcie ako je erythema exsudativum multiforme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762C96" w:rsidRDefault="00762C96" w:rsidP="00762C96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Pr="00814392">
        <w:rPr>
          <w:rFonts w:ascii="Times New Roman" w:hAnsi="Times New Roman"/>
          <w:sz w:val="22"/>
          <w:szCs w:val="22"/>
          <w:lang w:val="sk-SK"/>
        </w:rPr>
        <w:t>bulózna reakcia vrátane Stevensovho-Johnsonovho syndrómu a </w:t>
      </w:r>
      <w:r>
        <w:rPr>
          <w:rFonts w:ascii="Times New Roman" w:hAnsi="Times New Roman"/>
          <w:sz w:val="22"/>
          <w:szCs w:val="22"/>
          <w:lang w:val="sk-SK"/>
        </w:rPr>
        <w:t xml:space="preserve">toxickej epidermálnej nekrolýzy, </w:t>
      </w:r>
      <w:r w:rsidRPr="00814392">
        <w:rPr>
          <w:rFonts w:ascii="Times New Roman" w:hAnsi="Times New Roman"/>
          <w:sz w:val="22"/>
          <w:szCs w:val="22"/>
          <w:lang w:val="sk-SK"/>
        </w:rPr>
        <w:t>zhoršenie infekčného zápalu (napr. vznik nekrotizujúcej fascitídy) v súvislosti so systémovým podávaním nesteroidových antiflogistík. Tieto udalosti mohli súvisieť s mechanizmom účinku nesteroidových antiflogistík.</w:t>
      </w:r>
    </w:p>
    <w:p w:rsidR="00646419" w:rsidRDefault="00646419" w:rsidP="008E1B6E"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Neznáme:</w:t>
      </w:r>
      <w:r>
        <w:rPr>
          <w:rFonts w:ascii="Times New Roman" w:hAnsi="Times New Roman"/>
          <w:sz w:val="22"/>
          <w:szCs w:val="22"/>
        </w:rPr>
        <w:tab/>
        <w:t xml:space="preserve">     l</w:t>
      </w:r>
      <w:r w:rsidRPr="00BB65E9">
        <w:rPr>
          <w:rFonts w:ascii="Times New Roman" w:hAnsi="Times New Roman" w:cs="Times New Roman"/>
          <w:bCs/>
          <w:sz w:val="22"/>
          <w:szCs w:val="22"/>
        </w:rPr>
        <w:t>ieková reakcia s eozinofíliou a systémovými príznakmi (syndróm DRESS)</w:t>
      </w:r>
      <w:r w:rsidR="00DE472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E4720">
        <w:rPr>
          <w:rFonts w:ascii="Times New Roman" w:hAnsi="Times New Roman" w:cs="Times New Roman"/>
          <w:sz w:val="22"/>
          <w:szCs w:val="22"/>
        </w:rPr>
        <w:t>a</w:t>
      </w:r>
      <w:r w:rsidR="00DE4720" w:rsidRPr="009B4224">
        <w:rPr>
          <w:rFonts w:ascii="Times New Roman" w:hAnsi="Times New Roman" w:cs="Times New Roman"/>
          <w:sz w:val="22"/>
          <w:szCs w:val="22"/>
        </w:rPr>
        <w:t>kútna</w:t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E4720">
        <w:rPr>
          <w:rFonts w:ascii="Times New Roman" w:hAnsi="Times New Roman" w:cs="Times New Roman"/>
          <w:sz w:val="22"/>
          <w:szCs w:val="22"/>
        </w:rPr>
        <w:tab/>
      </w:r>
      <w:r w:rsidR="00D2564F">
        <w:rPr>
          <w:rFonts w:ascii="Times New Roman" w:hAnsi="Times New Roman" w:cs="Times New Roman"/>
          <w:sz w:val="22"/>
          <w:szCs w:val="22"/>
        </w:rPr>
        <w:tab/>
      </w:r>
      <w:r w:rsidR="00DE4720">
        <w:rPr>
          <w:rFonts w:ascii="Times New Roman" w:hAnsi="Times New Roman" w:cs="Times New Roman"/>
          <w:sz w:val="22"/>
          <w:szCs w:val="22"/>
        </w:rPr>
        <w:t xml:space="preserve">     </w:t>
      </w:r>
      <w:r w:rsidR="00DE4720" w:rsidRPr="009B4224">
        <w:rPr>
          <w:rFonts w:ascii="Times New Roman" w:hAnsi="Times New Roman" w:cs="Times New Roman"/>
          <w:sz w:val="22"/>
          <w:szCs w:val="22"/>
        </w:rPr>
        <w:t>generalizovaná exantematózna pustulóza (AGEP)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</w:p>
    <w:p w:rsidR="00762C96" w:rsidRPr="00D8610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Poruchy obličiek a močových ciest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nefrotický syndróm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DD6D3C">
        <w:rPr>
          <w:rFonts w:ascii="Times New Roman" w:hAnsi="Times New Roman"/>
          <w:sz w:val="22"/>
          <w:szCs w:val="22"/>
          <w:lang w:val="sk-SK"/>
        </w:rPr>
        <w:t>intersticiálna nefritída, ktorá môže byť prevádzaná akútnym renálnym zlyhaním. Je potrebná  pravidelná kontrola funkcie obličiek.</w:t>
      </w:r>
    </w:p>
    <w:p w:rsidR="00762C96" w:rsidRPr="00DD6D3C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3040BD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u w:val="single"/>
          <w:lang w:val="sk-SK"/>
        </w:rPr>
      </w:pPr>
      <w:r w:rsidRPr="00D8610C">
        <w:rPr>
          <w:rFonts w:ascii="Times New Roman" w:hAnsi="Times New Roman"/>
          <w:bCs/>
          <w:i/>
          <w:sz w:val="22"/>
          <w:szCs w:val="22"/>
          <w:lang w:val="sk-SK"/>
        </w:rPr>
        <w:t>Ce</w:t>
      </w:r>
      <w:r>
        <w:rPr>
          <w:rFonts w:ascii="Times New Roman" w:hAnsi="Times New Roman"/>
          <w:bCs/>
          <w:i/>
          <w:sz w:val="22"/>
          <w:szCs w:val="22"/>
          <w:lang w:val="sk-SK"/>
        </w:rPr>
        <w:t>lkové poruchy a reakcie v mieste podania</w:t>
      </w:r>
    </w:p>
    <w:p w:rsidR="00762C96" w:rsidRPr="00DD6D3C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D6D3C">
        <w:rPr>
          <w:rFonts w:ascii="Times New Roman" w:hAnsi="Times New Roman"/>
          <w:sz w:val="22"/>
          <w:szCs w:val="22"/>
          <w:lang w:val="sk-SK"/>
        </w:rPr>
        <w:t>edém, najmä u pacientov s arteriálnou hypertenziou alebo so zlyhaním obličiek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DD6D3C">
        <w:rPr>
          <w:rFonts w:ascii="Times New Roman" w:hAnsi="Times New Roman"/>
          <w:sz w:val="22"/>
          <w:szCs w:val="22"/>
          <w:lang w:val="sk-SK"/>
        </w:rPr>
        <w:t xml:space="preserve"> reakcie precitlivenosti vrátane vyrážky a svrbenia ako i astmatické záchvaty (s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D6D3C">
        <w:rPr>
          <w:rFonts w:ascii="Times New Roman" w:hAnsi="Times New Roman"/>
          <w:sz w:val="22"/>
          <w:szCs w:val="22"/>
          <w:lang w:val="sk-SK"/>
        </w:rPr>
        <w:t>alebo bez poklesu tlaku krvi)</w:t>
      </w:r>
    </w:p>
    <w:p w:rsidR="00762C96" w:rsidRDefault="00762C96" w:rsidP="00762C96">
      <w:pPr>
        <w:autoSpaceDE w:val="0"/>
        <w:autoSpaceDN w:val="0"/>
        <w:adjustRightInd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</w:p>
    <w:p w:rsidR="00762C96" w:rsidRPr="00D8610C" w:rsidRDefault="00762C96" w:rsidP="00762C96">
      <w:pPr>
        <w:widowControl w:val="0"/>
        <w:ind w:left="1701" w:hanging="1701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Laboratórne a funkčné vyšetrenia</w:t>
      </w:r>
    </w:p>
    <w:p w:rsidR="00762C96" w:rsidRDefault="00762C96" w:rsidP="00762C96">
      <w:pPr>
        <w:widowControl w:val="0"/>
        <w:ind w:left="1701" w:hanging="170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Veľmi zriedkavé: 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C1E80">
        <w:rPr>
          <w:rFonts w:ascii="Times New Roman" w:hAnsi="Times New Roman"/>
          <w:sz w:val="22"/>
          <w:szCs w:val="22"/>
          <w:lang w:val="sk-SK"/>
        </w:rPr>
        <w:t xml:space="preserve">zvýšené koncentrácie kyseliny močovej v sére  </w:t>
      </w:r>
    </w:p>
    <w:p w:rsidR="0067439C" w:rsidRPr="00B93B2D" w:rsidRDefault="0067439C" w:rsidP="00260261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Pacienti musia byť upozornení, že ak sa pri liečbe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3C0837">
        <w:rPr>
          <w:rFonts w:ascii="Times New Roman" w:hAnsi="Times New Roman"/>
          <w:sz w:val="22"/>
          <w:szCs w:val="22"/>
          <w:lang w:val="sk-SK"/>
        </w:rPr>
        <w:t>om objavia znaky alebo príznaky infekcie alebo ak dôjde k ich zhoršeniu, má okamžite vyhľadať lekára. Je potrebné zvážiť liečbu antibiotikami.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67439C" w:rsidRPr="003C0837" w:rsidRDefault="0067439C" w:rsidP="00260261">
      <w:pPr>
        <w:rPr>
          <w:rFonts w:ascii="Times New Roman" w:hAnsi="Times New Roman"/>
          <w:bCs/>
          <w:sz w:val="22"/>
          <w:szCs w:val="22"/>
          <w:lang w:val="sk-SK"/>
        </w:rPr>
      </w:pP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V súvislosti s terapiou </w:t>
      </w:r>
      <w:r w:rsidR="007C40E6" w:rsidRPr="003C0837">
        <w:rPr>
          <w:rFonts w:ascii="Times New Roman" w:hAnsi="Times New Roman"/>
          <w:bCs/>
          <w:sz w:val="22"/>
          <w:szCs w:val="22"/>
          <w:lang w:val="sk-SK"/>
        </w:rPr>
        <w:t>NSAID</w:t>
      </w:r>
      <w:r w:rsidRPr="003C0837">
        <w:rPr>
          <w:rFonts w:ascii="Times New Roman" w:hAnsi="Times New Roman"/>
          <w:bCs/>
          <w:sz w:val="22"/>
          <w:szCs w:val="22"/>
          <w:lang w:val="sk-SK"/>
        </w:rPr>
        <w:t xml:space="preserve"> boli hlásené edémy, hypertenzia a zlyhávanie srdca.</w:t>
      </w:r>
    </w:p>
    <w:p w:rsidR="00DA6232" w:rsidRPr="00181317" w:rsidRDefault="00DA623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B712D0" w:rsidRPr="00DE4720" w:rsidRDefault="00D97742" w:rsidP="00260261">
      <w:pPr>
        <w:rPr>
          <w:rFonts w:ascii="Times New Roman" w:hAnsi="Times New Roman"/>
          <w:sz w:val="22"/>
          <w:szCs w:val="22"/>
          <w:lang w:val="sk-SK"/>
        </w:rPr>
      </w:pPr>
      <w:r w:rsidRPr="00181317">
        <w:rPr>
          <w:rFonts w:ascii="Times New Roman" w:hAnsi="Times New Roman"/>
          <w:sz w:val="22"/>
          <w:szCs w:val="22"/>
          <w:lang w:val="sk-SK"/>
        </w:rPr>
        <w:t xml:space="preserve">Klinické štúdie naznačili, že používanie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181317">
        <w:rPr>
          <w:rFonts w:ascii="Times New Roman" w:hAnsi="Times New Roman"/>
          <w:sz w:val="22"/>
          <w:szCs w:val="22"/>
          <w:lang w:val="sk-SK"/>
        </w:rPr>
        <w:t xml:space="preserve">u, najmä vo vysokých dávkach (2 400 mg denne) môže byť spojené s malým zvýšeným rizikom arteriálnych trombotických udalostí (napríklad infarkt myokardu </w:t>
      </w:r>
      <w:r w:rsidRPr="00DE4720">
        <w:rPr>
          <w:rFonts w:ascii="Times New Roman" w:hAnsi="Times New Roman"/>
          <w:sz w:val="22"/>
          <w:szCs w:val="22"/>
          <w:lang w:val="sk-SK"/>
        </w:rPr>
        <w:t>alebo mozgová príhoda) (pozri časť 4.4).</w:t>
      </w:r>
    </w:p>
    <w:p w:rsidR="00D97742" w:rsidRPr="00DE4720" w:rsidRDefault="00D97742" w:rsidP="0026026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DE4720" w:rsidRPr="00DE4720" w:rsidRDefault="00DE4720" w:rsidP="00DE4720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2"/>
          <w:u w:val="single"/>
          <w:lang w:val="sk-SK"/>
        </w:rPr>
      </w:pPr>
      <w:r w:rsidRPr="00DE4720">
        <w:rPr>
          <w:rFonts w:ascii="Times New Roman" w:hAnsi="Times New Roman"/>
          <w:sz w:val="22"/>
          <w:u w:val="single"/>
          <w:lang w:val="sk-SK"/>
        </w:rPr>
        <w:t>Hlásenie podozrení na nežiaduce reakcie</w:t>
      </w:r>
    </w:p>
    <w:p w:rsidR="00DE4720" w:rsidRPr="00DE4720" w:rsidRDefault="00DE4720" w:rsidP="00DE4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sz w:val="22"/>
          <w:lang w:val="sk-SK"/>
        </w:rPr>
      </w:pPr>
      <w:r w:rsidRPr="00DE4720">
        <w:rPr>
          <w:rFonts w:ascii="Times New Roman" w:hAnsi="Times New Roman"/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DE4720">
        <w:rPr>
          <w:rFonts w:ascii="Times New Roman" w:hAnsi="Times New Roman"/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DE4720">
          <w:rPr>
            <w:rStyle w:val="Hypertextovprepojenie"/>
            <w:rFonts w:ascii="Times New Roman" w:hAnsi="Times New Roman"/>
            <w:sz w:val="22"/>
            <w:shd w:val="clear" w:color="auto" w:fill="C0C0C0"/>
            <w:lang w:val="sk-SK"/>
          </w:rPr>
          <w:t>Prílohe V</w:t>
        </w:r>
      </w:hyperlink>
      <w:r w:rsidRPr="00DE4720">
        <w:rPr>
          <w:rStyle w:val="Hypertextovprepojenie"/>
          <w:rFonts w:ascii="Times New Roman" w:hAnsi="Times New Roman"/>
          <w:sz w:val="22"/>
          <w:lang w:val="sk-SK"/>
        </w:rPr>
        <w:t>.</w:t>
      </w:r>
    </w:p>
    <w:p w:rsidR="0067439C" w:rsidRPr="00DE4720" w:rsidRDefault="0067439C" w:rsidP="008B517A">
      <w:pPr>
        <w:tabs>
          <w:tab w:val="left" w:pos="3293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DE4720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DE4720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DE4720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67439C" w:rsidRPr="00DE4720" w:rsidRDefault="0067439C" w:rsidP="00260261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DE4720" w:rsidRDefault="005D3DC1" w:rsidP="008B517A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DE4720">
        <w:rPr>
          <w:rFonts w:ascii="Times New Roman" w:hAnsi="Times New Roman"/>
          <w:bCs/>
          <w:i/>
          <w:sz w:val="22"/>
          <w:szCs w:val="22"/>
          <w:lang w:val="sk-SK"/>
        </w:rPr>
        <w:t>Príznaky</w:t>
      </w:r>
    </w:p>
    <w:p w:rsidR="0067439C" w:rsidRPr="00143398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E4720">
        <w:rPr>
          <w:rFonts w:ascii="Times New Roman" w:hAnsi="Times New Roman"/>
          <w:sz w:val="22"/>
          <w:szCs w:val="22"/>
          <w:lang w:val="sk-SK"/>
        </w:rPr>
        <w:t>Symptómy predávkovania môžu zahŕňať poruchy CNS ako sú bolesti hlavy, závrat, ospanlivosť, bezvedomie</w:t>
      </w:r>
      <w:r w:rsidRPr="00143398">
        <w:rPr>
          <w:rFonts w:ascii="Times New Roman" w:hAnsi="Times New Roman"/>
          <w:sz w:val="22"/>
          <w:szCs w:val="22"/>
          <w:lang w:val="sk-SK"/>
        </w:rPr>
        <w:t xml:space="preserve"> (u detí tiež myoklonické kŕče) a tiež bolesť brucha, nevoľnosť a vracanie.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143398">
        <w:rPr>
          <w:rFonts w:ascii="Times New Roman" w:hAnsi="Times New Roman"/>
          <w:sz w:val="22"/>
          <w:szCs w:val="22"/>
          <w:lang w:val="sk-SK"/>
        </w:rPr>
        <w:t>Pacienti môžu mať tiež gastrointestinálne krvácanie a po</w:t>
      </w:r>
      <w:r w:rsidR="008B517A" w:rsidRPr="00143398">
        <w:rPr>
          <w:rFonts w:ascii="Times New Roman" w:hAnsi="Times New Roman"/>
          <w:sz w:val="22"/>
          <w:szCs w:val="22"/>
          <w:lang w:val="sk-SK"/>
        </w:rPr>
        <w:t>rucha</w:t>
      </w:r>
      <w:r w:rsidRPr="00143398">
        <w:rPr>
          <w:rFonts w:ascii="Times New Roman" w:hAnsi="Times New Roman"/>
          <w:sz w:val="22"/>
          <w:szCs w:val="22"/>
          <w:lang w:val="sk-SK"/>
        </w:rPr>
        <w:t xml:space="preserve"> funkcie pečene a/alebo obličiek. Predávkovanie môže tiež vyvolať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hypotenziu, útlm dýchania a cyanózu.</w:t>
      </w:r>
      <w:r w:rsidR="0064641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6419" w:rsidRPr="008E1B6E">
        <w:rPr>
          <w:rFonts w:ascii="Times New Roman" w:hAnsi="Times New Roman"/>
          <w:bCs/>
          <w:sz w:val="22"/>
          <w:szCs w:val="22"/>
          <w:lang w:val="sk-SK"/>
        </w:rPr>
        <w:t>Pri vážnej otrave sa môže vyskytnúť metabolická acidóza.</w:t>
      </w: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67439C" w:rsidRPr="00260261" w:rsidRDefault="005D3DC1" w:rsidP="00F92AD9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260261">
        <w:rPr>
          <w:rFonts w:ascii="Times New Roman" w:hAnsi="Times New Roman"/>
          <w:bCs/>
          <w:i/>
          <w:sz w:val="22"/>
          <w:szCs w:val="22"/>
          <w:lang w:val="sk-SK"/>
        </w:rPr>
        <w:t>Liečba</w:t>
      </w:r>
    </w:p>
    <w:p w:rsidR="0067439C" w:rsidRPr="00260261" w:rsidRDefault="0067439C" w:rsidP="00F92A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Neexistuje žiadne špecifické antidotum.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:rsidR="0067439C" w:rsidRPr="00260261" w:rsidRDefault="0067439C" w:rsidP="008B517A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F92AD9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Farmakoterapeutická skupina: </w:t>
      </w:r>
      <w:r w:rsidR="00E53FD6" w:rsidRPr="00260261">
        <w:rPr>
          <w:rFonts w:ascii="Times New Roman" w:hAnsi="Times New Roman"/>
          <w:sz w:val="22"/>
          <w:szCs w:val="22"/>
          <w:lang w:val="sk-SK"/>
        </w:rPr>
        <w:t>Antiflogistiká a antireumatiká, deriváty kyseliny propiónovej</w:t>
      </w:r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67439C" w:rsidRPr="00260261" w:rsidRDefault="0067439C" w:rsidP="00F92AD9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ATC kód: </w:t>
      </w:r>
      <w:r w:rsidRPr="00260261">
        <w:rPr>
          <w:rFonts w:ascii="Times New Roman" w:hAnsi="Times New Roman"/>
          <w:bCs/>
          <w:sz w:val="22"/>
          <w:szCs w:val="22"/>
          <w:lang w:val="sk-SK"/>
        </w:rPr>
        <w:t>M01AE01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143398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je nesteroidové antiflogistikum a analgetikum, ktoré je účinné na zvyčajných modeloch zápalu u zvierat vyvolaného inhibíciou syntézy prostaglandínu. U ľudí </w:t>
      </w: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zmierňuje bolesť, opuch a horúčku spôsobnú zápalom. Okrem toho </w:t>
      </w:r>
      <w:r>
        <w:rPr>
          <w:rFonts w:ascii="Times New Roman" w:hAnsi="Times New Roman"/>
          <w:sz w:val="22"/>
          <w:szCs w:val="22"/>
          <w:lang w:val="sk-SK"/>
        </w:rPr>
        <w:t>ibuprofén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 xml:space="preserve"> inhibuje ADP a kolagénom indukovanú agregáciu trombocytov.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B93B2D" w:rsidRPr="00260261" w:rsidRDefault="00B93B2D" w:rsidP="008B517A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67439C" w:rsidRPr="00B93B2D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môže inhibovať účinok nízkej dávky kyseliny acetylsalicylovej na agregáciu doštičiek, keď sa podávajú súbežne.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lastRenderedPageBreak/>
        <w:t xml:space="preserve">V jednej štúdii, keď sa jednotlivá dávka 400 mg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podala buď 8 hodín pred podaním kyseliny acetylsalicylovej na okamžité uvoľnenie (81 mg) alebo do 30 minút po jej podaní, došlo k zníženému účinku kyseliny acetylsalicylovej na tvo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rbu tromboxánu alebo k agregácii trombocytov. </w:t>
      </w:r>
    </w:p>
    <w:p w:rsidR="0067439C" w:rsidRPr="003C0837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3C0837">
        <w:rPr>
          <w:rFonts w:ascii="Times New Roman" w:hAnsi="Times New Roman"/>
          <w:sz w:val="22"/>
          <w:szCs w:val="22"/>
          <w:lang w:val="sk-SK"/>
        </w:rPr>
        <w:t xml:space="preserve">Limitácie týchto údajov a neistoty extrapolácie údajov </w:t>
      </w:r>
      <w:r w:rsidRPr="003C0837">
        <w:rPr>
          <w:rFonts w:ascii="Times New Roman" w:hAnsi="Times New Roman"/>
          <w:i/>
          <w:iCs/>
          <w:sz w:val="22"/>
          <w:szCs w:val="22"/>
          <w:lang w:val="sk-SK"/>
        </w:rPr>
        <w:t xml:space="preserve">ex vivo 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na klinickú situáciu však znamenajú, že nemožno urobiť žiadne jednoznačné závery pre pravidelné užívanie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r w:rsidRPr="003C0837">
        <w:rPr>
          <w:rFonts w:ascii="Times New Roman" w:hAnsi="Times New Roman"/>
          <w:sz w:val="22"/>
          <w:szCs w:val="22"/>
          <w:lang w:val="sk-SK"/>
        </w:rPr>
        <w:t xml:space="preserve">, a žiadny klinicky významný účinok sa nepovažuje za pravdepodobný pri príležitostnom použití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3C0837">
        <w:rPr>
          <w:rFonts w:ascii="Times New Roman" w:hAnsi="Times New Roman"/>
          <w:sz w:val="22"/>
          <w:szCs w:val="22"/>
          <w:lang w:val="sk-SK"/>
        </w:rPr>
        <w:t>u</w:t>
      </w:r>
      <w:r w:rsidRPr="003C0837">
        <w:rPr>
          <w:rFonts w:ascii="Times New Roman" w:hAnsi="Times New Roman"/>
          <w:sz w:val="22"/>
          <w:szCs w:val="22"/>
          <w:lang w:val="sk-SK"/>
        </w:rPr>
        <w:t>.</w:t>
      </w:r>
    </w:p>
    <w:p w:rsidR="00DA6232" w:rsidRPr="00317F6D" w:rsidRDefault="00DA6232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D97742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 400 mg užitého v priebehu 8</w:t>
      </w:r>
      <w:r w:rsidR="00F92AD9" w:rsidRPr="006743EA">
        <w:rPr>
          <w:rFonts w:ascii="Times New Roman" w:hAnsi="Times New Roman"/>
          <w:sz w:val="22"/>
          <w:szCs w:val="22"/>
          <w:lang w:val="sk-SK"/>
        </w:rPr>
        <w:t> 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u môže znížiť kardioprotektívny účinok nízkej dávky kyseliny acetylsalicylovej. V prípade príležitostného používania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>u sa žiaden klinicky relevantný účinok nepovažuje za pravdepodobný (pozri časť 4.5).</w:t>
      </w:r>
    </w:p>
    <w:p w:rsidR="00D97742" w:rsidRPr="006743EA" w:rsidRDefault="00D97742" w:rsidP="00260261">
      <w:pPr>
        <w:widowControl w:val="0"/>
        <w:rPr>
          <w:rFonts w:ascii="Times New Roman" w:hAnsi="Times New Roman"/>
          <w:bCs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Farmakokinetické vlastnosti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Po perorálnom podaní sa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absorbuje čiastočne v žalúdku a potom úplne v tenkom čreve.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62C96" w:rsidRPr="00260261" w:rsidRDefault="00762C96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60261"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</w:p>
    <w:p w:rsidR="00B93B2D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>Po biotransformácii v pečeni (hydroxylácia, karboxylácia) sa farmakologicky neúčinné metabolity úplne eliminujú, hlavne obličkami (90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%) a tiež v malom množstve žlčou. </w:t>
      </w:r>
    </w:p>
    <w:p w:rsidR="00B93B2D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B93B2D" w:rsidRPr="00260261" w:rsidRDefault="00B93B2D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:rsidR="0067439C" w:rsidRPr="003C0837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93B2D">
        <w:rPr>
          <w:rFonts w:ascii="Times New Roman" w:hAnsi="Times New Roman"/>
          <w:sz w:val="22"/>
          <w:szCs w:val="22"/>
          <w:lang w:val="sk-SK"/>
        </w:rPr>
        <w:t xml:space="preserve">Eliminačný polčas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B93B2D">
        <w:rPr>
          <w:rFonts w:ascii="Times New Roman" w:hAnsi="Times New Roman"/>
          <w:sz w:val="22"/>
          <w:szCs w:val="22"/>
          <w:lang w:val="sk-SK"/>
        </w:rPr>
        <w:t>u</w:t>
      </w:r>
      <w:r w:rsidRPr="00B93B2D">
        <w:rPr>
          <w:rFonts w:ascii="Times New Roman" w:hAnsi="Times New Roman"/>
          <w:sz w:val="22"/>
          <w:szCs w:val="22"/>
          <w:lang w:val="sk-SK"/>
        </w:rPr>
        <w:t xml:space="preserve"> je u zdravých jedincov ako aj u jedincov s pečeňovým a obličkovým ochorením 1,8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B93B2D">
        <w:rPr>
          <w:rFonts w:ascii="Times New Roman" w:hAnsi="Times New Roman"/>
          <w:sz w:val="22"/>
          <w:szCs w:val="22"/>
          <w:lang w:val="sk-SK"/>
        </w:rPr>
        <w:t>3,5 hodín, väzba na plazmatické proteíny je približne 99</w:t>
      </w:r>
      <w:r w:rsidR="009C251E" w:rsidRPr="00B93B2D">
        <w:rPr>
          <w:rFonts w:ascii="Times New Roman" w:hAnsi="Times New Roman"/>
          <w:sz w:val="22"/>
          <w:szCs w:val="22"/>
          <w:lang w:val="sk-SK"/>
        </w:rPr>
        <w:t> </w:t>
      </w:r>
      <w:r w:rsidRPr="00B93B2D">
        <w:rPr>
          <w:rFonts w:ascii="Times New Roman" w:hAnsi="Times New Roman"/>
          <w:sz w:val="22"/>
          <w:szCs w:val="22"/>
          <w:lang w:val="sk-SK"/>
        </w:rPr>
        <w:t>%. Maximálne plazmatické koncentrácie sa po perorálnom užití liekových foriem s okamžitým uvoľnením dosiahnu po 1</w:t>
      </w:r>
      <w:r w:rsidR="00F92AD9" w:rsidRPr="00B93B2D">
        <w:rPr>
          <w:rFonts w:ascii="Times New Roman" w:hAnsi="Times New Roman"/>
          <w:sz w:val="22"/>
          <w:szCs w:val="22"/>
          <w:lang w:val="sk-SK"/>
        </w:rPr>
        <w:t>-</w:t>
      </w:r>
      <w:r w:rsidRPr="003C0837">
        <w:rPr>
          <w:rFonts w:ascii="Times New Roman" w:hAnsi="Times New Roman"/>
          <w:sz w:val="22"/>
          <w:szCs w:val="22"/>
          <w:lang w:val="sk-SK"/>
        </w:rPr>
        <w:t>2</w:t>
      </w:r>
      <w:r w:rsidR="00483381">
        <w:rPr>
          <w:rFonts w:ascii="Times New Roman" w:hAnsi="Times New Roman"/>
          <w:sz w:val="22"/>
          <w:szCs w:val="22"/>
          <w:lang w:val="sk-SK"/>
        </w:rPr>
        <w:t> </w:t>
      </w:r>
      <w:r w:rsidRPr="003C0837">
        <w:rPr>
          <w:rFonts w:ascii="Times New Roman" w:hAnsi="Times New Roman"/>
          <w:sz w:val="22"/>
          <w:szCs w:val="22"/>
          <w:lang w:val="sk-SK"/>
        </w:rPr>
        <w:t>hodinách.</w:t>
      </w:r>
    </w:p>
    <w:p w:rsidR="0067439C" w:rsidRPr="003C0837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Subchronická a chronická toxicita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u sa na štúdiách so zvieratami prejavila vo forme lézií a vredov v gastrointestinálnom trakte. Štúdie mutagenity 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in vitro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a i</w:t>
      </w:r>
      <w:r w:rsidRPr="00260261">
        <w:rPr>
          <w:rFonts w:ascii="Times New Roman" w:hAnsi="Times New Roman"/>
          <w:i/>
          <w:sz w:val="22"/>
          <w:szCs w:val="22"/>
          <w:lang w:val="sk-SK"/>
        </w:rPr>
        <w:t>n vivo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neukázali žiadne príznaky mutagénnych účinkov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. Štúdie tumorogénneho potenciálu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na potkanoch a myšiach nepreukázali žiadne známky tumorogénnych účinkov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="007C40E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7439C" w:rsidRPr="00260261" w:rsidRDefault="0067439C" w:rsidP="008B517A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 králikov vedie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k inhibícii ovulácie a u rozdielnych druhov zvierat (králiky, potkany, myši) k poruchám implantácie. Experimentálne štúdie na potkanoch a králikoch ukázali, že </w:t>
      </w:r>
      <w:r w:rsidR="00143398">
        <w:rPr>
          <w:rFonts w:ascii="Times New Roman" w:hAnsi="Times New Roman"/>
          <w:sz w:val="22"/>
          <w:szCs w:val="22"/>
          <w:lang w:val="sk-SK"/>
        </w:rPr>
        <w:t>ibuprofén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prechádzal placentárnou bariérou no i napriek tomu nevyvolal žiadne známky teratogénneho účinku.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FARMACEUTICKÉ INFORMÁCIE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kukuričný škrob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stearan horečnatý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karboxymetylškrob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</w:t>
      </w:r>
      <w:r w:rsidRPr="00260261">
        <w:rPr>
          <w:rFonts w:ascii="Times New Roman" w:hAnsi="Times New Roman"/>
          <w:sz w:val="22"/>
          <w:szCs w:val="22"/>
          <w:lang w:val="sk-SK"/>
        </w:rPr>
        <w:t>odná soľ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ypromelóza </w:t>
      </w:r>
    </w:p>
    <w:p w:rsidR="00B93B2D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 400</w:t>
      </w:r>
    </w:p>
    <w:p w:rsidR="00F92AD9" w:rsidRPr="006743EA" w:rsidRDefault="00646419" w:rsidP="00F92AD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260261">
        <w:rPr>
          <w:rFonts w:ascii="Times New Roman" w:hAnsi="Times New Roman"/>
          <w:sz w:val="22"/>
          <w:szCs w:val="22"/>
          <w:lang w:val="sk-SK"/>
        </w:rPr>
        <w:t>akrogol 6000</w:t>
      </w:r>
    </w:p>
    <w:p w:rsidR="0067439C" w:rsidRPr="00260261" w:rsidRDefault="0067439C" w:rsidP="00F92AD9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lastRenderedPageBreak/>
        <w:t>6.2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5 rokov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25</w:t>
        </w:r>
        <w:r w:rsidR="009C251E" w:rsidRPr="00260261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260261">
          <w:rPr>
            <w:rFonts w:ascii="Times New Roman" w:hAnsi="Times New Roman"/>
            <w:sz w:val="22"/>
            <w:szCs w:val="22"/>
            <w:lang w:val="sk-SK"/>
          </w:rPr>
          <w:t>°C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>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Druh obalu a obsah balenia</w:t>
      </w:r>
      <w:r w:rsidRPr="00260261">
        <w:rPr>
          <w:rFonts w:ascii="Times New Roman" w:hAnsi="Times New Roman"/>
          <w:b/>
          <w:color w:val="0000FF"/>
          <w:sz w:val="22"/>
          <w:szCs w:val="22"/>
          <w:lang w:val="sk-SK"/>
        </w:rPr>
        <w:t xml:space="preserve"> 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PVC/AL</w:t>
      </w:r>
      <w:r w:rsidR="00E53FD6" w:rsidRPr="00260261">
        <w:rPr>
          <w:rFonts w:ascii="Times New Roman" w:hAnsi="Times New Roman"/>
          <w:sz w:val="22"/>
          <w:szCs w:val="22"/>
          <w:lang w:val="sk-SK"/>
        </w:rPr>
        <w:t>U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 blister</w:t>
      </w:r>
      <w:r w:rsidR="00F92AD9" w:rsidRPr="00260261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260261">
        <w:rPr>
          <w:rFonts w:ascii="Times New Roman" w:hAnsi="Times New Roman"/>
          <w:sz w:val="22"/>
          <w:szCs w:val="22"/>
          <w:lang w:val="sk-SK"/>
        </w:rPr>
        <w:t xml:space="preserve">Pôvodné balenie obsahuje 20, </w:t>
      </w:r>
      <w:smartTag w:uri="urn:schemas-microsoft-com:office:smarttags" w:element="metricconverter">
        <w:smartTagPr>
          <w:attr w:name="ProductID" w:val="50 a"/>
        </w:smartTagPr>
        <w:r w:rsidRPr="00260261">
          <w:rPr>
            <w:rFonts w:ascii="Times New Roman" w:hAnsi="Times New Roman"/>
            <w:sz w:val="22"/>
            <w:szCs w:val="22"/>
            <w:lang w:val="sk-SK"/>
          </w:rPr>
          <w:t>50 a</w:t>
        </w:r>
      </w:smartTag>
      <w:r w:rsidRPr="00260261">
        <w:rPr>
          <w:rFonts w:ascii="Times New Roman" w:hAnsi="Times New Roman"/>
          <w:sz w:val="22"/>
          <w:szCs w:val="22"/>
          <w:lang w:val="sk-SK"/>
        </w:rPr>
        <w:t xml:space="preserve"> 100 filmom obalených tabliet.</w:t>
      </w:r>
    </w:p>
    <w:p w:rsidR="00F92AD9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</w:r>
      <w:r w:rsidRPr="00260261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</w:t>
      </w: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widowControl w:val="0"/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7.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DRŽITEĽ ROZHODNUTIA O REGISTRÁCII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STADA Arzneimittel AG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Stadastra</w:t>
      </w:r>
      <w:r w:rsidR="00205E72" w:rsidRPr="00260261">
        <w:rPr>
          <w:rFonts w:ascii="Times New Roman" w:hAnsi="Times New Roman"/>
          <w:sz w:val="22"/>
          <w:szCs w:val="22"/>
          <w:lang w:val="sk-SK"/>
        </w:rPr>
        <w:t>ss</w:t>
      </w:r>
      <w:r w:rsidRPr="00260261">
        <w:rPr>
          <w:rFonts w:ascii="Times New Roman" w:hAnsi="Times New Roman"/>
          <w:sz w:val="22"/>
          <w:szCs w:val="22"/>
          <w:lang w:val="sk-SK"/>
        </w:rPr>
        <w:t>e 2-18</w:t>
      </w:r>
    </w:p>
    <w:p w:rsidR="00205E72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61118 Bad Vilbel</w:t>
      </w:r>
    </w:p>
    <w:p w:rsidR="0067439C" w:rsidRPr="00260261" w:rsidRDefault="0067439C" w:rsidP="00260261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Nemecko</w:t>
      </w: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8B517A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 xml:space="preserve">REGISTRAČNÉ ČÍSLO 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29/0052/95-S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9.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PRVEJ REGISTRÁCIE/PREDĹŽENIA REGISTRÁCIE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205E72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67439C" w:rsidRPr="00260261">
        <w:rPr>
          <w:rFonts w:ascii="Times New Roman" w:hAnsi="Times New Roman"/>
          <w:sz w:val="22"/>
          <w:szCs w:val="22"/>
          <w:lang w:val="sk-SK"/>
        </w:rPr>
        <w:t>10.</w:t>
      </w:r>
      <w:r w:rsidR="00B712D0" w:rsidRPr="00260261">
        <w:rPr>
          <w:rFonts w:ascii="Times New Roman" w:hAnsi="Times New Roman"/>
          <w:sz w:val="22"/>
          <w:szCs w:val="22"/>
          <w:lang w:val="sk-SK"/>
        </w:rPr>
        <w:t xml:space="preserve"> januára </w:t>
      </w:r>
      <w:r w:rsidR="00D75C0A" w:rsidRPr="00260261">
        <w:rPr>
          <w:rFonts w:ascii="Times New Roman" w:hAnsi="Times New Roman"/>
          <w:sz w:val="22"/>
          <w:szCs w:val="22"/>
          <w:lang w:val="sk-SK"/>
        </w:rPr>
        <w:t>1995</w:t>
      </w:r>
    </w:p>
    <w:p w:rsidR="00B712D0" w:rsidRPr="00260261" w:rsidRDefault="00B712D0" w:rsidP="00F92AD9">
      <w:pPr>
        <w:rPr>
          <w:rFonts w:ascii="Times New Roman" w:hAnsi="Times New Roman"/>
          <w:sz w:val="22"/>
          <w:szCs w:val="22"/>
          <w:lang w:val="sk-SK"/>
        </w:rPr>
      </w:pPr>
      <w:r w:rsidRPr="00260261">
        <w:rPr>
          <w:rFonts w:ascii="Times New Roman" w:hAnsi="Times New Roman"/>
          <w:sz w:val="22"/>
          <w:szCs w:val="22"/>
          <w:lang w:val="sk-SK"/>
        </w:rPr>
        <w:t>Dátum posledného predĺženia registrácie: 18. januára 2007</w:t>
      </w:r>
    </w:p>
    <w:p w:rsidR="0067439C" w:rsidRPr="00260261" w:rsidRDefault="0067439C" w:rsidP="00F92AD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67439C" w:rsidP="00183B72">
      <w:pPr>
        <w:rPr>
          <w:rFonts w:ascii="Times New Roman" w:hAnsi="Times New Roman"/>
          <w:b/>
          <w:sz w:val="22"/>
          <w:szCs w:val="22"/>
          <w:lang w:val="sk-SK"/>
        </w:rPr>
      </w:pPr>
      <w:r w:rsidRPr="00260261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260261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67439C" w:rsidRPr="00260261" w:rsidRDefault="0067439C" w:rsidP="00F21729">
      <w:pPr>
        <w:rPr>
          <w:rFonts w:ascii="Times New Roman" w:hAnsi="Times New Roman"/>
          <w:sz w:val="22"/>
          <w:szCs w:val="22"/>
          <w:lang w:val="sk-SK"/>
        </w:rPr>
      </w:pPr>
    </w:p>
    <w:p w:rsidR="0067439C" w:rsidRPr="00260261" w:rsidRDefault="00D2564F" w:rsidP="00F2172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11/2019</w:t>
      </w:r>
    </w:p>
    <w:sectPr w:rsidR="0067439C" w:rsidRPr="00260261" w:rsidSect="00DE472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2240" w:h="15840"/>
      <w:pgMar w:top="1134" w:right="1418" w:bottom="1134" w:left="1418" w:header="737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B" w:rsidRDefault="007850EB">
      <w:r>
        <w:separator/>
      </w:r>
    </w:p>
  </w:endnote>
  <w:endnote w:type="continuationSeparator" w:id="0">
    <w:p w:rsidR="007850EB" w:rsidRDefault="0078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1E" w:rsidRDefault="009C25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:rsidR="009C251E" w:rsidRDefault="009C251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1E" w:rsidRPr="003D68C1" w:rsidRDefault="00D2564F" w:rsidP="003D68C1">
    <w:pPr>
      <w:pStyle w:val="Pta"/>
      <w:jc w:val="center"/>
      <w:rPr>
        <w:rFonts w:ascii="Times New Roman" w:hAnsi="Times New Roman"/>
        <w:sz w:val="18"/>
        <w:szCs w:val="18"/>
      </w:rPr>
    </w:pPr>
    <w:r w:rsidRPr="003D68C1">
      <w:rPr>
        <w:rFonts w:ascii="Times New Roman" w:hAnsi="Times New Roman"/>
        <w:sz w:val="18"/>
        <w:szCs w:val="18"/>
      </w:rPr>
      <w:fldChar w:fldCharType="begin"/>
    </w:r>
    <w:r w:rsidRPr="003D68C1">
      <w:rPr>
        <w:rFonts w:ascii="Times New Roman" w:hAnsi="Times New Roman"/>
        <w:sz w:val="18"/>
        <w:szCs w:val="18"/>
      </w:rPr>
      <w:instrText>PAGE   \* MERGEFORMAT</w:instrText>
    </w:r>
    <w:r w:rsidRPr="003D68C1">
      <w:rPr>
        <w:rFonts w:ascii="Times New Roman" w:hAnsi="Times New Roman"/>
        <w:sz w:val="18"/>
        <w:szCs w:val="18"/>
      </w:rPr>
      <w:fldChar w:fldCharType="separate"/>
    </w:r>
    <w:r w:rsidR="003D68C1" w:rsidRPr="003D68C1">
      <w:rPr>
        <w:rFonts w:ascii="Times New Roman" w:hAnsi="Times New Roman"/>
        <w:noProof/>
        <w:sz w:val="18"/>
        <w:szCs w:val="18"/>
        <w:lang w:val="sk-SK"/>
      </w:rPr>
      <w:t>10</w:t>
    </w:r>
    <w:r w:rsidRPr="003D68C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37" w:rsidRPr="00260261" w:rsidRDefault="003C0837">
    <w:pPr>
      <w:pStyle w:val="Pta"/>
      <w:jc w:val="center"/>
      <w:rPr>
        <w:rFonts w:ascii="Times New Roman" w:hAnsi="Times New Roman"/>
        <w:sz w:val="18"/>
        <w:szCs w:val="18"/>
      </w:rPr>
    </w:pPr>
    <w:r w:rsidRPr="00260261">
      <w:rPr>
        <w:rFonts w:ascii="Times New Roman" w:hAnsi="Times New Roman"/>
        <w:sz w:val="18"/>
        <w:szCs w:val="18"/>
      </w:rPr>
      <w:fldChar w:fldCharType="begin"/>
    </w:r>
    <w:r w:rsidRPr="00260261">
      <w:rPr>
        <w:rFonts w:ascii="Times New Roman" w:hAnsi="Times New Roman"/>
        <w:sz w:val="18"/>
        <w:szCs w:val="18"/>
      </w:rPr>
      <w:instrText>PAGE   \* MERGEFORMAT</w:instrText>
    </w:r>
    <w:r w:rsidRPr="00260261">
      <w:rPr>
        <w:rFonts w:ascii="Times New Roman" w:hAnsi="Times New Roman"/>
        <w:sz w:val="18"/>
        <w:szCs w:val="18"/>
      </w:rPr>
      <w:fldChar w:fldCharType="separate"/>
    </w:r>
    <w:r w:rsidR="00DE4720" w:rsidRPr="00DE4720">
      <w:rPr>
        <w:rFonts w:ascii="Times New Roman" w:hAnsi="Times New Roman"/>
        <w:noProof/>
        <w:sz w:val="18"/>
        <w:szCs w:val="18"/>
        <w:lang w:val="sk-SK"/>
      </w:rPr>
      <w:t>1</w:t>
    </w:r>
    <w:r w:rsidRPr="00260261">
      <w:rPr>
        <w:rFonts w:ascii="Times New Roman" w:hAnsi="Times New Roman"/>
        <w:sz w:val="18"/>
        <w:szCs w:val="18"/>
      </w:rPr>
      <w:fldChar w:fldCharType="end"/>
    </w:r>
  </w:p>
  <w:p w:rsidR="003C0837" w:rsidRDefault="003C08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B" w:rsidRDefault="007850EB">
      <w:r>
        <w:separator/>
      </w:r>
    </w:p>
  </w:footnote>
  <w:footnote w:type="continuationSeparator" w:id="0">
    <w:p w:rsidR="007850EB" w:rsidRDefault="0078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20" w:rsidRPr="008E1B6E" w:rsidRDefault="00DE4720" w:rsidP="00DE4720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2019/0</w:t>
    </w:r>
    <w:r w:rsidR="00D731B4">
      <w:rPr>
        <w:rFonts w:ascii="Times New Roman" w:hAnsi="Times New Roman"/>
        <w:bCs/>
        <w:sz w:val="18"/>
        <w:szCs w:val="18"/>
        <w:lang w:val="sk-SK"/>
      </w:rPr>
      <w:t>6212-Z1B</w:t>
    </w:r>
  </w:p>
  <w:p w:rsidR="00B93B2D" w:rsidRDefault="00B93B2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98" w:rsidRDefault="00143398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 1 k notifikácii o zmene, ev. č.: 2018/0</w:t>
    </w:r>
    <w:r w:rsidR="005A3B84">
      <w:rPr>
        <w:rFonts w:ascii="Times New Roman" w:hAnsi="Times New Roman"/>
        <w:bCs/>
        <w:sz w:val="18"/>
        <w:szCs w:val="18"/>
        <w:lang w:val="sk-SK"/>
      </w:rPr>
      <w:t>0395-Z1B</w:t>
    </w:r>
  </w:p>
  <w:p w:rsidR="009C2E6C" w:rsidRPr="00260261" w:rsidRDefault="009C2E6C" w:rsidP="00260261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4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1A"/>
    <w:rsid w:val="00015488"/>
    <w:rsid w:val="00036305"/>
    <w:rsid w:val="00053940"/>
    <w:rsid w:val="000B6AAA"/>
    <w:rsid w:val="00131BE8"/>
    <w:rsid w:val="00143398"/>
    <w:rsid w:val="0015363D"/>
    <w:rsid w:val="00181317"/>
    <w:rsid w:val="00183B72"/>
    <w:rsid w:val="001C5FE8"/>
    <w:rsid w:val="001D29F3"/>
    <w:rsid w:val="001F316A"/>
    <w:rsid w:val="00205614"/>
    <w:rsid w:val="00205E72"/>
    <w:rsid w:val="00257C3C"/>
    <w:rsid w:val="00260261"/>
    <w:rsid w:val="0027761A"/>
    <w:rsid w:val="002F7CBD"/>
    <w:rsid w:val="00312451"/>
    <w:rsid w:val="00317F6D"/>
    <w:rsid w:val="003C0837"/>
    <w:rsid w:val="003D68C1"/>
    <w:rsid w:val="00404D19"/>
    <w:rsid w:val="00444C20"/>
    <w:rsid w:val="004467A6"/>
    <w:rsid w:val="00483381"/>
    <w:rsid w:val="004A6541"/>
    <w:rsid w:val="00521B8C"/>
    <w:rsid w:val="00564F3A"/>
    <w:rsid w:val="005873F3"/>
    <w:rsid w:val="005A3B84"/>
    <w:rsid w:val="005B0E22"/>
    <w:rsid w:val="005D3DC1"/>
    <w:rsid w:val="006219BF"/>
    <w:rsid w:val="00646419"/>
    <w:rsid w:val="0067439C"/>
    <w:rsid w:val="006743EA"/>
    <w:rsid w:val="006B0BD1"/>
    <w:rsid w:val="007511A2"/>
    <w:rsid w:val="00756592"/>
    <w:rsid w:val="00762C96"/>
    <w:rsid w:val="007850EB"/>
    <w:rsid w:val="007C40E6"/>
    <w:rsid w:val="007F43BF"/>
    <w:rsid w:val="00816E43"/>
    <w:rsid w:val="008754C5"/>
    <w:rsid w:val="008B517A"/>
    <w:rsid w:val="008E1B6E"/>
    <w:rsid w:val="008F0500"/>
    <w:rsid w:val="00945784"/>
    <w:rsid w:val="00983003"/>
    <w:rsid w:val="00986F05"/>
    <w:rsid w:val="009B4415"/>
    <w:rsid w:val="009C251E"/>
    <w:rsid w:val="009C2E6C"/>
    <w:rsid w:val="009E3D46"/>
    <w:rsid w:val="009F4087"/>
    <w:rsid w:val="00A60C55"/>
    <w:rsid w:val="00A831D4"/>
    <w:rsid w:val="00AA2428"/>
    <w:rsid w:val="00AB28FA"/>
    <w:rsid w:val="00AC1E80"/>
    <w:rsid w:val="00B66280"/>
    <w:rsid w:val="00B712D0"/>
    <w:rsid w:val="00B93B2D"/>
    <w:rsid w:val="00BE581B"/>
    <w:rsid w:val="00C062E2"/>
    <w:rsid w:val="00C1134B"/>
    <w:rsid w:val="00C21EF9"/>
    <w:rsid w:val="00C53E12"/>
    <w:rsid w:val="00C5498F"/>
    <w:rsid w:val="00C77EB8"/>
    <w:rsid w:val="00D2564F"/>
    <w:rsid w:val="00D731B4"/>
    <w:rsid w:val="00D75C0A"/>
    <w:rsid w:val="00D90FDB"/>
    <w:rsid w:val="00D97742"/>
    <w:rsid w:val="00DA6232"/>
    <w:rsid w:val="00DD6D3C"/>
    <w:rsid w:val="00DE4720"/>
    <w:rsid w:val="00E41EC6"/>
    <w:rsid w:val="00E53FD6"/>
    <w:rsid w:val="00EF572B"/>
    <w:rsid w:val="00F15B25"/>
    <w:rsid w:val="00F21729"/>
    <w:rsid w:val="00F624BB"/>
    <w:rsid w:val="00F66B2D"/>
    <w:rsid w:val="00F7469F"/>
    <w:rsid w:val="00F81B64"/>
    <w:rsid w:val="00F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lang w:val="en-US"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7C40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40E6"/>
    <w:rPr>
      <w:sz w:val="20"/>
    </w:rPr>
  </w:style>
  <w:style w:type="character" w:customStyle="1" w:styleId="TextkomentraChar">
    <w:name w:val="Text komentára Char"/>
    <w:link w:val="Textkomentra"/>
    <w:rsid w:val="007C40E6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7C40E6"/>
    <w:rPr>
      <w:b/>
      <w:bCs/>
    </w:rPr>
  </w:style>
  <w:style w:type="character" w:customStyle="1" w:styleId="PredmetkomentraChar">
    <w:name w:val="Predmet komentára Char"/>
    <w:link w:val="Predmetkomentra"/>
    <w:rsid w:val="007C40E6"/>
    <w:rPr>
      <w:rFonts w:ascii="Arial" w:hAnsi="Arial"/>
      <w:b/>
      <w:bCs/>
      <w:lang w:val="en-US" w:eastAsia="de-DE"/>
    </w:rPr>
  </w:style>
  <w:style w:type="character" w:customStyle="1" w:styleId="PtaChar">
    <w:name w:val="Päta Char"/>
    <w:link w:val="Pta"/>
    <w:uiPriority w:val="99"/>
    <w:rsid w:val="003C0837"/>
    <w:rPr>
      <w:rFonts w:ascii="Arial" w:hAnsi="Arial"/>
      <w:sz w:val="24"/>
      <w:lang w:val="en-US" w:eastAsia="de-DE"/>
    </w:rPr>
  </w:style>
  <w:style w:type="character" w:styleId="Hypertextovprepojenie">
    <w:name w:val="Hyperlink"/>
    <w:uiPriority w:val="99"/>
    <w:unhideWhenUsed/>
    <w:rsid w:val="009B4415"/>
    <w:rPr>
      <w:color w:val="0563C1"/>
      <w:u w:val="single"/>
    </w:rPr>
  </w:style>
  <w:style w:type="character" w:customStyle="1" w:styleId="TextChar1">
    <w:name w:val="Text Char1"/>
    <w:link w:val="Text"/>
    <w:locked/>
    <w:rsid w:val="001C5FE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C5FE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lang w:val="en-US" w:eastAsia="de-DE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i/>
      <w:i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widowControl w:val="0"/>
      <w:jc w:val="both"/>
    </w:pPr>
    <w:rPr>
      <w:lang w:val="en-GB"/>
    </w:rPr>
  </w:style>
  <w:style w:type="paragraph" w:styleId="Nzov">
    <w:name w:val="Title"/>
    <w:basedOn w:val="Normlny"/>
    <w:qFormat/>
    <w:pPr>
      <w:widowControl w:val="0"/>
      <w:jc w:val="center"/>
    </w:pPr>
    <w:rPr>
      <w:rFonts w:cs="Arial"/>
      <w:b/>
      <w:bCs/>
    </w:rPr>
  </w:style>
  <w:style w:type="paragraph" w:styleId="Zkladntext3">
    <w:name w:val="Body Text 3"/>
    <w:basedOn w:val="Normlny"/>
    <w:pPr>
      <w:widowControl w:val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05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5E72"/>
    <w:rPr>
      <w:rFonts w:ascii="Arial" w:hAnsi="Arial"/>
      <w:sz w:val="24"/>
      <w:lang w:val="en-US" w:eastAsia="de-DE"/>
    </w:rPr>
  </w:style>
  <w:style w:type="paragraph" w:customStyle="1" w:styleId="Default">
    <w:name w:val="Default"/>
    <w:rsid w:val="00DA62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7C40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40E6"/>
    <w:rPr>
      <w:sz w:val="20"/>
    </w:rPr>
  </w:style>
  <w:style w:type="character" w:customStyle="1" w:styleId="TextkomentraChar">
    <w:name w:val="Text komentára Char"/>
    <w:link w:val="Textkomentra"/>
    <w:rsid w:val="007C40E6"/>
    <w:rPr>
      <w:rFonts w:ascii="Arial" w:hAnsi="Arial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7C40E6"/>
    <w:rPr>
      <w:b/>
      <w:bCs/>
    </w:rPr>
  </w:style>
  <w:style w:type="character" w:customStyle="1" w:styleId="PredmetkomentraChar">
    <w:name w:val="Predmet komentára Char"/>
    <w:link w:val="Predmetkomentra"/>
    <w:rsid w:val="007C40E6"/>
    <w:rPr>
      <w:rFonts w:ascii="Arial" w:hAnsi="Arial"/>
      <w:b/>
      <w:bCs/>
      <w:lang w:val="en-US" w:eastAsia="de-DE"/>
    </w:rPr>
  </w:style>
  <w:style w:type="character" w:customStyle="1" w:styleId="PtaChar">
    <w:name w:val="Päta Char"/>
    <w:link w:val="Pta"/>
    <w:uiPriority w:val="99"/>
    <w:rsid w:val="003C0837"/>
    <w:rPr>
      <w:rFonts w:ascii="Arial" w:hAnsi="Arial"/>
      <w:sz w:val="24"/>
      <w:lang w:val="en-US" w:eastAsia="de-DE"/>
    </w:rPr>
  </w:style>
  <w:style w:type="character" w:styleId="Hypertextovprepojenie">
    <w:name w:val="Hyperlink"/>
    <w:uiPriority w:val="99"/>
    <w:unhideWhenUsed/>
    <w:rsid w:val="009B4415"/>
    <w:rPr>
      <w:color w:val="0563C1"/>
      <w:u w:val="single"/>
    </w:rPr>
  </w:style>
  <w:style w:type="character" w:customStyle="1" w:styleId="TextChar1">
    <w:name w:val="Text Char1"/>
    <w:link w:val="Text"/>
    <w:locked/>
    <w:rsid w:val="001C5FE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C5FE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3739</Words>
  <Characters>21316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25005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2016-02-03T10:17:00Z</cp:lastPrinted>
  <dcterms:created xsi:type="dcterms:W3CDTF">2019-11-05T11:48:00Z</dcterms:created>
  <dcterms:modified xsi:type="dcterms:W3CDTF">2019-11-05T11:48:00Z</dcterms:modified>
</cp:coreProperties>
</file>