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DBA" w:rsidRDefault="005B7DBA" w:rsidP="005B7DBA">
      <w:pPr>
        <w:pStyle w:val="CM32"/>
        <w:pageBreakBefore/>
        <w:jc w:val="center"/>
        <w:rPr>
          <w:b/>
          <w:bCs/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>SÚHRN CHARAKTERISTICKÝCH VLASTNOSTÍ LIEKU</w:t>
      </w:r>
    </w:p>
    <w:p w:rsidR="005B7DBA" w:rsidRDefault="005B7DBA" w:rsidP="005B7DBA">
      <w:pPr>
        <w:pStyle w:val="Default"/>
      </w:pPr>
    </w:p>
    <w:p w:rsidR="005B7DBA" w:rsidRPr="005B7DBA" w:rsidRDefault="005B7DBA" w:rsidP="005B7DBA">
      <w:pPr>
        <w:pStyle w:val="Default"/>
      </w:pPr>
    </w:p>
    <w:p w:rsidR="005B7DBA" w:rsidRPr="005B7DBA" w:rsidRDefault="005B7DBA" w:rsidP="006C4495">
      <w:pPr>
        <w:pStyle w:val="CM33"/>
        <w:ind w:left="567" w:hanging="567"/>
        <w:rPr>
          <w:b/>
          <w:color w:val="000000"/>
          <w:sz w:val="22"/>
          <w:szCs w:val="22"/>
        </w:rPr>
      </w:pPr>
      <w:r w:rsidRPr="005B7DBA">
        <w:rPr>
          <w:b/>
          <w:color w:val="000000"/>
          <w:sz w:val="22"/>
          <w:szCs w:val="22"/>
        </w:rPr>
        <w:t xml:space="preserve">1. </w:t>
      </w:r>
      <w:r w:rsidR="006C4495">
        <w:rPr>
          <w:b/>
          <w:color w:val="000000"/>
          <w:sz w:val="22"/>
          <w:szCs w:val="22"/>
        </w:rPr>
        <w:tab/>
      </w:r>
      <w:r w:rsidRPr="005B7DBA">
        <w:rPr>
          <w:b/>
          <w:color w:val="000000"/>
          <w:sz w:val="22"/>
          <w:szCs w:val="22"/>
        </w:rPr>
        <w:t>NÁZOV LIEKU</w:t>
      </w:r>
    </w:p>
    <w:p w:rsidR="006C4495" w:rsidRDefault="006C4495" w:rsidP="005B7DBA">
      <w:pPr>
        <w:pStyle w:val="CM33"/>
        <w:rPr>
          <w:color w:val="000000"/>
          <w:sz w:val="22"/>
          <w:szCs w:val="22"/>
        </w:rPr>
      </w:pPr>
    </w:p>
    <w:p w:rsidR="005B7DBA" w:rsidRDefault="006C4495" w:rsidP="005B7DBA">
      <w:pPr>
        <w:pStyle w:val="Default"/>
        <w:rPr>
          <w:sz w:val="22"/>
          <w:szCs w:val="22"/>
        </w:rPr>
      </w:pPr>
      <w:r w:rsidRPr="006C4495">
        <w:rPr>
          <w:sz w:val="22"/>
          <w:szCs w:val="22"/>
        </w:rPr>
        <w:t>Sorafenib Teva 200 mg</w:t>
      </w:r>
    </w:p>
    <w:p w:rsidR="005A03B4" w:rsidRDefault="005A03B4" w:rsidP="005B7DBA">
      <w:pPr>
        <w:pStyle w:val="Default"/>
        <w:rPr>
          <w:sz w:val="22"/>
          <w:szCs w:val="22"/>
        </w:rPr>
      </w:pPr>
      <w:r>
        <w:rPr>
          <w:sz w:val="22"/>
          <w:szCs w:val="22"/>
        </w:rPr>
        <w:t>filmom obalené tablety</w:t>
      </w:r>
      <w:bookmarkStart w:id="0" w:name="_GoBack"/>
      <w:bookmarkEnd w:id="0"/>
    </w:p>
    <w:p w:rsidR="006C4495" w:rsidRDefault="006C4495" w:rsidP="005B7DBA">
      <w:pPr>
        <w:pStyle w:val="Default"/>
        <w:rPr>
          <w:sz w:val="22"/>
          <w:szCs w:val="22"/>
        </w:rPr>
      </w:pPr>
    </w:p>
    <w:p w:rsidR="005B7DBA" w:rsidRPr="005B7DBA" w:rsidRDefault="005B7DBA" w:rsidP="005B7DBA">
      <w:pPr>
        <w:pStyle w:val="Default"/>
      </w:pPr>
    </w:p>
    <w:p w:rsidR="005B7DBA" w:rsidRPr="005B7DBA" w:rsidRDefault="005B7DBA" w:rsidP="006C4495">
      <w:pPr>
        <w:pStyle w:val="Default"/>
        <w:tabs>
          <w:tab w:val="left" w:pos="567"/>
        </w:tabs>
        <w:rPr>
          <w:sz w:val="22"/>
          <w:szCs w:val="22"/>
        </w:rPr>
      </w:pPr>
      <w:r w:rsidRPr="005B7DBA">
        <w:rPr>
          <w:b/>
          <w:bCs/>
          <w:sz w:val="22"/>
          <w:szCs w:val="22"/>
        </w:rPr>
        <w:t xml:space="preserve">2. </w:t>
      </w:r>
      <w:r w:rsidR="006C4495">
        <w:rPr>
          <w:b/>
          <w:bCs/>
          <w:sz w:val="22"/>
          <w:szCs w:val="22"/>
        </w:rPr>
        <w:tab/>
      </w:r>
      <w:r w:rsidRPr="005B7DBA">
        <w:rPr>
          <w:b/>
          <w:bCs/>
          <w:sz w:val="22"/>
          <w:szCs w:val="22"/>
        </w:rPr>
        <w:t xml:space="preserve">KVALITATÍVNE A KVANTITATÍVNE ZLOŽENIE </w:t>
      </w:r>
    </w:p>
    <w:p w:rsidR="006C4495" w:rsidRDefault="006C4495" w:rsidP="005B7DBA">
      <w:pPr>
        <w:pStyle w:val="CM32"/>
        <w:rPr>
          <w:color w:val="000000"/>
          <w:sz w:val="22"/>
          <w:szCs w:val="22"/>
        </w:rPr>
      </w:pPr>
    </w:p>
    <w:p w:rsidR="006C4495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Každá filmom obalená tableta obsahuje 200 mg sorafenibu (ako </w:t>
      </w:r>
      <w:r w:rsidRPr="000D43B4">
        <w:rPr>
          <w:color w:val="000000"/>
          <w:sz w:val="22"/>
          <w:szCs w:val="22"/>
        </w:rPr>
        <w:t>tozylát</w:t>
      </w:r>
      <w:r w:rsidRPr="005B7DBA">
        <w:rPr>
          <w:color w:val="000000"/>
          <w:sz w:val="22"/>
          <w:szCs w:val="22"/>
        </w:rPr>
        <w:t xml:space="preserve">). </w:t>
      </w:r>
    </w:p>
    <w:p w:rsidR="006C4495" w:rsidRDefault="006C4495" w:rsidP="005B7DBA">
      <w:pPr>
        <w:pStyle w:val="CM32"/>
        <w:rPr>
          <w:color w:val="000000"/>
          <w:sz w:val="22"/>
          <w:szCs w:val="22"/>
        </w:rPr>
      </w:pPr>
    </w:p>
    <w:p w:rsidR="006C4495" w:rsidRPr="00A21889" w:rsidRDefault="006C4495" w:rsidP="006C4495">
      <w:pPr>
        <w:pStyle w:val="Zarkazkladnhotextu"/>
        <w:numPr>
          <w:ilvl w:val="0"/>
          <w:numId w:val="0"/>
        </w:numPr>
        <w:ind w:left="360" w:hanging="360"/>
        <w:jc w:val="both"/>
        <w:rPr>
          <w:sz w:val="22"/>
          <w:u w:val="single"/>
        </w:rPr>
      </w:pPr>
      <w:r w:rsidRPr="00A21889">
        <w:rPr>
          <w:sz w:val="22"/>
          <w:u w:val="single"/>
        </w:rPr>
        <w:t>Pomocná látka so známym účinkom:</w:t>
      </w:r>
    </w:p>
    <w:p w:rsidR="006C4495" w:rsidRPr="00496C08" w:rsidRDefault="006C4495" w:rsidP="006C4495">
      <w:pPr>
        <w:pStyle w:val="Zarkazkladnhotextu"/>
        <w:numPr>
          <w:ilvl w:val="0"/>
          <w:numId w:val="0"/>
        </w:numPr>
        <w:ind w:left="360" w:hanging="360"/>
        <w:jc w:val="both"/>
        <w:rPr>
          <w:sz w:val="22"/>
        </w:rPr>
      </w:pPr>
      <w:r>
        <w:rPr>
          <w:sz w:val="22"/>
        </w:rPr>
        <w:t>Každá filmom obalená tableta obsahuje 5,37 mg sodíka.</w:t>
      </w:r>
    </w:p>
    <w:p w:rsidR="006C4495" w:rsidRPr="00496C08" w:rsidRDefault="006C4495" w:rsidP="006C4495">
      <w:pPr>
        <w:pStyle w:val="Zarkazkladnhotextu"/>
        <w:numPr>
          <w:ilvl w:val="0"/>
          <w:numId w:val="0"/>
        </w:numPr>
        <w:ind w:left="360" w:hanging="360"/>
        <w:jc w:val="both"/>
        <w:rPr>
          <w:sz w:val="22"/>
        </w:rPr>
      </w:pPr>
    </w:p>
    <w:p w:rsidR="006C4495" w:rsidRPr="00496C08" w:rsidRDefault="006C4495" w:rsidP="006C4495">
      <w:pPr>
        <w:pStyle w:val="Zarkazkladnhotextu"/>
        <w:numPr>
          <w:ilvl w:val="0"/>
          <w:numId w:val="0"/>
        </w:numPr>
        <w:ind w:left="360" w:hanging="360"/>
        <w:jc w:val="both"/>
        <w:rPr>
          <w:sz w:val="22"/>
        </w:rPr>
      </w:pPr>
      <w:r w:rsidRPr="00496C08">
        <w:rPr>
          <w:sz w:val="22"/>
        </w:rPr>
        <w:t>Úplný zoznam pomocných látok, pozri časť 6.1.</w:t>
      </w:r>
    </w:p>
    <w:p w:rsidR="005B7DBA" w:rsidRDefault="005B7DBA" w:rsidP="005B7DBA">
      <w:pPr>
        <w:pStyle w:val="Default"/>
      </w:pPr>
    </w:p>
    <w:p w:rsidR="005B7DBA" w:rsidRPr="005B7DBA" w:rsidRDefault="005B7DBA" w:rsidP="005B7DBA">
      <w:pPr>
        <w:pStyle w:val="Default"/>
      </w:pPr>
    </w:p>
    <w:p w:rsidR="005B7DBA" w:rsidRPr="005B7DBA" w:rsidRDefault="005B7DBA" w:rsidP="006C4495">
      <w:pPr>
        <w:pStyle w:val="CM1"/>
        <w:tabs>
          <w:tab w:val="left" w:pos="567"/>
        </w:tabs>
        <w:spacing w:line="240" w:lineRule="auto"/>
        <w:rPr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3. </w:t>
      </w:r>
      <w:r w:rsidR="006C4495">
        <w:rPr>
          <w:b/>
          <w:bCs/>
          <w:color w:val="000000"/>
          <w:sz w:val="22"/>
          <w:szCs w:val="22"/>
        </w:rPr>
        <w:tab/>
      </w:r>
      <w:r w:rsidRPr="005B7DBA">
        <w:rPr>
          <w:b/>
          <w:bCs/>
          <w:color w:val="000000"/>
          <w:sz w:val="22"/>
          <w:szCs w:val="22"/>
        </w:rPr>
        <w:t xml:space="preserve">LIEKOVÁ FORMA </w:t>
      </w:r>
    </w:p>
    <w:p w:rsidR="006C4495" w:rsidRDefault="006C4495" w:rsidP="005B7DBA">
      <w:pPr>
        <w:pStyle w:val="CM1"/>
        <w:spacing w:line="240" w:lineRule="auto"/>
        <w:rPr>
          <w:color w:val="000000"/>
          <w:sz w:val="22"/>
          <w:szCs w:val="22"/>
        </w:rPr>
      </w:pPr>
    </w:p>
    <w:p w:rsidR="005B7DBA" w:rsidRPr="005B7DBA" w:rsidRDefault="005B7DBA" w:rsidP="005B7DBA">
      <w:pPr>
        <w:pStyle w:val="CM1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Filmom obalená tableta (tableta). </w:t>
      </w:r>
    </w:p>
    <w:p w:rsidR="006C4495" w:rsidRDefault="006C4495" w:rsidP="005B7DBA">
      <w:pPr>
        <w:pStyle w:val="CM34"/>
        <w:rPr>
          <w:color w:val="000000"/>
          <w:sz w:val="22"/>
          <w:szCs w:val="22"/>
        </w:rPr>
      </w:pPr>
    </w:p>
    <w:p w:rsidR="005B7DBA" w:rsidRDefault="006C4495" w:rsidP="00FD72BB">
      <w:pPr>
        <w:pStyle w:val="CM3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Ružové</w:t>
      </w:r>
      <w:r w:rsidR="005B7DBA" w:rsidRPr="005B7DBA">
        <w:rPr>
          <w:color w:val="000000"/>
          <w:sz w:val="22"/>
          <w:szCs w:val="22"/>
        </w:rPr>
        <w:t>, okrúhle, bikonvexné filmom obalené ta</w:t>
      </w:r>
      <w:r>
        <w:rPr>
          <w:color w:val="000000"/>
          <w:sz w:val="22"/>
          <w:szCs w:val="22"/>
        </w:rPr>
        <w:t>blety, na jednej strane vyrazené „TV“</w:t>
      </w:r>
      <w:r w:rsidR="005B7DBA" w:rsidRPr="005B7DBA">
        <w:rPr>
          <w:color w:val="000000"/>
          <w:sz w:val="22"/>
          <w:szCs w:val="22"/>
        </w:rPr>
        <w:t xml:space="preserve"> a na druhej strane </w:t>
      </w:r>
      <w:r w:rsidR="005A03B4">
        <w:rPr>
          <w:color w:val="000000"/>
          <w:sz w:val="22"/>
          <w:szCs w:val="22"/>
        </w:rPr>
        <w:t>„</w:t>
      </w:r>
      <w:r>
        <w:rPr>
          <w:color w:val="000000"/>
          <w:sz w:val="22"/>
          <w:szCs w:val="22"/>
        </w:rPr>
        <w:t>S3</w:t>
      </w:r>
      <w:r w:rsidR="005A03B4">
        <w:rPr>
          <w:color w:val="000000"/>
          <w:sz w:val="22"/>
          <w:szCs w:val="22"/>
        </w:rPr>
        <w:t>“</w:t>
      </w:r>
      <w:r w:rsidR="005B7DBA" w:rsidRPr="005B7DBA">
        <w:rPr>
          <w:color w:val="000000"/>
          <w:sz w:val="22"/>
          <w:szCs w:val="22"/>
        </w:rPr>
        <w:t xml:space="preserve">. </w:t>
      </w:r>
      <w:r>
        <w:rPr>
          <w:color w:val="000000"/>
          <w:sz w:val="22"/>
          <w:szCs w:val="22"/>
        </w:rPr>
        <w:t>Rozmery: približne 11 mm v priemere.</w:t>
      </w:r>
    </w:p>
    <w:p w:rsidR="00634A7E" w:rsidRDefault="00634A7E" w:rsidP="00634A7E">
      <w:pPr>
        <w:pStyle w:val="Default"/>
      </w:pPr>
    </w:p>
    <w:p w:rsidR="00634A7E" w:rsidRPr="00634A7E" w:rsidRDefault="00634A7E" w:rsidP="00634A7E">
      <w:pPr>
        <w:pStyle w:val="Default"/>
      </w:pPr>
    </w:p>
    <w:p w:rsidR="005B7DBA" w:rsidRDefault="005B7DBA" w:rsidP="006C4495">
      <w:pPr>
        <w:pStyle w:val="CM1"/>
        <w:tabs>
          <w:tab w:val="left" w:pos="567"/>
        </w:tabs>
        <w:spacing w:line="240" w:lineRule="auto"/>
        <w:rPr>
          <w:b/>
          <w:bCs/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4. </w:t>
      </w:r>
      <w:r w:rsidR="006C4495">
        <w:rPr>
          <w:b/>
          <w:bCs/>
          <w:color w:val="000000"/>
          <w:sz w:val="22"/>
          <w:szCs w:val="22"/>
        </w:rPr>
        <w:tab/>
      </w:r>
      <w:r w:rsidRPr="005B7DBA">
        <w:rPr>
          <w:b/>
          <w:bCs/>
          <w:color w:val="000000"/>
          <w:sz w:val="22"/>
          <w:szCs w:val="22"/>
        </w:rPr>
        <w:t xml:space="preserve">KLINICKÉ ÚDAJE </w:t>
      </w:r>
    </w:p>
    <w:p w:rsidR="00634A7E" w:rsidRPr="00634A7E" w:rsidRDefault="00634A7E" w:rsidP="00634A7E">
      <w:pPr>
        <w:pStyle w:val="Default"/>
      </w:pPr>
    </w:p>
    <w:p w:rsidR="005B7DBA" w:rsidRDefault="005B7DBA" w:rsidP="006C4495">
      <w:pPr>
        <w:pStyle w:val="CM1"/>
        <w:tabs>
          <w:tab w:val="left" w:pos="567"/>
        </w:tabs>
        <w:spacing w:line="240" w:lineRule="auto"/>
        <w:rPr>
          <w:b/>
          <w:bCs/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4.1 </w:t>
      </w:r>
      <w:r w:rsidR="006C4495">
        <w:rPr>
          <w:b/>
          <w:bCs/>
          <w:color w:val="000000"/>
          <w:sz w:val="22"/>
          <w:szCs w:val="22"/>
        </w:rPr>
        <w:tab/>
      </w:r>
      <w:r w:rsidRPr="005B7DBA">
        <w:rPr>
          <w:b/>
          <w:bCs/>
          <w:color w:val="000000"/>
          <w:sz w:val="22"/>
          <w:szCs w:val="22"/>
        </w:rPr>
        <w:t xml:space="preserve">Terapeutické indikácie </w:t>
      </w:r>
    </w:p>
    <w:p w:rsidR="006C4495" w:rsidRPr="006C4495" w:rsidRDefault="006C4495" w:rsidP="006C4495">
      <w:pPr>
        <w:pStyle w:val="Default"/>
      </w:pPr>
    </w:p>
    <w:p w:rsidR="006C4495" w:rsidRDefault="005B7DBA" w:rsidP="005B7DBA">
      <w:pPr>
        <w:pStyle w:val="CM32"/>
        <w:rPr>
          <w:color w:val="000000"/>
          <w:sz w:val="22"/>
          <w:szCs w:val="22"/>
          <w:u w:val="single"/>
        </w:rPr>
      </w:pPr>
      <w:r w:rsidRPr="005B7DBA">
        <w:rPr>
          <w:color w:val="000000"/>
          <w:sz w:val="22"/>
          <w:szCs w:val="22"/>
          <w:u w:val="single"/>
        </w:rPr>
        <w:t xml:space="preserve">Hepatocelulárny karcinóm </w:t>
      </w:r>
    </w:p>
    <w:p w:rsidR="006C4495" w:rsidRDefault="006C4495" w:rsidP="006C4495">
      <w:pPr>
        <w:pStyle w:val="Default"/>
        <w:rPr>
          <w:sz w:val="22"/>
          <w:szCs w:val="22"/>
        </w:rPr>
      </w:pPr>
      <w:r w:rsidRPr="006C4495">
        <w:rPr>
          <w:sz w:val="22"/>
          <w:szCs w:val="22"/>
        </w:rPr>
        <w:t xml:space="preserve">Sorafenib Teva </w:t>
      </w:r>
      <w:r w:rsidR="005B7DBA" w:rsidRPr="005B7DBA">
        <w:rPr>
          <w:sz w:val="22"/>
          <w:szCs w:val="22"/>
        </w:rPr>
        <w:t xml:space="preserve">je indikovaný na liečbu hepatocelulárneho karcinómu (pozri časť 5.1). </w:t>
      </w:r>
    </w:p>
    <w:p w:rsidR="006C4495" w:rsidRDefault="006C4495" w:rsidP="005B7DBA">
      <w:pPr>
        <w:pStyle w:val="CM32"/>
        <w:rPr>
          <w:color w:val="000000"/>
          <w:sz w:val="22"/>
          <w:szCs w:val="22"/>
        </w:rPr>
      </w:pPr>
    </w:p>
    <w:p w:rsidR="005B7DBA" w:rsidRPr="005B7DBA" w:rsidRDefault="00A0042A" w:rsidP="005B7DBA">
      <w:pPr>
        <w:pStyle w:val="CM3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 xml:space="preserve">Karcinóm </w:t>
      </w:r>
      <w:r w:rsidR="005B7DBA" w:rsidRPr="005B7DBA">
        <w:rPr>
          <w:color w:val="000000"/>
          <w:sz w:val="22"/>
          <w:szCs w:val="22"/>
          <w:u w:val="single"/>
        </w:rPr>
        <w:t xml:space="preserve">renálnych buniek </w:t>
      </w:r>
    </w:p>
    <w:p w:rsidR="005B7DBA" w:rsidRDefault="006C4495" w:rsidP="006C4495">
      <w:pPr>
        <w:pStyle w:val="Default"/>
        <w:rPr>
          <w:sz w:val="22"/>
          <w:szCs w:val="22"/>
        </w:rPr>
      </w:pPr>
      <w:r w:rsidRPr="006C4495">
        <w:rPr>
          <w:sz w:val="22"/>
          <w:szCs w:val="22"/>
        </w:rPr>
        <w:t xml:space="preserve">Sorafenib Teva </w:t>
      </w:r>
      <w:r w:rsidR="005B7DBA" w:rsidRPr="005B7DBA">
        <w:rPr>
          <w:sz w:val="22"/>
          <w:szCs w:val="22"/>
        </w:rPr>
        <w:t>je indikovaný na liečbu paci</w:t>
      </w:r>
      <w:r w:rsidR="00A0042A">
        <w:rPr>
          <w:sz w:val="22"/>
          <w:szCs w:val="22"/>
        </w:rPr>
        <w:t xml:space="preserve">entov s pokročilým karcinómom </w:t>
      </w:r>
      <w:r w:rsidR="005B7DBA" w:rsidRPr="005B7DBA">
        <w:rPr>
          <w:sz w:val="22"/>
          <w:szCs w:val="22"/>
        </w:rPr>
        <w:t xml:space="preserve">renálnych buniek, u ktorých zlyhala predchádzajúca liečba založená na interferóne alfa alebo interleukíne-2 alebo sa považujú za nevhodných pre takúto liečbu. </w:t>
      </w:r>
    </w:p>
    <w:p w:rsidR="006C4495" w:rsidRPr="005B7DBA" w:rsidRDefault="006C4495" w:rsidP="006C4495">
      <w:pPr>
        <w:pStyle w:val="Default"/>
        <w:rPr>
          <w:sz w:val="22"/>
          <w:szCs w:val="22"/>
        </w:rPr>
      </w:pPr>
    </w:p>
    <w:p w:rsidR="005B7DBA" w:rsidRPr="005B7DBA" w:rsidRDefault="005B7DBA" w:rsidP="006C4495">
      <w:pPr>
        <w:pStyle w:val="CM32"/>
        <w:tabs>
          <w:tab w:val="left" w:pos="567"/>
        </w:tabs>
        <w:rPr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4.2 </w:t>
      </w:r>
      <w:r w:rsidR="006C4495">
        <w:rPr>
          <w:b/>
          <w:bCs/>
          <w:color w:val="000000"/>
          <w:sz w:val="22"/>
          <w:szCs w:val="22"/>
        </w:rPr>
        <w:tab/>
      </w:r>
      <w:r w:rsidRPr="005B7DBA">
        <w:rPr>
          <w:b/>
          <w:bCs/>
          <w:color w:val="000000"/>
          <w:sz w:val="22"/>
          <w:szCs w:val="22"/>
        </w:rPr>
        <w:t xml:space="preserve">Dávkovanie a spôsob podávania </w:t>
      </w:r>
    </w:p>
    <w:p w:rsidR="006C4495" w:rsidRDefault="006C4495" w:rsidP="005B7DBA">
      <w:pPr>
        <w:pStyle w:val="CM32"/>
        <w:rPr>
          <w:color w:val="000000"/>
          <w:sz w:val="22"/>
          <w:szCs w:val="22"/>
        </w:rPr>
      </w:pPr>
    </w:p>
    <w:p w:rsidR="005B7DBA" w:rsidRDefault="005B7DBA" w:rsidP="006C4495">
      <w:pPr>
        <w:pStyle w:val="Default"/>
        <w:rPr>
          <w:sz w:val="22"/>
          <w:szCs w:val="22"/>
        </w:rPr>
      </w:pPr>
      <w:r w:rsidRPr="005B7DBA">
        <w:rPr>
          <w:sz w:val="22"/>
          <w:szCs w:val="22"/>
        </w:rPr>
        <w:t xml:space="preserve">Liečba </w:t>
      </w:r>
      <w:r w:rsidR="006C4495" w:rsidRPr="006C4495">
        <w:rPr>
          <w:sz w:val="22"/>
          <w:szCs w:val="22"/>
        </w:rPr>
        <w:t>Sorafenib</w:t>
      </w:r>
      <w:r w:rsidR="006C4495">
        <w:rPr>
          <w:sz w:val="22"/>
          <w:szCs w:val="22"/>
        </w:rPr>
        <w:t>om</w:t>
      </w:r>
      <w:r w:rsidR="006C4495" w:rsidRPr="006C4495">
        <w:rPr>
          <w:sz w:val="22"/>
          <w:szCs w:val="22"/>
        </w:rPr>
        <w:t xml:space="preserve"> Teva </w:t>
      </w:r>
      <w:r w:rsidRPr="005B7DBA">
        <w:rPr>
          <w:sz w:val="22"/>
          <w:szCs w:val="22"/>
        </w:rPr>
        <w:t xml:space="preserve">má prebiehať pod dohľadom lekára so skúsenosťami s používaním protirakovinovej liečby. </w:t>
      </w:r>
    </w:p>
    <w:p w:rsidR="006C4495" w:rsidRPr="005B7DBA" w:rsidRDefault="006C4495" w:rsidP="006C4495">
      <w:pPr>
        <w:pStyle w:val="Default"/>
        <w:rPr>
          <w:sz w:val="22"/>
          <w:szCs w:val="22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Dávkovanie </w:t>
      </w:r>
    </w:p>
    <w:p w:rsid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Odporúčaná dávka </w:t>
      </w:r>
      <w:r w:rsidR="006C4495" w:rsidRPr="006C4495">
        <w:rPr>
          <w:sz w:val="22"/>
          <w:szCs w:val="22"/>
        </w:rPr>
        <w:t>Sorafenib</w:t>
      </w:r>
      <w:r w:rsidR="006C4495">
        <w:rPr>
          <w:sz w:val="22"/>
          <w:szCs w:val="22"/>
        </w:rPr>
        <w:t>u</w:t>
      </w:r>
      <w:r w:rsidR="006C4495" w:rsidRPr="006C4495">
        <w:rPr>
          <w:sz w:val="22"/>
          <w:szCs w:val="22"/>
        </w:rPr>
        <w:t xml:space="preserve"> Teva </w:t>
      </w:r>
      <w:r w:rsidRPr="005B7DBA">
        <w:rPr>
          <w:color w:val="000000"/>
          <w:sz w:val="22"/>
          <w:szCs w:val="22"/>
        </w:rPr>
        <w:t xml:space="preserve">u dospelých je 400 mg sorafenibu (dve tablety po 200 mg) dvakrát denne (zodpovedá celkovej dennej dávke 800 mg). </w:t>
      </w:r>
    </w:p>
    <w:p w:rsidR="006C4495" w:rsidRPr="006C4495" w:rsidRDefault="006C4495" w:rsidP="006C4495">
      <w:pPr>
        <w:pStyle w:val="Default"/>
      </w:pPr>
    </w:p>
    <w:p w:rsidR="005B7DBA" w:rsidRPr="005B7DBA" w:rsidRDefault="005B7DBA" w:rsidP="005B7DBA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Liečba má pokračovať, kým sa pozoruje klinický prínos alebo kým sa nevyskytne neprijateľná </w:t>
      </w:r>
    </w:p>
    <w:p w:rsidR="00634A7E" w:rsidRDefault="005B7DBA" w:rsidP="00634A7E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toxicita. </w:t>
      </w:r>
    </w:p>
    <w:p w:rsidR="00634A7E" w:rsidRDefault="00634A7E" w:rsidP="00634A7E">
      <w:pPr>
        <w:pStyle w:val="CM3"/>
        <w:spacing w:line="240" w:lineRule="auto"/>
        <w:rPr>
          <w:color w:val="000000"/>
          <w:sz w:val="22"/>
          <w:szCs w:val="22"/>
        </w:rPr>
      </w:pPr>
    </w:p>
    <w:p w:rsidR="005B7DBA" w:rsidRPr="005B7DBA" w:rsidRDefault="005B7DBA" w:rsidP="00634A7E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Úpravy dávkovania </w:t>
      </w:r>
    </w:p>
    <w:p w:rsidR="005B7DBA" w:rsidRDefault="005B7DBA" w:rsidP="005B7DBA">
      <w:pPr>
        <w:pStyle w:val="CM32"/>
        <w:rPr>
          <w:color w:val="000000"/>
          <w:sz w:val="22"/>
          <w:szCs w:val="22"/>
        </w:rPr>
      </w:pPr>
      <w:r w:rsidRPr="000D43B4">
        <w:rPr>
          <w:color w:val="000000"/>
          <w:sz w:val="22"/>
          <w:szCs w:val="22"/>
        </w:rPr>
        <w:t>Manažment</w:t>
      </w:r>
      <w:r w:rsidRPr="005B7DBA">
        <w:rPr>
          <w:color w:val="000000"/>
          <w:sz w:val="22"/>
          <w:szCs w:val="22"/>
        </w:rPr>
        <w:t xml:space="preserve"> podozrení na nežiaduce liekové reakcie si môže vyžadovať dočasné prerušenie alebo zníženie dávky v liečbe sorafenibom. </w:t>
      </w:r>
    </w:p>
    <w:p w:rsidR="006C4495" w:rsidRPr="006C4495" w:rsidRDefault="006C4495" w:rsidP="006C4495">
      <w:pPr>
        <w:pStyle w:val="Default"/>
      </w:pPr>
    </w:p>
    <w:p w:rsid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>Ak je nevyhnutné zníženie dávky počas liečby hepatocelulárneho karcinómu</w:t>
      </w:r>
      <w:r w:rsidR="00A0042A">
        <w:rPr>
          <w:color w:val="000000"/>
          <w:sz w:val="22"/>
          <w:szCs w:val="22"/>
        </w:rPr>
        <w:t xml:space="preserve"> (HCC) a pokročilého </w:t>
      </w:r>
      <w:r w:rsidR="00A0042A">
        <w:rPr>
          <w:color w:val="000000"/>
          <w:sz w:val="22"/>
          <w:szCs w:val="22"/>
        </w:rPr>
        <w:lastRenderedPageBreak/>
        <w:t xml:space="preserve">karcinómu </w:t>
      </w:r>
      <w:r w:rsidR="006C4495">
        <w:rPr>
          <w:color w:val="000000"/>
          <w:sz w:val="22"/>
          <w:szCs w:val="22"/>
        </w:rPr>
        <w:t>renálnych buniek (RCC), dávka S</w:t>
      </w:r>
      <w:r w:rsidRPr="005B7DBA">
        <w:rPr>
          <w:color w:val="000000"/>
          <w:sz w:val="22"/>
          <w:szCs w:val="22"/>
        </w:rPr>
        <w:t xml:space="preserve">orafenibu </w:t>
      </w:r>
      <w:r w:rsidR="006C4495">
        <w:rPr>
          <w:color w:val="000000"/>
          <w:sz w:val="22"/>
          <w:szCs w:val="22"/>
        </w:rPr>
        <w:t xml:space="preserve">Teva </w:t>
      </w:r>
      <w:r w:rsidRPr="005B7DBA">
        <w:rPr>
          <w:color w:val="000000"/>
          <w:sz w:val="22"/>
          <w:szCs w:val="22"/>
        </w:rPr>
        <w:t xml:space="preserve">sa má znížiť na dve tablety po 200 mg sorafenibu jedenkrát denne (pozri časť 4.4). </w:t>
      </w:r>
    </w:p>
    <w:p w:rsidR="006C4495" w:rsidRPr="006C4495" w:rsidRDefault="006C4495" w:rsidP="006C4495">
      <w:pPr>
        <w:pStyle w:val="Default"/>
      </w:pPr>
    </w:p>
    <w:p w:rsidR="005B7DBA" w:rsidRPr="005B7DBA" w:rsidRDefault="005B7DBA" w:rsidP="005B7DBA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Ak je nevyhnutné ďalšie zníženie dávky, dávka </w:t>
      </w:r>
      <w:r w:rsidR="006C4495">
        <w:rPr>
          <w:color w:val="000000"/>
          <w:sz w:val="22"/>
          <w:szCs w:val="22"/>
        </w:rPr>
        <w:t xml:space="preserve">Sorafenibu Teva </w:t>
      </w:r>
      <w:r w:rsidRPr="005B7DBA">
        <w:rPr>
          <w:color w:val="000000"/>
          <w:sz w:val="22"/>
          <w:szCs w:val="22"/>
        </w:rPr>
        <w:t xml:space="preserve">sa môže ďalej znížiť na 400 mg sorafenibu denne v rozdelených dávkach (dve tablety po 200 mg s odstupom dvanásť hodín) a, ak je to nevyhnutné, následne na jednu tabletu po 200 mg jedenkrát denne. Po zlepšení nehematologických </w:t>
      </w: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nežiaducich reakcií sa dávka </w:t>
      </w:r>
      <w:r w:rsidR="006C4495">
        <w:rPr>
          <w:color w:val="000000"/>
          <w:sz w:val="22"/>
          <w:szCs w:val="22"/>
        </w:rPr>
        <w:t xml:space="preserve">Sorafenibu Teva </w:t>
      </w:r>
      <w:r w:rsidRPr="005B7DBA">
        <w:rPr>
          <w:color w:val="000000"/>
          <w:sz w:val="22"/>
          <w:szCs w:val="22"/>
        </w:rPr>
        <w:t xml:space="preserve">môže zvýšiť. </w:t>
      </w:r>
    </w:p>
    <w:p w:rsidR="00634A7E" w:rsidRDefault="00634A7E" w:rsidP="005B7DBA">
      <w:pPr>
        <w:pStyle w:val="CM3"/>
        <w:spacing w:line="240" w:lineRule="auto"/>
        <w:rPr>
          <w:i/>
          <w:iCs/>
          <w:color w:val="000000"/>
          <w:sz w:val="22"/>
          <w:szCs w:val="22"/>
        </w:rPr>
      </w:pPr>
    </w:p>
    <w:p w:rsidR="005B7DBA" w:rsidRPr="005B7DBA" w:rsidRDefault="005B7DBA" w:rsidP="005B7DBA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i/>
          <w:iCs/>
          <w:color w:val="000000"/>
          <w:sz w:val="22"/>
          <w:szCs w:val="22"/>
        </w:rPr>
        <w:t xml:space="preserve">Pediatrická populácia </w:t>
      </w: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Bezpečnosť a účinnosť </w:t>
      </w:r>
      <w:r w:rsidR="006C4495">
        <w:rPr>
          <w:color w:val="000000"/>
          <w:sz w:val="22"/>
          <w:szCs w:val="22"/>
        </w:rPr>
        <w:t xml:space="preserve">sorafenibu </w:t>
      </w:r>
      <w:r w:rsidRPr="005B7DBA">
        <w:rPr>
          <w:color w:val="000000"/>
          <w:sz w:val="22"/>
          <w:szCs w:val="22"/>
        </w:rPr>
        <w:t xml:space="preserve">u detí a dospievajúcich vo veku &lt;18 rokov neboli doteraz stanovené. K dispozícii nie sú žiadne údaje. </w:t>
      </w:r>
    </w:p>
    <w:p w:rsidR="00634A7E" w:rsidRDefault="00634A7E" w:rsidP="005B7DBA">
      <w:pPr>
        <w:pStyle w:val="CM3"/>
        <w:spacing w:line="240" w:lineRule="auto"/>
        <w:rPr>
          <w:i/>
          <w:iCs/>
          <w:color w:val="000000"/>
          <w:sz w:val="22"/>
          <w:szCs w:val="22"/>
        </w:rPr>
      </w:pPr>
    </w:p>
    <w:p w:rsidR="005B7DBA" w:rsidRPr="005B7DBA" w:rsidRDefault="005B7DBA" w:rsidP="005B7DBA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i/>
          <w:iCs/>
          <w:color w:val="000000"/>
          <w:sz w:val="22"/>
          <w:szCs w:val="22"/>
        </w:rPr>
        <w:t xml:space="preserve">Starší pacienti </w:t>
      </w: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U starších pacientov sa nevyžaduje úprava dávky (pacienti nad 65 rokov). </w:t>
      </w:r>
    </w:p>
    <w:p w:rsidR="006C4495" w:rsidRDefault="006C4495" w:rsidP="005B7DBA">
      <w:pPr>
        <w:pStyle w:val="CM3"/>
        <w:spacing w:line="240" w:lineRule="auto"/>
        <w:rPr>
          <w:i/>
          <w:iCs/>
          <w:color w:val="000000"/>
          <w:sz w:val="22"/>
          <w:szCs w:val="22"/>
        </w:rPr>
      </w:pPr>
    </w:p>
    <w:p w:rsidR="005B7DBA" w:rsidRPr="005B7DBA" w:rsidRDefault="00306747" w:rsidP="005B7DBA">
      <w:pPr>
        <w:pStyle w:val="CM3"/>
        <w:spacing w:line="240" w:lineRule="auto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Porucha</w:t>
      </w:r>
      <w:r w:rsidR="005B7DBA" w:rsidRPr="005B7DBA">
        <w:rPr>
          <w:i/>
          <w:iCs/>
          <w:color w:val="000000"/>
          <w:sz w:val="22"/>
          <w:szCs w:val="22"/>
        </w:rPr>
        <w:t xml:space="preserve"> funkcie obličiek </w:t>
      </w:r>
    </w:p>
    <w:p w:rsid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>U pacientov s miern</w:t>
      </w:r>
      <w:r w:rsidR="00306747">
        <w:rPr>
          <w:color w:val="000000"/>
          <w:sz w:val="22"/>
          <w:szCs w:val="22"/>
        </w:rPr>
        <w:t>ou</w:t>
      </w:r>
      <w:r w:rsidRPr="005B7DBA">
        <w:rPr>
          <w:color w:val="000000"/>
          <w:sz w:val="22"/>
          <w:szCs w:val="22"/>
        </w:rPr>
        <w:t>, stredne závažn</w:t>
      </w:r>
      <w:r w:rsidR="00306747">
        <w:rPr>
          <w:color w:val="000000"/>
          <w:sz w:val="22"/>
          <w:szCs w:val="22"/>
        </w:rPr>
        <w:t>ou</w:t>
      </w:r>
      <w:r w:rsidRPr="005B7DBA">
        <w:rPr>
          <w:color w:val="000000"/>
          <w:sz w:val="22"/>
          <w:szCs w:val="22"/>
        </w:rPr>
        <w:t xml:space="preserve"> alebo závažn</w:t>
      </w:r>
      <w:r w:rsidR="00306747">
        <w:rPr>
          <w:color w:val="000000"/>
          <w:sz w:val="22"/>
          <w:szCs w:val="22"/>
        </w:rPr>
        <w:t>ou</w:t>
      </w:r>
      <w:r w:rsidRPr="005B7DBA">
        <w:rPr>
          <w:color w:val="000000"/>
          <w:sz w:val="22"/>
          <w:szCs w:val="22"/>
        </w:rPr>
        <w:t xml:space="preserve"> </w:t>
      </w:r>
      <w:r w:rsidR="00306747">
        <w:rPr>
          <w:color w:val="000000"/>
          <w:sz w:val="22"/>
          <w:szCs w:val="22"/>
        </w:rPr>
        <w:t>poruchou</w:t>
      </w:r>
      <w:r w:rsidRPr="005B7DBA">
        <w:rPr>
          <w:color w:val="000000"/>
          <w:sz w:val="22"/>
          <w:szCs w:val="22"/>
        </w:rPr>
        <w:t xml:space="preserve"> funkcie obličiek sa nevyžaduje úprava dávky. Nie sú k dispozícií žiadne údaje o pacientoch vyžadujúcich dialýzu (pozri časť 5.2). </w:t>
      </w:r>
    </w:p>
    <w:p w:rsidR="0048661B" w:rsidRPr="0048661B" w:rsidRDefault="0048661B" w:rsidP="0048661B">
      <w:pPr>
        <w:pStyle w:val="Default"/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U pacientov s rizikom renálnej dysfunkcie sa odporúča monitorovanie rovnováhy tekutín a elektrolytov. </w:t>
      </w:r>
    </w:p>
    <w:p w:rsidR="00634A7E" w:rsidRDefault="00634A7E" w:rsidP="005B7DBA">
      <w:pPr>
        <w:pStyle w:val="CM3"/>
        <w:spacing w:line="240" w:lineRule="auto"/>
        <w:rPr>
          <w:i/>
          <w:iCs/>
          <w:color w:val="000000"/>
          <w:sz w:val="22"/>
          <w:szCs w:val="22"/>
        </w:rPr>
      </w:pPr>
    </w:p>
    <w:p w:rsidR="005B7DBA" w:rsidRPr="005B7DBA" w:rsidRDefault="00306747" w:rsidP="005B7DBA">
      <w:pPr>
        <w:pStyle w:val="CM3"/>
        <w:spacing w:line="240" w:lineRule="auto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Porucha</w:t>
      </w:r>
      <w:r w:rsidR="005B7DBA" w:rsidRPr="005B7DBA">
        <w:rPr>
          <w:i/>
          <w:iCs/>
          <w:color w:val="000000"/>
          <w:sz w:val="22"/>
          <w:szCs w:val="22"/>
        </w:rPr>
        <w:t xml:space="preserve"> funkcie pečene </w:t>
      </w:r>
    </w:p>
    <w:p w:rsidR="005B7DBA" w:rsidRPr="005B7DBA" w:rsidRDefault="005B7DBA" w:rsidP="00FD72BB">
      <w:pPr>
        <w:pStyle w:val="CM7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U pacientov s Childovou-Pughovou klasifikáciou </w:t>
      </w:r>
      <w:r w:rsidR="00306747">
        <w:rPr>
          <w:color w:val="000000"/>
          <w:sz w:val="22"/>
          <w:szCs w:val="22"/>
        </w:rPr>
        <w:t>poruchy</w:t>
      </w:r>
      <w:r w:rsidRPr="005B7DBA">
        <w:rPr>
          <w:color w:val="000000"/>
          <w:sz w:val="22"/>
          <w:szCs w:val="22"/>
        </w:rPr>
        <w:t xml:space="preserve"> funkcie pečene stupeň A alebo B (mierne až stredne závažné) sa nevyžaduje úprava dávky. Nie sú k dispozícii žiadne údaje o pacientoch s</w:t>
      </w:r>
      <w:r w:rsidR="00306747">
        <w:rPr>
          <w:color w:val="000000"/>
          <w:sz w:val="22"/>
          <w:szCs w:val="22"/>
        </w:rPr>
        <w:t> </w:t>
      </w:r>
      <w:r w:rsidRPr="005B7DBA">
        <w:rPr>
          <w:color w:val="000000"/>
          <w:sz w:val="22"/>
          <w:szCs w:val="22"/>
        </w:rPr>
        <w:t xml:space="preserve">Childovou-Pughovou klasifikáciou </w:t>
      </w:r>
      <w:r w:rsidR="00306747">
        <w:rPr>
          <w:color w:val="000000"/>
          <w:sz w:val="22"/>
          <w:szCs w:val="22"/>
        </w:rPr>
        <w:t>poruchy</w:t>
      </w:r>
      <w:r w:rsidRPr="005B7DBA">
        <w:rPr>
          <w:color w:val="000000"/>
          <w:sz w:val="22"/>
          <w:szCs w:val="22"/>
        </w:rPr>
        <w:t xml:space="preserve"> funkcie pečene stupeň C (závažné) (pozri časti 4.4 a 5.2).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48661B" w:rsidRPr="0048661B" w:rsidRDefault="005B7DBA" w:rsidP="0048661B">
      <w:pPr>
        <w:pStyle w:val="CM32"/>
        <w:rPr>
          <w:color w:val="000000"/>
          <w:sz w:val="22"/>
          <w:szCs w:val="22"/>
          <w:u w:val="single"/>
        </w:rPr>
      </w:pPr>
      <w:r w:rsidRPr="005B7DBA">
        <w:rPr>
          <w:color w:val="000000"/>
          <w:sz w:val="22"/>
          <w:szCs w:val="22"/>
          <w:u w:val="single"/>
        </w:rPr>
        <w:t xml:space="preserve">Spôsob podávania </w:t>
      </w:r>
    </w:p>
    <w:p w:rsidR="005B7DBA" w:rsidRPr="005B7DBA" w:rsidRDefault="005B7DBA" w:rsidP="005B7DBA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Na perorálne použitie. </w:t>
      </w:r>
    </w:p>
    <w:p w:rsidR="0048661B" w:rsidRDefault="0048661B" w:rsidP="005B7DBA">
      <w:pPr>
        <w:pStyle w:val="CM33"/>
        <w:rPr>
          <w:color w:val="000000"/>
          <w:sz w:val="22"/>
          <w:szCs w:val="22"/>
        </w:rPr>
      </w:pPr>
    </w:p>
    <w:p w:rsidR="005B7DBA" w:rsidRDefault="005B7DBA" w:rsidP="005B7DBA">
      <w:pPr>
        <w:pStyle w:val="CM33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>Sorafenib sa odporúča podávať bez jedla alebo s</w:t>
      </w:r>
      <w:r w:rsidR="00C846FE">
        <w:rPr>
          <w:color w:val="000000"/>
          <w:sz w:val="22"/>
          <w:szCs w:val="22"/>
        </w:rPr>
        <w:t> </w:t>
      </w:r>
      <w:r w:rsidRPr="005B7DBA">
        <w:rPr>
          <w:color w:val="000000"/>
          <w:sz w:val="22"/>
          <w:szCs w:val="22"/>
        </w:rPr>
        <w:t>jedlami</w:t>
      </w:r>
      <w:r w:rsidR="00C846FE">
        <w:rPr>
          <w:color w:val="000000"/>
          <w:sz w:val="22"/>
          <w:szCs w:val="22"/>
        </w:rPr>
        <w:t xml:space="preserve"> </w:t>
      </w:r>
      <w:r w:rsidR="00C4589A">
        <w:rPr>
          <w:color w:val="000000"/>
          <w:sz w:val="22"/>
          <w:szCs w:val="22"/>
        </w:rPr>
        <w:t xml:space="preserve">s </w:t>
      </w:r>
      <w:r w:rsidR="00C846FE">
        <w:rPr>
          <w:color w:val="000000"/>
          <w:sz w:val="22"/>
          <w:szCs w:val="22"/>
        </w:rPr>
        <w:t>nízkym alebo stredným obsahom tuku</w:t>
      </w:r>
      <w:r w:rsidRPr="005B7DBA">
        <w:rPr>
          <w:color w:val="000000"/>
          <w:sz w:val="22"/>
          <w:szCs w:val="22"/>
        </w:rPr>
        <w:t>. Ak chce pacient požiť jedlo</w:t>
      </w:r>
      <w:r w:rsidR="00C846FE">
        <w:rPr>
          <w:color w:val="000000"/>
          <w:sz w:val="22"/>
          <w:szCs w:val="22"/>
        </w:rPr>
        <w:t xml:space="preserve"> s vysokým obsahom tuku</w:t>
      </w:r>
      <w:r w:rsidRPr="005B7DBA">
        <w:rPr>
          <w:color w:val="000000"/>
          <w:sz w:val="22"/>
          <w:szCs w:val="22"/>
        </w:rPr>
        <w:t xml:space="preserve">, tablety sorafenibu sa majú užiť najmenej 1 hodinu pred alebo 2 hodiny po jedle. Tablety sa majú zapiť pohárom vody. </w:t>
      </w:r>
    </w:p>
    <w:p w:rsidR="00634A7E" w:rsidRPr="00634A7E" w:rsidRDefault="00634A7E" w:rsidP="00634A7E">
      <w:pPr>
        <w:pStyle w:val="Default"/>
      </w:pPr>
    </w:p>
    <w:p w:rsidR="005B7DBA" w:rsidRDefault="005B7DBA" w:rsidP="000D43B4">
      <w:pPr>
        <w:pStyle w:val="CM32"/>
        <w:tabs>
          <w:tab w:val="left" w:pos="567"/>
        </w:tabs>
        <w:rPr>
          <w:b/>
          <w:bCs/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4.3 </w:t>
      </w:r>
      <w:r w:rsidR="000D43B4">
        <w:rPr>
          <w:b/>
          <w:bCs/>
          <w:color w:val="000000"/>
          <w:sz w:val="22"/>
          <w:szCs w:val="22"/>
        </w:rPr>
        <w:tab/>
      </w:r>
      <w:r w:rsidRPr="005B7DBA">
        <w:rPr>
          <w:b/>
          <w:bCs/>
          <w:color w:val="000000"/>
          <w:sz w:val="22"/>
          <w:szCs w:val="22"/>
        </w:rPr>
        <w:t xml:space="preserve">Kontraindikácie </w:t>
      </w:r>
    </w:p>
    <w:p w:rsidR="0048661B" w:rsidRPr="0048661B" w:rsidRDefault="0048661B" w:rsidP="0048661B">
      <w:pPr>
        <w:pStyle w:val="Default"/>
      </w:pPr>
    </w:p>
    <w:p w:rsidR="00634A7E" w:rsidRDefault="005B7DBA" w:rsidP="00634A7E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Precitlivenosť na liečivo alebo na ktorúkoľvek z pomocných látok uvedených v časti 6.1. </w:t>
      </w:r>
    </w:p>
    <w:p w:rsidR="00634A7E" w:rsidRDefault="00634A7E" w:rsidP="00634A7E">
      <w:pPr>
        <w:pStyle w:val="CM3"/>
        <w:spacing w:line="240" w:lineRule="auto"/>
        <w:rPr>
          <w:color w:val="000000"/>
          <w:sz w:val="22"/>
          <w:szCs w:val="22"/>
        </w:rPr>
      </w:pPr>
    </w:p>
    <w:p w:rsidR="005B7DBA" w:rsidRPr="005B7DBA" w:rsidRDefault="005B7DBA" w:rsidP="000D43B4">
      <w:pPr>
        <w:pStyle w:val="CM3"/>
        <w:tabs>
          <w:tab w:val="left" w:pos="567"/>
        </w:tabs>
        <w:spacing w:line="240" w:lineRule="auto"/>
        <w:rPr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4.4 </w:t>
      </w:r>
      <w:r w:rsidR="000D43B4">
        <w:rPr>
          <w:b/>
          <w:bCs/>
          <w:color w:val="000000"/>
          <w:sz w:val="22"/>
          <w:szCs w:val="22"/>
        </w:rPr>
        <w:tab/>
      </w:r>
      <w:r w:rsidRPr="005B7DBA">
        <w:rPr>
          <w:b/>
          <w:bCs/>
          <w:color w:val="000000"/>
          <w:sz w:val="22"/>
          <w:szCs w:val="22"/>
        </w:rPr>
        <w:t xml:space="preserve">Osobitné upozornenia a opatrenia pri používaní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Dermatologické toxicity </w:t>
      </w: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Kožná reakcia ruka-noha (palmárno-plantárna erytrodyzestézia) a vyrážka predstavujú najčastejšie nežiaduce liekové reakcie u sorafenibu. Vyrážka a kožná reakcia ruka-noha sú podľa kritérií CTC (Common Toxicity Criteria) zvyčajne stupňa 1 a 2 a spravidla vymiznú počas prvých šiestich týždňov liečby sorafenibom. Manažment dermatologických toxicít môže zahŕňať lokálne liečby na zmiernenie príznakov, dočasné prerušenie liečby a/alebo úpravu dávky sorafenibu, alebo v závažných alebo v pretrvávajúcich prípadoch trvalé </w:t>
      </w:r>
      <w:r w:rsidR="00C846FE">
        <w:rPr>
          <w:color w:val="000000"/>
          <w:sz w:val="22"/>
          <w:szCs w:val="22"/>
        </w:rPr>
        <w:t>ukončenie liečby</w:t>
      </w:r>
      <w:r w:rsidRPr="005B7DBA">
        <w:rPr>
          <w:color w:val="000000"/>
          <w:sz w:val="22"/>
          <w:szCs w:val="22"/>
        </w:rPr>
        <w:t xml:space="preserve"> sorafenib</w:t>
      </w:r>
      <w:r w:rsidR="00C846FE">
        <w:rPr>
          <w:color w:val="000000"/>
          <w:sz w:val="22"/>
          <w:szCs w:val="22"/>
        </w:rPr>
        <w:t>om</w:t>
      </w:r>
      <w:r w:rsidRPr="005B7DBA">
        <w:rPr>
          <w:color w:val="000000"/>
          <w:sz w:val="22"/>
          <w:szCs w:val="22"/>
        </w:rPr>
        <w:t xml:space="preserve"> (pozri časť 4.8).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48661B" w:rsidRPr="005B7DBA" w:rsidRDefault="0048661B" w:rsidP="0048661B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Hypoglykémia </w:t>
      </w:r>
    </w:p>
    <w:p w:rsidR="0048661B" w:rsidRPr="005B7DBA" w:rsidRDefault="0048661B" w:rsidP="0048661B">
      <w:pPr>
        <w:pStyle w:val="CM8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Počas liečby sorafenibom bol hlásený pokles hladiny glukózy v krvi, v niektorých prípadoch s klinickými príznakmi, ktoré si v dôsledku straty vedomia vyžadovali hospitalizáciu. V prípade symptomatickej hypoglykémie sa má liečba sorafenibom dočasne prerušiť. U diabetických pacientov sa má hladina glukózy v krvi pravidelne kontrolovať, aby sa zistilo, či je potrebné upraviť dávku </w:t>
      </w:r>
    </w:p>
    <w:p w:rsidR="0048661B" w:rsidRPr="005B7DBA" w:rsidRDefault="0048661B" w:rsidP="0048661B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antidiabetického lieku. </w:t>
      </w:r>
    </w:p>
    <w:p w:rsidR="0048661B" w:rsidRPr="0048661B" w:rsidRDefault="0048661B" w:rsidP="0048661B">
      <w:pPr>
        <w:pStyle w:val="Default"/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Hypertenzia </w:t>
      </w: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lastRenderedPageBreak/>
        <w:t xml:space="preserve">U pacientov liečených sorafenibom sa pozoroval zvýšený výskyt arteriálnej hypertenzie. Hypertenzia bola zvyčajne mierna až stredne závažná, prejavovala sa v rannom štádiu priebehu liečby a ustúpila po vykonaní bežnej antihypertenznej liečby. Pravidelne sa má sledovať krvný tlak a, ak je to potrebné, liečiť podľa bežnej medicínskej praxe. V prípadoch závažnej alebo pretrvávajúcej hypertenzie alebo hypertenznej krízy sa napriek začatiu antihypertenznej liečby má zvážiť aj trvalé </w:t>
      </w:r>
      <w:r w:rsidR="00CF3E95">
        <w:rPr>
          <w:color w:val="000000"/>
          <w:sz w:val="22"/>
          <w:szCs w:val="22"/>
        </w:rPr>
        <w:t>ukončenie liečby</w:t>
      </w:r>
      <w:r w:rsidRPr="005B7DBA">
        <w:rPr>
          <w:color w:val="000000"/>
          <w:sz w:val="22"/>
          <w:szCs w:val="22"/>
        </w:rPr>
        <w:t xml:space="preserve"> sorafenib</w:t>
      </w:r>
      <w:r w:rsidR="00CF3E95">
        <w:rPr>
          <w:color w:val="000000"/>
          <w:sz w:val="22"/>
          <w:szCs w:val="22"/>
        </w:rPr>
        <w:t>om</w:t>
      </w:r>
      <w:r w:rsidRPr="005B7DBA">
        <w:rPr>
          <w:color w:val="000000"/>
          <w:sz w:val="22"/>
          <w:szCs w:val="22"/>
        </w:rPr>
        <w:t xml:space="preserve"> (pozri časť 4.8).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Hemorágia </w:t>
      </w: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Po podaní sorafenibu sa môže prejaviť zvýšené riziko krvácania. Ak si nejaké krvácanie vyžaduje lekársky zákrok, odporúča sa zvážiť trvalé </w:t>
      </w:r>
      <w:r w:rsidR="00CF3E95">
        <w:rPr>
          <w:color w:val="000000"/>
          <w:sz w:val="22"/>
          <w:szCs w:val="22"/>
        </w:rPr>
        <w:t>ukončenie liečby</w:t>
      </w:r>
      <w:r w:rsidRPr="005B7DBA">
        <w:rPr>
          <w:color w:val="000000"/>
          <w:sz w:val="22"/>
          <w:szCs w:val="22"/>
        </w:rPr>
        <w:t xml:space="preserve"> sorafenib</w:t>
      </w:r>
      <w:r w:rsidR="00CF3E95">
        <w:rPr>
          <w:color w:val="000000"/>
          <w:sz w:val="22"/>
          <w:szCs w:val="22"/>
        </w:rPr>
        <w:t>om</w:t>
      </w:r>
      <w:r w:rsidRPr="005B7DBA">
        <w:rPr>
          <w:color w:val="000000"/>
          <w:sz w:val="22"/>
          <w:szCs w:val="22"/>
        </w:rPr>
        <w:t xml:space="preserve"> (pozri časť 4.8).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Srdcová ischémia a/alebo infarkt </w:t>
      </w:r>
    </w:p>
    <w:p w:rsidR="005B7DBA" w:rsidRPr="00FD72BB" w:rsidRDefault="005B7DBA" w:rsidP="00FD72BB">
      <w:pPr>
        <w:pStyle w:val="CM2"/>
        <w:spacing w:line="240" w:lineRule="auto"/>
        <w:rPr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V randomizovanom, placebom kontrolovanom, dvojito zaslepenom klinickom skúšaní (Skúšanie 1, pozri časť 5.1) bol výskyt prípadov srdcovej ischémie/infarktu </w:t>
      </w:r>
      <w:r w:rsidR="00CF3E95">
        <w:rPr>
          <w:color w:val="000000"/>
          <w:sz w:val="22"/>
          <w:szCs w:val="22"/>
        </w:rPr>
        <w:t xml:space="preserve">vyžadujúcich okamžitú liečbu </w:t>
      </w:r>
      <w:r w:rsidRPr="005B7DBA">
        <w:rPr>
          <w:color w:val="000000"/>
          <w:sz w:val="22"/>
          <w:szCs w:val="22"/>
        </w:rPr>
        <w:t>vyšší v skupine so sorafenibom (4,9 %) v porovnaní so skupinou s placebom (0,4 %). V klinickom skúšaní 3 (pozri časť 5.1) bol výskyt prípadov srdcovej ischémie/infarktu</w:t>
      </w:r>
      <w:r w:rsidR="00CF3E95">
        <w:rPr>
          <w:color w:val="000000"/>
          <w:sz w:val="22"/>
          <w:szCs w:val="22"/>
        </w:rPr>
        <w:t xml:space="preserve"> vyžadujúcich okamžitú liečbu</w:t>
      </w:r>
      <w:r w:rsidRPr="005B7DBA">
        <w:rPr>
          <w:color w:val="000000"/>
          <w:sz w:val="22"/>
          <w:szCs w:val="22"/>
        </w:rPr>
        <w:t xml:space="preserve"> 2,7 % u </w:t>
      </w:r>
      <w:r w:rsidRPr="00B35468">
        <w:rPr>
          <w:color w:val="000000"/>
          <w:sz w:val="22"/>
          <w:szCs w:val="22"/>
        </w:rPr>
        <w:t xml:space="preserve">pacientov so sorafenibom v porovnaní s 1,3 % v skupine s placebom. Z týchto klinických skúšaní boli vylúčení pacienti s nestabilným ochorením koronárnych tepien alebo nedávnym infarktom myokardu. U </w:t>
      </w:r>
      <w:r w:rsidRPr="00FD72BB">
        <w:rPr>
          <w:sz w:val="22"/>
          <w:szCs w:val="22"/>
        </w:rPr>
        <w:t xml:space="preserve">pacientov, u ktorých sa vyvinie srdcová ischémia a/alebo infarkt, sa má zvážiť dočasné alebo trvalé </w:t>
      </w:r>
      <w:r w:rsidR="00B35468">
        <w:rPr>
          <w:sz w:val="22"/>
          <w:szCs w:val="22"/>
        </w:rPr>
        <w:t>ukončenie liečby</w:t>
      </w:r>
      <w:r w:rsidRPr="00FD72BB">
        <w:rPr>
          <w:sz w:val="22"/>
          <w:szCs w:val="22"/>
        </w:rPr>
        <w:t xml:space="preserve"> sorafenib</w:t>
      </w:r>
      <w:r w:rsidR="00B35468">
        <w:rPr>
          <w:sz w:val="22"/>
          <w:szCs w:val="22"/>
        </w:rPr>
        <w:t>om</w:t>
      </w:r>
      <w:r w:rsidRPr="00FD72BB">
        <w:rPr>
          <w:sz w:val="22"/>
          <w:szCs w:val="22"/>
        </w:rPr>
        <w:t xml:space="preserve"> (pozri časť 4.8).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8B5A22" w:rsidRPr="00584F78" w:rsidRDefault="008B5A22" w:rsidP="00584F78">
      <w:pPr>
        <w:pStyle w:val="Default"/>
        <w:rPr>
          <w:sz w:val="22"/>
          <w:szCs w:val="22"/>
        </w:rPr>
      </w:pPr>
      <w:r w:rsidRPr="00584F78">
        <w:rPr>
          <w:sz w:val="22"/>
          <w:szCs w:val="22"/>
        </w:rPr>
        <w:t>Aneuryzmy a arteriálne disekcie</w:t>
      </w:r>
    </w:p>
    <w:p w:rsidR="008B5A22" w:rsidRPr="00584F78" w:rsidRDefault="008B5A22" w:rsidP="00584F78">
      <w:pPr>
        <w:pStyle w:val="Default"/>
        <w:rPr>
          <w:sz w:val="22"/>
          <w:szCs w:val="22"/>
        </w:rPr>
      </w:pPr>
    </w:p>
    <w:p w:rsidR="008B5A22" w:rsidRPr="00584F78" w:rsidRDefault="008B5A22" w:rsidP="00584F78">
      <w:pPr>
        <w:pStyle w:val="Default"/>
        <w:rPr>
          <w:sz w:val="22"/>
          <w:szCs w:val="22"/>
        </w:rPr>
      </w:pPr>
      <w:r w:rsidRPr="00584F78">
        <w:rPr>
          <w:sz w:val="22"/>
          <w:szCs w:val="22"/>
        </w:rPr>
        <w:t>Používanie inhibítorov dráhy vaskulárneho endotelového rastového faktora (vascular endothelial growth factor, VEGF) u pacientov s hypertenziou alebo bez hypertenzie môže podporovať tvorbu aneuryziem a/alebo arteriálnych disekcií. Pred začatím liečby Sorafenibom Teva je potrebné toto riziko dôkladne zvážiť u pacientov s rizikovými faktormi, ako je hypertenzia alebo aneuryzma v anamnéze.</w:t>
      </w:r>
    </w:p>
    <w:p w:rsidR="008B5A22" w:rsidRPr="00584F78" w:rsidRDefault="008B5A22" w:rsidP="00584F78">
      <w:pPr>
        <w:pStyle w:val="Default"/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Predĺženie intervalu QT </w:t>
      </w:r>
    </w:p>
    <w:p w:rsidR="00634A7E" w:rsidRDefault="00B35468" w:rsidP="00634A7E">
      <w:pPr>
        <w:pStyle w:val="CM3"/>
        <w:spacing w:line="240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Bolo preukázané,</w:t>
      </w:r>
      <w:r w:rsidR="005B7DBA" w:rsidRPr="005B7DBA">
        <w:rPr>
          <w:color w:val="000000"/>
          <w:sz w:val="22"/>
          <w:szCs w:val="22"/>
        </w:rPr>
        <w:t xml:space="preserve"> že </w:t>
      </w:r>
      <w:r>
        <w:rPr>
          <w:color w:val="000000"/>
          <w:sz w:val="22"/>
          <w:szCs w:val="22"/>
        </w:rPr>
        <w:t xml:space="preserve">sorafenib </w:t>
      </w:r>
      <w:r w:rsidR="005B7DBA" w:rsidRPr="005B7DBA">
        <w:rPr>
          <w:color w:val="000000"/>
          <w:sz w:val="22"/>
          <w:szCs w:val="22"/>
        </w:rPr>
        <w:t xml:space="preserve">predlžuje interval QT/QTc (pozri časť 5.1), čo môže viesť k zvýšenému riziku ventrikulárnych arytmií. U pacientov, ktorí majú alebo u ktorých sa môže vyvinúť predĺženie QTc, ako sú pacienti so syndrómom vrodeného dlhého QT, pacienti liečení vysokou kumulatívnou dávkou antracyklínov, pacienti, ktorí užívajú niektoré antiarytmiká alebo iné lieky, ktoré vedú k predĺženiu QT a tí, ktorí majú poruchy elektrolytov, ako sú hypokaliémia, hypokalciémia alebo hypomagneziémia, používajte sorafenib s opatrnosťou. Ak sa sorafenib používa u týchto pacientov, je potrebné </w:t>
      </w:r>
      <w:r w:rsidR="00C4589A" w:rsidRPr="00C4589A">
        <w:rPr>
          <w:color w:val="000000"/>
          <w:sz w:val="22"/>
          <w:szCs w:val="22"/>
        </w:rPr>
        <w:t xml:space="preserve">počas liečby </w:t>
      </w:r>
      <w:r w:rsidR="005B7DBA" w:rsidRPr="005B7DBA">
        <w:rPr>
          <w:color w:val="000000"/>
          <w:sz w:val="22"/>
          <w:szCs w:val="22"/>
        </w:rPr>
        <w:t>zvážiť pravideln</w:t>
      </w:r>
      <w:r>
        <w:rPr>
          <w:color w:val="000000"/>
          <w:sz w:val="22"/>
          <w:szCs w:val="22"/>
        </w:rPr>
        <w:t>é</w:t>
      </w:r>
      <w:r w:rsidR="005B7DBA" w:rsidRPr="005B7DBA">
        <w:rPr>
          <w:color w:val="000000"/>
          <w:sz w:val="22"/>
          <w:szCs w:val="22"/>
        </w:rPr>
        <w:t xml:space="preserve"> monitor</w:t>
      </w:r>
      <w:r>
        <w:rPr>
          <w:color w:val="000000"/>
          <w:sz w:val="22"/>
          <w:szCs w:val="22"/>
        </w:rPr>
        <w:t>ovanie</w:t>
      </w:r>
      <w:r w:rsidR="005B7DBA" w:rsidRPr="005B7DBA">
        <w:rPr>
          <w:color w:val="000000"/>
          <w:sz w:val="22"/>
          <w:szCs w:val="22"/>
        </w:rPr>
        <w:t xml:space="preserve"> vyhodnocovaním elektrokardiogramu a elektrolytov (horčík, draslík, vápnik). </w:t>
      </w:r>
    </w:p>
    <w:p w:rsidR="00634A7E" w:rsidRDefault="00634A7E" w:rsidP="00634A7E">
      <w:pPr>
        <w:pStyle w:val="CM3"/>
        <w:spacing w:line="240" w:lineRule="auto"/>
        <w:rPr>
          <w:color w:val="000000"/>
          <w:sz w:val="22"/>
          <w:szCs w:val="22"/>
        </w:rPr>
      </w:pPr>
    </w:p>
    <w:p w:rsidR="005B7DBA" w:rsidRPr="005B7DBA" w:rsidRDefault="005B7DBA" w:rsidP="00634A7E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Gastrointestinálna perforácia </w:t>
      </w: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Gastrointestinálna perforácia je menej častá príhoda a hlásila sa u menej ako 1 % pacientov užívajúcich sorafenib. V niektorých prípadoch nesúvisela so zjavným intraabdominálnym nádorom. Liečba sorafenibom sa musí ukončiť (pozri časť 4.8).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5B7DBA" w:rsidRPr="005B7DBA" w:rsidRDefault="00B35468" w:rsidP="005B7DBA">
      <w:pPr>
        <w:pStyle w:val="CM3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u w:val="single"/>
        </w:rPr>
        <w:t>Porucha</w:t>
      </w:r>
      <w:r w:rsidR="005B7DBA" w:rsidRPr="005B7DBA">
        <w:rPr>
          <w:color w:val="000000"/>
          <w:sz w:val="22"/>
          <w:szCs w:val="22"/>
          <w:u w:val="single"/>
        </w:rPr>
        <w:t xml:space="preserve"> funkcie pečene </w:t>
      </w:r>
    </w:p>
    <w:p w:rsidR="005B7DBA" w:rsidRPr="005B7DBA" w:rsidRDefault="005B7DBA" w:rsidP="005B7DBA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Nie sú k dispozícii žiadne údaje o pacientoch s Childovou-Pughovou klasifikáciou </w:t>
      </w:r>
      <w:r w:rsidR="00B35468">
        <w:rPr>
          <w:color w:val="000000"/>
          <w:sz w:val="22"/>
          <w:szCs w:val="22"/>
        </w:rPr>
        <w:t>poruchy</w:t>
      </w:r>
      <w:r w:rsidRPr="005B7DBA">
        <w:rPr>
          <w:color w:val="000000"/>
          <w:sz w:val="22"/>
          <w:szCs w:val="22"/>
        </w:rPr>
        <w:t xml:space="preserve"> funkcie </w:t>
      </w: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>pečene stupeň C (závažné). Keďže sa sorafenib vylučuje predovšetkým prostredníctvom pečene, u pacientov so závažn</w:t>
      </w:r>
      <w:r w:rsidR="00B35468">
        <w:rPr>
          <w:color w:val="000000"/>
          <w:sz w:val="22"/>
          <w:szCs w:val="22"/>
        </w:rPr>
        <w:t>ou poruchou</w:t>
      </w:r>
      <w:r w:rsidRPr="005B7DBA">
        <w:rPr>
          <w:color w:val="000000"/>
          <w:sz w:val="22"/>
          <w:szCs w:val="22"/>
        </w:rPr>
        <w:t xml:space="preserve"> funkcie pečene môže byť zvýšená expozícia (pozri časti 4.4 a 5.2).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Súbežné podávanie warfarínu </w:t>
      </w:r>
    </w:p>
    <w:p w:rsidR="005B7DBA" w:rsidRPr="005B7DBA" w:rsidRDefault="005B7DBA" w:rsidP="005B7DBA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U niektorých pacientov užívajúcich warfarín počas liečby sorafenibom sa hlásili zriedkavé prípady krvácania alebo zvýšenia medzinárodného normalizovaného pomeru (INR). Pacienti súbežne užívajúci </w:t>
      </w: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warfarín alebo fenprokumón majú byť pravidelne sledovaní </w:t>
      </w:r>
      <w:r w:rsidR="00B35468">
        <w:rPr>
          <w:color w:val="000000"/>
          <w:sz w:val="22"/>
          <w:szCs w:val="22"/>
        </w:rPr>
        <w:t>kvôli</w:t>
      </w:r>
      <w:r w:rsidRPr="005B7DBA">
        <w:rPr>
          <w:color w:val="000000"/>
          <w:sz w:val="22"/>
          <w:szCs w:val="22"/>
        </w:rPr>
        <w:t xml:space="preserve"> zmen</w:t>
      </w:r>
      <w:r w:rsidR="00B35468">
        <w:rPr>
          <w:color w:val="000000"/>
          <w:sz w:val="22"/>
          <w:szCs w:val="22"/>
        </w:rPr>
        <w:t>ám</w:t>
      </w:r>
      <w:r w:rsidRPr="005B7DBA">
        <w:rPr>
          <w:color w:val="000000"/>
          <w:sz w:val="22"/>
          <w:szCs w:val="22"/>
        </w:rPr>
        <w:t xml:space="preserve"> protrombínového času, INR alebo epizód</w:t>
      </w:r>
      <w:r w:rsidR="00E253C0">
        <w:rPr>
          <w:color w:val="000000"/>
          <w:sz w:val="22"/>
          <w:szCs w:val="22"/>
        </w:rPr>
        <w:t>am</w:t>
      </w:r>
      <w:r w:rsidRPr="005B7DBA">
        <w:rPr>
          <w:color w:val="000000"/>
          <w:sz w:val="22"/>
          <w:szCs w:val="22"/>
        </w:rPr>
        <w:t xml:space="preserve"> klinického krvácania (pozri časti 4.5 a 4.8).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2C4068">
        <w:rPr>
          <w:color w:val="000000"/>
          <w:sz w:val="22"/>
          <w:szCs w:val="22"/>
          <w:u w:val="single"/>
        </w:rPr>
        <w:t>Ko</w:t>
      </w:r>
      <w:r w:rsidRPr="005B7DBA">
        <w:rPr>
          <w:color w:val="000000"/>
          <w:sz w:val="22"/>
          <w:szCs w:val="22"/>
          <w:u w:val="single"/>
        </w:rPr>
        <w:t xml:space="preserve">mplikácie pri hojení rán </w:t>
      </w: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Nevykonali sa žiadne formálne klinické skúšania o účinku sorafenibu na hojenie rán. Z </w:t>
      </w:r>
      <w:r w:rsidR="002C4068">
        <w:rPr>
          <w:color w:val="000000"/>
          <w:sz w:val="22"/>
          <w:szCs w:val="22"/>
        </w:rPr>
        <w:t>preventívnych</w:t>
      </w:r>
      <w:r w:rsidRPr="005B7DBA">
        <w:rPr>
          <w:color w:val="000000"/>
          <w:sz w:val="22"/>
          <w:szCs w:val="22"/>
        </w:rPr>
        <w:t xml:space="preserve"> </w:t>
      </w:r>
      <w:r w:rsidRPr="005B7DBA">
        <w:rPr>
          <w:color w:val="000000"/>
          <w:sz w:val="22"/>
          <w:szCs w:val="22"/>
        </w:rPr>
        <w:lastRenderedPageBreak/>
        <w:t>dôvodov sa odporúča dočasné prerušenie liečby sorafenibom u pacientov podrobujúcim sa veľkým chirurgickým výkonom. Z hľadiska načasovania obnovenia liečby po veľkom chirurgickom výkone sú obmedzené klinické skúsenosti. Rozhodnutie o obnovení liečby sorafenibom po veľkom chirurgickom výkone má preto vychádzať z klinického posudku vhodn</w:t>
      </w:r>
      <w:r w:rsidR="00AF1898">
        <w:rPr>
          <w:color w:val="000000"/>
          <w:sz w:val="22"/>
          <w:szCs w:val="22"/>
        </w:rPr>
        <w:t>ého hojenia</w:t>
      </w:r>
      <w:r w:rsidRPr="005B7DBA">
        <w:rPr>
          <w:color w:val="000000"/>
          <w:sz w:val="22"/>
          <w:szCs w:val="22"/>
        </w:rPr>
        <w:t xml:space="preserve"> rán.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Starší pacienti </w:t>
      </w: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Hlásili sa prípady zlyhania obličiek. Má sa zvážiť sledovanie funkcie obličiek.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Liekové interakcie </w:t>
      </w:r>
    </w:p>
    <w:p w:rsid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>Opatrnosť sa odporúča pri podávaní sorafenibu s</w:t>
      </w:r>
      <w:r w:rsidR="0048661B">
        <w:rPr>
          <w:color w:val="000000"/>
          <w:sz w:val="22"/>
          <w:szCs w:val="22"/>
        </w:rPr>
        <w:t xml:space="preserve"> liečivami</w:t>
      </w:r>
      <w:r w:rsidRPr="005B7DBA">
        <w:rPr>
          <w:color w:val="000000"/>
          <w:sz w:val="22"/>
          <w:szCs w:val="22"/>
        </w:rPr>
        <w:t>, ktoré sa metabolizujú/vylučujú prevažne prostredníctvom UGT1A1 (napr. irinotek</w:t>
      </w:r>
      <w:r w:rsidR="00AF1898">
        <w:rPr>
          <w:color w:val="000000"/>
          <w:sz w:val="22"/>
          <w:szCs w:val="22"/>
        </w:rPr>
        <w:t>á</w:t>
      </w:r>
      <w:r w:rsidRPr="005B7DBA">
        <w:rPr>
          <w:color w:val="000000"/>
          <w:sz w:val="22"/>
          <w:szCs w:val="22"/>
        </w:rPr>
        <w:t xml:space="preserve">n) alebo UGT1A9 dráhami (pozri časť 4.5). </w:t>
      </w:r>
    </w:p>
    <w:p w:rsidR="0048661B" w:rsidRPr="0048661B" w:rsidRDefault="0048661B" w:rsidP="0048661B">
      <w:pPr>
        <w:pStyle w:val="Default"/>
      </w:pPr>
    </w:p>
    <w:p w:rsid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Opatrnosť sa odporúča pri súbežnom podávaní sorafenibu s docetaxelom (pozri časť 4.5). </w:t>
      </w:r>
    </w:p>
    <w:p w:rsidR="0048661B" w:rsidRPr="0048661B" w:rsidRDefault="0048661B" w:rsidP="0048661B">
      <w:pPr>
        <w:pStyle w:val="Default"/>
      </w:pPr>
    </w:p>
    <w:p w:rsidR="005B7DBA" w:rsidRPr="005B7DBA" w:rsidRDefault="005B7DBA" w:rsidP="005B7DBA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>Súbežné podávanie neomycínu alebo iných antibiotík, ktoré vyvolávajú významné ekologické poruchy gastrointestinálnej mikroflóry môžu viesť k zníženiu biologickej dostupnosti sorafenibu (pozri časť 4.5). Pred začatím lieč</w:t>
      </w:r>
      <w:r w:rsidR="00AF1898">
        <w:rPr>
          <w:color w:val="000000"/>
          <w:sz w:val="22"/>
          <w:szCs w:val="22"/>
        </w:rPr>
        <w:t>by</w:t>
      </w:r>
      <w:r w:rsidRPr="005B7DBA">
        <w:rPr>
          <w:color w:val="000000"/>
          <w:sz w:val="22"/>
          <w:szCs w:val="22"/>
        </w:rPr>
        <w:t xml:space="preserve"> antibiotikami sa má zvážiť riziko znížených plazmatických </w:t>
      </w:r>
    </w:p>
    <w:p w:rsid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koncentrácií sorafenibu. </w:t>
      </w:r>
    </w:p>
    <w:p w:rsidR="0048661B" w:rsidRPr="0048661B" w:rsidRDefault="0048661B" w:rsidP="0048661B">
      <w:pPr>
        <w:pStyle w:val="Default"/>
      </w:pPr>
    </w:p>
    <w:p w:rsidR="00634A7E" w:rsidRDefault="005B7DBA" w:rsidP="00634A7E">
      <w:pPr>
        <w:pStyle w:val="CM2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>Vyššia mortalita sa pozorovala u pacientov so skvamóznym bunkovým karcinómom pľúc, ktorí boli liečení sorafenibom v kombinácii s chemoterapiou na báze platiny. V dvoch randomizovaných skúšaniach, ktoré sledovali pacientov s nemalobunkovým karcinómom pľúc</w:t>
      </w:r>
      <w:r w:rsidR="00A0042A">
        <w:rPr>
          <w:color w:val="000000"/>
          <w:sz w:val="22"/>
          <w:szCs w:val="22"/>
        </w:rPr>
        <w:t>, bolo v podskupine pacientov so skvamóznym bunkovým karcinómom</w:t>
      </w:r>
      <w:r w:rsidRPr="005B7DBA">
        <w:rPr>
          <w:color w:val="000000"/>
          <w:sz w:val="22"/>
          <w:szCs w:val="22"/>
        </w:rPr>
        <w:t xml:space="preserve"> liečených sorafenibom ako prídavnou liečbou ku paklitaxelu/karboplatine</w:t>
      </w:r>
      <w:r w:rsidR="00A0042A">
        <w:rPr>
          <w:color w:val="000000"/>
          <w:sz w:val="22"/>
          <w:szCs w:val="22"/>
        </w:rPr>
        <w:t xml:space="preserve"> </w:t>
      </w:r>
      <w:r w:rsidRPr="005B7DBA">
        <w:rPr>
          <w:color w:val="000000"/>
          <w:sz w:val="22"/>
          <w:szCs w:val="22"/>
        </w:rPr>
        <w:t xml:space="preserve">zistený HR (pomer rizika) pre celkové prežívanie 1,81 (95% </w:t>
      </w:r>
      <w:r w:rsidRPr="000D43B4">
        <w:rPr>
          <w:color w:val="000000"/>
          <w:sz w:val="22"/>
          <w:szCs w:val="22"/>
        </w:rPr>
        <w:t>CI</w:t>
      </w:r>
      <w:r w:rsidRPr="005B7DBA">
        <w:rPr>
          <w:color w:val="000000"/>
          <w:sz w:val="22"/>
          <w:szCs w:val="22"/>
        </w:rPr>
        <w:t xml:space="preserve"> 1,19; 2,74) a u pacientov liečených sorafenibom ako prídavnou liečbou ku gemcitabínu/cisplatine 1,22 (95% CI 0,82; 1,80). Dominanciu nemala jedna príčina smrti, ale u pacientov liečených sorafenibom ako prídavnou liečbou chemoterapie na báze platiny, bol pozorovaný vyšší výskyt respiračného zlyhania, hemoragických a infekčných nežiaducich udalostí. </w:t>
      </w:r>
    </w:p>
    <w:p w:rsidR="00634A7E" w:rsidRDefault="00634A7E" w:rsidP="00634A7E">
      <w:pPr>
        <w:pStyle w:val="CM2"/>
        <w:spacing w:line="240" w:lineRule="auto"/>
        <w:rPr>
          <w:color w:val="000000"/>
          <w:sz w:val="22"/>
          <w:szCs w:val="22"/>
        </w:rPr>
      </w:pPr>
    </w:p>
    <w:p w:rsidR="005B7DBA" w:rsidRPr="00A0042A" w:rsidRDefault="005B7DBA" w:rsidP="00634A7E">
      <w:pPr>
        <w:pStyle w:val="CM2"/>
        <w:spacing w:line="240" w:lineRule="auto"/>
        <w:rPr>
          <w:color w:val="000000"/>
          <w:sz w:val="22"/>
          <w:szCs w:val="22"/>
          <w:u w:val="single"/>
        </w:rPr>
      </w:pPr>
      <w:r w:rsidRPr="00A0042A">
        <w:rPr>
          <w:color w:val="000000"/>
          <w:sz w:val="22"/>
          <w:szCs w:val="22"/>
          <w:u w:val="single"/>
        </w:rPr>
        <w:t xml:space="preserve">Upozornenia špecifické pre jednotlivé ochorenia </w:t>
      </w:r>
    </w:p>
    <w:p w:rsidR="00A0042A" w:rsidRDefault="00A0042A" w:rsidP="005B7DBA">
      <w:pPr>
        <w:pStyle w:val="Default"/>
        <w:rPr>
          <w:i/>
          <w:iCs/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i/>
          <w:iCs/>
          <w:color w:val="000000"/>
          <w:sz w:val="22"/>
          <w:szCs w:val="22"/>
          <w:u w:val="single"/>
        </w:rPr>
        <w:t xml:space="preserve">Karcinóm renálnych buniek </w:t>
      </w: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Vysoko rizikoví pacienti, podľa prognostickej skupiny MSKCC (Memorial Sloan Kettering Cancer Center), neboli zahrnutí do tretej fázy klinického skúšania pri karcinóme renálnych buniek (pozri Skúšanie 1 v časti 5.1) a u týchto pacientov sa nehodnotil pomer prínosu a rizika liečby.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Informácie o pomocných látkach </w:t>
      </w:r>
    </w:p>
    <w:p w:rsid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Tento liek obsahuje menej ako 1 mmol sodíka (23 mg) v </w:t>
      </w:r>
      <w:r w:rsidR="00A0042A">
        <w:rPr>
          <w:color w:val="000000"/>
          <w:sz w:val="22"/>
          <w:szCs w:val="22"/>
        </w:rPr>
        <w:t>tablete</w:t>
      </w:r>
      <w:r w:rsidRPr="005B7DBA">
        <w:rPr>
          <w:color w:val="000000"/>
          <w:sz w:val="22"/>
          <w:szCs w:val="22"/>
        </w:rPr>
        <w:t xml:space="preserve">, t.j. v podstate zanedbateľné množstvo sodíka. </w:t>
      </w:r>
    </w:p>
    <w:p w:rsidR="00634A7E" w:rsidRPr="00634A7E" w:rsidRDefault="00634A7E" w:rsidP="00634A7E">
      <w:pPr>
        <w:pStyle w:val="Default"/>
      </w:pPr>
    </w:p>
    <w:p w:rsidR="00A0042A" w:rsidRDefault="005B7DBA" w:rsidP="00A0042A">
      <w:pPr>
        <w:pStyle w:val="CM32"/>
        <w:tabs>
          <w:tab w:val="left" w:pos="567"/>
        </w:tabs>
        <w:rPr>
          <w:b/>
          <w:bCs/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4.5 </w:t>
      </w:r>
      <w:r w:rsidR="00A0042A">
        <w:rPr>
          <w:b/>
          <w:bCs/>
          <w:color w:val="000000"/>
          <w:sz w:val="22"/>
          <w:szCs w:val="22"/>
        </w:rPr>
        <w:tab/>
      </w:r>
      <w:r w:rsidRPr="005B7DBA">
        <w:rPr>
          <w:b/>
          <w:bCs/>
          <w:color w:val="000000"/>
          <w:sz w:val="22"/>
          <w:szCs w:val="22"/>
        </w:rPr>
        <w:t>Liekové a iné interakcie</w:t>
      </w:r>
    </w:p>
    <w:p w:rsidR="005B7DBA" w:rsidRPr="005B7DBA" w:rsidRDefault="005B7DBA" w:rsidP="00A0042A">
      <w:pPr>
        <w:pStyle w:val="CM32"/>
        <w:tabs>
          <w:tab w:val="left" w:pos="567"/>
        </w:tabs>
        <w:rPr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 </w:t>
      </w: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Induktory enzýmov metabolizmu </w:t>
      </w:r>
    </w:p>
    <w:p w:rsidR="00634A7E" w:rsidRDefault="005B7DBA" w:rsidP="00634A7E">
      <w:pPr>
        <w:pStyle w:val="CM4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Podávanie rifampicínu 5 dní pred podaním jednorazovej dávky sorafenibu malo za následok v priemere 37 % pokles AUC sorafenibu. Iné induktory aktivity CYP3A4 a/alebo glukuronidácie (napr. </w:t>
      </w:r>
      <w:r w:rsidRPr="00A0042A">
        <w:rPr>
          <w:i/>
          <w:color w:val="000000"/>
          <w:sz w:val="22"/>
          <w:szCs w:val="22"/>
        </w:rPr>
        <w:t>Hypericum perforatum</w:t>
      </w:r>
      <w:r w:rsidRPr="005B7DBA">
        <w:rPr>
          <w:color w:val="000000"/>
          <w:sz w:val="22"/>
          <w:szCs w:val="22"/>
        </w:rPr>
        <w:t xml:space="preserve"> známy aj ako ľubovník bodkovaný, fenytoín, karbamazepín, fenobarbital a dexametazón) môžu </w:t>
      </w:r>
      <w:r w:rsidR="001F135C">
        <w:rPr>
          <w:color w:val="000000"/>
          <w:sz w:val="22"/>
          <w:szCs w:val="22"/>
        </w:rPr>
        <w:t xml:space="preserve">tiež </w:t>
      </w:r>
      <w:r w:rsidRPr="005B7DBA">
        <w:rPr>
          <w:color w:val="000000"/>
          <w:sz w:val="22"/>
          <w:szCs w:val="22"/>
        </w:rPr>
        <w:t xml:space="preserve">zvýšiť metabolizmus sorafenibu, a tak znížiť koncentrácie sorafenibu. </w:t>
      </w:r>
    </w:p>
    <w:p w:rsidR="00634A7E" w:rsidRDefault="00634A7E" w:rsidP="00634A7E">
      <w:pPr>
        <w:pStyle w:val="CM4"/>
        <w:spacing w:line="240" w:lineRule="auto"/>
        <w:rPr>
          <w:color w:val="000000"/>
          <w:sz w:val="22"/>
          <w:szCs w:val="22"/>
        </w:rPr>
      </w:pPr>
    </w:p>
    <w:p w:rsidR="005B7DBA" w:rsidRPr="005B7DBA" w:rsidRDefault="005B7DBA" w:rsidP="00634A7E">
      <w:pPr>
        <w:pStyle w:val="CM4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Inhibítory CYP3A4 </w:t>
      </w: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Ketokonazol, silný inhibítor CYP3A4, podávaný jedenkrát denne počas 7 dní zdravým mužským dobrovoľníkom, nezmenil priemernú AUC jednorazovej dávky 50 mg sorafenibu. Tieto údaje naznačujú, že klinické farmakokinetické interakcie sorafenibu s inhibítormi CYP3A4 sú nepravdepodobné.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Substráty CYP2B6, CYP2C8 a CYP2C9 </w:t>
      </w:r>
    </w:p>
    <w:p w:rsidR="008A73CC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Sorafenib inhiboval CYP2B6, CYP2C8 a CYP2C9 </w:t>
      </w:r>
      <w:r w:rsidRPr="005B7DBA">
        <w:rPr>
          <w:i/>
          <w:iCs/>
          <w:color w:val="000000"/>
          <w:sz w:val="22"/>
          <w:szCs w:val="22"/>
        </w:rPr>
        <w:t xml:space="preserve">in vitro </w:t>
      </w:r>
      <w:r w:rsidRPr="005B7DBA">
        <w:rPr>
          <w:color w:val="000000"/>
          <w:sz w:val="22"/>
          <w:szCs w:val="22"/>
        </w:rPr>
        <w:t xml:space="preserve">s podobným účinkom. V klinických farmakokinetických skúšaniach však súbežné podávanie sorafenibu 400 mg dvakrát denne s </w:t>
      </w:r>
      <w:r w:rsidRPr="005B7DBA">
        <w:rPr>
          <w:color w:val="000000"/>
          <w:sz w:val="22"/>
          <w:szCs w:val="22"/>
        </w:rPr>
        <w:lastRenderedPageBreak/>
        <w:t xml:space="preserve">cyklofosfamidom, substrátom CYP2B6 alebo paklitaxelom, substrátom CYP2C8, nemalo za následok klinicky významnú inhibíciu. Tieto údaje naznačujú, že sorafenib pri odporúčanej dávke 400 mg dvakrát denne nemusí byť </w:t>
      </w:r>
      <w:r w:rsidRPr="005B7DBA">
        <w:rPr>
          <w:i/>
          <w:iCs/>
          <w:color w:val="000000"/>
          <w:sz w:val="22"/>
          <w:szCs w:val="22"/>
        </w:rPr>
        <w:t xml:space="preserve">in vivo </w:t>
      </w:r>
      <w:r w:rsidRPr="005B7DBA">
        <w:rPr>
          <w:color w:val="000000"/>
          <w:sz w:val="22"/>
          <w:szCs w:val="22"/>
        </w:rPr>
        <w:t xml:space="preserve">inhibítorom CYP2B6 alebo CYP2C8. </w:t>
      </w: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Okrem toho, súbežná liečba sorafenibom a warfarínom, substrátom CYP2C9, nemala za následok zmeny v priemernom PT-INR v porovnaní s placebom. Možno teda predpokladať, že bude nízke aj riziko klinicky významnej </w:t>
      </w:r>
      <w:r w:rsidRPr="005B7DBA">
        <w:rPr>
          <w:i/>
          <w:iCs/>
          <w:color w:val="000000"/>
          <w:sz w:val="22"/>
          <w:szCs w:val="22"/>
        </w:rPr>
        <w:t xml:space="preserve">in vivo </w:t>
      </w:r>
      <w:r w:rsidRPr="005B7DBA">
        <w:rPr>
          <w:color w:val="000000"/>
          <w:sz w:val="22"/>
          <w:szCs w:val="22"/>
        </w:rPr>
        <w:t xml:space="preserve">inhibície CYP2C9 sorafenibom. Pacienti, ktorí užívajú warfarín alebo fenprokumón však majú mať pravidelne kontrolované INR (pozri časť 4.4).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Substráty CYP3A4, CYP2D6 a CYP2C19 </w:t>
      </w:r>
    </w:p>
    <w:p w:rsidR="005B7DBA" w:rsidRPr="005B7DBA" w:rsidRDefault="005B7DBA" w:rsidP="005B7DBA">
      <w:pPr>
        <w:pStyle w:val="CM8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Súbežné podávanie sorafenibu a midazolamu, dextrometorfánu alebo omeprazolu, čo sú substráty cytochrómov CYP3A4, CYP2D6, resp. CYP2C19, nezmenilo expozíciu týchto liečiv. Naznačuje to, </w:t>
      </w: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že sorafenib nie je ani inhibítorom, ani induktorom týchto izoenzýmov cytochrómu P450. Klinické farmakokinetické interakcie sorafenibu so substrátmi týchto enzýmov sú preto nepravdepodobné.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Substráty UGT1A1 a UGT1A9 </w:t>
      </w: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Sorafenib </w:t>
      </w:r>
      <w:r w:rsidRPr="005B7DBA">
        <w:rPr>
          <w:i/>
          <w:iCs/>
          <w:color w:val="000000"/>
          <w:sz w:val="22"/>
          <w:szCs w:val="22"/>
        </w:rPr>
        <w:t xml:space="preserve">in vitro </w:t>
      </w:r>
      <w:r w:rsidRPr="005B7DBA">
        <w:rPr>
          <w:color w:val="000000"/>
          <w:sz w:val="22"/>
          <w:szCs w:val="22"/>
        </w:rPr>
        <w:t xml:space="preserve">inhibuje glukuronidáciu prostredníctvom UGT1A1 a UGT1A9. Klinický význam tohto nálezu nie je známy (pozri nižšie a časť 4.4). </w:t>
      </w:r>
    </w:p>
    <w:p w:rsidR="00634A7E" w:rsidRDefault="00634A7E" w:rsidP="005B7DBA">
      <w:pPr>
        <w:pStyle w:val="CM32"/>
        <w:rPr>
          <w:i/>
          <w:iCs/>
          <w:color w:val="000000"/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i/>
          <w:iCs/>
          <w:color w:val="000000"/>
          <w:sz w:val="22"/>
          <w:szCs w:val="22"/>
          <w:u w:val="single"/>
        </w:rPr>
        <w:t xml:space="preserve">In vitro </w:t>
      </w:r>
      <w:r w:rsidRPr="005B7DBA">
        <w:rPr>
          <w:color w:val="000000"/>
          <w:sz w:val="22"/>
          <w:szCs w:val="22"/>
          <w:u w:val="single"/>
        </w:rPr>
        <w:t xml:space="preserve">štúdie indukcie enzýmu CYP </w:t>
      </w: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Po liečbe kultivovaných ľudských hepatocytov sorafenibom sa nezmenili aktivity CYP1A2 a CYP3A4, čo naznačuje, že nie je pravdepodobné, že by sorafenib bol induktor CYP1A2 a CYP3A4.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Substráty P-gp </w:t>
      </w: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Ukázalo sa, že sorafenib </w:t>
      </w:r>
      <w:r w:rsidRPr="005B7DBA">
        <w:rPr>
          <w:i/>
          <w:iCs/>
          <w:color w:val="000000"/>
          <w:sz w:val="22"/>
          <w:szCs w:val="22"/>
        </w:rPr>
        <w:t xml:space="preserve">in vitro </w:t>
      </w:r>
      <w:r w:rsidRPr="005B7DBA">
        <w:rPr>
          <w:color w:val="000000"/>
          <w:sz w:val="22"/>
          <w:szCs w:val="22"/>
        </w:rPr>
        <w:t>inhibuje transport</w:t>
      </w:r>
      <w:r w:rsidR="00355B52">
        <w:rPr>
          <w:color w:val="000000"/>
          <w:sz w:val="22"/>
          <w:szCs w:val="22"/>
        </w:rPr>
        <w:t>ný</w:t>
      </w:r>
      <w:r w:rsidRPr="005B7DBA">
        <w:rPr>
          <w:color w:val="000000"/>
          <w:sz w:val="22"/>
          <w:szCs w:val="22"/>
        </w:rPr>
        <w:t xml:space="preserve"> proteín p-glykoproteín (P-gp). Pri súbežnej liečbe sorafenibom nemožno vylúčiť zvýšené plazmatické koncentrácie substrátov P-gp, ako je digoxín.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Kombinácia s ostatnými cytostatikami </w:t>
      </w: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V klinických skúšaniach sa sorafenib podával s rôznymi inými cytostatikami v ich bežne používaných dávkovacích schémach, vrátane gemcitabínu, cisplatiny, oxaliplatiny, paklitaxelu, karboplatiny, kapecitabínu, doxorubicínu, </w:t>
      </w:r>
      <w:r w:rsidRPr="0095110E">
        <w:rPr>
          <w:color w:val="000000"/>
          <w:sz w:val="22"/>
          <w:szCs w:val="22"/>
        </w:rPr>
        <w:t>irinotek</w:t>
      </w:r>
      <w:r w:rsidR="0095110E" w:rsidRPr="0095110E">
        <w:rPr>
          <w:color w:val="000000"/>
          <w:sz w:val="22"/>
          <w:szCs w:val="22"/>
        </w:rPr>
        <w:t>á</w:t>
      </w:r>
      <w:r w:rsidRPr="0095110E">
        <w:rPr>
          <w:color w:val="000000"/>
          <w:sz w:val="22"/>
          <w:szCs w:val="22"/>
        </w:rPr>
        <w:t>nu</w:t>
      </w:r>
      <w:r w:rsidRPr="005B7DBA">
        <w:rPr>
          <w:color w:val="000000"/>
          <w:sz w:val="22"/>
          <w:szCs w:val="22"/>
        </w:rPr>
        <w:t xml:space="preserve">, docetaxelu a cyklofosfamidu. Sorafenib nemal klinicky významný účinok na farmakokinetiku gemcitabínu, cisplatiny, karboplatiny, oxaliplatiny alebo cyklofosfamidu.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8A73CC" w:rsidRPr="008A73CC" w:rsidRDefault="008A73CC" w:rsidP="008A73CC">
      <w:pPr>
        <w:pStyle w:val="CM32"/>
        <w:rPr>
          <w:color w:val="000000"/>
          <w:sz w:val="22"/>
          <w:szCs w:val="22"/>
          <w:u w:val="single"/>
        </w:rPr>
      </w:pPr>
      <w:r w:rsidRPr="008A73CC">
        <w:rPr>
          <w:color w:val="000000"/>
          <w:sz w:val="22"/>
          <w:szCs w:val="22"/>
          <w:u w:val="single"/>
        </w:rPr>
        <w:t xml:space="preserve">Paklitaxel/karboplatina </w:t>
      </w:r>
    </w:p>
    <w:p w:rsidR="008A73CC" w:rsidRDefault="008A73CC" w:rsidP="008A73CC">
      <w:pPr>
        <w:pStyle w:val="CM32"/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r w:rsidRPr="008A73CC">
        <w:rPr>
          <w:color w:val="000000"/>
          <w:sz w:val="22"/>
          <w:szCs w:val="22"/>
        </w:rPr>
        <w:t>Podávanie paklitaxelu (225 mg/m</w:t>
      </w:r>
      <w:r w:rsidRPr="00FD72BB">
        <w:rPr>
          <w:color w:val="000000"/>
          <w:sz w:val="22"/>
          <w:szCs w:val="22"/>
          <w:vertAlign w:val="superscript"/>
        </w:rPr>
        <w:t>2</w:t>
      </w:r>
      <w:r w:rsidRPr="008A73CC">
        <w:rPr>
          <w:color w:val="000000"/>
          <w:sz w:val="22"/>
          <w:szCs w:val="22"/>
        </w:rPr>
        <w:t>) a karboplatiny (AUC=6) so sorafenibom (≤ 400 mg dvakrát denne) s trojdňovou prestávkou v dávkovaní sorafenibu (dva dni pred a v deň podania paklitaxelu/karboplatiny), neviedlo k významnému ovplyvneniu farmakokinetiky paklitaxelu.</w:t>
      </w:r>
    </w:p>
    <w:p w:rsidR="008A73CC" w:rsidRPr="008A73CC" w:rsidRDefault="008A73CC" w:rsidP="008A73CC">
      <w:pPr>
        <w:pStyle w:val="CM32"/>
        <w:numPr>
          <w:ilvl w:val="0"/>
          <w:numId w:val="9"/>
        </w:numPr>
        <w:ind w:left="567" w:hanging="567"/>
        <w:rPr>
          <w:color w:val="000000"/>
          <w:sz w:val="22"/>
          <w:szCs w:val="22"/>
        </w:rPr>
      </w:pPr>
      <w:r w:rsidRPr="008A73CC">
        <w:rPr>
          <w:color w:val="000000"/>
          <w:sz w:val="22"/>
          <w:szCs w:val="22"/>
        </w:rPr>
        <w:t>Súbežné podávanie paklitaxelu (225 mg/m</w:t>
      </w:r>
      <w:r w:rsidRPr="008A73CC">
        <w:rPr>
          <w:color w:val="000000"/>
          <w:sz w:val="22"/>
          <w:szCs w:val="22"/>
          <w:vertAlign w:val="superscript"/>
        </w:rPr>
        <w:t>2</w:t>
      </w:r>
      <w:r w:rsidRPr="008A73CC">
        <w:rPr>
          <w:color w:val="000000"/>
          <w:sz w:val="22"/>
          <w:szCs w:val="22"/>
        </w:rPr>
        <w:t xml:space="preserve">, jedenkrát každé tri týždne) a karboplatiny (AUC=6) so sorafenibom (400 mg dvakrát denne, s dávkovaním sorafenibu bez prestávky) viedlo k 47 % zvýšeniu expozície sorafenibu, 29 % zvýšeniu expozície paklitaxelu a 50 % zvýšeniu expozície 6-hydroxypaklitaxelu. Farmakokinetika karboplatiny nebola ovplyvnená. </w:t>
      </w:r>
    </w:p>
    <w:p w:rsidR="008A73CC" w:rsidRPr="008A73CC" w:rsidRDefault="008A73CC" w:rsidP="008A73CC">
      <w:pPr>
        <w:pStyle w:val="CM32"/>
        <w:rPr>
          <w:color w:val="000000"/>
          <w:sz w:val="22"/>
          <w:szCs w:val="22"/>
        </w:rPr>
      </w:pPr>
    </w:p>
    <w:p w:rsidR="00634A7E" w:rsidRPr="008A73CC" w:rsidRDefault="008A73CC" w:rsidP="008A73CC">
      <w:pPr>
        <w:pStyle w:val="CM32"/>
        <w:rPr>
          <w:color w:val="000000"/>
          <w:sz w:val="22"/>
          <w:szCs w:val="22"/>
        </w:rPr>
      </w:pPr>
      <w:r w:rsidRPr="008A73CC">
        <w:rPr>
          <w:color w:val="000000"/>
          <w:sz w:val="22"/>
          <w:szCs w:val="22"/>
        </w:rPr>
        <w:t>Tieto údaje naznačujú, že nie sú potrebné úpravy dávky ak sa paklitaxel a karboplatina podávajú súbežne so sorafenibom, s trojdňovou prestávkou v dávkovaní sorafenibu (dva dni pred a v deň podania paklitaxelu/karboplatiny). Klinický význam zvýšenia expozície sorafenibu a paklitaxelu, po súbežnom podávaní s dávkovaním sorafenibu bez prestávky, nie je známy.</w:t>
      </w:r>
    </w:p>
    <w:p w:rsidR="008A73CC" w:rsidRDefault="008A73CC" w:rsidP="005B7DBA">
      <w:pPr>
        <w:pStyle w:val="CM32"/>
        <w:rPr>
          <w:color w:val="000000"/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Kapecitabín </w:t>
      </w: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>Súbežné podávanie kapecitabínu (750-1 050 mg/m</w:t>
      </w:r>
      <w:r w:rsidR="008A73CC" w:rsidRPr="008A73CC">
        <w:rPr>
          <w:color w:val="000000"/>
          <w:sz w:val="22"/>
          <w:szCs w:val="22"/>
          <w:vertAlign w:val="superscript"/>
        </w:rPr>
        <w:t>2</w:t>
      </w:r>
      <w:r w:rsidRPr="005B7DBA">
        <w:rPr>
          <w:color w:val="000000"/>
          <w:position w:val="10"/>
          <w:sz w:val="22"/>
          <w:szCs w:val="22"/>
          <w:vertAlign w:val="superscript"/>
        </w:rPr>
        <w:t xml:space="preserve"> </w:t>
      </w:r>
      <w:r w:rsidRPr="005B7DBA">
        <w:rPr>
          <w:color w:val="000000"/>
          <w:sz w:val="22"/>
          <w:szCs w:val="22"/>
        </w:rPr>
        <w:t xml:space="preserve">dvakrát denne, v 1.-14. deň každých 21 dní) a sorafenibu (200 alebo 400 mg dvakrát denne, kontinuálne podávaného bez prerušenia) neviedlo k významnej zmene expozície sorafenibu, no zvýšilo expozíciu kapecitabínu o 15-50 % a zvýšilo expozíciu 5-FU o 0-52 %. Klinický význam týchto malých až miernych zvýšení expozície kapecitabínu a 5-FU po súbežnom podávaní so sorafenibom nie je známy.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>Doxorubicín/irinotek</w:t>
      </w:r>
      <w:r w:rsidR="0095110E">
        <w:rPr>
          <w:color w:val="000000"/>
          <w:sz w:val="22"/>
          <w:szCs w:val="22"/>
          <w:u w:val="single"/>
        </w:rPr>
        <w:t>á</w:t>
      </w:r>
      <w:r w:rsidRPr="005B7DBA">
        <w:rPr>
          <w:color w:val="000000"/>
          <w:sz w:val="22"/>
          <w:szCs w:val="22"/>
          <w:u w:val="single"/>
        </w:rPr>
        <w:t xml:space="preserve">n </w:t>
      </w: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Súbežná liečba sorafenibom mala za následok 21% vzostup AUC doxorubicínu. Pri podávaní s </w:t>
      </w:r>
      <w:r w:rsidRPr="005B7DBA">
        <w:rPr>
          <w:color w:val="000000"/>
          <w:sz w:val="22"/>
          <w:szCs w:val="22"/>
        </w:rPr>
        <w:lastRenderedPageBreak/>
        <w:t>irinotek</w:t>
      </w:r>
      <w:r w:rsidR="0095110E">
        <w:rPr>
          <w:color w:val="000000"/>
          <w:sz w:val="22"/>
          <w:szCs w:val="22"/>
        </w:rPr>
        <w:t>á</w:t>
      </w:r>
      <w:r w:rsidRPr="005B7DBA">
        <w:rPr>
          <w:color w:val="000000"/>
          <w:sz w:val="22"/>
          <w:szCs w:val="22"/>
        </w:rPr>
        <w:t>nom, ktorého aktívny metabolit SN-38 sa ďalej metabolizuje dráhami UGT1A1, sa zaznamenal 67-120% vzostup AUC SN-38 a 26-42% vzostup AUC irinotek</w:t>
      </w:r>
      <w:r w:rsidR="0095110E">
        <w:rPr>
          <w:color w:val="000000"/>
          <w:sz w:val="22"/>
          <w:szCs w:val="22"/>
        </w:rPr>
        <w:t>á</w:t>
      </w:r>
      <w:r w:rsidRPr="005B7DBA">
        <w:rPr>
          <w:color w:val="000000"/>
          <w:sz w:val="22"/>
          <w:szCs w:val="22"/>
        </w:rPr>
        <w:t xml:space="preserve">nu. Klinický význam týchto nálezov nie je známy (pozri časť 4.4).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634A7E" w:rsidRPr="00634A7E" w:rsidRDefault="00634A7E" w:rsidP="00634A7E">
      <w:pPr>
        <w:pStyle w:val="CM32"/>
        <w:rPr>
          <w:color w:val="000000"/>
          <w:sz w:val="22"/>
          <w:szCs w:val="22"/>
          <w:u w:val="single"/>
        </w:rPr>
      </w:pPr>
      <w:r w:rsidRPr="00634A7E">
        <w:rPr>
          <w:color w:val="000000"/>
          <w:sz w:val="22"/>
          <w:szCs w:val="22"/>
          <w:u w:val="single"/>
        </w:rPr>
        <w:t xml:space="preserve">Docetaxel </w:t>
      </w:r>
    </w:p>
    <w:p w:rsidR="00634A7E" w:rsidRPr="00634A7E" w:rsidRDefault="00634A7E" w:rsidP="00634A7E">
      <w:pPr>
        <w:pStyle w:val="CM32"/>
        <w:rPr>
          <w:color w:val="000000"/>
          <w:sz w:val="22"/>
          <w:szCs w:val="22"/>
        </w:rPr>
      </w:pPr>
      <w:r w:rsidRPr="00634A7E">
        <w:rPr>
          <w:color w:val="000000"/>
          <w:sz w:val="22"/>
          <w:szCs w:val="22"/>
        </w:rPr>
        <w:t>Podávanie docetaxelu (75 alebo 100 mg/m</w:t>
      </w:r>
      <w:r w:rsidRPr="008A73CC">
        <w:rPr>
          <w:color w:val="000000"/>
          <w:sz w:val="22"/>
          <w:szCs w:val="22"/>
          <w:vertAlign w:val="superscript"/>
        </w:rPr>
        <w:t>2</w:t>
      </w:r>
      <w:r w:rsidRPr="00634A7E">
        <w:rPr>
          <w:color w:val="000000"/>
          <w:sz w:val="22"/>
          <w:szCs w:val="22"/>
        </w:rPr>
        <w:t xml:space="preserve"> podávaných každých 21 dní) súbežne so sorafenibom (200 mg dvakrát denne alebo 400 mg dvakrát denne podávaných od 2. po 19. deň 21-dňového cyklu s 3-dňovou prestávkou v dávkovaní počas podávania docetaxelu) malo za následok 36-80% nárast AUC docetaxelu a 16-32% vzostup C</w:t>
      </w:r>
      <w:r w:rsidRPr="008A73CC">
        <w:rPr>
          <w:color w:val="000000"/>
          <w:sz w:val="22"/>
          <w:szCs w:val="22"/>
          <w:vertAlign w:val="subscript"/>
        </w:rPr>
        <w:t>max</w:t>
      </w:r>
      <w:r w:rsidRPr="00634A7E">
        <w:rPr>
          <w:color w:val="000000"/>
          <w:sz w:val="22"/>
          <w:szCs w:val="22"/>
        </w:rPr>
        <w:t xml:space="preserve"> docetaxelu. Opatrnosť sa odporúča pri súbežnom podávaní sorafenibu s docetaxelom (pozri časť 4.4).</w:t>
      </w:r>
    </w:p>
    <w:p w:rsidR="00634A7E" w:rsidRPr="00634A7E" w:rsidRDefault="00634A7E" w:rsidP="005B7DBA">
      <w:pPr>
        <w:pStyle w:val="CM32"/>
        <w:rPr>
          <w:color w:val="000000"/>
          <w:sz w:val="22"/>
          <w:szCs w:val="22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Kombinácie s inými látkami </w:t>
      </w:r>
    </w:p>
    <w:p w:rsidR="008A73CC" w:rsidRDefault="008A73CC" w:rsidP="005B7DBA">
      <w:pPr>
        <w:pStyle w:val="CM3"/>
        <w:spacing w:line="240" w:lineRule="auto"/>
        <w:rPr>
          <w:i/>
          <w:iCs/>
          <w:color w:val="000000"/>
          <w:sz w:val="22"/>
          <w:szCs w:val="22"/>
        </w:rPr>
      </w:pPr>
    </w:p>
    <w:p w:rsidR="005B7DBA" w:rsidRPr="005B7DBA" w:rsidRDefault="005B7DBA" w:rsidP="005B7DBA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i/>
          <w:iCs/>
          <w:color w:val="000000"/>
          <w:sz w:val="22"/>
          <w:szCs w:val="22"/>
        </w:rPr>
        <w:t xml:space="preserve">Neomycín </w:t>
      </w:r>
    </w:p>
    <w:p w:rsidR="005B7DBA" w:rsidRPr="005B7DBA" w:rsidRDefault="005B7DBA" w:rsidP="005B7DBA">
      <w:pPr>
        <w:pStyle w:val="CM2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>Súbežné podávanie neomycínu, nesystémov</w:t>
      </w:r>
      <w:r w:rsidR="0095110E">
        <w:rPr>
          <w:color w:val="000000"/>
          <w:sz w:val="22"/>
          <w:szCs w:val="22"/>
        </w:rPr>
        <w:t>ej</w:t>
      </w:r>
      <w:r w:rsidRPr="005B7DBA">
        <w:rPr>
          <w:color w:val="000000"/>
          <w:sz w:val="22"/>
          <w:szCs w:val="22"/>
        </w:rPr>
        <w:t xml:space="preserve"> antimikrobiáln</w:t>
      </w:r>
      <w:r w:rsidR="0095110E">
        <w:rPr>
          <w:color w:val="000000"/>
          <w:sz w:val="22"/>
          <w:szCs w:val="22"/>
        </w:rPr>
        <w:t>ej</w:t>
      </w:r>
      <w:r w:rsidRPr="005B7DBA">
        <w:rPr>
          <w:color w:val="000000"/>
          <w:sz w:val="22"/>
          <w:szCs w:val="22"/>
        </w:rPr>
        <w:t xml:space="preserve"> lát</w:t>
      </w:r>
      <w:r w:rsidR="0095110E">
        <w:rPr>
          <w:color w:val="000000"/>
          <w:sz w:val="22"/>
          <w:szCs w:val="22"/>
        </w:rPr>
        <w:t>ky,</w:t>
      </w:r>
      <w:r w:rsidRPr="005B7DBA">
        <w:rPr>
          <w:color w:val="000000"/>
          <w:sz w:val="22"/>
          <w:szCs w:val="22"/>
        </w:rPr>
        <w:t xml:space="preserve"> používan</w:t>
      </w:r>
      <w:r w:rsidR="0095110E">
        <w:rPr>
          <w:color w:val="000000"/>
          <w:sz w:val="22"/>
          <w:szCs w:val="22"/>
        </w:rPr>
        <w:t>ej</w:t>
      </w:r>
      <w:r w:rsidRPr="005B7DBA">
        <w:rPr>
          <w:color w:val="000000"/>
          <w:sz w:val="22"/>
          <w:szCs w:val="22"/>
        </w:rPr>
        <w:t xml:space="preserve"> na eradikáciu gastrointestinálnej flóry, vzájomne spolupôsob</w:t>
      </w:r>
      <w:r w:rsidR="00090884">
        <w:rPr>
          <w:color w:val="000000"/>
          <w:sz w:val="22"/>
          <w:szCs w:val="22"/>
        </w:rPr>
        <w:t>í</w:t>
      </w:r>
      <w:r w:rsidRPr="005B7DBA">
        <w:rPr>
          <w:color w:val="000000"/>
          <w:sz w:val="22"/>
          <w:szCs w:val="22"/>
        </w:rPr>
        <w:t xml:space="preserve"> s enterohepatálnou recykláciou sorafenibu (pozri </w:t>
      </w:r>
    </w:p>
    <w:p w:rsidR="005B7DBA" w:rsidRPr="005B7DBA" w:rsidRDefault="005B7DBA" w:rsidP="005B7DBA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časť 5.2, </w:t>
      </w:r>
      <w:r w:rsidR="00090884">
        <w:rPr>
          <w:color w:val="000000"/>
          <w:sz w:val="22"/>
          <w:szCs w:val="22"/>
        </w:rPr>
        <w:t>Biotransformácia</w:t>
      </w:r>
      <w:r w:rsidRPr="005B7DBA">
        <w:rPr>
          <w:color w:val="000000"/>
          <w:sz w:val="22"/>
          <w:szCs w:val="22"/>
        </w:rPr>
        <w:t xml:space="preserve"> a eliminácia), čo vedie k zníženej expozícii sorafenibu. U zdravých dobrovoľníkov liečených neomycínom s 5-dňovou schémou sa priemerná expozícia sorafenibu znížila </w:t>
      </w: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o 54 %. Účinky iných antibiotík sa neskúmali, no budú pravdepodobne závisieť od ich schopnosti vzájomného spolupôsobenia </w:t>
      </w:r>
      <w:r w:rsidR="00090884">
        <w:rPr>
          <w:color w:val="000000"/>
          <w:sz w:val="22"/>
          <w:szCs w:val="22"/>
        </w:rPr>
        <w:t xml:space="preserve">s </w:t>
      </w:r>
      <w:r w:rsidRPr="005B7DBA">
        <w:rPr>
          <w:color w:val="000000"/>
          <w:sz w:val="22"/>
          <w:szCs w:val="22"/>
        </w:rPr>
        <w:t>mikroorganizm</w:t>
      </w:r>
      <w:r w:rsidR="00090884">
        <w:rPr>
          <w:color w:val="000000"/>
          <w:sz w:val="22"/>
          <w:szCs w:val="22"/>
        </w:rPr>
        <w:t>ami</w:t>
      </w:r>
      <w:r w:rsidRPr="005B7DBA">
        <w:rPr>
          <w:color w:val="000000"/>
          <w:sz w:val="22"/>
          <w:szCs w:val="22"/>
        </w:rPr>
        <w:t xml:space="preserve"> s aktivitou glukuronidázy. </w:t>
      </w:r>
    </w:p>
    <w:p w:rsidR="00634A7E" w:rsidRDefault="00634A7E" w:rsidP="005B7DBA">
      <w:pPr>
        <w:pStyle w:val="CM32"/>
        <w:rPr>
          <w:b/>
          <w:bCs/>
          <w:color w:val="000000"/>
          <w:sz w:val="22"/>
          <w:szCs w:val="22"/>
        </w:rPr>
      </w:pPr>
    </w:p>
    <w:p w:rsidR="005B7DBA" w:rsidRPr="005B7DBA" w:rsidRDefault="005B7DBA" w:rsidP="008A73CC">
      <w:pPr>
        <w:pStyle w:val="CM32"/>
        <w:tabs>
          <w:tab w:val="left" w:pos="567"/>
        </w:tabs>
        <w:rPr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4.6 </w:t>
      </w:r>
      <w:r w:rsidR="008A73CC">
        <w:rPr>
          <w:b/>
          <w:bCs/>
          <w:color w:val="000000"/>
          <w:sz w:val="22"/>
          <w:szCs w:val="22"/>
        </w:rPr>
        <w:tab/>
      </w:r>
      <w:r w:rsidRPr="005B7DBA">
        <w:rPr>
          <w:b/>
          <w:bCs/>
          <w:color w:val="000000"/>
          <w:sz w:val="22"/>
          <w:szCs w:val="22"/>
        </w:rPr>
        <w:t xml:space="preserve">Fertilita, gravidita a laktácia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Gravidita </w:t>
      </w:r>
    </w:p>
    <w:p w:rsidR="005B7DBA" w:rsidRPr="005B7DBA" w:rsidRDefault="005B7DBA" w:rsidP="005B7DBA">
      <w:pPr>
        <w:pStyle w:val="CM10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>Nie sú k dispozícii údaje o použití sorafenibu u gravidných žien. Štúdie na zvieratách preukázali reprodukčnú toxicitu vrátane malformácií (pozri časť 5.3). U potkanov sa dokázalo, že sorafenib a jeho metabolity prechádzajú placentou a predpokladá sa, že sorafenib spôsobuje účinky škodlivé pre plod. Sorafenib sa nemá používať počas gravidity, pokiaľ to nie je zjavne nevyhnutné po starostlivom zvážení potrieb matky a rizika pre plod.</w:t>
      </w:r>
    </w:p>
    <w:p w:rsidR="00634A7E" w:rsidRDefault="005B7DBA" w:rsidP="00634A7E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Ženy vo fertilnom veku musia počas liečby používať účinnú antikoncepciu. </w:t>
      </w:r>
    </w:p>
    <w:p w:rsidR="00634A7E" w:rsidRDefault="00634A7E" w:rsidP="00634A7E">
      <w:pPr>
        <w:pStyle w:val="CM3"/>
        <w:spacing w:line="240" w:lineRule="auto"/>
        <w:rPr>
          <w:color w:val="000000"/>
          <w:sz w:val="22"/>
          <w:szCs w:val="22"/>
        </w:rPr>
      </w:pPr>
    </w:p>
    <w:p w:rsidR="005B7DBA" w:rsidRPr="005B7DBA" w:rsidRDefault="005B7DBA" w:rsidP="00634A7E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Dojčenie </w:t>
      </w: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Nie je známe, či sa sorafenib vylučuje do ľudského mlieka. U zvierat sa sorafenib a/alebo jeho metabolity vylučovali do mlieka. Keďže sorafenib môže poškodiť rast dojčiat a ich vývin (pozri časť 5.3), ženy počas liečby sorafenibom nesmú dojčiť.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Fertilita </w:t>
      </w: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Výsledky zo štúdií na zvieratách ďalej naznačujú, že sorafenib môže poškodiť mužskú i ženskú fertilitu (pozri časť 5.3). </w:t>
      </w:r>
    </w:p>
    <w:p w:rsidR="00634A7E" w:rsidRDefault="00634A7E" w:rsidP="005B7DBA">
      <w:pPr>
        <w:pStyle w:val="CM32"/>
        <w:rPr>
          <w:b/>
          <w:bCs/>
          <w:color w:val="000000"/>
          <w:sz w:val="22"/>
          <w:szCs w:val="22"/>
        </w:rPr>
      </w:pPr>
    </w:p>
    <w:p w:rsidR="005B7DBA" w:rsidRPr="005B7DBA" w:rsidRDefault="005B7DBA" w:rsidP="004D0ADC">
      <w:pPr>
        <w:pStyle w:val="CM32"/>
        <w:tabs>
          <w:tab w:val="left" w:pos="567"/>
        </w:tabs>
        <w:rPr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4.7 </w:t>
      </w:r>
      <w:r w:rsidR="004D0ADC">
        <w:rPr>
          <w:b/>
          <w:bCs/>
          <w:color w:val="000000"/>
          <w:sz w:val="22"/>
          <w:szCs w:val="22"/>
        </w:rPr>
        <w:tab/>
      </w:r>
      <w:r w:rsidRPr="005B7DBA">
        <w:rPr>
          <w:b/>
          <w:bCs/>
          <w:color w:val="000000"/>
          <w:sz w:val="22"/>
          <w:szCs w:val="22"/>
        </w:rPr>
        <w:t xml:space="preserve">Ovplyvnenie schopnosti viesť vozidlá a obsluhovať stroje </w:t>
      </w:r>
    </w:p>
    <w:p w:rsidR="004D0ADC" w:rsidRDefault="004D0ADC" w:rsidP="005B7DBA">
      <w:pPr>
        <w:pStyle w:val="CM32"/>
        <w:rPr>
          <w:color w:val="000000"/>
          <w:sz w:val="22"/>
          <w:szCs w:val="22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Neuskutočnili sa žiadne štúdie o účinkoch na schopnosť viesť vozidlá a obsluhovať stroje. Neexistujú dôkazy o tom, že sorafenib ovplyvňuje schopnosť viesť vozidlá alebo obsluhovať stroje. </w:t>
      </w:r>
    </w:p>
    <w:p w:rsidR="00634A7E" w:rsidRDefault="00634A7E" w:rsidP="005B7DBA">
      <w:pPr>
        <w:pStyle w:val="CM32"/>
        <w:rPr>
          <w:b/>
          <w:bCs/>
          <w:color w:val="000000"/>
          <w:sz w:val="22"/>
          <w:szCs w:val="22"/>
        </w:rPr>
      </w:pPr>
    </w:p>
    <w:p w:rsidR="005B7DBA" w:rsidRPr="005B7DBA" w:rsidRDefault="005B7DBA" w:rsidP="004D0ADC">
      <w:pPr>
        <w:pStyle w:val="CM32"/>
        <w:tabs>
          <w:tab w:val="left" w:pos="567"/>
        </w:tabs>
        <w:rPr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4.8 </w:t>
      </w:r>
      <w:r w:rsidR="004D0ADC">
        <w:rPr>
          <w:b/>
          <w:bCs/>
          <w:color w:val="000000"/>
          <w:sz w:val="22"/>
          <w:szCs w:val="22"/>
        </w:rPr>
        <w:tab/>
      </w:r>
      <w:r w:rsidRPr="005B7DBA">
        <w:rPr>
          <w:b/>
          <w:bCs/>
          <w:color w:val="000000"/>
          <w:sz w:val="22"/>
          <w:szCs w:val="22"/>
        </w:rPr>
        <w:t xml:space="preserve">Nežiaduce účinky </w:t>
      </w:r>
    </w:p>
    <w:p w:rsidR="004D0ADC" w:rsidRDefault="004D0ADC" w:rsidP="005B7DBA">
      <w:pPr>
        <w:pStyle w:val="CM32"/>
        <w:rPr>
          <w:color w:val="000000"/>
          <w:sz w:val="22"/>
          <w:szCs w:val="22"/>
        </w:rPr>
      </w:pPr>
    </w:p>
    <w:p w:rsidR="00D234DD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Najdôležitejšie závažné nežiaduce reakcie boli infarkt/ischémia myokardu, gastrointestinálna perforácia, liekom indukovaná hepatitída, hemorágia a hypertenzia/hypertenzná kríza. </w:t>
      </w:r>
    </w:p>
    <w:p w:rsidR="00D234DD" w:rsidRDefault="00D234DD" w:rsidP="005B7DBA">
      <w:pPr>
        <w:pStyle w:val="CM32"/>
        <w:rPr>
          <w:color w:val="000000"/>
          <w:sz w:val="22"/>
          <w:szCs w:val="22"/>
        </w:rPr>
      </w:pPr>
    </w:p>
    <w:p w:rsid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Najčastejšie nežiaduce reakcie boli hnačka, únava, alopécia, infekcia, kožná reakcia ruka-noha (v MedDRA zodpovedá syndrómu palmárno-plantárnej erytrodyzestézii) a vyrážka. </w:t>
      </w:r>
    </w:p>
    <w:p w:rsidR="00D234DD" w:rsidRPr="00D234DD" w:rsidRDefault="00D234DD" w:rsidP="00D234DD">
      <w:pPr>
        <w:pStyle w:val="Default"/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Nežiaduce reakcie hlásené v klinických skúšaniach s viacnásobnými dávkami alebo počas používania po uvedení lieku na trh sú uvedené nižšie v tabuľke 1 podľa tried orgánových systémov (podľa MedDRA) a frekvencie. Frekvencie sú definované ako: veľmi časté (≥1/10), časté (≥1/100 až &lt;1/10), menej časté (≥1/1 000 až &lt;1/100), zriedkavé (≥1/10 000 až &lt;1/1 000), neznáme (z dostupných </w:t>
      </w:r>
      <w:r w:rsidRPr="005B7DBA">
        <w:rPr>
          <w:color w:val="000000"/>
          <w:sz w:val="22"/>
          <w:szCs w:val="22"/>
        </w:rPr>
        <w:lastRenderedPageBreak/>
        <w:t xml:space="preserve">údajov). </w:t>
      </w:r>
    </w:p>
    <w:p w:rsid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V rámci jednotlivých skupín frekvencií sú nežiaduce účinky usporiadané v poradí klesajúcej závažnosti. </w:t>
      </w:r>
    </w:p>
    <w:p w:rsidR="00634A7E" w:rsidRPr="00634A7E" w:rsidRDefault="00634A7E" w:rsidP="00634A7E">
      <w:pPr>
        <w:pStyle w:val="Default"/>
      </w:pPr>
    </w:p>
    <w:p w:rsidR="005B7DBA" w:rsidRPr="005B7DBA" w:rsidRDefault="005B7DBA" w:rsidP="00634A7E">
      <w:pPr>
        <w:pStyle w:val="CM38"/>
        <w:rPr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Tabuľka 1: Všetky nežiaduce reakcie hlásené u pacientov v klinických skúšaniach s </w:t>
      </w:r>
      <w:r w:rsidR="00D234DD">
        <w:rPr>
          <w:b/>
          <w:bCs/>
          <w:color w:val="000000"/>
          <w:sz w:val="22"/>
          <w:szCs w:val="22"/>
        </w:rPr>
        <w:t>v</w:t>
      </w:r>
      <w:r w:rsidRPr="005B7DBA">
        <w:rPr>
          <w:b/>
          <w:bCs/>
          <w:color w:val="000000"/>
          <w:sz w:val="22"/>
          <w:szCs w:val="22"/>
        </w:rPr>
        <w:t xml:space="preserve">iacnásobnými dávkami alebo počas používania po uvedení lieku na trh </w:t>
      </w:r>
    </w:p>
    <w:p w:rsidR="005B7DBA" w:rsidRDefault="005B7DBA" w:rsidP="005B7DBA">
      <w:pPr>
        <w:pStyle w:val="Default"/>
        <w:rPr>
          <w:color w:val="auto"/>
          <w:sz w:val="22"/>
          <w:szCs w:val="22"/>
        </w:rPr>
      </w:pPr>
    </w:p>
    <w:p w:rsidR="00D234DD" w:rsidRPr="00F06EAA" w:rsidRDefault="00D234DD" w:rsidP="000258B8">
      <w:pPr>
        <w:keepNext/>
        <w:spacing w:after="0" w:line="240" w:lineRule="auto"/>
        <w:rPr>
          <w:rFonts w:ascii="Times New Roman" w:hAnsi="Times New Roman" w:cs="Times New Roman"/>
        </w:rPr>
      </w:pPr>
    </w:p>
    <w:tbl>
      <w:tblPr>
        <w:tblStyle w:val="Mriekatabuky"/>
        <w:tblW w:w="9747" w:type="dxa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1701"/>
        <w:gridCol w:w="1701"/>
        <w:gridCol w:w="1559"/>
        <w:gridCol w:w="1530"/>
      </w:tblGrid>
      <w:tr w:rsidR="000258B8" w:rsidRPr="00F06EAA" w:rsidTr="009C3768">
        <w:trPr>
          <w:tblHeader/>
        </w:trPr>
        <w:tc>
          <w:tcPr>
            <w:tcW w:w="155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Trieda orgánových systémov </w:t>
            </w:r>
          </w:p>
        </w:tc>
        <w:tc>
          <w:tcPr>
            <w:tcW w:w="1701" w:type="dxa"/>
            <w:tcBorders>
              <w:left w:val="single" w:sz="12" w:space="0" w:color="auto"/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Veľmi časté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Časté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Menej časté </w:t>
            </w:r>
          </w:p>
        </w:tc>
        <w:tc>
          <w:tcPr>
            <w:tcW w:w="1559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Zriedkavé </w:t>
            </w:r>
          </w:p>
        </w:tc>
        <w:tc>
          <w:tcPr>
            <w:tcW w:w="1530" w:type="dxa"/>
            <w:tcBorders>
              <w:bottom w:val="single" w:sz="12" w:space="0" w:color="auto"/>
            </w:tcBorders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Neznáme </w:t>
            </w:r>
          </w:p>
        </w:tc>
      </w:tr>
      <w:tr w:rsidR="000258B8" w:rsidRPr="00F06EAA" w:rsidTr="009C3768">
        <w:tc>
          <w:tcPr>
            <w:tcW w:w="1555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Infekcie a nákazy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infekcia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folikulitída 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30" w:type="dxa"/>
            <w:tcBorders>
              <w:top w:val="single" w:sz="12" w:space="0" w:color="auto"/>
            </w:tcBorders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color w:val="auto"/>
              </w:rPr>
            </w:pPr>
          </w:p>
        </w:tc>
      </w:tr>
      <w:tr w:rsidR="000258B8" w:rsidRPr="00F06EAA" w:rsidTr="009C3768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Poruchy krvi a lymfatického systému 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lymfopénia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leukopénia, neutropénia, anémia, trombocytopénia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color w:val="auto"/>
              </w:rPr>
            </w:pPr>
          </w:p>
        </w:tc>
      </w:tr>
      <w:tr w:rsidR="000258B8" w:rsidRPr="00F06EAA" w:rsidTr="009C3768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Poruchy imunitného systému 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reakcie precitlivenosti (vrátane kožných reakcií a žihľavky), anafylaktická reakcia 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angioedém </w:t>
            </w: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color w:val="auto"/>
              </w:rPr>
            </w:pPr>
          </w:p>
        </w:tc>
      </w:tr>
      <w:tr w:rsidR="000258B8" w:rsidRPr="00F06EAA" w:rsidTr="009C3768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Poruchy endokrinného systému 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hypotyreóza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hypertyre</w:t>
            </w:r>
            <w:r w:rsidR="00100801">
              <w:rPr>
                <w:sz w:val="22"/>
                <w:szCs w:val="22"/>
              </w:rPr>
              <w:t>óza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color w:val="auto"/>
              </w:rPr>
            </w:pPr>
          </w:p>
        </w:tc>
      </w:tr>
      <w:tr w:rsidR="000258B8" w:rsidRPr="00F06EAA" w:rsidTr="009C3768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Poruchy metabolizmu a výživy 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anorexia, hypofosfatémia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hypokalciémia, hypokaliémia, hyponatriémia, hypoglykémia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dehydratácia 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color w:val="auto"/>
              </w:rPr>
            </w:pPr>
          </w:p>
        </w:tc>
      </w:tr>
      <w:tr w:rsidR="000258B8" w:rsidRPr="00F06EAA" w:rsidTr="009C3768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Psychické poruchy 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depresia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:rsidR="00F06EAA" w:rsidRDefault="00F06EAA" w:rsidP="000258B8">
            <w:pPr>
              <w:pStyle w:val="Default"/>
              <w:rPr>
                <w:color w:val="auto"/>
              </w:rPr>
            </w:pPr>
          </w:p>
        </w:tc>
      </w:tr>
      <w:tr w:rsidR="000258B8" w:rsidRPr="00F06EAA" w:rsidTr="00306747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Poruchy </w:t>
            </w:r>
          </w:p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nervového </w:t>
            </w:r>
          </w:p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systému 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Pr="000258B8" w:rsidRDefault="000258B8" w:rsidP="000258B8">
            <w:pPr>
              <w:pStyle w:val="Default"/>
              <w:rPr>
                <w:sz w:val="22"/>
                <w:szCs w:val="22"/>
              </w:rPr>
            </w:pPr>
            <w:r w:rsidRPr="000258B8">
              <w:rPr>
                <w:sz w:val="22"/>
                <w:szCs w:val="22"/>
              </w:rPr>
              <w:t xml:space="preserve">periférna </w:t>
            </w:r>
          </w:p>
          <w:p w:rsidR="000258B8" w:rsidRPr="000258B8" w:rsidRDefault="000258B8" w:rsidP="000258B8">
            <w:pPr>
              <w:pStyle w:val="Default"/>
              <w:rPr>
                <w:sz w:val="22"/>
                <w:szCs w:val="22"/>
              </w:rPr>
            </w:pPr>
            <w:r w:rsidRPr="000258B8">
              <w:rPr>
                <w:sz w:val="22"/>
                <w:szCs w:val="22"/>
              </w:rPr>
              <w:t xml:space="preserve">senzorická </w:t>
            </w:r>
          </w:p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 w:rsidRPr="000258B8">
              <w:rPr>
                <w:sz w:val="22"/>
                <w:szCs w:val="22"/>
              </w:rPr>
              <w:t>neuropatia, porucha chuti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reverzibilná </w:t>
            </w:r>
          </w:p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posteriórna </w:t>
            </w:r>
          </w:p>
          <w:p w:rsidR="000258B8" w:rsidRDefault="000258B8" w:rsidP="000258B8">
            <w:pPr>
              <w:pStyle w:val="Default"/>
              <w:rPr>
                <w:color w:val="auto"/>
              </w:rPr>
            </w:pPr>
            <w:r>
              <w:rPr>
                <w:sz w:val="22"/>
                <w:szCs w:val="22"/>
              </w:rPr>
              <w:t>leukoencefa</w:t>
            </w:r>
            <w:r>
              <w:rPr>
                <w:sz w:val="22"/>
                <w:szCs w:val="22"/>
              </w:rPr>
              <w:softHyphen/>
              <w:t>lopatia*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color w:val="auto"/>
              </w:rPr>
            </w:pPr>
            <w:r>
              <w:rPr>
                <w:sz w:val="22"/>
                <w:szCs w:val="22"/>
              </w:rPr>
              <w:t>encefalopatia°</w:t>
            </w:r>
          </w:p>
        </w:tc>
      </w:tr>
      <w:tr w:rsidR="000258B8" w:rsidRPr="00F06EAA" w:rsidTr="009C3768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Poruchy ucha a labyrintu 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tinitus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color w:val="auto"/>
              </w:rPr>
            </w:pPr>
          </w:p>
        </w:tc>
      </w:tr>
      <w:tr w:rsidR="000258B8" w:rsidRPr="00F06EAA" w:rsidTr="009C3768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Poruchy srdca </w:t>
            </w:r>
          </w:p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srdcovej činnosti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kongestívne </w:t>
            </w:r>
          </w:p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zlyhanie srdca*, ischémia myokardu a infarkt myokardu*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0258B8" w:rsidRPr="00193AAA" w:rsidRDefault="000258B8" w:rsidP="000258B8">
            <w:pPr>
              <w:pStyle w:val="Default"/>
              <w:rPr>
                <w:sz w:val="22"/>
                <w:szCs w:val="22"/>
              </w:rPr>
            </w:pPr>
            <w:r w:rsidRPr="00193AAA">
              <w:rPr>
                <w:sz w:val="22"/>
                <w:szCs w:val="22"/>
              </w:rPr>
              <w:t xml:space="preserve">predĺženie </w:t>
            </w:r>
          </w:p>
          <w:p w:rsidR="000258B8" w:rsidRDefault="000258B8" w:rsidP="000258B8">
            <w:pPr>
              <w:pStyle w:val="Default"/>
              <w:rPr>
                <w:color w:val="auto"/>
              </w:rPr>
            </w:pPr>
            <w:r w:rsidRPr="00193AAA">
              <w:rPr>
                <w:sz w:val="22"/>
                <w:szCs w:val="22"/>
              </w:rPr>
              <w:t>intervalu QT</w:t>
            </w: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color w:val="auto"/>
              </w:rPr>
            </w:pPr>
          </w:p>
        </w:tc>
      </w:tr>
      <w:tr w:rsidR="000258B8" w:rsidRPr="00F06EAA" w:rsidTr="009C3768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Poruchy ciev 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hemorágia (vrátane gastro</w:t>
            </w:r>
            <w:r>
              <w:rPr>
                <w:sz w:val="22"/>
                <w:szCs w:val="22"/>
              </w:rPr>
              <w:softHyphen/>
              <w:t xml:space="preserve">intestinálnej hemorágie*, hemorágie dýchacej sústavy* a cerebrálnej hemorágie*), hypertenzia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začervenanie 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hypertenzná kríza* 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:rsidR="000258B8" w:rsidRPr="00584F78" w:rsidRDefault="005B41DD" w:rsidP="000258B8">
            <w:pPr>
              <w:pStyle w:val="Default"/>
              <w:rPr>
                <w:color w:val="auto"/>
                <w:sz w:val="22"/>
                <w:szCs w:val="22"/>
              </w:rPr>
            </w:pPr>
            <w:r w:rsidRPr="00584F78">
              <w:rPr>
                <w:color w:val="auto"/>
                <w:sz w:val="22"/>
                <w:szCs w:val="22"/>
              </w:rPr>
              <w:t>aneuryzmy a arteriálne disekcie</w:t>
            </w:r>
          </w:p>
        </w:tc>
      </w:tr>
      <w:tr w:rsidR="000258B8" w:rsidRPr="00F06EAA" w:rsidTr="009C3768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Poruchy </w:t>
            </w:r>
            <w:r>
              <w:rPr>
                <w:sz w:val="22"/>
                <w:szCs w:val="22"/>
              </w:rPr>
              <w:lastRenderedPageBreak/>
              <w:t>dýchacej sústavy, hrudníka a mediastína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výtok z nosa, </w:t>
            </w:r>
            <w:r>
              <w:rPr>
                <w:sz w:val="22"/>
                <w:szCs w:val="22"/>
              </w:rPr>
              <w:lastRenderedPageBreak/>
              <w:t>dysfónia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Pr="00193AAA" w:rsidRDefault="000258B8" w:rsidP="000258B8">
            <w:pPr>
              <w:pStyle w:val="Default"/>
              <w:rPr>
                <w:sz w:val="22"/>
                <w:szCs w:val="22"/>
              </w:rPr>
            </w:pPr>
            <w:r w:rsidRPr="00193AAA">
              <w:rPr>
                <w:sz w:val="22"/>
                <w:szCs w:val="22"/>
              </w:rPr>
              <w:lastRenderedPageBreak/>
              <w:t>udalosti</w:t>
            </w:r>
          </w:p>
          <w:p w:rsidR="000258B8" w:rsidRPr="00193AAA" w:rsidRDefault="000258B8" w:rsidP="000258B8">
            <w:pPr>
              <w:pStyle w:val="Default"/>
              <w:rPr>
                <w:sz w:val="22"/>
                <w:szCs w:val="22"/>
              </w:rPr>
            </w:pPr>
            <w:r w:rsidRPr="00193AAA">
              <w:rPr>
                <w:sz w:val="22"/>
                <w:szCs w:val="22"/>
              </w:rPr>
              <w:lastRenderedPageBreak/>
              <w:t>podobné</w:t>
            </w:r>
          </w:p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 w:rsidRPr="00193AAA">
              <w:rPr>
                <w:sz w:val="22"/>
                <w:szCs w:val="22"/>
              </w:rPr>
              <w:t>intersticiálnemu ochoreniu pľúc* (pneumonitída, radiačná pneumonitída, akútn</w:t>
            </w:r>
            <w:r w:rsidR="00100801">
              <w:rPr>
                <w:sz w:val="22"/>
                <w:szCs w:val="22"/>
              </w:rPr>
              <w:t>a respiračná tieseň</w:t>
            </w:r>
            <w:r w:rsidRPr="00193AAA">
              <w:rPr>
                <w:sz w:val="22"/>
                <w:szCs w:val="22"/>
              </w:rPr>
              <w:t>, atď.)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color w:val="auto"/>
              </w:rPr>
            </w:pPr>
          </w:p>
        </w:tc>
      </w:tr>
      <w:tr w:rsidR="000258B8" w:rsidRPr="00F06EAA" w:rsidTr="009C3768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258B8" w:rsidRDefault="00767BEF" w:rsidP="00767BEF">
            <w:pPr>
              <w:pStyle w:val="Default"/>
              <w:rPr>
                <w:sz w:val="22"/>
                <w:szCs w:val="22"/>
              </w:rPr>
            </w:pPr>
            <w:r w:rsidRPr="00767BEF">
              <w:rPr>
                <w:sz w:val="22"/>
                <w:szCs w:val="22"/>
              </w:rPr>
              <w:t>Poruchy gastrointestinál</w:t>
            </w:r>
            <w:r>
              <w:rPr>
                <w:sz w:val="22"/>
                <w:szCs w:val="22"/>
              </w:rPr>
              <w:t>-</w:t>
            </w:r>
            <w:r w:rsidRPr="00767BEF">
              <w:rPr>
                <w:sz w:val="22"/>
                <w:szCs w:val="22"/>
              </w:rPr>
              <w:t>neho traktu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 w:rsidRPr="00575716">
              <w:rPr>
                <w:sz w:val="22"/>
                <w:szCs w:val="22"/>
              </w:rPr>
              <w:t>hn</w:t>
            </w:r>
            <w:r w:rsidRPr="00193AAA">
              <w:rPr>
                <w:sz w:val="22"/>
                <w:szCs w:val="22"/>
              </w:rPr>
              <w:t>ačka, nauzea, vracanie, zápcha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 w:rsidRPr="00193AAA">
              <w:rPr>
                <w:sz w:val="22"/>
                <w:szCs w:val="22"/>
              </w:rPr>
              <w:t>stomatidída (vrátane sucha v ústach a glosodýnie), dyspepsia, dysfágia, gastroezof</w:t>
            </w:r>
            <w:r w:rsidR="00575716">
              <w:rPr>
                <w:sz w:val="22"/>
                <w:szCs w:val="22"/>
              </w:rPr>
              <w:t>ágový</w:t>
            </w:r>
            <w:r w:rsidRPr="00193AAA">
              <w:rPr>
                <w:sz w:val="22"/>
                <w:szCs w:val="22"/>
              </w:rPr>
              <w:t xml:space="preserve"> reflux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pankreatitída, gastritída, gastrointestinál</w:t>
            </w:r>
            <w:r w:rsidR="00767BEF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 xml:space="preserve"> ne perforácie* </w:t>
            </w:r>
          </w:p>
          <w:p w:rsidR="000258B8" w:rsidRPr="00193AAA" w:rsidRDefault="000258B8" w:rsidP="000258B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color w:val="auto"/>
              </w:rPr>
            </w:pP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color w:val="auto"/>
              </w:rPr>
            </w:pPr>
          </w:p>
        </w:tc>
      </w:tr>
      <w:tr w:rsidR="000258B8" w:rsidRPr="00F06EAA" w:rsidTr="009C3768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258B8" w:rsidRPr="00193AAA" w:rsidRDefault="000258B8" w:rsidP="00767BEF">
            <w:pPr>
              <w:pStyle w:val="Default"/>
              <w:rPr>
                <w:sz w:val="22"/>
                <w:szCs w:val="22"/>
              </w:rPr>
            </w:pPr>
            <w:r w:rsidRPr="00193AAA">
              <w:rPr>
                <w:sz w:val="22"/>
                <w:szCs w:val="22"/>
              </w:rPr>
              <w:t>Poruchy pečene a</w:t>
            </w:r>
            <w:r w:rsidR="00767BEF">
              <w:rPr>
                <w:sz w:val="22"/>
                <w:szCs w:val="22"/>
              </w:rPr>
              <w:t xml:space="preserve"> </w:t>
            </w:r>
            <w:r w:rsidRPr="00193AAA">
              <w:rPr>
                <w:sz w:val="22"/>
                <w:szCs w:val="22"/>
              </w:rPr>
              <w:t>žlčových ciest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0258B8" w:rsidRPr="00193AAA" w:rsidRDefault="000258B8" w:rsidP="000258B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Pr="00193AAA" w:rsidRDefault="000258B8" w:rsidP="000258B8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Pr="00193AAA" w:rsidRDefault="000258B8" w:rsidP="000258B8">
            <w:pPr>
              <w:pStyle w:val="Default"/>
              <w:rPr>
                <w:sz w:val="22"/>
                <w:szCs w:val="22"/>
              </w:rPr>
            </w:pPr>
            <w:r w:rsidRPr="00193AAA">
              <w:rPr>
                <w:sz w:val="22"/>
                <w:szCs w:val="22"/>
              </w:rPr>
              <w:t>zvýšený bilirubín a žltačka, cholecystitída, cholangitída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0258B8" w:rsidRPr="00193AAA" w:rsidRDefault="000258B8" w:rsidP="000258B8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l</w:t>
            </w:r>
            <w:r w:rsidRPr="00193AAA">
              <w:rPr>
                <w:color w:val="auto"/>
                <w:sz w:val="22"/>
                <w:szCs w:val="22"/>
              </w:rPr>
              <w:t>iekom indukovaná hepatitída*</w:t>
            </w: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:rsidR="000258B8" w:rsidRDefault="000258B8" w:rsidP="000258B8">
            <w:pPr>
              <w:pStyle w:val="Default"/>
              <w:rPr>
                <w:color w:val="auto"/>
              </w:rPr>
            </w:pPr>
          </w:p>
        </w:tc>
      </w:tr>
      <w:tr w:rsidR="000258B8" w:rsidRPr="00F06EAA" w:rsidTr="009C3768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Poruchy kože a podkožného tkanova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suchá koža, vyrážka, </w:t>
            </w:r>
            <w:r w:rsidRPr="008C293C">
              <w:rPr>
                <w:rFonts w:ascii="Times New Roman" w:hAnsi="Times New Roman" w:cs="Times New Roman"/>
              </w:rPr>
              <w:t>alopécia, kožná reakcia ruka-noha**, erytém, pruritus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Pr="008C293C" w:rsidRDefault="000258B8" w:rsidP="000258B8">
            <w:pPr>
              <w:rPr>
                <w:rFonts w:ascii="Times New Roman" w:hAnsi="Times New Roman" w:cs="Times New Roman"/>
                <w:spacing w:val="-2"/>
              </w:rPr>
            </w:pPr>
            <w:r w:rsidRPr="008C293C">
              <w:rPr>
                <w:rFonts w:ascii="Times New Roman" w:hAnsi="Times New Roman" w:cs="Times New Roman"/>
                <w:spacing w:val="-2"/>
              </w:rPr>
              <w:t>keratoakantóm/</w:t>
            </w:r>
            <w:r w:rsidRPr="008C293C">
              <w:rPr>
                <w:rFonts w:ascii="Times New Roman" w:hAnsi="Times New Roman" w:cs="Times New Roman"/>
              </w:rPr>
              <w:t xml:space="preserve"> </w:t>
            </w:r>
            <w:r w:rsidR="00575716">
              <w:rPr>
                <w:rFonts w:ascii="Times New Roman" w:hAnsi="Times New Roman" w:cs="Times New Roman"/>
              </w:rPr>
              <w:t xml:space="preserve">skvamocelulárny </w:t>
            </w:r>
            <w:r w:rsidRPr="008C293C">
              <w:rPr>
                <w:rFonts w:ascii="Times New Roman" w:hAnsi="Times New Roman" w:cs="Times New Roman"/>
                <w:spacing w:val="-2"/>
              </w:rPr>
              <w:t>karcinóm kože, exfoliatívna dermatitída, akné, deskvamácia kože, hyperkeratóza</w:t>
            </w:r>
          </w:p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ekzém,</w:t>
            </w:r>
          </w:p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 w:rsidRPr="00F06EAA">
              <w:rPr>
                <w:rFonts w:ascii="Times New Roman" w:hAnsi="Times New Roman" w:cs="Times New Roman"/>
                <w:spacing w:val="-4"/>
              </w:rPr>
              <w:t>m</w:t>
            </w:r>
            <w:r w:rsidRPr="00F06EAA">
              <w:rPr>
                <w:rFonts w:ascii="Times New Roman" w:hAnsi="Times New Roman" w:cs="Times New Roman"/>
              </w:rPr>
              <w:t>u</w:t>
            </w:r>
            <w:r w:rsidRPr="00F06EAA">
              <w:rPr>
                <w:rFonts w:ascii="Times New Roman" w:hAnsi="Times New Roman" w:cs="Times New Roman"/>
                <w:spacing w:val="1"/>
              </w:rPr>
              <w:t>ltif</w:t>
            </w:r>
            <w:r w:rsidRPr="00F06EAA">
              <w:rPr>
                <w:rFonts w:ascii="Times New Roman" w:hAnsi="Times New Roman" w:cs="Times New Roman"/>
                <w:spacing w:val="-2"/>
              </w:rPr>
              <w:t>o</w:t>
            </w:r>
            <w:r w:rsidRPr="00F06EAA">
              <w:rPr>
                <w:rFonts w:ascii="Times New Roman" w:hAnsi="Times New Roman" w:cs="Times New Roman"/>
                <w:spacing w:val="1"/>
              </w:rPr>
              <w:t>r</w:t>
            </w:r>
            <w:r w:rsidRPr="00F06EAA">
              <w:rPr>
                <w:rFonts w:ascii="Times New Roman" w:hAnsi="Times New Roman" w:cs="Times New Roman"/>
                <w:spacing w:val="-4"/>
              </w:rPr>
              <w:t>m</w:t>
            </w:r>
            <w:r w:rsidR="00575716">
              <w:rPr>
                <w:rFonts w:ascii="Times New Roman" w:hAnsi="Times New Roman" w:cs="Times New Roman"/>
              </w:rPr>
              <w:t>ný erytém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"/>
              </w:rPr>
              <w:t xml:space="preserve">radiáciou vyvolaná dermatitída, </w:t>
            </w:r>
            <w:r w:rsidRPr="008C293C">
              <w:rPr>
                <w:rFonts w:ascii="Times New Roman" w:hAnsi="Times New Roman" w:cs="Times New Roman"/>
              </w:rPr>
              <w:t>Stevensov -</w:t>
            </w:r>
            <w:r>
              <w:rPr>
                <w:rFonts w:ascii="Times New Roman" w:hAnsi="Times New Roman" w:cs="Times New Roman"/>
              </w:rPr>
              <w:t>Johnsonov syndróm, leukocytokla</w:t>
            </w:r>
            <w:r w:rsidRPr="008C293C">
              <w:rPr>
                <w:rFonts w:ascii="Times New Roman" w:hAnsi="Times New Roman" w:cs="Times New Roman"/>
              </w:rPr>
              <w:t>s-tická vaskulitída, toxická epidermálna nekrolýza*</w:t>
            </w: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</w:tr>
      <w:tr w:rsidR="000258B8" w:rsidRPr="00F06EAA" w:rsidTr="009C3768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 w:rsidRPr="008C293C">
              <w:rPr>
                <w:rFonts w:ascii="Times New Roman" w:hAnsi="Times New Roman" w:cs="Times New Roman"/>
              </w:rPr>
              <w:t>Poruchy kostrovej a svalovej sústavy a spojivového tkaniva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 w:rsidRPr="008C293C">
              <w:rPr>
                <w:rFonts w:ascii="Times New Roman" w:hAnsi="Times New Roman" w:cs="Times New Roman"/>
              </w:rPr>
              <w:t>artralgia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 w:rsidRPr="008C293C">
              <w:rPr>
                <w:rFonts w:ascii="Times New Roman" w:hAnsi="Times New Roman" w:cs="Times New Roman"/>
                <w:spacing w:val="-1"/>
              </w:rPr>
              <w:t>myalgia, svalové kŕče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 w:rsidRPr="008C293C">
              <w:rPr>
                <w:rFonts w:ascii="Times New Roman" w:hAnsi="Times New Roman" w:cs="Times New Roman"/>
                <w:spacing w:val="1"/>
              </w:rPr>
              <w:t>rabdomyolýza</w:t>
            </w: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</w:tr>
      <w:tr w:rsidR="000258B8" w:rsidRPr="00F06EAA" w:rsidTr="009C3768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 w:rsidRPr="008C293C">
              <w:rPr>
                <w:rFonts w:ascii="Times New Roman" w:hAnsi="Times New Roman" w:cs="Times New Roman"/>
                <w:spacing w:val="-1"/>
              </w:rPr>
              <w:t>Poruchy obličiek a močových ciest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 w:rsidRPr="008C293C">
              <w:rPr>
                <w:rFonts w:ascii="Times New Roman" w:hAnsi="Times New Roman" w:cs="Times New Roman"/>
                <w:spacing w:val="1"/>
              </w:rPr>
              <w:t>zlyhanie obličiek, proteinúria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 w:rsidRPr="008C293C">
              <w:rPr>
                <w:rFonts w:ascii="Times New Roman" w:hAnsi="Times New Roman" w:cs="Times New Roman"/>
              </w:rPr>
              <w:t>nefrotický syndróm</w:t>
            </w: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</w:tr>
      <w:tr w:rsidR="000258B8" w:rsidRPr="00F06EAA" w:rsidTr="009C3768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 w:rsidRPr="008C293C">
              <w:rPr>
                <w:rFonts w:ascii="Times New Roman" w:hAnsi="Times New Roman" w:cs="Times New Roman"/>
                <w:spacing w:val="-1"/>
              </w:rPr>
              <w:t>Poruchy reprodukčného systému a prsníkov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 w:rsidRPr="008C293C">
              <w:rPr>
                <w:rFonts w:ascii="Times New Roman" w:hAnsi="Times New Roman" w:cs="Times New Roman"/>
              </w:rPr>
              <w:t>erektilná dysfunkcia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 w:rsidRPr="008C293C">
              <w:rPr>
                <w:rFonts w:ascii="Times New Roman" w:hAnsi="Times New Roman" w:cs="Times New Roman"/>
              </w:rPr>
              <w:t>gynekomastia</w:t>
            </w: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</w:tr>
      <w:tr w:rsidR="000258B8" w:rsidRPr="00F06EAA" w:rsidTr="009C3768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>Celkové poruchy a reakcie v mieste podania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"/>
              </w:rPr>
              <w:t>únava, bolesť (vrátane bolesti úst, brucha, kostí, nádorová bolesť a hlavy), horúčka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asténia, ochorenie </w:t>
            </w:r>
            <w:r w:rsidRPr="00C22E50">
              <w:rPr>
                <w:rFonts w:ascii="Times New Roman" w:hAnsi="Times New Roman" w:cs="Times New Roman"/>
              </w:rPr>
              <w:t>podobné chrípke, zápal sliznice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</w:tr>
      <w:tr w:rsidR="000258B8" w:rsidRPr="00F06EAA" w:rsidTr="009C3768">
        <w:tc>
          <w:tcPr>
            <w:tcW w:w="1555" w:type="dxa"/>
            <w:tcBorders>
              <w:right w:val="single" w:sz="12" w:space="0" w:color="auto"/>
            </w:tcBorders>
            <w:shd w:val="clear" w:color="auto" w:fill="D9D9D9" w:themeFill="background1" w:themeFillShade="D9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  <w:spacing w:val="-1"/>
              </w:rPr>
            </w:pPr>
            <w:r>
              <w:rPr>
                <w:rFonts w:ascii="Times New Roman" w:hAnsi="Times New Roman" w:cs="Times New Roman"/>
                <w:spacing w:val="-4"/>
              </w:rPr>
              <w:t>Laboratórne a funkčné vyšetrenia</w:t>
            </w:r>
          </w:p>
        </w:tc>
        <w:tc>
          <w:tcPr>
            <w:tcW w:w="1701" w:type="dxa"/>
            <w:tcBorders>
              <w:left w:val="single" w:sz="12" w:space="0" w:color="auto"/>
            </w:tcBorders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1"/>
              </w:rPr>
              <w:t xml:space="preserve">znížená telesná hmotnosť, zvýšené hodnoty </w:t>
            </w:r>
            <w:r>
              <w:rPr>
                <w:rFonts w:ascii="Times New Roman" w:hAnsi="Times New Roman" w:cs="Times New Roman"/>
                <w:spacing w:val="-1"/>
              </w:rPr>
              <w:lastRenderedPageBreak/>
              <w:t>amylázy, zvýšené hodnoty lipázy</w:t>
            </w: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"/>
              </w:rPr>
              <w:lastRenderedPageBreak/>
              <w:t xml:space="preserve">prechodné zvýšenie </w:t>
            </w:r>
          </w:p>
          <w:p w:rsidR="000258B8" w:rsidRDefault="000258B8" w:rsidP="000258B8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transamináz </w:t>
            </w:r>
          </w:p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Mar>
              <w:left w:w="57" w:type="dxa"/>
              <w:right w:w="57" w:type="dxa"/>
            </w:tcMar>
          </w:tcPr>
          <w:p w:rsidR="000258B8" w:rsidRPr="00C22E50" w:rsidRDefault="000258B8" w:rsidP="000258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1"/>
              </w:rPr>
              <w:t xml:space="preserve">prechodné zvýšenie </w:t>
            </w:r>
            <w:r w:rsidRPr="00C22E50">
              <w:rPr>
                <w:rFonts w:ascii="Times New Roman" w:hAnsi="Times New Roman" w:cs="Times New Roman"/>
                <w:spacing w:val="1"/>
              </w:rPr>
              <w:t xml:space="preserve">alkalickej fosfatázy v krvi, </w:t>
            </w:r>
            <w:r w:rsidRPr="00C22E50">
              <w:rPr>
                <w:rFonts w:ascii="Times New Roman" w:hAnsi="Times New Roman" w:cs="Times New Roman"/>
                <w:spacing w:val="1"/>
              </w:rPr>
              <w:lastRenderedPageBreak/>
              <w:t>a</w:t>
            </w:r>
            <w:r w:rsidRPr="00C22E50">
              <w:rPr>
                <w:rFonts w:ascii="Times New Roman" w:hAnsi="Times New Roman" w:cs="Times New Roman"/>
              </w:rPr>
              <w:t xml:space="preserve">bnormálny INR, abnormálna hladina protrombínu </w:t>
            </w:r>
          </w:p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30" w:type="dxa"/>
            <w:tcMar>
              <w:left w:w="57" w:type="dxa"/>
              <w:right w:w="57" w:type="dxa"/>
            </w:tcMar>
          </w:tcPr>
          <w:p w:rsidR="000258B8" w:rsidRPr="00F06EAA" w:rsidRDefault="000258B8" w:rsidP="000258B8">
            <w:pPr>
              <w:rPr>
                <w:rFonts w:ascii="Times New Roman" w:hAnsi="Times New Roman" w:cs="Times New Roman"/>
              </w:rPr>
            </w:pPr>
          </w:p>
        </w:tc>
      </w:tr>
    </w:tbl>
    <w:p w:rsidR="00D234DD" w:rsidRPr="00F06EAA" w:rsidRDefault="00D234DD" w:rsidP="000258B8">
      <w:pPr>
        <w:pStyle w:val="Default"/>
        <w:rPr>
          <w:color w:val="auto"/>
          <w:sz w:val="22"/>
          <w:szCs w:val="22"/>
        </w:rPr>
      </w:pPr>
    </w:p>
    <w:p w:rsidR="00767BEF" w:rsidRDefault="005B7DBA" w:rsidP="00767BEF">
      <w:pPr>
        <w:pStyle w:val="CM3"/>
        <w:tabs>
          <w:tab w:val="left" w:pos="426"/>
        </w:tabs>
        <w:spacing w:line="240" w:lineRule="auto"/>
        <w:ind w:left="426" w:hanging="426"/>
        <w:rPr>
          <w:sz w:val="22"/>
          <w:szCs w:val="22"/>
        </w:rPr>
      </w:pPr>
      <w:r w:rsidRPr="005B7DBA">
        <w:rPr>
          <w:sz w:val="22"/>
          <w:szCs w:val="22"/>
        </w:rPr>
        <w:t xml:space="preserve">* </w:t>
      </w:r>
      <w:r w:rsidR="00767BEF">
        <w:rPr>
          <w:sz w:val="22"/>
          <w:szCs w:val="22"/>
        </w:rPr>
        <w:tab/>
      </w:r>
      <w:r w:rsidRPr="005B7DBA">
        <w:rPr>
          <w:sz w:val="22"/>
          <w:szCs w:val="22"/>
        </w:rPr>
        <w:t xml:space="preserve">Nežiaduce reakcie môžu mať život ohrozujúci alebo fatálny následok. Takéto príhody sa vyskytujú menej často alebo s ešte nižšou frekvenciou. </w:t>
      </w:r>
    </w:p>
    <w:p w:rsidR="00767BEF" w:rsidRDefault="005B7DBA" w:rsidP="00767BEF">
      <w:pPr>
        <w:pStyle w:val="CM3"/>
        <w:tabs>
          <w:tab w:val="left" w:pos="426"/>
        </w:tabs>
        <w:spacing w:line="240" w:lineRule="auto"/>
        <w:ind w:left="426" w:hanging="426"/>
        <w:rPr>
          <w:sz w:val="22"/>
          <w:szCs w:val="22"/>
        </w:rPr>
      </w:pPr>
      <w:r w:rsidRPr="005B7DBA">
        <w:rPr>
          <w:sz w:val="22"/>
          <w:szCs w:val="22"/>
        </w:rPr>
        <w:t xml:space="preserve">** </w:t>
      </w:r>
      <w:r w:rsidR="00767BEF">
        <w:rPr>
          <w:sz w:val="22"/>
          <w:szCs w:val="22"/>
        </w:rPr>
        <w:tab/>
      </w:r>
      <w:r w:rsidRPr="005B7DBA">
        <w:rPr>
          <w:sz w:val="22"/>
          <w:szCs w:val="22"/>
        </w:rPr>
        <w:t>Kožná reakcia ruka-noha zodpovedá v MedDRA syndrómu palmár</w:t>
      </w:r>
      <w:r w:rsidR="00767BEF">
        <w:rPr>
          <w:sz w:val="22"/>
          <w:szCs w:val="22"/>
        </w:rPr>
        <w:t>no-plantárnej erytrodyzestézie.</w:t>
      </w:r>
    </w:p>
    <w:p w:rsidR="005B7DBA" w:rsidRPr="005B7DBA" w:rsidRDefault="005B7DBA" w:rsidP="00767BEF">
      <w:pPr>
        <w:pStyle w:val="CM3"/>
        <w:tabs>
          <w:tab w:val="left" w:pos="426"/>
        </w:tabs>
        <w:spacing w:line="240" w:lineRule="auto"/>
        <w:ind w:left="426" w:hanging="426"/>
        <w:rPr>
          <w:sz w:val="22"/>
          <w:szCs w:val="22"/>
        </w:rPr>
      </w:pPr>
      <w:r w:rsidRPr="005B7DBA">
        <w:rPr>
          <w:sz w:val="22"/>
          <w:szCs w:val="22"/>
        </w:rPr>
        <w:t>°</w:t>
      </w:r>
      <w:r w:rsidR="00767BEF">
        <w:rPr>
          <w:sz w:val="22"/>
          <w:szCs w:val="22"/>
        </w:rPr>
        <w:tab/>
      </w:r>
      <w:r w:rsidRPr="005B7DBA">
        <w:rPr>
          <w:sz w:val="22"/>
          <w:szCs w:val="22"/>
        </w:rPr>
        <w:t xml:space="preserve">Prípady boli hlásené po uvedení lieku na trh. </w:t>
      </w:r>
    </w:p>
    <w:p w:rsidR="00767BEF" w:rsidRDefault="00767BEF" w:rsidP="005B7DBA">
      <w:pPr>
        <w:pStyle w:val="CM32"/>
        <w:rPr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  <w:u w:val="single"/>
        </w:rPr>
        <w:t xml:space="preserve">Ďalšie informácie o vybraných nežiaducich reakciách lieku </w:t>
      </w:r>
    </w:p>
    <w:p w:rsidR="00767BEF" w:rsidRDefault="00767BEF" w:rsidP="005B7DBA">
      <w:pPr>
        <w:pStyle w:val="CM3"/>
        <w:spacing w:line="240" w:lineRule="auto"/>
        <w:rPr>
          <w:i/>
          <w:iCs/>
          <w:sz w:val="22"/>
          <w:szCs w:val="22"/>
        </w:rPr>
      </w:pPr>
    </w:p>
    <w:p w:rsidR="005B7DBA" w:rsidRPr="005B7DBA" w:rsidRDefault="005B7DBA" w:rsidP="005B7DBA">
      <w:pPr>
        <w:pStyle w:val="CM3"/>
        <w:spacing w:line="240" w:lineRule="auto"/>
        <w:rPr>
          <w:sz w:val="22"/>
          <w:szCs w:val="22"/>
        </w:rPr>
      </w:pPr>
      <w:r w:rsidRPr="005B7DBA">
        <w:rPr>
          <w:i/>
          <w:iCs/>
          <w:sz w:val="22"/>
          <w:szCs w:val="22"/>
        </w:rPr>
        <w:t xml:space="preserve">Kongestívne zlyhanie srdca </w:t>
      </w:r>
    </w:p>
    <w:p w:rsidR="00634A7E" w:rsidRDefault="005B7DBA" w:rsidP="00634A7E">
      <w:pPr>
        <w:pStyle w:val="CM3"/>
        <w:spacing w:line="240" w:lineRule="auto"/>
        <w:rPr>
          <w:sz w:val="22"/>
          <w:szCs w:val="22"/>
        </w:rPr>
      </w:pPr>
      <w:r w:rsidRPr="005B7DBA">
        <w:rPr>
          <w:sz w:val="22"/>
          <w:szCs w:val="22"/>
        </w:rPr>
        <w:t xml:space="preserve">V klinických skúšaniach sponzorovaných spoločnosťou sa hlásilo kongestívne zlyhanie srdca ako nežiaduca udalosť u 1,9 % pacientov liečených sorafenibom (N=2276). V skúšaní 11213 (RCC) boli nežiaduce udalosti zodpovedajúce kongestívnemu zlyhaniu srdca hlásené u 1,7 % tých, ktorí sa liečili sorafenibom a 0,7 % užívajúcich placebo. V skúšaní 100554 (HCC) sa tieto prípady hlásili u 0,99 % tých, ktorí sa liečili sorafenibom a 1,1 % užívajúcich placebo. </w:t>
      </w:r>
    </w:p>
    <w:p w:rsidR="00634A7E" w:rsidRDefault="00634A7E" w:rsidP="00634A7E">
      <w:pPr>
        <w:pStyle w:val="CM3"/>
        <w:spacing w:line="240" w:lineRule="auto"/>
        <w:rPr>
          <w:sz w:val="22"/>
          <w:szCs w:val="22"/>
        </w:rPr>
      </w:pPr>
    </w:p>
    <w:p w:rsidR="005B7DBA" w:rsidRPr="005B7DBA" w:rsidRDefault="005B7DBA" w:rsidP="00634A7E">
      <w:pPr>
        <w:pStyle w:val="CM3"/>
        <w:spacing w:line="240" w:lineRule="auto"/>
        <w:rPr>
          <w:sz w:val="22"/>
          <w:szCs w:val="22"/>
        </w:rPr>
      </w:pPr>
      <w:r w:rsidRPr="005B7DBA">
        <w:rPr>
          <w:i/>
          <w:iCs/>
          <w:sz w:val="22"/>
          <w:szCs w:val="22"/>
        </w:rPr>
        <w:t xml:space="preserve">Ďalšie informácie o osobitných skupinách pacientov </w:t>
      </w:r>
    </w:p>
    <w:p w:rsidR="005B7DBA" w:rsidRPr="005B7DBA" w:rsidRDefault="005B7DBA" w:rsidP="005B7DBA">
      <w:pPr>
        <w:pStyle w:val="Default"/>
        <w:rPr>
          <w:color w:val="auto"/>
          <w:sz w:val="22"/>
          <w:szCs w:val="22"/>
        </w:rPr>
      </w:pPr>
      <w:r w:rsidRPr="005B7DBA">
        <w:rPr>
          <w:color w:val="auto"/>
          <w:sz w:val="22"/>
          <w:szCs w:val="22"/>
        </w:rPr>
        <w:t xml:space="preserve">V klinických skúšaniach sa niektoré nežiaduce liekové reakcie ako je kožná reakcia ruka-noha, </w:t>
      </w:r>
    </w:p>
    <w:p w:rsidR="005B7DBA" w:rsidRPr="005B7DBA" w:rsidRDefault="005B7DBA" w:rsidP="00767BEF">
      <w:pPr>
        <w:pStyle w:val="Default"/>
        <w:rPr>
          <w:sz w:val="22"/>
          <w:szCs w:val="22"/>
        </w:rPr>
      </w:pPr>
      <w:r w:rsidRPr="005B7DBA">
        <w:rPr>
          <w:color w:val="auto"/>
          <w:sz w:val="22"/>
          <w:szCs w:val="22"/>
        </w:rPr>
        <w:t xml:space="preserve">hnačka, alopécia, znížená telesná hmotnosť, hypertenzia, hypokalciémia </w:t>
      </w:r>
      <w:r w:rsidRPr="005B7DBA">
        <w:rPr>
          <w:sz w:val="22"/>
          <w:szCs w:val="22"/>
        </w:rPr>
        <w:t>a</w:t>
      </w:r>
      <w:r w:rsidR="00767BEF">
        <w:rPr>
          <w:sz w:val="22"/>
          <w:szCs w:val="22"/>
        </w:rPr>
        <w:t> </w:t>
      </w:r>
      <w:r w:rsidRPr="005B7DBA">
        <w:rPr>
          <w:sz w:val="22"/>
          <w:szCs w:val="22"/>
        </w:rPr>
        <w:t>keratoakantóm/</w:t>
      </w:r>
      <w:r w:rsidR="00EE19B6">
        <w:rPr>
          <w:sz w:val="22"/>
          <w:szCs w:val="22"/>
        </w:rPr>
        <w:t>skvamo</w:t>
      </w:r>
      <w:r w:rsidRPr="005B7DBA">
        <w:rPr>
          <w:sz w:val="22"/>
          <w:szCs w:val="22"/>
        </w:rPr>
        <w:t>celulárny karcinóm kože vyskytovali s podstatne vyššou frekvenciou u pacientov s diferencovaným karcinómom štítnej žľazy v porovnaní s pacientmi v klin</w:t>
      </w:r>
      <w:r w:rsidR="00767BEF">
        <w:rPr>
          <w:sz w:val="22"/>
          <w:szCs w:val="22"/>
        </w:rPr>
        <w:t xml:space="preserve">ických skúšaniach </w:t>
      </w:r>
      <w:r w:rsidR="00EE19B6">
        <w:rPr>
          <w:sz w:val="22"/>
          <w:szCs w:val="22"/>
        </w:rPr>
        <w:t>s</w:t>
      </w:r>
      <w:r w:rsidR="00767BEF">
        <w:rPr>
          <w:sz w:val="22"/>
          <w:szCs w:val="22"/>
        </w:rPr>
        <w:t xml:space="preserve"> karcinóm</w:t>
      </w:r>
      <w:r w:rsidR="00EE19B6">
        <w:rPr>
          <w:sz w:val="22"/>
          <w:szCs w:val="22"/>
        </w:rPr>
        <w:t>om</w:t>
      </w:r>
      <w:r w:rsidR="00767BEF">
        <w:rPr>
          <w:sz w:val="22"/>
          <w:szCs w:val="22"/>
        </w:rPr>
        <w:t xml:space="preserve"> </w:t>
      </w:r>
      <w:r w:rsidRPr="005B7DBA">
        <w:rPr>
          <w:sz w:val="22"/>
          <w:szCs w:val="22"/>
        </w:rPr>
        <w:t>renálnych buniek alebo hepatocelulárn</w:t>
      </w:r>
      <w:r w:rsidR="00EE19B6">
        <w:rPr>
          <w:sz w:val="22"/>
          <w:szCs w:val="22"/>
        </w:rPr>
        <w:t>ym</w:t>
      </w:r>
      <w:r w:rsidRPr="005B7DBA">
        <w:rPr>
          <w:sz w:val="22"/>
          <w:szCs w:val="22"/>
        </w:rPr>
        <w:t xml:space="preserve"> karcinóm</w:t>
      </w:r>
      <w:r w:rsidR="00EE19B6">
        <w:rPr>
          <w:sz w:val="22"/>
          <w:szCs w:val="22"/>
        </w:rPr>
        <w:t>om</w:t>
      </w:r>
      <w:r w:rsidRPr="005B7DBA">
        <w:rPr>
          <w:sz w:val="22"/>
          <w:szCs w:val="22"/>
        </w:rPr>
        <w:t xml:space="preserve">. </w:t>
      </w:r>
    </w:p>
    <w:p w:rsidR="00634A7E" w:rsidRDefault="00634A7E" w:rsidP="005B7DBA">
      <w:pPr>
        <w:pStyle w:val="CM32"/>
        <w:rPr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sz w:val="22"/>
          <w:szCs w:val="22"/>
        </w:rPr>
      </w:pPr>
      <w:r w:rsidRPr="00526A85">
        <w:rPr>
          <w:sz w:val="22"/>
          <w:szCs w:val="22"/>
          <w:u w:val="single"/>
        </w:rPr>
        <w:t>Abnormality laboratórnych testov u pacientov s HCC (Skúšanie 3) a RCC (Skúšanie 1)</w:t>
      </w:r>
      <w:r w:rsidRPr="005B7DBA">
        <w:rPr>
          <w:sz w:val="22"/>
          <w:szCs w:val="22"/>
          <w:u w:val="single"/>
        </w:rPr>
        <w:t xml:space="preserve"> </w:t>
      </w:r>
    </w:p>
    <w:p w:rsidR="00526A85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Veľmi často sa hlásila zvýšená lipáza a amyláza. V Skúšaní 1 (RCC) a v Skúšaní 3 (HCC) sa zvýšenia lipázy </w:t>
      </w:r>
      <w:r w:rsidR="00D43143">
        <w:rPr>
          <w:sz w:val="22"/>
          <w:szCs w:val="22"/>
        </w:rPr>
        <w:t>CTCAE stupeň 3 alebo 4</w:t>
      </w:r>
      <w:r w:rsidR="00096E96" w:rsidRPr="00096E96">
        <w:rPr>
          <w:sz w:val="22"/>
          <w:szCs w:val="22"/>
        </w:rPr>
        <w:t xml:space="preserve"> </w:t>
      </w:r>
      <w:r w:rsidRPr="005B7DBA">
        <w:rPr>
          <w:sz w:val="22"/>
          <w:szCs w:val="22"/>
        </w:rPr>
        <w:t xml:space="preserve">prejavili u 11 % a 9 % pacientov v skupine so sorafenibom oproti 7 % a 9 % pacientov v skupine s placebom. V Skúšaní 1 a v Skúšaní 3 sa zvýšenia amylázy </w:t>
      </w:r>
      <w:r w:rsidR="00D43143">
        <w:rPr>
          <w:sz w:val="22"/>
          <w:szCs w:val="22"/>
        </w:rPr>
        <w:t>CTCAE stupeň 3 alebo 4</w:t>
      </w:r>
      <w:r w:rsidR="00922A10" w:rsidRPr="00922A10">
        <w:rPr>
          <w:sz w:val="22"/>
          <w:szCs w:val="22"/>
        </w:rPr>
        <w:t xml:space="preserve"> </w:t>
      </w:r>
      <w:r w:rsidRPr="005B7DBA">
        <w:rPr>
          <w:sz w:val="22"/>
          <w:szCs w:val="22"/>
        </w:rPr>
        <w:t>hlásili u 1 % a 2 % pacientov v skupine so sorafenibom oproti 3 % pacientov v každej skupine s placebom. Klinická pankreatitída sa hlásila u 2 zo 451 pacientov liečených sorafenibom (CTCAE stupeň 4) v Skúšaní 1, u 1 z 297 pacientov liečených sorafenibom v Skúšaní 3 (CTCAE stupeň 2) a 1 zo 451 pacientov (CTCAE stupeň 2) v skupine s placebom v Skúšaní 1.</w:t>
      </w:r>
    </w:p>
    <w:p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 </w:t>
      </w:r>
    </w:p>
    <w:p w:rsid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>V Skúšaní 1 a v Skúšaní 3 bola veľmi častým laboratórnym nálezom hypofosfatémia pozorovaná u</w:t>
      </w:r>
      <w:r w:rsidR="00526A85">
        <w:rPr>
          <w:sz w:val="22"/>
          <w:szCs w:val="22"/>
        </w:rPr>
        <w:t> </w:t>
      </w:r>
      <w:r w:rsidRPr="005B7DBA">
        <w:rPr>
          <w:sz w:val="22"/>
          <w:szCs w:val="22"/>
        </w:rPr>
        <w:t>45</w:t>
      </w:r>
      <w:r w:rsidR="00526A85">
        <w:rPr>
          <w:sz w:val="22"/>
          <w:szCs w:val="22"/>
        </w:rPr>
        <w:t> </w:t>
      </w:r>
      <w:r w:rsidRPr="005B7DBA">
        <w:rPr>
          <w:sz w:val="22"/>
          <w:szCs w:val="22"/>
        </w:rPr>
        <w:t xml:space="preserve">% a 35 % pacientov liečených sorafenibom oproti 12 % a 11 % pacientov s placebom. Hypofosfatémia CTCAE stupeň 3 (1-2 mg/dl) sa v Skúšaní 1 vyskytla u 13 % pacientov liečených sorafenibom a u 3 % pacientov v skupine s placebom, v Skúšaní 3 u 11 % pacientov liečených sorafenibom a u 2 % pacientov v skupine s placebom. V Skúšaní 1 neboli hlásené žiadne prípady hypofosfatémie CTCAE stupeň 4 (&lt;1 mg/dl) ani u pacientov so sorafenibom, ani s placebom a 1 prípad v skupine s placebom v Skúšaní 3. Etiológia hypofosfatémie súvisiacej so sorafenibom nie je známa. </w:t>
      </w:r>
    </w:p>
    <w:p w:rsidR="00526A85" w:rsidRPr="00526A85" w:rsidRDefault="00526A85" w:rsidP="00526A85">
      <w:pPr>
        <w:pStyle w:val="Default"/>
      </w:pPr>
    </w:p>
    <w:p w:rsidR="005B7DBA" w:rsidRPr="005B7DBA" w:rsidRDefault="00B858B1" w:rsidP="005B7DBA">
      <w:pPr>
        <w:pStyle w:val="CM32"/>
        <w:rPr>
          <w:sz w:val="22"/>
          <w:szCs w:val="22"/>
        </w:rPr>
      </w:pPr>
      <w:r>
        <w:rPr>
          <w:sz w:val="22"/>
          <w:szCs w:val="22"/>
        </w:rPr>
        <w:t xml:space="preserve">Laboratórne abnormality </w:t>
      </w:r>
      <w:r w:rsidR="005B7DBA" w:rsidRPr="005B7DBA">
        <w:rPr>
          <w:sz w:val="22"/>
          <w:szCs w:val="22"/>
        </w:rPr>
        <w:t xml:space="preserve">CTCAE stupeň 3 alebo 4 sa vyskytli u ≥5 % pacientov liečených sorafenibom vrátane lymfopénie a neutropénie. </w:t>
      </w:r>
    </w:p>
    <w:p w:rsidR="00634A7E" w:rsidRDefault="00634A7E" w:rsidP="005B7DBA">
      <w:pPr>
        <w:pStyle w:val="CM32"/>
        <w:rPr>
          <w:sz w:val="22"/>
          <w:szCs w:val="22"/>
        </w:rPr>
      </w:pPr>
    </w:p>
    <w:p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>V Skúšaní 1 a v Skúšaní 3 sa hlásila hypokalciémia u 12 % a 26,5 % pacientov liečených sorafenibom oproti 7,5 % a 14,8 % pacientov s placebom. Väčšina hlásení hypokalciémie boli nízkeho stupňa (CTCAE stupňa 1 a 2). Hypokalciémia CTCAE stupňa 3 (6,0-7,0 mg/dl) sa v Skúšaní 1 vyskytla u 1,1</w:t>
      </w:r>
      <w:r w:rsidR="00526A85">
        <w:rPr>
          <w:sz w:val="22"/>
          <w:szCs w:val="22"/>
        </w:rPr>
        <w:t> </w:t>
      </w:r>
      <w:r w:rsidRPr="005B7DBA">
        <w:rPr>
          <w:sz w:val="22"/>
          <w:szCs w:val="22"/>
        </w:rPr>
        <w:t>% pacientov liečených sorafenibom a u 0,2 % pacientov v skupine s placebom, v Skúšaní 3 u 1,8</w:t>
      </w:r>
      <w:r w:rsidR="00AC1FA4">
        <w:rPr>
          <w:sz w:val="22"/>
          <w:szCs w:val="22"/>
        </w:rPr>
        <w:t> </w:t>
      </w:r>
      <w:r w:rsidRPr="005B7DBA">
        <w:rPr>
          <w:sz w:val="22"/>
          <w:szCs w:val="22"/>
        </w:rPr>
        <w:t xml:space="preserve">% pacientov liečených sorafenibom a u 1,1 % pacientov v skupine s placebom. Hypokalciémia CTCAE stupňa 4 (&lt;6,0 mg/dl) sa v Skúšaní 1 vyskytla u 1,1 % pacientov liečených sorafenibom a u </w:t>
      </w:r>
      <w:r w:rsidRPr="005B7DBA">
        <w:rPr>
          <w:sz w:val="22"/>
          <w:szCs w:val="22"/>
        </w:rPr>
        <w:lastRenderedPageBreak/>
        <w:t xml:space="preserve">0,5 % pacientov v skupine s placebom, v </w:t>
      </w:r>
      <w:r w:rsidR="00AC1FA4" w:rsidRPr="00AC1FA4">
        <w:rPr>
          <w:sz w:val="22"/>
          <w:szCs w:val="22"/>
        </w:rPr>
        <w:t xml:space="preserve">Skúšaní </w:t>
      </w:r>
      <w:r w:rsidRPr="005B7DBA">
        <w:rPr>
          <w:sz w:val="22"/>
          <w:szCs w:val="22"/>
        </w:rPr>
        <w:t xml:space="preserve">3 u 0,4 % pacientov liečených sorafenibom a u 0 % pacientov v skupine s placebom. Etiológia hypokalciémie súvisiacej so sorafenibom nie je známa. </w:t>
      </w:r>
    </w:p>
    <w:p w:rsidR="00634A7E" w:rsidRDefault="00634A7E" w:rsidP="005B7DBA">
      <w:pPr>
        <w:pStyle w:val="CM32"/>
        <w:rPr>
          <w:sz w:val="22"/>
          <w:szCs w:val="22"/>
        </w:rPr>
      </w:pPr>
    </w:p>
    <w:p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V Skúšaniach 1 a 3 sa pozorovali znížené hladiny draslíka u 5,4 % a 9,5 % pacientov liečených sorafenibom v porovnaní s 0,7 % a 5,9 % pacientov s placebom, v uvedenom poradí. Väčšina hlásení hypokaliémie boli nízkeho stupňa (CTCAE stupňa 1). V týchto skúšaniach sa hypokaliémia CTCAE stupňa 3 vyskytovala u 1,1 % a 0,4 % pacientov liečených sorafenibom a u 0,2 % a 0,7 % pacientov v skupine s placebom. Neboli hlásené žiadne prípady hypokaliémie CTCAE stupňa 4. </w:t>
      </w:r>
    </w:p>
    <w:p w:rsidR="00634A7E" w:rsidRPr="00526A85" w:rsidRDefault="00634A7E" w:rsidP="00526A85">
      <w:pPr>
        <w:pStyle w:val="CM32"/>
        <w:rPr>
          <w:sz w:val="22"/>
          <w:szCs w:val="22"/>
          <w:u w:val="single"/>
        </w:rPr>
      </w:pPr>
    </w:p>
    <w:p w:rsidR="00526A85" w:rsidRPr="00526A85" w:rsidRDefault="00526A85" w:rsidP="00526A85">
      <w:pPr>
        <w:suppressLineNumber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</w:rPr>
      </w:pPr>
      <w:r w:rsidRPr="00526A85">
        <w:rPr>
          <w:rFonts w:ascii="Times New Roman" w:hAnsi="Times New Roman" w:cs="Times New Roman"/>
          <w:noProof/>
          <w:u w:val="single"/>
        </w:rPr>
        <w:t>Hlásenie podozrení na nežiaduce reakcie</w:t>
      </w:r>
    </w:p>
    <w:p w:rsidR="00526A85" w:rsidRPr="00526A85" w:rsidRDefault="00526A85" w:rsidP="00526A85">
      <w:pPr>
        <w:suppressLineNumber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</w:rPr>
      </w:pPr>
      <w:r w:rsidRPr="00526A85">
        <w:rPr>
          <w:rFonts w:ascii="Times New Roman" w:hAnsi="Times New Roman" w:cs="Times New Roman"/>
          <w:noProof/>
        </w:rPr>
        <w:t>Hlásenie podozrení na nežiaduce reakcie po registrácii lieku je dôležité.</w:t>
      </w:r>
      <w:r w:rsidRPr="00526A85">
        <w:rPr>
          <w:rFonts w:ascii="Times New Roman" w:hAnsi="Times New Roman" w:cs="Times New Roman"/>
        </w:rPr>
        <w:t xml:space="preserve"> </w:t>
      </w:r>
      <w:r w:rsidRPr="00526A85">
        <w:rPr>
          <w:rFonts w:ascii="Times New Roman" w:hAnsi="Times New Roman" w:cs="Times New Roman"/>
          <w:noProof/>
        </w:rPr>
        <w:t>Umožňuje priebežné monitorovanie pomeru prínosu a rizika lieku.</w:t>
      </w:r>
      <w:r w:rsidRPr="00526A85">
        <w:rPr>
          <w:rFonts w:ascii="Times New Roman" w:hAnsi="Times New Roman" w:cs="Times New Roman"/>
        </w:rPr>
        <w:t xml:space="preserve"> Od </w:t>
      </w:r>
      <w:r w:rsidRPr="00526A85">
        <w:rPr>
          <w:rFonts w:ascii="Times New Roman" w:hAnsi="Times New Roman" w:cs="Times New Roman"/>
          <w:noProof/>
        </w:rPr>
        <w:t xml:space="preserve">zdravotníckych pracovníkov sa vyžaduje, aby hlásili akékoľvek podozrenia na nežiaduce reakcie na </w:t>
      </w:r>
      <w:r w:rsidRPr="00526A85">
        <w:rPr>
          <w:rFonts w:ascii="Times New Roman" w:hAnsi="Times New Roman" w:cs="Times New Roman"/>
          <w:noProof/>
          <w:highlight w:val="lightGray"/>
        </w:rPr>
        <w:t>národné centrum hlásenia uvedené v </w:t>
      </w:r>
      <w:hyperlink r:id="rId7" w:history="1">
        <w:r w:rsidRPr="00526A85">
          <w:rPr>
            <w:rStyle w:val="Hypertextovprepojenie"/>
            <w:rFonts w:ascii="Times New Roman" w:hAnsi="Times New Roman" w:cs="Times New Roman"/>
            <w:noProof/>
            <w:highlight w:val="lightGray"/>
          </w:rPr>
          <w:t>Prílohe V</w:t>
        </w:r>
      </w:hyperlink>
      <w:r w:rsidRPr="00526A85">
        <w:rPr>
          <w:rFonts w:ascii="Times New Roman" w:hAnsi="Times New Roman" w:cs="Times New Roman"/>
          <w:noProof/>
        </w:rPr>
        <w:t>.</w:t>
      </w:r>
    </w:p>
    <w:p w:rsidR="00634A7E" w:rsidRPr="00526A85" w:rsidRDefault="00634A7E" w:rsidP="00526A85">
      <w:pPr>
        <w:pStyle w:val="CM32"/>
        <w:rPr>
          <w:b/>
          <w:bCs/>
          <w:color w:val="000000"/>
          <w:sz w:val="22"/>
          <w:szCs w:val="22"/>
        </w:rPr>
      </w:pPr>
    </w:p>
    <w:p w:rsidR="005B7DBA" w:rsidRPr="005B7DBA" w:rsidRDefault="005B7DBA" w:rsidP="00526A85">
      <w:pPr>
        <w:pStyle w:val="CM32"/>
        <w:tabs>
          <w:tab w:val="left" w:pos="567"/>
        </w:tabs>
        <w:rPr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4.9 </w:t>
      </w:r>
      <w:r w:rsidR="00526A85">
        <w:rPr>
          <w:b/>
          <w:bCs/>
          <w:color w:val="000000"/>
          <w:sz w:val="22"/>
          <w:szCs w:val="22"/>
        </w:rPr>
        <w:tab/>
      </w:r>
      <w:r w:rsidRPr="005B7DBA">
        <w:rPr>
          <w:b/>
          <w:bCs/>
          <w:color w:val="000000"/>
          <w:sz w:val="22"/>
          <w:szCs w:val="22"/>
        </w:rPr>
        <w:t xml:space="preserve">Predávkovanie </w:t>
      </w:r>
    </w:p>
    <w:p w:rsidR="00EE19B6" w:rsidRDefault="00EE19B6" w:rsidP="005B7DBA">
      <w:pPr>
        <w:pStyle w:val="CM33"/>
        <w:rPr>
          <w:color w:val="000000"/>
          <w:sz w:val="22"/>
          <w:szCs w:val="22"/>
        </w:rPr>
      </w:pPr>
    </w:p>
    <w:p w:rsidR="005B7DBA" w:rsidRPr="005B7DBA" w:rsidRDefault="005B7DBA" w:rsidP="005B7DBA">
      <w:pPr>
        <w:pStyle w:val="CM33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Neexistuje špecifická liečba predávkovania sorafenibom. Najvyššia klinicky študovaná dávka sorafenibu je 800 mg dvakrát denne. Nežiaduce udalosti pozorované pri tejto dávke boli predovšetkým hnačka a dermatologické príhody. V prípade predpokladaného predávkovania </w:t>
      </w:r>
      <w:r w:rsidR="00586EC5">
        <w:rPr>
          <w:color w:val="000000"/>
          <w:sz w:val="22"/>
          <w:szCs w:val="22"/>
        </w:rPr>
        <w:t xml:space="preserve">sa </w:t>
      </w:r>
      <w:r w:rsidRPr="005B7DBA">
        <w:rPr>
          <w:color w:val="000000"/>
          <w:sz w:val="22"/>
          <w:szCs w:val="22"/>
        </w:rPr>
        <w:t xml:space="preserve">má </w:t>
      </w:r>
      <w:r w:rsidR="00586EC5">
        <w:rPr>
          <w:color w:val="000000"/>
          <w:sz w:val="22"/>
          <w:szCs w:val="22"/>
        </w:rPr>
        <w:t>liečba sorafenibom prerušiť</w:t>
      </w:r>
      <w:r w:rsidRPr="005B7DBA">
        <w:rPr>
          <w:color w:val="000000"/>
          <w:sz w:val="22"/>
          <w:szCs w:val="22"/>
        </w:rPr>
        <w:t xml:space="preserve"> a v prípade potreby začať podpornú starostlivosť. </w:t>
      </w:r>
    </w:p>
    <w:p w:rsidR="00634A7E" w:rsidRDefault="00634A7E" w:rsidP="005B7DBA">
      <w:pPr>
        <w:pStyle w:val="CM32"/>
        <w:rPr>
          <w:b/>
          <w:bCs/>
          <w:color w:val="000000"/>
          <w:sz w:val="22"/>
          <w:szCs w:val="22"/>
        </w:rPr>
      </w:pPr>
    </w:p>
    <w:p w:rsidR="00634A7E" w:rsidRDefault="00634A7E" w:rsidP="005B7DBA">
      <w:pPr>
        <w:pStyle w:val="CM32"/>
        <w:rPr>
          <w:b/>
          <w:bCs/>
          <w:color w:val="000000"/>
          <w:sz w:val="22"/>
          <w:szCs w:val="22"/>
        </w:rPr>
      </w:pPr>
    </w:p>
    <w:p w:rsidR="005B7DBA" w:rsidRPr="005B7DBA" w:rsidRDefault="005B7DBA" w:rsidP="00526A85">
      <w:pPr>
        <w:pStyle w:val="CM32"/>
        <w:tabs>
          <w:tab w:val="left" w:pos="567"/>
        </w:tabs>
        <w:rPr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5. </w:t>
      </w:r>
      <w:r w:rsidR="00526A85">
        <w:rPr>
          <w:b/>
          <w:bCs/>
          <w:color w:val="000000"/>
          <w:sz w:val="22"/>
          <w:szCs w:val="22"/>
        </w:rPr>
        <w:tab/>
      </w:r>
      <w:r w:rsidRPr="005B7DBA">
        <w:rPr>
          <w:b/>
          <w:bCs/>
          <w:color w:val="000000"/>
          <w:sz w:val="22"/>
          <w:szCs w:val="22"/>
        </w:rPr>
        <w:t xml:space="preserve">FARMAKOLOGICKÉ VLASTNOSTI </w:t>
      </w:r>
    </w:p>
    <w:p w:rsidR="00634A7E" w:rsidRDefault="00634A7E" w:rsidP="005B7DBA">
      <w:pPr>
        <w:pStyle w:val="CM32"/>
        <w:rPr>
          <w:b/>
          <w:bCs/>
          <w:color w:val="000000"/>
          <w:sz w:val="22"/>
          <w:szCs w:val="22"/>
        </w:rPr>
      </w:pPr>
    </w:p>
    <w:p w:rsidR="005B7DBA" w:rsidRPr="005B7DBA" w:rsidRDefault="005B7DBA" w:rsidP="00526A85">
      <w:pPr>
        <w:pStyle w:val="CM32"/>
        <w:tabs>
          <w:tab w:val="left" w:pos="567"/>
        </w:tabs>
        <w:rPr>
          <w:color w:val="000000"/>
          <w:sz w:val="22"/>
          <w:szCs w:val="22"/>
        </w:rPr>
      </w:pPr>
      <w:r w:rsidRPr="005B7DBA">
        <w:rPr>
          <w:b/>
          <w:bCs/>
          <w:color w:val="000000"/>
          <w:sz w:val="22"/>
          <w:szCs w:val="22"/>
        </w:rPr>
        <w:t xml:space="preserve">5.1 </w:t>
      </w:r>
      <w:r w:rsidR="00526A85">
        <w:rPr>
          <w:b/>
          <w:bCs/>
          <w:color w:val="000000"/>
          <w:sz w:val="22"/>
          <w:szCs w:val="22"/>
        </w:rPr>
        <w:tab/>
      </w:r>
      <w:r w:rsidRPr="005B7DBA">
        <w:rPr>
          <w:b/>
          <w:bCs/>
          <w:color w:val="000000"/>
          <w:sz w:val="22"/>
          <w:szCs w:val="22"/>
        </w:rPr>
        <w:t xml:space="preserve">Farmakodynamické vlastnosti </w:t>
      </w:r>
    </w:p>
    <w:p w:rsidR="00526A85" w:rsidRDefault="00526A85" w:rsidP="005B7DBA">
      <w:pPr>
        <w:pStyle w:val="CM32"/>
        <w:rPr>
          <w:color w:val="000000"/>
          <w:sz w:val="22"/>
          <w:szCs w:val="22"/>
        </w:rPr>
      </w:pPr>
    </w:p>
    <w:p w:rsid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Farmakoterapeutická skupina: Cytostatiká, inhibítory proteínkinázy, ATC kód: L01XE05 </w:t>
      </w:r>
    </w:p>
    <w:p w:rsidR="00526A85" w:rsidRPr="00526A85" w:rsidRDefault="00526A85" w:rsidP="00526A85">
      <w:pPr>
        <w:pStyle w:val="Default"/>
      </w:pPr>
    </w:p>
    <w:p w:rsidR="00526A85" w:rsidRDefault="005B7DBA" w:rsidP="00526A85">
      <w:pPr>
        <w:pStyle w:val="CM8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Sorafenib je multikinázový inhibítor, u ktorého sú preukázané antiproliferatívne a antiangiogenetické vlastnosti </w:t>
      </w:r>
      <w:r w:rsidRPr="005B7DBA">
        <w:rPr>
          <w:i/>
          <w:iCs/>
          <w:color w:val="000000"/>
          <w:sz w:val="22"/>
          <w:szCs w:val="22"/>
        </w:rPr>
        <w:t xml:space="preserve">in vitro </w:t>
      </w:r>
      <w:r w:rsidRPr="005B7DBA">
        <w:rPr>
          <w:color w:val="000000"/>
          <w:sz w:val="22"/>
          <w:szCs w:val="22"/>
        </w:rPr>
        <w:t xml:space="preserve">a </w:t>
      </w:r>
      <w:r w:rsidRPr="005B7DBA">
        <w:rPr>
          <w:i/>
          <w:iCs/>
          <w:color w:val="000000"/>
          <w:sz w:val="22"/>
          <w:szCs w:val="22"/>
        </w:rPr>
        <w:t>in vivo</w:t>
      </w:r>
      <w:r w:rsidRPr="005B7DBA">
        <w:rPr>
          <w:color w:val="000000"/>
          <w:sz w:val="22"/>
          <w:szCs w:val="22"/>
        </w:rPr>
        <w:t xml:space="preserve">. </w:t>
      </w:r>
    </w:p>
    <w:p w:rsidR="00526A85" w:rsidRDefault="00526A85" w:rsidP="00526A85">
      <w:pPr>
        <w:pStyle w:val="CM8"/>
        <w:spacing w:line="240" w:lineRule="auto"/>
        <w:rPr>
          <w:color w:val="000000"/>
          <w:sz w:val="22"/>
          <w:szCs w:val="22"/>
        </w:rPr>
      </w:pPr>
    </w:p>
    <w:p w:rsidR="005B7DBA" w:rsidRPr="005B7DBA" w:rsidRDefault="005B7DBA" w:rsidP="00526A85">
      <w:pPr>
        <w:pStyle w:val="CM8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Mechanizmus účinku a farmakodynamické účinky </w:t>
      </w:r>
    </w:p>
    <w:p w:rsidR="005B7DBA" w:rsidRPr="005B7DBA" w:rsidRDefault="005B7DBA" w:rsidP="005B7DBA">
      <w:pPr>
        <w:pStyle w:val="Default"/>
        <w:rPr>
          <w:sz w:val="22"/>
          <w:szCs w:val="22"/>
        </w:rPr>
      </w:pPr>
      <w:r w:rsidRPr="005B7DBA">
        <w:rPr>
          <w:sz w:val="22"/>
          <w:szCs w:val="22"/>
        </w:rPr>
        <w:t xml:space="preserve">Sorafenib je multikinázový inhibítor, ktorý </w:t>
      </w:r>
      <w:r w:rsidRPr="005B7DBA">
        <w:rPr>
          <w:i/>
          <w:iCs/>
          <w:sz w:val="22"/>
          <w:szCs w:val="22"/>
        </w:rPr>
        <w:t xml:space="preserve">in vitro </w:t>
      </w:r>
      <w:r w:rsidRPr="005B7DBA">
        <w:rPr>
          <w:sz w:val="22"/>
          <w:szCs w:val="22"/>
        </w:rPr>
        <w:t xml:space="preserve">znižuje proliferáciu nádorových buniek. U myší </w:t>
      </w:r>
    </w:p>
    <w:p w:rsidR="005B7DBA" w:rsidRPr="005B7DBA" w:rsidRDefault="005B7DBA" w:rsidP="005B7DBA">
      <w:pPr>
        <w:pStyle w:val="CM3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bez týmusu sorafenib inhibuje rast nádorov širokého spektra ľudských nádorových xenoimplantátov súčasne s redukciou angiogenézy nádorov. Sorafenib inhibuje aktivitu cieľových objektov prítomných </w:t>
      </w:r>
    </w:p>
    <w:p w:rsidR="00526A85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>v nádorových bunkách (CRAF, BRAF, V600 BRAF, c-KIT a FLT-3) a v cievnom systéme nádoru (CRAF, VEGFR-2, VEGFR-3 a PDGFR-ß). RAF kinázy sú seríno</w:t>
      </w:r>
      <w:r w:rsidR="00526A85">
        <w:rPr>
          <w:color w:val="000000"/>
          <w:sz w:val="22"/>
          <w:szCs w:val="22"/>
        </w:rPr>
        <w:t xml:space="preserve">vé/treonínové kinázy, zatiaľ čo </w:t>
      </w: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c-KIT, FLT-3, VEGFR-2, VEGFR-3 a PDGFR-ß sú receptory tyrozínkináz. </w:t>
      </w:r>
    </w:p>
    <w:p w:rsidR="00634A7E" w:rsidRDefault="00634A7E" w:rsidP="005B7DBA">
      <w:pPr>
        <w:pStyle w:val="CM32"/>
        <w:rPr>
          <w:color w:val="000000"/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Klinická účinnosť </w:t>
      </w:r>
    </w:p>
    <w:p w:rsidR="00526A85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>Klinická bezpečnosť a účinnosť sorafenibu sa skúmala u pacientov s hepatocelulárnym karcinómom (HCC)</w:t>
      </w:r>
      <w:r w:rsidR="00526A85">
        <w:rPr>
          <w:color w:val="000000"/>
          <w:sz w:val="22"/>
          <w:szCs w:val="22"/>
        </w:rPr>
        <w:t xml:space="preserve"> a </w:t>
      </w:r>
      <w:r w:rsidRPr="005B7DBA">
        <w:rPr>
          <w:color w:val="000000"/>
          <w:sz w:val="22"/>
          <w:szCs w:val="22"/>
        </w:rPr>
        <w:t>u pac</w:t>
      </w:r>
      <w:r w:rsidR="00526A85">
        <w:rPr>
          <w:color w:val="000000"/>
          <w:sz w:val="22"/>
          <w:szCs w:val="22"/>
        </w:rPr>
        <w:t>ientov s pokročilým karcinómom</w:t>
      </w:r>
      <w:r w:rsidRPr="005B7DBA">
        <w:rPr>
          <w:color w:val="000000"/>
          <w:sz w:val="22"/>
          <w:szCs w:val="22"/>
        </w:rPr>
        <w:t xml:space="preserve"> renálnych buniek (RCC)</w:t>
      </w:r>
      <w:r w:rsidR="00526A85">
        <w:rPr>
          <w:color w:val="000000"/>
          <w:sz w:val="22"/>
          <w:szCs w:val="22"/>
        </w:rPr>
        <w:t>.</w:t>
      </w:r>
    </w:p>
    <w:p w:rsidR="00634A7E" w:rsidRDefault="00526A85" w:rsidP="005B7DBA">
      <w:pPr>
        <w:pStyle w:val="CM32"/>
        <w:rPr>
          <w:color w:val="000000"/>
          <w:sz w:val="22"/>
          <w:szCs w:val="22"/>
          <w:u w:val="single"/>
        </w:rPr>
      </w:pPr>
      <w:r>
        <w:rPr>
          <w:color w:val="000000"/>
          <w:sz w:val="22"/>
          <w:szCs w:val="22"/>
          <w:u w:val="single"/>
        </w:rPr>
        <w:t xml:space="preserve"> </w:t>
      </w:r>
    </w:p>
    <w:p w:rsidR="005B7DBA" w:rsidRP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  <w:u w:val="single"/>
        </w:rPr>
        <w:t xml:space="preserve">Hepatocelulárny karcinóm </w:t>
      </w:r>
    </w:p>
    <w:p w:rsidR="005B7DBA" w:rsidRDefault="00D96854" w:rsidP="005B7DBA">
      <w:pPr>
        <w:pStyle w:val="CM3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</w:t>
      </w:r>
      <w:r w:rsidR="005B7DBA" w:rsidRPr="005B7DBA">
        <w:rPr>
          <w:color w:val="000000"/>
          <w:sz w:val="22"/>
          <w:szCs w:val="22"/>
        </w:rPr>
        <w:t xml:space="preserve">kúšanie 3 (Skúšanie 100554) bola tretia fáza medzinárodného, multicentrického, randomizovaného, dvojito zaslepeného, placebom kontrolovaného klinického skúšania so 602 pacientmi s hepatocelulárnym karcinómom. Demografické znaky a východiskové hodnoty ochorenia boli porovnateľné medzi skupinou so sorafenibom a s placebom </w:t>
      </w:r>
      <w:r>
        <w:rPr>
          <w:color w:val="000000"/>
          <w:sz w:val="22"/>
          <w:szCs w:val="22"/>
        </w:rPr>
        <w:t>s</w:t>
      </w:r>
      <w:r w:rsidR="005B7DBA" w:rsidRPr="005B7DBA">
        <w:rPr>
          <w:color w:val="000000"/>
          <w:sz w:val="22"/>
          <w:szCs w:val="22"/>
        </w:rPr>
        <w:t xml:space="preserve"> ohľadom na status podľa ECOG (status 0: 54 % vs. 54 %; status 1: 38 % vs. 39 %; status 2: 8 % vs. 7 %), štádium podľa TNM (štádium I: &lt; 1 % vs. &lt; 1 %; štádium II: 10</w:t>
      </w:r>
      <w:r w:rsidR="00275AD0">
        <w:rPr>
          <w:color w:val="000000"/>
          <w:sz w:val="22"/>
          <w:szCs w:val="22"/>
        </w:rPr>
        <w:t>,</w:t>
      </w:r>
      <w:r w:rsidR="005B7DBA" w:rsidRPr="005B7DBA">
        <w:rPr>
          <w:color w:val="000000"/>
          <w:sz w:val="22"/>
          <w:szCs w:val="22"/>
        </w:rPr>
        <w:t xml:space="preserve">4 % vs. 8,3 %; štádium III: 37,8 % vs. 43,6 %; štádium IV: 50,8 % vs. 46,9 %), a štádium podľa BCLC (štádium B: 18,1 % vs. 16,8 %; štádium C: 81,6 % vs. 83,2 %; štádium D: &lt; 1 % vs. 0 %). </w:t>
      </w:r>
    </w:p>
    <w:p w:rsidR="00526A85" w:rsidRPr="00526A85" w:rsidRDefault="00526A85" w:rsidP="00526A85">
      <w:pPr>
        <w:pStyle w:val="Default"/>
      </w:pPr>
    </w:p>
    <w:p w:rsidR="005B7DBA" w:rsidRPr="005B7DBA" w:rsidRDefault="005B7DBA" w:rsidP="005B7DBA">
      <w:pPr>
        <w:pStyle w:val="CM7"/>
        <w:spacing w:line="240" w:lineRule="auto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Skúšanie bolo ukončené po plánovanej predbežnej analýze celkového prežívania (OS), ktoré prekročilo hranice preddefinovanej účinnosti. Táto analýza celkového prežívania (OS) ukázala </w:t>
      </w:r>
    </w:p>
    <w:p w:rsidR="005B7DBA" w:rsidRDefault="005B7DBA" w:rsidP="005B7DBA">
      <w:pPr>
        <w:pStyle w:val="CM32"/>
        <w:rPr>
          <w:color w:val="000000"/>
          <w:sz w:val="22"/>
          <w:szCs w:val="22"/>
        </w:rPr>
      </w:pPr>
      <w:r w:rsidRPr="005B7DBA">
        <w:rPr>
          <w:color w:val="000000"/>
          <w:sz w:val="22"/>
          <w:szCs w:val="22"/>
        </w:rPr>
        <w:t xml:space="preserve">štatisticky významnú prevahu sorafenibu nad placebom pre celkové prežívanie (HR: 0,69, p=0,00058, pozri tabuľku </w:t>
      </w:r>
      <w:r w:rsidR="00526A85">
        <w:rPr>
          <w:color w:val="000000"/>
          <w:sz w:val="22"/>
          <w:szCs w:val="22"/>
        </w:rPr>
        <w:t>2</w:t>
      </w:r>
      <w:r w:rsidRPr="005B7DBA">
        <w:rPr>
          <w:color w:val="000000"/>
          <w:sz w:val="22"/>
          <w:szCs w:val="22"/>
        </w:rPr>
        <w:t xml:space="preserve">). </w:t>
      </w:r>
    </w:p>
    <w:p w:rsidR="00526A85" w:rsidRPr="00526A85" w:rsidRDefault="00526A85" w:rsidP="00526A85">
      <w:pPr>
        <w:pStyle w:val="Default"/>
      </w:pPr>
    </w:p>
    <w:p w:rsidR="005B7DBA" w:rsidRPr="005B7DBA" w:rsidRDefault="00526A85" w:rsidP="005B7DBA">
      <w:pPr>
        <w:pStyle w:val="CM3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 tohto skúšania</w:t>
      </w:r>
      <w:r w:rsidR="005B7DBA" w:rsidRPr="005B7DBA">
        <w:rPr>
          <w:color w:val="000000"/>
          <w:sz w:val="22"/>
          <w:szCs w:val="22"/>
        </w:rPr>
        <w:t xml:space="preserve"> sú iba obmedzené údaje s pacientmi s </w:t>
      </w:r>
      <w:r w:rsidR="00D96854">
        <w:rPr>
          <w:color w:val="000000"/>
          <w:sz w:val="22"/>
          <w:szCs w:val="22"/>
        </w:rPr>
        <w:t>poruchou</w:t>
      </w:r>
      <w:r w:rsidR="005B7DBA" w:rsidRPr="005B7DBA">
        <w:rPr>
          <w:color w:val="000000"/>
          <w:sz w:val="22"/>
          <w:szCs w:val="22"/>
        </w:rPr>
        <w:t xml:space="preserve"> funkci</w:t>
      </w:r>
      <w:r w:rsidR="009572E4">
        <w:rPr>
          <w:color w:val="000000"/>
          <w:sz w:val="22"/>
          <w:szCs w:val="22"/>
        </w:rPr>
        <w:t>e</w:t>
      </w:r>
      <w:r w:rsidR="005B7DBA" w:rsidRPr="005B7DBA">
        <w:rPr>
          <w:color w:val="000000"/>
          <w:sz w:val="22"/>
          <w:szCs w:val="22"/>
        </w:rPr>
        <w:t xml:space="preserve"> pečene </w:t>
      </w:r>
      <w:r w:rsidR="00D96854">
        <w:rPr>
          <w:color w:val="000000"/>
          <w:sz w:val="22"/>
          <w:szCs w:val="22"/>
        </w:rPr>
        <w:t xml:space="preserve">stupňa B podľa </w:t>
      </w:r>
      <w:r w:rsidR="005B7DBA" w:rsidRPr="005B7DBA">
        <w:rPr>
          <w:color w:val="000000"/>
          <w:sz w:val="22"/>
          <w:szCs w:val="22"/>
        </w:rPr>
        <w:t>Child</w:t>
      </w:r>
      <w:r w:rsidR="00D96854">
        <w:rPr>
          <w:color w:val="000000"/>
          <w:sz w:val="22"/>
          <w:szCs w:val="22"/>
        </w:rPr>
        <w:t>a</w:t>
      </w:r>
      <w:r w:rsidR="005B7DBA" w:rsidRPr="005B7DBA">
        <w:rPr>
          <w:color w:val="000000"/>
          <w:sz w:val="22"/>
          <w:szCs w:val="22"/>
        </w:rPr>
        <w:t>-Pugh</w:t>
      </w:r>
      <w:r w:rsidR="00D96854">
        <w:rPr>
          <w:color w:val="000000"/>
          <w:sz w:val="22"/>
          <w:szCs w:val="22"/>
        </w:rPr>
        <w:t>a</w:t>
      </w:r>
      <w:r w:rsidR="005B7DBA" w:rsidRPr="005B7DBA">
        <w:rPr>
          <w:color w:val="000000"/>
          <w:sz w:val="22"/>
          <w:szCs w:val="22"/>
        </w:rPr>
        <w:t xml:space="preserve"> a</w:t>
      </w:r>
      <w:r>
        <w:rPr>
          <w:color w:val="000000"/>
          <w:sz w:val="22"/>
          <w:szCs w:val="22"/>
        </w:rPr>
        <w:t xml:space="preserve"> do skúšania </w:t>
      </w:r>
      <w:r w:rsidR="005B7DBA" w:rsidRPr="005B7DBA">
        <w:rPr>
          <w:color w:val="000000"/>
          <w:sz w:val="22"/>
          <w:szCs w:val="22"/>
        </w:rPr>
        <w:t>bol zaradený iba jeden pacient s</w:t>
      </w:r>
      <w:r w:rsidR="00D96854">
        <w:rPr>
          <w:color w:val="000000"/>
          <w:sz w:val="22"/>
          <w:szCs w:val="22"/>
        </w:rPr>
        <w:t>o stupňom C podľa</w:t>
      </w:r>
      <w:r w:rsidR="005B7DBA" w:rsidRPr="005B7DBA">
        <w:rPr>
          <w:color w:val="000000"/>
          <w:sz w:val="22"/>
          <w:szCs w:val="22"/>
        </w:rPr>
        <w:t xml:space="preserve"> Child</w:t>
      </w:r>
      <w:r w:rsidR="00D96854">
        <w:rPr>
          <w:color w:val="000000"/>
          <w:sz w:val="22"/>
          <w:szCs w:val="22"/>
        </w:rPr>
        <w:t>a</w:t>
      </w:r>
      <w:r w:rsidR="005B7DBA" w:rsidRPr="005B7DBA">
        <w:rPr>
          <w:color w:val="000000"/>
          <w:sz w:val="22"/>
          <w:szCs w:val="22"/>
        </w:rPr>
        <w:t>-Pugh</w:t>
      </w:r>
      <w:r w:rsidR="00D96854">
        <w:rPr>
          <w:color w:val="000000"/>
          <w:sz w:val="22"/>
          <w:szCs w:val="22"/>
        </w:rPr>
        <w:t>a</w:t>
      </w:r>
      <w:r w:rsidR="005B7DBA" w:rsidRPr="005B7DBA">
        <w:rPr>
          <w:color w:val="000000"/>
          <w:sz w:val="22"/>
          <w:szCs w:val="22"/>
        </w:rPr>
        <w:t xml:space="preserve">. </w:t>
      </w:r>
    </w:p>
    <w:p w:rsidR="00634A7E" w:rsidRDefault="00634A7E" w:rsidP="00634A7E">
      <w:pPr>
        <w:pStyle w:val="CM38"/>
        <w:rPr>
          <w:b/>
          <w:bCs/>
          <w:color w:val="000000"/>
          <w:sz w:val="22"/>
          <w:szCs w:val="22"/>
        </w:rPr>
      </w:pPr>
    </w:p>
    <w:p w:rsidR="005B7DBA" w:rsidRPr="00526A85" w:rsidRDefault="00526A85" w:rsidP="00526A85">
      <w:pPr>
        <w:pStyle w:val="CM38"/>
        <w:rPr>
          <w:color w:val="000000"/>
          <w:sz w:val="22"/>
          <w:szCs w:val="22"/>
        </w:rPr>
      </w:pPr>
      <w:r w:rsidRPr="00526A85">
        <w:rPr>
          <w:b/>
          <w:bCs/>
          <w:color w:val="000000"/>
          <w:sz w:val="22"/>
          <w:szCs w:val="22"/>
        </w:rPr>
        <w:t>Tabuľka 2</w:t>
      </w:r>
      <w:r w:rsidR="005B7DBA" w:rsidRPr="00526A85">
        <w:rPr>
          <w:b/>
          <w:bCs/>
          <w:color w:val="000000"/>
          <w:sz w:val="22"/>
          <w:szCs w:val="22"/>
        </w:rPr>
        <w:t xml:space="preserve">: Výsledky účinnosti zo Skúšania 3 (Skúšanie 100554) s hepatocelulárnym karcinómom </w:t>
      </w:r>
    </w:p>
    <w:p w:rsidR="00526A85" w:rsidRPr="00526A85" w:rsidRDefault="00526A85" w:rsidP="00526A85">
      <w:pPr>
        <w:pStyle w:val="Default"/>
        <w:rPr>
          <w:color w:val="auto"/>
          <w:sz w:val="22"/>
          <w:szCs w:val="22"/>
        </w:rPr>
      </w:pPr>
    </w:p>
    <w:p w:rsidR="00526A85" w:rsidRPr="00526A85" w:rsidRDefault="00526A85" w:rsidP="00526A85">
      <w:pPr>
        <w:keepNext/>
        <w:spacing w:after="0" w:line="240" w:lineRule="auto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194"/>
        <w:gridCol w:w="1678"/>
        <w:gridCol w:w="1675"/>
        <w:gridCol w:w="1816"/>
        <w:gridCol w:w="1697"/>
      </w:tblGrid>
      <w:tr w:rsidR="00526A85" w:rsidRPr="00526A85" w:rsidTr="00306747">
        <w:tc>
          <w:tcPr>
            <w:tcW w:w="2235" w:type="dxa"/>
          </w:tcPr>
          <w:p w:rsidR="00526A85" w:rsidRPr="00526A85" w:rsidRDefault="00526A85" w:rsidP="00526A85">
            <w:pPr>
              <w:pStyle w:val="Default"/>
              <w:keepNext/>
              <w:rPr>
                <w:szCs w:val="22"/>
                <w:lang w:val="en-GB"/>
              </w:rPr>
            </w:pPr>
            <w:r w:rsidRPr="00526A85">
              <w:rPr>
                <w:sz w:val="22"/>
                <w:szCs w:val="22"/>
              </w:rPr>
              <w:t>Parameter účinnosti</w:t>
            </w:r>
          </w:p>
        </w:tc>
        <w:tc>
          <w:tcPr>
            <w:tcW w:w="1701" w:type="dxa"/>
          </w:tcPr>
          <w:p w:rsidR="00526A85" w:rsidRPr="00526A85" w:rsidRDefault="00526A85" w:rsidP="00526A85">
            <w:pPr>
              <w:pStyle w:val="Default"/>
              <w:keepNext/>
              <w:rPr>
                <w:sz w:val="22"/>
                <w:szCs w:val="22"/>
                <w:lang w:val="en-GB"/>
              </w:rPr>
            </w:pPr>
            <w:r w:rsidRPr="00526A85">
              <w:rPr>
                <w:sz w:val="22"/>
                <w:szCs w:val="22"/>
                <w:lang w:val="en-GB"/>
              </w:rPr>
              <w:t xml:space="preserve">Sorafenib </w:t>
            </w:r>
          </w:p>
          <w:p w:rsidR="00526A85" w:rsidRPr="00526A85" w:rsidRDefault="00526A85" w:rsidP="00526A85">
            <w:pPr>
              <w:keepNext/>
              <w:rPr>
                <w:rFonts w:ascii="Times New Roman" w:hAnsi="Times New Roman" w:cs="Times New Roman"/>
              </w:rPr>
            </w:pPr>
            <w:r w:rsidRPr="00526A85">
              <w:rPr>
                <w:rFonts w:ascii="Times New Roman" w:hAnsi="Times New Roman" w:cs="Times New Roman"/>
              </w:rPr>
              <w:t xml:space="preserve">(N=299) </w:t>
            </w:r>
          </w:p>
        </w:tc>
        <w:tc>
          <w:tcPr>
            <w:tcW w:w="1701" w:type="dxa"/>
          </w:tcPr>
          <w:p w:rsidR="00526A85" w:rsidRPr="00526A85" w:rsidRDefault="00526A85" w:rsidP="00526A85">
            <w:pPr>
              <w:pStyle w:val="Default"/>
              <w:keepNext/>
              <w:rPr>
                <w:sz w:val="22"/>
                <w:szCs w:val="22"/>
                <w:lang w:val="en-GB"/>
              </w:rPr>
            </w:pPr>
            <w:r w:rsidRPr="00526A85">
              <w:rPr>
                <w:sz w:val="22"/>
                <w:szCs w:val="22"/>
                <w:lang w:val="en-GB"/>
              </w:rPr>
              <w:t xml:space="preserve">Placebo </w:t>
            </w:r>
          </w:p>
          <w:p w:rsidR="00526A85" w:rsidRPr="00526A85" w:rsidRDefault="00526A85" w:rsidP="00526A85">
            <w:pPr>
              <w:keepNext/>
              <w:rPr>
                <w:rFonts w:ascii="Times New Roman" w:hAnsi="Times New Roman" w:cs="Times New Roman"/>
              </w:rPr>
            </w:pPr>
            <w:r w:rsidRPr="00526A85">
              <w:rPr>
                <w:rFonts w:ascii="Times New Roman" w:hAnsi="Times New Roman" w:cs="Times New Roman"/>
              </w:rPr>
              <w:t xml:space="preserve">(N=303) </w:t>
            </w:r>
          </w:p>
        </w:tc>
        <w:tc>
          <w:tcPr>
            <w:tcW w:w="1842" w:type="dxa"/>
          </w:tcPr>
          <w:p w:rsidR="00526A85" w:rsidRPr="00526A85" w:rsidRDefault="00526A85" w:rsidP="00526A85">
            <w:pPr>
              <w:pStyle w:val="Default"/>
              <w:keepNext/>
              <w:rPr>
                <w:szCs w:val="22"/>
                <w:lang w:val="en-GB"/>
              </w:rPr>
            </w:pPr>
            <w:r w:rsidRPr="00526A85">
              <w:rPr>
                <w:sz w:val="22"/>
                <w:szCs w:val="22"/>
                <w:lang w:val="en-GB"/>
              </w:rPr>
              <w:t>P</w:t>
            </w:r>
            <w:r w:rsidRPr="00526A85">
              <w:rPr>
                <w:sz w:val="22"/>
                <w:szCs w:val="22"/>
                <w:lang w:val="en-GB"/>
              </w:rPr>
              <w:noBreakHyphen/>
              <w:t>hodnota</w:t>
            </w:r>
          </w:p>
          <w:p w:rsidR="00526A85" w:rsidRPr="00526A85" w:rsidRDefault="00526A85" w:rsidP="00526A85">
            <w:pPr>
              <w:keepNext/>
              <w:rPr>
                <w:rFonts w:ascii="Times New Roman" w:hAnsi="Times New Roman" w:cs="Times New Roman"/>
              </w:rPr>
            </w:pPr>
          </w:p>
        </w:tc>
        <w:tc>
          <w:tcPr>
            <w:tcW w:w="1733" w:type="dxa"/>
          </w:tcPr>
          <w:p w:rsidR="00526A85" w:rsidRPr="00526A85" w:rsidRDefault="00526A85" w:rsidP="00526A85">
            <w:pPr>
              <w:pStyle w:val="Default"/>
              <w:keepNext/>
              <w:rPr>
                <w:sz w:val="22"/>
                <w:szCs w:val="22"/>
                <w:lang w:val="en-GB"/>
              </w:rPr>
            </w:pPr>
            <w:r w:rsidRPr="00526A85">
              <w:rPr>
                <w:sz w:val="22"/>
                <w:szCs w:val="22"/>
                <w:lang w:val="en-GB"/>
              </w:rPr>
              <w:t xml:space="preserve">HR </w:t>
            </w:r>
          </w:p>
          <w:p w:rsidR="00526A85" w:rsidRPr="00526A85" w:rsidRDefault="00526A85" w:rsidP="00526A85">
            <w:pPr>
              <w:keepNext/>
              <w:rPr>
                <w:rFonts w:ascii="Times New Roman" w:hAnsi="Times New Roman" w:cs="Times New Roman"/>
              </w:rPr>
            </w:pPr>
            <w:r w:rsidRPr="00526A85">
              <w:rPr>
                <w:rFonts w:ascii="Times New Roman" w:hAnsi="Times New Roman" w:cs="Times New Roman"/>
              </w:rPr>
              <w:t xml:space="preserve">(95% CI) </w:t>
            </w:r>
          </w:p>
        </w:tc>
      </w:tr>
      <w:tr w:rsidR="00526A85" w:rsidRPr="00526A85" w:rsidTr="00306747">
        <w:tc>
          <w:tcPr>
            <w:tcW w:w="2235" w:type="dxa"/>
          </w:tcPr>
          <w:p w:rsidR="00526A85" w:rsidRPr="00526A85" w:rsidRDefault="00526A85" w:rsidP="00526A85">
            <w:pPr>
              <w:pStyle w:val="Default"/>
              <w:keepNext/>
              <w:rPr>
                <w:szCs w:val="22"/>
                <w:lang w:val="en-GB"/>
              </w:rPr>
            </w:pPr>
            <w:r w:rsidRPr="00526A85">
              <w:rPr>
                <w:sz w:val="22"/>
                <w:szCs w:val="22"/>
              </w:rPr>
              <w:t>Celkové prežívanie (OS) [medián, týždne (95% CI)]</w:t>
            </w:r>
          </w:p>
        </w:tc>
        <w:tc>
          <w:tcPr>
            <w:tcW w:w="1701" w:type="dxa"/>
          </w:tcPr>
          <w:p w:rsidR="00526A85" w:rsidRPr="00526A85" w:rsidRDefault="00526A85" w:rsidP="00526A85">
            <w:pPr>
              <w:pStyle w:val="Default"/>
              <w:keepNext/>
              <w:rPr>
                <w:sz w:val="22"/>
                <w:szCs w:val="22"/>
                <w:lang w:val="en-GB"/>
              </w:rPr>
            </w:pPr>
            <w:r w:rsidRPr="00526A85">
              <w:rPr>
                <w:sz w:val="22"/>
                <w:szCs w:val="22"/>
                <w:lang w:val="en-GB"/>
              </w:rPr>
              <w:t>46</w:t>
            </w:r>
            <w:r w:rsidR="0028016A">
              <w:rPr>
                <w:sz w:val="22"/>
                <w:szCs w:val="22"/>
                <w:lang w:val="en-GB"/>
              </w:rPr>
              <w:t>,</w:t>
            </w:r>
            <w:r w:rsidRPr="00526A85">
              <w:rPr>
                <w:sz w:val="22"/>
                <w:szCs w:val="22"/>
                <w:lang w:val="en-GB"/>
              </w:rPr>
              <w:t xml:space="preserve">3 </w:t>
            </w:r>
          </w:p>
          <w:p w:rsidR="00526A85" w:rsidRPr="00526A85" w:rsidRDefault="00526A85" w:rsidP="0028016A">
            <w:pPr>
              <w:keepNext/>
              <w:rPr>
                <w:rFonts w:ascii="Times New Roman" w:hAnsi="Times New Roman" w:cs="Times New Roman"/>
              </w:rPr>
            </w:pPr>
            <w:r w:rsidRPr="00526A85">
              <w:rPr>
                <w:rFonts w:ascii="Times New Roman" w:hAnsi="Times New Roman" w:cs="Times New Roman"/>
              </w:rPr>
              <w:t>(40</w:t>
            </w:r>
            <w:r w:rsidR="0028016A">
              <w:rPr>
                <w:rFonts w:ascii="Times New Roman" w:hAnsi="Times New Roman" w:cs="Times New Roman"/>
              </w:rPr>
              <w:t>,9; 57,</w:t>
            </w:r>
            <w:r w:rsidRPr="00526A85">
              <w:rPr>
                <w:rFonts w:ascii="Times New Roman" w:hAnsi="Times New Roman" w:cs="Times New Roman"/>
              </w:rPr>
              <w:t>9)</w:t>
            </w:r>
          </w:p>
        </w:tc>
        <w:tc>
          <w:tcPr>
            <w:tcW w:w="1701" w:type="dxa"/>
          </w:tcPr>
          <w:p w:rsidR="00526A85" w:rsidRPr="00526A85" w:rsidRDefault="0028016A" w:rsidP="00526A85">
            <w:pPr>
              <w:pStyle w:val="Default"/>
              <w:keepNext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34,</w:t>
            </w:r>
            <w:r w:rsidR="00526A85" w:rsidRPr="00526A85">
              <w:rPr>
                <w:sz w:val="22"/>
                <w:szCs w:val="22"/>
                <w:lang w:val="en-GB"/>
              </w:rPr>
              <w:t xml:space="preserve">4 </w:t>
            </w:r>
          </w:p>
          <w:p w:rsidR="00526A85" w:rsidRPr="00526A85" w:rsidRDefault="0028016A" w:rsidP="00526A85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(29,4; 39,</w:t>
            </w:r>
            <w:r w:rsidR="00526A85" w:rsidRPr="00526A85">
              <w:rPr>
                <w:rFonts w:ascii="Times New Roman" w:hAnsi="Times New Roman" w:cs="Times New Roman"/>
              </w:rPr>
              <w:t>4)</w:t>
            </w:r>
          </w:p>
        </w:tc>
        <w:tc>
          <w:tcPr>
            <w:tcW w:w="1842" w:type="dxa"/>
          </w:tcPr>
          <w:p w:rsidR="00526A85" w:rsidRPr="00526A85" w:rsidRDefault="0028016A" w:rsidP="00526A85">
            <w:pPr>
              <w:pStyle w:val="Default"/>
              <w:keepNext/>
              <w:rPr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0,</w:t>
            </w:r>
            <w:r w:rsidR="00526A85" w:rsidRPr="00526A85">
              <w:rPr>
                <w:sz w:val="22"/>
                <w:szCs w:val="22"/>
                <w:lang w:val="en-GB"/>
              </w:rPr>
              <w:t>00058*</w:t>
            </w:r>
          </w:p>
        </w:tc>
        <w:tc>
          <w:tcPr>
            <w:tcW w:w="1733" w:type="dxa"/>
          </w:tcPr>
          <w:p w:rsidR="00526A85" w:rsidRPr="00526A85" w:rsidRDefault="0028016A" w:rsidP="00526A85">
            <w:pPr>
              <w:pStyle w:val="Default"/>
              <w:keepNext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0,</w:t>
            </w:r>
            <w:r w:rsidR="00526A85" w:rsidRPr="00526A85">
              <w:rPr>
                <w:sz w:val="22"/>
                <w:szCs w:val="22"/>
                <w:lang w:val="en-GB"/>
              </w:rPr>
              <w:t>69</w:t>
            </w:r>
          </w:p>
          <w:p w:rsidR="00526A85" w:rsidRPr="00526A85" w:rsidRDefault="0028016A" w:rsidP="0028016A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</w:t>
            </w:r>
            <w:r w:rsidR="00526A85" w:rsidRPr="00526A85">
              <w:rPr>
                <w:rFonts w:ascii="Times New Roman" w:hAnsi="Times New Roman" w:cs="Times New Roman"/>
              </w:rPr>
              <w:t>55</w:t>
            </w:r>
            <w:r>
              <w:rPr>
                <w:rFonts w:ascii="Times New Roman" w:hAnsi="Times New Roman" w:cs="Times New Roman"/>
              </w:rPr>
              <w:t>; 0,</w:t>
            </w:r>
            <w:r w:rsidR="00526A85" w:rsidRPr="00526A85">
              <w:rPr>
                <w:rFonts w:ascii="Times New Roman" w:hAnsi="Times New Roman" w:cs="Times New Roman"/>
              </w:rPr>
              <w:t>87)</w:t>
            </w:r>
          </w:p>
        </w:tc>
      </w:tr>
      <w:tr w:rsidR="00526A85" w:rsidRPr="00526A85" w:rsidTr="00306747">
        <w:tc>
          <w:tcPr>
            <w:tcW w:w="2235" w:type="dxa"/>
          </w:tcPr>
          <w:p w:rsidR="00526A85" w:rsidRPr="00526A85" w:rsidRDefault="00526A85" w:rsidP="00526A85">
            <w:pPr>
              <w:pStyle w:val="Default"/>
              <w:keepNext/>
              <w:rPr>
                <w:szCs w:val="22"/>
                <w:lang w:val="en-GB"/>
              </w:rPr>
            </w:pPr>
            <w:r w:rsidRPr="00526A85">
              <w:rPr>
                <w:sz w:val="22"/>
                <w:szCs w:val="22"/>
              </w:rPr>
              <w:t>Čas do progresie ochorenia (TTP) [medián, týždne (95% CI)]**</w:t>
            </w:r>
          </w:p>
        </w:tc>
        <w:tc>
          <w:tcPr>
            <w:tcW w:w="1701" w:type="dxa"/>
          </w:tcPr>
          <w:p w:rsidR="00526A85" w:rsidRPr="00526A85" w:rsidRDefault="0028016A" w:rsidP="00526A85">
            <w:pPr>
              <w:pStyle w:val="Default"/>
              <w:keepNext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24,</w:t>
            </w:r>
            <w:r w:rsidR="00526A85" w:rsidRPr="00526A85">
              <w:rPr>
                <w:sz w:val="22"/>
                <w:szCs w:val="22"/>
                <w:lang w:val="en-GB"/>
              </w:rPr>
              <w:t xml:space="preserve">0 </w:t>
            </w:r>
          </w:p>
          <w:p w:rsidR="00526A85" w:rsidRPr="00526A85" w:rsidRDefault="0028016A" w:rsidP="00526A85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(18,0; 30,</w:t>
            </w:r>
            <w:r w:rsidR="00526A85" w:rsidRPr="00526A85">
              <w:rPr>
                <w:rFonts w:ascii="Times New Roman" w:hAnsi="Times New Roman" w:cs="Times New Roman"/>
              </w:rPr>
              <w:t>0)</w:t>
            </w:r>
          </w:p>
        </w:tc>
        <w:tc>
          <w:tcPr>
            <w:tcW w:w="1701" w:type="dxa"/>
          </w:tcPr>
          <w:p w:rsidR="00526A85" w:rsidRPr="00526A85" w:rsidRDefault="0028016A" w:rsidP="00526A85">
            <w:pPr>
              <w:pStyle w:val="Default"/>
              <w:keepNext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12,</w:t>
            </w:r>
            <w:r w:rsidR="00526A85" w:rsidRPr="00526A85">
              <w:rPr>
                <w:sz w:val="22"/>
                <w:szCs w:val="22"/>
                <w:lang w:val="en-GB"/>
              </w:rPr>
              <w:t xml:space="preserve">3 </w:t>
            </w:r>
          </w:p>
          <w:p w:rsidR="00526A85" w:rsidRPr="00526A85" w:rsidRDefault="0028016A" w:rsidP="00526A85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(11,7; 17,</w:t>
            </w:r>
            <w:r w:rsidR="00526A85" w:rsidRPr="00526A85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842" w:type="dxa"/>
          </w:tcPr>
          <w:p w:rsidR="00526A85" w:rsidRPr="00526A85" w:rsidRDefault="0028016A" w:rsidP="00526A85">
            <w:pPr>
              <w:pStyle w:val="Default"/>
              <w:keepNext/>
              <w:rPr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0,</w:t>
            </w:r>
            <w:r w:rsidR="00526A85" w:rsidRPr="00526A85">
              <w:rPr>
                <w:sz w:val="22"/>
                <w:szCs w:val="22"/>
                <w:lang w:val="en-GB"/>
              </w:rPr>
              <w:t>000007</w:t>
            </w:r>
          </w:p>
        </w:tc>
        <w:tc>
          <w:tcPr>
            <w:tcW w:w="1733" w:type="dxa"/>
          </w:tcPr>
          <w:p w:rsidR="00526A85" w:rsidRPr="00526A85" w:rsidRDefault="0028016A" w:rsidP="00526A85">
            <w:pPr>
              <w:pStyle w:val="Default"/>
              <w:keepNext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0,</w:t>
            </w:r>
            <w:r w:rsidR="00526A85" w:rsidRPr="00526A85">
              <w:rPr>
                <w:sz w:val="22"/>
                <w:szCs w:val="22"/>
                <w:lang w:val="en-GB"/>
              </w:rPr>
              <w:t>58</w:t>
            </w:r>
          </w:p>
          <w:p w:rsidR="00526A85" w:rsidRPr="00526A85" w:rsidRDefault="0028016A" w:rsidP="00526A85">
            <w:pPr>
              <w:keepNext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(0,45; 0,</w:t>
            </w:r>
            <w:r w:rsidR="00526A85" w:rsidRPr="00526A85">
              <w:rPr>
                <w:rFonts w:ascii="Times New Roman" w:hAnsi="Times New Roman" w:cs="Times New Roman"/>
              </w:rPr>
              <w:t>74)</w:t>
            </w:r>
          </w:p>
        </w:tc>
      </w:tr>
    </w:tbl>
    <w:p w:rsidR="005B7DBA" w:rsidRPr="00526A85" w:rsidRDefault="005B7DBA" w:rsidP="00526A85">
      <w:pPr>
        <w:pStyle w:val="Default"/>
        <w:rPr>
          <w:color w:val="auto"/>
          <w:sz w:val="22"/>
          <w:szCs w:val="22"/>
        </w:rPr>
      </w:pPr>
      <w:r w:rsidRPr="00526A85">
        <w:rPr>
          <w:color w:val="auto"/>
          <w:sz w:val="22"/>
          <w:szCs w:val="22"/>
        </w:rPr>
        <w:t xml:space="preserve">CI = Interval spoľahlivosti, HR = miera rizika (sorafenib </w:t>
      </w:r>
      <w:r w:rsidR="00D96854" w:rsidRPr="009255FC">
        <w:rPr>
          <w:color w:val="auto"/>
          <w:sz w:val="22"/>
          <w:szCs w:val="22"/>
        </w:rPr>
        <w:t>v porovnaní s</w:t>
      </w:r>
      <w:r w:rsidRPr="00526A85">
        <w:rPr>
          <w:color w:val="auto"/>
          <w:sz w:val="22"/>
          <w:szCs w:val="22"/>
        </w:rPr>
        <w:t xml:space="preserve"> placebom) </w:t>
      </w:r>
    </w:p>
    <w:p w:rsidR="005B7DBA" w:rsidRPr="00526A85" w:rsidRDefault="005B7DBA" w:rsidP="0028016A">
      <w:pPr>
        <w:pStyle w:val="Default"/>
        <w:tabs>
          <w:tab w:val="left" w:pos="567"/>
        </w:tabs>
        <w:rPr>
          <w:color w:val="auto"/>
          <w:sz w:val="22"/>
          <w:szCs w:val="22"/>
        </w:rPr>
      </w:pPr>
      <w:r w:rsidRPr="00526A85">
        <w:rPr>
          <w:color w:val="auto"/>
          <w:sz w:val="22"/>
          <w:szCs w:val="22"/>
        </w:rPr>
        <w:t xml:space="preserve">* </w:t>
      </w:r>
      <w:r w:rsidR="0028016A">
        <w:rPr>
          <w:color w:val="auto"/>
          <w:sz w:val="22"/>
          <w:szCs w:val="22"/>
        </w:rPr>
        <w:tab/>
      </w:r>
      <w:r w:rsidRPr="00526A85">
        <w:rPr>
          <w:color w:val="auto"/>
          <w:sz w:val="22"/>
          <w:szCs w:val="22"/>
        </w:rPr>
        <w:t xml:space="preserve">štatisticky významný ak p - hodnota bola pod preddefinovanou O’Brien Flemingovou hranicou </w:t>
      </w:r>
    </w:p>
    <w:p w:rsidR="005B7DBA" w:rsidRPr="00526A85" w:rsidRDefault="005B7DBA" w:rsidP="0028016A">
      <w:pPr>
        <w:pStyle w:val="Default"/>
        <w:ind w:firstLine="567"/>
        <w:rPr>
          <w:color w:val="auto"/>
          <w:sz w:val="22"/>
          <w:szCs w:val="22"/>
        </w:rPr>
      </w:pPr>
      <w:r w:rsidRPr="00526A85">
        <w:rPr>
          <w:color w:val="auto"/>
          <w:sz w:val="22"/>
          <w:szCs w:val="22"/>
        </w:rPr>
        <w:t xml:space="preserve">ukončenia 0,0077 </w:t>
      </w:r>
    </w:p>
    <w:p w:rsidR="005B7DBA" w:rsidRDefault="005B7DBA" w:rsidP="0028016A">
      <w:pPr>
        <w:pStyle w:val="CM32"/>
        <w:tabs>
          <w:tab w:val="left" w:pos="567"/>
        </w:tabs>
        <w:rPr>
          <w:sz w:val="22"/>
          <w:szCs w:val="22"/>
        </w:rPr>
      </w:pPr>
      <w:r w:rsidRPr="005B7DBA">
        <w:rPr>
          <w:sz w:val="22"/>
          <w:szCs w:val="22"/>
        </w:rPr>
        <w:t xml:space="preserve">** </w:t>
      </w:r>
      <w:r w:rsidR="0028016A">
        <w:rPr>
          <w:sz w:val="22"/>
          <w:szCs w:val="22"/>
        </w:rPr>
        <w:tab/>
      </w:r>
      <w:r w:rsidRPr="005B7DBA">
        <w:rPr>
          <w:sz w:val="22"/>
          <w:szCs w:val="22"/>
        </w:rPr>
        <w:t xml:space="preserve">nezávislá rádiologická kontrola </w:t>
      </w:r>
    </w:p>
    <w:p w:rsidR="0028016A" w:rsidRPr="0028016A" w:rsidRDefault="0028016A" w:rsidP="0028016A">
      <w:pPr>
        <w:pStyle w:val="Default"/>
      </w:pPr>
    </w:p>
    <w:p w:rsidR="0028016A" w:rsidRDefault="005B7DBA" w:rsidP="0028016A">
      <w:pPr>
        <w:pStyle w:val="CM3"/>
        <w:spacing w:line="240" w:lineRule="auto"/>
        <w:rPr>
          <w:sz w:val="22"/>
          <w:szCs w:val="22"/>
        </w:rPr>
      </w:pPr>
      <w:r w:rsidRPr="005B7DBA">
        <w:rPr>
          <w:sz w:val="22"/>
          <w:szCs w:val="22"/>
        </w:rPr>
        <w:t>Druh</w:t>
      </w:r>
      <w:r w:rsidR="00D96854">
        <w:rPr>
          <w:sz w:val="22"/>
          <w:szCs w:val="22"/>
        </w:rPr>
        <w:t>é,</w:t>
      </w:r>
      <w:r w:rsidRPr="005B7DBA">
        <w:rPr>
          <w:sz w:val="22"/>
          <w:szCs w:val="22"/>
        </w:rPr>
        <w:t xml:space="preserve"> medzinárodné, multicentrické, randomizované, dvojito zaslepené, placebom kontrolované klinické skúšani</w:t>
      </w:r>
      <w:r w:rsidR="00D96854">
        <w:rPr>
          <w:sz w:val="22"/>
          <w:szCs w:val="22"/>
        </w:rPr>
        <w:t>e</w:t>
      </w:r>
      <w:r w:rsidRPr="005B7DBA">
        <w:rPr>
          <w:sz w:val="22"/>
          <w:szCs w:val="22"/>
        </w:rPr>
        <w:t xml:space="preserve"> </w:t>
      </w:r>
      <w:r w:rsidR="00D96854">
        <w:rPr>
          <w:sz w:val="22"/>
          <w:szCs w:val="22"/>
        </w:rPr>
        <w:t xml:space="preserve">fázy III </w:t>
      </w:r>
      <w:r w:rsidRPr="005B7DBA">
        <w:rPr>
          <w:sz w:val="22"/>
          <w:szCs w:val="22"/>
        </w:rPr>
        <w:t>(Skúšanie 4, 11849) hodnotil</w:t>
      </w:r>
      <w:r w:rsidR="00D96854">
        <w:rPr>
          <w:sz w:val="22"/>
          <w:szCs w:val="22"/>
        </w:rPr>
        <w:t>o</w:t>
      </w:r>
      <w:r w:rsidRPr="005B7DBA">
        <w:rPr>
          <w:sz w:val="22"/>
          <w:szCs w:val="22"/>
        </w:rPr>
        <w:t xml:space="preserve"> klinický prínos sorafenibu u 226 pacientov s pokročilým hepatocelulárnym karcinómom. Toto skúšanie, vykonan</w:t>
      </w:r>
      <w:r w:rsidR="009255FC">
        <w:rPr>
          <w:sz w:val="22"/>
          <w:szCs w:val="22"/>
        </w:rPr>
        <w:t>é</w:t>
      </w:r>
      <w:r w:rsidRPr="005B7DBA">
        <w:rPr>
          <w:sz w:val="22"/>
          <w:szCs w:val="22"/>
        </w:rPr>
        <w:t xml:space="preserve"> v Číne, Kórei a na Taiwane, potvrdilo nálezy Skúšania 3 o priaznivom profile </w:t>
      </w:r>
      <w:r w:rsidRPr="009255FC">
        <w:rPr>
          <w:sz w:val="22"/>
          <w:szCs w:val="22"/>
        </w:rPr>
        <w:t xml:space="preserve">prínosu </w:t>
      </w:r>
      <w:r w:rsidR="009255FC" w:rsidRPr="009255FC">
        <w:rPr>
          <w:sz w:val="22"/>
          <w:szCs w:val="22"/>
        </w:rPr>
        <w:t>a</w:t>
      </w:r>
      <w:r w:rsidRPr="00C70B44">
        <w:rPr>
          <w:sz w:val="22"/>
          <w:szCs w:val="22"/>
        </w:rPr>
        <w:t xml:space="preserve"> rizik</w:t>
      </w:r>
      <w:r w:rsidR="009255FC" w:rsidRPr="00C70B44">
        <w:rPr>
          <w:sz w:val="22"/>
          <w:szCs w:val="22"/>
        </w:rPr>
        <w:t>a</w:t>
      </w:r>
      <w:r w:rsidRPr="005B7DBA">
        <w:rPr>
          <w:sz w:val="22"/>
          <w:szCs w:val="22"/>
        </w:rPr>
        <w:t xml:space="preserve"> sorafenibu (HR (OS): 0,68, p=0,01414). </w:t>
      </w:r>
    </w:p>
    <w:p w:rsidR="0028016A" w:rsidRDefault="0028016A" w:rsidP="0028016A">
      <w:pPr>
        <w:pStyle w:val="CM3"/>
        <w:spacing w:line="240" w:lineRule="auto"/>
        <w:rPr>
          <w:sz w:val="22"/>
          <w:szCs w:val="22"/>
        </w:rPr>
      </w:pPr>
    </w:p>
    <w:p w:rsidR="005B7DBA" w:rsidRPr="005B7DBA" w:rsidRDefault="005B7DBA" w:rsidP="0028016A">
      <w:pPr>
        <w:pStyle w:val="CM3"/>
        <w:spacing w:line="240" w:lineRule="auto"/>
        <w:rPr>
          <w:sz w:val="22"/>
          <w:szCs w:val="22"/>
        </w:rPr>
      </w:pPr>
      <w:r w:rsidRPr="005B7DBA">
        <w:rPr>
          <w:sz w:val="22"/>
          <w:szCs w:val="22"/>
        </w:rPr>
        <w:t xml:space="preserve">V preddefinovaných stratifikačných faktoroch (status podľa ECOG, prítomnosť alebo absencia makroskopickej cievnej invázie a/alebo </w:t>
      </w:r>
      <w:r w:rsidR="0028016A">
        <w:rPr>
          <w:sz w:val="22"/>
          <w:szCs w:val="22"/>
        </w:rPr>
        <w:t>rozšírenie tumoru mimo pečene) v</w:t>
      </w:r>
      <w:r w:rsidRPr="005B7DBA">
        <w:rPr>
          <w:sz w:val="22"/>
          <w:szCs w:val="22"/>
        </w:rPr>
        <w:t xml:space="preserve"> Skúšaniach 3 aj 4</w:t>
      </w:r>
      <w:r w:rsidR="00C70B44">
        <w:rPr>
          <w:sz w:val="22"/>
          <w:szCs w:val="22"/>
        </w:rPr>
        <w:t>, bola</w:t>
      </w:r>
      <w:r w:rsidRPr="005B7DBA">
        <w:rPr>
          <w:sz w:val="22"/>
          <w:szCs w:val="22"/>
        </w:rPr>
        <w:t xml:space="preserve"> miera rizika </w:t>
      </w:r>
      <w:r w:rsidR="00C70B44">
        <w:rPr>
          <w:sz w:val="22"/>
          <w:szCs w:val="22"/>
        </w:rPr>
        <w:t>konzistentne nižšia pre</w:t>
      </w:r>
      <w:r w:rsidRPr="005B7DBA">
        <w:rPr>
          <w:sz w:val="22"/>
          <w:szCs w:val="22"/>
        </w:rPr>
        <w:t xml:space="preserve"> sorafenib </w:t>
      </w:r>
      <w:r w:rsidR="00C70B44">
        <w:rPr>
          <w:sz w:val="22"/>
          <w:szCs w:val="22"/>
        </w:rPr>
        <w:t>v porovnaní s</w:t>
      </w:r>
      <w:r w:rsidRPr="005B7DBA">
        <w:rPr>
          <w:sz w:val="22"/>
          <w:szCs w:val="22"/>
        </w:rPr>
        <w:t xml:space="preserve"> placebom. Exploračná analýza podskupiny naznačila, že pacienti so vzdialenými metastázami na začiatku liečby </w:t>
      </w:r>
      <w:r w:rsidR="00841BCA">
        <w:rPr>
          <w:sz w:val="22"/>
          <w:szCs w:val="22"/>
        </w:rPr>
        <w:t>vykazovali</w:t>
      </w:r>
      <w:r w:rsidRPr="005B7DBA">
        <w:rPr>
          <w:sz w:val="22"/>
          <w:szCs w:val="22"/>
        </w:rPr>
        <w:t xml:space="preserve"> zjavne nižší účinok liečby. </w:t>
      </w:r>
    </w:p>
    <w:p w:rsidR="00634A7E" w:rsidRDefault="00634A7E" w:rsidP="005B7DBA">
      <w:pPr>
        <w:pStyle w:val="CM32"/>
        <w:rPr>
          <w:sz w:val="22"/>
          <w:szCs w:val="22"/>
          <w:u w:val="single"/>
        </w:rPr>
      </w:pPr>
    </w:p>
    <w:p w:rsidR="005B7DBA" w:rsidRPr="005B7DBA" w:rsidRDefault="0028016A" w:rsidP="005B7DBA">
      <w:pPr>
        <w:pStyle w:val="CM32"/>
        <w:rPr>
          <w:sz w:val="22"/>
          <w:szCs w:val="22"/>
        </w:rPr>
      </w:pPr>
      <w:r>
        <w:rPr>
          <w:sz w:val="22"/>
          <w:szCs w:val="22"/>
          <w:u w:val="single"/>
        </w:rPr>
        <w:t xml:space="preserve">Karcinóm </w:t>
      </w:r>
      <w:r w:rsidR="005B7DBA" w:rsidRPr="005B7DBA">
        <w:rPr>
          <w:sz w:val="22"/>
          <w:szCs w:val="22"/>
          <w:u w:val="single"/>
        </w:rPr>
        <w:t xml:space="preserve">renálnych buniek </w:t>
      </w:r>
    </w:p>
    <w:p w:rsidR="0028016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>Bezpečnosť a účinnosť sorafenibu v liečbe pokročilého karcinómu z renálnych buniek (RCC) sa skúmal</w:t>
      </w:r>
      <w:r w:rsidR="0028016A">
        <w:rPr>
          <w:sz w:val="22"/>
          <w:szCs w:val="22"/>
        </w:rPr>
        <w:t>a v dvoch klinických skúšaniach:</w:t>
      </w:r>
    </w:p>
    <w:p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 </w:t>
      </w:r>
    </w:p>
    <w:p w:rsidR="005B7DBA" w:rsidRPr="005B7DBA" w:rsidRDefault="00841BCA" w:rsidP="005B7DBA">
      <w:pPr>
        <w:pStyle w:val="CM11"/>
        <w:spacing w:line="240" w:lineRule="auto"/>
        <w:rPr>
          <w:sz w:val="22"/>
          <w:szCs w:val="22"/>
        </w:rPr>
      </w:pPr>
      <w:r>
        <w:rPr>
          <w:sz w:val="22"/>
          <w:szCs w:val="22"/>
        </w:rPr>
        <w:t>S</w:t>
      </w:r>
      <w:r w:rsidR="005B7DBA" w:rsidRPr="005B7DBA">
        <w:rPr>
          <w:sz w:val="22"/>
          <w:szCs w:val="22"/>
        </w:rPr>
        <w:t xml:space="preserve">kúšanie 1 (Skúšanie 11213) </w:t>
      </w:r>
      <w:r>
        <w:rPr>
          <w:sz w:val="22"/>
          <w:szCs w:val="22"/>
        </w:rPr>
        <w:t xml:space="preserve">bolo </w:t>
      </w:r>
      <w:r w:rsidR="005B7DBA" w:rsidRPr="005B7DBA">
        <w:rPr>
          <w:sz w:val="22"/>
          <w:szCs w:val="22"/>
        </w:rPr>
        <w:t>multicentrické, randomizované, dvojito zaslepené, placebom kontrolované skúšani</w:t>
      </w:r>
      <w:r>
        <w:rPr>
          <w:sz w:val="22"/>
          <w:szCs w:val="22"/>
        </w:rPr>
        <w:t>e</w:t>
      </w:r>
      <w:r w:rsidR="005B7DBA" w:rsidRPr="005B7DB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fázy III </w:t>
      </w:r>
      <w:r w:rsidR="005B7DBA" w:rsidRPr="005B7DBA">
        <w:rPr>
          <w:sz w:val="22"/>
          <w:szCs w:val="22"/>
        </w:rPr>
        <w:t>s 903 pacientmi. Boli zahrnutí iba p</w:t>
      </w:r>
      <w:r w:rsidR="0028016A">
        <w:rPr>
          <w:sz w:val="22"/>
          <w:szCs w:val="22"/>
        </w:rPr>
        <w:t xml:space="preserve">acienti s karcinómom </w:t>
      </w:r>
      <w:r w:rsidR="00B00BB1">
        <w:rPr>
          <w:sz w:val="22"/>
          <w:szCs w:val="22"/>
        </w:rPr>
        <w:t xml:space="preserve">zo svetlých </w:t>
      </w:r>
      <w:r w:rsidR="005B7DBA" w:rsidRPr="005B7DBA">
        <w:rPr>
          <w:sz w:val="22"/>
          <w:szCs w:val="22"/>
        </w:rPr>
        <w:t xml:space="preserve">renálnych buniek a nízkym a stredne veľkým rizikom MSKCC (Memorial Sloan Kettering Cancer Center). Primárnym </w:t>
      </w:r>
      <w:r>
        <w:rPr>
          <w:sz w:val="22"/>
          <w:szCs w:val="22"/>
        </w:rPr>
        <w:t>cieľovým ukazovateľom</w:t>
      </w:r>
      <w:r w:rsidR="005B7DBA" w:rsidRPr="005B7DBA">
        <w:rPr>
          <w:sz w:val="22"/>
          <w:szCs w:val="22"/>
        </w:rPr>
        <w:t xml:space="preserve"> bolo celkové prežívanie a prežívanie bez známok progresie (PFS). </w:t>
      </w:r>
    </w:p>
    <w:p w:rsidR="005B7DBA" w:rsidRPr="005B7DBA" w:rsidRDefault="005B7DBA" w:rsidP="005B7DBA">
      <w:pPr>
        <w:pStyle w:val="CM3"/>
        <w:spacing w:line="240" w:lineRule="auto"/>
        <w:rPr>
          <w:sz w:val="22"/>
          <w:szCs w:val="22"/>
        </w:rPr>
      </w:pPr>
      <w:r w:rsidRPr="005B7DBA">
        <w:rPr>
          <w:sz w:val="22"/>
          <w:szCs w:val="22"/>
        </w:rPr>
        <w:t xml:space="preserve">Približne polovica pacientov mala podľa ECOG výkonnostný status stupňa 0 a polovica pacientov </w:t>
      </w:r>
    </w:p>
    <w:p w:rsidR="0028016A" w:rsidRDefault="005B7DBA" w:rsidP="005B7DBA">
      <w:pPr>
        <w:pStyle w:val="CM3"/>
        <w:spacing w:line="240" w:lineRule="auto"/>
        <w:rPr>
          <w:sz w:val="22"/>
          <w:szCs w:val="22"/>
        </w:rPr>
      </w:pPr>
      <w:r w:rsidRPr="005B7DBA">
        <w:rPr>
          <w:sz w:val="22"/>
          <w:szCs w:val="22"/>
        </w:rPr>
        <w:t xml:space="preserve">bola v nízko rizikovej prognostickej skupine MSKCC. </w:t>
      </w:r>
    </w:p>
    <w:p w:rsidR="005B7DBA" w:rsidRPr="005B7DBA" w:rsidRDefault="005B7DBA" w:rsidP="005B7DBA">
      <w:pPr>
        <w:pStyle w:val="CM3"/>
        <w:spacing w:line="240" w:lineRule="auto"/>
        <w:rPr>
          <w:sz w:val="22"/>
          <w:szCs w:val="22"/>
        </w:rPr>
      </w:pPr>
      <w:r w:rsidRPr="005B7DBA">
        <w:rPr>
          <w:sz w:val="22"/>
          <w:szCs w:val="22"/>
        </w:rPr>
        <w:t xml:space="preserve">PFS sa vyhodnocovalo podľa zaslepeného nezávislého rádiologického preskúmania podľa kritérií RECIST. Analýza PFS sa vykonala na 342 prípadoch zo 769 pacientov. Medián PFS bolo 167 dní u pacientov randomizovaných na sorafenib v porovnaní s 84 dňami u pacientov s placebom (HR=0,44; 95 % CI: 0,35 - 0,55; p &lt;0,000001). Vek, prognostická skupina MSKCC, ECOG PS a predchádzajúca </w:t>
      </w:r>
    </w:p>
    <w:p w:rsid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liečba neovplyvňovali veľkosť účinku liečby. </w:t>
      </w:r>
    </w:p>
    <w:p w:rsidR="0028016A" w:rsidRPr="0028016A" w:rsidRDefault="0028016A" w:rsidP="0028016A">
      <w:pPr>
        <w:pStyle w:val="Default"/>
      </w:pPr>
    </w:p>
    <w:p w:rsidR="0028016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Predbežná analýza (druhá predbežná analýza) celkového prežitia sa vykonala </w:t>
      </w:r>
      <w:r w:rsidRPr="000D43B4">
        <w:rPr>
          <w:sz w:val="22"/>
          <w:szCs w:val="22"/>
        </w:rPr>
        <w:t xml:space="preserve">na 367 úmrtiach </w:t>
      </w:r>
      <w:r w:rsidR="000D43B4">
        <w:rPr>
          <w:sz w:val="22"/>
          <w:szCs w:val="22"/>
        </w:rPr>
        <w:t>z</w:t>
      </w:r>
      <w:r w:rsidRPr="000D43B4">
        <w:rPr>
          <w:sz w:val="22"/>
          <w:szCs w:val="22"/>
        </w:rPr>
        <w:t xml:space="preserve"> 903</w:t>
      </w:r>
      <w:r w:rsidRPr="005B7DBA">
        <w:rPr>
          <w:sz w:val="22"/>
          <w:szCs w:val="22"/>
        </w:rPr>
        <w:t xml:space="preserve"> pacientov. Nominálna hodnota alfa pre túto analýzu bola 0,0094. Medián prežitia bol 19,3 mesiacov u pacientov randomizovaných na sorafenib v porovnaní s 15,9 mesiacmi u pacientov s placebom (HR = 0,77; 95 % CI: 0,63-0,95; p=0,015). V čase tejto analýzy prešlo na sorafenib približne 200 pacientov zo skupiny s placebom.</w:t>
      </w:r>
    </w:p>
    <w:p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 </w:t>
      </w:r>
    </w:p>
    <w:p w:rsidR="005B7DBA" w:rsidRPr="005B7DBA" w:rsidRDefault="00C66603" w:rsidP="005B7DBA">
      <w:pPr>
        <w:pStyle w:val="CM32"/>
        <w:rPr>
          <w:sz w:val="22"/>
          <w:szCs w:val="22"/>
        </w:rPr>
      </w:pPr>
      <w:r>
        <w:rPr>
          <w:sz w:val="22"/>
          <w:szCs w:val="22"/>
        </w:rPr>
        <w:lastRenderedPageBreak/>
        <w:t>S</w:t>
      </w:r>
      <w:r w:rsidR="005B7DBA" w:rsidRPr="005B7DBA">
        <w:rPr>
          <w:sz w:val="22"/>
          <w:szCs w:val="22"/>
        </w:rPr>
        <w:t>kúšanie 2 bol</w:t>
      </w:r>
      <w:r>
        <w:rPr>
          <w:sz w:val="22"/>
          <w:szCs w:val="22"/>
        </w:rPr>
        <w:t xml:space="preserve">o </w:t>
      </w:r>
      <w:r w:rsidR="005B7DBA" w:rsidRPr="005B7DBA">
        <w:rPr>
          <w:sz w:val="22"/>
          <w:szCs w:val="22"/>
        </w:rPr>
        <w:t>diskontinuálne skúšani</w:t>
      </w:r>
      <w:r w:rsidR="009572E4">
        <w:rPr>
          <w:sz w:val="22"/>
          <w:szCs w:val="22"/>
        </w:rPr>
        <w:t>e</w:t>
      </w:r>
      <w:r w:rsidR="005B7DBA" w:rsidRPr="005B7DBA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fázy II </w:t>
      </w:r>
      <w:r w:rsidR="005B7DBA" w:rsidRPr="005B7DBA">
        <w:rPr>
          <w:sz w:val="22"/>
          <w:szCs w:val="22"/>
        </w:rPr>
        <w:t xml:space="preserve">u pacientov s metastatickými malignitami vrátane RCC. Pacienti so stabilným ochorením liečení sorafenibom boli randomizovaní na placebo alebo pokračovali v liečbe sorafenibom. Prežívanie pacientov s RCC bez známok progresie bolo významne dlhšie v skupine so sorafenibom (163 dní) než v skupine s placebom (41 dní) (p=0,0001, HR=0,29). </w:t>
      </w:r>
    </w:p>
    <w:p w:rsidR="00634A7E" w:rsidRDefault="00634A7E" w:rsidP="005B7DBA">
      <w:pPr>
        <w:pStyle w:val="CM32"/>
        <w:rPr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  <w:u w:val="single"/>
        </w:rPr>
        <w:t xml:space="preserve">Predĺženie intervalu QT </w:t>
      </w:r>
    </w:p>
    <w:p w:rsid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V klinickom farmakologickom skúšaní sa QT/QTc zaznamenala u 31 pacientov na začiatku (pred liečbou) a po liečbe. Po jednom 28-dňovom liečebnom cykle, v čase maximálnej koncentrácie sorafenibu, bolo QTcB predĺžené o 4±19 ms a QTcF o 9±18 ms, pri porovnaní s liečbou placebom na začiatku. U žiadneho jedinca sa nepotvrdilo QTcB alebo QTcF &gt;500 ms počas monitorovania EKG po liečbe (pozri čas 4.4). </w:t>
      </w:r>
    </w:p>
    <w:p w:rsidR="0028016A" w:rsidRPr="0028016A" w:rsidRDefault="0028016A" w:rsidP="0028016A">
      <w:pPr>
        <w:pStyle w:val="Default"/>
      </w:pPr>
    </w:p>
    <w:p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  <w:u w:val="single"/>
        </w:rPr>
        <w:t xml:space="preserve">Pediatrická populácia </w:t>
      </w:r>
    </w:p>
    <w:p w:rsidR="00634A7E" w:rsidRDefault="005B7DBA" w:rsidP="00634A7E">
      <w:pPr>
        <w:pStyle w:val="CM9"/>
        <w:spacing w:line="240" w:lineRule="auto"/>
        <w:rPr>
          <w:sz w:val="22"/>
          <w:szCs w:val="22"/>
        </w:rPr>
      </w:pPr>
      <w:r w:rsidRPr="005B7DBA">
        <w:rPr>
          <w:sz w:val="22"/>
          <w:szCs w:val="22"/>
        </w:rPr>
        <w:t>Európska agentúra pre lieky udelila výnimku z povinnosti predložiť výsledky skúšaní vo všetkých podskupinách pediatrickej populácie s karcinómom obličky a obličkovej panvičky (s výnimkou nefroblastómu, nefroblastomatózy, sarkómu zo svetlých buniek, mezoblastického nefrómu, medulárneho karcinómu obličiek a rabdoidného tumoru obličky), karcinómom pečene a vnútropečeňových žlčových ciest (s výnimkou hepatoblastómu) a diferencovaný karcinóm štítnej žľazy (informácie o použití v pediatrickej populácii</w:t>
      </w:r>
      <w:r w:rsidR="00143D2B">
        <w:rPr>
          <w:sz w:val="22"/>
          <w:szCs w:val="22"/>
        </w:rPr>
        <w:t xml:space="preserve">, </w:t>
      </w:r>
      <w:r w:rsidR="00143D2B" w:rsidRPr="00143D2B">
        <w:rPr>
          <w:sz w:val="22"/>
          <w:szCs w:val="22"/>
        </w:rPr>
        <w:t>pozri časť 4.2</w:t>
      </w:r>
      <w:r w:rsidRPr="005B7DBA">
        <w:rPr>
          <w:sz w:val="22"/>
          <w:szCs w:val="22"/>
        </w:rPr>
        <w:t xml:space="preserve">). </w:t>
      </w:r>
    </w:p>
    <w:p w:rsidR="00634A7E" w:rsidRDefault="00634A7E" w:rsidP="00634A7E">
      <w:pPr>
        <w:pStyle w:val="CM9"/>
        <w:spacing w:line="240" w:lineRule="auto"/>
        <w:rPr>
          <w:sz w:val="22"/>
          <w:szCs w:val="22"/>
        </w:rPr>
      </w:pPr>
    </w:p>
    <w:p w:rsidR="005B7DBA" w:rsidRPr="005B7DBA" w:rsidRDefault="005B7DBA" w:rsidP="000D43B4">
      <w:pPr>
        <w:pStyle w:val="CM9"/>
        <w:tabs>
          <w:tab w:val="left" w:pos="567"/>
        </w:tabs>
        <w:spacing w:line="240" w:lineRule="auto"/>
        <w:rPr>
          <w:sz w:val="22"/>
          <w:szCs w:val="22"/>
        </w:rPr>
      </w:pPr>
      <w:r w:rsidRPr="00500812">
        <w:rPr>
          <w:b/>
          <w:bCs/>
          <w:sz w:val="22"/>
          <w:szCs w:val="22"/>
        </w:rPr>
        <w:t xml:space="preserve">5.2 </w:t>
      </w:r>
      <w:r w:rsidR="000D43B4">
        <w:rPr>
          <w:b/>
          <w:bCs/>
          <w:sz w:val="22"/>
          <w:szCs w:val="22"/>
        </w:rPr>
        <w:tab/>
      </w:r>
      <w:r w:rsidRPr="00500812">
        <w:rPr>
          <w:b/>
          <w:bCs/>
          <w:sz w:val="22"/>
          <w:szCs w:val="22"/>
        </w:rPr>
        <w:t>Farmakokinetické vlastnosti</w:t>
      </w:r>
      <w:r w:rsidRPr="005B7DBA">
        <w:rPr>
          <w:b/>
          <w:bCs/>
          <w:sz w:val="22"/>
          <w:szCs w:val="22"/>
        </w:rPr>
        <w:t xml:space="preserve"> </w:t>
      </w:r>
    </w:p>
    <w:p w:rsidR="00634A7E" w:rsidRDefault="00634A7E" w:rsidP="005B7DBA">
      <w:pPr>
        <w:pStyle w:val="CM32"/>
        <w:rPr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  <w:u w:val="single"/>
        </w:rPr>
        <w:t xml:space="preserve">Absorpcia a distribúcia </w:t>
      </w:r>
    </w:p>
    <w:p w:rsidR="00500812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Po podaní tabliet sorafenibu bola priemerná relatívna biologická dostupnosť v porovnaní s perorálnym roztokom 38-49 %. Absolútna biologická dostupnosť nie je známa. Po perorálnom podaní sorafenib dosahuje </w:t>
      </w:r>
      <w:r w:rsidR="00B00BB1">
        <w:rPr>
          <w:sz w:val="22"/>
          <w:szCs w:val="22"/>
        </w:rPr>
        <w:t>maximálne</w:t>
      </w:r>
      <w:r w:rsidRPr="005B7DBA">
        <w:rPr>
          <w:sz w:val="22"/>
          <w:szCs w:val="22"/>
        </w:rPr>
        <w:t xml:space="preserve"> koncentrácie v plazme približne za 3 hodiny. Pri podávaní s jedlom </w:t>
      </w:r>
      <w:r w:rsidR="00B00BB1">
        <w:rPr>
          <w:sz w:val="22"/>
          <w:szCs w:val="22"/>
        </w:rPr>
        <w:t xml:space="preserve">s vysokým obsahom tukov </w:t>
      </w:r>
      <w:r w:rsidRPr="005B7DBA">
        <w:rPr>
          <w:sz w:val="22"/>
          <w:szCs w:val="22"/>
        </w:rPr>
        <w:t xml:space="preserve">sa absorpcia sorafenibu znížila o 30 % v porovnaní s podávaním </w:t>
      </w:r>
      <w:r w:rsidR="00500812">
        <w:rPr>
          <w:sz w:val="22"/>
          <w:szCs w:val="22"/>
        </w:rPr>
        <w:t>nalačno</w:t>
      </w:r>
      <w:r w:rsidRPr="005B7DBA">
        <w:rPr>
          <w:sz w:val="22"/>
          <w:szCs w:val="22"/>
        </w:rPr>
        <w:t xml:space="preserve">. </w:t>
      </w:r>
    </w:p>
    <w:p w:rsidR="00500812" w:rsidRDefault="00B00BB1" w:rsidP="005B7DBA">
      <w:pPr>
        <w:pStyle w:val="CM32"/>
        <w:rPr>
          <w:sz w:val="22"/>
          <w:szCs w:val="22"/>
        </w:rPr>
      </w:pPr>
      <w:r>
        <w:rPr>
          <w:sz w:val="22"/>
          <w:szCs w:val="22"/>
        </w:rPr>
        <w:t>Priemerná</w:t>
      </w:r>
      <w:r w:rsidR="005B7DBA" w:rsidRPr="005B7DBA">
        <w:rPr>
          <w:sz w:val="22"/>
          <w:szCs w:val="22"/>
        </w:rPr>
        <w:t xml:space="preserve"> C</w:t>
      </w:r>
      <w:r w:rsidR="005B7DBA" w:rsidRPr="00500812">
        <w:rPr>
          <w:sz w:val="22"/>
          <w:szCs w:val="22"/>
          <w:vertAlign w:val="subscript"/>
        </w:rPr>
        <w:t>max</w:t>
      </w:r>
      <w:r w:rsidR="005B7DBA" w:rsidRPr="005B7DBA">
        <w:rPr>
          <w:sz w:val="22"/>
          <w:szCs w:val="22"/>
        </w:rPr>
        <w:t xml:space="preserve"> a AUC sa po dávkach 400 mg podávaných dvakrát denne zvýšili menej ako proporcionálne. Väzba sorafenibu na bielkoviny ľudskej plazmy </w:t>
      </w:r>
      <w:r w:rsidR="005B7DBA" w:rsidRPr="005B7DBA">
        <w:rPr>
          <w:i/>
          <w:iCs/>
          <w:sz w:val="22"/>
          <w:szCs w:val="22"/>
        </w:rPr>
        <w:t xml:space="preserve">in vitro </w:t>
      </w:r>
      <w:r w:rsidR="005B7DBA" w:rsidRPr="005B7DBA">
        <w:rPr>
          <w:sz w:val="22"/>
          <w:szCs w:val="22"/>
        </w:rPr>
        <w:t xml:space="preserve">je 99,5 %. </w:t>
      </w:r>
    </w:p>
    <w:p w:rsidR="00500812" w:rsidRDefault="00500812" w:rsidP="005B7DBA">
      <w:pPr>
        <w:pStyle w:val="CM32"/>
        <w:rPr>
          <w:sz w:val="22"/>
          <w:szCs w:val="22"/>
        </w:rPr>
      </w:pPr>
    </w:p>
    <w:p w:rsid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Viacnásobné dávkovanie sorafenibu počas 7 dní malo za následok 2,5 až 7-násobnú akumuláciu v porovnaní s jednorazovým podaním. Rovnovážne koncentrácie sorafenibu v plazme sa dosahujú počas 7 dní s pomerom </w:t>
      </w:r>
      <w:r w:rsidR="00B00BB1">
        <w:rPr>
          <w:sz w:val="22"/>
          <w:szCs w:val="22"/>
        </w:rPr>
        <w:t xml:space="preserve">maximálnych a minimálnych priemerných </w:t>
      </w:r>
      <w:r w:rsidRPr="005B7DBA">
        <w:rPr>
          <w:sz w:val="22"/>
          <w:szCs w:val="22"/>
        </w:rPr>
        <w:t xml:space="preserve">koncentrácií menej než 2. </w:t>
      </w:r>
    </w:p>
    <w:p w:rsidR="00500812" w:rsidRPr="00500812" w:rsidRDefault="00500812" w:rsidP="00500812">
      <w:pPr>
        <w:pStyle w:val="Default"/>
      </w:pPr>
    </w:p>
    <w:p w:rsidR="005B7DBA" w:rsidRPr="005B7DBA" w:rsidRDefault="005B7DBA" w:rsidP="005B7DBA">
      <w:pPr>
        <w:pStyle w:val="CM32"/>
        <w:rPr>
          <w:sz w:val="22"/>
          <w:szCs w:val="22"/>
        </w:rPr>
      </w:pPr>
      <w:r w:rsidRPr="00214705">
        <w:rPr>
          <w:sz w:val="22"/>
          <w:szCs w:val="22"/>
        </w:rPr>
        <w:t>Ustálené</w:t>
      </w:r>
      <w:r w:rsidRPr="005B7DBA">
        <w:rPr>
          <w:sz w:val="22"/>
          <w:szCs w:val="22"/>
        </w:rPr>
        <w:t xml:space="preserve"> koncentrácie sorafenibu podávaného v dávke 400 mg dvakrát denne sa vyhodnocovali u pacientov s DTC, RCC a HCC. Najvyššia priemerná koncentrácia sa pozorovala u pacientov s DTC (približne dvojnásobná v porovnaní s pacientmi s RCC a HCC), aj keď variabilita bola vysoká pre všetky typy nádorov. Dôvod zvýšenej koncentrácie u pacientov s DTC je neznámy. </w:t>
      </w:r>
    </w:p>
    <w:p w:rsidR="00634A7E" w:rsidRDefault="00634A7E" w:rsidP="005B7DBA">
      <w:pPr>
        <w:pStyle w:val="CM32"/>
        <w:rPr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  <w:u w:val="single"/>
        </w:rPr>
        <w:t xml:space="preserve">Biotransformácia a eliminácia </w:t>
      </w:r>
    </w:p>
    <w:p w:rsidR="005B7DBA" w:rsidRPr="005B7DBA" w:rsidRDefault="005B7DBA" w:rsidP="005B7DBA">
      <w:pPr>
        <w:pStyle w:val="CM2"/>
        <w:spacing w:line="240" w:lineRule="auto"/>
        <w:rPr>
          <w:sz w:val="22"/>
          <w:szCs w:val="22"/>
        </w:rPr>
      </w:pPr>
      <w:r w:rsidRPr="005B7DBA">
        <w:rPr>
          <w:sz w:val="22"/>
          <w:szCs w:val="22"/>
        </w:rPr>
        <w:t>Eliminačný polčas sorafenibu je približne 25-48 hodín. Sorafenib sa metabolizuje predovšetkým v pečeni a podrobuje sa oxidačnému metabolizmu sprostredkovanému CYP3A4, ako aj glukuronizácii sprostredkovanej UGT1A9. Konjugáty sorafenibu sa môžu rozš</w:t>
      </w:r>
      <w:r w:rsidR="00FF2B68">
        <w:rPr>
          <w:sz w:val="22"/>
          <w:szCs w:val="22"/>
        </w:rPr>
        <w:t>t</w:t>
      </w:r>
      <w:r w:rsidRPr="005B7DBA">
        <w:rPr>
          <w:sz w:val="22"/>
          <w:szCs w:val="22"/>
        </w:rPr>
        <w:t xml:space="preserve">iepiť v gastrointestinálnom trakte pôsobením bakteriálnej glukuronidázy, čo umožňuje reabsorpciu nekonjugovaného liečiva. Súbežné </w:t>
      </w:r>
    </w:p>
    <w:p w:rsid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podanie neomycínu ukázalo vzájomné spolupôsobenie s týmto procesom so znížením priemernej biologickej dostupnosti sorafenibu o 54 %. </w:t>
      </w:r>
    </w:p>
    <w:p w:rsidR="00500812" w:rsidRPr="00500812" w:rsidRDefault="00500812" w:rsidP="00500812">
      <w:pPr>
        <w:pStyle w:val="Default"/>
      </w:pPr>
    </w:p>
    <w:p w:rsid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Sorafenib predstavuje približne 70-85 % cirkulujúcich analytov v plazme v rovnovážnom stave. Zistilo sa osem metabolitov sorafenibu, z ktorých päť sa detegovalo v plazme. Hlavný cirkulujúci metabolit sorafenibu v plazme, pyridín N-oxid, vykazuje </w:t>
      </w:r>
      <w:r w:rsidRPr="005B7DBA">
        <w:rPr>
          <w:i/>
          <w:iCs/>
          <w:sz w:val="22"/>
          <w:szCs w:val="22"/>
        </w:rPr>
        <w:t xml:space="preserve">in vitro </w:t>
      </w:r>
      <w:r w:rsidRPr="005B7DBA">
        <w:rPr>
          <w:sz w:val="22"/>
          <w:szCs w:val="22"/>
        </w:rPr>
        <w:t xml:space="preserve">podobný účinok ako sorafenib. Tento metabolit tvorí približne 9-16 % cirkulujúcich analytov v rovnovážnom stave. </w:t>
      </w:r>
    </w:p>
    <w:p w:rsidR="00500812" w:rsidRPr="00500812" w:rsidRDefault="00500812" w:rsidP="00500812">
      <w:pPr>
        <w:pStyle w:val="Default"/>
      </w:pPr>
    </w:p>
    <w:p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>Po perorálnom podaní dávky 100 mg roztoku sorafenibu sa 96 % dávky</w:t>
      </w:r>
      <w:r w:rsidR="00500812">
        <w:rPr>
          <w:sz w:val="22"/>
          <w:szCs w:val="22"/>
        </w:rPr>
        <w:t xml:space="preserve"> vylúčilo v priebehu 14 dní, 77 </w:t>
      </w:r>
      <w:r w:rsidRPr="005B7DBA">
        <w:rPr>
          <w:sz w:val="22"/>
          <w:szCs w:val="22"/>
        </w:rPr>
        <w:t xml:space="preserve">% dávky sa vylúčilo stolicou a 19 % dávky sa vylúčilo v moči ako glukuronidované metabolity. Nezmenený sorafenib, ktorí predstavuje 51 % dávky, bol zistený v stolici no nie v moči, čo naznačuje, že vylučovanie žlčou nezmeneného liečiva môže prispievať k eliminácii sorafenibu. </w:t>
      </w:r>
    </w:p>
    <w:p w:rsidR="00634A7E" w:rsidRDefault="00634A7E" w:rsidP="005B7DBA">
      <w:pPr>
        <w:pStyle w:val="CM32"/>
        <w:rPr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  <w:u w:val="single"/>
        </w:rPr>
        <w:lastRenderedPageBreak/>
        <w:t xml:space="preserve">Farmakokinetika u osobitných skupín pacientov </w:t>
      </w:r>
    </w:p>
    <w:p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Analýza demografických údajov naznačila, že nie sú žiadne vzťahy medzi farmakokinetikou a vekom (do 65 rokov), pohlavím alebo telesnou hmotnosťou. </w:t>
      </w:r>
    </w:p>
    <w:p w:rsidR="00634A7E" w:rsidRDefault="00634A7E" w:rsidP="005B7DBA">
      <w:pPr>
        <w:pStyle w:val="CM32"/>
        <w:rPr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  <w:u w:val="single"/>
        </w:rPr>
        <w:t xml:space="preserve">Pediatrická populácia </w:t>
      </w:r>
    </w:p>
    <w:p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Na sledovanie farmakokinetiky sorafenibu sa nevykonali žiadne klinické skúšania s pediatrickými pacientmi. </w:t>
      </w:r>
    </w:p>
    <w:p w:rsidR="00634A7E" w:rsidRDefault="00634A7E" w:rsidP="005B7DBA">
      <w:pPr>
        <w:pStyle w:val="CM32"/>
        <w:rPr>
          <w:sz w:val="22"/>
          <w:szCs w:val="22"/>
          <w:u w:val="single"/>
        </w:rPr>
      </w:pPr>
    </w:p>
    <w:p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  <w:u w:val="single"/>
        </w:rPr>
        <w:t xml:space="preserve">Rasa </w:t>
      </w:r>
    </w:p>
    <w:p w:rsidR="00634A7E" w:rsidRDefault="005B7DBA" w:rsidP="00634A7E">
      <w:pPr>
        <w:pStyle w:val="CM3"/>
        <w:spacing w:line="240" w:lineRule="auto"/>
        <w:rPr>
          <w:sz w:val="22"/>
          <w:szCs w:val="22"/>
        </w:rPr>
      </w:pPr>
      <w:r w:rsidRPr="005B7DBA">
        <w:rPr>
          <w:sz w:val="22"/>
          <w:szCs w:val="22"/>
        </w:rPr>
        <w:t xml:space="preserve">Nie sú žiadne klinicky významné rozdiely vo farmakokinetike medzi </w:t>
      </w:r>
      <w:r w:rsidRPr="00214705">
        <w:rPr>
          <w:sz w:val="22"/>
          <w:szCs w:val="22"/>
        </w:rPr>
        <w:t>jedincami belo</w:t>
      </w:r>
      <w:r w:rsidR="00214705">
        <w:rPr>
          <w:sz w:val="22"/>
          <w:szCs w:val="22"/>
        </w:rPr>
        <w:t>šskej</w:t>
      </w:r>
      <w:r w:rsidRPr="00214705">
        <w:rPr>
          <w:sz w:val="22"/>
          <w:szCs w:val="22"/>
        </w:rPr>
        <w:t xml:space="preserve"> a</w:t>
      </w:r>
      <w:r w:rsidR="00214705">
        <w:rPr>
          <w:sz w:val="22"/>
          <w:szCs w:val="22"/>
        </w:rPr>
        <w:t> ázijskej rasy</w:t>
      </w:r>
      <w:r w:rsidRPr="00214705">
        <w:rPr>
          <w:sz w:val="22"/>
          <w:szCs w:val="22"/>
        </w:rPr>
        <w:t>.</w:t>
      </w:r>
      <w:r w:rsidRPr="005B7DBA">
        <w:rPr>
          <w:sz w:val="22"/>
          <w:szCs w:val="22"/>
        </w:rPr>
        <w:t xml:space="preserve"> </w:t>
      </w:r>
    </w:p>
    <w:p w:rsidR="00634A7E" w:rsidRDefault="00634A7E" w:rsidP="00634A7E">
      <w:pPr>
        <w:pStyle w:val="CM3"/>
        <w:spacing w:line="240" w:lineRule="auto"/>
        <w:rPr>
          <w:sz w:val="22"/>
          <w:szCs w:val="22"/>
        </w:rPr>
      </w:pPr>
    </w:p>
    <w:p w:rsidR="005B7DBA" w:rsidRPr="005B7DBA" w:rsidRDefault="00E3481F" w:rsidP="00634A7E">
      <w:pPr>
        <w:pStyle w:val="CM3"/>
        <w:spacing w:line="240" w:lineRule="auto"/>
        <w:rPr>
          <w:sz w:val="22"/>
          <w:szCs w:val="22"/>
        </w:rPr>
      </w:pPr>
      <w:r>
        <w:rPr>
          <w:sz w:val="22"/>
          <w:szCs w:val="22"/>
          <w:u w:val="single"/>
        </w:rPr>
        <w:t>Porucha</w:t>
      </w:r>
      <w:r w:rsidR="005B7DBA" w:rsidRPr="005B7DBA">
        <w:rPr>
          <w:sz w:val="22"/>
          <w:szCs w:val="22"/>
          <w:u w:val="single"/>
        </w:rPr>
        <w:t xml:space="preserve"> funkcie obličiek </w:t>
      </w:r>
    </w:p>
    <w:p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>V štyroch klinických skúšan</w:t>
      </w:r>
      <w:r w:rsidR="00E3481F">
        <w:rPr>
          <w:sz w:val="22"/>
          <w:szCs w:val="22"/>
        </w:rPr>
        <w:t>iach fázy I</w:t>
      </w:r>
      <w:r w:rsidRPr="005B7DBA">
        <w:rPr>
          <w:sz w:val="22"/>
          <w:szCs w:val="22"/>
        </w:rPr>
        <w:t xml:space="preserve"> bola expozícia sorafenibu </w:t>
      </w:r>
      <w:r w:rsidR="009572E4">
        <w:rPr>
          <w:sz w:val="22"/>
          <w:szCs w:val="22"/>
        </w:rPr>
        <w:t xml:space="preserve">v rovnovážnom stave </w:t>
      </w:r>
      <w:r w:rsidRPr="005B7DBA">
        <w:rPr>
          <w:sz w:val="22"/>
          <w:szCs w:val="22"/>
        </w:rPr>
        <w:t>podobná u pacientov s miern</w:t>
      </w:r>
      <w:r w:rsidR="00E3481F">
        <w:rPr>
          <w:sz w:val="22"/>
          <w:szCs w:val="22"/>
        </w:rPr>
        <w:t>ou</w:t>
      </w:r>
      <w:r w:rsidRPr="005B7DBA">
        <w:rPr>
          <w:sz w:val="22"/>
          <w:szCs w:val="22"/>
        </w:rPr>
        <w:t xml:space="preserve"> až stredne závažn</w:t>
      </w:r>
      <w:r w:rsidR="00E3481F">
        <w:rPr>
          <w:sz w:val="22"/>
          <w:szCs w:val="22"/>
        </w:rPr>
        <w:t>ou</w:t>
      </w:r>
      <w:r w:rsidRPr="005B7DBA">
        <w:rPr>
          <w:sz w:val="22"/>
          <w:szCs w:val="22"/>
        </w:rPr>
        <w:t xml:space="preserve"> </w:t>
      </w:r>
      <w:r w:rsidR="00E3481F">
        <w:rPr>
          <w:sz w:val="22"/>
          <w:szCs w:val="22"/>
        </w:rPr>
        <w:t>poruchou</w:t>
      </w:r>
      <w:r w:rsidRPr="005B7DBA">
        <w:rPr>
          <w:sz w:val="22"/>
          <w:szCs w:val="22"/>
        </w:rPr>
        <w:t xml:space="preserve"> funkcie obličiek v porovnaní s expozíciou u pacientov s normálnou funkciou obličiek. V klinickom farmakologickom skúšaní (jednorazová dávka sorafenibu 400 mg) sa nepozorovali žiadne vzťahy medzi vystavením účinku sorafenibu a funkciou obličiek u jedincov s normálnou funkciou obličiek, miern</w:t>
      </w:r>
      <w:r w:rsidR="00E3481F">
        <w:rPr>
          <w:sz w:val="22"/>
          <w:szCs w:val="22"/>
        </w:rPr>
        <w:t>ou</w:t>
      </w:r>
      <w:r w:rsidRPr="005B7DBA">
        <w:rPr>
          <w:sz w:val="22"/>
          <w:szCs w:val="22"/>
        </w:rPr>
        <w:t>, stredne závažn</w:t>
      </w:r>
      <w:r w:rsidR="00E3481F">
        <w:rPr>
          <w:sz w:val="22"/>
          <w:szCs w:val="22"/>
        </w:rPr>
        <w:t>ou</w:t>
      </w:r>
      <w:r w:rsidRPr="005B7DBA">
        <w:rPr>
          <w:sz w:val="22"/>
          <w:szCs w:val="22"/>
        </w:rPr>
        <w:t xml:space="preserve"> alebo závažn</w:t>
      </w:r>
      <w:r w:rsidR="00E3481F">
        <w:rPr>
          <w:sz w:val="22"/>
          <w:szCs w:val="22"/>
        </w:rPr>
        <w:t>ou</w:t>
      </w:r>
      <w:r w:rsidRPr="005B7DBA">
        <w:rPr>
          <w:sz w:val="22"/>
          <w:szCs w:val="22"/>
        </w:rPr>
        <w:t xml:space="preserve"> </w:t>
      </w:r>
      <w:r w:rsidR="00E3481F">
        <w:rPr>
          <w:sz w:val="22"/>
          <w:szCs w:val="22"/>
        </w:rPr>
        <w:t>poruchou</w:t>
      </w:r>
      <w:r w:rsidRPr="005B7DBA">
        <w:rPr>
          <w:sz w:val="22"/>
          <w:szCs w:val="22"/>
        </w:rPr>
        <w:t xml:space="preserve"> funkci</w:t>
      </w:r>
      <w:r w:rsidR="00E3481F">
        <w:rPr>
          <w:sz w:val="22"/>
          <w:szCs w:val="22"/>
        </w:rPr>
        <w:t>e</w:t>
      </w:r>
      <w:r w:rsidRPr="005B7DBA">
        <w:rPr>
          <w:sz w:val="22"/>
          <w:szCs w:val="22"/>
        </w:rPr>
        <w:t xml:space="preserve"> obličiek. K dispozícii nie údaje o pacientoch vyžadujúcich si dialýzu. </w:t>
      </w:r>
    </w:p>
    <w:p w:rsidR="00634A7E" w:rsidRDefault="00634A7E" w:rsidP="005B7DBA">
      <w:pPr>
        <w:pStyle w:val="CM32"/>
        <w:rPr>
          <w:sz w:val="22"/>
          <w:szCs w:val="22"/>
          <w:u w:val="single"/>
        </w:rPr>
      </w:pPr>
    </w:p>
    <w:p w:rsidR="005B7DBA" w:rsidRPr="005B7DBA" w:rsidRDefault="00E3481F" w:rsidP="005B7DBA">
      <w:pPr>
        <w:pStyle w:val="CM32"/>
        <w:rPr>
          <w:sz w:val="22"/>
          <w:szCs w:val="22"/>
        </w:rPr>
      </w:pPr>
      <w:r>
        <w:rPr>
          <w:sz w:val="22"/>
          <w:szCs w:val="22"/>
          <w:u w:val="single"/>
        </w:rPr>
        <w:t>Porucha</w:t>
      </w:r>
      <w:r w:rsidR="005B7DBA" w:rsidRPr="005B7DBA">
        <w:rPr>
          <w:sz w:val="22"/>
          <w:szCs w:val="22"/>
          <w:u w:val="single"/>
        </w:rPr>
        <w:t xml:space="preserve"> funkcie pečene </w:t>
      </w:r>
    </w:p>
    <w:p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>U pacientov s hepatocelulárnym karcinómom (HCC) s Child</w:t>
      </w:r>
      <w:r w:rsidR="00E37245">
        <w:rPr>
          <w:sz w:val="22"/>
          <w:szCs w:val="22"/>
        </w:rPr>
        <w:t>ovým</w:t>
      </w:r>
      <w:r w:rsidRPr="005B7DBA">
        <w:rPr>
          <w:sz w:val="22"/>
          <w:szCs w:val="22"/>
        </w:rPr>
        <w:t>-Pughovým skóre A alebo B (miern</w:t>
      </w:r>
      <w:r w:rsidR="00FF2B68">
        <w:rPr>
          <w:sz w:val="22"/>
          <w:szCs w:val="22"/>
        </w:rPr>
        <w:t>a</w:t>
      </w:r>
      <w:r w:rsidRPr="005B7DBA">
        <w:rPr>
          <w:sz w:val="22"/>
          <w:szCs w:val="22"/>
        </w:rPr>
        <w:t xml:space="preserve"> až stredne závažn</w:t>
      </w:r>
      <w:r w:rsidR="00FF2B68">
        <w:rPr>
          <w:sz w:val="22"/>
          <w:szCs w:val="22"/>
        </w:rPr>
        <w:t>á</w:t>
      </w:r>
      <w:r w:rsidRPr="005B7DBA">
        <w:rPr>
          <w:sz w:val="22"/>
          <w:szCs w:val="22"/>
        </w:rPr>
        <w:t xml:space="preserve">) </w:t>
      </w:r>
      <w:r w:rsidR="00FF2B68">
        <w:rPr>
          <w:sz w:val="22"/>
          <w:szCs w:val="22"/>
        </w:rPr>
        <w:t>poruchy</w:t>
      </w:r>
      <w:r w:rsidRPr="005B7DBA">
        <w:rPr>
          <w:sz w:val="22"/>
          <w:szCs w:val="22"/>
        </w:rPr>
        <w:t xml:space="preserve"> funkcie pečene bol rozsah hodnôt expozície porovnateľný s rozsahom pozorovaným u pacientov bez </w:t>
      </w:r>
      <w:r w:rsidR="00E37245">
        <w:rPr>
          <w:sz w:val="22"/>
          <w:szCs w:val="22"/>
        </w:rPr>
        <w:t>poruchy</w:t>
      </w:r>
      <w:r w:rsidRPr="005B7DBA">
        <w:rPr>
          <w:sz w:val="22"/>
          <w:szCs w:val="22"/>
        </w:rPr>
        <w:t xml:space="preserve"> funkcie pečene. Farmakokinetika (PK) sorafenibu pri Child</w:t>
      </w:r>
      <w:r w:rsidR="00E37245">
        <w:rPr>
          <w:sz w:val="22"/>
          <w:szCs w:val="22"/>
        </w:rPr>
        <w:t>ovom</w:t>
      </w:r>
      <w:r w:rsidRPr="005B7DBA">
        <w:rPr>
          <w:sz w:val="22"/>
          <w:szCs w:val="22"/>
        </w:rPr>
        <w:t xml:space="preserve">-Pughovom skóre A a B u pacientov bez HCC bola podobná farmakokinetike u zdravých </w:t>
      </w:r>
      <w:r w:rsidR="00500812">
        <w:rPr>
          <w:sz w:val="22"/>
          <w:szCs w:val="22"/>
        </w:rPr>
        <w:t>d</w:t>
      </w:r>
      <w:r w:rsidRPr="005B7DBA">
        <w:rPr>
          <w:sz w:val="22"/>
          <w:szCs w:val="22"/>
        </w:rPr>
        <w:t xml:space="preserve">obrovoľníkov. K dispozícii nie sú údaje u pacientov s Childovou-Pughovou klasifikáciou </w:t>
      </w:r>
      <w:r w:rsidR="00E37245">
        <w:rPr>
          <w:sz w:val="22"/>
          <w:szCs w:val="22"/>
        </w:rPr>
        <w:t>poruchy</w:t>
      </w:r>
      <w:r w:rsidRPr="005B7DBA">
        <w:rPr>
          <w:sz w:val="22"/>
          <w:szCs w:val="22"/>
        </w:rPr>
        <w:t xml:space="preserve"> funkcie pečene stupeň C (závažn</w:t>
      </w:r>
      <w:r w:rsidR="00E37245">
        <w:rPr>
          <w:sz w:val="22"/>
          <w:szCs w:val="22"/>
        </w:rPr>
        <w:t>á</w:t>
      </w:r>
      <w:r w:rsidRPr="005B7DBA">
        <w:rPr>
          <w:sz w:val="22"/>
          <w:szCs w:val="22"/>
        </w:rPr>
        <w:t xml:space="preserve">). Sorafenib sa eliminuje hlavne prostredníctvom pečene a expozícia môže byť v tejto skupine pacientov zvýšená. </w:t>
      </w:r>
    </w:p>
    <w:p w:rsidR="00634A7E" w:rsidRDefault="00634A7E" w:rsidP="005B7DBA">
      <w:pPr>
        <w:pStyle w:val="CM32"/>
        <w:rPr>
          <w:b/>
          <w:bCs/>
          <w:sz w:val="22"/>
          <w:szCs w:val="22"/>
        </w:rPr>
      </w:pPr>
    </w:p>
    <w:p w:rsidR="005B7DBA" w:rsidRDefault="005B7DBA" w:rsidP="00500812">
      <w:pPr>
        <w:pStyle w:val="CM32"/>
        <w:tabs>
          <w:tab w:val="left" w:pos="567"/>
        </w:tabs>
        <w:rPr>
          <w:b/>
          <w:bCs/>
          <w:sz w:val="22"/>
          <w:szCs w:val="22"/>
        </w:rPr>
      </w:pPr>
      <w:r w:rsidRPr="005B7DBA">
        <w:rPr>
          <w:b/>
          <w:bCs/>
          <w:sz w:val="22"/>
          <w:szCs w:val="22"/>
        </w:rPr>
        <w:t xml:space="preserve">5.3 </w:t>
      </w:r>
      <w:r w:rsidR="00500812">
        <w:rPr>
          <w:b/>
          <w:bCs/>
          <w:sz w:val="22"/>
          <w:szCs w:val="22"/>
        </w:rPr>
        <w:tab/>
      </w:r>
      <w:r w:rsidRPr="005B7DBA">
        <w:rPr>
          <w:b/>
          <w:bCs/>
          <w:sz w:val="22"/>
          <w:szCs w:val="22"/>
        </w:rPr>
        <w:t xml:space="preserve">Predklinické údaje o bezpečnosti </w:t>
      </w:r>
    </w:p>
    <w:p w:rsidR="00500812" w:rsidRPr="00500812" w:rsidRDefault="00500812" w:rsidP="00500812">
      <w:pPr>
        <w:pStyle w:val="Default"/>
      </w:pPr>
    </w:p>
    <w:p w:rsidR="005B7DBA" w:rsidRPr="005B7DBA" w:rsidRDefault="005B7DBA" w:rsidP="005B7DBA">
      <w:pPr>
        <w:pStyle w:val="CM3"/>
        <w:spacing w:line="240" w:lineRule="auto"/>
        <w:rPr>
          <w:sz w:val="22"/>
          <w:szCs w:val="22"/>
        </w:rPr>
      </w:pPr>
      <w:r w:rsidRPr="005B7DBA">
        <w:rPr>
          <w:sz w:val="22"/>
          <w:szCs w:val="22"/>
        </w:rPr>
        <w:t xml:space="preserve">Predklinický profil bezpečnosti sorafenibu sa stanovil na myšiach, potkanoch, psoch a králikoch. Štúdie toxicity po opakovanom podávaní odhalili zmeny (degenerácie a regenerácie) rôznych orgánov </w:t>
      </w:r>
    </w:p>
    <w:p w:rsidR="00500812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pri expozíciách pod očakávanými klinickými expozíciami (založené na porovnaniach AUC). </w:t>
      </w:r>
    </w:p>
    <w:p w:rsid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Po opakovanom podávaní mladým a vyvíjajúcim sa psom sa pozorovali účinky na kosti a zuby pri expozíciách pod klinickou expozíciou. Zmeny spočívali v nepravidelnom zhrubnutí rastovej femorálnej platničky, hypocelularite kostnej drene popri zmenených rastových platničkách a zmeny zloženia dentínu. Podobné účinky neboli vyvolané u dospelých psov. </w:t>
      </w:r>
    </w:p>
    <w:p w:rsidR="00500812" w:rsidRPr="00500812" w:rsidRDefault="00500812" w:rsidP="00500812">
      <w:pPr>
        <w:pStyle w:val="Default"/>
      </w:pPr>
    </w:p>
    <w:p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Vykonal sa štandardný program štúdií genotoxicity a získali sa pozitívne výsledky </w:t>
      </w:r>
      <w:r w:rsidR="00E37245">
        <w:rPr>
          <w:sz w:val="22"/>
          <w:szCs w:val="22"/>
        </w:rPr>
        <w:t xml:space="preserve">pozorované </w:t>
      </w:r>
      <w:r w:rsidRPr="005B7DBA">
        <w:rPr>
          <w:sz w:val="22"/>
          <w:szCs w:val="22"/>
        </w:rPr>
        <w:t xml:space="preserve">ako zvýšené štrukturálne chromozomálne aberácie v </w:t>
      </w:r>
      <w:r w:rsidRPr="005B7DBA">
        <w:rPr>
          <w:i/>
          <w:iCs/>
          <w:sz w:val="22"/>
          <w:szCs w:val="22"/>
        </w:rPr>
        <w:t xml:space="preserve">in vitro </w:t>
      </w:r>
      <w:r w:rsidRPr="005B7DBA">
        <w:rPr>
          <w:sz w:val="22"/>
          <w:szCs w:val="22"/>
        </w:rPr>
        <w:t xml:space="preserve">analýze cicavčích buniek (ováriá čínskeho škrečka) na klastogenitu v prítomnosti metabolickej aktivácie. Sorafenib nebol genotoxický v Amesovom teste a v </w:t>
      </w:r>
      <w:r w:rsidRPr="005B7DBA">
        <w:rPr>
          <w:i/>
          <w:iCs/>
          <w:sz w:val="22"/>
          <w:szCs w:val="22"/>
        </w:rPr>
        <w:t xml:space="preserve">in vivo </w:t>
      </w:r>
      <w:r w:rsidRPr="005B7DBA">
        <w:rPr>
          <w:sz w:val="22"/>
          <w:szCs w:val="22"/>
        </w:rPr>
        <w:t xml:space="preserve">analýze myších mikronukleov. Jeden medziprodukt z výrobného postupu, ktorý je tiež prítomný v konečnom liečive (&lt;0,15 %), bol pozitívny na mutagenézu v </w:t>
      </w:r>
      <w:r w:rsidRPr="005B7DBA">
        <w:rPr>
          <w:i/>
          <w:iCs/>
          <w:sz w:val="22"/>
          <w:szCs w:val="22"/>
        </w:rPr>
        <w:t>in vitro</w:t>
      </w:r>
      <w:r w:rsidR="00E37245">
        <w:rPr>
          <w:sz w:val="22"/>
          <w:szCs w:val="22"/>
        </w:rPr>
        <w:t xml:space="preserve"> </w:t>
      </w:r>
      <w:r w:rsidRPr="005B7DBA">
        <w:rPr>
          <w:sz w:val="22"/>
          <w:szCs w:val="22"/>
        </w:rPr>
        <w:t xml:space="preserve">analýze bakteriálnych buniek (Amesov test). Okrem toho testované šarže sorafenibu v štandardných sériách testov genotoxicity zahŕňali 0,34 % PAPE. Štúdie karcinogenity so sorafenibom sa nevykonali. </w:t>
      </w:r>
    </w:p>
    <w:p w:rsidR="00B27BA5" w:rsidRDefault="00B27BA5" w:rsidP="005B7DBA">
      <w:pPr>
        <w:pStyle w:val="CM32"/>
        <w:rPr>
          <w:sz w:val="22"/>
          <w:szCs w:val="22"/>
        </w:rPr>
      </w:pPr>
    </w:p>
    <w:p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Na zvieratách sa nevykonali žiadne </w:t>
      </w:r>
      <w:r w:rsidR="00E37245">
        <w:rPr>
          <w:sz w:val="22"/>
          <w:szCs w:val="22"/>
        </w:rPr>
        <w:t xml:space="preserve">špecifické </w:t>
      </w:r>
      <w:r w:rsidRPr="005B7DBA">
        <w:rPr>
          <w:sz w:val="22"/>
          <w:szCs w:val="22"/>
        </w:rPr>
        <w:t xml:space="preserve">štúdie so sorafenibom na hodnotenie účinku na fertilitu. Nežiaduci účinok na fertilitu samcov a samíc však možno očakávať pretože štúdie po opakovanom podávaní na zvieratách ukázali zmeny reprodukčných orgánov samcov a samíc pri expozíciách pod očakávanou klinickou expozíciou (založené na AUC). Charakteristické zmeny zahŕňali </w:t>
      </w:r>
      <w:r w:rsidR="00A46BBF">
        <w:rPr>
          <w:sz w:val="22"/>
          <w:szCs w:val="22"/>
        </w:rPr>
        <w:t>prejavy</w:t>
      </w:r>
      <w:r w:rsidRPr="005B7DBA">
        <w:rPr>
          <w:sz w:val="22"/>
          <w:szCs w:val="22"/>
        </w:rPr>
        <w:t xml:space="preserve"> degenerácie a retardácie </w:t>
      </w:r>
      <w:r w:rsidR="00010AE6">
        <w:rPr>
          <w:sz w:val="22"/>
          <w:szCs w:val="22"/>
        </w:rPr>
        <w:t>semen</w:t>
      </w:r>
      <w:r w:rsidR="00FF2B68">
        <w:rPr>
          <w:sz w:val="22"/>
          <w:szCs w:val="22"/>
        </w:rPr>
        <w:t>n</w:t>
      </w:r>
      <w:r w:rsidR="00010AE6">
        <w:rPr>
          <w:sz w:val="22"/>
          <w:szCs w:val="22"/>
        </w:rPr>
        <w:t>íkov</w:t>
      </w:r>
      <w:r w:rsidRPr="005B7DBA">
        <w:rPr>
          <w:sz w:val="22"/>
          <w:szCs w:val="22"/>
        </w:rPr>
        <w:t xml:space="preserve">, </w:t>
      </w:r>
      <w:r w:rsidR="00010AE6">
        <w:rPr>
          <w:sz w:val="22"/>
          <w:szCs w:val="22"/>
        </w:rPr>
        <w:t>nadseme</w:t>
      </w:r>
      <w:r w:rsidR="00FF2B68">
        <w:rPr>
          <w:sz w:val="22"/>
          <w:szCs w:val="22"/>
        </w:rPr>
        <w:t>n</w:t>
      </w:r>
      <w:r w:rsidR="00010AE6">
        <w:rPr>
          <w:sz w:val="22"/>
          <w:szCs w:val="22"/>
        </w:rPr>
        <w:t>níkov</w:t>
      </w:r>
      <w:r w:rsidRPr="005B7DBA">
        <w:rPr>
          <w:sz w:val="22"/>
          <w:szCs w:val="22"/>
        </w:rPr>
        <w:t xml:space="preserve">, prostaty a semenných váčkov potkanov. Potkanie samice vykazovali centrálnu nekrózu žltého telieska a zastavenie vývoja folikulov vo vaječníkoch. Psy vykazovali degeneráciu tubulov v </w:t>
      </w:r>
      <w:r w:rsidR="00A46BBF">
        <w:rPr>
          <w:sz w:val="22"/>
          <w:szCs w:val="22"/>
        </w:rPr>
        <w:t>semenníkoch</w:t>
      </w:r>
      <w:r w:rsidRPr="005B7DBA">
        <w:rPr>
          <w:sz w:val="22"/>
          <w:szCs w:val="22"/>
        </w:rPr>
        <w:t xml:space="preserve"> a oligospermiu. </w:t>
      </w:r>
    </w:p>
    <w:p w:rsidR="00B27BA5" w:rsidRDefault="00B27BA5" w:rsidP="005B7DBA">
      <w:pPr>
        <w:pStyle w:val="CM32"/>
        <w:rPr>
          <w:sz w:val="22"/>
          <w:szCs w:val="22"/>
        </w:rPr>
      </w:pPr>
    </w:p>
    <w:p w:rsidR="005B7DBA" w:rsidRDefault="00A46BBF" w:rsidP="005B7DBA">
      <w:pPr>
        <w:pStyle w:val="CM32"/>
        <w:rPr>
          <w:sz w:val="22"/>
          <w:szCs w:val="22"/>
        </w:rPr>
      </w:pPr>
      <w:r>
        <w:rPr>
          <w:sz w:val="22"/>
          <w:szCs w:val="22"/>
        </w:rPr>
        <w:t>Bolo pre</w:t>
      </w:r>
      <w:r w:rsidR="005B7DBA" w:rsidRPr="005B7DBA">
        <w:rPr>
          <w:sz w:val="22"/>
          <w:szCs w:val="22"/>
        </w:rPr>
        <w:t>ukáza</w:t>
      </w:r>
      <w:r>
        <w:rPr>
          <w:sz w:val="22"/>
          <w:szCs w:val="22"/>
        </w:rPr>
        <w:t>né</w:t>
      </w:r>
      <w:r w:rsidR="005B7DBA" w:rsidRPr="005B7DBA">
        <w:rPr>
          <w:sz w:val="22"/>
          <w:szCs w:val="22"/>
        </w:rPr>
        <w:t xml:space="preserve">, že </w:t>
      </w:r>
      <w:r>
        <w:rPr>
          <w:sz w:val="22"/>
          <w:szCs w:val="22"/>
        </w:rPr>
        <w:t xml:space="preserve">sorafenib </w:t>
      </w:r>
      <w:r w:rsidR="005B7DBA" w:rsidRPr="005B7DBA">
        <w:rPr>
          <w:sz w:val="22"/>
          <w:szCs w:val="22"/>
        </w:rPr>
        <w:t xml:space="preserve">je embryotoxický a teratogénny ak sa podával potkanom a králikom pri expozíciách </w:t>
      </w:r>
      <w:r w:rsidR="005B7DBA" w:rsidRPr="00214705">
        <w:rPr>
          <w:sz w:val="22"/>
          <w:szCs w:val="22"/>
        </w:rPr>
        <w:t>pod</w:t>
      </w:r>
      <w:r w:rsidR="005B7DBA" w:rsidRPr="005B7DBA">
        <w:rPr>
          <w:sz w:val="22"/>
          <w:szCs w:val="22"/>
        </w:rPr>
        <w:t xml:space="preserve"> klinickou expozíciou. Pozorované účinky zahŕňajú zníženie telesnej hmotnosti matky </w:t>
      </w:r>
      <w:r w:rsidR="005B7DBA" w:rsidRPr="005B7DBA">
        <w:rPr>
          <w:sz w:val="22"/>
          <w:szCs w:val="22"/>
        </w:rPr>
        <w:lastRenderedPageBreak/>
        <w:t xml:space="preserve">a plodu, zvýšený počet resorpcií plodov a zvýšený počet vonkajších a viscerálnych malformácií. </w:t>
      </w:r>
    </w:p>
    <w:p w:rsidR="00010AE6" w:rsidRPr="00010AE6" w:rsidRDefault="00010AE6" w:rsidP="00010AE6">
      <w:pPr>
        <w:pStyle w:val="Default"/>
      </w:pPr>
    </w:p>
    <w:p w:rsidR="00B27BA5" w:rsidRDefault="005B7DBA" w:rsidP="00FD72BB">
      <w:pPr>
        <w:pStyle w:val="CM9"/>
        <w:spacing w:line="240" w:lineRule="auto"/>
        <w:rPr>
          <w:sz w:val="22"/>
          <w:szCs w:val="22"/>
        </w:rPr>
      </w:pPr>
      <w:r w:rsidRPr="005B7DBA">
        <w:rPr>
          <w:sz w:val="22"/>
          <w:szCs w:val="22"/>
        </w:rPr>
        <w:t xml:space="preserve">Štúdie vyhodnocujúce environmentálne riziko ukázali, že </w:t>
      </w:r>
      <w:r w:rsidR="00214705" w:rsidRPr="00214705">
        <w:rPr>
          <w:sz w:val="22"/>
          <w:szCs w:val="22"/>
        </w:rPr>
        <w:t>sorafeníbium-tozylát</w:t>
      </w:r>
      <w:r w:rsidRPr="005B7DBA">
        <w:rPr>
          <w:sz w:val="22"/>
          <w:szCs w:val="22"/>
        </w:rPr>
        <w:t xml:space="preserve"> má potenciál zotrvávania, biologickej akumulácie a toxicity pre životné prostredie. Informácie o </w:t>
      </w:r>
      <w:r w:rsidR="00A46BBF">
        <w:rPr>
          <w:sz w:val="22"/>
          <w:szCs w:val="22"/>
        </w:rPr>
        <w:t>hodnotení</w:t>
      </w:r>
      <w:r w:rsidRPr="005B7DBA">
        <w:rPr>
          <w:sz w:val="22"/>
          <w:szCs w:val="22"/>
        </w:rPr>
        <w:t xml:space="preserve"> environmentálneho rizika sú k dispozícii v správe EPAR o </w:t>
      </w:r>
      <w:r w:rsidRPr="00214705">
        <w:rPr>
          <w:sz w:val="22"/>
          <w:szCs w:val="22"/>
        </w:rPr>
        <w:t>tomto</w:t>
      </w:r>
      <w:r w:rsidRPr="005B7DBA">
        <w:rPr>
          <w:sz w:val="22"/>
          <w:szCs w:val="22"/>
        </w:rPr>
        <w:t xml:space="preserve"> lieku (pozri časť 6.6). </w:t>
      </w:r>
    </w:p>
    <w:p w:rsidR="00010AE6" w:rsidRPr="00010AE6" w:rsidRDefault="00010AE6" w:rsidP="00010AE6">
      <w:pPr>
        <w:pStyle w:val="Default"/>
      </w:pPr>
    </w:p>
    <w:p w:rsidR="00B27BA5" w:rsidRDefault="00B27BA5" w:rsidP="00B27BA5">
      <w:pPr>
        <w:pStyle w:val="CM7"/>
        <w:spacing w:line="240" w:lineRule="auto"/>
        <w:rPr>
          <w:sz w:val="22"/>
          <w:szCs w:val="22"/>
        </w:rPr>
      </w:pPr>
    </w:p>
    <w:p w:rsidR="005B7DBA" w:rsidRPr="005B7DBA" w:rsidRDefault="005B7DBA" w:rsidP="00010AE6">
      <w:pPr>
        <w:pStyle w:val="CM7"/>
        <w:tabs>
          <w:tab w:val="left" w:pos="567"/>
        </w:tabs>
        <w:spacing w:line="240" w:lineRule="auto"/>
        <w:rPr>
          <w:sz w:val="22"/>
          <w:szCs w:val="22"/>
        </w:rPr>
      </w:pPr>
      <w:r w:rsidRPr="005B7DBA">
        <w:rPr>
          <w:b/>
          <w:bCs/>
          <w:sz w:val="22"/>
          <w:szCs w:val="22"/>
        </w:rPr>
        <w:t xml:space="preserve">6. </w:t>
      </w:r>
      <w:r w:rsidR="00010AE6">
        <w:rPr>
          <w:b/>
          <w:bCs/>
          <w:sz w:val="22"/>
          <w:szCs w:val="22"/>
        </w:rPr>
        <w:tab/>
      </w:r>
      <w:r w:rsidRPr="005B7DBA">
        <w:rPr>
          <w:b/>
          <w:bCs/>
          <w:sz w:val="22"/>
          <w:szCs w:val="22"/>
        </w:rPr>
        <w:t xml:space="preserve">FARMACEUTICKÉ INFORMÁCIE </w:t>
      </w:r>
    </w:p>
    <w:p w:rsidR="00B27BA5" w:rsidRDefault="00B27BA5" w:rsidP="005B7DBA">
      <w:pPr>
        <w:pStyle w:val="CM32"/>
        <w:rPr>
          <w:b/>
          <w:bCs/>
          <w:sz w:val="22"/>
          <w:szCs w:val="22"/>
        </w:rPr>
      </w:pPr>
    </w:p>
    <w:p w:rsidR="005B7DBA" w:rsidRPr="005B7DBA" w:rsidRDefault="005B7DBA" w:rsidP="00010AE6">
      <w:pPr>
        <w:pStyle w:val="CM32"/>
        <w:tabs>
          <w:tab w:val="left" w:pos="567"/>
        </w:tabs>
        <w:rPr>
          <w:sz w:val="22"/>
          <w:szCs w:val="22"/>
        </w:rPr>
      </w:pPr>
      <w:r w:rsidRPr="005B7DBA">
        <w:rPr>
          <w:b/>
          <w:bCs/>
          <w:sz w:val="22"/>
          <w:szCs w:val="22"/>
        </w:rPr>
        <w:t xml:space="preserve">6.1 </w:t>
      </w:r>
      <w:r w:rsidR="00010AE6">
        <w:rPr>
          <w:b/>
          <w:bCs/>
          <w:sz w:val="22"/>
          <w:szCs w:val="22"/>
        </w:rPr>
        <w:tab/>
      </w:r>
      <w:r w:rsidRPr="005B7DBA">
        <w:rPr>
          <w:b/>
          <w:bCs/>
          <w:sz w:val="22"/>
          <w:szCs w:val="22"/>
        </w:rPr>
        <w:t xml:space="preserve">Zoznam pomocných látok </w:t>
      </w:r>
    </w:p>
    <w:p w:rsidR="00010AE6" w:rsidRDefault="00010AE6" w:rsidP="005B7DBA">
      <w:pPr>
        <w:pStyle w:val="CM32"/>
        <w:rPr>
          <w:sz w:val="22"/>
          <w:szCs w:val="22"/>
        </w:rPr>
      </w:pPr>
    </w:p>
    <w:p w:rsidR="00010AE6" w:rsidRPr="00010AE6" w:rsidRDefault="005B7DBA" w:rsidP="005B7DBA">
      <w:pPr>
        <w:pStyle w:val="CM32"/>
        <w:rPr>
          <w:sz w:val="22"/>
          <w:szCs w:val="22"/>
          <w:u w:val="single"/>
        </w:rPr>
      </w:pPr>
      <w:r w:rsidRPr="00010AE6">
        <w:rPr>
          <w:sz w:val="22"/>
          <w:szCs w:val="22"/>
          <w:u w:val="single"/>
        </w:rPr>
        <w:t xml:space="preserve">Jadro tablety: </w:t>
      </w:r>
    </w:p>
    <w:p w:rsidR="00010AE6" w:rsidRDefault="00010AE6" w:rsidP="00010AE6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Mikrokryštalická celulóza </w:t>
      </w:r>
    </w:p>
    <w:p w:rsidR="00010AE6" w:rsidRDefault="00A46BBF" w:rsidP="00010AE6">
      <w:pPr>
        <w:pStyle w:val="CM32"/>
        <w:rPr>
          <w:sz w:val="22"/>
          <w:szCs w:val="22"/>
        </w:rPr>
      </w:pPr>
      <w:r w:rsidRPr="00A46BBF">
        <w:rPr>
          <w:sz w:val="22"/>
          <w:szCs w:val="22"/>
        </w:rPr>
        <w:t>Laurylsíran sodný</w:t>
      </w:r>
    </w:p>
    <w:p w:rsidR="00010AE6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Sodná soľ kroskarmelózy </w:t>
      </w:r>
    </w:p>
    <w:p w:rsidR="00010AE6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Hypromelóza </w:t>
      </w:r>
    </w:p>
    <w:p w:rsidR="005B7DBA" w:rsidRPr="005B7DBA" w:rsidRDefault="00A46BBF" w:rsidP="005B7DBA">
      <w:pPr>
        <w:pStyle w:val="CM32"/>
        <w:rPr>
          <w:sz w:val="22"/>
          <w:szCs w:val="22"/>
        </w:rPr>
      </w:pPr>
      <w:r>
        <w:rPr>
          <w:sz w:val="22"/>
          <w:szCs w:val="22"/>
        </w:rPr>
        <w:t>Stearan horečnatý</w:t>
      </w:r>
      <w:r w:rsidR="005B7DBA" w:rsidRPr="005B7DBA">
        <w:rPr>
          <w:sz w:val="22"/>
          <w:szCs w:val="22"/>
        </w:rPr>
        <w:t xml:space="preserve"> </w:t>
      </w:r>
      <w:r w:rsidR="00010AE6">
        <w:rPr>
          <w:sz w:val="22"/>
          <w:szCs w:val="22"/>
        </w:rPr>
        <w:t>[rastlinný]</w:t>
      </w:r>
    </w:p>
    <w:p w:rsidR="00010AE6" w:rsidRDefault="00010AE6" w:rsidP="005B7DBA">
      <w:pPr>
        <w:pStyle w:val="CM32"/>
        <w:rPr>
          <w:sz w:val="22"/>
          <w:szCs w:val="22"/>
        </w:rPr>
      </w:pPr>
    </w:p>
    <w:p w:rsidR="00010AE6" w:rsidRPr="00010AE6" w:rsidRDefault="00010AE6" w:rsidP="005B7DBA">
      <w:pPr>
        <w:pStyle w:val="CM32"/>
        <w:rPr>
          <w:sz w:val="22"/>
          <w:szCs w:val="22"/>
          <w:u w:val="single"/>
        </w:rPr>
      </w:pPr>
      <w:r w:rsidRPr="00010AE6">
        <w:rPr>
          <w:sz w:val="22"/>
          <w:szCs w:val="22"/>
          <w:u w:val="single"/>
        </w:rPr>
        <w:t xml:space="preserve">Obal </w:t>
      </w:r>
      <w:r w:rsidR="005B7DBA" w:rsidRPr="00010AE6">
        <w:rPr>
          <w:sz w:val="22"/>
          <w:szCs w:val="22"/>
          <w:u w:val="single"/>
        </w:rPr>
        <w:t xml:space="preserve">tablety: </w:t>
      </w:r>
    </w:p>
    <w:p w:rsidR="00010AE6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Hypromelóza </w:t>
      </w:r>
    </w:p>
    <w:p w:rsidR="00010AE6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>Makrogol</w:t>
      </w:r>
    </w:p>
    <w:p w:rsidR="00010AE6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Oxid titaničitý (E 171) </w:t>
      </w:r>
    </w:p>
    <w:p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Červený oxid železitý (E 172) </w:t>
      </w:r>
    </w:p>
    <w:p w:rsidR="00B27BA5" w:rsidRDefault="00B27BA5" w:rsidP="005B7DBA">
      <w:pPr>
        <w:pStyle w:val="CM32"/>
        <w:rPr>
          <w:b/>
          <w:bCs/>
          <w:sz w:val="22"/>
          <w:szCs w:val="22"/>
        </w:rPr>
      </w:pPr>
    </w:p>
    <w:p w:rsidR="005B7DBA" w:rsidRPr="005B7DBA" w:rsidRDefault="005B7DBA" w:rsidP="00010AE6">
      <w:pPr>
        <w:pStyle w:val="CM32"/>
        <w:tabs>
          <w:tab w:val="left" w:pos="567"/>
        </w:tabs>
        <w:rPr>
          <w:sz w:val="22"/>
          <w:szCs w:val="22"/>
        </w:rPr>
      </w:pPr>
      <w:r w:rsidRPr="005B7DBA">
        <w:rPr>
          <w:b/>
          <w:bCs/>
          <w:sz w:val="22"/>
          <w:szCs w:val="22"/>
        </w:rPr>
        <w:t xml:space="preserve">6.2 </w:t>
      </w:r>
      <w:r w:rsidR="00010AE6">
        <w:rPr>
          <w:b/>
          <w:bCs/>
          <w:sz w:val="22"/>
          <w:szCs w:val="22"/>
        </w:rPr>
        <w:tab/>
      </w:r>
      <w:r w:rsidRPr="005B7DBA">
        <w:rPr>
          <w:b/>
          <w:bCs/>
          <w:sz w:val="22"/>
          <w:szCs w:val="22"/>
        </w:rPr>
        <w:t xml:space="preserve">Inkompatibility </w:t>
      </w:r>
    </w:p>
    <w:p w:rsidR="00010AE6" w:rsidRDefault="00010AE6" w:rsidP="005B7DBA">
      <w:pPr>
        <w:pStyle w:val="CM32"/>
        <w:rPr>
          <w:sz w:val="22"/>
          <w:szCs w:val="22"/>
        </w:rPr>
      </w:pPr>
    </w:p>
    <w:p w:rsidR="005B7DBA" w:rsidRPr="005B7DBA" w:rsidRDefault="005B7DBA" w:rsidP="005B7DBA">
      <w:pPr>
        <w:pStyle w:val="CM32"/>
        <w:rPr>
          <w:sz w:val="22"/>
          <w:szCs w:val="22"/>
        </w:rPr>
      </w:pPr>
      <w:r w:rsidRPr="005B7DBA">
        <w:rPr>
          <w:sz w:val="22"/>
          <w:szCs w:val="22"/>
        </w:rPr>
        <w:t xml:space="preserve">Neaplikovateľné. </w:t>
      </w:r>
    </w:p>
    <w:p w:rsidR="00B27BA5" w:rsidRDefault="00B27BA5" w:rsidP="005B7DBA">
      <w:pPr>
        <w:pStyle w:val="CM32"/>
        <w:rPr>
          <w:b/>
          <w:bCs/>
          <w:sz w:val="22"/>
          <w:szCs w:val="22"/>
        </w:rPr>
      </w:pPr>
    </w:p>
    <w:p w:rsidR="005B7DBA" w:rsidRPr="005B7DBA" w:rsidRDefault="005B7DBA" w:rsidP="00010AE6">
      <w:pPr>
        <w:pStyle w:val="CM32"/>
        <w:tabs>
          <w:tab w:val="left" w:pos="567"/>
        </w:tabs>
        <w:rPr>
          <w:sz w:val="22"/>
          <w:szCs w:val="22"/>
        </w:rPr>
      </w:pPr>
      <w:r w:rsidRPr="005B7DBA">
        <w:rPr>
          <w:b/>
          <w:bCs/>
          <w:sz w:val="22"/>
          <w:szCs w:val="22"/>
        </w:rPr>
        <w:t xml:space="preserve">6.3 </w:t>
      </w:r>
      <w:r w:rsidR="00010AE6">
        <w:rPr>
          <w:b/>
          <w:bCs/>
          <w:sz w:val="22"/>
          <w:szCs w:val="22"/>
        </w:rPr>
        <w:tab/>
      </w:r>
      <w:r w:rsidRPr="005B7DBA">
        <w:rPr>
          <w:b/>
          <w:bCs/>
          <w:sz w:val="22"/>
          <w:szCs w:val="22"/>
        </w:rPr>
        <w:t xml:space="preserve">Čas použiteľnosti </w:t>
      </w:r>
    </w:p>
    <w:p w:rsidR="00010AE6" w:rsidRDefault="00010AE6" w:rsidP="005B7DBA">
      <w:pPr>
        <w:pStyle w:val="CM32"/>
        <w:rPr>
          <w:sz w:val="22"/>
          <w:szCs w:val="22"/>
        </w:rPr>
      </w:pPr>
    </w:p>
    <w:p w:rsidR="005B7DBA" w:rsidRDefault="00010AE6" w:rsidP="005B7DBA">
      <w:pPr>
        <w:pStyle w:val="CM32"/>
        <w:rPr>
          <w:sz w:val="22"/>
          <w:szCs w:val="22"/>
        </w:rPr>
      </w:pPr>
      <w:r>
        <w:rPr>
          <w:sz w:val="22"/>
          <w:szCs w:val="22"/>
        </w:rPr>
        <w:t>2 roky</w:t>
      </w:r>
    </w:p>
    <w:p w:rsidR="00010AE6" w:rsidRPr="00010AE6" w:rsidRDefault="00010AE6" w:rsidP="00010AE6">
      <w:pPr>
        <w:pStyle w:val="Default"/>
      </w:pPr>
    </w:p>
    <w:p w:rsidR="005B7DBA" w:rsidRPr="005B7DBA" w:rsidRDefault="005B7DBA" w:rsidP="00010AE6">
      <w:pPr>
        <w:pStyle w:val="CM32"/>
        <w:tabs>
          <w:tab w:val="left" w:pos="567"/>
        </w:tabs>
        <w:rPr>
          <w:sz w:val="22"/>
          <w:szCs w:val="22"/>
        </w:rPr>
      </w:pPr>
      <w:r w:rsidRPr="005B7DBA">
        <w:rPr>
          <w:b/>
          <w:bCs/>
          <w:sz w:val="22"/>
          <w:szCs w:val="22"/>
        </w:rPr>
        <w:t xml:space="preserve">6.4 </w:t>
      </w:r>
      <w:r w:rsidR="00010AE6">
        <w:rPr>
          <w:b/>
          <w:bCs/>
          <w:sz w:val="22"/>
          <w:szCs w:val="22"/>
        </w:rPr>
        <w:tab/>
      </w:r>
      <w:r w:rsidRPr="005B7DBA">
        <w:rPr>
          <w:b/>
          <w:bCs/>
          <w:sz w:val="22"/>
          <w:szCs w:val="22"/>
        </w:rPr>
        <w:t xml:space="preserve">Špeciálne upozornenia na uchovávanie </w:t>
      </w:r>
    </w:p>
    <w:p w:rsidR="00010AE6" w:rsidRDefault="00010AE6" w:rsidP="00010AE6">
      <w:pPr>
        <w:pStyle w:val="CM100"/>
        <w:rPr>
          <w:sz w:val="22"/>
          <w:szCs w:val="22"/>
        </w:rPr>
      </w:pPr>
    </w:p>
    <w:p w:rsidR="00010AE6" w:rsidRPr="004E1637" w:rsidRDefault="00010AE6" w:rsidP="00010AE6">
      <w:pPr>
        <w:pStyle w:val="CM100"/>
        <w:rPr>
          <w:sz w:val="22"/>
          <w:szCs w:val="22"/>
        </w:rPr>
      </w:pPr>
      <w:r w:rsidRPr="004E1637">
        <w:rPr>
          <w:sz w:val="22"/>
          <w:szCs w:val="22"/>
        </w:rPr>
        <w:t>Tento liek nevyžaduje žiadne zvláštne teplotné podmienky na uchovávanie.</w:t>
      </w:r>
      <w:r>
        <w:rPr>
          <w:sz w:val="22"/>
          <w:szCs w:val="22"/>
        </w:rPr>
        <w:t xml:space="preserve"> </w:t>
      </w:r>
      <w:r w:rsidRPr="004E1637">
        <w:rPr>
          <w:sz w:val="22"/>
          <w:szCs w:val="22"/>
        </w:rPr>
        <w:t xml:space="preserve">Uchovávajte v pôvodnom obale na ochranu pred vlhkosťou. </w:t>
      </w:r>
    </w:p>
    <w:p w:rsidR="00B27BA5" w:rsidRDefault="00B27BA5" w:rsidP="005B7DBA">
      <w:pPr>
        <w:pStyle w:val="CM32"/>
        <w:rPr>
          <w:b/>
          <w:bCs/>
          <w:sz w:val="22"/>
          <w:szCs w:val="22"/>
        </w:rPr>
      </w:pPr>
    </w:p>
    <w:p w:rsidR="005B7DBA" w:rsidRPr="005B7DBA" w:rsidRDefault="005B7DBA" w:rsidP="00010AE6">
      <w:pPr>
        <w:pStyle w:val="CM32"/>
        <w:tabs>
          <w:tab w:val="left" w:pos="567"/>
        </w:tabs>
        <w:rPr>
          <w:sz w:val="22"/>
          <w:szCs w:val="22"/>
        </w:rPr>
      </w:pPr>
      <w:r w:rsidRPr="005B7DBA">
        <w:rPr>
          <w:b/>
          <w:bCs/>
          <w:sz w:val="22"/>
          <w:szCs w:val="22"/>
        </w:rPr>
        <w:t xml:space="preserve">6.5 </w:t>
      </w:r>
      <w:r w:rsidR="00010AE6">
        <w:rPr>
          <w:b/>
          <w:bCs/>
          <w:sz w:val="22"/>
          <w:szCs w:val="22"/>
        </w:rPr>
        <w:tab/>
      </w:r>
      <w:r w:rsidRPr="005B7DBA">
        <w:rPr>
          <w:b/>
          <w:bCs/>
          <w:sz w:val="22"/>
          <w:szCs w:val="22"/>
        </w:rPr>
        <w:t xml:space="preserve">Druh obalu a obsah balenia </w:t>
      </w:r>
    </w:p>
    <w:p w:rsidR="00010AE6" w:rsidRPr="00010AE6" w:rsidRDefault="00010AE6" w:rsidP="005B7DBA">
      <w:pPr>
        <w:pStyle w:val="CM32"/>
        <w:rPr>
          <w:sz w:val="22"/>
          <w:szCs w:val="22"/>
        </w:rPr>
      </w:pPr>
    </w:p>
    <w:p w:rsidR="00010AE6" w:rsidRPr="00010AE6" w:rsidRDefault="00010AE6" w:rsidP="00010AE6">
      <w:pPr>
        <w:pStyle w:val="Default"/>
        <w:rPr>
          <w:sz w:val="22"/>
          <w:szCs w:val="22"/>
        </w:rPr>
      </w:pPr>
      <w:r w:rsidRPr="00010AE6">
        <w:rPr>
          <w:sz w:val="22"/>
          <w:szCs w:val="22"/>
        </w:rPr>
        <w:t>PVC/Aclar/PVC-Al blistre a OPA/Al/PVC-Al blistre.</w:t>
      </w:r>
    </w:p>
    <w:p w:rsidR="00010AE6" w:rsidRPr="00010AE6" w:rsidRDefault="00010AE6" w:rsidP="00010AE6">
      <w:pPr>
        <w:pStyle w:val="Default"/>
        <w:rPr>
          <w:sz w:val="22"/>
          <w:szCs w:val="22"/>
        </w:rPr>
      </w:pPr>
    </w:p>
    <w:p w:rsidR="005B7DBA" w:rsidRDefault="00010AE6" w:rsidP="00010AE6">
      <w:pPr>
        <w:pStyle w:val="Default"/>
        <w:rPr>
          <w:sz w:val="22"/>
          <w:szCs w:val="22"/>
        </w:rPr>
      </w:pPr>
      <w:r w:rsidRPr="00010AE6">
        <w:rPr>
          <w:sz w:val="22"/>
          <w:szCs w:val="22"/>
        </w:rPr>
        <w:t>Veľkosť balenia</w:t>
      </w:r>
      <w:r>
        <w:rPr>
          <w:sz w:val="22"/>
          <w:szCs w:val="22"/>
        </w:rPr>
        <w:t xml:space="preserve">: 28, 30, 56 a 112 </w:t>
      </w:r>
      <w:r w:rsidR="005B7DBA" w:rsidRPr="00010AE6">
        <w:rPr>
          <w:sz w:val="22"/>
          <w:szCs w:val="22"/>
        </w:rPr>
        <w:t>filmom obalených tabliet v</w:t>
      </w:r>
      <w:r>
        <w:rPr>
          <w:sz w:val="22"/>
          <w:szCs w:val="22"/>
        </w:rPr>
        <w:t xml:space="preserve"> blistroch alebo 112 x 1 filmom obalená tableta v perforovaných blistroch s jednotlivou dávkou. </w:t>
      </w:r>
    </w:p>
    <w:p w:rsidR="00010AE6" w:rsidRDefault="00010AE6" w:rsidP="00010AE6">
      <w:pPr>
        <w:pStyle w:val="Default"/>
        <w:rPr>
          <w:sz w:val="22"/>
          <w:szCs w:val="22"/>
        </w:rPr>
      </w:pPr>
    </w:p>
    <w:p w:rsidR="00010AE6" w:rsidRPr="004E1637" w:rsidRDefault="00010AE6" w:rsidP="00010AE6">
      <w:pPr>
        <w:pStyle w:val="CM2"/>
        <w:spacing w:line="240" w:lineRule="auto"/>
        <w:rPr>
          <w:sz w:val="22"/>
          <w:szCs w:val="22"/>
        </w:rPr>
      </w:pPr>
      <w:r w:rsidRPr="004E1637">
        <w:rPr>
          <w:sz w:val="22"/>
          <w:szCs w:val="22"/>
        </w:rPr>
        <w:t xml:space="preserve">Na trh nemusia byť uvedené všetky veľkosti balenia. </w:t>
      </w:r>
    </w:p>
    <w:p w:rsidR="00B27BA5" w:rsidRPr="00010AE6" w:rsidRDefault="00B27BA5" w:rsidP="005B7DBA">
      <w:pPr>
        <w:pStyle w:val="CM32"/>
        <w:rPr>
          <w:b/>
          <w:bCs/>
          <w:sz w:val="22"/>
          <w:szCs w:val="22"/>
        </w:rPr>
      </w:pPr>
    </w:p>
    <w:p w:rsidR="005B7DBA" w:rsidRPr="00010AE6" w:rsidRDefault="005B7DBA" w:rsidP="00010AE6">
      <w:pPr>
        <w:pStyle w:val="CM32"/>
        <w:tabs>
          <w:tab w:val="left" w:pos="567"/>
        </w:tabs>
        <w:rPr>
          <w:sz w:val="22"/>
          <w:szCs w:val="22"/>
        </w:rPr>
      </w:pPr>
      <w:r w:rsidRPr="00010AE6">
        <w:rPr>
          <w:b/>
          <w:bCs/>
          <w:sz w:val="22"/>
          <w:szCs w:val="22"/>
        </w:rPr>
        <w:t xml:space="preserve">6.6 </w:t>
      </w:r>
      <w:r w:rsidR="00010AE6">
        <w:rPr>
          <w:b/>
          <w:bCs/>
          <w:sz w:val="22"/>
          <w:szCs w:val="22"/>
        </w:rPr>
        <w:tab/>
      </w:r>
      <w:r w:rsidRPr="00010AE6">
        <w:rPr>
          <w:b/>
          <w:bCs/>
          <w:sz w:val="22"/>
          <w:szCs w:val="22"/>
        </w:rPr>
        <w:t xml:space="preserve">Špeciálne opatrenia na likvidáciu </w:t>
      </w:r>
    </w:p>
    <w:p w:rsidR="00C837E8" w:rsidRDefault="00C837E8" w:rsidP="005B7DBA">
      <w:pPr>
        <w:pStyle w:val="CM33"/>
        <w:rPr>
          <w:sz w:val="22"/>
          <w:szCs w:val="22"/>
        </w:rPr>
      </w:pPr>
    </w:p>
    <w:p w:rsidR="00C837E8" w:rsidRPr="004E1637" w:rsidRDefault="005B7DBA" w:rsidP="00C837E8">
      <w:pPr>
        <w:pStyle w:val="CM101"/>
        <w:rPr>
          <w:sz w:val="22"/>
          <w:szCs w:val="22"/>
        </w:rPr>
      </w:pPr>
      <w:r w:rsidRPr="00010AE6">
        <w:rPr>
          <w:sz w:val="22"/>
          <w:szCs w:val="22"/>
        </w:rPr>
        <w:t xml:space="preserve">Tento liek môže predstavovať potenciálne riziko pre životné prostredie. </w:t>
      </w:r>
      <w:r w:rsidR="00C837E8" w:rsidRPr="004E1637">
        <w:rPr>
          <w:sz w:val="22"/>
          <w:szCs w:val="22"/>
        </w:rPr>
        <w:t xml:space="preserve">Všetok nepoužitý liek alebo odpad vzniknutý z lieku sa má zlikvidovať v súlade s národnými požiadavkami. </w:t>
      </w:r>
    </w:p>
    <w:p w:rsidR="00B27BA5" w:rsidRDefault="00B27BA5" w:rsidP="00C837E8">
      <w:pPr>
        <w:pStyle w:val="CM33"/>
        <w:rPr>
          <w:b/>
          <w:bCs/>
          <w:sz w:val="22"/>
          <w:szCs w:val="22"/>
        </w:rPr>
      </w:pPr>
    </w:p>
    <w:p w:rsidR="00B27BA5" w:rsidRDefault="00B27BA5" w:rsidP="005B7DBA">
      <w:pPr>
        <w:pStyle w:val="CM32"/>
        <w:rPr>
          <w:b/>
          <w:bCs/>
          <w:sz w:val="22"/>
          <w:szCs w:val="22"/>
        </w:rPr>
      </w:pPr>
    </w:p>
    <w:p w:rsidR="005B7DBA" w:rsidRPr="005B7DBA" w:rsidRDefault="005B7DBA" w:rsidP="00C837E8">
      <w:pPr>
        <w:pStyle w:val="CM32"/>
        <w:tabs>
          <w:tab w:val="left" w:pos="567"/>
        </w:tabs>
        <w:rPr>
          <w:sz w:val="22"/>
          <w:szCs w:val="22"/>
        </w:rPr>
      </w:pPr>
      <w:r w:rsidRPr="005B7DBA">
        <w:rPr>
          <w:b/>
          <w:bCs/>
          <w:sz w:val="22"/>
          <w:szCs w:val="22"/>
        </w:rPr>
        <w:t xml:space="preserve">7. </w:t>
      </w:r>
      <w:r w:rsidR="00C837E8">
        <w:rPr>
          <w:b/>
          <w:bCs/>
          <w:sz w:val="22"/>
          <w:szCs w:val="22"/>
        </w:rPr>
        <w:tab/>
      </w:r>
      <w:r w:rsidRPr="005B7DBA">
        <w:rPr>
          <w:b/>
          <w:bCs/>
          <w:sz w:val="22"/>
          <w:szCs w:val="22"/>
        </w:rPr>
        <w:t xml:space="preserve">DRŽITEĽ ROZHODNUTIA O REGISTRÁCII </w:t>
      </w:r>
    </w:p>
    <w:p w:rsidR="00C837E8" w:rsidRDefault="00C837E8" w:rsidP="005B7DBA">
      <w:pPr>
        <w:pStyle w:val="CM32"/>
        <w:rPr>
          <w:sz w:val="22"/>
          <w:szCs w:val="22"/>
        </w:rPr>
      </w:pPr>
    </w:p>
    <w:p w:rsidR="00B27BA5" w:rsidRDefault="00C837E8" w:rsidP="005B7DBA">
      <w:pPr>
        <w:pStyle w:val="CM32"/>
        <w:rPr>
          <w:b/>
          <w:bCs/>
          <w:sz w:val="22"/>
          <w:szCs w:val="22"/>
        </w:rPr>
      </w:pPr>
      <w:r w:rsidRPr="00C837E8">
        <w:rPr>
          <w:sz w:val="22"/>
          <w:szCs w:val="22"/>
        </w:rPr>
        <w:t>Teva B.V., Swensweg 5, 2031 GA Haarlem, Holandsko</w:t>
      </w:r>
    </w:p>
    <w:p w:rsidR="00B27BA5" w:rsidRDefault="00B27BA5" w:rsidP="005B7DBA">
      <w:pPr>
        <w:pStyle w:val="CM32"/>
        <w:rPr>
          <w:b/>
          <w:bCs/>
          <w:sz w:val="22"/>
          <w:szCs w:val="22"/>
        </w:rPr>
      </w:pPr>
    </w:p>
    <w:p w:rsidR="00C837E8" w:rsidRPr="00C837E8" w:rsidRDefault="00C837E8" w:rsidP="00C837E8">
      <w:pPr>
        <w:pStyle w:val="Default"/>
      </w:pPr>
    </w:p>
    <w:p w:rsidR="005B7DBA" w:rsidRPr="005B7DBA" w:rsidRDefault="005B7DBA" w:rsidP="00952EE6">
      <w:pPr>
        <w:pStyle w:val="CM32"/>
        <w:tabs>
          <w:tab w:val="left" w:pos="567"/>
        </w:tabs>
        <w:rPr>
          <w:sz w:val="22"/>
          <w:szCs w:val="22"/>
        </w:rPr>
      </w:pPr>
      <w:r w:rsidRPr="005B7DBA">
        <w:rPr>
          <w:b/>
          <w:bCs/>
          <w:sz w:val="22"/>
          <w:szCs w:val="22"/>
        </w:rPr>
        <w:lastRenderedPageBreak/>
        <w:t xml:space="preserve">8. </w:t>
      </w:r>
      <w:r w:rsidR="00952EE6">
        <w:rPr>
          <w:b/>
          <w:bCs/>
          <w:sz w:val="22"/>
          <w:szCs w:val="22"/>
        </w:rPr>
        <w:tab/>
      </w:r>
      <w:r w:rsidRPr="005B7DBA">
        <w:rPr>
          <w:b/>
          <w:bCs/>
          <w:sz w:val="22"/>
          <w:szCs w:val="22"/>
        </w:rPr>
        <w:t xml:space="preserve">REGISTRAČNÉ ČÍSLO </w:t>
      </w:r>
    </w:p>
    <w:p w:rsidR="00B27BA5" w:rsidRDefault="00B27BA5" w:rsidP="005B7DBA">
      <w:pPr>
        <w:pStyle w:val="CM32"/>
        <w:rPr>
          <w:b/>
          <w:bCs/>
          <w:sz w:val="22"/>
          <w:szCs w:val="22"/>
        </w:rPr>
      </w:pPr>
    </w:p>
    <w:p w:rsidR="00B27BA5" w:rsidRPr="00FD72BB" w:rsidRDefault="00FD72BB" w:rsidP="005B7DBA">
      <w:pPr>
        <w:pStyle w:val="CM32"/>
        <w:rPr>
          <w:bCs/>
          <w:sz w:val="22"/>
          <w:szCs w:val="22"/>
        </w:rPr>
      </w:pPr>
      <w:r w:rsidRPr="00FD72BB">
        <w:rPr>
          <w:bCs/>
          <w:sz w:val="22"/>
          <w:szCs w:val="22"/>
        </w:rPr>
        <w:t>44/0092/19-S</w:t>
      </w:r>
    </w:p>
    <w:p w:rsidR="00FD72BB" w:rsidRDefault="00FD72BB" w:rsidP="00FD72BB">
      <w:pPr>
        <w:pStyle w:val="Default"/>
      </w:pPr>
    </w:p>
    <w:p w:rsidR="00FD72BB" w:rsidRPr="00FD72BB" w:rsidRDefault="00FD72BB" w:rsidP="00FD72BB">
      <w:pPr>
        <w:pStyle w:val="Default"/>
      </w:pPr>
    </w:p>
    <w:p w:rsidR="005B7DBA" w:rsidRPr="005B7DBA" w:rsidRDefault="005B7DBA" w:rsidP="00952EE6">
      <w:pPr>
        <w:pStyle w:val="CM32"/>
        <w:tabs>
          <w:tab w:val="left" w:pos="567"/>
        </w:tabs>
        <w:rPr>
          <w:sz w:val="22"/>
          <w:szCs w:val="22"/>
        </w:rPr>
      </w:pPr>
      <w:r w:rsidRPr="005B7DBA">
        <w:rPr>
          <w:b/>
          <w:bCs/>
          <w:sz w:val="22"/>
          <w:szCs w:val="22"/>
        </w:rPr>
        <w:t xml:space="preserve">9. </w:t>
      </w:r>
      <w:r w:rsidR="00952EE6">
        <w:rPr>
          <w:b/>
          <w:bCs/>
          <w:sz w:val="22"/>
          <w:szCs w:val="22"/>
        </w:rPr>
        <w:tab/>
      </w:r>
      <w:r w:rsidRPr="005B7DBA">
        <w:rPr>
          <w:b/>
          <w:bCs/>
          <w:sz w:val="22"/>
          <w:szCs w:val="22"/>
        </w:rPr>
        <w:t xml:space="preserve">DÁTUM PRVEJ REGISTRÁCIE/PREDĹŽENIA REGISTRÁCIE </w:t>
      </w:r>
    </w:p>
    <w:p w:rsidR="00C837E8" w:rsidRDefault="00C837E8" w:rsidP="005B7DBA">
      <w:pPr>
        <w:pStyle w:val="CM3"/>
        <w:spacing w:line="240" w:lineRule="auto"/>
        <w:rPr>
          <w:sz w:val="22"/>
          <w:szCs w:val="22"/>
        </w:rPr>
      </w:pPr>
    </w:p>
    <w:p w:rsidR="005B7DBA" w:rsidRPr="005B7DBA" w:rsidRDefault="005B7DBA" w:rsidP="005B7DBA">
      <w:pPr>
        <w:pStyle w:val="CM3"/>
        <w:spacing w:line="240" w:lineRule="auto"/>
        <w:rPr>
          <w:sz w:val="22"/>
          <w:szCs w:val="22"/>
        </w:rPr>
      </w:pPr>
      <w:r w:rsidRPr="005B7DBA">
        <w:rPr>
          <w:sz w:val="22"/>
          <w:szCs w:val="22"/>
        </w:rPr>
        <w:t xml:space="preserve">Dátum prvej registrácie: </w:t>
      </w:r>
    </w:p>
    <w:p w:rsidR="00F341E0" w:rsidRDefault="00F341E0" w:rsidP="005B7DBA">
      <w:pPr>
        <w:spacing w:after="0" w:line="240" w:lineRule="auto"/>
        <w:rPr>
          <w:rFonts w:ascii="Times New Roman" w:hAnsi="Times New Roman" w:cs="Times New Roman"/>
        </w:rPr>
      </w:pPr>
    </w:p>
    <w:p w:rsidR="00952EE6" w:rsidRDefault="00952EE6" w:rsidP="005B7DBA">
      <w:pPr>
        <w:spacing w:after="0" w:line="240" w:lineRule="auto"/>
        <w:rPr>
          <w:rFonts w:ascii="Times New Roman" w:hAnsi="Times New Roman" w:cs="Times New Roman"/>
        </w:rPr>
      </w:pPr>
    </w:p>
    <w:p w:rsidR="00952EE6" w:rsidRPr="00952EE6" w:rsidRDefault="00952EE6" w:rsidP="00952EE6">
      <w:pPr>
        <w:tabs>
          <w:tab w:val="left" w:pos="567"/>
        </w:tabs>
        <w:spacing w:after="0" w:line="240" w:lineRule="auto"/>
        <w:ind w:right="-1"/>
        <w:rPr>
          <w:rFonts w:ascii="Times New Roman" w:eastAsia="Times New Roman" w:hAnsi="Times New Roman" w:cs="Times New Roman"/>
          <w:b/>
          <w:lang w:eastAsia="en-US"/>
        </w:rPr>
      </w:pPr>
      <w:r w:rsidRPr="00952EE6">
        <w:rPr>
          <w:rFonts w:ascii="Times New Roman" w:eastAsia="Times New Roman" w:hAnsi="Times New Roman" w:cs="Times New Roman"/>
          <w:b/>
          <w:lang w:eastAsia="en-US"/>
        </w:rPr>
        <w:t>10.</w:t>
      </w:r>
      <w:r w:rsidRPr="00952EE6">
        <w:rPr>
          <w:rFonts w:ascii="Times New Roman" w:eastAsia="Times New Roman" w:hAnsi="Times New Roman" w:cs="Times New Roman"/>
          <w:b/>
          <w:lang w:eastAsia="en-US"/>
        </w:rPr>
        <w:tab/>
      </w:r>
      <w:r w:rsidRPr="00952EE6">
        <w:rPr>
          <w:rFonts w:ascii="Times New Roman" w:eastAsia="Times New Roman" w:hAnsi="Times New Roman" w:cs="Times New Roman"/>
          <w:b/>
          <w:szCs w:val="20"/>
          <w:lang w:val="en-GB" w:eastAsia="en-US"/>
        </w:rPr>
        <w:t>DÁTUM REVÍZIE TEXTU</w:t>
      </w:r>
    </w:p>
    <w:p w:rsidR="00952EE6" w:rsidRPr="00952EE6" w:rsidRDefault="00952EE6" w:rsidP="00952E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en-US"/>
        </w:rPr>
      </w:pPr>
    </w:p>
    <w:p w:rsidR="00952EE6" w:rsidRPr="00952EE6" w:rsidRDefault="00952EE6" w:rsidP="00952EE6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en-US"/>
        </w:rPr>
      </w:pPr>
    </w:p>
    <w:p w:rsidR="00952EE6" w:rsidRPr="005B7DBA" w:rsidRDefault="00952EE6" w:rsidP="005B7DBA">
      <w:pPr>
        <w:spacing w:after="0" w:line="240" w:lineRule="auto"/>
        <w:rPr>
          <w:rFonts w:ascii="Times New Roman" w:hAnsi="Times New Roman" w:cs="Times New Roman"/>
        </w:rPr>
      </w:pPr>
    </w:p>
    <w:sectPr w:rsidR="00952EE6" w:rsidRPr="005B7DBA" w:rsidSect="00FD72BB">
      <w:headerReference w:type="default" r:id="rId8"/>
      <w:footerReference w:type="default" r:id="rId9"/>
      <w:pgSz w:w="11906" w:h="16838"/>
      <w:pgMar w:top="1134" w:right="1418" w:bottom="1134" w:left="1418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B8D" w:rsidRDefault="00EC4B8D" w:rsidP="005B7DBA">
      <w:pPr>
        <w:spacing w:after="0" w:line="240" w:lineRule="auto"/>
      </w:pPr>
      <w:r>
        <w:separator/>
      </w:r>
    </w:p>
  </w:endnote>
  <w:endnote w:type="continuationSeparator" w:id="0">
    <w:p w:rsidR="00EC4B8D" w:rsidRDefault="00EC4B8D" w:rsidP="005B7D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6790823"/>
      <w:docPartObj>
        <w:docPartGallery w:val="Page Numbers (Bottom of Page)"/>
        <w:docPartUnique/>
      </w:docPartObj>
    </w:sdtPr>
    <w:sdtEndPr/>
    <w:sdtContent>
      <w:p w:rsidR="00C4589A" w:rsidRDefault="00C4589A" w:rsidP="00FD72BB">
        <w:pPr>
          <w:pStyle w:val="Pta"/>
          <w:jc w:val="center"/>
        </w:pPr>
        <w:r w:rsidRPr="00FD72BB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FD72BB">
          <w:rPr>
            <w:rFonts w:ascii="Times New Roman" w:hAnsi="Times New Roman" w:cs="Times New Roman"/>
            <w:sz w:val="18"/>
            <w:szCs w:val="18"/>
          </w:rPr>
          <w:instrText>PAGE   \* MERGEFORMAT</w:instrText>
        </w:r>
        <w:r w:rsidRPr="00FD72BB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584F78">
          <w:rPr>
            <w:rFonts w:ascii="Times New Roman" w:hAnsi="Times New Roman" w:cs="Times New Roman"/>
            <w:noProof/>
            <w:sz w:val="18"/>
            <w:szCs w:val="18"/>
          </w:rPr>
          <w:t>1</w:t>
        </w:r>
        <w:r w:rsidRPr="00FD72BB">
          <w:rPr>
            <w:rFonts w:ascii="Times New Roman" w:hAnsi="Times New Roman" w:cs="Times New Roman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B8D" w:rsidRDefault="00EC4B8D" w:rsidP="005B7DBA">
      <w:pPr>
        <w:spacing w:after="0" w:line="240" w:lineRule="auto"/>
      </w:pPr>
      <w:r>
        <w:separator/>
      </w:r>
    </w:p>
  </w:footnote>
  <w:footnote w:type="continuationSeparator" w:id="0">
    <w:p w:rsidR="00EC4B8D" w:rsidRDefault="00EC4B8D" w:rsidP="005B7D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589A" w:rsidRPr="00584F78" w:rsidRDefault="008B5A22">
    <w:pPr>
      <w:pStyle w:val="Hlavika"/>
      <w:rPr>
        <w:rFonts w:ascii="Times New Roman" w:hAnsi="Times New Roman" w:cs="Times New Roman"/>
        <w:sz w:val="18"/>
        <w:szCs w:val="18"/>
      </w:rPr>
    </w:pPr>
    <w:r w:rsidRPr="00584F78">
      <w:rPr>
        <w:rFonts w:ascii="Times New Roman" w:hAnsi="Times New Roman" w:cs="Times New Roman"/>
        <w:sz w:val="18"/>
        <w:szCs w:val="18"/>
      </w:rPr>
      <w:t xml:space="preserve">Príloha č. 1 k notifikácii o zmene, ev. č.: </w:t>
    </w:r>
    <w:r w:rsidR="007F2DC2">
      <w:rPr>
        <w:rFonts w:ascii="Times New Roman" w:hAnsi="Times New Roman" w:cs="Times New Roman"/>
        <w:sz w:val="18"/>
        <w:szCs w:val="18"/>
      </w:rPr>
      <w:t>2019/05767-ZIA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90C6347D"/>
    <w:multiLevelType w:val="hybridMultilevel"/>
    <w:tmpl w:val="90CEA9E4"/>
    <w:lvl w:ilvl="0" w:tplc="041B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B4982A2"/>
    <w:multiLevelType w:val="hybridMultilevel"/>
    <w:tmpl w:val="3445FCD6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60805CC"/>
    <w:multiLevelType w:val="hybridMultilevel"/>
    <w:tmpl w:val="53ABD2F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AAC77A1"/>
    <w:multiLevelType w:val="hybridMultilevel"/>
    <w:tmpl w:val="B791B869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550C5A2"/>
    <w:multiLevelType w:val="hybridMultilevel"/>
    <w:tmpl w:val="4A13F5C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16A7E6E"/>
    <w:multiLevelType w:val="multilevel"/>
    <w:tmpl w:val="73BA25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60"/>
        </w:tabs>
        <w:ind w:left="3360" w:hanging="1800"/>
      </w:pPr>
      <w:rPr>
        <w:rFonts w:hint="default"/>
      </w:rPr>
    </w:lvl>
  </w:abstractNum>
  <w:abstractNum w:abstractNumId="6" w15:restartNumberingAfterBreak="0">
    <w:nsid w:val="0E645982"/>
    <w:multiLevelType w:val="hybridMultilevel"/>
    <w:tmpl w:val="52DBD2D0"/>
    <w:lvl w:ilvl="0" w:tplc="FFFFFFFF">
      <w:start w:val="1"/>
      <w:numFmt w:val="decimal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CF25095"/>
    <w:multiLevelType w:val="hybridMultilevel"/>
    <w:tmpl w:val="6690FF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E38EF"/>
    <w:multiLevelType w:val="hybridMultilevel"/>
    <w:tmpl w:val="73B2D10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7C8C48A9"/>
    <w:multiLevelType w:val="hybridMultilevel"/>
    <w:tmpl w:val="AD1CADCA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10"/>
  </w:num>
  <w:num w:numId="6">
    <w:abstractNumId w:val="3"/>
  </w:num>
  <w:num w:numId="7">
    <w:abstractNumId w:val="6"/>
  </w:num>
  <w:num w:numId="8">
    <w:abstractNumId w:val="5"/>
  </w:num>
  <w:num w:numId="9">
    <w:abstractNumId w:val="9"/>
  </w:num>
  <w:num w:numId="10">
    <w:abstractNumId w:val="8"/>
  </w:num>
  <w:num w:numId="11">
    <w:abstractNumId w:val="7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DBA"/>
    <w:rsid w:val="00010AE6"/>
    <w:rsid w:val="000258B8"/>
    <w:rsid w:val="00090884"/>
    <w:rsid w:val="00096E96"/>
    <w:rsid w:val="000D43B4"/>
    <w:rsid w:val="00100801"/>
    <w:rsid w:val="00143D2B"/>
    <w:rsid w:val="0014410B"/>
    <w:rsid w:val="00193AAA"/>
    <w:rsid w:val="001E397C"/>
    <w:rsid w:val="001F135C"/>
    <w:rsid w:val="00214705"/>
    <w:rsid w:val="002500F9"/>
    <w:rsid w:val="00275AD0"/>
    <w:rsid w:val="0028016A"/>
    <w:rsid w:val="002C4068"/>
    <w:rsid w:val="00306747"/>
    <w:rsid w:val="00355B52"/>
    <w:rsid w:val="0048661B"/>
    <w:rsid w:val="004D0ADC"/>
    <w:rsid w:val="00500812"/>
    <w:rsid w:val="00526A85"/>
    <w:rsid w:val="00575716"/>
    <w:rsid w:val="00584F78"/>
    <w:rsid w:val="00586EC5"/>
    <w:rsid w:val="005A03B4"/>
    <w:rsid w:val="005B41DD"/>
    <w:rsid w:val="005B7DBA"/>
    <w:rsid w:val="00634A7E"/>
    <w:rsid w:val="006C4495"/>
    <w:rsid w:val="00767BEF"/>
    <w:rsid w:val="007F2DC2"/>
    <w:rsid w:val="00841BCA"/>
    <w:rsid w:val="008A73CC"/>
    <w:rsid w:val="008B5A22"/>
    <w:rsid w:val="008C293C"/>
    <w:rsid w:val="008E598D"/>
    <w:rsid w:val="00922A10"/>
    <w:rsid w:val="009255FC"/>
    <w:rsid w:val="0095110E"/>
    <w:rsid w:val="00952EE6"/>
    <w:rsid w:val="009572E4"/>
    <w:rsid w:val="009C3768"/>
    <w:rsid w:val="009D634F"/>
    <w:rsid w:val="009F2D5D"/>
    <w:rsid w:val="00A0042A"/>
    <w:rsid w:val="00A46BBF"/>
    <w:rsid w:val="00A74804"/>
    <w:rsid w:val="00AC1FA4"/>
    <w:rsid w:val="00AF1898"/>
    <w:rsid w:val="00AF59CB"/>
    <w:rsid w:val="00B00BB1"/>
    <w:rsid w:val="00B27BA5"/>
    <w:rsid w:val="00B35468"/>
    <w:rsid w:val="00B858B1"/>
    <w:rsid w:val="00C22E50"/>
    <w:rsid w:val="00C4589A"/>
    <w:rsid w:val="00C66603"/>
    <w:rsid w:val="00C70B44"/>
    <w:rsid w:val="00C76065"/>
    <w:rsid w:val="00C837E8"/>
    <w:rsid w:val="00C846FE"/>
    <w:rsid w:val="00CF3E95"/>
    <w:rsid w:val="00D234DD"/>
    <w:rsid w:val="00D43143"/>
    <w:rsid w:val="00D96854"/>
    <w:rsid w:val="00E253C0"/>
    <w:rsid w:val="00E3481F"/>
    <w:rsid w:val="00E37245"/>
    <w:rsid w:val="00EC4B8D"/>
    <w:rsid w:val="00EE19B6"/>
    <w:rsid w:val="00F06EAA"/>
    <w:rsid w:val="00F341E0"/>
    <w:rsid w:val="00FD72BB"/>
    <w:rsid w:val="00FF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A5C0750-8124-451F-A61E-FE8C2D7E7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B7DBA"/>
    <w:rPr>
      <w:rFonts w:eastAsiaTheme="minorEastAsia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B7D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sk-SK"/>
    </w:rPr>
  </w:style>
  <w:style w:type="paragraph" w:customStyle="1" w:styleId="CM32">
    <w:name w:val="CM32"/>
    <w:basedOn w:val="Default"/>
    <w:next w:val="Default"/>
    <w:uiPriority w:val="99"/>
    <w:rsid w:val="005B7DBA"/>
    <w:rPr>
      <w:color w:val="auto"/>
    </w:rPr>
  </w:style>
  <w:style w:type="paragraph" w:customStyle="1" w:styleId="CM33">
    <w:name w:val="CM33"/>
    <w:basedOn w:val="Default"/>
    <w:next w:val="Default"/>
    <w:uiPriority w:val="99"/>
    <w:rsid w:val="005B7DBA"/>
    <w:rPr>
      <w:color w:val="auto"/>
    </w:rPr>
  </w:style>
  <w:style w:type="paragraph" w:customStyle="1" w:styleId="CM1">
    <w:name w:val="CM1"/>
    <w:basedOn w:val="Default"/>
    <w:next w:val="Default"/>
    <w:uiPriority w:val="99"/>
    <w:rsid w:val="005B7DBA"/>
    <w:pPr>
      <w:spacing w:line="506" w:lineRule="atLeast"/>
    </w:pPr>
    <w:rPr>
      <w:color w:val="auto"/>
    </w:rPr>
  </w:style>
  <w:style w:type="paragraph" w:customStyle="1" w:styleId="CM34">
    <w:name w:val="CM34"/>
    <w:basedOn w:val="Default"/>
    <w:next w:val="Default"/>
    <w:uiPriority w:val="99"/>
    <w:rsid w:val="005B7DBA"/>
    <w:rPr>
      <w:color w:val="auto"/>
    </w:rPr>
  </w:style>
  <w:style w:type="paragraph" w:customStyle="1" w:styleId="CM2">
    <w:name w:val="CM2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6">
    <w:name w:val="CM6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7">
    <w:name w:val="CM7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8">
    <w:name w:val="CM8"/>
    <w:basedOn w:val="Default"/>
    <w:next w:val="Default"/>
    <w:uiPriority w:val="99"/>
    <w:rsid w:val="005B7DBA"/>
    <w:pPr>
      <w:spacing w:line="256" w:lineRule="atLeast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5B7DBA"/>
    <w:rPr>
      <w:color w:val="auto"/>
    </w:rPr>
  </w:style>
  <w:style w:type="paragraph" w:customStyle="1" w:styleId="CM14">
    <w:name w:val="CM14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15">
    <w:name w:val="CM15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38">
    <w:name w:val="CM38"/>
    <w:basedOn w:val="Default"/>
    <w:next w:val="Default"/>
    <w:uiPriority w:val="99"/>
    <w:rsid w:val="005B7DBA"/>
    <w:rPr>
      <w:color w:val="auto"/>
    </w:rPr>
  </w:style>
  <w:style w:type="paragraph" w:customStyle="1" w:styleId="CM16">
    <w:name w:val="CM16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36">
    <w:name w:val="CM36"/>
    <w:basedOn w:val="Default"/>
    <w:next w:val="Default"/>
    <w:uiPriority w:val="99"/>
    <w:rsid w:val="005B7DBA"/>
    <w:rPr>
      <w:color w:val="auto"/>
    </w:rPr>
  </w:style>
  <w:style w:type="paragraph" w:customStyle="1" w:styleId="CM18">
    <w:name w:val="CM18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19">
    <w:name w:val="CM19"/>
    <w:basedOn w:val="Default"/>
    <w:next w:val="Default"/>
    <w:uiPriority w:val="99"/>
    <w:rsid w:val="005B7DBA"/>
    <w:pPr>
      <w:spacing w:line="25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21">
    <w:name w:val="CM21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23">
    <w:name w:val="CM23"/>
    <w:basedOn w:val="Default"/>
    <w:next w:val="Default"/>
    <w:uiPriority w:val="99"/>
    <w:rsid w:val="005B7DBA"/>
    <w:pPr>
      <w:spacing w:line="508" w:lineRule="atLeast"/>
    </w:pPr>
    <w:rPr>
      <w:color w:val="auto"/>
    </w:rPr>
  </w:style>
  <w:style w:type="paragraph" w:customStyle="1" w:styleId="CM41">
    <w:name w:val="CM41"/>
    <w:basedOn w:val="Default"/>
    <w:next w:val="Default"/>
    <w:uiPriority w:val="99"/>
    <w:rsid w:val="005B7DBA"/>
    <w:rPr>
      <w:color w:val="auto"/>
    </w:rPr>
  </w:style>
  <w:style w:type="paragraph" w:customStyle="1" w:styleId="CM25">
    <w:name w:val="CM25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28">
    <w:name w:val="CM28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27">
    <w:name w:val="CM27"/>
    <w:basedOn w:val="Default"/>
    <w:next w:val="Default"/>
    <w:uiPriority w:val="99"/>
    <w:rsid w:val="005B7DBA"/>
    <w:pPr>
      <w:spacing w:line="253" w:lineRule="atLeast"/>
    </w:pPr>
    <w:rPr>
      <w:color w:val="auto"/>
    </w:rPr>
  </w:style>
  <w:style w:type="paragraph" w:customStyle="1" w:styleId="CM29">
    <w:name w:val="CM29"/>
    <w:basedOn w:val="Default"/>
    <w:next w:val="Default"/>
    <w:uiPriority w:val="99"/>
    <w:rsid w:val="005B7DBA"/>
    <w:rPr>
      <w:color w:val="auto"/>
    </w:rPr>
  </w:style>
  <w:style w:type="paragraph" w:customStyle="1" w:styleId="CM30">
    <w:name w:val="CM30"/>
    <w:basedOn w:val="Default"/>
    <w:next w:val="Default"/>
    <w:uiPriority w:val="99"/>
    <w:rsid w:val="005B7DBA"/>
    <w:pPr>
      <w:spacing w:line="258" w:lineRule="atLeast"/>
    </w:pPr>
    <w:rPr>
      <w:color w:val="auto"/>
    </w:rPr>
  </w:style>
  <w:style w:type="paragraph" w:customStyle="1" w:styleId="CM31">
    <w:name w:val="CM31"/>
    <w:basedOn w:val="Default"/>
    <w:next w:val="Default"/>
    <w:uiPriority w:val="99"/>
    <w:rsid w:val="005B7DBA"/>
    <w:pPr>
      <w:spacing w:line="258" w:lineRule="atLeast"/>
    </w:pPr>
    <w:rPr>
      <w:color w:val="auto"/>
    </w:rPr>
  </w:style>
  <w:style w:type="paragraph" w:styleId="Hlavika">
    <w:name w:val="header"/>
    <w:basedOn w:val="Normlny"/>
    <w:link w:val="HlavikaChar"/>
    <w:uiPriority w:val="99"/>
    <w:unhideWhenUsed/>
    <w:rsid w:val="005B7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7DBA"/>
    <w:rPr>
      <w:rFonts w:eastAsiaTheme="minorEastAsia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5B7D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7DBA"/>
    <w:rPr>
      <w:rFonts w:eastAsiaTheme="minorEastAsia"/>
      <w:lang w:eastAsia="sk-SK"/>
    </w:rPr>
  </w:style>
  <w:style w:type="paragraph" w:styleId="Normlnywebov">
    <w:name w:val="Normal (Web)"/>
    <w:basedOn w:val="Normlny"/>
    <w:uiPriority w:val="99"/>
    <w:unhideWhenUsed/>
    <w:rsid w:val="005B7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arkazkladnhotextu">
    <w:name w:val="Body Text Indent"/>
    <w:basedOn w:val="Normlny"/>
    <w:link w:val="ZarkazkladnhotextuChar"/>
    <w:semiHidden/>
    <w:rsid w:val="006C4495"/>
    <w:pPr>
      <w:numPr>
        <w:ilvl w:val="8"/>
      </w:numPr>
      <w:tabs>
        <w:tab w:val="num" w:pos="3360"/>
      </w:tabs>
      <w:spacing w:after="0" w:line="240" w:lineRule="auto"/>
      <w:ind w:left="360" w:hanging="1800"/>
    </w:pPr>
    <w:rPr>
      <w:rFonts w:ascii="Times New Roman" w:eastAsia="Times New Roman" w:hAnsi="Times New Roman" w:cs="Times New Roman"/>
      <w:sz w:val="24"/>
      <w:szCs w:val="20"/>
      <w:lang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6C4495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customStyle="1" w:styleId="EMEAEnBodyText">
    <w:name w:val="EMEA En Body Text"/>
    <w:basedOn w:val="Normlny"/>
    <w:rsid w:val="00D234DD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Cs w:val="20"/>
      <w:lang w:val="en-US" w:eastAsia="en-US"/>
    </w:rPr>
  </w:style>
  <w:style w:type="character" w:styleId="Hypertextovprepojenie">
    <w:name w:val="Hyperlink"/>
    <w:rsid w:val="00D234DD"/>
    <w:rPr>
      <w:color w:val="0000FF"/>
      <w:u w:val="single"/>
    </w:rPr>
  </w:style>
  <w:style w:type="table" w:styleId="Mriekatabuky">
    <w:name w:val="Table Grid"/>
    <w:basedOn w:val="Normlnatabuka"/>
    <w:uiPriority w:val="59"/>
    <w:rsid w:val="00D234DD"/>
    <w:pPr>
      <w:spacing w:after="0" w:line="240" w:lineRule="auto"/>
    </w:pPr>
    <w:rPr>
      <w:lang w:val="is-I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D234DD"/>
    <w:pPr>
      <w:tabs>
        <w:tab w:val="left" w:pos="567"/>
      </w:tabs>
      <w:spacing w:after="0" w:line="240" w:lineRule="auto"/>
    </w:pPr>
    <w:rPr>
      <w:rFonts w:ascii="Tahoma" w:eastAsia="Times New Roman" w:hAnsi="Tahoma" w:cs="Tahoma"/>
      <w:sz w:val="16"/>
      <w:szCs w:val="16"/>
      <w:lang w:val="en-GB"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234DD"/>
    <w:rPr>
      <w:rFonts w:ascii="Tahoma" w:eastAsia="Times New Roman" w:hAnsi="Tahoma" w:cs="Tahoma"/>
      <w:sz w:val="16"/>
      <w:szCs w:val="16"/>
      <w:lang w:val="en-GB"/>
    </w:rPr>
  </w:style>
  <w:style w:type="paragraph" w:styleId="Zkladntext">
    <w:name w:val="Body Text"/>
    <w:basedOn w:val="Normlny"/>
    <w:link w:val="ZkladntextChar"/>
    <w:rsid w:val="00D234DD"/>
    <w:pPr>
      <w:spacing w:after="240" w:line="240" w:lineRule="auto"/>
    </w:pPr>
    <w:rPr>
      <w:rFonts w:ascii="Times New Roman" w:eastAsia="Times New Roman" w:hAnsi="Times New Roman" w:cs="Times New Roman"/>
      <w:sz w:val="24"/>
      <w:lang w:val="en-US" w:eastAsia="en-US"/>
    </w:rPr>
  </w:style>
  <w:style w:type="character" w:customStyle="1" w:styleId="ZkladntextChar">
    <w:name w:val="Základný text Char"/>
    <w:basedOn w:val="Predvolenpsmoodseku"/>
    <w:link w:val="Zkladntext"/>
    <w:rsid w:val="00D234DD"/>
    <w:rPr>
      <w:rFonts w:ascii="Times New Roman" w:eastAsia="Times New Roman" w:hAnsi="Times New Roman" w:cs="Times New Roman"/>
      <w:sz w:val="24"/>
      <w:lang w:val="en-US"/>
    </w:rPr>
  </w:style>
  <w:style w:type="paragraph" w:customStyle="1" w:styleId="CM100">
    <w:name w:val="CM100"/>
    <w:basedOn w:val="Default"/>
    <w:next w:val="Default"/>
    <w:uiPriority w:val="99"/>
    <w:rsid w:val="00010AE6"/>
    <w:rPr>
      <w:color w:val="auto"/>
    </w:rPr>
  </w:style>
  <w:style w:type="paragraph" w:customStyle="1" w:styleId="CM101">
    <w:name w:val="CM101"/>
    <w:basedOn w:val="Default"/>
    <w:next w:val="Default"/>
    <w:uiPriority w:val="99"/>
    <w:rsid w:val="00C837E8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6114</Words>
  <Characters>34851</Characters>
  <Application>Microsoft Office Word</Application>
  <DocSecurity>0</DocSecurity>
  <Lines>290</Lines>
  <Paragraphs>81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40884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berol</dc:creator>
  <cp:keywords/>
  <dc:description/>
  <cp:lastModifiedBy>Bolebruchová Monika</cp:lastModifiedBy>
  <cp:revision>2</cp:revision>
  <cp:lastPrinted>2019-11-07T10:05:00Z</cp:lastPrinted>
  <dcterms:created xsi:type="dcterms:W3CDTF">2019-11-07T10:05:00Z</dcterms:created>
  <dcterms:modified xsi:type="dcterms:W3CDTF">2019-11-07T10:05:00Z</dcterms:modified>
</cp:coreProperties>
</file>