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D7134" w14:textId="77777777" w:rsidR="00000093" w:rsidRPr="002C1513" w:rsidRDefault="00000093" w:rsidP="00000093">
      <w:pPr>
        <w:tabs>
          <w:tab w:val="left" w:pos="-1440"/>
          <w:tab w:val="left" w:pos="-720"/>
        </w:tabs>
        <w:jc w:val="center"/>
        <w:rPr>
          <w:szCs w:val="22"/>
        </w:rPr>
      </w:pPr>
      <w:r w:rsidRPr="002C1513">
        <w:rPr>
          <w:b/>
          <w:szCs w:val="22"/>
        </w:rPr>
        <w:t>SÚHRN CHARAKTERISTICKÝCH VLASTNOSTÍ LIEKU</w:t>
      </w:r>
    </w:p>
    <w:p w14:paraId="466CC549" w14:textId="77777777" w:rsidR="00D533CF" w:rsidRPr="003C2CC8" w:rsidRDefault="00D533CF" w:rsidP="00527DED">
      <w:pPr>
        <w:rPr>
          <w:szCs w:val="22"/>
        </w:rPr>
      </w:pPr>
    </w:p>
    <w:p w14:paraId="55D962DA" w14:textId="77777777" w:rsidR="000D0C89" w:rsidRPr="003C2CC8" w:rsidRDefault="000D0C89" w:rsidP="00527DED">
      <w:pPr>
        <w:ind w:left="0" w:firstLine="0"/>
        <w:rPr>
          <w:szCs w:val="22"/>
        </w:rPr>
      </w:pPr>
    </w:p>
    <w:p w14:paraId="0FB21D2A" w14:textId="77777777" w:rsidR="00FF6BE0" w:rsidRPr="002C1513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2C1513">
        <w:rPr>
          <w:b/>
          <w:szCs w:val="22"/>
        </w:rPr>
        <w:t>1.</w:t>
      </w:r>
      <w:r w:rsidRPr="002C1513">
        <w:rPr>
          <w:b/>
          <w:szCs w:val="22"/>
        </w:rPr>
        <w:tab/>
        <w:t>NÁZOV LIEK</w:t>
      </w:r>
      <w:r w:rsidR="00810BCC" w:rsidRPr="002C1513">
        <w:rPr>
          <w:b/>
          <w:szCs w:val="22"/>
        </w:rPr>
        <w:t>U</w:t>
      </w:r>
    </w:p>
    <w:p w14:paraId="3F15912D" w14:textId="77777777" w:rsidR="00FF6BE0" w:rsidRPr="002C1513" w:rsidRDefault="00FF6BE0" w:rsidP="00527DED">
      <w:pPr>
        <w:ind w:left="0" w:firstLine="0"/>
        <w:rPr>
          <w:szCs w:val="22"/>
        </w:rPr>
      </w:pPr>
    </w:p>
    <w:p w14:paraId="396F38AD" w14:textId="77777777" w:rsidR="00451912" w:rsidRPr="002C1513" w:rsidRDefault="00451912" w:rsidP="00451912">
      <w:pPr>
        <w:keepNext/>
        <w:ind w:left="0" w:firstLine="0"/>
        <w:rPr>
          <w:szCs w:val="22"/>
        </w:rPr>
      </w:pPr>
      <w:proofErr w:type="spellStart"/>
      <w:r w:rsidRPr="002C1513">
        <w:rPr>
          <w:szCs w:val="22"/>
        </w:rPr>
        <w:t>Duloxetin</w:t>
      </w:r>
      <w:proofErr w:type="spellEnd"/>
      <w:r w:rsidRPr="002C1513">
        <w:rPr>
          <w:szCs w:val="22"/>
        </w:rPr>
        <w:t xml:space="preserve"> Sandoz 30 mg</w:t>
      </w:r>
    </w:p>
    <w:p w14:paraId="7ADE09B4" w14:textId="77777777" w:rsidR="00451912" w:rsidRPr="002C1513" w:rsidRDefault="00451912" w:rsidP="00451912">
      <w:pPr>
        <w:keepNext/>
        <w:ind w:left="0" w:firstLine="0"/>
        <w:rPr>
          <w:szCs w:val="22"/>
        </w:rPr>
      </w:pPr>
      <w:proofErr w:type="spellStart"/>
      <w:r w:rsidRPr="00421221">
        <w:rPr>
          <w:highlight w:val="lightGray"/>
        </w:rPr>
        <w:t>Duloxetin</w:t>
      </w:r>
      <w:proofErr w:type="spellEnd"/>
      <w:r w:rsidRPr="00421221">
        <w:rPr>
          <w:highlight w:val="lightGray"/>
        </w:rPr>
        <w:t xml:space="preserve"> Sandoz 60 mg</w:t>
      </w:r>
    </w:p>
    <w:p w14:paraId="33273BD2" w14:textId="77777777" w:rsidR="00451912" w:rsidRPr="002C1513" w:rsidRDefault="00451912" w:rsidP="00451912">
      <w:pPr>
        <w:keepNext/>
        <w:ind w:left="0" w:firstLine="0"/>
        <w:rPr>
          <w:szCs w:val="22"/>
        </w:rPr>
      </w:pPr>
      <w:r w:rsidRPr="002C1513">
        <w:rPr>
          <w:szCs w:val="22"/>
        </w:rPr>
        <w:t xml:space="preserve">tvrdé </w:t>
      </w:r>
      <w:proofErr w:type="spellStart"/>
      <w:r w:rsidRPr="002C1513">
        <w:rPr>
          <w:szCs w:val="22"/>
        </w:rPr>
        <w:t>gastrorezistentné</w:t>
      </w:r>
      <w:proofErr w:type="spellEnd"/>
      <w:r w:rsidRPr="002C1513">
        <w:rPr>
          <w:szCs w:val="22"/>
        </w:rPr>
        <w:t xml:space="preserve"> kapsuly</w:t>
      </w:r>
    </w:p>
    <w:p w14:paraId="032EC3D4" w14:textId="77777777" w:rsidR="00685635" w:rsidRPr="002C1513" w:rsidRDefault="00685635" w:rsidP="00451912">
      <w:pPr>
        <w:ind w:left="0" w:firstLine="0"/>
        <w:rPr>
          <w:iCs/>
          <w:szCs w:val="22"/>
        </w:rPr>
      </w:pPr>
    </w:p>
    <w:p w14:paraId="341B5C01" w14:textId="77777777" w:rsidR="00FF6BE0" w:rsidRPr="002C1513" w:rsidRDefault="00FF6BE0" w:rsidP="00527DED">
      <w:pPr>
        <w:ind w:left="0" w:firstLine="0"/>
        <w:rPr>
          <w:szCs w:val="22"/>
        </w:rPr>
      </w:pPr>
    </w:p>
    <w:p w14:paraId="18A570DA" w14:textId="77777777" w:rsidR="00FF6BE0" w:rsidRPr="002C1513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2C1513">
        <w:rPr>
          <w:b/>
          <w:szCs w:val="22"/>
        </w:rPr>
        <w:t>2.</w:t>
      </w:r>
      <w:r w:rsidRPr="002C1513">
        <w:rPr>
          <w:b/>
          <w:szCs w:val="22"/>
        </w:rPr>
        <w:tab/>
        <w:t>KVALITATÍVNE A KVANTITATÍVNE ZLOŽENIE</w:t>
      </w:r>
    </w:p>
    <w:p w14:paraId="1DE7278D" w14:textId="77777777" w:rsidR="00FF6BE0" w:rsidRPr="002C1513" w:rsidRDefault="00FF6BE0" w:rsidP="00527DED">
      <w:pPr>
        <w:ind w:left="0" w:firstLine="0"/>
        <w:rPr>
          <w:szCs w:val="22"/>
        </w:rPr>
      </w:pPr>
    </w:p>
    <w:p w14:paraId="47E50338" w14:textId="77777777" w:rsidR="004B6AEB" w:rsidRPr="002C1513" w:rsidRDefault="004B6AEB" w:rsidP="004B6AEB">
      <w:pPr>
        <w:keepNext/>
        <w:ind w:left="0" w:firstLine="0"/>
        <w:rPr>
          <w:szCs w:val="22"/>
        </w:rPr>
      </w:pPr>
      <w:proofErr w:type="spellStart"/>
      <w:r w:rsidRPr="002C1513">
        <w:rPr>
          <w:szCs w:val="22"/>
        </w:rPr>
        <w:t>Duloxetin</w:t>
      </w:r>
      <w:proofErr w:type="spellEnd"/>
      <w:r w:rsidRPr="002C1513">
        <w:rPr>
          <w:szCs w:val="22"/>
        </w:rPr>
        <w:t xml:space="preserve"> Sandoz 30 mg</w:t>
      </w:r>
    </w:p>
    <w:p w14:paraId="37B9619F" w14:textId="77777777" w:rsidR="004B6AEB" w:rsidRPr="002C1513" w:rsidRDefault="004B6AEB" w:rsidP="004B6AEB">
      <w:pPr>
        <w:keepNext/>
        <w:tabs>
          <w:tab w:val="left" w:pos="567"/>
        </w:tabs>
        <w:ind w:left="0" w:firstLine="0"/>
        <w:rPr>
          <w:bCs/>
          <w:szCs w:val="22"/>
        </w:rPr>
      </w:pPr>
      <w:r w:rsidRPr="002C1513">
        <w:rPr>
          <w:bCs/>
          <w:szCs w:val="22"/>
        </w:rPr>
        <w:t xml:space="preserve">Každá kapsula obsahuje 30 mg </w:t>
      </w:r>
      <w:proofErr w:type="spellStart"/>
      <w:r w:rsidRPr="002C1513">
        <w:rPr>
          <w:bCs/>
          <w:szCs w:val="22"/>
        </w:rPr>
        <w:t>duloxetínu</w:t>
      </w:r>
      <w:proofErr w:type="spellEnd"/>
      <w:r w:rsidRPr="002C1513">
        <w:rPr>
          <w:bCs/>
          <w:szCs w:val="22"/>
        </w:rPr>
        <w:t xml:space="preserve"> (vo forme chloridu)</w:t>
      </w:r>
      <w:r w:rsidRPr="002C1513">
        <w:rPr>
          <w:szCs w:val="22"/>
        </w:rPr>
        <w:t xml:space="preserve">. </w:t>
      </w:r>
      <w:r w:rsidRPr="002C1513">
        <w:rPr>
          <w:bCs/>
          <w:szCs w:val="22"/>
        </w:rPr>
        <w:t xml:space="preserve"> </w:t>
      </w:r>
    </w:p>
    <w:p w14:paraId="5DE2E847" w14:textId="77777777" w:rsidR="004B6AEB" w:rsidRPr="002C1513" w:rsidRDefault="004B6AEB" w:rsidP="004B6AEB">
      <w:pPr>
        <w:pStyle w:val="Default"/>
        <w:rPr>
          <w:sz w:val="22"/>
          <w:szCs w:val="22"/>
        </w:rPr>
      </w:pPr>
    </w:p>
    <w:p w14:paraId="64F5CBA0" w14:textId="2A18C27C" w:rsidR="004B6AEB" w:rsidRPr="00376951" w:rsidRDefault="004B6AEB" w:rsidP="004B6AEB">
      <w:pPr>
        <w:pStyle w:val="Default"/>
        <w:rPr>
          <w:sz w:val="22"/>
          <w:u w:val="single"/>
        </w:rPr>
      </w:pPr>
      <w:r w:rsidRPr="00376951">
        <w:rPr>
          <w:sz w:val="22"/>
          <w:u w:val="single"/>
        </w:rPr>
        <w:t xml:space="preserve">Pomocné látky so známym účinkom </w:t>
      </w:r>
    </w:p>
    <w:p w14:paraId="44919F2D" w14:textId="31CEF2B1" w:rsidR="004B6AEB" w:rsidRPr="002C1513" w:rsidRDefault="004B6AEB" w:rsidP="004B6AEB">
      <w:pPr>
        <w:keepNext/>
        <w:ind w:left="0" w:firstLine="0"/>
        <w:rPr>
          <w:szCs w:val="22"/>
        </w:rPr>
      </w:pPr>
      <w:r w:rsidRPr="002C1513">
        <w:rPr>
          <w:szCs w:val="22"/>
        </w:rPr>
        <w:t>Každá kapsula obsahuje 1,</w:t>
      </w:r>
      <w:r w:rsidR="006B73E9">
        <w:rPr>
          <w:szCs w:val="22"/>
        </w:rPr>
        <w:t>85</w:t>
      </w:r>
      <w:r w:rsidRPr="002C1513">
        <w:rPr>
          <w:szCs w:val="22"/>
        </w:rPr>
        <w:t xml:space="preserve"> mg laktózy (vo forme </w:t>
      </w:r>
      <w:proofErr w:type="spellStart"/>
      <w:r w:rsidRPr="002C1513">
        <w:rPr>
          <w:szCs w:val="22"/>
        </w:rPr>
        <w:t>monohydrátu</w:t>
      </w:r>
      <w:proofErr w:type="spellEnd"/>
      <w:r w:rsidRPr="002C1513">
        <w:rPr>
          <w:szCs w:val="22"/>
        </w:rPr>
        <w:t>)</w:t>
      </w:r>
      <w:r w:rsidR="006B73E9">
        <w:rPr>
          <w:szCs w:val="22"/>
        </w:rPr>
        <w:t xml:space="preserve">, </w:t>
      </w:r>
      <w:r w:rsidR="006B73E9">
        <w:rPr>
          <w:szCs w:val="22"/>
          <w:lang w:val="en-US"/>
        </w:rPr>
        <w:t xml:space="preserve">0,788 mg </w:t>
      </w:r>
      <w:proofErr w:type="spellStart"/>
      <w:r w:rsidR="006B73E9">
        <w:rPr>
          <w:szCs w:val="22"/>
          <w:lang w:val="en-US"/>
        </w:rPr>
        <w:t>bril</w:t>
      </w:r>
      <w:r w:rsidR="006B73E9" w:rsidRPr="00FA5513">
        <w:rPr>
          <w:szCs w:val="22"/>
          <w:lang w:val="en-US"/>
        </w:rPr>
        <w:t>iant</w:t>
      </w:r>
      <w:r w:rsidR="006B73E9">
        <w:rPr>
          <w:szCs w:val="22"/>
          <w:lang w:val="en-US"/>
        </w:rPr>
        <w:t>nej</w:t>
      </w:r>
      <w:proofErr w:type="spellEnd"/>
      <w:r w:rsidR="006B73E9">
        <w:rPr>
          <w:szCs w:val="22"/>
          <w:lang w:val="en-US"/>
        </w:rPr>
        <w:t xml:space="preserve"> </w:t>
      </w:r>
      <w:proofErr w:type="spellStart"/>
      <w:r w:rsidR="006B73E9">
        <w:rPr>
          <w:szCs w:val="22"/>
          <w:lang w:val="en-US"/>
        </w:rPr>
        <w:t>modrej</w:t>
      </w:r>
      <w:proofErr w:type="spellEnd"/>
      <w:r w:rsidR="006B73E9" w:rsidRPr="00FA5513">
        <w:rPr>
          <w:szCs w:val="22"/>
          <w:lang w:val="en-US"/>
        </w:rPr>
        <w:t xml:space="preserve"> </w:t>
      </w:r>
      <w:proofErr w:type="spellStart"/>
      <w:r w:rsidR="006B73E9" w:rsidRPr="00FA5513">
        <w:rPr>
          <w:szCs w:val="22"/>
          <w:lang w:val="en-US"/>
        </w:rPr>
        <w:t>FCF</w:t>
      </w:r>
      <w:proofErr w:type="spellEnd"/>
      <w:r w:rsidR="006B73E9" w:rsidRPr="00FA5513">
        <w:rPr>
          <w:szCs w:val="22"/>
          <w:lang w:val="en-US"/>
        </w:rPr>
        <w:t xml:space="preserve"> (E</w:t>
      </w:r>
      <w:r w:rsidR="006B73E9">
        <w:rPr>
          <w:szCs w:val="22"/>
          <w:lang w:val="en-US"/>
        </w:rPr>
        <w:t xml:space="preserve"> </w:t>
      </w:r>
      <w:r w:rsidR="006B73E9" w:rsidRPr="00FA5513">
        <w:rPr>
          <w:szCs w:val="22"/>
          <w:lang w:val="en-US"/>
        </w:rPr>
        <w:t>133</w:t>
      </w:r>
      <w:r w:rsidR="006B73E9" w:rsidRPr="00376951">
        <w:rPr>
          <w:lang w:val="en-US"/>
        </w:rPr>
        <w:t>)</w:t>
      </w:r>
      <w:r w:rsidRPr="002C1513">
        <w:rPr>
          <w:szCs w:val="22"/>
        </w:rPr>
        <w:t xml:space="preserve"> a 0,167 mg červene </w:t>
      </w:r>
      <w:proofErr w:type="spellStart"/>
      <w:r w:rsidRPr="002C1513">
        <w:rPr>
          <w:szCs w:val="22"/>
        </w:rPr>
        <w:t>Allura</w:t>
      </w:r>
      <w:proofErr w:type="spellEnd"/>
      <w:r w:rsidRPr="002C1513">
        <w:rPr>
          <w:szCs w:val="22"/>
        </w:rPr>
        <w:t xml:space="preserve"> (E</w:t>
      </w:r>
      <w:r w:rsidR="006B73E9">
        <w:rPr>
          <w:szCs w:val="22"/>
        </w:rPr>
        <w:t xml:space="preserve"> </w:t>
      </w:r>
      <w:r w:rsidRPr="002C1513">
        <w:rPr>
          <w:szCs w:val="22"/>
        </w:rPr>
        <w:t xml:space="preserve">129). </w:t>
      </w:r>
    </w:p>
    <w:p w14:paraId="21946A53" w14:textId="77777777" w:rsidR="004B6AEB" w:rsidRPr="00421221" w:rsidRDefault="004B6AEB" w:rsidP="004B6AEB">
      <w:pPr>
        <w:keepNext/>
        <w:ind w:left="0" w:firstLine="0"/>
        <w:rPr>
          <w:highlight w:val="lightGray"/>
        </w:rPr>
      </w:pPr>
    </w:p>
    <w:p w14:paraId="55BFB7FC" w14:textId="77777777" w:rsidR="004B6AEB" w:rsidRPr="002C1513" w:rsidRDefault="004B6AEB" w:rsidP="004B6AEB">
      <w:pPr>
        <w:keepNext/>
        <w:ind w:left="0" w:firstLine="0"/>
        <w:rPr>
          <w:szCs w:val="22"/>
        </w:rPr>
      </w:pPr>
      <w:proofErr w:type="spellStart"/>
      <w:r w:rsidRPr="00421221">
        <w:rPr>
          <w:highlight w:val="lightGray"/>
        </w:rPr>
        <w:t>Duloxetin</w:t>
      </w:r>
      <w:proofErr w:type="spellEnd"/>
      <w:r w:rsidRPr="00421221">
        <w:rPr>
          <w:highlight w:val="lightGray"/>
        </w:rPr>
        <w:t xml:space="preserve"> Sandoz 60 mg</w:t>
      </w:r>
    </w:p>
    <w:p w14:paraId="3702237A" w14:textId="77777777" w:rsidR="004B6AEB" w:rsidRPr="002C1513" w:rsidRDefault="004B6AEB" w:rsidP="004B6AEB">
      <w:pPr>
        <w:keepNext/>
        <w:tabs>
          <w:tab w:val="left" w:pos="567"/>
        </w:tabs>
        <w:ind w:left="0" w:firstLine="0"/>
        <w:rPr>
          <w:bCs/>
          <w:szCs w:val="22"/>
        </w:rPr>
      </w:pPr>
      <w:r w:rsidRPr="00421221">
        <w:rPr>
          <w:highlight w:val="lightGray"/>
        </w:rPr>
        <w:t xml:space="preserve">Každá kapsula obsahuje 60 mg </w:t>
      </w:r>
      <w:proofErr w:type="spellStart"/>
      <w:r w:rsidRPr="00421221">
        <w:rPr>
          <w:highlight w:val="lightGray"/>
        </w:rPr>
        <w:t>duloxetínu</w:t>
      </w:r>
      <w:proofErr w:type="spellEnd"/>
      <w:r w:rsidRPr="00421221">
        <w:rPr>
          <w:highlight w:val="lightGray"/>
        </w:rPr>
        <w:t xml:space="preserve"> (vo forme chloridu).</w:t>
      </w:r>
      <w:r w:rsidRPr="002C1513">
        <w:rPr>
          <w:szCs w:val="22"/>
        </w:rPr>
        <w:t xml:space="preserve"> </w:t>
      </w:r>
      <w:r w:rsidRPr="002C1513">
        <w:rPr>
          <w:bCs/>
          <w:szCs w:val="22"/>
        </w:rPr>
        <w:t xml:space="preserve"> </w:t>
      </w:r>
    </w:p>
    <w:p w14:paraId="6817CC7F" w14:textId="77777777" w:rsidR="004B6AEB" w:rsidRPr="002C1513" w:rsidRDefault="004B6AEB" w:rsidP="004B6AEB">
      <w:pPr>
        <w:pStyle w:val="Default"/>
        <w:rPr>
          <w:sz w:val="22"/>
          <w:szCs w:val="22"/>
        </w:rPr>
      </w:pPr>
    </w:p>
    <w:p w14:paraId="740D016B" w14:textId="77777777" w:rsidR="004B6AEB" w:rsidRPr="00421221" w:rsidRDefault="004B6AEB" w:rsidP="004B6AEB">
      <w:pPr>
        <w:pStyle w:val="Default"/>
        <w:rPr>
          <w:sz w:val="22"/>
          <w:highlight w:val="lightGray"/>
        </w:rPr>
      </w:pPr>
      <w:r w:rsidRPr="00421221">
        <w:rPr>
          <w:sz w:val="22"/>
          <w:highlight w:val="lightGray"/>
        </w:rPr>
        <w:t xml:space="preserve">Pomocné látky so známym účinkom: </w:t>
      </w:r>
    </w:p>
    <w:p w14:paraId="31FC6B8B" w14:textId="6E25F85A" w:rsidR="004B6AEB" w:rsidRPr="002C1513" w:rsidRDefault="004B6AEB" w:rsidP="004B6AEB">
      <w:pPr>
        <w:keepNext/>
        <w:ind w:left="0" w:firstLine="0"/>
        <w:rPr>
          <w:szCs w:val="22"/>
        </w:rPr>
      </w:pPr>
      <w:r w:rsidRPr="00421221">
        <w:rPr>
          <w:highlight w:val="lightGray"/>
        </w:rPr>
        <w:t>Každá kapsula obsahuje 3,</w:t>
      </w:r>
      <w:r w:rsidR="006B73E9">
        <w:rPr>
          <w:szCs w:val="22"/>
          <w:highlight w:val="lightGray"/>
        </w:rPr>
        <w:t>7</w:t>
      </w:r>
      <w:r w:rsidRPr="00421221">
        <w:rPr>
          <w:highlight w:val="lightGray"/>
        </w:rPr>
        <w:t xml:space="preserve"> mg laktózy (vo forme </w:t>
      </w:r>
      <w:proofErr w:type="spellStart"/>
      <w:r w:rsidRPr="00421221">
        <w:rPr>
          <w:highlight w:val="lightGray"/>
        </w:rPr>
        <w:t>monohydrátu</w:t>
      </w:r>
      <w:proofErr w:type="spellEnd"/>
      <w:r w:rsidRPr="00421221">
        <w:rPr>
          <w:highlight w:val="lightGray"/>
        </w:rPr>
        <w:t>),</w:t>
      </w:r>
      <w:r w:rsidR="006B73E9" w:rsidRPr="00421221">
        <w:rPr>
          <w:highlight w:val="lightGray"/>
        </w:rPr>
        <w:t xml:space="preserve"> </w:t>
      </w:r>
      <w:r w:rsidR="006B73E9">
        <w:rPr>
          <w:szCs w:val="22"/>
          <w:highlight w:val="lightGray"/>
          <w:lang w:val="en-US"/>
        </w:rPr>
        <w:t xml:space="preserve">1,852 mg </w:t>
      </w:r>
      <w:proofErr w:type="spellStart"/>
      <w:r w:rsidR="006B73E9">
        <w:rPr>
          <w:szCs w:val="22"/>
          <w:highlight w:val="lightGray"/>
          <w:lang w:val="en-US"/>
        </w:rPr>
        <w:t>bri</w:t>
      </w:r>
      <w:r w:rsidR="006B73E9" w:rsidRPr="00FA5513">
        <w:rPr>
          <w:szCs w:val="22"/>
          <w:highlight w:val="lightGray"/>
          <w:lang w:val="en-US"/>
        </w:rPr>
        <w:t>liant</w:t>
      </w:r>
      <w:r w:rsidR="006B73E9">
        <w:rPr>
          <w:szCs w:val="22"/>
          <w:highlight w:val="lightGray"/>
          <w:lang w:val="en-US"/>
        </w:rPr>
        <w:t>nej</w:t>
      </w:r>
      <w:proofErr w:type="spellEnd"/>
      <w:r w:rsidR="006B73E9">
        <w:rPr>
          <w:szCs w:val="22"/>
          <w:highlight w:val="lightGray"/>
          <w:lang w:val="en-US"/>
        </w:rPr>
        <w:t xml:space="preserve"> </w:t>
      </w:r>
      <w:proofErr w:type="spellStart"/>
      <w:r w:rsidR="006B73E9">
        <w:rPr>
          <w:szCs w:val="22"/>
          <w:highlight w:val="lightGray"/>
          <w:lang w:val="en-US"/>
        </w:rPr>
        <w:t>modrej</w:t>
      </w:r>
      <w:proofErr w:type="spellEnd"/>
      <w:r w:rsidR="006B73E9">
        <w:rPr>
          <w:szCs w:val="22"/>
          <w:highlight w:val="lightGray"/>
          <w:lang w:val="en-US"/>
        </w:rPr>
        <w:t xml:space="preserve"> </w:t>
      </w:r>
      <w:proofErr w:type="spellStart"/>
      <w:r w:rsidR="006B73E9" w:rsidRPr="00FA5513">
        <w:rPr>
          <w:szCs w:val="22"/>
          <w:highlight w:val="lightGray"/>
          <w:lang w:val="en-US"/>
        </w:rPr>
        <w:t>FCF</w:t>
      </w:r>
      <w:proofErr w:type="spellEnd"/>
      <w:r w:rsidR="006B73E9" w:rsidRPr="00FA5513">
        <w:rPr>
          <w:szCs w:val="22"/>
          <w:highlight w:val="lightGray"/>
          <w:lang w:val="en-US"/>
        </w:rPr>
        <w:t xml:space="preserve"> (E 133)</w:t>
      </w:r>
      <w:r w:rsidR="006B73E9">
        <w:rPr>
          <w:szCs w:val="22"/>
          <w:highlight w:val="lightGray"/>
          <w:lang w:val="en-US"/>
        </w:rPr>
        <w:t>,</w:t>
      </w:r>
      <w:r w:rsidR="006B73E9" w:rsidRPr="00FA5513">
        <w:rPr>
          <w:szCs w:val="22"/>
          <w:highlight w:val="lightGray"/>
          <w:lang w:val="en-US"/>
        </w:rPr>
        <w:t xml:space="preserve"> </w:t>
      </w:r>
      <w:r w:rsidRPr="002C1513">
        <w:rPr>
          <w:szCs w:val="22"/>
          <w:highlight w:val="lightGray"/>
        </w:rPr>
        <w:t xml:space="preserve"> </w:t>
      </w:r>
      <w:r w:rsidRPr="00421221">
        <w:rPr>
          <w:highlight w:val="lightGray"/>
        </w:rPr>
        <w:t xml:space="preserve">0,152 mg oranžovej žltej </w:t>
      </w:r>
      <w:proofErr w:type="spellStart"/>
      <w:r w:rsidRPr="00421221">
        <w:rPr>
          <w:highlight w:val="lightGray"/>
        </w:rPr>
        <w:t>FCF</w:t>
      </w:r>
      <w:proofErr w:type="spellEnd"/>
      <w:r w:rsidRPr="00421221">
        <w:rPr>
          <w:highlight w:val="lightGray"/>
        </w:rPr>
        <w:t xml:space="preserve"> (</w:t>
      </w:r>
      <w:r w:rsidRPr="002C1513">
        <w:rPr>
          <w:szCs w:val="22"/>
          <w:highlight w:val="lightGray"/>
        </w:rPr>
        <w:t>E</w:t>
      </w:r>
      <w:r w:rsidR="006B73E9">
        <w:rPr>
          <w:szCs w:val="22"/>
          <w:highlight w:val="lightGray"/>
        </w:rPr>
        <w:t xml:space="preserve"> </w:t>
      </w:r>
      <w:r w:rsidRPr="002C1513">
        <w:rPr>
          <w:szCs w:val="22"/>
          <w:highlight w:val="lightGray"/>
        </w:rPr>
        <w:t>110</w:t>
      </w:r>
      <w:r w:rsidRPr="00421221">
        <w:rPr>
          <w:highlight w:val="lightGray"/>
        </w:rPr>
        <w:t xml:space="preserve">) a 0,390 mg červene </w:t>
      </w:r>
      <w:proofErr w:type="spellStart"/>
      <w:r w:rsidRPr="00421221">
        <w:rPr>
          <w:highlight w:val="lightGray"/>
        </w:rPr>
        <w:t>Allura</w:t>
      </w:r>
      <w:proofErr w:type="spellEnd"/>
      <w:r w:rsidRPr="00421221">
        <w:rPr>
          <w:highlight w:val="lightGray"/>
        </w:rPr>
        <w:t xml:space="preserve"> (</w:t>
      </w:r>
      <w:r w:rsidRPr="002C1513">
        <w:rPr>
          <w:szCs w:val="22"/>
          <w:highlight w:val="lightGray"/>
        </w:rPr>
        <w:t>E</w:t>
      </w:r>
      <w:r w:rsidR="006B73E9">
        <w:rPr>
          <w:szCs w:val="22"/>
          <w:highlight w:val="lightGray"/>
        </w:rPr>
        <w:t xml:space="preserve"> </w:t>
      </w:r>
      <w:r w:rsidRPr="002C1513">
        <w:rPr>
          <w:szCs w:val="22"/>
          <w:highlight w:val="lightGray"/>
        </w:rPr>
        <w:t>129</w:t>
      </w:r>
      <w:r w:rsidRPr="00421221">
        <w:rPr>
          <w:highlight w:val="lightGray"/>
        </w:rPr>
        <w:t>).</w:t>
      </w:r>
      <w:r w:rsidRPr="002C1513">
        <w:rPr>
          <w:szCs w:val="22"/>
        </w:rPr>
        <w:t xml:space="preserve"> </w:t>
      </w:r>
    </w:p>
    <w:p w14:paraId="3BB68F22" w14:textId="77777777" w:rsidR="00C82C0A" w:rsidRPr="002C1513" w:rsidRDefault="00C82C0A" w:rsidP="00527DED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14:paraId="659DEACF" w14:textId="77777777" w:rsidR="00FF6BE0" w:rsidRPr="002C1513" w:rsidRDefault="00FF6BE0" w:rsidP="00527DED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2C1513">
        <w:rPr>
          <w:szCs w:val="22"/>
          <w:lang w:eastAsia="en-US"/>
        </w:rPr>
        <w:t>Úplný zoznam pomocných látok, pozri časť 6.1.</w:t>
      </w:r>
    </w:p>
    <w:p w14:paraId="7645F0C5" w14:textId="77777777" w:rsidR="00685635" w:rsidRPr="002C1513" w:rsidRDefault="00685635" w:rsidP="00527DED">
      <w:pPr>
        <w:ind w:left="0" w:firstLine="0"/>
        <w:rPr>
          <w:szCs w:val="22"/>
        </w:rPr>
      </w:pPr>
    </w:p>
    <w:p w14:paraId="7432B325" w14:textId="77777777" w:rsidR="00920419" w:rsidRPr="002C1513" w:rsidRDefault="00920419" w:rsidP="00527DED">
      <w:pPr>
        <w:ind w:left="0" w:firstLine="0"/>
        <w:rPr>
          <w:szCs w:val="22"/>
        </w:rPr>
      </w:pPr>
    </w:p>
    <w:p w14:paraId="580F7CC3" w14:textId="77777777" w:rsidR="00FF6BE0" w:rsidRPr="002C1513" w:rsidRDefault="00FF6BE0" w:rsidP="00D62768">
      <w:pPr>
        <w:tabs>
          <w:tab w:val="left" w:pos="567"/>
        </w:tabs>
        <w:ind w:left="0" w:firstLine="0"/>
        <w:rPr>
          <w:caps/>
          <w:szCs w:val="22"/>
        </w:rPr>
      </w:pPr>
      <w:r w:rsidRPr="002C1513">
        <w:rPr>
          <w:b/>
          <w:szCs w:val="22"/>
        </w:rPr>
        <w:t>3.</w:t>
      </w:r>
      <w:r w:rsidRPr="002C1513">
        <w:rPr>
          <w:b/>
          <w:szCs w:val="22"/>
        </w:rPr>
        <w:tab/>
        <w:t>LIEKOVÁ FORMA</w:t>
      </w:r>
    </w:p>
    <w:p w14:paraId="65323B73" w14:textId="77777777" w:rsidR="004B6AEB" w:rsidRPr="002C1513" w:rsidRDefault="004B6AEB" w:rsidP="004B6AEB">
      <w:pPr>
        <w:keepNext/>
        <w:ind w:left="0" w:firstLine="0"/>
        <w:rPr>
          <w:szCs w:val="22"/>
        </w:rPr>
      </w:pPr>
    </w:p>
    <w:p w14:paraId="531F9939" w14:textId="77777777" w:rsidR="004B6AEB" w:rsidRPr="002C1513" w:rsidRDefault="004B6AEB" w:rsidP="004B6AEB">
      <w:pPr>
        <w:keepNext/>
        <w:ind w:left="0" w:firstLine="0"/>
        <w:rPr>
          <w:szCs w:val="22"/>
        </w:rPr>
      </w:pPr>
      <w:r w:rsidRPr="002C1513">
        <w:rPr>
          <w:szCs w:val="22"/>
        </w:rPr>
        <w:t xml:space="preserve">Tvrdá </w:t>
      </w:r>
      <w:proofErr w:type="spellStart"/>
      <w:r w:rsidRPr="002C1513">
        <w:rPr>
          <w:szCs w:val="22"/>
        </w:rPr>
        <w:t>gastrorezistentná</w:t>
      </w:r>
      <w:proofErr w:type="spellEnd"/>
      <w:r w:rsidRPr="002C1513">
        <w:rPr>
          <w:szCs w:val="22"/>
        </w:rPr>
        <w:t xml:space="preserve"> kapsula</w:t>
      </w:r>
    </w:p>
    <w:p w14:paraId="7E45EF81" w14:textId="77777777" w:rsidR="00C25D7B" w:rsidRPr="002C1513" w:rsidRDefault="00C25D7B" w:rsidP="00527DED">
      <w:pPr>
        <w:ind w:left="0" w:firstLine="0"/>
        <w:rPr>
          <w:szCs w:val="22"/>
        </w:rPr>
      </w:pPr>
    </w:p>
    <w:p w14:paraId="5C0212DC" w14:textId="77777777" w:rsidR="004B6AEB" w:rsidRPr="002C1513" w:rsidRDefault="004B6AEB" w:rsidP="004B6AEB">
      <w:pPr>
        <w:keepNext/>
        <w:ind w:left="0" w:firstLine="0"/>
        <w:rPr>
          <w:bCs/>
          <w:szCs w:val="22"/>
        </w:rPr>
      </w:pPr>
      <w:proofErr w:type="spellStart"/>
      <w:r w:rsidRPr="002C1513">
        <w:rPr>
          <w:bCs/>
          <w:szCs w:val="22"/>
        </w:rPr>
        <w:t>Duloxetin</w:t>
      </w:r>
      <w:proofErr w:type="spellEnd"/>
      <w:r w:rsidRPr="002C1513">
        <w:rPr>
          <w:bCs/>
          <w:szCs w:val="22"/>
        </w:rPr>
        <w:t xml:space="preserve"> Sandoz 30 mg </w:t>
      </w:r>
    </w:p>
    <w:p w14:paraId="569A6A72" w14:textId="77777777" w:rsidR="004B6AEB" w:rsidRPr="002C1513" w:rsidRDefault="00173BED" w:rsidP="004B6AEB">
      <w:pPr>
        <w:keepNext/>
        <w:ind w:left="0" w:firstLine="0"/>
        <w:rPr>
          <w:bCs/>
          <w:szCs w:val="22"/>
        </w:rPr>
      </w:pPr>
      <w:r w:rsidRPr="002C1513">
        <w:rPr>
          <w:bCs/>
          <w:szCs w:val="22"/>
        </w:rPr>
        <w:t>Kapsula veľkosti 2 s nepriehľadným</w:t>
      </w:r>
      <w:r w:rsidR="004B6AEB" w:rsidRPr="002C1513">
        <w:rPr>
          <w:bCs/>
          <w:szCs w:val="22"/>
        </w:rPr>
        <w:t xml:space="preserve"> </w:t>
      </w:r>
      <w:r w:rsidRPr="002C1513">
        <w:rPr>
          <w:bCs/>
          <w:szCs w:val="22"/>
        </w:rPr>
        <w:t>bielym</w:t>
      </w:r>
      <w:r w:rsidR="004B6AEB" w:rsidRPr="002C1513">
        <w:rPr>
          <w:bCs/>
          <w:szCs w:val="22"/>
        </w:rPr>
        <w:t xml:space="preserve"> telo</w:t>
      </w:r>
      <w:r w:rsidRPr="002C1513">
        <w:rPr>
          <w:bCs/>
          <w:szCs w:val="22"/>
        </w:rPr>
        <w:t>m</w:t>
      </w:r>
      <w:r w:rsidR="004B6AEB" w:rsidRPr="002C1513">
        <w:rPr>
          <w:bCs/>
          <w:szCs w:val="22"/>
        </w:rPr>
        <w:t xml:space="preserve"> s číslom „30“ v</w:t>
      </w:r>
      <w:r w:rsidR="00261081" w:rsidRPr="002C1513">
        <w:rPr>
          <w:bCs/>
          <w:szCs w:val="22"/>
        </w:rPr>
        <w:t>ytlačeným tmavomodrým farbivom</w:t>
      </w:r>
      <w:r w:rsidR="004B6AEB" w:rsidRPr="002C1513">
        <w:rPr>
          <w:bCs/>
          <w:szCs w:val="22"/>
        </w:rPr>
        <w:t xml:space="preserve"> a nepriehľadný</w:t>
      </w:r>
      <w:r w:rsidRPr="002C1513">
        <w:rPr>
          <w:bCs/>
          <w:szCs w:val="22"/>
        </w:rPr>
        <w:t>m</w:t>
      </w:r>
      <w:r w:rsidR="004B6AEB" w:rsidRPr="002C1513">
        <w:rPr>
          <w:bCs/>
          <w:szCs w:val="22"/>
        </w:rPr>
        <w:t xml:space="preserve"> </w:t>
      </w:r>
      <w:proofErr w:type="spellStart"/>
      <w:r w:rsidR="004B6AEB" w:rsidRPr="002C1513">
        <w:rPr>
          <w:bCs/>
          <w:szCs w:val="22"/>
        </w:rPr>
        <w:t>tnavomodrý</w:t>
      </w:r>
      <w:r w:rsidRPr="002C1513">
        <w:rPr>
          <w:bCs/>
          <w:szCs w:val="22"/>
        </w:rPr>
        <w:t>m</w:t>
      </w:r>
      <w:proofErr w:type="spellEnd"/>
      <w:r w:rsidR="004B6AEB" w:rsidRPr="002C1513">
        <w:rPr>
          <w:bCs/>
          <w:szCs w:val="22"/>
        </w:rPr>
        <w:t xml:space="preserve"> vrchnák</w:t>
      </w:r>
      <w:r w:rsidRPr="002C1513">
        <w:rPr>
          <w:bCs/>
          <w:szCs w:val="22"/>
        </w:rPr>
        <w:t>om</w:t>
      </w:r>
      <w:r w:rsidR="004B6AEB" w:rsidRPr="002C1513">
        <w:rPr>
          <w:bCs/>
          <w:szCs w:val="22"/>
        </w:rPr>
        <w:t>, obsahu</w:t>
      </w:r>
      <w:r w:rsidRPr="002C1513">
        <w:rPr>
          <w:bCs/>
          <w:szCs w:val="22"/>
        </w:rPr>
        <w:t>júca</w:t>
      </w:r>
      <w:r w:rsidR="004B6AEB" w:rsidRPr="002C1513">
        <w:rPr>
          <w:bCs/>
          <w:szCs w:val="22"/>
        </w:rPr>
        <w:t xml:space="preserve"> 4 biele až sivobiele okrúhle obojstranne vypuklé tablety</w:t>
      </w:r>
      <w:r w:rsidRPr="002C1513">
        <w:rPr>
          <w:bCs/>
          <w:szCs w:val="22"/>
        </w:rPr>
        <w:t>.</w:t>
      </w:r>
      <w:r w:rsidR="004B6AEB" w:rsidRPr="002C1513">
        <w:rPr>
          <w:bCs/>
          <w:szCs w:val="22"/>
        </w:rPr>
        <w:t xml:space="preserve"> </w:t>
      </w:r>
    </w:p>
    <w:p w14:paraId="7CF28029" w14:textId="77777777" w:rsidR="00173BED" w:rsidRPr="002C1513" w:rsidRDefault="00173BED" w:rsidP="004B6AEB">
      <w:pPr>
        <w:keepNext/>
        <w:ind w:left="0" w:firstLine="0"/>
        <w:rPr>
          <w:bCs/>
          <w:szCs w:val="22"/>
        </w:rPr>
      </w:pPr>
    </w:p>
    <w:p w14:paraId="7E2BA28C" w14:textId="77777777" w:rsidR="00173BED" w:rsidRPr="00421221" w:rsidRDefault="004B6AEB" w:rsidP="004B6AEB">
      <w:pPr>
        <w:keepNext/>
        <w:ind w:left="0" w:firstLine="0"/>
        <w:rPr>
          <w:highlight w:val="lightGray"/>
        </w:rPr>
      </w:pPr>
      <w:proofErr w:type="spellStart"/>
      <w:r w:rsidRPr="00421221">
        <w:rPr>
          <w:highlight w:val="lightGray"/>
        </w:rPr>
        <w:t>Duloxetin</w:t>
      </w:r>
      <w:proofErr w:type="spellEnd"/>
      <w:r w:rsidRPr="00421221">
        <w:rPr>
          <w:highlight w:val="lightGray"/>
        </w:rPr>
        <w:t xml:space="preserve"> Sandoz 60</w:t>
      </w:r>
      <w:r w:rsidR="002C1513" w:rsidRPr="00421221">
        <w:rPr>
          <w:highlight w:val="lightGray"/>
        </w:rPr>
        <w:t xml:space="preserve"> mg</w:t>
      </w:r>
      <w:r w:rsidRPr="00421221">
        <w:rPr>
          <w:highlight w:val="lightGray"/>
        </w:rPr>
        <w:t xml:space="preserve"> </w:t>
      </w:r>
    </w:p>
    <w:p w14:paraId="6B07C639" w14:textId="77777777" w:rsidR="004B6AEB" w:rsidRPr="002C1513" w:rsidRDefault="00173BED" w:rsidP="004B6AEB">
      <w:pPr>
        <w:keepNext/>
        <w:ind w:left="0" w:firstLine="0"/>
        <w:rPr>
          <w:bCs/>
          <w:szCs w:val="22"/>
        </w:rPr>
      </w:pPr>
      <w:r w:rsidRPr="00421221">
        <w:rPr>
          <w:highlight w:val="lightGray"/>
        </w:rPr>
        <w:t>Kapsula veľkosti 0E s nepriehľadným žltozeleným telom</w:t>
      </w:r>
      <w:r w:rsidR="004B6AEB" w:rsidRPr="00421221">
        <w:rPr>
          <w:highlight w:val="lightGray"/>
        </w:rPr>
        <w:t xml:space="preserve"> </w:t>
      </w:r>
      <w:r w:rsidRPr="00421221">
        <w:rPr>
          <w:highlight w:val="lightGray"/>
        </w:rPr>
        <w:t>s číslom „60“ v</w:t>
      </w:r>
      <w:r w:rsidR="00261081" w:rsidRPr="00421221">
        <w:rPr>
          <w:highlight w:val="lightGray"/>
        </w:rPr>
        <w:t>ytlačeným tmavomodrým farbivom</w:t>
      </w:r>
      <w:r w:rsidRPr="00421221">
        <w:rPr>
          <w:highlight w:val="lightGray"/>
        </w:rPr>
        <w:t xml:space="preserve"> a </w:t>
      </w:r>
      <w:r w:rsidR="004B6AEB" w:rsidRPr="002C1513">
        <w:rPr>
          <w:highlight w:val="lightGray"/>
        </w:rPr>
        <w:t>nepriehľadný</w:t>
      </w:r>
      <w:r w:rsidRPr="002C1513">
        <w:rPr>
          <w:highlight w:val="lightGray"/>
        </w:rPr>
        <w:t>m</w:t>
      </w:r>
      <w:r w:rsidR="004B6AEB" w:rsidRPr="002C1513">
        <w:rPr>
          <w:highlight w:val="lightGray"/>
        </w:rPr>
        <w:t xml:space="preserve"> </w:t>
      </w:r>
      <w:proofErr w:type="spellStart"/>
      <w:r w:rsidR="004B6AEB" w:rsidRPr="002C1513">
        <w:rPr>
          <w:highlight w:val="lightGray"/>
        </w:rPr>
        <w:t>tnavomodrý</w:t>
      </w:r>
      <w:r w:rsidRPr="002C1513">
        <w:rPr>
          <w:highlight w:val="lightGray"/>
        </w:rPr>
        <w:t>m</w:t>
      </w:r>
      <w:proofErr w:type="spellEnd"/>
      <w:r w:rsidR="004B6AEB" w:rsidRPr="002C1513">
        <w:rPr>
          <w:highlight w:val="lightGray"/>
        </w:rPr>
        <w:t xml:space="preserve"> vrchnák</w:t>
      </w:r>
      <w:r w:rsidRPr="002C1513">
        <w:rPr>
          <w:highlight w:val="lightGray"/>
        </w:rPr>
        <w:t>om</w:t>
      </w:r>
      <w:r w:rsidR="004B6AEB" w:rsidRPr="002C1513">
        <w:rPr>
          <w:highlight w:val="lightGray"/>
        </w:rPr>
        <w:t>, obsahujú</w:t>
      </w:r>
      <w:r w:rsidRPr="002C1513">
        <w:rPr>
          <w:highlight w:val="lightGray"/>
        </w:rPr>
        <w:t>ca</w:t>
      </w:r>
      <w:r w:rsidR="004B6AEB" w:rsidRPr="002C1513">
        <w:rPr>
          <w:highlight w:val="lightGray"/>
        </w:rPr>
        <w:t xml:space="preserve"> 8 bielych až sivobielych okrúhlych obojstranne vypuklých tabliet.</w:t>
      </w:r>
    </w:p>
    <w:p w14:paraId="244C722B" w14:textId="77777777" w:rsidR="00207689" w:rsidRPr="002C1513" w:rsidRDefault="00207689" w:rsidP="00527DED">
      <w:pPr>
        <w:ind w:left="0" w:firstLine="0"/>
        <w:rPr>
          <w:szCs w:val="22"/>
        </w:rPr>
      </w:pPr>
    </w:p>
    <w:p w14:paraId="23C4A008" w14:textId="77777777" w:rsidR="00DE48BB" w:rsidRPr="002C1513" w:rsidRDefault="00DE48BB" w:rsidP="00527DED">
      <w:pPr>
        <w:ind w:left="0" w:firstLine="0"/>
        <w:rPr>
          <w:szCs w:val="22"/>
        </w:rPr>
      </w:pPr>
    </w:p>
    <w:p w14:paraId="493C2687" w14:textId="77777777" w:rsidR="00FF6BE0" w:rsidRPr="002C1513" w:rsidRDefault="00FF6BE0" w:rsidP="00D62768">
      <w:pPr>
        <w:tabs>
          <w:tab w:val="left" w:pos="567"/>
        </w:tabs>
        <w:ind w:left="0" w:firstLine="0"/>
        <w:rPr>
          <w:caps/>
          <w:szCs w:val="22"/>
        </w:rPr>
      </w:pPr>
      <w:r w:rsidRPr="002C1513">
        <w:rPr>
          <w:b/>
          <w:caps/>
          <w:szCs w:val="22"/>
        </w:rPr>
        <w:t>4.</w:t>
      </w:r>
      <w:r w:rsidRPr="002C1513">
        <w:rPr>
          <w:b/>
          <w:caps/>
          <w:szCs w:val="22"/>
        </w:rPr>
        <w:tab/>
        <w:t>KLINICKÉ ÚDAJE</w:t>
      </w:r>
    </w:p>
    <w:p w14:paraId="239ED7CB" w14:textId="77777777" w:rsidR="00FF6BE0" w:rsidRPr="002C1513" w:rsidRDefault="00FF6BE0" w:rsidP="00527DED">
      <w:pPr>
        <w:ind w:left="0" w:firstLine="0"/>
        <w:rPr>
          <w:szCs w:val="22"/>
        </w:rPr>
      </w:pPr>
    </w:p>
    <w:p w14:paraId="1FC95CEA" w14:textId="77777777" w:rsidR="00FF6BE0" w:rsidRPr="002C1513" w:rsidRDefault="00FF6BE0" w:rsidP="00D62768">
      <w:pPr>
        <w:numPr>
          <w:ilvl w:val="1"/>
          <w:numId w:val="8"/>
        </w:numPr>
        <w:ind w:left="567" w:hanging="567"/>
        <w:rPr>
          <w:szCs w:val="22"/>
        </w:rPr>
      </w:pPr>
      <w:r w:rsidRPr="002C1513">
        <w:rPr>
          <w:b/>
          <w:szCs w:val="22"/>
        </w:rPr>
        <w:t>Terapeutické indikácie</w:t>
      </w:r>
    </w:p>
    <w:p w14:paraId="0AFE5281" w14:textId="77777777" w:rsidR="00FF6BE0" w:rsidRPr="002C1513" w:rsidRDefault="00FF6BE0" w:rsidP="00527DED">
      <w:pPr>
        <w:ind w:left="0" w:firstLine="0"/>
        <w:rPr>
          <w:szCs w:val="22"/>
        </w:rPr>
      </w:pPr>
    </w:p>
    <w:p w14:paraId="59AFDC01" w14:textId="77777777" w:rsidR="00173BED" w:rsidRPr="002C1513" w:rsidRDefault="00173BED" w:rsidP="00173BED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Liečba veľkej depresívnej poruchy. </w:t>
      </w:r>
    </w:p>
    <w:p w14:paraId="4A97F498" w14:textId="77777777" w:rsidR="00173BED" w:rsidRPr="002C1513" w:rsidRDefault="00173BED" w:rsidP="00173BED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Liečba diabetickej periférnej </w:t>
      </w:r>
      <w:proofErr w:type="spellStart"/>
      <w:r w:rsidRPr="002C1513">
        <w:rPr>
          <w:sz w:val="22"/>
          <w:szCs w:val="22"/>
        </w:rPr>
        <w:t>neuropatickej</w:t>
      </w:r>
      <w:proofErr w:type="spellEnd"/>
      <w:r w:rsidRPr="002C1513">
        <w:rPr>
          <w:sz w:val="22"/>
          <w:szCs w:val="22"/>
        </w:rPr>
        <w:t xml:space="preserve"> bolesti. </w:t>
      </w:r>
    </w:p>
    <w:p w14:paraId="428F4A14" w14:textId="77777777" w:rsidR="00173BED" w:rsidRPr="002C1513" w:rsidRDefault="00173BED" w:rsidP="00173BED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Liečba generalizovanej úzkostnej poruchy. </w:t>
      </w:r>
    </w:p>
    <w:p w14:paraId="0E19B976" w14:textId="77777777" w:rsidR="00173BED" w:rsidRPr="002C1513" w:rsidRDefault="00173BED" w:rsidP="00173BED">
      <w:pPr>
        <w:pStyle w:val="Default"/>
        <w:rPr>
          <w:sz w:val="22"/>
          <w:szCs w:val="22"/>
        </w:rPr>
      </w:pPr>
    </w:p>
    <w:p w14:paraId="0BEC8F54" w14:textId="77777777" w:rsidR="00173BED" w:rsidRPr="002C1513" w:rsidRDefault="00173BED" w:rsidP="00173BED">
      <w:pPr>
        <w:pStyle w:val="Default"/>
        <w:rPr>
          <w:sz w:val="22"/>
          <w:szCs w:val="22"/>
        </w:rPr>
      </w:pPr>
      <w:proofErr w:type="spellStart"/>
      <w:r w:rsidRPr="00E619E9">
        <w:rPr>
          <w:bCs/>
          <w:sz w:val="22"/>
          <w:szCs w:val="22"/>
        </w:rPr>
        <w:t>Duloxetin</w:t>
      </w:r>
      <w:proofErr w:type="spellEnd"/>
      <w:r w:rsidRPr="00E619E9">
        <w:rPr>
          <w:bCs/>
          <w:sz w:val="22"/>
          <w:szCs w:val="22"/>
        </w:rPr>
        <w:t xml:space="preserve"> Sandoz</w:t>
      </w:r>
      <w:r w:rsidRPr="002C1513">
        <w:rPr>
          <w:bCs/>
          <w:szCs w:val="22"/>
        </w:rPr>
        <w:t xml:space="preserve"> </w:t>
      </w:r>
      <w:r w:rsidRPr="002C1513">
        <w:rPr>
          <w:sz w:val="22"/>
          <w:szCs w:val="22"/>
        </w:rPr>
        <w:t xml:space="preserve">je indikovaný </w:t>
      </w:r>
      <w:r w:rsidR="00EA2A19" w:rsidRPr="002C1513">
        <w:rPr>
          <w:sz w:val="22"/>
          <w:szCs w:val="22"/>
        </w:rPr>
        <w:t>dospelý</w:t>
      </w:r>
      <w:r w:rsidR="00EA2A19">
        <w:rPr>
          <w:sz w:val="22"/>
          <w:szCs w:val="22"/>
        </w:rPr>
        <w:t>m</w:t>
      </w:r>
      <w:r w:rsidRPr="002C1513">
        <w:rPr>
          <w:sz w:val="22"/>
          <w:szCs w:val="22"/>
        </w:rPr>
        <w:t xml:space="preserve">. </w:t>
      </w:r>
    </w:p>
    <w:p w14:paraId="0D434A7B" w14:textId="77777777" w:rsidR="00173BED" w:rsidRPr="002C1513" w:rsidRDefault="00173BED" w:rsidP="00173BED">
      <w:pPr>
        <w:ind w:left="0" w:firstLine="0"/>
        <w:rPr>
          <w:szCs w:val="22"/>
        </w:rPr>
      </w:pPr>
      <w:r w:rsidRPr="002C1513">
        <w:rPr>
          <w:szCs w:val="22"/>
        </w:rPr>
        <w:t>Ďalšie informácie nájdete v časti 5.1.</w:t>
      </w:r>
    </w:p>
    <w:p w14:paraId="698D16AA" w14:textId="77777777" w:rsidR="00173BED" w:rsidRPr="002C1513" w:rsidRDefault="00173BED" w:rsidP="00173BED">
      <w:pPr>
        <w:ind w:left="0" w:firstLine="0"/>
        <w:rPr>
          <w:szCs w:val="22"/>
        </w:rPr>
      </w:pPr>
    </w:p>
    <w:p w14:paraId="64AB6A9F" w14:textId="77777777" w:rsidR="00FF6BE0" w:rsidRPr="002C1513" w:rsidRDefault="00FF6BE0" w:rsidP="00376951">
      <w:pPr>
        <w:keepNext/>
        <w:numPr>
          <w:ilvl w:val="1"/>
          <w:numId w:val="8"/>
        </w:numPr>
        <w:ind w:left="567" w:hanging="567"/>
        <w:rPr>
          <w:b/>
          <w:szCs w:val="22"/>
        </w:rPr>
      </w:pPr>
      <w:r w:rsidRPr="002C1513">
        <w:rPr>
          <w:b/>
          <w:szCs w:val="22"/>
        </w:rPr>
        <w:lastRenderedPageBreak/>
        <w:t>Dávkovanie a spôsob podávania</w:t>
      </w:r>
    </w:p>
    <w:p w14:paraId="1F264110" w14:textId="77777777" w:rsidR="00667DBF" w:rsidRPr="002C1513" w:rsidRDefault="00667DBF" w:rsidP="00376951">
      <w:pPr>
        <w:keepNext/>
        <w:ind w:left="0" w:firstLine="0"/>
        <w:rPr>
          <w:szCs w:val="22"/>
        </w:rPr>
      </w:pPr>
    </w:p>
    <w:p w14:paraId="199ABA7D" w14:textId="77777777" w:rsidR="002A4801" w:rsidRPr="002C1513" w:rsidRDefault="002A4801" w:rsidP="00376951">
      <w:pPr>
        <w:keepNext/>
        <w:autoSpaceDE w:val="0"/>
        <w:autoSpaceDN w:val="0"/>
        <w:adjustRightInd w:val="0"/>
        <w:ind w:left="0" w:firstLine="0"/>
        <w:rPr>
          <w:szCs w:val="22"/>
          <w:u w:val="single"/>
          <w:lang w:eastAsia="en-US"/>
        </w:rPr>
      </w:pPr>
      <w:r w:rsidRPr="002C1513">
        <w:rPr>
          <w:szCs w:val="22"/>
          <w:u w:val="single"/>
          <w:lang w:eastAsia="en-US"/>
        </w:rPr>
        <w:t>Dávkovanie</w:t>
      </w:r>
    </w:p>
    <w:p w14:paraId="5FF0FF50" w14:textId="77777777" w:rsidR="00D42E0A" w:rsidRPr="002C1513" w:rsidRDefault="00D42E0A" w:rsidP="00421221">
      <w:pPr>
        <w:pStyle w:val="Default"/>
        <w:keepNext/>
        <w:rPr>
          <w:i/>
          <w:iCs/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Veľká depresívna porucha </w:t>
      </w:r>
    </w:p>
    <w:p w14:paraId="3B7F78DA" w14:textId="41B58AC8" w:rsidR="00D42E0A" w:rsidRPr="002C1513" w:rsidRDefault="00421221">
      <w:pPr>
        <w:pStyle w:val="Default"/>
        <w:keepNext/>
        <w:rPr>
          <w:sz w:val="22"/>
          <w:szCs w:val="22"/>
        </w:rPr>
      </w:pPr>
      <w:r>
        <w:rPr>
          <w:sz w:val="22"/>
          <w:szCs w:val="22"/>
        </w:rPr>
        <w:t>Za</w:t>
      </w:r>
      <w:r w:rsidR="00D42E0A" w:rsidRPr="002C1513">
        <w:rPr>
          <w:sz w:val="22"/>
          <w:szCs w:val="22"/>
        </w:rPr>
        <w:t xml:space="preserve">čiatočná a odporúčaná udržiavacia dávka je 60 mg jedenkrát denne s jedlom alebo bez jedla. V klinických štúdiách boli z hľadiska bezpečnosti hodnotené podané dávky vyššie ako 60 mg jedenkrát denne až po maximálnu dávku 120 mg denne. Klinický dôkaz o tom, že by pacienti nereagujúci na počiatočnú odporúčanú dávku mohli profitovať zo vzostupnej titrácie dávky však neexistuje. </w:t>
      </w:r>
    </w:p>
    <w:p w14:paraId="244C2667" w14:textId="77777777" w:rsidR="00D42E0A" w:rsidRPr="002C1513" w:rsidRDefault="00D42E0A" w:rsidP="00D42E0A">
      <w:pPr>
        <w:pStyle w:val="Default"/>
        <w:keepNext/>
        <w:rPr>
          <w:sz w:val="22"/>
          <w:szCs w:val="22"/>
        </w:rPr>
      </w:pPr>
    </w:p>
    <w:p w14:paraId="186A03C7" w14:textId="77777777" w:rsidR="00D42E0A" w:rsidRPr="002C1513" w:rsidRDefault="00D42E0A" w:rsidP="00D42E0A">
      <w:pPr>
        <w:pStyle w:val="Default"/>
        <w:keepNext/>
        <w:rPr>
          <w:sz w:val="22"/>
          <w:szCs w:val="22"/>
        </w:rPr>
      </w:pPr>
      <w:r w:rsidRPr="002C1513">
        <w:rPr>
          <w:sz w:val="22"/>
          <w:szCs w:val="22"/>
        </w:rPr>
        <w:t xml:space="preserve">Odpoveď na liečbu sa spravidla objaví po 2-4 týždňoch liečby. </w:t>
      </w:r>
    </w:p>
    <w:p w14:paraId="361FB246" w14:textId="77777777" w:rsidR="00D42E0A" w:rsidRPr="002C1513" w:rsidRDefault="00D42E0A" w:rsidP="00D42E0A">
      <w:pPr>
        <w:pStyle w:val="Default"/>
        <w:keepNext/>
        <w:rPr>
          <w:sz w:val="22"/>
          <w:szCs w:val="22"/>
        </w:rPr>
      </w:pPr>
    </w:p>
    <w:p w14:paraId="7906FE1E" w14:textId="77777777" w:rsidR="00D42E0A" w:rsidRPr="002C1513" w:rsidRDefault="00D42E0A" w:rsidP="00D42E0A">
      <w:pPr>
        <w:pStyle w:val="Default"/>
        <w:keepNext/>
        <w:rPr>
          <w:sz w:val="22"/>
          <w:szCs w:val="22"/>
        </w:rPr>
      </w:pPr>
      <w:r w:rsidRPr="002C1513">
        <w:rPr>
          <w:sz w:val="22"/>
          <w:szCs w:val="22"/>
        </w:rPr>
        <w:t xml:space="preserve">Po konsolidácii antidepresívnej odpovede na liečbu sa odporúča v liečbe pokračovať ešte niekoľko mesiacov, aby sa zabránilo </w:t>
      </w:r>
      <w:proofErr w:type="spellStart"/>
      <w:r w:rsidRPr="002C1513">
        <w:rPr>
          <w:sz w:val="22"/>
          <w:szCs w:val="22"/>
        </w:rPr>
        <w:t>relapsu</w:t>
      </w:r>
      <w:proofErr w:type="spellEnd"/>
      <w:r w:rsidRPr="002C1513">
        <w:rPr>
          <w:sz w:val="22"/>
          <w:szCs w:val="22"/>
        </w:rPr>
        <w:t xml:space="preserve">. U pacientov odpovedajúcich na liečbu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 s históriou opakujúcich sa epizód </w:t>
      </w:r>
      <w:r w:rsidR="00EA2A19">
        <w:rPr>
          <w:sz w:val="22"/>
          <w:szCs w:val="22"/>
        </w:rPr>
        <w:t xml:space="preserve">veľkej depresie </w:t>
      </w:r>
      <w:r w:rsidR="0095562B">
        <w:rPr>
          <w:sz w:val="22"/>
          <w:szCs w:val="22"/>
        </w:rPr>
        <w:t xml:space="preserve"> sa môže</w:t>
      </w:r>
      <w:r w:rsidR="0095562B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zvážiť </w:t>
      </w:r>
      <w:r w:rsidR="0095562B" w:rsidRPr="002C1513">
        <w:rPr>
          <w:sz w:val="22"/>
          <w:szCs w:val="22"/>
        </w:rPr>
        <w:t>ďalši</w:t>
      </w:r>
      <w:r w:rsidR="0095562B">
        <w:rPr>
          <w:sz w:val="22"/>
          <w:szCs w:val="22"/>
        </w:rPr>
        <w:t>a</w:t>
      </w:r>
      <w:r w:rsidR="0095562B" w:rsidRPr="002C1513">
        <w:rPr>
          <w:sz w:val="22"/>
          <w:szCs w:val="22"/>
        </w:rPr>
        <w:t xml:space="preserve"> dlhodob</w:t>
      </w:r>
      <w:r w:rsidR="0095562B">
        <w:rPr>
          <w:sz w:val="22"/>
          <w:szCs w:val="22"/>
        </w:rPr>
        <w:t>á</w:t>
      </w:r>
      <w:r w:rsidR="0095562B" w:rsidRPr="002C1513">
        <w:rPr>
          <w:sz w:val="22"/>
          <w:szCs w:val="22"/>
        </w:rPr>
        <w:t xml:space="preserve"> liečb</w:t>
      </w:r>
      <w:r w:rsidR="0095562B">
        <w:rPr>
          <w:sz w:val="22"/>
          <w:szCs w:val="22"/>
        </w:rPr>
        <w:t>a</w:t>
      </w:r>
      <w:r w:rsidR="0095562B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s dávkou 60 až 120 mg/deň. </w:t>
      </w:r>
    </w:p>
    <w:p w14:paraId="1C4FCB2C" w14:textId="77777777" w:rsidR="00D42E0A" w:rsidRPr="002C1513" w:rsidRDefault="00D42E0A" w:rsidP="00D42E0A">
      <w:pPr>
        <w:pStyle w:val="Default"/>
        <w:keepNext/>
        <w:rPr>
          <w:i/>
          <w:iCs/>
          <w:sz w:val="22"/>
          <w:szCs w:val="22"/>
        </w:rPr>
      </w:pPr>
    </w:p>
    <w:p w14:paraId="3C321DA4" w14:textId="77777777" w:rsidR="00D42E0A" w:rsidRPr="002C1513" w:rsidRDefault="00D42E0A" w:rsidP="00D42E0A">
      <w:pPr>
        <w:pStyle w:val="Default"/>
        <w:keepNext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Generalizovaná úzkostná porucha </w:t>
      </w:r>
    </w:p>
    <w:p w14:paraId="69A8016E" w14:textId="77777777" w:rsidR="00D42E0A" w:rsidRPr="002C1513" w:rsidRDefault="00D42E0A" w:rsidP="00D42E0A">
      <w:pPr>
        <w:pStyle w:val="Default"/>
        <w:keepNext/>
        <w:rPr>
          <w:sz w:val="22"/>
          <w:szCs w:val="22"/>
        </w:rPr>
      </w:pPr>
      <w:r w:rsidRPr="002C1513">
        <w:rPr>
          <w:sz w:val="22"/>
          <w:szCs w:val="22"/>
        </w:rPr>
        <w:t xml:space="preserve">Odporúčaná počiatočná dávka u pacientov s generalizovanou úzkostnou poruchou je 30 mg jedenkrát denne s jedlom alebo bez jedla. U pacientov bez dostatočnej odpovede sa má dávka zvýšiť na 60 mg, čo je zvyčajná udržiavacia dávka u väčšiny pacientov. </w:t>
      </w:r>
    </w:p>
    <w:p w14:paraId="6D4BC588" w14:textId="77777777" w:rsidR="00D42E0A" w:rsidRPr="002C1513" w:rsidRDefault="00D42E0A" w:rsidP="00D42E0A">
      <w:pPr>
        <w:pStyle w:val="Default"/>
        <w:keepNext/>
        <w:rPr>
          <w:sz w:val="22"/>
          <w:szCs w:val="22"/>
        </w:rPr>
      </w:pPr>
    </w:p>
    <w:p w14:paraId="0EE5D3D1" w14:textId="77777777" w:rsidR="00D42E0A" w:rsidRPr="002C1513" w:rsidRDefault="00D42E0A" w:rsidP="00D42E0A">
      <w:pPr>
        <w:pStyle w:val="Default"/>
        <w:keepNext/>
        <w:rPr>
          <w:sz w:val="22"/>
          <w:szCs w:val="22"/>
        </w:rPr>
      </w:pPr>
      <w:r w:rsidRPr="002C1513">
        <w:rPr>
          <w:sz w:val="22"/>
          <w:szCs w:val="22"/>
        </w:rPr>
        <w:t xml:space="preserve">U pacientov, ktorí trpia tiež veľkou depresívnou poruchou, počiatočná a udržiavacia dávka je 60 mg jedenkrát denne (prosím pozri tiež vyššie odporúčanie dávkovania). </w:t>
      </w:r>
    </w:p>
    <w:p w14:paraId="21FBB180" w14:textId="77777777" w:rsidR="002A4801" w:rsidRPr="002C1513" w:rsidRDefault="002A4801" w:rsidP="002A4801">
      <w:pPr>
        <w:ind w:left="0" w:firstLine="0"/>
        <w:rPr>
          <w:szCs w:val="22"/>
        </w:rPr>
      </w:pPr>
    </w:p>
    <w:p w14:paraId="4FD5344C" w14:textId="77777777" w:rsidR="00D42E0A" w:rsidRPr="002C1513" w:rsidRDefault="00D42E0A" w:rsidP="00D42E0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Preukázalo sa, že dávky až do 120 mg denne sú účinné a v klinických štúdiách boli hodnotené aj z hľadiska bezpečnosti. U pacientov s nedostatočnou odpoveďou na </w:t>
      </w:r>
      <w:r w:rsidR="00414FCB">
        <w:rPr>
          <w:sz w:val="22"/>
          <w:szCs w:val="22"/>
        </w:rPr>
        <w:t xml:space="preserve">dávku </w:t>
      </w:r>
      <w:r w:rsidRPr="002C1513">
        <w:rPr>
          <w:sz w:val="22"/>
          <w:szCs w:val="22"/>
        </w:rPr>
        <w:t xml:space="preserve">60 mg sa môže zvážiť zvýšenie dávky až na 90 mg alebo 120 mg. Dávka sa má zvyšovať podľa klinickej odpovede a znášanlivosti. </w:t>
      </w:r>
    </w:p>
    <w:p w14:paraId="4144154F" w14:textId="77777777" w:rsidR="00D42E0A" w:rsidRPr="002C1513" w:rsidRDefault="00D42E0A" w:rsidP="00D42E0A">
      <w:pPr>
        <w:pStyle w:val="Default"/>
        <w:rPr>
          <w:sz w:val="22"/>
          <w:szCs w:val="22"/>
        </w:rPr>
      </w:pPr>
    </w:p>
    <w:p w14:paraId="6BF25F66" w14:textId="77777777" w:rsidR="00D42E0A" w:rsidRPr="002C1513" w:rsidRDefault="00D42E0A" w:rsidP="00D42E0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Po konsolidácii odpovede na liečbu sa odporúča v liečbe pokračovať ešte niekoľko mesiacov, aby sa zabránilo </w:t>
      </w:r>
      <w:proofErr w:type="spellStart"/>
      <w:r w:rsidRPr="002C1513">
        <w:rPr>
          <w:sz w:val="22"/>
          <w:szCs w:val="22"/>
        </w:rPr>
        <w:t>relapsu</w:t>
      </w:r>
      <w:proofErr w:type="spellEnd"/>
      <w:r w:rsidRPr="002C1513">
        <w:rPr>
          <w:sz w:val="22"/>
          <w:szCs w:val="22"/>
        </w:rPr>
        <w:t xml:space="preserve">. </w:t>
      </w:r>
    </w:p>
    <w:p w14:paraId="4C42B4E1" w14:textId="77777777" w:rsidR="00D42E0A" w:rsidRPr="002C1513" w:rsidRDefault="00D42E0A" w:rsidP="00D42E0A">
      <w:pPr>
        <w:pStyle w:val="Default"/>
        <w:rPr>
          <w:i/>
          <w:iCs/>
          <w:sz w:val="22"/>
          <w:szCs w:val="22"/>
        </w:rPr>
      </w:pPr>
    </w:p>
    <w:p w14:paraId="3621FA13" w14:textId="77777777" w:rsidR="00D42E0A" w:rsidRPr="002C1513" w:rsidRDefault="00D42E0A" w:rsidP="00D42E0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Diabetická periférna </w:t>
      </w:r>
      <w:proofErr w:type="spellStart"/>
      <w:r w:rsidRPr="002C1513">
        <w:rPr>
          <w:i/>
          <w:iCs/>
          <w:sz w:val="22"/>
          <w:szCs w:val="22"/>
        </w:rPr>
        <w:t>neuropatická</w:t>
      </w:r>
      <w:proofErr w:type="spellEnd"/>
      <w:r w:rsidRPr="002C1513">
        <w:rPr>
          <w:i/>
          <w:iCs/>
          <w:sz w:val="22"/>
          <w:szCs w:val="22"/>
        </w:rPr>
        <w:t xml:space="preserve"> bolesť </w:t>
      </w:r>
    </w:p>
    <w:p w14:paraId="508378AD" w14:textId="77777777" w:rsidR="00D42E0A" w:rsidRPr="002C1513" w:rsidRDefault="00D42E0A" w:rsidP="00D42E0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Počiatočná a odporúčaná udržiavacia dávka je 60 mg jedenkrát denne s jedlom alebo bez jedla. V klinických štúdiách boli z hľadiska bezpečnosti hodnotené dávky vyššie ako 60 mg jedenkrát denne až po maximálnu dávku 120 mg denne podané v rovnomerne rozdelených dávkach. Plazmatická koncentrácia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preukazuje veľkú </w:t>
      </w:r>
      <w:proofErr w:type="spellStart"/>
      <w:r w:rsidRPr="002C1513">
        <w:rPr>
          <w:sz w:val="22"/>
          <w:szCs w:val="22"/>
        </w:rPr>
        <w:t>interindividuálnu</w:t>
      </w:r>
      <w:proofErr w:type="spellEnd"/>
      <w:r w:rsidRPr="002C1513">
        <w:rPr>
          <w:sz w:val="22"/>
          <w:szCs w:val="22"/>
        </w:rPr>
        <w:t xml:space="preserve"> variabilitu (pozri časť 5.2). V dôsledku toho môže niektorým pacientom, ktorí nedostatočne reagujú na dávku 60 mg, vyššia dávka prospieť. </w:t>
      </w:r>
    </w:p>
    <w:p w14:paraId="5EB97384" w14:textId="77777777" w:rsidR="00D42E0A" w:rsidRPr="002C1513" w:rsidRDefault="00D42E0A" w:rsidP="00D42E0A">
      <w:pPr>
        <w:pStyle w:val="Default"/>
        <w:rPr>
          <w:sz w:val="22"/>
          <w:szCs w:val="22"/>
        </w:rPr>
      </w:pPr>
    </w:p>
    <w:p w14:paraId="0B9173A9" w14:textId="77777777" w:rsidR="00D42E0A" w:rsidRPr="002C1513" w:rsidRDefault="00D42E0A" w:rsidP="00D42E0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Odpoveď na liečbu sa má vyhodnocovať po dvoch mesiacoch liečby. U pacientov s nedostatočnou počiatočnou odpoveďou je dodatočná odpoveď po uplynutí tejto doby nepravdepodobná. </w:t>
      </w:r>
    </w:p>
    <w:p w14:paraId="660ED2AA" w14:textId="77777777" w:rsidR="00D42E0A" w:rsidRPr="002C1513" w:rsidRDefault="00D42E0A" w:rsidP="00D42E0A">
      <w:pPr>
        <w:pStyle w:val="Default"/>
        <w:rPr>
          <w:sz w:val="22"/>
          <w:szCs w:val="22"/>
        </w:rPr>
      </w:pPr>
    </w:p>
    <w:p w14:paraId="61B4AD68" w14:textId="77777777" w:rsidR="00D42E0A" w:rsidRPr="002C1513" w:rsidRDefault="00D42E0A" w:rsidP="00D42E0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Prínos liečby je potrebné pravidelne prehodnocovať (minimálne každé tri mesiace) (pozri časť 5.1). </w:t>
      </w:r>
    </w:p>
    <w:p w14:paraId="6B6D4CF7" w14:textId="77777777" w:rsidR="00D42E0A" w:rsidRPr="002C1513" w:rsidRDefault="00D42E0A" w:rsidP="00D42E0A">
      <w:pPr>
        <w:pStyle w:val="Default"/>
        <w:rPr>
          <w:i/>
          <w:iCs/>
          <w:sz w:val="22"/>
          <w:szCs w:val="22"/>
        </w:rPr>
      </w:pPr>
    </w:p>
    <w:p w14:paraId="5B2E85EE" w14:textId="77777777" w:rsidR="00D42E0A" w:rsidRPr="002C1513" w:rsidRDefault="00D42E0A" w:rsidP="00D42E0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Osobitné skupiny </w:t>
      </w:r>
    </w:p>
    <w:p w14:paraId="22D4F260" w14:textId="77777777" w:rsidR="00D42E0A" w:rsidRPr="002C1513" w:rsidRDefault="00D42E0A" w:rsidP="00D42E0A">
      <w:pPr>
        <w:pStyle w:val="Default"/>
        <w:rPr>
          <w:i/>
          <w:iCs/>
          <w:sz w:val="22"/>
          <w:szCs w:val="22"/>
        </w:rPr>
      </w:pPr>
    </w:p>
    <w:p w14:paraId="5E630A77" w14:textId="77777777" w:rsidR="00D42E0A" w:rsidRPr="002C1513" w:rsidRDefault="00D42E0A" w:rsidP="00D42E0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Starší pacienti </w:t>
      </w:r>
    </w:p>
    <w:p w14:paraId="18955CE9" w14:textId="77777777" w:rsidR="00D42E0A" w:rsidRPr="002C1513" w:rsidRDefault="00D42E0A" w:rsidP="00D42E0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Vyšší vek sám o sebe nie je dôvodom pre úpravu dávky. </w:t>
      </w:r>
      <w:r w:rsidR="001520B5" w:rsidRPr="002C1513">
        <w:rPr>
          <w:sz w:val="22"/>
          <w:szCs w:val="22"/>
        </w:rPr>
        <w:t>Avšak, ako pri akomkoľvek lieku, k</w:t>
      </w:r>
      <w:r w:rsidRPr="002C1513">
        <w:rPr>
          <w:sz w:val="22"/>
          <w:szCs w:val="22"/>
        </w:rPr>
        <w:t xml:space="preserve"> liečbe starší</w:t>
      </w:r>
      <w:r w:rsidR="001520B5" w:rsidRPr="002C1513">
        <w:rPr>
          <w:sz w:val="22"/>
          <w:szCs w:val="22"/>
        </w:rPr>
        <w:t xml:space="preserve">ch pacientov je </w:t>
      </w:r>
      <w:r w:rsidRPr="002C1513">
        <w:rPr>
          <w:sz w:val="22"/>
          <w:szCs w:val="22"/>
        </w:rPr>
        <w:t>potrebné pristupovať opatrne, najmä pri dá</w:t>
      </w:r>
      <w:r w:rsidR="001520B5" w:rsidRPr="002C1513">
        <w:rPr>
          <w:sz w:val="22"/>
          <w:szCs w:val="22"/>
        </w:rPr>
        <w:t xml:space="preserve">vke </w:t>
      </w:r>
      <w:proofErr w:type="spellStart"/>
      <w:r w:rsidR="001520B5"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120 mg denne pri liečbe veľkej depresívnej poruchy alebo generalizovanej úzkostnej poruchy, kde sú údaje obmedzené (pozri časti 4.4 a 5.2). </w:t>
      </w:r>
    </w:p>
    <w:p w14:paraId="351A1CC7" w14:textId="77777777" w:rsidR="001520B5" w:rsidRPr="002C1513" w:rsidRDefault="001520B5" w:rsidP="00D42E0A">
      <w:pPr>
        <w:pStyle w:val="Default"/>
        <w:rPr>
          <w:i/>
          <w:iCs/>
          <w:sz w:val="22"/>
          <w:szCs w:val="22"/>
        </w:rPr>
      </w:pPr>
    </w:p>
    <w:p w14:paraId="45CED8BB" w14:textId="77777777" w:rsidR="00D42E0A" w:rsidRPr="002C1513" w:rsidRDefault="00D42E0A" w:rsidP="00D42E0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Porucha funkcie pečene </w:t>
      </w:r>
    </w:p>
    <w:p w14:paraId="2B5D60FE" w14:textId="77777777" w:rsidR="00D42E0A" w:rsidRPr="002C1513" w:rsidRDefault="001520B5" w:rsidP="00D42E0A">
      <w:pPr>
        <w:ind w:left="0" w:firstLine="0"/>
        <w:rPr>
          <w:szCs w:val="22"/>
        </w:rPr>
      </w:pPr>
      <w:proofErr w:type="spellStart"/>
      <w:r w:rsidRPr="002C1513">
        <w:rPr>
          <w:szCs w:val="22"/>
        </w:rPr>
        <w:t>Duloxetín</w:t>
      </w:r>
      <w:proofErr w:type="spellEnd"/>
      <w:r w:rsidR="00D42E0A" w:rsidRPr="002C1513">
        <w:rPr>
          <w:szCs w:val="22"/>
        </w:rPr>
        <w:t xml:space="preserve"> sa nesmie používať u pacientov, ktorí trpia ochorením pečene </w:t>
      </w:r>
      <w:r w:rsidRPr="002C1513">
        <w:rPr>
          <w:szCs w:val="22"/>
        </w:rPr>
        <w:t>vedúcim k poruche jej funkcie</w:t>
      </w:r>
      <w:r w:rsidR="00D42E0A" w:rsidRPr="002C1513">
        <w:rPr>
          <w:szCs w:val="22"/>
        </w:rPr>
        <w:t xml:space="preserve"> (pozri časti 4.3 a 5.2).</w:t>
      </w:r>
    </w:p>
    <w:p w14:paraId="385EA8B2" w14:textId="77777777" w:rsidR="00926903" w:rsidRPr="002C1513" w:rsidRDefault="00926903" w:rsidP="00D42E0A">
      <w:pPr>
        <w:ind w:left="0" w:firstLine="0"/>
        <w:rPr>
          <w:szCs w:val="22"/>
        </w:rPr>
      </w:pPr>
    </w:p>
    <w:p w14:paraId="227A85E3" w14:textId="77777777" w:rsidR="00926903" w:rsidRPr="002C1513" w:rsidRDefault="00926903" w:rsidP="00376951">
      <w:pPr>
        <w:pStyle w:val="Default"/>
        <w:keepNext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lastRenderedPageBreak/>
        <w:t xml:space="preserve">Porucha funkcie obličiek </w:t>
      </w:r>
    </w:p>
    <w:p w14:paraId="516F2B68" w14:textId="77777777" w:rsidR="00926903" w:rsidRPr="002C1513" w:rsidRDefault="00926903" w:rsidP="00376951">
      <w:pPr>
        <w:pStyle w:val="Default"/>
        <w:keepNext/>
        <w:rPr>
          <w:sz w:val="22"/>
          <w:szCs w:val="22"/>
        </w:rPr>
      </w:pPr>
      <w:r w:rsidRPr="002C1513">
        <w:rPr>
          <w:sz w:val="22"/>
          <w:szCs w:val="22"/>
        </w:rPr>
        <w:t>U pacientov s miernym alebo stredne závažným poškodením obličiek (</w:t>
      </w:r>
      <w:proofErr w:type="spellStart"/>
      <w:r w:rsidRPr="002C1513">
        <w:rPr>
          <w:sz w:val="22"/>
          <w:szCs w:val="22"/>
        </w:rPr>
        <w:t>klírens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kreatinínu</w:t>
      </w:r>
      <w:proofErr w:type="spellEnd"/>
      <w:r w:rsidRPr="002C1513">
        <w:rPr>
          <w:sz w:val="22"/>
          <w:szCs w:val="22"/>
        </w:rPr>
        <w:t xml:space="preserve"> 30 až 80 ml/min) nie je nutné upravovať dávku.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nesmú užívať pacienti so závažnou poruchou funkcie obličiek (</w:t>
      </w:r>
      <w:proofErr w:type="spellStart"/>
      <w:r w:rsidRPr="002C1513">
        <w:rPr>
          <w:sz w:val="22"/>
          <w:szCs w:val="22"/>
        </w:rPr>
        <w:t>klírens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kreatinínu</w:t>
      </w:r>
      <w:proofErr w:type="spellEnd"/>
      <w:r w:rsidRPr="002C1513">
        <w:rPr>
          <w:sz w:val="22"/>
          <w:szCs w:val="22"/>
        </w:rPr>
        <w:t xml:space="preserve"> &lt; 30 ml/min, pozri časť 4.3). </w:t>
      </w:r>
    </w:p>
    <w:p w14:paraId="30E11BBC" w14:textId="77777777" w:rsidR="00926903" w:rsidRPr="002C1513" w:rsidRDefault="00926903" w:rsidP="00926903">
      <w:pPr>
        <w:pStyle w:val="Default"/>
        <w:rPr>
          <w:i/>
          <w:iCs/>
          <w:sz w:val="22"/>
          <w:szCs w:val="22"/>
        </w:rPr>
      </w:pPr>
    </w:p>
    <w:p w14:paraId="46F1C4CD" w14:textId="77777777" w:rsidR="00926903" w:rsidRPr="002C1513" w:rsidRDefault="00926903" w:rsidP="00926903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Pediatrická populácia </w:t>
      </w:r>
    </w:p>
    <w:p w14:paraId="4417CD94" w14:textId="77777777" w:rsidR="00926903" w:rsidRPr="002C1513" w:rsidRDefault="00926903" w:rsidP="00926903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sa nemá používať u detí a dospievajúcich mladších ako 18 rokov na liečbu veľkej depresívnej poruchy z dôvodu obáv o bezpečnosť a účinnosť (pozri časti 4.4, 4.8 a 5.1). </w:t>
      </w:r>
    </w:p>
    <w:p w14:paraId="60369030" w14:textId="77777777" w:rsidR="00926903" w:rsidRPr="002C1513" w:rsidRDefault="00926903" w:rsidP="00926903">
      <w:pPr>
        <w:pStyle w:val="Default"/>
        <w:rPr>
          <w:sz w:val="22"/>
          <w:szCs w:val="22"/>
        </w:rPr>
      </w:pPr>
    </w:p>
    <w:p w14:paraId="28467115" w14:textId="77777777" w:rsidR="00926903" w:rsidRPr="002C1513" w:rsidRDefault="00926903" w:rsidP="00926903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Bezpečnosť a účinnosť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na liečbu generalizovanej úzkostnej poruchy u pediatrických pacientov vo veku 7-17 rokov neboli stanovené. Aktuálne dostupné údaje sú uvedené v častiach 4.8, 5.1 a 5.2. </w:t>
      </w:r>
    </w:p>
    <w:p w14:paraId="316CFED5" w14:textId="77777777" w:rsidR="00926903" w:rsidRPr="002C1513" w:rsidRDefault="00926903" w:rsidP="00926903">
      <w:pPr>
        <w:pStyle w:val="Default"/>
        <w:rPr>
          <w:sz w:val="22"/>
          <w:szCs w:val="22"/>
        </w:rPr>
      </w:pPr>
    </w:p>
    <w:p w14:paraId="3D7900CE" w14:textId="77777777" w:rsidR="00926903" w:rsidRPr="002C1513" w:rsidRDefault="00926903" w:rsidP="00926903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Bezpečnosť a účinnosť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na liečbu diabetickej periférnej </w:t>
      </w:r>
      <w:proofErr w:type="spellStart"/>
      <w:r w:rsidRPr="002C1513">
        <w:rPr>
          <w:sz w:val="22"/>
          <w:szCs w:val="22"/>
        </w:rPr>
        <w:t>neuropatickej</w:t>
      </w:r>
      <w:proofErr w:type="spellEnd"/>
      <w:r w:rsidRPr="002C1513">
        <w:rPr>
          <w:sz w:val="22"/>
          <w:szCs w:val="22"/>
        </w:rPr>
        <w:t xml:space="preserve"> bolesti sa neskúmali. K dispozícii nie sú žiadne údaje. </w:t>
      </w:r>
    </w:p>
    <w:p w14:paraId="6620A6FD" w14:textId="77777777" w:rsidR="00926903" w:rsidRPr="002C1513" w:rsidRDefault="00926903" w:rsidP="00926903">
      <w:pPr>
        <w:pStyle w:val="Default"/>
        <w:rPr>
          <w:i/>
          <w:iCs/>
          <w:sz w:val="22"/>
          <w:szCs w:val="22"/>
        </w:rPr>
      </w:pPr>
    </w:p>
    <w:p w14:paraId="0DB3350B" w14:textId="77777777" w:rsidR="00926903" w:rsidRPr="002C1513" w:rsidRDefault="00926903" w:rsidP="00926903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Ukončenie liečby </w:t>
      </w:r>
    </w:p>
    <w:p w14:paraId="2F06A783" w14:textId="77777777" w:rsidR="00926903" w:rsidRPr="002C1513" w:rsidRDefault="00926903" w:rsidP="00926903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Je potrebné vyhnúť sa náhlemu vysadeniu. Pri ukončovaní liečby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sa má dávka znižovať postupne aspoň počas jedného až dvoch týždňov, aby sa znížilo riziko symptómov z vysadenia (pozri časti 4.4 a 4.8). Ak sa po znížení dávky alebo po vysadení liečby objavia neznesiteľné príznaky z vysadenia, je potrebné zvážiť podávanie predtým predpísanej dávky. Neskôr môže lekár pokračovať v znižovaní dávky, ale oveľa postupnejšie. </w:t>
      </w:r>
    </w:p>
    <w:p w14:paraId="2D550F21" w14:textId="77777777" w:rsidR="00926903" w:rsidRPr="002C1513" w:rsidRDefault="00926903" w:rsidP="00926903">
      <w:pPr>
        <w:pStyle w:val="Default"/>
        <w:rPr>
          <w:i/>
          <w:iCs/>
          <w:sz w:val="22"/>
          <w:szCs w:val="22"/>
        </w:rPr>
      </w:pPr>
    </w:p>
    <w:p w14:paraId="333223DB" w14:textId="77777777" w:rsidR="00926903" w:rsidRPr="002C1513" w:rsidRDefault="00926903" w:rsidP="00926903">
      <w:pPr>
        <w:pStyle w:val="Default"/>
        <w:rPr>
          <w:sz w:val="22"/>
          <w:szCs w:val="22"/>
        </w:rPr>
      </w:pPr>
      <w:r w:rsidRPr="002C1513">
        <w:rPr>
          <w:iCs/>
          <w:sz w:val="22"/>
          <w:szCs w:val="22"/>
        </w:rPr>
        <w:t xml:space="preserve">Spôsob podávania </w:t>
      </w:r>
    </w:p>
    <w:p w14:paraId="25964B3F" w14:textId="77777777" w:rsidR="00926903" w:rsidRPr="002C1513" w:rsidRDefault="00926903" w:rsidP="00926903">
      <w:pPr>
        <w:ind w:left="0" w:firstLine="0"/>
        <w:rPr>
          <w:szCs w:val="22"/>
        </w:rPr>
      </w:pPr>
      <w:r w:rsidRPr="002C1513">
        <w:rPr>
          <w:szCs w:val="22"/>
        </w:rPr>
        <w:t>Na perorálne použitie.</w:t>
      </w:r>
    </w:p>
    <w:p w14:paraId="11D17CB1" w14:textId="77777777" w:rsidR="00D42E0A" w:rsidRPr="002C1513" w:rsidRDefault="00D42E0A" w:rsidP="00D42E0A">
      <w:pPr>
        <w:ind w:left="0" w:firstLine="0"/>
        <w:rPr>
          <w:szCs w:val="22"/>
        </w:rPr>
      </w:pPr>
    </w:p>
    <w:p w14:paraId="2CA94CBF" w14:textId="77777777" w:rsidR="00BF3E18" w:rsidRPr="002C1513" w:rsidRDefault="00FF6BE0" w:rsidP="00195B16">
      <w:pPr>
        <w:numPr>
          <w:ilvl w:val="1"/>
          <w:numId w:val="6"/>
        </w:numPr>
        <w:rPr>
          <w:b/>
          <w:szCs w:val="22"/>
        </w:rPr>
      </w:pPr>
      <w:r w:rsidRPr="002C1513">
        <w:rPr>
          <w:b/>
          <w:szCs w:val="22"/>
        </w:rPr>
        <w:t xml:space="preserve">Kontraindikácie </w:t>
      </w:r>
    </w:p>
    <w:p w14:paraId="75F208EF" w14:textId="77777777" w:rsidR="00BF3E18" w:rsidRPr="002C1513" w:rsidRDefault="00BF3E18" w:rsidP="00BF3E18">
      <w:pPr>
        <w:ind w:left="0" w:firstLine="0"/>
        <w:rPr>
          <w:szCs w:val="22"/>
        </w:rPr>
      </w:pPr>
    </w:p>
    <w:p w14:paraId="614DB8F3" w14:textId="77777777" w:rsidR="002E42EC" w:rsidRPr="002C1513" w:rsidRDefault="002E42EC" w:rsidP="002E42E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1513">
        <w:rPr>
          <w:szCs w:val="22"/>
          <w:lang w:eastAsia="en-US"/>
        </w:rPr>
        <w:t xml:space="preserve">Precitlivenosť na liečivo alebo na ktorúkoľvek z pomocných látok </w:t>
      </w:r>
      <w:r w:rsidRPr="002C1513">
        <w:rPr>
          <w:szCs w:val="22"/>
        </w:rPr>
        <w:t>uvedených v časti 6.1.</w:t>
      </w:r>
      <w:r w:rsidRPr="002C1513">
        <w:rPr>
          <w:szCs w:val="22"/>
          <w:lang w:eastAsia="en-US"/>
        </w:rPr>
        <w:t xml:space="preserve"> </w:t>
      </w:r>
    </w:p>
    <w:p w14:paraId="7DBD337E" w14:textId="77777777" w:rsidR="00926903" w:rsidRPr="002C1513" w:rsidRDefault="00926903" w:rsidP="002E42E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5E6D5438" w14:textId="77777777" w:rsidR="00926903" w:rsidRPr="002C1513" w:rsidRDefault="00926903" w:rsidP="00926903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Súbežné podávanie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s neselektívnymi ireverzibilnými inhibítormi </w:t>
      </w:r>
      <w:proofErr w:type="spellStart"/>
      <w:r w:rsidRPr="002C1513">
        <w:rPr>
          <w:sz w:val="22"/>
          <w:szCs w:val="22"/>
        </w:rPr>
        <w:t>monoaminooxidázy</w:t>
      </w:r>
      <w:proofErr w:type="spellEnd"/>
      <w:r w:rsidRPr="002C1513">
        <w:rPr>
          <w:sz w:val="22"/>
          <w:szCs w:val="22"/>
        </w:rPr>
        <w:t xml:space="preserve"> (</w:t>
      </w:r>
      <w:proofErr w:type="spellStart"/>
      <w:r w:rsidRPr="002C1513">
        <w:rPr>
          <w:sz w:val="22"/>
          <w:szCs w:val="22"/>
        </w:rPr>
        <w:t>IMAO</w:t>
      </w:r>
      <w:proofErr w:type="spellEnd"/>
      <w:r w:rsidRPr="002C1513">
        <w:rPr>
          <w:sz w:val="22"/>
          <w:szCs w:val="22"/>
        </w:rPr>
        <w:t xml:space="preserve">) je kontraindikované (pozri časť 4.5). </w:t>
      </w:r>
    </w:p>
    <w:p w14:paraId="2344D478" w14:textId="77777777" w:rsidR="00926903" w:rsidRPr="002C1513" w:rsidRDefault="00926903" w:rsidP="00926903">
      <w:pPr>
        <w:pStyle w:val="Default"/>
        <w:rPr>
          <w:sz w:val="22"/>
          <w:szCs w:val="22"/>
        </w:rPr>
      </w:pPr>
    </w:p>
    <w:p w14:paraId="2297B731" w14:textId="77777777" w:rsidR="00926903" w:rsidRPr="002C1513" w:rsidRDefault="00926903" w:rsidP="00926903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Ochorenie pečene s následkom poruchy funkcie pečene (pozri časť 5.2). </w:t>
      </w:r>
    </w:p>
    <w:p w14:paraId="315BA419" w14:textId="77777777" w:rsidR="00926903" w:rsidRPr="002C1513" w:rsidRDefault="00926903" w:rsidP="00926903">
      <w:pPr>
        <w:pStyle w:val="Default"/>
        <w:rPr>
          <w:sz w:val="22"/>
          <w:szCs w:val="22"/>
        </w:rPr>
      </w:pPr>
    </w:p>
    <w:p w14:paraId="23B32FFF" w14:textId="77777777" w:rsidR="00926903" w:rsidRPr="002C1513" w:rsidRDefault="00926903" w:rsidP="00926903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sa nemá používať v kombinácii s </w:t>
      </w:r>
      <w:proofErr w:type="spellStart"/>
      <w:r w:rsidRPr="002C1513">
        <w:rPr>
          <w:sz w:val="22"/>
          <w:szCs w:val="22"/>
        </w:rPr>
        <w:t>fluvoxamínom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ciprofloxacínom</w:t>
      </w:r>
      <w:proofErr w:type="spellEnd"/>
      <w:r w:rsidRPr="002C1513">
        <w:rPr>
          <w:sz w:val="22"/>
          <w:szCs w:val="22"/>
        </w:rPr>
        <w:t xml:space="preserve"> či </w:t>
      </w:r>
      <w:proofErr w:type="spellStart"/>
      <w:r w:rsidRPr="002C1513">
        <w:rPr>
          <w:sz w:val="22"/>
          <w:szCs w:val="22"/>
        </w:rPr>
        <w:t>enoxacínom</w:t>
      </w:r>
      <w:proofErr w:type="spellEnd"/>
      <w:r w:rsidRPr="002C1513">
        <w:rPr>
          <w:sz w:val="22"/>
          <w:szCs w:val="22"/>
        </w:rPr>
        <w:t xml:space="preserve"> (t.j. silnými inhibítormi </w:t>
      </w:r>
      <w:proofErr w:type="spellStart"/>
      <w:r w:rsidRPr="002C1513">
        <w:rPr>
          <w:sz w:val="22"/>
          <w:szCs w:val="22"/>
        </w:rPr>
        <w:t>CYP1A2</w:t>
      </w:r>
      <w:proofErr w:type="spellEnd"/>
      <w:r w:rsidRPr="002C1513">
        <w:rPr>
          <w:sz w:val="22"/>
          <w:szCs w:val="22"/>
        </w:rPr>
        <w:t xml:space="preserve">), pretože táto kombinácia vedie k zvýšeným plazmatickým koncentráciám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(pozri časť 4.5). </w:t>
      </w:r>
    </w:p>
    <w:p w14:paraId="2C45061B" w14:textId="77777777" w:rsidR="00926903" w:rsidRPr="002C1513" w:rsidRDefault="00926903" w:rsidP="00926903">
      <w:pPr>
        <w:pStyle w:val="Default"/>
        <w:rPr>
          <w:sz w:val="22"/>
          <w:szCs w:val="22"/>
        </w:rPr>
      </w:pPr>
    </w:p>
    <w:p w14:paraId="6F0803AF" w14:textId="77777777" w:rsidR="00926903" w:rsidRPr="002C1513" w:rsidRDefault="00926903" w:rsidP="00926903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>Závažná porucha funkcie obličiek (</w:t>
      </w:r>
      <w:proofErr w:type="spellStart"/>
      <w:r w:rsidRPr="002C1513">
        <w:rPr>
          <w:sz w:val="22"/>
          <w:szCs w:val="22"/>
        </w:rPr>
        <w:t>klírens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kreatinínu</w:t>
      </w:r>
      <w:proofErr w:type="spellEnd"/>
      <w:r w:rsidRPr="002C1513">
        <w:rPr>
          <w:sz w:val="22"/>
          <w:szCs w:val="22"/>
        </w:rPr>
        <w:t xml:space="preserve"> &lt; 30 ml/min) (pozri časť 4.4). </w:t>
      </w:r>
    </w:p>
    <w:p w14:paraId="21825486" w14:textId="77777777" w:rsidR="00926903" w:rsidRPr="002C1513" w:rsidRDefault="00926903" w:rsidP="00926903">
      <w:pPr>
        <w:pStyle w:val="Default"/>
        <w:rPr>
          <w:sz w:val="22"/>
          <w:szCs w:val="22"/>
        </w:rPr>
      </w:pPr>
    </w:p>
    <w:p w14:paraId="1FF16D93" w14:textId="77777777" w:rsidR="00C459B5" w:rsidRPr="002C1513" w:rsidRDefault="00926903" w:rsidP="00926903">
      <w:pPr>
        <w:pStyle w:val="Zkladntext"/>
        <w:rPr>
          <w:szCs w:val="22"/>
        </w:rPr>
      </w:pPr>
      <w:r w:rsidRPr="002C1513">
        <w:rPr>
          <w:szCs w:val="22"/>
        </w:rPr>
        <w:t xml:space="preserve">Začatie liečby liekom </w:t>
      </w:r>
      <w:proofErr w:type="spellStart"/>
      <w:r w:rsidRPr="002C1513">
        <w:rPr>
          <w:szCs w:val="22"/>
        </w:rPr>
        <w:t>duloxetínom</w:t>
      </w:r>
      <w:proofErr w:type="spellEnd"/>
      <w:r w:rsidRPr="002C1513">
        <w:rPr>
          <w:szCs w:val="22"/>
        </w:rPr>
        <w:t xml:space="preserve"> je kontraindikované u pacientov s nekontrolovanou hypertenziou, pretože by mohlo vystaviť pacientov potenciálnemu riziku vzniku </w:t>
      </w:r>
      <w:proofErr w:type="spellStart"/>
      <w:r w:rsidRPr="002C1513">
        <w:rPr>
          <w:szCs w:val="22"/>
        </w:rPr>
        <w:t>hypertenznej</w:t>
      </w:r>
      <w:proofErr w:type="spellEnd"/>
      <w:r w:rsidRPr="002C1513">
        <w:rPr>
          <w:szCs w:val="22"/>
        </w:rPr>
        <w:t xml:space="preserve"> krízy (pozri časti 4.4 a 4.8).</w:t>
      </w:r>
    </w:p>
    <w:p w14:paraId="0C057287" w14:textId="77777777" w:rsidR="00926903" w:rsidRPr="002C1513" w:rsidRDefault="00926903" w:rsidP="00926903">
      <w:pPr>
        <w:pStyle w:val="Zkladntext"/>
        <w:rPr>
          <w:szCs w:val="22"/>
        </w:rPr>
      </w:pPr>
    </w:p>
    <w:p w14:paraId="48075B84" w14:textId="77777777" w:rsidR="00FF6BE0" w:rsidRPr="002C1513" w:rsidRDefault="00FF6BE0" w:rsidP="00527DED">
      <w:pPr>
        <w:rPr>
          <w:b/>
          <w:szCs w:val="22"/>
        </w:rPr>
      </w:pPr>
      <w:r w:rsidRPr="002C1513">
        <w:rPr>
          <w:b/>
          <w:szCs w:val="22"/>
        </w:rPr>
        <w:t>4.4</w:t>
      </w:r>
      <w:r w:rsidRPr="002C1513">
        <w:rPr>
          <w:b/>
          <w:szCs w:val="22"/>
        </w:rPr>
        <w:tab/>
        <w:t>Osobitné upozornenia a opatrenia pri používaní</w:t>
      </w:r>
    </w:p>
    <w:p w14:paraId="5D4EB2D0" w14:textId="77777777" w:rsidR="00B945AE" w:rsidRPr="002C1513" w:rsidRDefault="00B945AE" w:rsidP="00527DED">
      <w:pPr>
        <w:ind w:left="0" w:firstLine="0"/>
        <w:rPr>
          <w:szCs w:val="22"/>
        </w:rPr>
      </w:pPr>
    </w:p>
    <w:p w14:paraId="2F2EC9ED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Mánia a záchvaty </w:t>
      </w:r>
    </w:p>
    <w:p w14:paraId="3105664F" w14:textId="77777777" w:rsidR="00EB478A" w:rsidRPr="002C1513" w:rsidRDefault="00C96ECB" w:rsidP="00EB478A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="00EB478A" w:rsidRPr="002C1513">
        <w:rPr>
          <w:sz w:val="22"/>
          <w:szCs w:val="22"/>
        </w:rPr>
        <w:t xml:space="preserve"> sa má s opatrnosťou používať u pacientov, ktorí majú v anamnéze mániu alebo diagnózu bipolárnej poruchy a/alebo záchvaty. </w:t>
      </w:r>
    </w:p>
    <w:p w14:paraId="3732BD0A" w14:textId="77777777" w:rsidR="00C96ECB" w:rsidRPr="002C1513" w:rsidRDefault="00C96ECB" w:rsidP="00EB478A">
      <w:pPr>
        <w:pStyle w:val="Default"/>
        <w:rPr>
          <w:i/>
          <w:iCs/>
          <w:sz w:val="22"/>
          <w:szCs w:val="22"/>
        </w:rPr>
      </w:pPr>
    </w:p>
    <w:p w14:paraId="308B0864" w14:textId="77777777" w:rsidR="00EB478A" w:rsidRPr="002C1513" w:rsidRDefault="00EB478A" w:rsidP="00EB478A">
      <w:pPr>
        <w:pStyle w:val="Default"/>
        <w:rPr>
          <w:sz w:val="22"/>
          <w:szCs w:val="22"/>
        </w:rPr>
      </w:pPr>
      <w:proofErr w:type="spellStart"/>
      <w:r w:rsidRPr="002C1513">
        <w:rPr>
          <w:i/>
          <w:iCs/>
          <w:sz w:val="22"/>
          <w:szCs w:val="22"/>
        </w:rPr>
        <w:t>Mydriáza</w:t>
      </w:r>
      <w:proofErr w:type="spellEnd"/>
      <w:r w:rsidRPr="002C1513">
        <w:rPr>
          <w:i/>
          <w:iCs/>
          <w:sz w:val="22"/>
          <w:szCs w:val="22"/>
        </w:rPr>
        <w:t xml:space="preserve"> </w:t>
      </w:r>
    </w:p>
    <w:p w14:paraId="60CDC369" w14:textId="77777777" w:rsidR="00EB478A" w:rsidRPr="002C1513" w:rsidRDefault="00EB478A" w:rsidP="00EB478A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Mydriáza</w:t>
      </w:r>
      <w:proofErr w:type="spellEnd"/>
      <w:r w:rsidRPr="002C1513">
        <w:rPr>
          <w:sz w:val="22"/>
          <w:szCs w:val="22"/>
        </w:rPr>
        <w:t xml:space="preserve"> sa udáva v spojitosti s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>, preto je potrebné postupovať opatrne pri predpis</w:t>
      </w:r>
      <w:r w:rsidR="00C96ECB" w:rsidRPr="002C1513">
        <w:rPr>
          <w:sz w:val="22"/>
          <w:szCs w:val="22"/>
        </w:rPr>
        <w:t xml:space="preserve">ovaní </w:t>
      </w:r>
      <w:proofErr w:type="spellStart"/>
      <w:r w:rsidR="00C96ECB"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pacientom so zvýšeným </w:t>
      </w:r>
      <w:proofErr w:type="spellStart"/>
      <w:r w:rsidRPr="002C1513">
        <w:rPr>
          <w:sz w:val="22"/>
          <w:szCs w:val="22"/>
        </w:rPr>
        <w:t>vnútroočným</w:t>
      </w:r>
      <w:proofErr w:type="spellEnd"/>
      <w:r w:rsidRPr="002C1513">
        <w:rPr>
          <w:sz w:val="22"/>
          <w:szCs w:val="22"/>
        </w:rPr>
        <w:t xml:space="preserve"> tlakom alebo pacientom, u ktorých je riziko vzniku akútneho </w:t>
      </w:r>
      <w:proofErr w:type="spellStart"/>
      <w:r w:rsidRPr="002C1513">
        <w:rPr>
          <w:sz w:val="22"/>
          <w:szCs w:val="22"/>
        </w:rPr>
        <w:t>glaukómu</w:t>
      </w:r>
      <w:proofErr w:type="spellEnd"/>
      <w:r w:rsidRPr="002C1513">
        <w:rPr>
          <w:sz w:val="22"/>
          <w:szCs w:val="22"/>
        </w:rPr>
        <w:t xml:space="preserve"> s úzkym uhlom. </w:t>
      </w:r>
    </w:p>
    <w:p w14:paraId="50CE803D" w14:textId="77777777" w:rsidR="00C96ECB" w:rsidRPr="002C1513" w:rsidRDefault="00C96ECB" w:rsidP="00EB478A">
      <w:pPr>
        <w:pStyle w:val="Default"/>
        <w:rPr>
          <w:i/>
          <w:iCs/>
          <w:sz w:val="22"/>
          <w:szCs w:val="22"/>
        </w:rPr>
      </w:pPr>
    </w:p>
    <w:p w14:paraId="1D1A8FFC" w14:textId="77777777" w:rsidR="00EB478A" w:rsidRPr="002C1513" w:rsidRDefault="00EB478A" w:rsidP="00376951">
      <w:pPr>
        <w:pStyle w:val="Default"/>
        <w:keepNext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lastRenderedPageBreak/>
        <w:t xml:space="preserve">Tlak krvi a srdcová frekvencia </w:t>
      </w:r>
    </w:p>
    <w:p w14:paraId="1F1278A3" w14:textId="77777777" w:rsidR="00EB478A" w:rsidRPr="002C1513" w:rsidRDefault="00EB478A" w:rsidP="00376951">
      <w:pPr>
        <w:pStyle w:val="Default"/>
        <w:keepNext/>
        <w:rPr>
          <w:sz w:val="22"/>
          <w:szCs w:val="22"/>
        </w:rPr>
      </w:pPr>
      <w:r w:rsidRPr="002C1513">
        <w:rPr>
          <w:sz w:val="22"/>
          <w:szCs w:val="22"/>
        </w:rPr>
        <w:t xml:space="preserve">U niektorých pacientov bolo užívanie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spojené so zvýšeným krvným tlakom a klinicky významnou hypertenziou. Môže to súvisieť s </w:t>
      </w:r>
      <w:proofErr w:type="spellStart"/>
      <w:r w:rsidRPr="002C1513">
        <w:rPr>
          <w:sz w:val="22"/>
          <w:szCs w:val="22"/>
        </w:rPr>
        <w:t>noradrenergickým</w:t>
      </w:r>
      <w:proofErr w:type="spellEnd"/>
      <w:r w:rsidRPr="002C1513">
        <w:rPr>
          <w:sz w:val="22"/>
          <w:szCs w:val="22"/>
        </w:rPr>
        <w:t xml:space="preserve"> pôsobením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. V súvislosti s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boli zaznamenané prípady </w:t>
      </w:r>
      <w:proofErr w:type="spellStart"/>
      <w:r w:rsidRPr="002C1513">
        <w:rPr>
          <w:sz w:val="22"/>
          <w:szCs w:val="22"/>
        </w:rPr>
        <w:t>hypertenznej</w:t>
      </w:r>
      <w:proofErr w:type="spellEnd"/>
      <w:r w:rsidR="00C96ECB" w:rsidRPr="002C1513">
        <w:rPr>
          <w:sz w:val="22"/>
          <w:szCs w:val="22"/>
        </w:rPr>
        <w:t xml:space="preserve"> krízy, hlavne u pacientov s už </w:t>
      </w:r>
      <w:r w:rsidRPr="002C1513">
        <w:rPr>
          <w:sz w:val="22"/>
          <w:szCs w:val="22"/>
        </w:rPr>
        <w:t xml:space="preserve">existujúcou hypertenziou. Preto sa u pacientov so známou hypertenziou a/alebo iným ochorením srdca odporúča monitorovanie krvného tlaku, najmä počas prvého mesiaca liečby. Pacientom, ktorých zdravotný stav by sa mohol zhoršiť zvýšením srdcovej frekvencie alebo zvýšením krvného tlaku, sa má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podávať opatrne. Opatrnosť je tiež potrebná, keď sa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podáva s liekmi, ktoré môžu narušiť jeho metabolizmus (pozri časť 4.5). U pacientov, u ktorých sa vyskytlo trvalé zvýšenie krvného tlaku počas užívania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, je potrebné zvážiť buď zníženie dávky alebo postupné vysadenie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(pozri časť 4.8). U pacientov s nekontrolovanou hypertenziou sa nemá začať liečba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(pozri časť 4.3). </w:t>
      </w:r>
    </w:p>
    <w:p w14:paraId="22AAC0A3" w14:textId="77777777" w:rsidR="00C96ECB" w:rsidRPr="002C1513" w:rsidRDefault="00C96ECB" w:rsidP="00EB478A">
      <w:pPr>
        <w:pStyle w:val="Default"/>
        <w:rPr>
          <w:sz w:val="22"/>
          <w:szCs w:val="22"/>
        </w:rPr>
      </w:pPr>
    </w:p>
    <w:p w14:paraId="0BACE245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Porucha funkcie obličiek </w:t>
      </w:r>
    </w:p>
    <w:p w14:paraId="02711543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>U pacientov so závaž</w:t>
      </w:r>
      <w:r w:rsidR="00C96ECB" w:rsidRPr="002C1513">
        <w:rPr>
          <w:sz w:val="22"/>
          <w:szCs w:val="22"/>
        </w:rPr>
        <w:t>nou poruchou funkcie</w:t>
      </w:r>
      <w:r w:rsidRPr="002C1513">
        <w:rPr>
          <w:sz w:val="22"/>
          <w:szCs w:val="22"/>
        </w:rPr>
        <w:t xml:space="preserve"> obličiek na hemodialýze (</w:t>
      </w:r>
      <w:proofErr w:type="spellStart"/>
      <w:r w:rsidRPr="002C1513">
        <w:rPr>
          <w:sz w:val="22"/>
          <w:szCs w:val="22"/>
        </w:rPr>
        <w:t>klírens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kreatinínu</w:t>
      </w:r>
      <w:proofErr w:type="spellEnd"/>
      <w:r w:rsidRPr="002C1513">
        <w:rPr>
          <w:sz w:val="22"/>
          <w:szCs w:val="22"/>
        </w:rPr>
        <w:t xml:space="preserve"> &lt;30 ml/min) dochádza k zvýš</w:t>
      </w:r>
      <w:r w:rsidR="00C96ECB" w:rsidRPr="002C1513">
        <w:rPr>
          <w:sz w:val="22"/>
          <w:szCs w:val="22"/>
        </w:rPr>
        <w:t>eným plazmatickým koncentráciám</w:t>
      </w:r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>. Informácie o pacientoch so závaž</w:t>
      </w:r>
      <w:r w:rsidR="00C96ECB" w:rsidRPr="002C1513">
        <w:rPr>
          <w:sz w:val="22"/>
          <w:szCs w:val="22"/>
        </w:rPr>
        <w:t>nou poruchou funkcie</w:t>
      </w:r>
      <w:r w:rsidRPr="002C1513">
        <w:rPr>
          <w:sz w:val="22"/>
          <w:szCs w:val="22"/>
        </w:rPr>
        <w:t xml:space="preserve"> obličiek pozri v časti 4.3. I</w:t>
      </w:r>
      <w:r w:rsidR="00C96ECB" w:rsidRPr="002C1513">
        <w:rPr>
          <w:sz w:val="22"/>
          <w:szCs w:val="22"/>
        </w:rPr>
        <w:t>nformácie o pacientoch s miernou</w:t>
      </w:r>
      <w:r w:rsidRPr="002C1513">
        <w:rPr>
          <w:sz w:val="22"/>
          <w:szCs w:val="22"/>
        </w:rPr>
        <w:t xml:space="preserve"> alebo stredne závaž</w:t>
      </w:r>
      <w:r w:rsidR="00C96ECB" w:rsidRPr="002C1513">
        <w:rPr>
          <w:sz w:val="22"/>
          <w:szCs w:val="22"/>
        </w:rPr>
        <w:t>nou poruchou funkcie</w:t>
      </w:r>
      <w:r w:rsidRPr="002C1513">
        <w:rPr>
          <w:sz w:val="22"/>
          <w:szCs w:val="22"/>
        </w:rPr>
        <w:t xml:space="preserve"> obličiek pozri v časti 4.2. </w:t>
      </w:r>
    </w:p>
    <w:p w14:paraId="4749548D" w14:textId="77777777" w:rsidR="00C96ECB" w:rsidRPr="002C1513" w:rsidRDefault="00C96ECB" w:rsidP="00EB478A">
      <w:pPr>
        <w:pStyle w:val="Default"/>
        <w:rPr>
          <w:sz w:val="22"/>
          <w:szCs w:val="22"/>
        </w:rPr>
      </w:pPr>
    </w:p>
    <w:p w14:paraId="633D7B51" w14:textId="77777777" w:rsidR="00EB478A" w:rsidRPr="002C1513" w:rsidRDefault="00EB478A" w:rsidP="00EB478A">
      <w:pPr>
        <w:pStyle w:val="Default"/>
        <w:rPr>
          <w:sz w:val="22"/>
          <w:szCs w:val="22"/>
        </w:rPr>
      </w:pPr>
      <w:proofErr w:type="spellStart"/>
      <w:r w:rsidRPr="002C1513">
        <w:rPr>
          <w:i/>
          <w:iCs/>
          <w:sz w:val="22"/>
          <w:szCs w:val="22"/>
        </w:rPr>
        <w:t>Sérotonínový</w:t>
      </w:r>
      <w:proofErr w:type="spellEnd"/>
      <w:r w:rsidRPr="002C1513">
        <w:rPr>
          <w:i/>
          <w:iCs/>
          <w:sz w:val="22"/>
          <w:szCs w:val="22"/>
        </w:rPr>
        <w:t xml:space="preserve"> syndróm </w:t>
      </w:r>
    </w:p>
    <w:p w14:paraId="48B0B7F4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Tak ako pri ostatných </w:t>
      </w:r>
      <w:proofErr w:type="spellStart"/>
      <w:r w:rsidR="00E21799" w:rsidRPr="002C1513">
        <w:rPr>
          <w:sz w:val="22"/>
          <w:szCs w:val="22"/>
        </w:rPr>
        <w:t>sérotonerg</w:t>
      </w:r>
      <w:r w:rsidR="00E21799">
        <w:rPr>
          <w:sz w:val="22"/>
          <w:szCs w:val="22"/>
        </w:rPr>
        <w:t>n</w:t>
      </w:r>
      <w:r w:rsidR="00E21799" w:rsidRPr="002C1513">
        <w:rPr>
          <w:sz w:val="22"/>
          <w:szCs w:val="22"/>
        </w:rPr>
        <w:t>ých</w:t>
      </w:r>
      <w:proofErr w:type="spellEnd"/>
      <w:r w:rsidR="00E21799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látkach, môže sa pri liečbe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vyskytnúť </w:t>
      </w:r>
      <w:proofErr w:type="spellStart"/>
      <w:r w:rsidRPr="002C1513">
        <w:rPr>
          <w:sz w:val="22"/>
          <w:szCs w:val="22"/>
        </w:rPr>
        <w:t>sérotonínový</w:t>
      </w:r>
      <w:proofErr w:type="spellEnd"/>
      <w:r w:rsidRPr="002C1513">
        <w:rPr>
          <w:sz w:val="22"/>
          <w:szCs w:val="22"/>
        </w:rPr>
        <w:t xml:space="preserve"> syndróm. ktorý je potenciálne život ohr</w:t>
      </w:r>
      <w:r w:rsidR="006F3C5C" w:rsidRPr="002C1513">
        <w:rPr>
          <w:sz w:val="22"/>
          <w:szCs w:val="22"/>
        </w:rPr>
        <w:t>ozujúcim stavom, najmä pri súbež</w:t>
      </w:r>
      <w:r w:rsidRPr="002C1513">
        <w:rPr>
          <w:sz w:val="22"/>
          <w:szCs w:val="22"/>
        </w:rPr>
        <w:t xml:space="preserve">nom podávaní iných </w:t>
      </w:r>
      <w:proofErr w:type="spellStart"/>
      <w:r w:rsidRPr="002C1513">
        <w:rPr>
          <w:sz w:val="22"/>
          <w:szCs w:val="22"/>
        </w:rPr>
        <w:t>sérotonínových</w:t>
      </w:r>
      <w:proofErr w:type="spellEnd"/>
      <w:r w:rsidRPr="002C1513">
        <w:rPr>
          <w:sz w:val="22"/>
          <w:szCs w:val="22"/>
        </w:rPr>
        <w:t xml:space="preserve"> látok (vrátane SSRI, </w:t>
      </w:r>
      <w:proofErr w:type="spellStart"/>
      <w:r w:rsidRPr="002C1513">
        <w:rPr>
          <w:sz w:val="22"/>
          <w:szCs w:val="22"/>
        </w:rPr>
        <w:t>SNRI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tricyklických</w:t>
      </w:r>
      <w:proofErr w:type="spellEnd"/>
      <w:r w:rsidRPr="002C1513">
        <w:rPr>
          <w:sz w:val="22"/>
          <w:szCs w:val="22"/>
        </w:rPr>
        <w:t xml:space="preserve"> antidepresív alebo </w:t>
      </w:r>
      <w:proofErr w:type="spellStart"/>
      <w:r w:rsidRPr="002C1513">
        <w:rPr>
          <w:sz w:val="22"/>
          <w:szCs w:val="22"/>
        </w:rPr>
        <w:t>triptánov</w:t>
      </w:r>
      <w:proofErr w:type="spellEnd"/>
      <w:r w:rsidRPr="002C1513">
        <w:rPr>
          <w:sz w:val="22"/>
          <w:szCs w:val="22"/>
        </w:rPr>
        <w:t xml:space="preserve">), látok, ktoré upravujú metabolizmus </w:t>
      </w:r>
      <w:proofErr w:type="spellStart"/>
      <w:r w:rsidRPr="002C1513">
        <w:rPr>
          <w:sz w:val="22"/>
          <w:szCs w:val="22"/>
        </w:rPr>
        <w:t>sérotonínu</w:t>
      </w:r>
      <w:proofErr w:type="spellEnd"/>
      <w:r w:rsidRPr="002C1513">
        <w:rPr>
          <w:sz w:val="22"/>
          <w:szCs w:val="22"/>
        </w:rPr>
        <w:t xml:space="preserve"> ako napr. </w:t>
      </w:r>
      <w:proofErr w:type="spellStart"/>
      <w:r w:rsidRPr="002C1513">
        <w:rPr>
          <w:sz w:val="22"/>
          <w:szCs w:val="22"/>
        </w:rPr>
        <w:t>IMAO</w:t>
      </w:r>
      <w:proofErr w:type="spellEnd"/>
      <w:r w:rsidRPr="002C1513">
        <w:rPr>
          <w:sz w:val="22"/>
          <w:szCs w:val="22"/>
        </w:rPr>
        <w:t xml:space="preserve"> alebo </w:t>
      </w:r>
      <w:proofErr w:type="spellStart"/>
      <w:r w:rsidRPr="002C1513">
        <w:rPr>
          <w:sz w:val="22"/>
          <w:szCs w:val="22"/>
        </w:rPr>
        <w:t>antipsychotiká</w:t>
      </w:r>
      <w:proofErr w:type="spellEnd"/>
      <w:r w:rsidRPr="002C1513">
        <w:rPr>
          <w:sz w:val="22"/>
          <w:szCs w:val="22"/>
        </w:rPr>
        <w:t xml:space="preserve"> či ďalšie </w:t>
      </w:r>
      <w:proofErr w:type="spellStart"/>
      <w:r w:rsidRPr="002C1513">
        <w:rPr>
          <w:sz w:val="22"/>
          <w:szCs w:val="22"/>
        </w:rPr>
        <w:t>dopamínové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antagonisty</w:t>
      </w:r>
      <w:proofErr w:type="spellEnd"/>
      <w:r w:rsidRPr="002C1513">
        <w:rPr>
          <w:sz w:val="22"/>
          <w:szCs w:val="22"/>
        </w:rPr>
        <w:t xml:space="preserve">, ktoré môžu mať vplyv na </w:t>
      </w:r>
      <w:proofErr w:type="spellStart"/>
      <w:r w:rsidRPr="002C1513">
        <w:rPr>
          <w:sz w:val="22"/>
          <w:szCs w:val="22"/>
        </w:rPr>
        <w:t>sérotonergický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neurotransmiterový</w:t>
      </w:r>
      <w:proofErr w:type="spellEnd"/>
      <w:r w:rsidRPr="002C1513">
        <w:rPr>
          <w:sz w:val="22"/>
          <w:szCs w:val="22"/>
        </w:rPr>
        <w:t xml:space="preserve"> systém (pozri časti 4.3 a 4.5). </w:t>
      </w:r>
    </w:p>
    <w:p w14:paraId="3E8DEA33" w14:textId="77777777" w:rsidR="006F3C5C" w:rsidRPr="002C1513" w:rsidRDefault="006F3C5C" w:rsidP="00EB478A">
      <w:pPr>
        <w:pStyle w:val="Default"/>
        <w:rPr>
          <w:sz w:val="22"/>
          <w:szCs w:val="22"/>
        </w:rPr>
      </w:pPr>
    </w:p>
    <w:p w14:paraId="655E8935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Symptómy </w:t>
      </w:r>
      <w:proofErr w:type="spellStart"/>
      <w:r w:rsidRPr="002C1513">
        <w:rPr>
          <w:sz w:val="22"/>
          <w:szCs w:val="22"/>
        </w:rPr>
        <w:t>sérotonínového</w:t>
      </w:r>
      <w:proofErr w:type="spellEnd"/>
      <w:r w:rsidRPr="002C1513">
        <w:rPr>
          <w:sz w:val="22"/>
          <w:szCs w:val="22"/>
        </w:rPr>
        <w:t xml:space="preserve"> syndrómu môžu zahŕňať zmeny psychického stavu (n</w:t>
      </w:r>
      <w:r w:rsidR="006F3C5C" w:rsidRPr="002C1513">
        <w:rPr>
          <w:sz w:val="22"/>
          <w:szCs w:val="22"/>
        </w:rPr>
        <w:t>apr. agitáciu, halucinácie, bezvedomie</w:t>
      </w:r>
      <w:r w:rsidRPr="002C1513">
        <w:rPr>
          <w:sz w:val="22"/>
          <w:szCs w:val="22"/>
        </w:rPr>
        <w:t xml:space="preserve">), autonómnu nestabilitu (napr. </w:t>
      </w:r>
      <w:proofErr w:type="spellStart"/>
      <w:r w:rsidRPr="002C1513">
        <w:rPr>
          <w:sz w:val="22"/>
          <w:szCs w:val="22"/>
        </w:rPr>
        <w:t>tachykardiu</w:t>
      </w:r>
      <w:proofErr w:type="spellEnd"/>
      <w:r w:rsidRPr="002C1513">
        <w:rPr>
          <w:sz w:val="22"/>
          <w:szCs w:val="22"/>
        </w:rPr>
        <w:t xml:space="preserve">, labilný krvný tlak, </w:t>
      </w:r>
      <w:proofErr w:type="spellStart"/>
      <w:r w:rsidRPr="002C1513">
        <w:rPr>
          <w:sz w:val="22"/>
          <w:szCs w:val="22"/>
        </w:rPr>
        <w:t>hypertermiu</w:t>
      </w:r>
      <w:proofErr w:type="spellEnd"/>
      <w:r w:rsidRPr="002C1513">
        <w:rPr>
          <w:sz w:val="22"/>
          <w:szCs w:val="22"/>
        </w:rPr>
        <w:t>),</w:t>
      </w:r>
      <w:r w:rsidRPr="002C1513">
        <w:rPr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neuromuskulárne</w:t>
      </w:r>
      <w:proofErr w:type="spellEnd"/>
      <w:r w:rsidRPr="002C1513">
        <w:rPr>
          <w:sz w:val="22"/>
          <w:szCs w:val="22"/>
        </w:rPr>
        <w:t xml:space="preserve"> aberácie (napr. </w:t>
      </w:r>
      <w:proofErr w:type="spellStart"/>
      <w:r w:rsidRPr="002C1513">
        <w:rPr>
          <w:sz w:val="22"/>
          <w:szCs w:val="22"/>
        </w:rPr>
        <w:t>hyperreflexiu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nekoordináciu</w:t>
      </w:r>
      <w:proofErr w:type="spellEnd"/>
      <w:r w:rsidRPr="002C1513">
        <w:rPr>
          <w:sz w:val="22"/>
          <w:szCs w:val="22"/>
        </w:rPr>
        <w:t xml:space="preserve">) a/alebo </w:t>
      </w:r>
      <w:proofErr w:type="spellStart"/>
      <w:r w:rsidRPr="002C1513">
        <w:rPr>
          <w:sz w:val="22"/>
          <w:szCs w:val="22"/>
        </w:rPr>
        <w:t>gastrointestinálne</w:t>
      </w:r>
      <w:proofErr w:type="spellEnd"/>
      <w:r w:rsidRPr="002C1513">
        <w:rPr>
          <w:sz w:val="22"/>
          <w:szCs w:val="22"/>
        </w:rPr>
        <w:t xml:space="preserve"> symptómy (napr. </w:t>
      </w:r>
      <w:proofErr w:type="spellStart"/>
      <w:r w:rsidRPr="002C1513">
        <w:rPr>
          <w:sz w:val="22"/>
          <w:szCs w:val="22"/>
        </w:rPr>
        <w:t>nauzea</w:t>
      </w:r>
      <w:proofErr w:type="spellEnd"/>
      <w:r w:rsidRPr="002C1513">
        <w:rPr>
          <w:sz w:val="22"/>
          <w:szCs w:val="22"/>
        </w:rPr>
        <w:t xml:space="preserve">, vracanie, hnačka). </w:t>
      </w:r>
    </w:p>
    <w:p w14:paraId="76C2988F" w14:textId="77777777" w:rsidR="006F3C5C" w:rsidRPr="002C1513" w:rsidRDefault="006F3C5C" w:rsidP="00EB478A">
      <w:pPr>
        <w:pStyle w:val="Default"/>
        <w:rPr>
          <w:sz w:val="22"/>
          <w:szCs w:val="22"/>
        </w:rPr>
      </w:pPr>
    </w:p>
    <w:p w14:paraId="22638BC7" w14:textId="77777777" w:rsidR="00EB478A" w:rsidRPr="002C1513" w:rsidRDefault="006F3C5C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>Ak je súbež</w:t>
      </w:r>
      <w:r w:rsidR="00EB478A" w:rsidRPr="002C1513">
        <w:rPr>
          <w:sz w:val="22"/>
          <w:szCs w:val="22"/>
        </w:rPr>
        <w:t xml:space="preserve">né podávanie </w:t>
      </w:r>
      <w:proofErr w:type="spellStart"/>
      <w:r w:rsidR="00EB478A" w:rsidRPr="002C1513">
        <w:rPr>
          <w:sz w:val="22"/>
          <w:szCs w:val="22"/>
        </w:rPr>
        <w:t>duloxetínu</w:t>
      </w:r>
      <w:proofErr w:type="spellEnd"/>
      <w:r w:rsidR="00EB478A" w:rsidRPr="002C1513">
        <w:rPr>
          <w:sz w:val="22"/>
          <w:szCs w:val="22"/>
        </w:rPr>
        <w:t xml:space="preserve"> a iných </w:t>
      </w:r>
      <w:proofErr w:type="spellStart"/>
      <w:r w:rsidR="00E21799" w:rsidRPr="002C1513">
        <w:rPr>
          <w:sz w:val="22"/>
          <w:szCs w:val="22"/>
        </w:rPr>
        <w:t>sérotonerg</w:t>
      </w:r>
      <w:r w:rsidR="00E21799">
        <w:rPr>
          <w:sz w:val="22"/>
          <w:szCs w:val="22"/>
        </w:rPr>
        <w:t>n</w:t>
      </w:r>
      <w:r w:rsidR="00E21799" w:rsidRPr="002C1513">
        <w:rPr>
          <w:sz w:val="22"/>
          <w:szCs w:val="22"/>
        </w:rPr>
        <w:t>ých</w:t>
      </w:r>
      <w:proofErr w:type="spellEnd"/>
      <w:r w:rsidR="00E21799" w:rsidRPr="002C1513">
        <w:rPr>
          <w:sz w:val="22"/>
          <w:szCs w:val="22"/>
        </w:rPr>
        <w:t xml:space="preserve"> </w:t>
      </w:r>
      <w:r w:rsidR="00EB478A" w:rsidRPr="002C1513">
        <w:rPr>
          <w:sz w:val="22"/>
          <w:szCs w:val="22"/>
        </w:rPr>
        <w:t xml:space="preserve">látok, ktoré môžu ovplyvniť </w:t>
      </w:r>
      <w:proofErr w:type="spellStart"/>
      <w:r w:rsidR="00E21799" w:rsidRPr="002C1513">
        <w:rPr>
          <w:sz w:val="22"/>
          <w:szCs w:val="22"/>
        </w:rPr>
        <w:t>sérotonerg</w:t>
      </w:r>
      <w:r w:rsidR="00E21799">
        <w:rPr>
          <w:sz w:val="22"/>
          <w:szCs w:val="22"/>
        </w:rPr>
        <w:t>n</w:t>
      </w:r>
      <w:r w:rsidR="00E21799" w:rsidRPr="002C1513">
        <w:rPr>
          <w:sz w:val="22"/>
          <w:szCs w:val="22"/>
        </w:rPr>
        <w:t>é</w:t>
      </w:r>
      <w:proofErr w:type="spellEnd"/>
      <w:r w:rsidR="00E21799" w:rsidRPr="002C1513">
        <w:rPr>
          <w:sz w:val="22"/>
          <w:szCs w:val="22"/>
        </w:rPr>
        <w:t xml:space="preserve"> </w:t>
      </w:r>
      <w:r w:rsidR="00EB478A" w:rsidRPr="002C1513">
        <w:rPr>
          <w:sz w:val="22"/>
          <w:szCs w:val="22"/>
        </w:rPr>
        <w:t xml:space="preserve">a/alebo </w:t>
      </w:r>
      <w:proofErr w:type="spellStart"/>
      <w:r w:rsidR="00E21799" w:rsidRPr="002C1513">
        <w:rPr>
          <w:sz w:val="22"/>
          <w:szCs w:val="22"/>
        </w:rPr>
        <w:t>dopaminerg</w:t>
      </w:r>
      <w:r w:rsidR="00E21799">
        <w:rPr>
          <w:sz w:val="22"/>
          <w:szCs w:val="22"/>
        </w:rPr>
        <w:t>n</w:t>
      </w:r>
      <w:r w:rsidR="00E21799" w:rsidRPr="002C1513">
        <w:rPr>
          <w:sz w:val="22"/>
          <w:szCs w:val="22"/>
        </w:rPr>
        <w:t>é</w:t>
      </w:r>
      <w:proofErr w:type="spellEnd"/>
      <w:r w:rsidR="00E21799" w:rsidRPr="002C1513">
        <w:rPr>
          <w:sz w:val="22"/>
          <w:szCs w:val="22"/>
        </w:rPr>
        <w:t xml:space="preserve"> </w:t>
      </w:r>
      <w:proofErr w:type="spellStart"/>
      <w:r w:rsidR="00EB478A" w:rsidRPr="002C1513">
        <w:rPr>
          <w:sz w:val="22"/>
          <w:szCs w:val="22"/>
        </w:rPr>
        <w:t>neurotransmiterové</w:t>
      </w:r>
      <w:proofErr w:type="spellEnd"/>
      <w:r w:rsidR="00EB478A" w:rsidRPr="002C1513">
        <w:rPr>
          <w:sz w:val="22"/>
          <w:szCs w:val="22"/>
        </w:rPr>
        <w:t xml:space="preserve"> systémy, klinicky opodstatnené, odporúča sa dôkladné sledovanie pacienta, najmä na začiatku liečby a pri zvyšovaní dávok. </w:t>
      </w:r>
    </w:p>
    <w:p w14:paraId="5FF62570" w14:textId="77777777" w:rsidR="006F3C5C" w:rsidRPr="002C1513" w:rsidRDefault="006F3C5C" w:rsidP="00EB478A">
      <w:pPr>
        <w:pStyle w:val="Default"/>
        <w:rPr>
          <w:i/>
          <w:iCs/>
          <w:sz w:val="22"/>
          <w:szCs w:val="22"/>
        </w:rPr>
      </w:pPr>
    </w:p>
    <w:p w14:paraId="010712DB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Ľubovník bodkovaný </w:t>
      </w:r>
    </w:p>
    <w:p w14:paraId="076B14E2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>Nežiaduce reakcie sa môžu častej</w:t>
      </w:r>
      <w:r w:rsidR="006F3C5C" w:rsidRPr="002C1513">
        <w:rPr>
          <w:sz w:val="22"/>
          <w:szCs w:val="22"/>
        </w:rPr>
        <w:t xml:space="preserve">šie vyskytovať v priebehu súbežného užívania </w:t>
      </w:r>
      <w:proofErr w:type="spellStart"/>
      <w:r w:rsidR="006F3C5C" w:rsidRPr="002C1513">
        <w:rPr>
          <w:sz w:val="22"/>
          <w:szCs w:val="22"/>
        </w:rPr>
        <w:t>duloxetínu</w:t>
      </w:r>
      <w:proofErr w:type="spellEnd"/>
      <w:r w:rsidR="006F3C5C" w:rsidRPr="002C1513">
        <w:rPr>
          <w:sz w:val="22"/>
          <w:szCs w:val="22"/>
        </w:rPr>
        <w:t xml:space="preserve"> a rastlinných</w:t>
      </w:r>
      <w:r w:rsidRPr="002C1513">
        <w:rPr>
          <w:sz w:val="22"/>
          <w:szCs w:val="22"/>
        </w:rPr>
        <w:t xml:space="preserve"> prípravkov obsahujúcich ľubovník bodkovaný (</w:t>
      </w:r>
      <w:r w:rsidRPr="002C1513">
        <w:rPr>
          <w:i/>
          <w:sz w:val="22"/>
          <w:szCs w:val="22"/>
        </w:rPr>
        <w:t>Hypericum perforatum</w:t>
      </w:r>
      <w:r w:rsidRPr="002C1513">
        <w:rPr>
          <w:sz w:val="22"/>
          <w:szCs w:val="22"/>
        </w:rPr>
        <w:t xml:space="preserve">). </w:t>
      </w:r>
    </w:p>
    <w:p w14:paraId="15AEAFE8" w14:textId="77777777" w:rsidR="00EC1D18" w:rsidRDefault="00EC1D18" w:rsidP="00EC1D18">
      <w:pPr>
        <w:pStyle w:val="Default"/>
        <w:rPr>
          <w:sz w:val="18"/>
          <w:szCs w:val="18"/>
          <w:u w:val="single"/>
        </w:rPr>
      </w:pPr>
    </w:p>
    <w:p w14:paraId="019B5897" w14:textId="77777777" w:rsidR="00EC1D18" w:rsidRPr="002C0B5B" w:rsidRDefault="00EC1D18" w:rsidP="00EC1D18">
      <w:pPr>
        <w:pStyle w:val="Default"/>
        <w:rPr>
          <w:i/>
          <w:sz w:val="22"/>
          <w:szCs w:val="22"/>
        </w:rPr>
      </w:pPr>
      <w:r w:rsidRPr="002C0B5B">
        <w:rPr>
          <w:i/>
          <w:sz w:val="22"/>
          <w:szCs w:val="22"/>
        </w:rPr>
        <w:t>Sexuálna dysfunkcia</w:t>
      </w:r>
    </w:p>
    <w:p w14:paraId="4D2F6EE4" w14:textId="5BF905DF" w:rsidR="00EC1D18" w:rsidRPr="003C2CC8" w:rsidRDefault="00EC1D18" w:rsidP="00EC1D18">
      <w:pPr>
        <w:pStyle w:val="Default"/>
        <w:rPr>
          <w:i/>
          <w:sz w:val="22"/>
          <w:szCs w:val="22"/>
          <w:u w:val="single"/>
        </w:rPr>
      </w:pPr>
      <w:r w:rsidRPr="002C0B5B">
        <w:rPr>
          <w:sz w:val="22"/>
          <w:szCs w:val="22"/>
          <w:u w:val="single"/>
        </w:rPr>
        <w:t xml:space="preserve">Selektívne inhibítory spätného vychytávania </w:t>
      </w:r>
      <w:proofErr w:type="spellStart"/>
      <w:r w:rsidRPr="002C0B5B">
        <w:rPr>
          <w:sz w:val="22"/>
          <w:szCs w:val="22"/>
          <w:u w:val="single"/>
        </w:rPr>
        <w:t>sérotonínu</w:t>
      </w:r>
      <w:proofErr w:type="spellEnd"/>
      <w:r w:rsidRPr="002C0B5B">
        <w:rPr>
          <w:sz w:val="22"/>
          <w:szCs w:val="22"/>
          <w:u w:val="single"/>
        </w:rPr>
        <w:t xml:space="preserve"> (</w:t>
      </w:r>
      <w:proofErr w:type="spellStart"/>
      <w:r w:rsidRPr="002C0B5B">
        <w:rPr>
          <w:sz w:val="22"/>
          <w:szCs w:val="22"/>
          <w:u w:val="single"/>
        </w:rPr>
        <w:t>selective</w:t>
      </w:r>
      <w:proofErr w:type="spellEnd"/>
      <w:r w:rsidRPr="002C0B5B">
        <w:rPr>
          <w:sz w:val="22"/>
          <w:szCs w:val="22"/>
          <w:u w:val="single"/>
        </w:rPr>
        <w:t xml:space="preserve"> </w:t>
      </w:r>
      <w:proofErr w:type="spellStart"/>
      <w:r w:rsidRPr="002C0B5B">
        <w:rPr>
          <w:sz w:val="22"/>
          <w:szCs w:val="22"/>
          <w:u w:val="single"/>
        </w:rPr>
        <w:t>serotonin</w:t>
      </w:r>
      <w:proofErr w:type="spellEnd"/>
      <w:r w:rsidRPr="002C0B5B">
        <w:rPr>
          <w:sz w:val="22"/>
          <w:szCs w:val="22"/>
          <w:u w:val="single"/>
        </w:rPr>
        <w:t xml:space="preserve"> </w:t>
      </w:r>
      <w:proofErr w:type="spellStart"/>
      <w:r w:rsidRPr="002C0B5B">
        <w:rPr>
          <w:sz w:val="22"/>
          <w:szCs w:val="22"/>
          <w:u w:val="single"/>
        </w:rPr>
        <w:t>reuptake</w:t>
      </w:r>
      <w:proofErr w:type="spellEnd"/>
      <w:r w:rsidRPr="002C0B5B">
        <w:rPr>
          <w:sz w:val="22"/>
          <w:szCs w:val="22"/>
          <w:u w:val="single"/>
        </w:rPr>
        <w:t xml:space="preserve"> </w:t>
      </w:r>
      <w:proofErr w:type="spellStart"/>
      <w:r w:rsidRPr="002C0B5B">
        <w:rPr>
          <w:sz w:val="22"/>
          <w:szCs w:val="22"/>
          <w:u w:val="single"/>
        </w:rPr>
        <w:t>inhibitors</w:t>
      </w:r>
      <w:proofErr w:type="spellEnd"/>
      <w:r w:rsidRPr="002C0B5B">
        <w:rPr>
          <w:sz w:val="22"/>
          <w:szCs w:val="22"/>
          <w:u w:val="single"/>
        </w:rPr>
        <w:t xml:space="preserve">, SSRI)/inhibítory spätného vychytávania </w:t>
      </w:r>
      <w:proofErr w:type="spellStart"/>
      <w:r w:rsidRPr="002C0B5B">
        <w:rPr>
          <w:sz w:val="22"/>
          <w:szCs w:val="22"/>
          <w:u w:val="single"/>
        </w:rPr>
        <w:t>sérotonínu</w:t>
      </w:r>
      <w:proofErr w:type="spellEnd"/>
      <w:r w:rsidRPr="002C0B5B">
        <w:rPr>
          <w:sz w:val="22"/>
          <w:szCs w:val="22"/>
          <w:u w:val="single"/>
        </w:rPr>
        <w:t xml:space="preserve"> a </w:t>
      </w:r>
      <w:proofErr w:type="spellStart"/>
      <w:r w:rsidRPr="002C0B5B">
        <w:rPr>
          <w:sz w:val="22"/>
          <w:szCs w:val="22"/>
          <w:u w:val="single"/>
        </w:rPr>
        <w:t>noradrenalínu</w:t>
      </w:r>
      <w:proofErr w:type="spellEnd"/>
      <w:r w:rsidRPr="002C0B5B">
        <w:rPr>
          <w:sz w:val="22"/>
          <w:szCs w:val="22"/>
          <w:u w:val="single"/>
        </w:rPr>
        <w:t xml:space="preserve"> (</w:t>
      </w:r>
      <w:proofErr w:type="spellStart"/>
      <w:r w:rsidRPr="002C0B5B">
        <w:rPr>
          <w:sz w:val="22"/>
          <w:szCs w:val="22"/>
          <w:u w:val="single"/>
        </w:rPr>
        <w:t>serotonin</w:t>
      </w:r>
      <w:proofErr w:type="spellEnd"/>
      <w:r w:rsidRPr="002C0B5B">
        <w:rPr>
          <w:sz w:val="22"/>
          <w:szCs w:val="22"/>
          <w:u w:val="single"/>
        </w:rPr>
        <w:t xml:space="preserve"> </w:t>
      </w:r>
      <w:proofErr w:type="spellStart"/>
      <w:r w:rsidRPr="002C0B5B">
        <w:rPr>
          <w:sz w:val="22"/>
          <w:szCs w:val="22"/>
          <w:u w:val="single"/>
        </w:rPr>
        <w:t>norepinephrine</w:t>
      </w:r>
      <w:proofErr w:type="spellEnd"/>
      <w:r w:rsidRPr="002C0B5B">
        <w:rPr>
          <w:sz w:val="22"/>
          <w:szCs w:val="22"/>
          <w:u w:val="single"/>
        </w:rPr>
        <w:t xml:space="preserve"> </w:t>
      </w:r>
      <w:proofErr w:type="spellStart"/>
      <w:r w:rsidRPr="002C0B5B">
        <w:rPr>
          <w:sz w:val="22"/>
          <w:szCs w:val="22"/>
          <w:u w:val="single"/>
        </w:rPr>
        <w:t>reuptake</w:t>
      </w:r>
      <w:proofErr w:type="spellEnd"/>
      <w:r w:rsidRPr="002C0B5B">
        <w:rPr>
          <w:sz w:val="22"/>
          <w:szCs w:val="22"/>
          <w:u w:val="single"/>
        </w:rPr>
        <w:t xml:space="preserve"> </w:t>
      </w:r>
      <w:proofErr w:type="spellStart"/>
      <w:r w:rsidRPr="002C0B5B">
        <w:rPr>
          <w:sz w:val="22"/>
          <w:szCs w:val="22"/>
        </w:rPr>
        <w:t>inhibitors</w:t>
      </w:r>
      <w:proofErr w:type="spellEnd"/>
      <w:r w:rsidRPr="002C0B5B">
        <w:rPr>
          <w:sz w:val="22"/>
          <w:szCs w:val="22"/>
        </w:rPr>
        <w:t xml:space="preserve">, </w:t>
      </w:r>
      <w:proofErr w:type="spellStart"/>
      <w:r w:rsidRPr="002C0B5B">
        <w:rPr>
          <w:sz w:val="22"/>
          <w:szCs w:val="22"/>
        </w:rPr>
        <w:t>SNRI</w:t>
      </w:r>
      <w:proofErr w:type="spellEnd"/>
      <w:r w:rsidRPr="002C0B5B">
        <w:rPr>
          <w:sz w:val="22"/>
          <w:szCs w:val="22"/>
        </w:rPr>
        <w:t>) môžu vyvolať príznaky sexuálnej dysfunkcie (pozri časť 4.8). Boli prijaté hlásenia o dlhodobej sexuálnej dysfunkcii, pričom príznaky pokračovali aj napriek ukončeniu liečby SSRI/</w:t>
      </w:r>
      <w:proofErr w:type="spellStart"/>
      <w:r w:rsidRPr="002C0B5B">
        <w:rPr>
          <w:sz w:val="22"/>
          <w:szCs w:val="22"/>
        </w:rPr>
        <w:t>SNRI</w:t>
      </w:r>
      <w:proofErr w:type="spellEnd"/>
      <w:r w:rsidRPr="002C0B5B">
        <w:rPr>
          <w:sz w:val="22"/>
          <w:szCs w:val="22"/>
        </w:rPr>
        <w:t>.</w:t>
      </w:r>
    </w:p>
    <w:p w14:paraId="2FBE0CCD" w14:textId="77777777" w:rsidR="00EC1D18" w:rsidRDefault="00EC1D18" w:rsidP="00EC1D18">
      <w:pPr>
        <w:pStyle w:val="Default"/>
        <w:rPr>
          <w:i/>
          <w:iCs/>
          <w:sz w:val="22"/>
          <w:szCs w:val="22"/>
        </w:rPr>
      </w:pPr>
    </w:p>
    <w:p w14:paraId="31284EEA" w14:textId="1B1DE1DE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Samovražda </w:t>
      </w:r>
    </w:p>
    <w:p w14:paraId="72683ABD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Veľká depresívna porucha a generalizovaná úzkostná porucha </w:t>
      </w:r>
    </w:p>
    <w:p w14:paraId="23A2510C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>Depresiu spre</w:t>
      </w:r>
      <w:r w:rsidR="009C26E8" w:rsidRPr="002C1513">
        <w:rPr>
          <w:sz w:val="22"/>
          <w:szCs w:val="22"/>
        </w:rPr>
        <w:t>vádza vyššie riziko samovražedných</w:t>
      </w:r>
      <w:r w:rsidRPr="002C1513">
        <w:rPr>
          <w:sz w:val="22"/>
          <w:szCs w:val="22"/>
        </w:rPr>
        <w:t xml:space="preserve"> myšlienok, </w:t>
      </w:r>
      <w:proofErr w:type="spellStart"/>
      <w:r w:rsidRPr="002C1513">
        <w:rPr>
          <w:sz w:val="22"/>
          <w:szCs w:val="22"/>
        </w:rPr>
        <w:t>sebapoškodzovania</w:t>
      </w:r>
      <w:proofErr w:type="spellEnd"/>
      <w:r w:rsidRPr="002C1513">
        <w:rPr>
          <w:sz w:val="22"/>
          <w:szCs w:val="22"/>
        </w:rPr>
        <w:t xml:space="preserve"> a samovraždy (udalosti spojené so samovraždou). Toto riziko pretrváva, až kým sa nedostaví </w:t>
      </w:r>
      <w:proofErr w:type="spellStart"/>
      <w:r w:rsidRPr="002C1513">
        <w:rPr>
          <w:sz w:val="22"/>
          <w:szCs w:val="22"/>
        </w:rPr>
        <w:t>signifikantná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remisia</w:t>
      </w:r>
      <w:proofErr w:type="spellEnd"/>
      <w:r w:rsidRPr="002C1513">
        <w:rPr>
          <w:sz w:val="22"/>
          <w:szCs w:val="22"/>
        </w:rPr>
        <w:t xml:space="preserve">. Keďže zlepšenie nemusí nastať v priebehu prvých niekoľkých alebo viacerých týždňov liečby, pacient má byť starostlivo sledovaný, až kým sa toto zlepšenie nedostaví. Je všeobecná klinická skúsenosť, že v skorých fázach zotavovania môže riziko samovraždy vzrásť. </w:t>
      </w:r>
    </w:p>
    <w:p w14:paraId="250BF647" w14:textId="77777777" w:rsidR="009C26E8" w:rsidRPr="002C1513" w:rsidRDefault="009C26E8" w:rsidP="00EB478A">
      <w:pPr>
        <w:pStyle w:val="Default"/>
        <w:rPr>
          <w:sz w:val="22"/>
          <w:szCs w:val="22"/>
        </w:rPr>
      </w:pPr>
    </w:p>
    <w:p w14:paraId="56F3CF1E" w14:textId="77777777" w:rsidR="009C26E8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>Aj ostatné psychické poruch</w:t>
      </w:r>
      <w:r w:rsidR="009C26E8" w:rsidRPr="002C1513">
        <w:rPr>
          <w:sz w:val="22"/>
          <w:szCs w:val="22"/>
        </w:rPr>
        <w:t xml:space="preserve">y, na liečbu ktorých sa </w:t>
      </w:r>
      <w:proofErr w:type="spellStart"/>
      <w:r w:rsidR="009C26E8"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predpisuje, môžu byť spojené so zvýšeným rizikom udalostí spojených so samovraždou. Navyše tieto poruchy môžu byť </w:t>
      </w:r>
      <w:proofErr w:type="spellStart"/>
      <w:r w:rsidRPr="002C1513">
        <w:rPr>
          <w:sz w:val="22"/>
          <w:szCs w:val="22"/>
        </w:rPr>
        <w:t>komorbidné</w:t>
      </w:r>
      <w:proofErr w:type="spellEnd"/>
      <w:r w:rsidRPr="002C1513">
        <w:rPr>
          <w:sz w:val="22"/>
          <w:szCs w:val="22"/>
        </w:rPr>
        <w:t xml:space="preserve"> s </w:t>
      </w:r>
      <w:r w:rsidRPr="002C1513">
        <w:rPr>
          <w:sz w:val="22"/>
          <w:szCs w:val="22"/>
        </w:rPr>
        <w:lastRenderedPageBreak/>
        <w:t>veľkou depresívnou poruchou. Pri liečbe pacientov s ostatnými psychickými poruchami sa majú preto sledovať rovnaké opatrenia ako pri liečbe pacientov s veľkou depresívnou poruchou.</w:t>
      </w:r>
    </w:p>
    <w:p w14:paraId="625D9D1E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 </w:t>
      </w:r>
    </w:p>
    <w:p w14:paraId="3C618554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Pacienti s anamnézou udalostí spojených so samovraždou alebo tí, ktorí vykazovali významnú mieru </w:t>
      </w:r>
      <w:proofErr w:type="spellStart"/>
      <w:r w:rsidRPr="002C1513">
        <w:rPr>
          <w:sz w:val="22"/>
          <w:szCs w:val="22"/>
        </w:rPr>
        <w:t>suicidálnych</w:t>
      </w:r>
      <w:proofErr w:type="spellEnd"/>
      <w:r w:rsidRPr="002C1513">
        <w:rPr>
          <w:sz w:val="22"/>
          <w:szCs w:val="22"/>
        </w:rPr>
        <w:t xml:space="preserve"> myšlienok pred začatím liečby majú vyššie riziko výskytu </w:t>
      </w:r>
      <w:proofErr w:type="spellStart"/>
      <w:r w:rsidRPr="002C1513">
        <w:rPr>
          <w:sz w:val="22"/>
          <w:szCs w:val="22"/>
        </w:rPr>
        <w:t>suicidálnych</w:t>
      </w:r>
      <w:proofErr w:type="spellEnd"/>
      <w:r w:rsidRPr="002C1513">
        <w:rPr>
          <w:sz w:val="22"/>
          <w:szCs w:val="22"/>
        </w:rPr>
        <w:t xml:space="preserve"> myšlienok alebo </w:t>
      </w:r>
      <w:proofErr w:type="spellStart"/>
      <w:r w:rsidRPr="002C1513">
        <w:rPr>
          <w:sz w:val="22"/>
          <w:szCs w:val="22"/>
        </w:rPr>
        <w:t>suicidálneho</w:t>
      </w:r>
      <w:proofErr w:type="spellEnd"/>
      <w:r w:rsidRPr="002C1513">
        <w:rPr>
          <w:sz w:val="22"/>
          <w:szCs w:val="22"/>
        </w:rPr>
        <w:t xml:space="preserve"> správania a majú byť počas liečby starostlivo sledovaní. </w:t>
      </w:r>
      <w:proofErr w:type="spellStart"/>
      <w:r w:rsidRPr="002C1513">
        <w:rPr>
          <w:sz w:val="22"/>
          <w:szCs w:val="22"/>
        </w:rPr>
        <w:t>Metaanalýza</w:t>
      </w:r>
      <w:proofErr w:type="spellEnd"/>
      <w:r w:rsidRPr="002C1513">
        <w:rPr>
          <w:sz w:val="22"/>
          <w:szCs w:val="22"/>
        </w:rPr>
        <w:t xml:space="preserve"> placebom kontrolovaných klinických štúdií s </w:t>
      </w:r>
      <w:proofErr w:type="spellStart"/>
      <w:r w:rsidRPr="002C1513">
        <w:rPr>
          <w:sz w:val="22"/>
          <w:szCs w:val="22"/>
        </w:rPr>
        <w:t>antidepresívami</w:t>
      </w:r>
      <w:proofErr w:type="spellEnd"/>
      <w:r w:rsidRPr="002C1513">
        <w:rPr>
          <w:sz w:val="22"/>
          <w:szCs w:val="22"/>
        </w:rPr>
        <w:t xml:space="preserve"> u psychiatrických ochorení ukázala zvýšené riziko </w:t>
      </w:r>
      <w:proofErr w:type="spellStart"/>
      <w:r w:rsidRPr="002C1513">
        <w:rPr>
          <w:sz w:val="22"/>
          <w:szCs w:val="22"/>
        </w:rPr>
        <w:t>suicidálneho</w:t>
      </w:r>
      <w:proofErr w:type="spellEnd"/>
      <w:r w:rsidRPr="002C1513">
        <w:rPr>
          <w:sz w:val="22"/>
          <w:szCs w:val="22"/>
        </w:rPr>
        <w:t xml:space="preserve"> správania u antidepresív v porovnaní s placebom u pacientov mladších ako 25 rokov. </w:t>
      </w:r>
    </w:p>
    <w:p w14:paraId="0444C3E8" w14:textId="77777777" w:rsidR="009C26E8" w:rsidRPr="002C1513" w:rsidRDefault="009C26E8" w:rsidP="00EB478A">
      <w:pPr>
        <w:pStyle w:val="Default"/>
        <w:rPr>
          <w:sz w:val="22"/>
          <w:szCs w:val="22"/>
        </w:rPr>
      </w:pPr>
    </w:p>
    <w:p w14:paraId="5D1C4D55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 priebehu liečby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alebo krátko po ukončení tejto liečby boli zaznamenané prípady výskytu </w:t>
      </w:r>
      <w:proofErr w:type="spellStart"/>
      <w:r w:rsidRPr="002C1513">
        <w:rPr>
          <w:sz w:val="22"/>
          <w:szCs w:val="22"/>
        </w:rPr>
        <w:t>suicidálnych</w:t>
      </w:r>
      <w:proofErr w:type="spellEnd"/>
      <w:r w:rsidRPr="002C1513">
        <w:rPr>
          <w:sz w:val="22"/>
          <w:szCs w:val="22"/>
        </w:rPr>
        <w:t xml:space="preserve"> myšlienok a </w:t>
      </w:r>
      <w:proofErr w:type="spellStart"/>
      <w:r w:rsidRPr="002C1513">
        <w:rPr>
          <w:sz w:val="22"/>
          <w:szCs w:val="22"/>
        </w:rPr>
        <w:t>suicidálneho</w:t>
      </w:r>
      <w:proofErr w:type="spellEnd"/>
      <w:r w:rsidRPr="002C1513">
        <w:rPr>
          <w:sz w:val="22"/>
          <w:szCs w:val="22"/>
        </w:rPr>
        <w:t xml:space="preserve"> správania (pozri časť 4.8). </w:t>
      </w:r>
    </w:p>
    <w:p w14:paraId="21CF9C9C" w14:textId="77777777" w:rsidR="009C26E8" w:rsidRPr="002C1513" w:rsidRDefault="009C26E8" w:rsidP="00EB478A">
      <w:pPr>
        <w:pStyle w:val="Default"/>
        <w:rPr>
          <w:sz w:val="22"/>
          <w:szCs w:val="22"/>
        </w:rPr>
      </w:pPr>
    </w:p>
    <w:p w14:paraId="34B7C146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U pacientov a najmä u tých s vysokým rizikom, </w:t>
      </w:r>
      <w:r w:rsidR="00414FCB" w:rsidRPr="002C1513">
        <w:rPr>
          <w:sz w:val="22"/>
          <w:szCs w:val="22"/>
        </w:rPr>
        <w:t>m</w:t>
      </w:r>
      <w:r w:rsidR="00414FCB">
        <w:rPr>
          <w:sz w:val="22"/>
          <w:szCs w:val="22"/>
        </w:rPr>
        <w:t>á</w:t>
      </w:r>
      <w:r w:rsidR="00414FCB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liekovú terapiu sprevádzať starostlivý dohľad, hlavne počas počiatočnej liečby a po zmenách dávky. Pacienti (a opatrovníci pacientov) majú byť upozornení na potrebu sledovať akékoľvek klinické zhoršenie, </w:t>
      </w:r>
      <w:proofErr w:type="spellStart"/>
      <w:r w:rsidRPr="002C1513">
        <w:rPr>
          <w:sz w:val="22"/>
          <w:szCs w:val="22"/>
        </w:rPr>
        <w:t>suicidálne</w:t>
      </w:r>
      <w:proofErr w:type="spellEnd"/>
      <w:r w:rsidRPr="002C1513">
        <w:rPr>
          <w:sz w:val="22"/>
          <w:szCs w:val="22"/>
        </w:rPr>
        <w:t xml:space="preserve"> správanie alebo myšlienky a nezvyčajné zmeny správania a na potrebu okamžitého vyhľadania lekárskej pomoci, ak sú tieto príznaky prítomné. </w:t>
      </w:r>
    </w:p>
    <w:p w14:paraId="087E618A" w14:textId="77777777" w:rsidR="00FB2465" w:rsidRPr="002C1513" w:rsidRDefault="00FB2465" w:rsidP="00EB478A">
      <w:pPr>
        <w:pStyle w:val="Default"/>
        <w:rPr>
          <w:i/>
          <w:iCs/>
          <w:sz w:val="22"/>
          <w:szCs w:val="22"/>
        </w:rPr>
      </w:pPr>
    </w:p>
    <w:p w14:paraId="7370AD11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Diabetická periférna </w:t>
      </w:r>
      <w:proofErr w:type="spellStart"/>
      <w:r w:rsidRPr="002C1513">
        <w:rPr>
          <w:i/>
          <w:iCs/>
          <w:sz w:val="22"/>
          <w:szCs w:val="22"/>
        </w:rPr>
        <w:t>neuropatická</w:t>
      </w:r>
      <w:proofErr w:type="spellEnd"/>
      <w:r w:rsidRPr="002C1513">
        <w:rPr>
          <w:i/>
          <w:iCs/>
          <w:sz w:val="22"/>
          <w:szCs w:val="22"/>
        </w:rPr>
        <w:t xml:space="preserve"> bolesť </w:t>
      </w:r>
    </w:p>
    <w:p w14:paraId="44AC5F62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>Rovnako ako u iných liekov s podobným farmakologickým účinkom (</w:t>
      </w:r>
      <w:proofErr w:type="spellStart"/>
      <w:r w:rsidRPr="002C1513">
        <w:rPr>
          <w:sz w:val="22"/>
          <w:szCs w:val="22"/>
        </w:rPr>
        <w:t>antidepresíva</w:t>
      </w:r>
      <w:proofErr w:type="spellEnd"/>
      <w:r w:rsidRPr="002C1513">
        <w:rPr>
          <w:sz w:val="22"/>
          <w:szCs w:val="22"/>
        </w:rPr>
        <w:t xml:space="preserve">) boli v priebehu liečby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alebo krátko po ukončení tejto liečby zaznamenané prípady výskytu </w:t>
      </w:r>
      <w:proofErr w:type="spellStart"/>
      <w:r w:rsidRPr="002C1513">
        <w:rPr>
          <w:sz w:val="22"/>
          <w:szCs w:val="22"/>
        </w:rPr>
        <w:t>suicidálnych</w:t>
      </w:r>
      <w:proofErr w:type="spellEnd"/>
      <w:r w:rsidRPr="002C1513">
        <w:rPr>
          <w:sz w:val="22"/>
          <w:szCs w:val="22"/>
        </w:rPr>
        <w:t xml:space="preserve"> predstáv a </w:t>
      </w:r>
      <w:proofErr w:type="spellStart"/>
      <w:r w:rsidRPr="002C1513">
        <w:rPr>
          <w:sz w:val="22"/>
          <w:szCs w:val="22"/>
        </w:rPr>
        <w:t>suicidálneho</w:t>
      </w:r>
      <w:proofErr w:type="spellEnd"/>
      <w:r w:rsidRPr="002C1513">
        <w:rPr>
          <w:sz w:val="22"/>
          <w:szCs w:val="22"/>
        </w:rPr>
        <w:t xml:space="preserve"> správania. Čo sa týka rizikových faktorov pre </w:t>
      </w:r>
      <w:proofErr w:type="spellStart"/>
      <w:r w:rsidRPr="002C1513">
        <w:rPr>
          <w:sz w:val="22"/>
          <w:szCs w:val="22"/>
        </w:rPr>
        <w:t>suicidalitu</w:t>
      </w:r>
      <w:proofErr w:type="spellEnd"/>
      <w:r w:rsidRPr="002C1513">
        <w:rPr>
          <w:sz w:val="22"/>
          <w:szCs w:val="22"/>
        </w:rPr>
        <w:t xml:space="preserve"> pri depresii, pozri vyššie. Lekári majú povzbudiť svojich pacientov, aby kedykoľvek uviedli akékoľvek rušivé myšlienky alebo pocity, ktoré sa u nich vyskytnú. </w:t>
      </w:r>
    </w:p>
    <w:p w14:paraId="23D41655" w14:textId="77777777" w:rsidR="00FB2465" w:rsidRPr="002C1513" w:rsidRDefault="00FB2465" w:rsidP="00EB478A">
      <w:pPr>
        <w:pStyle w:val="Default"/>
        <w:rPr>
          <w:i/>
          <w:iCs/>
          <w:sz w:val="22"/>
          <w:szCs w:val="22"/>
        </w:rPr>
      </w:pPr>
    </w:p>
    <w:p w14:paraId="1A698BA7" w14:textId="77777777" w:rsidR="00FB2465" w:rsidRPr="002C1513" w:rsidRDefault="00FB2465" w:rsidP="00EB478A">
      <w:pPr>
        <w:pStyle w:val="Default"/>
        <w:rPr>
          <w:i/>
          <w:iCs/>
          <w:sz w:val="22"/>
          <w:szCs w:val="22"/>
        </w:rPr>
      </w:pPr>
      <w:r w:rsidRPr="002C1513">
        <w:rPr>
          <w:i/>
          <w:iCs/>
          <w:sz w:val="22"/>
          <w:szCs w:val="22"/>
        </w:rPr>
        <w:t>Krvácanie</w:t>
      </w:r>
    </w:p>
    <w:p w14:paraId="5E1F582A" w14:textId="77777777" w:rsidR="00FB2465" w:rsidRPr="002C1513" w:rsidRDefault="00FB2465" w:rsidP="00FB2465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 súvislosti s inhibítormi spätného vychytávania </w:t>
      </w:r>
      <w:proofErr w:type="spellStart"/>
      <w:r w:rsidRPr="002C1513">
        <w:rPr>
          <w:sz w:val="22"/>
          <w:szCs w:val="22"/>
        </w:rPr>
        <w:t>sérotonínu</w:t>
      </w:r>
      <w:proofErr w:type="spellEnd"/>
      <w:r w:rsidRPr="002C1513">
        <w:rPr>
          <w:sz w:val="22"/>
          <w:szCs w:val="22"/>
        </w:rPr>
        <w:t xml:space="preserve"> (SSRI) a selektívnymi inhibítormi spätného vychytávania </w:t>
      </w:r>
      <w:proofErr w:type="spellStart"/>
      <w:r w:rsidRPr="002C1513">
        <w:rPr>
          <w:sz w:val="22"/>
          <w:szCs w:val="22"/>
        </w:rPr>
        <w:t>sérotonínu</w:t>
      </w:r>
      <w:proofErr w:type="spellEnd"/>
      <w:r w:rsidRPr="002C1513">
        <w:rPr>
          <w:sz w:val="22"/>
          <w:szCs w:val="22"/>
        </w:rPr>
        <w:t>/</w:t>
      </w:r>
      <w:proofErr w:type="spellStart"/>
      <w:r w:rsidRPr="002C1513">
        <w:rPr>
          <w:sz w:val="22"/>
          <w:szCs w:val="22"/>
        </w:rPr>
        <w:t>noradrenalínu</w:t>
      </w:r>
      <w:proofErr w:type="spellEnd"/>
      <w:r w:rsidRPr="002C1513">
        <w:rPr>
          <w:sz w:val="22"/>
          <w:szCs w:val="22"/>
        </w:rPr>
        <w:t xml:space="preserve"> (</w:t>
      </w:r>
      <w:proofErr w:type="spellStart"/>
      <w:r w:rsidRPr="002C1513">
        <w:rPr>
          <w:sz w:val="22"/>
          <w:szCs w:val="22"/>
        </w:rPr>
        <w:t>SNRI</w:t>
      </w:r>
      <w:proofErr w:type="spellEnd"/>
      <w:r w:rsidRPr="002C1513">
        <w:rPr>
          <w:sz w:val="22"/>
          <w:szCs w:val="22"/>
        </w:rPr>
        <w:t xml:space="preserve">), vrátane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, boli zaznamenané prípady abnormalít spojených s krvácaním, ako sú </w:t>
      </w:r>
      <w:proofErr w:type="spellStart"/>
      <w:r w:rsidRPr="002C1513">
        <w:rPr>
          <w:sz w:val="22"/>
          <w:szCs w:val="22"/>
        </w:rPr>
        <w:t>ekchymóza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purpura</w:t>
      </w:r>
      <w:proofErr w:type="spellEnd"/>
      <w:r w:rsidRPr="002C1513">
        <w:rPr>
          <w:sz w:val="22"/>
          <w:szCs w:val="22"/>
        </w:rPr>
        <w:t xml:space="preserve"> a </w:t>
      </w:r>
      <w:proofErr w:type="spellStart"/>
      <w:r w:rsidRPr="002C1513">
        <w:rPr>
          <w:sz w:val="22"/>
          <w:szCs w:val="22"/>
        </w:rPr>
        <w:t>gastrointestinálne</w:t>
      </w:r>
      <w:proofErr w:type="spellEnd"/>
      <w:r w:rsidRPr="002C1513">
        <w:rPr>
          <w:sz w:val="22"/>
          <w:szCs w:val="22"/>
        </w:rPr>
        <w:t xml:space="preserve"> krvácanie. U pacientov užívajúcich </w:t>
      </w:r>
      <w:proofErr w:type="spellStart"/>
      <w:r w:rsidRPr="002C1513">
        <w:rPr>
          <w:sz w:val="22"/>
          <w:szCs w:val="22"/>
        </w:rPr>
        <w:t>antikoagulanciá</w:t>
      </w:r>
      <w:proofErr w:type="spellEnd"/>
      <w:r w:rsidRPr="002C1513">
        <w:rPr>
          <w:sz w:val="22"/>
          <w:szCs w:val="22"/>
        </w:rPr>
        <w:t xml:space="preserve"> a/alebo lieky, o ktorých je známe, že ovplyvňujú funkciu krvných doštičiek (napr.: </w:t>
      </w:r>
      <w:proofErr w:type="spellStart"/>
      <w:r w:rsidRPr="002C1513">
        <w:rPr>
          <w:sz w:val="22"/>
          <w:szCs w:val="22"/>
        </w:rPr>
        <w:t>nesteroidné</w:t>
      </w:r>
      <w:proofErr w:type="spellEnd"/>
      <w:r w:rsidRPr="002C1513">
        <w:rPr>
          <w:sz w:val="22"/>
          <w:szCs w:val="22"/>
        </w:rPr>
        <w:t xml:space="preserve"> protizápalové lieky (</w:t>
      </w:r>
      <w:proofErr w:type="spellStart"/>
      <w:r w:rsidRPr="002C1513">
        <w:rPr>
          <w:sz w:val="22"/>
          <w:szCs w:val="22"/>
        </w:rPr>
        <w:t>NSAID</w:t>
      </w:r>
      <w:proofErr w:type="spellEnd"/>
      <w:r w:rsidRPr="002C1513">
        <w:rPr>
          <w:sz w:val="22"/>
          <w:szCs w:val="22"/>
        </w:rPr>
        <w:t>) alebo kyselina acetylsalicylová (</w:t>
      </w:r>
      <w:proofErr w:type="spellStart"/>
      <w:r w:rsidRPr="002C1513">
        <w:rPr>
          <w:sz w:val="22"/>
          <w:szCs w:val="22"/>
        </w:rPr>
        <w:t>ASA</w:t>
      </w:r>
      <w:proofErr w:type="spellEnd"/>
      <w:r w:rsidRPr="002C1513">
        <w:rPr>
          <w:sz w:val="22"/>
          <w:szCs w:val="22"/>
        </w:rPr>
        <w:t xml:space="preserve">)) a u pacientov náchylných na krvácanie sa odporúča postupovať s opatrnosťou. </w:t>
      </w:r>
    </w:p>
    <w:p w14:paraId="73861C92" w14:textId="77777777" w:rsidR="00FB2465" w:rsidRPr="002C1513" w:rsidRDefault="00FB2465" w:rsidP="00FB2465">
      <w:pPr>
        <w:pStyle w:val="Default"/>
        <w:rPr>
          <w:i/>
          <w:iCs/>
          <w:sz w:val="22"/>
          <w:szCs w:val="22"/>
        </w:rPr>
      </w:pPr>
    </w:p>
    <w:p w14:paraId="7B02FAA8" w14:textId="77777777" w:rsidR="00FB2465" w:rsidRPr="002C1513" w:rsidRDefault="00FB2465" w:rsidP="00FB2465">
      <w:pPr>
        <w:pStyle w:val="Default"/>
        <w:rPr>
          <w:sz w:val="22"/>
          <w:szCs w:val="22"/>
        </w:rPr>
      </w:pPr>
      <w:proofErr w:type="spellStart"/>
      <w:r w:rsidRPr="002C1513">
        <w:rPr>
          <w:i/>
          <w:iCs/>
          <w:sz w:val="22"/>
          <w:szCs w:val="22"/>
        </w:rPr>
        <w:t>Hyponatriémia</w:t>
      </w:r>
      <w:proofErr w:type="spellEnd"/>
      <w:r w:rsidRPr="002C1513">
        <w:rPr>
          <w:i/>
          <w:iCs/>
          <w:sz w:val="22"/>
          <w:szCs w:val="22"/>
        </w:rPr>
        <w:t xml:space="preserve"> </w:t>
      </w:r>
    </w:p>
    <w:p w14:paraId="3C56F558" w14:textId="77777777" w:rsidR="00FB2465" w:rsidRPr="002C1513" w:rsidRDefault="00FB2465" w:rsidP="00FB2465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Pri podávaní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bola hlásená </w:t>
      </w:r>
      <w:proofErr w:type="spellStart"/>
      <w:r w:rsidRPr="002C1513">
        <w:rPr>
          <w:sz w:val="22"/>
          <w:szCs w:val="22"/>
        </w:rPr>
        <w:t>hyponatriémia</w:t>
      </w:r>
      <w:proofErr w:type="spellEnd"/>
      <w:r w:rsidRPr="002C1513">
        <w:rPr>
          <w:sz w:val="22"/>
          <w:szCs w:val="22"/>
        </w:rPr>
        <w:t xml:space="preserve">, vrátane prípadov, kedy sérová koncentrácia sodíka bola nižšia ako 110 mmol/l. </w:t>
      </w:r>
      <w:proofErr w:type="spellStart"/>
      <w:r w:rsidRPr="002C1513">
        <w:rPr>
          <w:sz w:val="22"/>
          <w:szCs w:val="22"/>
        </w:rPr>
        <w:t>Hyponatriémia</w:t>
      </w:r>
      <w:proofErr w:type="spellEnd"/>
      <w:r w:rsidRPr="002C1513">
        <w:rPr>
          <w:sz w:val="22"/>
          <w:szCs w:val="22"/>
        </w:rPr>
        <w:t xml:space="preserve"> môže byť spôsobená syndrómom neadekvátnej sekrécie </w:t>
      </w:r>
      <w:proofErr w:type="spellStart"/>
      <w:r w:rsidRPr="002C1513">
        <w:rPr>
          <w:sz w:val="22"/>
          <w:szCs w:val="22"/>
        </w:rPr>
        <w:t>antidiuretického</w:t>
      </w:r>
      <w:proofErr w:type="spellEnd"/>
      <w:r w:rsidRPr="002C1513">
        <w:rPr>
          <w:sz w:val="22"/>
          <w:szCs w:val="22"/>
        </w:rPr>
        <w:t xml:space="preserve"> hormónu (</w:t>
      </w:r>
      <w:proofErr w:type="spellStart"/>
      <w:r w:rsidRPr="002C1513">
        <w:rPr>
          <w:sz w:val="22"/>
          <w:szCs w:val="22"/>
        </w:rPr>
        <w:t>syndrome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of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inappropriate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anti-diuretic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hormone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SIADH</w:t>
      </w:r>
      <w:proofErr w:type="spellEnd"/>
      <w:r w:rsidRPr="002C1513">
        <w:rPr>
          <w:sz w:val="22"/>
          <w:szCs w:val="22"/>
        </w:rPr>
        <w:t xml:space="preserve">). Najviac prípadov </w:t>
      </w:r>
      <w:proofErr w:type="spellStart"/>
      <w:r w:rsidRPr="002C1513">
        <w:rPr>
          <w:sz w:val="22"/>
          <w:szCs w:val="22"/>
        </w:rPr>
        <w:t>hyponatriémie</w:t>
      </w:r>
      <w:proofErr w:type="spellEnd"/>
      <w:r w:rsidRPr="002C1513">
        <w:rPr>
          <w:sz w:val="22"/>
          <w:szCs w:val="22"/>
        </w:rPr>
        <w:t xml:space="preserve"> bolo hlásených u starších pacientov, boli spojené </w:t>
      </w:r>
      <w:r w:rsidR="00414FCB">
        <w:rPr>
          <w:sz w:val="22"/>
          <w:szCs w:val="22"/>
        </w:rPr>
        <w:t>najmä</w:t>
      </w:r>
      <w:r w:rsidR="00414FCB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nedávnou anamnézou alebo s </w:t>
      </w:r>
      <w:proofErr w:type="spellStart"/>
      <w:r w:rsidRPr="002C1513">
        <w:rPr>
          <w:sz w:val="22"/>
          <w:szCs w:val="22"/>
        </w:rPr>
        <w:t>predispozičnými</w:t>
      </w:r>
      <w:proofErr w:type="spellEnd"/>
      <w:r w:rsidRPr="002C1513">
        <w:rPr>
          <w:sz w:val="22"/>
          <w:szCs w:val="22"/>
        </w:rPr>
        <w:t xml:space="preserve"> podmienkami k poruche rovnováhy tekutín. U pacientov so zvýšeným rizikom vzniku </w:t>
      </w:r>
      <w:proofErr w:type="spellStart"/>
      <w:r w:rsidRPr="002C1513">
        <w:rPr>
          <w:sz w:val="22"/>
          <w:szCs w:val="22"/>
        </w:rPr>
        <w:t>hyponatriémie</w:t>
      </w:r>
      <w:proofErr w:type="spellEnd"/>
      <w:r w:rsidRPr="002C1513">
        <w:rPr>
          <w:sz w:val="22"/>
          <w:szCs w:val="22"/>
        </w:rPr>
        <w:t xml:space="preserve"> ako sú starší pacienti, pacienti s cirhózou alebo dehydratovaní pacienti alebo pacienti liečení diuretikami je potrebná opatrnosť. </w:t>
      </w:r>
    </w:p>
    <w:p w14:paraId="6F0F039D" w14:textId="77777777" w:rsidR="00FB2465" w:rsidRPr="002C1513" w:rsidRDefault="00FB2465" w:rsidP="00FB2465">
      <w:pPr>
        <w:pStyle w:val="Default"/>
        <w:rPr>
          <w:i/>
          <w:iCs/>
          <w:sz w:val="22"/>
          <w:szCs w:val="22"/>
        </w:rPr>
      </w:pPr>
    </w:p>
    <w:p w14:paraId="2E0A854A" w14:textId="77777777" w:rsidR="00FB2465" w:rsidRPr="002C1513" w:rsidRDefault="00FB2465" w:rsidP="00FB2465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Ukončenie liečby </w:t>
      </w:r>
    </w:p>
    <w:p w14:paraId="64A8270C" w14:textId="77777777" w:rsidR="00FB2465" w:rsidRPr="002C1513" w:rsidRDefault="00FB2465" w:rsidP="00FB2465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>Pri prerušení liečby je výskyt príznakov z vysadenia častý, hlavne ak je vysadenie náhle (pozri časť 4.8). V klinických štúdiách sa nežiaduce účinky pri náhlom vysadení liečby vyskytovali približne u 45 % pacientov liečený</w:t>
      </w:r>
      <w:r w:rsidR="00597456" w:rsidRPr="002C1513">
        <w:rPr>
          <w:sz w:val="22"/>
          <w:szCs w:val="22"/>
        </w:rPr>
        <w:t xml:space="preserve">ch </w:t>
      </w:r>
      <w:proofErr w:type="spellStart"/>
      <w:r w:rsidR="00597456"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 u 23% pacientov užívajúcich </w:t>
      </w:r>
      <w:proofErr w:type="spellStart"/>
      <w:r w:rsidRPr="002C1513">
        <w:rPr>
          <w:sz w:val="22"/>
          <w:szCs w:val="22"/>
        </w:rPr>
        <w:t>placebo</w:t>
      </w:r>
      <w:proofErr w:type="spellEnd"/>
      <w:r w:rsidRPr="002C1513">
        <w:rPr>
          <w:sz w:val="22"/>
          <w:szCs w:val="22"/>
        </w:rPr>
        <w:t xml:space="preserve">. Riziko príznakov z vysadenia pozorovaných u SSRI a </w:t>
      </w:r>
      <w:proofErr w:type="spellStart"/>
      <w:r w:rsidRPr="002C1513">
        <w:rPr>
          <w:sz w:val="22"/>
          <w:szCs w:val="22"/>
        </w:rPr>
        <w:t>SRNI</w:t>
      </w:r>
      <w:proofErr w:type="spellEnd"/>
      <w:r w:rsidRPr="002C1513">
        <w:rPr>
          <w:sz w:val="22"/>
          <w:szCs w:val="22"/>
        </w:rPr>
        <w:t xml:space="preserve"> môže závisieť od niekoľkých faktorov, vrátane dĺžky liečby, dávky a rýchlosti znižovania dávky. Najčastejšie hlásené reakcie sú uvedené v časti 4.8. Zvyčajne sú symptómy slabé alebo mierne, avšak u niektorých pacientov môžu mať závažnejší charakter. Obyčajne sa objavia v priebehu prvých </w:t>
      </w:r>
      <w:r w:rsidR="00414FCB">
        <w:rPr>
          <w:sz w:val="22"/>
          <w:szCs w:val="22"/>
        </w:rPr>
        <w:t>pár</w:t>
      </w:r>
      <w:r w:rsidR="00414FCB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>dní vysadzovania lieč</w:t>
      </w:r>
      <w:r w:rsidR="00597456" w:rsidRPr="002C1513">
        <w:rPr>
          <w:sz w:val="22"/>
          <w:szCs w:val="22"/>
        </w:rPr>
        <w:t>by, ale veľmi zriedkavo</w:t>
      </w:r>
      <w:r w:rsidRPr="002C1513">
        <w:rPr>
          <w:sz w:val="22"/>
          <w:szCs w:val="22"/>
        </w:rPr>
        <w:t xml:space="preserve"> boli hlásené takéto príznaky u pacientov, ktorí nedopatrením vynechali dávku. Zvyčajne tieto príznaky vymiznú bez liečby, obyčajne v priebehu 2 týždňov, hoci u niektorých osôb to môže trvať dlhšie (2 – 3 mesiace alebo viac). Preto sa pri vysadzovaní liečby odporúča postupné znižovanie dávky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počas minimálne 2 týždňov, podľa potreby pacienta (pozri časť 4.2). </w:t>
      </w:r>
    </w:p>
    <w:p w14:paraId="21EED5EC" w14:textId="77777777" w:rsidR="00597456" w:rsidRPr="002C1513" w:rsidRDefault="00597456" w:rsidP="00FB2465">
      <w:pPr>
        <w:pStyle w:val="Default"/>
        <w:rPr>
          <w:sz w:val="22"/>
          <w:szCs w:val="22"/>
        </w:rPr>
      </w:pPr>
    </w:p>
    <w:p w14:paraId="62917B0D" w14:textId="77777777" w:rsidR="00FB2465" w:rsidRPr="002C1513" w:rsidRDefault="00FB2465" w:rsidP="003C2CC8">
      <w:pPr>
        <w:pStyle w:val="Default"/>
        <w:keepNext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lastRenderedPageBreak/>
        <w:t xml:space="preserve">Starší pacienti </w:t>
      </w:r>
    </w:p>
    <w:p w14:paraId="022A8408" w14:textId="77777777" w:rsidR="00FB2465" w:rsidRPr="002C1513" w:rsidRDefault="00FB2465" w:rsidP="003C2CC8">
      <w:pPr>
        <w:pStyle w:val="Default"/>
        <w:keepNext/>
        <w:rPr>
          <w:sz w:val="22"/>
          <w:szCs w:val="22"/>
        </w:rPr>
      </w:pPr>
      <w:r w:rsidRPr="002C1513">
        <w:rPr>
          <w:sz w:val="22"/>
          <w:szCs w:val="22"/>
        </w:rPr>
        <w:t>Údaje o použití</w:t>
      </w:r>
      <w:r w:rsidR="00597456" w:rsidRPr="002C1513">
        <w:rPr>
          <w:sz w:val="22"/>
          <w:szCs w:val="22"/>
        </w:rPr>
        <w:t xml:space="preserve"> 120 mg </w:t>
      </w:r>
      <w:proofErr w:type="spellStart"/>
      <w:r w:rsidR="00597456"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u starších pacientov s veľkou depresívnou poruchou a generalizovanou úzkostnou poruchou sú obmedzené. Preto je pri liečbe starších pacientov s maximálnou dávkou potrebná zvýšená opatrnosť (pozri časti 4.2 a 5.2). </w:t>
      </w:r>
    </w:p>
    <w:p w14:paraId="3417E65F" w14:textId="77777777" w:rsidR="00597456" w:rsidRPr="002C1513" w:rsidRDefault="00597456" w:rsidP="00FB2465">
      <w:pPr>
        <w:pStyle w:val="Default"/>
        <w:rPr>
          <w:i/>
          <w:iCs/>
          <w:sz w:val="22"/>
          <w:szCs w:val="22"/>
        </w:rPr>
      </w:pPr>
    </w:p>
    <w:p w14:paraId="13ED9E96" w14:textId="77777777" w:rsidR="00FB2465" w:rsidRPr="002C1513" w:rsidRDefault="00FB2465" w:rsidP="00FB2465">
      <w:pPr>
        <w:pStyle w:val="Default"/>
        <w:rPr>
          <w:sz w:val="22"/>
          <w:szCs w:val="22"/>
        </w:rPr>
      </w:pPr>
      <w:proofErr w:type="spellStart"/>
      <w:r w:rsidRPr="002C1513">
        <w:rPr>
          <w:i/>
          <w:iCs/>
          <w:sz w:val="22"/>
          <w:szCs w:val="22"/>
        </w:rPr>
        <w:t>Akatízia</w:t>
      </w:r>
      <w:proofErr w:type="spellEnd"/>
      <w:r w:rsidRPr="002C1513">
        <w:rPr>
          <w:i/>
          <w:iCs/>
          <w:sz w:val="22"/>
          <w:szCs w:val="22"/>
        </w:rPr>
        <w:t>/</w:t>
      </w:r>
      <w:proofErr w:type="spellStart"/>
      <w:r w:rsidRPr="002C1513">
        <w:rPr>
          <w:i/>
          <w:iCs/>
          <w:sz w:val="22"/>
          <w:szCs w:val="22"/>
        </w:rPr>
        <w:t>psychomotorický</w:t>
      </w:r>
      <w:proofErr w:type="spellEnd"/>
      <w:r w:rsidRPr="002C1513">
        <w:rPr>
          <w:i/>
          <w:iCs/>
          <w:sz w:val="22"/>
          <w:szCs w:val="22"/>
        </w:rPr>
        <w:t xml:space="preserve"> nepokoj </w:t>
      </w:r>
    </w:p>
    <w:p w14:paraId="1DE9A355" w14:textId="77777777" w:rsidR="00FB2465" w:rsidRPr="002C1513" w:rsidRDefault="00FB2465" w:rsidP="00FB2465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Užívanie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je spájané so vznikom </w:t>
      </w:r>
      <w:proofErr w:type="spellStart"/>
      <w:r w:rsidRPr="002C1513">
        <w:rPr>
          <w:sz w:val="22"/>
          <w:szCs w:val="22"/>
        </w:rPr>
        <w:t>akatízie</w:t>
      </w:r>
      <w:proofErr w:type="spellEnd"/>
      <w:r w:rsidRPr="002C1513">
        <w:rPr>
          <w:sz w:val="22"/>
          <w:szCs w:val="22"/>
        </w:rPr>
        <w:t xml:space="preserve">, ktorá sa prejavuje subjektívne nepríjemným alebo trýznivým nepokojom a potrebou pohybovať sa, často sprevádzané neschopnosťou pokojne sedieť alebo stáť. Najväčšia pravdepodobnosť jej výskytu je v priebehu prvých týždňov liečby. Na pacientov, u ktorých sa vyskytnú tieto príznaky, by mohlo mať zvýšenie dávky negatívny dopad. </w:t>
      </w:r>
    </w:p>
    <w:p w14:paraId="272BA841" w14:textId="77777777" w:rsidR="00597456" w:rsidRPr="002C1513" w:rsidRDefault="00597456" w:rsidP="00FB2465">
      <w:pPr>
        <w:pStyle w:val="Default"/>
        <w:rPr>
          <w:i/>
          <w:iCs/>
          <w:sz w:val="22"/>
          <w:szCs w:val="22"/>
        </w:rPr>
      </w:pPr>
    </w:p>
    <w:p w14:paraId="50E29E2E" w14:textId="77777777" w:rsidR="00FB2465" w:rsidRPr="002C1513" w:rsidRDefault="00FB2465" w:rsidP="00FB2465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Lieky obsahujúce </w:t>
      </w:r>
      <w:proofErr w:type="spellStart"/>
      <w:r w:rsidRPr="002C1513">
        <w:rPr>
          <w:i/>
          <w:iCs/>
          <w:sz w:val="22"/>
          <w:szCs w:val="22"/>
        </w:rPr>
        <w:t>duloxetín</w:t>
      </w:r>
      <w:proofErr w:type="spellEnd"/>
      <w:r w:rsidRPr="002C1513">
        <w:rPr>
          <w:i/>
          <w:iCs/>
          <w:sz w:val="22"/>
          <w:szCs w:val="22"/>
        </w:rPr>
        <w:t xml:space="preserve"> </w:t>
      </w:r>
    </w:p>
    <w:p w14:paraId="20DB1903" w14:textId="77777777" w:rsidR="00FB2465" w:rsidRPr="002C1513" w:rsidRDefault="00FB2465" w:rsidP="00FB2465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sa používa pod rôznymi obchodnými názvami vo viacerých indikáciách (liečba diabetickej </w:t>
      </w:r>
      <w:proofErr w:type="spellStart"/>
      <w:r w:rsidRPr="002C1513">
        <w:rPr>
          <w:sz w:val="22"/>
          <w:szCs w:val="22"/>
        </w:rPr>
        <w:t>neuropatickej</w:t>
      </w:r>
      <w:proofErr w:type="spellEnd"/>
      <w:r w:rsidRPr="002C1513">
        <w:rPr>
          <w:sz w:val="22"/>
          <w:szCs w:val="22"/>
        </w:rPr>
        <w:t xml:space="preserve"> bolesti, veľkej depresívnej poruchy, generalizovanej úzkostnej poruchy a stresovej inkontinencie moču). Je nutné vyvarovať sa používania viac ako jedného z týchto produktov súčasne. </w:t>
      </w:r>
    </w:p>
    <w:p w14:paraId="105B5AD0" w14:textId="77777777" w:rsidR="00597456" w:rsidRPr="002C1513" w:rsidRDefault="00597456" w:rsidP="00FB2465">
      <w:pPr>
        <w:pStyle w:val="Default"/>
        <w:rPr>
          <w:i/>
          <w:iCs/>
          <w:sz w:val="22"/>
          <w:szCs w:val="22"/>
        </w:rPr>
      </w:pPr>
    </w:p>
    <w:p w14:paraId="1BB7A56C" w14:textId="77777777" w:rsidR="00FB2465" w:rsidRPr="002C1513" w:rsidRDefault="00FB2465" w:rsidP="00FB2465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Hepatitída/zvýšené </w:t>
      </w:r>
      <w:proofErr w:type="spellStart"/>
      <w:r w:rsidRPr="002C1513">
        <w:rPr>
          <w:i/>
          <w:iCs/>
          <w:sz w:val="22"/>
          <w:szCs w:val="22"/>
        </w:rPr>
        <w:t>hepatálne</w:t>
      </w:r>
      <w:proofErr w:type="spellEnd"/>
      <w:r w:rsidRPr="002C1513">
        <w:rPr>
          <w:i/>
          <w:iCs/>
          <w:sz w:val="22"/>
          <w:szCs w:val="22"/>
        </w:rPr>
        <w:t xml:space="preserve"> enzýmy </w:t>
      </w:r>
    </w:p>
    <w:p w14:paraId="6F51DB20" w14:textId="77777777" w:rsidR="00FB2465" w:rsidRPr="002C1513" w:rsidRDefault="00FB2465" w:rsidP="00FB2465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Pri podávaní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boli hlásené prípady poškodenia pečene, vrátane závažných nárastov hladín </w:t>
      </w:r>
      <w:proofErr w:type="spellStart"/>
      <w:r w:rsidRPr="002C1513">
        <w:rPr>
          <w:sz w:val="22"/>
          <w:szCs w:val="22"/>
        </w:rPr>
        <w:t>hepatálnych</w:t>
      </w:r>
      <w:proofErr w:type="spellEnd"/>
      <w:r w:rsidRPr="002C1513">
        <w:rPr>
          <w:sz w:val="22"/>
          <w:szCs w:val="22"/>
        </w:rPr>
        <w:t xml:space="preserve"> enzýmov (&gt;10 násobok hornej hranice normy), hepatitídy a žltačky (pozri časť 4.8). Väčšina z nich sa objavila počas prvých mesiacov liečby. Charakter poškodenia pečene bol prevažne </w:t>
      </w:r>
      <w:proofErr w:type="spellStart"/>
      <w:r w:rsidRPr="002C1513">
        <w:rPr>
          <w:sz w:val="22"/>
          <w:szCs w:val="22"/>
        </w:rPr>
        <w:t>hepatocelulárny</w:t>
      </w:r>
      <w:proofErr w:type="spellEnd"/>
      <w:r w:rsidRPr="002C1513">
        <w:rPr>
          <w:sz w:val="22"/>
          <w:szCs w:val="22"/>
        </w:rPr>
        <w:t xml:space="preserve">.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sa má užívať s opatrnosťou u pacientov liečených inými liekmi, ktoré sú spájané s poškodením pečene. </w:t>
      </w:r>
    </w:p>
    <w:p w14:paraId="325051FD" w14:textId="77777777" w:rsidR="00597456" w:rsidRPr="002C1513" w:rsidRDefault="00597456" w:rsidP="00FB2465">
      <w:pPr>
        <w:pStyle w:val="Default"/>
        <w:rPr>
          <w:i/>
          <w:iCs/>
          <w:sz w:val="22"/>
          <w:szCs w:val="22"/>
        </w:rPr>
      </w:pPr>
    </w:p>
    <w:p w14:paraId="4E661806" w14:textId="77777777" w:rsidR="00FB2465" w:rsidRPr="002C1513" w:rsidRDefault="00597456" w:rsidP="00FB2465">
      <w:pPr>
        <w:pStyle w:val="Default"/>
        <w:rPr>
          <w:i/>
          <w:iCs/>
          <w:sz w:val="22"/>
          <w:szCs w:val="22"/>
        </w:rPr>
      </w:pPr>
      <w:proofErr w:type="spellStart"/>
      <w:r w:rsidRPr="002C1513">
        <w:rPr>
          <w:i/>
          <w:iCs/>
          <w:sz w:val="22"/>
          <w:szCs w:val="22"/>
        </w:rPr>
        <w:t>Duloxetin</w:t>
      </w:r>
      <w:proofErr w:type="spellEnd"/>
      <w:r w:rsidRPr="002C1513">
        <w:rPr>
          <w:i/>
          <w:iCs/>
          <w:sz w:val="22"/>
          <w:szCs w:val="22"/>
        </w:rPr>
        <w:t xml:space="preserve"> Sandoz 30 mg a 60 mg obsahuje laktózu.</w:t>
      </w:r>
      <w:r w:rsidR="00FB2465" w:rsidRPr="002C1513">
        <w:rPr>
          <w:i/>
          <w:iCs/>
          <w:sz w:val="22"/>
          <w:szCs w:val="22"/>
        </w:rPr>
        <w:t xml:space="preserve"> </w:t>
      </w:r>
    </w:p>
    <w:p w14:paraId="3DB4721A" w14:textId="6ACC6C38" w:rsidR="00597456" w:rsidRPr="002C1513" w:rsidRDefault="00597456" w:rsidP="00FB2465">
      <w:pPr>
        <w:pStyle w:val="Default"/>
        <w:rPr>
          <w:iCs/>
          <w:sz w:val="22"/>
          <w:szCs w:val="22"/>
        </w:rPr>
      </w:pPr>
      <w:r w:rsidRPr="002C1513">
        <w:rPr>
          <w:iCs/>
          <w:sz w:val="22"/>
          <w:szCs w:val="22"/>
        </w:rPr>
        <w:t xml:space="preserve">Pacienti so zriedkavými dedičnými problémami </w:t>
      </w:r>
      <w:proofErr w:type="spellStart"/>
      <w:r w:rsidRPr="002C1513">
        <w:rPr>
          <w:iCs/>
          <w:sz w:val="22"/>
          <w:szCs w:val="22"/>
        </w:rPr>
        <w:t>galaktózovej</w:t>
      </w:r>
      <w:proofErr w:type="spellEnd"/>
      <w:r w:rsidRPr="002C1513">
        <w:rPr>
          <w:iCs/>
          <w:sz w:val="22"/>
          <w:szCs w:val="22"/>
        </w:rPr>
        <w:t xml:space="preserve"> intolerancie, </w:t>
      </w:r>
      <w:r w:rsidR="006B73E9">
        <w:rPr>
          <w:iCs/>
          <w:sz w:val="22"/>
          <w:szCs w:val="22"/>
        </w:rPr>
        <w:t>celkovým</w:t>
      </w:r>
      <w:r w:rsidRPr="002C1513">
        <w:rPr>
          <w:iCs/>
          <w:sz w:val="22"/>
          <w:szCs w:val="22"/>
        </w:rPr>
        <w:t xml:space="preserve"> deficit</w:t>
      </w:r>
      <w:r w:rsidR="006B73E9">
        <w:rPr>
          <w:iCs/>
          <w:sz w:val="22"/>
          <w:szCs w:val="22"/>
        </w:rPr>
        <w:t>om</w:t>
      </w:r>
      <w:r w:rsidRPr="002C1513">
        <w:rPr>
          <w:iCs/>
          <w:sz w:val="22"/>
          <w:szCs w:val="22"/>
        </w:rPr>
        <w:t xml:space="preserve"> </w:t>
      </w:r>
      <w:proofErr w:type="spellStart"/>
      <w:r w:rsidRPr="002C1513">
        <w:rPr>
          <w:iCs/>
          <w:sz w:val="22"/>
          <w:szCs w:val="22"/>
        </w:rPr>
        <w:t>laktázy</w:t>
      </w:r>
      <w:proofErr w:type="spellEnd"/>
      <w:r w:rsidRPr="002C1513">
        <w:rPr>
          <w:iCs/>
          <w:sz w:val="22"/>
          <w:szCs w:val="22"/>
        </w:rPr>
        <w:t xml:space="preserve"> alebo </w:t>
      </w:r>
      <w:proofErr w:type="spellStart"/>
      <w:r w:rsidRPr="002C1513">
        <w:rPr>
          <w:iCs/>
          <w:sz w:val="22"/>
          <w:szCs w:val="22"/>
        </w:rPr>
        <w:t>glukózo-galaktózov</w:t>
      </w:r>
      <w:r w:rsidR="006B73E9">
        <w:rPr>
          <w:iCs/>
          <w:sz w:val="22"/>
          <w:szCs w:val="22"/>
        </w:rPr>
        <w:t>ou</w:t>
      </w:r>
      <w:proofErr w:type="spellEnd"/>
      <w:r w:rsidRPr="002C1513">
        <w:rPr>
          <w:iCs/>
          <w:sz w:val="22"/>
          <w:szCs w:val="22"/>
        </w:rPr>
        <w:t xml:space="preserve"> </w:t>
      </w:r>
      <w:proofErr w:type="spellStart"/>
      <w:r w:rsidRPr="002C1513">
        <w:rPr>
          <w:iCs/>
          <w:sz w:val="22"/>
          <w:szCs w:val="22"/>
        </w:rPr>
        <w:t>malabsorpci</w:t>
      </w:r>
      <w:r w:rsidR="006B73E9">
        <w:rPr>
          <w:iCs/>
          <w:sz w:val="22"/>
          <w:szCs w:val="22"/>
        </w:rPr>
        <w:t>ou</w:t>
      </w:r>
      <w:proofErr w:type="spellEnd"/>
      <w:r w:rsidRPr="002C1513">
        <w:rPr>
          <w:iCs/>
          <w:sz w:val="22"/>
          <w:szCs w:val="22"/>
        </w:rPr>
        <w:t xml:space="preserve"> nesmú užívať tento liek.</w:t>
      </w:r>
    </w:p>
    <w:p w14:paraId="4E8A13B4" w14:textId="756F9578" w:rsidR="00F362A4" w:rsidRDefault="00F362A4" w:rsidP="00F362A4">
      <w:pPr>
        <w:keepNext/>
        <w:ind w:left="0" w:firstLine="0"/>
        <w:rPr>
          <w:color w:val="000000"/>
        </w:rPr>
      </w:pPr>
      <w:proofErr w:type="spellStart"/>
      <w:r w:rsidRPr="002C1513">
        <w:rPr>
          <w:i/>
          <w:iCs/>
          <w:szCs w:val="22"/>
        </w:rPr>
        <w:t>Duloxetin</w:t>
      </w:r>
      <w:proofErr w:type="spellEnd"/>
      <w:r w:rsidRPr="002C1513">
        <w:rPr>
          <w:i/>
          <w:iCs/>
          <w:szCs w:val="22"/>
        </w:rPr>
        <w:t xml:space="preserve"> Sandoz 30 mg a 60 mg obsahuj</w:t>
      </w:r>
      <w:r w:rsidR="006B73E9">
        <w:rPr>
          <w:i/>
          <w:iCs/>
          <w:szCs w:val="22"/>
        </w:rPr>
        <w:t>ú</w:t>
      </w:r>
      <w:r w:rsidRPr="002C1513">
        <w:rPr>
          <w:i/>
          <w:iCs/>
          <w:szCs w:val="22"/>
        </w:rPr>
        <w:t xml:space="preserve"> </w:t>
      </w:r>
      <w:r w:rsidRPr="002C1513">
        <w:rPr>
          <w:i/>
          <w:color w:val="000000"/>
        </w:rPr>
        <w:t xml:space="preserve">červeň </w:t>
      </w:r>
      <w:proofErr w:type="spellStart"/>
      <w:r w:rsidRPr="002C1513">
        <w:rPr>
          <w:i/>
          <w:color w:val="000000"/>
        </w:rPr>
        <w:t>Allura</w:t>
      </w:r>
      <w:proofErr w:type="spellEnd"/>
      <w:r w:rsidRPr="002C1513">
        <w:rPr>
          <w:i/>
          <w:color w:val="000000"/>
        </w:rPr>
        <w:t xml:space="preserve"> (E</w:t>
      </w:r>
      <w:r w:rsidR="006B73E9">
        <w:rPr>
          <w:i/>
          <w:color w:val="000000"/>
        </w:rPr>
        <w:t xml:space="preserve"> </w:t>
      </w:r>
      <w:r w:rsidRPr="002C1513">
        <w:rPr>
          <w:i/>
          <w:color w:val="000000"/>
        </w:rPr>
        <w:t>129)</w:t>
      </w:r>
      <w:r w:rsidRPr="002C1513">
        <w:rPr>
          <w:color w:val="000000"/>
        </w:rPr>
        <w:t>, ktorá môže vyvolať alergické reakcie.</w:t>
      </w:r>
    </w:p>
    <w:p w14:paraId="2222CC70" w14:textId="77777777" w:rsidR="006B73E9" w:rsidRPr="002C1513" w:rsidRDefault="006B73E9" w:rsidP="006B73E9">
      <w:pPr>
        <w:keepNext/>
        <w:ind w:left="0" w:firstLine="0"/>
        <w:rPr>
          <w:color w:val="000000"/>
        </w:rPr>
      </w:pPr>
      <w:proofErr w:type="spellStart"/>
      <w:r w:rsidRPr="002C1513">
        <w:rPr>
          <w:i/>
          <w:iCs/>
          <w:szCs w:val="22"/>
        </w:rPr>
        <w:t>Duloxet</w:t>
      </w:r>
      <w:r>
        <w:rPr>
          <w:i/>
          <w:iCs/>
          <w:szCs w:val="22"/>
        </w:rPr>
        <w:t>in</w:t>
      </w:r>
      <w:proofErr w:type="spellEnd"/>
      <w:r>
        <w:rPr>
          <w:i/>
          <w:iCs/>
          <w:szCs w:val="22"/>
        </w:rPr>
        <w:t xml:space="preserve"> Sandoz 30 mg a 60 mg obsahujú</w:t>
      </w:r>
      <w:r w:rsidRPr="002C1513"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brilinatnú</w:t>
      </w:r>
      <w:proofErr w:type="spellEnd"/>
      <w:r>
        <w:rPr>
          <w:i/>
          <w:iCs/>
          <w:szCs w:val="22"/>
        </w:rPr>
        <w:t xml:space="preserve"> modrú </w:t>
      </w:r>
      <w:proofErr w:type="spellStart"/>
      <w:r>
        <w:rPr>
          <w:i/>
          <w:iCs/>
          <w:szCs w:val="22"/>
        </w:rPr>
        <w:t>FCF</w:t>
      </w:r>
      <w:proofErr w:type="spellEnd"/>
      <w:r>
        <w:rPr>
          <w:i/>
          <w:iCs/>
          <w:szCs w:val="22"/>
        </w:rPr>
        <w:t xml:space="preserve"> (E 133), </w:t>
      </w:r>
      <w:r w:rsidRPr="002C1513">
        <w:rPr>
          <w:color w:val="000000"/>
        </w:rPr>
        <w:t>ktorá môže vyvolať alergické reakcie.</w:t>
      </w:r>
    </w:p>
    <w:p w14:paraId="0C71D7A2" w14:textId="54C62137" w:rsidR="00F362A4" w:rsidRPr="00832501" w:rsidRDefault="00F362A4" w:rsidP="00F362A4">
      <w:pPr>
        <w:pStyle w:val="Default"/>
        <w:rPr>
          <w:sz w:val="22"/>
          <w:szCs w:val="22"/>
        </w:rPr>
      </w:pPr>
      <w:proofErr w:type="spellStart"/>
      <w:r w:rsidRPr="00832501">
        <w:rPr>
          <w:i/>
          <w:iCs/>
          <w:sz w:val="22"/>
          <w:szCs w:val="22"/>
        </w:rPr>
        <w:t>Duloxetin</w:t>
      </w:r>
      <w:proofErr w:type="spellEnd"/>
      <w:r w:rsidRPr="00832501">
        <w:rPr>
          <w:i/>
          <w:iCs/>
          <w:sz w:val="22"/>
          <w:szCs w:val="22"/>
        </w:rPr>
        <w:t xml:space="preserve"> Sandoz 60 mg</w:t>
      </w:r>
      <w:r w:rsidRPr="00E619E9">
        <w:rPr>
          <w:i/>
          <w:iCs/>
          <w:sz w:val="22"/>
          <w:szCs w:val="22"/>
        </w:rPr>
        <w:t xml:space="preserve"> obsahuje </w:t>
      </w:r>
      <w:r w:rsidRPr="00E619E9">
        <w:rPr>
          <w:bCs/>
          <w:i/>
          <w:sz w:val="22"/>
          <w:szCs w:val="22"/>
        </w:rPr>
        <w:t xml:space="preserve">oranžovú žltú </w:t>
      </w:r>
      <w:proofErr w:type="spellStart"/>
      <w:r w:rsidRPr="00E619E9">
        <w:rPr>
          <w:bCs/>
          <w:i/>
          <w:sz w:val="22"/>
          <w:szCs w:val="22"/>
        </w:rPr>
        <w:t>FCF</w:t>
      </w:r>
      <w:proofErr w:type="spellEnd"/>
      <w:r w:rsidRPr="00E619E9">
        <w:rPr>
          <w:bCs/>
          <w:i/>
          <w:sz w:val="22"/>
          <w:szCs w:val="22"/>
        </w:rPr>
        <w:t xml:space="preserve"> (E</w:t>
      </w:r>
      <w:r w:rsidR="006B73E9">
        <w:rPr>
          <w:bCs/>
          <w:i/>
          <w:sz w:val="22"/>
          <w:szCs w:val="22"/>
        </w:rPr>
        <w:t xml:space="preserve"> </w:t>
      </w:r>
      <w:r w:rsidRPr="00E619E9">
        <w:rPr>
          <w:bCs/>
          <w:i/>
          <w:sz w:val="22"/>
          <w:szCs w:val="22"/>
        </w:rPr>
        <w:t>110)</w:t>
      </w:r>
      <w:r w:rsidRPr="00E619E9">
        <w:rPr>
          <w:bCs/>
          <w:sz w:val="22"/>
          <w:szCs w:val="22"/>
        </w:rPr>
        <w:t xml:space="preserve">, ktorá </w:t>
      </w:r>
      <w:r w:rsidRPr="00E619E9">
        <w:rPr>
          <w:sz w:val="22"/>
          <w:szCs w:val="22"/>
        </w:rPr>
        <w:t>môže vyvolať alergické reakcie.</w:t>
      </w:r>
    </w:p>
    <w:p w14:paraId="066A1807" w14:textId="77777777" w:rsidR="006B73E9" w:rsidRPr="00421221" w:rsidRDefault="006B73E9" w:rsidP="006B73E9">
      <w:pPr>
        <w:keepNext/>
        <w:ind w:left="0" w:firstLine="0"/>
        <w:rPr>
          <w:i/>
        </w:rPr>
      </w:pPr>
      <w:proofErr w:type="spellStart"/>
      <w:r w:rsidRPr="00421221">
        <w:rPr>
          <w:i/>
          <w:color w:val="000000"/>
        </w:rPr>
        <w:t>Duloxetin</w:t>
      </w:r>
      <w:proofErr w:type="spellEnd"/>
      <w:r w:rsidRPr="00421221">
        <w:rPr>
          <w:i/>
          <w:color w:val="000000"/>
        </w:rPr>
        <w:t xml:space="preserve"> Sandoz obsahuje menej ako 1 mmol sodíka (23 mg) v jednej kapsule, t.j. v podstate zanedbateľné množstvo sodíka.</w:t>
      </w:r>
    </w:p>
    <w:p w14:paraId="2F288488" w14:textId="77777777" w:rsidR="00FB2465" w:rsidRPr="002C1513" w:rsidRDefault="00FB2465" w:rsidP="00EB478A">
      <w:pPr>
        <w:pStyle w:val="Default"/>
        <w:rPr>
          <w:i/>
          <w:iCs/>
          <w:sz w:val="22"/>
          <w:szCs w:val="22"/>
        </w:rPr>
      </w:pPr>
    </w:p>
    <w:p w14:paraId="407133E4" w14:textId="77777777" w:rsidR="00EB478A" w:rsidRPr="002C1513" w:rsidRDefault="00EB478A" w:rsidP="00EB478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Podávanie deťom a dospievajúcim mladším ako 18 rokov </w:t>
      </w:r>
    </w:p>
    <w:p w14:paraId="51E08D8A" w14:textId="77777777" w:rsidR="00EB478A" w:rsidRPr="002C1513" w:rsidRDefault="00F362A4" w:rsidP="00EB478A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="00EB478A" w:rsidRPr="002C1513">
        <w:rPr>
          <w:sz w:val="22"/>
          <w:szCs w:val="22"/>
        </w:rPr>
        <w:t xml:space="preserve"> sa nemá užívať na liečbu detí a dospievajúcich mladších ako 18 rokov. V klinických štúdiách bolo u detí a dospievajúcich liečených </w:t>
      </w:r>
      <w:proofErr w:type="spellStart"/>
      <w:r w:rsidR="00EB478A" w:rsidRPr="002C1513">
        <w:rPr>
          <w:sz w:val="22"/>
          <w:szCs w:val="22"/>
        </w:rPr>
        <w:t>antidepresívami</w:t>
      </w:r>
      <w:proofErr w:type="spellEnd"/>
      <w:r w:rsidR="00EB478A" w:rsidRPr="002C1513">
        <w:rPr>
          <w:sz w:val="22"/>
          <w:szCs w:val="22"/>
        </w:rPr>
        <w:t xml:space="preserve"> častejšie pozorované </w:t>
      </w:r>
      <w:proofErr w:type="spellStart"/>
      <w:r w:rsidR="00EB478A" w:rsidRPr="002C1513">
        <w:rPr>
          <w:sz w:val="22"/>
          <w:szCs w:val="22"/>
        </w:rPr>
        <w:t>suicidálne</w:t>
      </w:r>
      <w:proofErr w:type="spellEnd"/>
      <w:r w:rsidR="00EB478A" w:rsidRPr="002C1513">
        <w:rPr>
          <w:sz w:val="22"/>
          <w:szCs w:val="22"/>
        </w:rPr>
        <w:t xml:space="preserve"> správanie (</w:t>
      </w:r>
      <w:proofErr w:type="spellStart"/>
      <w:r w:rsidR="00EB478A" w:rsidRPr="002C1513">
        <w:rPr>
          <w:sz w:val="22"/>
          <w:szCs w:val="22"/>
        </w:rPr>
        <w:t>suicidálne</w:t>
      </w:r>
      <w:proofErr w:type="spellEnd"/>
      <w:r w:rsidR="00EB478A" w:rsidRPr="002C1513">
        <w:rPr>
          <w:sz w:val="22"/>
          <w:szCs w:val="22"/>
        </w:rPr>
        <w:t xml:space="preserve"> pokusy a </w:t>
      </w:r>
      <w:proofErr w:type="spellStart"/>
      <w:r w:rsidR="00EB478A" w:rsidRPr="002C1513">
        <w:rPr>
          <w:sz w:val="22"/>
          <w:szCs w:val="22"/>
        </w:rPr>
        <w:t>suicidálne</w:t>
      </w:r>
      <w:proofErr w:type="spellEnd"/>
      <w:r w:rsidR="00EB478A" w:rsidRPr="002C1513">
        <w:rPr>
          <w:sz w:val="22"/>
          <w:szCs w:val="22"/>
        </w:rPr>
        <w:t xml:space="preserve"> myšlienky) a </w:t>
      </w:r>
      <w:proofErr w:type="spellStart"/>
      <w:r w:rsidR="00EB478A" w:rsidRPr="002C1513">
        <w:rPr>
          <w:sz w:val="22"/>
          <w:szCs w:val="22"/>
        </w:rPr>
        <w:t>hostilita</w:t>
      </w:r>
      <w:proofErr w:type="spellEnd"/>
      <w:r w:rsidR="00EB478A" w:rsidRPr="002C1513">
        <w:rPr>
          <w:sz w:val="22"/>
          <w:szCs w:val="22"/>
        </w:rPr>
        <w:t xml:space="preserve"> (prevažne agresi</w:t>
      </w:r>
      <w:r w:rsidRPr="002C1513">
        <w:rPr>
          <w:sz w:val="22"/>
          <w:szCs w:val="22"/>
        </w:rPr>
        <w:t>vit</w:t>
      </w:r>
      <w:r w:rsidR="00EB478A" w:rsidRPr="002C1513">
        <w:rPr>
          <w:sz w:val="22"/>
          <w:szCs w:val="22"/>
        </w:rPr>
        <w:t xml:space="preserve">a, protichodné správanie a zlosť) v porovnaní s tými, ktorým bolo podávané </w:t>
      </w:r>
      <w:proofErr w:type="spellStart"/>
      <w:r w:rsidR="00EB478A" w:rsidRPr="002C1513">
        <w:rPr>
          <w:sz w:val="22"/>
          <w:szCs w:val="22"/>
        </w:rPr>
        <w:t>placebo</w:t>
      </w:r>
      <w:proofErr w:type="spellEnd"/>
      <w:r w:rsidR="00EB478A" w:rsidRPr="002C1513">
        <w:rPr>
          <w:sz w:val="22"/>
          <w:szCs w:val="22"/>
        </w:rPr>
        <w:t xml:space="preserve">. Ak sa rozhodnutie o liečbe založené na objektívnej potrebe predsa len urobí, musí byť pacient starostlivo sledovaný kvôli výskytu samovražedných symptómov (pozri časť 5.1). Navyše chýbajú údaje o bezpečnosti dlhodobého podávania u detí a dospievajúcich týkajúce sa rastu, dospievania a kognitívneho a </w:t>
      </w:r>
      <w:proofErr w:type="spellStart"/>
      <w:r w:rsidR="00EB478A" w:rsidRPr="002C1513">
        <w:rPr>
          <w:sz w:val="22"/>
          <w:szCs w:val="22"/>
        </w:rPr>
        <w:t>behaviorálneho</w:t>
      </w:r>
      <w:proofErr w:type="spellEnd"/>
      <w:r w:rsidR="00EB478A" w:rsidRPr="002C1513">
        <w:rPr>
          <w:sz w:val="22"/>
          <w:szCs w:val="22"/>
        </w:rPr>
        <w:t xml:space="preserve"> vývoja (pozri časť 4.8). </w:t>
      </w:r>
    </w:p>
    <w:p w14:paraId="2EA2CD90" w14:textId="77777777" w:rsidR="004E5A93" w:rsidRPr="002C1513" w:rsidRDefault="004E5A93" w:rsidP="002605CE">
      <w:pPr>
        <w:ind w:left="0" w:firstLine="0"/>
        <w:rPr>
          <w:b/>
          <w:szCs w:val="22"/>
        </w:rPr>
      </w:pPr>
    </w:p>
    <w:p w14:paraId="36B4CC67" w14:textId="77777777" w:rsidR="00FF6BE0" w:rsidRPr="002C1513" w:rsidRDefault="00FF6BE0" w:rsidP="004E5A93">
      <w:pPr>
        <w:rPr>
          <w:b/>
          <w:szCs w:val="22"/>
        </w:rPr>
      </w:pPr>
      <w:r w:rsidRPr="002C1513">
        <w:rPr>
          <w:b/>
          <w:szCs w:val="22"/>
        </w:rPr>
        <w:t>4.5</w:t>
      </w:r>
      <w:r w:rsidRPr="002C1513">
        <w:rPr>
          <w:b/>
          <w:szCs w:val="22"/>
        </w:rPr>
        <w:tab/>
        <w:t>Liekové a iné interakcie</w:t>
      </w:r>
    </w:p>
    <w:p w14:paraId="51126302" w14:textId="77777777" w:rsidR="00F70C8E" w:rsidRPr="002C1513" w:rsidRDefault="00F70C8E" w:rsidP="00527DED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14:paraId="496D2A87" w14:textId="77777777" w:rsidR="002605CE" w:rsidRPr="002C1513" w:rsidRDefault="002605CE" w:rsidP="002605CE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Inhibítory </w:t>
      </w:r>
      <w:proofErr w:type="spellStart"/>
      <w:r w:rsidRPr="002C1513">
        <w:rPr>
          <w:i/>
          <w:iCs/>
          <w:sz w:val="22"/>
          <w:szCs w:val="22"/>
        </w:rPr>
        <w:t>monoaminooxidázy</w:t>
      </w:r>
      <w:proofErr w:type="spellEnd"/>
      <w:r w:rsidRPr="002C1513">
        <w:rPr>
          <w:i/>
          <w:iCs/>
          <w:sz w:val="22"/>
          <w:szCs w:val="22"/>
        </w:rPr>
        <w:t xml:space="preserve"> (</w:t>
      </w:r>
      <w:proofErr w:type="spellStart"/>
      <w:r w:rsidRPr="002C1513">
        <w:rPr>
          <w:i/>
          <w:iCs/>
          <w:sz w:val="22"/>
          <w:szCs w:val="22"/>
        </w:rPr>
        <w:t>IMAO</w:t>
      </w:r>
      <w:proofErr w:type="spellEnd"/>
      <w:r w:rsidRPr="002C1513">
        <w:rPr>
          <w:i/>
          <w:iCs/>
          <w:sz w:val="22"/>
          <w:szCs w:val="22"/>
        </w:rPr>
        <w:t>)</w:t>
      </w:r>
      <w:r w:rsidRPr="002C1513">
        <w:rPr>
          <w:sz w:val="22"/>
          <w:szCs w:val="22"/>
        </w:rPr>
        <w:t xml:space="preserve">: z dôvodu rizika vzniku </w:t>
      </w:r>
      <w:proofErr w:type="spellStart"/>
      <w:r w:rsidRPr="002C1513">
        <w:rPr>
          <w:sz w:val="22"/>
          <w:szCs w:val="22"/>
        </w:rPr>
        <w:t>sérotonínového</w:t>
      </w:r>
      <w:proofErr w:type="spellEnd"/>
      <w:r w:rsidRPr="002C1513">
        <w:rPr>
          <w:sz w:val="22"/>
          <w:szCs w:val="22"/>
        </w:rPr>
        <w:t xml:space="preserve"> syndrómu sa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nemá používať v kombinácii s neselektívnymi ireverzibilnými inhibítormi </w:t>
      </w:r>
      <w:proofErr w:type="spellStart"/>
      <w:r w:rsidRPr="002C1513">
        <w:rPr>
          <w:sz w:val="22"/>
          <w:szCs w:val="22"/>
        </w:rPr>
        <w:t>monoaminooxidázy</w:t>
      </w:r>
      <w:proofErr w:type="spellEnd"/>
      <w:r w:rsidRPr="002C1513">
        <w:rPr>
          <w:sz w:val="22"/>
          <w:szCs w:val="22"/>
        </w:rPr>
        <w:t xml:space="preserve"> (</w:t>
      </w:r>
      <w:proofErr w:type="spellStart"/>
      <w:r w:rsidRPr="002C1513">
        <w:rPr>
          <w:sz w:val="22"/>
          <w:szCs w:val="22"/>
        </w:rPr>
        <w:t>IMAO</w:t>
      </w:r>
      <w:proofErr w:type="spellEnd"/>
      <w:r w:rsidRPr="002C1513">
        <w:rPr>
          <w:sz w:val="22"/>
          <w:szCs w:val="22"/>
        </w:rPr>
        <w:t xml:space="preserve">) alebo minimálne 14 dní od ukončenia liečby </w:t>
      </w:r>
      <w:proofErr w:type="spellStart"/>
      <w:r w:rsidRPr="002C1513">
        <w:rPr>
          <w:sz w:val="22"/>
          <w:szCs w:val="22"/>
        </w:rPr>
        <w:t>IMAO</w:t>
      </w:r>
      <w:proofErr w:type="spellEnd"/>
      <w:r w:rsidRPr="002C1513">
        <w:rPr>
          <w:sz w:val="22"/>
          <w:szCs w:val="22"/>
        </w:rPr>
        <w:t xml:space="preserve">. Vychádzajúc z biologického polčasu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, liečbu s </w:t>
      </w:r>
      <w:proofErr w:type="spellStart"/>
      <w:r w:rsidRPr="002C1513">
        <w:rPr>
          <w:sz w:val="22"/>
          <w:szCs w:val="22"/>
        </w:rPr>
        <w:t>IMAO</w:t>
      </w:r>
      <w:proofErr w:type="spellEnd"/>
      <w:r w:rsidRPr="002C1513">
        <w:rPr>
          <w:sz w:val="22"/>
          <w:szCs w:val="22"/>
        </w:rPr>
        <w:t xml:space="preserve"> je možné začať najskôr 5 dní po vysadení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(pozri časť 4.3). </w:t>
      </w:r>
    </w:p>
    <w:p w14:paraId="7C055EF9" w14:textId="77777777" w:rsidR="002605CE" w:rsidRPr="002C1513" w:rsidRDefault="002605CE" w:rsidP="002605CE">
      <w:pPr>
        <w:pStyle w:val="Default"/>
        <w:rPr>
          <w:sz w:val="22"/>
          <w:szCs w:val="22"/>
        </w:rPr>
      </w:pPr>
    </w:p>
    <w:p w14:paraId="75195FCE" w14:textId="77777777" w:rsidR="002605CE" w:rsidRPr="002C1513" w:rsidRDefault="002605CE" w:rsidP="002605CE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Súbežné užívanie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so selektívnymi reverzibilnými </w:t>
      </w:r>
      <w:proofErr w:type="spellStart"/>
      <w:r w:rsidRPr="002C1513">
        <w:rPr>
          <w:sz w:val="22"/>
          <w:szCs w:val="22"/>
        </w:rPr>
        <w:t>IMAO</w:t>
      </w:r>
      <w:proofErr w:type="spellEnd"/>
      <w:r w:rsidRPr="002C1513">
        <w:rPr>
          <w:sz w:val="22"/>
          <w:szCs w:val="22"/>
        </w:rPr>
        <w:t xml:space="preserve">, ako je </w:t>
      </w:r>
      <w:proofErr w:type="spellStart"/>
      <w:r w:rsidRPr="002C1513">
        <w:rPr>
          <w:sz w:val="22"/>
          <w:szCs w:val="22"/>
        </w:rPr>
        <w:t>moklobemid</w:t>
      </w:r>
      <w:proofErr w:type="spellEnd"/>
      <w:r w:rsidRPr="002C1513">
        <w:rPr>
          <w:sz w:val="22"/>
          <w:szCs w:val="22"/>
        </w:rPr>
        <w:t xml:space="preserve">, sa neodporúča (pozri časť 4.4). Antibiotikum </w:t>
      </w:r>
      <w:proofErr w:type="spellStart"/>
      <w:r w:rsidRPr="002C1513">
        <w:rPr>
          <w:sz w:val="22"/>
          <w:szCs w:val="22"/>
        </w:rPr>
        <w:t>linezolid</w:t>
      </w:r>
      <w:proofErr w:type="spellEnd"/>
      <w:r w:rsidRPr="002C1513">
        <w:rPr>
          <w:sz w:val="22"/>
          <w:szCs w:val="22"/>
        </w:rPr>
        <w:t xml:space="preserve"> je reverzibilným neselektívnym </w:t>
      </w:r>
      <w:proofErr w:type="spellStart"/>
      <w:r w:rsidRPr="002C1513">
        <w:rPr>
          <w:sz w:val="22"/>
          <w:szCs w:val="22"/>
        </w:rPr>
        <w:t>IMAO</w:t>
      </w:r>
      <w:proofErr w:type="spellEnd"/>
      <w:r w:rsidRPr="002C1513">
        <w:rPr>
          <w:sz w:val="22"/>
          <w:szCs w:val="22"/>
        </w:rPr>
        <w:t xml:space="preserve"> a nemá sa podávať pacientom užívajúcim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(pozri časť 4.4). </w:t>
      </w:r>
    </w:p>
    <w:p w14:paraId="697D4AA9" w14:textId="77777777" w:rsidR="002605CE" w:rsidRPr="002C1513" w:rsidRDefault="002605CE" w:rsidP="002605CE">
      <w:pPr>
        <w:pStyle w:val="Default"/>
        <w:rPr>
          <w:i/>
          <w:iCs/>
          <w:sz w:val="22"/>
          <w:szCs w:val="22"/>
        </w:rPr>
      </w:pPr>
    </w:p>
    <w:p w14:paraId="06A613BC" w14:textId="77777777" w:rsidR="002605CE" w:rsidRPr="002C1513" w:rsidRDefault="002605CE" w:rsidP="002605CE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Inhibítory </w:t>
      </w:r>
      <w:proofErr w:type="spellStart"/>
      <w:r w:rsidRPr="002C1513">
        <w:rPr>
          <w:i/>
          <w:iCs/>
          <w:sz w:val="22"/>
          <w:szCs w:val="22"/>
        </w:rPr>
        <w:t>CYP1A2</w:t>
      </w:r>
      <w:proofErr w:type="spellEnd"/>
      <w:r w:rsidRPr="002C1513">
        <w:rPr>
          <w:sz w:val="22"/>
          <w:szCs w:val="22"/>
        </w:rPr>
        <w:t xml:space="preserve">: keďže </w:t>
      </w:r>
      <w:proofErr w:type="spellStart"/>
      <w:r w:rsidRPr="002C1513">
        <w:rPr>
          <w:sz w:val="22"/>
          <w:szCs w:val="22"/>
        </w:rPr>
        <w:t>CYP1A2</w:t>
      </w:r>
      <w:proofErr w:type="spellEnd"/>
      <w:r w:rsidRPr="002C1513">
        <w:rPr>
          <w:sz w:val="22"/>
          <w:szCs w:val="22"/>
        </w:rPr>
        <w:t xml:space="preserve"> sa zúčastňuje na metabolizme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, súbežné užívanie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spolu so silnými inhibítormi </w:t>
      </w:r>
      <w:proofErr w:type="spellStart"/>
      <w:r w:rsidRPr="002C1513">
        <w:rPr>
          <w:sz w:val="22"/>
          <w:szCs w:val="22"/>
        </w:rPr>
        <w:t>CYP1A2</w:t>
      </w:r>
      <w:proofErr w:type="spellEnd"/>
      <w:r w:rsidRPr="002C1513">
        <w:rPr>
          <w:sz w:val="22"/>
          <w:szCs w:val="22"/>
        </w:rPr>
        <w:t xml:space="preserve"> pravdepodobne vedie k zvýšeným koncentráciám </w:t>
      </w:r>
      <w:proofErr w:type="spellStart"/>
      <w:r w:rsidRPr="002C1513">
        <w:rPr>
          <w:sz w:val="22"/>
          <w:szCs w:val="22"/>
        </w:rPr>
        <w:lastRenderedPageBreak/>
        <w:t>duloxetínu</w:t>
      </w:r>
      <w:proofErr w:type="spellEnd"/>
      <w:r w:rsidRPr="002C1513">
        <w:rPr>
          <w:sz w:val="22"/>
          <w:szCs w:val="22"/>
        </w:rPr>
        <w:t xml:space="preserve">. Fluvoxamín (100 mg jedenkrát denne) ako silný inhibítor </w:t>
      </w:r>
      <w:proofErr w:type="spellStart"/>
      <w:r w:rsidRPr="002C1513">
        <w:rPr>
          <w:sz w:val="22"/>
          <w:szCs w:val="22"/>
        </w:rPr>
        <w:t>CYP1A2</w:t>
      </w:r>
      <w:proofErr w:type="spellEnd"/>
      <w:r w:rsidRPr="002C1513">
        <w:rPr>
          <w:sz w:val="22"/>
          <w:szCs w:val="22"/>
        </w:rPr>
        <w:t xml:space="preserve">, znížil zdanlivý plazmatický </w:t>
      </w:r>
      <w:proofErr w:type="spellStart"/>
      <w:r w:rsidRPr="002C1513">
        <w:rPr>
          <w:sz w:val="22"/>
          <w:szCs w:val="22"/>
        </w:rPr>
        <w:t>klírens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o približne 77 %, pričom </w:t>
      </w:r>
      <w:proofErr w:type="spellStart"/>
      <w:r w:rsidRPr="002C1513">
        <w:rPr>
          <w:sz w:val="22"/>
          <w:szCs w:val="22"/>
        </w:rPr>
        <w:t>6-násobne</w:t>
      </w:r>
      <w:proofErr w:type="spellEnd"/>
      <w:r w:rsidRPr="002C1513">
        <w:rPr>
          <w:sz w:val="22"/>
          <w:szCs w:val="22"/>
        </w:rPr>
        <w:t xml:space="preserve"> vzrástla </w:t>
      </w:r>
      <w:proofErr w:type="spellStart"/>
      <w:r w:rsidRPr="002C1513">
        <w:rPr>
          <w:sz w:val="22"/>
          <w:szCs w:val="22"/>
        </w:rPr>
        <w:t>AUC</w:t>
      </w:r>
      <w:r w:rsidRPr="002C1513">
        <w:rPr>
          <w:sz w:val="14"/>
          <w:szCs w:val="14"/>
        </w:rPr>
        <w:t>o-t</w:t>
      </w:r>
      <w:proofErr w:type="spellEnd"/>
      <w:r w:rsidRPr="002C1513">
        <w:rPr>
          <w:sz w:val="14"/>
          <w:szCs w:val="14"/>
        </w:rPr>
        <w:t xml:space="preserve"> </w:t>
      </w:r>
      <w:r w:rsidRPr="002C1513">
        <w:rPr>
          <w:sz w:val="22"/>
          <w:szCs w:val="22"/>
        </w:rPr>
        <w:t xml:space="preserve">.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sa preto nemá podávať v kombinácii so silnými inhibítormi </w:t>
      </w:r>
      <w:proofErr w:type="spellStart"/>
      <w:r w:rsidRPr="002C1513">
        <w:rPr>
          <w:sz w:val="22"/>
          <w:szCs w:val="22"/>
        </w:rPr>
        <w:t>CYP1A2</w:t>
      </w:r>
      <w:proofErr w:type="spellEnd"/>
      <w:r w:rsidRPr="002C1513">
        <w:rPr>
          <w:sz w:val="22"/>
          <w:szCs w:val="22"/>
        </w:rPr>
        <w:t xml:space="preserve"> typu </w:t>
      </w:r>
      <w:proofErr w:type="spellStart"/>
      <w:r w:rsidRPr="002C1513">
        <w:rPr>
          <w:sz w:val="22"/>
          <w:szCs w:val="22"/>
        </w:rPr>
        <w:t>fluvoxamínu</w:t>
      </w:r>
      <w:proofErr w:type="spellEnd"/>
      <w:r w:rsidRPr="002C1513">
        <w:rPr>
          <w:sz w:val="22"/>
          <w:szCs w:val="22"/>
        </w:rPr>
        <w:t xml:space="preserve"> (pozri časť 4.3). </w:t>
      </w:r>
    </w:p>
    <w:p w14:paraId="2C4FBAB6" w14:textId="77777777" w:rsidR="002605CE" w:rsidRPr="002C1513" w:rsidRDefault="002605CE" w:rsidP="002605CE">
      <w:pPr>
        <w:pStyle w:val="Default"/>
        <w:rPr>
          <w:i/>
          <w:iCs/>
          <w:sz w:val="22"/>
          <w:szCs w:val="22"/>
        </w:rPr>
      </w:pPr>
    </w:p>
    <w:p w14:paraId="09BAA06D" w14:textId="77777777" w:rsidR="002605CE" w:rsidRPr="002C1513" w:rsidRDefault="002605CE" w:rsidP="002605CE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Lieky s vplyvom na </w:t>
      </w:r>
      <w:proofErr w:type="spellStart"/>
      <w:r w:rsidRPr="002C1513">
        <w:rPr>
          <w:i/>
          <w:iCs/>
          <w:sz w:val="22"/>
          <w:szCs w:val="22"/>
        </w:rPr>
        <w:t>CNS</w:t>
      </w:r>
      <w:proofErr w:type="spellEnd"/>
      <w:r w:rsidRPr="002C1513">
        <w:rPr>
          <w:sz w:val="22"/>
          <w:szCs w:val="22"/>
        </w:rPr>
        <w:t xml:space="preserve">: riziko užívania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v kombinácii s inými liekmi s vplyvom na </w:t>
      </w:r>
      <w:proofErr w:type="spellStart"/>
      <w:r w:rsidRPr="002C1513">
        <w:rPr>
          <w:sz w:val="22"/>
          <w:szCs w:val="22"/>
        </w:rPr>
        <w:t>CNS</w:t>
      </w:r>
      <w:proofErr w:type="spellEnd"/>
      <w:r w:rsidRPr="002C1513">
        <w:rPr>
          <w:sz w:val="22"/>
          <w:szCs w:val="22"/>
        </w:rPr>
        <w:t xml:space="preserve"> nebolo systematicky hodnotené, okrem prípadov opísaných v tejto časti. V dôsledku toho sa pri užívaní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v kombinácii s inými centrálne pôsobiacimi liekmi alebo látkami, vrátane alkoholu a liekov so sedatívnym účinkom (napr. </w:t>
      </w:r>
      <w:proofErr w:type="spellStart"/>
      <w:r w:rsidRPr="002C1513">
        <w:rPr>
          <w:sz w:val="22"/>
          <w:szCs w:val="22"/>
        </w:rPr>
        <w:t>benzodiazepíny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morfínomimetiká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antipsychotiká</w:t>
      </w:r>
      <w:proofErr w:type="spellEnd"/>
      <w:r w:rsidRPr="002C1513">
        <w:rPr>
          <w:sz w:val="22"/>
          <w:szCs w:val="22"/>
        </w:rPr>
        <w:t xml:space="preserve">, fenobarbital, sedatívne </w:t>
      </w:r>
      <w:proofErr w:type="spellStart"/>
      <w:r w:rsidRPr="002C1513">
        <w:rPr>
          <w:sz w:val="22"/>
          <w:szCs w:val="22"/>
        </w:rPr>
        <w:t>antihistaminiká</w:t>
      </w:r>
      <w:proofErr w:type="spellEnd"/>
      <w:r w:rsidRPr="002C1513">
        <w:rPr>
          <w:sz w:val="22"/>
          <w:szCs w:val="22"/>
        </w:rPr>
        <w:t xml:space="preserve">) odporúča postupovať s opatrnosťou. </w:t>
      </w:r>
    </w:p>
    <w:p w14:paraId="57A933F0" w14:textId="77777777" w:rsidR="002605CE" w:rsidRPr="002C1513" w:rsidRDefault="002605CE" w:rsidP="002605CE">
      <w:pPr>
        <w:pStyle w:val="Default"/>
        <w:rPr>
          <w:i/>
          <w:iCs/>
          <w:sz w:val="22"/>
          <w:szCs w:val="22"/>
        </w:rPr>
      </w:pPr>
    </w:p>
    <w:p w14:paraId="113A5CD3" w14:textId="77777777" w:rsidR="002605CE" w:rsidRPr="002C1513" w:rsidRDefault="002605CE" w:rsidP="002605CE">
      <w:pPr>
        <w:pStyle w:val="Default"/>
        <w:rPr>
          <w:sz w:val="22"/>
          <w:szCs w:val="22"/>
        </w:rPr>
      </w:pPr>
      <w:proofErr w:type="spellStart"/>
      <w:r w:rsidRPr="002C1513">
        <w:rPr>
          <w:i/>
          <w:iCs/>
          <w:sz w:val="22"/>
          <w:szCs w:val="22"/>
        </w:rPr>
        <w:t>Sérotonergné</w:t>
      </w:r>
      <w:proofErr w:type="spellEnd"/>
      <w:r w:rsidRPr="002C1513">
        <w:rPr>
          <w:i/>
          <w:iCs/>
          <w:sz w:val="22"/>
          <w:szCs w:val="22"/>
        </w:rPr>
        <w:t xml:space="preserve"> látky</w:t>
      </w:r>
      <w:r w:rsidRPr="002C1513">
        <w:rPr>
          <w:sz w:val="22"/>
          <w:szCs w:val="22"/>
        </w:rPr>
        <w:t xml:space="preserve">: </w:t>
      </w:r>
      <w:proofErr w:type="spellStart"/>
      <w:r w:rsidRPr="002C1513">
        <w:rPr>
          <w:sz w:val="22"/>
          <w:szCs w:val="22"/>
        </w:rPr>
        <w:t>sérotonínový</w:t>
      </w:r>
      <w:proofErr w:type="spellEnd"/>
      <w:r w:rsidRPr="002C1513">
        <w:rPr>
          <w:sz w:val="22"/>
          <w:szCs w:val="22"/>
        </w:rPr>
        <w:t xml:space="preserve"> syndróm bol v zriedkavých prípadoch zaznamenaný u pacientov, ktorí užívali selektívne inhibítory spätného vychytávania </w:t>
      </w:r>
      <w:proofErr w:type="spellStart"/>
      <w:r w:rsidRPr="002C1513">
        <w:rPr>
          <w:sz w:val="22"/>
          <w:szCs w:val="22"/>
        </w:rPr>
        <w:t>sérotonínu</w:t>
      </w:r>
      <w:proofErr w:type="spellEnd"/>
      <w:r w:rsidRPr="002C1513">
        <w:rPr>
          <w:sz w:val="22"/>
          <w:szCs w:val="22"/>
        </w:rPr>
        <w:t xml:space="preserve"> (SSRI/</w:t>
      </w:r>
      <w:proofErr w:type="spellStart"/>
      <w:r w:rsidRPr="002C1513">
        <w:rPr>
          <w:sz w:val="22"/>
          <w:szCs w:val="22"/>
        </w:rPr>
        <w:t>SNRI</w:t>
      </w:r>
      <w:proofErr w:type="spellEnd"/>
      <w:r w:rsidRPr="002C1513">
        <w:rPr>
          <w:sz w:val="22"/>
          <w:szCs w:val="22"/>
        </w:rPr>
        <w:t xml:space="preserve">) spolu s látkami, ktoré majú </w:t>
      </w:r>
      <w:proofErr w:type="spellStart"/>
      <w:r w:rsidRPr="002C1513">
        <w:rPr>
          <w:sz w:val="22"/>
          <w:szCs w:val="22"/>
        </w:rPr>
        <w:t>sérotonergné</w:t>
      </w:r>
      <w:proofErr w:type="spellEnd"/>
      <w:r w:rsidRPr="002C1513">
        <w:rPr>
          <w:sz w:val="22"/>
          <w:szCs w:val="22"/>
        </w:rPr>
        <w:t xml:space="preserve"> účinky. Opatrnosť sa odporúča v prípade, ak sa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užíva súbežne so </w:t>
      </w:r>
      <w:proofErr w:type="spellStart"/>
      <w:r w:rsidRPr="002C1513">
        <w:rPr>
          <w:sz w:val="22"/>
          <w:szCs w:val="22"/>
        </w:rPr>
        <w:t>sérotonergnými</w:t>
      </w:r>
      <w:proofErr w:type="spellEnd"/>
      <w:r w:rsidRPr="002C1513">
        <w:rPr>
          <w:sz w:val="22"/>
          <w:szCs w:val="22"/>
        </w:rPr>
        <w:t xml:space="preserve"> látkami akými sú SSRI, </w:t>
      </w:r>
      <w:proofErr w:type="spellStart"/>
      <w:r w:rsidRPr="002C1513">
        <w:rPr>
          <w:sz w:val="22"/>
          <w:szCs w:val="22"/>
        </w:rPr>
        <w:t>SNRI</w:t>
      </w:r>
      <w:proofErr w:type="spellEnd"/>
      <w:r w:rsidRPr="002C1513">
        <w:rPr>
          <w:sz w:val="22"/>
          <w:szCs w:val="22"/>
        </w:rPr>
        <w:t xml:space="preserve"> a </w:t>
      </w:r>
      <w:proofErr w:type="spellStart"/>
      <w:r w:rsidRPr="002C1513">
        <w:rPr>
          <w:sz w:val="22"/>
          <w:szCs w:val="22"/>
        </w:rPr>
        <w:t>tricyklické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antidepresíva</w:t>
      </w:r>
      <w:proofErr w:type="spellEnd"/>
      <w:r w:rsidRPr="002C1513">
        <w:rPr>
          <w:sz w:val="22"/>
          <w:szCs w:val="22"/>
        </w:rPr>
        <w:t xml:space="preserve"> ako </w:t>
      </w:r>
      <w:proofErr w:type="spellStart"/>
      <w:r w:rsidRPr="002C1513">
        <w:rPr>
          <w:sz w:val="22"/>
          <w:szCs w:val="22"/>
        </w:rPr>
        <w:t>klomipramín</w:t>
      </w:r>
      <w:proofErr w:type="spellEnd"/>
      <w:r w:rsidRPr="002C1513">
        <w:rPr>
          <w:sz w:val="22"/>
          <w:szCs w:val="22"/>
        </w:rPr>
        <w:t xml:space="preserve"> alebo </w:t>
      </w:r>
      <w:proofErr w:type="spellStart"/>
      <w:r w:rsidRPr="002C1513">
        <w:rPr>
          <w:sz w:val="22"/>
          <w:szCs w:val="22"/>
        </w:rPr>
        <w:t>amitriptylín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IMAO</w:t>
      </w:r>
      <w:proofErr w:type="spellEnd"/>
      <w:r w:rsidRPr="002C1513">
        <w:rPr>
          <w:sz w:val="22"/>
          <w:szCs w:val="22"/>
        </w:rPr>
        <w:t xml:space="preserve">, akými sú </w:t>
      </w:r>
      <w:proofErr w:type="spellStart"/>
      <w:r w:rsidRPr="002C1513">
        <w:rPr>
          <w:sz w:val="22"/>
          <w:szCs w:val="22"/>
        </w:rPr>
        <w:t>moklobemid</w:t>
      </w:r>
      <w:proofErr w:type="spellEnd"/>
      <w:r w:rsidRPr="002C1513">
        <w:rPr>
          <w:sz w:val="22"/>
          <w:szCs w:val="22"/>
        </w:rPr>
        <w:t xml:space="preserve"> alebo </w:t>
      </w:r>
      <w:proofErr w:type="spellStart"/>
      <w:r w:rsidRPr="002C1513">
        <w:rPr>
          <w:sz w:val="22"/>
          <w:szCs w:val="22"/>
        </w:rPr>
        <w:t>linezolid</w:t>
      </w:r>
      <w:proofErr w:type="spellEnd"/>
      <w:r w:rsidRPr="002C1513">
        <w:rPr>
          <w:sz w:val="22"/>
          <w:szCs w:val="22"/>
        </w:rPr>
        <w:t>, s ľubovníkom bodkovaným (</w:t>
      </w:r>
      <w:r w:rsidRPr="002C1513">
        <w:rPr>
          <w:i/>
          <w:sz w:val="22"/>
          <w:szCs w:val="22"/>
        </w:rPr>
        <w:t>Hypericum perforatum</w:t>
      </w:r>
      <w:r w:rsidRPr="002C1513">
        <w:rPr>
          <w:sz w:val="22"/>
          <w:szCs w:val="22"/>
        </w:rPr>
        <w:t xml:space="preserve">) či </w:t>
      </w:r>
      <w:proofErr w:type="spellStart"/>
      <w:r w:rsidRPr="002C1513">
        <w:rPr>
          <w:sz w:val="22"/>
          <w:szCs w:val="22"/>
        </w:rPr>
        <w:t>triptánmi</w:t>
      </w:r>
      <w:proofErr w:type="spellEnd"/>
      <w:r w:rsidRPr="002C1513">
        <w:rPr>
          <w:sz w:val="22"/>
          <w:szCs w:val="22"/>
        </w:rPr>
        <w:t xml:space="preserve">, tramadolom, </w:t>
      </w:r>
      <w:proofErr w:type="spellStart"/>
      <w:r w:rsidRPr="002C1513">
        <w:rPr>
          <w:sz w:val="22"/>
          <w:szCs w:val="22"/>
        </w:rPr>
        <w:t>petidínom</w:t>
      </w:r>
      <w:proofErr w:type="spellEnd"/>
      <w:r w:rsidRPr="002C1513">
        <w:rPr>
          <w:sz w:val="22"/>
          <w:szCs w:val="22"/>
        </w:rPr>
        <w:t xml:space="preserve"> a </w:t>
      </w:r>
      <w:proofErr w:type="spellStart"/>
      <w:r w:rsidRPr="002C1513">
        <w:rPr>
          <w:sz w:val="22"/>
          <w:szCs w:val="22"/>
        </w:rPr>
        <w:t>tryptofánom</w:t>
      </w:r>
      <w:proofErr w:type="spellEnd"/>
      <w:r w:rsidRPr="002C1513">
        <w:rPr>
          <w:sz w:val="22"/>
          <w:szCs w:val="22"/>
        </w:rPr>
        <w:t xml:space="preserve"> (pozri časť 4.4). </w:t>
      </w:r>
    </w:p>
    <w:p w14:paraId="0707CDF1" w14:textId="77777777" w:rsidR="00B145E9" w:rsidRPr="002C1513" w:rsidRDefault="00B145E9" w:rsidP="002605CE">
      <w:pPr>
        <w:pStyle w:val="Default"/>
        <w:rPr>
          <w:i/>
          <w:iCs/>
          <w:sz w:val="22"/>
          <w:szCs w:val="22"/>
        </w:rPr>
      </w:pPr>
    </w:p>
    <w:p w14:paraId="51744E5F" w14:textId="77777777" w:rsidR="002605CE" w:rsidRPr="002C1513" w:rsidRDefault="002605CE" w:rsidP="002605CE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Účinok </w:t>
      </w:r>
      <w:proofErr w:type="spellStart"/>
      <w:r w:rsidRPr="002C1513">
        <w:rPr>
          <w:i/>
          <w:iCs/>
          <w:sz w:val="22"/>
          <w:szCs w:val="22"/>
        </w:rPr>
        <w:t>duloxetínu</w:t>
      </w:r>
      <w:proofErr w:type="spellEnd"/>
      <w:r w:rsidRPr="002C1513">
        <w:rPr>
          <w:i/>
          <w:iCs/>
          <w:sz w:val="22"/>
          <w:szCs w:val="22"/>
        </w:rPr>
        <w:t xml:space="preserve"> na iné lieky </w:t>
      </w:r>
    </w:p>
    <w:p w14:paraId="75EF78B6" w14:textId="77777777" w:rsidR="002605CE" w:rsidRPr="002C1513" w:rsidRDefault="002605CE" w:rsidP="002605CE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Lieky metabolizované </w:t>
      </w:r>
      <w:proofErr w:type="spellStart"/>
      <w:r w:rsidRPr="002C1513">
        <w:rPr>
          <w:i/>
          <w:iCs/>
          <w:sz w:val="22"/>
          <w:szCs w:val="22"/>
        </w:rPr>
        <w:t>CYP1A2</w:t>
      </w:r>
      <w:proofErr w:type="spellEnd"/>
      <w:r w:rsidR="00B145E9" w:rsidRPr="002C1513">
        <w:rPr>
          <w:sz w:val="22"/>
          <w:szCs w:val="22"/>
        </w:rPr>
        <w:t>: súbež</w:t>
      </w:r>
      <w:r w:rsidRPr="002C1513">
        <w:rPr>
          <w:sz w:val="22"/>
          <w:szCs w:val="22"/>
        </w:rPr>
        <w:t xml:space="preserve">né podávanie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(60 mg dvakrát denne) nemalo významný vplyv na </w:t>
      </w:r>
      <w:proofErr w:type="spellStart"/>
      <w:r w:rsidRPr="002C1513">
        <w:rPr>
          <w:sz w:val="22"/>
          <w:szCs w:val="22"/>
        </w:rPr>
        <w:t>farmakokinetiku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teofylínu</w:t>
      </w:r>
      <w:proofErr w:type="spellEnd"/>
      <w:r w:rsidRPr="002C1513">
        <w:rPr>
          <w:sz w:val="22"/>
          <w:szCs w:val="22"/>
        </w:rPr>
        <w:t xml:space="preserve">, ktorý je substrátom </w:t>
      </w:r>
      <w:proofErr w:type="spellStart"/>
      <w:r w:rsidRPr="002C1513">
        <w:rPr>
          <w:sz w:val="22"/>
          <w:szCs w:val="22"/>
        </w:rPr>
        <w:t>CYP1A2</w:t>
      </w:r>
      <w:proofErr w:type="spellEnd"/>
      <w:r w:rsidRPr="002C1513">
        <w:rPr>
          <w:sz w:val="22"/>
          <w:szCs w:val="22"/>
        </w:rPr>
        <w:t xml:space="preserve">. </w:t>
      </w:r>
    </w:p>
    <w:p w14:paraId="7EF6D506" w14:textId="77777777" w:rsidR="00B145E9" w:rsidRPr="002C1513" w:rsidRDefault="00B145E9" w:rsidP="002605CE">
      <w:pPr>
        <w:pStyle w:val="Default"/>
        <w:rPr>
          <w:i/>
          <w:iCs/>
          <w:sz w:val="22"/>
          <w:szCs w:val="22"/>
        </w:rPr>
      </w:pPr>
    </w:p>
    <w:p w14:paraId="5E575192" w14:textId="4FF5284D" w:rsidR="002605CE" w:rsidRPr="002C1513" w:rsidRDefault="002605CE" w:rsidP="002605CE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Lieky metabolizované </w:t>
      </w:r>
      <w:proofErr w:type="spellStart"/>
      <w:r w:rsidRPr="002C1513">
        <w:rPr>
          <w:i/>
          <w:iCs/>
          <w:sz w:val="22"/>
          <w:szCs w:val="22"/>
        </w:rPr>
        <w:t>CYP2D6</w:t>
      </w:r>
      <w:proofErr w:type="spellEnd"/>
      <w:r w:rsidRPr="002C1513">
        <w:rPr>
          <w:sz w:val="22"/>
          <w:szCs w:val="22"/>
        </w:rPr>
        <w:t xml:space="preserve">: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je mierny inhibítor </w:t>
      </w:r>
      <w:proofErr w:type="spellStart"/>
      <w:r w:rsidRPr="002C1513">
        <w:rPr>
          <w:sz w:val="22"/>
          <w:szCs w:val="22"/>
        </w:rPr>
        <w:t>CYP2D6</w:t>
      </w:r>
      <w:proofErr w:type="spellEnd"/>
      <w:r w:rsidRPr="002C1513">
        <w:rPr>
          <w:sz w:val="22"/>
          <w:szCs w:val="22"/>
        </w:rPr>
        <w:t xml:space="preserve">. Keď sa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v dávke</w:t>
      </w:r>
      <w:r w:rsidR="00B145E9" w:rsidRPr="002C1513">
        <w:rPr>
          <w:sz w:val="22"/>
          <w:szCs w:val="22"/>
        </w:rPr>
        <w:t xml:space="preserve"> 60 mg dvakrát denne podal súbež</w:t>
      </w:r>
      <w:r w:rsidRPr="002C1513">
        <w:rPr>
          <w:sz w:val="22"/>
          <w:szCs w:val="22"/>
        </w:rPr>
        <w:t xml:space="preserve">ne s jednorazovou dávkou </w:t>
      </w:r>
      <w:proofErr w:type="spellStart"/>
      <w:r w:rsidRPr="002C1513">
        <w:rPr>
          <w:sz w:val="22"/>
          <w:szCs w:val="22"/>
        </w:rPr>
        <w:t>dezipramínu</w:t>
      </w:r>
      <w:proofErr w:type="spellEnd"/>
      <w:r w:rsidRPr="002C1513">
        <w:rPr>
          <w:sz w:val="22"/>
          <w:szCs w:val="22"/>
        </w:rPr>
        <w:t xml:space="preserve"> (substrát </w:t>
      </w:r>
      <w:proofErr w:type="spellStart"/>
      <w:r w:rsidRPr="002C1513">
        <w:rPr>
          <w:sz w:val="22"/>
          <w:szCs w:val="22"/>
        </w:rPr>
        <w:t>CYP2D6</w:t>
      </w:r>
      <w:proofErr w:type="spellEnd"/>
      <w:r w:rsidRPr="002C1513">
        <w:rPr>
          <w:sz w:val="22"/>
          <w:szCs w:val="22"/>
        </w:rPr>
        <w:t xml:space="preserve">), </w:t>
      </w:r>
      <w:proofErr w:type="spellStart"/>
      <w:r w:rsidRPr="002C1513">
        <w:rPr>
          <w:sz w:val="22"/>
          <w:szCs w:val="22"/>
        </w:rPr>
        <w:t>AUC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dezipramí</w:t>
      </w:r>
      <w:r w:rsidR="00B145E9" w:rsidRPr="002C1513">
        <w:rPr>
          <w:sz w:val="22"/>
          <w:szCs w:val="22"/>
        </w:rPr>
        <w:t>nu</w:t>
      </w:r>
      <w:proofErr w:type="spellEnd"/>
      <w:r w:rsidR="00B145E9" w:rsidRPr="002C1513">
        <w:rPr>
          <w:sz w:val="22"/>
          <w:szCs w:val="22"/>
        </w:rPr>
        <w:t xml:space="preserve"> sa trojnásobne zvýšila. Súbež</w:t>
      </w:r>
      <w:r w:rsidRPr="002C1513">
        <w:rPr>
          <w:sz w:val="22"/>
          <w:szCs w:val="22"/>
        </w:rPr>
        <w:t xml:space="preserve">né podávanie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(40 mg dvakrát denne) zvyšuje </w:t>
      </w:r>
      <w:proofErr w:type="spellStart"/>
      <w:r w:rsidRPr="002C1513">
        <w:rPr>
          <w:sz w:val="22"/>
          <w:szCs w:val="22"/>
        </w:rPr>
        <w:t>AUC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tolterodínu</w:t>
      </w:r>
      <w:proofErr w:type="spellEnd"/>
      <w:r w:rsidRPr="002C1513">
        <w:rPr>
          <w:sz w:val="22"/>
          <w:szCs w:val="22"/>
        </w:rPr>
        <w:t xml:space="preserve"> (2 mg dvakrát denne) v rovnovážnom stave o</w:t>
      </w:r>
      <w:r w:rsidR="00D53997" w:rsidRPr="002C1513">
        <w:rPr>
          <w:sz w:val="22"/>
          <w:szCs w:val="22"/>
        </w:rPr>
        <w:t> </w:t>
      </w:r>
      <w:r w:rsidRPr="002C1513">
        <w:rPr>
          <w:sz w:val="22"/>
          <w:szCs w:val="22"/>
        </w:rPr>
        <w:t>71</w:t>
      </w:r>
      <w:r w:rsidR="00D53997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%, nijako však neovplyvnilo </w:t>
      </w:r>
      <w:proofErr w:type="spellStart"/>
      <w:r w:rsidRPr="002C1513">
        <w:rPr>
          <w:sz w:val="22"/>
          <w:szCs w:val="22"/>
        </w:rPr>
        <w:t>farmakokinetiku</w:t>
      </w:r>
      <w:proofErr w:type="spellEnd"/>
      <w:r w:rsidRPr="002C1513">
        <w:rPr>
          <w:sz w:val="22"/>
          <w:szCs w:val="22"/>
        </w:rPr>
        <w:t xml:space="preserve"> jeho aktívneho </w:t>
      </w:r>
      <w:proofErr w:type="spellStart"/>
      <w:r w:rsidRPr="002C1513">
        <w:rPr>
          <w:sz w:val="22"/>
          <w:szCs w:val="22"/>
        </w:rPr>
        <w:t>5-hydroxy</w:t>
      </w:r>
      <w:proofErr w:type="spellEnd"/>
      <w:r w:rsidRPr="002C1513">
        <w:rPr>
          <w:sz w:val="22"/>
          <w:szCs w:val="22"/>
        </w:rPr>
        <w:t xml:space="preserve"> metabolitu; úprava dávk</w:t>
      </w:r>
      <w:r w:rsidR="00FD48C2">
        <w:rPr>
          <w:sz w:val="22"/>
          <w:szCs w:val="22"/>
        </w:rPr>
        <w:t>y</w:t>
      </w:r>
      <w:r w:rsidRPr="002C1513">
        <w:rPr>
          <w:sz w:val="22"/>
          <w:szCs w:val="22"/>
        </w:rPr>
        <w:t xml:space="preserve"> </w:t>
      </w:r>
      <w:r w:rsidR="00414FCB">
        <w:rPr>
          <w:sz w:val="22"/>
          <w:szCs w:val="22"/>
        </w:rPr>
        <w:t>nie je potrebná</w:t>
      </w:r>
      <w:r w:rsidRPr="002C1513">
        <w:rPr>
          <w:sz w:val="22"/>
          <w:szCs w:val="22"/>
        </w:rPr>
        <w:t>. Opatrnosť sa však od</w:t>
      </w:r>
      <w:r w:rsidR="00B145E9" w:rsidRPr="002C1513">
        <w:rPr>
          <w:sz w:val="22"/>
          <w:szCs w:val="22"/>
        </w:rPr>
        <w:t xml:space="preserve">porúča v prípade, že sa </w:t>
      </w:r>
      <w:proofErr w:type="spellStart"/>
      <w:r w:rsidR="00B145E9" w:rsidRPr="002C1513">
        <w:rPr>
          <w:sz w:val="22"/>
          <w:szCs w:val="22"/>
        </w:rPr>
        <w:t>duloxetín</w:t>
      </w:r>
      <w:proofErr w:type="spellEnd"/>
      <w:r w:rsidR="00B145E9" w:rsidRPr="002C1513">
        <w:rPr>
          <w:sz w:val="22"/>
          <w:szCs w:val="22"/>
        </w:rPr>
        <w:t xml:space="preserve"> podáva súbež</w:t>
      </w:r>
      <w:r w:rsidRPr="002C1513">
        <w:rPr>
          <w:sz w:val="22"/>
          <w:szCs w:val="22"/>
        </w:rPr>
        <w:t xml:space="preserve">ne s liekmi, ktoré sú metabolizované prevažne </w:t>
      </w:r>
      <w:proofErr w:type="spellStart"/>
      <w:r w:rsidRPr="002C1513">
        <w:rPr>
          <w:sz w:val="22"/>
          <w:szCs w:val="22"/>
        </w:rPr>
        <w:t>izoenzýmom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CYP2D6</w:t>
      </w:r>
      <w:proofErr w:type="spellEnd"/>
      <w:r w:rsidRPr="002C1513">
        <w:rPr>
          <w:sz w:val="22"/>
          <w:szCs w:val="22"/>
        </w:rPr>
        <w:t xml:space="preserve"> (</w:t>
      </w:r>
      <w:proofErr w:type="spellStart"/>
      <w:r w:rsidRPr="002C1513">
        <w:rPr>
          <w:sz w:val="22"/>
          <w:szCs w:val="22"/>
        </w:rPr>
        <w:t>risperidón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tricyklické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antidepresíva</w:t>
      </w:r>
      <w:proofErr w:type="spellEnd"/>
      <w:r w:rsidRPr="002C1513">
        <w:rPr>
          <w:sz w:val="22"/>
          <w:szCs w:val="22"/>
        </w:rPr>
        <w:t xml:space="preserve"> [</w:t>
      </w:r>
      <w:proofErr w:type="spellStart"/>
      <w:r w:rsidRPr="002C1513">
        <w:rPr>
          <w:sz w:val="22"/>
          <w:szCs w:val="22"/>
        </w:rPr>
        <w:t>TCAs</w:t>
      </w:r>
      <w:proofErr w:type="spellEnd"/>
      <w:r w:rsidRPr="002C1513">
        <w:rPr>
          <w:sz w:val="22"/>
          <w:szCs w:val="22"/>
        </w:rPr>
        <w:t xml:space="preserve">] ako sú </w:t>
      </w:r>
      <w:proofErr w:type="spellStart"/>
      <w:r w:rsidRPr="002C1513">
        <w:rPr>
          <w:sz w:val="22"/>
          <w:szCs w:val="22"/>
        </w:rPr>
        <w:t>nortriptylín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amitriptylín</w:t>
      </w:r>
      <w:proofErr w:type="spellEnd"/>
      <w:r w:rsidRPr="002C1513">
        <w:rPr>
          <w:sz w:val="22"/>
          <w:szCs w:val="22"/>
        </w:rPr>
        <w:t xml:space="preserve"> a </w:t>
      </w:r>
      <w:proofErr w:type="spellStart"/>
      <w:r w:rsidRPr="002C1513">
        <w:rPr>
          <w:sz w:val="22"/>
          <w:szCs w:val="22"/>
        </w:rPr>
        <w:t>imipramín</w:t>
      </w:r>
      <w:proofErr w:type="spellEnd"/>
      <w:r w:rsidRPr="002C1513">
        <w:rPr>
          <w:sz w:val="22"/>
          <w:szCs w:val="22"/>
        </w:rPr>
        <w:t xml:space="preserve">), najmä ak tieto majú úzky terapeutický index (ako je </w:t>
      </w:r>
      <w:proofErr w:type="spellStart"/>
      <w:r w:rsidRPr="002C1513">
        <w:rPr>
          <w:sz w:val="22"/>
          <w:szCs w:val="22"/>
        </w:rPr>
        <w:t>flekainid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propafenón</w:t>
      </w:r>
      <w:proofErr w:type="spellEnd"/>
      <w:r w:rsidRPr="002C1513">
        <w:rPr>
          <w:sz w:val="22"/>
          <w:szCs w:val="22"/>
        </w:rPr>
        <w:t xml:space="preserve"> a metoprolol). </w:t>
      </w:r>
    </w:p>
    <w:p w14:paraId="56E13AC2" w14:textId="77777777" w:rsidR="00B145E9" w:rsidRPr="002C1513" w:rsidRDefault="00B145E9" w:rsidP="002605CE">
      <w:pPr>
        <w:pStyle w:val="Default"/>
        <w:rPr>
          <w:i/>
          <w:iCs/>
          <w:sz w:val="22"/>
          <w:szCs w:val="22"/>
        </w:rPr>
      </w:pPr>
    </w:p>
    <w:p w14:paraId="199813D3" w14:textId="77777777" w:rsidR="002605CE" w:rsidRPr="002C1513" w:rsidRDefault="002605CE" w:rsidP="002605CE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Perorálne </w:t>
      </w:r>
      <w:proofErr w:type="spellStart"/>
      <w:r w:rsidRPr="002C1513">
        <w:rPr>
          <w:i/>
          <w:iCs/>
          <w:sz w:val="22"/>
          <w:szCs w:val="22"/>
        </w:rPr>
        <w:t>kontraceptíva</w:t>
      </w:r>
      <w:proofErr w:type="spellEnd"/>
      <w:r w:rsidRPr="002C1513">
        <w:rPr>
          <w:i/>
          <w:iCs/>
          <w:sz w:val="22"/>
          <w:szCs w:val="22"/>
        </w:rPr>
        <w:t xml:space="preserve"> a iné </w:t>
      </w:r>
      <w:proofErr w:type="spellStart"/>
      <w:r w:rsidRPr="002C1513">
        <w:rPr>
          <w:i/>
          <w:iCs/>
          <w:sz w:val="22"/>
          <w:szCs w:val="22"/>
        </w:rPr>
        <w:t>steroidové</w:t>
      </w:r>
      <w:proofErr w:type="spellEnd"/>
      <w:r w:rsidRPr="002C1513">
        <w:rPr>
          <w:i/>
          <w:iCs/>
          <w:sz w:val="22"/>
          <w:szCs w:val="22"/>
        </w:rPr>
        <w:t xml:space="preserve"> látky</w:t>
      </w:r>
      <w:r w:rsidRPr="002C1513">
        <w:rPr>
          <w:sz w:val="22"/>
          <w:szCs w:val="22"/>
        </w:rPr>
        <w:t xml:space="preserve">: výsledky štúdií </w:t>
      </w:r>
      <w:r w:rsidRPr="002C1513">
        <w:rPr>
          <w:i/>
          <w:iCs/>
          <w:sz w:val="22"/>
          <w:szCs w:val="22"/>
        </w:rPr>
        <w:t xml:space="preserve">in </w:t>
      </w:r>
      <w:proofErr w:type="spellStart"/>
      <w:r w:rsidRPr="002C1513">
        <w:rPr>
          <w:i/>
          <w:iCs/>
          <w:sz w:val="22"/>
          <w:szCs w:val="22"/>
        </w:rPr>
        <w:t>vitro</w:t>
      </w:r>
      <w:proofErr w:type="spellEnd"/>
      <w:r w:rsidRPr="002C1513">
        <w:rPr>
          <w:i/>
          <w:iCs/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preukázali, že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neindukuje katalytickú aktivitu </w:t>
      </w:r>
      <w:proofErr w:type="spellStart"/>
      <w:r w:rsidRPr="002C1513">
        <w:rPr>
          <w:sz w:val="22"/>
          <w:szCs w:val="22"/>
        </w:rPr>
        <w:t>izoenzýmov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CYP3A</w:t>
      </w:r>
      <w:proofErr w:type="spellEnd"/>
      <w:r w:rsidRPr="002C1513">
        <w:rPr>
          <w:sz w:val="22"/>
          <w:szCs w:val="22"/>
        </w:rPr>
        <w:t xml:space="preserve">. Špecifické </w:t>
      </w:r>
      <w:r w:rsidRPr="002C1513">
        <w:rPr>
          <w:i/>
          <w:iCs/>
          <w:sz w:val="22"/>
          <w:szCs w:val="22"/>
        </w:rPr>
        <w:t xml:space="preserve">in </w:t>
      </w:r>
      <w:proofErr w:type="spellStart"/>
      <w:r w:rsidRPr="002C1513">
        <w:rPr>
          <w:i/>
          <w:iCs/>
          <w:sz w:val="22"/>
          <w:szCs w:val="22"/>
        </w:rPr>
        <w:t>vivo</w:t>
      </w:r>
      <w:proofErr w:type="spellEnd"/>
      <w:r w:rsidRPr="002C1513">
        <w:rPr>
          <w:i/>
          <w:iCs/>
          <w:sz w:val="22"/>
          <w:szCs w:val="22"/>
        </w:rPr>
        <w:t xml:space="preserve"> </w:t>
      </w:r>
      <w:r w:rsidRPr="002C1513">
        <w:rPr>
          <w:sz w:val="22"/>
          <w:szCs w:val="22"/>
        </w:rPr>
        <w:t>liekové interakčné štúdie</w:t>
      </w:r>
      <w:r w:rsidR="00B145E9" w:rsidRPr="002C1513">
        <w:rPr>
          <w:sz w:val="22"/>
          <w:szCs w:val="22"/>
        </w:rPr>
        <w:t xml:space="preserve"> neboli vykonané</w:t>
      </w:r>
      <w:r w:rsidRPr="002C1513">
        <w:rPr>
          <w:sz w:val="22"/>
          <w:szCs w:val="22"/>
        </w:rPr>
        <w:t xml:space="preserve">. </w:t>
      </w:r>
    </w:p>
    <w:p w14:paraId="7A3D35FA" w14:textId="77777777" w:rsidR="00B145E9" w:rsidRPr="002C1513" w:rsidRDefault="00B145E9" w:rsidP="002605CE">
      <w:pPr>
        <w:pStyle w:val="Default"/>
        <w:rPr>
          <w:sz w:val="22"/>
          <w:szCs w:val="22"/>
        </w:rPr>
      </w:pPr>
    </w:p>
    <w:p w14:paraId="194CBE18" w14:textId="77777777" w:rsidR="002605CE" w:rsidRPr="002C1513" w:rsidRDefault="002605CE" w:rsidP="002605CE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proofErr w:type="spellStart"/>
      <w:r w:rsidRPr="002C1513">
        <w:rPr>
          <w:i/>
          <w:iCs/>
          <w:szCs w:val="22"/>
        </w:rPr>
        <w:t>Antikoagulanciá</w:t>
      </w:r>
      <w:proofErr w:type="spellEnd"/>
      <w:r w:rsidRPr="002C1513">
        <w:rPr>
          <w:i/>
          <w:iCs/>
          <w:szCs w:val="22"/>
        </w:rPr>
        <w:t xml:space="preserve"> a </w:t>
      </w:r>
      <w:proofErr w:type="spellStart"/>
      <w:r w:rsidRPr="002C1513">
        <w:rPr>
          <w:i/>
          <w:iCs/>
          <w:szCs w:val="22"/>
        </w:rPr>
        <w:t>antiagreganciá</w:t>
      </w:r>
      <w:proofErr w:type="spellEnd"/>
      <w:r w:rsidRPr="002C1513">
        <w:rPr>
          <w:i/>
          <w:iCs/>
          <w:szCs w:val="22"/>
        </w:rPr>
        <w:t xml:space="preserve">: </w:t>
      </w:r>
      <w:r w:rsidRPr="002C1513">
        <w:rPr>
          <w:szCs w:val="22"/>
        </w:rPr>
        <w:t xml:space="preserve">Opatrnosť je potrebná, keď sa </w:t>
      </w:r>
      <w:proofErr w:type="spellStart"/>
      <w:r w:rsidRPr="002C1513">
        <w:rPr>
          <w:szCs w:val="22"/>
        </w:rPr>
        <w:t>duloxetín</w:t>
      </w:r>
      <w:proofErr w:type="spellEnd"/>
      <w:r w:rsidRPr="002C1513">
        <w:rPr>
          <w:szCs w:val="22"/>
        </w:rPr>
        <w:t xml:space="preserve"> kombinuje s perorálnymi </w:t>
      </w:r>
      <w:proofErr w:type="spellStart"/>
      <w:r w:rsidRPr="002C1513">
        <w:rPr>
          <w:szCs w:val="22"/>
        </w:rPr>
        <w:t>antikoagulanciami</w:t>
      </w:r>
      <w:proofErr w:type="spellEnd"/>
      <w:r w:rsidRPr="002C1513">
        <w:rPr>
          <w:szCs w:val="22"/>
        </w:rPr>
        <w:t xml:space="preserve"> alebo </w:t>
      </w:r>
      <w:proofErr w:type="spellStart"/>
      <w:r w:rsidRPr="002C1513">
        <w:rPr>
          <w:szCs w:val="22"/>
        </w:rPr>
        <w:t>antiagreganciami</w:t>
      </w:r>
      <w:proofErr w:type="spellEnd"/>
      <w:r w:rsidRPr="002C1513">
        <w:rPr>
          <w:szCs w:val="22"/>
        </w:rPr>
        <w:t xml:space="preserve"> kvôli možnému zvýšeniu rizika krvácania, ktoré sa pripisuje </w:t>
      </w:r>
      <w:proofErr w:type="spellStart"/>
      <w:r w:rsidRPr="002C1513">
        <w:rPr>
          <w:szCs w:val="22"/>
        </w:rPr>
        <w:t>farmakodynamickej</w:t>
      </w:r>
      <w:proofErr w:type="spellEnd"/>
      <w:r w:rsidRPr="002C1513">
        <w:rPr>
          <w:szCs w:val="22"/>
        </w:rPr>
        <w:t xml:space="preserve"> interakcii. Okrem toho sa zaznamenali zvýšené hodnoty </w:t>
      </w:r>
      <w:proofErr w:type="spellStart"/>
      <w:r w:rsidRPr="002C1513">
        <w:rPr>
          <w:szCs w:val="22"/>
        </w:rPr>
        <w:t>INR</w:t>
      </w:r>
      <w:proofErr w:type="spellEnd"/>
      <w:r w:rsidRPr="002C1513">
        <w:rPr>
          <w:szCs w:val="22"/>
        </w:rPr>
        <w:t xml:space="preserve"> u pacientov lieče</w:t>
      </w:r>
      <w:r w:rsidR="00B145E9" w:rsidRPr="002C1513">
        <w:rPr>
          <w:szCs w:val="22"/>
        </w:rPr>
        <w:t xml:space="preserve">ných </w:t>
      </w:r>
      <w:proofErr w:type="spellStart"/>
      <w:r w:rsidR="00B145E9" w:rsidRPr="002C1513">
        <w:rPr>
          <w:szCs w:val="22"/>
        </w:rPr>
        <w:t>warfarínom</w:t>
      </w:r>
      <w:proofErr w:type="spellEnd"/>
      <w:r w:rsidR="00B145E9" w:rsidRPr="002C1513">
        <w:rPr>
          <w:szCs w:val="22"/>
        </w:rPr>
        <w:t>, ktorým sa súbež</w:t>
      </w:r>
      <w:r w:rsidRPr="002C1513">
        <w:rPr>
          <w:szCs w:val="22"/>
        </w:rPr>
        <w:t xml:space="preserve">ne podával </w:t>
      </w:r>
      <w:proofErr w:type="spellStart"/>
      <w:r w:rsidRPr="002C1513">
        <w:rPr>
          <w:szCs w:val="22"/>
        </w:rPr>
        <w:t>dul</w:t>
      </w:r>
      <w:r w:rsidR="00B145E9" w:rsidRPr="002C1513">
        <w:rPr>
          <w:szCs w:val="22"/>
        </w:rPr>
        <w:t>oxetín</w:t>
      </w:r>
      <w:proofErr w:type="spellEnd"/>
      <w:r w:rsidR="00B145E9" w:rsidRPr="002C1513">
        <w:rPr>
          <w:szCs w:val="22"/>
        </w:rPr>
        <w:t>. Avšak súbež</w:t>
      </w:r>
      <w:r w:rsidRPr="002C1513">
        <w:rPr>
          <w:szCs w:val="22"/>
        </w:rPr>
        <w:t xml:space="preserve">né podávanie </w:t>
      </w:r>
      <w:proofErr w:type="spellStart"/>
      <w:r w:rsidRPr="002C1513">
        <w:rPr>
          <w:szCs w:val="22"/>
        </w:rPr>
        <w:t>duloxetínu</w:t>
      </w:r>
      <w:proofErr w:type="spellEnd"/>
      <w:r w:rsidRPr="002C1513">
        <w:rPr>
          <w:szCs w:val="22"/>
        </w:rPr>
        <w:t xml:space="preserve"> s </w:t>
      </w:r>
      <w:proofErr w:type="spellStart"/>
      <w:r w:rsidRPr="002C1513">
        <w:rPr>
          <w:szCs w:val="22"/>
        </w:rPr>
        <w:t>warfarínom</w:t>
      </w:r>
      <w:proofErr w:type="spellEnd"/>
      <w:r w:rsidRPr="002C1513">
        <w:rPr>
          <w:szCs w:val="22"/>
        </w:rPr>
        <w:t xml:space="preserve"> zdravým dobrovoľníkom </w:t>
      </w:r>
      <w:r w:rsidR="00414FCB">
        <w:rPr>
          <w:szCs w:val="22"/>
        </w:rPr>
        <w:t>(za ustálených podmienok)</w:t>
      </w:r>
      <w:r w:rsidRPr="002C1513">
        <w:rPr>
          <w:szCs w:val="22"/>
        </w:rPr>
        <w:t xml:space="preserve"> v rámci farmakologického klinického skúšania nemalo za následok klinicky významné zmeny </w:t>
      </w:r>
      <w:proofErr w:type="spellStart"/>
      <w:r w:rsidRPr="002C1513">
        <w:rPr>
          <w:szCs w:val="22"/>
        </w:rPr>
        <w:t>INR</w:t>
      </w:r>
      <w:proofErr w:type="spellEnd"/>
      <w:r w:rsidRPr="002C1513">
        <w:rPr>
          <w:szCs w:val="22"/>
        </w:rPr>
        <w:t xml:space="preserve"> oproti počiatočným hodnotám ani zmeny </w:t>
      </w:r>
      <w:proofErr w:type="spellStart"/>
      <w:r w:rsidRPr="002C1513">
        <w:rPr>
          <w:szCs w:val="22"/>
        </w:rPr>
        <w:t>farmakokinetiky</w:t>
      </w:r>
      <w:proofErr w:type="spellEnd"/>
      <w:r w:rsidRPr="002C1513">
        <w:rPr>
          <w:szCs w:val="22"/>
        </w:rPr>
        <w:t xml:space="preserve"> R- alebo S- </w:t>
      </w:r>
      <w:proofErr w:type="spellStart"/>
      <w:r w:rsidRPr="002C1513">
        <w:rPr>
          <w:szCs w:val="22"/>
        </w:rPr>
        <w:t>warfarínu</w:t>
      </w:r>
      <w:proofErr w:type="spellEnd"/>
      <w:r w:rsidRPr="002C1513">
        <w:rPr>
          <w:szCs w:val="22"/>
        </w:rPr>
        <w:t>.</w:t>
      </w:r>
    </w:p>
    <w:p w14:paraId="30256561" w14:textId="77777777" w:rsidR="0017551D" w:rsidRPr="002C1513" w:rsidRDefault="0017551D" w:rsidP="00527DED">
      <w:pPr>
        <w:rPr>
          <w:b/>
          <w:szCs w:val="22"/>
        </w:rPr>
      </w:pPr>
    </w:p>
    <w:p w14:paraId="25AEF8BB" w14:textId="77777777" w:rsidR="00D53997" w:rsidRPr="002C1513" w:rsidRDefault="00D53997" w:rsidP="00D53997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Účinok iných liekov na </w:t>
      </w:r>
      <w:proofErr w:type="spellStart"/>
      <w:r w:rsidRPr="002C1513">
        <w:rPr>
          <w:i/>
          <w:iCs/>
          <w:sz w:val="22"/>
          <w:szCs w:val="22"/>
        </w:rPr>
        <w:t>duloxetín</w:t>
      </w:r>
      <w:proofErr w:type="spellEnd"/>
      <w:r w:rsidRPr="002C1513">
        <w:rPr>
          <w:i/>
          <w:iCs/>
          <w:sz w:val="22"/>
          <w:szCs w:val="22"/>
        </w:rPr>
        <w:t xml:space="preserve"> </w:t>
      </w:r>
    </w:p>
    <w:p w14:paraId="4488E424" w14:textId="77777777" w:rsidR="00D53997" w:rsidRPr="002C1513" w:rsidRDefault="00D53997" w:rsidP="00D53997">
      <w:pPr>
        <w:pStyle w:val="Default"/>
        <w:rPr>
          <w:sz w:val="22"/>
          <w:szCs w:val="22"/>
        </w:rPr>
      </w:pPr>
      <w:proofErr w:type="spellStart"/>
      <w:r w:rsidRPr="002C1513">
        <w:rPr>
          <w:i/>
          <w:iCs/>
          <w:sz w:val="22"/>
          <w:szCs w:val="22"/>
        </w:rPr>
        <w:t>Antacidá</w:t>
      </w:r>
      <w:proofErr w:type="spellEnd"/>
      <w:r w:rsidRPr="002C1513">
        <w:rPr>
          <w:i/>
          <w:iCs/>
          <w:sz w:val="22"/>
          <w:szCs w:val="22"/>
        </w:rPr>
        <w:t xml:space="preserve"> a antagonisti H2 receptorov</w:t>
      </w:r>
      <w:r w:rsidRPr="002C1513">
        <w:rPr>
          <w:sz w:val="22"/>
          <w:szCs w:val="22"/>
        </w:rPr>
        <w:t xml:space="preserve">: súbežné podávanie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a </w:t>
      </w:r>
      <w:proofErr w:type="spellStart"/>
      <w:r w:rsidRPr="002C1513">
        <w:rPr>
          <w:sz w:val="22"/>
          <w:szCs w:val="22"/>
        </w:rPr>
        <w:t>antacíd</w:t>
      </w:r>
      <w:proofErr w:type="spellEnd"/>
      <w:r w:rsidRPr="002C1513">
        <w:rPr>
          <w:sz w:val="22"/>
          <w:szCs w:val="22"/>
        </w:rPr>
        <w:t xml:space="preserve"> obsahujúcich hliník a horčík alebo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s </w:t>
      </w:r>
      <w:proofErr w:type="spellStart"/>
      <w:r w:rsidRPr="002C1513">
        <w:rPr>
          <w:sz w:val="22"/>
          <w:szCs w:val="22"/>
        </w:rPr>
        <w:t>famotidínom</w:t>
      </w:r>
      <w:proofErr w:type="spellEnd"/>
      <w:r w:rsidRPr="002C1513">
        <w:rPr>
          <w:sz w:val="22"/>
          <w:szCs w:val="22"/>
        </w:rPr>
        <w:t xml:space="preserve"> nijako významne neovplyvnilo rýchlosť či rozsah absorpcie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po podaní dávky 40 mg perorálne. </w:t>
      </w:r>
    </w:p>
    <w:p w14:paraId="52A51A7C" w14:textId="77777777" w:rsidR="00D53997" w:rsidRPr="002C1513" w:rsidRDefault="00D53997" w:rsidP="00D53997">
      <w:pPr>
        <w:ind w:left="0" w:firstLine="0"/>
        <w:rPr>
          <w:i/>
          <w:iCs/>
          <w:szCs w:val="22"/>
        </w:rPr>
      </w:pPr>
    </w:p>
    <w:p w14:paraId="22F5E5FC" w14:textId="77777777" w:rsidR="00D53997" w:rsidRPr="002C1513" w:rsidRDefault="00D53997" w:rsidP="00D53997">
      <w:pPr>
        <w:ind w:left="0" w:firstLine="0"/>
        <w:rPr>
          <w:szCs w:val="22"/>
        </w:rPr>
      </w:pPr>
      <w:r w:rsidRPr="002C1513">
        <w:rPr>
          <w:i/>
          <w:iCs/>
          <w:szCs w:val="22"/>
        </w:rPr>
        <w:t xml:space="preserve">Induktory </w:t>
      </w:r>
      <w:proofErr w:type="spellStart"/>
      <w:r w:rsidRPr="002C1513">
        <w:rPr>
          <w:i/>
          <w:iCs/>
          <w:szCs w:val="22"/>
        </w:rPr>
        <w:t>CYP1A2</w:t>
      </w:r>
      <w:proofErr w:type="spellEnd"/>
      <w:r w:rsidRPr="002C1513">
        <w:rPr>
          <w:i/>
          <w:iCs/>
          <w:szCs w:val="22"/>
        </w:rPr>
        <w:t xml:space="preserve">: </w:t>
      </w:r>
      <w:r w:rsidRPr="002C1513">
        <w:rPr>
          <w:szCs w:val="22"/>
        </w:rPr>
        <w:t xml:space="preserve">populačné </w:t>
      </w:r>
      <w:proofErr w:type="spellStart"/>
      <w:r w:rsidRPr="002C1513">
        <w:rPr>
          <w:szCs w:val="22"/>
        </w:rPr>
        <w:t>farmakokinetické</w:t>
      </w:r>
      <w:proofErr w:type="spellEnd"/>
      <w:r w:rsidRPr="002C1513">
        <w:rPr>
          <w:szCs w:val="22"/>
        </w:rPr>
        <w:t xml:space="preserve"> analýzy preukázali, že fajčiari majú takmer o 50 % nižšie plazmatické koncentrácie </w:t>
      </w:r>
      <w:proofErr w:type="spellStart"/>
      <w:r w:rsidRPr="002C1513">
        <w:rPr>
          <w:szCs w:val="22"/>
        </w:rPr>
        <w:t>duloxetínu</w:t>
      </w:r>
      <w:proofErr w:type="spellEnd"/>
      <w:r w:rsidRPr="002C1513">
        <w:rPr>
          <w:szCs w:val="22"/>
        </w:rPr>
        <w:t xml:space="preserve"> ako nefajčiari.</w:t>
      </w:r>
    </w:p>
    <w:p w14:paraId="4E84AD58" w14:textId="77777777" w:rsidR="00D53997" w:rsidRPr="002C1513" w:rsidRDefault="00D53997" w:rsidP="00D53997">
      <w:pPr>
        <w:rPr>
          <w:b/>
          <w:szCs w:val="22"/>
        </w:rPr>
      </w:pPr>
    </w:p>
    <w:p w14:paraId="52FAD6AB" w14:textId="77777777" w:rsidR="00990F68" w:rsidRPr="002C1513" w:rsidRDefault="00990F68" w:rsidP="00527DED">
      <w:pPr>
        <w:rPr>
          <w:b/>
          <w:szCs w:val="22"/>
        </w:rPr>
      </w:pPr>
      <w:r w:rsidRPr="002C1513">
        <w:rPr>
          <w:b/>
          <w:szCs w:val="22"/>
        </w:rPr>
        <w:t xml:space="preserve">4.6 </w:t>
      </w:r>
      <w:r w:rsidR="00636C42" w:rsidRPr="002C1513">
        <w:rPr>
          <w:b/>
          <w:szCs w:val="22"/>
        </w:rPr>
        <w:tab/>
      </w:r>
      <w:r w:rsidRPr="002C1513">
        <w:rPr>
          <w:b/>
          <w:szCs w:val="22"/>
        </w:rPr>
        <w:t>Fertilita, gravidita a laktácia</w:t>
      </w:r>
    </w:p>
    <w:p w14:paraId="7C0A45D2" w14:textId="77777777" w:rsidR="00CD0D8F" w:rsidRPr="002C1513" w:rsidRDefault="00CD0D8F" w:rsidP="00527DED">
      <w:pPr>
        <w:rPr>
          <w:szCs w:val="22"/>
          <w:u w:val="single"/>
        </w:rPr>
      </w:pPr>
    </w:p>
    <w:p w14:paraId="3125721D" w14:textId="77777777" w:rsidR="00D53997" w:rsidRPr="002C1513" w:rsidRDefault="00D53997" w:rsidP="00D53997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Fertilita </w:t>
      </w:r>
    </w:p>
    <w:p w14:paraId="0497A0E0" w14:textId="77777777" w:rsidR="00D53997" w:rsidRPr="002C1513" w:rsidRDefault="00D53997" w:rsidP="00D53997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nemal vplyv na mužskú </w:t>
      </w:r>
      <w:proofErr w:type="spellStart"/>
      <w:r w:rsidRPr="002C1513">
        <w:rPr>
          <w:sz w:val="22"/>
          <w:szCs w:val="22"/>
        </w:rPr>
        <w:t>fertilitu</w:t>
      </w:r>
      <w:proofErr w:type="spellEnd"/>
      <w:r w:rsidRPr="002C1513">
        <w:rPr>
          <w:sz w:val="22"/>
          <w:szCs w:val="22"/>
        </w:rPr>
        <w:t xml:space="preserve"> a u žien bol vplyv evidentný iba pri dávkach </w:t>
      </w:r>
      <w:r w:rsidR="00414FCB">
        <w:rPr>
          <w:sz w:val="22"/>
          <w:szCs w:val="22"/>
        </w:rPr>
        <w:t>toxických pre matku</w:t>
      </w:r>
      <w:r w:rsidRPr="002C1513">
        <w:rPr>
          <w:sz w:val="22"/>
          <w:szCs w:val="22"/>
        </w:rPr>
        <w:t xml:space="preserve">. </w:t>
      </w:r>
    </w:p>
    <w:p w14:paraId="480358CA" w14:textId="77777777" w:rsidR="00D53997" w:rsidRPr="002C1513" w:rsidRDefault="00D53997" w:rsidP="00D53997">
      <w:pPr>
        <w:pStyle w:val="Default"/>
        <w:rPr>
          <w:i/>
          <w:iCs/>
          <w:sz w:val="22"/>
          <w:szCs w:val="22"/>
        </w:rPr>
      </w:pPr>
    </w:p>
    <w:p w14:paraId="437205B0" w14:textId="77777777" w:rsidR="00D53997" w:rsidRPr="002C1513" w:rsidRDefault="00D53997" w:rsidP="003C2CC8">
      <w:pPr>
        <w:pStyle w:val="Default"/>
        <w:keepNext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lastRenderedPageBreak/>
        <w:t xml:space="preserve">Gravidita </w:t>
      </w:r>
    </w:p>
    <w:p w14:paraId="085115A5" w14:textId="77777777" w:rsidR="00D53997" w:rsidRPr="002C1513" w:rsidRDefault="00D53997" w:rsidP="003C2CC8">
      <w:pPr>
        <w:pStyle w:val="Default"/>
        <w:keepNext/>
        <w:rPr>
          <w:sz w:val="22"/>
          <w:szCs w:val="22"/>
        </w:rPr>
      </w:pPr>
      <w:r w:rsidRPr="002C1513">
        <w:rPr>
          <w:sz w:val="22"/>
          <w:szCs w:val="22"/>
        </w:rPr>
        <w:t xml:space="preserve">Nie sú k dispozícii dostatočné údaje o použití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u gravidných žien. Štúdie na zvieratách preukázali reprodukčnú toxicitu pri hladinách systémovej expozície (</w:t>
      </w:r>
      <w:proofErr w:type="spellStart"/>
      <w:r w:rsidRPr="002C1513">
        <w:rPr>
          <w:sz w:val="22"/>
          <w:szCs w:val="22"/>
        </w:rPr>
        <w:t>AUC</w:t>
      </w:r>
      <w:proofErr w:type="spellEnd"/>
      <w:r w:rsidRPr="002C1513">
        <w:rPr>
          <w:sz w:val="22"/>
          <w:szCs w:val="22"/>
        </w:rPr>
        <w:t xml:space="preserve">)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nižších ako je maximálna klinická expozícia (pozri časť 5.3). </w:t>
      </w:r>
    </w:p>
    <w:p w14:paraId="29B81337" w14:textId="77777777" w:rsidR="00D53997" w:rsidRPr="002C1513" w:rsidRDefault="00D53997" w:rsidP="00D53997">
      <w:pPr>
        <w:pStyle w:val="Default"/>
        <w:rPr>
          <w:sz w:val="22"/>
          <w:szCs w:val="22"/>
        </w:rPr>
      </w:pPr>
    </w:p>
    <w:p w14:paraId="15C5E845" w14:textId="77777777" w:rsidR="00D53997" w:rsidRPr="002C1513" w:rsidRDefault="00D53997" w:rsidP="00D53997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Nie je známe potenciálne riziko u ľudí. </w:t>
      </w:r>
    </w:p>
    <w:p w14:paraId="646C56E3" w14:textId="77777777" w:rsidR="00D53997" w:rsidRPr="002C1513" w:rsidRDefault="00D53997" w:rsidP="00D53997">
      <w:pPr>
        <w:pStyle w:val="Default"/>
        <w:rPr>
          <w:sz w:val="22"/>
          <w:szCs w:val="22"/>
        </w:rPr>
      </w:pPr>
    </w:p>
    <w:p w14:paraId="2B4E28AB" w14:textId="77777777" w:rsidR="00D53997" w:rsidRPr="002C1513" w:rsidRDefault="00D53997" w:rsidP="00D53997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Epidemiologické údaje naznačujú, že používanie SSRI počas gravidity, zvlášť v pokročilom štádiu gravidity, môže zvýšiť riziko </w:t>
      </w:r>
      <w:proofErr w:type="spellStart"/>
      <w:r w:rsidRPr="002C1513">
        <w:rPr>
          <w:sz w:val="22"/>
          <w:szCs w:val="22"/>
        </w:rPr>
        <w:t>perzistentnej</w:t>
      </w:r>
      <w:proofErr w:type="spellEnd"/>
      <w:r w:rsidRPr="002C1513">
        <w:rPr>
          <w:sz w:val="22"/>
          <w:szCs w:val="22"/>
        </w:rPr>
        <w:t xml:space="preserve"> pľúcnej hypertenzie u novorodencov (</w:t>
      </w:r>
      <w:proofErr w:type="spellStart"/>
      <w:r w:rsidRPr="002C1513">
        <w:rPr>
          <w:sz w:val="22"/>
          <w:szCs w:val="22"/>
        </w:rPr>
        <w:t>PPHN</w:t>
      </w:r>
      <w:proofErr w:type="spellEnd"/>
      <w:r w:rsidRPr="002C1513">
        <w:rPr>
          <w:sz w:val="22"/>
          <w:szCs w:val="22"/>
        </w:rPr>
        <w:t xml:space="preserve">). Hoci žiadna štúdia nesledovala súvislosť medzi </w:t>
      </w:r>
      <w:proofErr w:type="spellStart"/>
      <w:r w:rsidRPr="002C1513">
        <w:rPr>
          <w:sz w:val="22"/>
          <w:szCs w:val="22"/>
        </w:rPr>
        <w:t>PPHN</w:t>
      </w:r>
      <w:proofErr w:type="spellEnd"/>
      <w:r w:rsidRPr="002C1513">
        <w:rPr>
          <w:sz w:val="22"/>
          <w:szCs w:val="22"/>
        </w:rPr>
        <w:t xml:space="preserve"> a liečbou </w:t>
      </w:r>
      <w:proofErr w:type="spellStart"/>
      <w:r w:rsidRPr="002C1513">
        <w:rPr>
          <w:sz w:val="22"/>
          <w:szCs w:val="22"/>
        </w:rPr>
        <w:t>SNRI</w:t>
      </w:r>
      <w:proofErr w:type="spellEnd"/>
      <w:r w:rsidRPr="002C1513">
        <w:rPr>
          <w:sz w:val="22"/>
          <w:szCs w:val="22"/>
        </w:rPr>
        <w:t xml:space="preserve">, toto potenciálne riziko sa nedá vylúčiť pri </w:t>
      </w:r>
      <w:proofErr w:type="spellStart"/>
      <w:r w:rsidRPr="002C1513">
        <w:rPr>
          <w:sz w:val="22"/>
          <w:szCs w:val="22"/>
        </w:rPr>
        <w:t>duloxetíne</w:t>
      </w:r>
      <w:proofErr w:type="spellEnd"/>
      <w:r w:rsidRPr="002C1513">
        <w:rPr>
          <w:sz w:val="22"/>
          <w:szCs w:val="22"/>
        </w:rPr>
        <w:t xml:space="preserve">, berúc do úvahy podobný mechanizmus účinku (inhibícia spätného vychytávania </w:t>
      </w:r>
      <w:proofErr w:type="spellStart"/>
      <w:r w:rsidRPr="002C1513">
        <w:rPr>
          <w:sz w:val="22"/>
          <w:szCs w:val="22"/>
        </w:rPr>
        <w:t>sérotonínu</w:t>
      </w:r>
      <w:proofErr w:type="spellEnd"/>
      <w:r w:rsidRPr="002C1513">
        <w:rPr>
          <w:sz w:val="22"/>
          <w:szCs w:val="22"/>
        </w:rPr>
        <w:t xml:space="preserve">). </w:t>
      </w:r>
    </w:p>
    <w:p w14:paraId="707AF8AB" w14:textId="77777777" w:rsidR="00D53997" w:rsidRPr="002C1513" w:rsidRDefault="00D53997" w:rsidP="00D53997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Ako aj u iných </w:t>
      </w:r>
      <w:proofErr w:type="spellStart"/>
      <w:r w:rsidRPr="002C1513">
        <w:rPr>
          <w:sz w:val="22"/>
          <w:szCs w:val="22"/>
        </w:rPr>
        <w:t>sérotonergných</w:t>
      </w:r>
      <w:proofErr w:type="spellEnd"/>
      <w:r w:rsidRPr="002C1513">
        <w:rPr>
          <w:sz w:val="22"/>
          <w:szCs w:val="22"/>
        </w:rPr>
        <w:t xml:space="preserve"> liekov, ak matka užívala krátko pred pôrodom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, u novorodenca sa môžu vyskytnúť príznaky z vysadenia. Symptómy z vysadenia pozorované pri </w:t>
      </w:r>
      <w:proofErr w:type="spellStart"/>
      <w:r w:rsidRPr="002C1513">
        <w:rPr>
          <w:sz w:val="22"/>
          <w:szCs w:val="22"/>
        </w:rPr>
        <w:t>duloxetíne</w:t>
      </w:r>
      <w:proofErr w:type="spellEnd"/>
      <w:r w:rsidRPr="002C1513">
        <w:rPr>
          <w:sz w:val="22"/>
          <w:szCs w:val="22"/>
        </w:rPr>
        <w:t xml:space="preserve"> môžu zahŕňať hypotóniu, tras, nepokoj, problé</w:t>
      </w:r>
      <w:r w:rsidR="00351BE7" w:rsidRPr="002C1513">
        <w:rPr>
          <w:sz w:val="22"/>
          <w:szCs w:val="22"/>
        </w:rPr>
        <w:t>my kŕmením</w:t>
      </w:r>
      <w:r w:rsidRPr="002C1513">
        <w:rPr>
          <w:sz w:val="22"/>
          <w:szCs w:val="22"/>
        </w:rPr>
        <w:t xml:space="preserve">, ťažkosti s dýchaním a kŕče. Väčšina prípadov sa vyskytla buď pri pôrode alebo niekoľko dní po pôrode. </w:t>
      </w:r>
    </w:p>
    <w:p w14:paraId="38A29C14" w14:textId="77777777" w:rsidR="00D53997" w:rsidRPr="002C1513" w:rsidRDefault="00351BE7" w:rsidP="00D53997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="00D53997" w:rsidRPr="002C1513">
        <w:rPr>
          <w:sz w:val="22"/>
          <w:szCs w:val="22"/>
        </w:rPr>
        <w:t xml:space="preserve"> sa má užívať v priebehu gravidity len vtedy, ak jej potenciálny prínos prevýši možné riziko pre plod. Ženy, ktoré otehotnejú</w:t>
      </w:r>
      <w:r w:rsidRPr="002C1513">
        <w:rPr>
          <w:sz w:val="22"/>
          <w:szCs w:val="22"/>
        </w:rPr>
        <w:t xml:space="preserve"> alebo plánujú</w:t>
      </w:r>
      <w:r w:rsidR="00D53997" w:rsidRPr="002C1513">
        <w:rPr>
          <w:sz w:val="22"/>
          <w:szCs w:val="22"/>
        </w:rPr>
        <w:t xml:space="preserve"> otehotnieť v priebehu liečby, je potrebné informovať, aby na to upozornili svojho lekára. </w:t>
      </w:r>
    </w:p>
    <w:p w14:paraId="514A6ABB" w14:textId="77777777" w:rsidR="00D53997" w:rsidRPr="002C1513" w:rsidRDefault="00D53997" w:rsidP="00D53997">
      <w:pPr>
        <w:pStyle w:val="Default"/>
        <w:rPr>
          <w:i/>
          <w:iCs/>
          <w:sz w:val="22"/>
          <w:szCs w:val="22"/>
        </w:rPr>
      </w:pPr>
    </w:p>
    <w:p w14:paraId="2EED5C01" w14:textId="77777777" w:rsidR="00D53997" w:rsidRPr="002C1513" w:rsidRDefault="00D53997" w:rsidP="00D53997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Dojčenie </w:t>
      </w:r>
    </w:p>
    <w:p w14:paraId="62EF648F" w14:textId="77777777" w:rsidR="002648DE" w:rsidRPr="002C1513" w:rsidRDefault="00D53997" w:rsidP="00D53997">
      <w:pPr>
        <w:tabs>
          <w:tab w:val="left" w:pos="0"/>
        </w:tabs>
        <w:ind w:left="0" w:firstLine="0"/>
        <w:rPr>
          <w:szCs w:val="22"/>
        </w:rPr>
      </w:pPr>
      <w:proofErr w:type="spellStart"/>
      <w:r w:rsidRPr="002C1513">
        <w:rPr>
          <w:szCs w:val="22"/>
        </w:rPr>
        <w:t>Duloxetín</w:t>
      </w:r>
      <w:proofErr w:type="spellEnd"/>
      <w:r w:rsidRPr="002C1513">
        <w:rPr>
          <w:szCs w:val="22"/>
        </w:rPr>
        <w:t xml:space="preserve"> je veľmi málo vylučovaný do </w:t>
      </w:r>
      <w:r w:rsidR="00351BE7" w:rsidRPr="002C1513">
        <w:rPr>
          <w:szCs w:val="22"/>
        </w:rPr>
        <w:t xml:space="preserve">ľudského </w:t>
      </w:r>
      <w:r w:rsidRPr="002C1513">
        <w:rPr>
          <w:szCs w:val="22"/>
        </w:rPr>
        <w:t xml:space="preserve">materského mlieka vychádzajúc zo štúdie so 6 </w:t>
      </w:r>
      <w:proofErr w:type="spellStart"/>
      <w:r w:rsidR="00414FCB">
        <w:rPr>
          <w:szCs w:val="22"/>
        </w:rPr>
        <w:t>laktujúcimi</w:t>
      </w:r>
      <w:proofErr w:type="spellEnd"/>
      <w:r w:rsidR="00414FCB" w:rsidRPr="002C1513">
        <w:rPr>
          <w:szCs w:val="22"/>
        </w:rPr>
        <w:t xml:space="preserve"> </w:t>
      </w:r>
      <w:r w:rsidRPr="002C1513">
        <w:rPr>
          <w:szCs w:val="22"/>
        </w:rPr>
        <w:t>ženami, ktoré nedojčili svoje deti. Odhadovaná denná dávka u dojčaťa v mg/kg je približne 0,14</w:t>
      </w:r>
      <w:r w:rsidR="00351BE7" w:rsidRPr="002C1513">
        <w:rPr>
          <w:szCs w:val="22"/>
        </w:rPr>
        <w:t xml:space="preserve"> </w:t>
      </w:r>
      <w:r w:rsidRPr="002C1513">
        <w:rPr>
          <w:szCs w:val="22"/>
        </w:rPr>
        <w:t xml:space="preserve">% dávky podanej matke (pozri časť 5.2). Keďže nie je známa bezpečnosť podávania </w:t>
      </w:r>
      <w:proofErr w:type="spellStart"/>
      <w:r w:rsidRPr="002C1513">
        <w:rPr>
          <w:szCs w:val="22"/>
        </w:rPr>
        <w:t>duloxetínu</w:t>
      </w:r>
      <w:proofErr w:type="spellEnd"/>
      <w:r w:rsidRPr="002C1513">
        <w:rPr>
          <w:szCs w:val="22"/>
        </w:rPr>
        <w:t xml:space="preserve"> u dojčiat, uží</w:t>
      </w:r>
      <w:r w:rsidR="00351BE7" w:rsidRPr="002C1513">
        <w:rPr>
          <w:szCs w:val="22"/>
        </w:rPr>
        <w:t xml:space="preserve">vanie </w:t>
      </w:r>
      <w:proofErr w:type="spellStart"/>
      <w:r w:rsidR="00351BE7" w:rsidRPr="002C1513">
        <w:rPr>
          <w:szCs w:val="22"/>
        </w:rPr>
        <w:t>Duloxetinu</w:t>
      </w:r>
      <w:proofErr w:type="spellEnd"/>
      <w:r w:rsidR="00351BE7" w:rsidRPr="002C1513">
        <w:rPr>
          <w:szCs w:val="22"/>
        </w:rPr>
        <w:t xml:space="preserve"> Sandoz</w:t>
      </w:r>
      <w:r w:rsidRPr="002C1513">
        <w:rPr>
          <w:szCs w:val="22"/>
        </w:rPr>
        <w:t xml:space="preserve"> sa počas dojčenia neodporúča.</w:t>
      </w:r>
    </w:p>
    <w:p w14:paraId="14F1A5C2" w14:textId="77777777" w:rsidR="00D53997" w:rsidRPr="002C1513" w:rsidRDefault="00D53997" w:rsidP="00D53997">
      <w:pPr>
        <w:tabs>
          <w:tab w:val="left" w:pos="0"/>
        </w:tabs>
        <w:ind w:left="0" w:firstLine="0"/>
        <w:rPr>
          <w:szCs w:val="22"/>
        </w:rPr>
      </w:pPr>
    </w:p>
    <w:p w14:paraId="1570B4DB" w14:textId="77777777" w:rsidR="00990F68" w:rsidRPr="002C1513" w:rsidRDefault="00990F68" w:rsidP="00527DED">
      <w:pPr>
        <w:rPr>
          <w:b/>
          <w:szCs w:val="22"/>
        </w:rPr>
      </w:pPr>
      <w:r w:rsidRPr="002C1513">
        <w:rPr>
          <w:b/>
          <w:szCs w:val="22"/>
        </w:rPr>
        <w:t xml:space="preserve">4.7 </w:t>
      </w:r>
      <w:r w:rsidR="00636C42" w:rsidRPr="002C1513">
        <w:rPr>
          <w:b/>
          <w:szCs w:val="22"/>
        </w:rPr>
        <w:tab/>
      </w:r>
      <w:r w:rsidRPr="002C1513">
        <w:rPr>
          <w:b/>
          <w:szCs w:val="22"/>
        </w:rPr>
        <w:t>Ovplyvnenie schopnosti viesť vozidlá a obsluhovať stroje</w:t>
      </w:r>
    </w:p>
    <w:p w14:paraId="1FD703F0" w14:textId="77777777" w:rsidR="0099633E" w:rsidRPr="003C2CC8" w:rsidRDefault="0099633E" w:rsidP="00527DED">
      <w:pPr>
        <w:rPr>
          <w:szCs w:val="22"/>
        </w:rPr>
      </w:pPr>
    </w:p>
    <w:p w14:paraId="16BEC184" w14:textId="77777777" w:rsidR="00D53997" w:rsidRPr="002C1513" w:rsidRDefault="00D53997" w:rsidP="00D53997">
      <w:pPr>
        <w:ind w:left="0" w:firstLine="0"/>
        <w:rPr>
          <w:b/>
          <w:szCs w:val="22"/>
        </w:rPr>
      </w:pPr>
      <w:r w:rsidRPr="002C1513">
        <w:rPr>
          <w:szCs w:val="22"/>
        </w:rPr>
        <w:t>Neuskutočnili sa žiadne štúdie o účinkoch na schopnosť viesť vozidlá a obsluhovať</w:t>
      </w:r>
      <w:r w:rsidR="00351BE7" w:rsidRPr="002C1513">
        <w:rPr>
          <w:szCs w:val="22"/>
        </w:rPr>
        <w:t xml:space="preserve"> stroje. </w:t>
      </w:r>
      <w:proofErr w:type="spellStart"/>
      <w:r w:rsidR="00351BE7" w:rsidRPr="002C1513">
        <w:rPr>
          <w:szCs w:val="22"/>
        </w:rPr>
        <w:t>Duloxetín</w:t>
      </w:r>
      <w:proofErr w:type="spellEnd"/>
      <w:r w:rsidR="00351BE7" w:rsidRPr="002C1513">
        <w:rPr>
          <w:szCs w:val="22"/>
        </w:rPr>
        <w:t xml:space="preserve"> </w:t>
      </w:r>
      <w:r w:rsidRPr="002C1513">
        <w:rPr>
          <w:szCs w:val="22"/>
        </w:rPr>
        <w:t xml:space="preserve">môže súvisieť s útlmom </w:t>
      </w:r>
      <w:r w:rsidR="00351BE7" w:rsidRPr="002C1513">
        <w:rPr>
          <w:szCs w:val="22"/>
        </w:rPr>
        <w:t>a závratom. Pacienti majú byť poučení</w:t>
      </w:r>
      <w:r w:rsidRPr="002C1513">
        <w:rPr>
          <w:szCs w:val="22"/>
        </w:rPr>
        <w:t>, že v prípade, ak sa u nich objaví útlm alebo závrat, majú sa vyvarovať potenciálne nebezpeč</w:t>
      </w:r>
      <w:r w:rsidR="00351BE7" w:rsidRPr="002C1513">
        <w:rPr>
          <w:szCs w:val="22"/>
        </w:rPr>
        <w:t>ných činností</w:t>
      </w:r>
      <w:r w:rsidRPr="002C1513">
        <w:rPr>
          <w:szCs w:val="22"/>
        </w:rPr>
        <w:t>, akými sú vedenie vozidiel alebo obsluha strojov.</w:t>
      </w:r>
    </w:p>
    <w:p w14:paraId="2F12A8B1" w14:textId="77777777" w:rsidR="00D53997" w:rsidRPr="003C2CC8" w:rsidRDefault="00D53997" w:rsidP="00527DED">
      <w:pPr>
        <w:rPr>
          <w:szCs w:val="22"/>
        </w:rPr>
      </w:pPr>
    </w:p>
    <w:p w14:paraId="79DE4991" w14:textId="77777777" w:rsidR="00990F68" w:rsidRPr="002C1513" w:rsidRDefault="00990F68" w:rsidP="00527DED">
      <w:pPr>
        <w:rPr>
          <w:b/>
          <w:szCs w:val="22"/>
        </w:rPr>
      </w:pPr>
      <w:r w:rsidRPr="002C1513">
        <w:rPr>
          <w:b/>
          <w:szCs w:val="22"/>
        </w:rPr>
        <w:t xml:space="preserve">4.8 </w:t>
      </w:r>
      <w:r w:rsidR="00636C42" w:rsidRPr="002C1513">
        <w:rPr>
          <w:b/>
          <w:szCs w:val="22"/>
        </w:rPr>
        <w:tab/>
      </w:r>
      <w:r w:rsidRPr="002C1513">
        <w:rPr>
          <w:b/>
          <w:szCs w:val="22"/>
        </w:rPr>
        <w:t xml:space="preserve">Nežiaduce účinky </w:t>
      </w:r>
    </w:p>
    <w:p w14:paraId="5FB93383" w14:textId="77777777" w:rsidR="00C466F2" w:rsidRPr="002C1513" w:rsidRDefault="00C466F2" w:rsidP="00C466F2">
      <w:pPr>
        <w:pStyle w:val="Default"/>
        <w:rPr>
          <w:i/>
          <w:iCs/>
          <w:sz w:val="22"/>
          <w:szCs w:val="22"/>
        </w:rPr>
      </w:pPr>
    </w:p>
    <w:p w14:paraId="5EFA21E6" w14:textId="77777777" w:rsidR="00C466F2" w:rsidRPr="002C1513" w:rsidRDefault="00C466F2" w:rsidP="00C466F2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a. Zhrnutie bezpečnostného profilu </w:t>
      </w:r>
    </w:p>
    <w:p w14:paraId="3CF35151" w14:textId="77777777" w:rsidR="00C531CB" w:rsidRPr="002C1513" w:rsidRDefault="00C466F2" w:rsidP="00C466F2">
      <w:pPr>
        <w:tabs>
          <w:tab w:val="left" w:pos="567"/>
        </w:tabs>
        <w:spacing w:line="260" w:lineRule="exact"/>
        <w:ind w:left="0" w:firstLine="0"/>
        <w:rPr>
          <w:szCs w:val="22"/>
          <w:u w:val="single"/>
        </w:rPr>
      </w:pPr>
      <w:r w:rsidRPr="002C1513">
        <w:rPr>
          <w:szCs w:val="22"/>
        </w:rPr>
        <w:t xml:space="preserve">Najčastejšie hlásené nežiaduce reakcie u pacientov liečených </w:t>
      </w:r>
      <w:proofErr w:type="spellStart"/>
      <w:r w:rsidRPr="002C1513">
        <w:rPr>
          <w:szCs w:val="22"/>
        </w:rPr>
        <w:t>duloxetínom</w:t>
      </w:r>
      <w:proofErr w:type="spellEnd"/>
      <w:r w:rsidRPr="002C1513">
        <w:rPr>
          <w:szCs w:val="22"/>
        </w:rPr>
        <w:t xml:space="preserve"> boli </w:t>
      </w:r>
      <w:proofErr w:type="spellStart"/>
      <w:r w:rsidRPr="002C1513">
        <w:rPr>
          <w:szCs w:val="22"/>
        </w:rPr>
        <w:t>nauzea</w:t>
      </w:r>
      <w:proofErr w:type="spellEnd"/>
      <w:r w:rsidRPr="002C1513">
        <w:rPr>
          <w:szCs w:val="22"/>
        </w:rPr>
        <w:t xml:space="preserve">, bolesť hlavy, sucho v ústach, </w:t>
      </w:r>
      <w:proofErr w:type="spellStart"/>
      <w:r w:rsidRPr="002C1513">
        <w:rPr>
          <w:szCs w:val="22"/>
        </w:rPr>
        <w:t>somnolencia</w:t>
      </w:r>
      <w:proofErr w:type="spellEnd"/>
      <w:r w:rsidRPr="002C1513">
        <w:rPr>
          <w:szCs w:val="22"/>
        </w:rPr>
        <w:t xml:space="preserve"> a závrat. Väčšinou však boli tieto časté nežiaduce reakcie len mierne či stredne závažné, objavili sa krátko po začiatku terapie a väčšinou mali tendenciu odznieť, aj keď liečba pokračovala.</w:t>
      </w:r>
    </w:p>
    <w:p w14:paraId="5D836551" w14:textId="77777777" w:rsidR="00C466F2" w:rsidRPr="002C1513" w:rsidRDefault="00C466F2" w:rsidP="00C466F2">
      <w:pPr>
        <w:pStyle w:val="Default"/>
        <w:rPr>
          <w:i/>
          <w:iCs/>
          <w:sz w:val="22"/>
          <w:szCs w:val="22"/>
        </w:rPr>
      </w:pPr>
    </w:p>
    <w:p w14:paraId="14D2CCEA" w14:textId="77777777" w:rsidR="00C466F2" w:rsidRPr="002C1513" w:rsidRDefault="00C466F2" w:rsidP="00C466F2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>b. Tabuľkové zhrnutie nežiaducich reakcií</w:t>
      </w:r>
    </w:p>
    <w:p w14:paraId="760BE37A" w14:textId="77777777" w:rsidR="00C466F2" w:rsidRPr="002C1513" w:rsidRDefault="00C466F2" w:rsidP="00C466F2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Tabuľka 1 uvádza výskyt nežiaducich reakcií zaznamenaný zo spontánnych hlásení a v placebom kontrolovaných klinických štúdiách. </w:t>
      </w:r>
    </w:p>
    <w:p w14:paraId="4122C18C" w14:textId="77777777" w:rsidR="00C466F2" w:rsidRPr="002C1513" w:rsidRDefault="00C466F2" w:rsidP="00C466F2">
      <w:pPr>
        <w:pStyle w:val="Default"/>
        <w:rPr>
          <w:i/>
          <w:iCs/>
          <w:sz w:val="22"/>
          <w:szCs w:val="22"/>
        </w:rPr>
      </w:pPr>
    </w:p>
    <w:p w14:paraId="6D67E602" w14:textId="77777777" w:rsidR="00C466F2" w:rsidRPr="002C1513" w:rsidRDefault="00C466F2" w:rsidP="00C466F2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Tabuľka 1: Nežiaduce reakcie </w:t>
      </w:r>
    </w:p>
    <w:p w14:paraId="45EFC5E0" w14:textId="77777777" w:rsidR="00C466F2" w:rsidRPr="002C1513" w:rsidRDefault="00C466F2" w:rsidP="00C466F2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Frekvencia je definovaná nasledovne: veľmi časté (≥1/10), časté (≥1/100 až &lt;1/10), menej časté </w:t>
      </w:r>
    </w:p>
    <w:p w14:paraId="1A86F2A0" w14:textId="77777777" w:rsidR="00C466F2" w:rsidRPr="002C1513" w:rsidRDefault="00C466F2" w:rsidP="00C466F2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(≥1/1 000 až &lt;1/100), zriedkavé (≥ 1/10 000 až &lt; 1/1 000), veľmi zriedkavé (&lt;1/10 000). </w:t>
      </w:r>
    </w:p>
    <w:p w14:paraId="4616AC35" w14:textId="77777777" w:rsidR="00C466F2" w:rsidRPr="002C1513" w:rsidRDefault="00C466F2" w:rsidP="00C466F2">
      <w:pPr>
        <w:tabs>
          <w:tab w:val="left" w:pos="567"/>
        </w:tabs>
        <w:spacing w:line="260" w:lineRule="exact"/>
        <w:ind w:left="0" w:firstLine="0"/>
        <w:rPr>
          <w:szCs w:val="22"/>
        </w:rPr>
      </w:pPr>
    </w:p>
    <w:p w14:paraId="6ED93D0D" w14:textId="77777777" w:rsidR="00C466F2" w:rsidRPr="002C1513" w:rsidRDefault="00C466F2" w:rsidP="00C466F2">
      <w:pPr>
        <w:tabs>
          <w:tab w:val="left" w:pos="567"/>
        </w:tabs>
        <w:spacing w:line="260" w:lineRule="exact"/>
        <w:ind w:left="0" w:firstLine="0"/>
        <w:rPr>
          <w:szCs w:val="22"/>
          <w:u w:val="single"/>
        </w:rPr>
      </w:pPr>
      <w:r w:rsidRPr="002C1513">
        <w:rPr>
          <w:szCs w:val="22"/>
        </w:rPr>
        <w:t>V rámci jednotlivých skupín frekvencií sú nežiaduce účinky usporiadané v poradí klesajúcej závažnosti.</w:t>
      </w:r>
    </w:p>
    <w:p w14:paraId="1F0806B9" w14:textId="77777777" w:rsidR="00684ACF" w:rsidRPr="002C1513" w:rsidRDefault="00684ACF" w:rsidP="00527DED">
      <w:pPr>
        <w:tabs>
          <w:tab w:val="left" w:pos="567"/>
        </w:tabs>
        <w:spacing w:line="260" w:lineRule="exact"/>
        <w:ind w:left="0" w:firstLine="0"/>
        <w:rPr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36"/>
        <w:gridCol w:w="1903"/>
        <w:gridCol w:w="1988"/>
        <w:gridCol w:w="1708"/>
      </w:tblGrid>
      <w:tr w:rsidR="00B7408C" w:rsidRPr="002C1513" w14:paraId="187EE6AE" w14:textId="77777777" w:rsidTr="00F53BEA">
        <w:tc>
          <w:tcPr>
            <w:tcW w:w="2026" w:type="dxa"/>
            <w:shd w:val="clear" w:color="auto" w:fill="auto"/>
          </w:tcPr>
          <w:p w14:paraId="11F6A95F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b/>
                <w:bCs/>
                <w:szCs w:val="22"/>
              </w:rPr>
              <w:t>Veľmi časté</w:t>
            </w:r>
          </w:p>
        </w:tc>
        <w:tc>
          <w:tcPr>
            <w:tcW w:w="1769" w:type="dxa"/>
            <w:shd w:val="clear" w:color="auto" w:fill="auto"/>
          </w:tcPr>
          <w:p w14:paraId="3ECC63E6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b/>
                <w:bCs/>
                <w:szCs w:val="22"/>
              </w:rPr>
              <w:t>Časté</w:t>
            </w:r>
          </w:p>
        </w:tc>
        <w:tc>
          <w:tcPr>
            <w:tcW w:w="1903" w:type="dxa"/>
            <w:shd w:val="clear" w:color="auto" w:fill="auto"/>
          </w:tcPr>
          <w:p w14:paraId="422145D9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b/>
                <w:bCs/>
                <w:szCs w:val="22"/>
              </w:rPr>
              <w:t>Menej časté</w:t>
            </w:r>
          </w:p>
        </w:tc>
        <w:tc>
          <w:tcPr>
            <w:tcW w:w="1841" w:type="dxa"/>
            <w:shd w:val="clear" w:color="auto" w:fill="auto"/>
          </w:tcPr>
          <w:p w14:paraId="118160C3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b/>
                <w:bCs/>
                <w:szCs w:val="22"/>
              </w:rPr>
              <w:t>Zriedkavé</w:t>
            </w:r>
          </w:p>
        </w:tc>
        <w:tc>
          <w:tcPr>
            <w:tcW w:w="1747" w:type="dxa"/>
            <w:shd w:val="clear" w:color="auto" w:fill="auto"/>
          </w:tcPr>
          <w:p w14:paraId="2B69E4E5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b/>
                <w:bCs/>
                <w:szCs w:val="22"/>
              </w:rPr>
              <w:t>Veľmi zriedkavé</w:t>
            </w:r>
          </w:p>
        </w:tc>
      </w:tr>
      <w:tr w:rsidR="00B7408C" w:rsidRPr="002C1513" w14:paraId="436743B1" w14:textId="77777777" w:rsidTr="00D83A31">
        <w:tc>
          <w:tcPr>
            <w:tcW w:w="9286" w:type="dxa"/>
            <w:gridSpan w:val="5"/>
            <w:shd w:val="clear" w:color="auto" w:fill="auto"/>
          </w:tcPr>
          <w:p w14:paraId="5764719C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Infekcie a nákazy</w:t>
            </w:r>
          </w:p>
        </w:tc>
      </w:tr>
      <w:tr w:rsidR="00B7408C" w:rsidRPr="002C1513" w14:paraId="25CF3676" w14:textId="77777777" w:rsidTr="00F53BEA">
        <w:tc>
          <w:tcPr>
            <w:tcW w:w="2026" w:type="dxa"/>
            <w:shd w:val="clear" w:color="auto" w:fill="auto"/>
          </w:tcPr>
          <w:p w14:paraId="6B9CA4DB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736D514D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903" w:type="dxa"/>
            <w:shd w:val="clear" w:color="auto" w:fill="auto"/>
          </w:tcPr>
          <w:p w14:paraId="43D4FEF8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Laryngitída</w:t>
            </w:r>
          </w:p>
        </w:tc>
        <w:tc>
          <w:tcPr>
            <w:tcW w:w="1841" w:type="dxa"/>
            <w:shd w:val="clear" w:color="auto" w:fill="auto"/>
          </w:tcPr>
          <w:p w14:paraId="5D463DA5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47" w:type="dxa"/>
            <w:shd w:val="clear" w:color="auto" w:fill="auto"/>
          </w:tcPr>
          <w:p w14:paraId="6AB7BCB4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B7408C" w:rsidRPr="002C1513" w14:paraId="6CCBDB4D" w14:textId="77777777" w:rsidTr="00D83A31">
        <w:tc>
          <w:tcPr>
            <w:tcW w:w="9286" w:type="dxa"/>
            <w:gridSpan w:val="5"/>
            <w:shd w:val="clear" w:color="auto" w:fill="auto"/>
          </w:tcPr>
          <w:p w14:paraId="19690404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lastRenderedPageBreak/>
              <w:t>Poruchy imunitného systému</w:t>
            </w:r>
          </w:p>
        </w:tc>
      </w:tr>
      <w:tr w:rsidR="00B7408C" w:rsidRPr="002C1513" w14:paraId="05EA2499" w14:textId="77777777" w:rsidTr="00F53BEA">
        <w:tc>
          <w:tcPr>
            <w:tcW w:w="2026" w:type="dxa"/>
            <w:shd w:val="clear" w:color="auto" w:fill="auto"/>
          </w:tcPr>
          <w:p w14:paraId="63A90E9C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7A25767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903" w:type="dxa"/>
            <w:shd w:val="clear" w:color="auto" w:fill="auto"/>
          </w:tcPr>
          <w:p w14:paraId="59FFF75D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841" w:type="dxa"/>
            <w:shd w:val="clear" w:color="auto" w:fill="auto"/>
          </w:tcPr>
          <w:p w14:paraId="4BC188AB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Anafylaktická</w:t>
            </w:r>
            <w:proofErr w:type="spellEnd"/>
            <w:r w:rsidRPr="002C1513">
              <w:rPr>
                <w:szCs w:val="22"/>
              </w:rPr>
              <w:t xml:space="preserve"> reakcia </w:t>
            </w:r>
            <w:proofErr w:type="spellStart"/>
            <w:r w:rsidRPr="002C1513">
              <w:rPr>
                <w:szCs w:val="22"/>
              </w:rPr>
              <w:t>Hypersenzitivita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5AA4F8D0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B7408C" w:rsidRPr="002C1513" w14:paraId="1F9B6340" w14:textId="77777777" w:rsidTr="00D83A31">
        <w:tc>
          <w:tcPr>
            <w:tcW w:w="9286" w:type="dxa"/>
            <w:gridSpan w:val="5"/>
            <w:shd w:val="clear" w:color="auto" w:fill="auto"/>
          </w:tcPr>
          <w:p w14:paraId="028ABDAE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endokrinného systému</w:t>
            </w:r>
          </w:p>
        </w:tc>
      </w:tr>
      <w:tr w:rsidR="00B7408C" w:rsidRPr="002C1513" w14:paraId="769D9D12" w14:textId="77777777" w:rsidTr="00F53BEA">
        <w:tc>
          <w:tcPr>
            <w:tcW w:w="2026" w:type="dxa"/>
            <w:shd w:val="clear" w:color="auto" w:fill="auto"/>
          </w:tcPr>
          <w:p w14:paraId="273B5A15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2AFB9B37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903" w:type="dxa"/>
            <w:shd w:val="clear" w:color="auto" w:fill="auto"/>
          </w:tcPr>
          <w:p w14:paraId="117E60AE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841" w:type="dxa"/>
            <w:shd w:val="clear" w:color="auto" w:fill="auto"/>
          </w:tcPr>
          <w:p w14:paraId="384FA291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Hypotyreóza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621C66B8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B7408C" w:rsidRPr="002C1513" w14:paraId="66DDEF2A" w14:textId="77777777" w:rsidTr="00D83A31">
        <w:tc>
          <w:tcPr>
            <w:tcW w:w="9286" w:type="dxa"/>
            <w:gridSpan w:val="5"/>
            <w:shd w:val="clear" w:color="auto" w:fill="auto"/>
          </w:tcPr>
          <w:p w14:paraId="179FC1E3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metabolizmu a výživy</w:t>
            </w:r>
          </w:p>
        </w:tc>
      </w:tr>
      <w:tr w:rsidR="00B7408C" w:rsidRPr="002C1513" w14:paraId="2003189F" w14:textId="77777777" w:rsidTr="00F53BEA">
        <w:tc>
          <w:tcPr>
            <w:tcW w:w="2026" w:type="dxa"/>
            <w:shd w:val="clear" w:color="auto" w:fill="auto"/>
          </w:tcPr>
          <w:p w14:paraId="6B2D05F5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394A70D4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Znížená chuť do jedla</w:t>
            </w:r>
          </w:p>
        </w:tc>
        <w:tc>
          <w:tcPr>
            <w:tcW w:w="1903" w:type="dxa"/>
            <w:shd w:val="clear" w:color="auto" w:fill="auto"/>
          </w:tcPr>
          <w:p w14:paraId="77D75359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Hyperglykémia (hlásená hlavne u pacientov s diabetom)</w:t>
            </w:r>
          </w:p>
        </w:tc>
        <w:tc>
          <w:tcPr>
            <w:tcW w:w="1841" w:type="dxa"/>
            <w:shd w:val="clear" w:color="auto" w:fill="auto"/>
          </w:tcPr>
          <w:p w14:paraId="1AA57179" w14:textId="77777777" w:rsidR="00B7408C" w:rsidRPr="002C1513" w:rsidRDefault="00B7408C" w:rsidP="00B7408C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Dehydratácia </w:t>
            </w:r>
          </w:p>
          <w:p w14:paraId="57FEF769" w14:textId="77777777" w:rsidR="00B7408C" w:rsidRPr="002C1513" w:rsidRDefault="00B7408C" w:rsidP="00B7408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Hyponatriémia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6B6669C8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SIADH</w:t>
            </w:r>
            <w:r w:rsidRPr="002C1513">
              <w:rPr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52F51A69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B7408C" w:rsidRPr="002C1513" w14:paraId="372EB176" w14:textId="77777777" w:rsidTr="00D83A31">
        <w:tc>
          <w:tcPr>
            <w:tcW w:w="9286" w:type="dxa"/>
            <w:gridSpan w:val="5"/>
            <w:shd w:val="clear" w:color="auto" w:fill="auto"/>
          </w:tcPr>
          <w:p w14:paraId="31D44382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Psychické poruchy</w:t>
            </w:r>
          </w:p>
        </w:tc>
      </w:tr>
      <w:tr w:rsidR="00B7408C" w:rsidRPr="002C1513" w14:paraId="6F3A813E" w14:textId="77777777" w:rsidTr="00F53BEA">
        <w:tc>
          <w:tcPr>
            <w:tcW w:w="2026" w:type="dxa"/>
            <w:shd w:val="clear" w:color="auto" w:fill="auto"/>
          </w:tcPr>
          <w:p w14:paraId="155AD08A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57FEFB59" w14:textId="77777777" w:rsidR="00B7408C" w:rsidRPr="002C1513" w:rsidRDefault="00B7408C" w:rsidP="00B7408C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Nespavosť </w:t>
            </w:r>
          </w:p>
          <w:p w14:paraId="6BFD6E87" w14:textId="77777777" w:rsidR="00B7408C" w:rsidRPr="002C1513" w:rsidRDefault="00B7408C" w:rsidP="00B7408C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Agitácia </w:t>
            </w:r>
          </w:p>
          <w:p w14:paraId="74863224" w14:textId="77777777" w:rsidR="00B7408C" w:rsidRPr="002C1513" w:rsidRDefault="00B7408C" w:rsidP="00B7408C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Pokles libida </w:t>
            </w:r>
          </w:p>
          <w:p w14:paraId="5B3E8E15" w14:textId="77777777" w:rsidR="000471C4" w:rsidRPr="002C1513" w:rsidRDefault="00B7408C" w:rsidP="00B7408C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Úzkosť </w:t>
            </w:r>
          </w:p>
          <w:p w14:paraId="09DD90FA" w14:textId="77777777" w:rsidR="00B7408C" w:rsidRPr="002C1513" w:rsidRDefault="000471C4" w:rsidP="00B7408C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>Porucha orgazmu</w:t>
            </w:r>
            <w:r w:rsidR="00B7408C" w:rsidRPr="002C1513">
              <w:rPr>
                <w:sz w:val="22"/>
                <w:szCs w:val="22"/>
              </w:rPr>
              <w:t xml:space="preserve"> </w:t>
            </w:r>
          </w:p>
          <w:p w14:paraId="140F7607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Nezvyčajné</w:t>
            </w:r>
            <w:r w:rsidR="00B7408C" w:rsidRPr="002C1513">
              <w:rPr>
                <w:szCs w:val="22"/>
              </w:rPr>
              <w:t xml:space="preserve"> sny</w:t>
            </w:r>
          </w:p>
        </w:tc>
        <w:tc>
          <w:tcPr>
            <w:tcW w:w="1903" w:type="dxa"/>
            <w:shd w:val="clear" w:color="auto" w:fill="auto"/>
          </w:tcPr>
          <w:p w14:paraId="302FAEA7" w14:textId="77777777" w:rsidR="00B7408C" w:rsidRPr="002C1513" w:rsidRDefault="00B7408C" w:rsidP="00B7408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Suicidálne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304C1AC7" w14:textId="77777777" w:rsidR="00B7408C" w:rsidRPr="002C1513" w:rsidRDefault="000471C4" w:rsidP="00B7408C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m</w:t>
            </w:r>
            <w:r w:rsidR="00B7408C" w:rsidRPr="002C1513">
              <w:rPr>
                <w:sz w:val="22"/>
                <w:szCs w:val="22"/>
              </w:rPr>
              <w:t>yšlienky</w:t>
            </w:r>
            <w:r w:rsidRPr="002C1513">
              <w:rPr>
                <w:sz w:val="22"/>
                <w:szCs w:val="22"/>
                <w:vertAlign w:val="superscript"/>
              </w:rPr>
              <w:t>5</w:t>
            </w:r>
            <w:proofErr w:type="spellEnd"/>
            <w:r w:rsidRPr="002C1513">
              <w:rPr>
                <w:sz w:val="22"/>
                <w:szCs w:val="22"/>
                <w:vertAlign w:val="superscript"/>
              </w:rPr>
              <w:t>, 7</w:t>
            </w:r>
          </w:p>
          <w:p w14:paraId="72AC2386" w14:textId="77777777" w:rsidR="00B7408C" w:rsidRPr="002C1513" w:rsidRDefault="00B7408C" w:rsidP="00B7408C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Porucha spánku </w:t>
            </w:r>
          </w:p>
          <w:p w14:paraId="50DBC6B6" w14:textId="77777777" w:rsidR="00B7408C" w:rsidRPr="002C1513" w:rsidRDefault="00B7408C" w:rsidP="00B7408C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Škrípanie zubami </w:t>
            </w:r>
          </w:p>
          <w:p w14:paraId="1A6317D9" w14:textId="77777777" w:rsidR="00B7408C" w:rsidRPr="002C1513" w:rsidRDefault="00B7408C" w:rsidP="00B7408C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Dezorientácia </w:t>
            </w:r>
          </w:p>
          <w:p w14:paraId="6696B09A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Apatia</w:t>
            </w:r>
          </w:p>
        </w:tc>
        <w:tc>
          <w:tcPr>
            <w:tcW w:w="1841" w:type="dxa"/>
            <w:shd w:val="clear" w:color="auto" w:fill="auto"/>
          </w:tcPr>
          <w:p w14:paraId="3E01FCCE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Suicidálne</w:t>
            </w:r>
            <w:proofErr w:type="spellEnd"/>
            <w:r w:rsidRPr="002C1513">
              <w:rPr>
                <w:sz w:val="22"/>
                <w:szCs w:val="22"/>
              </w:rPr>
              <w:t xml:space="preserve"> správanie</w:t>
            </w:r>
            <w:r w:rsidRPr="002C1513">
              <w:rPr>
                <w:sz w:val="14"/>
                <w:szCs w:val="14"/>
              </w:rPr>
              <w:t xml:space="preserve"> </w:t>
            </w:r>
            <w:r w:rsidRPr="002C1513">
              <w:rPr>
                <w:sz w:val="22"/>
                <w:szCs w:val="22"/>
                <w:vertAlign w:val="superscript"/>
              </w:rPr>
              <w:t>5, 7</w:t>
            </w:r>
          </w:p>
          <w:p w14:paraId="6D4C4426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Mánia </w:t>
            </w:r>
          </w:p>
          <w:p w14:paraId="21DF536D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Halucinácie </w:t>
            </w:r>
          </w:p>
          <w:p w14:paraId="0F904C8D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Agresivita a </w:t>
            </w:r>
            <w:proofErr w:type="spellStart"/>
            <w:r w:rsidRPr="002C1513">
              <w:rPr>
                <w:szCs w:val="22"/>
              </w:rPr>
              <w:t>hnev</w:t>
            </w:r>
            <w:r w:rsidRPr="002C1513">
              <w:rPr>
                <w:szCs w:val="22"/>
                <w:vertAlign w:val="superscript"/>
              </w:rPr>
              <w:t>4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2DD5696F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0471C4" w:rsidRPr="002C1513" w14:paraId="0302E36F" w14:textId="77777777" w:rsidTr="00D83A31">
        <w:tc>
          <w:tcPr>
            <w:tcW w:w="9286" w:type="dxa"/>
            <w:gridSpan w:val="5"/>
            <w:shd w:val="clear" w:color="auto" w:fill="auto"/>
          </w:tcPr>
          <w:p w14:paraId="327D1106" w14:textId="77777777" w:rsidR="000471C4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nervového systému</w:t>
            </w:r>
          </w:p>
        </w:tc>
      </w:tr>
      <w:tr w:rsidR="00B7408C" w:rsidRPr="002C1513" w14:paraId="787B22D5" w14:textId="77777777" w:rsidTr="00F53BEA">
        <w:tc>
          <w:tcPr>
            <w:tcW w:w="2026" w:type="dxa"/>
            <w:shd w:val="clear" w:color="auto" w:fill="auto"/>
          </w:tcPr>
          <w:p w14:paraId="20DBBB0B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Bolesť hlavy </w:t>
            </w:r>
          </w:p>
          <w:p w14:paraId="28A364CC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Spavosť</w:t>
            </w:r>
          </w:p>
        </w:tc>
        <w:tc>
          <w:tcPr>
            <w:tcW w:w="1769" w:type="dxa"/>
            <w:shd w:val="clear" w:color="auto" w:fill="auto"/>
          </w:tcPr>
          <w:p w14:paraId="1F5EC1C0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Závrat </w:t>
            </w:r>
          </w:p>
          <w:p w14:paraId="113B9BD9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Letargia </w:t>
            </w:r>
          </w:p>
          <w:p w14:paraId="36D6970B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Tras </w:t>
            </w:r>
          </w:p>
          <w:p w14:paraId="616D5836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Parestézia</w:t>
            </w:r>
          </w:p>
        </w:tc>
        <w:tc>
          <w:tcPr>
            <w:tcW w:w="1903" w:type="dxa"/>
            <w:shd w:val="clear" w:color="auto" w:fill="auto"/>
          </w:tcPr>
          <w:p w14:paraId="3ADDF9F1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Myoklónia </w:t>
            </w:r>
          </w:p>
          <w:p w14:paraId="70CA62B9" w14:textId="77777777" w:rsidR="000471C4" w:rsidRPr="002C1513" w:rsidRDefault="000471C4" w:rsidP="000471C4">
            <w:pPr>
              <w:pStyle w:val="Default"/>
              <w:rPr>
                <w:sz w:val="14"/>
                <w:szCs w:val="14"/>
              </w:rPr>
            </w:pPr>
            <w:proofErr w:type="spellStart"/>
            <w:r w:rsidRPr="002C1513">
              <w:rPr>
                <w:sz w:val="22"/>
                <w:szCs w:val="22"/>
              </w:rPr>
              <w:t>Akatízia</w:t>
            </w:r>
            <w:r w:rsidRPr="002C1513">
              <w:rPr>
                <w:sz w:val="22"/>
                <w:szCs w:val="22"/>
                <w:vertAlign w:val="superscript"/>
              </w:rPr>
              <w:t>7</w:t>
            </w:r>
            <w:proofErr w:type="spellEnd"/>
            <w:r w:rsidRPr="002C1513">
              <w:rPr>
                <w:sz w:val="14"/>
                <w:szCs w:val="14"/>
              </w:rPr>
              <w:t xml:space="preserve"> </w:t>
            </w:r>
          </w:p>
          <w:p w14:paraId="1F3A3AAF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Nervozita </w:t>
            </w:r>
          </w:p>
          <w:p w14:paraId="17EA1F92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Porucha pozornosti </w:t>
            </w:r>
          </w:p>
          <w:p w14:paraId="0BC9EF45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Porucha chuti </w:t>
            </w:r>
          </w:p>
          <w:p w14:paraId="5CECEBA1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Dyskinéza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081856DC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Syndróm nepokojných nôh </w:t>
            </w:r>
          </w:p>
          <w:p w14:paraId="28C8E175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Znížená kvalita spánku</w:t>
            </w:r>
          </w:p>
        </w:tc>
        <w:tc>
          <w:tcPr>
            <w:tcW w:w="1841" w:type="dxa"/>
            <w:shd w:val="clear" w:color="auto" w:fill="auto"/>
          </w:tcPr>
          <w:p w14:paraId="3D7E0D70" w14:textId="77777777" w:rsidR="000471C4" w:rsidRPr="002C1513" w:rsidRDefault="000471C4" w:rsidP="000471C4">
            <w:pPr>
              <w:pStyle w:val="Default"/>
              <w:rPr>
                <w:sz w:val="14"/>
                <w:szCs w:val="14"/>
              </w:rPr>
            </w:pPr>
            <w:proofErr w:type="spellStart"/>
            <w:r w:rsidRPr="002C1513">
              <w:rPr>
                <w:sz w:val="22"/>
                <w:szCs w:val="22"/>
              </w:rPr>
              <w:t>Sérotonínový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  <w:proofErr w:type="spellStart"/>
            <w:r w:rsidRPr="002C1513">
              <w:rPr>
                <w:sz w:val="22"/>
                <w:szCs w:val="22"/>
              </w:rPr>
              <w:t>syndróm</w:t>
            </w:r>
            <w:r w:rsidR="00F05265" w:rsidRPr="002C1513">
              <w:rPr>
                <w:sz w:val="22"/>
                <w:szCs w:val="22"/>
                <w:vertAlign w:val="superscript"/>
              </w:rPr>
              <w:t>6</w:t>
            </w:r>
            <w:proofErr w:type="spellEnd"/>
          </w:p>
          <w:p w14:paraId="27D6438D" w14:textId="77777777" w:rsidR="000471C4" w:rsidRPr="002C1513" w:rsidRDefault="000471C4" w:rsidP="000471C4">
            <w:pPr>
              <w:pStyle w:val="Default"/>
              <w:rPr>
                <w:sz w:val="14"/>
                <w:szCs w:val="14"/>
              </w:rPr>
            </w:pPr>
            <w:proofErr w:type="spellStart"/>
            <w:r w:rsidRPr="002C1513">
              <w:rPr>
                <w:sz w:val="22"/>
                <w:szCs w:val="22"/>
              </w:rPr>
              <w:t>Kŕč</w:t>
            </w:r>
            <w:r w:rsidRPr="002C1513">
              <w:rPr>
                <w:sz w:val="22"/>
                <w:szCs w:val="22"/>
                <w:vertAlign w:val="superscript"/>
              </w:rPr>
              <w:t>1</w:t>
            </w:r>
            <w:proofErr w:type="spellEnd"/>
            <w:r w:rsidRPr="002C1513">
              <w:rPr>
                <w:sz w:val="14"/>
                <w:szCs w:val="14"/>
              </w:rPr>
              <w:t xml:space="preserve"> </w:t>
            </w:r>
          </w:p>
          <w:p w14:paraId="61EA4519" w14:textId="77777777" w:rsidR="000471C4" w:rsidRPr="002C1513" w:rsidRDefault="000471C4" w:rsidP="000471C4">
            <w:pPr>
              <w:pStyle w:val="Default"/>
              <w:rPr>
                <w:sz w:val="14"/>
                <w:szCs w:val="14"/>
              </w:rPr>
            </w:pPr>
            <w:proofErr w:type="spellStart"/>
            <w:r w:rsidRPr="002C1513">
              <w:rPr>
                <w:sz w:val="22"/>
                <w:szCs w:val="22"/>
              </w:rPr>
              <w:t>Psychomotorický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  <w:proofErr w:type="spellStart"/>
            <w:r w:rsidRPr="002C1513">
              <w:rPr>
                <w:sz w:val="22"/>
                <w:szCs w:val="22"/>
              </w:rPr>
              <w:t>nepokoj</w:t>
            </w:r>
            <w:r w:rsidRPr="002C1513">
              <w:rPr>
                <w:sz w:val="22"/>
                <w:szCs w:val="22"/>
                <w:vertAlign w:val="superscript"/>
              </w:rPr>
              <w:t>6</w:t>
            </w:r>
            <w:proofErr w:type="spellEnd"/>
            <w:r w:rsidRPr="002C151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369B7DB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 xml:space="preserve">Extrapyramídové </w:t>
            </w:r>
            <w:proofErr w:type="spellStart"/>
            <w:r w:rsidRPr="002C1513">
              <w:rPr>
                <w:szCs w:val="22"/>
              </w:rPr>
              <w:t>symptómy</w:t>
            </w:r>
            <w:r w:rsidRPr="002C1513">
              <w:rPr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39BF3C5A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0471C4" w:rsidRPr="002C1513" w14:paraId="01527728" w14:textId="77777777" w:rsidTr="00D83A31">
        <w:tc>
          <w:tcPr>
            <w:tcW w:w="9286" w:type="dxa"/>
            <w:gridSpan w:val="5"/>
            <w:shd w:val="clear" w:color="auto" w:fill="auto"/>
          </w:tcPr>
          <w:p w14:paraId="26F432ED" w14:textId="77777777" w:rsidR="000471C4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oka</w:t>
            </w:r>
          </w:p>
        </w:tc>
      </w:tr>
      <w:tr w:rsidR="00B7408C" w:rsidRPr="002C1513" w14:paraId="215E1CFB" w14:textId="77777777" w:rsidTr="00F53BEA">
        <w:tc>
          <w:tcPr>
            <w:tcW w:w="2026" w:type="dxa"/>
            <w:shd w:val="clear" w:color="auto" w:fill="auto"/>
          </w:tcPr>
          <w:p w14:paraId="53B1F0D4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C70D0CD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Neostré videnie</w:t>
            </w:r>
          </w:p>
        </w:tc>
        <w:tc>
          <w:tcPr>
            <w:tcW w:w="1903" w:type="dxa"/>
            <w:shd w:val="clear" w:color="auto" w:fill="auto"/>
          </w:tcPr>
          <w:p w14:paraId="3F074155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Mydriáza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14623345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Zhoršenie zraku</w:t>
            </w:r>
          </w:p>
        </w:tc>
        <w:tc>
          <w:tcPr>
            <w:tcW w:w="1841" w:type="dxa"/>
            <w:shd w:val="clear" w:color="auto" w:fill="auto"/>
          </w:tcPr>
          <w:p w14:paraId="1655AC4B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Glaukóm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6FBF84FF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0471C4" w:rsidRPr="002C1513" w14:paraId="06F124A8" w14:textId="77777777" w:rsidTr="00D83A31">
        <w:tc>
          <w:tcPr>
            <w:tcW w:w="9286" w:type="dxa"/>
            <w:gridSpan w:val="5"/>
            <w:shd w:val="clear" w:color="auto" w:fill="auto"/>
          </w:tcPr>
          <w:p w14:paraId="328A83DB" w14:textId="77777777" w:rsidR="000471C4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ucha a labyrintu</w:t>
            </w:r>
          </w:p>
        </w:tc>
      </w:tr>
      <w:tr w:rsidR="00B7408C" w:rsidRPr="002C1513" w14:paraId="04353F82" w14:textId="77777777" w:rsidTr="00F53BEA">
        <w:tc>
          <w:tcPr>
            <w:tcW w:w="2026" w:type="dxa"/>
            <w:shd w:val="clear" w:color="auto" w:fill="auto"/>
          </w:tcPr>
          <w:p w14:paraId="6C17E811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C2EC65D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Tin</w:t>
            </w:r>
            <w:r w:rsidR="00F05265" w:rsidRPr="002C1513">
              <w:rPr>
                <w:szCs w:val="22"/>
              </w:rPr>
              <w:t>n</w:t>
            </w:r>
            <w:r w:rsidRPr="002C1513">
              <w:rPr>
                <w:szCs w:val="22"/>
              </w:rPr>
              <w:t>itus</w:t>
            </w:r>
            <w:r w:rsidRPr="002C1513">
              <w:rPr>
                <w:szCs w:val="22"/>
                <w:vertAlign w:val="superscript"/>
              </w:rPr>
              <w:t>1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14:paraId="597CD718" w14:textId="77777777" w:rsidR="000471C4" w:rsidRPr="002C1513" w:rsidRDefault="000471C4" w:rsidP="000471C4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Vertigo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2554908F" w14:textId="77777777" w:rsidR="00B7408C" w:rsidRPr="002C1513" w:rsidRDefault="000471C4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Bolesť ucha</w:t>
            </w:r>
          </w:p>
        </w:tc>
        <w:tc>
          <w:tcPr>
            <w:tcW w:w="1841" w:type="dxa"/>
            <w:shd w:val="clear" w:color="auto" w:fill="auto"/>
          </w:tcPr>
          <w:p w14:paraId="383A7373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47" w:type="dxa"/>
            <w:shd w:val="clear" w:color="auto" w:fill="auto"/>
          </w:tcPr>
          <w:p w14:paraId="356BD0C7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2C1513" w14:paraId="5AC47AA6" w14:textId="77777777" w:rsidTr="00FA7149">
        <w:tc>
          <w:tcPr>
            <w:tcW w:w="9286" w:type="dxa"/>
            <w:gridSpan w:val="5"/>
            <w:shd w:val="clear" w:color="auto" w:fill="auto"/>
          </w:tcPr>
          <w:p w14:paraId="09D21035" w14:textId="77777777" w:rsidR="00F53BEA" w:rsidRPr="002C1513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srdca a srdcovej činnosti</w:t>
            </w:r>
          </w:p>
        </w:tc>
      </w:tr>
      <w:tr w:rsidR="00B7408C" w:rsidRPr="002C1513" w14:paraId="04C3E010" w14:textId="77777777" w:rsidTr="00F53BEA">
        <w:tc>
          <w:tcPr>
            <w:tcW w:w="2026" w:type="dxa"/>
            <w:shd w:val="clear" w:color="auto" w:fill="auto"/>
          </w:tcPr>
          <w:p w14:paraId="3EA21164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A81F00F" w14:textId="77777777" w:rsidR="00B7408C" w:rsidRPr="002C1513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Palpitácie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14:paraId="15E35B46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Tachykardia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4E314E84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Supraventrikulárna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  <w:proofErr w:type="spellStart"/>
            <w:r w:rsidRPr="002C1513">
              <w:rPr>
                <w:sz w:val="22"/>
                <w:szCs w:val="22"/>
              </w:rPr>
              <w:t>arytmia</w:t>
            </w:r>
            <w:proofErr w:type="spellEnd"/>
            <w:r w:rsidRPr="002C1513">
              <w:rPr>
                <w:sz w:val="22"/>
                <w:szCs w:val="22"/>
              </w:rPr>
              <w:t xml:space="preserve">, </w:t>
            </w:r>
          </w:p>
          <w:p w14:paraId="549DFFBC" w14:textId="77777777" w:rsidR="00B7408C" w:rsidRPr="002C1513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 xml:space="preserve">hlavne </w:t>
            </w:r>
            <w:proofErr w:type="spellStart"/>
            <w:r w:rsidRPr="002C1513">
              <w:rPr>
                <w:szCs w:val="22"/>
              </w:rPr>
              <w:t>atriálna</w:t>
            </w:r>
            <w:proofErr w:type="spellEnd"/>
            <w:r w:rsidRPr="002C1513">
              <w:rPr>
                <w:szCs w:val="22"/>
              </w:rPr>
              <w:t xml:space="preserve"> </w:t>
            </w:r>
            <w:proofErr w:type="spellStart"/>
            <w:r w:rsidRPr="002C1513">
              <w:rPr>
                <w:szCs w:val="22"/>
              </w:rPr>
              <w:t>fibrilácia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14:paraId="4C68AAB5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47" w:type="dxa"/>
            <w:shd w:val="clear" w:color="auto" w:fill="auto"/>
          </w:tcPr>
          <w:p w14:paraId="6669D2AB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2C1513" w14:paraId="26E52406" w14:textId="77777777" w:rsidTr="00FA7149">
        <w:tc>
          <w:tcPr>
            <w:tcW w:w="9286" w:type="dxa"/>
            <w:gridSpan w:val="5"/>
            <w:shd w:val="clear" w:color="auto" w:fill="auto"/>
          </w:tcPr>
          <w:p w14:paraId="6977758A" w14:textId="77777777" w:rsidR="00F53BEA" w:rsidRPr="002C1513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ciev</w:t>
            </w:r>
          </w:p>
        </w:tc>
      </w:tr>
      <w:tr w:rsidR="00B7408C" w:rsidRPr="002C1513" w14:paraId="1F127865" w14:textId="77777777" w:rsidTr="00F53BEA">
        <w:tc>
          <w:tcPr>
            <w:tcW w:w="2026" w:type="dxa"/>
            <w:shd w:val="clear" w:color="auto" w:fill="auto"/>
          </w:tcPr>
          <w:p w14:paraId="3FA3BB71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075ABFE9" w14:textId="77777777" w:rsidR="00F53BEA" w:rsidRPr="002C1513" w:rsidRDefault="00F53BEA" w:rsidP="00F53BEA">
            <w:pPr>
              <w:pStyle w:val="Default"/>
              <w:rPr>
                <w:sz w:val="14"/>
                <w:szCs w:val="14"/>
              </w:rPr>
            </w:pPr>
            <w:r w:rsidRPr="002C1513">
              <w:rPr>
                <w:sz w:val="22"/>
                <w:szCs w:val="22"/>
              </w:rPr>
              <w:t xml:space="preserve">Zvýšenie krvného </w:t>
            </w:r>
            <w:proofErr w:type="spellStart"/>
            <w:r w:rsidRPr="002C1513">
              <w:rPr>
                <w:sz w:val="22"/>
                <w:szCs w:val="22"/>
              </w:rPr>
              <w:t>tlaku</w:t>
            </w:r>
            <w:r w:rsidRPr="002C1513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2C1513">
              <w:rPr>
                <w:sz w:val="14"/>
                <w:szCs w:val="14"/>
              </w:rPr>
              <w:t xml:space="preserve"> </w:t>
            </w:r>
          </w:p>
          <w:p w14:paraId="3F8109AA" w14:textId="77777777" w:rsidR="00B7408C" w:rsidRPr="002C1513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Sčervenanie</w:t>
            </w:r>
          </w:p>
        </w:tc>
        <w:tc>
          <w:tcPr>
            <w:tcW w:w="1903" w:type="dxa"/>
            <w:shd w:val="clear" w:color="auto" w:fill="auto"/>
          </w:tcPr>
          <w:p w14:paraId="545C8531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Synkopa</w:t>
            </w:r>
            <w:r w:rsidRPr="002C1513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7C6E78BF" w14:textId="77777777" w:rsidR="00F53BEA" w:rsidRPr="002C1513" w:rsidRDefault="00F53BEA" w:rsidP="00F53BEA">
            <w:pPr>
              <w:pStyle w:val="Default"/>
              <w:rPr>
                <w:sz w:val="14"/>
                <w:szCs w:val="14"/>
              </w:rPr>
            </w:pPr>
            <w:proofErr w:type="spellStart"/>
            <w:r w:rsidRPr="002C1513">
              <w:rPr>
                <w:sz w:val="22"/>
                <w:szCs w:val="22"/>
              </w:rPr>
              <w:t>Hypertenzia</w:t>
            </w:r>
            <w:r w:rsidRPr="002C1513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2C1513">
              <w:rPr>
                <w:sz w:val="22"/>
                <w:szCs w:val="22"/>
                <w:vertAlign w:val="superscript"/>
              </w:rPr>
              <w:t>, 7</w:t>
            </w:r>
            <w:r w:rsidRPr="002C1513">
              <w:rPr>
                <w:sz w:val="14"/>
                <w:szCs w:val="14"/>
              </w:rPr>
              <w:t xml:space="preserve"> </w:t>
            </w:r>
          </w:p>
          <w:p w14:paraId="351B3052" w14:textId="77777777" w:rsidR="00F53BEA" w:rsidRPr="002C1513" w:rsidRDefault="00F53BEA" w:rsidP="00F53BEA">
            <w:pPr>
              <w:pStyle w:val="Default"/>
              <w:rPr>
                <w:sz w:val="14"/>
                <w:szCs w:val="14"/>
              </w:rPr>
            </w:pPr>
            <w:proofErr w:type="spellStart"/>
            <w:r w:rsidRPr="002C1513">
              <w:rPr>
                <w:sz w:val="22"/>
                <w:szCs w:val="22"/>
              </w:rPr>
              <w:t>Ortostatická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  <w:proofErr w:type="spellStart"/>
            <w:r w:rsidRPr="002C1513">
              <w:rPr>
                <w:sz w:val="22"/>
                <w:szCs w:val="22"/>
              </w:rPr>
              <w:t>hypotenzia</w:t>
            </w:r>
            <w:r w:rsidRPr="002C1513">
              <w:rPr>
                <w:sz w:val="22"/>
                <w:szCs w:val="22"/>
                <w:vertAlign w:val="superscript"/>
              </w:rPr>
              <w:t>2</w:t>
            </w:r>
            <w:proofErr w:type="spellEnd"/>
            <w:r w:rsidRPr="002C151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F199A38" w14:textId="77777777" w:rsidR="00B7408C" w:rsidRPr="002C1513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Chlad periférnej časti končatín</w:t>
            </w:r>
          </w:p>
        </w:tc>
        <w:tc>
          <w:tcPr>
            <w:tcW w:w="1841" w:type="dxa"/>
            <w:shd w:val="clear" w:color="auto" w:fill="auto"/>
          </w:tcPr>
          <w:p w14:paraId="443E4DC8" w14:textId="77777777" w:rsidR="00CF24D5" w:rsidRPr="002C1513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</w:rPr>
            </w:pPr>
            <w:proofErr w:type="spellStart"/>
            <w:r w:rsidRPr="002C1513">
              <w:rPr>
                <w:szCs w:val="22"/>
              </w:rPr>
              <w:t>Hypertenzná</w:t>
            </w:r>
            <w:proofErr w:type="spellEnd"/>
            <w:r w:rsidRPr="002C1513">
              <w:rPr>
                <w:szCs w:val="22"/>
              </w:rPr>
              <w:t xml:space="preserve"> </w:t>
            </w:r>
          </w:p>
          <w:p w14:paraId="253AB9D0" w14:textId="77777777" w:rsidR="00B7408C" w:rsidRPr="002C1513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kríza</w:t>
            </w:r>
            <w:r w:rsidRPr="002C1513">
              <w:rPr>
                <w:szCs w:val="22"/>
                <w:vertAlign w:val="superscript"/>
              </w:rPr>
              <w:t>3</w:t>
            </w:r>
            <w:proofErr w:type="spellEnd"/>
            <w:r w:rsidRPr="002C1513">
              <w:rPr>
                <w:szCs w:val="22"/>
                <w:vertAlign w:val="superscript"/>
              </w:rPr>
              <w:t>, 6</w:t>
            </w:r>
          </w:p>
        </w:tc>
        <w:tc>
          <w:tcPr>
            <w:tcW w:w="1747" w:type="dxa"/>
            <w:shd w:val="clear" w:color="auto" w:fill="auto"/>
          </w:tcPr>
          <w:p w14:paraId="58F73754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2C1513" w14:paraId="284DFF4D" w14:textId="77777777" w:rsidTr="00FA7149">
        <w:tc>
          <w:tcPr>
            <w:tcW w:w="9286" w:type="dxa"/>
            <w:gridSpan w:val="5"/>
            <w:shd w:val="clear" w:color="auto" w:fill="auto"/>
          </w:tcPr>
          <w:p w14:paraId="22A17D3B" w14:textId="77777777" w:rsidR="00F53BEA" w:rsidRPr="002C1513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 xml:space="preserve">Poruchy dýchacej sústavy, hrudníka a </w:t>
            </w:r>
            <w:proofErr w:type="spellStart"/>
            <w:r w:rsidRPr="002C1513">
              <w:rPr>
                <w:i/>
                <w:iCs/>
                <w:szCs w:val="22"/>
              </w:rPr>
              <w:t>mediastína</w:t>
            </w:r>
            <w:proofErr w:type="spellEnd"/>
          </w:p>
        </w:tc>
      </w:tr>
      <w:tr w:rsidR="00B7408C" w:rsidRPr="002C1513" w14:paraId="0A538370" w14:textId="77777777" w:rsidTr="00F53BEA">
        <w:tc>
          <w:tcPr>
            <w:tcW w:w="2026" w:type="dxa"/>
            <w:shd w:val="clear" w:color="auto" w:fill="auto"/>
          </w:tcPr>
          <w:p w14:paraId="5347EFA8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09C1F333" w14:textId="77777777" w:rsidR="00B7408C" w:rsidRPr="002C1513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Zívanie</w:t>
            </w:r>
          </w:p>
        </w:tc>
        <w:tc>
          <w:tcPr>
            <w:tcW w:w="1903" w:type="dxa"/>
            <w:shd w:val="clear" w:color="auto" w:fill="auto"/>
          </w:tcPr>
          <w:p w14:paraId="709BA5F8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Zvieranie hrdla </w:t>
            </w:r>
          </w:p>
          <w:p w14:paraId="1E3B0F03" w14:textId="77777777" w:rsidR="00B7408C" w:rsidRPr="002C1513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Epistaxa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14:paraId="5ABB9990" w14:textId="77777777" w:rsidR="00B7408C" w:rsidRDefault="009F1A3B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>
              <w:rPr>
                <w:szCs w:val="22"/>
                <w:u w:val="single"/>
              </w:rPr>
              <w:t>Intersticiálna</w:t>
            </w:r>
            <w:proofErr w:type="spellEnd"/>
            <w:r>
              <w:rPr>
                <w:szCs w:val="22"/>
                <w:u w:val="single"/>
              </w:rPr>
              <w:t xml:space="preserve"> choroba </w:t>
            </w:r>
            <w:proofErr w:type="spellStart"/>
            <w:r>
              <w:rPr>
                <w:szCs w:val="22"/>
                <w:u w:val="single"/>
              </w:rPr>
              <w:t>pľúc</w:t>
            </w:r>
            <w:r w:rsidR="00FD48C2" w:rsidRPr="00FD48C2">
              <w:rPr>
                <w:szCs w:val="22"/>
                <w:u w:val="single"/>
                <w:vertAlign w:val="superscript"/>
              </w:rPr>
              <w:t>10</w:t>
            </w:r>
            <w:proofErr w:type="spellEnd"/>
          </w:p>
          <w:p w14:paraId="69FF2158" w14:textId="77777777" w:rsidR="009F1A3B" w:rsidRPr="002C1513" w:rsidRDefault="009F1A3B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>
              <w:rPr>
                <w:szCs w:val="22"/>
                <w:u w:val="single"/>
              </w:rPr>
              <w:t>Eozinofilná</w:t>
            </w:r>
            <w:proofErr w:type="spellEnd"/>
            <w:r>
              <w:rPr>
                <w:szCs w:val="22"/>
                <w:u w:val="single"/>
              </w:rPr>
              <w:t xml:space="preserve"> </w:t>
            </w:r>
            <w:proofErr w:type="spellStart"/>
            <w:r>
              <w:rPr>
                <w:szCs w:val="22"/>
                <w:u w:val="single"/>
              </w:rPr>
              <w:t>pneumónia</w:t>
            </w:r>
            <w:r w:rsidRPr="00421221">
              <w:rPr>
                <w:szCs w:val="22"/>
                <w:u w:val="single"/>
                <w:vertAlign w:val="superscript"/>
              </w:rPr>
              <w:t>6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7BAF2CB8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2C1513" w14:paraId="535D9C3E" w14:textId="77777777" w:rsidTr="00FA7149">
        <w:tc>
          <w:tcPr>
            <w:tcW w:w="9286" w:type="dxa"/>
            <w:gridSpan w:val="5"/>
            <w:shd w:val="clear" w:color="auto" w:fill="auto"/>
          </w:tcPr>
          <w:p w14:paraId="40E60514" w14:textId="77777777" w:rsidR="00F53BEA" w:rsidRPr="002C1513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lastRenderedPageBreak/>
              <w:t>Poruchy gastrointestinálneho traktu</w:t>
            </w:r>
          </w:p>
        </w:tc>
      </w:tr>
      <w:tr w:rsidR="00B7408C" w:rsidRPr="002C1513" w14:paraId="2E64D8DB" w14:textId="77777777" w:rsidTr="00F53BEA">
        <w:tc>
          <w:tcPr>
            <w:tcW w:w="2026" w:type="dxa"/>
            <w:shd w:val="clear" w:color="auto" w:fill="auto"/>
          </w:tcPr>
          <w:p w14:paraId="493FD768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Nauzea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3137854D" w14:textId="77777777" w:rsidR="00B7408C" w:rsidRPr="002C1513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Sucho v ústach</w:t>
            </w:r>
          </w:p>
        </w:tc>
        <w:tc>
          <w:tcPr>
            <w:tcW w:w="1769" w:type="dxa"/>
            <w:shd w:val="clear" w:color="auto" w:fill="auto"/>
          </w:tcPr>
          <w:p w14:paraId="3A01B09E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Zápcha </w:t>
            </w:r>
          </w:p>
          <w:p w14:paraId="6DE16879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Hnačka </w:t>
            </w:r>
          </w:p>
          <w:p w14:paraId="7B71EA4E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Bolesť brucha </w:t>
            </w:r>
          </w:p>
          <w:p w14:paraId="5C36B862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Vracanie </w:t>
            </w:r>
          </w:p>
          <w:p w14:paraId="3A4C5FCB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Dyspepsia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1F03C092" w14:textId="77777777" w:rsidR="00B7408C" w:rsidRPr="002C1513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Plynatosť</w:t>
            </w:r>
          </w:p>
        </w:tc>
        <w:tc>
          <w:tcPr>
            <w:tcW w:w="1903" w:type="dxa"/>
            <w:shd w:val="clear" w:color="auto" w:fill="auto"/>
          </w:tcPr>
          <w:p w14:paraId="6DFF6200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Gastrointestinálne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  <w:proofErr w:type="spellStart"/>
            <w:r w:rsidRPr="002C1513">
              <w:rPr>
                <w:sz w:val="22"/>
                <w:szCs w:val="22"/>
              </w:rPr>
              <w:t>krvácanie</w:t>
            </w:r>
            <w:r w:rsidRPr="002C1513">
              <w:rPr>
                <w:sz w:val="22"/>
                <w:szCs w:val="22"/>
                <w:vertAlign w:val="superscript"/>
              </w:rPr>
              <w:t>7</w:t>
            </w:r>
            <w:proofErr w:type="spellEnd"/>
            <w:r w:rsidRPr="002C1513">
              <w:rPr>
                <w:sz w:val="14"/>
                <w:szCs w:val="14"/>
              </w:rPr>
              <w:t xml:space="preserve"> </w:t>
            </w:r>
            <w:proofErr w:type="spellStart"/>
            <w:r w:rsidRPr="002C1513">
              <w:rPr>
                <w:sz w:val="22"/>
                <w:szCs w:val="22"/>
              </w:rPr>
              <w:t>Gastroenteritída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795F8658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Grganie </w:t>
            </w:r>
          </w:p>
          <w:p w14:paraId="60B1D0FB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Gastritída </w:t>
            </w:r>
          </w:p>
          <w:p w14:paraId="20AB267F" w14:textId="77777777" w:rsidR="00B7408C" w:rsidRPr="002C1513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Dysfágia</w:t>
            </w:r>
            <w:proofErr w:type="spellEnd"/>
          </w:p>
        </w:tc>
        <w:tc>
          <w:tcPr>
            <w:tcW w:w="1841" w:type="dxa"/>
            <w:shd w:val="clear" w:color="auto" w:fill="auto"/>
          </w:tcPr>
          <w:p w14:paraId="60F08C88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Stomatitída </w:t>
            </w:r>
          </w:p>
          <w:p w14:paraId="074C38AB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Hematochézia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1226A3E2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Zápach z úst </w:t>
            </w:r>
          </w:p>
          <w:p w14:paraId="6F69CB92" w14:textId="77777777" w:rsidR="00B7408C" w:rsidRPr="002C1513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 xml:space="preserve">Mikroskopická </w:t>
            </w:r>
            <w:proofErr w:type="spellStart"/>
            <w:r w:rsidRPr="002C1513">
              <w:rPr>
                <w:szCs w:val="22"/>
              </w:rPr>
              <w:t>kolitída</w:t>
            </w:r>
            <w:r w:rsidRPr="002C1513">
              <w:rPr>
                <w:szCs w:val="22"/>
                <w:vertAlign w:val="superscript"/>
              </w:rPr>
              <w:t>9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48B3A244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2C1513" w14:paraId="47931611" w14:textId="77777777" w:rsidTr="00FA7149">
        <w:tc>
          <w:tcPr>
            <w:tcW w:w="9286" w:type="dxa"/>
            <w:gridSpan w:val="5"/>
            <w:shd w:val="clear" w:color="auto" w:fill="auto"/>
          </w:tcPr>
          <w:p w14:paraId="6DE00E57" w14:textId="77777777" w:rsidR="00F53BEA" w:rsidRPr="002C1513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pečene a žlčových ciest</w:t>
            </w:r>
          </w:p>
        </w:tc>
      </w:tr>
      <w:tr w:rsidR="00B7408C" w:rsidRPr="002C1513" w14:paraId="772217A6" w14:textId="77777777" w:rsidTr="00F53BEA">
        <w:tc>
          <w:tcPr>
            <w:tcW w:w="2026" w:type="dxa"/>
            <w:shd w:val="clear" w:color="auto" w:fill="auto"/>
          </w:tcPr>
          <w:p w14:paraId="70C26AC1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D86737C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903" w:type="dxa"/>
            <w:shd w:val="clear" w:color="auto" w:fill="auto"/>
          </w:tcPr>
          <w:p w14:paraId="5A09422C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Hepatitída</w:t>
            </w:r>
            <w:r w:rsidRPr="002C1513">
              <w:rPr>
                <w:sz w:val="22"/>
                <w:szCs w:val="22"/>
                <w:vertAlign w:val="superscript"/>
              </w:rPr>
              <w:t>3</w:t>
            </w:r>
            <w:proofErr w:type="spellEnd"/>
            <w:r w:rsidRPr="002C1513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03C8201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Zvýšené hladiny pečeňových enzýmov (ALT, </w:t>
            </w:r>
            <w:proofErr w:type="spellStart"/>
            <w:r w:rsidRPr="002C1513">
              <w:rPr>
                <w:sz w:val="22"/>
                <w:szCs w:val="22"/>
              </w:rPr>
              <w:t>AST</w:t>
            </w:r>
            <w:proofErr w:type="spellEnd"/>
            <w:r w:rsidRPr="002C1513">
              <w:rPr>
                <w:sz w:val="22"/>
                <w:szCs w:val="22"/>
              </w:rPr>
              <w:t xml:space="preserve">, alkalická </w:t>
            </w:r>
            <w:proofErr w:type="spellStart"/>
            <w:r w:rsidRPr="002C1513">
              <w:rPr>
                <w:sz w:val="22"/>
                <w:szCs w:val="22"/>
              </w:rPr>
              <w:t>fosfatáza</w:t>
            </w:r>
            <w:proofErr w:type="spellEnd"/>
            <w:r w:rsidRPr="002C1513">
              <w:rPr>
                <w:sz w:val="22"/>
                <w:szCs w:val="22"/>
              </w:rPr>
              <w:t xml:space="preserve">) </w:t>
            </w:r>
          </w:p>
          <w:p w14:paraId="1C54290C" w14:textId="77777777" w:rsidR="00B7408C" w:rsidRPr="002C1513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Akútne poškodenie pečene</w:t>
            </w:r>
          </w:p>
        </w:tc>
        <w:tc>
          <w:tcPr>
            <w:tcW w:w="1841" w:type="dxa"/>
            <w:shd w:val="clear" w:color="auto" w:fill="auto"/>
          </w:tcPr>
          <w:p w14:paraId="63B76C2D" w14:textId="77777777" w:rsidR="00F53BEA" w:rsidRPr="002C1513" w:rsidRDefault="00F53BEA" w:rsidP="00F53BEA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Zlyhanie </w:t>
            </w:r>
            <w:proofErr w:type="spellStart"/>
            <w:r w:rsidRPr="002C1513">
              <w:rPr>
                <w:sz w:val="22"/>
                <w:szCs w:val="22"/>
              </w:rPr>
              <w:t>pečene</w:t>
            </w:r>
            <w:r w:rsidRPr="002C1513">
              <w:rPr>
                <w:sz w:val="22"/>
                <w:szCs w:val="22"/>
                <w:vertAlign w:val="superscript"/>
              </w:rPr>
              <w:t>6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0EBDEABE" w14:textId="77777777" w:rsidR="00B7408C" w:rsidRPr="002C1513" w:rsidRDefault="00F53BEA" w:rsidP="00F53BEA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Žltačka</w:t>
            </w:r>
            <w:r w:rsidRPr="002C1513">
              <w:rPr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26E3402F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F53BEA" w:rsidRPr="002C1513" w14:paraId="72CB1406" w14:textId="77777777" w:rsidTr="00FA7149">
        <w:tc>
          <w:tcPr>
            <w:tcW w:w="9286" w:type="dxa"/>
            <w:gridSpan w:val="5"/>
            <w:shd w:val="clear" w:color="auto" w:fill="auto"/>
          </w:tcPr>
          <w:p w14:paraId="71F22D91" w14:textId="77777777" w:rsidR="00F53BEA" w:rsidRPr="002C1513" w:rsidRDefault="00F53BEA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kože a podkožného tkaniva</w:t>
            </w:r>
          </w:p>
        </w:tc>
      </w:tr>
      <w:tr w:rsidR="00B7408C" w:rsidRPr="002C1513" w14:paraId="1BF4AE73" w14:textId="77777777" w:rsidTr="00F53BEA">
        <w:tc>
          <w:tcPr>
            <w:tcW w:w="2026" w:type="dxa"/>
            <w:shd w:val="clear" w:color="auto" w:fill="auto"/>
          </w:tcPr>
          <w:p w14:paraId="73CC3039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7B62F942" w14:textId="77777777" w:rsidR="00B05528" w:rsidRPr="002C1513" w:rsidRDefault="00B05528" w:rsidP="00B05528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Zvýšené potenie </w:t>
            </w:r>
          </w:p>
          <w:p w14:paraId="1F01513D" w14:textId="77777777" w:rsidR="00B7408C" w:rsidRPr="002C1513" w:rsidRDefault="00B05528" w:rsidP="00B05528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Vyrážka</w:t>
            </w:r>
          </w:p>
        </w:tc>
        <w:tc>
          <w:tcPr>
            <w:tcW w:w="1903" w:type="dxa"/>
            <w:shd w:val="clear" w:color="auto" w:fill="auto"/>
          </w:tcPr>
          <w:p w14:paraId="1096592B" w14:textId="77777777" w:rsidR="00B05528" w:rsidRPr="002C1513" w:rsidRDefault="00B05528" w:rsidP="00B05528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Nočné potenie </w:t>
            </w:r>
          </w:p>
          <w:p w14:paraId="72E78F73" w14:textId="77777777" w:rsidR="00B05528" w:rsidRPr="002C1513" w:rsidRDefault="00B05528" w:rsidP="00B0552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Urtikária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38771DE6" w14:textId="77777777" w:rsidR="00B05528" w:rsidRPr="002C1513" w:rsidRDefault="00B05528" w:rsidP="00B05528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Kontaktná dermatitída </w:t>
            </w:r>
          </w:p>
          <w:p w14:paraId="4CC2C26B" w14:textId="77777777" w:rsidR="00B05528" w:rsidRPr="002C1513" w:rsidRDefault="00B05528" w:rsidP="00B05528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Studený pot </w:t>
            </w:r>
          </w:p>
          <w:p w14:paraId="66A94FBF" w14:textId="77777777" w:rsidR="00B05528" w:rsidRPr="002C1513" w:rsidRDefault="00B05528" w:rsidP="00B05528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Fotosenzitívne</w:t>
            </w:r>
            <w:proofErr w:type="spellEnd"/>
            <w:r w:rsidRPr="002C1513">
              <w:rPr>
                <w:sz w:val="22"/>
                <w:szCs w:val="22"/>
              </w:rPr>
              <w:t xml:space="preserve"> reakcie </w:t>
            </w:r>
          </w:p>
          <w:p w14:paraId="08653A2B" w14:textId="77777777" w:rsidR="00B7408C" w:rsidRPr="002C1513" w:rsidRDefault="00B05528" w:rsidP="00B05528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Zvýšený sklon k tvorbe modrín</w:t>
            </w:r>
          </w:p>
        </w:tc>
        <w:tc>
          <w:tcPr>
            <w:tcW w:w="1841" w:type="dxa"/>
            <w:shd w:val="clear" w:color="auto" w:fill="auto"/>
          </w:tcPr>
          <w:p w14:paraId="2E7526B0" w14:textId="77777777" w:rsidR="00B7408C" w:rsidRPr="002C1513" w:rsidRDefault="00B05528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Stevensov-Johnsonov</w:t>
            </w:r>
            <w:proofErr w:type="spellEnd"/>
            <w:r w:rsidRPr="002C1513">
              <w:rPr>
                <w:szCs w:val="22"/>
              </w:rPr>
              <w:t xml:space="preserve"> </w:t>
            </w:r>
            <w:proofErr w:type="spellStart"/>
            <w:r w:rsidRPr="002C1513">
              <w:rPr>
                <w:szCs w:val="22"/>
              </w:rPr>
              <w:t>syndróm</w:t>
            </w:r>
            <w:r w:rsidRPr="002C1513">
              <w:rPr>
                <w:szCs w:val="22"/>
                <w:vertAlign w:val="superscript"/>
              </w:rPr>
              <w:t>6</w:t>
            </w:r>
            <w:proofErr w:type="spellEnd"/>
            <w:r w:rsidRPr="002C1513">
              <w:rPr>
                <w:szCs w:val="22"/>
                <w:vertAlign w:val="superscript"/>
              </w:rPr>
              <w:t xml:space="preserve"> </w:t>
            </w:r>
            <w:proofErr w:type="spellStart"/>
            <w:r w:rsidRPr="002C1513">
              <w:rPr>
                <w:szCs w:val="22"/>
              </w:rPr>
              <w:t>Angioneurotický</w:t>
            </w:r>
            <w:proofErr w:type="spellEnd"/>
            <w:r w:rsidRPr="002C1513">
              <w:rPr>
                <w:szCs w:val="22"/>
              </w:rPr>
              <w:t xml:space="preserve"> </w:t>
            </w:r>
            <w:proofErr w:type="spellStart"/>
            <w:r w:rsidRPr="002C1513">
              <w:rPr>
                <w:szCs w:val="22"/>
              </w:rPr>
              <w:t>edém</w:t>
            </w:r>
            <w:r w:rsidRPr="002C1513">
              <w:rPr>
                <w:szCs w:val="22"/>
                <w:vertAlign w:val="superscript"/>
              </w:rPr>
              <w:t>6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5F5A0813" w14:textId="77777777" w:rsidR="00B7408C" w:rsidRPr="002C1513" w:rsidRDefault="00B05528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 xml:space="preserve">Kožná </w:t>
            </w:r>
            <w:proofErr w:type="spellStart"/>
            <w:r w:rsidRPr="002C1513">
              <w:rPr>
                <w:szCs w:val="22"/>
              </w:rPr>
              <w:t>vaskulitída</w:t>
            </w:r>
            <w:proofErr w:type="spellEnd"/>
          </w:p>
        </w:tc>
      </w:tr>
      <w:tr w:rsidR="00B05528" w:rsidRPr="002C1513" w14:paraId="53391B4C" w14:textId="77777777" w:rsidTr="00FA7149">
        <w:tc>
          <w:tcPr>
            <w:tcW w:w="9286" w:type="dxa"/>
            <w:gridSpan w:val="5"/>
            <w:shd w:val="clear" w:color="auto" w:fill="auto"/>
          </w:tcPr>
          <w:p w14:paraId="14D53AAF" w14:textId="77777777" w:rsidR="00B05528" w:rsidRPr="002C1513" w:rsidRDefault="00B05528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kostrovej a svalovej sústavy a spojivového tkaniva</w:t>
            </w:r>
          </w:p>
        </w:tc>
      </w:tr>
      <w:tr w:rsidR="00B7408C" w:rsidRPr="002C1513" w14:paraId="7B698D61" w14:textId="77777777" w:rsidTr="00F53BEA">
        <w:tc>
          <w:tcPr>
            <w:tcW w:w="2026" w:type="dxa"/>
            <w:shd w:val="clear" w:color="auto" w:fill="auto"/>
          </w:tcPr>
          <w:p w14:paraId="50D916A3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334657DD" w14:textId="77777777" w:rsidR="00B05528" w:rsidRPr="002C1513" w:rsidRDefault="00B05528" w:rsidP="00B05528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Bolesť svalov a kostí </w:t>
            </w:r>
          </w:p>
          <w:p w14:paraId="2CA57B4C" w14:textId="77777777" w:rsidR="00B7408C" w:rsidRPr="002C1513" w:rsidRDefault="00B05528" w:rsidP="00B05528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Svalový kŕč</w:t>
            </w:r>
          </w:p>
        </w:tc>
        <w:tc>
          <w:tcPr>
            <w:tcW w:w="1903" w:type="dxa"/>
            <w:shd w:val="clear" w:color="auto" w:fill="auto"/>
          </w:tcPr>
          <w:p w14:paraId="6377ED6C" w14:textId="77777777" w:rsidR="00B05528" w:rsidRPr="002C1513" w:rsidRDefault="00B05528" w:rsidP="00B05528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Napätie svalov </w:t>
            </w:r>
          </w:p>
          <w:p w14:paraId="0ADC27C6" w14:textId="77777777" w:rsidR="00B7408C" w:rsidRPr="002C1513" w:rsidRDefault="00B05528" w:rsidP="00B05528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Zášklby</w:t>
            </w:r>
            <w:proofErr w:type="spellEnd"/>
            <w:r w:rsidRPr="002C1513">
              <w:rPr>
                <w:szCs w:val="22"/>
              </w:rPr>
              <w:t xml:space="preserve"> svalov</w:t>
            </w:r>
          </w:p>
        </w:tc>
        <w:tc>
          <w:tcPr>
            <w:tcW w:w="1841" w:type="dxa"/>
            <w:shd w:val="clear" w:color="auto" w:fill="auto"/>
          </w:tcPr>
          <w:p w14:paraId="3AEE7ABF" w14:textId="77777777" w:rsidR="00B7408C" w:rsidRPr="002C1513" w:rsidRDefault="00B05528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Trizmus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69E7C47B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D419A9" w:rsidRPr="002C1513" w14:paraId="0E735190" w14:textId="77777777" w:rsidTr="00FA7149">
        <w:tc>
          <w:tcPr>
            <w:tcW w:w="9286" w:type="dxa"/>
            <w:gridSpan w:val="5"/>
            <w:shd w:val="clear" w:color="auto" w:fill="auto"/>
          </w:tcPr>
          <w:p w14:paraId="1B61B541" w14:textId="77777777" w:rsidR="00D419A9" w:rsidRPr="002C1513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obličiek a močových ciest</w:t>
            </w:r>
          </w:p>
        </w:tc>
      </w:tr>
      <w:tr w:rsidR="00B7408C" w:rsidRPr="002C1513" w14:paraId="0FD1FCF4" w14:textId="77777777" w:rsidTr="00F53BEA">
        <w:tc>
          <w:tcPr>
            <w:tcW w:w="2026" w:type="dxa"/>
            <w:shd w:val="clear" w:color="auto" w:fill="auto"/>
          </w:tcPr>
          <w:p w14:paraId="790CB7B5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77F09602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Dyzúria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63B7C349" w14:textId="77777777" w:rsidR="00B7408C" w:rsidRPr="002C1513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Polakizúria</w:t>
            </w:r>
            <w:proofErr w:type="spellEnd"/>
          </w:p>
        </w:tc>
        <w:tc>
          <w:tcPr>
            <w:tcW w:w="1903" w:type="dxa"/>
            <w:shd w:val="clear" w:color="auto" w:fill="auto"/>
          </w:tcPr>
          <w:p w14:paraId="1BCBAB67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Zadržiavanie moču </w:t>
            </w:r>
          </w:p>
          <w:p w14:paraId="6F7B46C3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Močenie s oneskoreným štartom </w:t>
            </w:r>
          </w:p>
          <w:p w14:paraId="67569774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Noktúria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7FFD3DA4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Polyúria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3132AA20" w14:textId="77777777" w:rsidR="00B7408C" w:rsidRPr="002C1513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Slabý prúd moču</w:t>
            </w:r>
          </w:p>
        </w:tc>
        <w:tc>
          <w:tcPr>
            <w:tcW w:w="1841" w:type="dxa"/>
            <w:shd w:val="clear" w:color="auto" w:fill="auto"/>
          </w:tcPr>
          <w:p w14:paraId="7FB556AD" w14:textId="77777777" w:rsidR="00B7408C" w:rsidRPr="002C1513" w:rsidRDefault="00CF24D5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Nezvyčajný</w:t>
            </w:r>
            <w:r w:rsidR="00D419A9" w:rsidRPr="002C1513">
              <w:rPr>
                <w:szCs w:val="22"/>
              </w:rPr>
              <w:t xml:space="preserve"> zápach moču</w:t>
            </w:r>
          </w:p>
        </w:tc>
        <w:tc>
          <w:tcPr>
            <w:tcW w:w="1747" w:type="dxa"/>
            <w:shd w:val="clear" w:color="auto" w:fill="auto"/>
          </w:tcPr>
          <w:p w14:paraId="6ACB2EDE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D419A9" w:rsidRPr="002C1513" w14:paraId="4241E8D9" w14:textId="77777777" w:rsidTr="00FA7149">
        <w:tc>
          <w:tcPr>
            <w:tcW w:w="9286" w:type="dxa"/>
            <w:gridSpan w:val="5"/>
            <w:shd w:val="clear" w:color="auto" w:fill="auto"/>
          </w:tcPr>
          <w:p w14:paraId="05E1CB53" w14:textId="77777777" w:rsidR="00D419A9" w:rsidRPr="002C1513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Poruchy reprodukčného systému a prsníkov</w:t>
            </w:r>
          </w:p>
        </w:tc>
      </w:tr>
      <w:tr w:rsidR="00B7408C" w:rsidRPr="002C1513" w14:paraId="624E8737" w14:textId="77777777" w:rsidTr="00F53BEA">
        <w:tc>
          <w:tcPr>
            <w:tcW w:w="2026" w:type="dxa"/>
            <w:shd w:val="clear" w:color="auto" w:fill="auto"/>
          </w:tcPr>
          <w:p w14:paraId="758EA16C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7BD3AF35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Erektilná</w:t>
            </w:r>
            <w:proofErr w:type="spellEnd"/>
            <w:r w:rsidRPr="002C1513">
              <w:rPr>
                <w:sz w:val="22"/>
                <w:szCs w:val="22"/>
              </w:rPr>
              <w:t xml:space="preserve"> dysfunkcia </w:t>
            </w:r>
          </w:p>
          <w:p w14:paraId="02F57194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Porucha ejakulácie </w:t>
            </w:r>
          </w:p>
          <w:p w14:paraId="1D12EED8" w14:textId="77777777" w:rsidR="00B7408C" w:rsidRPr="002C1513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Oneskorená ejakulácia</w:t>
            </w:r>
          </w:p>
        </w:tc>
        <w:tc>
          <w:tcPr>
            <w:tcW w:w="1903" w:type="dxa"/>
            <w:shd w:val="clear" w:color="auto" w:fill="auto"/>
          </w:tcPr>
          <w:p w14:paraId="7A619129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Gynekologické krvácanie </w:t>
            </w:r>
          </w:p>
          <w:p w14:paraId="0C0AC7AF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Poruchy menštruácie </w:t>
            </w:r>
          </w:p>
          <w:p w14:paraId="149B4CBC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Sexuálna dysfunkcia </w:t>
            </w:r>
          </w:p>
          <w:p w14:paraId="24DB78B4" w14:textId="77777777" w:rsidR="00B7408C" w:rsidRPr="002C1513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Testikulárna</w:t>
            </w:r>
            <w:proofErr w:type="spellEnd"/>
            <w:r w:rsidRPr="002C1513">
              <w:rPr>
                <w:szCs w:val="22"/>
              </w:rPr>
              <w:t xml:space="preserve"> bolesť</w:t>
            </w:r>
          </w:p>
        </w:tc>
        <w:tc>
          <w:tcPr>
            <w:tcW w:w="1841" w:type="dxa"/>
            <w:shd w:val="clear" w:color="auto" w:fill="auto"/>
          </w:tcPr>
          <w:p w14:paraId="12B251E8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Menopauzálne</w:t>
            </w:r>
            <w:proofErr w:type="spellEnd"/>
            <w:r w:rsidRPr="002C1513">
              <w:rPr>
                <w:sz w:val="22"/>
                <w:szCs w:val="22"/>
              </w:rPr>
              <w:t xml:space="preserve"> symptómy </w:t>
            </w:r>
          </w:p>
          <w:p w14:paraId="5DFCF3D1" w14:textId="77777777" w:rsidR="00B7408C" w:rsidRPr="002C1513" w:rsidRDefault="00CF24D5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proofErr w:type="spellStart"/>
            <w:r w:rsidRPr="002C1513">
              <w:rPr>
                <w:szCs w:val="22"/>
              </w:rPr>
              <w:t>Galaktorea</w:t>
            </w:r>
            <w:proofErr w:type="spellEnd"/>
            <w:r w:rsidRPr="002C1513">
              <w:rPr>
                <w:szCs w:val="22"/>
              </w:rPr>
              <w:t xml:space="preserve"> </w:t>
            </w:r>
            <w:proofErr w:type="spellStart"/>
            <w:r w:rsidRPr="002C1513">
              <w:rPr>
                <w:szCs w:val="22"/>
              </w:rPr>
              <w:t>Hyperpro</w:t>
            </w:r>
            <w:r w:rsidR="00D419A9" w:rsidRPr="002C1513">
              <w:rPr>
                <w:szCs w:val="22"/>
              </w:rPr>
              <w:t>laktinémia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4C227E27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D419A9" w:rsidRPr="002C1513" w14:paraId="795E383F" w14:textId="77777777" w:rsidTr="00FA7149">
        <w:tc>
          <w:tcPr>
            <w:tcW w:w="9286" w:type="dxa"/>
            <w:gridSpan w:val="5"/>
            <w:shd w:val="clear" w:color="auto" w:fill="auto"/>
          </w:tcPr>
          <w:p w14:paraId="79A63C24" w14:textId="77777777" w:rsidR="00D419A9" w:rsidRPr="002C1513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t>Celkové poruchy a reakcie v mieste podania</w:t>
            </w:r>
          </w:p>
        </w:tc>
      </w:tr>
      <w:tr w:rsidR="00B7408C" w:rsidRPr="002C1513" w14:paraId="18D17F3F" w14:textId="77777777" w:rsidTr="00F53BEA">
        <w:tc>
          <w:tcPr>
            <w:tcW w:w="2026" w:type="dxa"/>
            <w:shd w:val="clear" w:color="auto" w:fill="auto"/>
          </w:tcPr>
          <w:p w14:paraId="2EA0BCCD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6777DE4F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proofErr w:type="spellStart"/>
            <w:r w:rsidRPr="002C1513">
              <w:rPr>
                <w:sz w:val="22"/>
                <w:szCs w:val="22"/>
              </w:rPr>
              <w:t>Pády</w:t>
            </w:r>
            <w:r w:rsidRPr="002C1513">
              <w:rPr>
                <w:sz w:val="22"/>
                <w:szCs w:val="22"/>
                <w:vertAlign w:val="superscript"/>
              </w:rPr>
              <w:t>8</w:t>
            </w:r>
            <w:proofErr w:type="spellEnd"/>
            <w:r w:rsidRPr="002C1513">
              <w:rPr>
                <w:sz w:val="22"/>
                <w:szCs w:val="22"/>
              </w:rPr>
              <w:t xml:space="preserve"> </w:t>
            </w:r>
          </w:p>
          <w:p w14:paraId="7C9874BB" w14:textId="77777777" w:rsidR="00B7408C" w:rsidRPr="002C1513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Únava</w:t>
            </w:r>
          </w:p>
        </w:tc>
        <w:tc>
          <w:tcPr>
            <w:tcW w:w="1903" w:type="dxa"/>
            <w:shd w:val="clear" w:color="auto" w:fill="auto"/>
          </w:tcPr>
          <w:p w14:paraId="7FC329AF" w14:textId="77777777" w:rsidR="00D419A9" w:rsidRPr="002C1513" w:rsidRDefault="00D419A9" w:rsidP="00D419A9">
            <w:pPr>
              <w:pStyle w:val="Default"/>
              <w:rPr>
                <w:sz w:val="14"/>
                <w:szCs w:val="14"/>
              </w:rPr>
            </w:pPr>
            <w:r w:rsidRPr="002C1513">
              <w:rPr>
                <w:sz w:val="22"/>
                <w:szCs w:val="22"/>
              </w:rPr>
              <w:t xml:space="preserve">Bolesť v </w:t>
            </w:r>
            <w:proofErr w:type="spellStart"/>
            <w:r w:rsidRPr="002C1513">
              <w:rPr>
                <w:sz w:val="22"/>
                <w:szCs w:val="22"/>
              </w:rPr>
              <w:t>hrudi</w:t>
            </w:r>
            <w:r w:rsidRPr="002C1513">
              <w:rPr>
                <w:sz w:val="22"/>
                <w:szCs w:val="22"/>
                <w:vertAlign w:val="superscript"/>
              </w:rPr>
              <w:t>7</w:t>
            </w:r>
            <w:proofErr w:type="spellEnd"/>
            <w:r w:rsidRPr="002C1513">
              <w:rPr>
                <w:sz w:val="14"/>
                <w:szCs w:val="14"/>
              </w:rPr>
              <w:t xml:space="preserve"> </w:t>
            </w:r>
          </w:p>
          <w:p w14:paraId="7D23133C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Neobvyklé pocity </w:t>
            </w:r>
          </w:p>
          <w:p w14:paraId="45A5DDF5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Pocit chladu </w:t>
            </w:r>
          </w:p>
          <w:p w14:paraId="0740CEE8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Smäd </w:t>
            </w:r>
          </w:p>
          <w:p w14:paraId="5C4E5805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Zimnica </w:t>
            </w:r>
          </w:p>
          <w:p w14:paraId="4493AB6E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Malátnosť </w:t>
            </w:r>
          </w:p>
          <w:p w14:paraId="70247F36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Pocit tepla </w:t>
            </w:r>
          </w:p>
          <w:p w14:paraId="43313C2B" w14:textId="77777777" w:rsidR="00B7408C" w:rsidRPr="002C1513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lastRenderedPageBreak/>
              <w:t>Porucha chôdze</w:t>
            </w:r>
          </w:p>
        </w:tc>
        <w:tc>
          <w:tcPr>
            <w:tcW w:w="1841" w:type="dxa"/>
            <w:shd w:val="clear" w:color="auto" w:fill="auto"/>
          </w:tcPr>
          <w:p w14:paraId="52DE19B5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47" w:type="dxa"/>
            <w:shd w:val="clear" w:color="auto" w:fill="auto"/>
          </w:tcPr>
          <w:p w14:paraId="2D8D17A9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  <w:tr w:rsidR="00D419A9" w:rsidRPr="002C1513" w14:paraId="23AF2D1B" w14:textId="77777777" w:rsidTr="00FA7149">
        <w:tc>
          <w:tcPr>
            <w:tcW w:w="9286" w:type="dxa"/>
            <w:gridSpan w:val="5"/>
            <w:shd w:val="clear" w:color="auto" w:fill="auto"/>
          </w:tcPr>
          <w:p w14:paraId="380B46FD" w14:textId="77777777" w:rsidR="00D419A9" w:rsidRPr="002C1513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i/>
                <w:iCs/>
                <w:szCs w:val="22"/>
              </w:rPr>
              <w:lastRenderedPageBreak/>
              <w:t>Laboratórne a funkčné vyšetrenia</w:t>
            </w:r>
          </w:p>
        </w:tc>
      </w:tr>
      <w:tr w:rsidR="00B7408C" w:rsidRPr="002C1513" w14:paraId="567366B5" w14:textId="77777777" w:rsidTr="00F53BEA">
        <w:tc>
          <w:tcPr>
            <w:tcW w:w="2026" w:type="dxa"/>
            <w:shd w:val="clear" w:color="auto" w:fill="auto"/>
          </w:tcPr>
          <w:p w14:paraId="12622C71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14:paraId="5B4FB767" w14:textId="77777777" w:rsidR="00B7408C" w:rsidRPr="002C1513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Pokles hmotnosti</w:t>
            </w:r>
          </w:p>
        </w:tc>
        <w:tc>
          <w:tcPr>
            <w:tcW w:w="1903" w:type="dxa"/>
            <w:shd w:val="clear" w:color="auto" w:fill="auto"/>
          </w:tcPr>
          <w:p w14:paraId="1C3BC7C8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Nárast hmotnosti </w:t>
            </w:r>
          </w:p>
          <w:p w14:paraId="3C6C0392" w14:textId="77777777" w:rsidR="00D419A9" w:rsidRPr="002C1513" w:rsidRDefault="00D419A9" w:rsidP="00D419A9">
            <w:pPr>
              <w:pStyle w:val="Default"/>
              <w:rPr>
                <w:sz w:val="22"/>
                <w:szCs w:val="22"/>
              </w:rPr>
            </w:pPr>
            <w:r w:rsidRPr="002C1513">
              <w:rPr>
                <w:sz w:val="22"/>
                <w:szCs w:val="22"/>
              </w:rPr>
              <w:t xml:space="preserve">Zvýšená hladina </w:t>
            </w:r>
            <w:proofErr w:type="spellStart"/>
            <w:r w:rsidRPr="002C1513">
              <w:rPr>
                <w:sz w:val="22"/>
                <w:szCs w:val="22"/>
              </w:rPr>
              <w:t>kreatinínfosfoki-názy</w:t>
            </w:r>
            <w:proofErr w:type="spellEnd"/>
            <w:r w:rsidRPr="002C1513">
              <w:rPr>
                <w:sz w:val="22"/>
                <w:szCs w:val="22"/>
              </w:rPr>
              <w:t xml:space="preserve"> v krvi </w:t>
            </w:r>
          </w:p>
          <w:p w14:paraId="16D1CF8F" w14:textId="77777777" w:rsidR="00B7408C" w:rsidRPr="002C1513" w:rsidRDefault="00D419A9" w:rsidP="00D419A9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Zvýšená hladina draslíka v krvi</w:t>
            </w:r>
          </w:p>
        </w:tc>
        <w:tc>
          <w:tcPr>
            <w:tcW w:w="1841" w:type="dxa"/>
            <w:shd w:val="clear" w:color="auto" w:fill="auto"/>
          </w:tcPr>
          <w:p w14:paraId="0A145A6C" w14:textId="77777777" w:rsidR="00B7408C" w:rsidRPr="002C1513" w:rsidRDefault="00D419A9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  <w:r w:rsidRPr="002C1513">
              <w:rPr>
                <w:szCs w:val="22"/>
              </w:rPr>
              <w:t>Zvýšená hladina cholesterolu v krvi</w:t>
            </w:r>
          </w:p>
        </w:tc>
        <w:tc>
          <w:tcPr>
            <w:tcW w:w="1747" w:type="dxa"/>
            <w:shd w:val="clear" w:color="auto" w:fill="auto"/>
          </w:tcPr>
          <w:p w14:paraId="49DDA0EC" w14:textId="77777777" w:rsidR="00B7408C" w:rsidRPr="002C1513" w:rsidRDefault="00B7408C" w:rsidP="00D83A31">
            <w:pPr>
              <w:tabs>
                <w:tab w:val="left" w:pos="567"/>
              </w:tabs>
              <w:spacing w:line="260" w:lineRule="exact"/>
              <w:ind w:left="0" w:firstLine="0"/>
              <w:rPr>
                <w:szCs w:val="22"/>
                <w:u w:val="single"/>
              </w:rPr>
            </w:pPr>
          </w:p>
        </w:tc>
      </w:tr>
    </w:tbl>
    <w:p w14:paraId="243819F4" w14:textId="77777777" w:rsidR="00D419A9" w:rsidRPr="002C1513" w:rsidRDefault="00D419A9" w:rsidP="000B0B4B">
      <w:pPr>
        <w:ind w:left="0" w:firstLine="0"/>
        <w:rPr>
          <w:szCs w:val="22"/>
          <w:u w:val="single"/>
        </w:rPr>
      </w:pPr>
    </w:p>
    <w:p w14:paraId="17486435" w14:textId="77777777" w:rsidR="00CF24D5" w:rsidRPr="002C1513" w:rsidRDefault="00CF24D5" w:rsidP="00CF24D5">
      <w:pPr>
        <w:pStyle w:val="Default"/>
        <w:rPr>
          <w:sz w:val="22"/>
          <w:szCs w:val="22"/>
        </w:rPr>
      </w:pPr>
      <w:r w:rsidRPr="002C1513">
        <w:rPr>
          <w:sz w:val="22"/>
          <w:szCs w:val="22"/>
          <w:vertAlign w:val="superscript"/>
        </w:rPr>
        <w:t>1</w:t>
      </w:r>
      <w:r w:rsidRPr="002C1513">
        <w:rPr>
          <w:sz w:val="22"/>
          <w:szCs w:val="22"/>
        </w:rPr>
        <w:t xml:space="preserve"> Boli hlásené tiež prípady kŕčov a </w:t>
      </w:r>
      <w:proofErr w:type="spellStart"/>
      <w:r w:rsidRPr="002C1513">
        <w:rPr>
          <w:sz w:val="22"/>
          <w:szCs w:val="22"/>
        </w:rPr>
        <w:t>tinnitu</w:t>
      </w:r>
      <w:proofErr w:type="spellEnd"/>
      <w:r w:rsidRPr="002C1513">
        <w:rPr>
          <w:sz w:val="22"/>
          <w:szCs w:val="22"/>
        </w:rPr>
        <w:t xml:space="preserve"> po skončení liečby. </w:t>
      </w:r>
    </w:p>
    <w:p w14:paraId="4F39126E" w14:textId="77777777" w:rsidR="00CF24D5" w:rsidRPr="002C1513" w:rsidRDefault="00CF24D5" w:rsidP="00CF24D5">
      <w:pPr>
        <w:pStyle w:val="Default"/>
        <w:rPr>
          <w:sz w:val="22"/>
          <w:szCs w:val="22"/>
        </w:rPr>
      </w:pPr>
      <w:r w:rsidRPr="002C1513">
        <w:rPr>
          <w:sz w:val="22"/>
          <w:szCs w:val="22"/>
          <w:vertAlign w:val="superscript"/>
        </w:rPr>
        <w:t>2</w:t>
      </w:r>
      <w:r w:rsidRPr="002C1513">
        <w:rPr>
          <w:sz w:val="22"/>
          <w:szCs w:val="22"/>
        </w:rPr>
        <w:t xml:space="preserve"> Boli hlásené prípady </w:t>
      </w:r>
      <w:proofErr w:type="spellStart"/>
      <w:r w:rsidRPr="002C1513">
        <w:rPr>
          <w:sz w:val="22"/>
          <w:szCs w:val="22"/>
        </w:rPr>
        <w:t>ortostatickej</w:t>
      </w:r>
      <w:proofErr w:type="spellEnd"/>
      <w:r w:rsidRPr="002C1513">
        <w:rPr>
          <w:sz w:val="22"/>
          <w:szCs w:val="22"/>
        </w:rPr>
        <w:t xml:space="preserve"> hypotenzie a synkopy hlavne na začiatku liečby. </w:t>
      </w:r>
    </w:p>
    <w:p w14:paraId="5B84E33F" w14:textId="77777777" w:rsidR="00CF24D5" w:rsidRPr="002C1513" w:rsidRDefault="00CF24D5" w:rsidP="00CF24D5">
      <w:pPr>
        <w:pStyle w:val="Default"/>
        <w:rPr>
          <w:sz w:val="22"/>
          <w:szCs w:val="22"/>
        </w:rPr>
      </w:pPr>
      <w:r w:rsidRPr="002C1513">
        <w:rPr>
          <w:sz w:val="22"/>
          <w:szCs w:val="22"/>
          <w:vertAlign w:val="superscript"/>
        </w:rPr>
        <w:t>3</w:t>
      </w:r>
      <w:r w:rsidRPr="002C1513">
        <w:rPr>
          <w:sz w:val="22"/>
          <w:szCs w:val="22"/>
        </w:rPr>
        <w:t xml:space="preserve"> Pozri časť 4.4. </w:t>
      </w:r>
    </w:p>
    <w:p w14:paraId="140EC733" w14:textId="77777777" w:rsidR="00CF24D5" w:rsidRPr="002C1513" w:rsidRDefault="00CF24D5" w:rsidP="00CF24D5">
      <w:pPr>
        <w:pStyle w:val="Default"/>
        <w:rPr>
          <w:sz w:val="22"/>
          <w:szCs w:val="22"/>
        </w:rPr>
      </w:pPr>
      <w:r w:rsidRPr="002C1513">
        <w:rPr>
          <w:sz w:val="22"/>
          <w:szCs w:val="22"/>
          <w:vertAlign w:val="superscript"/>
        </w:rPr>
        <w:t>4</w:t>
      </w:r>
      <w:r w:rsidRPr="002C1513">
        <w:rPr>
          <w:sz w:val="22"/>
          <w:szCs w:val="22"/>
        </w:rPr>
        <w:t xml:space="preserve"> Boli hlásené prípady agresivity a hnevu hlavne na začiatku liečby alebo po skončení liečby. </w:t>
      </w:r>
    </w:p>
    <w:p w14:paraId="15FCA4CE" w14:textId="77777777" w:rsidR="00CF24D5" w:rsidRPr="002C1513" w:rsidRDefault="00CF24D5" w:rsidP="00CF24D5">
      <w:pPr>
        <w:pStyle w:val="Default"/>
        <w:rPr>
          <w:sz w:val="22"/>
          <w:szCs w:val="22"/>
        </w:rPr>
      </w:pPr>
      <w:r w:rsidRPr="002C1513">
        <w:rPr>
          <w:sz w:val="22"/>
          <w:szCs w:val="22"/>
          <w:vertAlign w:val="superscript"/>
        </w:rPr>
        <w:t>5</w:t>
      </w:r>
      <w:r w:rsidRPr="002C1513">
        <w:rPr>
          <w:sz w:val="22"/>
          <w:szCs w:val="22"/>
        </w:rPr>
        <w:t xml:space="preserve"> Boli hlásené prípady samovražedných myšlienok a samovražedného správania počas liečby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alebo v krátkom čase po skončení liečby (pozri časť 4.4). </w:t>
      </w:r>
    </w:p>
    <w:p w14:paraId="184B2BEF" w14:textId="38D2286C" w:rsidR="00CF24D5" w:rsidRPr="002C1513" w:rsidRDefault="00CF24D5" w:rsidP="00CF24D5">
      <w:pPr>
        <w:pStyle w:val="Default"/>
        <w:rPr>
          <w:sz w:val="22"/>
          <w:szCs w:val="22"/>
        </w:rPr>
      </w:pPr>
      <w:r w:rsidRPr="002C1513">
        <w:rPr>
          <w:sz w:val="22"/>
          <w:szCs w:val="22"/>
          <w:vertAlign w:val="superscript"/>
        </w:rPr>
        <w:t xml:space="preserve">6 </w:t>
      </w:r>
      <w:r w:rsidRPr="002C1513">
        <w:rPr>
          <w:sz w:val="22"/>
          <w:szCs w:val="22"/>
        </w:rPr>
        <w:t>Odhadovaná frekvencia nežiaducich reakcií</w:t>
      </w:r>
      <w:r w:rsidR="009F1A3B">
        <w:rPr>
          <w:sz w:val="22"/>
          <w:szCs w:val="22"/>
        </w:rPr>
        <w:t xml:space="preserve"> zo</w:t>
      </w:r>
      <w:r w:rsidRPr="002C1513">
        <w:rPr>
          <w:sz w:val="22"/>
          <w:szCs w:val="22"/>
        </w:rPr>
        <w:t xml:space="preserve"> sledovan</w:t>
      </w:r>
      <w:r w:rsidR="009F1A3B">
        <w:rPr>
          <w:sz w:val="22"/>
          <w:szCs w:val="22"/>
        </w:rPr>
        <w:t>í</w:t>
      </w:r>
      <w:r w:rsidRPr="002C1513">
        <w:rPr>
          <w:sz w:val="22"/>
          <w:szCs w:val="22"/>
        </w:rPr>
        <w:t xml:space="preserve"> po uvedení lieku na trh</w:t>
      </w:r>
      <w:r w:rsidR="009F1A3B">
        <w:rPr>
          <w:sz w:val="22"/>
          <w:szCs w:val="22"/>
        </w:rPr>
        <w:t>, ktoré neboli</w:t>
      </w:r>
      <w:r w:rsidRPr="002C1513">
        <w:rPr>
          <w:sz w:val="22"/>
          <w:szCs w:val="22"/>
        </w:rPr>
        <w:t xml:space="preserve"> pozorované v klinických skúšaniach</w:t>
      </w:r>
      <w:r w:rsidR="009F1A3B" w:rsidRPr="009F1A3B">
        <w:rPr>
          <w:sz w:val="22"/>
          <w:szCs w:val="22"/>
        </w:rPr>
        <w:t xml:space="preserve"> </w:t>
      </w:r>
      <w:r w:rsidR="009F1A3B" w:rsidRPr="002C1513">
        <w:rPr>
          <w:sz w:val="22"/>
          <w:szCs w:val="22"/>
        </w:rPr>
        <w:t>kontrolovaných</w:t>
      </w:r>
      <w:r w:rsidR="009F1A3B" w:rsidRPr="009F1A3B">
        <w:rPr>
          <w:sz w:val="22"/>
          <w:szCs w:val="22"/>
        </w:rPr>
        <w:t xml:space="preserve"> </w:t>
      </w:r>
      <w:r w:rsidR="009F1A3B" w:rsidRPr="002C1513">
        <w:rPr>
          <w:sz w:val="22"/>
          <w:szCs w:val="22"/>
        </w:rPr>
        <w:t>placebom</w:t>
      </w:r>
      <w:r w:rsidRPr="002C1513">
        <w:rPr>
          <w:sz w:val="22"/>
          <w:szCs w:val="22"/>
        </w:rPr>
        <w:t xml:space="preserve">. </w:t>
      </w:r>
    </w:p>
    <w:p w14:paraId="16E1330A" w14:textId="77777777" w:rsidR="00CF24D5" w:rsidRPr="002C1513" w:rsidRDefault="00CF24D5" w:rsidP="00CF24D5">
      <w:pPr>
        <w:pStyle w:val="Default"/>
        <w:rPr>
          <w:sz w:val="22"/>
          <w:szCs w:val="22"/>
        </w:rPr>
      </w:pPr>
      <w:r w:rsidRPr="002C1513">
        <w:rPr>
          <w:sz w:val="22"/>
          <w:szCs w:val="22"/>
          <w:vertAlign w:val="superscript"/>
        </w:rPr>
        <w:t>7</w:t>
      </w:r>
      <w:r w:rsidRPr="002C1513">
        <w:rPr>
          <w:sz w:val="22"/>
          <w:szCs w:val="22"/>
        </w:rPr>
        <w:t xml:space="preserve"> Nie je štatisticky významný rozdiel oproti </w:t>
      </w:r>
      <w:proofErr w:type="spellStart"/>
      <w:r w:rsidRPr="002C1513">
        <w:rPr>
          <w:sz w:val="22"/>
          <w:szCs w:val="22"/>
        </w:rPr>
        <w:t>placebu</w:t>
      </w:r>
      <w:proofErr w:type="spellEnd"/>
      <w:r w:rsidRPr="002C1513">
        <w:rPr>
          <w:sz w:val="22"/>
          <w:szCs w:val="22"/>
        </w:rPr>
        <w:t xml:space="preserve">. </w:t>
      </w:r>
    </w:p>
    <w:p w14:paraId="586FB77C" w14:textId="77777777" w:rsidR="00CF24D5" w:rsidRPr="002C1513" w:rsidRDefault="00CF24D5" w:rsidP="00CF24D5">
      <w:pPr>
        <w:pStyle w:val="Default"/>
        <w:rPr>
          <w:sz w:val="22"/>
          <w:szCs w:val="22"/>
        </w:rPr>
      </w:pPr>
      <w:r w:rsidRPr="002C1513">
        <w:rPr>
          <w:sz w:val="22"/>
          <w:szCs w:val="22"/>
          <w:vertAlign w:val="superscript"/>
        </w:rPr>
        <w:t xml:space="preserve">8 </w:t>
      </w:r>
      <w:r w:rsidRPr="002C1513">
        <w:rPr>
          <w:sz w:val="22"/>
          <w:szCs w:val="22"/>
        </w:rPr>
        <w:t xml:space="preserve">Pády boli častejšie u starších pacientov (≥ 65 rokov). </w:t>
      </w:r>
    </w:p>
    <w:p w14:paraId="50DEFA5F" w14:textId="77777777" w:rsidR="00CF24D5" w:rsidRDefault="00CF24D5" w:rsidP="00CF24D5">
      <w:pPr>
        <w:pStyle w:val="Default"/>
        <w:rPr>
          <w:sz w:val="22"/>
          <w:szCs w:val="22"/>
        </w:rPr>
      </w:pPr>
      <w:r w:rsidRPr="002C1513">
        <w:rPr>
          <w:sz w:val="22"/>
          <w:szCs w:val="22"/>
          <w:vertAlign w:val="superscript"/>
        </w:rPr>
        <w:t>9</w:t>
      </w:r>
      <w:r w:rsidRPr="002C1513">
        <w:rPr>
          <w:sz w:val="22"/>
          <w:szCs w:val="22"/>
        </w:rPr>
        <w:t xml:space="preserve"> Odhadovaná frekvencia na základe údajov zo všetkých klinických skúšaní. </w:t>
      </w:r>
    </w:p>
    <w:p w14:paraId="1537DEB0" w14:textId="77777777" w:rsidR="00FD48C2" w:rsidRPr="00A00C0D" w:rsidRDefault="00FD48C2" w:rsidP="00FD48C2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vertAlign w:val="superscript"/>
          <w:lang w:val="en-US"/>
        </w:rPr>
        <w:t>10</w:t>
      </w:r>
      <w:r w:rsidRPr="00FD48C2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Odhadovaná frekvencia </w:t>
      </w:r>
      <w:proofErr w:type="gramStart"/>
      <w:r w:rsidRPr="002C1513">
        <w:rPr>
          <w:sz w:val="22"/>
          <w:szCs w:val="22"/>
        </w:rPr>
        <w:t>na</w:t>
      </w:r>
      <w:proofErr w:type="gramEnd"/>
      <w:r w:rsidRPr="002C1513">
        <w:rPr>
          <w:sz w:val="22"/>
          <w:szCs w:val="22"/>
        </w:rPr>
        <w:t xml:space="preserve"> základe údajov </w:t>
      </w:r>
      <w:r>
        <w:rPr>
          <w:sz w:val="22"/>
          <w:szCs w:val="22"/>
        </w:rPr>
        <w:t xml:space="preserve">z placebom kontrolovaných </w:t>
      </w:r>
      <w:r w:rsidRPr="002C1513">
        <w:rPr>
          <w:sz w:val="22"/>
          <w:szCs w:val="22"/>
        </w:rPr>
        <w:t>klinických skúšaní.</w:t>
      </w:r>
    </w:p>
    <w:p w14:paraId="50EF11A4" w14:textId="77777777" w:rsidR="00CF24D5" w:rsidRPr="002C1513" w:rsidRDefault="00CF24D5" w:rsidP="00CF24D5">
      <w:pPr>
        <w:pStyle w:val="Default"/>
        <w:rPr>
          <w:i/>
          <w:iCs/>
          <w:sz w:val="22"/>
          <w:szCs w:val="22"/>
        </w:rPr>
      </w:pPr>
    </w:p>
    <w:p w14:paraId="7E84AB33" w14:textId="77777777" w:rsidR="00CF24D5" w:rsidRPr="002C1513" w:rsidRDefault="00CF24D5" w:rsidP="00CF24D5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c. Opis vybraných nežiaducich reakcií </w:t>
      </w:r>
    </w:p>
    <w:p w14:paraId="42A8AF93" w14:textId="77777777" w:rsidR="00CF24D5" w:rsidRPr="002C1513" w:rsidRDefault="00CF24D5" w:rsidP="00CF24D5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Vysadenie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(hlavne náhle) vedie často k vzniku príznakov z vysadenia. Najčastejšie sú hlásené tieto reakcie: závrat, senzorické poruchy (vrátane </w:t>
      </w:r>
      <w:proofErr w:type="spellStart"/>
      <w:r w:rsidRPr="002C1513">
        <w:rPr>
          <w:sz w:val="22"/>
          <w:szCs w:val="22"/>
        </w:rPr>
        <w:t>parestézie</w:t>
      </w:r>
      <w:proofErr w:type="spellEnd"/>
      <w:r w:rsidRPr="002C1513">
        <w:rPr>
          <w:sz w:val="22"/>
          <w:szCs w:val="22"/>
        </w:rPr>
        <w:t xml:space="preserve"> alebo vnemov ako pri elektrickom šoku, najmä v hlave), poruchy spánku (vrátane </w:t>
      </w:r>
      <w:proofErr w:type="spellStart"/>
      <w:r w:rsidRPr="002C1513">
        <w:rPr>
          <w:sz w:val="22"/>
          <w:szCs w:val="22"/>
        </w:rPr>
        <w:t>insomnie</w:t>
      </w:r>
      <w:proofErr w:type="spellEnd"/>
      <w:r w:rsidRPr="002C1513">
        <w:rPr>
          <w:sz w:val="22"/>
          <w:szCs w:val="22"/>
        </w:rPr>
        <w:t xml:space="preserve"> a intenzívnych snov), únava, ospalosť, </w:t>
      </w:r>
      <w:proofErr w:type="spellStart"/>
      <w:r w:rsidRPr="002C1513">
        <w:rPr>
          <w:sz w:val="22"/>
          <w:szCs w:val="22"/>
        </w:rPr>
        <w:t>agitovanosť</w:t>
      </w:r>
      <w:proofErr w:type="spellEnd"/>
      <w:r w:rsidRPr="002C1513">
        <w:rPr>
          <w:sz w:val="22"/>
          <w:szCs w:val="22"/>
        </w:rPr>
        <w:t xml:space="preserve"> alebo úzkosť, </w:t>
      </w:r>
      <w:proofErr w:type="spellStart"/>
      <w:r w:rsidRPr="002C1513">
        <w:rPr>
          <w:sz w:val="22"/>
          <w:szCs w:val="22"/>
        </w:rPr>
        <w:t>nauzea</w:t>
      </w:r>
      <w:proofErr w:type="spellEnd"/>
      <w:r w:rsidRPr="002C1513">
        <w:rPr>
          <w:sz w:val="22"/>
          <w:szCs w:val="22"/>
        </w:rPr>
        <w:t xml:space="preserve"> a/alebo vracanie, tras, bolesť hlavy, </w:t>
      </w:r>
      <w:proofErr w:type="spellStart"/>
      <w:r w:rsidRPr="002C1513">
        <w:rPr>
          <w:sz w:val="22"/>
          <w:szCs w:val="22"/>
        </w:rPr>
        <w:t>myalgia</w:t>
      </w:r>
      <w:proofErr w:type="spellEnd"/>
      <w:r w:rsidRPr="002C1513">
        <w:rPr>
          <w:sz w:val="22"/>
          <w:szCs w:val="22"/>
        </w:rPr>
        <w:t>, podráždenosť, hnačka a zvýšené potenie</w:t>
      </w:r>
      <w:r w:rsidR="009162B8">
        <w:rPr>
          <w:sz w:val="22"/>
          <w:szCs w:val="22"/>
        </w:rPr>
        <w:t xml:space="preserve"> a </w:t>
      </w:r>
      <w:proofErr w:type="spellStart"/>
      <w:r w:rsidR="009162B8">
        <w:rPr>
          <w:sz w:val="22"/>
          <w:szCs w:val="22"/>
        </w:rPr>
        <w:t>vertigo</w:t>
      </w:r>
      <w:proofErr w:type="spellEnd"/>
      <w:r w:rsidRPr="002C1513">
        <w:rPr>
          <w:sz w:val="22"/>
          <w:szCs w:val="22"/>
        </w:rPr>
        <w:t xml:space="preserve">. </w:t>
      </w:r>
    </w:p>
    <w:p w14:paraId="5C64718B" w14:textId="77777777" w:rsidR="00CF24D5" w:rsidRPr="002C1513" w:rsidRDefault="00CF24D5" w:rsidP="00CF24D5">
      <w:pPr>
        <w:ind w:left="0" w:firstLine="0"/>
        <w:rPr>
          <w:szCs w:val="22"/>
        </w:rPr>
      </w:pPr>
    </w:p>
    <w:p w14:paraId="1464C4DB" w14:textId="77777777" w:rsidR="00CF24D5" w:rsidRPr="002C1513" w:rsidRDefault="00CF24D5" w:rsidP="00CF24D5">
      <w:pPr>
        <w:ind w:left="0" w:firstLine="0"/>
        <w:rPr>
          <w:szCs w:val="22"/>
        </w:rPr>
      </w:pPr>
      <w:r w:rsidRPr="002C1513">
        <w:rPr>
          <w:szCs w:val="22"/>
        </w:rPr>
        <w:t xml:space="preserve">Zvyčajne sú tieto reakcie, v prípade SSRI a </w:t>
      </w:r>
      <w:proofErr w:type="spellStart"/>
      <w:r w:rsidRPr="002C1513">
        <w:rPr>
          <w:szCs w:val="22"/>
        </w:rPr>
        <w:t>SNRI</w:t>
      </w:r>
      <w:proofErr w:type="spellEnd"/>
      <w:r w:rsidRPr="002C1513">
        <w:rPr>
          <w:szCs w:val="22"/>
        </w:rPr>
        <w:t xml:space="preserve">, mierne až stredne závažné a samé odznejú, avšak u niektorých pacientov môžu byť závažné a/alebo dlhšieho trvania. Preto sa odporúča, ak nie je liečba </w:t>
      </w:r>
      <w:proofErr w:type="spellStart"/>
      <w:r w:rsidRPr="002C1513">
        <w:rPr>
          <w:szCs w:val="22"/>
        </w:rPr>
        <w:t>duloxetínom</w:t>
      </w:r>
      <w:proofErr w:type="spellEnd"/>
      <w:r w:rsidRPr="002C1513">
        <w:rPr>
          <w:szCs w:val="22"/>
        </w:rPr>
        <w:t xml:space="preserve"> ďalej potrebná, postupné vysadenie liečby znižovaním dávky (pozri časti 4.2 a 4.4).</w:t>
      </w:r>
    </w:p>
    <w:p w14:paraId="78E0B37D" w14:textId="77777777" w:rsidR="0097452B" w:rsidRPr="002C1513" w:rsidRDefault="0097452B" w:rsidP="00CF24D5">
      <w:pPr>
        <w:ind w:left="0" w:firstLine="0"/>
        <w:rPr>
          <w:szCs w:val="22"/>
        </w:rPr>
      </w:pPr>
    </w:p>
    <w:p w14:paraId="5F52A983" w14:textId="77777777" w:rsidR="0097452B" w:rsidRPr="002C1513" w:rsidRDefault="0097452B" w:rsidP="0097452B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 </w:t>
      </w:r>
      <w:proofErr w:type="spellStart"/>
      <w:r w:rsidRPr="002C1513">
        <w:rPr>
          <w:sz w:val="22"/>
          <w:szCs w:val="22"/>
        </w:rPr>
        <w:t>12-týždňovej</w:t>
      </w:r>
      <w:proofErr w:type="spellEnd"/>
      <w:r w:rsidRPr="002C1513">
        <w:rPr>
          <w:sz w:val="22"/>
          <w:szCs w:val="22"/>
        </w:rPr>
        <w:t xml:space="preserve"> akútnej fáze troch klinických štúdií s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u pacientov trpiacich diabetickou </w:t>
      </w:r>
      <w:proofErr w:type="spellStart"/>
      <w:r w:rsidRPr="002C1513">
        <w:rPr>
          <w:sz w:val="22"/>
          <w:szCs w:val="22"/>
        </w:rPr>
        <w:t>neuropatickou</w:t>
      </w:r>
      <w:proofErr w:type="spellEnd"/>
      <w:r w:rsidRPr="002C1513">
        <w:rPr>
          <w:sz w:val="22"/>
          <w:szCs w:val="22"/>
        </w:rPr>
        <w:t xml:space="preserve"> bolesťou došlo u pacientov liečených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k miernemu, avšak štatisticky významnému zvýšeniu hladiny glukózy v krvi nalačno. Hodnoty </w:t>
      </w:r>
      <w:proofErr w:type="spellStart"/>
      <w:r w:rsidRPr="002C1513">
        <w:rPr>
          <w:sz w:val="22"/>
          <w:szCs w:val="22"/>
        </w:rPr>
        <w:t>HbA</w:t>
      </w:r>
      <w:r w:rsidRPr="002C1513">
        <w:rPr>
          <w:sz w:val="14"/>
          <w:szCs w:val="14"/>
        </w:rPr>
        <w:t>1c</w:t>
      </w:r>
      <w:proofErr w:type="spellEnd"/>
      <w:r w:rsidRPr="002C1513">
        <w:rPr>
          <w:sz w:val="14"/>
          <w:szCs w:val="14"/>
        </w:rPr>
        <w:t xml:space="preserve"> </w:t>
      </w:r>
      <w:r w:rsidRPr="002C1513">
        <w:rPr>
          <w:sz w:val="22"/>
          <w:szCs w:val="22"/>
        </w:rPr>
        <w:t xml:space="preserve">boli stabilné aj u pacientov liečených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aj u pacientov s placebom. V následnej fáze týchto štúdií, ktorá trvala až 52 týždňov, sa objavilo v oboch skupinách pacientov zvýšenie hodnoty </w:t>
      </w:r>
      <w:proofErr w:type="spellStart"/>
      <w:r w:rsidRPr="002C1513">
        <w:rPr>
          <w:sz w:val="22"/>
          <w:szCs w:val="22"/>
        </w:rPr>
        <w:t>HbA</w:t>
      </w:r>
      <w:r w:rsidRPr="002C1513">
        <w:rPr>
          <w:sz w:val="14"/>
          <w:szCs w:val="14"/>
        </w:rPr>
        <w:t>1c</w:t>
      </w:r>
      <w:proofErr w:type="spellEnd"/>
      <w:r w:rsidRPr="002C1513">
        <w:rPr>
          <w:sz w:val="22"/>
          <w:szCs w:val="22"/>
        </w:rPr>
        <w:t xml:space="preserve">, pričom priemerné zvýšenie bolo o 0,3 % vyššie v skupine pacientov liečených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. Zaznamenalo sa tiež mierne zvýšenie glukózy v krvi nalačno a celkového cholesterolu u pacientov liečených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, pričom tieto laboratórne testy v kontrolnej skupine ukázali mierny pokles. </w:t>
      </w:r>
    </w:p>
    <w:p w14:paraId="013DDE09" w14:textId="77777777" w:rsidR="0097452B" w:rsidRPr="002C1513" w:rsidRDefault="0097452B" w:rsidP="0097452B">
      <w:pPr>
        <w:pStyle w:val="Default"/>
        <w:rPr>
          <w:sz w:val="22"/>
          <w:szCs w:val="22"/>
        </w:rPr>
      </w:pPr>
    </w:p>
    <w:p w14:paraId="3D7BB1C6" w14:textId="77777777" w:rsidR="0097452B" w:rsidRPr="002C1513" w:rsidRDefault="0097452B" w:rsidP="0097452B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QT</w:t>
      </w:r>
      <w:proofErr w:type="spellEnd"/>
      <w:r w:rsidRPr="002C1513">
        <w:rPr>
          <w:sz w:val="22"/>
          <w:szCs w:val="22"/>
        </w:rPr>
        <w:t xml:space="preserve"> interval korigovaný podľa srdcovej frekvencie sa u pacientov liečených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nelíšil od toho zisteného u placebom liečených pacientov. V rámci porovnania pacientov liečených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 pacientov liečených placebom pri meraniach </w:t>
      </w:r>
      <w:proofErr w:type="spellStart"/>
      <w:r w:rsidRPr="002C1513">
        <w:rPr>
          <w:sz w:val="22"/>
          <w:szCs w:val="22"/>
        </w:rPr>
        <w:t>QT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PR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QRS</w:t>
      </w:r>
      <w:proofErr w:type="spellEnd"/>
      <w:r w:rsidRPr="002C1513">
        <w:rPr>
          <w:sz w:val="22"/>
          <w:szCs w:val="22"/>
        </w:rPr>
        <w:t xml:space="preserve">, a </w:t>
      </w:r>
      <w:proofErr w:type="spellStart"/>
      <w:r w:rsidRPr="002C1513">
        <w:rPr>
          <w:sz w:val="22"/>
          <w:szCs w:val="22"/>
        </w:rPr>
        <w:t>QTcB</w:t>
      </w:r>
      <w:proofErr w:type="spellEnd"/>
      <w:r w:rsidRPr="002C1513">
        <w:rPr>
          <w:sz w:val="22"/>
          <w:szCs w:val="22"/>
        </w:rPr>
        <w:t xml:space="preserve"> žiadne klinicky významné rozdiely zistené neboli. </w:t>
      </w:r>
    </w:p>
    <w:p w14:paraId="4D5FBCBE" w14:textId="77777777" w:rsidR="0097452B" w:rsidRPr="002C1513" w:rsidRDefault="0097452B" w:rsidP="0097452B">
      <w:pPr>
        <w:pStyle w:val="Default"/>
        <w:rPr>
          <w:sz w:val="22"/>
          <w:szCs w:val="22"/>
        </w:rPr>
      </w:pPr>
    </w:p>
    <w:p w14:paraId="6CD892B9" w14:textId="77777777" w:rsidR="0097452B" w:rsidRPr="002C1513" w:rsidRDefault="0097452B" w:rsidP="0097452B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d. Pediatrická populácia </w:t>
      </w:r>
    </w:p>
    <w:p w14:paraId="4B81AAE8" w14:textId="77777777" w:rsidR="0097452B" w:rsidRPr="002C1513" w:rsidRDefault="0097452B" w:rsidP="0097452B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 klinických štúdiách bolo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liečených celkovo 509 pediatrických </w:t>
      </w:r>
      <w:proofErr w:type="spellStart"/>
      <w:r w:rsidRPr="002C1513">
        <w:rPr>
          <w:sz w:val="22"/>
          <w:szCs w:val="22"/>
        </w:rPr>
        <w:t>pacietov</w:t>
      </w:r>
      <w:proofErr w:type="spellEnd"/>
      <w:r w:rsidRPr="002C1513">
        <w:rPr>
          <w:sz w:val="22"/>
          <w:szCs w:val="22"/>
        </w:rPr>
        <w:t xml:space="preserve"> s veľkou depresívnou poruchou vo veku 7 až 17 rokov a 241 pediatrických pacientov s generalizovanou úzkostnou poruchou vo veku 7 až 17 rokov. Vo všeobecnosti bol profil nežiaducich reakcií u detí a dospievajúcich podobný tomu u dospelých. </w:t>
      </w:r>
    </w:p>
    <w:p w14:paraId="48866F1B" w14:textId="77777777" w:rsidR="0097452B" w:rsidRPr="002C1513" w:rsidRDefault="0097452B" w:rsidP="0097452B">
      <w:pPr>
        <w:pStyle w:val="Default"/>
        <w:rPr>
          <w:sz w:val="22"/>
          <w:szCs w:val="22"/>
        </w:rPr>
      </w:pPr>
    </w:p>
    <w:p w14:paraId="68613D11" w14:textId="77777777" w:rsidR="0097452B" w:rsidRPr="002C1513" w:rsidRDefault="00414FCB" w:rsidP="0097452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 Celkovo u</w:t>
      </w:r>
      <w:r w:rsidR="0097452B" w:rsidRPr="002C1513">
        <w:rPr>
          <w:sz w:val="22"/>
          <w:szCs w:val="22"/>
        </w:rPr>
        <w:t xml:space="preserve"> 467 pediatrických pacientoch pôvodne randomizovaných na </w:t>
      </w:r>
      <w:proofErr w:type="spellStart"/>
      <w:r w:rsidR="0097452B" w:rsidRPr="002C1513">
        <w:rPr>
          <w:sz w:val="22"/>
          <w:szCs w:val="22"/>
        </w:rPr>
        <w:t>duloxetín</w:t>
      </w:r>
      <w:proofErr w:type="spellEnd"/>
      <w:r w:rsidR="0097452B" w:rsidRPr="002C1513">
        <w:rPr>
          <w:sz w:val="22"/>
          <w:szCs w:val="22"/>
        </w:rPr>
        <w:t xml:space="preserve"> v klinických štúdiách došlo k zníženiu hmotnosti v priemere o 0,1 kg počas 10 týždňov v porovnaní s nárastom v priemere o 0,9 kg u 353 pacientov užívajúcich </w:t>
      </w:r>
      <w:proofErr w:type="spellStart"/>
      <w:r w:rsidR="0097452B" w:rsidRPr="002C1513">
        <w:rPr>
          <w:sz w:val="22"/>
          <w:szCs w:val="22"/>
        </w:rPr>
        <w:t>placebo</w:t>
      </w:r>
      <w:proofErr w:type="spellEnd"/>
      <w:r w:rsidR="0097452B" w:rsidRPr="002C1513">
        <w:rPr>
          <w:sz w:val="22"/>
          <w:szCs w:val="22"/>
        </w:rPr>
        <w:t xml:space="preserve">. Následne, počas 4- až </w:t>
      </w:r>
      <w:proofErr w:type="spellStart"/>
      <w:r w:rsidR="0097452B" w:rsidRPr="002C1513">
        <w:rPr>
          <w:sz w:val="22"/>
          <w:szCs w:val="22"/>
        </w:rPr>
        <w:t>6-mesačnej</w:t>
      </w:r>
      <w:proofErr w:type="spellEnd"/>
      <w:r w:rsidR="0097452B" w:rsidRPr="002C1513">
        <w:rPr>
          <w:sz w:val="22"/>
          <w:szCs w:val="22"/>
        </w:rPr>
        <w:t xml:space="preserve"> predĺženej </w:t>
      </w:r>
      <w:r w:rsidR="0097452B" w:rsidRPr="002C1513">
        <w:rPr>
          <w:sz w:val="22"/>
          <w:szCs w:val="22"/>
        </w:rPr>
        <w:lastRenderedPageBreak/>
        <w:t xml:space="preserve">fázy mali pacienti v priemere tendenciu k návratu k svojmu pôvodnému </w:t>
      </w:r>
      <w:proofErr w:type="spellStart"/>
      <w:r w:rsidR="0097452B" w:rsidRPr="002C1513">
        <w:rPr>
          <w:sz w:val="22"/>
          <w:szCs w:val="22"/>
        </w:rPr>
        <w:t>percentilu</w:t>
      </w:r>
      <w:proofErr w:type="spellEnd"/>
      <w:r w:rsidR="0097452B" w:rsidRPr="002C1513">
        <w:rPr>
          <w:sz w:val="22"/>
          <w:szCs w:val="22"/>
        </w:rPr>
        <w:t xml:space="preserve"> hmotnosti očakávanému na základe populačných údajov o veku a pohlaví rovesníkov . </w:t>
      </w:r>
    </w:p>
    <w:p w14:paraId="7570A258" w14:textId="77777777" w:rsidR="0097452B" w:rsidRPr="002C1513" w:rsidRDefault="0097452B" w:rsidP="0097452B">
      <w:pPr>
        <w:ind w:left="0" w:firstLine="0"/>
        <w:rPr>
          <w:szCs w:val="22"/>
        </w:rPr>
      </w:pPr>
    </w:p>
    <w:p w14:paraId="7D10FCC1" w14:textId="77777777" w:rsidR="0097452B" w:rsidRPr="002C1513" w:rsidRDefault="0097452B" w:rsidP="0097452B">
      <w:pPr>
        <w:ind w:left="0" w:firstLine="0"/>
        <w:rPr>
          <w:szCs w:val="22"/>
          <w:u w:val="single"/>
        </w:rPr>
      </w:pPr>
      <w:r w:rsidRPr="002C1513">
        <w:rPr>
          <w:szCs w:val="22"/>
        </w:rPr>
        <w:t xml:space="preserve">V klinických štúdiách v trvaní najviac 9 mesiacov bol u pediatrických pacientov liečených </w:t>
      </w:r>
      <w:proofErr w:type="spellStart"/>
      <w:r w:rsidRPr="002C1513">
        <w:rPr>
          <w:szCs w:val="22"/>
        </w:rPr>
        <w:t>duloxetínom</w:t>
      </w:r>
      <w:proofErr w:type="spellEnd"/>
      <w:r w:rsidRPr="002C1513">
        <w:rPr>
          <w:szCs w:val="22"/>
        </w:rPr>
        <w:t xml:space="preserve"> v </w:t>
      </w:r>
      <w:proofErr w:type="spellStart"/>
      <w:r w:rsidRPr="002C1513">
        <w:rPr>
          <w:szCs w:val="22"/>
        </w:rPr>
        <w:t>percentilovom</w:t>
      </w:r>
      <w:proofErr w:type="spellEnd"/>
      <w:r w:rsidRPr="002C1513">
        <w:rPr>
          <w:szCs w:val="22"/>
        </w:rPr>
        <w:t xml:space="preserve"> grafe telesnej výšky pozorovaný celkový priemerný pokles o 1 % (pokles o 2 % u detí (7-11 rokov) a nárast o 0,3 % u dospievajúcich (12-17 rokov)) (pozri časť 4.4).</w:t>
      </w:r>
    </w:p>
    <w:p w14:paraId="0FBD82CF" w14:textId="77777777" w:rsidR="00CF24D5" w:rsidRPr="002C1513" w:rsidRDefault="00CF24D5" w:rsidP="000B0B4B">
      <w:pPr>
        <w:ind w:left="0" w:firstLine="0"/>
        <w:rPr>
          <w:szCs w:val="22"/>
          <w:u w:val="single"/>
        </w:rPr>
      </w:pPr>
    </w:p>
    <w:p w14:paraId="744FFB10" w14:textId="77777777" w:rsidR="000B0B4B" w:rsidRPr="002C1513" w:rsidRDefault="000B0B4B" w:rsidP="00376951">
      <w:pPr>
        <w:keepNext/>
        <w:ind w:left="0" w:firstLine="0"/>
        <w:rPr>
          <w:szCs w:val="22"/>
          <w:u w:val="single"/>
        </w:rPr>
      </w:pPr>
      <w:r w:rsidRPr="002C1513">
        <w:rPr>
          <w:szCs w:val="22"/>
          <w:u w:val="single"/>
        </w:rPr>
        <w:t>Hlásenie podozrení na nežiaduce reakcie</w:t>
      </w:r>
    </w:p>
    <w:p w14:paraId="3B5F9A09" w14:textId="51691061" w:rsidR="000B0B4B" w:rsidRPr="002C1513" w:rsidRDefault="000B0B4B" w:rsidP="00376951">
      <w:pPr>
        <w:keepNext/>
        <w:ind w:left="0" w:firstLine="0"/>
        <w:rPr>
          <w:szCs w:val="22"/>
        </w:rPr>
      </w:pPr>
      <w:r w:rsidRPr="002C1513">
        <w:rPr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B73DC0">
        <w:rPr>
          <w:szCs w:val="22"/>
        </w:rPr>
        <w:t>na</w:t>
      </w:r>
      <w:r w:rsidRPr="002C1513">
        <w:rPr>
          <w:szCs w:val="22"/>
        </w:rPr>
        <w:t xml:space="preserve"> </w:t>
      </w:r>
      <w:r w:rsidRPr="002C1513">
        <w:rPr>
          <w:szCs w:val="22"/>
          <w:highlight w:val="lightGray"/>
        </w:rPr>
        <w:t>národné</w:t>
      </w:r>
      <w:r w:rsidR="00B73DC0">
        <w:rPr>
          <w:szCs w:val="22"/>
          <w:highlight w:val="lightGray"/>
        </w:rPr>
        <w:t xml:space="preserve"> centrum</w:t>
      </w:r>
      <w:r w:rsidRPr="00421221">
        <w:rPr>
          <w:highlight w:val="lightGray"/>
        </w:rPr>
        <w:t xml:space="preserve"> hlásenia </w:t>
      </w:r>
      <w:r w:rsidRPr="002C1513">
        <w:rPr>
          <w:szCs w:val="22"/>
          <w:highlight w:val="lightGray"/>
        </w:rPr>
        <w:t>uvedené</w:t>
      </w:r>
      <w:r w:rsidRPr="00421221">
        <w:rPr>
          <w:highlight w:val="lightGray"/>
        </w:rPr>
        <w:t xml:space="preserve"> v </w:t>
      </w:r>
      <w:hyperlink r:id="rId9" w:history="1">
        <w:r w:rsidRPr="00421221">
          <w:rPr>
            <w:rStyle w:val="Hypertextovprepojenie"/>
            <w:highlight w:val="lightGray"/>
          </w:rPr>
          <w:t>Prílohe V</w:t>
        </w:r>
      </w:hyperlink>
      <w:r w:rsidRPr="00421221">
        <w:rPr>
          <w:highlight w:val="lightGray"/>
        </w:rPr>
        <w:t>.</w:t>
      </w:r>
    </w:p>
    <w:p w14:paraId="5DA5239C" w14:textId="77777777" w:rsidR="009D3920" w:rsidRPr="00376951" w:rsidRDefault="009D3920" w:rsidP="00527DED">
      <w:pPr>
        <w:ind w:left="0" w:firstLine="0"/>
        <w:rPr>
          <w:szCs w:val="22"/>
        </w:rPr>
      </w:pPr>
    </w:p>
    <w:p w14:paraId="2353F76F" w14:textId="77777777" w:rsidR="00FF6BE0" w:rsidRPr="002C1513" w:rsidRDefault="00FF6BE0" w:rsidP="00527DED">
      <w:pPr>
        <w:rPr>
          <w:szCs w:val="22"/>
        </w:rPr>
      </w:pPr>
      <w:r w:rsidRPr="002C1513">
        <w:rPr>
          <w:b/>
          <w:szCs w:val="22"/>
        </w:rPr>
        <w:t>4.9</w:t>
      </w:r>
      <w:r w:rsidRPr="002C1513">
        <w:rPr>
          <w:b/>
          <w:szCs w:val="22"/>
        </w:rPr>
        <w:tab/>
        <w:t>Predávkovanie</w:t>
      </w:r>
    </w:p>
    <w:p w14:paraId="6748160B" w14:textId="77777777" w:rsidR="0097452B" w:rsidRPr="002C1513" w:rsidRDefault="0097452B" w:rsidP="0097452B">
      <w:pPr>
        <w:pStyle w:val="Default"/>
        <w:rPr>
          <w:sz w:val="22"/>
          <w:szCs w:val="22"/>
        </w:rPr>
      </w:pPr>
    </w:p>
    <w:p w14:paraId="53829117" w14:textId="77777777" w:rsidR="0097452B" w:rsidRPr="002C1513" w:rsidRDefault="0097452B" w:rsidP="0097452B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Zaznamenali prípady predávkovania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samotným alebo v kombinácii s inými liekmi, v dávke 5 400 mg. Vyskytlo sa i niekoľko prípadov úmrtia, najmä pri predávkovaní kombináciou liekov, ale aj pri predávkovaní samotným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v dávke približne 1000 mg. Prejavy a symptómy predávkovania (samotným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alebo v kombinácii s inými liekmi) zahŕňajú </w:t>
      </w:r>
      <w:proofErr w:type="spellStart"/>
      <w:r w:rsidRPr="002C1513">
        <w:rPr>
          <w:sz w:val="22"/>
          <w:szCs w:val="22"/>
        </w:rPr>
        <w:t>somnolenciu</w:t>
      </w:r>
      <w:proofErr w:type="spellEnd"/>
      <w:r w:rsidRPr="002C1513">
        <w:rPr>
          <w:sz w:val="22"/>
          <w:szCs w:val="22"/>
        </w:rPr>
        <w:t xml:space="preserve">, bezvedomie, </w:t>
      </w:r>
      <w:proofErr w:type="spellStart"/>
      <w:r w:rsidRPr="002C1513">
        <w:rPr>
          <w:sz w:val="22"/>
          <w:szCs w:val="22"/>
        </w:rPr>
        <w:t>sérotonínový</w:t>
      </w:r>
      <w:proofErr w:type="spellEnd"/>
      <w:r w:rsidRPr="002C1513">
        <w:rPr>
          <w:sz w:val="22"/>
          <w:szCs w:val="22"/>
        </w:rPr>
        <w:t xml:space="preserve"> syndróm, záchvaty, vracanie a </w:t>
      </w:r>
      <w:proofErr w:type="spellStart"/>
      <w:r w:rsidRPr="002C1513">
        <w:rPr>
          <w:sz w:val="22"/>
          <w:szCs w:val="22"/>
        </w:rPr>
        <w:t>tachykardiu</w:t>
      </w:r>
      <w:proofErr w:type="spellEnd"/>
      <w:r w:rsidRPr="002C1513">
        <w:rPr>
          <w:sz w:val="22"/>
          <w:szCs w:val="22"/>
        </w:rPr>
        <w:t xml:space="preserve">. </w:t>
      </w:r>
    </w:p>
    <w:p w14:paraId="53050B2D" w14:textId="77777777" w:rsidR="0097452B" w:rsidRPr="002C1513" w:rsidRDefault="0097452B" w:rsidP="0097452B">
      <w:pPr>
        <w:ind w:left="0" w:firstLine="0"/>
        <w:rPr>
          <w:szCs w:val="22"/>
        </w:rPr>
      </w:pPr>
    </w:p>
    <w:p w14:paraId="038AA5CD" w14:textId="77777777" w:rsidR="00DD64E1" w:rsidRPr="002C1513" w:rsidRDefault="0097452B" w:rsidP="0097452B">
      <w:pPr>
        <w:ind w:left="0" w:firstLine="0"/>
        <w:rPr>
          <w:szCs w:val="22"/>
        </w:rPr>
      </w:pPr>
      <w:r w:rsidRPr="002C1513">
        <w:rPr>
          <w:szCs w:val="22"/>
        </w:rPr>
        <w:t xml:space="preserve">Nie je známe žiadne špecifické </w:t>
      </w:r>
      <w:proofErr w:type="spellStart"/>
      <w:r w:rsidRPr="002C1513">
        <w:rPr>
          <w:szCs w:val="22"/>
        </w:rPr>
        <w:t>antidotum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duloxetínu</w:t>
      </w:r>
      <w:proofErr w:type="spellEnd"/>
      <w:r w:rsidRPr="002C1513">
        <w:rPr>
          <w:szCs w:val="22"/>
        </w:rPr>
        <w:t xml:space="preserve">, ale ak sa vyskytne </w:t>
      </w:r>
      <w:proofErr w:type="spellStart"/>
      <w:r w:rsidRPr="002C1513">
        <w:rPr>
          <w:szCs w:val="22"/>
        </w:rPr>
        <w:t>sérotonínový</w:t>
      </w:r>
      <w:proofErr w:type="spellEnd"/>
      <w:r w:rsidRPr="002C1513">
        <w:rPr>
          <w:szCs w:val="22"/>
        </w:rPr>
        <w:t xml:space="preserve"> syndróm, má sa zvážiť špecifická liečba (ako je </w:t>
      </w:r>
      <w:proofErr w:type="spellStart"/>
      <w:r w:rsidRPr="002C1513">
        <w:rPr>
          <w:szCs w:val="22"/>
        </w:rPr>
        <w:t>cyproheptadín</w:t>
      </w:r>
      <w:proofErr w:type="spellEnd"/>
      <w:r w:rsidRPr="002C1513">
        <w:rPr>
          <w:szCs w:val="22"/>
        </w:rPr>
        <w:t xml:space="preserve"> a/alebo kontrola teploty). Je potrebné zabezpečiť priechodnosť dýchacích ciest. Zároveň sa odporúča monitorovať funkciu srdca ako aj všetky vitálne funkcie, spolu s náležitými symptomatickými a podpornými opatreniami. Výplach žalúdka sa môže indikovať, ak je prevedený ihneď po požití alebo u symptomatických pacientov. Aktívne uhlie môže byť prospešné na obmedzenie absorpcie. </w:t>
      </w:r>
      <w:proofErr w:type="spellStart"/>
      <w:r w:rsidRPr="002C1513">
        <w:rPr>
          <w:szCs w:val="22"/>
        </w:rPr>
        <w:t>Duloxetín</w:t>
      </w:r>
      <w:proofErr w:type="spellEnd"/>
      <w:r w:rsidRPr="002C1513">
        <w:rPr>
          <w:szCs w:val="22"/>
        </w:rPr>
        <w:t xml:space="preserve"> má rozsiahly objem distribúcie a je málo pravdepodobné, že by forsírovaná </w:t>
      </w:r>
      <w:proofErr w:type="spellStart"/>
      <w:r w:rsidRPr="002C1513">
        <w:rPr>
          <w:szCs w:val="22"/>
        </w:rPr>
        <w:t>diuréza</w:t>
      </w:r>
      <w:proofErr w:type="spellEnd"/>
      <w:r w:rsidRPr="002C1513">
        <w:rPr>
          <w:szCs w:val="22"/>
        </w:rPr>
        <w:t xml:space="preserve">, </w:t>
      </w:r>
      <w:proofErr w:type="spellStart"/>
      <w:r w:rsidRPr="002C1513">
        <w:rPr>
          <w:szCs w:val="22"/>
        </w:rPr>
        <w:t>hemoperfúzia</w:t>
      </w:r>
      <w:proofErr w:type="spellEnd"/>
      <w:r w:rsidRPr="002C1513">
        <w:rPr>
          <w:szCs w:val="22"/>
        </w:rPr>
        <w:t xml:space="preserve"> či výmenná </w:t>
      </w:r>
      <w:proofErr w:type="spellStart"/>
      <w:r w:rsidRPr="002C1513">
        <w:rPr>
          <w:szCs w:val="22"/>
        </w:rPr>
        <w:t>perfúzia</w:t>
      </w:r>
      <w:proofErr w:type="spellEnd"/>
      <w:r w:rsidRPr="002C1513">
        <w:rPr>
          <w:szCs w:val="22"/>
        </w:rPr>
        <w:t xml:space="preserve"> mohli byť v tomto prípade prospešné.</w:t>
      </w:r>
    </w:p>
    <w:p w14:paraId="790764E3" w14:textId="77777777" w:rsidR="007B0633" w:rsidRPr="00376951" w:rsidRDefault="007B0633" w:rsidP="00527DED">
      <w:pPr>
        <w:rPr>
          <w:szCs w:val="22"/>
        </w:rPr>
      </w:pPr>
    </w:p>
    <w:p w14:paraId="2BB65A3E" w14:textId="77777777" w:rsidR="0097452B" w:rsidRPr="00376951" w:rsidRDefault="0097452B" w:rsidP="00527DED">
      <w:pPr>
        <w:rPr>
          <w:szCs w:val="22"/>
        </w:rPr>
      </w:pPr>
    </w:p>
    <w:p w14:paraId="0DB0C715" w14:textId="77777777" w:rsidR="00FF6BE0" w:rsidRPr="002C1513" w:rsidRDefault="00FF6BE0" w:rsidP="00527DED">
      <w:pPr>
        <w:rPr>
          <w:szCs w:val="22"/>
        </w:rPr>
      </w:pPr>
      <w:r w:rsidRPr="002C1513">
        <w:rPr>
          <w:b/>
          <w:szCs w:val="22"/>
        </w:rPr>
        <w:t>5.</w:t>
      </w:r>
      <w:r w:rsidRPr="002C1513">
        <w:rPr>
          <w:b/>
          <w:szCs w:val="22"/>
        </w:rPr>
        <w:tab/>
        <w:t>FARMAKOLOGICKÉ VLASTNOSTI</w:t>
      </w:r>
    </w:p>
    <w:p w14:paraId="51D219D7" w14:textId="77777777" w:rsidR="00FF6BE0" w:rsidRPr="002C1513" w:rsidRDefault="00FF6BE0" w:rsidP="00527DED">
      <w:pPr>
        <w:rPr>
          <w:bCs/>
          <w:szCs w:val="22"/>
        </w:rPr>
      </w:pPr>
    </w:p>
    <w:p w14:paraId="04362334" w14:textId="77777777" w:rsidR="00AE4E01" w:rsidRPr="002C1513" w:rsidRDefault="00AE4E01" w:rsidP="00527DED">
      <w:pPr>
        <w:rPr>
          <w:szCs w:val="22"/>
        </w:rPr>
      </w:pPr>
      <w:r w:rsidRPr="002C1513">
        <w:rPr>
          <w:b/>
          <w:szCs w:val="22"/>
        </w:rPr>
        <w:t>5.1</w:t>
      </w:r>
      <w:r w:rsidRPr="002C1513">
        <w:rPr>
          <w:b/>
          <w:szCs w:val="22"/>
        </w:rPr>
        <w:tab/>
      </w:r>
      <w:proofErr w:type="spellStart"/>
      <w:r w:rsidRPr="002C1513">
        <w:rPr>
          <w:b/>
          <w:szCs w:val="22"/>
        </w:rPr>
        <w:t>Farmakodynamické</w:t>
      </w:r>
      <w:proofErr w:type="spellEnd"/>
      <w:r w:rsidRPr="002C1513">
        <w:rPr>
          <w:b/>
          <w:szCs w:val="22"/>
        </w:rPr>
        <w:t xml:space="preserve"> vlastnosti</w:t>
      </w:r>
    </w:p>
    <w:p w14:paraId="2BF12A0E" w14:textId="77777777" w:rsidR="00AE4E01" w:rsidRPr="002C1513" w:rsidRDefault="00AE4E01" w:rsidP="00527DED">
      <w:pPr>
        <w:rPr>
          <w:szCs w:val="22"/>
        </w:rPr>
      </w:pPr>
    </w:p>
    <w:p w14:paraId="5DE71C59" w14:textId="77777777" w:rsidR="00952B3E" w:rsidRPr="002C1513" w:rsidRDefault="00AE4E01" w:rsidP="00665AB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proofErr w:type="spellStart"/>
      <w:r w:rsidRPr="002C1513">
        <w:rPr>
          <w:szCs w:val="22"/>
          <w:lang w:eastAsia="ja-JP"/>
        </w:rPr>
        <w:t>Farmakoterapeutická</w:t>
      </w:r>
      <w:proofErr w:type="spellEnd"/>
      <w:r w:rsidRPr="002C1513">
        <w:rPr>
          <w:szCs w:val="22"/>
          <w:lang w:eastAsia="ja-JP"/>
        </w:rPr>
        <w:t xml:space="preserve"> skupina:</w:t>
      </w:r>
      <w:r w:rsidR="00231034" w:rsidRPr="002C1513">
        <w:rPr>
          <w:szCs w:val="22"/>
          <w:lang w:eastAsia="ja-JP"/>
        </w:rPr>
        <w:t xml:space="preserve"> </w:t>
      </w:r>
      <w:r w:rsidR="00665AB2" w:rsidRPr="002C1513">
        <w:rPr>
          <w:szCs w:val="22"/>
        </w:rPr>
        <w:t xml:space="preserve">Iné </w:t>
      </w:r>
      <w:proofErr w:type="spellStart"/>
      <w:r w:rsidR="00665AB2" w:rsidRPr="002C1513">
        <w:rPr>
          <w:szCs w:val="22"/>
        </w:rPr>
        <w:t>antidepresíva</w:t>
      </w:r>
      <w:proofErr w:type="spellEnd"/>
      <w:r w:rsidR="00665AB2" w:rsidRPr="002C1513">
        <w:rPr>
          <w:szCs w:val="22"/>
        </w:rPr>
        <w:t xml:space="preserve">, </w:t>
      </w:r>
      <w:proofErr w:type="spellStart"/>
      <w:r w:rsidR="00665AB2" w:rsidRPr="002C1513">
        <w:rPr>
          <w:szCs w:val="22"/>
        </w:rPr>
        <w:t>ATC</w:t>
      </w:r>
      <w:proofErr w:type="spellEnd"/>
      <w:r w:rsidR="00665AB2" w:rsidRPr="002C1513">
        <w:rPr>
          <w:szCs w:val="22"/>
        </w:rPr>
        <w:t xml:space="preserve"> kód: </w:t>
      </w:r>
      <w:proofErr w:type="spellStart"/>
      <w:r w:rsidR="00665AB2" w:rsidRPr="002C1513">
        <w:rPr>
          <w:szCs w:val="22"/>
        </w:rPr>
        <w:t>N06AX21</w:t>
      </w:r>
      <w:proofErr w:type="spellEnd"/>
      <w:r w:rsidR="00665AB2" w:rsidRPr="002C1513">
        <w:rPr>
          <w:szCs w:val="22"/>
        </w:rPr>
        <w:t>.</w:t>
      </w:r>
    </w:p>
    <w:p w14:paraId="06376431" w14:textId="77777777" w:rsidR="00952B3E" w:rsidRPr="002C1513" w:rsidRDefault="00952B3E" w:rsidP="00952B3E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14:paraId="160B67D2" w14:textId="77777777" w:rsidR="00665AB2" w:rsidRPr="002C1513" w:rsidRDefault="00665AB2" w:rsidP="00665AB2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Mechanizmus účinku </w:t>
      </w:r>
    </w:p>
    <w:p w14:paraId="4E9AA9B9" w14:textId="77777777" w:rsidR="00665AB2" w:rsidRPr="002C1513" w:rsidRDefault="00665AB2" w:rsidP="00665AB2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je kombinovaný inhibítor spätného vychytávania </w:t>
      </w:r>
      <w:proofErr w:type="spellStart"/>
      <w:r w:rsidRPr="002C1513">
        <w:rPr>
          <w:sz w:val="22"/>
          <w:szCs w:val="22"/>
        </w:rPr>
        <w:t>sérotonínu</w:t>
      </w:r>
      <w:proofErr w:type="spellEnd"/>
      <w:r w:rsidRPr="002C1513">
        <w:rPr>
          <w:sz w:val="22"/>
          <w:szCs w:val="22"/>
        </w:rPr>
        <w:t xml:space="preserve"> (</w:t>
      </w:r>
      <w:proofErr w:type="spellStart"/>
      <w:r w:rsidRPr="002C1513">
        <w:rPr>
          <w:sz w:val="22"/>
          <w:szCs w:val="22"/>
        </w:rPr>
        <w:t>5-HT</w:t>
      </w:r>
      <w:proofErr w:type="spellEnd"/>
      <w:r w:rsidRPr="002C1513">
        <w:rPr>
          <w:sz w:val="22"/>
          <w:szCs w:val="22"/>
        </w:rPr>
        <w:t xml:space="preserve">) a </w:t>
      </w:r>
      <w:proofErr w:type="spellStart"/>
      <w:r w:rsidRPr="002C1513">
        <w:rPr>
          <w:sz w:val="22"/>
          <w:szCs w:val="22"/>
        </w:rPr>
        <w:t>noradrenalínu</w:t>
      </w:r>
      <w:proofErr w:type="spellEnd"/>
      <w:r w:rsidRPr="002C1513">
        <w:rPr>
          <w:sz w:val="22"/>
          <w:szCs w:val="22"/>
        </w:rPr>
        <w:t xml:space="preserve"> (NA). Slabo </w:t>
      </w:r>
      <w:proofErr w:type="spellStart"/>
      <w:r w:rsidRPr="002C1513">
        <w:rPr>
          <w:sz w:val="22"/>
          <w:szCs w:val="22"/>
        </w:rPr>
        <w:t>inhibuje</w:t>
      </w:r>
      <w:proofErr w:type="spellEnd"/>
      <w:r w:rsidRPr="002C1513">
        <w:rPr>
          <w:sz w:val="22"/>
          <w:szCs w:val="22"/>
        </w:rPr>
        <w:t xml:space="preserve"> spätné vychytávanie </w:t>
      </w:r>
      <w:proofErr w:type="spellStart"/>
      <w:r w:rsidRPr="002C1513">
        <w:rPr>
          <w:sz w:val="22"/>
          <w:szCs w:val="22"/>
        </w:rPr>
        <w:t>dopamínu</w:t>
      </w:r>
      <w:proofErr w:type="spellEnd"/>
      <w:r w:rsidRPr="002C1513">
        <w:rPr>
          <w:sz w:val="22"/>
          <w:szCs w:val="22"/>
        </w:rPr>
        <w:t xml:space="preserve">, bez významnej afinity k histamínovým, </w:t>
      </w:r>
      <w:proofErr w:type="spellStart"/>
      <w:r w:rsidR="00E949C8" w:rsidRPr="002C1513">
        <w:rPr>
          <w:sz w:val="22"/>
          <w:szCs w:val="22"/>
        </w:rPr>
        <w:t>dopaminerg</w:t>
      </w:r>
      <w:r w:rsidR="00E949C8">
        <w:rPr>
          <w:sz w:val="22"/>
          <w:szCs w:val="22"/>
        </w:rPr>
        <w:t>n</w:t>
      </w:r>
      <w:r w:rsidR="00E949C8" w:rsidRPr="002C1513">
        <w:rPr>
          <w:sz w:val="22"/>
          <w:szCs w:val="22"/>
        </w:rPr>
        <w:t>ým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="00E949C8" w:rsidRPr="002C1513">
        <w:rPr>
          <w:sz w:val="22"/>
          <w:szCs w:val="22"/>
        </w:rPr>
        <w:t>cholinerg</w:t>
      </w:r>
      <w:r w:rsidR="00E949C8">
        <w:rPr>
          <w:sz w:val="22"/>
          <w:szCs w:val="22"/>
        </w:rPr>
        <w:t>n</w:t>
      </w:r>
      <w:r w:rsidR="00E949C8" w:rsidRPr="002C1513">
        <w:rPr>
          <w:sz w:val="22"/>
          <w:szCs w:val="22"/>
        </w:rPr>
        <w:t>ým</w:t>
      </w:r>
      <w:proofErr w:type="spellEnd"/>
      <w:r w:rsidR="00E949C8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a </w:t>
      </w:r>
      <w:proofErr w:type="spellStart"/>
      <w:r w:rsidR="00E949C8" w:rsidRPr="002C1513">
        <w:rPr>
          <w:sz w:val="22"/>
          <w:szCs w:val="22"/>
        </w:rPr>
        <w:t>adrener</w:t>
      </w:r>
      <w:r w:rsidR="00E949C8">
        <w:rPr>
          <w:sz w:val="22"/>
          <w:szCs w:val="22"/>
        </w:rPr>
        <w:t>n</w:t>
      </w:r>
      <w:r w:rsidR="00E949C8" w:rsidRPr="002C1513">
        <w:rPr>
          <w:sz w:val="22"/>
          <w:szCs w:val="22"/>
        </w:rPr>
        <w:t>ým</w:t>
      </w:r>
      <w:proofErr w:type="spellEnd"/>
      <w:r w:rsidR="00E949C8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receptorom. V závislosti od dávky zvyšuje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extracelulárne</w:t>
      </w:r>
      <w:proofErr w:type="spellEnd"/>
      <w:r w:rsidRPr="002C1513">
        <w:rPr>
          <w:sz w:val="22"/>
          <w:szCs w:val="22"/>
        </w:rPr>
        <w:t xml:space="preserve"> hladiny </w:t>
      </w:r>
      <w:proofErr w:type="spellStart"/>
      <w:r w:rsidRPr="002C1513">
        <w:rPr>
          <w:sz w:val="22"/>
          <w:szCs w:val="22"/>
        </w:rPr>
        <w:t>sérotonínu</w:t>
      </w:r>
      <w:proofErr w:type="spellEnd"/>
      <w:r w:rsidRPr="002C1513">
        <w:rPr>
          <w:sz w:val="22"/>
          <w:szCs w:val="22"/>
        </w:rPr>
        <w:t xml:space="preserve"> a </w:t>
      </w:r>
      <w:proofErr w:type="spellStart"/>
      <w:r w:rsidRPr="002C1513">
        <w:rPr>
          <w:sz w:val="22"/>
          <w:szCs w:val="22"/>
        </w:rPr>
        <w:t>noradrenalínu</w:t>
      </w:r>
      <w:proofErr w:type="spellEnd"/>
      <w:r w:rsidRPr="002C1513">
        <w:rPr>
          <w:sz w:val="22"/>
          <w:szCs w:val="22"/>
        </w:rPr>
        <w:t xml:space="preserve"> v rozličných častiach mozgu zvierat. </w:t>
      </w:r>
    </w:p>
    <w:p w14:paraId="1E6DEE28" w14:textId="77777777" w:rsidR="00665AB2" w:rsidRPr="002C1513" w:rsidRDefault="00665AB2" w:rsidP="00665AB2">
      <w:pPr>
        <w:pStyle w:val="Default"/>
        <w:rPr>
          <w:i/>
          <w:iCs/>
          <w:sz w:val="22"/>
          <w:szCs w:val="22"/>
        </w:rPr>
      </w:pPr>
    </w:p>
    <w:p w14:paraId="7A564719" w14:textId="77777777" w:rsidR="00665AB2" w:rsidRPr="002C1513" w:rsidRDefault="00665AB2" w:rsidP="00665AB2">
      <w:pPr>
        <w:pStyle w:val="Default"/>
        <w:rPr>
          <w:sz w:val="22"/>
          <w:szCs w:val="22"/>
        </w:rPr>
      </w:pPr>
      <w:proofErr w:type="spellStart"/>
      <w:r w:rsidRPr="002C1513">
        <w:rPr>
          <w:i/>
          <w:iCs/>
          <w:sz w:val="22"/>
          <w:szCs w:val="22"/>
        </w:rPr>
        <w:t>Farmakodynamické</w:t>
      </w:r>
      <w:proofErr w:type="spellEnd"/>
      <w:r w:rsidRPr="002C1513">
        <w:rPr>
          <w:i/>
          <w:iCs/>
          <w:sz w:val="22"/>
          <w:szCs w:val="22"/>
        </w:rPr>
        <w:t xml:space="preserve"> účinky </w:t>
      </w:r>
    </w:p>
    <w:p w14:paraId="5AF290BA" w14:textId="77777777" w:rsidR="00665AB2" w:rsidRPr="002C1513" w:rsidRDefault="00665AB2" w:rsidP="00665AB2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 predklinických modeloch </w:t>
      </w:r>
      <w:proofErr w:type="spellStart"/>
      <w:r w:rsidRPr="002C1513">
        <w:rPr>
          <w:sz w:val="22"/>
          <w:szCs w:val="22"/>
        </w:rPr>
        <w:t>neuropatickej</w:t>
      </w:r>
      <w:proofErr w:type="spellEnd"/>
      <w:r w:rsidRPr="002C1513">
        <w:rPr>
          <w:sz w:val="22"/>
          <w:szCs w:val="22"/>
        </w:rPr>
        <w:t xml:space="preserve"> a zápalovej bolesti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normalizoval prah bolesti a v rámci modelu perzistujúcej bolesti zmierňoval bolestivé reagovanie. Predpokladá sa, že inhibičný účinok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na bolesť je dôsledkom </w:t>
      </w:r>
      <w:proofErr w:type="spellStart"/>
      <w:r w:rsidRPr="002C1513">
        <w:rPr>
          <w:sz w:val="22"/>
          <w:szCs w:val="22"/>
        </w:rPr>
        <w:t>potenciácie</w:t>
      </w:r>
      <w:proofErr w:type="spellEnd"/>
      <w:r w:rsidRPr="002C1513">
        <w:rPr>
          <w:sz w:val="22"/>
          <w:szCs w:val="22"/>
        </w:rPr>
        <w:t xml:space="preserve"> zostupných bolesť </w:t>
      </w:r>
      <w:proofErr w:type="spellStart"/>
      <w:r w:rsidRPr="002C1513">
        <w:rPr>
          <w:sz w:val="22"/>
          <w:szCs w:val="22"/>
        </w:rPr>
        <w:t>inhibujúcich</w:t>
      </w:r>
      <w:proofErr w:type="spellEnd"/>
      <w:r w:rsidRPr="002C1513">
        <w:rPr>
          <w:sz w:val="22"/>
          <w:szCs w:val="22"/>
        </w:rPr>
        <w:t xml:space="preserve"> dráh v centrálnom nervovom systéme. </w:t>
      </w:r>
    </w:p>
    <w:p w14:paraId="26A71925" w14:textId="77777777" w:rsidR="00665AB2" w:rsidRPr="002C1513" w:rsidRDefault="00665AB2" w:rsidP="00665AB2">
      <w:pPr>
        <w:pStyle w:val="Default"/>
        <w:rPr>
          <w:i/>
          <w:iCs/>
          <w:sz w:val="22"/>
          <w:szCs w:val="22"/>
        </w:rPr>
      </w:pPr>
    </w:p>
    <w:p w14:paraId="737C77A8" w14:textId="77777777" w:rsidR="00665AB2" w:rsidRPr="002C1513" w:rsidRDefault="00665AB2" w:rsidP="00665AB2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Klinická účinnosť a bezpečnosť </w:t>
      </w:r>
    </w:p>
    <w:p w14:paraId="0907525C" w14:textId="77777777" w:rsidR="00665AB2" w:rsidRPr="002C1513" w:rsidRDefault="00665AB2" w:rsidP="00665AB2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Veľká depresívna porucha: </w:t>
      </w:r>
    </w:p>
    <w:p w14:paraId="78EF3D4E" w14:textId="77777777" w:rsidR="00665AB2" w:rsidRPr="002C1513" w:rsidRDefault="00EB070F" w:rsidP="00665AB2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bol</w:t>
      </w:r>
      <w:r w:rsidR="00665AB2" w:rsidRPr="002C1513">
        <w:rPr>
          <w:sz w:val="22"/>
          <w:szCs w:val="22"/>
        </w:rPr>
        <w:t xml:space="preserve"> skúman</w:t>
      </w:r>
      <w:r w:rsidRPr="002C1513">
        <w:rPr>
          <w:sz w:val="22"/>
          <w:szCs w:val="22"/>
        </w:rPr>
        <w:t>ý</w:t>
      </w:r>
      <w:r w:rsidR="00665AB2" w:rsidRPr="002C1513">
        <w:rPr>
          <w:sz w:val="22"/>
          <w:szCs w:val="22"/>
        </w:rPr>
        <w:t xml:space="preserve"> v klinickom programe, do ktorého bolo zaradených 3 158 pacientov (1 285 pacientskych rokov expozície), ktorí spĺňali kritériá </w:t>
      </w:r>
      <w:proofErr w:type="spellStart"/>
      <w:r w:rsidR="00665AB2" w:rsidRPr="002C1513">
        <w:rPr>
          <w:sz w:val="22"/>
          <w:szCs w:val="22"/>
        </w:rPr>
        <w:t>DSM-IV</w:t>
      </w:r>
      <w:proofErr w:type="spellEnd"/>
      <w:r w:rsidR="00665AB2" w:rsidRPr="002C1513">
        <w:rPr>
          <w:sz w:val="22"/>
          <w:szCs w:val="22"/>
        </w:rPr>
        <w:t xml:space="preserve"> pre veľkú depresívnu poruchu. Účinnosť</w:t>
      </w:r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="00665AB2" w:rsidRPr="002C1513">
        <w:rPr>
          <w:sz w:val="22"/>
          <w:szCs w:val="22"/>
        </w:rPr>
        <w:t xml:space="preserve"> pri odporúčanej dávke 60 mg jedenkrát denne bola preukázaná v troch z troch randomizovaných, dvojito zaslepených, placebom kontrolovaných akútnych (krátkodobých) štúdií s pevne stanovenou dávkou u dospelých ambulantných pacientov s veľkou depresívnou poruchou. Celkovo sa účinnosť</w:t>
      </w:r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="00665AB2" w:rsidRPr="002C1513">
        <w:rPr>
          <w:sz w:val="22"/>
          <w:szCs w:val="22"/>
        </w:rPr>
        <w:t xml:space="preserve"> preukázala pri denných dávkach v rozmedzí od 60 do 120 mg v celkovo piatich zo siedmich randomizovaných, dvojito zaslepených, placebom kontrolovaných </w:t>
      </w:r>
      <w:r w:rsidR="00665AB2" w:rsidRPr="002C1513">
        <w:rPr>
          <w:sz w:val="22"/>
          <w:szCs w:val="22"/>
        </w:rPr>
        <w:lastRenderedPageBreak/>
        <w:t xml:space="preserve">akútnych (krátkodobých) štúdií s pevne stanovenou dávkou u dospelých ambulantných pacientov s veľkou depresívnou poruchou. </w:t>
      </w:r>
    </w:p>
    <w:p w14:paraId="0D0FC7C9" w14:textId="77777777" w:rsidR="00EB070F" w:rsidRPr="002C1513" w:rsidRDefault="00EB070F" w:rsidP="00665AB2">
      <w:pPr>
        <w:pStyle w:val="Default"/>
        <w:rPr>
          <w:sz w:val="22"/>
          <w:szCs w:val="22"/>
        </w:rPr>
      </w:pPr>
    </w:p>
    <w:p w14:paraId="3170139B" w14:textId="77777777" w:rsidR="00665AB2" w:rsidRPr="002C1513" w:rsidRDefault="00EB070F" w:rsidP="00665AB2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="00665AB2" w:rsidRPr="002C1513">
        <w:rPr>
          <w:sz w:val="22"/>
          <w:szCs w:val="22"/>
        </w:rPr>
        <w:t xml:space="preserve"> preuká</w:t>
      </w:r>
      <w:r w:rsidRPr="002C1513">
        <w:rPr>
          <w:sz w:val="22"/>
          <w:szCs w:val="22"/>
        </w:rPr>
        <w:t>zal</w:t>
      </w:r>
      <w:r w:rsidR="00665AB2" w:rsidRPr="002C1513">
        <w:rPr>
          <w:sz w:val="22"/>
          <w:szCs w:val="22"/>
        </w:rPr>
        <w:t xml:space="preserve"> štatistickú prevahu nad placebom pri meraní zlepšenia celkového skóre </w:t>
      </w:r>
      <w:proofErr w:type="spellStart"/>
      <w:r w:rsidR="00665AB2" w:rsidRPr="002C1513">
        <w:rPr>
          <w:sz w:val="22"/>
          <w:szCs w:val="22"/>
        </w:rPr>
        <w:t>17-bodovej</w:t>
      </w:r>
      <w:proofErr w:type="spellEnd"/>
      <w:r w:rsidR="00665AB2" w:rsidRPr="002C1513">
        <w:rPr>
          <w:sz w:val="22"/>
          <w:szCs w:val="22"/>
        </w:rPr>
        <w:t xml:space="preserve"> </w:t>
      </w:r>
      <w:proofErr w:type="spellStart"/>
      <w:r w:rsidR="00665AB2" w:rsidRPr="002C1513">
        <w:rPr>
          <w:sz w:val="22"/>
          <w:szCs w:val="22"/>
        </w:rPr>
        <w:t>Hamiltonovej</w:t>
      </w:r>
      <w:proofErr w:type="spellEnd"/>
      <w:r w:rsidR="00665AB2" w:rsidRPr="002C1513">
        <w:rPr>
          <w:sz w:val="22"/>
          <w:szCs w:val="22"/>
        </w:rPr>
        <w:t xml:space="preserve"> škály na posudzovanie depresie (</w:t>
      </w:r>
      <w:proofErr w:type="spellStart"/>
      <w:r w:rsidR="00665AB2" w:rsidRPr="002C1513">
        <w:rPr>
          <w:sz w:val="22"/>
          <w:szCs w:val="22"/>
        </w:rPr>
        <w:t>HAM-D</w:t>
      </w:r>
      <w:proofErr w:type="spellEnd"/>
      <w:r w:rsidR="00665AB2" w:rsidRPr="002C1513">
        <w:rPr>
          <w:sz w:val="22"/>
          <w:szCs w:val="22"/>
        </w:rPr>
        <w:t xml:space="preserve">) (vrátane emočných aj somatických symptómov depresie). Miera odpovede na liečbu a </w:t>
      </w:r>
      <w:proofErr w:type="spellStart"/>
      <w:r w:rsidR="00665AB2" w:rsidRPr="002C1513">
        <w:rPr>
          <w:sz w:val="22"/>
          <w:szCs w:val="22"/>
        </w:rPr>
        <w:t>remisie</w:t>
      </w:r>
      <w:proofErr w:type="spellEnd"/>
      <w:r w:rsidR="00665AB2" w:rsidRPr="002C1513">
        <w:rPr>
          <w:sz w:val="22"/>
          <w:szCs w:val="22"/>
        </w:rPr>
        <w:t xml:space="preserve"> bola taktiež štatisti</w:t>
      </w:r>
      <w:r w:rsidR="00FF1DD1" w:rsidRPr="002C1513">
        <w:rPr>
          <w:sz w:val="22"/>
          <w:szCs w:val="22"/>
        </w:rPr>
        <w:t xml:space="preserve">cky významne vyššia pri </w:t>
      </w:r>
      <w:proofErr w:type="spellStart"/>
      <w:r w:rsidR="00FF1DD1" w:rsidRPr="002C1513">
        <w:rPr>
          <w:sz w:val="22"/>
          <w:szCs w:val="22"/>
        </w:rPr>
        <w:t>duloxetíne</w:t>
      </w:r>
      <w:proofErr w:type="spellEnd"/>
      <w:r w:rsidR="00665AB2" w:rsidRPr="002C1513">
        <w:rPr>
          <w:sz w:val="22"/>
          <w:szCs w:val="22"/>
        </w:rPr>
        <w:t xml:space="preserve"> ako pri </w:t>
      </w:r>
      <w:proofErr w:type="spellStart"/>
      <w:r w:rsidR="00665AB2" w:rsidRPr="002C1513">
        <w:rPr>
          <w:sz w:val="22"/>
          <w:szCs w:val="22"/>
        </w:rPr>
        <w:t>placebe</w:t>
      </w:r>
      <w:proofErr w:type="spellEnd"/>
      <w:r w:rsidR="00665AB2" w:rsidRPr="002C1513">
        <w:rPr>
          <w:sz w:val="22"/>
          <w:szCs w:val="22"/>
        </w:rPr>
        <w:t xml:space="preserve">. Iba malá časť pacientov zahrnutých do pilotných klinických štúdií mala </w:t>
      </w:r>
      <w:r w:rsidR="00414FCB">
        <w:rPr>
          <w:sz w:val="22"/>
          <w:szCs w:val="22"/>
        </w:rPr>
        <w:t>ťažkú</w:t>
      </w:r>
      <w:r w:rsidR="0095562B">
        <w:rPr>
          <w:sz w:val="22"/>
          <w:szCs w:val="22"/>
        </w:rPr>
        <w:t xml:space="preserve"> </w:t>
      </w:r>
      <w:r w:rsidR="00665AB2" w:rsidRPr="002C1513">
        <w:rPr>
          <w:sz w:val="22"/>
          <w:szCs w:val="22"/>
        </w:rPr>
        <w:t xml:space="preserve">depresiu (vstupné skóre </w:t>
      </w:r>
      <w:proofErr w:type="spellStart"/>
      <w:r w:rsidR="00665AB2" w:rsidRPr="002C1513">
        <w:rPr>
          <w:sz w:val="22"/>
          <w:szCs w:val="22"/>
        </w:rPr>
        <w:t>HAM-D</w:t>
      </w:r>
      <w:proofErr w:type="spellEnd"/>
      <w:r w:rsidR="00665AB2" w:rsidRPr="002C1513">
        <w:rPr>
          <w:sz w:val="22"/>
          <w:szCs w:val="22"/>
        </w:rPr>
        <w:t xml:space="preserve"> &gt;25). </w:t>
      </w:r>
    </w:p>
    <w:p w14:paraId="33ACF3E1" w14:textId="77777777" w:rsidR="00EB070F" w:rsidRPr="002C1513" w:rsidRDefault="00EB070F" w:rsidP="00665AB2">
      <w:pPr>
        <w:pStyle w:val="Default"/>
        <w:rPr>
          <w:sz w:val="22"/>
          <w:szCs w:val="22"/>
        </w:rPr>
      </w:pPr>
    </w:p>
    <w:p w14:paraId="0D14DF06" w14:textId="77777777" w:rsidR="00665AB2" w:rsidRPr="002C1513" w:rsidRDefault="00665AB2" w:rsidP="00665AB2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 štúdii zameranej na prevenciu </w:t>
      </w:r>
      <w:proofErr w:type="spellStart"/>
      <w:r w:rsidRPr="002C1513">
        <w:rPr>
          <w:sz w:val="22"/>
          <w:szCs w:val="22"/>
        </w:rPr>
        <w:t>relapsu</w:t>
      </w:r>
      <w:proofErr w:type="spellEnd"/>
      <w:r w:rsidRPr="002C1513">
        <w:rPr>
          <w:sz w:val="22"/>
          <w:szCs w:val="22"/>
        </w:rPr>
        <w:t xml:space="preserve"> boli pacienti reagujúci na </w:t>
      </w:r>
      <w:proofErr w:type="spellStart"/>
      <w:r w:rsidRPr="002C1513">
        <w:rPr>
          <w:sz w:val="22"/>
          <w:szCs w:val="22"/>
        </w:rPr>
        <w:t>12-týždňovú</w:t>
      </w:r>
      <w:proofErr w:type="spellEnd"/>
      <w:r w:rsidRPr="002C1513">
        <w:rPr>
          <w:sz w:val="22"/>
          <w:szCs w:val="22"/>
        </w:rPr>
        <w:t xml:space="preserve"> otvorenú akútnu lieč</w:t>
      </w:r>
      <w:r w:rsidR="00EB070F" w:rsidRPr="002C1513">
        <w:rPr>
          <w:sz w:val="22"/>
          <w:szCs w:val="22"/>
        </w:rPr>
        <w:t xml:space="preserve">bu </w:t>
      </w:r>
      <w:proofErr w:type="spellStart"/>
      <w:r w:rsidR="00EB070F"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v dávke 60 mg jedenkrát denne </w:t>
      </w:r>
      <w:proofErr w:type="spellStart"/>
      <w:r w:rsidRPr="002C1513">
        <w:rPr>
          <w:sz w:val="22"/>
          <w:szCs w:val="22"/>
        </w:rPr>
        <w:t>randomizovaní</w:t>
      </w:r>
      <w:proofErr w:type="spellEnd"/>
      <w:r w:rsidRPr="002C1513">
        <w:rPr>
          <w:sz w:val="22"/>
          <w:szCs w:val="22"/>
        </w:rPr>
        <w:t xml:space="preserve"> k uží</w:t>
      </w:r>
      <w:r w:rsidR="00EB070F" w:rsidRPr="002C1513">
        <w:rPr>
          <w:sz w:val="22"/>
          <w:szCs w:val="22"/>
        </w:rPr>
        <w:t xml:space="preserve">vaniu </w:t>
      </w:r>
      <w:proofErr w:type="spellStart"/>
      <w:r w:rsidR="00EB070F"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60 mg jedenkrát denne alebo užívaniu </w:t>
      </w:r>
      <w:proofErr w:type="spellStart"/>
      <w:r w:rsidRPr="002C1513">
        <w:rPr>
          <w:sz w:val="22"/>
          <w:szCs w:val="22"/>
        </w:rPr>
        <w:t>placeba</w:t>
      </w:r>
      <w:proofErr w:type="spellEnd"/>
      <w:r w:rsidRPr="002C1513">
        <w:rPr>
          <w:sz w:val="22"/>
          <w:szCs w:val="22"/>
        </w:rPr>
        <w:t xml:space="preserve"> po ďalší</w:t>
      </w:r>
      <w:r w:rsidR="00EB070F" w:rsidRPr="002C1513">
        <w:rPr>
          <w:sz w:val="22"/>
          <w:szCs w:val="22"/>
        </w:rPr>
        <w:t xml:space="preserve">ch </w:t>
      </w:r>
      <w:proofErr w:type="spellStart"/>
      <w:r w:rsidR="00EB070F" w:rsidRPr="002C1513">
        <w:rPr>
          <w:sz w:val="22"/>
          <w:szCs w:val="22"/>
        </w:rPr>
        <w:t>6-mesiacov</w:t>
      </w:r>
      <w:proofErr w:type="spellEnd"/>
      <w:r w:rsidR="00EB070F" w:rsidRPr="002C1513">
        <w:rPr>
          <w:sz w:val="22"/>
          <w:szCs w:val="22"/>
        </w:rPr>
        <w:t xml:space="preserve">. </w:t>
      </w:r>
      <w:proofErr w:type="spellStart"/>
      <w:r w:rsidR="00EB070F"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v dávke 60 mg jedenkrát denne preuká</w:t>
      </w:r>
      <w:r w:rsidR="00EB070F" w:rsidRPr="002C1513">
        <w:rPr>
          <w:sz w:val="22"/>
          <w:szCs w:val="22"/>
        </w:rPr>
        <w:t>zal</w:t>
      </w:r>
      <w:r w:rsidRPr="002C1513">
        <w:rPr>
          <w:sz w:val="22"/>
          <w:szCs w:val="22"/>
        </w:rPr>
        <w:t xml:space="preserve"> štatisticky </w:t>
      </w:r>
      <w:proofErr w:type="spellStart"/>
      <w:r w:rsidRPr="002C1513">
        <w:rPr>
          <w:sz w:val="22"/>
          <w:szCs w:val="22"/>
        </w:rPr>
        <w:t>signifikantnú</w:t>
      </w:r>
      <w:proofErr w:type="spellEnd"/>
      <w:r w:rsidRPr="002C1513">
        <w:rPr>
          <w:sz w:val="22"/>
          <w:szCs w:val="22"/>
        </w:rPr>
        <w:t xml:space="preserve"> prevahu nad placebom (p=0,004) v hodnotení hlavného cieľa štúdie, prevencie </w:t>
      </w:r>
      <w:proofErr w:type="spellStart"/>
      <w:r w:rsidRPr="002C1513">
        <w:rPr>
          <w:sz w:val="22"/>
          <w:szCs w:val="22"/>
        </w:rPr>
        <w:t>relapsu</w:t>
      </w:r>
      <w:proofErr w:type="spellEnd"/>
      <w:r w:rsidRPr="002C1513">
        <w:rPr>
          <w:sz w:val="22"/>
          <w:szCs w:val="22"/>
        </w:rPr>
        <w:t xml:space="preserve"> depresie, hodnoteného časom do </w:t>
      </w:r>
      <w:proofErr w:type="spellStart"/>
      <w:r w:rsidRPr="002C1513">
        <w:rPr>
          <w:sz w:val="22"/>
          <w:szCs w:val="22"/>
        </w:rPr>
        <w:t>relapsu</w:t>
      </w:r>
      <w:proofErr w:type="spellEnd"/>
      <w:r w:rsidRPr="002C1513">
        <w:rPr>
          <w:sz w:val="22"/>
          <w:szCs w:val="22"/>
        </w:rPr>
        <w:t xml:space="preserve">. </w:t>
      </w:r>
      <w:proofErr w:type="spellStart"/>
      <w:r w:rsidRPr="002C1513">
        <w:rPr>
          <w:sz w:val="22"/>
          <w:szCs w:val="22"/>
        </w:rPr>
        <w:t>Incidencia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relapsu</w:t>
      </w:r>
      <w:proofErr w:type="spellEnd"/>
      <w:r w:rsidRPr="002C1513">
        <w:rPr>
          <w:sz w:val="22"/>
          <w:szCs w:val="22"/>
        </w:rPr>
        <w:t xml:space="preserve"> počas nasledovného </w:t>
      </w:r>
      <w:proofErr w:type="spellStart"/>
      <w:r w:rsidRPr="002C1513">
        <w:rPr>
          <w:sz w:val="22"/>
          <w:szCs w:val="22"/>
        </w:rPr>
        <w:t>6-mesačného</w:t>
      </w:r>
      <w:proofErr w:type="spellEnd"/>
      <w:r w:rsidRPr="002C1513">
        <w:rPr>
          <w:sz w:val="22"/>
          <w:szCs w:val="22"/>
        </w:rPr>
        <w:t xml:space="preserve"> dvojito zaslepeného obdobia bola 17</w:t>
      </w:r>
      <w:r w:rsidR="00EB070F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% </w:t>
      </w:r>
      <w:r w:rsidR="009215D7" w:rsidRPr="002C1513">
        <w:rPr>
          <w:sz w:val="22"/>
          <w:szCs w:val="22"/>
        </w:rPr>
        <w:t>pre</w:t>
      </w:r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</w:t>
      </w:r>
      <w:r w:rsidR="009215D7" w:rsidRPr="002C1513">
        <w:rPr>
          <w:sz w:val="22"/>
          <w:szCs w:val="22"/>
        </w:rPr>
        <w:t>n</w:t>
      </w:r>
      <w:proofErr w:type="spellEnd"/>
      <w:r w:rsidR="009215D7" w:rsidRPr="002C1513">
        <w:rPr>
          <w:sz w:val="22"/>
          <w:szCs w:val="22"/>
        </w:rPr>
        <w:t xml:space="preserve"> </w:t>
      </w:r>
      <w:r w:rsidR="00EB070F" w:rsidRPr="002C1513">
        <w:rPr>
          <w:sz w:val="22"/>
          <w:szCs w:val="22"/>
        </w:rPr>
        <w:t xml:space="preserve">a 29 % </w:t>
      </w:r>
      <w:r w:rsidR="009215D7" w:rsidRPr="002C1513">
        <w:rPr>
          <w:sz w:val="22"/>
          <w:szCs w:val="22"/>
        </w:rPr>
        <w:t>pre</w:t>
      </w:r>
      <w:r w:rsidR="00EB070F" w:rsidRPr="002C1513">
        <w:rPr>
          <w:sz w:val="22"/>
          <w:szCs w:val="22"/>
        </w:rPr>
        <w:t xml:space="preserve"> </w:t>
      </w:r>
      <w:proofErr w:type="spellStart"/>
      <w:r w:rsidR="009215D7" w:rsidRPr="002C1513">
        <w:rPr>
          <w:sz w:val="22"/>
          <w:szCs w:val="22"/>
        </w:rPr>
        <w:t>placebo</w:t>
      </w:r>
      <w:proofErr w:type="spellEnd"/>
      <w:r w:rsidRPr="002C1513">
        <w:rPr>
          <w:sz w:val="22"/>
          <w:szCs w:val="22"/>
        </w:rPr>
        <w:t xml:space="preserve">. </w:t>
      </w:r>
    </w:p>
    <w:p w14:paraId="74BCAC50" w14:textId="77777777" w:rsidR="00EB070F" w:rsidRPr="002C1513" w:rsidRDefault="00EB070F" w:rsidP="00665AB2">
      <w:pPr>
        <w:pStyle w:val="Default"/>
        <w:rPr>
          <w:sz w:val="22"/>
          <w:szCs w:val="22"/>
        </w:rPr>
      </w:pPr>
    </w:p>
    <w:p w14:paraId="052B6FAE" w14:textId="77777777" w:rsidR="00665AB2" w:rsidRPr="002C1513" w:rsidRDefault="00665AB2" w:rsidP="00665AB2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Počas 52 týždennej placebom kontrolovanej dvojito zaslepenej štúdie mali pacienti s </w:t>
      </w:r>
      <w:proofErr w:type="spellStart"/>
      <w:r w:rsidRPr="002C1513">
        <w:rPr>
          <w:sz w:val="22"/>
          <w:szCs w:val="22"/>
        </w:rPr>
        <w:t>rekurentnou</w:t>
      </w:r>
      <w:proofErr w:type="spellEnd"/>
      <w:r w:rsidRPr="002C1513">
        <w:rPr>
          <w:sz w:val="22"/>
          <w:szCs w:val="22"/>
        </w:rPr>
        <w:t xml:space="preserve"> veľkou depresívnou poruchou liečení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v porovnaní s pacientmi </w:t>
      </w:r>
      <w:r w:rsidR="0054690E">
        <w:rPr>
          <w:sz w:val="22"/>
          <w:szCs w:val="22"/>
        </w:rPr>
        <w:t>užívajúcimi</w:t>
      </w:r>
      <w:r w:rsidR="0054690E"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placebo</w:t>
      </w:r>
      <w:proofErr w:type="spellEnd"/>
      <w:r w:rsidRPr="002C1513">
        <w:rPr>
          <w:sz w:val="22"/>
          <w:szCs w:val="22"/>
        </w:rPr>
        <w:t xml:space="preserve"> podstatne dlhšie (p &lt; 0,001) obdobie bez príznakov. Všetci pacienti odpovedali na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počas predošlej otvorenej (</w:t>
      </w:r>
      <w:proofErr w:type="spellStart"/>
      <w:r w:rsidRPr="002C1513">
        <w:rPr>
          <w:sz w:val="22"/>
          <w:szCs w:val="22"/>
        </w:rPr>
        <w:t>open-label</w:t>
      </w:r>
      <w:proofErr w:type="spellEnd"/>
      <w:r w:rsidRPr="002C1513">
        <w:rPr>
          <w:sz w:val="22"/>
          <w:szCs w:val="22"/>
        </w:rPr>
        <w:t xml:space="preserve">) liečby s dávkou 60 až 120 mg/deň počas 28 až 34 týždňov. V priebehu 52 týždennej placebom kontrolovanej dvojito zaslepenej liečby sa vrátili príznaky depresie 14,4 % pacientov liečených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 33,1 % pacientov liečených placebom (p &lt; 0,001). </w:t>
      </w:r>
    </w:p>
    <w:p w14:paraId="6E680800" w14:textId="77777777" w:rsidR="00EB070F" w:rsidRPr="002C1513" w:rsidRDefault="00EB070F" w:rsidP="00665AB2">
      <w:pPr>
        <w:pStyle w:val="Default"/>
        <w:rPr>
          <w:sz w:val="22"/>
          <w:szCs w:val="22"/>
        </w:rPr>
      </w:pPr>
    </w:p>
    <w:p w14:paraId="2807E522" w14:textId="77777777" w:rsidR="00665AB2" w:rsidRPr="002C1513" w:rsidRDefault="00665AB2" w:rsidP="00665AB2">
      <w:pPr>
        <w:autoSpaceDE w:val="0"/>
        <w:autoSpaceDN w:val="0"/>
        <w:adjustRightInd w:val="0"/>
        <w:ind w:left="0" w:firstLine="0"/>
        <w:rPr>
          <w:szCs w:val="22"/>
        </w:rPr>
      </w:pPr>
      <w:r w:rsidRPr="002C1513">
        <w:rPr>
          <w:szCs w:val="22"/>
        </w:rPr>
        <w:t>Úč</w:t>
      </w:r>
      <w:r w:rsidR="00EB070F" w:rsidRPr="002C1513">
        <w:rPr>
          <w:szCs w:val="22"/>
        </w:rPr>
        <w:t xml:space="preserve">inok </w:t>
      </w:r>
      <w:proofErr w:type="spellStart"/>
      <w:r w:rsidR="00EB070F" w:rsidRPr="002C1513">
        <w:rPr>
          <w:szCs w:val="22"/>
        </w:rPr>
        <w:t>duloxetínu</w:t>
      </w:r>
      <w:proofErr w:type="spellEnd"/>
      <w:r w:rsidR="00EB070F" w:rsidRPr="002C1513">
        <w:rPr>
          <w:szCs w:val="22"/>
        </w:rPr>
        <w:t xml:space="preserve"> 60 mg jedenkrát</w:t>
      </w:r>
      <w:r w:rsidRPr="002C1513">
        <w:rPr>
          <w:szCs w:val="22"/>
        </w:rPr>
        <w:t xml:space="preserve"> denne u starších depresívnych pacientov (≥ 65 rokov) bol konkrétne hodnotený v štúdii, ktorá preukázala štatisticky významný rozdiel v redukcii </w:t>
      </w:r>
      <w:proofErr w:type="spellStart"/>
      <w:r w:rsidRPr="002C1513">
        <w:rPr>
          <w:szCs w:val="22"/>
        </w:rPr>
        <w:t>HAMD17</w:t>
      </w:r>
      <w:proofErr w:type="spellEnd"/>
      <w:r w:rsidRPr="002C1513">
        <w:rPr>
          <w:szCs w:val="22"/>
        </w:rPr>
        <w:t xml:space="preserve"> skóre u pacientov liečených </w:t>
      </w:r>
      <w:proofErr w:type="spellStart"/>
      <w:r w:rsidRPr="002C1513">
        <w:rPr>
          <w:szCs w:val="22"/>
        </w:rPr>
        <w:t>duloxetínom</w:t>
      </w:r>
      <w:proofErr w:type="spellEnd"/>
      <w:r w:rsidRPr="002C1513">
        <w:rPr>
          <w:szCs w:val="22"/>
        </w:rPr>
        <w:t xml:space="preserve"> v porovnaní s</w:t>
      </w:r>
      <w:r w:rsidR="00EB070F" w:rsidRPr="002C1513">
        <w:rPr>
          <w:szCs w:val="22"/>
        </w:rPr>
        <w:t xml:space="preserve"> placebom. </w:t>
      </w:r>
      <w:r w:rsidR="0054690E" w:rsidRPr="002C1513">
        <w:rPr>
          <w:szCs w:val="22"/>
        </w:rPr>
        <w:t>Tolera</w:t>
      </w:r>
      <w:r w:rsidR="0054690E">
        <w:rPr>
          <w:szCs w:val="22"/>
        </w:rPr>
        <w:t>ncia</w:t>
      </w:r>
      <w:r w:rsidR="0054690E" w:rsidRPr="002C1513">
        <w:rPr>
          <w:szCs w:val="22"/>
        </w:rPr>
        <w:t xml:space="preserve"> </w:t>
      </w:r>
      <w:proofErr w:type="spellStart"/>
      <w:r w:rsidR="00EB070F" w:rsidRPr="002C1513">
        <w:rPr>
          <w:szCs w:val="22"/>
        </w:rPr>
        <w:t>duloxetínu</w:t>
      </w:r>
      <w:proofErr w:type="spellEnd"/>
      <w:r w:rsidR="00EB070F" w:rsidRPr="002C1513">
        <w:rPr>
          <w:szCs w:val="22"/>
        </w:rPr>
        <w:t xml:space="preserve"> 60 mg jedenkrát</w:t>
      </w:r>
      <w:r w:rsidRPr="002C1513">
        <w:rPr>
          <w:szCs w:val="22"/>
        </w:rPr>
        <w:t xml:space="preserve"> denne u starších pacientov bola porovnateľná s tou pozorovanou u mladších pacientov. Avšak, údaje o starších pacientoch vystavených maximálnej dávke (120 mg denne) sú obmedzené a preto sa pri liečbe tejto populácie odporúča opatrnosť.</w:t>
      </w:r>
    </w:p>
    <w:p w14:paraId="51EE0A04" w14:textId="77777777" w:rsidR="009215D7" w:rsidRPr="002C1513" w:rsidRDefault="009215D7" w:rsidP="00665AB2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14:paraId="34030BED" w14:textId="77777777" w:rsidR="00EB070F" w:rsidRPr="002C1513" w:rsidRDefault="009215D7" w:rsidP="00665AB2">
      <w:pPr>
        <w:autoSpaceDE w:val="0"/>
        <w:autoSpaceDN w:val="0"/>
        <w:adjustRightInd w:val="0"/>
        <w:ind w:left="0" w:firstLine="0"/>
        <w:rPr>
          <w:szCs w:val="22"/>
        </w:rPr>
      </w:pPr>
      <w:r w:rsidRPr="002C1513">
        <w:rPr>
          <w:i/>
          <w:iCs/>
          <w:szCs w:val="22"/>
        </w:rPr>
        <w:t>Generalizovaná úzkostná porucha:</w:t>
      </w:r>
    </w:p>
    <w:p w14:paraId="73ED6015" w14:textId="77777777" w:rsidR="00EB070F" w:rsidRPr="002C1513" w:rsidRDefault="009215D7" w:rsidP="00EB070F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="00EB070F" w:rsidRPr="002C1513">
        <w:rPr>
          <w:sz w:val="22"/>
          <w:szCs w:val="22"/>
        </w:rPr>
        <w:t xml:space="preserve"> preuká</w:t>
      </w:r>
      <w:r w:rsidRPr="002C1513">
        <w:rPr>
          <w:sz w:val="22"/>
          <w:szCs w:val="22"/>
        </w:rPr>
        <w:t>zal</w:t>
      </w:r>
      <w:r w:rsidR="00EB070F" w:rsidRPr="002C1513">
        <w:rPr>
          <w:sz w:val="22"/>
          <w:szCs w:val="22"/>
        </w:rPr>
        <w:t xml:space="preserve"> štatisticky významnú prevahu nad placebom v piatich z piatich štúdií vrátane štyroch randomizovaných, dvojito zaslepených, placebom kontrolovaných akútnych štúdií a štúdie na prevenciu </w:t>
      </w:r>
      <w:proofErr w:type="spellStart"/>
      <w:r w:rsidR="00EB070F" w:rsidRPr="002C1513">
        <w:rPr>
          <w:sz w:val="22"/>
          <w:szCs w:val="22"/>
        </w:rPr>
        <w:t>relapsu</w:t>
      </w:r>
      <w:proofErr w:type="spellEnd"/>
      <w:r w:rsidR="00EB070F" w:rsidRPr="002C1513">
        <w:rPr>
          <w:sz w:val="22"/>
          <w:szCs w:val="22"/>
        </w:rPr>
        <w:t xml:space="preserve"> u dospelých pacientov s generalizovanou úzkostnou poruchou. </w:t>
      </w:r>
    </w:p>
    <w:p w14:paraId="748BEF6D" w14:textId="77777777" w:rsidR="009215D7" w:rsidRPr="002C1513" w:rsidRDefault="009215D7" w:rsidP="00EB070F">
      <w:pPr>
        <w:pStyle w:val="Default"/>
        <w:rPr>
          <w:sz w:val="22"/>
          <w:szCs w:val="22"/>
        </w:rPr>
      </w:pPr>
    </w:p>
    <w:p w14:paraId="376D14B8" w14:textId="77777777" w:rsidR="00EB070F" w:rsidRPr="002C1513" w:rsidRDefault="009215D7" w:rsidP="00EB070F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="00EB070F" w:rsidRPr="002C1513">
        <w:rPr>
          <w:sz w:val="22"/>
          <w:szCs w:val="22"/>
        </w:rPr>
        <w:t xml:space="preserve"> preuká</w:t>
      </w:r>
      <w:r w:rsidRPr="002C1513">
        <w:rPr>
          <w:sz w:val="22"/>
          <w:szCs w:val="22"/>
        </w:rPr>
        <w:t>zal</w:t>
      </w:r>
      <w:r w:rsidR="00EB070F" w:rsidRPr="002C1513">
        <w:rPr>
          <w:sz w:val="22"/>
          <w:szCs w:val="22"/>
        </w:rPr>
        <w:t xml:space="preserve"> štatisticky významnú prevahu nad placebom meranú zlepšením celkového skóre na </w:t>
      </w:r>
      <w:proofErr w:type="spellStart"/>
      <w:r w:rsidR="00EB070F" w:rsidRPr="002C1513">
        <w:rPr>
          <w:sz w:val="22"/>
          <w:szCs w:val="22"/>
        </w:rPr>
        <w:t>Hamiltonovej</w:t>
      </w:r>
      <w:proofErr w:type="spellEnd"/>
      <w:r w:rsidR="00EB070F" w:rsidRPr="002C1513">
        <w:rPr>
          <w:sz w:val="22"/>
          <w:szCs w:val="22"/>
        </w:rPr>
        <w:t xml:space="preserve"> škále na posudzovanie úzkosti (</w:t>
      </w:r>
      <w:proofErr w:type="spellStart"/>
      <w:r w:rsidR="00EB070F" w:rsidRPr="002C1513">
        <w:rPr>
          <w:sz w:val="22"/>
          <w:szCs w:val="22"/>
        </w:rPr>
        <w:t>Hamilton</w:t>
      </w:r>
      <w:proofErr w:type="spellEnd"/>
      <w:r w:rsidR="00EB070F" w:rsidRPr="002C1513">
        <w:rPr>
          <w:sz w:val="22"/>
          <w:szCs w:val="22"/>
        </w:rPr>
        <w:t xml:space="preserve"> </w:t>
      </w:r>
      <w:proofErr w:type="spellStart"/>
      <w:r w:rsidR="00EB070F" w:rsidRPr="002C1513">
        <w:rPr>
          <w:sz w:val="22"/>
          <w:szCs w:val="22"/>
        </w:rPr>
        <w:t>Anxiety</w:t>
      </w:r>
      <w:proofErr w:type="spellEnd"/>
      <w:r w:rsidR="00EB070F" w:rsidRPr="002C1513">
        <w:rPr>
          <w:sz w:val="22"/>
          <w:szCs w:val="22"/>
        </w:rPr>
        <w:t xml:space="preserve"> </w:t>
      </w:r>
      <w:proofErr w:type="spellStart"/>
      <w:r w:rsidR="00EB070F" w:rsidRPr="002C1513">
        <w:rPr>
          <w:sz w:val="22"/>
          <w:szCs w:val="22"/>
        </w:rPr>
        <w:t>Scale</w:t>
      </w:r>
      <w:proofErr w:type="spellEnd"/>
      <w:r w:rsidR="00EB070F" w:rsidRPr="002C1513">
        <w:rPr>
          <w:sz w:val="22"/>
          <w:szCs w:val="22"/>
        </w:rPr>
        <w:t xml:space="preserve">, </w:t>
      </w:r>
      <w:proofErr w:type="spellStart"/>
      <w:r w:rsidR="00EB070F" w:rsidRPr="002C1513">
        <w:rPr>
          <w:sz w:val="22"/>
          <w:szCs w:val="22"/>
        </w:rPr>
        <w:t>HAM-A</w:t>
      </w:r>
      <w:proofErr w:type="spellEnd"/>
      <w:r w:rsidR="00EB070F" w:rsidRPr="002C1513">
        <w:rPr>
          <w:sz w:val="22"/>
          <w:szCs w:val="22"/>
        </w:rPr>
        <w:t xml:space="preserve">) a celkového skóre funkčného poškodenia na </w:t>
      </w:r>
      <w:proofErr w:type="spellStart"/>
      <w:r w:rsidR="00EB070F" w:rsidRPr="002C1513">
        <w:rPr>
          <w:sz w:val="22"/>
          <w:szCs w:val="22"/>
        </w:rPr>
        <w:t>Sheehanovej</w:t>
      </w:r>
      <w:proofErr w:type="spellEnd"/>
      <w:r w:rsidR="00EB070F" w:rsidRPr="002C1513">
        <w:rPr>
          <w:sz w:val="22"/>
          <w:szCs w:val="22"/>
        </w:rPr>
        <w:t xml:space="preserve"> škále (</w:t>
      </w:r>
      <w:proofErr w:type="spellStart"/>
      <w:r w:rsidR="00EB070F" w:rsidRPr="002C1513">
        <w:rPr>
          <w:sz w:val="22"/>
          <w:szCs w:val="22"/>
        </w:rPr>
        <w:t>Sheehan</w:t>
      </w:r>
      <w:proofErr w:type="spellEnd"/>
      <w:r w:rsidR="00EB070F" w:rsidRPr="002C1513">
        <w:rPr>
          <w:sz w:val="22"/>
          <w:szCs w:val="22"/>
        </w:rPr>
        <w:t xml:space="preserve"> </w:t>
      </w:r>
      <w:proofErr w:type="spellStart"/>
      <w:r w:rsidR="00EB070F" w:rsidRPr="002C1513">
        <w:rPr>
          <w:sz w:val="22"/>
          <w:szCs w:val="22"/>
        </w:rPr>
        <w:t>Disability</w:t>
      </w:r>
      <w:proofErr w:type="spellEnd"/>
      <w:r w:rsidR="00EB070F" w:rsidRPr="002C1513">
        <w:rPr>
          <w:sz w:val="22"/>
          <w:szCs w:val="22"/>
        </w:rPr>
        <w:t xml:space="preserve"> </w:t>
      </w:r>
      <w:proofErr w:type="spellStart"/>
      <w:r w:rsidR="00EB070F" w:rsidRPr="002C1513">
        <w:rPr>
          <w:sz w:val="22"/>
          <w:szCs w:val="22"/>
        </w:rPr>
        <w:t>Scale</w:t>
      </w:r>
      <w:proofErr w:type="spellEnd"/>
      <w:r w:rsidR="00EB070F" w:rsidRPr="002C1513">
        <w:rPr>
          <w:sz w:val="22"/>
          <w:szCs w:val="22"/>
        </w:rPr>
        <w:t xml:space="preserve">, </w:t>
      </w:r>
      <w:proofErr w:type="spellStart"/>
      <w:r w:rsidR="00EB070F" w:rsidRPr="002C1513">
        <w:rPr>
          <w:sz w:val="22"/>
          <w:szCs w:val="22"/>
        </w:rPr>
        <w:t>SDS</w:t>
      </w:r>
      <w:proofErr w:type="spellEnd"/>
      <w:r w:rsidR="00EB070F" w:rsidRPr="002C1513">
        <w:rPr>
          <w:sz w:val="22"/>
          <w:szCs w:val="22"/>
        </w:rPr>
        <w:t xml:space="preserve">). Miera odpovede na liečbu a </w:t>
      </w:r>
      <w:proofErr w:type="spellStart"/>
      <w:r w:rsidR="00EB070F" w:rsidRPr="002C1513">
        <w:rPr>
          <w:sz w:val="22"/>
          <w:szCs w:val="22"/>
        </w:rPr>
        <w:t>remisie</w:t>
      </w:r>
      <w:proofErr w:type="spellEnd"/>
      <w:r w:rsidR="00EB070F" w:rsidRPr="002C1513">
        <w:rPr>
          <w:sz w:val="22"/>
          <w:szCs w:val="22"/>
        </w:rPr>
        <w:t xml:space="preserve"> bola taktiež vyšš</w:t>
      </w:r>
      <w:r w:rsidRPr="002C1513">
        <w:rPr>
          <w:sz w:val="22"/>
          <w:szCs w:val="22"/>
        </w:rPr>
        <w:t xml:space="preserve">ia pri </w:t>
      </w:r>
      <w:proofErr w:type="spellStart"/>
      <w:r w:rsidRPr="002C1513">
        <w:rPr>
          <w:sz w:val="22"/>
          <w:szCs w:val="22"/>
        </w:rPr>
        <w:t>duloxetíne</w:t>
      </w:r>
      <w:proofErr w:type="spellEnd"/>
      <w:r w:rsidRPr="002C1513">
        <w:rPr>
          <w:sz w:val="22"/>
          <w:szCs w:val="22"/>
        </w:rPr>
        <w:t xml:space="preserve"> ako pri </w:t>
      </w:r>
      <w:proofErr w:type="spellStart"/>
      <w:r w:rsidRPr="002C1513">
        <w:rPr>
          <w:sz w:val="22"/>
          <w:szCs w:val="22"/>
        </w:rPr>
        <w:t>placebe</w:t>
      </w:r>
      <w:proofErr w:type="spellEnd"/>
      <w:r w:rsidRPr="002C1513">
        <w:rPr>
          <w:sz w:val="22"/>
          <w:szCs w:val="22"/>
        </w:rPr>
        <w:t xml:space="preserve">.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="00EB070F" w:rsidRPr="002C1513">
        <w:rPr>
          <w:sz w:val="22"/>
          <w:szCs w:val="22"/>
        </w:rPr>
        <w:t xml:space="preserve"> preuká</w:t>
      </w:r>
      <w:r w:rsidRPr="002C1513">
        <w:rPr>
          <w:sz w:val="22"/>
          <w:szCs w:val="22"/>
        </w:rPr>
        <w:t>zal</w:t>
      </w:r>
      <w:r w:rsidR="00EB070F" w:rsidRPr="002C1513">
        <w:rPr>
          <w:sz w:val="22"/>
          <w:szCs w:val="22"/>
        </w:rPr>
        <w:t xml:space="preserve"> porovnateľnú účinnosť s </w:t>
      </w:r>
      <w:proofErr w:type="spellStart"/>
      <w:r w:rsidR="00EB070F" w:rsidRPr="002C1513">
        <w:rPr>
          <w:sz w:val="22"/>
          <w:szCs w:val="22"/>
        </w:rPr>
        <w:t>venlafaxínom</w:t>
      </w:r>
      <w:proofErr w:type="spellEnd"/>
      <w:r w:rsidR="00EB070F" w:rsidRPr="002C1513">
        <w:rPr>
          <w:sz w:val="22"/>
          <w:szCs w:val="22"/>
        </w:rPr>
        <w:t xml:space="preserve">, čo sa týka zlepšení celkového skóre </w:t>
      </w:r>
      <w:proofErr w:type="spellStart"/>
      <w:r w:rsidR="00EB070F" w:rsidRPr="002C1513">
        <w:rPr>
          <w:sz w:val="22"/>
          <w:szCs w:val="22"/>
        </w:rPr>
        <w:t>HAM-A</w:t>
      </w:r>
      <w:proofErr w:type="spellEnd"/>
      <w:r w:rsidR="00EB070F" w:rsidRPr="002C1513">
        <w:rPr>
          <w:sz w:val="22"/>
          <w:szCs w:val="22"/>
        </w:rPr>
        <w:t xml:space="preserve">. </w:t>
      </w:r>
    </w:p>
    <w:p w14:paraId="6EC0B4E0" w14:textId="77777777" w:rsidR="009215D7" w:rsidRPr="002C1513" w:rsidRDefault="009215D7" w:rsidP="00EB070F">
      <w:pPr>
        <w:pStyle w:val="Default"/>
        <w:rPr>
          <w:sz w:val="22"/>
          <w:szCs w:val="22"/>
        </w:rPr>
      </w:pPr>
    </w:p>
    <w:p w14:paraId="71E7F400" w14:textId="77777777" w:rsidR="009215D7" w:rsidRPr="002C1513" w:rsidRDefault="00EB070F" w:rsidP="00EB070F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 štúdii zameranej na prevenciu </w:t>
      </w:r>
      <w:proofErr w:type="spellStart"/>
      <w:r w:rsidRPr="002C1513">
        <w:rPr>
          <w:sz w:val="22"/>
          <w:szCs w:val="22"/>
        </w:rPr>
        <w:t>relapsu</w:t>
      </w:r>
      <w:proofErr w:type="spellEnd"/>
      <w:r w:rsidRPr="002C1513">
        <w:rPr>
          <w:sz w:val="22"/>
          <w:szCs w:val="22"/>
        </w:rPr>
        <w:t xml:space="preserve"> boli pacienti s odpoveďou na </w:t>
      </w:r>
      <w:proofErr w:type="spellStart"/>
      <w:r w:rsidRPr="002C1513">
        <w:rPr>
          <w:sz w:val="22"/>
          <w:szCs w:val="22"/>
        </w:rPr>
        <w:t>6-mesačnú</w:t>
      </w:r>
      <w:proofErr w:type="spellEnd"/>
      <w:r w:rsidRPr="002C1513">
        <w:rPr>
          <w:sz w:val="22"/>
          <w:szCs w:val="22"/>
        </w:rPr>
        <w:t xml:space="preserve"> otvorenú akútnu lieč</w:t>
      </w:r>
      <w:r w:rsidR="009215D7" w:rsidRPr="002C1513">
        <w:rPr>
          <w:sz w:val="22"/>
          <w:szCs w:val="22"/>
        </w:rPr>
        <w:t xml:space="preserve">bu </w:t>
      </w:r>
      <w:proofErr w:type="spellStart"/>
      <w:r w:rsidR="009215D7"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randomizovaní</w:t>
      </w:r>
      <w:proofErr w:type="spellEnd"/>
      <w:r w:rsidRPr="002C1513">
        <w:rPr>
          <w:sz w:val="22"/>
          <w:szCs w:val="22"/>
        </w:rPr>
        <w:t xml:space="preserve"> k uží</w:t>
      </w:r>
      <w:r w:rsidR="009215D7" w:rsidRPr="002C1513">
        <w:rPr>
          <w:sz w:val="22"/>
          <w:szCs w:val="22"/>
        </w:rPr>
        <w:t xml:space="preserve">vaniu </w:t>
      </w:r>
      <w:proofErr w:type="spellStart"/>
      <w:r w:rsidR="009215D7"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alebo </w:t>
      </w:r>
      <w:proofErr w:type="spellStart"/>
      <w:r w:rsidRPr="002C1513">
        <w:rPr>
          <w:sz w:val="22"/>
          <w:szCs w:val="22"/>
        </w:rPr>
        <w:t>placeba</w:t>
      </w:r>
      <w:proofErr w:type="spellEnd"/>
      <w:r w:rsidRPr="002C1513">
        <w:rPr>
          <w:sz w:val="22"/>
          <w:szCs w:val="22"/>
        </w:rPr>
        <w:t xml:space="preserve"> počas ďalší</w:t>
      </w:r>
      <w:r w:rsidR="009215D7" w:rsidRPr="002C1513">
        <w:rPr>
          <w:sz w:val="22"/>
          <w:szCs w:val="22"/>
        </w:rPr>
        <w:t>ch 6 mesiacov.</w:t>
      </w:r>
    </w:p>
    <w:p w14:paraId="6A88A34D" w14:textId="77777777" w:rsidR="00EB070F" w:rsidRPr="002C1513" w:rsidRDefault="009215D7" w:rsidP="00EB070F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="00EB070F" w:rsidRPr="002C1513">
        <w:rPr>
          <w:sz w:val="22"/>
          <w:szCs w:val="22"/>
        </w:rPr>
        <w:t xml:space="preserve"> v dávke 60 mg až 120 mg jedenkrát denne preuká</w:t>
      </w:r>
      <w:r w:rsidRPr="002C1513">
        <w:rPr>
          <w:sz w:val="22"/>
          <w:szCs w:val="22"/>
        </w:rPr>
        <w:t>zal</w:t>
      </w:r>
      <w:r w:rsidR="00EB070F" w:rsidRPr="002C1513">
        <w:rPr>
          <w:sz w:val="22"/>
          <w:szCs w:val="22"/>
        </w:rPr>
        <w:t xml:space="preserve"> štatisticky významnú prevahu nad placebom (p&lt; 0,001) v prevencii </w:t>
      </w:r>
      <w:proofErr w:type="spellStart"/>
      <w:r w:rsidR="00EB070F" w:rsidRPr="002C1513">
        <w:rPr>
          <w:sz w:val="22"/>
          <w:szCs w:val="22"/>
        </w:rPr>
        <w:t>relapsu</w:t>
      </w:r>
      <w:proofErr w:type="spellEnd"/>
      <w:r w:rsidR="00EB070F" w:rsidRPr="002C1513">
        <w:rPr>
          <w:sz w:val="22"/>
          <w:szCs w:val="22"/>
        </w:rPr>
        <w:t xml:space="preserve">, ktorá bola hodnotená časom do </w:t>
      </w:r>
      <w:proofErr w:type="spellStart"/>
      <w:r w:rsidR="00EB070F" w:rsidRPr="002C1513">
        <w:rPr>
          <w:sz w:val="22"/>
          <w:szCs w:val="22"/>
        </w:rPr>
        <w:t>relapsu</w:t>
      </w:r>
      <w:proofErr w:type="spellEnd"/>
      <w:r w:rsidR="00EB070F" w:rsidRPr="002C1513">
        <w:rPr>
          <w:sz w:val="22"/>
          <w:szCs w:val="22"/>
        </w:rPr>
        <w:t xml:space="preserve">. </w:t>
      </w:r>
      <w:proofErr w:type="spellStart"/>
      <w:r w:rsidR="00EB070F" w:rsidRPr="002C1513">
        <w:rPr>
          <w:sz w:val="22"/>
          <w:szCs w:val="22"/>
        </w:rPr>
        <w:t>Incidencia</w:t>
      </w:r>
      <w:proofErr w:type="spellEnd"/>
      <w:r w:rsidR="00EB070F" w:rsidRPr="002C1513">
        <w:rPr>
          <w:sz w:val="22"/>
          <w:szCs w:val="22"/>
        </w:rPr>
        <w:t xml:space="preserve"> </w:t>
      </w:r>
      <w:proofErr w:type="spellStart"/>
      <w:r w:rsidR="00EB070F" w:rsidRPr="002C1513">
        <w:rPr>
          <w:sz w:val="22"/>
          <w:szCs w:val="22"/>
        </w:rPr>
        <w:t>relapsu</w:t>
      </w:r>
      <w:proofErr w:type="spellEnd"/>
      <w:r w:rsidR="00EB070F" w:rsidRPr="002C1513">
        <w:rPr>
          <w:sz w:val="22"/>
          <w:szCs w:val="22"/>
        </w:rPr>
        <w:t xml:space="preserve"> počas nasledujúceho </w:t>
      </w:r>
      <w:proofErr w:type="spellStart"/>
      <w:r w:rsidR="00EB070F" w:rsidRPr="002C1513">
        <w:rPr>
          <w:sz w:val="22"/>
          <w:szCs w:val="22"/>
        </w:rPr>
        <w:t>6-mesačného</w:t>
      </w:r>
      <w:proofErr w:type="spellEnd"/>
      <w:r w:rsidR="00EB070F" w:rsidRPr="002C1513">
        <w:rPr>
          <w:sz w:val="22"/>
          <w:szCs w:val="22"/>
        </w:rPr>
        <w:t xml:space="preserve"> dvojito zaslepenéh</w:t>
      </w:r>
      <w:r w:rsidRPr="002C1513">
        <w:rPr>
          <w:sz w:val="22"/>
          <w:szCs w:val="22"/>
        </w:rPr>
        <w:t xml:space="preserve">o obdobia bola 14 % pre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="00EB070F" w:rsidRPr="002C1513">
        <w:rPr>
          <w:sz w:val="22"/>
          <w:szCs w:val="22"/>
        </w:rPr>
        <w:t xml:space="preserve"> a 42 % pre </w:t>
      </w:r>
      <w:proofErr w:type="spellStart"/>
      <w:r w:rsidR="00EB070F" w:rsidRPr="002C1513">
        <w:rPr>
          <w:sz w:val="22"/>
          <w:szCs w:val="22"/>
        </w:rPr>
        <w:t>placebo</w:t>
      </w:r>
      <w:proofErr w:type="spellEnd"/>
      <w:r w:rsidR="00EB070F" w:rsidRPr="002C1513">
        <w:rPr>
          <w:sz w:val="22"/>
          <w:szCs w:val="22"/>
        </w:rPr>
        <w:t xml:space="preserve">. </w:t>
      </w:r>
    </w:p>
    <w:p w14:paraId="16EDB231" w14:textId="77777777" w:rsidR="009215D7" w:rsidRPr="002C1513" w:rsidRDefault="009215D7" w:rsidP="00EB070F">
      <w:pPr>
        <w:pStyle w:val="Default"/>
        <w:rPr>
          <w:sz w:val="22"/>
          <w:szCs w:val="22"/>
        </w:rPr>
      </w:pPr>
    </w:p>
    <w:p w14:paraId="37D9C6E3" w14:textId="77777777" w:rsidR="00EB070F" w:rsidRPr="002C1513" w:rsidRDefault="00EB070F" w:rsidP="00EB070F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>V klinickom skúšaní sa vyhodnotila účinnosť</w:t>
      </w:r>
      <w:r w:rsidR="009215D7" w:rsidRPr="002C1513">
        <w:rPr>
          <w:sz w:val="22"/>
          <w:szCs w:val="22"/>
        </w:rPr>
        <w:t xml:space="preserve"> </w:t>
      </w:r>
      <w:proofErr w:type="spellStart"/>
      <w:r w:rsidR="009215D7"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30-120 mg (vo flexibilnom dávkovaní</w:t>
      </w:r>
      <w:r w:rsidR="009215D7" w:rsidRPr="002C1513">
        <w:rPr>
          <w:sz w:val="22"/>
          <w:szCs w:val="22"/>
        </w:rPr>
        <w:t>) jedenkrát</w:t>
      </w:r>
      <w:r w:rsidRPr="002C1513">
        <w:rPr>
          <w:sz w:val="22"/>
          <w:szCs w:val="22"/>
        </w:rPr>
        <w:t xml:space="preserve"> denne u starších pacientov (&gt;65 rokov) s generalizovanou úzkostnou poruchou a preukázala štatisticky </w:t>
      </w:r>
      <w:proofErr w:type="spellStart"/>
      <w:r w:rsidRPr="002C1513">
        <w:rPr>
          <w:sz w:val="22"/>
          <w:szCs w:val="22"/>
        </w:rPr>
        <w:t>signifikantné</w:t>
      </w:r>
      <w:proofErr w:type="spellEnd"/>
      <w:r w:rsidRPr="002C1513">
        <w:rPr>
          <w:sz w:val="22"/>
          <w:szCs w:val="22"/>
        </w:rPr>
        <w:t xml:space="preserve"> zlepšenie celkového </w:t>
      </w:r>
      <w:proofErr w:type="spellStart"/>
      <w:r w:rsidRPr="002C1513">
        <w:rPr>
          <w:sz w:val="22"/>
          <w:szCs w:val="22"/>
        </w:rPr>
        <w:t>HAM-A</w:t>
      </w:r>
      <w:proofErr w:type="spellEnd"/>
      <w:r w:rsidRPr="002C1513">
        <w:rPr>
          <w:sz w:val="22"/>
          <w:szCs w:val="22"/>
        </w:rPr>
        <w:t xml:space="preserve"> skóre u pacientov liečených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oproti pacientom liečeným placebom. Účinnosť a bezpečnosť</w:t>
      </w:r>
      <w:r w:rsidR="00046CFC" w:rsidRPr="002C1513">
        <w:rPr>
          <w:sz w:val="22"/>
          <w:szCs w:val="22"/>
        </w:rPr>
        <w:t xml:space="preserve"> </w:t>
      </w:r>
      <w:proofErr w:type="spellStart"/>
      <w:r w:rsidR="00046CFC" w:rsidRPr="002C1513">
        <w:rPr>
          <w:sz w:val="22"/>
          <w:szCs w:val="22"/>
        </w:rPr>
        <w:t>duloxetínu</w:t>
      </w:r>
      <w:proofErr w:type="spellEnd"/>
      <w:r w:rsidR="00046CFC" w:rsidRPr="002C1513">
        <w:rPr>
          <w:sz w:val="22"/>
          <w:szCs w:val="22"/>
        </w:rPr>
        <w:t xml:space="preserve"> 30-120 mg jedenkrát</w:t>
      </w:r>
      <w:r w:rsidRPr="002C1513">
        <w:rPr>
          <w:sz w:val="22"/>
          <w:szCs w:val="22"/>
        </w:rPr>
        <w:t xml:space="preserve"> denne u starších pacientov s generalizovanou úzkostnou poruchou boli podobné ako v štúdiách s mladšími dospelými pacientmi. Avšak údaje o starších pacientoch vystavených maximálnej dávke (120 mg denne) sú obmedzené, a preto sa odporúča ku liečbe starších pacientov touto dávkou pristupovať s opatrnosťou. </w:t>
      </w:r>
    </w:p>
    <w:p w14:paraId="38AFB813" w14:textId="77777777" w:rsidR="009215D7" w:rsidRPr="002C1513" w:rsidRDefault="009215D7" w:rsidP="00EB070F">
      <w:pPr>
        <w:pStyle w:val="Default"/>
        <w:rPr>
          <w:i/>
          <w:iCs/>
          <w:sz w:val="22"/>
          <w:szCs w:val="22"/>
        </w:rPr>
      </w:pPr>
    </w:p>
    <w:p w14:paraId="483580ED" w14:textId="77777777" w:rsidR="00EB070F" w:rsidRPr="002C1513" w:rsidRDefault="00EB070F" w:rsidP="00EB070F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lastRenderedPageBreak/>
        <w:t xml:space="preserve">Diabetická periférna </w:t>
      </w:r>
      <w:proofErr w:type="spellStart"/>
      <w:r w:rsidRPr="002C1513">
        <w:rPr>
          <w:i/>
          <w:iCs/>
          <w:sz w:val="22"/>
          <w:szCs w:val="22"/>
        </w:rPr>
        <w:t>neuropatická</w:t>
      </w:r>
      <w:proofErr w:type="spellEnd"/>
      <w:r w:rsidRPr="002C1513">
        <w:rPr>
          <w:i/>
          <w:iCs/>
          <w:sz w:val="22"/>
          <w:szCs w:val="22"/>
        </w:rPr>
        <w:t xml:space="preserve"> bolesť: </w:t>
      </w:r>
    </w:p>
    <w:p w14:paraId="479FDDA3" w14:textId="77777777" w:rsidR="00EB070F" w:rsidRPr="002C1513" w:rsidRDefault="001F773A" w:rsidP="00EB070F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Účinnosť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="00EB070F" w:rsidRPr="002C1513">
        <w:rPr>
          <w:sz w:val="22"/>
          <w:szCs w:val="22"/>
        </w:rPr>
        <w:t xml:space="preserve"> v liečbe diabetickej </w:t>
      </w:r>
      <w:proofErr w:type="spellStart"/>
      <w:r w:rsidR="00EB070F" w:rsidRPr="002C1513">
        <w:rPr>
          <w:sz w:val="22"/>
          <w:szCs w:val="22"/>
        </w:rPr>
        <w:t>neuropatickej</w:t>
      </w:r>
      <w:proofErr w:type="spellEnd"/>
      <w:r w:rsidR="00EB070F" w:rsidRPr="002C1513">
        <w:rPr>
          <w:sz w:val="22"/>
          <w:szCs w:val="22"/>
        </w:rPr>
        <w:t xml:space="preserve"> bolesti bola preukázaná v dvoch randomizovaných, 12 týždňov trvajúcich, dvojito zaslepených, placebom kontrolovaných štúdiách s pevne stanovenou dávkou u dospelých (22 až 88 rokov), ktorí minimálne 6 mesiacov trpia diabetickou </w:t>
      </w:r>
      <w:proofErr w:type="spellStart"/>
      <w:r w:rsidR="00EB070F" w:rsidRPr="002C1513">
        <w:rPr>
          <w:sz w:val="22"/>
          <w:szCs w:val="22"/>
        </w:rPr>
        <w:t>neuropatickou</w:t>
      </w:r>
      <w:proofErr w:type="spellEnd"/>
      <w:r w:rsidR="00EB070F" w:rsidRPr="002C1513">
        <w:rPr>
          <w:sz w:val="22"/>
          <w:szCs w:val="22"/>
        </w:rPr>
        <w:t xml:space="preserve"> bolesťou. Pacienti, ktorí spĺňali diagnostické kritériá pre veľkú depresívnu poruchu boli z týchto výskumných štúdií vylúčení. Primárnym parametrom bola týždenná stredná hodnota </w:t>
      </w:r>
      <w:proofErr w:type="spellStart"/>
      <w:r w:rsidR="00EB070F" w:rsidRPr="002C1513">
        <w:rPr>
          <w:sz w:val="22"/>
          <w:szCs w:val="22"/>
        </w:rPr>
        <w:t>24-hodinovej</w:t>
      </w:r>
      <w:proofErr w:type="spellEnd"/>
      <w:r w:rsidR="00EB070F" w:rsidRPr="002C1513">
        <w:rPr>
          <w:sz w:val="22"/>
          <w:szCs w:val="22"/>
        </w:rPr>
        <w:t xml:space="preserve"> priemernej bolesti, ktorú pacienti hodnotili na 11 bodovej </w:t>
      </w:r>
      <w:proofErr w:type="spellStart"/>
      <w:r w:rsidR="00EB070F" w:rsidRPr="002C1513">
        <w:rPr>
          <w:sz w:val="22"/>
          <w:szCs w:val="22"/>
        </w:rPr>
        <w:t>Likertovej</w:t>
      </w:r>
      <w:proofErr w:type="spellEnd"/>
      <w:r w:rsidR="00EB070F" w:rsidRPr="002C1513">
        <w:rPr>
          <w:sz w:val="22"/>
          <w:szCs w:val="22"/>
        </w:rPr>
        <w:t xml:space="preserve"> škále pričom si záznamy zapisovali do denníka. </w:t>
      </w:r>
    </w:p>
    <w:p w14:paraId="5B069260" w14:textId="77777777" w:rsidR="001F773A" w:rsidRPr="002C1513" w:rsidRDefault="001F773A" w:rsidP="00EB070F">
      <w:pPr>
        <w:pStyle w:val="Default"/>
        <w:rPr>
          <w:sz w:val="22"/>
          <w:szCs w:val="22"/>
        </w:rPr>
      </w:pPr>
    </w:p>
    <w:p w14:paraId="262A56C0" w14:textId="77777777" w:rsidR="00EB070F" w:rsidRPr="002C1513" w:rsidRDefault="001F773A" w:rsidP="00EB070F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 oboch štúdiách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v dávke 60 mg jedenkrát</w:t>
      </w:r>
      <w:r w:rsidR="00EB070F" w:rsidRPr="002C1513">
        <w:rPr>
          <w:sz w:val="22"/>
          <w:szCs w:val="22"/>
        </w:rPr>
        <w:t xml:space="preserve"> denne a 6</w:t>
      </w:r>
      <w:r w:rsidRPr="002C1513">
        <w:rPr>
          <w:sz w:val="22"/>
          <w:szCs w:val="22"/>
        </w:rPr>
        <w:t>0 mg dvakrát denne viedol</w:t>
      </w:r>
      <w:r w:rsidR="00EB070F" w:rsidRPr="002C1513">
        <w:rPr>
          <w:sz w:val="22"/>
          <w:szCs w:val="22"/>
        </w:rPr>
        <w:t xml:space="preserve">, v porovnaní s placebom, k </w:t>
      </w:r>
      <w:proofErr w:type="spellStart"/>
      <w:r w:rsidR="00EB070F" w:rsidRPr="002C1513">
        <w:rPr>
          <w:sz w:val="22"/>
          <w:szCs w:val="22"/>
        </w:rPr>
        <w:t>signifikantnému</w:t>
      </w:r>
      <w:proofErr w:type="spellEnd"/>
      <w:r w:rsidR="00EB070F" w:rsidRPr="002C1513">
        <w:rPr>
          <w:sz w:val="22"/>
          <w:szCs w:val="22"/>
        </w:rPr>
        <w:t xml:space="preserve"> zmierneniu bolesti. U niektorých pacientov bol tento efekt zjavný už v priebehu prvého týždňa liečby. Rozdiel priemerného zlepšenia pri porovnaní oboch uvedených aktívnych ramien liečby nebol významný. Redukciu bolesti o minimálne 30 % uviedlo približne 65</w:t>
      </w:r>
      <w:r w:rsidRPr="002C1513">
        <w:rPr>
          <w:sz w:val="22"/>
          <w:szCs w:val="22"/>
        </w:rPr>
        <w:t xml:space="preserve"> </w:t>
      </w:r>
      <w:r w:rsidR="00EB070F" w:rsidRPr="002C1513">
        <w:rPr>
          <w:sz w:val="22"/>
          <w:szCs w:val="22"/>
        </w:rPr>
        <w:t xml:space="preserve">% pacientov liečených </w:t>
      </w:r>
      <w:proofErr w:type="spellStart"/>
      <w:r w:rsidR="00EB070F" w:rsidRPr="002C1513">
        <w:rPr>
          <w:sz w:val="22"/>
          <w:szCs w:val="22"/>
        </w:rPr>
        <w:t>duloxetínom</w:t>
      </w:r>
      <w:proofErr w:type="spellEnd"/>
      <w:r w:rsidR="00EB070F" w:rsidRPr="002C1513">
        <w:rPr>
          <w:sz w:val="22"/>
          <w:szCs w:val="22"/>
        </w:rPr>
        <w:t xml:space="preserve"> v porovnaní so 40 % pacientov liečených placebom. Počty zodpovedajúce aspoň 50 % redukcii bolesti boli 50 % a 26 %. Hodnoty klinickej odpovede (zmiernenie bolesti o 50 % a viac) boli analyzované s ohľadom na to, či pacient v priebehu liečby trpel spavosťou alebo nie. Z pacientov, ktorí netrpeli spavosťou bola klinická odpoveď zaznamenaná u 47 % pacientov užívajúcich </w:t>
      </w:r>
      <w:proofErr w:type="spellStart"/>
      <w:r w:rsidR="00EB070F" w:rsidRPr="002C1513">
        <w:rPr>
          <w:sz w:val="22"/>
          <w:szCs w:val="22"/>
        </w:rPr>
        <w:t>duloxetín</w:t>
      </w:r>
      <w:proofErr w:type="spellEnd"/>
      <w:r w:rsidR="00EB070F" w:rsidRPr="002C1513">
        <w:rPr>
          <w:sz w:val="22"/>
          <w:szCs w:val="22"/>
        </w:rPr>
        <w:t xml:space="preserve"> a u 27 % pacientov užívajúcich </w:t>
      </w:r>
      <w:proofErr w:type="spellStart"/>
      <w:r w:rsidR="00EB070F" w:rsidRPr="002C1513">
        <w:rPr>
          <w:sz w:val="22"/>
          <w:szCs w:val="22"/>
        </w:rPr>
        <w:t>placebo</w:t>
      </w:r>
      <w:proofErr w:type="spellEnd"/>
      <w:r w:rsidR="00EB070F" w:rsidRPr="002C1513">
        <w:rPr>
          <w:sz w:val="22"/>
          <w:szCs w:val="22"/>
        </w:rPr>
        <w:t>. Podiel klinickej odpovede u pacientov, ktorí zaznamenali problémy so spavosťou bol 60</w:t>
      </w:r>
      <w:r w:rsidRPr="002C1513">
        <w:rPr>
          <w:sz w:val="22"/>
          <w:szCs w:val="22"/>
        </w:rPr>
        <w:t xml:space="preserve"> </w:t>
      </w:r>
      <w:r w:rsidR="00EB070F" w:rsidRPr="002C1513">
        <w:rPr>
          <w:sz w:val="22"/>
          <w:szCs w:val="22"/>
        </w:rPr>
        <w:t xml:space="preserve">% pri </w:t>
      </w:r>
      <w:proofErr w:type="spellStart"/>
      <w:r w:rsidR="00EB070F" w:rsidRPr="002C1513">
        <w:rPr>
          <w:sz w:val="22"/>
          <w:szCs w:val="22"/>
        </w:rPr>
        <w:t>duloxetíne</w:t>
      </w:r>
      <w:proofErr w:type="spellEnd"/>
      <w:r w:rsidR="00EB070F" w:rsidRPr="002C1513">
        <w:rPr>
          <w:sz w:val="22"/>
          <w:szCs w:val="22"/>
        </w:rPr>
        <w:t xml:space="preserve"> a</w:t>
      </w:r>
      <w:r w:rsidRPr="002C1513">
        <w:rPr>
          <w:sz w:val="22"/>
          <w:szCs w:val="22"/>
        </w:rPr>
        <w:t> </w:t>
      </w:r>
      <w:r w:rsidR="00EB070F" w:rsidRPr="002C1513">
        <w:rPr>
          <w:sz w:val="22"/>
          <w:szCs w:val="22"/>
        </w:rPr>
        <w:t>30</w:t>
      </w:r>
      <w:r w:rsidRPr="002C1513">
        <w:rPr>
          <w:sz w:val="22"/>
          <w:szCs w:val="22"/>
        </w:rPr>
        <w:t xml:space="preserve"> </w:t>
      </w:r>
      <w:r w:rsidR="00EB070F" w:rsidRPr="002C1513">
        <w:rPr>
          <w:sz w:val="22"/>
          <w:szCs w:val="22"/>
        </w:rPr>
        <w:t xml:space="preserve">% pri </w:t>
      </w:r>
      <w:proofErr w:type="spellStart"/>
      <w:r w:rsidR="00EB070F" w:rsidRPr="002C1513">
        <w:rPr>
          <w:sz w:val="22"/>
          <w:szCs w:val="22"/>
        </w:rPr>
        <w:t>placebe</w:t>
      </w:r>
      <w:proofErr w:type="spellEnd"/>
      <w:r w:rsidR="00EB070F" w:rsidRPr="002C1513">
        <w:rPr>
          <w:sz w:val="22"/>
          <w:szCs w:val="22"/>
        </w:rPr>
        <w:t xml:space="preserve">. U pacientov, ktorí v priebehu 60 dní nezaznamenali zmiernenie bolesti ani o 30 % bolo takéto zlepšenie v priebehu ďalšej liečby nepravdepodobné. </w:t>
      </w:r>
    </w:p>
    <w:p w14:paraId="414ED07A" w14:textId="77777777" w:rsidR="001F773A" w:rsidRPr="002C1513" w:rsidRDefault="001F773A" w:rsidP="00EB070F">
      <w:pPr>
        <w:pStyle w:val="Default"/>
        <w:rPr>
          <w:sz w:val="22"/>
          <w:szCs w:val="22"/>
        </w:rPr>
      </w:pPr>
    </w:p>
    <w:p w14:paraId="07A0B22A" w14:textId="77777777" w:rsidR="00EB070F" w:rsidRPr="002C1513" w:rsidRDefault="00EB070F" w:rsidP="00EB070F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>V dlhodobej otvorenej nekontrolovanej štúdii pretrvávalo zmenšenie bolesti u pacientov odpovedajúcic</w:t>
      </w:r>
      <w:r w:rsidR="001F773A" w:rsidRPr="002C1513">
        <w:rPr>
          <w:sz w:val="22"/>
          <w:szCs w:val="22"/>
        </w:rPr>
        <w:t xml:space="preserve">h na </w:t>
      </w:r>
      <w:proofErr w:type="spellStart"/>
      <w:r w:rsidR="001F773A" w:rsidRPr="002C1513">
        <w:rPr>
          <w:sz w:val="22"/>
          <w:szCs w:val="22"/>
        </w:rPr>
        <w:t>8-týždennú</w:t>
      </w:r>
      <w:proofErr w:type="spellEnd"/>
      <w:r w:rsidR="001F773A" w:rsidRPr="002C1513">
        <w:rPr>
          <w:sz w:val="22"/>
          <w:szCs w:val="22"/>
        </w:rPr>
        <w:t xml:space="preserve"> liečbu </w:t>
      </w:r>
      <w:proofErr w:type="spellStart"/>
      <w:r w:rsidR="001F773A" w:rsidRPr="002C1513">
        <w:rPr>
          <w:sz w:val="22"/>
          <w:szCs w:val="22"/>
        </w:rPr>
        <w:t>duloxetínom</w:t>
      </w:r>
      <w:proofErr w:type="spellEnd"/>
      <w:r w:rsidR="001F773A" w:rsidRPr="002C1513">
        <w:rPr>
          <w:sz w:val="22"/>
          <w:szCs w:val="22"/>
        </w:rPr>
        <w:t xml:space="preserve"> 60 mg jedenkrát</w:t>
      </w:r>
      <w:r w:rsidRPr="002C1513">
        <w:rPr>
          <w:sz w:val="22"/>
          <w:szCs w:val="22"/>
        </w:rPr>
        <w:t xml:space="preserve"> denne počas nasledujúcich 6 mesiacov, podľa merania zmeny skóre položky „</w:t>
      </w:r>
      <w:proofErr w:type="spellStart"/>
      <w:r w:rsidRPr="002C1513">
        <w:rPr>
          <w:sz w:val="22"/>
          <w:szCs w:val="22"/>
        </w:rPr>
        <w:t>24-hodinová</w:t>
      </w:r>
      <w:proofErr w:type="spellEnd"/>
      <w:r w:rsidRPr="002C1513">
        <w:rPr>
          <w:sz w:val="22"/>
          <w:szCs w:val="22"/>
        </w:rPr>
        <w:t xml:space="preserve"> priemerná bolesť“ na škále </w:t>
      </w:r>
      <w:proofErr w:type="spellStart"/>
      <w:r w:rsidRPr="002C1513">
        <w:rPr>
          <w:sz w:val="22"/>
          <w:szCs w:val="22"/>
        </w:rPr>
        <w:t>Brief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Pain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Inventory</w:t>
      </w:r>
      <w:proofErr w:type="spellEnd"/>
      <w:r w:rsidRPr="002C1513">
        <w:rPr>
          <w:sz w:val="22"/>
          <w:szCs w:val="22"/>
        </w:rPr>
        <w:t xml:space="preserve"> (</w:t>
      </w:r>
      <w:proofErr w:type="spellStart"/>
      <w:r w:rsidRPr="002C1513">
        <w:rPr>
          <w:sz w:val="22"/>
          <w:szCs w:val="22"/>
        </w:rPr>
        <w:t>BPI</w:t>
      </w:r>
      <w:proofErr w:type="spellEnd"/>
      <w:r w:rsidRPr="002C1513">
        <w:rPr>
          <w:sz w:val="22"/>
          <w:szCs w:val="22"/>
        </w:rPr>
        <w:t xml:space="preserve">). </w:t>
      </w:r>
    </w:p>
    <w:p w14:paraId="3ADFA091" w14:textId="77777777" w:rsidR="00787894" w:rsidRPr="002C1513" w:rsidRDefault="00787894" w:rsidP="00EB070F">
      <w:pPr>
        <w:pStyle w:val="Default"/>
        <w:rPr>
          <w:sz w:val="22"/>
          <w:szCs w:val="22"/>
        </w:rPr>
      </w:pPr>
    </w:p>
    <w:p w14:paraId="301FB411" w14:textId="77777777" w:rsidR="00EB070F" w:rsidRPr="002C1513" w:rsidRDefault="00EB070F" w:rsidP="00EB070F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Pediatrická populácia </w:t>
      </w:r>
    </w:p>
    <w:p w14:paraId="4B4BBE67" w14:textId="77777777" w:rsidR="00787894" w:rsidRPr="002C1513" w:rsidRDefault="00EB070F" w:rsidP="00EB070F">
      <w:pPr>
        <w:autoSpaceDE w:val="0"/>
        <w:autoSpaceDN w:val="0"/>
        <w:adjustRightInd w:val="0"/>
        <w:ind w:left="0" w:firstLine="0"/>
        <w:rPr>
          <w:szCs w:val="22"/>
        </w:rPr>
      </w:pPr>
      <w:r w:rsidRPr="002C1513">
        <w:rPr>
          <w:szCs w:val="22"/>
        </w:rPr>
        <w:t xml:space="preserve">Neboli vykonané štúdie s </w:t>
      </w:r>
      <w:proofErr w:type="spellStart"/>
      <w:r w:rsidRPr="002C1513">
        <w:rPr>
          <w:szCs w:val="22"/>
        </w:rPr>
        <w:t>duloxetínom</w:t>
      </w:r>
      <w:proofErr w:type="spellEnd"/>
      <w:r w:rsidRPr="002C1513">
        <w:rPr>
          <w:szCs w:val="22"/>
        </w:rPr>
        <w:t xml:space="preserve"> u pacientov mladších ako 7 rokov. </w:t>
      </w:r>
    </w:p>
    <w:p w14:paraId="33D4412C" w14:textId="77777777" w:rsidR="00787894" w:rsidRPr="002C1513" w:rsidRDefault="00787894" w:rsidP="00EB070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0D500F6" w14:textId="77777777" w:rsidR="00787894" w:rsidRPr="002C1513" w:rsidRDefault="00EB070F" w:rsidP="00787894">
      <w:pPr>
        <w:pStyle w:val="Default"/>
        <w:rPr>
          <w:sz w:val="22"/>
          <w:szCs w:val="22"/>
        </w:rPr>
      </w:pPr>
      <w:r w:rsidRPr="002C1513">
        <w:rPr>
          <w:szCs w:val="22"/>
        </w:rPr>
        <w:t xml:space="preserve">Boli vykonané dve </w:t>
      </w:r>
      <w:proofErr w:type="spellStart"/>
      <w:r w:rsidRPr="002C1513">
        <w:rPr>
          <w:szCs w:val="22"/>
        </w:rPr>
        <w:t>randomizované</w:t>
      </w:r>
      <w:proofErr w:type="spellEnd"/>
      <w:r w:rsidRPr="002C1513">
        <w:rPr>
          <w:szCs w:val="22"/>
        </w:rPr>
        <w:t xml:space="preserve"> dvojito zaslepené paralelné klinické štúdie s 800 pediatrickými pacientmi s</w:t>
      </w:r>
      <w:r w:rsidR="00787894" w:rsidRPr="002C1513">
        <w:rPr>
          <w:szCs w:val="22"/>
        </w:rPr>
        <w:t> </w:t>
      </w:r>
      <w:r w:rsidRPr="002C1513">
        <w:rPr>
          <w:szCs w:val="22"/>
        </w:rPr>
        <w:t>veľkou</w:t>
      </w:r>
      <w:r w:rsidR="00787894" w:rsidRPr="002C1513">
        <w:rPr>
          <w:szCs w:val="22"/>
        </w:rPr>
        <w:t xml:space="preserve"> </w:t>
      </w:r>
      <w:r w:rsidR="00787894" w:rsidRPr="002C1513">
        <w:rPr>
          <w:sz w:val="22"/>
          <w:szCs w:val="22"/>
        </w:rPr>
        <w:t xml:space="preserve">depresívnou poruchou vo veku 7-17 rokov (pozri časť 4.2). Tieto dve štúdie zahŕňali </w:t>
      </w:r>
      <w:proofErr w:type="spellStart"/>
      <w:r w:rsidR="00787894" w:rsidRPr="002C1513">
        <w:rPr>
          <w:sz w:val="22"/>
          <w:szCs w:val="22"/>
        </w:rPr>
        <w:t>10-týždňovú</w:t>
      </w:r>
      <w:proofErr w:type="spellEnd"/>
      <w:r w:rsidR="00787894" w:rsidRPr="002C1513">
        <w:rPr>
          <w:sz w:val="22"/>
          <w:szCs w:val="22"/>
        </w:rPr>
        <w:t xml:space="preserve"> placebom a aktívnou látkou (</w:t>
      </w:r>
      <w:proofErr w:type="spellStart"/>
      <w:r w:rsidR="00787894" w:rsidRPr="002C1513">
        <w:rPr>
          <w:sz w:val="22"/>
          <w:szCs w:val="22"/>
        </w:rPr>
        <w:t>fluoxetínom</w:t>
      </w:r>
      <w:proofErr w:type="spellEnd"/>
      <w:r w:rsidR="00787894" w:rsidRPr="002C1513">
        <w:rPr>
          <w:sz w:val="22"/>
          <w:szCs w:val="22"/>
        </w:rPr>
        <w:t xml:space="preserve">) kontrolovanú fázu, po ktorej nasledovala </w:t>
      </w:r>
      <w:proofErr w:type="spellStart"/>
      <w:r w:rsidR="00787894" w:rsidRPr="002C1513">
        <w:rPr>
          <w:sz w:val="22"/>
          <w:szCs w:val="22"/>
        </w:rPr>
        <w:t>6-mesačná</w:t>
      </w:r>
      <w:proofErr w:type="spellEnd"/>
      <w:r w:rsidR="00787894" w:rsidRPr="002C1513">
        <w:rPr>
          <w:sz w:val="22"/>
          <w:szCs w:val="22"/>
        </w:rPr>
        <w:t xml:space="preserve"> fáza aktívne kontrolovanej pokračovacej liečby. Ani </w:t>
      </w:r>
      <w:proofErr w:type="spellStart"/>
      <w:r w:rsidR="00787894" w:rsidRPr="002C1513">
        <w:rPr>
          <w:sz w:val="22"/>
          <w:szCs w:val="22"/>
        </w:rPr>
        <w:t>duloxetín</w:t>
      </w:r>
      <w:proofErr w:type="spellEnd"/>
      <w:r w:rsidR="00787894" w:rsidRPr="002C1513">
        <w:rPr>
          <w:sz w:val="22"/>
          <w:szCs w:val="22"/>
        </w:rPr>
        <w:t xml:space="preserve"> (30 – 120 mg) ani aktívne kontrolované rameno (fluoxetín 20 - 40 mg) sa štatisticky neodlíšili od </w:t>
      </w:r>
      <w:proofErr w:type="spellStart"/>
      <w:r w:rsidR="00787894" w:rsidRPr="002C1513">
        <w:rPr>
          <w:sz w:val="22"/>
          <w:szCs w:val="22"/>
        </w:rPr>
        <w:t>placeba</w:t>
      </w:r>
      <w:proofErr w:type="spellEnd"/>
      <w:r w:rsidR="00787894" w:rsidRPr="002C1513">
        <w:rPr>
          <w:sz w:val="22"/>
          <w:szCs w:val="22"/>
        </w:rPr>
        <w:t xml:space="preserve"> v zmene celkového skóre </w:t>
      </w:r>
      <w:proofErr w:type="spellStart"/>
      <w:r w:rsidR="00787894" w:rsidRPr="002C1513">
        <w:rPr>
          <w:sz w:val="22"/>
          <w:szCs w:val="22"/>
        </w:rPr>
        <w:t>CDRS-R</w:t>
      </w:r>
      <w:proofErr w:type="spellEnd"/>
      <w:r w:rsidR="00787894" w:rsidRPr="002C1513">
        <w:rPr>
          <w:sz w:val="22"/>
          <w:szCs w:val="22"/>
        </w:rPr>
        <w:t xml:space="preserve"> (</w:t>
      </w:r>
      <w:proofErr w:type="spellStart"/>
      <w:r w:rsidR="00787894" w:rsidRPr="002C1513">
        <w:rPr>
          <w:sz w:val="22"/>
          <w:szCs w:val="22"/>
        </w:rPr>
        <w:t>Children´s</w:t>
      </w:r>
      <w:proofErr w:type="spellEnd"/>
      <w:r w:rsidR="00787894" w:rsidRPr="002C1513">
        <w:rPr>
          <w:sz w:val="22"/>
          <w:szCs w:val="22"/>
        </w:rPr>
        <w:t xml:space="preserve"> </w:t>
      </w:r>
      <w:proofErr w:type="spellStart"/>
      <w:r w:rsidR="00787894" w:rsidRPr="002C1513">
        <w:rPr>
          <w:sz w:val="22"/>
          <w:szCs w:val="22"/>
        </w:rPr>
        <w:t>Depression</w:t>
      </w:r>
      <w:proofErr w:type="spellEnd"/>
      <w:r w:rsidR="00787894" w:rsidRPr="002C1513">
        <w:rPr>
          <w:sz w:val="22"/>
          <w:szCs w:val="22"/>
        </w:rPr>
        <w:t xml:space="preserve"> Rating </w:t>
      </w:r>
      <w:proofErr w:type="spellStart"/>
      <w:r w:rsidR="00787894" w:rsidRPr="002C1513">
        <w:rPr>
          <w:sz w:val="22"/>
          <w:szCs w:val="22"/>
        </w:rPr>
        <w:t>Scale-Revised</w:t>
      </w:r>
      <w:proofErr w:type="spellEnd"/>
      <w:r w:rsidR="00787894" w:rsidRPr="002C1513">
        <w:rPr>
          <w:sz w:val="22"/>
          <w:szCs w:val="22"/>
        </w:rPr>
        <w:t xml:space="preserve">) od začiatku až do konca. Ukončenie skúšania z dôvodu nežiaducich účinkov, najmä kvôli </w:t>
      </w:r>
      <w:proofErr w:type="spellStart"/>
      <w:r w:rsidR="00787894" w:rsidRPr="002C1513">
        <w:rPr>
          <w:sz w:val="22"/>
          <w:szCs w:val="22"/>
        </w:rPr>
        <w:t>nauzei</w:t>
      </w:r>
      <w:proofErr w:type="spellEnd"/>
      <w:r w:rsidR="00787894" w:rsidRPr="002C1513">
        <w:rPr>
          <w:sz w:val="22"/>
          <w:szCs w:val="22"/>
        </w:rPr>
        <w:t xml:space="preserve">, bol vyšší u pacientov užívajúcich </w:t>
      </w:r>
      <w:proofErr w:type="spellStart"/>
      <w:r w:rsidR="00787894" w:rsidRPr="002C1513">
        <w:rPr>
          <w:sz w:val="22"/>
          <w:szCs w:val="22"/>
        </w:rPr>
        <w:t>duloxetín</w:t>
      </w:r>
      <w:proofErr w:type="spellEnd"/>
      <w:r w:rsidR="00787894" w:rsidRPr="002C1513">
        <w:rPr>
          <w:sz w:val="22"/>
          <w:szCs w:val="22"/>
        </w:rPr>
        <w:t xml:space="preserve"> ako u tých, čo užívali fluoxetín. Počas </w:t>
      </w:r>
      <w:proofErr w:type="spellStart"/>
      <w:r w:rsidR="00787894" w:rsidRPr="002C1513">
        <w:rPr>
          <w:sz w:val="22"/>
          <w:szCs w:val="22"/>
        </w:rPr>
        <w:t>10-týždňovej</w:t>
      </w:r>
      <w:proofErr w:type="spellEnd"/>
      <w:r w:rsidR="00787894" w:rsidRPr="002C1513">
        <w:rPr>
          <w:sz w:val="22"/>
          <w:szCs w:val="22"/>
        </w:rPr>
        <w:t xml:space="preserve"> liečebnej časti akútnej liečby bolo hlásené </w:t>
      </w:r>
      <w:proofErr w:type="spellStart"/>
      <w:r w:rsidR="00787894" w:rsidRPr="002C1513">
        <w:rPr>
          <w:sz w:val="22"/>
          <w:szCs w:val="22"/>
        </w:rPr>
        <w:t>suicidálne</w:t>
      </w:r>
      <w:proofErr w:type="spellEnd"/>
      <w:r w:rsidR="00787894" w:rsidRPr="002C1513">
        <w:rPr>
          <w:sz w:val="22"/>
          <w:szCs w:val="22"/>
        </w:rPr>
        <w:t xml:space="preserve"> správanie (</w:t>
      </w:r>
      <w:proofErr w:type="spellStart"/>
      <w:r w:rsidR="00787894" w:rsidRPr="002C1513">
        <w:rPr>
          <w:sz w:val="22"/>
          <w:szCs w:val="22"/>
        </w:rPr>
        <w:t>duloxetín</w:t>
      </w:r>
      <w:proofErr w:type="spellEnd"/>
      <w:r w:rsidR="00787894" w:rsidRPr="002C1513">
        <w:rPr>
          <w:sz w:val="22"/>
          <w:szCs w:val="22"/>
        </w:rPr>
        <w:t xml:space="preserve"> 0/333 [0 %], fluoxetín 2/225 [0.9 %], </w:t>
      </w:r>
      <w:proofErr w:type="spellStart"/>
      <w:r w:rsidR="00787894" w:rsidRPr="002C1513">
        <w:rPr>
          <w:sz w:val="22"/>
          <w:szCs w:val="22"/>
        </w:rPr>
        <w:t>placebo</w:t>
      </w:r>
      <w:proofErr w:type="spellEnd"/>
      <w:r w:rsidR="00787894" w:rsidRPr="002C1513">
        <w:rPr>
          <w:sz w:val="22"/>
          <w:szCs w:val="22"/>
        </w:rPr>
        <w:t xml:space="preserve"> 1/220 [0,5 %]). Počas celého </w:t>
      </w:r>
      <w:proofErr w:type="spellStart"/>
      <w:r w:rsidR="00787894" w:rsidRPr="002C1513">
        <w:rPr>
          <w:sz w:val="22"/>
          <w:szCs w:val="22"/>
        </w:rPr>
        <w:t>36-týždňového</w:t>
      </w:r>
      <w:proofErr w:type="spellEnd"/>
      <w:r w:rsidR="00787894" w:rsidRPr="002C1513">
        <w:rPr>
          <w:sz w:val="22"/>
          <w:szCs w:val="22"/>
        </w:rPr>
        <w:t xml:space="preserve"> trvania štúdie, 6 z 333 pacientov pôvodne randomizovaných na </w:t>
      </w:r>
      <w:proofErr w:type="spellStart"/>
      <w:r w:rsidR="00787894" w:rsidRPr="002C1513">
        <w:rPr>
          <w:sz w:val="22"/>
          <w:szCs w:val="22"/>
        </w:rPr>
        <w:t>duloxetín</w:t>
      </w:r>
      <w:proofErr w:type="spellEnd"/>
      <w:r w:rsidR="00787894" w:rsidRPr="002C1513">
        <w:rPr>
          <w:sz w:val="22"/>
          <w:szCs w:val="22"/>
        </w:rPr>
        <w:t xml:space="preserve"> a 3 z 225 pôvodne randomizovaných na fluoxetín zaznamenali </w:t>
      </w:r>
      <w:proofErr w:type="spellStart"/>
      <w:r w:rsidR="00787894" w:rsidRPr="002C1513">
        <w:rPr>
          <w:sz w:val="22"/>
          <w:szCs w:val="22"/>
        </w:rPr>
        <w:t>suicidálne</w:t>
      </w:r>
      <w:proofErr w:type="spellEnd"/>
      <w:r w:rsidR="00787894" w:rsidRPr="002C1513">
        <w:rPr>
          <w:sz w:val="22"/>
          <w:szCs w:val="22"/>
        </w:rPr>
        <w:t xml:space="preserve"> správanie (</w:t>
      </w:r>
      <w:proofErr w:type="spellStart"/>
      <w:r w:rsidR="00787894" w:rsidRPr="002C1513">
        <w:rPr>
          <w:sz w:val="22"/>
          <w:szCs w:val="22"/>
        </w:rPr>
        <w:t>incidencia</w:t>
      </w:r>
      <w:proofErr w:type="spellEnd"/>
      <w:r w:rsidR="00787894" w:rsidRPr="002C1513">
        <w:rPr>
          <w:sz w:val="22"/>
          <w:szCs w:val="22"/>
        </w:rPr>
        <w:t xml:space="preserve"> upravená podľa expozície 0,039 udalostí na </w:t>
      </w:r>
      <w:proofErr w:type="spellStart"/>
      <w:r w:rsidR="00787894" w:rsidRPr="002C1513">
        <w:rPr>
          <w:sz w:val="22"/>
          <w:szCs w:val="22"/>
        </w:rPr>
        <w:t>pacientský</w:t>
      </w:r>
      <w:proofErr w:type="spellEnd"/>
      <w:r w:rsidR="00787894" w:rsidRPr="002C1513">
        <w:rPr>
          <w:sz w:val="22"/>
          <w:szCs w:val="22"/>
        </w:rPr>
        <w:t xml:space="preserve"> rok u </w:t>
      </w:r>
      <w:proofErr w:type="spellStart"/>
      <w:r w:rsidR="00787894" w:rsidRPr="002C1513">
        <w:rPr>
          <w:sz w:val="22"/>
          <w:szCs w:val="22"/>
        </w:rPr>
        <w:t>duloxetínu</w:t>
      </w:r>
      <w:proofErr w:type="spellEnd"/>
      <w:r w:rsidR="00787894" w:rsidRPr="002C1513">
        <w:rPr>
          <w:sz w:val="22"/>
          <w:szCs w:val="22"/>
        </w:rPr>
        <w:t xml:space="preserve"> a 0,026 u </w:t>
      </w:r>
      <w:proofErr w:type="spellStart"/>
      <w:r w:rsidR="00787894" w:rsidRPr="002C1513">
        <w:rPr>
          <w:sz w:val="22"/>
          <w:szCs w:val="22"/>
        </w:rPr>
        <w:t>fluoxetínu</w:t>
      </w:r>
      <w:proofErr w:type="spellEnd"/>
      <w:r w:rsidR="00787894" w:rsidRPr="002C1513">
        <w:rPr>
          <w:sz w:val="22"/>
          <w:szCs w:val="22"/>
        </w:rPr>
        <w:t xml:space="preserve">). Navyše jeden pacient, ktorý prešiel z </w:t>
      </w:r>
      <w:proofErr w:type="spellStart"/>
      <w:r w:rsidR="00787894" w:rsidRPr="002C1513">
        <w:rPr>
          <w:sz w:val="22"/>
          <w:szCs w:val="22"/>
        </w:rPr>
        <w:t>placeba</w:t>
      </w:r>
      <w:proofErr w:type="spellEnd"/>
      <w:r w:rsidR="00787894" w:rsidRPr="002C1513">
        <w:rPr>
          <w:sz w:val="22"/>
          <w:szCs w:val="22"/>
        </w:rPr>
        <w:t xml:space="preserve"> na </w:t>
      </w:r>
      <w:proofErr w:type="spellStart"/>
      <w:r w:rsidR="00787894" w:rsidRPr="002C1513">
        <w:rPr>
          <w:sz w:val="22"/>
          <w:szCs w:val="22"/>
        </w:rPr>
        <w:t>duloxetín</w:t>
      </w:r>
      <w:proofErr w:type="spellEnd"/>
      <w:r w:rsidR="00787894" w:rsidRPr="002C1513">
        <w:rPr>
          <w:sz w:val="22"/>
          <w:szCs w:val="22"/>
        </w:rPr>
        <w:t xml:space="preserve"> zakúsil </w:t>
      </w:r>
      <w:proofErr w:type="spellStart"/>
      <w:r w:rsidR="00787894" w:rsidRPr="002C1513">
        <w:rPr>
          <w:sz w:val="22"/>
          <w:szCs w:val="22"/>
        </w:rPr>
        <w:t>suicidálne</w:t>
      </w:r>
      <w:proofErr w:type="spellEnd"/>
      <w:r w:rsidR="00787894" w:rsidRPr="002C1513">
        <w:rPr>
          <w:sz w:val="22"/>
          <w:szCs w:val="22"/>
        </w:rPr>
        <w:t xml:space="preserve"> správanie v čase, keď užíval </w:t>
      </w:r>
      <w:proofErr w:type="spellStart"/>
      <w:r w:rsidR="00787894" w:rsidRPr="002C1513">
        <w:rPr>
          <w:sz w:val="22"/>
          <w:szCs w:val="22"/>
        </w:rPr>
        <w:t>duloxetín</w:t>
      </w:r>
      <w:proofErr w:type="spellEnd"/>
      <w:r w:rsidR="00787894" w:rsidRPr="002C1513">
        <w:rPr>
          <w:sz w:val="22"/>
          <w:szCs w:val="22"/>
        </w:rPr>
        <w:t xml:space="preserve">. </w:t>
      </w:r>
    </w:p>
    <w:p w14:paraId="3692BE40" w14:textId="77777777" w:rsidR="00787894" w:rsidRPr="002C1513" w:rsidRDefault="00787894" w:rsidP="00787894">
      <w:pPr>
        <w:pStyle w:val="Default"/>
        <w:rPr>
          <w:sz w:val="22"/>
          <w:szCs w:val="22"/>
        </w:rPr>
      </w:pPr>
    </w:p>
    <w:p w14:paraId="369971D8" w14:textId="77777777" w:rsidR="00787894" w:rsidRPr="002C1513" w:rsidRDefault="00787894" w:rsidP="00787894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Randomizovaného</w:t>
      </w:r>
      <w:proofErr w:type="spellEnd"/>
      <w:r w:rsidRPr="002C1513">
        <w:rPr>
          <w:sz w:val="22"/>
          <w:szCs w:val="22"/>
        </w:rPr>
        <w:t>, dvojito zaslepeného, placebom kontrolovaného klinického skúšania sa zúčastnilo 272 pacientov vo veku 7-17 rokov s generalizovanou úzkostnou poruchou (</w:t>
      </w:r>
      <w:proofErr w:type="spellStart"/>
      <w:r w:rsidRPr="002C1513">
        <w:rPr>
          <w:sz w:val="22"/>
          <w:szCs w:val="22"/>
        </w:rPr>
        <w:t>GAD</w:t>
      </w:r>
      <w:proofErr w:type="spellEnd"/>
      <w:r w:rsidRPr="002C1513">
        <w:rPr>
          <w:sz w:val="22"/>
          <w:szCs w:val="22"/>
        </w:rPr>
        <w:t xml:space="preserve">). Klinické skúšanie zahŕňalo </w:t>
      </w:r>
      <w:proofErr w:type="spellStart"/>
      <w:r w:rsidRPr="002C1513">
        <w:rPr>
          <w:sz w:val="22"/>
          <w:szCs w:val="22"/>
        </w:rPr>
        <w:t>10-týždňovú</w:t>
      </w:r>
      <w:proofErr w:type="spellEnd"/>
      <w:r w:rsidRPr="002C1513">
        <w:rPr>
          <w:sz w:val="22"/>
          <w:szCs w:val="22"/>
        </w:rPr>
        <w:t xml:space="preserve"> placebom kontrolovanú akútnu fázu, po ktorej nasledovala </w:t>
      </w:r>
      <w:proofErr w:type="spellStart"/>
      <w:r w:rsidRPr="002C1513">
        <w:rPr>
          <w:sz w:val="22"/>
          <w:szCs w:val="22"/>
        </w:rPr>
        <w:t>18-týždňová</w:t>
      </w:r>
      <w:proofErr w:type="spellEnd"/>
      <w:r w:rsidRPr="002C1513">
        <w:rPr>
          <w:sz w:val="22"/>
          <w:szCs w:val="22"/>
        </w:rPr>
        <w:t xml:space="preserve"> predĺžená fáza. V tomto klinickom skúšaní bol použitý flexibilný dávkovací režim, aby bolo umožnené pomalé zvyšovanie dávky z 30 mg jedenkrát denne na vyššie dávky (najviac 120 mg jedenkrát denne). Liečba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ukázala po 10 týždňoch liečby štatisticky výrazne vyššie zlepšenie príznakov </w:t>
      </w:r>
      <w:proofErr w:type="spellStart"/>
      <w:r w:rsidRPr="002C1513">
        <w:rPr>
          <w:sz w:val="22"/>
          <w:szCs w:val="22"/>
        </w:rPr>
        <w:t>GAD</w:t>
      </w:r>
      <w:proofErr w:type="spellEnd"/>
      <w:r w:rsidRPr="002C1513">
        <w:rPr>
          <w:sz w:val="22"/>
          <w:szCs w:val="22"/>
        </w:rPr>
        <w:t xml:space="preserve">, pri meraní pomocou skóre závažnosti </w:t>
      </w:r>
      <w:proofErr w:type="spellStart"/>
      <w:r w:rsidRPr="002C1513">
        <w:rPr>
          <w:sz w:val="22"/>
          <w:szCs w:val="22"/>
        </w:rPr>
        <w:t>PARS</w:t>
      </w:r>
      <w:proofErr w:type="spellEnd"/>
      <w:r w:rsidRPr="002C1513">
        <w:rPr>
          <w:sz w:val="22"/>
          <w:szCs w:val="22"/>
        </w:rPr>
        <w:t xml:space="preserve"> pre </w:t>
      </w:r>
      <w:proofErr w:type="spellStart"/>
      <w:r w:rsidRPr="002C1513">
        <w:rPr>
          <w:sz w:val="22"/>
          <w:szCs w:val="22"/>
        </w:rPr>
        <w:t>GAD</w:t>
      </w:r>
      <w:proofErr w:type="spellEnd"/>
      <w:r w:rsidRPr="002C1513">
        <w:rPr>
          <w:sz w:val="22"/>
          <w:szCs w:val="22"/>
        </w:rPr>
        <w:t xml:space="preserve"> (priemerný rozdiel medzi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 placebom bol 2,7 bodov [95 % </w:t>
      </w:r>
      <w:proofErr w:type="spellStart"/>
      <w:r w:rsidRPr="002C1513">
        <w:rPr>
          <w:sz w:val="22"/>
          <w:szCs w:val="22"/>
        </w:rPr>
        <w:t>CI</w:t>
      </w:r>
      <w:proofErr w:type="spellEnd"/>
      <w:r w:rsidRPr="002C1513">
        <w:rPr>
          <w:sz w:val="22"/>
          <w:szCs w:val="22"/>
        </w:rPr>
        <w:t xml:space="preserve"> 1,3-4,0]) po 10 týždňoch liečby. Pretrvanie účinku nebolo hodnotené. Počas </w:t>
      </w:r>
      <w:proofErr w:type="spellStart"/>
      <w:r w:rsidRPr="002C1513">
        <w:rPr>
          <w:sz w:val="22"/>
          <w:szCs w:val="22"/>
        </w:rPr>
        <w:t>10-týždňovej</w:t>
      </w:r>
      <w:proofErr w:type="spellEnd"/>
      <w:r w:rsidRPr="002C1513">
        <w:rPr>
          <w:sz w:val="22"/>
          <w:szCs w:val="22"/>
        </w:rPr>
        <w:t xml:space="preserve"> fázy akútnej liečby sa neukázal žiaden štatisticky významný rozdiel v prerušení liečby z dôvodu nežiaducich reakcií medzi skupinami s </w:t>
      </w:r>
      <w:proofErr w:type="spellStart"/>
      <w:r w:rsidRPr="002C1513">
        <w:rPr>
          <w:sz w:val="22"/>
          <w:szCs w:val="22"/>
        </w:rPr>
        <w:t>duloxetínom</w:t>
      </w:r>
      <w:proofErr w:type="spellEnd"/>
      <w:r w:rsidRPr="002C1513">
        <w:rPr>
          <w:sz w:val="22"/>
          <w:szCs w:val="22"/>
        </w:rPr>
        <w:t xml:space="preserve"> a placebom. U dvoch pacientov, ktorí prešli po akútnej liečbe z </w:t>
      </w:r>
      <w:proofErr w:type="spellStart"/>
      <w:r w:rsidRPr="002C1513">
        <w:rPr>
          <w:sz w:val="22"/>
          <w:szCs w:val="22"/>
        </w:rPr>
        <w:t>placeba</w:t>
      </w:r>
      <w:proofErr w:type="spellEnd"/>
      <w:r w:rsidRPr="002C1513">
        <w:rPr>
          <w:sz w:val="22"/>
          <w:szCs w:val="22"/>
        </w:rPr>
        <w:t xml:space="preserve"> na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, sa počas užívania </w:t>
      </w:r>
      <w:proofErr w:type="spellStart"/>
      <w:r w:rsidRPr="002C1513">
        <w:rPr>
          <w:sz w:val="22"/>
          <w:szCs w:val="22"/>
        </w:rPr>
        <w:lastRenderedPageBreak/>
        <w:t>duloxetínu</w:t>
      </w:r>
      <w:proofErr w:type="spellEnd"/>
      <w:r w:rsidRPr="002C1513">
        <w:rPr>
          <w:sz w:val="22"/>
          <w:szCs w:val="22"/>
        </w:rPr>
        <w:t xml:space="preserve"> v predĺženej fáze vyskytlo samovražedné správanie. Závery vzhľadom na celkový pomer prínosu a rizika neboli pre túto vekovú skupinu stanovené (pozri tiež časti 4.2 a 4.8). </w:t>
      </w:r>
    </w:p>
    <w:p w14:paraId="37B14815" w14:textId="77777777" w:rsidR="00787894" w:rsidRPr="002C1513" w:rsidRDefault="00787894" w:rsidP="00787894">
      <w:pPr>
        <w:pStyle w:val="Default"/>
        <w:rPr>
          <w:sz w:val="22"/>
          <w:szCs w:val="22"/>
        </w:rPr>
      </w:pPr>
    </w:p>
    <w:p w14:paraId="27271496" w14:textId="77777777" w:rsidR="00EB070F" w:rsidRPr="002C1513" w:rsidRDefault="00787894" w:rsidP="00787894">
      <w:pPr>
        <w:autoSpaceDE w:val="0"/>
        <w:autoSpaceDN w:val="0"/>
        <w:adjustRightInd w:val="0"/>
        <w:ind w:left="0" w:firstLine="0"/>
        <w:rPr>
          <w:iCs/>
          <w:szCs w:val="22"/>
          <w:lang w:eastAsia="en-US"/>
        </w:rPr>
      </w:pPr>
      <w:r w:rsidRPr="002C1513">
        <w:rPr>
          <w:szCs w:val="22"/>
        </w:rPr>
        <w:t xml:space="preserve">Európska lieková agentúra udelila výnimku z povinnosti predložiť výsledky štúdií s referenčným liekom obsahujúcim </w:t>
      </w:r>
      <w:proofErr w:type="spellStart"/>
      <w:r w:rsidRPr="002C1513">
        <w:rPr>
          <w:szCs w:val="22"/>
        </w:rPr>
        <w:t>duloxetín</w:t>
      </w:r>
      <w:proofErr w:type="spellEnd"/>
      <w:r w:rsidRPr="002C1513">
        <w:rPr>
          <w:szCs w:val="22"/>
        </w:rPr>
        <w:t xml:space="preserve"> s ohľadom na všetky vekové podskupiny detí a dospievajúcich v liečbe veľkej depresívnej poruchy, diabetickej </w:t>
      </w:r>
      <w:proofErr w:type="spellStart"/>
      <w:r w:rsidRPr="002C1513">
        <w:rPr>
          <w:szCs w:val="22"/>
        </w:rPr>
        <w:t>neuropatickej</w:t>
      </w:r>
      <w:proofErr w:type="spellEnd"/>
      <w:r w:rsidRPr="002C1513">
        <w:rPr>
          <w:szCs w:val="22"/>
        </w:rPr>
        <w:t xml:space="preserve"> bolesti a generalizovanej úzkostnej poruchy. Pozri časť 4.2 pre informáciu o pediatrickom použití.</w:t>
      </w:r>
    </w:p>
    <w:p w14:paraId="214D98DC" w14:textId="77777777" w:rsidR="00952B3E" w:rsidRPr="003C2CC8" w:rsidRDefault="00952B3E" w:rsidP="00D62768">
      <w:pPr>
        <w:tabs>
          <w:tab w:val="left" w:pos="567"/>
        </w:tabs>
        <w:ind w:left="0" w:firstLine="0"/>
        <w:rPr>
          <w:szCs w:val="22"/>
        </w:rPr>
      </w:pPr>
    </w:p>
    <w:p w14:paraId="38EDE5A5" w14:textId="77777777" w:rsidR="00EE6E61" w:rsidRPr="002C1513" w:rsidRDefault="00EE6E61" w:rsidP="00D62768">
      <w:pPr>
        <w:tabs>
          <w:tab w:val="left" w:pos="567"/>
        </w:tabs>
        <w:ind w:left="0" w:firstLine="0"/>
        <w:rPr>
          <w:b/>
          <w:szCs w:val="22"/>
        </w:rPr>
      </w:pPr>
      <w:r w:rsidRPr="002C1513">
        <w:rPr>
          <w:b/>
          <w:szCs w:val="22"/>
        </w:rPr>
        <w:t xml:space="preserve">5.2 </w:t>
      </w:r>
      <w:r w:rsidR="00512679" w:rsidRPr="002C1513">
        <w:rPr>
          <w:b/>
          <w:szCs w:val="22"/>
        </w:rPr>
        <w:tab/>
      </w:r>
      <w:proofErr w:type="spellStart"/>
      <w:r w:rsidRPr="002C1513">
        <w:rPr>
          <w:b/>
          <w:szCs w:val="22"/>
        </w:rPr>
        <w:t>Farmakokinetické</w:t>
      </w:r>
      <w:proofErr w:type="spellEnd"/>
      <w:r w:rsidRPr="002C1513">
        <w:rPr>
          <w:b/>
          <w:szCs w:val="22"/>
        </w:rPr>
        <w:t xml:space="preserve"> vlastnosti</w:t>
      </w:r>
    </w:p>
    <w:p w14:paraId="198FCDD9" w14:textId="77777777" w:rsidR="00F04DBA" w:rsidRPr="002C1513" w:rsidRDefault="00F04DBA" w:rsidP="00F04DBA">
      <w:pPr>
        <w:pStyle w:val="Default"/>
        <w:rPr>
          <w:sz w:val="22"/>
          <w:szCs w:val="22"/>
        </w:rPr>
      </w:pPr>
    </w:p>
    <w:p w14:paraId="3CD8CEAE" w14:textId="77777777" w:rsidR="00F04DBA" w:rsidRPr="002C1513" w:rsidRDefault="00F04DBA" w:rsidP="00F04DBA">
      <w:pPr>
        <w:pStyle w:val="Default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sa podáva ako samostatný </w:t>
      </w:r>
      <w:proofErr w:type="spellStart"/>
      <w:r w:rsidRPr="002C1513">
        <w:rPr>
          <w:sz w:val="22"/>
          <w:szCs w:val="22"/>
        </w:rPr>
        <w:t>enantiomér</w:t>
      </w:r>
      <w:proofErr w:type="spellEnd"/>
      <w:r w:rsidRPr="002C1513">
        <w:rPr>
          <w:sz w:val="22"/>
          <w:szCs w:val="22"/>
        </w:rPr>
        <w:t xml:space="preserve">.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sa extenzívne metabolizuje prostredníctvom oxidatívnych enzýmov (</w:t>
      </w:r>
      <w:proofErr w:type="spellStart"/>
      <w:r w:rsidRPr="002C1513">
        <w:rPr>
          <w:sz w:val="22"/>
          <w:szCs w:val="22"/>
        </w:rPr>
        <w:t>CYP1A2</w:t>
      </w:r>
      <w:proofErr w:type="spellEnd"/>
      <w:r w:rsidRPr="002C1513">
        <w:rPr>
          <w:sz w:val="22"/>
          <w:szCs w:val="22"/>
        </w:rPr>
        <w:t xml:space="preserve"> a polymorfný </w:t>
      </w:r>
      <w:proofErr w:type="spellStart"/>
      <w:r w:rsidRPr="002C1513">
        <w:rPr>
          <w:sz w:val="22"/>
          <w:szCs w:val="22"/>
        </w:rPr>
        <w:t>CYP2D6</w:t>
      </w:r>
      <w:proofErr w:type="spellEnd"/>
      <w:r w:rsidRPr="002C1513">
        <w:rPr>
          <w:sz w:val="22"/>
          <w:szCs w:val="22"/>
        </w:rPr>
        <w:t xml:space="preserve">) s následnou konjugáciou. </w:t>
      </w:r>
      <w:proofErr w:type="spellStart"/>
      <w:r w:rsidRPr="002C1513">
        <w:rPr>
          <w:sz w:val="22"/>
          <w:szCs w:val="22"/>
        </w:rPr>
        <w:t>Farmakokinetika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preukazuje veľkú </w:t>
      </w:r>
      <w:proofErr w:type="spellStart"/>
      <w:r w:rsidRPr="002C1513">
        <w:rPr>
          <w:sz w:val="22"/>
          <w:szCs w:val="22"/>
        </w:rPr>
        <w:t>interindividuálnu</w:t>
      </w:r>
      <w:proofErr w:type="spellEnd"/>
      <w:r w:rsidRPr="002C1513">
        <w:rPr>
          <w:sz w:val="22"/>
          <w:szCs w:val="22"/>
        </w:rPr>
        <w:t xml:space="preserve"> variabilitu (všeobecne 50–60 %), čiastočne v súvislosti s pohlavím, vekom, fajčiarskymi návykmi a </w:t>
      </w:r>
      <w:r w:rsidR="005A125A">
        <w:rPr>
          <w:sz w:val="22"/>
          <w:szCs w:val="22"/>
        </w:rPr>
        <w:t>typom</w:t>
      </w:r>
      <w:r w:rsidR="005A125A"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metabolizéra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CYP2D6</w:t>
      </w:r>
      <w:proofErr w:type="spellEnd"/>
      <w:r w:rsidRPr="002C1513">
        <w:rPr>
          <w:sz w:val="22"/>
          <w:szCs w:val="22"/>
        </w:rPr>
        <w:t xml:space="preserve">. </w:t>
      </w:r>
    </w:p>
    <w:p w14:paraId="647DC2AC" w14:textId="77777777" w:rsidR="002F2198" w:rsidRPr="002C1513" w:rsidRDefault="002F2198" w:rsidP="00F04DBA">
      <w:pPr>
        <w:pStyle w:val="Default"/>
        <w:rPr>
          <w:sz w:val="22"/>
          <w:szCs w:val="22"/>
        </w:rPr>
      </w:pPr>
    </w:p>
    <w:p w14:paraId="47A23C0A" w14:textId="77777777" w:rsidR="00F04DBA" w:rsidRPr="002C1513" w:rsidRDefault="00F04DBA" w:rsidP="00F04DB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Absorpcia: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sa po perorálnom podaní dobre vstrebáva, pričom k </w:t>
      </w:r>
      <w:proofErr w:type="spellStart"/>
      <w:r w:rsidRPr="002C1513">
        <w:rPr>
          <w:sz w:val="22"/>
          <w:szCs w:val="22"/>
        </w:rPr>
        <w:t>C</w:t>
      </w:r>
      <w:r w:rsidRPr="002C1513">
        <w:rPr>
          <w:sz w:val="14"/>
          <w:szCs w:val="14"/>
        </w:rPr>
        <w:t>max</w:t>
      </w:r>
      <w:proofErr w:type="spellEnd"/>
      <w:r w:rsidRPr="002C1513">
        <w:rPr>
          <w:sz w:val="14"/>
          <w:szCs w:val="14"/>
        </w:rPr>
        <w:t xml:space="preserve"> </w:t>
      </w:r>
      <w:r w:rsidRPr="002C1513">
        <w:rPr>
          <w:sz w:val="22"/>
          <w:szCs w:val="22"/>
        </w:rPr>
        <w:t xml:space="preserve">dochádza 6 hodín po podaní dávky. Absolútna perorálna biologická dostupnosť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je 32 % až 80 % (priemer 50 %). Potrava predlžuje čas potrebný na dosiahnutie najvyššej koncentrácie zo 6 na 10 hodín a okrajovo zmenšuje rozsah absorpcie (približne 11 %). Tieto zmeny nemajú žiadnu klinickú významnosť. </w:t>
      </w:r>
    </w:p>
    <w:p w14:paraId="35E639A1" w14:textId="77777777" w:rsidR="00DA1296" w:rsidRDefault="00DA1296" w:rsidP="00F04DBA">
      <w:pPr>
        <w:pStyle w:val="Default"/>
        <w:rPr>
          <w:i/>
          <w:iCs/>
          <w:sz w:val="22"/>
          <w:szCs w:val="22"/>
        </w:rPr>
      </w:pPr>
    </w:p>
    <w:p w14:paraId="5C3DA1D7" w14:textId="77777777" w:rsidR="00F04DBA" w:rsidRPr="002C1513" w:rsidRDefault="00F04DBA" w:rsidP="00F04DB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Distribúcia: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sa priemerne v 96 % viaže na proteíny v ľudskej plazme.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sa viaže tak na albumín ako aj na </w:t>
      </w:r>
      <w:r w:rsidR="00DA1296" w:rsidRPr="002C1513">
        <w:rPr>
          <w:sz w:val="22"/>
          <w:szCs w:val="22"/>
        </w:rPr>
        <w:t xml:space="preserve">kyslý </w:t>
      </w:r>
      <w:proofErr w:type="spellStart"/>
      <w:r w:rsidRPr="002C1513">
        <w:rPr>
          <w:sz w:val="22"/>
          <w:szCs w:val="22"/>
        </w:rPr>
        <w:t>alfa-1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glykoproteín</w:t>
      </w:r>
      <w:proofErr w:type="spellEnd"/>
      <w:r w:rsidRPr="002C1513">
        <w:rPr>
          <w:sz w:val="22"/>
          <w:szCs w:val="22"/>
        </w:rPr>
        <w:t>. Väzba na proteíny nie je ovplyvnená po</w:t>
      </w:r>
      <w:r w:rsidR="002F2198" w:rsidRPr="002C1513">
        <w:rPr>
          <w:sz w:val="22"/>
          <w:szCs w:val="22"/>
        </w:rPr>
        <w:t>ruchou</w:t>
      </w:r>
      <w:r w:rsidRPr="002C1513">
        <w:rPr>
          <w:sz w:val="22"/>
          <w:szCs w:val="22"/>
        </w:rPr>
        <w:t xml:space="preserve"> funkcie obličiek či pečene. </w:t>
      </w:r>
    </w:p>
    <w:p w14:paraId="43769277" w14:textId="77777777" w:rsidR="002F2198" w:rsidRPr="002C1513" w:rsidRDefault="002F2198" w:rsidP="00F04DBA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14:paraId="36DDC582" w14:textId="77777777" w:rsidR="00B33E74" w:rsidRPr="002C1513" w:rsidRDefault="00F04DBA" w:rsidP="00F04DBA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  <w:proofErr w:type="spellStart"/>
      <w:r w:rsidRPr="002C1513">
        <w:rPr>
          <w:i/>
          <w:iCs/>
          <w:szCs w:val="22"/>
        </w:rPr>
        <w:t>Biotransformácia</w:t>
      </w:r>
      <w:proofErr w:type="spellEnd"/>
      <w:r w:rsidRPr="002C1513">
        <w:rPr>
          <w:i/>
          <w:iCs/>
          <w:szCs w:val="22"/>
        </w:rPr>
        <w:t xml:space="preserve">: </w:t>
      </w:r>
      <w:proofErr w:type="spellStart"/>
      <w:r w:rsidRPr="002C1513">
        <w:rPr>
          <w:szCs w:val="22"/>
        </w:rPr>
        <w:t>Duloxetín</w:t>
      </w:r>
      <w:proofErr w:type="spellEnd"/>
      <w:r w:rsidRPr="002C1513">
        <w:rPr>
          <w:szCs w:val="22"/>
        </w:rPr>
        <w:t xml:space="preserve"> sa extenzívne metabolizuje a jeho </w:t>
      </w:r>
      <w:proofErr w:type="spellStart"/>
      <w:r w:rsidRPr="002C1513">
        <w:rPr>
          <w:szCs w:val="22"/>
        </w:rPr>
        <w:t>metabolity</w:t>
      </w:r>
      <w:proofErr w:type="spellEnd"/>
      <w:r w:rsidRPr="002C1513">
        <w:rPr>
          <w:szCs w:val="22"/>
        </w:rPr>
        <w:t xml:space="preserve"> sa vylučujú predovšetkým močom. Obidva </w:t>
      </w:r>
      <w:proofErr w:type="spellStart"/>
      <w:r w:rsidRPr="002C1513">
        <w:rPr>
          <w:szCs w:val="22"/>
        </w:rPr>
        <w:t>cytochrómy</w:t>
      </w:r>
      <w:proofErr w:type="spellEnd"/>
      <w:r w:rsidRPr="002C1513">
        <w:rPr>
          <w:szCs w:val="22"/>
        </w:rPr>
        <w:t xml:space="preserve"> P450–2D6 ako aj 1A2 </w:t>
      </w:r>
      <w:proofErr w:type="spellStart"/>
      <w:r w:rsidRPr="002C1513">
        <w:rPr>
          <w:szCs w:val="22"/>
        </w:rPr>
        <w:t>katalyzujú</w:t>
      </w:r>
      <w:proofErr w:type="spellEnd"/>
      <w:r w:rsidRPr="002C1513">
        <w:rPr>
          <w:szCs w:val="22"/>
        </w:rPr>
        <w:t xml:space="preserve"> tvorbu dvoch hlavných </w:t>
      </w:r>
      <w:proofErr w:type="spellStart"/>
      <w:r w:rsidRPr="002C1513">
        <w:rPr>
          <w:szCs w:val="22"/>
        </w:rPr>
        <w:t>metabolitov</w:t>
      </w:r>
      <w:proofErr w:type="spellEnd"/>
      <w:r w:rsidRPr="002C1513">
        <w:rPr>
          <w:szCs w:val="22"/>
        </w:rPr>
        <w:t xml:space="preserve">, </w:t>
      </w:r>
      <w:proofErr w:type="spellStart"/>
      <w:r w:rsidRPr="002C1513">
        <w:rPr>
          <w:szCs w:val="22"/>
        </w:rPr>
        <w:t>glukuronidového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konjugátu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4-hydroxyduloxetínu</w:t>
      </w:r>
      <w:proofErr w:type="spellEnd"/>
      <w:r w:rsidRPr="002C1513">
        <w:rPr>
          <w:szCs w:val="22"/>
        </w:rPr>
        <w:t xml:space="preserve"> a sulfátového </w:t>
      </w:r>
      <w:proofErr w:type="spellStart"/>
      <w:r w:rsidRPr="002C1513">
        <w:rPr>
          <w:szCs w:val="22"/>
        </w:rPr>
        <w:t>konjugátu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5-hydroxy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6-metoxyduloxetínu</w:t>
      </w:r>
      <w:proofErr w:type="spellEnd"/>
      <w:r w:rsidRPr="002C1513">
        <w:rPr>
          <w:szCs w:val="22"/>
        </w:rPr>
        <w:t xml:space="preserve">. Vychádzajúc zo štúdií </w:t>
      </w:r>
      <w:r w:rsidRPr="002C1513">
        <w:rPr>
          <w:i/>
          <w:iCs/>
          <w:szCs w:val="22"/>
        </w:rPr>
        <w:t xml:space="preserve">in </w:t>
      </w:r>
      <w:proofErr w:type="spellStart"/>
      <w:r w:rsidRPr="002C1513">
        <w:rPr>
          <w:i/>
          <w:iCs/>
          <w:szCs w:val="22"/>
        </w:rPr>
        <w:t>vitro</w:t>
      </w:r>
      <w:proofErr w:type="spellEnd"/>
      <w:r w:rsidRPr="002C1513">
        <w:rPr>
          <w:szCs w:val="22"/>
        </w:rPr>
        <w:t xml:space="preserve">, cirkulujúce </w:t>
      </w:r>
      <w:proofErr w:type="spellStart"/>
      <w:r w:rsidRPr="002C1513">
        <w:rPr>
          <w:szCs w:val="22"/>
        </w:rPr>
        <w:t>metabolity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duloxetínu</w:t>
      </w:r>
      <w:proofErr w:type="spellEnd"/>
      <w:r w:rsidRPr="002C1513">
        <w:rPr>
          <w:szCs w:val="22"/>
        </w:rPr>
        <w:t xml:space="preserve"> sú považované za farmakologicky neaktívne. </w:t>
      </w:r>
      <w:proofErr w:type="spellStart"/>
      <w:r w:rsidRPr="002C1513">
        <w:rPr>
          <w:szCs w:val="22"/>
        </w:rPr>
        <w:t>Farmakokinetika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duloxetínu</w:t>
      </w:r>
      <w:proofErr w:type="spellEnd"/>
      <w:r w:rsidRPr="002C1513">
        <w:rPr>
          <w:szCs w:val="22"/>
        </w:rPr>
        <w:t xml:space="preserve"> u pacientov, ktorí sú slabými </w:t>
      </w:r>
      <w:proofErr w:type="spellStart"/>
      <w:r w:rsidRPr="002C1513">
        <w:rPr>
          <w:szCs w:val="22"/>
        </w:rPr>
        <w:t>metabolizérmi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CYP2D6</w:t>
      </w:r>
      <w:proofErr w:type="spellEnd"/>
      <w:r w:rsidRPr="002C1513">
        <w:rPr>
          <w:szCs w:val="22"/>
        </w:rPr>
        <w:t xml:space="preserve">, nebola špecificky sledovaná. Obmedzené údaje naznačujú, že plazmatické hladiny </w:t>
      </w:r>
      <w:proofErr w:type="spellStart"/>
      <w:r w:rsidRPr="002C1513">
        <w:rPr>
          <w:szCs w:val="22"/>
        </w:rPr>
        <w:t>duloxetínu</w:t>
      </w:r>
      <w:proofErr w:type="spellEnd"/>
      <w:r w:rsidRPr="002C1513">
        <w:rPr>
          <w:szCs w:val="22"/>
        </w:rPr>
        <w:t xml:space="preserve"> sú u týchto pacientov vyššie.</w:t>
      </w:r>
    </w:p>
    <w:p w14:paraId="74EEE3BD" w14:textId="77777777" w:rsidR="00127CA4" w:rsidRPr="002C1513" w:rsidRDefault="00127CA4" w:rsidP="00127CA4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ja-JP"/>
        </w:rPr>
      </w:pPr>
    </w:p>
    <w:p w14:paraId="0BA3CFDC" w14:textId="77777777" w:rsidR="00F04DBA" w:rsidRPr="002C1513" w:rsidRDefault="00F04DBA" w:rsidP="00F04DB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Eliminácia: </w:t>
      </w:r>
      <w:r w:rsidRPr="002C1513">
        <w:rPr>
          <w:sz w:val="22"/>
          <w:szCs w:val="22"/>
        </w:rPr>
        <w:t xml:space="preserve">Polčas eliminácie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sa pohybuje v rozmedzí od 8 do 17 hodín (priemerne 12 hodín). Plazmatický </w:t>
      </w:r>
      <w:proofErr w:type="spellStart"/>
      <w:r w:rsidRPr="002C1513">
        <w:rPr>
          <w:sz w:val="22"/>
          <w:szCs w:val="22"/>
        </w:rPr>
        <w:t>klírens</w:t>
      </w:r>
      <w:proofErr w:type="spellEnd"/>
      <w:r w:rsidRPr="002C1513">
        <w:rPr>
          <w:sz w:val="22"/>
          <w:szCs w:val="22"/>
        </w:rPr>
        <w:t xml:space="preserve"> po intravenóznej aplikácii dávky sa pohybuje v rozpätí 22 l/h až 46 l/h (priemerne 36 l/h). Zdanlivý plazmatický </w:t>
      </w:r>
      <w:proofErr w:type="spellStart"/>
      <w:r w:rsidRPr="002C1513">
        <w:rPr>
          <w:sz w:val="22"/>
          <w:szCs w:val="22"/>
        </w:rPr>
        <w:t>klírens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po perorálnom podaní sa pohybuje od 33 to 261 l/h (priemer 101 l/h). </w:t>
      </w:r>
    </w:p>
    <w:p w14:paraId="2669EAB0" w14:textId="77777777" w:rsidR="002F2198" w:rsidRPr="002C1513" w:rsidRDefault="002F2198" w:rsidP="00F04DBA">
      <w:pPr>
        <w:pStyle w:val="Default"/>
        <w:rPr>
          <w:i/>
          <w:iCs/>
          <w:sz w:val="22"/>
          <w:szCs w:val="22"/>
        </w:rPr>
      </w:pPr>
    </w:p>
    <w:p w14:paraId="485D2B84" w14:textId="77777777" w:rsidR="00F04DBA" w:rsidRPr="002C1513" w:rsidRDefault="00F04DBA" w:rsidP="00F04DB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Špeciálne skupiny pacientov: </w:t>
      </w:r>
    </w:p>
    <w:p w14:paraId="395B4F07" w14:textId="77777777" w:rsidR="00F04DBA" w:rsidRPr="002C1513" w:rsidRDefault="00F04DBA" w:rsidP="00F04DB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Pohlavie: </w:t>
      </w:r>
      <w:r w:rsidRPr="002C1513">
        <w:rPr>
          <w:sz w:val="22"/>
          <w:szCs w:val="22"/>
        </w:rPr>
        <w:t xml:space="preserve">medzi mužmi a ženami boli zistené </w:t>
      </w:r>
      <w:proofErr w:type="spellStart"/>
      <w:r w:rsidRPr="002C1513">
        <w:rPr>
          <w:sz w:val="22"/>
          <w:szCs w:val="22"/>
        </w:rPr>
        <w:t>farmakokinetické</w:t>
      </w:r>
      <w:proofErr w:type="spellEnd"/>
      <w:r w:rsidRPr="002C1513">
        <w:rPr>
          <w:sz w:val="22"/>
          <w:szCs w:val="22"/>
        </w:rPr>
        <w:t xml:space="preserve"> rozdiely (zdanlivý plazmatický </w:t>
      </w:r>
      <w:proofErr w:type="spellStart"/>
      <w:r w:rsidRPr="002C1513">
        <w:rPr>
          <w:sz w:val="22"/>
          <w:szCs w:val="22"/>
        </w:rPr>
        <w:t>klírens</w:t>
      </w:r>
      <w:proofErr w:type="spellEnd"/>
      <w:r w:rsidRPr="002C1513">
        <w:rPr>
          <w:sz w:val="22"/>
          <w:szCs w:val="22"/>
        </w:rPr>
        <w:t xml:space="preserve"> je u žien asi o</w:t>
      </w:r>
      <w:r w:rsidR="002F2198" w:rsidRPr="002C1513">
        <w:rPr>
          <w:sz w:val="22"/>
          <w:szCs w:val="22"/>
        </w:rPr>
        <w:t> </w:t>
      </w:r>
      <w:r w:rsidRPr="002C1513">
        <w:rPr>
          <w:sz w:val="22"/>
          <w:szCs w:val="22"/>
        </w:rPr>
        <w:t>50</w:t>
      </w:r>
      <w:r w:rsidR="002F2198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% nižší). Vychádzajúc z prekrývania sa rozmedzia </w:t>
      </w:r>
      <w:proofErr w:type="spellStart"/>
      <w:r w:rsidRPr="002C1513">
        <w:rPr>
          <w:sz w:val="22"/>
          <w:szCs w:val="22"/>
        </w:rPr>
        <w:t>klírensu</w:t>
      </w:r>
      <w:proofErr w:type="spellEnd"/>
      <w:r w:rsidRPr="002C1513">
        <w:rPr>
          <w:sz w:val="22"/>
          <w:szCs w:val="22"/>
        </w:rPr>
        <w:t xml:space="preserve">, </w:t>
      </w:r>
      <w:proofErr w:type="spellStart"/>
      <w:r w:rsidRPr="002C1513">
        <w:rPr>
          <w:sz w:val="22"/>
          <w:szCs w:val="22"/>
        </w:rPr>
        <w:t>farmakokinetické</w:t>
      </w:r>
      <w:proofErr w:type="spellEnd"/>
      <w:r w:rsidRPr="002C1513">
        <w:rPr>
          <w:sz w:val="22"/>
          <w:szCs w:val="22"/>
        </w:rPr>
        <w:t xml:space="preserve"> rozdiely na základe pohlavia </w:t>
      </w:r>
      <w:r w:rsidR="005A125A">
        <w:rPr>
          <w:sz w:val="22"/>
          <w:szCs w:val="22"/>
        </w:rPr>
        <w:t>nie sú dostatočným dôvodom</w:t>
      </w:r>
      <w:r w:rsidR="005A125A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k odporúčaniu užívania nižších dávok u pacientok. </w:t>
      </w:r>
    </w:p>
    <w:p w14:paraId="7EF3A4D8" w14:textId="77777777" w:rsidR="002F2198" w:rsidRPr="002C1513" w:rsidRDefault="002F2198" w:rsidP="00F04DBA">
      <w:pPr>
        <w:pStyle w:val="Default"/>
        <w:rPr>
          <w:i/>
          <w:iCs/>
          <w:sz w:val="22"/>
          <w:szCs w:val="22"/>
        </w:rPr>
      </w:pPr>
    </w:p>
    <w:p w14:paraId="6407E27C" w14:textId="77777777" w:rsidR="00F04DBA" w:rsidRPr="002C1513" w:rsidRDefault="00F04DBA" w:rsidP="00F04DB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>Vek</w:t>
      </w:r>
      <w:r w:rsidRPr="002C1513">
        <w:rPr>
          <w:sz w:val="22"/>
          <w:szCs w:val="22"/>
        </w:rPr>
        <w:t xml:space="preserve">: </w:t>
      </w:r>
      <w:proofErr w:type="spellStart"/>
      <w:r w:rsidRPr="002C1513">
        <w:rPr>
          <w:sz w:val="22"/>
          <w:szCs w:val="22"/>
        </w:rPr>
        <w:t>farmakokinetické</w:t>
      </w:r>
      <w:proofErr w:type="spellEnd"/>
      <w:r w:rsidRPr="002C1513">
        <w:rPr>
          <w:sz w:val="22"/>
          <w:szCs w:val="22"/>
        </w:rPr>
        <w:t xml:space="preserve"> rozdiely boli zistené medzi mladšími a staršími ženami (≥</w:t>
      </w:r>
      <w:r w:rsidR="002F2198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65 rokov) (u starších pacientok sa zvyšuje </w:t>
      </w:r>
      <w:proofErr w:type="spellStart"/>
      <w:r w:rsidRPr="002C1513">
        <w:rPr>
          <w:sz w:val="22"/>
          <w:szCs w:val="22"/>
        </w:rPr>
        <w:t>AUC</w:t>
      </w:r>
      <w:proofErr w:type="spellEnd"/>
      <w:r w:rsidRPr="002C1513">
        <w:rPr>
          <w:sz w:val="22"/>
          <w:szCs w:val="22"/>
        </w:rPr>
        <w:t xml:space="preserve"> asi o 25 % a polčas vylučovania je asi o 25 % dlhší), </w:t>
      </w:r>
      <w:proofErr w:type="spellStart"/>
      <w:r w:rsidRPr="002C1513">
        <w:rPr>
          <w:sz w:val="22"/>
          <w:szCs w:val="22"/>
        </w:rPr>
        <w:t>magnitúda</w:t>
      </w:r>
      <w:proofErr w:type="spellEnd"/>
      <w:r w:rsidRPr="002C1513">
        <w:rPr>
          <w:sz w:val="22"/>
          <w:szCs w:val="22"/>
        </w:rPr>
        <w:t xml:space="preserve"> týchto zmien však nie je dostatočná na to, aby oprávňovala úpravu dávkovania. Všeobecne sa odporúča opatrnosť pri liečbe starších </w:t>
      </w:r>
      <w:r w:rsidR="005A125A">
        <w:rPr>
          <w:sz w:val="22"/>
          <w:szCs w:val="22"/>
        </w:rPr>
        <w:t>pacientov</w:t>
      </w:r>
      <w:r w:rsidR="008110C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(pozri časti 4.2 a 4.4). </w:t>
      </w:r>
    </w:p>
    <w:p w14:paraId="1D889E2B" w14:textId="77777777" w:rsidR="002F2198" w:rsidRPr="002C1513" w:rsidRDefault="002F2198" w:rsidP="00F04DBA">
      <w:pPr>
        <w:pStyle w:val="Default"/>
        <w:rPr>
          <w:i/>
          <w:iCs/>
          <w:sz w:val="22"/>
          <w:szCs w:val="22"/>
        </w:rPr>
      </w:pPr>
    </w:p>
    <w:p w14:paraId="1D289969" w14:textId="77777777" w:rsidR="00F04DBA" w:rsidRPr="002C1513" w:rsidRDefault="00F04DBA" w:rsidP="00F04DB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>Porucha funkcie obličiek</w:t>
      </w:r>
      <w:r w:rsidRPr="002C1513">
        <w:rPr>
          <w:sz w:val="22"/>
          <w:szCs w:val="22"/>
        </w:rPr>
        <w:t xml:space="preserve">: pacienti s obličkovým ochorením v konečnej fáze (End </w:t>
      </w:r>
      <w:proofErr w:type="spellStart"/>
      <w:r w:rsidRPr="002C1513">
        <w:rPr>
          <w:sz w:val="22"/>
          <w:szCs w:val="22"/>
        </w:rPr>
        <w:t>Stage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Renal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Disease</w:t>
      </w:r>
      <w:proofErr w:type="spellEnd"/>
      <w:r w:rsidRPr="002C1513">
        <w:rPr>
          <w:sz w:val="22"/>
          <w:szCs w:val="22"/>
        </w:rPr>
        <w:t xml:space="preserve"> - </w:t>
      </w:r>
      <w:proofErr w:type="spellStart"/>
      <w:r w:rsidRPr="002C1513">
        <w:rPr>
          <w:sz w:val="22"/>
          <w:szCs w:val="22"/>
        </w:rPr>
        <w:t>ESRD</w:t>
      </w:r>
      <w:proofErr w:type="spellEnd"/>
      <w:r w:rsidRPr="002C1513">
        <w:rPr>
          <w:sz w:val="22"/>
          <w:szCs w:val="22"/>
        </w:rPr>
        <w:t xml:space="preserve">) podrobujúci sa dialýze mali oproti zdravým jedincom dvakrát vyššie hodnoty </w:t>
      </w:r>
      <w:proofErr w:type="spellStart"/>
      <w:r w:rsidRPr="002C1513">
        <w:rPr>
          <w:sz w:val="22"/>
          <w:szCs w:val="22"/>
        </w:rPr>
        <w:t>C</w:t>
      </w:r>
      <w:r w:rsidRPr="002C1513">
        <w:rPr>
          <w:sz w:val="14"/>
          <w:szCs w:val="14"/>
        </w:rPr>
        <w:t>max</w:t>
      </w:r>
      <w:proofErr w:type="spellEnd"/>
      <w:r w:rsidRPr="002C1513">
        <w:rPr>
          <w:sz w:val="14"/>
          <w:szCs w:val="14"/>
        </w:rPr>
        <w:t xml:space="preserve"> </w:t>
      </w:r>
      <w:r w:rsidRPr="002C1513">
        <w:rPr>
          <w:sz w:val="22"/>
          <w:szCs w:val="22"/>
        </w:rPr>
        <w:t xml:space="preserve">a </w:t>
      </w:r>
      <w:proofErr w:type="spellStart"/>
      <w:r w:rsidRPr="002C1513">
        <w:rPr>
          <w:sz w:val="22"/>
          <w:szCs w:val="22"/>
        </w:rPr>
        <w:t>AUC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. </w:t>
      </w:r>
      <w:proofErr w:type="spellStart"/>
      <w:r w:rsidRPr="002C1513">
        <w:rPr>
          <w:sz w:val="22"/>
          <w:szCs w:val="22"/>
        </w:rPr>
        <w:t>Farmakokinetické</w:t>
      </w:r>
      <w:proofErr w:type="spellEnd"/>
      <w:r w:rsidRPr="002C1513">
        <w:rPr>
          <w:sz w:val="22"/>
          <w:szCs w:val="22"/>
        </w:rPr>
        <w:t xml:space="preserve"> údaje o </w:t>
      </w:r>
      <w:proofErr w:type="spellStart"/>
      <w:r w:rsidR="002F2198" w:rsidRPr="002C1513">
        <w:rPr>
          <w:sz w:val="22"/>
          <w:szCs w:val="22"/>
        </w:rPr>
        <w:t>duloxetíne</w:t>
      </w:r>
      <w:proofErr w:type="spellEnd"/>
      <w:r w:rsidR="002F2198" w:rsidRPr="002C1513">
        <w:rPr>
          <w:sz w:val="22"/>
          <w:szCs w:val="22"/>
        </w:rPr>
        <w:t xml:space="preserve"> u pacientov s miernou</w:t>
      </w:r>
      <w:r w:rsidRPr="002C1513">
        <w:rPr>
          <w:sz w:val="22"/>
          <w:szCs w:val="22"/>
        </w:rPr>
        <w:t xml:space="preserve"> alebo stredne závaž</w:t>
      </w:r>
      <w:r w:rsidR="002F2198" w:rsidRPr="002C1513">
        <w:rPr>
          <w:sz w:val="22"/>
          <w:szCs w:val="22"/>
        </w:rPr>
        <w:t>nou poruchou</w:t>
      </w:r>
      <w:r w:rsidRPr="002C1513">
        <w:rPr>
          <w:sz w:val="22"/>
          <w:szCs w:val="22"/>
        </w:rPr>
        <w:t xml:space="preserve"> funkcie obličiek sú obmedzené. </w:t>
      </w:r>
    </w:p>
    <w:p w14:paraId="3992170E" w14:textId="77777777" w:rsidR="002F2198" w:rsidRPr="002C1513" w:rsidRDefault="002F2198" w:rsidP="00F04DBA">
      <w:pPr>
        <w:pStyle w:val="Default"/>
        <w:rPr>
          <w:sz w:val="22"/>
          <w:szCs w:val="22"/>
        </w:rPr>
      </w:pPr>
    </w:p>
    <w:p w14:paraId="348B399F" w14:textId="77777777" w:rsidR="00F04DBA" w:rsidRPr="002C1513" w:rsidRDefault="00F04DBA" w:rsidP="00F04DB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>Porucha funkcie pečene</w:t>
      </w:r>
      <w:r w:rsidRPr="002C1513">
        <w:rPr>
          <w:sz w:val="22"/>
          <w:szCs w:val="22"/>
        </w:rPr>
        <w:t>: stredne závažné poškodenie pečene (</w:t>
      </w:r>
      <w:proofErr w:type="spellStart"/>
      <w:r w:rsidRPr="002C1513">
        <w:rPr>
          <w:sz w:val="22"/>
          <w:szCs w:val="22"/>
        </w:rPr>
        <w:t>Child</w:t>
      </w:r>
      <w:r w:rsidR="002F2198" w:rsidRPr="002C1513">
        <w:rPr>
          <w:sz w:val="22"/>
          <w:szCs w:val="22"/>
        </w:rPr>
        <w:t>ova-</w:t>
      </w:r>
      <w:r w:rsidRPr="002C1513">
        <w:rPr>
          <w:sz w:val="22"/>
          <w:szCs w:val="22"/>
        </w:rPr>
        <w:t>Pugh</w:t>
      </w:r>
      <w:r w:rsidR="002F2198" w:rsidRPr="002C1513">
        <w:rPr>
          <w:sz w:val="22"/>
          <w:szCs w:val="22"/>
        </w:rPr>
        <w:t>ova</w:t>
      </w:r>
      <w:proofErr w:type="spellEnd"/>
      <w:r w:rsidRPr="002C1513">
        <w:rPr>
          <w:sz w:val="22"/>
          <w:szCs w:val="22"/>
        </w:rPr>
        <w:t xml:space="preserve"> trieda B) malo vplyv na </w:t>
      </w:r>
      <w:proofErr w:type="spellStart"/>
      <w:r w:rsidRPr="002C1513">
        <w:rPr>
          <w:sz w:val="22"/>
          <w:szCs w:val="22"/>
        </w:rPr>
        <w:t>farmakokinetiku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>. V porovnaní so zdravými jedincami, u pacientov so stredne závaž</w:t>
      </w:r>
      <w:r w:rsidR="002F2198" w:rsidRPr="002C1513">
        <w:rPr>
          <w:sz w:val="22"/>
          <w:szCs w:val="22"/>
        </w:rPr>
        <w:t>nou</w:t>
      </w:r>
      <w:r w:rsidRPr="002C1513">
        <w:rPr>
          <w:sz w:val="22"/>
          <w:szCs w:val="22"/>
        </w:rPr>
        <w:t xml:space="preserve"> po</w:t>
      </w:r>
      <w:r w:rsidR="002F2198" w:rsidRPr="002C1513">
        <w:rPr>
          <w:sz w:val="22"/>
          <w:szCs w:val="22"/>
        </w:rPr>
        <w:t>ruchou funkcie</w:t>
      </w:r>
      <w:r w:rsidRPr="002C1513">
        <w:rPr>
          <w:sz w:val="22"/>
          <w:szCs w:val="22"/>
        </w:rPr>
        <w:t xml:space="preserve"> pečene bol zdanlivý plazmatický </w:t>
      </w:r>
      <w:proofErr w:type="spellStart"/>
      <w:r w:rsidRPr="002C1513">
        <w:rPr>
          <w:sz w:val="22"/>
          <w:szCs w:val="22"/>
        </w:rPr>
        <w:t>klírens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o</w:t>
      </w:r>
      <w:r w:rsidR="002F2198" w:rsidRPr="002C1513">
        <w:rPr>
          <w:sz w:val="22"/>
          <w:szCs w:val="22"/>
        </w:rPr>
        <w:t> </w:t>
      </w:r>
      <w:r w:rsidRPr="002C1513">
        <w:rPr>
          <w:sz w:val="22"/>
          <w:szCs w:val="22"/>
        </w:rPr>
        <w:t>79</w:t>
      </w:r>
      <w:r w:rsidR="002F2198" w:rsidRPr="002C1513">
        <w:rPr>
          <w:sz w:val="22"/>
          <w:szCs w:val="22"/>
        </w:rPr>
        <w:t xml:space="preserve"> </w:t>
      </w:r>
      <w:r w:rsidRPr="002C1513">
        <w:rPr>
          <w:sz w:val="22"/>
          <w:szCs w:val="22"/>
        </w:rPr>
        <w:t xml:space="preserve">% nižší, zdanlivý </w:t>
      </w:r>
      <w:r w:rsidRPr="002C1513">
        <w:rPr>
          <w:sz w:val="22"/>
          <w:szCs w:val="22"/>
        </w:rPr>
        <w:lastRenderedPageBreak/>
        <w:t xml:space="preserve">terminálny polčas 2,3 krát dlhší a </w:t>
      </w:r>
      <w:proofErr w:type="spellStart"/>
      <w:r w:rsidRPr="002C1513">
        <w:rPr>
          <w:sz w:val="22"/>
          <w:szCs w:val="22"/>
        </w:rPr>
        <w:t>AUC</w:t>
      </w:r>
      <w:proofErr w:type="spellEnd"/>
      <w:r w:rsidRPr="002C1513">
        <w:rPr>
          <w:sz w:val="22"/>
          <w:szCs w:val="22"/>
        </w:rPr>
        <w:t xml:space="preserve"> 3,7 krát vyššie. </w:t>
      </w:r>
      <w:proofErr w:type="spellStart"/>
      <w:r w:rsidRPr="002C1513">
        <w:rPr>
          <w:sz w:val="22"/>
          <w:szCs w:val="22"/>
        </w:rPr>
        <w:t>Farmakokinetika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a jeho </w:t>
      </w:r>
      <w:proofErr w:type="spellStart"/>
      <w:r w:rsidRPr="002C1513">
        <w:rPr>
          <w:sz w:val="22"/>
          <w:szCs w:val="22"/>
        </w:rPr>
        <w:t>metabolitov</w:t>
      </w:r>
      <w:proofErr w:type="spellEnd"/>
      <w:r w:rsidRPr="002C1513">
        <w:rPr>
          <w:sz w:val="22"/>
          <w:szCs w:val="22"/>
        </w:rPr>
        <w:t xml:space="preserve"> u pacientov s miernou alebo závažnou nedostatočnosťou pečene nebola sledovaná. </w:t>
      </w:r>
    </w:p>
    <w:p w14:paraId="5C2E51D1" w14:textId="77777777" w:rsidR="002F2198" w:rsidRPr="002C1513" w:rsidRDefault="002F2198" w:rsidP="00F04DBA">
      <w:pPr>
        <w:pStyle w:val="Default"/>
        <w:rPr>
          <w:sz w:val="22"/>
          <w:szCs w:val="22"/>
        </w:rPr>
      </w:pPr>
    </w:p>
    <w:p w14:paraId="78059C95" w14:textId="46A643B6" w:rsidR="00F04DBA" w:rsidRPr="002C1513" w:rsidRDefault="00F04DBA" w:rsidP="00F04DBA">
      <w:pPr>
        <w:pStyle w:val="Default"/>
        <w:rPr>
          <w:sz w:val="22"/>
          <w:szCs w:val="22"/>
        </w:rPr>
      </w:pPr>
      <w:r w:rsidRPr="002C1513">
        <w:rPr>
          <w:i/>
          <w:iCs/>
          <w:sz w:val="22"/>
          <w:szCs w:val="22"/>
        </w:rPr>
        <w:t xml:space="preserve">Dojčiace matky: </w:t>
      </w:r>
      <w:r w:rsidRPr="002C1513">
        <w:rPr>
          <w:sz w:val="22"/>
          <w:szCs w:val="22"/>
        </w:rPr>
        <w:t xml:space="preserve">Dispozícia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bola skúmaná u 6 dojčiacich žien, ktoré boli minimálne 12 týždňov po pôrode.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je detekovateľný v materskom mlieku a rovnovážne koncentrácie v materskom mlieku tvoria asi jednu štvrtinu plazmatickej koncentrácie. Množstvo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 v materskom mlieku je približne 7 </w:t>
      </w:r>
      <w:proofErr w:type="spellStart"/>
      <w:r w:rsidRPr="002C1513">
        <w:rPr>
          <w:sz w:val="22"/>
          <w:szCs w:val="22"/>
        </w:rPr>
        <w:t>μg</w:t>
      </w:r>
      <w:proofErr w:type="spellEnd"/>
      <w:r w:rsidRPr="002C1513">
        <w:rPr>
          <w:sz w:val="22"/>
          <w:szCs w:val="22"/>
        </w:rPr>
        <w:t>/deň</w:t>
      </w:r>
      <w:r w:rsidR="002F2198" w:rsidRPr="002C1513">
        <w:rPr>
          <w:sz w:val="22"/>
          <w:szCs w:val="22"/>
        </w:rPr>
        <w:t xml:space="preserve"> pri dávkovaní 40 mg dvakrát</w:t>
      </w:r>
      <w:r w:rsidRPr="002C1513">
        <w:rPr>
          <w:sz w:val="22"/>
          <w:szCs w:val="22"/>
        </w:rPr>
        <w:t xml:space="preserve"> denne. </w:t>
      </w:r>
      <w:r w:rsidR="000C649E">
        <w:rPr>
          <w:sz w:val="22"/>
          <w:szCs w:val="22"/>
        </w:rPr>
        <w:t xml:space="preserve">Dojčenie </w:t>
      </w:r>
      <w:r w:rsidRPr="002C1513">
        <w:rPr>
          <w:sz w:val="22"/>
          <w:szCs w:val="22"/>
        </w:rPr>
        <w:t>neovplyvňoval</w:t>
      </w:r>
      <w:r w:rsidR="000C649E">
        <w:rPr>
          <w:sz w:val="22"/>
          <w:szCs w:val="22"/>
        </w:rPr>
        <w:t>o</w:t>
      </w:r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farmakokinetiku</w:t>
      </w:r>
      <w:proofErr w:type="spellEnd"/>
      <w:r w:rsidRPr="002C1513">
        <w:rPr>
          <w:sz w:val="22"/>
          <w:szCs w:val="22"/>
        </w:rPr>
        <w:t xml:space="preserve"> </w:t>
      </w:r>
      <w:proofErr w:type="spellStart"/>
      <w:r w:rsidRPr="002C1513">
        <w:rPr>
          <w:sz w:val="22"/>
          <w:szCs w:val="22"/>
        </w:rPr>
        <w:t>duloxetínu</w:t>
      </w:r>
      <w:proofErr w:type="spellEnd"/>
      <w:r w:rsidRPr="002C1513">
        <w:rPr>
          <w:sz w:val="22"/>
          <w:szCs w:val="22"/>
        </w:rPr>
        <w:t xml:space="preserve">. </w:t>
      </w:r>
    </w:p>
    <w:p w14:paraId="0A550248" w14:textId="77777777" w:rsidR="002F2198" w:rsidRPr="002C1513" w:rsidRDefault="002F2198" w:rsidP="00F04DBA">
      <w:pPr>
        <w:pStyle w:val="Default"/>
        <w:rPr>
          <w:sz w:val="22"/>
          <w:szCs w:val="22"/>
        </w:rPr>
      </w:pPr>
    </w:p>
    <w:p w14:paraId="7A454B43" w14:textId="77777777" w:rsidR="00F04DBA" w:rsidRPr="002C1513" w:rsidRDefault="00F04DBA" w:rsidP="00F04DBA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ja-JP"/>
        </w:rPr>
      </w:pPr>
      <w:r w:rsidRPr="002C1513">
        <w:rPr>
          <w:i/>
          <w:iCs/>
          <w:szCs w:val="22"/>
        </w:rPr>
        <w:t xml:space="preserve">Pediatrická populácia: </w:t>
      </w:r>
      <w:proofErr w:type="spellStart"/>
      <w:r w:rsidRPr="002C1513">
        <w:rPr>
          <w:szCs w:val="22"/>
        </w:rPr>
        <w:t>Farmakokinetika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duloxetínu</w:t>
      </w:r>
      <w:proofErr w:type="spellEnd"/>
      <w:r w:rsidRPr="002C1513">
        <w:rPr>
          <w:szCs w:val="22"/>
        </w:rPr>
        <w:t xml:space="preserve"> u pediatrických pacientov vo veku 7 až 17 rokov s veľkou depresívnou poruchou po perorálnom podaní dávok 20 až</w:t>
      </w:r>
      <w:r w:rsidR="002F2198" w:rsidRPr="002C1513">
        <w:rPr>
          <w:szCs w:val="22"/>
        </w:rPr>
        <w:t xml:space="preserve"> 120 mg jedenkrát</w:t>
      </w:r>
      <w:r w:rsidRPr="002C1513">
        <w:rPr>
          <w:szCs w:val="22"/>
        </w:rPr>
        <w:t xml:space="preserve"> denne bola charakterizovaná pomocou analýz modelovania populácie založených na údajoch z 3 štúdií. </w:t>
      </w:r>
      <w:r w:rsidR="005A125A" w:rsidRPr="00376951">
        <w:t xml:space="preserve">Rovnovážne plazmatické koncentrácie </w:t>
      </w:r>
      <w:proofErr w:type="spellStart"/>
      <w:r w:rsidR="005A125A" w:rsidRPr="00376951">
        <w:t>duloxetínu</w:t>
      </w:r>
      <w:proofErr w:type="spellEnd"/>
      <w:r w:rsidR="005A125A" w:rsidRPr="00376951">
        <w:t xml:space="preserve"> odhadnuté na základe </w:t>
      </w:r>
      <w:proofErr w:type="spellStart"/>
      <w:r w:rsidR="005A125A" w:rsidRPr="00376951">
        <w:t>tohoto</w:t>
      </w:r>
      <w:proofErr w:type="spellEnd"/>
      <w:r w:rsidR="005A125A" w:rsidRPr="00376951">
        <w:t xml:space="preserve"> modelu u pediatrických pacientov boli väčšinou v koncentračnom rozsahu pozorovanom u dospelých pacientov. </w:t>
      </w:r>
    </w:p>
    <w:p w14:paraId="4F6531A4" w14:textId="77777777" w:rsidR="008110C3" w:rsidRPr="00376951" w:rsidRDefault="008110C3" w:rsidP="00D62768">
      <w:pPr>
        <w:tabs>
          <w:tab w:val="left" w:pos="567"/>
        </w:tabs>
        <w:ind w:left="0" w:firstLine="0"/>
        <w:rPr>
          <w:szCs w:val="22"/>
        </w:rPr>
      </w:pPr>
    </w:p>
    <w:p w14:paraId="782E346B" w14:textId="77777777" w:rsidR="00EE6E61" w:rsidRPr="00421221" w:rsidRDefault="00EE6E61" w:rsidP="00D62768">
      <w:pPr>
        <w:tabs>
          <w:tab w:val="left" w:pos="567"/>
        </w:tabs>
        <w:ind w:left="0" w:firstLine="0"/>
        <w:rPr>
          <w:b/>
          <w:szCs w:val="22"/>
        </w:rPr>
      </w:pPr>
      <w:r w:rsidRPr="00421221">
        <w:rPr>
          <w:b/>
          <w:szCs w:val="22"/>
        </w:rPr>
        <w:t xml:space="preserve">5.3 </w:t>
      </w:r>
      <w:r w:rsidR="00636C42" w:rsidRPr="00421221">
        <w:rPr>
          <w:b/>
          <w:szCs w:val="22"/>
        </w:rPr>
        <w:tab/>
      </w:r>
      <w:r w:rsidRPr="00421221">
        <w:rPr>
          <w:b/>
          <w:szCs w:val="22"/>
        </w:rPr>
        <w:t>Predklinické údaje o bezpečnosti</w:t>
      </w:r>
    </w:p>
    <w:p w14:paraId="1F9DF6E4" w14:textId="77777777" w:rsidR="00C1079D" w:rsidRPr="00421221" w:rsidRDefault="00C1079D" w:rsidP="00527DED">
      <w:pPr>
        <w:ind w:left="0" w:firstLine="0"/>
        <w:rPr>
          <w:szCs w:val="22"/>
        </w:rPr>
      </w:pPr>
    </w:p>
    <w:p w14:paraId="0A1552C9" w14:textId="77777777" w:rsidR="00F04DBA" w:rsidRPr="002C1513" w:rsidRDefault="00F04DBA" w:rsidP="00F04DBA">
      <w:pPr>
        <w:pStyle w:val="Default"/>
        <w:rPr>
          <w:sz w:val="22"/>
          <w:szCs w:val="22"/>
        </w:rPr>
      </w:pPr>
      <w:r w:rsidRPr="002C1513">
        <w:rPr>
          <w:sz w:val="22"/>
          <w:szCs w:val="22"/>
        </w:rPr>
        <w:t xml:space="preserve">V štandardnej sérii testov </w:t>
      </w:r>
      <w:proofErr w:type="spellStart"/>
      <w:r w:rsidRPr="002C1513">
        <w:rPr>
          <w:sz w:val="22"/>
          <w:szCs w:val="22"/>
        </w:rPr>
        <w:t>duloxetín</w:t>
      </w:r>
      <w:proofErr w:type="spellEnd"/>
      <w:r w:rsidRPr="002C1513">
        <w:rPr>
          <w:sz w:val="22"/>
          <w:szCs w:val="22"/>
        </w:rPr>
        <w:t xml:space="preserve"> nebol </w:t>
      </w:r>
      <w:proofErr w:type="spellStart"/>
      <w:r w:rsidRPr="002C1513">
        <w:rPr>
          <w:sz w:val="22"/>
          <w:szCs w:val="22"/>
        </w:rPr>
        <w:t>genotoxický</w:t>
      </w:r>
      <w:proofErr w:type="spellEnd"/>
      <w:r w:rsidRPr="002C1513">
        <w:rPr>
          <w:sz w:val="22"/>
          <w:szCs w:val="22"/>
        </w:rPr>
        <w:t xml:space="preserve"> a u potkanov nebol karcinogénny. </w:t>
      </w:r>
    </w:p>
    <w:p w14:paraId="6F15A735" w14:textId="77777777" w:rsidR="00F04DBA" w:rsidRPr="002C1513" w:rsidRDefault="00F04DBA" w:rsidP="00F04DBA">
      <w:pPr>
        <w:ind w:left="0" w:firstLine="0"/>
        <w:rPr>
          <w:szCs w:val="22"/>
        </w:rPr>
      </w:pPr>
      <w:r w:rsidRPr="002C1513">
        <w:rPr>
          <w:szCs w:val="22"/>
        </w:rPr>
        <w:t xml:space="preserve">V štúdii karcinogenity na potkanoch boli v pečeni spozorované </w:t>
      </w:r>
      <w:proofErr w:type="spellStart"/>
      <w:r w:rsidRPr="002C1513">
        <w:rPr>
          <w:szCs w:val="22"/>
        </w:rPr>
        <w:t>multijadrové</w:t>
      </w:r>
      <w:proofErr w:type="spellEnd"/>
      <w:r w:rsidRPr="002C1513">
        <w:rPr>
          <w:szCs w:val="22"/>
        </w:rPr>
        <w:t xml:space="preserve"> bunky bez prítomnosti iných </w:t>
      </w:r>
      <w:proofErr w:type="spellStart"/>
      <w:r w:rsidRPr="002C1513">
        <w:rPr>
          <w:szCs w:val="22"/>
        </w:rPr>
        <w:t>histopatologických</w:t>
      </w:r>
      <w:proofErr w:type="spellEnd"/>
      <w:r w:rsidRPr="002C1513">
        <w:rPr>
          <w:szCs w:val="22"/>
        </w:rPr>
        <w:t xml:space="preserve"> zmien. Mechanizmus, ktorý to spôsobuje, ani klinická závažnosť, nie sú známe. U samičiek myší, ktoré dostávali </w:t>
      </w:r>
      <w:proofErr w:type="spellStart"/>
      <w:r w:rsidRPr="002C1513">
        <w:rPr>
          <w:szCs w:val="22"/>
        </w:rPr>
        <w:t>duloxetín</w:t>
      </w:r>
      <w:proofErr w:type="spellEnd"/>
      <w:r w:rsidRPr="002C1513">
        <w:rPr>
          <w:szCs w:val="22"/>
        </w:rPr>
        <w:t xml:space="preserve"> počas 2 rokov, bola iba pri vysokej dávke </w:t>
      </w:r>
      <w:r w:rsidR="002F2198" w:rsidRPr="002C1513">
        <w:rPr>
          <w:szCs w:val="22"/>
        </w:rPr>
        <w:t xml:space="preserve">(144 mg/kg/deň) </w:t>
      </w:r>
      <w:r w:rsidRPr="002C1513">
        <w:rPr>
          <w:szCs w:val="22"/>
        </w:rPr>
        <w:t xml:space="preserve">zvýšená </w:t>
      </w:r>
      <w:proofErr w:type="spellStart"/>
      <w:r w:rsidRPr="002C1513">
        <w:rPr>
          <w:szCs w:val="22"/>
        </w:rPr>
        <w:t>incidencia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hepatocelulárnych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adenómov</w:t>
      </w:r>
      <w:proofErr w:type="spellEnd"/>
      <w:r w:rsidRPr="002C1513">
        <w:rPr>
          <w:szCs w:val="22"/>
        </w:rPr>
        <w:t xml:space="preserve"> a karcinómov, tieto však boli považované za sekundárne následky indukcie </w:t>
      </w:r>
      <w:proofErr w:type="spellStart"/>
      <w:r w:rsidRPr="002C1513">
        <w:rPr>
          <w:szCs w:val="22"/>
        </w:rPr>
        <w:t>mikrozomálnych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hepatálnych</w:t>
      </w:r>
      <w:proofErr w:type="spellEnd"/>
      <w:r w:rsidRPr="002C1513">
        <w:rPr>
          <w:szCs w:val="22"/>
        </w:rPr>
        <w:t xml:space="preserve"> enzýmov. Nie je známe, či sú tieto údaje získané pozorovaním myší, relevantné pre ľudí. Samičky potkanov, ktoré dostávali </w:t>
      </w:r>
      <w:proofErr w:type="spellStart"/>
      <w:r w:rsidRPr="002C1513">
        <w:rPr>
          <w:szCs w:val="22"/>
        </w:rPr>
        <w:t>duloxetín</w:t>
      </w:r>
      <w:proofErr w:type="spellEnd"/>
      <w:r w:rsidRPr="002C1513">
        <w:rPr>
          <w:szCs w:val="22"/>
        </w:rPr>
        <w:t xml:space="preserve"> (45 mg/kg/deň) pred a poč</w:t>
      </w:r>
      <w:r w:rsidR="002F2198" w:rsidRPr="002C1513">
        <w:rPr>
          <w:szCs w:val="22"/>
        </w:rPr>
        <w:t>as párenia a na za</w:t>
      </w:r>
      <w:r w:rsidRPr="002C1513">
        <w:rPr>
          <w:szCs w:val="22"/>
        </w:rPr>
        <w:t xml:space="preserve">čiatku gravidity, mali pokles príjmu materskej potravy a telesnej hmotnosti, poruchy </w:t>
      </w:r>
      <w:proofErr w:type="spellStart"/>
      <w:r w:rsidRPr="002C1513">
        <w:rPr>
          <w:szCs w:val="22"/>
        </w:rPr>
        <w:t>estrálneho</w:t>
      </w:r>
      <w:proofErr w:type="spellEnd"/>
      <w:r w:rsidRPr="002C1513">
        <w:rPr>
          <w:szCs w:val="22"/>
        </w:rPr>
        <w:t xml:space="preserve"> cyklu, pokles indexu živonarodeného a žijúceho potomstva a retardáciu rastu potomstva pri úrovniach systémovej expozície, ktoré podľa odhadu dosahovali väčšinou úroveň maximálnej klinickej expozície (</w:t>
      </w:r>
      <w:proofErr w:type="spellStart"/>
      <w:r w:rsidRPr="002C1513">
        <w:rPr>
          <w:szCs w:val="22"/>
        </w:rPr>
        <w:t>AUC</w:t>
      </w:r>
      <w:proofErr w:type="spellEnd"/>
      <w:r w:rsidRPr="002C1513">
        <w:rPr>
          <w:szCs w:val="22"/>
        </w:rPr>
        <w:t xml:space="preserve">). V štúdii </w:t>
      </w:r>
      <w:proofErr w:type="spellStart"/>
      <w:r w:rsidRPr="002C1513">
        <w:rPr>
          <w:szCs w:val="22"/>
        </w:rPr>
        <w:t>embryotoxicity</w:t>
      </w:r>
      <w:proofErr w:type="spellEnd"/>
      <w:r w:rsidRPr="002C1513">
        <w:rPr>
          <w:szCs w:val="22"/>
        </w:rPr>
        <w:t xml:space="preserve"> u králikov bola pri úrovniach systémovej expozície pod maximálnou klinickou expozíciou (</w:t>
      </w:r>
      <w:proofErr w:type="spellStart"/>
      <w:r w:rsidRPr="002C1513">
        <w:rPr>
          <w:szCs w:val="22"/>
        </w:rPr>
        <w:t>AUC</w:t>
      </w:r>
      <w:proofErr w:type="spellEnd"/>
      <w:r w:rsidRPr="002C1513">
        <w:rPr>
          <w:szCs w:val="22"/>
        </w:rPr>
        <w:t xml:space="preserve">) pozorovaná vyššia </w:t>
      </w:r>
      <w:proofErr w:type="spellStart"/>
      <w:r w:rsidRPr="002C1513">
        <w:rPr>
          <w:szCs w:val="22"/>
        </w:rPr>
        <w:t>incidencia</w:t>
      </w:r>
      <w:proofErr w:type="spellEnd"/>
      <w:r w:rsidRPr="002C1513">
        <w:rPr>
          <w:szCs w:val="22"/>
        </w:rPr>
        <w:t xml:space="preserve"> kardiovaskulárnych a </w:t>
      </w:r>
      <w:proofErr w:type="spellStart"/>
      <w:r w:rsidRPr="002C1513">
        <w:rPr>
          <w:szCs w:val="22"/>
        </w:rPr>
        <w:t>skeletálnych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malformácií</w:t>
      </w:r>
      <w:proofErr w:type="spellEnd"/>
      <w:r w:rsidRPr="002C1513">
        <w:rPr>
          <w:szCs w:val="22"/>
        </w:rPr>
        <w:t xml:space="preserve">. V inej štúdii, ktorá skúmala vyššiu dávku inej soli </w:t>
      </w:r>
      <w:proofErr w:type="spellStart"/>
      <w:r w:rsidRPr="002C1513">
        <w:rPr>
          <w:szCs w:val="22"/>
        </w:rPr>
        <w:t>duloxetínu</w:t>
      </w:r>
      <w:proofErr w:type="spellEnd"/>
      <w:r w:rsidRPr="002C1513">
        <w:rPr>
          <w:szCs w:val="22"/>
        </w:rPr>
        <w:t xml:space="preserve">, žiadne </w:t>
      </w:r>
      <w:proofErr w:type="spellStart"/>
      <w:r w:rsidRPr="002C1513">
        <w:rPr>
          <w:szCs w:val="22"/>
        </w:rPr>
        <w:t>malformácie</w:t>
      </w:r>
      <w:proofErr w:type="spellEnd"/>
      <w:r w:rsidRPr="002C1513">
        <w:rPr>
          <w:szCs w:val="22"/>
        </w:rPr>
        <w:t xml:space="preserve"> pozorované neboli. V rámci štúdií prenatálnej/</w:t>
      </w:r>
      <w:proofErr w:type="spellStart"/>
      <w:r w:rsidRPr="002C1513">
        <w:rPr>
          <w:szCs w:val="22"/>
        </w:rPr>
        <w:t>postnatálnej</w:t>
      </w:r>
      <w:proofErr w:type="spellEnd"/>
      <w:r w:rsidRPr="002C1513">
        <w:rPr>
          <w:szCs w:val="22"/>
        </w:rPr>
        <w:t xml:space="preserve"> toxicity na potkanoch </w:t>
      </w:r>
      <w:proofErr w:type="spellStart"/>
      <w:r w:rsidRPr="002C1513">
        <w:rPr>
          <w:szCs w:val="22"/>
        </w:rPr>
        <w:t>duloxetín</w:t>
      </w:r>
      <w:proofErr w:type="spellEnd"/>
      <w:r w:rsidRPr="002C1513">
        <w:rPr>
          <w:szCs w:val="22"/>
        </w:rPr>
        <w:t xml:space="preserve"> indukoval nežiaduce účinky v správaní mláďat pri expozíciách nižších ako je maximálna klinická expozícia (</w:t>
      </w:r>
      <w:proofErr w:type="spellStart"/>
      <w:r w:rsidRPr="002C1513">
        <w:rPr>
          <w:szCs w:val="22"/>
        </w:rPr>
        <w:t>AUC</w:t>
      </w:r>
      <w:proofErr w:type="spellEnd"/>
      <w:r w:rsidRPr="002C1513">
        <w:rPr>
          <w:szCs w:val="22"/>
        </w:rPr>
        <w:t>).</w:t>
      </w:r>
    </w:p>
    <w:p w14:paraId="2CBC9351" w14:textId="77777777" w:rsidR="00F04DBA" w:rsidRPr="002C1513" w:rsidRDefault="00F04DBA" w:rsidP="00F04DBA">
      <w:pPr>
        <w:ind w:left="0" w:firstLine="0"/>
        <w:rPr>
          <w:szCs w:val="22"/>
        </w:rPr>
      </w:pPr>
    </w:p>
    <w:p w14:paraId="596C5607" w14:textId="73807B39" w:rsidR="00F04DBA" w:rsidRPr="002C1513" w:rsidRDefault="00F04DBA" w:rsidP="00F04DBA">
      <w:pPr>
        <w:ind w:left="0" w:firstLine="0"/>
        <w:rPr>
          <w:szCs w:val="22"/>
        </w:rPr>
      </w:pPr>
      <w:r w:rsidRPr="002C1513">
        <w:rPr>
          <w:szCs w:val="22"/>
        </w:rPr>
        <w:t xml:space="preserve">Štúdie s mláďatami potkanov ukázali prechodné účinky v </w:t>
      </w:r>
      <w:proofErr w:type="spellStart"/>
      <w:r w:rsidRPr="002C1513">
        <w:rPr>
          <w:szCs w:val="22"/>
        </w:rPr>
        <w:t>neurobehaviorálnej</w:t>
      </w:r>
      <w:proofErr w:type="spellEnd"/>
      <w:r w:rsidRPr="002C1513">
        <w:rPr>
          <w:szCs w:val="22"/>
        </w:rPr>
        <w:t xml:space="preserve"> oblasti, taktiež </w:t>
      </w:r>
      <w:proofErr w:type="spellStart"/>
      <w:r w:rsidRPr="002C1513">
        <w:rPr>
          <w:szCs w:val="22"/>
        </w:rPr>
        <w:t>signifikantné</w:t>
      </w:r>
      <w:proofErr w:type="spellEnd"/>
      <w:r w:rsidRPr="002C1513">
        <w:rPr>
          <w:szCs w:val="22"/>
        </w:rPr>
        <w:t xml:space="preserve"> zníženie telesnej hmotnosti a príjmu potravy, indukciu </w:t>
      </w:r>
      <w:proofErr w:type="spellStart"/>
      <w:r w:rsidRPr="002C1513">
        <w:rPr>
          <w:szCs w:val="22"/>
        </w:rPr>
        <w:t>hepatálnych</w:t>
      </w:r>
      <w:proofErr w:type="spellEnd"/>
      <w:r w:rsidRPr="002C1513">
        <w:rPr>
          <w:szCs w:val="22"/>
        </w:rPr>
        <w:t xml:space="preserve"> enzýmov a </w:t>
      </w:r>
      <w:proofErr w:type="spellStart"/>
      <w:r w:rsidRPr="002C1513">
        <w:rPr>
          <w:szCs w:val="22"/>
        </w:rPr>
        <w:t>hepatocelulárnu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vakuolizáciu</w:t>
      </w:r>
      <w:proofErr w:type="spellEnd"/>
      <w:r w:rsidRPr="002C1513">
        <w:rPr>
          <w:szCs w:val="22"/>
        </w:rPr>
        <w:t xml:space="preserve"> pri dávkach 45</w:t>
      </w:r>
      <w:r w:rsidR="002F2198" w:rsidRPr="002C1513">
        <w:rPr>
          <w:szCs w:val="22"/>
        </w:rPr>
        <w:t xml:space="preserve"> </w:t>
      </w:r>
      <w:r w:rsidRPr="002C1513">
        <w:rPr>
          <w:szCs w:val="22"/>
        </w:rPr>
        <w:t xml:space="preserve">mg/kg/deň. Všeobecný profil toxicity </w:t>
      </w:r>
      <w:proofErr w:type="spellStart"/>
      <w:r w:rsidRPr="002C1513">
        <w:rPr>
          <w:szCs w:val="22"/>
        </w:rPr>
        <w:t>duloxetínu</w:t>
      </w:r>
      <w:proofErr w:type="spellEnd"/>
      <w:r w:rsidRPr="002C1513">
        <w:rPr>
          <w:szCs w:val="22"/>
        </w:rPr>
        <w:t xml:space="preserve"> u mláďat potkanov bol podobný s tým u dospelých potkanov. Výška dávky, ktorá nevyvoláva nežiaduce </w:t>
      </w:r>
      <w:r w:rsidR="00C2373E">
        <w:rPr>
          <w:szCs w:val="22"/>
        </w:rPr>
        <w:t>reakcie</w:t>
      </w:r>
      <w:r w:rsidRPr="002C1513">
        <w:rPr>
          <w:szCs w:val="22"/>
        </w:rPr>
        <w:t>, bola stanovená na 20 mg/kg/deň.</w:t>
      </w:r>
    </w:p>
    <w:p w14:paraId="2C2D2EF3" w14:textId="77777777" w:rsidR="00127CA4" w:rsidRPr="00376951" w:rsidRDefault="00127CA4" w:rsidP="00127CA4">
      <w:pPr>
        <w:ind w:left="0" w:firstLine="0"/>
        <w:rPr>
          <w:szCs w:val="22"/>
        </w:rPr>
      </w:pPr>
    </w:p>
    <w:p w14:paraId="5C6EE309" w14:textId="77777777" w:rsidR="00F04DBA" w:rsidRPr="00376951" w:rsidRDefault="00F04DBA" w:rsidP="00127CA4">
      <w:pPr>
        <w:ind w:left="0" w:firstLine="0"/>
        <w:rPr>
          <w:szCs w:val="22"/>
        </w:rPr>
      </w:pPr>
    </w:p>
    <w:p w14:paraId="2508CA68" w14:textId="77777777" w:rsidR="00FF6BE0" w:rsidRPr="002C1513" w:rsidRDefault="00FF6BE0" w:rsidP="00D62768">
      <w:pPr>
        <w:tabs>
          <w:tab w:val="left" w:pos="567"/>
        </w:tabs>
        <w:ind w:left="0" w:firstLine="0"/>
        <w:rPr>
          <w:b/>
          <w:szCs w:val="22"/>
        </w:rPr>
      </w:pPr>
      <w:r w:rsidRPr="002C1513">
        <w:rPr>
          <w:b/>
          <w:szCs w:val="22"/>
        </w:rPr>
        <w:t>6.</w:t>
      </w:r>
      <w:r w:rsidRPr="002C1513">
        <w:rPr>
          <w:b/>
          <w:szCs w:val="22"/>
        </w:rPr>
        <w:tab/>
        <w:t>FARMACEUTICKÉ INFORMÁCIE</w:t>
      </w:r>
    </w:p>
    <w:p w14:paraId="5D49AE1A" w14:textId="77777777" w:rsidR="00FF6BE0" w:rsidRPr="002C1513" w:rsidRDefault="00FF6BE0" w:rsidP="00527DED">
      <w:pPr>
        <w:ind w:left="0" w:firstLine="0"/>
        <w:rPr>
          <w:szCs w:val="22"/>
        </w:rPr>
      </w:pPr>
    </w:p>
    <w:p w14:paraId="6EA90FBB" w14:textId="77777777" w:rsidR="00FF6BE0" w:rsidRPr="002C1513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2C1513">
        <w:rPr>
          <w:b/>
          <w:szCs w:val="22"/>
        </w:rPr>
        <w:t>6.1</w:t>
      </w:r>
      <w:r w:rsidRPr="002C1513">
        <w:rPr>
          <w:b/>
          <w:szCs w:val="22"/>
        </w:rPr>
        <w:tab/>
        <w:t>Zoznam pomocných látok</w:t>
      </w:r>
    </w:p>
    <w:p w14:paraId="66CD758A" w14:textId="77777777" w:rsidR="00FC5D63" w:rsidRPr="002C1513" w:rsidRDefault="00FC5D63" w:rsidP="00527DED">
      <w:pPr>
        <w:ind w:left="0" w:firstLine="0"/>
        <w:rPr>
          <w:b/>
          <w:szCs w:val="22"/>
        </w:rPr>
      </w:pPr>
    </w:p>
    <w:p w14:paraId="2283857A" w14:textId="3F06CDD6" w:rsidR="00026E0C" w:rsidRPr="002C1513" w:rsidRDefault="003D5FE8" w:rsidP="00527DED">
      <w:pPr>
        <w:ind w:left="0" w:firstLine="0"/>
        <w:rPr>
          <w:b/>
          <w:szCs w:val="22"/>
        </w:rPr>
      </w:pPr>
      <w:r w:rsidRPr="002C1513">
        <w:rPr>
          <w:b/>
          <w:szCs w:val="22"/>
        </w:rPr>
        <w:t>Obsah kapsuly:</w:t>
      </w:r>
    </w:p>
    <w:p w14:paraId="7CDAF780" w14:textId="74FD6814" w:rsidR="00026E0C" w:rsidRPr="002C1513" w:rsidRDefault="00B84815" w:rsidP="00376951">
      <w:pPr>
        <w:ind w:left="0" w:firstLine="0"/>
        <w:rPr>
          <w:szCs w:val="22"/>
        </w:rPr>
      </w:pPr>
      <w:proofErr w:type="spellStart"/>
      <w:r>
        <w:rPr>
          <w:szCs w:val="22"/>
        </w:rPr>
        <w:t>p</w:t>
      </w:r>
      <w:r w:rsidR="0095562B" w:rsidRPr="0095562B">
        <w:rPr>
          <w:szCs w:val="22"/>
        </w:rPr>
        <w:t>redželatínovaný</w:t>
      </w:r>
      <w:proofErr w:type="spellEnd"/>
      <w:r w:rsidR="0095562B" w:rsidRPr="0095562B">
        <w:rPr>
          <w:szCs w:val="22"/>
        </w:rPr>
        <w:t xml:space="preserve"> </w:t>
      </w:r>
      <w:r w:rsidR="003D5FE8" w:rsidRPr="002C1513">
        <w:rPr>
          <w:szCs w:val="22"/>
        </w:rPr>
        <w:t xml:space="preserve">škrob (kukuričný) </w:t>
      </w:r>
    </w:p>
    <w:p w14:paraId="369A28A3" w14:textId="388EB1D0" w:rsidR="00026E0C" w:rsidRPr="002C1513" w:rsidRDefault="00B84815" w:rsidP="00376951">
      <w:pPr>
        <w:ind w:left="0" w:firstLine="0"/>
        <w:rPr>
          <w:szCs w:val="22"/>
        </w:rPr>
      </w:pPr>
      <w:r>
        <w:rPr>
          <w:szCs w:val="22"/>
        </w:rPr>
        <w:t>m</w:t>
      </w:r>
      <w:r w:rsidR="003D5FE8" w:rsidRPr="002C1513">
        <w:rPr>
          <w:szCs w:val="22"/>
        </w:rPr>
        <w:t>ikrokryštalická celulóza</w:t>
      </w:r>
    </w:p>
    <w:p w14:paraId="065EE1A4" w14:textId="55485DCA" w:rsidR="00026E0C" w:rsidRPr="002C1513" w:rsidRDefault="00B84815" w:rsidP="00376951">
      <w:pPr>
        <w:ind w:left="0" w:firstLine="0"/>
        <w:rPr>
          <w:szCs w:val="22"/>
        </w:rPr>
      </w:pPr>
      <w:proofErr w:type="spellStart"/>
      <w:r>
        <w:rPr>
          <w:szCs w:val="22"/>
        </w:rPr>
        <w:t>p</w:t>
      </w:r>
      <w:r w:rsidR="003D5FE8" w:rsidRPr="002C1513">
        <w:rPr>
          <w:szCs w:val="22"/>
        </w:rPr>
        <w:t>ovidón</w:t>
      </w:r>
      <w:proofErr w:type="spellEnd"/>
      <w:r w:rsidR="003D5FE8" w:rsidRPr="002C1513">
        <w:rPr>
          <w:szCs w:val="22"/>
        </w:rPr>
        <w:t xml:space="preserve"> K</w:t>
      </w:r>
      <w:r w:rsidR="00026E0C">
        <w:rPr>
          <w:szCs w:val="22"/>
        </w:rPr>
        <w:t> </w:t>
      </w:r>
      <w:r w:rsidR="003D5FE8" w:rsidRPr="002C1513">
        <w:rPr>
          <w:szCs w:val="22"/>
        </w:rPr>
        <w:t>30</w:t>
      </w:r>
    </w:p>
    <w:p w14:paraId="6CF5D0CA" w14:textId="7166E5DF" w:rsidR="00026E0C" w:rsidRPr="002C1513" w:rsidRDefault="00B84815" w:rsidP="00421221">
      <w:pPr>
        <w:ind w:left="0" w:firstLine="0"/>
        <w:rPr>
          <w:szCs w:val="22"/>
        </w:rPr>
      </w:pPr>
      <w:r>
        <w:rPr>
          <w:szCs w:val="22"/>
        </w:rPr>
        <w:t>m</w:t>
      </w:r>
      <w:r w:rsidR="003D5FE8" w:rsidRPr="002C1513">
        <w:rPr>
          <w:szCs w:val="22"/>
        </w:rPr>
        <w:t>astenec</w:t>
      </w:r>
    </w:p>
    <w:p w14:paraId="1A232164" w14:textId="3AABDBEF" w:rsidR="00026E0C" w:rsidRPr="002C1513" w:rsidRDefault="00421221" w:rsidP="00421221">
      <w:pPr>
        <w:ind w:left="0" w:firstLine="0"/>
        <w:rPr>
          <w:szCs w:val="22"/>
        </w:rPr>
      </w:pPr>
      <w:proofErr w:type="spellStart"/>
      <w:r>
        <w:rPr>
          <w:szCs w:val="22"/>
        </w:rPr>
        <w:t>stearan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horečnatý</w:t>
      </w:r>
      <w:proofErr w:type="spellEnd"/>
    </w:p>
    <w:p w14:paraId="236B54EB" w14:textId="5B22C1B6" w:rsidR="00026E0C" w:rsidRPr="002C1513" w:rsidRDefault="00421221" w:rsidP="00421221">
      <w:pPr>
        <w:ind w:left="0" w:firstLine="0"/>
        <w:rPr>
          <w:szCs w:val="22"/>
        </w:rPr>
      </w:pPr>
      <w:proofErr w:type="spellStart"/>
      <w:r>
        <w:t>stearylfumaran</w:t>
      </w:r>
      <w:proofErr w:type="spellEnd"/>
      <w:r>
        <w:t xml:space="preserve"> sodný </w:t>
      </w:r>
    </w:p>
    <w:p w14:paraId="506F2E71" w14:textId="5C3AC449" w:rsidR="00026E0C" w:rsidRPr="002C1513" w:rsidRDefault="00B84815" w:rsidP="00376951">
      <w:pPr>
        <w:ind w:left="0" w:firstLine="0"/>
        <w:rPr>
          <w:szCs w:val="22"/>
        </w:rPr>
      </w:pPr>
      <w:proofErr w:type="spellStart"/>
      <w:r>
        <w:rPr>
          <w:szCs w:val="22"/>
        </w:rPr>
        <w:t>a</w:t>
      </w:r>
      <w:r w:rsidR="003D5FE8" w:rsidRPr="002C1513">
        <w:rPr>
          <w:szCs w:val="22"/>
        </w:rPr>
        <w:t>cetosukcinát</w:t>
      </w:r>
      <w:proofErr w:type="spellEnd"/>
      <w:r w:rsidR="003D5FE8" w:rsidRPr="002C1513">
        <w:rPr>
          <w:szCs w:val="22"/>
        </w:rPr>
        <w:t xml:space="preserve"> </w:t>
      </w:r>
      <w:proofErr w:type="spellStart"/>
      <w:r w:rsidR="003D5FE8" w:rsidRPr="002C1513">
        <w:rPr>
          <w:szCs w:val="22"/>
        </w:rPr>
        <w:t>hypromelózy</w:t>
      </w:r>
      <w:proofErr w:type="spellEnd"/>
      <w:r w:rsidR="003D5FE8" w:rsidRPr="002C1513">
        <w:rPr>
          <w:szCs w:val="22"/>
        </w:rPr>
        <w:t xml:space="preserve"> (</w:t>
      </w:r>
      <w:proofErr w:type="spellStart"/>
      <w:r w:rsidR="003D5FE8" w:rsidRPr="002C1513">
        <w:rPr>
          <w:szCs w:val="22"/>
        </w:rPr>
        <w:t>3cP</w:t>
      </w:r>
      <w:proofErr w:type="spellEnd"/>
      <w:r w:rsidR="003D5FE8" w:rsidRPr="002C1513">
        <w:rPr>
          <w:szCs w:val="22"/>
        </w:rPr>
        <w:t xml:space="preserve">) </w:t>
      </w:r>
    </w:p>
    <w:p w14:paraId="72643ACB" w14:textId="2425292B" w:rsidR="00026E0C" w:rsidRPr="002C1513" w:rsidRDefault="00B84815" w:rsidP="00376951">
      <w:pPr>
        <w:ind w:left="0" w:firstLine="0"/>
        <w:rPr>
          <w:szCs w:val="22"/>
        </w:rPr>
      </w:pPr>
      <w:r>
        <w:rPr>
          <w:szCs w:val="22"/>
        </w:rPr>
        <w:t>o</w:t>
      </w:r>
      <w:r w:rsidR="003D5FE8" w:rsidRPr="002C1513">
        <w:rPr>
          <w:szCs w:val="22"/>
        </w:rPr>
        <w:t>xid titaničitý (E</w:t>
      </w:r>
      <w:r w:rsidR="00C2373E">
        <w:rPr>
          <w:szCs w:val="22"/>
        </w:rPr>
        <w:t xml:space="preserve"> </w:t>
      </w:r>
      <w:r w:rsidR="003D5FE8" w:rsidRPr="002C1513">
        <w:rPr>
          <w:szCs w:val="22"/>
        </w:rPr>
        <w:t xml:space="preserve">171) </w:t>
      </w:r>
    </w:p>
    <w:p w14:paraId="016B044F" w14:textId="40A91A82" w:rsidR="00026E0C" w:rsidRPr="002C1513" w:rsidRDefault="00B84815" w:rsidP="00376951">
      <w:pPr>
        <w:ind w:left="0" w:firstLine="0"/>
        <w:rPr>
          <w:szCs w:val="22"/>
        </w:rPr>
      </w:pPr>
      <w:proofErr w:type="spellStart"/>
      <w:r>
        <w:rPr>
          <w:szCs w:val="22"/>
        </w:rPr>
        <w:t>m</w:t>
      </w:r>
      <w:r w:rsidR="003D5FE8" w:rsidRPr="002C1513">
        <w:rPr>
          <w:szCs w:val="22"/>
        </w:rPr>
        <w:t>onohydrát</w:t>
      </w:r>
      <w:proofErr w:type="spellEnd"/>
      <w:r w:rsidR="003D5FE8" w:rsidRPr="002C1513">
        <w:rPr>
          <w:szCs w:val="22"/>
        </w:rPr>
        <w:t xml:space="preserve"> laktózy</w:t>
      </w:r>
    </w:p>
    <w:p w14:paraId="2F4C1A5D" w14:textId="42E5858F" w:rsidR="00026E0C" w:rsidRPr="002C1513" w:rsidRDefault="00B84815" w:rsidP="00421221">
      <w:pPr>
        <w:ind w:left="0" w:firstLine="0"/>
        <w:rPr>
          <w:szCs w:val="22"/>
        </w:rPr>
      </w:pPr>
      <w:r>
        <w:rPr>
          <w:szCs w:val="22"/>
        </w:rPr>
        <w:t>h</w:t>
      </w:r>
      <w:r w:rsidR="003D5FE8" w:rsidRPr="002C1513">
        <w:rPr>
          <w:szCs w:val="22"/>
        </w:rPr>
        <w:t xml:space="preserve">ypromelóza </w:t>
      </w:r>
    </w:p>
    <w:p w14:paraId="22A176A6" w14:textId="02044B44" w:rsidR="00026E0C" w:rsidRPr="00376951" w:rsidRDefault="00B84815" w:rsidP="00376951">
      <w:pPr>
        <w:ind w:left="0" w:firstLine="0"/>
        <w:rPr>
          <w:b/>
        </w:rPr>
      </w:pPr>
      <w:r>
        <w:rPr>
          <w:szCs w:val="22"/>
        </w:rPr>
        <w:t>m</w:t>
      </w:r>
      <w:r w:rsidR="003D5FE8" w:rsidRPr="002C1513">
        <w:rPr>
          <w:szCs w:val="22"/>
        </w:rPr>
        <w:t>akrogol 4000</w:t>
      </w:r>
    </w:p>
    <w:p w14:paraId="27518BAC" w14:textId="77777777" w:rsidR="00026E0C" w:rsidRPr="002C1513" w:rsidRDefault="00026E0C" w:rsidP="00376951">
      <w:pPr>
        <w:ind w:left="0" w:firstLine="0"/>
        <w:rPr>
          <w:szCs w:val="22"/>
        </w:rPr>
      </w:pPr>
    </w:p>
    <w:p w14:paraId="16FEF2AD" w14:textId="79C81BD5" w:rsidR="00026E0C" w:rsidRPr="002C1513" w:rsidRDefault="003D5FE8" w:rsidP="00376951">
      <w:pPr>
        <w:ind w:left="0" w:firstLine="0"/>
        <w:rPr>
          <w:b/>
          <w:szCs w:val="22"/>
        </w:rPr>
      </w:pPr>
      <w:r w:rsidRPr="002C1513">
        <w:rPr>
          <w:b/>
          <w:szCs w:val="22"/>
        </w:rPr>
        <w:t xml:space="preserve">Kapsula: </w:t>
      </w:r>
    </w:p>
    <w:p w14:paraId="0CB0F60C" w14:textId="409DD9EB" w:rsidR="00026E0C" w:rsidRPr="002C1513" w:rsidRDefault="00B84815" w:rsidP="00421221">
      <w:pPr>
        <w:ind w:left="0" w:firstLine="0"/>
        <w:rPr>
          <w:szCs w:val="22"/>
        </w:rPr>
      </w:pPr>
      <w:r>
        <w:rPr>
          <w:szCs w:val="22"/>
        </w:rPr>
        <w:t>ž</w:t>
      </w:r>
      <w:r w:rsidR="003D5FE8" w:rsidRPr="002C1513">
        <w:rPr>
          <w:szCs w:val="22"/>
        </w:rPr>
        <w:t>elatína</w:t>
      </w:r>
    </w:p>
    <w:p w14:paraId="3CA0AF00" w14:textId="02BDE6D0" w:rsidR="00026E0C" w:rsidRPr="002C1513" w:rsidRDefault="00B84815" w:rsidP="00376951">
      <w:pPr>
        <w:ind w:left="0" w:firstLine="0"/>
        <w:rPr>
          <w:szCs w:val="22"/>
        </w:rPr>
      </w:pPr>
      <w:r>
        <w:rPr>
          <w:szCs w:val="22"/>
        </w:rPr>
        <w:t>o</w:t>
      </w:r>
      <w:r w:rsidR="003D5FE8" w:rsidRPr="002C1513">
        <w:rPr>
          <w:szCs w:val="22"/>
        </w:rPr>
        <w:t>xid titaničitý (E</w:t>
      </w:r>
      <w:r w:rsidR="00C2373E">
        <w:rPr>
          <w:szCs w:val="22"/>
        </w:rPr>
        <w:t xml:space="preserve"> </w:t>
      </w:r>
      <w:r w:rsidR="003D5FE8" w:rsidRPr="002C1513">
        <w:rPr>
          <w:szCs w:val="22"/>
        </w:rPr>
        <w:t>171)</w:t>
      </w:r>
    </w:p>
    <w:p w14:paraId="24393C78" w14:textId="72617A66" w:rsidR="00026E0C" w:rsidRPr="002C1513" w:rsidRDefault="00B84815" w:rsidP="00376951">
      <w:pPr>
        <w:ind w:left="0" w:firstLine="0"/>
        <w:rPr>
          <w:szCs w:val="22"/>
        </w:rPr>
      </w:pPr>
      <w:proofErr w:type="spellStart"/>
      <w:r>
        <w:rPr>
          <w:szCs w:val="22"/>
        </w:rPr>
        <w:t>b</w:t>
      </w:r>
      <w:r w:rsidR="003D5FE8" w:rsidRPr="002C1513">
        <w:rPr>
          <w:szCs w:val="22"/>
        </w:rPr>
        <w:t>riliant</w:t>
      </w:r>
      <w:r>
        <w:rPr>
          <w:szCs w:val="22"/>
        </w:rPr>
        <w:t>ná</w:t>
      </w:r>
      <w:proofErr w:type="spellEnd"/>
      <w:r w:rsidR="003D5FE8" w:rsidRPr="002C1513">
        <w:rPr>
          <w:szCs w:val="22"/>
        </w:rPr>
        <w:t xml:space="preserve"> modrá </w:t>
      </w:r>
      <w:proofErr w:type="spellStart"/>
      <w:r w:rsidR="003D5FE8" w:rsidRPr="002C1513">
        <w:rPr>
          <w:szCs w:val="22"/>
        </w:rPr>
        <w:t>FCF</w:t>
      </w:r>
      <w:proofErr w:type="spellEnd"/>
      <w:r w:rsidR="003D5FE8" w:rsidRPr="002C1513">
        <w:rPr>
          <w:szCs w:val="22"/>
        </w:rPr>
        <w:t xml:space="preserve"> (E</w:t>
      </w:r>
      <w:r w:rsidR="00C2373E">
        <w:rPr>
          <w:szCs w:val="22"/>
        </w:rPr>
        <w:t xml:space="preserve"> </w:t>
      </w:r>
      <w:r w:rsidR="003D5FE8" w:rsidRPr="002C1513">
        <w:rPr>
          <w:szCs w:val="22"/>
        </w:rPr>
        <w:t xml:space="preserve">133) </w:t>
      </w:r>
    </w:p>
    <w:p w14:paraId="7AE6A223" w14:textId="6F362E1B" w:rsidR="00026E0C" w:rsidRPr="002C1513" w:rsidRDefault="00B84815" w:rsidP="00376951">
      <w:pPr>
        <w:ind w:left="0" w:firstLine="0"/>
        <w:rPr>
          <w:color w:val="000000"/>
        </w:rPr>
      </w:pPr>
      <w:r>
        <w:rPr>
          <w:color w:val="000000"/>
        </w:rPr>
        <w:t>č</w:t>
      </w:r>
      <w:r w:rsidR="003D5FE8" w:rsidRPr="002C1513">
        <w:rPr>
          <w:color w:val="000000"/>
        </w:rPr>
        <w:t xml:space="preserve">erveň </w:t>
      </w:r>
      <w:proofErr w:type="spellStart"/>
      <w:r w:rsidR="003D5FE8" w:rsidRPr="002C1513">
        <w:rPr>
          <w:color w:val="000000"/>
        </w:rPr>
        <w:t>Allura</w:t>
      </w:r>
      <w:proofErr w:type="spellEnd"/>
      <w:r w:rsidR="003D5FE8" w:rsidRPr="002C1513">
        <w:rPr>
          <w:color w:val="000000"/>
        </w:rPr>
        <w:t xml:space="preserve"> (E</w:t>
      </w:r>
      <w:r w:rsidR="00C2373E">
        <w:rPr>
          <w:color w:val="000000"/>
        </w:rPr>
        <w:t xml:space="preserve"> </w:t>
      </w:r>
      <w:r w:rsidR="003D5FE8" w:rsidRPr="002C1513">
        <w:rPr>
          <w:color w:val="000000"/>
        </w:rPr>
        <w:t>129)</w:t>
      </w:r>
    </w:p>
    <w:p w14:paraId="479A0DCB" w14:textId="0C93B08E" w:rsidR="003D5FE8" w:rsidRPr="002C1513" w:rsidRDefault="003D5FE8" w:rsidP="00376951">
      <w:pPr>
        <w:ind w:left="0" w:firstLine="0"/>
        <w:rPr>
          <w:color w:val="000000"/>
        </w:rPr>
      </w:pPr>
      <w:proofErr w:type="spellStart"/>
      <w:r w:rsidRPr="002C1513">
        <w:rPr>
          <w:color w:val="000000"/>
        </w:rPr>
        <w:t>chinolínová</w:t>
      </w:r>
      <w:proofErr w:type="spellEnd"/>
      <w:r w:rsidRPr="002C1513">
        <w:rPr>
          <w:color w:val="000000"/>
        </w:rPr>
        <w:t xml:space="preserve"> žltá (E</w:t>
      </w:r>
      <w:r w:rsidR="00C2373E">
        <w:rPr>
          <w:color w:val="000000"/>
        </w:rPr>
        <w:t xml:space="preserve"> </w:t>
      </w:r>
      <w:r w:rsidRPr="002C1513">
        <w:rPr>
          <w:color w:val="000000"/>
        </w:rPr>
        <w:t>104) (len 60 mg)</w:t>
      </w:r>
    </w:p>
    <w:p w14:paraId="7C0FF30B" w14:textId="18E8FD0C" w:rsidR="003D5FE8" w:rsidRPr="002C1513" w:rsidRDefault="003D5FE8" w:rsidP="003D5FE8">
      <w:pPr>
        <w:keepNext/>
        <w:tabs>
          <w:tab w:val="left" w:pos="0"/>
        </w:tabs>
        <w:ind w:left="0" w:firstLine="0"/>
        <w:rPr>
          <w:color w:val="000000"/>
        </w:rPr>
      </w:pPr>
      <w:r w:rsidRPr="002C1513">
        <w:rPr>
          <w:bCs/>
          <w:color w:val="000000"/>
        </w:rPr>
        <w:t xml:space="preserve">oranžová žltá </w:t>
      </w:r>
      <w:proofErr w:type="spellStart"/>
      <w:r w:rsidRPr="002C1513">
        <w:rPr>
          <w:bCs/>
          <w:color w:val="000000"/>
        </w:rPr>
        <w:t>FCF</w:t>
      </w:r>
      <w:proofErr w:type="spellEnd"/>
      <w:r w:rsidRPr="002C1513">
        <w:rPr>
          <w:bCs/>
          <w:color w:val="000000"/>
        </w:rPr>
        <w:t xml:space="preserve"> (E</w:t>
      </w:r>
      <w:r w:rsidR="00C2373E">
        <w:rPr>
          <w:bCs/>
          <w:color w:val="000000"/>
        </w:rPr>
        <w:t xml:space="preserve"> </w:t>
      </w:r>
      <w:r w:rsidRPr="002C1513">
        <w:rPr>
          <w:bCs/>
          <w:color w:val="000000"/>
        </w:rPr>
        <w:t>110)</w:t>
      </w:r>
      <w:r w:rsidRPr="002C1513">
        <w:rPr>
          <w:szCs w:val="22"/>
        </w:rPr>
        <w:t xml:space="preserve"> </w:t>
      </w:r>
      <w:r w:rsidRPr="002C1513">
        <w:rPr>
          <w:color w:val="000000"/>
        </w:rPr>
        <w:t>(len 60 mg)</w:t>
      </w:r>
    </w:p>
    <w:p w14:paraId="0AEBE615" w14:textId="77777777" w:rsidR="003D5FE8" w:rsidRPr="002C1513" w:rsidRDefault="003D5FE8" w:rsidP="003D5FE8">
      <w:pPr>
        <w:keepNext/>
        <w:tabs>
          <w:tab w:val="left" w:pos="0"/>
        </w:tabs>
        <w:ind w:left="0" w:firstLine="0"/>
        <w:rPr>
          <w:color w:val="000000"/>
        </w:rPr>
      </w:pPr>
    </w:p>
    <w:p w14:paraId="16E67B7D" w14:textId="77777777" w:rsidR="003D5FE8" w:rsidRPr="002C1513" w:rsidRDefault="00261081" w:rsidP="003D5FE8">
      <w:pPr>
        <w:keepNext/>
        <w:tabs>
          <w:tab w:val="left" w:pos="0"/>
        </w:tabs>
        <w:ind w:left="0" w:firstLine="0"/>
        <w:rPr>
          <w:b/>
          <w:color w:val="000000"/>
        </w:rPr>
      </w:pPr>
      <w:proofErr w:type="spellStart"/>
      <w:r w:rsidRPr="002C1513">
        <w:rPr>
          <w:b/>
          <w:color w:val="000000"/>
        </w:rPr>
        <w:t>Potlačové</w:t>
      </w:r>
      <w:proofErr w:type="spellEnd"/>
      <w:r w:rsidRPr="002C1513">
        <w:rPr>
          <w:b/>
          <w:color w:val="000000"/>
        </w:rPr>
        <w:t xml:space="preserve"> farbivo</w:t>
      </w:r>
      <w:r w:rsidR="003D5FE8" w:rsidRPr="002C1513">
        <w:rPr>
          <w:b/>
          <w:color w:val="000000"/>
        </w:rPr>
        <w:t xml:space="preserve">: </w:t>
      </w:r>
    </w:p>
    <w:p w14:paraId="231C254E" w14:textId="4DD98F52" w:rsidR="00FA451D" w:rsidRPr="002C1513" w:rsidRDefault="00B84815" w:rsidP="003D5FE8">
      <w:pPr>
        <w:keepNext/>
        <w:tabs>
          <w:tab w:val="left" w:pos="0"/>
        </w:tabs>
        <w:ind w:left="0" w:firstLine="0"/>
        <w:rPr>
          <w:color w:val="000000"/>
        </w:rPr>
      </w:pPr>
      <w:r>
        <w:rPr>
          <w:color w:val="000000"/>
        </w:rPr>
        <w:t>š</w:t>
      </w:r>
      <w:r w:rsidR="003D5FE8" w:rsidRPr="002C1513">
        <w:rPr>
          <w:color w:val="000000"/>
        </w:rPr>
        <w:t>elak</w:t>
      </w:r>
    </w:p>
    <w:p w14:paraId="09CFF256" w14:textId="2E5C0C5D" w:rsidR="00FA451D" w:rsidRPr="002C1513" w:rsidRDefault="00B84815" w:rsidP="003D5FE8">
      <w:pPr>
        <w:keepNext/>
        <w:tabs>
          <w:tab w:val="left" w:pos="0"/>
        </w:tabs>
        <w:ind w:left="0" w:firstLine="0"/>
        <w:rPr>
          <w:color w:val="000000"/>
        </w:rPr>
      </w:pPr>
      <w:r>
        <w:rPr>
          <w:color w:val="000000"/>
        </w:rPr>
        <w:t>h</w:t>
      </w:r>
      <w:r w:rsidR="003D5FE8" w:rsidRPr="002C1513">
        <w:rPr>
          <w:color w:val="000000"/>
        </w:rPr>
        <w:t xml:space="preserve">linitý lak </w:t>
      </w:r>
      <w:proofErr w:type="spellStart"/>
      <w:r w:rsidR="003D5FE8" w:rsidRPr="002C1513">
        <w:rPr>
          <w:color w:val="000000"/>
        </w:rPr>
        <w:t>indigokarmínu</w:t>
      </w:r>
      <w:proofErr w:type="spellEnd"/>
      <w:r w:rsidR="003D5FE8" w:rsidRPr="002C1513">
        <w:rPr>
          <w:color w:val="000000"/>
        </w:rPr>
        <w:t xml:space="preserve"> (E</w:t>
      </w:r>
      <w:r w:rsidR="00C2373E">
        <w:rPr>
          <w:color w:val="000000"/>
        </w:rPr>
        <w:t xml:space="preserve"> </w:t>
      </w:r>
      <w:r w:rsidR="003D5FE8" w:rsidRPr="002C1513">
        <w:rPr>
          <w:color w:val="000000"/>
        </w:rPr>
        <w:t>132)</w:t>
      </w:r>
    </w:p>
    <w:p w14:paraId="09908E49" w14:textId="3C478344" w:rsidR="00FA451D" w:rsidRPr="002C1513" w:rsidRDefault="00B84815" w:rsidP="003D5FE8">
      <w:pPr>
        <w:keepNext/>
        <w:tabs>
          <w:tab w:val="left" w:pos="0"/>
        </w:tabs>
        <w:ind w:left="0" w:firstLine="0"/>
        <w:rPr>
          <w:szCs w:val="22"/>
        </w:rPr>
      </w:pPr>
      <w:r>
        <w:rPr>
          <w:szCs w:val="22"/>
        </w:rPr>
        <w:t>o</w:t>
      </w:r>
      <w:r w:rsidR="00FA451D" w:rsidRPr="002C1513">
        <w:rPr>
          <w:szCs w:val="22"/>
        </w:rPr>
        <w:t>xid titaničitý (E</w:t>
      </w:r>
      <w:r w:rsidR="00C2373E">
        <w:rPr>
          <w:szCs w:val="22"/>
        </w:rPr>
        <w:t xml:space="preserve"> </w:t>
      </w:r>
      <w:r w:rsidR="00FA451D" w:rsidRPr="002C1513">
        <w:rPr>
          <w:szCs w:val="22"/>
        </w:rPr>
        <w:t>171)</w:t>
      </w:r>
    </w:p>
    <w:p w14:paraId="09AF2D1C" w14:textId="00907AC5" w:rsidR="003D5FE8" w:rsidRPr="002C1513" w:rsidRDefault="00B84815" w:rsidP="003D5FE8">
      <w:pPr>
        <w:keepNext/>
        <w:tabs>
          <w:tab w:val="left" w:pos="0"/>
        </w:tabs>
        <w:ind w:left="0" w:firstLine="0"/>
        <w:rPr>
          <w:szCs w:val="22"/>
        </w:rPr>
      </w:pPr>
      <w:proofErr w:type="spellStart"/>
      <w:r>
        <w:rPr>
          <w:szCs w:val="22"/>
        </w:rPr>
        <w:t>p</w:t>
      </w:r>
      <w:r w:rsidR="00FA451D" w:rsidRPr="002C1513">
        <w:rPr>
          <w:szCs w:val="22"/>
        </w:rPr>
        <w:t>ropylénglykol</w:t>
      </w:r>
      <w:proofErr w:type="spellEnd"/>
      <w:r w:rsidR="00FA451D" w:rsidRPr="002C1513">
        <w:rPr>
          <w:szCs w:val="22"/>
        </w:rPr>
        <w:t xml:space="preserve"> (E</w:t>
      </w:r>
      <w:r w:rsidR="00C2373E">
        <w:rPr>
          <w:szCs w:val="22"/>
        </w:rPr>
        <w:t xml:space="preserve"> </w:t>
      </w:r>
      <w:r w:rsidR="00FA451D" w:rsidRPr="002C1513">
        <w:rPr>
          <w:szCs w:val="22"/>
        </w:rPr>
        <w:t>1520)</w:t>
      </w:r>
    </w:p>
    <w:p w14:paraId="2062538E" w14:textId="77777777" w:rsidR="00FC5D63" w:rsidRPr="002C1513" w:rsidRDefault="00FC5D63" w:rsidP="00527DED">
      <w:pPr>
        <w:ind w:left="0" w:firstLine="0"/>
        <w:rPr>
          <w:szCs w:val="22"/>
          <w:u w:val="single"/>
        </w:rPr>
      </w:pPr>
    </w:p>
    <w:p w14:paraId="772C33E4" w14:textId="77777777" w:rsidR="00FF6BE0" w:rsidRPr="002C1513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2C1513">
        <w:rPr>
          <w:b/>
          <w:szCs w:val="22"/>
        </w:rPr>
        <w:t>6.2</w:t>
      </w:r>
      <w:r w:rsidRPr="002C1513">
        <w:rPr>
          <w:b/>
          <w:szCs w:val="22"/>
        </w:rPr>
        <w:tab/>
        <w:t>Inkompatibility</w:t>
      </w:r>
    </w:p>
    <w:p w14:paraId="75CFB2B4" w14:textId="77777777" w:rsidR="00FF6BE0" w:rsidRPr="002C1513" w:rsidRDefault="00FF6BE0" w:rsidP="00527DED">
      <w:pPr>
        <w:ind w:left="0" w:firstLine="0"/>
        <w:rPr>
          <w:szCs w:val="22"/>
        </w:rPr>
      </w:pPr>
    </w:p>
    <w:p w14:paraId="3C078D6A" w14:textId="77777777" w:rsidR="00AB6A79" w:rsidRPr="002C1513" w:rsidRDefault="00AB6A79" w:rsidP="00527DED">
      <w:pPr>
        <w:ind w:left="0" w:firstLine="0"/>
        <w:rPr>
          <w:szCs w:val="22"/>
        </w:rPr>
      </w:pPr>
      <w:r w:rsidRPr="002C1513">
        <w:rPr>
          <w:szCs w:val="22"/>
        </w:rPr>
        <w:t>Neaplikovateľné.</w:t>
      </w:r>
    </w:p>
    <w:p w14:paraId="08C8F640" w14:textId="77777777" w:rsidR="00AB6A79" w:rsidRPr="003C2CC8" w:rsidRDefault="00AB6A79" w:rsidP="00912532">
      <w:pPr>
        <w:ind w:left="0" w:firstLine="0"/>
        <w:rPr>
          <w:szCs w:val="22"/>
        </w:rPr>
      </w:pPr>
    </w:p>
    <w:p w14:paraId="209BA774" w14:textId="77777777" w:rsidR="00FF6BE0" w:rsidRPr="002C1513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2C1513">
        <w:rPr>
          <w:b/>
          <w:szCs w:val="22"/>
        </w:rPr>
        <w:t>6.3</w:t>
      </w:r>
      <w:r w:rsidRPr="002C1513">
        <w:rPr>
          <w:b/>
          <w:szCs w:val="22"/>
        </w:rPr>
        <w:tab/>
        <w:t>Čas použiteľnosti</w:t>
      </w:r>
    </w:p>
    <w:p w14:paraId="0E73DB72" w14:textId="77777777" w:rsidR="004D3E2F" w:rsidRPr="002C1513" w:rsidRDefault="004D3E2F" w:rsidP="00FA521C">
      <w:pPr>
        <w:tabs>
          <w:tab w:val="left" w:pos="567"/>
        </w:tabs>
        <w:rPr>
          <w:szCs w:val="22"/>
        </w:rPr>
      </w:pPr>
    </w:p>
    <w:p w14:paraId="0DB650C6" w14:textId="77777777" w:rsidR="007735BF" w:rsidRPr="002C1513" w:rsidRDefault="007735BF" w:rsidP="00FA521C">
      <w:pPr>
        <w:pStyle w:val="Zkladntext3"/>
        <w:tabs>
          <w:tab w:val="left" w:pos="0"/>
        </w:tabs>
        <w:spacing w:after="0"/>
        <w:ind w:left="0" w:firstLine="0"/>
        <w:rPr>
          <w:sz w:val="22"/>
          <w:szCs w:val="22"/>
        </w:rPr>
      </w:pPr>
      <w:r w:rsidRPr="002C1513">
        <w:rPr>
          <w:sz w:val="22"/>
          <w:szCs w:val="22"/>
        </w:rPr>
        <w:t>2 roky</w:t>
      </w:r>
    </w:p>
    <w:p w14:paraId="264583CA" w14:textId="77777777" w:rsidR="00AB6A79" w:rsidRPr="002C1513" w:rsidRDefault="007735BF" w:rsidP="00FA521C">
      <w:pPr>
        <w:pStyle w:val="Zkladntext3"/>
        <w:tabs>
          <w:tab w:val="left" w:pos="0"/>
        </w:tabs>
        <w:spacing w:after="0"/>
        <w:ind w:left="0" w:firstLine="0"/>
        <w:rPr>
          <w:sz w:val="22"/>
          <w:szCs w:val="22"/>
        </w:rPr>
      </w:pPr>
      <w:proofErr w:type="spellStart"/>
      <w:r w:rsidRPr="002C1513">
        <w:rPr>
          <w:sz w:val="22"/>
          <w:szCs w:val="22"/>
        </w:rPr>
        <w:t>HDPE</w:t>
      </w:r>
      <w:proofErr w:type="spellEnd"/>
      <w:r w:rsidRPr="002C1513">
        <w:rPr>
          <w:sz w:val="22"/>
          <w:szCs w:val="22"/>
        </w:rPr>
        <w:t xml:space="preserve"> fľaše: čas použiteľnosti po prvom otvorení je 30 dní</w:t>
      </w:r>
      <w:r w:rsidR="00FA451D" w:rsidRPr="002C1513">
        <w:rPr>
          <w:sz w:val="22"/>
          <w:szCs w:val="22"/>
        </w:rPr>
        <w:t>.</w:t>
      </w:r>
      <w:r w:rsidRPr="002C1513">
        <w:rPr>
          <w:sz w:val="22"/>
          <w:szCs w:val="22"/>
        </w:rPr>
        <w:t xml:space="preserve"> </w:t>
      </w:r>
    </w:p>
    <w:p w14:paraId="53DD9747" w14:textId="77777777" w:rsidR="00912532" w:rsidRPr="003C2CC8" w:rsidRDefault="00912532" w:rsidP="00912532">
      <w:pPr>
        <w:ind w:left="0" w:firstLine="0"/>
        <w:rPr>
          <w:szCs w:val="22"/>
        </w:rPr>
      </w:pPr>
    </w:p>
    <w:p w14:paraId="77014FCA" w14:textId="77777777" w:rsidR="00FF6BE0" w:rsidRPr="002C1513" w:rsidRDefault="00FF6BE0" w:rsidP="00D62768">
      <w:pPr>
        <w:tabs>
          <w:tab w:val="left" w:pos="567"/>
        </w:tabs>
        <w:ind w:left="0" w:firstLine="0"/>
        <w:rPr>
          <w:szCs w:val="22"/>
        </w:rPr>
      </w:pPr>
      <w:r w:rsidRPr="002C1513">
        <w:rPr>
          <w:b/>
          <w:szCs w:val="22"/>
        </w:rPr>
        <w:t>6.4</w:t>
      </w:r>
      <w:r w:rsidRPr="002C1513">
        <w:rPr>
          <w:b/>
          <w:szCs w:val="22"/>
        </w:rPr>
        <w:tab/>
        <w:t>Špeciálne upozornenia na uchovávanie</w:t>
      </w:r>
    </w:p>
    <w:p w14:paraId="085EDFCA" w14:textId="77777777" w:rsidR="001D3BCE" w:rsidRPr="002C1513" w:rsidRDefault="001D3BCE" w:rsidP="0091253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3ABBEEF9" w14:textId="77777777" w:rsidR="007735BF" w:rsidRPr="002C1513" w:rsidRDefault="007735BF" w:rsidP="007735BF">
      <w:pPr>
        <w:ind w:left="0" w:firstLine="0"/>
        <w:rPr>
          <w:szCs w:val="22"/>
        </w:rPr>
      </w:pPr>
      <w:r w:rsidRPr="002C1513">
        <w:rPr>
          <w:szCs w:val="22"/>
        </w:rPr>
        <w:t>Uchovávajte pri teplote neprevyšujúcej 30 °C.</w:t>
      </w:r>
    </w:p>
    <w:p w14:paraId="56CB8ED6" w14:textId="77777777" w:rsidR="007735BF" w:rsidRPr="003C2CC8" w:rsidRDefault="007735BF" w:rsidP="00527DED">
      <w:pPr>
        <w:rPr>
          <w:szCs w:val="22"/>
        </w:rPr>
      </w:pPr>
    </w:p>
    <w:p w14:paraId="5A33936A" w14:textId="77777777" w:rsidR="00FF6BE0" w:rsidRPr="002C1513" w:rsidRDefault="00FF6BE0" w:rsidP="00527DED">
      <w:pPr>
        <w:rPr>
          <w:szCs w:val="22"/>
        </w:rPr>
      </w:pPr>
      <w:r w:rsidRPr="002C1513">
        <w:rPr>
          <w:b/>
          <w:szCs w:val="22"/>
        </w:rPr>
        <w:t>6.5</w:t>
      </w:r>
      <w:r w:rsidRPr="002C1513">
        <w:rPr>
          <w:b/>
          <w:szCs w:val="22"/>
        </w:rPr>
        <w:tab/>
        <w:t>Druh obalu a obsah balenia</w:t>
      </w:r>
      <w:r w:rsidRPr="002C1513">
        <w:rPr>
          <w:b/>
          <w:color w:val="0000FF"/>
          <w:szCs w:val="22"/>
        </w:rPr>
        <w:t xml:space="preserve"> </w:t>
      </w:r>
    </w:p>
    <w:p w14:paraId="07AB2406" w14:textId="77777777" w:rsidR="00317161" w:rsidRPr="002C1513" w:rsidRDefault="00317161" w:rsidP="00527DED">
      <w:pPr>
        <w:ind w:left="0" w:firstLine="0"/>
        <w:rPr>
          <w:szCs w:val="22"/>
        </w:rPr>
      </w:pPr>
    </w:p>
    <w:p w14:paraId="4B91BDD7" w14:textId="77777777" w:rsidR="007735BF" w:rsidRDefault="007735BF" w:rsidP="007735BF">
      <w:pPr>
        <w:keepNext/>
        <w:ind w:left="0" w:firstLine="0"/>
        <w:rPr>
          <w:szCs w:val="22"/>
        </w:rPr>
      </w:pPr>
      <w:r w:rsidRPr="002C1513">
        <w:rPr>
          <w:szCs w:val="22"/>
        </w:rPr>
        <w:t>PVC/PE/</w:t>
      </w:r>
      <w:proofErr w:type="spellStart"/>
      <w:r w:rsidRPr="002C1513">
        <w:rPr>
          <w:szCs w:val="22"/>
        </w:rPr>
        <w:t>PCTFE</w:t>
      </w:r>
      <w:proofErr w:type="spellEnd"/>
      <w:r w:rsidRPr="002C1513">
        <w:rPr>
          <w:szCs w:val="22"/>
        </w:rPr>
        <w:t>//</w:t>
      </w:r>
      <w:proofErr w:type="spellStart"/>
      <w:r w:rsidRPr="002C1513">
        <w:rPr>
          <w:szCs w:val="22"/>
        </w:rPr>
        <w:t>Al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blister</w:t>
      </w:r>
      <w:proofErr w:type="spellEnd"/>
      <w:r w:rsidRPr="002C1513">
        <w:rPr>
          <w:szCs w:val="22"/>
        </w:rPr>
        <w:t xml:space="preserve"> </w:t>
      </w:r>
    </w:p>
    <w:p w14:paraId="6FC54D58" w14:textId="77777777" w:rsidR="00421221" w:rsidRPr="002C1513" w:rsidRDefault="00421221" w:rsidP="007735BF">
      <w:pPr>
        <w:keepNext/>
        <w:ind w:left="0" w:firstLine="0"/>
        <w:rPr>
          <w:szCs w:val="22"/>
        </w:rPr>
      </w:pPr>
    </w:p>
    <w:p w14:paraId="312CBBC5" w14:textId="77777777" w:rsidR="007735BF" w:rsidRPr="002C1513" w:rsidRDefault="007735BF" w:rsidP="007735BF">
      <w:pPr>
        <w:keepNext/>
        <w:ind w:left="0" w:firstLine="0"/>
        <w:rPr>
          <w:szCs w:val="22"/>
        </w:rPr>
      </w:pPr>
      <w:proofErr w:type="spellStart"/>
      <w:r w:rsidRPr="002C1513">
        <w:rPr>
          <w:szCs w:val="22"/>
        </w:rPr>
        <w:t>PA</w:t>
      </w:r>
      <w:proofErr w:type="spellEnd"/>
      <w:r w:rsidRPr="002C1513">
        <w:rPr>
          <w:szCs w:val="22"/>
        </w:rPr>
        <w:t>/</w:t>
      </w:r>
      <w:proofErr w:type="spellStart"/>
      <w:r w:rsidRPr="002C1513">
        <w:rPr>
          <w:szCs w:val="22"/>
        </w:rPr>
        <w:t>Al</w:t>
      </w:r>
      <w:proofErr w:type="spellEnd"/>
      <w:r w:rsidRPr="002C1513">
        <w:rPr>
          <w:szCs w:val="22"/>
        </w:rPr>
        <w:t>/PVC//</w:t>
      </w:r>
      <w:proofErr w:type="spellStart"/>
      <w:r w:rsidRPr="002C1513">
        <w:rPr>
          <w:szCs w:val="22"/>
        </w:rPr>
        <w:t>Al</w:t>
      </w:r>
      <w:proofErr w:type="spellEnd"/>
      <w:r w:rsidRPr="002C1513">
        <w:rPr>
          <w:szCs w:val="22"/>
        </w:rPr>
        <w:t xml:space="preserve"> </w:t>
      </w:r>
      <w:proofErr w:type="spellStart"/>
      <w:r w:rsidRPr="002C1513">
        <w:rPr>
          <w:szCs w:val="22"/>
        </w:rPr>
        <w:t>blister</w:t>
      </w:r>
      <w:proofErr w:type="spellEnd"/>
      <w:r w:rsidRPr="002C1513">
        <w:rPr>
          <w:szCs w:val="22"/>
        </w:rPr>
        <w:t xml:space="preserve"> </w:t>
      </w:r>
    </w:p>
    <w:p w14:paraId="1C2C462A" w14:textId="77777777" w:rsidR="007735BF" w:rsidRPr="002C1513" w:rsidRDefault="007735BF" w:rsidP="007735BF">
      <w:pPr>
        <w:keepNext/>
        <w:rPr>
          <w:szCs w:val="22"/>
        </w:rPr>
      </w:pPr>
    </w:p>
    <w:p w14:paraId="698C8BAD" w14:textId="77777777" w:rsidR="007735BF" w:rsidRPr="002C1513" w:rsidRDefault="007735BF" w:rsidP="007735BF">
      <w:pPr>
        <w:keepNext/>
        <w:rPr>
          <w:szCs w:val="22"/>
        </w:rPr>
      </w:pPr>
      <w:r w:rsidRPr="002C1513">
        <w:rPr>
          <w:szCs w:val="22"/>
        </w:rPr>
        <w:t>Veľkosti balenia: 7, 14, 28, 30, 50, 56, 84, 98 kapsúl</w:t>
      </w:r>
    </w:p>
    <w:p w14:paraId="4FD7648E" w14:textId="77777777" w:rsidR="00FA451D" w:rsidRPr="002C1513" w:rsidRDefault="00FA451D" w:rsidP="007735BF">
      <w:pPr>
        <w:keepNext/>
        <w:rPr>
          <w:szCs w:val="22"/>
        </w:rPr>
      </w:pPr>
    </w:p>
    <w:p w14:paraId="15398D54" w14:textId="6CEF55DF" w:rsidR="00FA451D" w:rsidRPr="002C1513" w:rsidRDefault="00FA451D" w:rsidP="00376951">
      <w:pPr>
        <w:keepNext/>
        <w:ind w:left="0" w:firstLine="0"/>
        <w:rPr>
          <w:szCs w:val="22"/>
        </w:rPr>
      </w:pPr>
      <w:proofErr w:type="spellStart"/>
      <w:r w:rsidRPr="002C1513">
        <w:rPr>
          <w:szCs w:val="22"/>
        </w:rPr>
        <w:t>HDPE</w:t>
      </w:r>
      <w:proofErr w:type="spellEnd"/>
      <w:r w:rsidRPr="002C1513">
        <w:rPr>
          <w:szCs w:val="22"/>
        </w:rPr>
        <w:t xml:space="preserve"> fľaše</w:t>
      </w:r>
      <w:r w:rsidR="00455EB3" w:rsidRPr="00376951">
        <w:t xml:space="preserve"> </w:t>
      </w:r>
      <w:r w:rsidR="008110C3" w:rsidRPr="00E619E9">
        <w:rPr>
          <w:bCs/>
          <w:iCs/>
          <w:szCs w:val="22"/>
          <w:lang w:eastAsia="el-GR"/>
        </w:rPr>
        <w:t>s</w:t>
      </w:r>
      <w:r w:rsidR="008110C3">
        <w:rPr>
          <w:bCs/>
          <w:iCs/>
          <w:szCs w:val="22"/>
          <w:lang w:eastAsia="el-GR"/>
        </w:rPr>
        <w:t> </w:t>
      </w:r>
      <w:proofErr w:type="spellStart"/>
      <w:r w:rsidR="008110C3">
        <w:rPr>
          <w:bCs/>
          <w:iCs/>
          <w:szCs w:val="22"/>
          <w:lang w:eastAsia="el-GR"/>
        </w:rPr>
        <w:t>PP</w:t>
      </w:r>
      <w:proofErr w:type="spellEnd"/>
      <w:r w:rsidR="008110C3">
        <w:rPr>
          <w:bCs/>
          <w:iCs/>
          <w:szCs w:val="22"/>
          <w:lang w:eastAsia="el-GR"/>
        </w:rPr>
        <w:t xml:space="preserve"> </w:t>
      </w:r>
      <w:r w:rsidR="008110C3" w:rsidRPr="00E619E9">
        <w:rPr>
          <w:bCs/>
          <w:iCs/>
          <w:szCs w:val="22"/>
          <w:lang w:eastAsia="el-GR"/>
        </w:rPr>
        <w:t xml:space="preserve">uzáverom </w:t>
      </w:r>
      <w:r w:rsidR="008110C3">
        <w:rPr>
          <w:bCs/>
          <w:iCs/>
          <w:szCs w:val="22"/>
          <w:lang w:eastAsia="el-GR"/>
        </w:rPr>
        <w:t xml:space="preserve">so závitom </w:t>
      </w:r>
      <w:r w:rsidR="008110C3" w:rsidRPr="00E619E9">
        <w:rPr>
          <w:bCs/>
          <w:iCs/>
          <w:szCs w:val="22"/>
          <w:lang w:eastAsia="el-GR"/>
        </w:rPr>
        <w:t xml:space="preserve">bezpečným pred </w:t>
      </w:r>
      <w:r w:rsidR="008110C3">
        <w:rPr>
          <w:bCs/>
          <w:iCs/>
          <w:szCs w:val="22"/>
          <w:lang w:eastAsia="el-GR"/>
        </w:rPr>
        <w:t>de</w:t>
      </w:r>
      <w:r w:rsidR="008110C3" w:rsidRPr="00E619E9">
        <w:rPr>
          <w:bCs/>
          <w:iCs/>
          <w:szCs w:val="22"/>
          <w:lang w:eastAsia="el-GR"/>
        </w:rPr>
        <w:t>ťmi</w:t>
      </w:r>
      <w:r w:rsidRPr="002C1513">
        <w:rPr>
          <w:szCs w:val="22"/>
        </w:rPr>
        <w:t>: 30 kapsúl</w:t>
      </w:r>
    </w:p>
    <w:p w14:paraId="5BEF9F03" w14:textId="77777777" w:rsidR="00AB6A79" w:rsidRPr="002C1513" w:rsidRDefault="00AB6A79" w:rsidP="00527DED">
      <w:pPr>
        <w:rPr>
          <w:szCs w:val="22"/>
        </w:rPr>
      </w:pPr>
    </w:p>
    <w:p w14:paraId="12B42B95" w14:textId="77777777" w:rsidR="00FF6BE0" w:rsidRPr="002C1513" w:rsidRDefault="00CB02ED" w:rsidP="00527DED">
      <w:pPr>
        <w:rPr>
          <w:szCs w:val="22"/>
        </w:rPr>
      </w:pPr>
      <w:r w:rsidRPr="002C1513">
        <w:rPr>
          <w:szCs w:val="22"/>
        </w:rPr>
        <w:t>Na trh nemusia byť uvedené</w:t>
      </w:r>
      <w:r w:rsidR="00FF6BE0" w:rsidRPr="002C1513">
        <w:rPr>
          <w:szCs w:val="22"/>
        </w:rPr>
        <w:t xml:space="preserve"> všetky veľkosti balenia</w:t>
      </w:r>
      <w:r w:rsidRPr="002C1513">
        <w:rPr>
          <w:szCs w:val="22"/>
        </w:rPr>
        <w:t>.</w:t>
      </w:r>
      <w:r w:rsidR="00FF6BE0" w:rsidRPr="002C1513">
        <w:rPr>
          <w:szCs w:val="22"/>
        </w:rPr>
        <w:t xml:space="preserve"> </w:t>
      </w:r>
    </w:p>
    <w:p w14:paraId="24F89F6A" w14:textId="77777777" w:rsidR="00FF6BE0" w:rsidRPr="002C1513" w:rsidRDefault="00FF6BE0" w:rsidP="00421221">
      <w:pPr>
        <w:ind w:left="0" w:firstLine="0"/>
        <w:rPr>
          <w:szCs w:val="22"/>
        </w:rPr>
      </w:pPr>
    </w:p>
    <w:p w14:paraId="71086665" w14:textId="77777777" w:rsidR="00FF6BE0" w:rsidRPr="002C1513" w:rsidRDefault="00FF6BE0" w:rsidP="00421221">
      <w:pPr>
        <w:ind w:left="0" w:firstLine="0"/>
        <w:rPr>
          <w:b/>
          <w:bCs/>
          <w:szCs w:val="22"/>
        </w:rPr>
      </w:pPr>
      <w:r w:rsidRPr="002C1513">
        <w:rPr>
          <w:b/>
          <w:szCs w:val="22"/>
        </w:rPr>
        <w:t>6.6</w:t>
      </w:r>
      <w:r w:rsidRPr="002C1513">
        <w:rPr>
          <w:b/>
          <w:szCs w:val="22"/>
        </w:rPr>
        <w:tab/>
      </w:r>
      <w:r w:rsidRPr="002C1513">
        <w:rPr>
          <w:b/>
          <w:bCs/>
          <w:szCs w:val="22"/>
        </w:rPr>
        <w:t>Špeciálne opatrenia na likvidáciu</w:t>
      </w:r>
    </w:p>
    <w:p w14:paraId="6A4D1611" w14:textId="77777777" w:rsidR="00FF6BE0" w:rsidRPr="00376951" w:rsidRDefault="00FF6BE0" w:rsidP="00421221">
      <w:pPr>
        <w:ind w:left="0" w:firstLine="0"/>
        <w:rPr>
          <w:bCs/>
          <w:szCs w:val="22"/>
        </w:rPr>
      </w:pPr>
    </w:p>
    <w:p w14:paraId="2A54813D" w14:textId="77777777" w:rsidR="00D83D06" w:rsidRPr="00376951" w:rsidRDefault="005403D6" w:rsidP="005403D6">
      <w:pPr>
        <w:ind w:left="0" w:firstLine="0"/>
        <w:rPr>
          <w:szCs w:val="22"/>
        </w:rPr>
      </w:pPr>
      <w:r w:rsidRPr="00376951">
        <w:rPr>
          <w:szCs w:val="22"/>
        </w:rPr>
        <w:t>Všetok nepoužitý liek alebo odpad vzniknutý z lieku sa má zlikvidovať v súlade s národnými požiadavkami</w:t>
      </w:r>
      <w:r w:rsidR="00AB6A79" w:rsidRPr="00376951">
        <w:rPr>
          <w:szCs w:val="22"/>
        </w:rPr>
        <w:t>.</w:t>
      </w:r>
    </w:p>
    <w:p w14:paraId="06EECCB1" w14:textId="77777777" w:rsidR="00AB6A79" w:rsidRPr="00376951" w:rsidRDefault="00AB6A79" w:rsidP="00AB6A79">
      <w:pPr>
        <w:rPr>
          <w:szCs w:val="22"/>
        </w:rPr>
      </w:pPr>
    </w:p>
    <w:p w14:paraId="122F5960" w14:textId="77777777" w:rsidR="00AB6A79" w:rsidRPr="002C1513" w:rsidRDefault="00AB6A79" w:rsidP="00AB6A79">
      <w:pPr>
        <w:rPr>
          <w:szCs w:val="22"/>
        </w:rPr>
      </w:pPr>
    </w:p>
    <w:p w14:paraId="3D847EC2" w14:textId="77777777" w:rsidR="00FF6BE0" w:rsidRPr="002C1513" w:rsidRDefault="00FF6BE0" w:rsidP="00527DED">
      <w:pPr>
        <w:rPr>
          <w:b/>
          <w:szCs w:val="22"/>
        </w:rPr>
      </w:pPr>
      <w:r w:rsidRPr="002C1513">
        <w:rPr>
          <w:b/>
          <w:szCs w:val="22"/>
        </w:rPr>
        <w:t>7.</w:t>
      </w:r>
      <w:r w:rsidRPr="002C1513">
        <w:rPr>
          <w:b/>
          <w:szCs w:val="22"/>
        </w:rPr>
        <w:tab/>
        <w:t>DRŽITEĽ ROZHODNUTIA O REGISTRÁCII</w:t>
      </w:r>
    </w:p>
    <w:p w14:paraId="1EFFABE0" w14:textId="77777777" w:rsidR="00FF6BE0" w:rsidRPr="002C1513" w:rsidRDefault="00FF6BE0" w:rsidP="00421221">
      <w:pPr>
        <w:ind w:left="0" w:firstLine="0"/>
        <w:rPr>
          <w:szCs w:val="22"/>
        </w:rPr>
      </w:pPr>
    </w:p>
    <w:p w14:paraId="51716A38" w14:textId="77777777" w:rsidR="001A5201" w:rsidRPr="002C1513" w:rsidRDefault="001A5201" w:rsidP="00421221">
      <w:pPr>
        <w:ind w:left="0" w:firstLine="0"/>
        <w:rPr>
          <w:szCs w:val="22"/>
        </w:rPr>
      </w:pPr>
      <w:smartTag w:uri="urn:schemas-microsoft-com:office:smarttags" w:element="PersonName">
        <w:r w:rsidRPr="002C1513">
          <w:rPr>
            <w:szCs w:val="22"/>
          </w:rPr>
          <w:t>Sandoz</w:t>
        </w:r>
      </w:smartTag>
      <w:r w:rsidRPr="002C1513">
        <w:rPr>
          <w:szCs w:val="22"/>
        </w:rPr>
        <w:t xml:space="preserve"> Pharmaceuticals d.d.</w:t>
      </w:r>
    </w:p>
    <w:p w14:paraId="0704C8E1" w14:textId="77777777" w:rsidR="001A5201" w:rsidRPr="002C1513" w:rsidRDefault="001A5201" w:rsidP="00421221">
      <w:pPr>
        <w:ind w:left="0" w:firstLine="0"/>
        <w:rPr>
          <w:szCs w:val="22"/>
        </w:rPr>
      </w:pPr>
      <w:r w:rsidRPr="002C1513">
        <w:rPr>
          <w:szCs w:val="22"/>
        </w:rPr>
        <w:t>Verovškova 57</w:t>
      </w:r>
    </w:p>
    <w:p w14:paraId="5D9B0DBE" w14:textId="77777777" w:rsidR="001A5201" w:rsidRPr="002C1513" w:rsidRDefault="001A5201" w:rsidP="00421221">
      <w:pPr>
        <w:ind w:left="0" w:firstLine="0"/>
        <w:rPr>
          <w:szCs w:val="22"/>
        </w:rPr>
      </w:pPr>
      <w:r w:rsidRPr="002C1513">
        <w:rPr>
          <w:szCs w:val="22"/>
        </w:rPr>
        <w:t>1000 Ľubľana</w:t>
      </w:r>
    </w:p>
    <w:p w14:paraId="206B2018" w14:textId="77777777" w:rsidR="001A5201" w:rsidRPr="002C1513" w:rsidRDefault="001A5201" w:rsidP="00421221">
      <w:pPr>
        <w:ind w:left="0" w:firstLine="0"/>
        <w:rPr>
          <w:szCs w:val="22"/>
        </w:rPr>
      </w:pPr>
      <w:r w:rsidRPr="002C1513">
        <w:rPr>
          <w:szCs w:val="22"/>
        </w:rPr>
        <w:t>Slovinsko</w:t>
      </w:r>
    </w:p>
    <w:p w14:paraId="48BB0C0A" w14:textId="77777777" w:rsidR="00685635" w:rsidRPr="002C1513" w:rsidRDefault="00685635" w:rsidP="00421221">
      <w:pPr>
        <w:ind w:left="0" w:firstLine="0"/>
        <w:rPr>
          <w:szCs w:val="22"/>
        </w:rPr>
      </w:pPr>
    </w:p>
    <w:p w14:paraId="4AC9B4DF" w14:textId="77777777" w:rsidR="00E4055F" w:rsidRPr="002C1513" w:rsidRDefault="00E4055F" w:rsidP="00421221">
      <w:pPr>
        <w:ind w:left="0" w:firstLine="0"/>
        <w:rPr>
          <w:szCs w:val="22"/>
        </w:rPr>
      </w:pPr>
    </w:p>
    <w:p w14:paraId="372CB5AA" w14:textId="77777777" w:rsidR="00FF6BE0" w:rsidRPr="002C1513" w:rsidRDefault="00FF6BE0" w:rsidP="003C2CC8">
      <w:pPr>
        <w:keepNext/>
        <w:rPr>
          <w:b/>
          <w:szCs w:val="22"/>
        </w:rPr>
      </w:pPr>
      <w:r w:rsidRPr="002C1513">
        <w:rPr>
          <w:b/>
          <w:szCs w:val="22"/>
        </w:rPr>
        <w:lastRenderedPageBreak/>
        <w:t>8.</w:t>
      </w:r>
      <w:r w:rsidRPr="002C1513">
        <w:rPr>
          <w:b/>
          <w:szCs w:val="22"/>
        </w:rPr>
        <w:tab/>
      </w:r>
      <w:r w:rsidR="00B87797" w:rsidRPr="002C1513">
        <w:rPr>
          <w:b/>
          <w:szCs w:val="22"/>
        </w:rPr>
        <w:t>REGISTRAČNÉ ČÍSLO</w:t>
      </w:r>
    </w:p>
    <w:p w14:paraId="49420EC1" w14:textId="77777777" w:rsidR="00610650" w:rsidRPr="002C1513" w:rsidRDefault="00610650" w:rsidP="003C2CC8">
      <w:pPr>
        <w:keepNext/>
        <w:ind w:left="0" w:firstLine="0"/>
        <w:rPr>
          <w:szCs w:val="22"/>
        </w:rPr>
      </w:pPr>
    </w:p>
    <w:p w14:paraId="063CCD58" w14:textId="77777777" w:rsidR="00455EB3" w:rsidRPr="002C1513" w:rsidRDefault="00455EB3" w:rsidP="00D5164F">
      <w:pPr>
        <w:keepNext/>
        <w:ind w:left="0" w:firstLine="0"/>
        <w:rPr>
          <w:szCs w:val="22"/>
        </w:rPr>
      </w:pPr>
      <w:proofErr w:type="spellStart"/>
      <w:r w:rsidRPr="002C1513">
        <w:rPr>
          <w:szCs w:val="22"/>
        </w:rPr>
        <w:t>Duloxetin</w:t>
      </w:r>
      <w:proofErr w:type="spellEnd"/>
      <w:r w:rsidRPr="002C1513">
        <w:rPr>
          <w:szCs w:val="22"/>
        </w:rPr>
        <w:t xml:space="preserve"> Sandoz 30 mg</w:t>
      </w:r>
      <w:r>
        <w:rPr>
          <w:szCs w:val="22"/>
        </w:rPr>
        <w:t>:</w:t>
      </w:r>
      <w:r w:rsidRPr="00455EB3">
        <w:t xml:space="preserve"> </w:t>
      </w:r>
      <w:r w:rsidRPr="00455EB3">
        <w:rPr>
          <w:szCs w:val="22"/>
        </w:rPr>
        <w:t>30/0047/16-S</w:t>
      </w:r>
    </w:p>
    <w:p w14:paraId="659E6A87" w14:textId="77777777" w:rsidR="00455EB3" w:rsidRPr="002C1513" w:rsidRDefault="00455EB3" w:rsidP="00455EB3">
      <w:pPr>
        <w:keepNext/>
        <w:ind w:left="0" w:firstLine="0"/>
        <w:rPr>
          <w:szCs w:val="22"/>
        </w:rPr>
      </w:pPr>
      <w:proofErr w:type="spellStart"/>
      <w:r w:rsidRPr="00421221">
        <w:rPr>
          <w:highlight w:val="lightGray"/>
        </w:rPr>
        <w:t>Duloxetin</w:t>
      </w:r>
      <w:proofErr w:type="spellEnd"/>
      <w:r w:rsidRPr="00421221">
        <w:rPr>
          <w:highlight w:val="lightGray"/>
        </w:rPr>
        <w:t xml:space="preserve"> Sandoz 60 mg</w:t>
      </w:r>
      <w:r>
        <w:rPr>
          <w:szCs w:val="22"/>
        </w:rPr>
        <w:t>:</w:t>
      </w:r>
      <w:r w:rsidRPr="00455EB3">
        <w:t xml:space="preserve"> </w:t>
      </w:r>
      <w:r w:rsidRPr="00455EB3">
        <w:rPr>
          <w:szCs w:val="22"/>
        </w:rPr>
        <w:t>30/004</w:t>
      </w:r>
      <w:r>
        <w:rPr>
          <w:szCs w:val="22"/>
        </w:rPr>
        <w:t>8</w:t>
      </w:r>
      <w:r w:rsidRPr="00455EB3">
        <w:rPr>
          <w:szCs w:val="22"/>
        </w:rPr>
        <w:t>/16-S</w:t>
      </w:r>
    </w:p>
    <w:p w14:paraId="0969BAC7" w14:textId="77777777" w:rsidR="00B0092D" w:rsidRPr="002C1513" w:rsidRDefault="00B0092D" w:rsidP="0094751F">
      <w:pPr>
        <w:ind w:left="0" w:firstLine="0"/>
        <w:rPr>
          <w:szCs w:val="22"/>
        </w:rPr>
      </w:pPr>
    </w:p>
    <w:p w14:paraId="382F0FD4" w14:textId="77777777" w:rsidR="0059589D" w:rsidRPr="002C1513" w:rsidRDefault="0059589D" w:rsidP="0094751F">
      <w:pPr>
        <w:ind w:left="0" w:firstLine="0"/>
        <w:rPr>
          <w:szCs w:val="22"/>
        </w:rPr>
      </w:pPr>
    </w:p>
    <w:p w14:paraId="007EFFF3" w14:textId="77777777" w:rsidR="00FF6BE0" w:rsidRPr="002C1513" w:rsidRDefault="00CF47DE" w:rsidP="00527DED">
      <w:pPr>
        <w:rPr>
          <w:b/>
          <w:szCs w:val="22"/>
        </w:rPr>
      </w:pPr>
      <w:r w:rsidRPr="002C1513">
        <w:rPr>
          <w:b/>
          <w:szCs w:val="22"/>
        </w:rPr>
        <w:t>9.</w:t>
      </w:r>
      <w:r w:rsidRPr="002C1513">
        <w:rPr>
          <w:b/>
          <w:szCs w:val="22"/>
        </w:rPr>
        <w:tab/>
        <w:t>DÁTUM PRVEJ REGISTRÁCIE/</w:t>
      </w:r>
      <w:r w:rsidR="00FF6BE0" w:rsidRPr="002C1513">
        <w:rPr>
          <w:b/>
          <w:szCs w:val="22"/>
        </w:rPr>
        <w:t>PREDĹŽENIA REGISTRÁCIE</w:t>
      </w:r>
    </w:p>
    <w:p w14:paraId="232DCF24" w14:textId="77777777" w:rsidR="00A87F2F" w:rsidRPr="002C1513" w:rsidRDefault="00A87F2F" w:rsidP="003C2CC8">
      <w:pPr>
        <w:rPr>
          <w:szCs w:val="22"/>
        </w:rPr>
      </w:pPr>
      <w:bookmarkStart w:id="0" w:name="_GoBack"/>
      <w:bookmarkEnd w:id="0"/>
    </w:p>
    <w:p w14:paraId="2F7064F5" w14:textId="7F351DC7" w:rsidR="00A87F2F" w:rsidRPr="002C1513" w:rsidRDefault="00A87F2F" w:rsidP="00527DED">
      <w:pPr>
        <w:ind w:left="0" w:firstLine="0"/>
        <w:rPr>
          <w:szCs w:val="22"/>
        </w:rPr>
      </w:pPr>
      <w:r w:rsidRPr="002C1513">
        <w:rPr>
          <w:szCs w:val="22"/>
        </w:rPr>
        <w:t>Dátum prvej registrácie:</w:t>
      </w:r>
      <w:r w:rsidR="009F1A3B">
        <w:rPr>
          <w:szCs w:val="22"/>
        </w:rPr>
        <w:t xml:space="preserve"> </w:t>
      </w:r>
      <w:proofErr w:type="spellStart"/>
      <w:r w:rsidR="009F1A3B">
        <w:rPr>
          <w:szCs w:val="22"/>
        </w:rPr>
        <w:t>21.január</w:t>
      </w:r>
      <w:r w:rsidR="00421221">
        <w:rPr>
          <w:szCs w:val="22"/>
        </w:rPr>
        <w:t>a</w:t>
      </w:r>
      <w:proofErr w:type="spellEnd"/>
      <w:r w:rsidR="009F1A3B">
        <w:rPr>
          <w:szCs w:val="22"/>
        </w:rPr>
        <w:t xml:space="preserve"> 2016</w:t>
      </w:r>
    </w:p>
    <w:p w14:paraId="05DDD7EC" w14:textId="77777777" w:rsidR="00370B8F" w:rsidRPr="002C1513" w:rsidRDefault="00370B8F" w:rsidP="00527DED">
      <w:pPr>
        <w:rPr>
          <w:szCs w:val="22"/>
        </w:rPr>
      </w:pPr>
    </w:p>
    <w:p w14:paraId="2AB12A73" w14:textId="77777777" w:rsidR="00685635" w:rsidRPr="002C1513" w:rsidRDefault="00685635" w:rsidP="00527DED">
      <w:pPr>
        <w:rPr>
          <w:szCs w:val="22"/>
        </w:rPr>
      </w:pPr>
    </w:p>
    <w:p w14:paraId="69B65853" w14:textId="77777777" w:rsidR="00FF6BE0" w:rsidRPr="002C1513" w:rsidRDefault="00FF6BE0" w:rsidP="00527DED">
      <w:pPr>
        <w:rPr>
          <w:b/>
          <w:szCs w:val="22"/>
        </w:rPr>
      </w:pPr>
      <w:r w:rsidRPr="002C1513">
        <w:rPr>
          <w:b/>
          <w:szCs w:val="22"/>
        </w:rPr>
        <w:t>10.</w:t>
      </w:r>
      <w:r w:rsidRPr="002C1513">
        <w:rPr>
          <w:b/>
          <w:szCs w:val="22"/>
        </w:rPr>
        <w:tab/>
        <w:t>DÁTUM REVÍZIE TEXTU</w:t>
      </w:r>
    </w:p>
    <w:p w14:paraId="136768D8" w14:textId="01FC9080" w:rsidR="00A66463" w:rsidRDefault="00A66463" w:rsidP="00527DED">
      <w:pPr>
        <w:ind w:left="0" w:firstLine="0"/>
        <w:rPr>
          <w:szCs w:val="22"/>
        </w:rPr>
      </w:pPr>
    </w:p>
    <w:p w14:paraId="51402DEE" w14:textId="16CA88DA" w:rsidR="00E53E8C" w:rsidRDefault="00E53E8C" w:rsidP="00527DED">
      <w:pPr>
        <w:ind w:left="0" w:firstLine="0"/>
        <w:rPr>
          <w:szCs w:val="22"/>
        </w:rPr>
      </w:pPr>
      <w:r>
        <w:rPr>
          <w:szCs w:val="22"/>
        </w:rPr>
        <w:t>November 2019</w:t>
      </w:r>
    </w:p>
    <w:p w14:paraId="59BDEBAD" w14:textId="41C281C1" w:rsidR="000E7A7C" w:rsidRPr="002C1513" w:rsidRDefault="000E7A7C" w:rsidP="009F1A3B">
      <w:pPr>
        <w:ind w:left="0" w:firstLine="0"/>
        <w:rPr>
          <w:szCs w:val="22"/>
        </w:rPr>
      </w:pPr>
    </w:p>
    <w:sectPr w:rsidR="000E7A7C" w:rsidRPr="002C1513" w:rsidSect="00D5164F">
      <w:headerReference w:type="default" r:id="rId10"/>
      <w:footerReference w:type="default" r:id="rId1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68167" w14:textId="77777777" w:rsidR="00421221" w:rsidRDefault="00421221" w:rsidP="00087FC8">
      <w:r>
        <w:separator/>
      </w:r>
    </w:p>
  </w:endnote>
  <w:endnote w:type="continuationSeparator" w:id="0">
    <w:p w14:paraId="30C75E67" w14:textId="77777777" w:rsidR="00421221" w:rsidRDefault="00421221" w:rsidP="00087FC8">
      <w:r>
        <w:continuationSeparator/>
      </w:r>
    </w:p>
  </w:endnote>
  <w:endnote w:type="continuationNotice" w:id="1">
    <w:p w14:paraId="51C07E37" w14:textId="77777777" w:rsidR="00421221" w:rsidRDefault="00421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631F5" w14:textId="5D8648D9" w:rsidR="00FA7149" w:rsidRDefault="00FA7149" w:rsidP="003C2CC8">
    <w:pPr>
      <w:pStyle w:val="Pta"/>
      <w:jc w:val="center"/>
    </w:pPr>
    <w:r w:rsidRPr="00376951">
      <w:rPr>
        <w:sz w:val="18"/>
        <w:szCs w:val="18"/>
      </w:rPr>
      <w:fldChar w:fldCharType="begin"/>
    </w:r>
    <w:r w:rsidRPr="00376951">
      <w:rPr>
        <w:sz w:val="18"/>
        <w:szCs w:val="18"/>
      </w:rPr>
      <w:instrText xml:space="preserve"> PAGE   \* MERGEFORMAT </w:instrText>
    </w:r>
    <w:r w:rsidRPr="00376951">
      <w:rPr>
        <w:sz w:val="18"/>
        <w:szCs w:val="18"/>
      </w:rPr>
      <w:fldChar w:fldCharType="separate"/>
    </w:r>
    <w:r w:rsidR="003C2CC8">
      <w:rPr>
        <w:noProof/>
        <w:sz w:val="18"/>
        <w:szCs w:val="18"/>
      </w:rPr>
      <w:t>16</w:t>
    </w:r>
    <w:r w:rsidRPr="0037695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238F6" w14:textId="77777777" w:rsidR="00421221" w:rsidRDefault="00421221" w:rsidP="00087FC8">
      <w:r>
        <w:separator/>
      </w:r>
    </w:p>
  </w:footnote>
  <w:footnote w:type="continuationSeparator" w:id="0">
    <w:p w14:paraId="5F04D369" w14:textId="77777777" w:rsidR="00421221" w:rsidRDefault="00421221" w:rsidP="00087FC8">
      <w:r>
        <w:continuationSeparator/>
      </w:r>
    </w:p>
  </w:footnote>
  <w:footnote w:type="continuationNotice" w:id="1">
    <w:p w14:paraId="6219CE69" w14:textId="77777777" w:rsidR="00421221" w:rsidRDefault="004212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A7CBD" w14:textId="785B317C" w:rsidR="00421221" w:rsidRDefault="00421221" w:rsidP="00421221">
    <w:pPr>
      <w:pStyle w:val="Hlavika"/>
    </w:pPr>
    <w:r>
      <w:rPr>
        <w:sz w:val="18"/>
        <w:szCs w:val="18"/>
      </w:rPr>
      <w:t xml:space="preserve">Príloha č. 1 k notifikácii o zmene, </w:t>
    </w:r>
    <w:r w:rsidR="00E53E8C">
      <w:rPr>
        <w:sz w:val="18"/>
        <w:szCs w:val="18"/>
      </w:rPr>
      <w:t>ev. č.: 2019/</w:t>
    </w:r>
    <w:proofErr w:type="spellStart"/>
    <w:r w:rsidR="00E53E8C">
      <w:rPr>
        <w:sz w:val="18"/>
        <w:szCs w:val="18"/>
      </w:rPr>
      <w:t>04543-Z1A</w:t>
    </w:r>
    <w:proofErr w:type="spellEnd"/>
  </w:p>
  <w:p w14:paraId="660731C0" w14:textId="5600CF88" w:rsidR="009F1A3B" w:rsidRDefault="009F1A3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1BE"/>
    <w:multiLevelType w:val="hybridMultilevel"/>
    <w:tmpl w:val="690AFED6"/>
    <w:lvl w:ilvl="0" w:tplc="378C54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5784"/>
    <w:multiLevelType w:val="hybridMultilevel"/>
    <w:tmpl w:val="62442AAA"/>
    <w:lvl w:ilvl="0" w:tplc="5644F1AE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8245674"/>
    <w:multiLevelType w:val="hybridMultilevel"/>
    <w:tmpl w:val="8280C72A"/>
    <w:lvl w:ilvl="0" w:tplc="A1107C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F5848"/>
    <w:multiLevelType w:val="hybridMultilevel"/>
    <w:tmpl w:val="0C92AEA0"/>
    <w:lvl w:ilvl="0" w:tplc="45E24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2D70B6"/>
    <w:multiLevelType w:val="hybridMultilevel"/>
    <w:tmpl w:val="2E20E080"/>
    <w:lvl w:ilvl="0" w:tplc="71CE90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77FAD"/>
    <w:multiLevelType w:val="hybridMultilevel"/>
    <w:tmpl w:val="B40A7106"/>
    <w:lvl w:ilvl="0" w:tplc="60C62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1977A7"/>
    <w:multiLevelType w:val="hybridMultilevel"/>
    <w:tmpl w:val="811EC208"/>
    <w:lvl w:ilvl="0" w:tplc="B87C1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0210E"/>
    <w:multiLevelType w:val="multilevel"/>
    <w:tmpl w:val="07DC0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B9B753A"/>
    <w:multiLevelType w:val="multilevel"/>
    <w:tmpl w:val="F600E44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F45E18"/>
    <w:multiLevelType w:val="multilevel"/>
    <w:tmpl w:val="07DC00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6"/>
  </w:num>
  <w:num w:numId="13">
    <w:abstractNumId w:val="7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ybochova, Silvia">
    <w15:presenceInfo w15:providerId="AD" w15:userId="S-1-5-21-329068152-854245398-839522115-1028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0270"/>
    <w:rsid w:val="00000093"/>
    <w:rsid w:val="00003C21"/>
    <w:rsid w:val="000156FC"/>
    <w:rsid w:val="0001779A"/>
    <w:rsid w:val="00017E0D"/>
    <w:rsid w:val="00023215"/>
    <w:rsid w:val="00024698"/>
    <w:rsid w:val="00025474"/>
    <w:rsid w:val="00026E0C"/>
    <w:rsid w:val="00026EAF"/>
    <w:rsid w:val="00031395"/>
    <w:rsid w:val="000351A9"/>
    <w:rsid w:val="00041661"/>
    <w:rsid w:val="00042BF5"/>
    <w:rsid w:val="00045312"/>
    <w:rsid w:val="00046CFC"/>
    <w:rsid w:val="000471C4"/>
    <w:rsid w:val="00050031"/>
    <w:rsid w:val="00050BEA"/>
    <w:rsid w:val="00052C71"/>
    <w:rsid w:val="000532A2"/>
    <w:rsid w:val="00053C50"/>
    <w:rsid w:val="0005403C"/>
    <w:rsid w:val="00057DC0"/>
    <w:rsid w:val="00065A28"/>
    <w:rsid w:val="00065CDB"/>
    <w:rsid w:val="000760A2"/>
    <w:rsid w:val="0008045A"/>
    <w:rsid w:val="00084492"/>
    <w:rsid w:val="000861F7"/>
    <w:rsid w:val="00086EF4"/>
    <w:rsid w:val="00087FC8"/>
    <w:rsid w:val="00097B70"/>
    <w:rsid w:val="000A125B"/>
    <w:rsid w:val="000A4E72"/>
    <w:rsid w:val="000B0821"/>
    <w:rsid w:val="000B0B4B"/>
    <w:rsid w:val="000B2BAF"/>
    <w:rsid w:val="000B3632"/>
    <w:rsid w:val="000B3F0D"/>
    <w:rsid w:val="000B4046"/>
    <w:rsid w:val="000B61C0"/>
    <w:rsid w:val="000C2C45"/>
    <w:rsid w:val="000C42D6"/>
    <w:rsid w:val="000C5A5E"/>
    <w:rsid w:val="000C5ABA"/>
    <w:rsid w:val="000C636C"/>
    <w:rsid w:val="000C649E"/>
    <w:rsid w:val="000D0440"/>
    <w:rsid w:val="000D0C89"/>
    <w:rsid w:val="000D422E"/>
    <w:rsid w:val="000D507C"/>
    <w:rsid w:val="000D6ED5"/>
    <w:rsid w:val="000E4BB1"/>
    <w:rsid w:val="000E65B7"/>
    <w:rsid w:val="000E7563"/>
    <w:rsid w:val="000E7A7C"/>
    <w:rsid w:val="000F3433"/>
    <w:rsid w:val="000F4A38"/>
    <w:rsid w:val="001001BF"/>
    <w:rsid w:val="0010561A"/>
    <w:rsid w:val="00105F53"/>
    <w:rsid w:val="00106836"/>
    <w:rsid w:val="001130AF"/>
    <w:rsid w:val="00113684"/>
    <w:rsid w:val="00113D7B"/>
    <w:rsid w:val="001140A4"/>
    <w:rsid w:val="00120BEF"/>
    <w:rsid w:val="001257D4"/>
    <w:rsid w:val="00127CA4"/>
    <w:rsid w:val="0013390D"/>
    <w:rsid w:val="00142118"/>
    <w:rsid w:val="00144679"/>
    <w:rsid w:val="00144B7A"/>
    <w:rsid w:val="00144C79"/>
    <w:rsid w:val="001520B5"/>
    <w:rsid w:val="00153247"/>
    <w:rsid w:val="00154361"/>
    <w:rsid w:val="0015474D"/>
    <w:rsid w:val="00155876"/>
    <w:rsid w:val="00155938"/>
    <w:rsid w:val="00172B0D"/>
    <w:rsid w:val="00173BED"/>
    <w:rsid w:val="00173FF1"/>
    <w:rsid w:val="0017551D"/>
    <w:rsid w:val="00183099"/>
    <w:rsid w:val="00184FCB"/>
    <w:rsid w:val="0018565C"/>
    <w:rsid w:val="00185BA0"/>
    <w:rsid w:val="0018624C"/>
    <w:rsid w:val="00194410"/>
    <w:rsid w:val="00195B16"/>
    <w:rsid w:val="001A4D4E"/>
    <w:rsid w:val="001A5201"/>
    <w:rsid w:val="001A55FF"/>
    <w:rsid w:val="001B2963"/>
    <w:rsid w:val="001C4807"/>
    <w:rsid w:val="001C597D"/>
    <w:rsid w:val="001C5F50"/>
    <w:rsid w:val="001D3BCE"/>
    <w:rsid w:val="001D65FF"/>
    <w:rsid w:val="001D7FCD"/>
    <w:rsid w:val="001E27AE"/>
    <w:rsid w:val="001E2CE0"/>
    <w:rsid w:val="001F2987"/>
    <w:rsid w:val="001F3B2D"/>
    <w:rsid w:val="001F41A0"/>
    <w:rsid w:val="001F773A"/>
    <w:rsid w:val="00204031"/>
    <w:rsid w:val="002066CC"/>
    <w:rsid w:val="00207689"/>
    <w:rsid w:val="00215A75"/>
    <w:rsid w:val="00216A95"/>
    <w:rsid w:val="00216DA6"/>
    <w:rsid w:val="0022350C"/>
    <w:rsid w:val="00226C01"/>
    <w:rsid w:val="00231034"/>
    <w:rsid w:val="00234ED5"/>
    <w:rsid w:val="002445D7"/>
    <w:rsid w:val="00254151"/>
    <w:rsid w:val="002577CF"/>
    <w:rsid w:val="002605CE"/>
    <w:rsid w:val="00261081"/>
    <w:rsid w:val="0026341F"/>
    <w:rsid w:val="002648DE"/>
    <w:rsid w:val="00264A0B"/>
    <w:rsid w:val="00274219"/>
    <w:rsid w:val="00274E46"/>
    <w:rsid w:val="00284C7B"/>
    <w:rsid w:val="0028659D"/>
    <w:rsid w:val="00293745"/>
    <w:rsid w:val="00295E91"/>
    <w:rsid w:val="002A01D8"/>
    <w:rsid w:val="002A2C05"/>
    <w:rsid w:val="002A4801"/>
    <w:rsid w:val="002A663F"/>
    <w:rsid w:val="002A6E0A"/>
    <w:rsid w:val="002B1848"/>
    <w:rsid w:val="002C03DC"/>
    <w:rsid w:val="002C1513"/>
    <w:rsid w:val="002C4214"/>
    <w:rsid w:val="002D193A"/>
    <w:rsid w:val="002E28E0"/>
    <w:rsid w:val="002E42EC"/>
    <w:rsid w:val="002E7A2E"/>
    <w:rsid w:val="002F0192"/>
    <w:rsid w:val="002F17B5"/>
    <w:rsid w:val="002F2198"/>
    <w:rsid w:val="002F63AC"/>
    <w:rsid w:val="00305619"/>
    <w:rsid w:val="0031503B"/>
    <w:rsid w:val="00317161"/>
    <w:rsid w:val="0032250D"/>
    <w:rsid w:val="00335131"/>
    <w:rsid w:val="00350A32"/>
    <w:rsid w:val="00351BE7"/>
    <w:rsid w:val="00354AE9"/>
    <w:rsid w:val="00355699"/>
    <w:rsid w:val="00357316"/>
    <w:rsid w:val="00361536"/>
    <w:rsid w:val="00363FEB"/>
    <w:rsid w:val="0036450F"/>
    <w:rsid w:val="00366753"/>
    <w:rsid w:val="00370B8F"/>
    <w:rsid w:val="003753D1"/>
    <w:rsid w:val="00376951"/>
    <w:rsid w:val="003800D4"/>
    <w:rsid w:val="00380979"/>
    <w:rsid w:val="0038456F"/>
    <w:rsid w:val="00387ED6"/>
    <w:rsid w:val="00393F88"/>
    <w:rsid w:val="00397D85"/>
    <w:rsid w:val="003A12C1"/>
    <w:rsid w:val="003A4C6B"/>
    <w:rsid w:val="003A5C0E"/>
    <w:rsid w:val="003A65F1"/>
    <w:rsid w:val="003A6CB0"/>
    <w:rsid w:val="003B25AF"/>
    <w:rsid w:val="003B2892"/>
    <w:rsid w:val="003B57B3"/>
    <w:rsid w:val="003B5A18"/>
    <w:rsid w:val="003B6A9D"/>
    <w:rsid w:val="003C1D32"/>
    <w:rsid w:val="003C299E"/>
    <w:rsid w:val="003C2CC8"/>
    <w:rsid w:val="003C4515"/>
    <w:rsid w:val="003C7A5A"/>
    <w:rsid w:val="003D0A2D"/>
    <w:rsid w:val="003D4F19"/>
    <w:rsid w:val="003D5FE8"/>
    <w:rsid w:val="003D6F43"/>
    <w:rsid w:val="003E11B0"/>
    <w:rsid w:val="003E4D95"/>
    <w:rsid w:val="003E6B38"/>
    <w:rsid w:val="003F03AB"/>
    <w:rsid w:val="003F112C"/>
    <w:rsid w:val="003F32C2"/>
    <w:rsid w:val="003F388B"/>
    <w:rsid w:val="003F55A9"/>
    <w:rsid w:val="003F5B66"/>
    <w:rsid w:val="004022F5"/>
    <w:rsid w:val="00414FCB"/>
    <w:rsid w:val="00420270"/>
    <w:rsid w:val="00421221"/>
    <w:rsid w:val="0042449F"/>
    <w:rsid w:val="00424FBE"/>
    <w:rsid w:val="004345EA"/>
    <w:rsid w:val="004413C4"/>
    <w:rsid w:val="00445FE7"/>
    <w:rsid w:val="00451912"/>
    <w:rsid w:val="00451B56"/>
    <w:rsid w:val="004536E5"/>
    <w:rsid w:val="00455EB3"/>
    <w:rsid w:val="004621AB"/>
    <w:rsid w:val="00462938"/>
    <w:rsid w:val="00462AEE"/>
    <w:rsid w:val="00463306"/>
    <w:rsid w:val="004654CB"/>
    <w:rsid w:val="0046591C"/>
    <w:rsid w:val="004667FA"/>
    <w:rsid w:val="0047086D"/>
    <w:rsid w:val="004735BB"/>
    <w:rsid w:val="00475E64"/>
    <w:rsid w:val="00477D8B"/>
    <w:rsid w:val="004863BF"/>
    <w:rsid w:val="00487F64"/>
    <w:rsid w:val="00495D63"/>
    <w:rsid w:val="00497C3B"/>
    <w:rsid w:val="00497EB1"/>
    <w:rsid w:val="004A13EC"/>
    <w:rsid w:val="004A1E6D"/>
    <w:rsid w:val="004A3BDB"/>
    <w:rsid w:val="004A58B7"/>
    <w:rsid w:val="004B1A11"/>
    <w:rsid w:val="004B2417"/>
    <w:rsid w:val="004B6AEB"/>
    <w:rsid w:val="004C1D7E"/>
    <w:rsid w:val="004C6EF8"/>
    <w:rsid w:val="004C718A"/>
    <w:rsid w:val="004D01AE"/>
    <w:rsid w:val="004D3E2F"/>
    <w:rsid w:val="004D7AAB"/>
    <w:rsid w:val="004E27A0"/>
    <w:rsid w:val="004E58CE"/>
    <w:rsid w:val="004E5A93"/>
    <w:rsid w:val="004F1E81"/>
    <w:rsid w:val="004F41CC"/>
    <w:rsid w:val="004F7081"/>
    <w:rsid w:val="00500C0B"/>
    <w:rsid w:val="00501F06"/>
    <w:rsid w:val="00505729"/>
    <w:rsid w:val="00512679"/>
    <w:rsid w:val="005148EE"/>
    <w:rsid w:val="005221E0"/>
    <w:rsid w:val="005258CF"/>
    <w:rsid w:val="00527DED"/>
    <w:rsid w:val="00527F53"/>
    <w:rsid w:val="00530592"/>
    <w:rsid w:val="00536511"/>
    <w:rsid w:val="005403D6"/>
    <w:rsid w:val="00542B8B"/>
    <w:rsid w:val="00542F79"/>
    <w:rsid w:val="0054690E"/>
    <w:rsid w:val="00546CD2"/>
    <w:rsid w:val="005506C9"/>
    <w:rsid w:val="00550CEB"/>
    <w:rsid w:val="005523D8"/>
    <w:rsid w:val="00555D28"/>
    <w:rsid w:val="0056483E"/>
    <w:rsid w:val="00566D8E"/>
    <w:rsid w:val="00582AE5"/>
    <w:rsid w:val="00582D90"/>
    <w:rsid w:val="00586FD5"/>
    <w:rsid w:val="00592B8A"/>
    <w:rsid w:val="005942E1"/>
    <w:rsid w:val="005952B7"/>
    <w:rsid w:val="005952F5"/>
    <w:rsid w:val="0059589D"/>
    <w:rsid w:val="00595BDB"/>
    <w:rsid w:val="00597456"/>
    <w:rsid w:val="00597F99"/>
    <w:rsid w:val="005A125A"/>
    <w:rsid w:val="005A154B"/>
    <w:rsid w:val="005B3307"/>
    <w:rsid w:val="005B5F93"/>
    <w:rsid w:val="005C05E6"/>
    <w:rsid w:val="005C2D3A"/>
    <w:rsid w:val="005C43FB"/>
    <w:rsid w:val="005C5CD2"/>
    <w:rsid w:val="005C76BA"/>
    <w:rsid w:val="005D42AF"/>
    <w:rsid w:val="005D7DDE"/>
    <w:rsid w:val="005D7FF4"/>
    <w:rsid w:val="005E0A4F"/>
    <w:rsid w:val="005E1AFE"/>
    <w:rsid w:val="005E30B5"/>
    <w:rsid w:val="005E7116"/>
    <w:rsid w:val="005F1219"/>
    <w:rsid w:val="005F16BC"/>
    <w:rsid w:val="005F3F8D"/>
    <w:rsid w:val="006015FD"/>
    <w:rsid w:val="00605A04"/>
    <w:rsid w:val="00607FA4"/>
    <w:rsid w:val="00610578"/>
    <w:rsid w:val="00610650"/>
    <w:rsid w:val="006124AE"/>
    <w:rsid w:val="006134AD"/>
    <w:rsid w:val="00614701"/>
    <w:rsid w:val="00615F91"/>
    <w:rsid w:val="00616BAC"/>
    <w:rsid w:val="006217F9"/>
    <w:rsid w:val="0063111C"/>
    <w:rsid w:val="00636C42"/>
    <w:rsid w:val="00642A26"/>
    <w:rsid w:val="00643331"/>
    <w:rsid w:val="00647AFA"/>
    <w:rsid w:val="00660F45"/>
    <w:rsid w:val="00665AB2"/>
    <w:rsid w:val="00667062"/>
    <w:rsid w:val="006675BC"/>
    <w:rsid w:val="00667DBF"/>
    <w:rsid w:val="006703B2"/>
    <w:rsid w:val="00673FAE"/>
    <w:rsid w:val="006755F2"/>
    <w:rsid w:val="00676009"/>
    <w:rsid w:val="00676CF2"/>
    <w:rsid w:val="00676E91"/>
    <w:rsid w:val="0068042A"/>
    <w:rsid w:val="006811DD"/>
    <w:rsid w:val="00684ACF"/>
    <w:rsid w:val="00685635"/>
    <w:rsid w:val="0068577B"/>
    <w:rsid w:val="006863FF"/>
    <w:rsid w:val="00691FB1"/>
    <w:rsid w:val="00694A5F"/>
    <w:rsid w:val="00695B9E"/>
    <w:rsid w:val="006A164A"/>
    <w:rsid w:val="006A24D9"/>
    <w:rsid w:val="006A37D6"/>
    <w:rsid w:val="006A434E"/>
    <w:rsid w:val="006B04A8"/>
    <w:rsid w:val="006B1BC4"/>
    <w:rsid w:val="006B5BF2"/>
    <w:rsid w:val="006B6E21"/>
    <w:rsid w:val="006B7136"/>
    <w:rsid w:val="006B73E9"/>
    <w:rsid w:val="006C04D0"/>
    <w:rsid w:val="006C0794"/>
    <w:rsid w:val="006C3A89"/>
    <w:rsid w:val="006C6348"/>
    <w:rsid w:val="006C7277"/>
    <w:rsid w:val="006C7292"/>
    <w:rsid w:val="006D2018"/>
    <w:rsid w:val="006D6BBD"/>
    <w:rsid w:val="006D70C4"/>
    <w:rsid w:val="006D7A3E"/>
    <w:rsid w:val="006E258A"/>
    <w:rsid w:val="006E2C2E"/>
    <w:rsid w:val="006E33A9"/>
    <w:rsid w:val="006E6E10"/>
    <w:rsid w:val="006F311A"/>
    <w:rsid w:val="006F3C5C"/>
    <w:rsid w:val="006F4D4B"/>
    <w:rsid w:val="007008BD"/>
    <w:rsid w:val="00702191"/>
    <w:rsid w:val="00703F0F"/>
    <w:rsid w:val="0070556B"/>
    <w:rsid w:val="00717430"/>
    <w:rsid w:val="00720EF7"/>
    <w:rsid w:val="007271E2"/>
    <w:rsid w:val="00730431"/>
    <w:rsid w:val="007310E4"/>
    <w:rsid w:val="00733F04"/>
    <w:rsid w:val="00734386"/>
    <w:rsid w:val="00734920"/>
    <w:rsid w:val="0073629E"/>
    <w:rsid w:val="0073630A"/>
    <w:rsid w:val="00737A09"/>
    <w:rsid w:val="007408D3"/>
    <w:rsid w:val="00740B0B"/>
    <w:rsid w:val="00747DAA"/>
    <w:rsid w:val="007562EB"/>
    <w:rsid w:val="007574B3"/>
    <w:rsid w:val="00765292"/>
    <w:rsid w:val="00772011"/>
    <w:rsid w:val="0077229A"/>
    <w:rsid w:val="00772487"/>
    <w:rsid w:val="007735BF"/>
    <w:rsid w:val="007769D0"/>
    <w:rsid w:val="00777D9C"/>
    <w:rsid w:val="00780760"/>
    <w:rsid w:val="00783B26"/>
    <w:rsid w:val="00786C18"/>
    <w:rsid w:val="00787894"/>
    <w:rsid w:val="00791CAF"/>
    <w:rsid w:val="00792056"/>
    <w:rsid w:val="00792AA2"/>
    <w:rsid w:val="007964F4"/>
    <w:rsid w:val="00796A66"/>
    <w:rsid w:val="007A1203"/>
    <w:rsid w:val="007A1793"/>
    <w:rsid w:val="007A732C"/>
    <w:rsid w:val="007B053F"/>
    <w:rsid w:val="007B0633"/>
    <w:rsid w:val="007B2415"/>
    <w:rsid w:val="007B4424"/>
    <w:rsid w:val="007B4514"/>
    <w:rsid w:val="007B5F71"/>
    <w:rsid w:val="007B7733"/>
    <w:rsid w:val="007C0808"/>
    <w:rsid w:val="007C11C8"/>
    <w:rsid w:val="007C2793"/>
    <w:rsid w:val="007C5691"/>
    <w:rsid w:val="007D2110"/>
    <w:rsid w:val="007D41A5"/>
    <w:rsid w:val="007D5C88"/>
    <w:rsid w:val="007D64E1"/>
    <w:rsid w:val="007D69AF"/>
    <w:rsid w:val="007E5256"/>
    <w:rsid w:val="00803FE3"/>
    <w:rsid w:val="00804E5F"/>
    <w:rsid w:val="00806C9E"/>
    <w:rsid w:val="00810ABE"/>
    <w:rsid w:val="00810BCC"/>
    <w:rsid w:val="008110C3"/>
    <w:rsid w:val="0081580B"/>
    <w:rsid w:val="00817BF7"/>
    <w:rsid w:val="0082242D"/>
    <w:rsid w:val="00832317"/>
    <w:rsid w:val="00832501"/>
    <w:rsid w:val="008355C7"/>
    <w:rsid w:val="008477DA"/>
    <w:rsid w:val="008552ED"/>
    <w:rsid w:val="00855FD2"/>
    <w:rsid w:val="00861E89"/>
    <w:rsid w:val="00864610"/>
    <w:rsid w:val="0087067F"/>
    <w:rsid w:val="00871BA0"/>
    <w:rsid w:val="00871E65"/>
    <w:rsid w:val="00873830"/>
    <w:rsid w:val="00877484"/>
    <w:rsid w:val="008922FB"/>
    <w:rsid w:val="00892D07"/>
    <w:rsid w:val="00893563"/>
    <w:rsid w:val="00894980"/>
    <w:rsid w:val="008A6476"/>
    <w:rsid w:val="008B535F"/>
    <w:rsid w:val="008B5655"/>
    <w:rsid w:val="008B6707"/>
    <w:rsid w:val="008C1E56"/>
    <w:rsid w:val="008C4B34"/>
    <w:rsid w:val="008C4B7A"/>
    <w:rsid w:val="008D0FF8"/>
    <w:rsid w:val="008D2225"/>
    <w:rsid w:val="008D2A98"/>
    <w:rsid w:val="008E05AF"/>
    <w:rsid w:val="008E24BC"/>
    <w:rsid w:val="008E2AF2"/>
    <w:rsid w:val="008E3188"/>
    <w:rsid w:val="008E47FE"/>
    <w:rsid w:val="008E5A25"/>
    <w:rsid w:val="008F0A80"/>
    <w:rsid w:val="008F1B44"/>
    <w:rsid w:val="008F4BD5"/>
    <w:rsid w:val="008F7F70"/>
    <w:rsid w:val="0090359D"/>
    <w:rsid w:val="0090481F"/>
    <w:rsid w:val="00904B6F"/>
    <w:rsid w:val="00910776"/>
    <w:rsid w:val="0091085B"/>
    <w:rsid w:val="00911046"/>
    <w:rsid w:val="00912532"/>
    <w:rsid w:val="0091273F"/>
    <w:rsid w:val="009162B8"/>
    <w:rsid w:val="00920419"/>
    <w:rsid w:val="009215D7"/>
    <w:rsid w:val="00921722"/>
    <w:rsid w:val="00926903"/>
    <w:rsid w:val="00927DFF"/>
    <w:rsid w:val="00931DC6"/>
    <w:rsid w:val="00934F87"/>
    <w:rsid w:val="009365C5"/>
    <w:rsid w:val="00940A5D"/>
    <w:rsid w:val="009419A3"/>
    <w:rsid w:val="009430BB"/>
    <w:rsid w:val="00945AAF"/>
    <w:rsid w:val="009472AF"/>
    <w:rsid w:val="0094744E"/>
    <w:rsid w:val="0094751F"/>
    <w:rsid w:val="00951F28"/>
    <w:rsid w:val="009528CD"/>
    <w:rsid w:val="00952B3E"/>
    <w:rsid w:val="0095562B"/>
    <w:rsid w:val="009560AC"/>
    <w:rsid w:val="00961106"/>
    <w:rsid w:val="009708A6"/>
    <w:rsid w:val="0097452B"/>
    <w:rsid w:val="00975E98"/>
    <w:rsid w:val="009810E9"/>
    <w:rsid w:val="00981814"/>
    <w:rsid w:val="00983F29"/>
    <w:rsid w:val="00984680"/>
    <w:rsid w:val="009875FD"/>
    <w:rsid w:val="00990658"/>
    <w:rsid w:val="00990F68"/>
    <w:rsid w:val="009932CE"/>
    <w:rsid w:val="0099431A"/>
    <w:rsid w:val="009952AB"/>
    <w:rsid w:val="0099633E"/>
    <w:rsid w:val="009A0EA2"/>
    <w:rsid w:val="009A5334"/>
    <w:rsid w:val="009A58E5"/>
    <w:rsid w:val="009A5B58"/>
    <w:rsid w:val="009A7134"/>
    <w:rsid w:val="009A7C19"/>
    <w:rsid w:val="009B0F24"/>
    <w:rsid w:val="009B31BC"/>
    <w:rsid w:val="009B4EC8"/>
    <w:rsid w:val="009B6C53"/>
    <w:rsid w:val="009C2508"/>
    <w:rsid w:val="009C26E8"/>
    <w:rsid w:val="009C392D"/>
    <w:rsid w:val="009C61B2"/>
    <w:rsid w:val="009C6D51"/>
    <w:rsid w:val="009C6D74"/>
    <w:rsid w:val="009D3920"/>
    <w:rsid w:val="009E359D"/>
    <w:rsid w:val="009E37FC"/>
    <w:rsid w:val="009E7F96"/>
    <w:rsid w:val="009F1A3B"/>
    <w:rsid w:val="009F263C"/>
    <w:rsid w:val="009F4888"/>
    <w:rsid w:val="00A040C6"/>
    <w:rsid w:val="00A05D0F"/>
    <w:rsid w:val="00A0788E"/>
    <w:rsid w:val="00A117F3"/>
    <w:rsid w:val="00A15133"/>
    <w:rsid w:val="00A25D96"/>
    <w:rsid w:val="00A41739"/>
    <w:rsid w:val="00A43F30"/>
    <w:rsid w:val="00A45667"/>
    <w:rsid w:val="00A4587E"/>
    <w:rsid w:val="00A4782C"/>
    <w:rsid w:val="00A47AAB"/>
    <w:rsid w:val="00A47E1E"/>
    <w:rsid w:val="00A515A2"/>
    <w:rsid w:val="00A5600C"/>
    <w:rsid w:val="00A576C4"/>
    <w:rsid w:val="00A57E09"/>
    <w:rsid w:val="00A61D0D"/>
    <w:rsid w:val="00A62C56"/>
    <w:rsid w:val="00A63A1F"/>
    <w:rsid w:val="00A63BA7"/>
    <w:rsid w:val="00A66463"/>
    <w:rsid w:val="00A7017F"/>
    <w:rsid w:val="00A86E31"/>
    <w:rsid w:val="00A87F2F"/>
    <w:rsid w:val="00A9118B"/>
    <w:rsid w:val="00AA12FF"/>
    <w:rsid w:val="00AA3069"/>
    <w:rsid w:val="00AA3F46"/>
    <w:rsid w:val="00AA457A"/>
    <w:rsid w:val="00AA47B7"/>
    <w:rsid w:val="00AA4815"/>
    <w:rsid w:val="00AA497D"/>
    <w:rsid w:val="00AA50FD"/>
    <w:rsid w:val="00AA6F42"/>
    <w:rsid w:val="00AB2049"/>
    <w:rsid w:val="00AB23C7"/>
    <w:rsid w:val="00AB4459"/>
    <w:rsid w:val="00AB53CC"/>
    <w:rsid w:val="00AB54D9"/>
    <w:rsid w:val="00AB5646"/>
    <w:rsid w:val="00AB6A79"/>
    <w:rsid w:val="00AC38F9"/>
    <w:rsid w:val="00AC3CDB"/>
    <w:rsid w:val="00AC5D34"/>
    <w:rsid w:val="00AC7722"/>
    <w:rsid w:val="00AE287B"/>
    <w:rsid w:val="00AE3464"/>
    <w:rsid w:val="00AE4E01"/>
    <w:rsid w:val="00AE7276"/>
    <w:rsid w:val="00AF35C3"/>
    <w:rsid w:val="00AF7E58"/>
    <w:rsid w:val="00B0092D"/>
    <w:rsid w:val="00B04245"/>
    <w:rsid w:val="00B04CD2"/>
    <w:rsid w:val="00B05528"/>
    <w:rsid w:val="00B059CE"/>
    <w:rsid w:val="00B0613F"/>
    <w:rsid w:val="00B0747F"/>
    <w:rsid w:val="00B145E9"/>
    <w:rsid w:val="00B17B41"/>
    <w:rsid w:val="00B204EA"/>
    <w:rsid w:val="00B223E1"/>
    <w:rsid w:val="00B22DFA"/>
    <w:rsid w:val="00B32BD7"/>
    <w:rsid w:val="00B33E74"/>
    <w:rsid w:val="00B35B2A"/>
    <w:rsid w:val="00B362EE"/>
    <w:rsid w:val="00B37468"/>
    <w:rsid w:val="00B4050A"/>
    <w:rsid w:val="00B41923"/>
    <w:rsid w:val="00B461CD"/>
    <w:rsid w:val="00B46EF2"/>
    <w:rsid w:val="00B55B48"/>
    <w:rsid w:val="00B56BFE"/>
    <w:rsid w:val="00B57063"/>
    <w:rsid w:val="00B72C2F"/>
    <w:rsid w:val="00B73271"/>
    <w:rsid w:val="00B73DC0"/>
    <w:rsid w:val="00B7408C"/>
    <w:rsid w:val="00B74FFA"/>
    <w:rsid w:val="00B75BBF"/>
    <w:rsid w:val="00B80E09"/>
    <w:rsid w:val="00B84815"/>
    <w:rsid w:val="00B86A28"/>
    <w:rsid w:val="00B87797"/>
    <w:rsid w:val="00B9401A"/>
    <w:rsid w:val="00B945AE"/>
    <w:rsid w:val="00B9602C"/>
    <w:rsid w:val="00B978B8"/>
    <w:rsid w:val="00BA14FD"/>
    <w:rsid w:val="00BA2208"/>
    <w:rsid w:val="00BA2AD6"/>
    <w:rsid w:val="00BA42B6"/>
    <w:rsid w:val="00BA5D0E"/>
    <w:rsid w:val="00BB0F98"/>
    <w:rsid w:val="00BB4BF1"/>
    <w:rsid w:val="00BB4EA5"/>
    <w:rsid w:val="00BB74A3"/>
    <w:rsid w:val="00BC653A"/>
    <w:rsid w:val="00BC73CF"/>
    <w:rsid w:val="00BD1CBA"/>
    <w:rsid w:val="00BD1F68"/>
    <w:rsid w:val="00BD21B9"/>
    <w:rsid w:val="00BD29A8"/>
    <w:rsid w:val="00BD4A74"/>
    <w:rsid w:val="00BE1989"/>
    <w:rsid w:val="00BE318D"/>
    <w:rsid w:val="00BE4209"/>
    <w:rsid w:val="00BE4E9B"/>
    <w:rsid w:val="00BF09BE"/>
    <w:rsid w:val="00BF2CF8"/>
    <w:rsid w:val="00BF3E18"/>
    <w:rsid w:val="00BF5E1C"/>
    <w:rsid w:val="00BF70F6"/>
    <w:rsid w:val="00C03160"/>
    <w:rsid w:val="00C06293"/>
    <w:rsid w:val="00C100E1"/>
    <w:rsid w:val="00C1079D"/>
    <w:rsid w:val="00C163AA"/>
    <w:rsid w:val="00C17E87"/>
    <w:rsid w:val="00C2373E"/>
    <w:rsid w:val="00C23BCE"/>
    <w:rsid w:val="00C25D7B"/>
    <w:rsid w:val="00C3027F"/>
    <w:rsid w:val="00C4108C"/>
    <w:rsid w:val="00C422E0"/>
    <w:rsid w:val="00C459B5"/>
    <w:rsid w:val="00C466F2"/>
    <w:rsid w:val="00C4778A"/>
    <w:rsid w:val="00C531CB"/>
    <w:rsid w:val="00C62B27"/>
    <w:rsid w:val="00C62BA4"/>
    <w:rsid w:val="00C6419A"/>
    <w:rsid w:val="00C702BA"/>
    <w:rsid w:val="00C73292"/>
    <w:rsid w:val="00C73810"/>
    <w:rsid w:val="00C76849"/>
    <w:rsid w:val="00C8105A"/>
    <w:rsid w:val="00C82C0A"/>
    <w:rsid w:val="00C85DAB"/>
    <w:rsid w:val="00C870EE"/>
    <w:rsid w:val="00C87F49"/>
    <w:rsid w:val="00C939DD"/>
    <w:rsid w:val="00C96ECB"/>
    <w:rsid w:val="00CA049D"/>
    <w:rsid w:val="00CA3214"/>
    <w:rsid w:val="00CA3302"/>
    <w:rsid w:val="00CA519E"/>
    <w:rsid w:val="00CB02ED"/>
    <w:rsid w:val="00CB0F1F"/>
    <w:rsid w:val="00CB1270"/>
    <w:rsid w:val="00CB2B73"/>
    <w:rsid w:val="00CB5A6D"/>
    <w:rsid w:val="00CB77D3"/>
    <w:rsid w:val="00CC01F7"/>
    <w:rsid w:val="00CD0D8F"/>
    <w:rsid w:val="00CD14EE"/>
    <w:rsid w:val="00CD16B7"/>
    <w:rsid w:val="00CD610F"/>
    <w:rsid w:val="00CE091A"/>
    <w:rsid w:val="00CF24D5"/>
    <w:rsid w:val="00CF47DE"/>
    <w:rsid w:val="00CF6190"/>
    <w:rsid w:val="00CF7750"/>
    <w:rsid w:val="00D00486"/>
    <w:rsid w:val="00D004EB"/>
    <w:rsid w:val="00D05C48"/>
    <w:rsid w:val="00D121CA"/>
    <w:rsid w:val="00D217AB"/>
    <w:rsid w:val="00D233EB"/>
    <w:rsid w:val="00D25A76"/>
    <w:rsid w:val="00D3088F"/>
    <w:rsid w:val="00D31EDE"/>
    <w:rsid w:val="00D419A9"/>
    <w:rsid w:val="00D42E0A"/>
    <w:rsid w:val="00D43659"/>
    <w:rsid w:val="00D43F72"/>
    <w:rsid w:val="00D4661E"/>
    <w:rsid w:val="00D46837"/>
    <w:rsid w:val="00D47C85"/>
    <w:rsid w:val="00D51436"/>
    <w:rsid w:val="00D5164F"/>
    <w:rsid w:val="00D516CA"/>
    <w:rsid w:val="00D5325B"/>
    <w:rsid w:val="00D533CF"/>
    <w:rsid w:val="00D53942"/>
    <w:rsid w:val="00D53997"/>
    <w:rsid w:val="00D544D3"/>
    <w:rsid w:val="00D55E63"/>
    <w:rsid w:val="00D62768"/>
    <w:rsid w:val="00D63B2C"/>
    <w:rsid w:val="00D700D4"/>
    <w:rsid w:val="00D76886"/>
    <w:rsid w:val="00D77E14"/>
    <w:rsid w:val="00D8139E"/>
    <w:rsid w:val="00D834E2"/>
    <w:rsid w:val="00D83A31"/>
    <w:rsid w:val="00D83D06"/>
    <w:rsid w:val="00D8492B"/>
    <w:rsid w:val="00D864BD"/>
    <w:rsid w:val="00D97DF9"/>
    <w:rsid w:val="00D97EA3"/>
    <w:rsid w:val="00DA1296"/>
    <w:rsid w:val="00DA3D49"/>
    <w:rsid w:val="00DA4476"/>
    <w:rsid w:val="00DB1A62"/>
    <w:rsid w:val="00DB35E3"/>
    <w:rsid w:val="00DB62E5"/>
    <w:rsid w:val="00DB7D71"/>
    <w:rsid w:val="00DC7F5A"/>
    <w:rsid w:val="00DD22AA"/>
    <w:rsid w:val="00DD64E1"/>
    <w:rsid w:val="00DE0E96"/>
    <w:rsid w:val="00DE2DE1"/>
    <w:rsid w:val="00DE48BB"/>
    <w:rsid w:val="00DE5338"/>
    <w:rsid w:val="00DF07A9"/>
    <w:rsid w:val="00DF4475"/>
    <w:rsid w:val="00E01C08"/>
    <w:rsid w:val="00E1157D"/>
    <w:rsid w:val="00E15050"/>
    <w:rsid w:val="00E15B67"/>
    <w:rsid w:val="00E15E7D"/>
    <w:rsid w:val="00E17BDD"/>
    <w:rsid w:val="00E20651"/>
    <w:rsid w:val="00E21799"/>
    <w:rsid w:val="00E220BD"/>
    <w:rsid w:val="00E227DC"/>
    <w:rsid w:val="00E231FF"/>
    <w:rsid w:val="00E32D14"/>
    <w:rsid w:val="00E3311C"/>
    <w:rsid w:val="00E374D3"/>
    <w:rsid w:val="00E4055F"/>
    <w:rsid w:val="00E41D1F"/>
    <w:rsid w:val="00E5054E"/>
    <w:rsid w:val="00E53E8C"/>
    <w:rsid w:val="00E569BF"/>
    <w:rsid w:val="00E619E9"/>
    <w:rsid w:val="00E66205"/>
    <w:rsid w:val="00E71535"/>
    <w:rsid w:val="00E77BC1"/>
    <w:rsid w:val="00E949C8"/>
    <w:rsid w:val="00EA2A19"/>
    <w:rsid w:val="00EA5065"/>
    <w:rsid w:val="00EA7506"/>
    <w:rsid w:val="00EB070F"/>
    <w:rsid w:val="00EB45A3"/>
    <w:rsid w:val="00EB478A"/>
    <w:rsid w:val="00EC07D3"/>
    <w:rsid w:val="00EC1913"/>
    <w:rsid w:val="00EC1C47"/>
    <w:rsid w:val="00EC1D18"/>
    <w:rsid w:val="00EC4EA1"/>
    <w:rsid w:val="00EC74EE"/>
    <w:rsid w:val="00EC7797"/>
    <w:rsid w:val="00ED4F8C"/>
    <w:rsid w:val="00EE16C5"/>
    <w:rsid w:val="00EE6E61"/>
    <w:rsid w:val="00EF61FA"/>
    <w:rsid w:val="00F02CA9"/>
    <w:rsid w:val="00F04DBA"/>
    <w:rsid w:val="00F05265"/>
    <w:rsid w:val="00F1068B"/>
    <w:rsid w:val="00F16A2A"/>
    <w:rsid w:val="00F177F1"/>
    <w:rsid w:val="00F30D51"/>
    <w:rsid w:val="00F34CCC"/>
    <w:rsid w:val="00F362A4"/>
    <w:rsid w:val="00F375CB"/>
    <w:rsid w:val="00F400D9"/>
    <w:rsid w:val="00F4143C"/>
    <w:rsid w:val="00F41D6A"/>
    <w:rsid w:val="00F426D1"/>
    <w:rsid w:val="00F47225"/>
    <w:rsid w:val="00F53BEA"/>
    <w:rsid w:val="00F56190"/>
    <w:rsid w:val="00F56BCF"/>
    <w:rsid w:val="00F66F9E"/>
    <w:rsid w:val="00F67358"/>
    <w:rsid w:val="00F70C8E"/>
    <w:rsid w:val="00F72769"/>
    <w:rsid w:val="00F84758"/>
    <w:rsid w:val="00F85583"/>
    <w:rsid w:val="00F85D70"/>
    <w:rsid w:val="00F91CCF"/>
    <w:rsid w:val="00F95AC8"/>
    <w:rsid w:val="00F97D7C"/>
    <w:rsid w:val="00FA32A9"/>
    <w:rsid w:val="00FA451D"/>
    <w:rsid w:val="00FA47F4"/>
    <w:rsid w:val="00FA521C"/>
    <w:rsid w:val="00FA626B"/>
    <w:rsid w:val="00FA7149"/>
    <w:rsid w:val="00FB2465"/>
    <w:rsid w:val="00FC130F"/>
    <w:rsid w:val="00FC13D4"/>
    <w:rsid w:val="00FC22BC"/>
    <w:rsid w:val="00FC5D63"/>
    <w:rsid w:val="00FD09B2"/>
    <w:rsid w:val="00FD1C92"/>
    <w:rsid w:val="00FD48C2"/>
    <w:rsid w:val="00FD5138"/>
    <w:rsid w:val="00FD7AFC"/>
    <w:rsid w:val="00FE5B90"/>
    <w:rsid w:val="00FF1DD1"/>
    <w:rsid w:val="00FF5802"/>
    <w:rsid w:val="00FF65E5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4F0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BE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506C9"/>
    <w:pPr>
      <w:keepNext/>
      <w:ind w:left="0" w:firstLine="0"/>
      <w:outlineLvl w:val="0"/>
    </w:pPr>
    <w:rPr>
      <w:b/>
      <w:bCs/>
      <w:i/>
      <w:iCs/>
      <w:sz w:val="24"/>
      <w:u w:val="single"/>
    </w:rPr>
  </w:style>
  <w:style w:type="paragraph" w:styleId="Nadpis3">
    <w:name w:val="heading 3"/>
    <w:basedOn w:val="Normlny"/>
    <w:next w:val="Normlny"/>
    <w:link w:val="Nadpis3Char"/>
    <w:uiPriority w:val="9"/>
    <w:qFormat/>
    <w:rsid w:val="00566D8E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1E2CE0"/>
    <w:pPr>
      <w:keepNext/>
      <w:spacing w:before="240" w:after="60"/>
      <w:outlineLvl w:val="3"/>
    </w:pPr>
    <w:rPr>
      <w:rFonts w:ascii="Calibri" w:eastAsia="SimSu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1E2CE0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1E2CE0"/>
    <w:pPr>
      <w:spacing w:before="240" w:after="60"/>
      <w:outlineLvl w:val="5"/>
    </w:pPr>
    <w:rPr>
      <w:rFonts w:ascii="Calibri" w:eastAsia="SimSun" w:hAnsi="Calibri"/>
      <w:b/>
      <w:bCs/>
      <w:szCs w:val="22"/>
    </w:rPr>
  </w:style>
  <w:style w:type="paragraph" w:styleId="Nadpis8">
    <w:name w:val="heading 8"/>
    <w:basedOn w:val="Normlny"/>
    <w:next w:val="Normlny"/>
    <w:link w:val="Nadpis8Char"/>
    <w:uiPriority w:val="9"/>
    <w:qFormat/>
    <w:rsid w:val="001E2CE0"/>
    <w:pPr>
      <w:spacing w:before="240" w:after="60"/>
      <w:outlineLvl w:val="7"/>
    </w:pPr>
    <w:rPr>
      <w:rFonts w:ascii="Calibri" w:eastAsia="SimSun" w:hAnsi="Calibri"/>
      <w:i/>
      <w:iCs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1E2CE0"/>
    <w:pPr>
      <w:spacing w:before="240" w:after="60"/>
      <w:outlineLvl w:val="8"/>
    </w:pPr>
    <w:rPr>
      <w:rFonts w:ascii="Cambria" w:eastAsia="SimSun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F6BE0"/>
    <w:rPr>
      <w:color w:val="0000FF"/>
      <w:u w:val="single"/>
    </w:rPr>
  </w:style>
  <w:style w:type="paragraph" w:styleId="Zkladntext">
    <w:name w:val="Body Text"/>
    <w:basedOn w:val="Normlny"/>
    <w:rsid w:val="00FF6BE0"/>
    <w:pPr>
      <w:ind w:left="0" w:firstLine="0"/>
    </w:pPr>
  </w:style>
  <w:style w:type="paragraph" w:customStyle="1" w:styleId="EMEAEnBodyText">
    <w:name w:val="EMEA En Body Text"/>
    <w:basedOn w:val="Normlny"/>
    <w:rsid w:val="00FF6B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sid w:val="00D217AB"/>
    <w:rPr>
      <w:sz w:val="16"/>
      <w:szCs w:val="16"/>
    </w:rPr>
  </w:style>
  <w:style w:type="paragraph" w:styleId="Textkomentra">
    <w:name w:val="annotation text"/>
    <w:basedOn w:val="Normlny"/>
    <w:semiHidden/>
    <w:rsid w:val="00D217A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217AB"/>
    <w:rPr>
      <w:b/>
      <w:bCs/>
    </w:rPr>
  </w:style>
  <w:style w:type="paragraph" w:styleId="Textbubliny">
    <w:name w:val="Balloon Text"/>
    <w:basedOn w:val="Normlny"/>
    <w:semiHidden/>
    <w:rsid w:val="00D217A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0F4A38"/>
    <w:pPr>
      <w:suppressLineNumbers/>
      <w:tabs>
        <w:tab w:val="center" w:pos="7086"/>
        <w:tab w:val="right" w:pos="11905"/>
      </w:tabs>
      <w:suppressAutoHyphens/>
    </w:pPr>
    <w:rPr>
      <w:lang w:eastAsia="ar-SA"/>
    </w:rPr>
  </w:style>
  <w:style w:type="character" w:customStyle="1" w:styleId="HlavikaChar">
    <w:name w:val="Hlavička Char"/>
    <w:link w:val="Hlavika"/>
    <w:rsid w:val="000F4A38"/>
    <w:rPr>
      <w:sz w:val="22"/>
      <w:szCs w:val="24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087FC8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087FC8"/>
    <w:rPr>
      <w:sz w:val="22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73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unhideWhenUsed/>
    <w:rsid w:val="005506C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5506C9"/>
    <w:rPr>
      <w:sz w:val="16"/>
      <w:szCs w:val="16"/>
      <w:lang w:val="sk-SK" w:eastAsia="sk-SK"/>
    </w:rPr>
  </w:style>
  <w:style w:type="character" w:customStyle="1" w:styleId="Nadpis1Char">
    <w:name w:val="Nadpis 1 Char"/>
    <w:link w:val="Nadpis1"/>
    <w:rsid w:val="005506C9"/>
    <w:rPr>
      <w:b/>
      <w:bCs/>
      <w:i/>
      <w:iCs/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uiPriority w:val="9"/>
    <w:semiHidden/>
    <w:rsid w:val="001E2CE0"/>
    <w:rPr>
      <w:rFonts w:ascii="Calibri" w:eastAsia="SimSu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rsid w:val="001E2CE0"/>
    <w:rPr>
      <w:rFonts w:ascii="Calibri" w:eastAsia="SimSu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rsid w:val="001E2CE0"/>
    <w:rPr>
      <w:rFonts w:ascii="Calibri" w:eastAsia="SimSun" w:hAnsi="Calibri" w:cs="Times New Roman"/>
      <w:b/>
      <w:bCs/>
      <w:sz w:val="22"/>
      <w:szCs w:val="22"/>
      <w:lang w:val="sk-SK" w:eastAsia="sk-SK"/>
    </w:rPr>
  </w:style>
  <w:style w:type="character" w:customStyle="1" w:styleId="Nadpis8Char">
    <w:name w:val="Nadpis 8 Char"/>
    <w:link w:val="Nadpis8"/>
    <w:uiPriority w:val="9"/>
    <w:semiHidden/>
    <w:rsid w:val="001E2CE0"/>
    <w:rPr>
      <w:rFonts w:ascii="Calibri" w:eastAsia="SimSu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rsid w:val="001E2CE0"/>
    <w:rPr>
      <w:rFonts w:ascii="Cambria" w:eastAsia="SimSun" w:hAnsi="Cambria" w:cs="Times New Roman"/>
      <w:sz w:val="22"/>
      <w:szCs w:val="22"/>
      <w:lang w:val="sk-SK" w:eastAsia="sk-SK"/>
    </w:rPr>
  </w:style>
  <w:style w:type="paragraph" w:customStyle="1" w:styleId="Normlny0">
    <w:name w:val="Normlny"/>
    <w:rsid w:val="00D834E2"/>
    <w:pPr>
      <w:suppressAutoHyphens/>
      <w:autoSpaceDE w:val="0"/>
    </w:pPr>
    <w:rPr>
      <w:rFonts w:ascii="Arial" w:hAnsi="Arial"/>
      <w:sz w:val="24"/>
      <w:lang w:val="en-US"/>
    </w:rPr>
  </w:style>
  <w:style w:type="character" w:customStyle="1" w:styleId="Nadpis3Char">
    <w:name w:val="Nadpis 3 Char"/>
    <w:link w:val="Nadpis3"/>
    <w:uiPriority w:val="9"/>
    <w:semiHidden/>
    <w:rsid w:val="00566D8E"/>
    <w:rPr>
      <w:rFonts w:ascii="Cambria" w:eastAsia="SimSun" w:hAnsi="Cambria" w:cs="Times New Roman"/>
      <w:b/>
      <w:bCs/>
      <w:sz w:val="26"/>
      <w:szCs w:val="26"/>
      <w:lang w:val="sk-SK" w:eastAsia="sk-SK"/>
    </w:rPr>
  </w:style>
  <w:style w:type="character" w:styleId="PouitHypertextovPrepojenie">
    <w:name w:val="FollowedHyperlink"/>
    <w:uiPriority w:val="99"/>
    <w:semiHidden/>
    <w:unhideWhenUsed/>
    <w:rsid w:val="00264A0B"/>
    <w:rPr>
      <w:color w:val="800080"/>
      <w:u w:val="single"/>
    </w:rPr>
  </w:style>
  <w:style w:type="character" w:styleId="Siln">
    <w:name w:val="Strong"/>
    <w:qFormat/>
    <w:rsid w:val="009C6D51"/>
    <w:rPr>
      <w:b/>
      <w:bCs/>
    </w:rPr>
  </w:style>
  <w:style w:type="character" w:customStyle="1" w:styleId="CharacterStyle5">
    <w:name w:val="Character Style 5"/>
    <w:rsid w:val="00AB53CC"/>
    <w:rPr>
      <w:sz w:val="24"/>
      <w:szCs w:val="24"/>
    </w:rPr>
  </w:style>
  <w:style w:type="paragraph" w:customStyle="1" w:styleId="Default">
    <w:name w:val="Default"/>
    <w:rsid w:val="008E31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BE0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5506C9"/>
    <w:pPr>
      <w:keepNext/>
      <w:ind w:left="0" w:firstLine="0"/>
      <w:outlineLvl w:val="0"/>
    </w:pPr>
    <w:rPr>
      <w:b/>
      <w:bCs/>
      <w:i/>
      <w:iCs/>
      <w:sz w:val="24"/>
      <w:u w:val="single"/>
    </w:rPr>
  </w:style>
  <w:style w:type="paragraph" w:styleId="Nadpis3">
    <w:name w:val="heading 3"/>
    <w:basedOn w:val="Normlny"/>
    <w:next w:val="Normlny"/>
    <w:link w:val="Nadpis3Char"/>
    <w:uiPriority w:val="9"/>
    <w:qFormat/>
    <w:rsid w:val="00566D8E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qFormat/>
    <w:rsid w:val="001E2CE0"/>
    <w:pPr>
      <w:keepNext/>
      <w:spacing w:before="240" w:after="60"/>
      <w:outlineLvl w:val="3"/>
    </w:pPr>
    <w:rPr>
      <w:rFonts w:ascii="Calibri" w:eastAsia="SimSun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qFormat/>
    <w:rsid w:val="001E2CE0"/>
    <w:pPr>
      <w:spacing w:before="240" w:after="60"/>
      <w:outlineLvl w:val="4"/>
    </w:pPr>
    <w:rPr>
      <w:rFonts w:ascii="Calibri" w:eastAsia="SimSun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1E2CE0"/>
    <w:pPr>
      <w:spacing w:before="240" w:after="60"/>
      <w:outlineLvl w:val="5"/>
    </w:pPr>
    <w:rPr>
      <w:rFonts w:ascii="Calibri" w:eastAsia="SimSun" w:hAnsi="Calibri"/>
      <w:b/>
      <w:bCs/>
      <w:szCs w:val="22"/>
    </w:rPr>
  </w:style>
  <w:style w:type="paragraph" w:styleId="Nadpis8">
    <w:name w:val="heading 8"/>
    <w:basedOn w:val="Normlny"/>
    <w:next w:val="Normlny"/>
    <w:link w:val="Nadpis8Char"/>
    <w:uiPriority w:val="9"/>
    <w:qFormat/>
    <w:rsid w:val="001E2CE0"/>
    <w:pPr>
      <w:spacing w:before="240" w:after="60"/>
      <w:outlineLvl w:val="7"/>
    </w:pPr>
    <w:rPr>
      <w:rFonts w:ascii="Calibri" w:eastAsia="SimSun" w:hAnsi="Calibri"/>
      <w:i/>
      <w:iCs/>
      <w:sz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1E2CE0"/>
    <w:pPr>
      <w:spacing w:before="240" w:after="60"/>
      <w:outlineLvl w:val="8"/>
    </w:pPr>
    <w:rPr>
      <w:rFonts w:ascii="Cambria" w:eastAsia="SimSun" w:hAnsi="Cambria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F6BE0"/>
    <w:rPr>
      <w:color w:val="0000FF"/>
      <w:u w:val="single"/>
    </w:rPr>
  </w:style>
  <w:style w:type="paragraph" w:styleId="Zkladntext">
    <w:name w:val="Body Text"/>
    <w:basedOn w:val="Normlny"/>
    <w:rsid w:val="00FF6BE0"/>
    <w:pPr>
      <w:ind w:left="0" w:firstLine="0"/>
    </w:pPr>
  </w:style>
  <w:style w:type="paragraph" w:customStyle="1" w:styleId="EMEAEnBodyText">
    <w:name w:val="EMEA En Body Text"/>
    <w:basedOn w:val="Normlny"/>
    <w:rsid w:val="00FF6BE0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sid w:val="00D217AB"/>
    <w:rPr>
      <w:sz w:val="16"/>
      <w:szCs w:val="16"/>
    </w:rPr>
  </w:style>
  <w:style w:type="paragraph" w:styleId="Textkomentra">
    <w:name w:val="annotation text"/>
    <w:basedOn w:val="Normlny"/>
    <w:semiHidden/>
    <w:rsid w:val="00D217A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D217AB"/>
    <w:rPr>
      <w:b/>
      <w:bCs/>
    </w:rPr>
  </w:style>
  <w:style w:type="paragraph" w:styleId="Textbubliny">
    <w:name w:val="Balloon Text"/>
    <w:basedOn w:val="Normlny"/>
    <w:semiHidden/>
    <w:rsid w:val="00D217A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0F4A38"/>
    <w:pPr>
      <w:suppressLineNumbers/>
      <w:tabs>
        <w:tab w:val="center" w:pos="7086"/>
        <w:tab w:val="right" w:pos="11905"/>
      </w:tabs>
      <w:suppressAutoHyphens/>
    </w:pPr>
    <w:rPr>
      <w:lang w:eastAsia="ar-SA"/>
    </w:rPr>
  </w:style>
  <w:style w:type="character" w:customStyle="1" w:styleId="HlavikaChar">
    <w:name w:val="Hlavička Char"/>
    <w:link w:val="Hlavika"/>
    <w:rsid w:val="000F4A38"/>
    <w:rPr>
      <w:sz w:val="22"/>
      <w:szCs w:val="24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087FC8"/>
    <w:pPr>
      <w:tabs>
        <w:tab w:val="center" w:pos="4703"/>
        <w:tab w:val="right" w:pos="9406"/>
      </w:tabs>
    </w:pPr>
  </w:style>
  <w:style w:type="character" w:customStyle="1" w:styleId="PtaChar">
    <w:name w:val="Päta Char"/>
    <w:link w:val="Pta"/>
    <w:uiPriority w:val="99"/>
    <w:rsid w:val="00087FC8"/>
    <w:rPr>
      <w:sz w:val="22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73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unhideWhenUsed/>
    <w:rsid w:val="005506C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5506C9"/>
    <w:rPr>
      <w:sz w:val="16"/>
      <w:szCs w:val="16"/>
      <w:lang w:val="sk-SK" w:eastAsia="sk-SK"/>
    </w:rPr>
  </w:style>
  <w:style w:type="character" w:customStyle="1" w:styleId="Nadpis1Char">
    <w:name w:val="Nadpis 1 Char"/>
    <w:link w:val="Nadpis1"/>
    <w:rsid w:val="005506C9"/>
    <w:rPr>
      <w:b/>
      <w:bCs/>
      <w:i/>
      <w:iCs/>
      <w:sz w:val="24"/>
      <w:szCs w:val="24"/>
      <w:u w:val="single"/>
      <w:lang w:val="sk-SK" w:eastAsia="sk-SK"/>
    </w:rPr>
  </w:style>
  <w:style w:type="character" w:customStyle="1" w:styleId="Nadpis4Char">
    <w:name w:val="Nadpis 4 Char"/>
    <w:link w:val="Nadpis4"/>
    <w:uiPriority w:val="9"/>
    <w:semiHidden/>
    <w:rsid w:val="001E2CE0"/>
    <w:rPr>
      <w:rFonts w:ascii="Calibri" w:eastAsia="SimSun" w:hAnsi="Calibri" w:cs="Times New Roman"/>
      <w:b/>
      <w:bCs/>
      <w:sz w:val="28"/>
      <w:szCs w:val="28"/>
      <w:lang w:val="sk-SK" w:eastAsia="sk-SK"/>
    </w:rPr>
  </w:style>
  <w:style w:type="character" w:customStyle="1" w:styleId="Nadpis5Char">
    <w:name w:val="Nadpis 5 Char"/>
    <w:link w:val="Nadpis5"/>
    <w:uiPriority w:val="9"/>
    <w:semiHidden/>
    <w:rsid w:val="001E2CE0"/>
    <w:rPr>
      <w:rFonts w:ascii="Calibri" w:eastAsia="SimSun" w:hAnsi="Calibri" w:cs="Times New Roman"/>
      <w:b/>
      <w:bCs/>
      <w:i/>
      <w:iCs/>
      <w:sz w:val="26"/>
      <w:szCs w:val="26"/>
      <w:lang w:val="sk-SK" w:eastAsia="sk-SK"/>
    </w:rPr>
  </w:style>
  <w:style w:type="character" w:customStyle="1" w:styleId="Nadpis6Char">
    <w:name w:val="Nadpis 6 Char"/>
    <w:link w:val="Nadpis6"/>
    <w:uiPriority w:val="9"/>
    <w:semiHidden/>
    <w:rsid w:val="001E2CE0"/>
    <w:rPr>
      <w:rFonts w:ascii="Calibri" w:eastAsia="SimSun" w:hAnsi="Calibri" w:cs="Times New Roman"/>
      <w:b/>
      <w:bCs/>
      <w:sz w:val="22"/>
      <w:szCs w:val="22"/>
      <w:lang w:val="sk-SK" w:eastAsia="sk-SK"/>
    </w:rPr>
  </w:style>
  <w:style w:type="character" w:customStyle="1" w:styleId="Nadpis8Char">
    <w:name w:val="Nadpis 8 Char"/>
    <w:link w:val="Nadpis8"/>
    <w:uiPriority w:val="9"/>
    <w:semiHidden/>
    <w:rsid w:val="001E2CE0"/>
    <w:rPr>
      <w:rFonts w:ascii="Calibri" w:eastAsia="SimSun" w:hAnsi="Calibri" w:cs="Times New Roman"/>
      <w:i/>
      <w:iCs/>
      <w:sz w:val="24"/>
      <w:szCs w:val="24"/>
      <w:lang w:val="sk-SK" w:eastAsia="sk-SK"/>
    </w:rPr>
  </w:style>
  <w:style w:type="character" w:customStyle="1" w:styleId="Nadpis9Char">
    <w:name w:val="Nadpis 9 Char"/>
    <w:link w:val="Nadpis9"/>
    <w:uiPriority w:val="9"/>
    <w:semiHidden/>
    <w:rsid w:val="001E2CE0"/>
    <w:rPr>
      <w:rFonts w:ascii="Cambria" w:eastAsia="SimSun" w:hAnsi="Cambria" w:cs="Times New Roman"/>
      <w:sz w:val="22"/>
      <w:szCs w:val="22"/>
      <w:lang w:val="sk-SK" w:eastAsia="sk-SK"/>
    </w:rPr>
  </w:style>
  <w:style w:type="paragraph" w:customStyle="1" w:styleId="Normlny0">
    <w:name w:val="Normlny"/>
    <w:rsid w:val="00D834E2"/>
    <w:pPr>
      <w:suppressAutoHyphens/>
      <w:autoSpaceDE w:val="0"/>
    </w:pPr>
    <w:rPr>
      <w:rFonts w:ascii="Arial" w:hAnsi="Arial"/>
      <w:sz w:val="24"/>
      <w:lang w:val="en-US"/>
    </w:rPr>
  </w:style>
  <w:style w:type="character" w:customStyle="1" w:styleId="Nadpis3Char">
    <w:name w:val="Nadpis 3 Char"/>
    <w:link w:val="Nadpis3"/>
    <w:uiPriority w:val="9"/>
    <w:semiHidden/>
    <w:rsid w:val="00566D8E"/>
    <w:rPr>
      <w:rFonts w:ascii="Cambria" w:eastAsia="SimSun" w:hAnsi="Cambria" w:cs="Times New Roman"/>
      <w:b/>
      <w:bCs/>
      <w:sz w:val="26"/>
      <w:szCs w:val="26"/>
      <w:lang w:val="sk-SK" w:eastAsia="sk-SK"/>
    </w:rPr>
  </w:style>
  <w:style w:type="character" w:styleId="PouitHypertextovPrepojenie">
    <w:name w:val="FollowedHyperlink"/>
    <w:uiPriority w:val="99"/>
    <w:semiHidden/>
    <w:unhideWhenUsed/>
    <w:rsid w:val="00264A0B"/>
    <w:rPr>
      <w:color w:val="800080"/>
      <w:u w:val="single"/>
    </w:rPr>
  </w:style>
  <w:style w:type="character" w:styleId="Siln">
    <w:name w:val="Strong"/>
    <w:qFormat/>
    <w:rsid w:val="009C6D51"/>
    <w:rPr>
      <w:b/>
      <w:bCs/>
    </w:rPr>
  </w:style>
  <w:style w:type="character" w:customStyle="1" w:styleId="CharacterStyle5">
    <w:name w:val="Character Style 5"/>
    <w:rsid w:val="00AB53CC"/>
    <w:rPr>
      <w:sz w:val="24"/>
      <w:szCs w:val="24"/>
    </w:rPr>
  </w:style>
  <w:style w:type="paragraph" w:customStyle="1" w:styleId="Default">
    <w:name w:val="Default"/>
    <w:rsid w:val="008E31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0500-8E6B-4400-BE9C-86734D5E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6965</Words>
  <Characters>45130</Characters>
  <Application>Microsoft Office Word</Application>
  <DocSecurity>0</DocSecurity>
  <Lines>376</Lines>
  <Paragraphs>103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Novartis</Company>
  <LinksUpToDate>false</LinksUpToDate>
  <CharactersWithSpaces>51992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VYBOCSI1</dc:creator>
  <cp:lastModifiedBy>Natalia </cp:lastModifiedBy>
  <cp:revision>3</cp:revision>
  <cp:lastPrinted>2013-09-11T08:04:00Z</cp:lastPrinted>
  <dcterms:created xsi:type="dcterms:W3CDTF">2019-11-07T10:32:00Z</dcterms:created>
  <dcterms:modified xsi:type="dcterms:W3CDTF">2019-11-07T10:32:00Z</dcterms:modified>
</cp:coreProperties>
</file>