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4DF11" w14:textId="77777777" w:rsidR="00CC03D1" w:rsidRDefault="00CC03D1" w:rsidP="004F0F6F">
      <w:pPr>
        <w:pStyle w:val="DocumentHeading"/>
        <w:spacing w:after="0"/>
        <w:jc w:val="center"/>
        <w:rPr>
          <w:sz w:val="22"/>
          <w:szCs w:val="22"/>
          <w:lang w:val="sk-SK"/>
        </w:rPr>
      </w:pPr>
      <w:bookmarkStart w:id="0" w:name="Indication"/>
      <w:bookmarkStart w:id="1" w:name="Posology"/>
      <w:bookmarkStart w:id="2" w:name="ContraInd"/>
      <w:bookmarkStart w:id="3" w:name="Warning"/>
      <w:bookmarkStart w:id="4" w:name="Interaction"/>
      <w:bookmarkStart w:id="5" w:name="Pregnancy"/>
      <w:bookmarkStart w:id="6" w:name="Drive"/>
      <w:bookmarkStart w:id="7" w:name="Undesirable"/>
      <w:bookmarkStart w:id="8" w:name="Dynamic"/>
      <w:bookmarkStart w:id="9" w:name="Kinetic"/>
      <w:bookmarkStart w:id="10" w:name="Preclinical"/>
    </w:p>
    <w:p w14:paraId="77FE8629" w14:textId="77777777" w:rsidR="00CC03D1" w:rsidRDefault="00CC03D1" w:rsidP="004F0F6F">
      <w:pPr>
        <w:pStyle w:val="DocumentHeading"/>
        <w:spacing w:after="0"/>
        <w:jc w:val="center"/>
        <w:rPr>
          <w:sz w:val="22"/>
          <w:szCs w:val="22"/>
          <w:lang w:val="sk-SK"/>
        </w:rPr>
      </w:pPr>
    </w:p>
    <w:p w14:paraId="7A6DBDD0" w14:textId="77777777" w:rsidR="00FD6C67" w:rsidRPr="006554C9" w:rsidRDefault="005F6DF6" w:rsidP="00540605">
      <w:pPr>
        <w:pStyle w:val="DocumentHeading"/>
        <w:spacing w:after="0"/>
        <w:jc w:val="center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SÚHRN CHARAKTERISTICKÝCH VLASTNOSTÍ LIEKU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F17DC8E" w14:textId="77777777" w:rsidR="00FD6C67" w:rsidRPr="006554C9" w:rsidRDefault="00FD6C67" w:rsidP="00FD6C67">
      <w:pPr>
        <w:rPr>
          <w:sz w:val="22"/>
          <w:szCs w:val="22"/>
          <w:lang w:val="sk-SK"/>
        </w:rPr>
      </w:pPr>
    </w:p>
    <w:p w14:paraId="31752780" w14:textId="77777777" w:rsidR="0094180E" w:rsidRDefault="0094180E" w:rsidP="00FD6C67">
      <w:pPr>
        <w:rPr>
          <w:lang w:val="sk-SK"/>
        </w:rPr>
      </w:pPr>
    </w:p>
    <w:p w14:paraId="76793343" w14:textId="77777777" w:rsidR="0006173C" w:rsidRPr="006554C9" w:rsidRDefault="0006173C" w:rsidP="00FD6C67">
      <w:pPr>
        <w:rPr>
          <w:lang w:val="sk-SK"/>
        </w:rPr>
      </w:pPr>
    </w:p>
    <w:p w14:paraId="22B08269" w14:textId="77777777" w:rsidR="00B044ED" w:rsidRPr="006554C9" w:rsidRDefault="00B044ED" w:rsidP="00FD6C67">
      <w:pPr>
        <w:pStyle w:val="DocumentHeading"/>
        <w:spacing w:after="0"/>
        <w:rPr>
          <w:kern w:val="28"/>
          <w:sz w:val="22"/>
          <w:szCs w:val="22"/>
          <w:lang w:val="sk-SK"/>
        </w:rPr>
      </w:pPr>
      <w:r w:rsidRPr="006554C9">
        <w:rPr>
          <w:kern w:val="28"/>
          <w:sz w:val="22"/>
          <w:szCs w:val="22"/>
          <w:lang w:val="sk-SK"/>
        </w:rPr>
        <w:t>1.</w:t>
      </w:r>
      <w:r w:rsidRPr="006554C9">
        <w:rPr>
          <w:kern w:val="28"/>
          <w:sz w:val="22"/>
          <w:szCs w:val="22"/>
          <w:lang w:val="sk-SK"/>
        </w:rPr>
        <w:tab/>
      </w:r>
      <w:r w:rsidR="005F6DF6" w:rsidRPr="006554C9">
        <w:rPr>
          <w:kern w:val="28"/>
          <w:sz w:val="22"/>
          <w:szCs w:val="22"/>
          <w:lang w:val="sk-SK"/>
        </w:rPr>
        <w:t>NÁZOV LIEKU</w:t>
      </w:r>
    </w:p>
    <w:p w14:paraId="6887AD5D" w14:textId="77777777" w:rsidR="00B044ED" w:rsidRPr="006554C9" w:rsidRDefault="00B044ED" w:rsidP="00FD6C67">
      <w:pPr>
        <w:widowControl w:val="0"/>
        <w:ind w:left="709"/>
        <w:rPr>
          <w:sz w:val="22"/>
          <w:szCs w:val="22"/>
          <w:lang w:val="sk-SK"/>
        </w:rPr>
      </w:pPr>
    </w:p>
    <w:p w14:paraId="3812C3F8" w14:textId="76546F67" w:rsidR="00B044ED" w:rsidRPr="006554C9" w:rsidRDefault="00D85551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Trimetazidin</w:t>
      </w:r>
      <w:r w:rsidR="001F5DB5" w:rsidRPr="006554C9">
        <w:rPr>
          <w:sz w:val="22"/>
          <w:szCs w:val="22"/>
          <w:lang w:val="sk-SK"/>
        </w:rPr>
        <w:t xml:space="preserve"> </w:t>
      </w:r>
      <w:r w:rsidR="007A39B4">
        <w:rPr>
          <w:sz w:val="22"/>
          <w:szCs w:val="22"/>
          <w:lang w:val="sk-SK"/>
        </w:rPr>
        <w:t>Teva</w:t>
      </w:r>
      <w:r w:rsidR="007A39B4" w:rsidRPr="006554C9">
        <w:rPr>
          <w:sz w:val="22"/>
          <w:szCs w:val="22"/>
          <w:lang w:val="sk-SK"/>
        </w:rPr>
        <w:t xml:space="preserve"> </w:t>
      </w:r>
      <w:r w:rsidR="005F6DF6" w:rsidRPr="006554C9">
        <w:rPr>
          <w:sz w:val="22"/>
          <w:szCs w:val="22"/>
          <w:lang w:val="sk-SK"/>
        </w:rPr>
        <w:t xml:space="preserve">PR </w:t>
      </w:r>
      <w:r w:rsidRPr="006554C9">
        <w:rPr>
          <w:sz w:val="22"/>
          <w:szCs w:val="22"/>
          <w:lang w:val="sk-SK"/>
        </w:rPr>
        <w:t>35 mg</w:t>
      </w:r>
    </w:p>
    <w:p w14:paraId="42F4CC3F" w14:textId="77777777" w:rsidR="00F04684" w:rsidRPr="006554C9" w:rsidRDefault="00F04684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tablety s predĺženým uvoľňovaním</w:t>
      </w:r>
    </w:p>
    <w:p w14:paraId="444C6DD8" w14:textId="77777777" w:rsidR="00FD6C67" w:rsidRPr="006554C9" w:rsidRDefault="00FD6C67" w:rsidP="00630B89">
      <w:pPr>
        <w:widowControl w:val="0"/>
        <w:jc w:val="both"/>
        <w:rPr>
          <w:b/>
          <w:sz w:val="22"/>
          <w:szCs w:val="22"/>
          <w:lang w:val="sk-SK"/>
        </w:rPr>
      </w:pPr>
    </w:p>
    <w:p w14:paraId="431ED2F5" w14:textId="77777777" w:rsidR="00D85551" w:rsidRPr="006554C9" w:rsidRDefault="00D85551" w:rsidP="00630B89">
      <w:pPr>
        <w:widowControl w:val="0"/>
        <w:jc w:val="both"/>
        <w:rPr>
          <w:b/>
          <w:sz w:val="22"/>
          <w:szCs w:val="22"/>
          <w:lang w:val="sk-SK"/>
        </w:rPr>
      </w:pPr>
    </w:p>
    <w:p w14:paraId="108FD287" w14:textId="77777777"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2.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</w:r>
      <w:r w:rsidR="005F6DF6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KVALITATÍVNE A KVANTITATÍVNE ZLOŽENIE</w:t>
      </w:r>
    </w:p>
    <w:p w14:paraId="788C507E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39F8EE9B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Každá tableta </w:t>
      </w:r>
      <w:r w:rsidR="00D85551" w:rsidRPr="006554C9">
        <w:rPr>
          <w:sz w:val="22"/>
          <w:szCs w:val="22"/>
          <w:lang w:val="sk-SK"/>
        </w:rPr>
        <w:t>s</w:t>
      </w:r>
      <w:r w:rsidR="005F6DF6" w:rsidRPr="006554C9">
        <w:rPr>
          <w:sz w:val="22"/>
          <w:szCs w:val="22"/>
          <w:lang w:val="sk-SK"/>
        </w:rPr>
        <w:t> </w:t>
      </w:r>
      <w:r w:rsidR="00D85551" w:rsidRPr="006554C9">
        <w:rPr>
          <w:sz w:val="22"/>
          <w:szCs w:val="22"/>
          <w:lang w:val="sk-SK"/>
        </w:rPr>
        <w:t>pr</w:t>
      </w:r>
      <w:r w:rsidR="005F6DF6" w:rsidRPr="006554C9">
        <w:rPr>
          <w:sz w:val="22"/>
          <w:szCs w:val="22"/>
          <w:lang w:val="sk-SK"/>
        </w:rPr>
        <w:t>e</w:t>
      </w:r>
      <w:r w:rsidR="00D85551" w:rsidRPr="006554C9">
        <w:rPr>
          <w:sz w:val="22"/>
          <w:szCs w:val="22"/>
          <w:lang w:val="sk-SK"/>
        </w:rPr>
        <w:t>d</w:t>
      </w:r>
      <w:r w:rsidR="00047C6E">
        <w:rPr>
          <w:sz w:val="22"/>
          <w:szCs w:val="22"/>
          <w:lang w:val="sk-SK"/>
        </w:rPr>
        <w:t>ĺ</w:t>
      </w:r>
      <w:r w:rsidR="005F6DF6" w:rsidRPr="006554C9">
        <w:rPr>
          <w:sz w:val="22"/>
          <w:szCs w:val="22"/>
          <w:lang w:val="sk-SK"/>
        </w:rPr>
        <w:t xml:space="preserve">ženým uvoľňovaním </w:t>
      </w:r>
      <w:r w:rsidRPr="006554C9">
        <w:rPr>
          <w:sz w:val="22"/>
          <w:szCs w:val="22"/>
          <w:lang w:val="sk-SK"/>
        </w:rPr>
        <w:t>obsahuje</w:t>
      </w:r>
      <w:r w:rsidR="00D85551" w:rsidRPr="006554C9">
        <w:rPr>
          <w:sz w:val="22"/>
          <w:szCs w:val="22"/>
          <w:lang w:val="sk-SK"/>
        </w:rPr>
        <w:t xml:space="preserve"> 35 mg </w:t>
      </w:r>
      <w:r w:rsidR="00F04684" w:rsidRPr="006554C9">
        <w:rPr>
          <w:sz w:val="22"/>
          <w:szCs w:val="22"/>
          <w:lang w:val="sk-SK"/>
        </w:rPr>
        <w:t>trimetazidín</w:t>
      </w:r>
      <w:r w:rsidR="00060BF3">
        <w:rPr>
          <w:sz w:val="22"/>
          <w:szCs w:val="22"/>
          <w:lang w:val="sk-SK"/>
        </w:rPr>
        <w:t>ium</w:t>
      </w:r>
      <w:r w:rsidR="00F04684" w:rsidRPr="006554C9">
        <w:rPr>
          <w:sz w:val="22"/>
          <w:szCs w:val="22"/>
          <w:lang w:val="sk-SK"/>
        </w:rPr>
        <w:t>dichlorid</w:t>
      </w:r>
      <w:r w:rsidR="00060BF3">
        <w:rPr>
          <w:sz w:val="22"/>
          <w:szCs w:val="22"/>
          <w:lang w:val="sk-SK"/>
        </w:rPr>
        <w:t>u</w:t>
      </w:r>
      <w:r w:rsidR="001F5DB5" w:rsidRPr="006554C9">
        <w:rPr>
          <w:sz w:val="22"/>
          <w:szCs w:val="22"/>
          <w:lang w:val="sk-SK"/>
        </w:rPr>
        <w:t>.</w:t>
      </w:r>
    </w:p>
    <w:p w14:paraId="1DE67B77" w14:textId="77777777" w:rsidR="00B044ED" w:rsidRPr="006554C9" w:rsidRDefault="00B044ED" w:rsidP="00630B89">
      <w:pPr>
        <w:widowControl w:val="0"/>
        <w:rPr>
          <w:sz w:val="22"/>
          <w:szCs w:val="22"/>
          <w:u w:val="single"/>
          <w:lang w:val="sk-SK"/>
        </w:rPr>
      </w:pPr>
    </w:p>
    <w:p w14:paraId="2E1B3ED3" w14:textId="77777777" w:rsidR="00B044ED" w:rsidRPr="006554C9" w:rsidRDefault="005F6DF6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Úplný zoznam pomocných látok, pozri časť 6.1.</w:t>
      </w:r>
    </w:p>
    <w:p w14:paraId="66460023" w14:textId="77777777"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14:paraId="2680369A" w14:textId="77777777" w:rsidR="00D85551" w:rsidRPr="006554C9" w:rsidRDefault="00D85551" w:rsidP="00630B89">
      <w:pPr>
        <w:widowControl w:val="0"/>
        <w:rPr>
          <w:sz w:val="22"/>
          <w:szCs w:val="22"/>
          <w:lang w:val="sk-SK"/>
        </w:rPr>
      </w:pPr>
    </w:p>
    <w:p w14:paraId="1FBB7D67" w14:textId="77777777"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3.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L</w:t>
      </w:r>
      <w:r w:rsidR="005F6DF6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IE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KOVÁ FORMA</w:t>
      </w:r>
    </w:p>
    <w:p w14:paraId="76C68885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397047AF" w14:textId="77777777" w:rsidR="00B044ED" w:rsidRPr="006554C9" w:rsidRDefault="003142C4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</w:t>
      </w:r>
      <w:r w:rsidR="005F6DF6" w:rsidRPr="006554C9">
        <w:rPr>
          <w:sz w:val="22"/>
          <w:szCs w:val="22"/>
          <w:lang w:val="sk-SK"/>
        </w:rPr>
        <w:t>ablet</w:t>
      </w:r>
      <w:r w:rsidR="003E4B12" w:rsidRPr="006554C9">
        <w:rPr>
          <w:sz w:val="22"/>
          <w:szCs w:val="22"/>
          <w:lang w:val="sk-SK"/>
        </w:rPr>
        <w:t>a</w:t>
      </w:r>
      <w:r w:rsidR="005F6DF6" w:rsidRPr="006554C9">
        <w:rPr>
          <w:sz w:val="22"/>
          <w:szCs w:val="22"/>
          <w:lang w:val="sk-SK"/>
        </w:rPr>
        <w:t xml:space="preserve"> s pred</w:t>
      </w:r>
      <w:r w:rsidR="00047C6E">
        <w:rPr>
          <w:sz w:val="22"/>
          <w:szCs w:val="22"/>
          <w:lang w:val="sk-SK"/>
        </w:rPr>
        <w:t>ĺ</w:t>
      </w:r>
      <w:r w:rsidR="005F6DF6" w:rsidRPr="006554C9">
        <w:rPr>
          <w:sz w:val="22"/>
          <w:szCs w:val="22"/>
          <w:lang w:val="sk-SK"/>
        </w:rPr>
        <w:t>ženým uvoľňovaním</w:t>
      </w:r>
      <w:r w:rsidR="00D85551" w:rsidRPr="006554C9">
        <w:rPr>
          <w:sz w:val="22"/>
          <w:szCs w:val="22"/>
          <w:lang w:val="sk-SK"/>
        </w:rPr>
        <w:t>.</w:t>
      </w:r>
    </w:p>
    <w:p w14:paraId="237AD7AC" w14:textId="77777777" w:rsidR="001F5DB5" w:rsidRPr="006554C9" w:rsidRDefault="00B044ED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B</w:t>
      </w:r>
      <w:r w:rsidR="005F6DF6" w:rsidRPr="006554C9">
        <w:rPr>
          <w:sz w:val="22"/>
          <w:szCs w:val="22"/>
          <w:lang w:val="sk-SK"/>
        </w:rPr>
        <w:t xml:space="preserve">iele až takmer biele bikonvexné tablety </w:t>
      </w:r>
      <w:r w:rsidR="003E4B12" w:rsidRPr="006554C9">
        <w:rPr>
          <w:sz w:val="22"/>
          <w:szCs w:val="22"/>
          <w:lang w:val="sk-SK"/>
        </w:rPr>
        <w:t xml:space="preserve">s malým otvorom </w:t>
      </w:r>
      <w:r w:rsidR="005F6DF6" w:rsidRPr="006554C9">
        <w:rPr>
          <w:sz w:val="22"/>
          <w:szCs w:val="22"/>
          <w:lang w:val="sk-SK"/>
        </w:rPr>
        <w:t>na jednej strane.</w:t>
      </w:r>
    </w:p>
    <w:p w14:paraId="3AB0A5D2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25D635F1" w14:textId="77777777"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14:paraId="25E0316C" w14:textId="77777777"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4.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KLINICKÉ ÚDAJE</w:t>
      </w:r>
    </w:p>
    <w:p w14:paraId="24D4D207" w14:textId="77777777" w:rsidR="00FD6C67" w:rsidRPr="006554C9" w:rsidRDefault="00FD6C67" w:rsidP="00630B89">
      <w:pPr>
        <w:rPr>
          <w:lang w:val="sk-SK"/>
        </w:rPr>
      </w:pPr>
      <w:bookmarkStart w:id="11" w:name="_GoBack"/>
      <w:bookmarkEnd w:id="11"/>
    </w:p>
    <w:p w14:paraId="138A2F90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4.1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5F6DF6" w:rsidRPr="006554C9">
        <w:rPr>
          <w:rFonts w:ascii="Times New Roman" w:hAnsi="Times New Roman" w:cs="Times New Roman"/>
          <w:b/>
          <w:sz w:val="22"/>
          <w:szCs w:val="22"/>
          <w:lang w:val="sk-SK"/>
        </w:rPr>
        <w:t>Terapeutické indikácie</w:t>
      </w:r>
    </w:p>
    <w:p w14:paraId="374F52B2" w14:textId="77777777" w:rsidR="00433642" w:rsidRPr="006554C9" w:rsidRDefault="00433642" w:rsidP="00630B89">
      <w:pPr>
        <w:rPr>
          <w:sz w:val="22"/>
          <w:szCs w:val="22"/>
          <w:lang w:val="sk-SK"/>
        </w:rPr>
      </w:pPr>
    </w:p>
    <w:p w14:paraId="79245705" w14:textId="77777777" w:rsidR="00B047AF" w:rsidRPr="006554C9" w:rsidRDefault="00B047AF" w:rsidP="00B047AF">
      <w:pPr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Trimetazidín je indikovaný u dospelých ako prídavná liečba k symptomatickej liečbe pacientov so</w:t>
      </w:r>
    </w:p>
    <w:p w14:paraId="022B4B4A" w14:textId="77777777" w:rsidR="00B047AF" w:rsidRPr="006554C9" w:rsidRDefault="00B047AF" w:rsidP="00B047AF">
      <w:pPr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stabilnou angínou pektoris, ktorí nie sú dostatočne kontrolovaní antianginóznou liečbou prvej voľby</w:t>
      </w:r>
    </w:p>
    <w:p w14:paraId="51F3FBB9" w14:textId="77777777" w:rsidR="00433642" w:rsidRPr="006554C9" w:rsidRDefault="00B047AF" w:rsidP="00B047AF">
      <w:pPr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alebo ju netolerujú.</w:t>
      </w:r>
    </w:p>
    <w:p w14:paraId="180CB7A3" w14:textId="77777777" w:rsidR="00B047AF" w:rsidRPr="006554C9" w:rsidRDefault="00B047AF" w:rsidP="00B047AF">
      <w:pPr>
        <w:rPr>
          <w:sz w:val="22"/>
          <w:szCs w:val="22"/>
          <w:lang w:val="sk-SK"/>
        </w:rPr>
      </w:pPr>
    </w:p>
    <w:p w14:paraId="3AEDA103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4.2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2C40F3" w:rsidRPr="006554C9">
        <w:rPr>
          <w:rFonts w:ascii="Times New Roman" w:hAnsi="Times New Roman" w:cs="Times New Roman"/>
          <w:b/>
          <w:sz w:val="22"/>
          <w:szCs w:val="22"/>
          <w:lang w:val="sk-SK"/>
        </w:rPr>
        <w:t>Dávkovanie a spôsob podávania</w:t>
      </w:r>
    </w:p>
    <w:p w14:paraId="4946BDCA" w14:textId="77777777" w:rsidR="00B0461E" w:rsidRPr="006554C9" w:rsidRDefault="00B0461E" w:rsidP="00B0461E">
      <w:pPr>
        <w:rPr>
          <w:lang w:val="sk-SK"/>
        </w:rPr>
      </w:pPr>
    </w:p>
    <w:p w14:paraId="39EBD616" w14:textId="77777777"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Dávka je jedna tableta trimetazidínu 35 mg dvakrát denne počas jedla.</w:t>
      </w:r>
    </w:p>
    <w:p w14:paraId="2780CC75" w14:textId="77777777" w:rsidR="00F04684" w:rsidRPr="006554C9" w:rsidRDefault="00170EBF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Tablety sa prehĺta</w:t>
      </w:r>
      <w:r w:rsidR="003D20D0" w:rsidRPr="006554C9">
        <w:rPr>
          <w:sz w:val="22"/>
          <w:szCs w:val="22"/>
          <w:lang w:val="sk-SK"/>
        </w:rPr>
        <w:t xml:space="preserve">jú celé počas jedla a zapíjajú </w:t>
      </w:r>
      <w:r w:rsidR="004D6970" w:rsidRPr="006554C9">
        <w:rPr>
          <w:sz w:val="22"/>
          <w:szCs w:val="22"/>
          <w:lang w:val="sk-SK"/>
        </w:rPr>
        <w:t>sa malým množstvom tekutiny.</w:t>
      </w:r>
    </w:p>
    <w:p w14:paraId="13305C67" w14:textId="77777777" w:rsidR="00A93E04" w:rsidRPr="004F0F6F" w:rsidRDefault="00A93E04" w:rsidP="00A93E04">
      <w:pPr>
        <w:widowControl w:val="0"/>
        <w:rPr>
          <w:sz w:val="22"/>
          <w:lang w:val="sk-SK"/>
        </w:rPr>
      </w:pPr>
    </w:p>
    <w:p w14:paraId="4155A23A" w14:textId="77777777" w:rsidR="00A93E04" w:rsidRPr="006554C9" w:rsidRDefault="00A93E04" w:rsidP="00A93E04">
      <w:pPr>
        <w:widowControl w:val="0"/>
        <w:rPr>
          <w:sz w:val="22"/>
          <w:szCs w:val="22"/>
          <w:u w:val="single"/>
          <w:lang w:val="sk-SK"/>
        </w:rPr>
      </w:pPr>
      <w:r w:rsidRPr="006554C9">
        <w:rPr>
          <w:sz w:val="22"/>
          <w:szCs w:val="22"/>
          <w:u w:val="single"/>
          <w:lang w:val="sk-SK"/>
        </w:rPr>
        <w:t xml:space="preserve">Osobitné skupiny pacientov </w:t>
      </w:r>
    </w:p>
    <w:p w14:paraId="0D3D5780" w14:textId="77777777" w:rsidR="00A93E04" w:rsidRPr="006554C9" w:rsidRDefault="00A93E04" w:rsidP="00A93E04">
      <w:pPr>
        <w:widowControl w:val="0"/>
        <w:rPr>
          <w:sz w:val="22"/>
          <w:szCs w:val="22"/>
          <w:u w:val="single"/>
          <w:lang w:val="sk-SK"/>
        </w:rPr>
      </w:pPr>
    </w:p>
    <w:p w14:paraId="05528778" w14:textId="77777777"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 xml:space="preserve">Pacienti s </w:t>
      </w:r>
      <w:r w:rsidR="00933A57" w:rsidRPr="006554C9">
        <w:rPr>
          <w:i/>
          <w:iCs/>
          <w:sz w:val="22"/>
          <w:szCs w:val="22"/>
          <w:lang w:val="sk-SK"/>
        </w:rPr>
        <w:t xml:space="preserve">poruchou </w:t>
      </w:r>
      <w:r w:rsidRPr="006554C9">
        <w:rPr>
          <w:i/>
          <w:iCs/>
          <w:sz w:val="22"/>
          <w:szCs w:val="22"/>
          <w:lang w:val="sk-SK"/>
        </w:rPr>
        <w:t>funkcie obličiek</w:t>
      </w:r>
    </w:p>
    <w:p w14:paraId="4A23C263" w14:textId="77777777"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U pacientov so stredne </w:t>
      </w:r>
      <w:r w:rsidR="00933A57" w:rsidRPr="006554C9">
        <w:rPr>
          <w:sz w:val="22"/>
          <w:szCs w:val="22"/>
          <w:lang w:val="sk-SK"/>
        </w:rPr>
        <w:t>ťažkou poruchou</w:t>
      </w:r>
      <w:r w:rsidRPr="006554C9">
        <w:rPr>
          <w:sz w:val="22"/>
          <w:szCs w:val="22"/>
          <w:lang w:val="sk-SK"/>
        </w:rPr>
        <w:t xml:space="preserve"> funkcie obličiek (klírens </w:t>
      </w:r>
      <w:r w:rsidR="00C92D87" w:rsidRPr="006554C9">
        <w:rPr>
          <w:sz w:val="22"/>
          <w:szCs w:val="22"/>
          <w:lang w:val="sk-SK"/>
        </w:rPr>
        <w:t xml:space="preserve">kreatinínu </w:t>
      </w:r>
      <w:r w:rsidRPr="006554C9">
        <w:rPr>
          <w:sz w:val="22"/>
          <w:szCs w:val="22"/>
          <w:lang w:val="sk-SK"/>
        </w:rPr>
        <w:t xml:space="preserve"> 30 - 60 ml/min) (pozri časti </w:t>
      </w:r>
      <w:smartTag w:uri="urn:schemas-microsoft-com:office:smarttags" w:element="metricconverter">
        <w:smartTagPr>
          <w:attr w:name="ProductID" w:val="4.4 a"/>
        </w:smartTagPr>
        <w:r w:rsidRPr="006554C9">
          <w:rPr>
            <w:sz w:val="22"/>
            <w:szCs w:val="22"/>
            <w:lang w:val="sk-SK"/>
          </w:rPr>
          <w:t>4.4 a</w:t>
        </w:r>
      </w:smartTag>
      <w:r w:rsidRPr="006554C9">
        <w:rPr>
          <w:sz w:val="22"/>
          <w:szCs w:val="22"/>
          <w:lang w:val="sk-SK"/>
        </w:rPr>
        <w:t xml:space="preserve"> 5.2) je odporúčanou dávkou jedna 35 mg tableta užitá ráno počas raňajok. </w:t>
      </w:r>
    </w:p>
    <w:p w14:paraId="58E527DB" w14:textId="77777777"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</w:p>
    <w:p w14:paraId="6A36D8DE" w14:textId="77777777" w:rsidR="00A93E04" w:rsidRPr="006554C9" w:rsidRDefault="00A93E04" w:rsidP="00A93E04">
      <w:pPr>
        <w:widowControl w:val="0"/>
        <w:rPr>
          <w:i/>
          <w:iCs/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>Starší pacienti</w:t>
      </w:r>
    </w:p>
    <w:p w14:paraId="552AB475" w14:textId="77777777"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Starší pacienti môžu mať zvýšenú expozíciu trimetazidínu, vzhľadom na vekom podmienené zníženie funkcie obličiek (pozri časť 5.2). U pacientov so stredne </w:t>
      </w:r>
      <w:r w:rsidR="00933A57" w:rsidRPr="006554C9">
        <w:rPr>
          <w:sz w:val="22"/>
          <w:szCs w:val="22"/>
          <w:lang w:val="sk-SK"/>
        </w:rPr>
        <w:t xml:space="preserve">ťažkou poruchou </w:t>
      </w:r>
      <w:r w:rsidRPr="006554C9">
        <w:rPr>
          <w:sz w:val="22"/>
          <w:szCs w:val="22"/>
          <w:lang w:val="sk-SK"/>
        </w:rPr>
        <w:t xml:space="preserve">funkcie obličiek (klírens kreatínu 30 - 60 ml/min) je odporúčanou dávkou jedna 35 mg tableta užitá ráno počas raňajok. </w:t>
      </w:r>
    </w:p>
    <w:p w14:paraId="6259D75A" w14:textId="77777777"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U starších pacientov sa má titrácia dávky vykonať opatrne (pozri časť 4.4).</w:t>
      </w:r>
    </w:p>
    <w:p w14:paraId="2BA77249" w14:textId="77777777" w:rsidR="00A93E04" w:rsidRPr="006554C9" w:rsidRDefault="00A93E04" w:rsidP="00A93E04">
      <w:pPr>
        <w:widowControl w:val="0"/>
        <w:rPr>
          <w:sz w:val="22"/>
          <w:szCs w:val="22"/>
          <w:lang w:val="sk-SK"/>
        </w:rPr>
      </w:pPr>
    </w:p>
    <w:p w14:paraId="51D82526" w14:textId="77777777" w:rsidR="00C03F1E" w:rsidRPr="006554C9" w:rsidRDefault="00C03F1E" w:rsidP="00C03F1E">
      <w:pPr>
        <w:rPr>
          <w:b/>
          <w:i/>
          <w:sz w:val="22"/>
          <w:szCs w:val="22"/>
          <w:lang w:val="sk-SK"/>
        </w:rPr>
      </w:pPr>
      <w:r w:rsidRPr="006554C9">
        <w:rPr>
          <w:i/>
          <w:noProof/>
          <w:sz w:val="22"/>
          <w:szCs w:val="22"/>
          <w:lang w:val="sk-SK"/>
        </w:rPr>
        <w:t>Pediatrická populácia</w:t>
      </w:r>
    </w:p>
    <w:p w14:paraId="6C15F958" w14:textId="77777777" w:rsidR="00A93E04" w:rsidRPr="004F0F6F" w:rsidRDefault="00A93E04" w:rsidP="00A93E04">
      <w:pPr>
        <w:widowControl w:val="0"/>
        <w:rPr>
          <w:sz w:val="22"/>
          <w:lang w:val="sk-SK"/>
        </w:rPr>
      </w:pPr>
      <w:r w:rsidRPr="006554C9">
        <w:rPr>
          <w:sz w:val="22"/>
          <w:szCs w:val="22"/>
          <w:lang w:val="sk-SK"/>
        </w:rPr>
        <w:t>Bezpečnosť a účinnosť trimetazidínu u detí vo veku do 18 rokov neboli doteraz stanovené. Nie sú dostupné žiadne údaje.</w:t>
      </w:r>
    </w:p>
    <w:p w14:paraId="220B9D4E" w14:textId="77777777" w:rsidR="00156D81" w:rsidRPr="006554C9" w:rsidRDefault="00156D81" w:rsidP="00630B89">
      <w:pPr>
        <w:widowControl w:val="0"/>
        <w:rPr>
          <w:sz w:val="22"/>
          <w:szCs w:val="22"/>
          <w:lang w:val="sk-SK"/>
        </w:rPr>
      </w:pPr>
    </w:p>
    <w:p w14:paraId="329E8863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4.3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Kontraindik</w:t>
      </w:r>
      <w:r w:rsidR="002C40F3" w:rsidRPr="006554C9">
        <w:rPr>
          <w:rFonts w:ascii="Times New Roman" w:hAnsi="Times New Roman" w:cs="Times New Roman"/>
          <w:b/>
          <w:sz w:val="22"/>
          <w:szCs w:val="22"/>
          <w:lang w:val="sk-SK"/>
        </w:rPr>
        <w:t>ácie</w:t>
      </w:r>
    </w:p>
    <w:p w14:paraId="06E309A5" w14:textId="77777777" w:rsidR="00794564" w:rsidRPr="006554C9" w:rsidRDefault="00794564" w:rsidP="00630B89">
      <w:pPr>
        <w:widowControl w:val="0"/>
        <w:rPr>
          <w:sz w:val="22"/>
          <w:szCs w:val="22"/>
          <w:lang w:val="sk-SK"/>
        </w:rPr>
      </w:pPr>
    </w:p>
    <w:p w14:paraId="4EF5C3F3" w14:textId="77777777" w:rsidR="00A93E04" w:rsidRPr="006554C9" w:rsidRDefault="00A93E04" w:rsidP="00A93E0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lastRenderedPageBreak/>
        <w:t>Precitlivenosť na liečivo alebo na ktorúkoľvek z pomocných látok, uvedených v časti 6.1.</w:t>
      </w:r>
    </w:p>
    <w:p w14:paraId="456B2648" w14:textId="77777777" w:rsidR="00A93E04" w:rsidRPr="006554C9" w:rsidRDefault="00A93E04" w:rsidP="00A93E0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Parkinsonova choroba, príznaky parkinsonizmu, tremor, syndróm nepokojných nôh a iné pohybové ochorenia,</w:t>
      </w:r>
    </w:p>
    <w:p w14:paraId="3AA86C4D" w14:textId="77777777" w:rsidR="00A93E04" w:rsidRPr="006554C9" w:rsidRDefault="00933A57" w:rsidP="00A93E04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Ťažká porucha</w:t>
      </w:r>
      <w:r w:rsidR="00A93E04" w:rsidRPr="006554C9">
        <w:rPr>
          <w:sz w:val="22"/>
          <w:szCs w:val="22"/>
          <w:lang w:val="sk-SK"/>
        </w:rPr>
        <w:t xml:space="preserve"> funkcie obličiek (klírens </w:t>
      </w:r>
      <w:r w:rsidR="00C92D87" w:rsidRPr="006554C9">
        <w:rPr>
          <w:sz w:val="22"/>
          <w:szCs w:val="22"/>
          <w:lang w:val="sk-SK"/>
        </w:rPr>
        <w:t xml:space="preserve">kreatinínu </w:t>
      </w:r>
      <w:r w:rsidR="00A93E04" w:rsidRPr="006554C9">
        <w:rPr>
          <w:sz w:val="22"/>
          <w:szCs w:val="22"/>
          <w:lang w:val="sk-SK"/>
        </w:rPr>
        <w:t xml:space="preserve"> &lt; 30 ml/min). </w:t>
      </w:r>
    </w:p>
    <w:p w14:paraId="6A4F9F23" w14:textId="77777777" w:rsidR="00A93E04" w:rsidRPr="006554C9" w:rsidRDefault="00A93E04" w:rsidP="00630B89">
      <w:pPr>
        <w:widowControl w:val="0"/>
        <w:rPr>
          <w:sz w:val="22"/>
          <w:szCs w:val="22"/>
          <w:lang w:val="sk-SK"/>
        </w:rPr>
      </w:pPr>
    </w:p>
    <w:p w14:paraId="0B98E167" w14:textId="77777777" w:rsidR="0022495F" w:rsidRPr="006554C9" w:rsidRDefault="00125D05" w:rsidP="00630B89">
      <w:pPr>
        <w:widowControl w:val="0"/>
        <w:rPr>
          <w:b/>
          <w:sz w:val="22"/>
          <w:szCs w:val="22"/>
          <w:lang w:val="sk-SK"/>
        </w:rPr>
      </w:pPr>
      <w:r w:rsidRPr="006554C9">
        <w:rPr>
          <w:b/>
          <w:sz w:val="22"/>
          <w:szCs w:val="22"/>
          <w:lang w:val="sk-SK"/>
        </w:rPr>
        <w:t>4.4</w:t>
      </w:r>
      <w:r w:rsidR="00B044ED" w:rsidRPr="006554C9">
        <w:rPr>
          <w:b/>
          <w:sz w:val="22"/>
          <w:szCs w:val="22"/>
          <w:lang w:val="sk-SK"/>
        </w:rPr>
        <w:tab/>
      </w:r>
      <w:r w:rsidR="00897D92" w:rsidRPr="006554C9">
        <w:rPr>
          <w:b/>
          <w:sz w:val="22"/>
          <w:szCs w:val="22"/>
          <w:lang w:val="sk-SK"/>
        </w:rPr>
        <w:t>Osobitné upozornenia a opatrenia pri používaní</w:t>
      </w:r>
    </w:p>
    <w:p w14:paraId="030BDE2D" w14:textId="77777777" w:rsidR="0022495F" w:rsidRPr="006554C9" w:rsidRDefault="0022495F" w:rsidP="00630B89">
      <w:pPr>
        <w:widowControl w:val="0"/>
        <w:rPr>
          <w:sz w:val="22"/>
          <w:szCs w:val="22"/>
          <w:lang w:val="sk-SK"/>
        </w:rPr>
      </w:pPr>
    </w:p>
    <w:p w14:paraId="795708D6" w14:textId="77777777" w:rsidR="00C13835" w:rsidRPr="006554C9" w:rsidRDefault="00C40281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Liek nie je určený na liečbu akútnych záchvatov angíny pektoris, rovnako nie je indikovaný na iniciálnu liečbu nestabilnej angíny pektoris alebo infarktu myokardu, ani v predhospitalizačnej fáze, ani počas prvých dní hospitalizácie.</w:t>
      </w:r>
    </w:p>
    <w:p w14:paraId="1AFAE532" w14:textId="77777777" w:rsidR="00C13835" w:rsidRPr="006554C9" w:rsidRDefault="00C13835" w:rsidP="00630B89">
      <w:pPr>
        <w:widowControl w:val="0"/>
        <w:rPr>
          <w:sz w:val="22"/>
          <w:szCs w:val="22"/>
          <w:lang w:val="sk-SK"/>
        </w:rPr>
      </w:pPr>
    </w:p>
    <w:p w14:paraId="2637657D" w14:textId="77777777" w:rsidR="0022495F" w:rsidRPr="006554C9" w:rsidRDefault="00897D92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V prípade </w:t>
      </w:r>
      <w:r w:rsidR="00C40281" w:rsidRPr="006554C9">
        <w:rPr>
          <w:sz w:val="22"/>
          <w:szCs w:val="22"/>
          <w:lang w:val="sk-SK"/>
        </w:rPr>
        <w:t xml:space="preserve">vzniku anginózneho záchvatu v priebehu liečby </w:t>
      </w:r>
      <w:r w:rsidRPr="006554C9">
        <w:rPr>
          <w:sz w:val="22"/>
          <w:szCs w:val="22"/>
          <w:lang w:val="sk-SK"/>
        </w:rPr>
        <w:t xml:space="preserve">sa má </w:t>
      </w:r>
      <w:r w:rsidR="00C40281" w:rsidRPr="006554C9">
        <w:rPr>
          <w:sz w:val="22"/>
          <w:szCs w:val="22"/>
          <w:lang w:val="sk-SK"/>
        </w:rPr>
        <w:t xml:space="preserve">opätovne </w:t>
      </w:r>
      <w:r w:rsidRPr="006554C9">
        <w:rPr>
          <w:sz w:val="22"/>
          <w:szCs w:val="22"/>
          <w:lang w:val="sk-SK"/>
        </w:rPr>
        <w:t xml:space="preserve">zhodnotiť postihnutie koronárnych tepien </w:t>
      </w:r>
      <w:r w:rsidR="0022495F" w:rsidRPr="006554C9">
        <w:rPr>
          <w:sz w:val="22"/>
          <w:szCs w:val="22"/>
          <w:lang w:val="sk-SK"/>
        </w:rPr>
        <w:t>a</w:t>
      </w:r>
      <w:r w:rsidRPr="006554C9">
        <w:rPr>
          <w:sz w:val="22"/>
          <w:szCs w:val="22"/>
          <w:lang w:val="sk-SK"/>
        </w:rPr>
        <w:t> </w:t>
      </w:r>
      <w:r w:rsidR="0022495F" w:rsidRPr="006554C9">
        <w:rPr>
          <w:sz w:val="22"/>
          <w:szCs w:val="22"/>
          <w:lang w:val="sk-SK"/>
        </w:rPr>
        <w:t>pos</w:t>
      </w:r>
      <w:r w:rsidRPr="006554C9">
        <w:rPr>
          <w:sz w:val="22"/>
          <w:szCs w:val="22"/>
          <w:lang w:val="sk-SK"/>
        </w:rPr>
        <w:t>údiť vhodn</w:t>
      </w:r>
      <w:r w:rsidR="00C40281" w:rsidRPr="006554C9">
        <w:rPr>
          <w:sz w:val="22"/>
          <w:szCs w:val="22"/>
          <w:lang w:val="sk-SK"/>
        </w:rPr>
        <w:t>á</w:t>
      </w:r>
      <w:r w:rsidRPr="006554C9">
        <w:rPr>
          <w:sz w:val="22"/>
          <w:szCs w:val="22"/>
          <w:lang w:val="sk-SK"/>
        </w:rPr>
        <w:t xml:space="preserve"> liečb</w:t>
      </w:r>
      <w:r w:rsidR="00C40281" w:rsidRPr="006554C9">
        <w:rPr>
          <w:sz w:val="22"/>
          <w:szCs w:val="22"/>
          <w:lang w:val="sk-SK"/>
        </w:rPr>
        <w:t>a</w:t>
      </w:r>
      <w:r w:rsidR="0022495F" w:rsidRPr="006554C9">
        <w:rPr>
          <w:sz w:val="22"/>
          <w:szCs w:val="22"/>
          <w:lang w:val="sk-SK"/>
        </w:rPr>
        <w:t xml:space="preserve"> (medikamentózn</w:t>
      </w:r>
      <w:r w:rsidRPr="006554C9">
        <w:rPr>
          <w:sz w:val="22"/>
          <w:szCs w:val="22"/>
          <w:lang w:val="sk-SK"/>
        </w:rPr>
        <w:t>a liečba alebo revaskularizácia</w:t>
      </w:r>
      <w:r w:rsidR="0022495F" w:rsidRPr="006554C9">
        <w:rPr>
          <w:sz w:val="22"/>
          <w:szCs w:val="22"/>
          <w:lang w:val="sk-SK"/>
        </w:rPr>
        <w:t xml:space="preserve">).  </w:t>
      </w:r>
    </w:p>
    <w:p w14:paraId="363D3A56" w14:textId="77777777" w:rsidR="00C13835" w:rsidRPr="006554C9" w:rsidRDefault="00C13835" w:rsidP="00630B89">
      <w:pPr>
        <w:widowControl w:val="0"/>
        <w:rPr>
          <w:sz w:val="22"/>
          <w:szCs w:val="22"/>
          <w:lang w:val="sk-SK"/>
        </w:rPr>
      </w:pPr>
    </w:p>
    <w:p w14:paraId="65F3CB7C" w14:textId="77777777" w:rsidR="0041233E" w:rsidRPr="006554C9" w:rsidRDefault="0041233E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U</w:t>
      </w:r>
      <w:r w:rsidR="00897D92" w:rsidRPr="006554C9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pacient</w:t>
      </w:r>
      <w:r w:rsidR="00897D92" w:rsidRPr="006554C9">
        <w:rPr>
          <w:sz w:val="22"/>
          <w:szCs w:val="22"/>
          <w:lang w:val="sk-SK"/>
        </w:rPr>
        <w:t>ov s predispozíciou na glaukóm s uzavretým uhlom sa</w:t>
      </w:r>
      <w:r w:rsidRPr="006554C9">
        <w:rPr>
          <w:sz w:val="22"/>
          <w:szCs w:val="22"/>
          <w:lang w:val="sk-SK"/>
        </w:rPr>
        <w:t xml:space="preserve"> trimetazid</w:t>
      </w:r>
      <w:r w:rsidR="00897D92" w:rsidRPr="006554C9">
        <w:rPr>
          <w:sz w:val="22"/>
          <w:szCs w:val="22"/>
          <w:lang w:val="sk-SK"/>
        </w:rPr>
        <w:t>í</w:t>
      </w:r>
      <w:r w:rsidRPr="006554C9">
        <w:rPr>
          <w:sz w:val="22"/>
          <w:szCs w:val="22"/>
          <w:lang w:val="sk-SK"/>
        </w:rPr>
        <w:t>n musí používa</w:t>
      </w:r>
      <w:r w:rsidR="00897D92" w:rsidRPr="006554C9">
        <w:rPr>
          <w:sz w:val="22"/>
          <w:szCs w:val="22"/>
          <w:lang w:val="sk-SK"/>
        </w:rPr>
        <w:t xml:space="preserve">ť </w:t>
      </w:r>
      <w:r w:rsidRPr="006554C9">
        <w:rPr>
          <w:sz w:val="22"/>
          <w:szCs w:val="22"/>
          <w:lang w:val="sk-SK"/>
        </w:rPr>
        <w:t>s</w:t>
      </w:r>
      <w:r w:rsidR="00897D92" w:rsidRPr="006554C9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opatrnos</w:t>
      </w:r>
      <w:r w:rsidR="00897D92" w:rsidRPr="006554C9">
        <w:rPr>
          <w:sz w:val="22"/>
          <w:szCs w:val="22"/>
          <w:lang w:val="sk-SK"/>
        </w:rPr>
        <w:t>ťou.</w:t>
      </w:r>
    </w:p>
    <w:p w14:paraId="54D23082" w14:textId="77777777" w:rsidR="002A4AF7" w:rsidRPr="006554C9" w:rsidRDefault="002A4AF7" w:rsidP="00630B89">
      <w:pPr>
        <w:widowControl w:val="0"/>
        <w:rPr>
          <w:sz w:val="22"/>
          <w:szCs w:val="22"/>
          <w:lang w:val="sk-SK"/>
        </w:rPr>
      </w:pPr>
    </w:p>
    <w:p w14:paraId="1E9BCA9D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Trimetazidín môže spôsobiť alebo zhoršiť príznaky parkinsonizmu (tremor, akinéza, hypertónia), ktoré majú byť pravidelne vyšetrené, najmä u starších pacientov. V sporných prípadoch má byť pacient odkázaný na neurológa kvôli príslušným vyšetreniam. </w:t>
      </w:r>
    </w:p>
    <w:p w14:paraId="59B8A547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</w:p>
    <w:p w14:paraId="1BA97022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Výskyt pohybových ochorení ako sú príznaky parkinsonizmu, syndróm nepokojných nôh, tremor, nestabilná chôdza má viesť k definitívnemu vysadeniu trimetazidínu. </w:t>
      </w:r>
    </w:p>
    <w:p w14:paraId="4E3F8BF0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</w:p>
    <w:p w14:paraId="76E849E1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Tieto prípady majú nízky výskyt a sú zvyčajne reverzibilné po ukončení liečby. Väčšina pacientov sa zotaví počas 4 mesiacov po vysadení trimetazidínu. Ak príznaky parkinsonizmu pretrvávajú viac ako 4 mesiace po ukončení liečby, má sa vyžiadať stanovisko neurológa. </w:t>
      </w:r>
    </w:p>
    <w:p w14:paraId="486738D2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</w:p>
    <w:p w14:paraId="3AFBA256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Môžu sa vyskytnúť pády, vzhľadom na nestabilnú chôdzu alebo hypotenziu, najmä u pacientov užívajúcich antihypertenznú liečbu (pozri časť 4.8). </w:t>
      </w:r>
    </w:p>
    <w:p w14:paraId="628F931C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</w:p>
    <w:p w14:paraId="390B7928" w14:textId="77777777" w:rsidR="002A4AF7" w:rsidRPr="006554C9" w:rsidRDefault="002A4AF7" w:rsidP="002A4AF7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Opatrnosť je potrebná pri predpisovaní trimetazidínu pacientom u ktorých sa očakáva zvýšená expozícia: </w:t>
      </w:r>
    </w:p>
    <w:p w14:paraId="0833C129" w14:textId="77777777" w:rsidR="002A4AF7" w:rsidRPr="006554C9" w:rsidRDefault="002A4AF7" w:rsidP="002A4AF7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stredne </w:t>
      </w:r>
      <w:r w:rsidR="00933A57" w:rsidRPr="006554C9">
        <w:rPr>
          <w:sz w:val="22"/>
          <w:szCs w:val="22"/>
          <w:lang w:val="sk-SK"/>
        </w:rPr>
        <w:t>ťažká porucha</w:t>
      </w:r>
      <w:r w:rsidRPr="006554C9">
        <w:rPr>
          <w:sz w:val="22"/>
          <w:szCs w:val="22"/>
          <w:lang w:val="sk-SK"/>
        </w:rPr>
        <w:t xml:space="preserve"> funkcie obličiek (pozri časti </w:t>
      </w:r>
      <w:smartTag w:uri="urn:schemas-microsoft-com:office:smarttags" w:element="metricconverter">
        <w:smartTagPr>
          <w:attr w:name="ProductID" w:val="4.2 a"/>
        </w:smartTagPr>
        <w:r w:rsidRPr="006554C9">
          <w:rPr>
            <w:sz w:val="22"/>
            <w:szCs w:val="22"/>
            <w:lang w:val="sk-SK"/>
          </w:rPr>
          <w:t>4.2 a</w:t>
        </w:r>
      </w:smartTag>
      <w:r w:rsidRPr="006554C9">
        <w:rPr>
          <w:sz w:val="22"/>
          <w:szCs w:val="22"/>
          <w:lang w:val="sk-SK"/>
        </w:rPr>
        <w:t xml:space="preserve"> 5.2),</w:t>
      </w:r>
    </w:p>
    <w:p w14:paraId="4485FC44" w14:textId="77777777" w:rsidR="002A4AF7" w:rsidRPr="006554C9" w:rsidRDefault="002A4AF7" w:rsidP="002A4AF7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pacienti starší ako 75 rokov (pozri časť 4.2) </w:t>
      </w:r>
    </w:p>
    <w:p w14:paraId="632B8349" w14:textId="77777777" w:rsidR="00C03F1E" w:rsidRPr="006554C9" w:rsidRDefault="00C03F1E" w:rsidP="00630B89">
      <w:pPr>
        <w:widowControl w:val="0"/>
        <w:rPr>
          <w:sz w:val="22"/>
          <w:szCs w:val="22"/>
          <w:u w:val="single"/>
          <w:lang w:val="sk-SK"/>
        </w:rPr>
      </w:pPr>
    </w:p>
    <w:p w14:paraId="17586568" w14:textId="77777777" w:rsidR="0041233E" w:rsidRPr="006554C9" w:rsidRDefault="0041233E" w:rsidP="00630B89">
      <w:pPr>
        <w:widowControl w:val="0"/>
        <w:rPr>
          <w:sz w:val="22"/>
          <w:szCs w:val="22"/>
          <w:u w:val="single"/>
          <w:lang w:val="sk-SK"/>
        </w:rPr>
      </w:pPr>
      <w:r w:rsidRPr="006554C9">
        <w:rPr>
          <w:sz w:val="22"/>
          <w:szCs w:val="22"/>
          <w:u w:val="single"/>
          <w:lang w:val="sk-SK"/>
        </w:rPr>
        <w:t>Sodík</w:t>
      </w:r>
    </w:p>
    <w:p w14:paraId="3537111C" w14:textId="77777777" w:rsidR="0041233E" w:rsidRPr="006554C9" w:rsidRDefault="0041233E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Tento </w:t>
      </w:r>
      <w:r w:rsidR="00897D92" w:rsidRPr="006554C9">
        <w:rPr>
          <w:sz w:val="22"/>
          <w:szCs w:val="22"/>
          <w:lang w:val="sk-SK"/>
        </w:rPr>
        <w:t xml:space="preserve">liek </w:t>
      </w:r>
      <w:r w:rsidRPr="006554C9">
        <w:rPr>
          <w:sz w:val="22"/>
          <w:szCs w:val="22"/>
          <w:lang w:val="sk-SK"/>
        </w:rPr>
        <w:t>obsahuje 56 mg sodík</w:t>
      </w:r>
      <w:r w:rsidR="00811990" w:rsidRPr="006554C9">
        <w:rPr>
          <w:sz w:val="22"/>
          <w:szCs w:val="22"/>
          <w:lang w:val="sk-SK"/>
        </w:rPr>
        <w:t>a</w:t>
      </w:r>
      <w:r w:rsidRPr="006554C9">
        <w:rPr>
          <w:sz w:val="22"/>
          <w:szCs w:val="22"/>
          <w:lang w:val="sk-SK"/>
        </w:rPr>
        <w:t xml:space="preserve"> v</w:t>
      </w:r>
      <w:r w:rsidR="00897D92" w:rsidRPr="006554C9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jedn</w:t>
      </w:r>
      <w:r w:rsidR="00897D92" w:rsidRPr="006554C9">
        <w:rPr>
          <w:sz w:val="22"/>
          <w:szCs w:val="22"/>
          <w:lang w:val="sk-SK"/>
        </w:rPr>
        <w:t>ej dávke.</w:t>
      </w:r>
      <w:r w:rsidRPr="006554C9">
        <w:rPr>
          <w:sz w:val="22"/>
          <w:szCs w:val="22"/>
          <w:lang w:val="sk-SK"/>
        </w:rPr>
        <w:t xml:space="preserve"> </w:t>
      </w:r>
    </w:p>
    <w:p w14:paraId="1C984035" w14:textId="77777777" w:rsidR="00857044" w:rsidRPr="006554C9" w:rsidRDefault="00F10065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Má sa vziať do úvahy u pacientov s</w:t>
      </w:r>
      <w:r w:rsidR="00933A57" w:rsidRPr="006554C9">
        <w:rPr>
          <w:sz w:val="22"/>
          <w:szCs w:val="22"/>
          <w:lang w:val="sk-SK"/>
        </w:rPr>
        <w:t xml:space="preserve"> poruchou funkcie </w:t>
      </w:r>
      <w:r w:rsidRPr="006554C9">
        <w:rPr>
          <w:sz w:val="22"/>
          <w:szCs w:val="22"/>
          <w:lang w:val="sk-SK"/>
        </w:rPr>
        <w:t>obličiek alebo u pacientov na diéte s kontrolovaným obsahom sodíka.</w:t>
      </w:r>
    </w:p>
    <w:p w14:paraId="17E3ED59" w14:textId="77777777" w:rsidR="0041233E" w:rsidRPr="006554C9" w:rsidRDefault="0041233E" w:rsidP="00630B89">
      <w:pPr>
        <w:widowControl w:val="0"/>
        <w:rPr>
          <w:sz w:val="22"/>
          <w:szCs w:val="22"/>
          <w:lang w:val="sk-SK"/>
        </w:rPr>
      </w:pPr>
    </w:p>
    <w:p w14:paraId="1E153CBC" w14:textId="77777777" w:rsidR="00B044ED" w:rsidRPr="006554C9" w:rsidRDefault="00B044ED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</w:t>
      </w:r>
      <w:r w:rsidR="00125D05" w:rsidRPr="006554C9">
        <w:rPr>
          <w:rFonts w:ascii="Times New Roman" w:hAnsi="Times New Roman" w:cs="Times New Roman"/>
          <w:b/>
          <w:sz w:val="22"/>
          <w:szCs w:val="22"/>
          <w:lang w:val="sk-SK"/>
        </w:rPr>
        <w:t>.5</w:t>
      </w:r>
      <w:r w:rsidR="00A42003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Liekové a iné interakcie</w:t>
      </w:r>
    </w:p>
    <w:p w14:paraId="2FC7C420" w14:textId="77777777" w:rsidR="004706A8" w:rsidRPr="006554C9" w:rsidRDefault="004706A8" w:rsidP="00630B89">
      <w:pPr>
        <w:widowControl w:val="0"/>
        <w:rPr>
          <w:sz w:val="22"/>
          <w:szCs w:val="22"/>
          <w:lang w:val="sk-SK"/>
        </w:rPr>
      </w:pPr>
    </w:p>
    <w:p w14:paraId="1DBBD293" w14:textId="77777777" w:rsidR="0022495F" w:rsidRPr="006554C9" w:rsidRDefault="00C40281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Neboli zaznamenané žiadne liekové interakcie</w:t>
      </w:r>
      <w:r w:rsidR="00C61E5A" w:rsidRPr="006554C9">
        <w:rPr>
          <w:sz w:val="22"/>
          <w:szCs w:val="22"/>
          <w:lang w:val="sk-SK"/>
        </w:rPr>
        <w:t>; obzvlášť, trimetazidín sa môže predpisovať v kombinácii s heparínom, kalciparínom, antagonistami vitamínu K, perorálnymi hypolipidemikami, kyselinou acetylsalicylovou, betablokátormi, inhibítormi vápnikových kanálov, kardioglykozidmi (trimetazidín nemá vplyv na plazmatické hladiny digoxínu)</w:t>
      </w:r>
      <w:r w:rsidR="0022495F" w:rsidRPr="006554C9">
        <w:rPr>
          <w:sz w:val="22"/>
          <w:szCs w:val="22"/>
          <w:lang w:val="sk-SK"/>
        </w:rPr>
        <w:t>.</w:t>
      </w:r>
      <w:r w:rsidR="00A60D4B" w:rsidRPr="006554C9">
        <w:rPr>
          <w:sz w:val="22"/>
          <w:szCs w:val="22"/>
          <w:lang w:val="sk-SK"/>
        </w:rPr>
        <w:t xml:space="preserve"> </w:t>
      </w:r>
    </w:p>
    <w:p w14:paraId="498A07CD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4F5A185E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4.6</w:t>
      </w:r>
      <w:r w:rsidR="00C40281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630B89" w:rsidRPr="006554C9">
        <w:rPr>
          <w:rFonts w:ascii="Times New Roman" w:hAnsi="Times New Roman" w:cs="Times New Roman"/>
          <w:b/>
          <w:sz w:val="22"/>
          <w:szCs w:val="22"/>
          <w:lang w:val="sk-SK"/>
        </w:rPr>
        <w:t>Fertilita, g</w:t>
      </w:r>
      <w:r w:rsidR="00C40281" w:rsidRPr="006554C9">
        <w:rPr>
          <w:rFonts w:ascii="Times New Roman" w:hAnsi="Times New Roman" w:cs="Times New Roman"/>
          <w:b/>
          <w:sz w:val="22"/>
          <w:szCs w:val="22"/>
          <w:lang w:val="sk-SK"/>
        </w:rPr>
        <w:t>ravidita a laktácia</w:t>
      </w:r>
    </w:p>
    <w:p w14:paraId="4E65A045" w14:textId="77777777" w:rsidR="00A63F96" w:rsidRPr="006554C9" w:rsidRDefault="00A63F96" w:rsidP="00630B89">
      <w:pPr>
        <w:widowControl w:val="0"/>
        <w:rPr>
          <w:sz w:val="22"/>
          <w:szCs w:val="22"/>
          <w:lang w:val="sk-SK"/>
        </w:rPr>
      </w:pPr>
    </w:p>
    <w:p w14:paraId="2BC253E7" w14:textId="77777777" w:rsidR="00A63F96" w:rsidRPr="006554C9" w:rsidRDefault="00087F72" w:rsidP="00630B89">
      <w:pPr>
        <w:widowControl w:val="0"/>
        <w:rPr>
          <w:i/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>Gravidita</w:t>
      </w:r>
    </w:p>
    <w:p w14:paraId="5919A0C7" w14:textId="77777777" w:rsidR="0022495F" w:rsidRPr="006554C9" w:rsidRDefault="00087F72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Nie sú dostupné adekvátne údaje o používaní trimetazidínu u gravidných žien. Štúdie na zvieratách nie sú dostačujúce (pozri časť </w:t>
      </w:r>
      <w:r w:rsidR="00871A2C" w:rsidRPr="006554C9">
        <w:rPr>
          <w:sz w:val="22"/>
          <w:szCs w:val="22"/>
          <w:lang w:val="sk-SK"/>
        </w:rPr>
        <w:t xml:space="preserve">5.3). </w:t>
      </w:r>
      <w:r w:rsidRPr="006554C9">
        <w:rPr>
          <w:sz w:val="22"/>
          <w:szCs w:val="22"/>
          <w:lang w:val="sk-SK"/>
        </w:rPr>
        <w:t>Potenciálne riziko pre človeka nie je znám</w:t>
      </w:r>
      <w:r w:rsidR="00125D05" w:rsidRPr="006554C9">
        <w:rPr>
          <w:sz w:val="22"/>
          <w:szCs w:val="22"/>
          <w:lang w:val="sk-SK"/>
        </w:rPr>
        <w:t>e</w:t>
      </w:r>
      <w:r w:rsidRPr="006554C9">
        <w:rPr>
          <w:sz w:val="22"/>
          <w:szCs w:val="22"/>
          <w:lang w:val="sk-SK"/>
        </w:rPr>
        <w:t>. Preto sa neodporúča užívať trimetazidín počas gravidity</w:t>
      </w:r>
      <w:r w:rsidR="00125D05" w:rsidRPr="006554C9">
        <w:rPr>
          <w:sz w:val="22"/>
          <w:szCs w:val="22"/>
          <w:lang w:val="sk-SK"/>
        </w:rPr>
        <w:t>.</w:t>
      </w:r>
    </w:p>
    <w:p w14:paraId="4739E6A8" w14:textId="77777777" w:rsidR="0022495F" w:rsidRPr="006554C9" w:rsidRDefault="0022495F" w:rsidP="00630B89">
      <w:pPr>
        <w:widowControl w:val="0"/>
        <w:rPr>
          <w:i/>
          <w:sz w:val="22"/>
          <w:szCs w:val="22"/>
          <w:lang w:val="sk-SK"/>
        </w:rPr>
      </w:pPr>
    </w:p>
    <w:p w14:paraId="1352983F" w14:textId="77777777" w:rsidR="0022495F" w:rsidRPr="006554C9" w:rsidRDefault="0065254A" w:rsidP="00630B89">
      <w:pPr>
        <w:widowControl w:val="0"/>
        <w:rPr>
          <w:b/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Dojčenie</w:t>
      </w:r>
    </w:p>
    <w:p w14:paraId="62A75ADD" w14:textId="77777777" w:rsidR="00CD5AA8" w:rsidRPr="006554C9" w:rsidRDefault="00871A2C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lastRenderedPageBreak/>
        <w:t>N</w:t>
      </w:r>
      <w:r w:rsidR="00087F72" w:rsidRPr="006554C9">
        <w:rPr>
          <w:sz w:val="22"/>
          <w:szCs w:val="22"/>
          <w:lang w:val="sk-SK"/>
        </w:rPr>
        <w:t>ie je znám</w:t>
      </w:r>
      <w:r w:rsidR="00CD5AA8" w:rsidRPr="006554C9">
        <w:rPr>
          <w:sz w:val="22"/>
          <w:szCs w:val="22"/>
          <w:lang w:val="sk-SK"/>
        </w:rPr>
        <w:t>e</w:t>
      </w:r>
      <w:r w:rsidR="00FF193E" w:rsidRPr="006554C9">
        <w:rPr>
          <w:sz w:val="22"/>
          <w:szCs w:val="22"/>
          <w:lang w:val="sk-SK"/>
        </w:rPr>
        <w:t>, či</w:t>
      </w:r>
      <w:r w:rsidR="00CD5AA8" w:rsidRPr="006554C9">
        <w:rPr>
          <w:sz w:val="22"/>
          <w:szCs w:val="22"/>
          <w:lang w:val="sk-SK"/>
        </w:rPr>
        <w:t xml:space="preserve"> sa trimetazidín vylučuje do materského mlieka. Keďže nie je možné vylúčiť riziko vylučovania trimetazidínu do materského mlieka, neodporúča sa používať trimetazidín počas </w:t>
      </w:r>
      <w:r w:rsidR="0065254A">
        <w:rPr>
          <w:sz w:val="22"/>
          <w:szCs w:val="22"/>
          <w:lang w:val="sk-SK"/>
        </w:rPr>
        <w:t>dojčenia</w:t>
      </w:r>
      <w:r w:rsidR="00CD5AA8" w:rsidRPr="006554C9">
        <w:rPr>
          <w:sz w:val="22"/>
          <w:szCs w:val="22"/>
          <w:lang w:val="sk-SK"/>
        </w:rPr>
        <w:t>.</w:t>
      </w:r>
    </w:p>
    <w:p w14:paraId="4955B00B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774F7514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4.7</w:t>
      </w:r>
      <w:r w:rsidR="00CD5AA8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Ovplyvnenie schopnosti viesť vozidlá a obsluhovať stroje</w:t>
      </w:r>
    </w:p>
    <w:p w14:paraId="3E4B6D5D" w14:textId="77777777" w:rsidR="0022495F" w:rsidRPr="006554C9" w:rsidRDefault="00CD5AA8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 </w:t>
      </w:r>
    </w:p>
    <w:p w14:paraId="6EAF4E3E" w14:textId="77777777" w:rsidR="00C13835" w:rsidRPr="006554C9" w:rsidRDefault="00C13835" w:rsidP="00C13835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Trimetazidín v klinických štúdiách nemá hemodynamické účinky, avšak v post-marketingovej praxi boli pozorované prípady závratov a ospalosti (pozri časť 4.8), ktoré môžu ovplyvniť schopnosť viesť vozidlá a obsluhovať stroje. </w:t>
      </w:r>
    </w:p>
    <w:p w14:paraId="565988F9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43E89A63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4.8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Ne</w:t>
      </w:r>
      <w:r w:rsidR="00CD5AA8" w:rsidRPr="006554C9">
        <w:rPr>
          <w:rFonts w:ascii="Times New Roman" w:hAnsi="Times New Roman" w:cs="Times New Roman"/>
          <w:b/>
          <w:sz w:val="22"/>
          <w:szCs w:val="22"/>
          <w:lang w:val="sk-SK"/>
        </w:rPr>
        <w:t>žiad</w:t>
      </w: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u</w:t>
      </w:r>
      <w:r w:rsidR="00CD5AA8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ce 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účinky</w:t>
      </w:r>
    </w:p>
    <w:p w14:paraId="4D77B150" w14:textId="77777777" w:rsidR="00A63F96" w:rsidRPr="006554C9" w:rsidRDefault="00A63F96" w:rsidP="00630B89">
      <w:pPr>
        <w:widowControl w:val="0"/>
        <w:rPr>
          <w:sz w:val="22"/>
          <w:szCs w:val="22"/>
          <w:lang w:val="sk-SK"/>
        </w:rPr>
      </w:pPr>
    </w:p>
    <w:p w14:paraId="03DA32BE" w14:textId="77777777" w:rsidR="00FF193E" w:rsidRPr="006554C9" w:rsidRDefault="003A54CA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N</w:t>
      </w:r>
      <w:r w:rsidR="00CD5AA8" w:rsidRPr="006554C9">
        <w:rPr>
          <w:sz w:val="22"/>
          <w:szCs w:val="22"/>
          <w:lang w:val="sk-SK"/>
        </w:rPr>
        <w:t>ežiad</w:t>
      </w:r>
      <w:r w:rsidR="00125D05" w:rsidRPr="006554C9">
        <w:rPr>
          <w:sz w:val="22"/>
          <w:szCs w:val="22"/>
          <w:lang w:val="sk-SK"/>
        </w:rPr>
        <w:t>u</w:t>
      </w:r>
      <w:r w:rsidR="00CD5AA8" w:rsidRPr="006554C9">
        <w:rPr>
          <w:sz w:val="22"/>
          <w:szCs w:val="22"/>
          <w:lang w:val="sk-SK"/>
        </w:rPr>
        <w:t xml:space="preserve">ce </w:t>
      </w:r>
      <w:r w:rsidR="00A63F96" w:rsidRPr="006554C9">
        <w:rPr>
          <w:sz w:val="22"/>
          <w:szCs w:val="22"/>
          <w:lang w:val="sk-SK"/>
        </w:rPr>
        <w:t xml:space="preserve">účinky </w:t>
      </w:r>
      <w:r w:rsidRPr="006554C9">
        <w:rPr>
          <w:sz w:val="22"/>
          <w:szCs w:val="22"/>
          <w:lang w:val="sk-SK"/>
        </w:rPr>
        <w:t xml:space="preserve">pozorované </w:t>
      </w:r>
      <w:r w:rsidR="00CD5AA8" w:rsidRPr="006554C9">
        <w:rPr>
          <w:sz w:val="22"/>
          <w:szCs w:val="22"/>
          <w:lang w:val="sk-SK"/>
        </w:rPr>
        <w:t>pri užívaní trimetazidínu sú klasifikované podľa nasledujúcej terminológie a frekvencie: veľ</w:t>
      </w:r>
      <w:r w:rsidR="00A63F96" w:rsidRPr="006554C9">
        <w:rPr>
          <w:sz w:val="22"/>
          <w:szCs w:val="22"/>
          <w:lang w:val="sk-SK"/>
        </w:rPr>
        <w:t>mi časté (≥1/10), časté (≥1/100 až &lt;1/10), m</w:t>
      </w:r>
      <w:r w:rsidR="00CD5AA8" w:rsidRPr="006554C9">
        <w:rPr>
          <w:sz w:val="22"/>
          <w:szCs w:val="22"/>
          <w:lang w:val="sk-SK"/>
        </w:rPr>
        <w:t>enej</w:t>
      </w:r>
      <w:r w:rsidR="00A63F96" w:rsidRPr="006554C9">
        <w:rPr>
          <w:sz w:val="22"/>
          <w:szCs w:val="22"/>
          <w:lang w:val="sk-SK"/>
        </w:rPr>
        <w:t xml:space="preserve"> časté (≥1/1</w:t>
      </w:r>
      <w:r w:rsidR="00FF193E" w:rsidRPr="006554C9">
        <w:rPr>
          <w:sz w:val="22"/>
          <w:szCs w:val="22"/>
          <w:lang w:val="sk-SK"/>
        </w:rPr>
        <w:t> </w:t>
      </w:r>
      <w:r w:rsidR="00A63F96" w:rsidRPr="006554C9">
        <w:rPr>
          <w:sz w:val="22"/>
          <w:szCs w:val="22"/>
          <w:lang w:val="sk-SK"/>
        </w:rPr>
        <w:t xml:space="preserve">000 až &lt;1/100), </w:t>
      </w:r>
      <w:r w:rsidR="00CD5AA8" w:rsidRPr="006554C9">
        <w:rPr>
          <w:sz w:val="22"/>
          <w:szCs w:val="22"/>
          <w:lang w:val="sk-SK"/>
        </w:rPr>
        <w:t>zriedkavé</w:t>
      </w:r>
      <w:r w:rsidR="00A63F96" w:rsidRPr="006554C9">
        <w:rPr>
          <w:sz w:val="22"/>
          <w:szCs w:val="22"/>
          <w:lang w:val="sk-SK"/>
        </w:rPr>
        <w:t xml:space="preserve"> (≥1/10</w:t>
      </w:r>
      <w:r w:rsidR="00FF193E" w:rsidRPr="006554C9">
        <w:rPr>
          <w:sz w:val="22"/>
          <w:szCs w:val="22"/>
          <w:lang w:val="sk-SK"/>
        </w:rPr>
        <w:t> </w:t>
      </w:r>
      <w:r w:rsidR="00A63F96" w:rsidRPr="006554C9">
        <w:rPr>
          <w:sz w:val="22"/>
          <w:szCs w:val="22"/>
          <w:lang w:val="sk-SK"/>
        </w:rPr>
        <w:t>000 až &lt;1/1</w:t>
      </w:r>
      <w:r w:rsidR="00FF193E" w:rsidRPr="006554C9">
        <w:rPr>
          <w:lang w:val="sk-SK"/>
        </w:rPr>
        <w:t> </w:t>
      </w:r>
      <w:r w:rsidR="00A63F96" w:rsidRPr="006554C9">
        <w:rPr>
          <w:sz w:val="22"/>
          <w:szCs w:val="22"/>
          <w:lang w:val="sk-SK"/>
        </w:rPr>
        <w:t>000), ve</w:t>
      </w:r>
      <w:r w:rsidR="00CD5AA8" w:rsidRPr="006554C9">
        <w:rPr>
          <w:sz w:val="22"/>
          <w:szCs w:val="22"/>
          <w:lang w:val="sk-SK"/>
        </w:rPr>
        <w:t>ľ</w:t>
      </w:r>
      <w:r w:rsidR="00FF193E" w:rsidRPr="006554C9">
        <w:rPr>
          <w:sz w:val="22"/>
          <w:szCs w:val="22"/>
          <w:lang w:val="sk-SK"/>
        </w:rPr>
        <w:t>mi</w:t>
      </w:r>
      <w:r w:rsidR="00CD5AA8" w:rsidRPr="006554C9">
        <w:rPr>
          <w:sz w:val="22"/>
          <w:szCs w:val="22"/>
          <w:lang w:val="sk-SK"/>
        </w:rPr>
        <w:t xml:space="preserve"> zriedkavé </w:t>
      </w:r>
      <w:r w:rsidR="00A63F96" w:rsidRPr="006554C9">
        <w:rPr>
          <w:sz w:val="22"/>
          <w:szCs w:val="22"/>
          <w:lang w:val="sk-SK"/>
        </w:rPr>
        <w:t>(&lt;1/10</w:t>
      </w:r>
      <w:r w:rsidR="00FF193E" w:rsidRPr="006554C9">
        <w:rPr>
          <w:sz w:val="22"/>
          <w:szCs w:val="22"/>
          <w:lang w:val="sk-SK"/>
        </w:rPr>
        <w:t> </w:t>
      </w:r>
      <w:r w:rsidR="00A63F96" w:rsidRPr="006554C9">
        <w:rPr>
          <w:sz w:val="22"/>
          <w:szCs w:val="22"/>
          <w:lang w:val="sk-SK"/>
        </w:rPr>
        <w:t xml:space="preserve">000), </w:t>
      </w:r>
      <w:r w:rsidR="00FF193E" w:rsidRPr="006554C9">
        <w:rPr>
          <w:sz w:val="22"/>
          <w:szCs w:val="22"/>
          <w:lang w:val="sk-SK"/>
        </w:rPr>
        <w:t>neznáme (z dostupných údajov).</w:t>
      </w:r>
    </w:p>
    <w:p w14:paraId="64D94CFB" w14:textId="77777777" w:rsidR="00C94B96" w:rsidRPr="005F6DF6" w:rsidRDefault="00C94B96" w:rsidP="00C94B96">
      <w:pPr>
        <w:widowControl w:val="0"/>
        <w:rPr>
          <w:sz w:val="22"/>
          <w:szCs w:val="22"/>
          <w:lang w:val="sk-SK"/>
        </w:rPr>
      </w:pPr>
    </w:p>
    <w:tbl>
      <w:tblPr>
        <w:tblW w:w="914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1843"/>
        <w:gridCol w:w="4252"/>
      </w:tblGrid>
      <w:tr w:rsidR="00C94B96" w:rsidRPr="007032E1" w14:paraId="2DCC5514" w14:textId="77777777" w:rsidTr="002F7976">
        <w:trPr>
          <w:trHeight w:val="146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B2E98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b/>
                <w:bCs/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6F42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b/>
                <w:bCs/>
                <w:sz w:val="22"/>
                <w:szCs w:val="22"/>
              </w:rPr>
              <w:t xml:space="preserve">Frekvencia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A42280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b/>
                <w:bCs/>
                <w:sz w:val="22"/>
                <w:szCs w:val="22"/>
              </w:rPr>
              <w:t xml:space="preserve">Preferovaný termín </w:t>
            </w:r>
          </w:p>
        </w:tc>
      </w:tr>
      <w:tr w:rsidR="00C94B96" w:rsidRPr="007032E1" w14:paraId="48ECB06A" w14:textId="77777777" w:rsidTr="002F7976">
        <w:trPr>
          <w:trHeight w:val="144"/>
        </w:trPr>
        <w:tc>
          <w:tcPr>
            <w:tcW w:w="30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8AC2C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nervového systému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C78A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F0AB69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Závrat, bolesť hlavy </w:t>
            </w:r>
          </w:p>
        </w:tc>
      </w:tr>
      <w:tr w:rsidR="00C94B96" w:rsidRPr="00BF318F" w14:paraId="0416512D" w14:textId="77777777" w:rsidTr="002F7976">
        <w:trPr>
          <w:trHeight w:val="523"/>
        </w:trPr>
        <w:tc>
          <w:tcPr>
            <w:tcW w:w="304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8B81C" w14:textId="77777777" w:rsidR="00C94B96" w:rsidRPr="007032E1" w:rsidRDefault="00C94B96" w:rsidP="002F7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BEFB4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78497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Príznaky parkinsonizmu (tremor, akinéza, hypertónia), nestabilná chôdza, syndróm nepokojných nôh, iné pohybové ochorenia, zvyčajne reverzibilné po ukončení liečby </w:t>
            </w:r>
          </w:p>
        </w:tc>
      </w:tr>
      <w:tr w:rsidR="00C94B96" w:rsidRPr="007032E1" w14:paraId="28E2D4C9" w14:textId="77777777" w:rsidTr="002F7976">
        <w:trPr>
          <w:trHeight w:val="144"/>
        </w:trPr>
        <w:tc>
          <w:tcPr>
            <w:tcW w:w="304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4E74A" w14:textId="77777777" w:rsidR="00C94B96" w:rsidRPr="007032E1" w:rsidRDefault="00C94B96" w:rsidP="002F7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9E7B5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5B052F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spánku (nespavosť, ospalosť) </w:t>
            </w:r>
          </w:p>
        </w:tc>
      </w:tr>
      <w:tr w:rsidR="00C94B96" w:rsidRPr="007032E1" w14:paraId="0902E4F8" w14:textId="77777777" w:rsidTr="002F7976">
        <w:trPr>
          <w:trHeight w:val="270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EE79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srdca a srdcovej činnosti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E6E6D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AF1699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Palpitácie, extrasystoly, tachykardia </w:t>
            </w:r>
          </w:p>
        </w:tc>
      </w:tr>
      <w:tr w:rsidR="00C94B96" w:rsidRPr="00BF318F" w14:paraId="03081E39" w14:textId="77777777" w:rsidTr="002F7976">
        <w:trPr>
          <w:trHeight w:val="650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6BB76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ciev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6EA4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FB5C13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>Arteriálna hypote</w:t>
            </w:r>
            <w:r>
              <w:rPr>
                <w:sz w:val="22"/>
                <w:szCs w:val="22"/>
              </w:rPr>
              <w:t>n</w:t>
            </w:r>
            <w:r w:rsidRPr="007032E1">
              <w:rPr>
                <w:sz w:val="22"/>
                <w:szCs w:val="22"/>
              </w:rPr>
              <w:t xml:space="preserve">zia, ortostatická hypotenzia, ktorá môže byť spojená najmä s malátnosťou, závratom alebo pádom, najmä u pacientov užívajúcich antihypertenznú liečbu, návaly horúčavy </w:t>
            </w:r>
          </w:p>
        </w:tc>
      </w:tr>
      <w:tr w:rsidR="00C94B96" w:rsidRPr="00BF318F" w14:paraId="3A206E88" w14:textId="77777777" w:rsidTr="002F7976">
        <w:trPr>
          <w:trHeight w:val="270"/>
        </w:trPr>
        <w:tc>
          <w:tcPr>
            <w:tcW w:w="30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1199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gastrointestinálneho traktu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C10D2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DE2AE5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Bolesť brucha, hnačka, dyspepsia, nauzea a vracanie </w:t>
            </w:r>
          </w:p>
        </w:tc>
      </w:tr>
      <w:tr w:rsidR="00C94B96" w:rsidRPr="007032E1" w14:paraId="0A3C5D9D" w14:textId="77777777" w:rsidTr="002F7976">
        <w:trPr>
          <w:trHeight w:val="144"/>
        </w:trPr>
        <w:tc>
          <w:tcPr>
            <w:tcW w:w="304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1AFF" w14:textId="77777777" w:rsidR="00C94B96" w:rsidRPr="007032E1" w:rsidRDefault="00C94B96" w:rsidP="002F7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155F9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8BE0D0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Zápcha </w:t>
            </w:r>
          </w:p>
        </w:tc>
      </w:tr>
      <w:tr w:rsidR="00C94B96" w:rsidRPr="007032E1" w14:paraId="1F780A6A" w14:textId="77777777" w:rsidTr="002F7976">
        <w:trPr>
          <w:trHeight w:val="270"/>
        </w:trPr>
        <w:tc>
          <w:tcPr>
            <w:tcW w:w="30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FF8A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311D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781986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Vyrážka, pruritus, urtikária. </w:t>
            </w:r>
          </w:p>
        </w:tc>
      </w:tr>
      <w:tr w:rsidR="00C94B96" w:rsidRPr="00D10469" w14:paraId="27A7173B" w14:textId="77777777" w:rsidTr="002F7976">
        <w:trPr>
          <w:trHeight w:val="270"/>
        </w:trPr>
        <w:tc>
          <w:tcPr>
            <w:tcW w:w="304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44B17" w14:textId="77777777" w:rsidR="00C94B96" w:rsidRPr="007032E1" w:rsidRDefault="00C94B96" w:rsidP="002F7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18F3F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5107DB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Akútna generalizovaná exantematická pustulóza (AGEP), angioedém </w:t>
            </w:r>
          </w:p>
        </w:tc>
      </w:tr>
      <w:tr w:rsidR="00C94B96" w:rsidRPr="007032E1" w14:paraId="47B6C2AD" w14:textId="77777777" w:rsidTr="002F7976">
        <w:trPr>
          <w:trHeight w:val="270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2FCE7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Celkové poruchy a reakcie v mieste podania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09A3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07A0F6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Asténia </w:t>
            </w:r>
          </w:p>
        </w:tc>
      </w:tr>
      <w:tr w:rsidR="00C94B96" w:rsidRPr="007032E1" w14:paraId="09DC721B" w14:textId="77777777" w:rsidTr="002F7976">
        <w:trPr>
          <w:trHeight w:val="397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7415C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35072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E20013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Agranulocytóza </w:t>
            </w:r>
          </w:p>
          <w:p w14:paraId="1E29D0DD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Trombocytopénia </w:t>
            </w:r>
          </w:p>
          <w:p w14:paraId="453E80B5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Trombocytopenická purpura </w:t>
            </w:r>
          </w:p>
        </w:tc>
      </w:tr>
      <w:tr w:rsidR="00C94B96" w:rsidRPr="007032E1" w14:paraId="0A6B9AE5" w14:textId="77777777" w:rsidTr="002F7976">
        <w:trPr>
          <w:trHeight w:val="144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1AD2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Poruchy pečene a žlčových ciest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BE026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F3074B" w14:textId="77777777" w:rsidR="00C94B96" w:rsidRPr="007032E1" w:rsidRDefault="00C94B96" w:rsidP="002F7976">
            <w:pPr>
              <w:pStyle w:val="Default"/>
              <w:rPr>
                <w:sz w:val="22"/>
                <w:szCs w:val="22"/>
              </w:rPr>
            </w:pPr>
            <w:r w:rsidRPr="007032E1">
              <w:rPr>
                <w:sz w:val="22"/>
                <w:szCs w:val="22"/>
              </w:rPr>
              <w:t xml:space="preserve">Hepatitída </w:t>
            </w:r>
          </w:p>
        </w:tc>
      </w:tr>
      <w:tr w:rsidR="00C94B96" w:rsidRPr="007032E1" w14:paraId="28A4145B" w14:textId="77777777" w:rsidTr="002F7976">
        <w:trPr>
          <w:trHeight w:val="144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20414" w14:textId="77777777" w:rsidR="00C94B96" w:rsidRPr="00B83990" w:rsidRDefault="00C94B96" w:rsidP="002F7976">
            <w:pPr>
              <w:autoSpaceDE w:val="0"/>
              <w:autoSpaceDN w:val="0"/>
              <w:adjustRightInd w:val="0"/>
              <w:rPr>
                <w:snapToGrid/>
                <w:color w:val="000000"/>
                <w:sz w:val="22"/>
                <w:szCs w:val="22"/>
                <w:lang w:val="sk-SK" w:eastAsia="sk-SK"/>
              </w:rPr>
            </w:pPr>
            <w:r w:rsidRPr="00B83990">
              <w:rPr>
                <w:snapToGrid/>
                <w:color w:val="000000"/>
                <w:sz w:val="22"/>
                <w:szCs w:val="22"/>
                <w:lang w:val="sk-SK" w:eastAsia="sk-SK"/>
              </w:rPr>
              <w:t>Poruchy ucha</w:t>
            </w:r>
          </w:p>
          <w:p w14:paraId="7D0358A4" w14:textId="77777777" w:rsidR="00C94B96" w:rsidRPr="00B83990" w:rsidRDefault="00C94B96" w:rsidP="002F7976">
            <w:pPr>
              <w:pStyle w:val="Default"/>
              <w:rPr>
                <w:sz w:val="22"/>
                <w:szCs w:val="22"/>
              </w:rPr>
            </w:pPr>
            <w:r w:rsidRPr="00B83990">
              <w:rPr>
                <w:sz w:val="22"/>
                <w:szCs w:val="22"/>
              </w:rPr>
              <w:t>a labyrintu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C8291" w14:textId="77777777" w:rsidR="00C94B96" w:rsidRPr="00B83990" w:rsidRDefault="00C94B96" w:rsidP="002F7976">
            <w:pPr>
              <w:pStyle w:val="Default"/>
              <w:rPr>
                <w:sz w:val="22"/>
                <w:szCs w:val="22"/>
              </w:rPr>
            </w:pPr>
            <w:r w:rsidRPr="00B83990">
              <w:rPr>
                <w:sz w:val="22"/>
                <w:szCs w:val="22"/>
              </w:rPr>
              <w:t>Neznáme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D9B93C" w14:textId="77777777" w:rsidR="00C94B96" w:rsidRPr="00B83990" w:rsidRDefault="00C94B96" w:rsidP="002F7976">
            <w:pPr>
              <w:pStyle w:val="Default"/>
              <w:rPr>
                <w:sz w:val="22"/>
                <w:szCs w:val="22"/>
              </w:rPr>
            </w:pPr>
            <w:r w:rsidRPr="00B83990">
              <w:rPr>
                <w:sz w:val="22"/>
                <w:szCs w:val="22"/>
              </w:rPr>
              <w:t>Vertigo</w:t>
            </w:r>
          </w:p>
        </w:tc>
      </w:tr>
    </w:tbl>
    <w:p w14:paraId="39ADAD91" w14:textId="77777777" w:rsidR="00C94B96" w:rsidRPr="005F6DF6" w:rsidRDefault="00C94B96" w:rsidP="00C94B96">
      <w:pPr>
        <w:widowControl w:val="0"/>
        <w:rPr>
          <w:b/>
          <w:sz w:val="22"/>
          <w:szCs w:val="22"/>
          <w:lang w:val="sk-SK"/>
        </w:rPr>
      </w:pPr>
    </w:p>
    <w:p w14:paraId="56E86A97" w14:textId="77777777" w:rsidR="00435BBA" w:rsidRPr="006554C9" w:rsidRDefault="00435BBA" w:rsidP="00B1371E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6554C9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2D4E17AC" w14:textId="77777777" w:rsidR="00435BBA" w:rsidRPr="00722EB4" w:rsidRDefault="00435BBA" w:rsidP="00B1371E">
      <w:pPr>
        <w:pStyle w:val="Nadpis2"/>
        <w:keepLines/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6554C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554C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Umožňuje priebežné </w:t>
      </w:r>
      <w:r w:rsidRPr="00722EB4">
        <w:rPr>
          <w:rFonts w:ascii="Times New Roman" w:hAnsi="Times New Roman" w:cs="Times New Roman"/>
          <w:noProof/>
          <w:sz w:val="22"/>
          <w:szCs w:val="22"/>
          <w:lang w:val="sk-SK"/>
        </w:rPr>
        <w:t>monitorovanie pomeru prínosu</w:t>
      </w:r>
      <w:r w:rsidRPr="00722EB4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Pr="00722EB4">
        <w:rPr>
          <w:rFonts w:ascii="Times New Roman" w:hAnsi="Times New Roman" w:cs="Times New Roman"/>
          <w:noProof/>
          <w:sz w:val="22"/>
          <w:szCs w:val="22"/>
          <w:lang w:val="sk-SK"/>
        </w:rPr>
        <w:t> rizika lieku.</w:t>
      </w:r>
      <w:r w:rsidRPr="00722EB4">
        <w:rPr>
          <w:rFonts w:ascii="Times New Roman" w:hAnsi="Times New Roman" w:cs="Times New Roman"/>
          <w:sz w:val="22"/>
          <w:szCs w:val="22"/>
          <w:lang w:val="sk-SK"/>
        </w:rPr>
        <w:t xml:space="preserve"> Od </w:t>
      </w:r>
      <w:r w:rsidRPr="00722EB4">
        <w:rPr>
          <w:rFonts w:ascii="Times New Roman" w:hAnsi="Times New Roman" w:cs="Times New Roman"/>
          <w:noProof/>
          <w:sz w:val="22"/>
          <w:szCs w:val="22"/>
          <w:lang w:val="sk-SK"/>
        </w:rPr>
        <w:t>zdravotníckych pracovníkov sa vyžaduje, aby hlásili akékoľvek podozrenia na nežiaduce reakcie</w:t>
      </w:r>
      <w:r w:rsidR="0039751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65254A">
        <w:rPr>
          <w:rFonts w:ascii="Times New Roman" w:hAnsi="Times New Roman" w:cs="Times New Roman"/>
          <w:noProof/>
          <w:sz w:val="22"/>
          <w:szCs w:val="22"/>
          <w:lang w:val="sk-SK"/>
        </w:rPr>
        <w:t>na</w:t>
      </w:r>
      <w:r w:rsidRPr="00722EB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722EB4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65254A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="0065254A" w:rsidRPr="00722EB4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</w:t>
      </w:r>
      <w:r w:rsidRPr="00722EB4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hlásenia uvedené v </w:t>
      </w:r>
      <w:hyperlink r:id="rId7">
        <w:r w:rsidR="00722EB4" w:rsidRPr="00722EB4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Prílohe V</w:t>
        </w:r>
      </w:hyperlink>
      <w:r w:rsidRPr="00722EB4">
        <w:rPr>
          <w:rStyle w:val="Hypertextovprepojenie"/>
          <w:rFonts w:ascii="Times New Roman" w:hAnsi="Times New Roman" w:cs="Times New Roman"/>
          <w:noProof/>
          <w:color w:val="auto"/>
          <w:sz w:val="22"/>
          <w:szCs w:val="22"/>
          <w:highlight w:val="lightGray"/>
          <w:u w:val="none"/>
          <w:lang w:val="sk-SK"/>
        </w:rPr>
        <w:t>.</w:t>
      </w:r>
    </w:p>
    <w:p w14:paraId="27EEDBC8" w14:textId="77777777" w:rsidR="00435BBA" w:rsidRDefault="00435BBA" w:rsidP="00B1371E">
      <w:pPr>
        <w:pStyle w:val="Nadpis2"/>
        <w:keepLines/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11724746" w14:textId="77777777" w:rsidR="0006173C" w:rsidRPr="00B20493" w:rsidRDefault="0006173C" w:rsidP="00B20493">
      <w:pPr>
        <w:rPr>
          <w:lang w:val="sk-SK"/>
        </w:rPr>
      </w:pPr>
    </w:p>
    <w:p w14:paraId="68250412" w14:textId="77777777" w:rsidR="00B044ED" w:rsidRPr="006554C9" w:rsidRDefault="00125D05" w:rsidP="00630B89">
      <w:pPr>
        <w:pStyle w:val="Nadpis2"/>
        <w:keepLines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4.9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P</w:t>
      </w:r>
      <w:r w:rsidR="00870B95" w:rsidRPr="006554C9">
        <w:rPr>
          <w:rFonts w:ascii="Times New Roman" w:hAnsi="Times New Roman" w:cs="Times New Roman"/>
          <w:b/>
          <w:sz w:val="22"/>
          <w:szCs w:val="22"/>
          <w:lang w:val="sk-SK"/>
        </w:rPr>
        <w:t>redávkovanie</w:t>
      </w:r>
    </w:p>
    <w:p w14:paraId="6F1A16DB" w14:textId="77777777" w:rsidR="00B044ED" w:rsidRPr="006554C9" w:rsidRDefault="00B044ED" w:rsidP="00630B89">
      <w:pPr>
        <w:keepNext/>
        <w:keepLines/>
        <w:rPr>
          <w:sz w:val="22"/>
          <w:szCs w:val="22"/>
          <w:lang w:val="sk-SK"/>
        </w:rPr>
      </w:pPr>
    </w:p>
    <w:p w14:paraId="56EBB41C" w14:textId="77777777" w:rsidR="009C0260" w:rsidRPr="006554C9" w:rsidRDefault="00870B95" w:rsidP="00630B89">
      <w:pPr>
        <w:widowControl w:val="0"/>
        <w:rPr>
          <w:iCs/>
          <w:sz w:val="22"/>
          <w:szCs w:val="22"/>
          <w:lang w:val="sk-SK"/>
        </w:rPr>
      </w:pPr>
      <w:r w:rsidRPr="006554C9">
        <w:rPr>
          <w:iCs/>
          <w:sz w:val="22"/>
          <w:szCs w:val="22"/>
          <w:lang w:val="sk-SK"/>
        </w:rPr>
        <w:t xml:space="preserve">Neboli zaznamenané žiadne prípady predávkovania. </w:t>
      </w:r>
      <w:r w:rsidR="00EA0CEC" w:rsidRPr="006554C9">
        <w:rPr>
          <w:sz w:val="22"/>
          <w:szCs w:val="22"/>
          <w:lang w:val="sk-SK"/>
        </w:rPr>
        <w:t xml:space="preserve">Predávkovanie sa môže prejaviť znížením </w:t>
      </w:r>
      <w:r w:rsidR="00EA0CEC" w:rsidRPr="006554C9">
        <w:rPr>
          <w:sz w:val="22"/>
          <w:szCs w:val="22"/>
          <w:lang w:val="sk-SK"/>
        </w:rPr>
        <w:lastRenderedPageBreak/>
        <w:t xml:space="preserve">periférnej rezistencie s hypotenziou a návalmi tepla. </w:t>
      </w:r>
      <w:r w:rsidRPr="006554C9">
        <w:rPr>
          <w:iCs/>
          <w:sz w:val="22"/>
          <w:szCs w:val="22"/>
          <w:lang w:val="sk-SK"/>
        </w:rPr>
        <w:t xml:space="preserve">Odporúča sa </w:t>
      </w:r>
      <w:r w:rsidR="009C0260" w:rsidRPr="006554C9">
        <w:rPr>
          <w:iCs/>
          <w:sz w:val="22"/>
          <w:szCs w:val="22"/>
          <w:lang w:val="sk-SK"/>
        </w:rPr>
        <w:t>symptomatická l</w:t>
      </w:r>
      <w:r w:rsidRPr="006554C9">
        <w:rPr>
          <w:iCs/>
          <w:sz w:val="22"/>
          <w:szCs w:val="22"/>
          <w:lang w:val="sk-SK"/>
        </w:rPr>
        <w:t>ie</w:t>
      </w:r>
      <w:r w:rsidR="009C0260" w:rsidRPr="006554C9">
        <w:rPr>
          <w:iCs/>
          <w:sz w:val="22"/>
          <w:szCs w:val="22"/>
          <w:lang w:val="sk-SK"/>
        </w:rPr>
        <w:t xml:space="preserve">čba.  </w:t>
      </w:r>
    </w:p>
    <w:p w14:paraId="2B698D62" w14:textId="77777777" w:rsidR="00101EEC" w:rsidRPr="006554C9" w:rsidRDefault="00101EEC" w:rsidP="00630B89">
      <w:pPr>
        <w:widowControl w:val="0"/>
        <w:rPr>
          <w:iCs/>
          <w:sz w:val="22"/>
          <w:szCs w:val="22"/>
          <w:lang w:val="sk-SK"/>
        </w:rPr>
      </w:pPr>
    </w:p>
    <w:p w14:paraId="0B61C212" w14:textId="77777777" w:rsidR="00FD6C67" w:rsidRPr="006554C9" w:rsidRDefault="00FD6C67" w:rsidP="00630B89">
      <w:pPr>
        <w:widowControl w:val="0"/>
        <w:rPr>
          <w:b/>
          <w:sz w:val="22"/>
          <w:szCs w:val="22"/>
          <w:lang w:val="sk-SK"/>
        </w:rPr>
      </w:pPr>
    </w:p>
    <w:p w14:paraId="405EDB5F" w14:textId="77777777"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5.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FARMAKOLOGICKÉ VLASTNOSTI</w:t>
      </w:r>
    </w:p>
    <w:p w14:paraId="12129325" w14:textId="77777777" w:rsidR="00FD6C67" w:rsidRPr="006554C9" w:rsidRDefault="00FD6C67" w:rsidP="00630B89">
      <w:pPr>
        <w:rPr>
          <w:lang w:val="sk-SK"/>
        </w:rPr>
      </w:pPr>
    </w:p>
    <w:p w14:paraId="6DA3BECA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5.1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Farmakodynamické vlastnosti</w:t>
      </w:r>
    </w:p>
    <w:p w14:paraId="3DDB4F1B" w14:textId="77777777" w:rsidR="00B044ED" w:rsidRPr="006554C9" w:rsidRDefault="00B044ED" w:rsidP="00630B89">
      <w:pPr>
        <w:widowControl w:val="0"/>
        <w:rPr>
          <w:i/>
          <w:sz w:val="22"/>
          <w:szCs w:val="22"/>
          <w:lang w:val="sk-SK"/>
        </w:rPr>
      </w:pPr>
    </w:p>
    <w:p w14:paraId="2176A53D" w14:textId="77777777" w:rsidR="009C0260" w:rsidRPr="006554C9" w:rsidRDefault="00B044ED" w:rsidP="00630B89">
      <w:pPr>
        <w:widowControl w:val="0"/>
        <w:rPr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>Farmakoterapeutická skupina:</w:t>
      </w:r>
      <w:r w:rsidRPr="006554C9">
        <w:rPr>
          <w:sz w:val="22"/>
          <w:szCs w:val="22"/>
          <w:lang w:val="sk-SK"/>
        </w:rPr>
        <w:t xml:space="preserve"> </w:t>
      </w:r>
      <w:r w:rsidR="00C61E5A" w:rsidRPr="006554C9">
        <w:rPr>
          <w:sz w:val="22"/>
          <w:szCs w:val="22"/>
          <w:lang w:val="sk-SK"/>
        </w:rPr>
        <w:t>I</w:t>
      </w:r>
      <w:r w:rsidR="009C0260" w:rsidRPr="006554C9">
        <w:rPr>
          <w:sz w:val="22"/>
          <w:szCs w:val="22"/>
          <w:lang w:val="sk-SK"/>
        </w:rPr>
        <w:t>n</w:t>
      </w:r>
      <w:r w:rsidR="00DB0E91" w:rsidRPr="006554C9">
        <w:rPr>
          <w:sz w:val="22"/>
          <w:szCs w:val="22"/>
          <w:lang w:val="sk-SK"/>
        </w:rPr>
        <w:t>é</w:t>
      </w:r>
      <w:r w:rsidR="009C0260" w:rsidRPr="006554C9">
        <w:rPr>
          <w:sz w:val="22"/>
          <w:szCs w:val="22"/>
          <w:lang w:val="sk-SK"/>
        </w:rPr>
        <w:t xml:space="preserve"> kardiak</w:t>
      </w:r>
      <w:r w:rsidR="00DB0E91" w:rsidRPr="006554C9">
        <w:rPr>
          <w:sz w:val="22"/>
          <w:szCs w:val="22"/>
          <w:lang w:val="sk-SK"/>
        </w:rPr>
        <w:t>á</w:t>
      </w:r>
      <w:r w:rsidR="009C0260" w:rsidRPr="006554C9">
        <w:rPr>
          <w:sz w:val="22"/>
          <w:szCs w:val="22"/>
          <w:lang w:val="sk-SK"/>
        </w:rPr>
        <w:t xml:space="preserve">, </w:t>
      </w:r>
      <w:r w:rsidR="00A60D4B" w:rsidRPr="006554C9">
        <w:rPr>
          <w:sz w:val="22"/>
          <w:szCs w:val="22"/>
          <w:lang w:val="sk-SK"/>
        </w:rPr>
        <w:t>Trimetazidín</w:t>
      </w:r>
      <w:r w:rsidR="009C0260" w:rsidRPr="006554C9">
        <w:rPr>
          <w:sz w:val="22"/>
          <w:szCs w:val="22"/>
          <w:lang w:val="sk-SK"/>
        </w:rPr>
        <w:t>.</w:t>
      </w:r>
    </w:p>
    <w:p w14:paraId="5FADD440" w14:textId="77777777" w:rsidR="009C0260" w:rsidRPr="006554C9" w:rsidRDefault="009C0260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ATC kód: C01EB15.</w:t>
      </w:r>
    </w:p>
    <w:p w14:paraId="2AB472D8" w14:textId="77777777" w:rsidR="00101EEC" w:rsidRPr="006554C9" w:rsidRDefault="00101EEC" w:rsidP="00630B89">
      <w:pPr>
        <w:widowControl w:val="0"/>
        <w:rPr>
          <w:sz w:val="22"/>
          <w:szCs w:val="22"/>
          <w:lang w:val="sk-SK"/>
        </w:rPr>
      </w:pPr>
    </w:p>
    <w:p w14:paraId="67A688E8" w14:textId="77777777" w:rsidR="00F14FF3" w:rsidRPr="006554C9" w:rsidRDefault="00F14FF3" w:rsidP="00F14FF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6554C9">
        <w:rPr>
          <w:color w:val="000000"/>
          <w:sz w:val="22"/>
          <w:szCs w:val="22"/>
          <w:u w:val="single"/>
          <w:lang w:val="sk-SK"/>
        </w:rPr>
        <w:t xml:space="preserve">Mechanizmus účinku </w:t>
      </w:r>
    </w:p>
    <w:p w14:paraId="7ADF0E36" w14:textId="77777777" w:rsidR="00F14FF3" w:rsidRPr="006554C9" w:rsidRDefault="00F14FF3" w:rsidP="00F14FF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</w:p>
    <w:p w14:paraId="5A3116F7" w14:textId="77777777" w:rsidR="00F14FF3" w:rsidRPr="006554C9" w:rsidRDefault="00F14FF3" w:rsidP="00F14FF3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6554C9">
        <w:rPr>
          <w:color w:val="000000"/>
          <w:sz w:val="22"/>
          <w:szCs w:val="22"/>
          <w:lang w:val="sk-SK" w:eastAsia="sk-SK"/>
        </w:rPr>
        <w:t xml:space="preserve">Trimetazidín inhibuje </w:t>
      </w:r>
      <w:r w:rsidRPr="004F0F6F">
        <w:rPr>
          <w:color w:val="000000"/>
          <w:sz w:val="22"/>
          <w:lang w:val="sk-SK"/>
        </w:rPr>
        <w:t>β</w:t>
      </w:r>
      <w:r w:rsidRPr="006554C9">
        <w:rPr>
          <w:color w:val="000000"/>
          <w:sz w:val="22"/>
          <w:szCs w:val="22"/>
          <w:lang w:val="sk-SK" w:eastAsia="sk-SK"/>
        </w:rPr>
        <w:t xml:space="preserve">-oxidáciu mastných kyselín blokáciou dlhého reťazca 3-ketoacyl-CoA-tiolázy, ktorý zvyšuje glukózovú oxidáciu. Ischemická bunka, v ktorej je energia získaná glukózovou oxidáciou vyžaduje menšiu spotrebu kyslíka ako v </w:t>
      </w:r>
      <w:r w:rsidRPr="004F0F6F">
        <w:rPr>
          <w:color w:val="000000"/>
          <w:sz w:val="22"/>
          <w:lang w:val="sk-SK"/>
        </w:rPr>
        <w:t>β</w:t>
      </w:r>
      <w:r w:rsidRPr="006554C9">
        <w:rPr>
          <w:color w:val="000000"/>
          <w:sz w:val="22"/>
          <w:szCs w:val="22"/>
          <w:lang w:val="sk-SK" w:eastAsia="sk-SK"/>
        </w:rPr>
        <w:t xml:space="preserve">-oxidačnom procese. Potenciácia glukózovej oxidácie optimalizuje bunkové energetické procesy, a tak udržiava vlastný energetický metabolizmus počas ischémie. </w:t>
      </w:r>
    </w:p>
    <w:p w14:paraId="284AEA8F" w14:textId="77777777" w:rsidR="00F14FF3" w:rsidRPr="006554C9" w:rsidRDefault="00F14FF3" w:rsidP="00F14FF3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5D1527D8" w14:textId="77777777" w:rsidR="00F14FF3" w:rsidRPr="006554C9" w:rsidRDefault="00F14FF3" w:rsidP="00F14FF3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  <w:lang w:val="sk-SK" w:eastAsia="sk-SK"/>
        </w:rPr>
      </w:pPr>
      <w:r w:rsidRPr="006554C9">
        <w:rPr>
          <w:color w:val="000000"/>
          <w:sz w:val="22"/>
          <w:szCs w:val="22"/>
          <w:u w:val="single"/>
          <w:lang w:val="sk-SK" w:eastAsia="sk-SK"/>
        </w:rPr>
        <w:t xml:space="preserve">Farmakodynamické účinky </w:t>
      </w:r>
    </w:p>
    <w:p w14:paraId="0FA676A4" w14:textId="77777777" w:rsidR="00F14FF3" w:rsidRPr="006554C9" w:rsidRDefault="00F14FF3" w:rsidP="00F14FF3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lang w:val="sk-SK" w:eastAsia="sk-SK"/>
        </w:rPr>
      </w:pPr>
    </w:p>
    <w:p w14:paraId="00223E02" w14:textId="77777777" w:rsidR="00F14FF3" w:rsidRPr="006554C9" w:rsidRDefault="00F14FF3" w:rsidP="00F14FF3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6554C9">
        <w:rPr>
          <w:color w:val="000000"/>
          <w:sz w:val="22"/>
          <w:szCs w:val="22"/>
          <w:lang w:val="sk-SK" w:eastAsia="sk-SK"/>
        </w:rPr>
        <w:t xml:space="preserve">U pacientov s ischemickou chorobou srdca účinkuje trimetazidín ako metabolický činiteľ, zachováva myokardiálne intracelulárne hladiny vysoko-energetických fosfátov. </w:t>
      </w:r>
    </w:p>
    <w:p w14:paraId="3CB190B1" w14:textId="77777777" w:rsidR="00F14FF3" w:rsidRPr="006554C9" w:rsidRDefault="00F14FF3" w:rsidP="00F14FF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6554C9">
        <w:rPr>
          <w:color w:val="000000"/>
          <w:sz w:val="22"/>
          <w:szCs w:val="22"/>
          <w:lang w:val="sk-SK" w:eastAsia="sk-SK"/>
        </w:rPr>
        <w:t xml:space="preserve">Antiischemické účinky sú dosiahnuté bez sprievodných hemodynamických účinkov. </w:t>
      </w:r>
    </w:p>
    <w:p w14:paraId="0308B876" w14:textId="77777777" w:rsidR="00F14FF3" w:rsidRPr="006554C9" w:rsidRDefault="00F14FF3" w:rsidP="00F14FF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</w:p>
    <w:p w14:paraId="009946C9" w14:textId="77777777" w:rsidR="00F14FF3" w:rsidRPr="006554C9" w:rsidRDefault="00F14FF3" w:rsidP="00F14FF3">
      <w:pPr>
        <w:pStyle w:val="Default"/>
        <w:ind w:left="720" w:hanging="720"/>
        <w:rPr>
          <w:sz w:val="22"/>
          <w:szCs w:val="22"/>
          <w:u w:val="single"/>
        </w:rPr>
      </w:pPr>
      <w:r w:rsidRPr="006554C9">
        <w:rPr>
          <w:sz w:val="22"/>
          <w:szCs w:val="22"/>
          <w:u w:val="single"/>
        </w:rPr>
        <w:t xml:space="preserve">Klinická účinnosť a bezpečnosť </w:t>
      </w:r>
    </w:p>
    <w:p w14:paraId="133D3E2E" w14:textId="77777777" w:rsidR="00F14FF3" w:rsidRPr="006554C9" w:rsidRDefault="00F14FF3" w:rsidP="00F14FF3">
      <w:pPr>
        <w:pStyle w:val="Default"/>
        <w:ind w:left="720" w:hanging="720"/>
        <w:rPr>
          <w:sz w:val="22"/>
          <w:szCs w:val="22"/>
        </w:rPr>
      </w:pPr>
    </w:p>
    <w:p w14:paraId="2F8714D1" w14:textId="77777777" w:rsidR="00F14FF3" w:rsidRPr="006554C9" w:rsidRDefault="00F14FF3" w:rsidP="00F14FF3">
      <w:pPr>
        <w:pStyle w:val="Default"/>
        <w:rPr>
          <w:sz w:val="22"/>
          <w:szCs w:val="22"/>
        </w:rPr>
      </w:pPr>
      <w:r w:rsidRPr="006554C9">
        <w:rPr>
          <w:sz w:val="22"/>
          <w:szCs w:val="22"/>
        </w:rPr>
        <w:t xml:space="preserve">Klinické štúdie preukázali účinnosť a bezpečnosť trimetazidínu v liečbe pacientov s chronickou angínou pektoris, buď samostatne alebo keď bol prínos iných antianginóznych liekov nedostatočný. </w:t>
      </w:r>
    </w:p>
    <w:p w14:paraId="6C365FC9" w14:textId="77777777" w:rsidR="00C61E5A" w:rsidRPr="006554C9" w:rsidRDefault="00C61E5A" w:rsidP="00F14FF3">
      <w:pPr>
        <w:pStyle w:val="Default"/>
        <w:rPr>
          <w:sz w:val="22"/>
          <w:szCs w:val="22"/>
        </w:rPr>
      </w:pPr>
    </w:p>
    <w:p w14:paraId="7D058778" w14:textId="77777777" w:rsidR="00F14FF3" w:rsidRPr="006554C9" w:rsidRDefault="00F14FF3" w:rsidP="00F14FF3">
      <w:pPr>
        <w:pStyle w:val="Default"/>
        <w:rPr>
          <w:sz w:val="22"/>
          <w:szCs w:val="22"/>
        </w:rPr>
      </w:pPr>
      <w:r w:rsidRPr="006554C9">
        <w:rPr>
          <w:sz w:val="22"/>
          <w:szCs w:val="22"/>
        </w:rPr>
        <w:t xml:space="preserve">V randomizovanej, dvojito zaslepenej, placebom kontrolovanej štúdii so 426 pacientmi (TRIMPOL II), trimetazidín (60 mg/deň) pridávaný počas 12 týždňov k metoprololu 100 mg denne (50 mg dvakrát denne) štatisticky významne zlepšil parametre záťažových testov a klinické príznaky v porovnaní s placebom: celkové trvanie záťaže +20,1 s, p = 0,023, celková záťaž +0,54 METs, p = 0,001, čas depresie ST-segmentu o </w:t>
      </w:r>
      <w:smartTag w:uri="urn:schemas-microsoft-com:office:smarttags" w:element="metricconverter">
        <w:smartTagPr>
          <w:attr w:name="ProductID" w:val="1 mm"/>
        </w:smartTagPr>
        <w:r w:rsidRPr="006554C9">
          <w:rPr>
            <w:sz w:val="22"/>
            <w:szCs w:val="22"/>
          </w:rPr>
          <w:t>1 mm</w:t>
        </w:r>
      </w:smartTag>
      <w:r w:rsidRPr="006554C9">
        <w:rPr>
          <w:sz w:val="22"/>
          <w:szCs w:val="22"/>
        </w:rPr>
        <w:t xml:space="preserve"> +33,4 s, p = 0,003, čas do nástupu angíny pektoris +33,9 s, p &lt; 0,001, záchvaty angíny/týždeň -0,73, p = </w:t>
      </w:r>
      <w:smartTag w:uri="urn:schemas-microsoft-com:office:smarttags" w:element="metricconverter">
        <w:smartTagPr>
          <w:attr w:name="ProductID" w:val="0,014 a"/>
        </w:smartTagPr>
        <w:r w:rsidRPr="006554C9">
          <w:rPr>
            <w:sz w:val="22"/>
            <w:szCs w:val="22"/>
          </w:rPr>
          <w:t>0,014 a</w:t>
        </w:r>
      </w:smartTag>
      <w:r w:rsidRPr="006554C9">
        <w:rPr>
          <w:sz w:val="22"/>
          <w:szCs w:val="22"/>
        </w:rPr>
        <w:t xml:space="preserve"> spotreba krátkodobo pôsobiacich nitrátov/týždeň -0,63, p = 0,032, bez hemodynamických zmien. </w:t>
      </w:r>
    </w:p>
    <w:p w14:paraId="582B04B2" w14:textId="77777777" w:rsidR="00C61E5A" w:rsidRPr="006554C9" w:rsidRDefault="00C61E5A" w:rsidP="00F14FF3">
      <w:pPr>
        <w:pStyle w:val="Default"/>
        <w:rPr>
          <w:sz w:val="22"/>
          <w:szCs w:val="22"/>
        </w:rPr>
      </w:pPr>
    </w:p>
    <w:p w14:paraId="0560157B" w14:textId="77777777" w:rsidR="00C61E5A" w:rsidRPr="006554C9" w:rsidRDefault="00F14FF3" w:rsidP="00F14FF3">
      <w:pPr>
        <w:pStyle w:val="Default"/>
        <w:rPr>
          <w:sz w:val="22"/>
          <w:szCs w:val="22"/>
        </w:rPr>
      </w:pPr>
      <w:r w:rsidRPr="006554C9">
        <w:rPr>
          <w:sz w:val="22"/>
          <w:szCs w:val="22"/>
        </w:rPr>
        <w:t xml:space="preserve">V randomizovanej, dvojito zaslepenej, placebom kontrolovanej štúdii (Sellier) s 223 pacientmi jedna 35 mg tableta trimetazidínu s postupným uvoľňovaním (dvakrát denne) pridaná k 50 mg atenololu (raz denne) počas 8 týždňov spôsobila výrazné predĺženie (+34,4 s, p = 0,03) času depresie ST-segmentu o </w:t>
      </w:r>
      <w:smartTag w:uri="urn:schemas-microsoft-com:office:smarttags" w:element="metricconverter">
        <w:smartTagPr>
          <w:attr w:name="ProductID" w:val="1 mm"/>
        </w:smartTagPr>
        <w:r w:rsidRPr="006554C9">
          <w:rPr>
            <w:sz w:val="22"/>
            <w:szCs w:val="22"/>
          </w:rPr>
          <w:t>1 mm</w:t>
        </w:r>
      </w:smartTag>
      <w:r w:rsidRPr="006554C9">
        <w:rPr>
          <w:sz w:val="22"/>
          <w:szCs w:val="22"/>
        </w:rPr>
        <w:t xml:space="preserve"> v záťažových testoch, v podskupine pacientov (n = 173), v porovnaní s placebom 12 hodín po užití lieku. Významný rozdiel bol taktiež zaznamenaný v čase do nástupu angíny pektoris (p = 0,049). Žiaden výrazný rozdiel medzi skupinami nebol v sekundárnych cieľových parametroch (celkové trvanie záťaže, celková záťaž a klinické cieľové parametre).</w:t>
      </w:r>
    </w:p>
    <w:p w14:paraId="5224C9FA" w14:textId="77777777" w:rsidR="00F14FF3" w:rsidRPr="006554C9" w:rsidRDefault="00F14FF3" w:rsidP="00F14FF3">
      <w:pPr>
        <w:pStyle w:val="Default"/>
        <w:rPr>
          <w:sz w:val="22"/>
          <w:szCs w:val="22"/>
        </w:rPr>
      </w:pPr>
      <w:r w:rsidRPr="006554C9">
        <w:rPr>
          <w:sz w:val="22"/>
          <w:szCs w:val="22"/>
        </w:rPr>
        <w:t xml:space="preserve"> </w:t>
      </w:r>
    </w:p>
    <w:p w14:paraId="686561CC" w14:textId="77777777" w:rsidR="00F14FF3" w:rsidRPr="006554C9" w:rsidRDefault="00F14FF3" w:rsidP="00F14FF3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sz w:val="22"/>
          <w:szCs w:val="22"/>
          <w:lang w:val="sk-SK"/>
        </w:rPr>
        <w:t xml:space="preserve">V 3-mesačnej randomizovanej, dvojito zaslepenej štúdii (Vasco štúdia) s 1962 pacientmi navyše k atenololu 50 mg/d boli testované dve dávky trimetazidínu (70 mg/d a 140 mg/d) oproti placebu. V celkovej populácii, vrátane oboch symptomatických aj asymptomatických pacientov, sa nepodarilo preukázať prínos trimetazidínu u oboch ergometrických (celkové trvanie záťaže, čas do nástupu </w:t>
      </w:r>
      <w:smartTag w:uri="urn:schemas-microsoft-com:office:smarttags" w:element="metricconverter">
        <w:smartTagPr>
          <w:attr w:name="ProductID" w:val="1 mm"/>
        </w:smartTagPr>
        <w:r w:rsidRPr="006554C9">
          <w:rPr>
            <w:rFonts w:ascii="Times New Roman" w:hAnsi="Times New Roman" w:cs="Times New Roman"/>
            <w:sz w:val="22"/>
            <w:szCs w:val="22"/>
            <w:lang w:val="sk-SK"/>
          </w:rPr>
          <w:t>1 mm</w:t>
        </w:r>
      </w:smartTag>
      <w:r w:rsidRPr="006554C9">
        <w:rPr>
          <w:rFonts w:ascii="Times New Roman" w:hAnsi="Times New Roman" w:cs="Times New Roman"/>
          <w:sz w:val="22"/>
          <w:szCs w:val="22"/>
          <w:lang w:val="sk-SK"/>
        </w:rPr>
        <w:t xml:space="preserve"> ST a čas do nástupu angíny pektoris) a klinických koncových bodov. Avšak v podskupine symptomatických pacientov (n = 1574) definovaných </w:t>
      </w:r>
      <w:r w:rsidRPr="006554C9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post-hoc </w:t>
      </w:r>
      <w:r w:rsidRPr="006554C9">
        <w:rPr>
          <w:rFonts w:ascii="Times New Roman" w:hAnsi="Times New Roman" w:cs="Times New Roman"/>
          <w:sz w:val="22"/>
          <w:szCs w:val="22"/>
          <w:lang w:val="sk-SK"/>
        </w:rPr>
        <w:t>analýzou, trimetazidín (140 mg) výrazne zlepšil celkové trvanie záťaže (+23,8 s oproti +13,1 s pre placebo; p = 0,001) a čas do nástupu angíny pektoris (+46,3 s oproti +32,5 s pre placebo; p = 0,005).</w:t>
      </w:r>
    </w:p>
    <w:p w14:paraId="1465B11E" w14:textId="77777777" w:rsidR="00511F9A" w:rsidRPr="006554C9" w:rsidRDefault="00511F9A" w:rsidP="00B1371E">
      <w:pPr>
        <w:rPr>
          <w:lang w:val="sk-SK"/>
        </w:rPr>
      </w:pPr>
    </w:p>
    <w:p w14:paraId="1C4895DB" w14:textId="77777777" w:rsidR="00511F9A" w:rsidRPr="006554C9" w:rsidRDefault="00511F9A" w:rsidP="00511F9A">
      <w:pPr>
        <w:rPr>
          <w:b/>
          <w:i/>
          <w:sz w:val="22"/>
          <w:szCs w:val="22"/>
          <w:lang w:val="sk-SK"/>
        </w:rPr>
      </w:pPr>
      <w:r w:rsidRPr="006554C9">
        <w:rPr>
          <w:i/>
          <w:noProof/>
          <w:sz w:val="22"/>
          <w:szCs w:val="22"/>
          <w:lang w:val="sk-SK"/>
        </w:rPr>
        <w:t>Pediatrická populácia</w:t>
      </w:r>
    </w:p>
    <w:p w14:paraId="27A9B0C0" w14:textId="77777777" w:rsidR="00511F9A" w:rsidRPr="006554C9" w:rsidRDefault="00511F9A" w:rsidP="00511F9A">
      <w:pPr>
        <w:widowControl w:val="0"/>
        <w:rPr>
          <w:sz w:val="22"/>
          <w:szCs w:val="22"/>
          <w:lang w:val="sk-SK"/>
        </w:rPr>
      </w:pPr>
    </w:p>
    <w:p w14:paraId="33EE8673" w14:textId="77777777" w:rsidR="00511F9A" w:rsidRPr="004F0F6F" w:rsidRDefault="00511F9A" w:rsidP="00B1371E">
      <w:pPr>
        <w:widowControl w:val="0"/>
        <w:jc w:val="both"/>
        <w:rPr>
          <w:sz w:val="22"/>
          <w:lang w:val="sk-SK"/>
        </w:rPr>
      </w:pPr>
      <w:r w:rsidRPr="006554C9">
        <w:rPr>
          <w:sz w:val="22"/>
          <w:szCs w:val="22"/>
          <w:lang w:val="sk-SK"/>
        </w:rPr>
        <w:lastRenderedPageBreak/>
        <w:t>Bezpečnosť a účinnosť trimetazidínu u detí vo veku do 18 rokov neboli doteraz stanovené. Nie sú dostupné žiadne údaje.</w:t>
      </w:r>
    </w:p>
    <w:p w14:paraId="60A8B54E" w14:textId="77777777" w:rsidR="00F14FF3" w:rsidRPr="006554C9" w:rsidRDefault="00F14FF3" w:rsidP="00F14FF3">
      <w:pPr>
        <w:rPr>
          <w:lang w:val="sk-SK"/>
        </w:rPr>
      </w:pPr>
    </w:p>
    <w:p w14:paraId="43404EC6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5.2</w:t>
      </w: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Farmakokinetické vlastnosti</w:t>
      </w:r>
    </w:p>
    <w:p w14:paraId="151AC8D1" w14:textId="77777777" w:rsidR="00B044ED" w:rsidRPr="006554C9" w:rsidRDefault="00B044ED" w:rsidP="00630B89">
      <w:pPr>
        <w:rPr>
          <w:sz w:val="22"/>
          <w:szCs w:val="22"/>
          <w:lang w:val="sk-SK"/>
        </w:rPr>
      </w:pPr>
    </w:p>
    <w:p w14:paraId="3F96A6F5" w14:textId="77777777" w:rsidR="007B378B" w:rsidRPr="006554C9" w:rsidRDefault="007B378B" w:rsidP="00630B89">
      <w:pPr>
        <w:widowControl w:val="0"/>
        <w:rPr>
          <w:i/>
          <w:iCs/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>Absorpc</w:t>
      </w:r>
      <w:r w:rsidR="0009342D" w:rsidRPr="006554C9">
        <w:rPr>
          <w:i/>
          <w:iCs/>
          <w:sz w:val="22"/>
          <w:szCs w:val="22"/>
          <w:lang w:val="sk-SK"/>
        </w:rPr>
        <w:t>ia</w:t>
      </w:r>
    </w:p>
    <w:p w14:paraId="118FE537" w14:textId="77777777" w:rsidR="00386976" w:rsidRPr="006554C9" w:rsidRDefault="0009342D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Po perorálnom podaní sa maximálna plazmatická koncentrácia dosiahne priemerne 5 hodín po užití tablety. Po 24 hodinách ostáva plazmatická koncentrácia rovnaká alebo vyššia ako 75 % maximálnej plazmatickej koncentrácie po 11 hodinách.</w:t>
      </w:r>
    </w:p>
    <w:p w14:paraId="58592B26" w14:textId="77777777" w:rsidR="00386976" w:rsidRPr="006554C9" w:rsidRDefault="00386976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Rovnovážn</w:t>
      </w:r>
      <w:r w:rsidR="0009342D" w:rsidRPr="006554C9">
        <w:rPr>
          <w:sz w:val="22"/>
          <w:szCs w:val="22"/>
          <w:lang w:val="sk-SK"/>
        </w:rPr>
        <w:t xml:space="preserve">y stav sa dosiahne najdlhšie po 60 </w:t>
      </w:r>
      <w:r w:rsidRPr="006554C9">
        <w:rPr>
          <w:sz w:val="22"/>
          <w:szCs w:val="22"/>
          <w:lang w:val="sk-SK"/>
        </w:rPr>
        <w:t>hodinách.</w:t>
      </w:r>
    </w:p>
    <w:p w14:paraId="6FD9252C" w14:textId="77777777" w:rsidR="00386976" w:rsidRPr="006554C9" w:rsidRDefault="00386976" w:rsidP="00630B89">
      <w:pPr>
        <w:widowControl w:val="0"/>
        <w:rPr>
          <w:iCs/>
          <w:sz w:val="22"/>
          <w:szCs w:val="22"/>
          <w:lang w:val="sk-SK"/>
        </w:rPr>
      </w:pPr>
      <w:r w:rsidRPr="006554C9">
        <w:rPr>
          <w:iCs/>
          <w:sz w:val="22"/>
          <w:szCs w:val="22"/>
          <w:lang w:val="sk-SK"/>
        </w:rPr>
        <w:t>Farmakokinetické parametr</w:t>
      </w:r>
      <w:r w:rsidR="00FF193E" w:rsidRPr="006554C9">
        <w:rPr>
          <w:iCs/>
          <w:sz w:val="22"/>
          <w:szCs w:val="22"/>
          <w:lang w:val="sk-SK"/>
        </w:rPr>
        <w:t>e</w:t>
      </w:r>
      <w:r w:rsidRPr="006554C9">
        <w:rPr>
          <w:iCs/>
          <w:sz w:val="22"/>
          <w:szCs w:val="22"/>
          <w:lang w:val="sk-SK"/>
        </w:rPr>
        <w:t xml:space="preserve"> n</w:t>
      </w:r>
      <w:r w:rsidR="0009342D" w:rsidRPr="006554C9">
        <w:rPr>
          <w:iCs/>
          <w:sz w:val="22"/>
          <w:szCs w:val="22"/>
          <w:lang w:val="sk-SK"/>
        </w:rPr>
        <w:t xml:space="preserve">ie sú ovplyvnené </w:t>
      </w:r>
      <w:r w:rsidRPr="006554C9">
        <w:rPr>
          <w:iCs/>
          <w:sz w:val="22"/>
          <w:szCs w:val="22"/>
          <w:lang w:val="sk-SK"/>
        </w:rPr>
        <w:t>požitím potravy.</w:t>
      </w:r>
    </w:p>
    <w:p w14:paraId="7873F70D" w14:textId="77777777" w:rsidR="007B378B" w:rsidRPr="006554C9" w:rsidRDefault="007B378B" w:rsidP="00630B89">
      <w:pPr>
        <w:widowControl w:val="0"/>
        <w:rPr>
          <w:iCs/>
          <w:sz w:val="22"/>
          <w:szCs w:val="22"/>
          <w:lang w:val="sk-SK"/>
        </w:rPr>
      </w:pPr>
    </w:p>
    <w:p w14:paraId="13D9A77C" w14:textId="77777777" w:rsidR="007B378B" w:rsidRPr="006554C9" w:rsidRDefault="007B378B" w:rsidP="00630B89">
      <w:pPr>
        <w:widowControl w:val="0"/>
        <w:rPr>
          <w:i/>
          <w:iCs/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>Distrib</w:t>
      </w:r>
      <w:r w:rsidR="0009342D" w:rsidRPr="006554C9">
        <w:rPr>
          <w:i/>
          <w:iCs/>
          <w:sz w:val="22"/>
          <w:szCs w:val="22"/>
          <w:lang w:val="sk-SK"/>
        </w:rPr>
        <w:t>úcia</w:t>
      </w:r>
    </w:p>
    <w:p w14:paraId="1FFAF9F8" w14:textId="77777777" w:rsidR="00386976" w:rsidRPr="006554C9" w:rsidRDefault="00386976" w:rsidP="00630B89">
      <w:pPr>
        <w:widowControl w:val="0"/>
        <w:rPr>
          <w:iCs/>
          <w:sz w:val="22"/>
          <w:szCs w:val="22"/>
          <w:lang w:val="sk-SK"/>
        </w:rPr>
      </w:pPr>
      <w:r w:rsidRPr="006554C9">
        <w:rPr>
          <w:iCs/>
          <w:sz w:val="22"/>
          <w:szCs w:val="22"/>
          <w:lang w:val="sk-SK"/>
        </w:rPr>
        <w:t>Distribučn</w:t>
      </w:r>
      <w:r w:rsidR="0009342D" w:rsidRPr="006554C9">
        <w:rPr>
          <w:iCs/>
          <w:sz w:val="22"/>
          <w:szCs w:val="22"/>
          <w:lang w:val="sk-SK"/>
        </w:rPr>
        <w:t>ý</w:t>
      </w:r>
      <w:r w:rsidRPr="006554C9">
        <w:rPr>
          <w:iCs/>
          <w:sz w:val="22"/>
          <w:szCs w:val="22"/>
          <w:lang w:val="sk-SK"/>
        </w:rPr>
        <w:t xml:space="preserve"> objem je </w:t>
      </w:r>
      <w:smartTag w:uri="urn:schemas-microsoft-com:office:smarttags" w:element="metricconverter">
        <w:smartTagPr>
          <w:attr w:name="ProductID" w:val="4,8 l"/>
        </w:smartTagPr>
        <w:r w:rsidRPr="006554C9">
          <w:rPr>
            <w:iCs/>
            <w:sz w:val="22"/>
            <w:szCs w:val="22"/>
            <w:lang w:val="sk-SK"/>
          </w:rPr>
          <w:t>4,8 l</w:t>
        </w:r>
      </w:smartTag>
      <w:r w:rsidRPr="006554C9">
        <w:rPr>
          <w:iCs/>
          <w:sz w:val="22"/>
          <w:szCs w:val="22"/>
          <w:lang w:val="sk-SK"/>
        </w:rPr>
        <w:t>.kg</w:t>
      </w:r>
      <w:r w:rsidRPr="006554C9">
        <w:rPr>
          <w:iCs/>
          <w:sz w:val="22"/>
          <w:szCs w:val="22"/>
          <w:vertAlign w:val="superscript"/>
          <w:lang w:val="sk-SK"/>
        </w:rPr>
        <w:t>-1</w:t>
      </w:r>
      <w:r w:rsidRPr="006554C9">
        <w:rPr>
          <w:iCs/>
          <w:sz w:val="22"/>
          <w:szCs w:val="22"/>
          <w:lang w:val="sk-SK"/>
        </w:rPr>
        <w:t>, v</w:t>
      </w:r>
      <w:r w:rsidR="0009342D" w:rsidRPr="006554C9">
        <w:rPr>
          <w:iCs/>
          <w:sz w:val="22"/>
          <w:szCs w:val="22"/>
          <w:lang w:val="sk-SK"/>
        </w:rPr>
        <w:t>ä</w:t>
      </w:r>
      <w:r w:rsidRPr="006554C9">
        <w:rPr>
          <w:iCs/>
          <w:sz w:val="22"/>
          <w:szCs w:val="22"/>
          <w:lang w:val="sk-SK"/>
        </w:rPr>
        <w:t>zba trim</w:t>
      </w:r>
      <w:r w:rsidR="0009342D" w:rsidRPr="006554C9">
        <w:rPr>
          <w:iCs/>
          <w:sz w:val="22"/>
          <w:szCs w:val="22"/>
          <w:lang w:val="sk-SK"/>
        </w:rPr>
        <w:t>etazidínu na proteí</w:t>
      </w:r>
      <w:r w:rsidRPr="006554C9">
        <w:rPr>
          <w:iCs/>
          <w:sz w:val="22"/>
          <w:szCs w:val="22"/>
          <w:lang w:val="sk-SK"/>
        </w:rPr>
        <w:t>ny k</w:t>
      </w:r>
      <w:r w:rsidR="0009342D" w:rsidRPr="006554C9">
        <w:rPr>
          <w:iCs/>
          <w:sz w:val="22"/>
          <w:szCs w:val="22"/>
          <w:lang w:val="sk-SK"/>
        </w:rPr>
        <w:t xml:space="preserve">rvnej </w:t>
      </w:r>
      <w:r w:rsidRPr="006554C9">
        <w:rPr>
          <w:iCs/>
          <w:sz w:val="22"/>
          <w:szCs w:val="22"/>
          <w:lang w:val="sk-SK"/>
        </w:rPr>
        <w:t>plazmy je nízk</w:t>
      </w:r>
      <w:r w:rsidR="0009342D" w:rsidRPr="006554C9">
        <w:rPr>
          <w:iCs/>
          <w:sz w:val="22"/>
          <w:szCs w:val="22"/>
          <w:lang w:val="sk-SK"/>
        </w:rPr>
        <w:t>a</w:t>
      </w:r>
      <w:r w:rsidRPr="006554C9">
        <w:rPr>
          <w:iCs/>
          <w:sz w:val="22"/>
          <w:szCs w:val="22"/>
          <w:lang w:val="sk-SK"/>
        </w:rPr>
        <w:t xml:space="preserve">: </w:t>
      </w:r>
      <w:r w:rsidRPr="006554C9">
        <w:rPr>
          <w:i/>
          <w:iCs/>
          <w:sz w:val="22"/>
          <w:szCs w:val="22"/>
          <w:lang w:val="sk-SK"/>
        </w:rPr>
        <w:t>in vitro</w:t>
      </w:r>
      <w:r w:rsidRPr="006554C9">
        <w:rPr>
          <w:iCs/>
          <w:sz w:val="22"/>
          <w:szCs w:val="22"/>
          <w:lang w:val="sk-SK"/>
        </w:rPr>
        <w:t xml:space="preserve"> stanovená hodnota je 16</w:t>
      </w:r>
      <w:r w:rsidR="003F46C7" w:rsidRPr="006554C9">
        <w:rPr>
          <w:iCs/>
          <w:sz w:val="22"/>
          <w:szCs w:val="22"/>
          <w:lang w:val="sk-SK"/>
        </w:rPr>
        <w:t> </w:t>
      </w:r>
      <w:r w:rsidRPr="006554C9">
        <w:rPr>
          <w:iCs/>
          <w:sz w:val="22"/>
          <w:szCs w:val="22"/>
          <w:lang w:val="sk-SK"/>
        </w:rPr>
        <w:t>%.</w:t>
      </w:r>
    </w:p>
    <w:p w14:paraId="7A54623A" w14:textId="77777777" w:rsidR="007B378B" w:rsidRPr="006554C9" w:rsidRDefault="007B378B" w:rsidP="00630B89">
      <w:pPr>
        <w:widowControl w:val="0"/>
        <w:rPr>
          <w:iCs/>
          <w:sz w:val="22"/>
          <w:szCs w:val="22"/>
          <w:lang w:val="sk-SK"/>
        </w:rPr>
      </w:pPr>
    </w:p>
    <w:p w14:paraId="124941AF" w14:textId="77777777" w:rsidR="007B378B" w:rsidRPr="006554C9" w:rsidRDefault="007B378B" w:rsidP="00630B89">
      <w:pPr>
        <w:widowControl w:val="0"/>
        <w:rPr>
          <w:i/>
          <w:iCs/>
          <w:sz w:val="22"/>
          <w:szCs w:val="22"/>
          <w:lang w:val="sk-SK"/>
        </w:rPr>
      </w:pPr>
      <w:r w:rsidRPr="006554C9">
        <w:rPr>
          <w:i/>
          <w:iCs/>
          <w:sz w:val="22"/>
          <w:szCs w:val="22"/>
          <w:lang w:val="sk-SK"/>
        </w:rPr>
        <w:t>Biotransform</w:t>
      </w:r>
      <w:r w:rsidR="0009342D" w:rsidRPr="006554C9">
        <w:rPr>
          <w:i/>
          <w:iCs/>
          <w:sz w:val="22"/>
          <w:szCs w:val="22"/>
          <w:lang w:val="sk-SK"/>
        </w:rPr>
        <w:t>ácia a eliminácia</w:t>
      </w:r>
    </w:p>
    <w:p w14:paraId="1F699EBC" w14:textId="77777777" w:rsidR="00386976" w:rsidRPr="006554C9" w:rsidRDefault="00386976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Pr</w:t>
      </w:r>
      <w:r w:rsidR="0009342D" w:rsidRPr="006554C9">
        <w:rPr>
          <w:sz w:val="22"/>
          <w:szCs w:val="22"/>
          <w:lang w:val="sk-SK"/>
        </w:rPr>
        <w:t>iemerný eliminačný polčas je 7 hodí</w:t>
      </w:r>
      <w:r w:rsidRPr="006554C9">
        <w:rPr>
          <w:sz w:val="22"/>
          <w:szCs w:val="22"/>
          <w:lang w:val="sk-SK"/>
        </w:rPr>
        <w:t>n u zdravých dobrovo</w:t>
      </w:r>
      <w:r w:rsidR="0009342D" w:rsidRPr="006554C9">
        <w:rPr>
          <w:sz w:val="22"/>
          <w:szCs w:val="22"/>
          <w:lang w:val="sk-SK"/>
        </w:rPr>
        <w:t>ľníkov a 12 hodí</w:t>
      </w:r>
      <w:r w:rsidRPr="006554C9">
        <w:rPr>
          <w:sz w:val="22"/>
          <w:szCs w:val="22"/>
          <w:lang w:val="sk-SK"/>
        </w:rPr>
        <w:t>n u</w:t>
      </w:r>
      <w:r w:rsidR="0009342D" w:rsidRPr="006554C9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jedin</w:t>
      </w:r>
      <w:r w:rsidR="0009342D" w:rsidRPr="006554C9">
        <w:rPr>
          <w:sz w:val="22"/>
          <w:szCs w:val="22"/>
          <w:lang w:val="sk-SK"/>
        </w:rPr>
        <w:t xml:space="preserve">cov </w:t>
      </w:r>
      <w:r w:rsidRPr="006554C9">
        <w:rPr>
          <w:sz w:val="22"/>
          <w:szCs w:val="22"/>
          <w:lang w:val="sk-SK"/>
        </w:rPr>
        <w:t xml:space="preserve">starších 65 </w:t>
      </w:r>
      <w:r w:rsidR="00C61E5A" w:rsidRPr="006554C9">
        <w:rPr>
          <w:sz w:val="22"/>
          <w:szCs w:val="22"/>
          <w:lang w:val="sk-SK"/>
        </w:rPr>
        <w:t>rokov</w:t>
      </w:r>
      <w:r w:rsidRPr="006554C9">
        <w:rPr>
          <w:sz w:val="22"/>
          <w:szCs w:val="22"/>
          <w:lang w:val="sk-SK"/>
        </w:rPr>
        <w:t>. Celkov</w:t>
      </w:r>
      <w:r w:rsidR="0009342D" w:rsidRPr="006554C9">
        <w:rPr>
          <w:sz w:val="22"/>
          <w:szCs w:val="22"/>
          <w:lang w:val="sk-SK"/>
        </w:rPr>
        <w:t>ý klírens</w:t>
      </w:r>
      <w:r w:rsidRPr="006554C9">
        <w:rPr>
          <w:sz w:val="22"/>
          <w:szCs w:val="22"/>
          <w:lang w:val="sk-SK"/>
        </w:rPr>
        <w:t xml:space="preserve"> trimetazid</w:t>
      </w:r>
      <w:r w:rsidR="0009342D" w:rsidRPr="006554C9">
        <w:rPr>
          <w:sz w:val="22"/>
          <w:szCs w:val="22"/>
          <w:lang w:val="sk-SK"/>
        </w:rPr>
        <w:t>í</w:t>
      </w:r>
      <w:r w:rsidRPr="006554C9">
        <w:rPr>
          <w:sz w:val="22"/>
          <w:szCs w:val="22"/>
          <w:lang w:val="sk-SK"/>
        </w:rPr>
        <w:t>nu je výsledk</w:t>
      </w:r>
      <w:r w:rsidR="0009342D" w:rsidRPr="006554C9">
        <w:rPr>
          <w:sz w:val="22"/>
          <w:szCs w:val="22"/>
          <w:lang w:val="sk-SK"/>
        </w:rPr>
        <w:t>om</w:t>
      </w:r>
      <w:r w:rsidRPr="006554C9">
        <w:rPr>
          <w:sz w:val="22"/>
          <w:szCs w:val="22"/>
          <w:lang w:val="sk-SK"/>
        </w:rPr>
        <w:t xml:space="preserve"> renáln</w:t>
      </w:r>
      <w:r w:rsidR="0009342D" w:rsidRPr="006554C9">
        <w:rPr>
          <w:sz w:val="22"/>
          <w:szCs w:val="22"/>
          <w:lang w:val="sk-SK"/>
        </w:rPr>
        <w:t>eho klírensu</w:t>
      </w:r>
      <w:r w:rsidRPr="006554C9">
        <w:rPr>
          <w:sz w:val="22"/>
          <w:szCs w:val="22"/>
          <w:lang w:val="sk-SK"/>
        </w:rPr>
        <w:t xml:space="preserve"> </w:t>
      </w:r>
      <w:r w:rsidR="0009342D" w:rsidRPr="006554C9">
        <w:rPr>
          <w:sz w:val="22"/>
          <w:szCs w:val="22"/>
          <w:lang w:val="sk-SK"/>
        </w:rPr>
        <w:t>ktorý je priamo korelovaný na klírens kreatinínu a v menšej miere hepatálneho klírensu, ktorý sa znižuje s vekom.</w:t>
      </w:r>
    </w:p>
    <w:p w14:paraId="31FB42B4" w14:textId="77777777" w:rsidR="00446B4B" w:rsidRPr="006554C9" w:rsidRDefault="00446B4B" w:rsidP="00630B89">
      <w:pPr>
        <w:widowControl w:val="0"/>
        <w:rPr>
          <w:sz w:val="22"/>
          <w:szCs w:val="22"/>
          <w:lang w:val="sk-SK"/>
        </w:rPr>
      </w:pPr>
    </w:p>
    <w:p w14:paraId="0F3AB3E8" w14:textId="77777777" w:rsidR="00866F86" w:rsidRPr="006554C9" w:rsidRDefault="00866F86" w:rsidP="00866F86">
      <w:pPr>
        <w:jc w:val="both"/>
        <w:rPr>
          <w:snapToGrid/>
          <w:sz w:val="22"/>
          <w:szCs w:val="22"/>
          <w:u w:val="single"/>
          <w:lang w:val="sk-SK" w:eastAsia="de-DE"/>
        </w:rPr>
      </w:pPr>
      <w:r w:rsidRPr="006554C9">
        <w:rPr>
          <w:snapToGrid/>
          <w:sz w:val="22"/>
          <w:szCs w:val="22"/>
          <w:u w:val="single"/>
          <w:lang w:val="sk-SK" w:eastAsia="de-DE"/>
        </w:rPr>
        <w:t>Osobitné populácie</w:t>
      </w:r>
    </w:p>
    <w:p w14:paraId="5A148DD1" w14:textId="77777777" w:rsidR="00866F86" w:rsidRPr="006554C9" w:rsidRDefault="00866F86" w:rsidP="00630B89">
      <w:pPr>
        <w:widowControl w:val="0"/>
        <w:rPr>
          <w:sz w:val="22"/>
          <w:szCs w:val="22"/>
          <w:lang w:val="sk-SK"/>
        </w:rPr>
      </w:pPr>
    </w:p>
    <w:p w14:paraId="61917027" w14:textId="77777777" w:rsidR="00866F86" w:rsidRPr="006554C9" w:rsidRDefault="00866F86" w:rsidP="00630B89">
      <w:pPr>
        <w:widowControl w:val="0"/>
        <w:rPr>
          <w:i/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>Starší ľudia</w:t>
      </w:r>
    </w:p>
    <w:p w14:paraId="23887138" w14:textId="77777777" w:rsidR="002A4B7D" w:rsidRPr="001150AA" w:rsidRDefault="002A4B7D" w:rsidP="00630B89">
      <w:pPr>
        <w:widowControl w:val="0"/>
        <w:rPr>
          <w:sz w:val="22"/>
          <w:szCs w:val="22"/>
          <w:lang w:val="sk-SK"/>
        </w:rPr>
      </w:pPr>
      <w:bookmarkStart w:id="12" w:name="_Hlk482177264"/>
      <w:r w:rsidRPr="006554C9">
        <w:rPr>
          <w:sz w:val="22"/>
          <w:szCs w:val="22"/>
          <w:lang w:val="sk-SK"/>
        </w:rPr>
        <w:t>Celkov</w:t>
      </w:r>
      <w:r w:rsidR="00CC03D1">
        <w:rPr>
          <w:sz w:val="22"/>
          <w:szCs w:val="22"/>
          <w:lang w:val="sk-SK"/>
        </w:rPr>
        <w:t>ý</w:t>
      </w:r>
      <w:r w:rsidRPr="006554C9">
        <w:rPr>
          <w:sz w:val="22"/>
          <w:szCs w:val="22"/>
          <w:lang w:val="sk-SK"/>
        </w:rPr>
        <w:t xml:space="preserve"> klírens je znížen</w:t>
      </w:r>
      <w:r w:rsidR="00CC03D1">
        <w:rPr>
          <w:sz w:val="22"/>
          <w:szCs w:val="22"/>
          <w:lang w:val="sk-SK"/>
        </w:rPr>
        <w:t>ý</w:t>
      </w:r>
      <w:r w:rsidRPr="006554C9">
        <w:rPr>
          <w:sz w:val="22"/>
          <w:szCs w:val="22"/>
          <w:lang w:val="sk-SK"/>
        </w:rPr>
        <w:t xml:space="preserve"> u staršej populácie v dôsledku normálneho poklesu renálnej funkcie súvisiaceho s vekom. Populačná analýza </w:t>
      </w:r>
      <w:r w:rsidR="002D28D3">
        <w:rPr>
          <w:sz w:val="22"/>
          <w:szCs w:val="22"/>
          <w:lang w:val="sk-SK"/>
        </w:rPr>
        <w:t>P</w:t>
      </w:r>
      <w:r w:rsidRPr="006554C9">
        <w:rPr>
          <w:sz w:val="22"/>
          <w:szCs w:val="22"/>
          <w:lang w:val="sk-SK"/>
        </w:rPr>
        <w:t>K ukázala, že</w:t>
      </w:r>
      <w:r w:rsidR="002D28D3">
        <w:rPr>
          <w:sz w:val="22"/>
          <w:szCs w:val="22"/>
          <w:lang w:val="sk-SK"/>
        </w:rPr>
        <w:t xml:space="preserve"> P</w:t>
      </w:r>
      <w:r w:rsidRPr="006554C9">
        <w:rPr>
          <w:sz w:val="22"/>
          <w:szCs w:val="22"/>
          <w:lang w:val="sk-SK"/>
        </w:rPr>
        <w:t xml:space="preserve">K </w:t>
      </w:r>
      <w:r w:rsidR="002D28D3">
        <w:rPr>
          <w:sz w:val="22"/>
          <w:szCs w:val="22"/>
          <w:lang w:val="sk-SK"/>
        </w:rPr>
        <w:t xml:space="preserve">trimetazidínu </w:t>
      </w:r>
      <w:r w:rsidRPr="006554C9">
        <w:rPr>
          <w:sz w:val="22"/>
          <w:szCs w:val="22"/>
          <w:lang w:val="sk-SK"/>
        </w:rPr>
        <w:t xml:space="preserve">nie je vo veľkej miere ovplyvnená vekom. Expozície sa zvýšili len 1,1-násobne </w:t>
      </w:r>
      <w:r w:rsidR="002D28D3" w:rsidRPr="006554C9">
        <w:rPr>
          <w:sz w:val="22"/>
          <w:szCs w:val="22"/>
          <w:lang w:val="sk-SK"/>
        </w:rPr>
        <w:t xml:space="preserve">u dobrovoľníkov vo veku 55 až 65 rokov </w:t>
      </w:r>
      <w:r w:rsidRPr="006554C9">
        <w:rPr>
          <w:sz w:val="22"/>
          <w:szCs w:val="22"/>
          <w:lang w:val="sk-SK"/>
        </w:rPr>
        <w:t xml:space="preserve">a 1,4-násobne </w:t>
      </w:r>
      <w:r w:rsidR="002D28D3">
        <w:rPr>
          <w:sz w:val="22"/>
          <w:szCs w:val="22"/>
          <w:lang w:val="sk-SK"/>
        </w:rPr>
        <w:t>u</w:t>
      </w:r>
      <w:r w:rsidRPr="006554C9">
        <w:rPr>
          <w:sz w:val="22"/>
          <w:szCs w:val="22"/>
          <w:lang w:val="sk-SK"/>
        </w:rPr>
        <w:t xml:space="preserve"> starších ako 75 rokov, čo </w:t>
      </w:r>
      <w:r w:rsidR="002D28D3">
        <w:rPr>
          <w:sz w:val="22"/>
          <w:szCs w:val="22"/>
          <w:lang w:val="sk-SK"/>
        </w:rPr>
        <w:t>si nevyžaduje</w:t>
      </w:r>
      <w:r w:rsidRPr="006554C9">
        <w:rPr>
          <w:sz w:val="22"/>
          <w:szCs w:val="22"/>
          <w:lang w:val="sk-SK"/>
        </w:rPr>
        <w:t xml:space="preserve"> zmenu dávkovania.</w:t>
      </w:r>
    </w:p>
    <w:bookmarkEnd w:id="12"/>
    <w:p w14:paraId="446C3E25" w14:textId="77777777" w:rsidR="00866F86" w:rsidRPr="006554C9" w:rsidRDefault="00866F86" w:rsidP="00866F86">
      <w:pPr>
        <w:pStyle w:val="Normlnysozarkami"/>
        <w:ind w:left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U staršej populácie neboli pozorované žiadne bezpečnostné riziká v porovnaní s celkovou populáciou.</w:t>
      </w:r>
    </w:p>
    <w:p w14:paraId="0798F241" w14:textId="77777777" w:rsidR="00866F86" w:rsidRPr="006554C9" w:rsidRDefault="00866F86" w:rsidP="00630B89">
      <w:pPr>
        <w:widowControl w:val="0"/>
        <w:rPr>
          <w:sz w:val="22"/>
          <w:szCs w:val="22"/>
          <w:lang w:val="sk-SK"/>
        </w:rPr>
      </w:pPr>
    </w:p>
    <w:p w14:paraId="11924ECE" w14:textId="77777777" w:rsidR="00A12FBE" w:rsidRPr="001150AA" w:rsidRDefault="00866F86" w:rsidP="00866F86">
      <w:pPr>
        <w:pStyle w:val="Normlnysozarkami"/>
        <w:ind w:left="26"/>
        <w:rPr>
          <w:sz w:val="22"/>
          <w:szCs w:val="22"/>
          <w:u w:val="single"/>
          <w:lang w:val="sk-SK"/>
        </w:rPr>
      </w:pPr>
      <w:r w:rsidRPr="001150AA">
        <w:rPr>
          <w:sz w:val="22"/>
          <w:szCs w:val="22"/>
          <w:u w:val="single"/>
          <w:lang w:val="sk-SK"/>
        </w:rPr>
        <w:t>Porucha funkcie obličiek</w:t>
      </w:r>
    </w:p>
    <w:p w14:paraId="34E5E83D" w14:textId="77777777" w:rsidR="00866F86" w:rsidRPr="006554C9" w:rsidRDefault="00866F86" w:rsidP="00866F86">
      <w:pPr>
        <w:pStyle w:val="Normlnysozarkami"/>
        <w:ind w:left="26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Expozícia trimetazidínu je zvýšená priemerne približne 2-násobne u pacientov so stredne ťažkou poruchou funkcie obličiek (klírens kreatinínu medzi 30 a 60 ml/min)</w:t>
      </w:r>
      <w:r w:rsidR="006554C9" w:rsidRPr="006554C9">
        <w:rPr>
          <w:sz w:val="22"/>
          <w:szCs w:val="22"/>
          <w:lang w:val="sk-SK"/>
        </w:rPr>
        <w:t xml:space="preserve"> po podaní jednej tablety trimetazidínu 35 mg denne</w:t>
      </w:r>
      <w:r w:rsidRPr="006554C9">
        <w:rPr>
          <w:sz w:val="22"/>
          <w:szCs w:val="22"/>
          <w:lang w:val="sk-SK"/>
        </w:rPr>
        <w:t xml:space="preserve"> a priemerne 3,1-násobne u pacientov s ťažkou poruchou funkcie obličiek (klírens kreatinínu pod 30 ml/min) </w:t>
      </w:r>
      <w:r w:rsidR="006554C9" w:rsidRPr="006554C9">
        <w:rPr>
          <w:sz w:val="22"/>
          <w:szCs w:val="22"/>
          <w:lang w:val="sk-SK"/>
        </w:rPr>
        <w:t xml:space="preserve">po podaní jednej tablety trimetazidínu 35 mg </w:t>
      </w:r>
      <w:r w:rsidR="00BF318F">
        <w:rPr>
          <w:sz w:val="22"/>
          <w:szCs w:val="22"/>
          <w:lang w:val="sk-SK"/>
        </w:rPr>
        <w:t>každý druhý deň</w:t>
      </w:r>
      <w:r w:rsidR="00BF318F" w:rsidRPr="006554C9">
        <w:rPr>
          <w:sz w:val="22"/>
          <w:szCs w:val="22"/>
          <w:lang w:val="sk-SK"/>
        </w:rPr>
        <w:t xml:space="preserve"> </w:t>
      </w:r>
      <w:r w:rsidRPr="006554C9">
        <w:rPr>
          <w:sz w:val="22"/>
          <w:szCs w:val="22"/>
          <w:lang w:val="sk-SK"/>
        </w:rPr>
        <w:t>v</w:t>
      </w:r>
      <w:r w:rsidR="00BF318F">
        <w:rPr>
          <w:sz w:val="22"/>
          <w:szCs w:val="22"/>
          <w:lang w:val="sk-SK"/>
        </w:rPr>
        <w:t> </w:t>
      </w:r>
      <w:r w:rsidRPr="006554C9">
        <w:rPr>
          <w:sz w:val="22"/>
          <w:szCs w:val="22"/>
          <w:lang w:val="sk-SK"/>
        </w:rPr>
        <w:t>porovnaní so zdravými dobrovoľníkmi s normálnou funkciou obličiek (pozri čas</w:t>
      </w:r>
      <w:r w:rsidR="003B12CC">
        <w:rPr>
          <w:sz w:val="22"/>
          <w:szCs w:val="22"/>
          <w:lang w:val="sk-SK"/>
        </w:rPr>
        <w:t>ti</w:t>
      </w:r>
      <w:r w:rsidRPr="006554C9">
        <w:rPr>
          <w:sz w:val="22"/>
          <w:szCs w:val="22"/>
          <w:lang w:val="sk-SK"/>
        </w:rPr>
        <w:t xml:space="preserve"> 4.2 a 4.3).</w:t>
      </w:r>
    </w:p>
    <w:p w14:paraId="730B36DC" w14:textId="77777777" w:rsidR="00866F86" w:rsidRPr="006554C9" w:rsidRDefault="00866F86" w:rsidP="00866F86">
      <w:pPr>
        <w:pStyle w:val="Normlnysozarkami"/>
        <w:ind w:left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U tejto populácie neboli pozorované žiadne bezpečnostné riziká v porovnaní s ce</w:t>
      </w:r>
      <w:r w:rsidR="006554C9" w:rsidRPr="006554C9">
        <w:rPr>
          <w:sz w:val="22"/>
          <w:szCs w:val="22"/>
          <w:lang w:val="sk-SK"/>
        </w:rPr>
        <w:t>l</w:t>
      </w:r>
      <w:r w:rsidRPr="006554C9">
        <w:rPr>
          <w:sz w:val="22"/>
          <w:szCs w:val="22"/>
          <w:lang w:val="sk-SK"/>
        </w:rPr>
        <w:t>kovou populáciou.</w:t>
      </w:r>
    </w:p>
    <w:p w14:paraId="104499CD" w14:textId="77777777" w:rsidR="00B044ED" w:rsidRPr="006554C9" w:rsidRDefault="00B044ED" w:rsidP="00630B89">
      <w:pPr>
        <w:rPr>
          <w:sz w:val="22"/>
          <w:szCs w:val="22"/>
          <w:lang w:val="sk-SK"/>
        </w:rPr>
      </w:pPr>
    </w:p>
    <w:p w14:paraId="32CCF4F6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5.3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P</w:t>
      </w:r>
      <w:r w:rsidR="00A31C73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redklinické 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údaje </w:t>
      </w:r>
      <w:r w:rsidR="00A31C73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o 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bezpečnosti</w:t>
      </w:r>
    </w:p>
    <w:p w14:paraId="7BDE50A3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1AC8842A" w14:textId="77777777" w:rsidR="00372C99" w:rsidRPr="006554C9" w:rsidRDefault="00372C99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Opakované podanie vysokých dávok trimetazidínu zvieratám (40 - 200 násobky terapeutickej dávky) vyvoláva klinické symptómy súvisiace s farmakologickými vlastnosťami liečiva.</w:t>
      </w:r>
    </w:p>
    <w:p w14:paraId="1982F7FB" w14:textId="77777777" w:rsidR="004E701F" w:rsidRPr="006554C9" w:rsidRDefault="00372C99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Na zvieratách sa nezaznamenalo poškodenie reprodukčných funkcií po podaní dávok vyšších ako 100-násobok terapeutickej dávky.</w:t>
      </w:r>
    </w:p>
    <w:p w14:paraId="50701EEA" w14:textId="77777777" w:rsidR="004E701F" w:rsidRPr="006554C9" w:rsidRDefault="004E701F" w:rsidP="00630B89">
      <w:pPr>
        <w:widowControl w:val="0"/>
        <w:rPr>
          <w:b/>
          <w:sz w:val="22"/>
          <w:szCs w:val="22"/>
          <w:lang w:val="sk-SK"/>
        </w:rPr>
      </w:pPr>
    </w:p>
    <w:p w14:paraId="785EE2D4" w14:textId="77777777" w:rsidR="00372C99" w:rsidRPr="006554C9" w:rsidRDefault="00372C99" w:rsidP="00630B89">
      <w:pPr>
        <w:widowControl w:val="0"/>
        <w:rPr>
          <w:b/>
          <w:sz w:val="22"/>
          <w:szCs w:val="22"/>
          <w:lang w:val="sk-SK"/>
        </w:rPr>
      </w:pPr>
    </w:p>
    <w:p w14:paraId="6B30C777" w14:textId="77777777" w:rsidR="004E701F" w:rsidRPr="006554C9" w:rsidRDefault="00B044ED" w:rsidP="00630B89">
      <w:pPr>
        <w:widowControl w:val="0"/>
        <w:rPr>
          <w:b/>
          <w:kern w:val="28"/>
          <w:sz w:val="22"/>
          <w:szCs w:val="22"/>
          <w:lang w:val="sk-SK"/>
        </w:rPr>
      </w:pPr>
      <w:r w:rsidRPr="006554C9">
        <w:rPr>
          <w:b/>
          <w:kern w:val="28"/>
          <w:sz w:val="22"/>
          <w:szCs w:val="22"/>
          <w:lang w:val="sk-SK"/>
        </w:rPr>
        <w:t>6.</w:t>
      </w:r>
      <w:r w:rsidRPr="006554C9">
        <w:rPr>
          <w:b/>
          <w:kern w:val="28"/>
          <w:sz w:val="22"/>
          <w:szCs w:val="22"/>
          <w:lang w:val="sk-SK"/>
        </w:rPr>
        <w:tab/>
        <w:t xml:space="preserve">FARMACEUTICKÉ </w:t>
      </w:r>
      <w:r w:rsidR="003A58BD" w:rsidRPr="006554C9">
        <w:rPr>
          <w:b/>
          <w:noProof/>
          <w:szCs w:val="22"/>
          <w:lang w:val="sk-SK"/>
        </w:rPr>
        <w:t xml:space="preserve"> INFORMÁCIE</w:t>
      </w:r>
    </w:p>
    <w:p w14:paraId="49610229" w14:textId="77777777" w:rsidR="004E701F" w:rsidRPr="006554C9" w:rsidRDefault="004E701F" w:rsidP="00630B89">
      <w:pPr>
        <w:widowControl w:val="0"/>
        <w:rPr>
          <w:b/>
          <w:kern w:val="28"/>
          <w:sz w:val="22"/>
          <w:szCs w:val="22"/>
          <w:lang w:val="sk-SK"/>
        </w:rPr>
      </w:pPr>
    </w:p>
    <w:p w14:paraId="299CC852" w14:textId="77777777" w:rsidR="004E701F" w:rsidRPr="006554C9" w:rsidRDefault="00125D05" w:rsidP="00630B89">
      <w:pPr>
        <w:widowControl w:val="0"/>
        <w:rPr>
          <w:b/>
          <w:sz w:val="22"/>
          <w:szCs w:val="22"/>
          <w:lang w:val="sk-SK"/>
        </w:rPr>
      </w:pPr>
      <w:r w:rsidRPr="006554C9">
        <w:rPr>
          <w:b/>
          <w:sz w:val="22"/>
          <w:szCs w:val="22"/>
          <w:lang w:val="sk-SK"/>
        </w:rPr>
        <w:t>6.1</w:t>
      </w:r>
      <w:r w:rsidR="00B044ED" w:rsidRPr="006554C9">
        <w:rPr>
          <w:b/>
          <w:sz w:val="22"/>
          <w:szCs w:val="22"/>
          <w:lang w:val="sk-SK"/>
        </w:rPr>
        <w:tab/>
      </w:r>
      <w:r w:rsidR="001609B6" w:rsidRPr="006554C9">
        <w:rPr>
          <w:b/>
          <w:sz w:val="22"/>
          <w:szCs w:val="22"/>
          <w:lang w:val="sk-SK"/>
        </w:rPr>
        <w:t>Zoznam</w:t>
      </w:r>
      <w:r w:rsidR="00B044ED" w:rsidRPr="006554C9">
        <w:rPr>
          <w:b/>
          <w:sz w:val="22"/>
          <w:szCs w:val="22"/>
          <w:lang w:val="sk-SK"/>
        </w:rPr>
        <w:t xml:space="preserve"> pomocných lát</w:t>
      </w:r>
      <w:r w:rsidR="001609B6" w:rsidRPr="006554C9">
        <w:rPr>
          <w:b/>
          <w:sz w:val="22"/>
          <w:szCs w:val="22"/>
          <w:lang w:val="sk-SK"/>
        </w:rPr>
        <w:t>o</w:t>
      </w:r>
      <w:r w:rsidR="00B044ED" w:rsidRPr="006554C9">
        <w:rPr>
          <w:b/>
          <w:sz w:val="22"/>
          <w:szCs w:val="22"/>
          <w:lang w:val="sk-SK"/>
        </w:rPr>
        <w:t>k</w:t>
      </w:r>
    </w:p>
    <w:p w14:paraId="7EBDBB11" w14:textId="77777777" w:rsidR="004E701F" w:rsidRPr="006554C9" w:rsidRDefault="004E701F" w:rsidP="00630B89">
      <w:pPr>
        <w:widowControl w:val="0"/>
        <w:rPr>
          <w:sz w:val="22"/>
          <w:szCs w:val="22"/>
          <w:lang w:val="sk-SK"/>
        </w:rPr>
      </w:pPr>
    </w:p>
    <w:p w14:paraId="4FBE6DBE" w14:textId="77777777" w:rsidR="004E701F" w:rsidRPr="006554C9" w:rsidRDefault="001609B6" w:rsidP="00630B89">
      <w:pPr>
        <w:widowControl w:val="0"/>
        <w:rPr>
          <w:i/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>Jadro tablety</w:t>
      </w:r>
    </w:p>
    <w:p w14:paraId="5784E185" w14:textId="77777777"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</w:t>
      </w:r>
      <w:r w:rsidRPr="006554C9">
        <w:rPr>
          <w:sz w:val="22"/>
          <w:szCs w:val="22"/>
          <w:lang w:val="sk-SK"/>
        </w:rPr>
        <w:t xml:space="preserve">lorid </w:t>
      </w:r>
      <w:r w:rsidR="009E29CB" w:rsidRPr="006554C9">
        <w:rPr>
          <w:sz w:val="22"/>
          <w:szCs w:val="22"/>
          <w:lang w:val="sk-SK"/>
        </w:rPr>
        <w:t>sodný</w:t>
      </w:r>
    </w:p>
    <w:p w14:paraId="1FCCA0CE" w14:textId="77777777"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4E701F" w:rsidRPr="006554C9">
        <w:rPr>
          <w:sz w:val="22"/>
          <w:szCs w:val="22"/>
          <w:lang w:val="sk-SK"/>
        </w:rPr>
        <w:t>ovid</w:t>
      </w:r>
      <w:r w:rsidR="001609B6" w:rsidRPr="006554C9">
        <w:rPr>
          <w:sz w:val="22"/>
          <w:szCs w:val="22"/>
          <w:lang w:val="sk-SK"/>
        </w:rPr>
        <w:t>ó</w:t>
      </w:r>
      <w:r w:rsidR="004E701F" w:rsidRPr="006554C9">
        <w:rPr>
          <w:sz w:val="22"/>
          <w:szCs w:val="22"/>
          <w:lang w:val="sk-SK"/>
        </w:rPr>
        <w:t>n (K30)</w:t>
      </w:r>
    </w:p>
    <w:p w14:paraId="0841D17C" w14:textId="77777777"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4E701F" w:rsidRPr="006554C9">
        <w:rPr>
          <w:sz w:val="22"/>
          <w:szCs w:val="22"/>
          <w:lang w:val="sk-SK"/>
        </w:rPr>
        <w:t>agn</w:t>
      </w:r>
      <w:r w:rsidR="001609B6" w:rsidRPr="006554C9">
        <w:rPr>
          <w:sz w:val="22"/>
          <w:szCs w:val="22"/>
          <w:lang w:val="sk-SK"/>
        </w:rPr>
        <w:t>éziumstearát</w:t>
      </w:r>
    </w:p>
    <w:p w14:paraId="600E42EF" w14:textId="77777777" w:rsidR="004E701F" w:rsidRPr="006554C9" w:rsidRDefault="004E701F" w:rsidP="00630B89">
      <w:pPr>
        <w:widowControl w:val="0"/>
        <w:rPr>
          <w:sz w:val="22"/>
          <w:szCs w:val="22"/>
          <w:lang w:val="sk-SK"/>
        </w:rPr>
      </w:pPr>
    </w:p>
    <w:p w14:paraId="1E2AB034" w14:textId="77777777" w:rsidR="004E701F" w:rsidRPr="006554C9" w:rsidRDefault="001609B6" w:rsidP="00630B89">
      <w:pPr>
        <w:widowControl w:val="0"/>
        <w:rPr>
          <w:i/>
          <w:sz w:val="22"/>
          <w:szCs w:val="22"/>
          <w:lang w:val="sk-SK"/>
        </w:rPr>
      </w:pPr>
      <w:r w:rsidRPr="006554C9">
        <w:rPr>
          <w:i/>
          <w:sz w:val="22"/>
          <w:szCs w:val="22"/>
          <w:lang w:val="sk-SK"/>
        </w:rPr>
        <w:t xml:space="preserve">Filmový </w:t>
      </w:r>
      <w:r w:rsidR="00F9787A" w:rsidRPr="006554C9">
        <w:rPr>
          <w:i/>
          <w:sz w:val="22"/>
          <w:szCs w:val="22"/>
          <w:lang w:val="sk-SK"/>
        </w:rPr>
        <w:t>obal</w:t>
      </w:r>
    </w:p>
    <w:p w14:paraId="66B68B83" w14:textId="77777777"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a</w:t>
      </w:r>
      <w:r w:rsidR="004E701F" w:rsidRPr="006554C9">
        <w:rPr>
          <w:sz w:val="22"/>
          <w:szCs w:val="22"/>
          <w:lang w:val="sk-SK"/>
        </w:rPr>
        <w:t>cetát celulózy</w:t>
      </w:r>
    </w:p>
    <w:p w14:paraId="04130B84" w14:textId="77777777" w:rsidR="004E701F" w:rsidRPr="006554C9" w:rsidRDefault="003B12CC" w:rsidP="00630B89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4E701F" w:rsidRPr="006554C9">
        <w:rPr>
          <w:sz w:val="22"/>
          <w:szCs w:val="22"/>
          <w:lang w:val="sk-SK"/>
        </w:rPr>
        <w:t>ypromelóza</w:t>
      </w:r>
    </w:p>
    <w:p w14:paraId="69AD8225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4066B250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6.2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Inkompatibility</w:t>
      </w:r>
    </w:p>
    <w:p w14:paraId="3ED37DFB" w14:textId="77777777"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14:paraId="5294D4A2" w14:textId="77777777" w:rsidR="00B044ED" w:rsidRPr="006554C9" w:rsidRDefault="001609B6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Neaplikovateľné.</w:t>
      </w:r>
    </w:p>
    <w:p w14:paraId="32AE2B83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5EC80034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6.3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1609B6" w:rsidRPr="006554C9">
        <w:rPr>
          <w:rFonts w:ascii="Times New Roman" w:hAnsi="Times New Roman" w:cs="Times New Roman"/>
          <w:b/>
          <w:sz w:val="22"/>
          <w:szCs w:val="22"/>
          <w:lang w:val="sk-SK"/>
        </w:rPr>
        <w:t>Čas použiteľ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nosti</w:t>
      </w:r>
    </w:p>
    <w:p w14:paraId="39BCACE6" w14:textId="77777777"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14:paraId="1641BD83" w14:textId="77777777" w:rsidR="00B044ED" w:rsidRPr="006554C9" w:rsidRDefault="00A80AFF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3</w:t>
      </w:r>
      <w:r w:rsidR="00B044ED" w:rsidRPr="006554C9">
        <w:rPr>
          <w:sz w:val="22"/>
          <w:szCs w:val="22"/>
          <w:lang w:val="sk-SK"/>
        </w:rPr>
        <w:t xml:space="preserve"> roky.</w:t>
      </w:r>
    </w:p>
    <w:p w14:paraId="731008C7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492DB15B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6.4</w:t>
      </w:r>
      <w:r w:rsidR="001609B6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Špeciálne upozornenia na uchovávanie</w:t>
      </w:r>
    </w:p>
    <w:p w14:paraId="78F9BBA8" w14:textId="77777777"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14:paraId="1FA126CD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 xml:space="preserve">Tento </w:t>
      </w:r>
      <w:r w:rsidR="001609B6" w:rsidRPr="006554C9">
        <w:rPr>
          <w:sz w:val="22"/>
          <w:szCs w:val="22"/>
          <w:lang w:val="sk-SK"/>
        </w:rPr>
        <w:t xml:space="preserve">liek </w:t>
      </w:r>
      <w:r w:rsidRPr="006554C9">
        <w:rPr>
          <w:sz w:val="22"/>
          <w:szCs w:val="22"/>
          <w:lang w:val="sk-SK"/>
        </w:rPr>
        <w:t>nevyžaduje ž</w:t>
      </w:r>
      <w:r w:rsidR="001609B6" w:rsidRPr="006554C9">
        <w:rPr>
          <w:sz w:val="22"/>
          <w:szCs w:val="22"/>
          <w:lang w:val="sk-SK"/>
        </w:rPr>
        <w:t>iadne špeciálne podmienky na uchovávanie</w:t>
      </w:r>
      <w:r w:rsidRPr="006554C9">
        <w:rPr>
          <w:sz w:val="22"/>
          <w:szCs w:val="22"/>
          <w:lang w:val="sk-SK"/>
        </w:rPr>
        <w:t>.</w:t>
      </w:r>
    </w:p>
    <w:p w14:paraId="045A493D" w14:textId="77777777" w:rsidR="00A46170" w:rsidRPr="006554C9" w:rsidRDefault="00A46170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16B85692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6.5</w:t>
      </w:r>
      <w:r w:rsidR="001609B6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Druh obalu a obsah </w:t>
      </w:r>
      <w:r w:rsidR="00B044ED" w:rsidRPr="006554C9">
        <w:rPr>
          <w:rFonts w:ascii="Times New Roman" w:hAnsi="Times New Roman" w:cs="Times New Roman"/>
          <w:b/>
          <w:sz w:val="22"/>
          <w:szCs w:val="22"/>
          <w:lang w:val="sk-SK"/>
        </w:rPr>
        <w:t>balen</w:t>
      </w:r>
      <w:r w:rsidR="001609B6" w:rsidRPr="006554C9">
        <w:rPr>
          <w:rFonts w:ascii="Times New Roman" w:hAnsi="Times New Roman" w:cs="Times New Roman"/>
          <w:b/>
          <w:sz w:val="22"/>
          <w:szCs w:val="22"/>
          <w:lang w:val="sk-SK"/>
        </w:rPr>
        <w:t>ia</w:t>
      </w:r>
      <w:r w:rsidR="00A46170" w:rsidRPr="006554C9">
        <w:rPr>
          <w:b/>
          <w:noProof/>
          <w:szCs w:val="22"/>
          <w:lang w:val="sk-SK"/>
        </w:rPr>
        <w:t xml:space="preserve"> </w:t>
      </w:r>
      <w:r w:rsidR="00A46170" w:rsidRPr="006554C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 špeciálne zariadenie na použitie, podanie alebo implantáciu</w:t>
      </w:r>
    </w:p>
    <w:p w14:paraId="38DDD55D" w14:textId="77777777" w:rsidR="00FD6C67" w:rsidRPr="006554C9" w:rsidRDefault="00FD6C67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14F1EB6" w14:textId="77777777" w:rsidR="0094180E" w:rsidRPr="006554C9" w:rsidRDefault="0094180E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PVC/PVdC//Al blist</w:t>
      </w:r>
      <w:r w:rsidR="001609B6"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e</w:t>
      </w: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r.</w:t>
      </w:r>
    </w:p>
    <w:p w14:paraId="435A025C" w14:textId="77777777" w:rsidR="00B044ED" w:rsidRPr="006554C9" w:rsidRDefault="0094180E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Ve</w:t>
      </w:r>
      <w:r w:rsidR="001609B6"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ľ</w:t>
      </w: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kosti balen</w:t>
      </w:r>
      <w:r w:rsidR="001609B6"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ia</w:t>
      </w: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: 30, 60, 90, 100, 500, 1000 tabl</w:t>
      </w:r>
      <w:r w:rsidR="001609B6"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i</w:t>
      </w:r>
      <w:r w:rsidRPr="006554C9">
        <w:rPr>
          <w:rFonts w:ascii="Times New Roman" w:hAnsi="Times New Roman" w:cs="Times New Roman"/>
          <w:snapToGrid/>
          <w:color w:val="000000"/>
          <w:sz w:val="22"/>
          <w:szCs w:val="22"/>
          <w:lang w:val="sk-SK"/>
        </w:rPr>
        <w:t>et.</w:t>
      </w:r>
    </w:p>
    <w:p w14:paraId="6F195FE1" w14:textId="77777777" w:rsidR="00540605" w:rsidRPr="006554C9" w:rsidRDefault="00540605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B80407C" w14:textId="77777777" w:rsidR="00B044ED" w:rsidRPr="006554C9" w:rsidRDefault="00A46170" w:rsidP="00630B89">
      <w:pPr>
        <w:pStyle w:val="Zkladntext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sz w:val="22"/>
          <w:szCs w:val="22"/>
          <w:lang w:val="sk-SK"/>
        </w:rPr>
        <w:t>Na trh nemusia byť uvedené</w:t>
      </w:r>
      <w:r w:rsidRPr="006554C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všetky veľkosti balenia.</w:t>
      </w:r>
      <w:r w:rsidRPr="006554C9">
        <w:rPr>
          <w:noProof/>
          <w:szCs w:val="22"/>
          <w:lang w:val="sk-SK"/>
        </w:rPr>
        <w:t xml:space="preserve"> </w:t>
      </w:r>
    </w:p>
    <w:p w14:paraId="4236B7BA" w14:textId="77777777" w:rsidR="00B044ED" w:rsidRPr="006554C9" w:rsidRDefault="00B044ED" w:rsidP="00630B89">
      <w:pPr>
        <w:pStyle w:val="Zkladntext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8333CE0" w14:textId="77777777" w:rsidR="00B044ED" w:rsidRPr="006554C9" w:rsidRDefault="00125D05" w:rsidP="00630B89">
      <w:pPr>
        <w:pStyle w:val="Nadpis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/>
          <w:sz w:val="22"/>
          <w:szCs w:val="22"/>
          <w:lang w:val="sk-SK"/>
        </w:rPr>
        <w:t>6.6</w:t>
      </w:r>
      <w:r w:rsidR="00A8164C" w:rsidRPr="006554C9">
        <w:rPr>
          <w:rFonts w:ascii="Times New Roman" w:hAnsi="Times New Roman" w:cs="Times New Roman"/>
          <w:b/>
          <w:sz w:val="22"/>
          <w:szCs w:val="22"/>
          <w:lang w:val="sk-SK"/>
        </w:rPr>
        <w:tab/>
        <w:t>Špeciálne opatrenia na likvidáciu</w:t>
      </w:r>
      <w:r w:rsidR="00A46170" w:rsidRPr="006554C9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A46170" w:rsidRPr="006554C9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a iné zaobchádzanie s liekom</w:t>
      </w:r>
    </w:p>
    <w:p w14:paraId="70B34333" w14:textId="77777777"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14:paraId="2825F5F6" w14:textId="77777777" w:rsidR="00B044ED" w:rsidRPr="006554C9" w:rsidRDefault="00A8164C" w:rsidP="00630B89">
      <w:pPr>
        <w:widowControl w:val="0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Žiadne zvláštne požiadavky</w:t>
      </w:r>
      <w:r w:rsidR="00A46170" w:rsidRPr="006554C9">
        <w:rPr>
          <w:sz w:val="22"/>
          <w:szCs w:val="22"/>
          <w:lang w:val="sk-SK"/>
        </w:rPr>
        <w:t xml:space="preserve"> </w:t>
      </w:r>
      <w:r w:rsidR="00A46170" w:rsidRPr="006554C9">
        <w:rPr>
          <w:noProof/>
          <w:sz w:val="22"/>
          <w:szCs w:val="22"/>
          <w:lang w:val="sk-SK"/>
        </w:rPr>
        <w:t>na likvidáciu</w:t>
      </w:r>
      <w:r w:rsidRPr="006554C9">
        <w:rPr>
          <w:sz w:val="22"/>
          <w:szCs w:val="22"/>
          <w:lang w:val="sk-SK"/>
        </w:rPr>
        <w:t>.</w:t>
      </w:r>
    </w:p>
    <w:p w14:paraId="5359B0B6" w14:textId="77777777" w:rsidR="00B044ED" w:rsidRPr="006554C9" w:rsidRDefault="00B044ED" w:rsidP="00630B89">
      <w:pPr>
        <w:widowControl w:val="0"/>
        <w:rPr>
          <w:sz w:val="22"/>
          <w:szCs w:val="22"/>
          <w:lang w:val="sk-SK"/>
        </w:rPr>
      </w:pPr>
    </w:p>
    <w:p w14:paraId="32DD27DC" w14:textId="77777777" w:rsidR="00FD6C67" w:rsidRPr="006554C9" w:rsidRDefault="00FD6C67" w:rsidP="00630B89">
      <w:pPr>
        <w:widowControl w:val="0"/>
        <w:rPr>
          <w:sz w:val="22"/>
          <w:szCs w:val="22"/>
          <w:lang w:val="sk-SK"/>
        </w:rPr>
      </w:pPr>
    </w:p>
    <w:p w14:paraId="694EF26B" w14:textId="77777777"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7.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DRŽITE</w:t>
      </w:r>
      <w:r w:rsidR="00A72F20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Ľ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 xml:space="preserve"> ROZHODNUT</w:t>
      </w:r>
      <w:r w:rsidR="00A72F20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IA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 xml:space="preserve"> O REGISTR</w:t>
      </w:r>
      <w:r w:rsidR="00A72F20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Á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CI</w:t>
      </w:r>
      <w:r w:rsidR="00A72F20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I</w:t>
      </w:r>
    </w:p>
    <w:p w14:paraId="14B6E85D" w14:textId="77777777" w:rsidR="00B044ED" w:rsidRPr="006554C9" w:rsidRDefault="00B044ED" w:rsidP="00630B89">
      <w:pPr>
        <w:jc w:val="both"/>
        <w:rPr>
          <w:sz w:val="22"/>
          <w:szCs w:val="22"/>
          <w:lang w:val="sk-SK"/>
        </w:rPr>
      </w:pPr>
    </w:p>
    <w:p w14:paraId="7E0791F8" w14:textId="71DC7DCE" w:rsidR="00FD6C67" w:rsidRPr="006554C9" w:rsidRDefault="008745FB" w:rsidP="00630B89">
      <w:pPr>
        <w:jc w:val="both"/>
        <w:rPr>
          <w:sz w:val="22"/>
          <w:szCs w:val="22"/>
          <w:lang w:val="sk-SK"/>
        </w:rPr>
      </w:pPr>
      <w:r w:rsidRPr="008745FB">
        <w:rPr>
          <w:sz w:val="22"/>
          <w:szCs w:val="22"/>
          <w:lang w:val="sk-SK"/>
        </w:rPr>
        <w:t>Teva B.V., Swensweg 5, 2031 GA Haarlem, Holandsko</w:t>
      </w:r>
    </w:p>
    <w:p w14:paraId="0377DF05" w14:textId="77777777" w:rsidR="00FD6C67" w:rsidRDefault="00FD6C67" w:rsidP="00630B89">
      <w:pPr>
        <w:jc w:val="both"/>
        <w:rPr>
          <w:sz w:val="22"/>
          <w:szCs w:val="22"/>
          <w:lang w:val="sk-SK"/>
        </w:rPr>
      </w:pPr>
    </w:p>
    <w:p w14:paraId="28B3631D" w14:textId="77777777" w:rsidR="008745FB" w:rsidRPr="006554C9" w:rsidRDefault="008745FB" w:rsidP="00630B89">
      <w:pPr>
        <w:jc w:val="both"/>
        <w:rPr>
          <w:sz w:val="22"/>
          <w:szCs w:val="22"/>
          <w:lang w:val="sk-SK"/>
        </w:rPr>
      </w:pPr>
    </w:p>
    <w:p w14:paraId="04EE0E07" w14:textId="77777777" w:rsidR="00B044ED" w:rsidRPr="006554C9" w:rsidRDefault="00B044ED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8.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REGISTRAČN</w:t>
      </w:r>
      <w:r w:rsidR="00A8164C"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É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 xml:space="preserve"> ČÍSLO</w:t>
      </w:r>
    </w:p>
    <w:p w14:paraId="3B9CE8C0" w14:textId="77777777" w:rsidR="00873CFA" w:rsidRPr="006554C9" w:rsidRDefault="00873CFA" w:rsidP="00630B89">
      <w:pPr>
        <w:jc w:val="both"/>
        <w:rPr>
          <w:sz w:val="22"/>
          <w:szCs w:val="22"/>
          <w:lang w:val="sk-SK"/>
        </w:rPr>
      </w:pPr>
    </w:p>
    <w:p w14:paraId="0D99EF29" w14:textId="77777777" w:rsidR="00873CFA" w:rsidRPr="006554C9" w:rsidRDefault="00873CFA" w:rsidP="00630B89">
      <w:pPr>
        <w:jc w:val="both"/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41/0875/10-S</w:t>
      </w:r>
    </w:p>
    <w:p w14:paraId="6578B077" w14:textId="77777777" w:rsidR="00873CFA" w:rsidRPr="006554C9" w:rsidRDefault="00873CFA" w:rsidP="00630B89">
      <w:pPr>
        <w:jc w:val="both"/>
        <w:rPr>
          <w:sz w:val="22"/>
          <w:szCs w:val="22"/>
          <w:lang w:val="sk-SK"/>
        </w:rPr>
      </w:pPr>
    </w:p>
    <w:p w14:paraId="6216A463" w14:textId="77777777" w:rsidR="00FD6C67" w:rsidRPr="006554C9" w:rsidRDefault="00FD6C67" w:rsidP="00630B89">
      <w:pPr>
        <w:jc w:val="both"/>
        <w:rPr>
          <w:sz w:val="22"/>
          <w:szCs w:val="22"/>
          <w:lang w:val="sk-SK"/>
        </w:rPr>
      </w:pPr>
    </w:p>
    <w:p w14:paraId="19AD5E08" w14:textId="77777777" w:rsidR="00B044ED" w:rsidRPr="006554C9" w:rsidRDefault="00A8164C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9.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DÁTUM PRVEJ REGISTRÁCIE / PREDĹŽENIA REGISTRÁCIE</w:t>
      </w:r>
    </w:p>
    <w:p w14:paraId="2AFD1A3F" w14:textId="77777777" w:rsidR="00045253" w:rsidRPr="006554C9" w:rsidRDefault="00045253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</w:pPr>
    </w:p>
    <w:p w14:paraId="4AE4A559" w14:textId="77777777" w:rsidR="00045253" w:rsidRPr="006554C9" w:rsidRDefault="00533E3B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 xml:space="preserve">Dátum prvej registrácie: </w:t>
      </w:r>
      <w:r w:rsidR="00873CFA"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>2</w:t>
      </w:r>
      <w:r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>5</w:t>
      </w:r>
      <w:r w:rsidR="00873CFA"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>.</w:t>
      </w:r>
      <w:r w:rsidR="00CC03D1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 xml:space="preserve"> november </w:t>
      </w:r>
      <w:r w:rsidR="00873CFA" w:rsidRPr="006554C9">
        <w:rPr>
          <w:rFonts w:ascii="Times New Roman" w:hAnsi="Times New Roman" w:cs="Times New Roman"/>
          <w:b w:val="0"/>
          <w:kern w:val="28"/>
          <w:sz w:val="22"/>
          <w:szCs w:val="22"/>
          <w:lang w:val="sk-SK"/>
        </w:rPr>
        <w:t>2010</w:t>
      </w:r>
    </w:p>
    <w:p w14:paraId="40A82598" w14:textId="77777777" w:rsidR="00533E3B" w:rsidRPr="006554C9" w:rsidRDefault="00533E3B" w:rsidP="00533E3B">
      <w:pPr>
        <w:rPr>
          <w:sz w:val="22"/>
          <w:szCs w:val="22"/>
          <w:lang w:val="sk-SK"/>
        </w:rPr>
      </w:pPr>
      <w:r w:rsidRPr="006554C9">
        <w:rPr>
          <w:sz w:val="22"/>
          <w:szCs w:val="22"/>
          <w:lang w:val="sk-SK"/>
        </w:rPr>
        <w:t>Dátum posledného predĺženia registrácie:</w:t>
      </w:r>
      <w:r w:rsidR="000F0D5D">
        <w:rPr>
          <w:sz w:val="22"/>
          <w:szCs w:val="22"/>
          <w:lang w:val="sk-SK"/>
        </w:rPr>
        <w:t xml:space="preserve"> 6. október 2015</w:t>
      </w:r>
    </w:p>
    <w:p w14:paraId="0DB6FF08" w14:textId="77777777" w:rsidR="00873CFA" w:rsidRPr="006554C9" w:rsidRDefault="00873CFA" w:rsidP="00873CFA">
      <w:pPr>
        <w:rPr>
          <w:sz w:val="22"/>
          <w:szCs w:val="22"/>
          <w:lang w:val="sk-SK"/>
        </w:rPr>
      </w:pPr>
    </w:p>
    <w:p w14:paraId="40627BF8" w14:textId="77777777" w:rsidR="00873CFA" w:rsidRPr="006554C9" w:rsidRDefault="00873CFA" w:rsidP="00873CFA">
      <w:pPr>
        <w:rPr>
          <w:lang w:val="sk-SK"/>
        </w:rPr>
      </w:pPr>
    </w:p>
    <w:p w14:paraId="1D3ABD6D" w14:textId="77777777" w:rsidR="00B044ED" w:rsidRPr="006554C9" w:rsidRDefault="00A8164C" w:rsidP="00630B89">
      <w:pPr>
        <w:pStyle w:val="Nadpis1"/>
        <w:tabs>
          <w:tab w:val="clear" w:pos="14571"/>
        </w:tabs>
        <w:jc w:val="left"/>
        <w:rPr>
          <w:rFonts w:ascii="Times New Roman" w:hAnsi="Times New Roman" w:cs="Times New Roman"/>
          <w:kern w:val="28"/>
          <w:sz w:val="22"/>
          <w:szCs w:val="22"/>
          <w:lang w:val="sk-SK"/>
        </w:rPr>
      </w:pP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>10.</w:t>
      </w:r>
      <w:r w:rsidRPr="006554C9">
        <w:rPr>
          <w:rFonts w:ascii="Times New Roman" w:hAnsi="Times New Roman" w:cs="Times New Roman"/>
          <w:kern w:val="28"/>
          <w:sz w:val="22"/>
          <w:szCs w:val="22"/>
          <w:lang w:val="sk-SK"/>
        </w:rPr>
        <w:tab/>
        <w:t>DÁTUM REVÍZIE TEXTU</w:t>
      </w:r>
    </w:p>
    <w:p w14:paraId="7181BA63" w14:textId="77777777" w:rsidR="00630B89" w:rsidRPr="006554C9" w:rsidRDefault="00630B89" w:rsidP="00630B89">
      <w:pPr>
        <w:rPr>
          <w:lang w:val="sk-SK"/>
        </w:rPr>
      </w:pPr>
    </w:p>
    <w:p w14:paraId="18D86639" w14:textId="6C51D277" w:rsidR="008E6246" w:rsidRPr="006554C9" w:rsidRDefault="00174AF7" w:rsidP="00630B89">
      <w:pPr>
        <w:widowControl w:val="0"/>
        <w:suppressLineNumbers/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November 2019</w:t>
      </w:r>
    </w:p>
    <w:sectPr w:rsidR="008E6246" w:rsidRPr="006554C9" w:rsidSect="005F37FC">
      <w:headerReference w:type="default" r:id="rId8"/>
      <w:footerReference w:type="even" r:id="rId9"/>
      <w:footerReference w:type="default" r:id="rId10"/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2368D" w14:textId="77777777" w:rsidR="0006605B" w:rsidRDefault="0006605B">
      <w:r>
        <w:separator/>
      </w:r>
    </w:p>
  </w:endnote>
  <w:endnote w:type="continuationSeparator" w:id="0">
    <w:p w14:paraId="024E7EB9" w14:textId="77777777" w:rsidR="0006605B" w:rsidRDefault="0006605B">
      <w:r>
        <w:continuationSeparator/>
      </w:r>
    </w:p>
  </w:endnote>
  <w:endnote w:type="continuationNotice" w:id="1">
    <w:p w14:paraId="3E4B8C53" w14:textId="77777777" w:rsidR="0006605B" w:rsidRDefault="00066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7EAF6" w14:textId="77777777" w:rsidR="00A60D4B" w:rsidRDefault="00170EBF" w:rsidP="003F607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60D4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5DD84C" w14:textId="77777777" w:rsidR="00A60D4B" w:rsidRDefault="00A60D4B" w:rsidP="009F77B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9234301"/>
      <w:docPartObj>
        <w:docPartGallery w:val="Page Numbers (Bottom of Page)"/>
        <w:docPartUnique/>
      </w:docPartObj>
    </w:sdtPr>
    <w:sdtEndPr/>
    <w:sdtContent>
      <w:p w14:paraId="4DD7C130" w14:textId="77777777" w:rsidR="00174AF7" w:rsidRPr="005F37FC" w:rsidRDefault="00174AF7">
        <w:pPr>
          <w:pStyle w:val="Pta"/>
          <w:jc w:val="center"/>
          <w:rPr>
            <w:sz w:val="18"/>
            <w:szCs w:val="18"/>
          </w:rPr>
        </w:pPr>
        <w:r w:rsidRPr="005F37FC">
          <w:rPr>
            <w:sz w:val="18"/>
            <w:szCs w:val="18"/>
          </w:rPr>
          <w:fldChar w:fldCharType="begin"/>
        </w:r>
        <w:r w:rsidRPr="005F37FC">
          <w:rPr>
            <w:sz w:val="18"/>
            <w:szCs w:val="18"/>
          </w:rPr>
          <w:instrText>PAGE   \* MERGEFORMAT</w:instrText>
        </w:r>
        <w:r w:rsidRPr="005F37FC">
          <w:rPr>
            <w:sz w:val="18"/>
            <w:szCs w:val="18"/>
          </w:rPr>
          <w:fldChar w:fldCharType="separate"/>
        </w:r>
        <w:r w:rsidR="005F37FC" w:rsidRPr="005F37FC">
          <w:rPr>
            <w:noProof/>
            <w:sz w:val="18"/>
            <w:szCs w:val="18"/>
            <w:lang w:val="sk-SK"/>
          </w:rPr>
          <w:t>1</w:t>
        </w:r>
        <w:r w:rsidRPr="005F37FC">
          <w:rPr>
            <w:sz w:val="18"/>
            <w:szCs w:val="18"/>
          </w:rPr>
          <w:fldChar w:fldCharType="end"/>
        </w:r>
      </w:p>
    </w:sdtContent>
  </w:sdt>
  <w:p w14:paraId="691B25A7" w14:textId="77777777" w:rsidR="00A60D4B" w:rsidRPr="00B33822" w:rsidRDefault="00A60D4B" w:rsidP="009F77B9">
    <w:pPr>
      <w:pStyle w:val="Pta"/>
      <w:tabs>
        <w:tab w:val="clear" w:pos="4536"/>
        <w:tab w:val="clear" w:pos="9072"/>
        <w:tab w:val="center" w:pos="7513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2A12D" w14:textId="77777777" w:rsidR="0006605B" w:rsidRDefault="0006605B">
      <w:r>
        <w:separator/>
      </w:r>
    </w:p>
  </w:footnote>
  <w:footnote w:type="continuationSeparator" w:id="0">
    <w:p w14:paraId="777FEA93" w14:textId="77777777" w:rsidR="0006605B" w:rsidRDefault="0006605B">
      <w:r>
        <w:continuationSeparator/>
      </w:r>
    </w:p>
  </w:footnote>
  <w:footnote w:type="continuationNotice" w:id="1">
    <w:p w14:paraId="7F697B78" w14:textId="77777777" w:rsidR="0006605B" w:rsidRDefault="000660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AFEF9" w14:textId="3DCB21C8" w:rsidR="00B20493" w:rsidRDefault="00B20493" w:rsidP="0006173C">
    <w:pPr>
      <w:rPr>
        <w:sz w:val="18"/>
        <w:szCs w:val="16"/>
        <w:lang w:val="sk-SK"/>
      </w:rPr>
    </w:pPr>
    <w:r w:rsidRPr="00B20493">
      <w:rPr>
        <w:sz w:val="18"/>
        <w:szCs w:val="16"/>
        <w:lang w:val="sk-SK"/>
      </w:rPr>
      <w:t>Schválený text k rozhodnutiu o prevode, ev. č.:</w:t>
    </w:r>
    <w:r w:rsidR="00174AF7">
      <w:rPr>
        <w:sz w:val="18"/>
        <w:szCs w:val="16"/>
        <w:lang w:val="sk-SK"/>
      </w:rPr>
      <w:t xml:space="preserve"> 2019/06293-TR</w:t>
    </w:r>
  </w:p>
  <w:p w14:paraId="223451F4" w14:textId="34DBD62A" w:rsidR="00B20493" w:rsidRPr="004F0F6F" w:rsidRDefault="00B20493" w:rsidP="0006173C">
    <w:pPr>
      <w:rPr>
        <w:sz w:val="18"/>
        <w:lang w:val="sk-SK"/>
      </w:rPr>
    </w:pPr>
    <w:r w:rsidRPr="00B20493">
      <w:rPr>
        <w:sz w:val="18"/>
        <w:lang w:val="sk-SK"/>
      </w:rPr>
      <w:t xml:space="preserve">Príloha č. </w:t>
    </w:r>
    <w:r w:rsidR="00174AF7">
      <w:rPr>
        <w:sz w:val="18"/>
        <w:lang w:val="sk-SK"/>
      </w:rPr>
      <w:t>2</w:t>
    </w:r>
    <w:r w:rsidRPr="00B20493">
      <w:rPr>
        <w:sz w:val="18"/>
        <w:lang w:val="sk-SK"/>
      </w:rPr>
      <w:t xml:space="preserve"> k notifikácii o zmene, ev. č.:</w:t>
    </w:r>
    <w:r w:rsidR="00174AF7">
      <w:rPr>
        <w:sz w:val="18"/>
        <w:lang w:val="sk-SK"/>
      </w:rPr>
      <w:t xml:space="preserve"> 2019/06292-Z1B</w:t>
    </w:r>
  </w:p>
  <w:p w14:paraId="4C38B9A8" w14:textId="77777777" w:rsidR="00D971D2" w:rsidRDefault="00D971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multilevel"/>
    <w:tmpl w:val="0AE2C148"/>
    <w:lvl w:ilvl="0">
      <w:start w:val="1"/>
      <w:numFmt w:val="bullet"/>
      <w:pStyle w:val="PHZMngel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24E1A"/>
    <w:multiLevelType w:val="multilevel"/>
    <w:tmpl w:val="179AB95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Times New Roman" w:hAnsi="Times New Roman" w:hint="default"/>
      </w:rPr>
    </w:lvl>
  </w:abstractNum>
  <w:abstractNum w:abstractNumId="2" w15:restartNumberingAfterBreak="0">
    <w:nsid w:val="028E38D4"/>
    <w:multiLevelType w:val="hybridMultilevel"/>
    <w:tmpl w:val="BA584968"/>
    <w:lvl w:ilvl="0" w:tplc="F930722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5D147A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D6B76FB"/>
    <w:multiLevelType w:val="hybridMultilevel"/>
    <w:tmpl w:val="ABAEBAF0"/>
    <w:lvl w:ilvl="0" w:tplc="E58CED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54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A270C98"/>
    <w:multiLevelType w:val="multilevel"/>
    <w:tmpl w:val="8E9C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77ADB"/>
    <w:multiLevelType w:val="hybridMultilevel"/>
    <w:tmpl w:val="CD06DB1E"/>
    <w:lvl w:ilvl="0" w:tplc="F930722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E552542"/>
    <w:multiLevelType w:val="hybridMultilevel"/>
    <w:tmpl w:val="1C66ED3A"/>
    <w:lvl w:ilvl="0" w:tplc="E58CED8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B6767"/>
    <w:multiLevelType w:val="hybridMultilevel"/>
    <w:tmpl w:val="D89A2C9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046A2"/>
    <w:multiLevelType w:val="hybridMultilevel"/>
    <w:tmpl w:val="C594788A"/>
    <w:lvl w:ilvl="0" w:tplc="F0F479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C30136"/>
    <w:multiLevelType w:val="hybridMultilevel"/>
    <w:tmpl w:val="550641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C0116"/>
    <w:multiLevelType w:val="hybridMultilevel"/>
    <w:tmpl w:val="D0422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406E"/>
    <w:multiLevelType w:val="hybridMultilevel"/>
    <w:tmpl w:val="D7DED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0189"/>
    <w:multiLevelType w:val="hybridMultilevel"/>
    <w:tmpl w:val="E206A7D4"/>
    <w:lvl w:ilvl="0" w:tplc="D0BC5636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9C17E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B0B17F1"/>
    <w:multiLevelType w:val="hybridMultilevel"/>
    <w:tmpl w:val="64DA56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A68FE"/>
    <w:multiLevelType w:val="hybridMultilevel"/>
    <w:tmpl w:val="5E24FE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3308C"/>
    <w:multiLevelType w:val="multilevel"/>
    <w:tmpl w:val="5EEC0B5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18"/>
  </w:num>
  <w:num w:numId="5">
    <w:abstractNumId w:val="15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13"/>
  </w:num>
  <w:num w:numId="13">
    <w:abstractNumId w:val="17"/>
  </w:num>
  <w:num w:numId="14">
    <w:abstractNumId w:val="11"/>
  </w:num>
  <w:num w:numId="15">
    <w:abstractNumId w:val="16"/>
  </w:num>
  <w:num w:numId="16">
    <w:abstractNumId w:val="4"/>
  </w:num>
  <w:num w:numId="17">
    <w:abstractNumId w:val="7"/>
  </w:num>
  <w:num w:numId="18">
    <w:abstractNumId w:val="14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BB"/>
    <w:rsid w:val="00002ED2"/>
    <w:rsid w:val="00004AD8"/>
    <w:rsid w:val="000104D2"/>
    <w:rsid w:val="00024190"/>
    <w:rsid w:val="00041009"/>
    <w:rsid w:val="00044ACC"/>
    <w:rsid w:val="00045253"/>
    <w:rsid w:val="00047C6E"/>
    <w:rsid w:val="0005566A"/>
    <w:rsid w:val="00056BE1"/>
    <w:rsid w:val="00060315"/>
    <w:rsid w:val="00060BF3"/>
    <w:rsid w:val="0006173C"/>
    <w:rsid w:val="0006338F"/>
    <w:rsid w:val="0006605B"/>
    <w:rsid w:val="000753EC"/>
    <w:rsid w:val="00087F72"/>
    <w:rsid w:val="0009342D"/>
    <w:rsid w:val="00096772"/>
    <w:rsid w:val="00096962"/>
    <w:rsid w:val="000A576E"/>
    <w:rsid w:val="000A6058"/>
    <w:rsid w:val="000B36C4"/>
    <w:rsid w:val="000C6956"/>
    <w:rsid w:val="000D1F57"/>
    <w:rsid w:val="000D214B"/>
    <w:rsid w:val="000E5796"/>
    <w:rsid w:val="000F0D5D"/>
    <w:rsid w:val="000F0EB4"/>
    <w:rsid w:val="000F1809"/>
    <w:rsid w:val="000F244F"/>
    <w:rsid w:val="000F617D"/>
    <w:rsid w:val="00101EEC"/>
    <w:rsid w:val="0010582B"/>
    <w:rsid w:val="00114E59"/>
    <w:rsid w:val="001150AA"/>
    <w:rsid w:val="001157A6"/>
    <w:rsid w:val="00125D05"/>
    <w:rsid w:val="00127865"/>
    <w:rsid w:val="0013086B"/>
    <w:rsid w:val="0013230F"/>
    <w:rsid w:val="00134A0C"/>
    <w:rsid w:val="00136F82"/>
    <w:rsid w:val="00145572"/>
    <w:rsid w:val="001517EF"/>
    <w:rsid w:val="00156D81"/>
    <w:rsid w:val="001609B6"/>
    <w:rsid w:val="0016441D"/>
    <w:rsid w:val="00170801"/>
    <w:rsid w:val="00170EBF"/>
    <w:rsid w:val="00174AF7"/>
    <w:rsid w:val="00181952"/>
    <w:rsid w:val="00190359"/>
    <w:rsid w:val="00191FDF"/>
    <w:rsid w:val="00193E58"/>
    <w:rsid w:val="00194B67"/>
    <w:rsid w:val="001962B6"/>
    <w:rsid w:val="001B029B"/>
    <w:rsid w:val="001B20BC"/>
    <w:rsid w:val="001C616B"/>
    <w:rsid w:val="001C62AA"/>
    <w:rsid w:val="001D0027"/>
    <w:rsid w:val="001D25A4"/>
    <w:rsid w:val="001E3222"/>
    <w:rsid w:val="001F3309"/>
    <w:rsid w:val="001F4C7F"/>
    <w:rsid w:val="001F5DB5"/>
    <w:rsid w:val="00205FBB"/>
    <w:rsid w:val="0022138B"/>
    <w:rsid w:val="0022495F"/>
    <w:rsid w:val="00224C3E"/>
    <w:rsid w:val="00245CF4"/>
    <w:rsid w:val="00253005"/>
    <w:rsid w:val="0025737F"/>
    <w:rsid w:val="00260067"/>
    <w:rsid w:val="0026302B"/>
    <w:rsid w:val="00274673"/>
    <w:rsid w:val="00276825"/>
    <w:rsid w:val="00280373"/>
    <w:rsid w:val="00290B31"/>
    <w:rsid w:val="002961A0"/>
    <w:rsid w:val="002A3FB8"/>
    <w:rsid w:val="002A4AF7"/>
    <w:rsid w:val="002A4B7D"/>
    <w:rsid w:val="002B08E4"/>
    <w:rsid w:val="002B1652"/>
    <w:rsid w:val="002B6227"/>
    <w:rsid w:val="002C40F3"/>
    <w:rsid w:val="002D28D3"/>
    <w:rsid w:val="002D2A20"/>
    <w:rsid w:val="002D3DD2"/>
    <w:rsid w:val="002E4DA6"/>
    <w:rsid w:val="002E7506"/>
    <w:rsid w:val="002F541B"/>
    <w:rsid w:val="002F766B"/>
    <w:rsid w:val="003142C4"/>
    <w:rsid w:val="0032020A"/>
    <w:rsid w:val="00326927"/>
    <w:rsid w:val="003279E9"/>
    <w:rsid w:val="00331AC3"/>
    <w:rsid w:val="00336550"/>
    <w:rsid w:val="00336ADD"/>
    <w:rsid w:val="00345451"/>
    <w:rsid w:val="00355DD0"/>
    <w:rsid w:val="0037170D"/>
    <w:rsid w:val="00372C99"/>
    <w:rsid w:val="0038210E"/>
    <w:rsid w:val="00386976"/>
    <w:rsid w:val="00391F2E"/>
    <w:rsid w:val="0039751C"/>
    <w:rsid w:val="003A1CB9"/>
    <w:rsid w:val="003A54CA"/>
    <w:rsid w:val="003A58BD"/>
    <w:rsid w:val="003A6B9A"/>
    <w:rsid w:val="003A7BF3"/>
    <w:rsid w:val="003B12CC"/>
    <w:rsid w:val="003B3783"/>
    <w:rsid w:val="003B66BA"/>
    <w:rsid w:val="003C19B4"/>
    <w:rsid w:val="003C34A6"/>
    <w:rsid w:val="003C554A"/>
    <w:rsid w:val="003C782F"/>
    <w:rsid w:val="003D047E"/>
    <w:rsid w:val="003D20D0"/>
    <w:rsid w:val="003E2072"/>
    <w:rsid w:val="003E4B12"/>
    <w:rsid w:val="003F0BB4"/>
    <w:rsid w:val="003F46C7"/>
    <w:rsid w:val="003F6075"/>
    <w:rsid w:val="003F7B7D"/>
    <w:rsid w:val="00410181"/>
    <w:rsid w:val="00410F2E"/>
    <w:rsid w:val="0041233E"/>
    <w:rsid w:val="00413CA7"/>
    <w:rsid w:val="004204DF"/>
    <w:rsid w:val="004219BD"/>
    <w:rsid w:val="00424394"/>
    <w:rsid w:val="00433642"/>
    <w:rsid w:val="00435BBA"/>
    <w:rsid w:val="00440440"/>
    <w:rsid w:val="00445200"/>
    <w:rsid w:val="00446B4B"/>
    <w:rsid w:val="00451852"/>
    <w:rsid w:val="00455FEA"/>
    <w:rsid w:val="00463FF8"/>
    <w:rsid w:val="004664F2"/>
    <w:rsid w:val="004706A8"/>
    <w:rsid w:val="00474B35"/>
    <w:rsid w:val="00477917"/>
    <w:rsid w:val="004811A8"/>
    <w:rsid w:val="00492BD3"/>
    <w:rsid w:val="004958F3"/>
    <w:rsid w:val="004A0FD5"/>
    <w:rsid w:val="004A1689"/>
    <w:rsid w:val="004C60C2"/>
    <w:rsid w:val="004C7B43"/>
    <w:rsid w:val="004D6970"/>
    <w:rsid w:val="004E6631"/>
    <w:rsid w:val="004E701F"/>
    <w:rsid w:val="004F0F6F"/>
    <w:rsid w:val="004F2305"/>
    <w:rsid w:val="004F2712"/>
    <w:rsid w:val="004F71E4"/>
    <w:rsid w:val="005036A3"/>
    <w:rsid w:val="005100EA"/>
    <w:rsid w:val="00511F9A"/>
    <w:rsid w:val="00513E50"/>
    <w:rsid w:val="005166A9"/>
    <w:rsid w:val="00525980"/>
    <w:rsid w:val="005271E5"/>
    <w:rsid w:val="00531F95"/>
    <w:rsid w:val="00533E3B"/>
    <w:rsid w:val="005376F8"/>
    <w:rsid w:val="00540605"/>
    <w:rsid w:val="00563C50"/>
    <w:rsid w:val="00565603"/>
    <w:rsid w:val="005663B4"/>
    <w:rsid w:val="00577751"/>
    <w:rsid w:val="0058149D"/>
    <w:rsid w:val="0059111F"/>
    <w:rsid w:val="005A71B8"/>
    <w:rsid w:val="005C004A"/>
    <w:rsid w:val="005C4991"/>
    <w:rsid w:val="005E6668"/>
    <w:rsid w:val="005F37FC"/>
    <w:rsid w:val="005F4D2A"/>
    <w:rsid w:val="005F6DF6"/>
    <w:rsid w:val="005F7227"/>
    <w:rsid w:val="006107BD"/>
    <w:rsid w:val="00620989"/>
    <w:rsid w:val="00630B89"/>
    <w:rsid w:val="00650C28"/>
    <w:rsid w:val="0065254A"/>
    <w:rsid w:val="006554C9"/>
    <w:rsid w:val="00663017"/>
    <w:rsid w:val="00665E49"/>
    <w:rsid w:val="00667A48"/>
    <w:rsid w:val="00696D9D"/>
    <w:rsid w:val="006B36AE"/>
    <w:rsid w:val="006B3C13"/>
    <w:rsid w:val="006B401D"/>
    <w:rsid w:val="006B6106"/>
    <w:rsid w:val="006D239C"/>
    <w:rsid w:val="006E1AD8"/>
    <w:rsid w:val="006E5E50"/>
    <w:rsid w:val="006F006D"/>
    <w:rsid w:val="006F41F8"/>
    <w:rsid w:val="0071776C"/>
    <w:rsid w:val="00722EB4"/>
    <w:rsid w:val="00737068"/>
    <w:rsid w:val="00740494"/>
    <w:rsid w:val="0075647B"/>
    <w:rsid w:val="007608B7"/>
    <w:rsid w:val="00771601"/>
    <w:rsid w:val="0077184C"/>
    <w:rsid w:val="007727FB"/>
    <w:rsid w:val="00777CF1"/>
    <w:rsid w:val="00780B3A"/>
    <w:rsid w:val="00792EF0"/>
    <w:rsid w:val="00794564"/>
    <w:rsid w:val="007945E8"/>
    <w:rsid w:val="007A39B4"/>
    <w:rsid w:val="007B378B"/>
    <w:rsid w:val="007C4A1D"/>
    <w:rsid w:val="007C61D6"/>
    <w:rsid w:val="007D1F7C"/>
    <w:rsid w:val="007D2330"/>
    <w:rsid w:val="007E5E38"/>
    <w:rsid w:val="007F6F48"/>
    <w:rsid w:val="00811990"/>
    <w:rsid w:val="008148C6"/>
    <w:rsid w:val="0082408D"/>
    <w:rsid w:val="00825FDB"/>
    <w:rsid w:val="008262B0"/>
    <w:rsid w:val="00833F62"/>
    <w:rsid w:val="0083541D"/>
    <w:rsid w:val="00857044"/>
    <w:rsid w:val="00857A3F"/>
    <w:rsid w:val="00860924"/>
    <w:rsid w:val="00863FC6"/>
    <w:rsid w:val="00866F86"/>
    <w:rsid w:val="00870B95"/>
    <w:rsid w:val="00870C1C"/>
    <w:rsid w:val="00871A2C"/>
    <w:rsid w:val="00873CFA"/>
    <w:rsid w:val="008745FB"/>
    <w:rsid w:val="0088042D"/>
    <w:rsid w:val="00890BEF"/>
    <w:rsid w:val="00893187"/>
    <w:rsid w:val="00893491"/>
    <w:rsid w:val="0089735B"/>
    <w:rsid w:val="0089744B"/>
    <w:rsid w:val="00897D92"/>
    <w:rsid w:val="008A0313"/>
    <w:rsid w:val="008A0F24"/>
    <w:rsid w:val="008B2AB8"/>
    <w:rsid w:val="008C3030"/>
    <w:rsid w:val="008E6246"/>
    <w:rsid w:val="008F50E7"/>
    <w:rsid w:val="009032E1"/>
    <w:rsid w:val="00911045"/>
    <w:rsid w:val="00913E2C"/>
    <w:rsid w:val="00914A9E"/>
    <w:rsid w:val="00920500"/>
    <w:rsid w:val="00922238"/>
    <w:rsid w:val="00933A57"/>
    <w:rsid w:val="0094180E"/>
    <w:rsid w:val="00941A7B"/>
    <w:rsid w:val="00957800"/>
    <w:rsid w:val="009669EC"/>
    <w:rsid w:val="0098075B"/>
    <w:rsid w:val="0098569A"/>
    <w:rsid w:val="009861FC"/>
    <w:rsid w:val="009932EE"/>
    <w:rsid w:val="009A59DB"/>
    <w:rsid w:val="009B542E"/>
    <w:rsid w:val="009B6D67"/>
    <w:rsid w:val="009C0260"/>
    <w:rsid w:val="009C329A"/>
    <w:rsid w:val="009C68BF"/>
    <w:rsid w:val="009D1A47"/>
    <w:rsid w:val="009D1F46"/>
    <w:rsid w:val="009E29CB"/>
    <w:rsid w:val="009E2B3E"/>
    <w:rsid w:val="009F17ED"/>
    <w:rsid w:val="009F77B9"/>
    <w:rsid w:val="009F79BA"/>
    <w:rsid w:val="00A12FBE"/>
    <w:rsid w:val="00A17493"/>
    <w:rsid w:val="00A31C73"/>
    <w:rsid w:val="00A42003"/>
    <w:rsid w:val="00A46170"/>
    <w:rsid w:val="00A4643B"/>
    <w:rsid w:val="00A50852"/>
    <w:rsid w:val="00A553FF"/>
    <w:rsid w:val="00A60D4B"/>
    <w:rsid w:val="00A63F96"/>
    <w:rsid w:val="00A7068D"/>
    <w:rsid w:val="00A7111E"/>
    <w:rsid w:val="00A7208C"/>
    <w:rsid w:val="00A72F20"/>
    <w:rsid w:val="00A80AFF"/>
    <w:rsid w:val="00A8164C"/>
    <w:rsid w:val="00A93E04"/>
    <w:rsid w:val="00AE3DAB"/>
    <w:rsid w:val="00AE7D5E"/>
    <w:rsid w:val="00B044ED"/>
    <w:rsid w:val="00B0461E"/>
    <w:rsid w:val="00B047AF"/>
    <w:rsid w:val="00B1371E"/>
    <w:rsid w:val="00B20493"/>
    <w:rsid w:val="00B244EB"/>
    <w:rsid w:val="00B33822"/>
    <w:rsid w:val="00B56EC1"/>
    <w:rsid w:val="00B670FC"/>
    <w:rsid w:val="00B93CE9"/>
    <w:rsid w:val="00B96861"/>
    <w:rsid w:val="00B975BE"/>
    <w:rsid w:val="00BA6A26"/>
    <w:rsid w:val="00BC6FC5"/>
    <w:rsid w:val="00BD001D"/>
    <w:rsid w:val="00BD0F4D"/>
    <w:rsid w:val="00BF318F"/>
    <w:rsid w:val="00BF5546"/>
    <w:rsid w:val="00BF6809"/>
    <w:rsid w:val="00C03F1E"/>
    <w:rsid w:val="00C12381"/>
    <w:rsid w:val="00C13835"/>
    <w:rsid w:val="00C371B6"/>
    <w:rsid w:val="00C37B07"/>
    <w:rsid w:val="00C40281"/>
    <w:rsid w:val="00C4035C"/>
    <w:rsid w:val="00C40A1C"/>
    <w:rsid w:val="00C43824"/>
    <w:rsid w:val="00C45D94"/>
    <w:rsid w:val="00C46F5B"/>
    <w:rsid w:val="00C54263"/>
    <w:rsid w:val="00C55B80"/>
    <w:rsid w:val="00C61E5A"/>
    <w:rsid w:val="00C65FBB"/>
    <w:rsid w:val="00C663DB"/>
    <w:rsid w:val="00C914E8"/>
    <w:rsid w:val="00C923B8"/>
    <w:rsid w:val="00C92D87"/>
    <w:rsid w:val="00C94B96"/>
    <w:rsid w:val="00C96FC9"/>
    <w:rsid w:val="00CA316C"/>
    <w:rsid w:val="00CB0E8F"/>
    <w:rsid w:val="00CB4F04"/>
    <w:rsid w:val="00CC03D1"/>
    <w:rsid w:val="00CD5AA8"/>
    <w:rsid w:val="00CE05E6"/>
    <w:rsid w:val="00CE2DB9"/>
    <w:rsid w:val="00CE45D8"/>
    <w:rsid w:val="00D10469"/>
    <w:rsid w:val="00D1519B"/>
    <w:rsid w:val="00D2438E"/>
    <w:rsid w:val="00D24CD6"/>
    <w:rsid w:val="00D3257A"/>
    <w:rsid w:val="00D416AD"/>
    <w:rsid w:val="00D448FA"/>
    <w:rsid w:val="00D4699A"/>
    <w:rsid w:val="00D52CBB"/>
    <w:rsid w:val="00D64C0E"/>
    <w:rsid w:val="00D751B4"/>
    <w:rsid w:val="00D85551"/>
    <w:rsid w:val="00D971D2"/>
    <w:rsid w:val="00DA5000"/>
    <w:rsid w:val="00DB0E91"/>
    <w:rsid w:val="00DB6FFC"/>
    <w:rsid w:val="00DB7D87"/>
    <w:rsid w:val="00DD02CB"/>
    <w:rsid w:val="00DD22BC"/>
    <w:rsid w:val="00DD390D"/>
    <w:rsid w:val="00DE48FA"/>
    <w:rsid w:val="00DF2227"/>
    <w:rsid w:val="00DF64E0"/>
    <w:rsid w:val="00E114DE"/>
    <w:rsid w:val="00E15B7D"/>
    <w:rsid w:val="00E17628"/>
    <w:rsid w:val="00E20A93"/>
    <w:rsid w:val="00E21264"/>
    <w:rsid w:val="00E326E2"/>
    <w:rsid w:val="00E34E00"/>
    <w:rsid w:val="00E36F7D"/>
    <w:rsid w:val="00E54172"/>
    <w:rsid w:val="00E54A6B"/>
    <w:rsid w:val="00E812F5"/>
    <w:rsid w:val="00E824CE"/>
    <w:rsid w:val="00E847A9"/>
    <w:rsid w:val="00E90FE8"/>
    <w:rsid w:val="00E91EDE"/>
    <w:rsid w:val="00E96978"/>
    <w:rsid w:val="00E97552"/>
    <w:rsid w:val="00EA0CEC"/>
    <w:rsid w:val="00EA2345"/>
    <w:rsid w:val="00EB69DC"/>
    <w:rsid w:val="00EC2500"/>
    <w:rsid w:val="00EC6A05"/>
    <w:rsid w:val="00EE12A6"/>
    <w:rsid w:val="00EE21E5"/>
    <w:rsid w:val="00EE318F"/>
    <w:rsid w:val="00EE6B3D"/>
    <w:rsid w:val="00EF5C02"/>
    <w:rsid w:val="00F0110E"/>
    <w:rsid w:val="00F04684"/>
    <w:rsid w:val="00F0549D"/>
    <w:rsid w:val="00F0611B"/>
    <w:rsid w:val="00F10065"/>
    <w:rsid w:val="00F14FF3"/>
    <w:rsid w:val="00F2408E"/>
    <w:rsid w:val="00F31316"/>
    <w:rsid w:val="00F34A97"/>
    <w:rsid w:val="00F36C15"/>
    <w:rsid w:val="00F36C41"/>
    <w:rsid w:val="00F42EFB"/>
    <w:rsid w:val="00F430CD"/>
    <w:rsid w:val="00F454BB"/>
    <w:rsid w:val="00F71DDD"/>
    <w:rsid w:val="00F86100"/>
    <w:rsid w:val="00F86268"/>
    <w:rsid w:val="00F9258B"/>
    <w:rsid w:val="00F96CE4"/>
    <w:rsid w:val="00F9787A"/>
    <w:rsid w:val="00FA4B84"/>
    <w:rsid w:val="00FB140A"/>
    <w:rsid w:val="00FC1D65"/>
    <w:rsid w:val="00FC24E0"/>
    <w:rsid w:val="00FC7EA2"/>
    <w:rsid w:val="00FD1185"/>
    <w:rsid w:val="00FD6C67"/>
    <w:rsid w:val="00FE3FFC"/>
    <w:rsid w:val="00FF193E"/>
    <w:rsid w:val="00FF2CC8"/>
    <w:rsid w:val="00FF4635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9174FBF"/>
  <w15:docId w15:val="{0901160C-1F9A-464B-9FCE-81A7025D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61D6"/>
    <w:rPr>
      <w:snapToGrid w:val="0"/>
      <w:lang w:val="en-GB"/>
    </w:rPr>
  </w:style>
  <w:style w:type="paragraph" w:styleId="Nadpis1">
    <w:name w:val="heading 1"/>
    <w:basedOn w:val="Normlny"/>
    <w:next w:val="Normlny"/>
    <w:qFormat/>
    <w:rsid w:val="00E36F7D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qFormat/>
    <w:rsid w:val="00E36F7D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qFormat/>
    <w:rsid w:val="00E36F7D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qFormat/>
    <w:rsid w:val="00E36F7D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qFormat/>
    <w:rsid w:val="00E36F7D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qFormat/>
    <w:rsid w:val="00E36F7D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qFormat/>
    <w:rsid w:val="00E36F7D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qFormat/>
    <w:rsid w:val="00E36F7D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qFormat/>
    <w:rsid w:val="00E36F7D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E36F7D"/>
    <w:rPr>
      <w:lang w:val="en-US"/>
    </w:rPr>
  </w:style>
  <w:style w:type="paragraph" w:styleId="Hlavika">
    <w:name w:val="header"/>
    <w:basedOn w:val="Normlny"/>
    <w:rsid w:val="00E36F7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6F7D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E36F7D"/>
    <w:pPr>
      <w:jc w:val="both"/>
    </w:pPr>
    <w:rPr>
      <w:rFonts w:ascii="Arial" w:hAnsi="Arial" w:cs="Arial"/>
      <w:b/>
      <w:bCs/>
    </w:rPr>
  </w:style>
  <w:style w:type="paragraph" w:styleId="Zarkazkladnhotextu2">
    <w:name w:val="Body Text Indent 2"/>
    <w:basedOn w:val="Normlny"/>
    <w:rsid w:val="00E36F7D"/>
    <w:pPr>
      <w:ind w:left="709"/>
      <w:jc w:val="both"/>
    </w:pPr>
    <w:rPr>
      <w:sz w:val="24"/>
      <w:szCs w:val="24"/>
    </w:rPr>
  </w:style>
  <w:style w:type="paragraph" w:styleId="Zarkazkladnhotextu3">
    <w:name w:val="Body Text Indent 3"/>
    <w:basedOn w:val="Normlny"/>
    <w:rsid w:val="00E36F7D"/>
    <w:pPr>
      <w:ind w:left="142"/>
    </w:pPr>
    <w:rPr>
      <w:rFonts w:ascii="Arial" w:hAnsi="Arial" w:cs="Arial"/>
      <w:color w:val="000000"/>
    </w:rPr>
  </w:style>
  <w:style w:type="paragraph" w:customStyle="1" w:styleId="p3">
    <w:name w:val="p3"/>
    <w:basedOn w:val="Normlny"/>
    <w:rsid w:val="00E36F7D"/>
    <w:pPr>
      <w:spacing w:line="240" w:lineRule="atLeast"/>
      <w:ind w:left="1120" w:hanging="1120"/>
      <w:jc w:val="both"/>
    </w:pPr>
    <w:rPr>
      <w:sz w:val="24"/>
      <w:szCs w:val="24"/>
    </w:rPr>
  </w:style>
  <w:style w:type="paragraph" w:customStyle="1" w:styleId="t1">
    <w:name w:val="t1"/>
    <w:basedOn w:val="Normlny"/>
    <w:rsid w:val="00E36F7D"/>
    <w:pPr>
      <w:tabs>
        <w:tab w:val="decimal" w:pos="100"/>
        <w:tab w:val="left" w:pos="1120"/>
      </w:tabs>
      <w:spacing w:line="240" w:lineRule="atLeast"/>
    </w:pPr>
    <w:rPr>
      <w:sz w:val="24"/>
      <w:szCs w:val="24"/>
    </w:rPr>
  </w:style>
  <w:style w:type="paragraph" w:styleId="Zkladntext">
    <w:name w:val="Body Text"/>
    <w:basedOn w:val="Normlny"/>
    <w:rsid w:val="00E36F7D"/>
    <w:pPr>
      <w:jc w:val="both"/>
    </w:pPr>
    <w:rPr>
      <w:rFonts w:ascii="Arial" w:hAnsi="Arial" w:cs="Arial"/>
    </w:rPr>
  </w:style>
  <w:style w:type="paragraph" w:styleId="Zkladntext3">
    <w:name w:val="Body Text 3"/>
    <w:basedOn w:val="Normlny"/>
    <w:rsid w:val="00E3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paragraph" w:styleId="Oznaitext">
    <w:name w:val="Block Text"/>
    <w:basedOn w:val="Normlny"/>
    <w:rsid w:val="00E36F7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E36F7D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semiHidden/>
    <w:rsid w:val="00E36F7D"/>
    <w:pPr>
      <w:jc w:val="both"/>
    </w:pPr>
    <w:rPr>
      <w:sz w:val="26"/>
      <w:szCs w:val="26"/>
    </w:rPr>
  </w:style>
  <w:style w:type="paragraph" w:customStyle="1" w:styleId="IndentA">
    <w:name w:val="Indent A"/>
    <w:basedOn w:val="Normlny"/>
    <w:rsid w:val="00E36F7D"/>
    <w:pPr>
      <w:spacing w:after="240"/>
      <w:ind w:left="567" w:hanging="567"/>
      <w:jc w:val="both"/>
    </w:pPr>
    <w:rPr>
      <w:sz w:val="26"/>
      <w:szCs w:val="26"/>
    </w:rPr>
  </w:style>
  <w:style w:type="character" w:styleId="Odkaznapoznmkupodiarou">
    <w:name w:val="footnote reference"/>
    <w:semiHidden/>
    <w:rsid w:val="00E36F7D"/>
    <w:rPr>
      <w:vertAlign w:val="superscript"/>
    </w:rPr>
  </w:style>
  <w:style w:type="paragraph" w:styleId="Nzov">
    <w:name w:val="Title"/>
    <w:basedOn w:val="Normlny"/>
    <w:qFormat/>
    <w:rsid w:val="00E36F7D"/>
    <w:pPr>
      <w:jc w:val="center"/>
    </w:pPr>
    <w:rPr>
      <w:b/>
      <w:bCs/>
      <w:sz w:val="28"/>
      <w:szCs w:val="28"/>
      <w:lang w:val="fr-FR"/>
    </w:rPr>
  </w:style>
  <w:style w:type="paragraph" w:customStyle="1" w:styleId="p4">
    <w:name w:val="p4"/>
    <w:basedOn w:val="Normlny"/>
    <w:rsid w:val="00E36F7D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E36F7D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E36F7D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E36F7D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E36F7D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E36F7D"/>
    <w:pPr>
      <w:widowControl w:val="0"/>
      <w:tabs>
        <w:tab w:val="right" w:leader="dot" w:pos="9360"/>
      </w:tabs>
      <w:suppressAutoHyphens/>
      <w:ind w:left="2160" w:right="720" w:hanging="720"/>
    </w:pPr>
    <w:rPr>
      <w:sz w:val="24"/>
      <w:szCs w:val="24"/>
      <w:lang w:val="en-US"/>
    </w:rPr>
  </w:style>
  <w:style w:type="paragraph" w:customStyle="1" w:styleId="OmniPage6">
    <w:name w:val="OmniPage #6"/>
    <w:basedOn w:val="Normlny"/>
    <w:rsid w:val="00E36F7D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 w:cs="Arial"/>
      <w:noProof/>
    </w:rPr>
  </w:style>
  <w:style w:type="paragraph" w:customStyle="1" w:styleId="OmniPage258">
    <w:name w:val="OmniPage #258"/>
    <w:basedOn w:val="Normlny"/>
    <w:rsid w:val="00E36F7D"/>
    <w:pPr>
      <w:tabs>
        <w:tab w:val="left" w:pos="1205"/>
        <w:tab w:val="right" w:pos="7610"/>
      </w:tabs>
      <w:ind w:left="2140" w:right="1490"/>
    </w:pPr>
    <w:rPr>
      <w:rFonts w:ascii="Arial" w:hAnsi="Arial" w:cs="Arial"/>
      <w:noProof/>
    </w:rPr>
  </w:style>
  <w:style w:type="paragraph" w:customStyle="1" w:styleId="OmniPage259">
    <w:name w:val="OmniPage #259"/>
    <w:basedOn w:val="Normlny"/>
    <w:rsid w:val="00E36F7D"/>
    <w:pPr>
      <w:ind w:left="2124" w:right="286"/>
    </w:pPr>
    <w:rPr>
      <w:rFonts w:ascii="Arial" w:hAnsi="Arial" w:cs="Arial"/>
      <w:noProof/>
    </w:rPr>
  </w:style>
  <w:style w:type="paragraph" w:customStyle="1" w:styleId="OmniPage1026">
    <w:name w:val="OmniPage #1026"/>
    <w:basedOn w:val="Normlny"/>
    <w:rsid w:val="00E36F7D"/>
    <w:pPr>
      <w:ind w:left="2162" w:right="213"/>
    </w:pPr>
    <w:rPr>
      <w:rFonts w:ascii="Arial" w:hAnsi="Arial" w:cs="Arial"/>
      <w:noProof/>
    </w:rPr>
  </w:style>
  <w:style w:type="paragraph" w:customStyle="1" w:styleId="OmniPage1027">
    <w:name w:val="OmniPage #1027"/>
    <w:basedOn w:val="Normlny"/>
    <w:rsid w:val="00E36F7D"/>
    <w:pPr>
      <w:ind w:left="2162" w:right="761"/>
    </w:pPr>
    <w:rPr>
      <w:rFonts w:ascii="Arial" w:hAnsi="Arial" w:cs="Arial"/>
      <w:noProof/>
    </w:rPr>
  </w:style>
  <w:style w:type="paragraph" w:customStyle="1" w:styleId="OmniPage1028">
    <w:name w:val="OmniPage #1028"/>
    <w:basedOn w:val="Normlny"/>
    <w:rsid w:val="00E36F7D"/>
    <w:pPr>
      <w:tabs>
        <w:tab w:val="left" w:pos="802"/>
        <w:tab w:val="right" w:pos="8868"/>
      </w:tabs>
      <w:ind w:left="1743" w:right="233"/>
    </w:pPr>
    <w:rPr>
      <w:rFonts w:ascii="Arial" w:hAnsi="Arial" w:cs="Arial"/>
      <w:noProof/>
    </w:rPr>
  </w:style>
  <w:style w:type="paragraph" w:customStyle="1" w:styleId="OmniPage1029">
    <w:name w:val="OmniPage #1029"/>
    <w:basedOn w:val="Normlny"/>
    <w:rsid w:val="00E36F7D"/>
    <w:pPr>
      <w:ind w:left="2180" w:right="4274"/>
    </w:pPr>
    <w:rPr>
      <w:rFonts w:ascii="Arial" w:hAnsi="Arial" w:cs="Arial"/>
      <w:noProof/>
    </w:rPr>
  </w:style>
  <w:style w:type="paragraph" w:customStyle="1" w:styleId="OmniPage1031">
    <w:name w:val="OmniPage #1031"/>
    <w:basedOn w:val="Normlny"/>
    <w:rsid w:val="00E36F7D"/>
    <w:pPr>
      <w:ind w:left="2179" w:right="6700"/>
    </w:pPr>
    <w:rPr>
      <w:rFonts w:ascii="Arial" w:hAnsi="Arial" w:cs="Arial"/>
      <w:noProof/>
    </w:rPr>
  </w:style>
  <w:style w:type="paragraph" w:customStyle="1" w:styleId="OmniPage1033">
    <w:name w:val="OmniPage #1033"/>
    <w:basedOn w:val="Normlny"/>
    <w:rsid w:val="00E36F7D"/>
    <w:pPr>
      <w:tabs>
        <w:tab w:val="right" w:pos="9001"/>
      </w:tabs>
      <w:ind w:left="2150" w:right="100"/>
    </w:pPr>
    <w:rPr>
      <w:rFonts w:ascii="Arial" w:hAnsi="Arial" w:cs="Arial"/>
      <w:noProof/>
    </w:rPr>
  </w:style>
  <w:style w:type="paragraph" w:customStyle="1" w:styleId="OmniPage1282">
    <w:name w:val="OmniPage #1282"/>
    <w:basedOn w:val="Normlny"/>
    <w:rsid w:val="00E36F7D"/>
    <w:pPr>
      <w:tabs>
        <w:tab w:val="right" w:pos="9005"/>
      </w:tabs>
      <w:ind w:left="2144" w:right="100"/>
    </w:pPr>
    <w:rPr>
      <w:rFonts w:ascii="Arial" w:hAnsi="Arial" w:cs="Arial"/>
      <w:noProof/>
    </w:rPr>
  </w:style>
  <w:style w:type="paragraph" w:customStyle="1" w:styleId="OmniPage1538">
    <w:name w:val="OmniPage #1538"/>
    <w:basedOn w:val="Normlny"/>
    <w:rsid w:val="00E36F7D"/>
    <w:pPr>
      <w:ind w:left="2154" w:right="228"/>
    </w:pPr>
    <w:rPr>
      <w:rFonts w:ascii="Arial" w:hAnsi="Arial" w:cs="Arial"/>
      <w:noProof/>
    </w:rPr>
  </w:style>
  <w:style w:type="paragraph" w:customStyle="1" w:styleId="OmniPage1539">
    <w:name w:val="OmniPage #1539"/>
    <w:basedOn w:val="Normlny"/>
    <w:rsid w:val="00E36F7D"/>
    <w:pPr>
      <w:ind w:left="2140" w:right="4106"/>
    </w:pPr>
    <w:rPr>
      <w:rFonts w:ascii="Arial" w:hAnsi="Arial" w:cs="Arial"/>
      <w:noProof/>
    </w:rPr>
  </w:style>
  <w:style w:type="paragraph" w:customStyle="1" w:styleId="OmniPage1541">
    <w:name w:val="OmniPage #1541"/>
    <w:basedOn w:val="Normlny"/>
    <w:rsid w:val="00E36F7D"/>
    <w:pPr>
      <w:tabs>
        <w:tab w:val="left" w:pos="785"/>
        <w:tab w:val="right" w:pos="9002"/>
      </w:tabs>
      <w:ind w:left="1727" w:right="100"/>
    </w:pPr>
    <w:rPr>
      <w:rFonts w:ascii="Arial" w:hAnsi="Arial" w:cs="Arial"/>
      <w:noProof/>
    </w:rPr>
  </w:style>
  <w:style w:type="character" w:styleId="Hypertextovprepojenie">
    <w:name w:val="Hyperlink"/>
    <w:rsid w:val="00E36F7D"/>
    <w:rPr>
      <w:color w:val="0000FF"/>
      <w:u w:val="single"/>
    </w:rPr>
  </w:style>
  <w:style w:type="paragraph" w:customStyle="1" w:styleId="scher">
    <w:name w:val="scher"/>
    <w:basedOn w:val="Normlny"/>
    <w:rsid w:val="00E36F7D"/>
    <w:pPr>
      <w:jc w:val="both"/>
    </w:pPr>
    <w:rPr>
      <w:color w:val="000000"/>
      <w:sz w:val="24"/>
      <w:szCs w:val="24"/>
      <w:lang w:val="fr-FR"/>
    </w:rPr>
  </w:style>
  <w:style w:type="paragraph" w:customStyle="1" w:styleId="AmmTableauTitre1">
    <w:name w:val="AmmTableauTitre1"/>
    <w:basedOn w:val="Normlny"/>
    <w:rsid w:val="00E36F7D"/>
    <w:pPr>
      <w:spacing w:before="120" w:after="120"/>
      <w:jc w:val="both"/>
    </w:pPr>
    <w:rPr>
      <w:rFonts w:ascii="Arial" w:hAnsi="Arial" w:cs="Arial"/>
      <w:b/>
      <w:bCs/>
      <w:sz w:val="22"/>
      <w:szCs w:val="22"/>
      <w:lang w:val="fr-FR"/>
    </w:rPr>
  </w:style>
  <w:style w:type="paragraph" w:customStyle="1" w:styleId="AmmTableauTitre2">
    <w:name w:val="AmmTableauTitre2"/>
    <w:basedOn w:val="Normlny"/>
    <w:rsid w:val="00E36F7D"/>
    <w:pPr>
      <w:spacing w:before="120" w:after="120"/>
    </w:pPr>
    <w:rPr>
      <w:rFonts w:ascii="Arial" w:hAnsi="Arial" w:cs="Arial"/>
      <w:b/>
      <w:bCs/>
      <w:sz w:val="22"/>
      <w:szCs w:val="22"/>
      <w:u w:val="single"/>
      <w:lang w:val="fr-FR"/>
    </w:rPr>
  </w:style>
  <w:style w:type="paragraph" w:customStyle="1" w:styleId="AmmTableauTitre3">
    <w:name w:val="AmmTableauTitre3"/>
    <w:basedOn w:val="Normlny"/>
    <w:rsid w:val="00E36F7D"/>
    <w:pPr>
      <w:spacing w:before="240" w:after="60"/>
    </w:pPr>
    <w:rPr>
      <w:rFonts w:ascii="Arial" w:hAnsi="Arial" w:cs="Arial"/>
      <w:b/>
      <w:bCs/>
      <w:sz w:val="22"/>
      <w:szCs w:val="22"/>
      <w:lang w:val="fr-FR"/>
    </w:rPr>
  </w:style>
  <w:style w:type="paragraph" w:customStyle="1" w:styleId="AmmTableauCorpsTexte">
    <w:name w:val="AmmTableauCorpsTexte"/>
    <w:basedOn w:val="Normlny"/>
    <w:rsid w:val="00E36F7D"/>
    <w:pPr>
      <w:spacing w:after="57"/>
    </w:pPr>
    <w:rPr>
      <w:rFonts w:ascii="Arial" w:hAnsi="Arial" w:cs="Arial"/>
      <w:i/>
      <w:iCs/>
      <w:sz w:val="22"/>
      <w:szCs w:val="22"/>
      <w:lang w:val="fr-FR"/>
    </w:rPr>
  </w:style>
  <w:style w:type="paragraph" w:customStyle="1" w:styleId="Preformatted">
    <w:name w:val="Preformatted"/>
    <w:basedOn w:val="Normlny"/>
    <w:rsid w:val="00E36F7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styleId="slostrany">
    <w:name w:val="page number"/>
    <w:basedOn w:val="Predvolenpsmoodseku"/>
    <w:rsid w:val="00E36F7D"/>
  </w:style>
  <w:style w:type="paragraph" w:customStyle="1" w:styleId="DefaultText">
    <w:name w:val="Default Text"/>
    <w:basedOn w:val="Normlny"/>
    <w:rsid w:val="00E36F7D"/>
    <w:rPr>
      <w:sz w:val="24"/>
      <w:szCs w:val="24"/>
      <w:lang w:val="en-US"/>
    </w:rPr>
  </w:style>
  <w:style w:type="paragraph" w:customStyle="1" w:styleId="KNTabellnFormat">
    <w:name w:val="KNTabellnFormat"/>
    <w:basedOn w:val="Normlny"/>
    <w:rsid w:val="00E36F7D"/>
    <w:rPr>
      <w:rFonts w:ascii="Arial" w:hAnsi="Arial" w:cs="Arial"/>
      <w:sz w:val="22"/>
      <w:szCs w:val="22"/>
    </w:rPr>
  </w:style>
  <w:style w:type="paragraph" w:styleId="Textbubliny">
    <w:name w:val="Balloon Text"/>
    <w:basedOn w:val="Normlny"/>
    <w:rsid w:val="00E36F7D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E36F7D"/>
    <w:rPr>
      <w:rFonts w:ascii="Courier New" w:hAnsi="Courier New"/>
      <w:vanish/>
      <w:color w:val="800080"/>
      <w:sz w:val="24"/>
      <w:szCs w:val="24"/>
      <w:vertAlign w:val="subscript"/>
    </w:rPr>
  </w:style>
  <w:style w:type="paragraph" w:customStyle="1" w:styleId="Response">
    <w:name w:val="Response"/>
    <w:basedOn w:val="Normlny"/>
    <w:rsid w:val="00E36F7D"/>
    <w:pPr>
      <w:spacing w:before="240" w:after="120"/>
      <w:ind w:left="1440"/>
      <w:jc w:val="both"/>
    </w:pPr>
    <w:rPr>
      <w:lang w:val="en-US"/>
    </w:rPr>
  </w:style>
  <w:style w:type="paragraph" w:styleId="Obyajntext">
    <w:name w:val="Plain Text"/>
    <w:basedOn w:val="Normlny"/>
    <w:rsid w:val="00E36F7D"/>
    <w:rPr>
      <w:rFonts w:ascii="Courier New" w:hAnsi="Courier New" w:cs="Courier New"/>
    </w:rPr>
  </w:style>
  <w:style w:type="paragraph" w:styleId="Normlnywebov">
    <w:name w:val="Normal (Web)"/>
    <w:basedOn w:val="Normlny"/>
    <w:rsid w:val="00E36F7D"/>
    <w:pPr>
      <w:spacing w:before="100" w:after="100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36F7D"/>
    <w:pPr>
      <w:widowControl w:val="0"/>
      <w:suppressAutoHyphens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E36F7D"/>
    <w:pPr>
      <w:numPr>
        <w:numId w:val="1"/>
      </w:numPr>
      <w:tabs>
        <w:tab w:val="clear" w:pos="360"/>
        <w:tab w:val="num" w:pos="720"/>
      </w:tabs>
      <w:spacing w:before="120"/>
      <w:ind w:left="720" w:hanging="720"/>
    </w:pPr>
    <w:rPr>
      <w:rFonts w:ascii="Arial" w:hAnsi="Arial" w:cs="Arial"/>
      <w:sz w:val="22"/>
      <w:szCs w:val="22"/>
    </w:rPr>
  </w:style>
  <w:style w:type="paragraph" w:customStyle="1" w:styleId="P1">
    <w:name w:val="P1"/>
    <w:basedOn w:val="Normlny"/>
    <w:rsid w:val="00E36F7D"/>
    <w:pPr>
      <w:ind w:left="567"/>
    </w:pPr>
    <w:rPr>
      <w:rFonts w:ascii="Arial" w:hAnsi="Arial" w:cs="Arial"/>
      <w:sz w:val="24"/>
      <w:szCs w:val="24"/>
      <w:lang w:val="fr-FR"/>
    </w:rPr>
  </w:style>
  <w:style w:type="paragraph" w:styleId="Zoznamsodrkami">
    <w:name w:val="List Bullet"/>
    <w:basedOn w:val="Normlny"/>
    <w:autoRedefine/>
    <w:rsid w:val="007C61D6"/>
    <w:rPr>
      <w:sz w:val="22"/>
      <w:szCs w:val="22"/>
      <w:lang w:val="cs-CZ"/>
    </w:rPr>
  </w:style>
  <w:style w:type="paragraph" w:customStyle="1" w:styleId="Faksoverskrift">
    <w:name w:val="Faksoverskrift"/>
    <w:basedOn w:val="Normlny"/>
    <w:rsid w:val="00E36F7D"/>
    <w:pPr>
      <w:tabs>
        <w:tab w:val="left" w:pos="357"/>
      </w:tabs>
      <w:spacing w:before="480" w:after="240"/>
    </w:pPr>
    <w:rPr>
      <w:b/>
      <w:bCs/>
      <w:sz w:val="24"/>
      <w:szCs w:val="24"/>
      <w:lang w:val="nb-NO"/>
    </w:rPr>
  </w:style>
  <w:style w:type="paragraph" w:customStyle="1" w:styleId="Sarkain3">
    <w:name w:val="Sarkain3"/>
    <w:basedOn w:val="Normlny"/>
    <w:rsid w:val="00E36F7D"/>
    <w:pPr>
      <w:spacing w:before="240" w:after="360"/>
      <w:ind w:left="851"/>
    </w:pPr>
    <w:rPr>
      <w:sz w:val="24"/>
      <w:szCs w:val="24"/>
    </w:rPr>
  </w:style>
  <w:style w:type="paragraph" w:customStyle="1" w:styleId="listssp">
    <w:name w:val="list:ssp"/>
    <w:basedOn w:val="Normlny"/>
    <w:rsid w:val="00E36F7D"/>
    <w:rPr>
      <w:sz w:val="24"/>
      <w:szCs w:val="24"/>
    </w:rPr>
  </w:style>
  <w:style w:type="paragraph" w:customStyle="1" w:styleId="lhNonTOC12">
    <w:name w:val="lh:NonTOC12"/>
    <w:basedOn w:val="Normlny"/>
    <w:next w:val="Normlny"/>
    <w:rsid w:val="00E36F7D"/>
    <w:pPr>
      <w:keepNext/>
      <w:spacing w:after="240"/>
    </w:pPr>
    <w:rPr>
      <w:rFonts w:ascii="Arial" w:hAnsi="Arial" w:cs="Arial"/>
      <w:b/>
      <w:bCs/>
      <w:sz w:val="24"/>
      <w:szCs w:val="24"/>
    </w:rPr>
  </w:style>
  <w:style w:type="paragraph" w:styleId="Textvysvetlivky">
    <w:name w:val="endnote text"/>
    <w:basedOn w:val="Normlny"/>
    <w:next w:val="Normlny"/>
    <w:semiHidden/>
    <w:rsid w:val="00E36F7D"/>
    <w:pPr>
      <w:tabs>
        <w:tab w:val="left" w:pos="567"/>
      </w:tabs>
    </w:pPr>
    <w:rPr>
      <w:sz w:val="22"/>
      <w:szCs w:val="22"/>
    </w:rPr>
  </w:style>
  <w:style w:type="paragraph" w:customStyle="1" w:styleId="Plattetekstvet">
    <w:name w:val="Platte tekst vet"/>
    <w:basedOn w:val="Zkladntext"/>
    <w:next w:val="Zkladntext"/>
    <w:rsid w:val="00E36F7D"/>
    <w:pPr>
      <w:spacing w:after="120"/>
      <w:jc w:val="left"/>
    </w:pPr>
    <w:rPr>
      <w:b/>
      <w:bCs/>
      <w:sz w:val="22"/>
      <w:szCs w:val="22"/>
      <w:lang w:val="nl-NL"/>
    </w:rPr>
  </w:style>
  <w:style w:type="paragraph" w:customStyle="1" w:styleId="fachinfotext">
    <w:name w:val="fachinfotext"/>
    <w:basedOn w:val="Normlny"/>
    <w:rsid w:val="00E36F7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/>
    </w:rPr>
  </w:style>
  <w:style w:type="paragraph" w:customStyle="1" w:styleId="Table">
    <w:name w:val="Table"/>
    <w:basedOn w:val="Normlny"/>
    <w:autoRedefine/>
    <w:rsid w:val="00E36F7D"/>
    <w:pPr>
      <w:jc w:val="both"/>
    </w:pPr>
    <w:rPr>
      <w:rFonts w:ascii="Arial" w:hAnsi="Arial" w:cs="Arial"/>
      <w:color w:val="000000"/>
      <w:sz w:val="22"/>
      <w:szCs w:val="22"/>
      <w:lang w:val="en-US"/>
    </w:rPr>
  </w:style>
  <w:style w:type="paragraph" w:styleId="Normlnysozarkami">
    <w:name w:val="Normal Indent"/>
    <w:basedOn w:val="Normlny"/>
    <w:rsid w:val="00E36F7D"/>
    <w:pPr>
      <w:ind w:left="720"/>
    </w:pPr>
    <w:rPr>
      <w:sz w:val="24"/>
      <w:szCs w:val="24"/>
    </w:rPr>
  </w:style>
  <w:style w:type="character" w:customStyle="1" w:styleId="body1">
    <w:name w:val="body1"/>
    <w:rsid w:val="00E36F7D"/>
    <w:rPr>
      <w:rFonts w:ascii="Times New Roman" w:hAnsi="Times New Roman"/>
      <w:sz w:val="16"/>
      <w:szCs w:val="16"/>
    </w:rPr>
  </w:style>
  <w:style w:type="paragraph" w:customStyle="1" w:styleId="A-TableText">
    <w:name w:val="A-Table Text"/>
    <w:rsid w:val="00E36F7D"/>
    <w:pPr>
      <w:spacing w:before="60" w:after="60"/>
    </w:pPr>
    <w:rPr>
      <w:snapToGrid w:val="0"/>
      <w:sz w:val="22"/>
      <w:szCs w:val="22"/>
      <w:lang w:val="en-GB"/>
    </w:rPr>
  </w:style>
  <w:style w:type="paragraph" w:customStyle="1" w:styleId="A-TableHeader">
    <w:name w:val="A-Table Header"/>
    <w:next w:val="A-TableText"/>
    <w:rsid w:val="00E36F7D"/>
    <w:pPr>
      <w:keepNext/>
      <w:spacing w:before="60" w:after="60"/>
    </w:pPr>
    <w:rPr>
      <w:b/>
      <w:bCs/>
      <w:snapToGrid w:val="0"/>
      <w:sz w:val="22"/>
      <w:szCs w:val="22"/>
      <w:lang w:val="en-GB"/>
    </w:rPr>
  </w:style>
  <w:style w:type="paragraph" w:customStyle="1" w:styleId="A-TableTitle">
    <w:name w:val="A-Table Title"/>
    <w:next w:val="Normlny"/>
    <w:rsid w:val="00E36F7D"/>
    <w:pPr>
      <w:keepNext/>
      <w:tabs>
        <w:tab w:val="left" w:pos="1800"/>
      </w:tabs>
      <w:spacing w:after="120" w:line="280" w:lineRule="atLeast"/>
      <w:ind w:left="1800" w:hanging="1800"/>
    </w:pPr>
    <w:rPr>
      <w:b/>
      <w:bCs/>
      <w:snapToGrid w:val="0"/>
      <w:sz w:val="24"/>
      <w:szCs w:val="24"/>
      <w:lang w:val="en-GB"/>
    </w:rPr>
  </w:style>
  <w:style w:type="paragraph" w:customStyle="1" w:styleId="A-Unassigned">
    <w:name w:val="A-Unassigned"/>
    <w:next w:val="Normlny"/>
    <w:rsid w:val="00E36F7D"/>
    <w:pPr>
      <w:keepNext/>
      <w:spacing w:before="120" w:after="120"/>
    </w:pPr>
    <w:rPr>
      <w:b/>
      <w:bCs/>
      <w:snapToGrid w:val="0"/>
      <w:sz w:val="24"/>
      <w:szCs w:val="24"/>
      <w:lang w:val="en-GB"/>
    </w:rPr>
  </w:style>
  <w:style w:type="paragraph" w:customStyle="1" w:styleId="Z-Date">
    <w:name w:val="Z-Date"/>
    <w:basedOn w:val="Normlny"/>
    <w:rsid w:val="00E36F7D"/>
    <w:pPr>
      <w:spacing w:after="240" w:line="280" w:lineRule="atLeast"/>
    </w:pPr>
    <w:rPr>
      <w:sz w:val="24"/>
      <w:szCs w:val="24"/>
    </w:rPr>
  </w:style>
  <w:style w:type="paragraph" w:customStyle="1" w:styleId="a-normalindent">
    <w:name w:val="a-normalindent"/>
    <w:basedOn w:val="Normlny"/>
    <w:rsid w:val="00E36F7D"/>
    <w:pPr>
      <w:spacing w:after="240" w:line="280" w:lineRule="atLeast"/>
      <w:ind w:left="992"/>
    </w:pPr>
    <w:rPr>
      <w:sz w:val="24"/>
      <w:szCs w:val="24"/>
      <w:lang w:val="es-ES"/>
    </w:rPr>
  </w:style>
  <w:style w:type="paragraph" w:customStyle="1" w:styleId="DocumentHeading">
    <w:name w:val="Document Heading"/>
    <w:basedOn w:val="Normlny"/>
    <w:next w:val="Normlny"/>
    <w:rsid w:val="00E36F7D"/>
    <w:pPr>
      <w:spacing w:after="120"/>
    </w:pPr>
    <w:rPr>
      <w:b/>
      <w:bCs/>
      <w:sz w:val="28"/>
      <w:szCs w:val="28"/>
    </w:rPr>
  </w:style>
  <w:style w:type="character" w:styleId="Zvraznenie">
    <w:name w:val="Emphasis"/>
    <w:qFormat/>
    <w:rsid w:val="00E36F7D"/>
    <w:rPr>
      <w:i/>
      <w:iCs/>
    </w:rPr>
  </w:style>
  <w:style w:type="character" w:customStyle="1" w:styleId="tw4winError">
    <w:name w:val="tw4winError"/>
    <w:rsid w:val="00E36F7D"/>
    <w:rPr>
      <w:rFonts w:ascii="Courier New" w:hAnsi="Courier New"/>
      <w:color w:val="00FF00"/>
      <w:sz w:val="40"/>
      <w:szCs w:val="40"/>
    </w:rPr>
  </w:style>
  <w:style w:type="character" w:customStyle="1" w:styleId="tw4winTerm">
    <w:name w:val="tw4winTerm"/>
    <w:rsid w:val="00E36F7D"/>
    <w:rPr>
      <w:color w:val="0000FF"/>
    </w:rPr>
  </w:style>
  <w:style w:type="character" w:customStyle="1" w:styleId="tw4winPopup">
    <w:name w:val="tw4winPopup"/>
    <w:rsid w:val="00E36F7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E36F7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E36F7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E36F7D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E36F7D"/>
    <w:rPr>
      <w:rFonts w:ascii="Courier New" w:hAnsi="Courier New"/>
      <w:noProof/>
      <w:color w:val="800000"/>
    </w:rPr>
  </w:style>
  <w:style w:type="paragraph" w:styleId="truktradokumentu">
    <w:name w:val="Document Map"/>
    <w:basedOn w:val="Normlny"/>
    <w:semiHidden/>
    <w:rsid w:val="00451852"/>
    <w:pPr>
      <w:shd w:val="clear" w:color="auto" w:fill="000080"/>
    </w:pPr>
    <w:rPr>
      <w:rFonts w:ascii="Tahoma" w:hAnsi="Tahoma" w:cs="Tahoma"/>
    </w:rPr>
  </w:style>
  <w:style w:type="character" w:styleId="Odkaznakomentr">
    <w:name w:val="annotation reference"/>
    <w:semiHidden/>
    <w:rsid w:val="00290B31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90B31"/>
    <w:pPr>
      <w:jc w:val="left"/>
    </w:pPr>
    <w:rPr>
      <w:b/>
      <w:bCs/>
      <w:sz w:val="20"/>
      <w:szCs w:val="20"/>
    </w:rPr>
  </w:style>
  <w:style w:type="paragraph" w:customStyle="1" w:styleId="MGGTextLeft">
    <w:name w:val="MGG Text Left"/>
    <w:basedOn w:val="Zkladntext"/>
    <w:rsid w:val="00C55B80"/>
    <w:pPr>
      <w:jc w:val="left"/>
    </w:pPr>
    <w:rPr>
      <w:rFonts w:ascii="Times New Roman" w:hAnsi="Times New Roman" w:cs="Times New Roman"/>
      <w:snapToGrid/>
      <w:sz w:val="24"/>
      <w:szCs w:val="24"/>
      <w:lang w:eastAsia="en-US"/>
    </w:rPr>
  </w:style>
  <w:style w:type="paragraph" w:customStyle="1" w:styleId="04Tekst">
    <w:name w:val="04 Tekst"/>
    <w:basedOn w:val="Normlny"/>
    <w:rsid w:val="00C55B80"/>
    <w:pPr>
      <w:spacing w:line="360" w:lineRule="atLeast"/>
    </w:pPr>
    <w:rPr>
      <w:rFonts w:ascii="Helvetica" w:hAnsi="Helvetica"/>
      <w:lang w:val="cs-CZ"/>
    </w:rPr>
  </w:style>
  <w:style w:type="paragraph" w:customStyle="1" w:styleId="Default">
    <w:name w:val="Default"/>
    <w:rsid w:val="0071776C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C61E5A"/>
    <w:rPr>
      <w:snapToGrid w:val="0"/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174AF7"/>
    <w:rPr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UK:</vt:lpstr>
      <vt:lpstr>UK:</vt:lpstr>
    </vt:vector>
  </TitlesOfParts>
  <Company>CERA</Company>
  <LinksUpToDate>false</LinksUpToDate>
  <CharactersWithSpaces>13455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creator>Marcelle</dc:creator>
  <cp:lastModifiedBy>Kuziaková, Marianna</cp:lastModifiedBy>
  <cp:revision>3</cp:revision>
  <cp:lastPrinted>2018-06-01T07:01:00Z</cp:lastPrinted>
  <dcterms:created xsi:type="dcterms:W3CDTF">2019-11-07T09:13:00Z</dcterms:created>
  <dcterms:modified xsi:type="dcterms:W3CDTF">2019-11-07T09:13:00Z</dcterms:modified>
</cp:coreProperties>
</file>