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D4491" w14:textId="77777777" w:rsidR="009F74F8" w:rsidRPr="008166BF" w:rsidRDefault="009F74F8">
      <w:pPr>
        <w:rPr>
          <w:sz w:val="22"/>
          <w:szCs w:val="22"/>
        </w:rPr>
      </w:pPr>
    </w:p>
    <w:p w14:paraId="7A2C1CE7" w14:textId="77777777" w:rsidR="009F74F8" w:rsidRPr="008166BF" w:rsidRDefault="009F74F8">
      <w:pPr>
        <w:rPr>
          <w:sz w:val="22"/>
          <w:szCs w:val="22"/>
        </w:rPr>
      </w:pPr>
    </w:p>
    <w:p w14:paraId="095DCCE5" w14:textId="77777777" w:rsidR="009F74F8" w:rsidRPr="008166BF" w:rsidRDefault="009A51D6" w:rsidP="00811F1B">
      <w:pPr>
        <w:pStyle w:val="Nadpis5"/>
        <w:tabs>
          <w:tab w:val="center" w:pos="4536"/>
          <w:tab w:val="left" w:pos="6920"/>
        </w:tabs>
        <w:jc w:val="left"/>
        <w:rPr>
          <w:rFonts w:ascii="Times New Roman" w:hAnsi="Times New Roman"/>
          <w:i w:val="0"/>
          <w:caps/>
          <w:sz w:val="22"/>
          <w:szCs w:val="22"/>
        </w:rPr>
      </w:pPr>
      <w:r w:rsidRPr="009A51D6">
        <w:rPr>
          <w:rFonts w:ascii="Times New Roman" w:hAnsi="Times New Roman"/>
          <w:caps/>
          <w:sz w:val="22"/>
          <w:szCs w:val="22"/>
        </w:rPr>
        <w:tab/>
      </w:r>
      <w:r w:rsidR="00BC0ED1" w:rsidRPr="008166BF">
        <w:rPr>
          <w:rFonts w:ascii="Times New Roman" w:hAnsi="Times New Roman"/>
          <w:i w:val="0"/>
          <w:caps/>
          <w:sz w:val="22"/>
          <w:szCs w:val="22"/>
        </w:rPr>
        <w:t>Súhrn charakteristických vlastností lieku</w:t>
      </w:r>
    </w:p>
    <w:p w14:paraId="6E8A3425" w14:textId="77777777" w:rsidR="009F74F8" w:rsidRPr="008166BF" w:rsidRDefault="009F74F8">
      <w:pPr>
        <w:rPr>
          <w:sz w:val="22"/>
          <w:szCs w:val="22"/>
        </w:rPr>
      </w:pPr>
    </w:p>
    <w:p w14:paraId="46FF702B" w14:textId="77777777" w:rsidR="009F74F8" w:rsidRPr="008166BF" w:rsidRDefault="009F74F8">
      <w:pPr>
        <w:rPr>
          <w:b/>
          <w:bCs/>
          <w:sz w:val="22"/>
          <w:szCs w:val="22"/>
        </w:rPr>
      </w:pPr>
    </w:p>
    <w:p w14:paraId="507EFDDB" w14:textId="77777777" w:rsidR="009F74F8" w:rsidRPr="008166BF" w:rsidRDefault="006959C2" w:rsidP="001925BE">
      <w:pPr>
        <w:numPr>
          <w:ilvl w:val="0"/>
          <w:numId w:val="5"/>
        </w:numPr>
        <w:tabs>
          <w:tab w:val="clear" w:pos="360"/>
          <w:tab w:val="num" w:pos="-1620"/>
        </w:tabs>
        <w:ind w:left="540" w:hanging="540"/>
        <w:jc w:val="both"/>
        <w:rPr>
          <w:b/>
          <w:bCs/>
          <w:sz w:val="22"/>
          <w:szCs w:val="22"/>
        </w:rPr>
      </w:pPr>
      <w:r>
        <w:rPr>
          <w:b/>
          <w:bCs/>
          <w:sz w:val="22"/>
          <w:szCs w:val="22"/>
        </w:rPr>
        <w:t>NÁZOV LIEKU</w:t>
      </w:r>
    </w:p>
    <w:p w14:paraId="32DDAB67" w14:textId="77777777" w:rsidR="009F74F8" w:rsidRPr="008166BF" w:rsidRDefault="009F74F8" w:rsidP="001925BE">
      <w:pPr>
        <w:rPr>
          <w:sz w:val="22"/>
          <w:szCs w:val="22"/>
        </w:rPr>
      </w:pPr>
    </w:p>
    <w:p w14:paraId="7D055705" w14:textId="77777777" w:rsidR="009F74F8" w:rsidRPr="008166BF" w:rsidRDefault="006959C2" w:rsidP="001925BE">
      <w:pPr>
        <w:rPr>
          <w:sz w:val="22"/>
          <w:szCs w:val="22"/>
        </w:rPr>
      </w:pPr>
      <w:r>
        <w:rPr>
          <w:sz w:val="22"/>
          <w:szCs w:val="22"/>
        </w:rPr>
        <w:t>Lekoklar XL 500 mg tablety s riadeným uvoľňovaním</w:t>
      </w:r>
    </w:p>
    <w:p w14:paraId="50E85B65" w14:textId="77777777" w:rsidR="009F74F8" w:rsidRPr="008166BF" w:rsidRDefault="009F74F8" w:rsidP="001925BE">
      <w:pPr>
        <w:tabs>
          <w:tab w:val="left" w:pos="1500"/>
        </w:tabs>
        <w:rPr>
          <w:sz w:val="22"/>
          <w:szCs w:val="22"/>
        </w:rPr>
      </w:pPr>
    </w:p>
    <w:p w14:paraId="7D06FFD7" w14:textId="77777777" w:rsidR="009F74F8" w:rsidRPr="008166BF" w:rsidRDefault="009F74F8">
      <w:pPr>
        <w:rPr>
          <w:bCs/>
          <w:sz w:val="22"/>
          <w:szCs w:val="22"/>
        </w:rPr>
      </w:pPr>
    </w:p>
    <w:p w14:paraId="1091C642" w14:textId="77777777" w:rsidR="009F74F8" w:rsidRPr="008166BF" w:rsidRDefault="006959C2" w:rsidP="001925BE">
      <w:pPr>
        <w:numPr>
          <w:ilvl w:val="0"/>
          <w:numId w:val="5"/>
        </w:numPr>
        <w:tabs>
          <w:tab w:val="clear" w:pos="360"/>
          <w:tab w:val="num" w:pos="-1260"/>
        </w:tabs>
        <w:ind w:left="540" w:hanging="540"/>
        <w:rPr>
          <w:b/>
          <w:bCs/>
          <w:sz w:val="22"/>
          <w:szCs w:val="22"/>
        </w:rPr>
      </w:pPr>
      <w:r>
        <w:rPr>
          <w:b/>
          <w:bCs/>
          <w:sz w:val="22"/>
          <w:szCs w:val="22"/>
        </w:rPr>
        <w:t>KVALITATÍVNE A KVANTITATÍVNE ZLOŽENIE</w:t>
      </w:r>
    </w:p>
    <w:p w14:paraId="436F7BDD" w14:textId="77777777" w:rsidR="009F74F8" w:rsidRPr="008166BF" w:rsidRDefault="009F74F8" w:rsidP="001925BE">
      <w:pPr>
        <w:rPr>
          <w:sz w:val="22"/>
          <w:szCs w:val="22"/>
        </w:rPr>
      </w:pPr>
    </w:p>
    <w:p w14:paraId="26EF955E" w14:textId="77777777" w:rsidR="009F74F8" w:rsidRPr="008166BF" w:rsidRDefault="006959C2" w:rsidP="001925BE">
      <w:pPr>
        <w:tabs>
          <w:tab w:val="left" w:pos="1500"/>
        </w:tabs>
        <w:rPr>
          <w:sz w:val="22"/>
          <w:szCs w:val="22"/>
        </w:rPr>
      </w:pPr>
      <w:r>
        <w:rPr>
          <w:sz w:val="22"/>
          <w:szCs w:val="22"/>
        </w:rPr>
        <w:t xml:space="preserve">Každá tableta s riadeným uvoľňovaním obsahuje 500 mg klaritromycínu. </w:t>
      </w:r>
    </w:p>
    <w:p w14:paraId="504206F2" w14:textId="77777777" w:rsidR="009F74F8" w:rsidRPr="008166BF" w:rsidRDefault="009F74F8" w:rsidP="001925BE">
      <w:pPr>
        <w:rPr>
          <w:sz w:val="22"/>
          <w:szCs w:val="22"/>
        </w:rPr>
      </w:pPr>
    </w:p>
    <w:p w14:paraId="10115CEA" w14:textId="77777777" w:rsidR="009F74F8" w:rsidRPr="008166BF" w:rsidRDefault="006959C2" w:rsidP="001925BE">
      <w:pPr>
        <w:rPr>
          <w:sz w:val="22"/>
          <w:szCs w:val="22"/>
        </w:rPr>
      </w:pPr>
      <w:r>
        <w:rPr>
          <w:sz w:val="22"/>
          <w:szCs w:val="22"/>
        </w:rPr>
        <w:t>Úplný zoznam pomocných látok, pozri časť 6.1.</w:t>
      </w:r>
    </w:p>
    <w:p w14:paraId="05263F2C" w14:textId="77777777" w:rsidR="009F74F8" w:rsidRPr="008166BF" w:rsidRDefault="009F74F8" w:rsidP="001925BE">
      <w:pPr>
        <w:rPr>
          <w:sz w:val="22"/>
          <w:szCs w:val="22"/>
        </w:rPr>
      </w:pPr>
    </w:p>
    <w:p w14:paraId="27523D5F" w14:textId="77777777" w:rsidR="009F74F8" w:rsidRPr="008166BF" w:rsidRDefault="009F74F8">
      <w:pPr>
        <w:rPr>
          <w:bCs/>
          <w:sz w:val="22"/>
          <w:szCs w:val="22"/>
        </w:rPr>
      </w:pPr>
    </w:p>
    <w:p w14:paraId="19093CCE" w14:textId="77777777" w:rsidR="009F74F8" w:rsidRPr="008166BF" w:rsidRDefault="006959C2" w:rsidP="001925BE">
      <w:pPr>
        <w:numPr>
          <w:ilvl w:val="0"/>
          <w:numId w:val="5"/>
        </w:numPr>
        <w:tabs>
          <w:tab w:val="clear" w:pos="360"/>
          <w:tab w:val="num" w:pos="-1440"/>
        </w:tabs>
        <w:ind w:left="540" w:hanging="540"/>
        <w:rPr>
          <w:b/>
          <w:bCs/>
          <w:sz w:val="22"/>
          <w:szCs w:val="22"/>
        </w:rPr>
      </w:pPr>
      <w:r>
        <w:rPr>
          <w:b/>
          <w:bCs/>
          <w:sz w:val="22"/>
          <w:szCs w:val="22"/>
        </w:rPr>
        <w:t>LIEKOVÁ FORMA</w:t>
      </w:r>
    </w:p>
    <w:p w14:paraId="126E75C4" w14:textId="77777777" w:rsidR="009F74F8" w:rsidRPr="008166BF" w:rsidRDefault="009F74F8" w:rsidP="001925BE">
      <w:pPr>
        <w:rPr>
          <w:sz w:val="22"/>
          <w:szCs w:val="22"/>
        </w:rPr>
      </w:pPr>
    </w:p>
    <w:p w14:paraId="32A8AC42" w14:textId="77777777" w:rsidR="009F74F8" w:rsidRPr="008166BF" w:rsidRDefault="006959C2" w:rsidP="001925BE">
      <w:pPr>
        <w:rPr>
          <w:sz w:val="22"/>
          <w:szCs w:val="22"/>
        </w:rPr>
      </w:pPr>
      <w:r>
        <w:rPr>
          <w:sz w:val="22"/>
          <w:szCs w:val="22"/>
        </w:rPr>
        <w:t>Tableta s riadeným uvoľňovaním.</w:t>
      </w:r>
    </w:p>
    <w:p w14:paraId="0BE52178" w14:textId="77777777" w:rsidR="009F74F8" w:rsidRPr="008166BF" w:rsidRDefault="009F74F8" w:rsidP="001925BE">
      <w:pPr>
        <w:rPr>
          <w:sz w:val="22"/>
          <w:szCs w:val="22"/>
        </w:rPr>
      </w:pPr>
    </w:p>
    <w:p w14:paraId="7041A2A0" w14:textId="77777777" w:rsidR="009F74F8" w:rsidRPr="008166BF" w:rsidRDefault="006959C2" w:rsidP="00223029">
      <w:pPr>
        <w:rPr>
          <w:sz w:val="22"/>
          <w:szCs w:val="22"/>
        </w:rPr>
      </w:pPr>
      <w:r>
        <w:rPr>
          <w:sz w:val="22"/>
          <w:szCs w:val="22"/>
        </w:rPr>
        <w:t>Svetlookrová až žltá oválna obojstranne vypuklá filmom obalená tableta, na jednej strane vyrytý nápis 500, na druhej strane CXL.</w:t>
      </w:r>
    </w:p>
    <w:p w14:paraId="2108D082" w14:textId="77777777" w:rsidR="009F74F8" w:rsidRPr="008166BF" w:rsidRDefault="009F74F8" w:rsidP="001925BE">
      <w:pPr>
        <w:rPr>
          <w:sz w:val="22"/>
          <w:szCs w:val="22"/>
        </w:rPr>
      </w:pPr>
    </w:p>
    <w:p w14:paraId="6A33D2C8" w14:textId="77777777" w:rsidR="009F74F8" w:rsidRPr="008166BF" w:rsidRDefault="009F74F8" w:rsidP="001925BE">
      <w:pPr>
        <w:rPr>
          <w:sz w:val="22"/>
          <w:szCs w:val="22"/>
        </w:rPr>
      </w:pPr>
    </w:p>
    <w:p w14:paraId="612A2E67" w14:textId="77777777" w:rsidR="009F74F8" w:rsidRPr="008166BF" w:rsidRDefault="006959C2" w:rsidP="001925BE">
      <w:pPr>
        <w:numPr>
          <w:ilvl w:val="0"/>
          <w:numId w:val="5"/>
        </w:numPr>
        <w:tabs>
          <w:tab w:val="clear" w:pos="360"/>
          <w:tab w:val="num" w:pos="-1080"/>
        </w:tabs>
        <w:ind w:left="540" w:hanging="540"/>
        <w:rPr>
          <w:b/>
          <w:bCs/>
          <w:sz w:val="22"/>
          <w:szCs w:val="22"/>
        </w:rPr>
      </w:pPr>
      <w:r>
        <w:rPr>
          <w:b/>
          <w:bCs/>
          <w:sz w:val="22"/>
          <w:szCs w:val="22"/>
        </w:rPr>
        <w:t>KLINICKÉ ÚDAJE</w:t>
      </w:r>
    </w:p>
    <w:p w14:paraId="2A4306E7" w14:textId="77777777" w:rsidR="009F74F8" w:rsidRPr="008166BF" w:rsidRDefault="009F74F8" w:rsidP="001925BE">
      <w:pPr>
        <w:rPr>
          <w:bCs/>
          <w:sz w:val="22"/>
          <w:szCs w:val="22"/>
        </w:rPr>
      </w:pPr>
    </w:p>
    <w:p w14:paraId="686C8B74" w14:textId="77777777" w:rsidR="009F74F8" w:rsidRPr="008166BF" w:rsidRDefault="006959C2" w:rsidP="00A63D9E">
      <w:pPr>
        <w:numPr>
          <w:ilvl w:val="1"/>
          <w:numId w:val="26"/>
        </w:numPr>
        <w:tabs>
          <w:tab w:val="clear" w:pos="360"/>
          <w:tab w:val="num" w:pos="-720"/>
        </w:tabs>
        <w:ind w:left="540" w:hanging="540"/>
        <w:rPr>
          <w:b/>
          <w:bCs/>
          <w:sz w:val="22"/>
          <w:szCs w:val="22"/>
        </w:rPr>
      </w:pPr>
      <w:r>
        <w:rPr>
          <w:b/>
          <w:bCs/>
          <w:sz w:val="22"/>
          <w:szCs w:val="22"/>
        </w:rPr>
        <w:t>Terapeutické indikácie</w:t>
      </w:r>
    </w:p>
    <w:p w14:paraId="272EE28B" w14:textId="77777777" w:rsidR="00B75E91" w:rsidRPr="008166BF" w:rsidRDefault="00B75E91">
      <w:pPr>
        <w:rPr>
          <w:bCs/>
          <w:sz w:val="22"/>
          <w:szCs w:val="22"/>
        </w:rPr>
      </w:pPr>
    </w:p>
    <w:p w14:paraId="4CB5BC92" w14:textId="77777777" w:rsidR="009F74F8" w:rsidRPr="008166BF" w:rsidRDefault="006959C2" w:rsidP="00811F1B">
      <w:pPr>
        <w:rPr>
          <w:bCs/>
          <w:sz w:val="22"/>
          <w:szCs w:val="22"/>
        </w:rPr>
      </w:pPr>
      <w:r>
        <w:rPr>
          <w:bCs/>
          <w:sz w:val="22"/>
          <w:szCs w:val="22"/>
        </w:rPr>
        <w:t>Klaritromycín je indikovaný dospelým a dospievajúcim vo veku 12 rokov a starším na liečbu nasledujúcich infekcií, pokiaľ sú vyvolané baktériami citlivými na klaritromycín (pozri časti 4.4 a 5.1).</w:t>
      </w:r>
    </w:p>
    <w:p w14:paraId="73101137" w14:textId="77777777" w:rsidR="009F74F8" w:rsidRPr="008166BF" w:rsidRDefault="006959C2" w:rsidP="00EA38B2">
      <w:pPr>
        <w:ind w:left="540" w:hanging="540"/>
        <w:rPr>
          <w:sz w:val="22"/>
          <w:szCs w:val="22"/>
        </w:rPr>
      </w:pPr>
      <w:r>
        <w:rPr>
          <w:sz w:val="22"/>
          <w:szCs w:val="22"/>
        </w:rPr>
        <w:t>-</w:t>
      </w:r>
      <w:r>
        <w:rPr>
          <w:sz w:val="22"/>
          <w:szCs w:val="22"/>
        </w:rPr>
        <w:tab/>
        <w:t>bakteriálne infekcie dolných dýchacích ciest ako akútna bronchitída, akútna exacerbácia chronickej bronchitídy a pneumónia</w:t>
      </w:r>
    </w:p>
    <w:p w14:paraId="4A716590" w14:textId="77777777" w:rsidR="009F74F8" w:rsidRPr="008166BF" w:rsidRDefault="006959C2" w:rsidP="00EA38B2">
      <w:pPr>
        <w:ind w:left="540" w:hanging="540"/>
        <w:rPr>
          <w:sz w:val="22"/>
          <w:szCs w:val="22"/>
        </w:rPr>
      </w:pPr>
      <w:r>
        <w:rPr>
          <w:sz w:val="22"/>
          <w:szCs w:val="22"/>
        </w:rPr>
        <w:t>-</w:t>
      </w:r>
      <w:r>
        <w:rPr>
          <w:sz w:val="22"/>
          <w:szCs w:val="22"/>
        </w:rPr>
        <w:tab/>
        <w:t>bakteriálne infekcie horných dýchacích ciest ako sinusitída a faryngitída</w:t>
      </w:r>
    </w:p>
    <w:p w14:paraId="7B522571" w14:textId="77777777" w:rsidR="009F74F8" w:rsidRPr="008166BF" w:rsidRDefault="009F74F8">
      <w:pPr>
        <w:rPr>
          <w:bCs/>
          <w:sz w:val="22"/>
          <w:szCs w:val="22"/>
        </w:rPr>
      </w:pPr>
    </w:p>
    <w:p w14:paraId="197361FB" w14:textId="77777777" w:rsidR="009F74F8" w:rsidRPr="008166BF" w:rsidRDefault="009A51D6" w:rsidP="00060AC0">
      <w:pPr>
        <w:rPr>
          <w:sz w:val="22"/>
          <w:szCs w:val="22"/>
        </w:rPr>
      </w:pPr>
      <w:r w:rsidRPr="009A51D6">
        <w:rPr>
          <w:sz w:val="22"/>
          <w:szCs w:val="22"/>
        </w:rPr>
        <w:t>Do úvahy sa musia vziať oficiálne odporúčania o vhodnom používaní antibakteriálnych látok.</w:t>
      </w:r>
    </w:p>
    <w:p w14:paraId="7A828C75" w14:textId="77777777" w:rsidR="009F74F8" w:rsidRPr="008166BF" w:rsidRDefault="009F74F8">
      <w:pPr>
        <w:rPr>
          <w:sz w:val="22"/>
          <w:szCs w:val="22"/>
        </w:rPr>
      </w:pPr>
    </w:p>
    <w:p w14:paraId="7D536022" w14:textId="77777777" w:rsidR="009F74F8" w:rsidRPr="008166BF" w:rsidRDefault="006959C2" w:rsidP="00A63D9E">
      <w:pPr>
        <w:numPr>
          <w:ilvl w:val="1"/>
          <w:numId w:val="25"/>
        </w:numPr>
        <w:tabs>
          <w:tab w:val="clear" w:pos="360"/>
          <w:tab w:val="num" w:pos="-1080"/>
        </w:tabs>
        <w:ind w:left="540" w:hanging="540"/>
        <w:rPr>
          <w:b/>
          <w:bCs/>
          <w:sz w:val="22"/>
          <w:szCs w:val="22"/>
        </w:rPr>
      </w:pPr>
      <w:r>
        <w:rPr>
          <w:b/>
          <w:bCs/>
          <w:sz w:val="22"/>
          <w:szCs w:val="22"/>
        </w:rPr>
        <w:t>Dávkovanie a spôsob podávania</w:t>
      </w:r>
    </w:p>
    <w:p w14:paraId="029BED78" w14:textId="77777777" w:rsidR="009F74F8" w:rsidRPr="008166BF" w:rsidRDefault="009F74F8" w:rsidP="00E6015E">
      <w:pPr>
        <w:rPr>
          <w:bCs/>
          <w:sz w:val="22"/>
          <w:szCs w:val="22"/>
        </w:rPr>
      </w:pPr>
    </w:p>
    <w:p w14:paraId="32F1C479" w14:textId="77777777" w:rsidR="009F74F8" w:rsidRPr="008166BF" w:rsidRDefault="006959C2" w:rsidP="00E6015E">
      <w:pPr>
        <w:rPr>
          <w:bCs/>
          <w:sz w:val="22"/>
          <w:szCs w:val="22"/>
        </w:rPr>
      </w:pPr>
      <w:r>
        <w:rPr>
          <w:bCs/>
          <w:sz w:val="22"/>
          <w:szCs w:val="22"/>
        </w:rPr>
        <w:t>Dávkovanie Lekoklaru XL závisí od klinického stavu pacienta a musí ho vždy stanoviť lekár.</w:t>
      </w:r>
    </w:p>
    <w:p w14:paraId="000B326D" w14:textId="77777777" w:rsidR="009F74F8" w:rsidRPr="008166BF" w:rsidRDefault="009F74F8" w:rsidP="00E6015E">
      <w:pPr>
        <w:rPr>
          <w:bCs/>
          <w:sz w:val="22"/>
          <w:szCs w:val="22"/>
        </w:rPr>
      </w:pPr>
    </w:p>
    <w:p w14:paraId="489A2942" w14:textId="77777777" w:rsidR="009F74F8" w:rsidRPr="008166BF" w:rsidRDefault="006959C2">
      <w:pPr>
        <w:rPr>
          <w:sz w:val="22"/>
          <w:szCs w:val="22"/>
          <w:u w:val="single"/>
        </w:rPr>
      </w:pPr>
      <w:r>
        <w:rPr>
          <w:sz w:val="22"/>
          <w:szCs w:val="22"/>
          <w:u w:val="single"/>
        </w:rPr>
        <w:t>Dospelí a dospievajúci od 12 rokov a starší:</w:t>
      </w:r>
    </w:p>
    <w:p w14:paraId="5D2DA284" w14:textId="77777777" w:rsidR="009F74F8" w:rsidRPr="008166BF" w:rsidRDefault="006959C2">
      <w:pPr>
        <w:rPr>
          <w:sz w:val="22"/>
          <w:szCs w:val="22"/>
        </w:rPr>
      </w:pPr>
      <w:r>
        <w:rPr>
          <w:sz w:val="22"/>
          <w:szCs w:val="22"/>
        </w:rPr>
        <w:t xml:space="preserve">Odporúčaná denná dávka lieku je jedna 500 mg tableta. </w:t>
      </w:r>
    </w:p>
    <w:p w14:paraId="3AC08BC1" w14:textId="77777777" w:rsidR="009F74F8" w:rsidRPr="008166BF" w:rsidRDefault="006959C2">
      <w:pPr>
        <w:rPr>
          <w:sz w:val="22"/>
          <w:szCs w:val="22"/>
        </w:rPr>
      </w:pPr>
      <w:r>
        <w:rPr>
          <w:sz w:val="22"/>
          <w:szCs w:val="22"/>
        </w:rPr>
        <w:t>Liečba vysokými dávkami (závažné infekcie): odporúčaná dávka sa pri závažných infekciách môže zvýšiť na 500 mg dvakrát denne.</w:t>
      </w:r>
    </w:p>
    <w:p w14:paraId="07BE30E0" w14:textId="77777777" w:rsidR="009F74F8" w:rsidRPr="008166BF" w:rsidRDefault="009F74F8" w:rsidP="00707516">
      <w:pPr>
        <w:rPr>
          <w:sz w:val="22"/>
          <w:szCs w:val="22"/>
          <w:u w:val="single"/>
        </w:rPr>
      </w:pPr>
    </w:p>
    <w:p w14:paraId="2665B8F9" w14:textId="77777777" w:rsidR="009F74F8" w:rsidRPr="008166BF" w:rsidRDefault="006959C2">
      <w:pPr>
        <w:rPr>
          <w:sz w:val="22"/>
          <w:szCs w:val="22"/>
          <w:u w:val="single"/>
        </w:rPr>
      </w:pPr>
      <w:r>
        <w:rPr>
          <w:sz w:val="22"/>
          <w:szCs w:val="22"/>
          <w:u w:val="single"/>
        </w:rPr>
        <w:t>Deti mladšie ako 12 rokov</w:t>
      </w:r>
    </w:p>
    <w:p w14:paraId="2775F9C2" w14:textId="77777777" w:rsidR="009F74F8" w:rsidRPr="008166BF" w:rsidRDefault="006959C2" w:rsidP="002117F5">
      <w:pPr>
        <w:rPr>
          <w:sz w:val="22"/>
          <w:szCs w:val="22"/>
        </w:rPr>
      </w:pPr>
      <w:r>
        <w:rPr>
          <w:sz w:val="22"/>
          <w:szCs w:val="22"/>
        </w:rPr>
        <w:t xml:space="preserve">Lekoklar XL nie je vhodný na liečbu u detí mladších ako 12 rokov s telesnou hmotnosťou nižšou ako 30 kg. Pre týchto pacientov sú dostupné iné liekové formy (napr. suspenzie). Klinické skúšania s použitím suspenzie klaritromycínu sa vykonali u detí vo veku od 6 mesiacov do 12 rokov. </w:t>
      </w:r>
    </w:p>
    <w:p w14:paraId="73FB3E06" w14:textId="77777777" w:rsidR="009F74F8" w:rsidRPr="008166BF" w:rsidRDefault="009F74F8" w:rsidP="002117F5">
      <w:pPr>
        <w:rPr>
          <w:sz w:val="22"/>
          <w:szCs w:val="22"/>
        </w:rPr>
      </w:pPr>
    </w:p>
    <w:p w14:paraId="08874F04" w14:textId="77777777" w:rsidR="009F74F8" w:rsidRPr="008166BF" w:rsidRDefault="006959C2" w:rsidP="002117F5">
      <w:pPr>
        <w:rPr>
          <w:sz w:val="22"/>
          <w:szCs w:val="22"/>
        </w:rPr>
      </w:pPr>
      <w:r>
        <w:rPr>
          <w:sz w:val="22"/>
          <w:szCs w:val="22"/>
        </w:rPr>
        <w:t>Pre deti s telesnou hmotnosťou vyššou ako 30 kg sa používa dávka pre dospelých a dospievajúcich.</w:t>
      </w:r>
    </w:p>
    <w:p w14:paraId="49EEF00B" w14:textId="77777777" w:rsidR="009F74F8" w:rsidRPr="008166BF" w:rsidRDefault="009F74F8" w:rsidP="002117F5">
      <w:pPr>
        <w:rPr>
          <w:sz w:val="22"/>
          <w:szCs w:val="22"/>
        </w:rPr>
      </w:pPr>
    </w:p>
    <w:p w14:paraId="6E7BBA8C" w14:textId="77777777" w:rsidR="009F74F8" w:rsidRPr="008166BF" w:rsidRDefault="006959C2" w:rsidP="002117F5">
      <w:pPr>
        <w:rPr>
          <w:sz w:val="22"/>
          <w:szCs w:val="22"/>
        </w:rPr>
      </w:pPr>
      <w:r>
        <w:rPr>
          <w:sz w:val="22"/>
          <w:szCs w:val="22"/>
        </w:rPr>
        <w:t>Bezpečnosť použitia klaritromycínu u detí mladších ako 6 mesiacov sa nestanovila.</w:t>
      </w:r>
    </w:p>
    <w:p w14:paraId="1BB083EC" w14:textId="77777777" w:rsidR="0010395A" w:rsidRDefault="0010395A">
      <w:pPr>
        <w:rPr>
          <w:sz w:val="22"/>
          <w:szCs w:val="22"/>
          <w:u w:val="single"/>
        </w:rPr>
      </w:pPr>
    </w:p>
    <w:p w14:paraId="5DC1C056" w14:textId="77777777" w:rsidR="009F74F8" w:rsidRPr="008166BF" w:rsidRDefault="006959C2">
      <w:pPr>
        <w:rPr>
          <w:sz w:val="22"/>
          <w:szCs w:val="22"/>
          <w:u w:val="single"/>
        </w:rPr>
      </w:pPr>
      <w:r>
        <w:rPr>
          <w:sz w:val="22"/>
          <w:szCs w:val="22"/>
          <w:u w:val="single"/>
        </w:rPr>
        <w:t>Starší pacienti</w:t>
      </w:r>
    </w:p>
    <w:p w14:paraId="6CFC87A5" w14:textId="77777777" w:rsidR="009F74F8" w:rsidRPr="008166BF" w:rsidRDefault="006959C2">
      <w:pPr>
        <w:rPr>
          <w:sz w:val="22"/>
          <w:szCs w:val="22"/>
        </w:rPr>
      </w:pPr>
      <w:r>
        <w:rPr>
          <w:sz w:val="22"/>
          <w:szCs w:val="22"/>
        </w:rPr>
        <w:t>Dávka ako u dospelých.</w:t>
      </w:r>
    </w:p>
    <w:p w14:paraId="2EECAE11" w14:textId="77777777" w:rsidR="009F74F8" w:rsidRPr="008166BF" w:rsidRDefault="009F74F8">
      <w:pPr>
        <w:rPr>
          <w:sz w:val="22"/>
          <w:szCs w:val="22"/>
        </w:rPr>
      </w:pPr>
    </w:p>
    <w:p w14:paraId="48DE9605" w14:textId="77777777" w:rsidR="009F74F8" w:rsidRPr="008166BF" w:rsidRDefault="006959C2">
      <w:pPr>
        <w:rPr>
          <w:sz w:val="22"/>
          <w:szCs w:val="22"/>
          <w:u w:val="single"/>
        </w:rPr>
      </w:pPr>
      <w:r>
        <w:rPr>
          <w:sz w:val="22"/>
          <w:szCs w:val="22"/>
          <w:u w:val="single"/>
        </w:rPr>
        <w:t>Porucha funkcia obličiek</w:t>
      </w:r>
    </w:p>
    <w:p w14:paraId="1E2E2179" w14:textId="77777777" w:rsidR="009F74F8" w:rsidRPr="008166BF" w:rsidRDefault="006959C2" w:rsidP="00761B23">
      <w:pPr>
        <w:rPr>
          <w:sz w:val="22"/>
          <w:szCs w:val="22"/>
        </w:rPr>
      </w:pPr>
      <w:r>
        <w:rPr>
          <w:sz w:val="22"/>
          <w:szCs w:val="22"/>
        </w:rPr>
        <w:t xml:space="preserve">Pacientom s poruchou funkcie obličiek s klírensom kreatinínu nižším ako 30 ml/min sa má dávka klaritromycínu znížiť o polovicu, t.j. 250 mg jedenkrát denne alebo 250 mg dvakrát denne v prípade závažnejších infekcií. U týchto pacientov nemá liečba presiahnuť 14 dní. </w:t>
      </w:r>
    </w:p>
    <w:p w14:paraId="6AC6E8C2" w14:textId="77777777" w:rsidR="009F74F8" w:rsidRPr="008166BF" w:rsidRDefault="009F74F8" w:rsidP="00761B23">
      <w:pPr>
        <w:rPr>
          <w:sz w:val="22"/>
          <w:szCs w:val="22"/>
        </w:rPr>
      </w:pPr>
    </w:p>
    <w:p w14:paraId="6BDC5774" w14:textId="77777777" w:rsidR="009F74F8" w:rsidRPr="008166BF" w:rsidRDefault="006959C2" w:rsidP="00761B23">
      <w:pPr>
        <w:rPr>
          <w:sz w:val="22"/>
          <w:szCs w:val="22"/>
        </w:rPr>
      </w:pPr>
      <w:r>
        <w:rPr>
          <w:sz w:val="22"/>
          <w:szCs w:val="22"/>
        </w:rPr>
        <w:t>Keďže tableta s riadeným uvoľňovaním sa nedá deliť, dennú dávku 500 mg nie je možné znížiť a preto táto skupina pacientov nemá užívať klaritromycín vo forme tabliet s riadeným uvoľňovaním (pozri časť 4.3).</w:t>
      </w:r>
    </w:p>
    <w:p w14:paraId="7F13FC71" w14:textId="77777777" w:rsidR="009F74F8" w:rsidRPr="008166BF" w:rsidRDefault="009F74F8" w:rsidP="0043105F">
      <w:pPr>
        <w:rPr>
          <w:sz w:val="22"/>
          <w:szCs w:val="22"/>
        </w:rPr>
      </w:pPr>
    </w:p>
    <w:p w14:paraId="3CC86C45" w14:textId="77777777" w:rsidR="009F74F8" w:rsidRPr="008166BF" w:rsidRDefault="006959C2" w:rsidP="0043105F">
      <w:pPr>
        <w:rPr>
          <w:sz w:val="22"/>
          <w:szCs w:val="22"/>
        </w:rPr>
      </w:pPr>
      <w:r>
        <w:rPr>
          <w:sz w:val="22"/>
          <w:szCs w:val="22"/>
          <w:u w:val="single"/>
        </w:rPr>
        <w:t>Porucha funkcie pečene</w:t>
      </w:r>
    </w:p>
    <w:p w14:paraId="6FEE5839" w14:textId="77777777" w:rsidR="009F74F8" w:rsidRPr="008166BF" w:rsidRDefault="006959C2" w:rsidP="0043105F">
      <w:pPr>
        <w:rPr>
          <w:sz w:val="22"/>
          <w:szCs w:val="22"/>
        </w:rPr>
      </w:pPr>
      <w:r>
        <w:rPr>
          <w:sz w:val="22"/>
          <w:szCs w:val="22"/>
        </w:rPr>
        <w:t>Pri podávaní klaritromycínu pacientom s poruchou funkcie pečene je potrebná opatrnosť (pozri časti 4.3 a 4.4).</w:t>
      </w:r>
    </w:p>
    <w:p w14:paraId="25BB75A6" w14:textId="77777777" w:rsidR="009F74F8" w:rsidRPr="008166BF" w:rsidRDefault="009F74F8" w:rsidP="006E7093">
      <w:pPr>
        <w:rPr>
          <w:sz w:val="22"/>
          <w:szCs w:val="22"/>
          <w:u w:val="single"/>
        </w:rPr>
      </w:pPr>
    </w:p>
    <w:p w14:paraId="239D2D5C" w14:textId="77777777" w:rsidR="009F74F8" w:rsidRPr="008166BF" w:rsidRDefault="006959C2" w:rsidP="002E1A3C">
      <w:pPr>
        <w:rPr>
          <w:sz w:val="22"/>
          <w:szCs w:val="22"/>
          <w:u w:val="single"/>
        </w:rPr>
      </w:pPr>
      <w:r>
        <w:rPr>
          <w:sz w:val="22"/>
          <w:szCs w:val="22"/>
          <w:u w:val="single"/>
        </w:rPr>
        <w:t>Dĺžka liečby</w:t>
      </w:r>
    </w:p>
    <w:p w14:paraId="5FE1E3E8" w14:textId="77777777" w:rsidR="009F74F8" w:rsidRPr="008166BF" w:rsidRDefault="006959C2" w:rsidP="002E1A3C">
      <w:pPr>
        <w:rPr>
          <w:sz w:val="22"/>
          <w:szCs w:val="22"/>
        </w:rPr>
      </w:pPr>
      <w:r>
        <w:rPr>
          <w:sz w:val="22"/>
          <w:szCs w:val="22"/>
        </w:rPr>
        <w:t>Dĺžka liečby klaritromycínom závisí od klinického stavu pacienta. Dĺžku liečby určuje vždy lekár.</w:t>
      </w:r>
    </w:p>
    <w:p w14:paraId="77F1320A" w14:textId="77777777" w:rsidR="009F74F8" w:rsidRPr="008166BF" w:rsidRDefault="006959C2" w:rsidP="002E1A3C">
      <w:pPr>
        <w:rPr>
          <w:sz w:val="22"/>
          <w:szCs w:val="22"/>
        </w:rPr>
      </w:pPr>
      <w:r>
        <w:rPr>
          <w:sz w:val="22"/>
          <w:szCs w:val="22"/>
        </w:rPr>
        <w:t>Zvyčajná dĺžka liečby je 6 až 14 dní.</w:t>
      </w:r>
    </w:p>
    <w:p w14:paraId="7B19A603" w14:textId="77777777" w:rsidR="009F74F8" w:rsidRPr="008166BF" w:rsidRDefault="006959C2" w:rsidP="002E1A3C">
      <w:pPr>
        <w:rPr>
          <w:sz w:val="22"/>
          <w:szCs w:val="22"/>
        </w:rPr>
      </w:pPr>
      <w:r>
        <w:rPr>
          <w:sz w:val="22"/>
          <w:szCs w:val="22"/>
        </w:rPr>
        <w:t>Liečba má pokračovať najmenej ešte 2 dni po ustúpení symptómov.</w:t>
      </w:r>
    </w:p>
    <w:p w14:paraId="2202AF03" w14:textId="77777777" w:rsidR="009F74F8" w:rsidRPr="008166BF" w:rsidRDefault="006959C2" w:rsidP="002E1A3C">
      <w:pPr>
        <w:rPr>
          <w:sz w:val="22"/>
          <w:szCs w:val="22"/>
        </w:rPr>
      </w:pPr>
      <w:r>
        <w:rPr>
          <w:sz w:val="22"/>
          <w:szCs w:val="22"/>
        </w:rPr>
        <w:t>Pri infekciách spôsobených betahemolytickými streptokokmi má liečba trvať najmenej 10 dní, aby sa predišlo komplikáciám ako reumatická horúčka a glomerulonefritída.</w:t>
      </w:r>
    </w:p>
    <w:p w14:paraId="5C00CB8C" w14:textId="77777777" w:rsidR="009F74F8" w:rsidRPr="008166BF" w:rsidRDefault="009F74F8" w:rsidP="002E1A3C">
      <w:pPr>
        <w:tabs>
          <w:tab w:val="left" w:pos="567"/>
        </w:tabs>
        <w:rPr>
          <w:sz w:val="22"/>
          <w:szCs w:val="22"/>
        </w:rPr>
      </w:pPr>
    </w:p>
    <w:p w14:paraId="258DA250" w14:textId="77777777" w:rsidR="009F74F8" w:rsidRPr="008166BF" w:rsidRDefault="006959C2" w:rsidP="006E7093">
      <w:pPr>
        <w:rPr>
          <w:sz w:val="22"/>
          <w:szCs w:val="22"/>
          <w:u w:val="single"/>
        </w:rPr>
      </w:pPr>
      <w:r>
        <w:rPr>
          <w:sz w:val="22"/>
          <w:szCs w:val="22"/>
          <w:u w:val="single"/>
        </w:rPr>
        <w:t>Spôsob podávania</w:t>
      </w:r>
    </w:p>
    <w:p w14:paraId="4598927B" w14:textId="77777777" w:rsidR="009F74F8" w:rsidRPr="008166BF" w:rsidRDefault="006959C2" w:rsidP="006E7093">
      <w:pPr>
        <w:pStyle w:val="Zkladntext21"/>
        <w:rPr>
          <w:szCs w:val="22"/>
        </w:rPr>
      </w:pPr>
      <w:r>
        <w:rPr>
          <w:szCs w:val="22"/>
        </w:rPr>
        <w:t xml:space="preserve">Klaritromycín sa môže podávať nezávisle od jedla. </w:t>
      </w:r>
    </w:p>
    <w:p w14:paraId="0938541A" w14:textId="77777777" w:rsidR="009F74F8" w:rsidRPr="008166BF" w:rsidRDefault="009F74F8">
      <w:pPr>
        <w:rPr>
          <w:sz w:val="22"/>
          <w:szCs w:val="22"/>
        </w:rPr>
      </w:pPr>
    </w:p>
    <w:p w14:paraId="50FF0DA3" w14:textId="77777777" w:rsidR="009F74F8" w:rsidRPr="008166BF" w:rsidRDefault="006959C2" w:rsidP="00A63D9E">
      <w:pPr>
        <w:numPr>
          <w:ilvl w:val="1"/>
          <w:numId w:val="24"/>
        </w:numPr>
        <w:tabs>
          <w:tab w:val="clear" w:pos="360"/>
          <w:tab w:val="num" w:pos="-720"/>
        </w:tabs>
        <w:ind w:left="540" w:hanging="540"/>
        <w:rPr>
          <w:b/>
          <w:bCs/>
          <w:sz w:val="22"/>
          <w:szCs w:val="22"/>
        </w:rPr>
      </w:pPr>
      <w:r>
        <w:rPr>
          <w:b/>
          <w:bCs/>
          <w:sz w:val="22"/>
          <w:szCs w:val="22"/>
        </w:rPr>
        <w:t>Kontraindikácie</w:t>
      </w:r>
    </w:p>
    <w:p w14:paraId="63BAF5C9" w14:textId="77777777" w:rsidR="009F74F8" w:rsidRPr="008166BF" w:rsidRDefault="009F74F8" w:rsidP="00E6015E">
      <w:pPr>
        <w:rPr>
          <w:sz w:val="22"/>
          <w:szCs w:val="22"/>
        </w:rPr>
      </w:pPr>
    </w:p>
    <w:p w14:paraId="16741C7A" w14:textId="5F5FEFDA" w:rsidR="009F74F8" w:rsidRPr="008166BF" w:rsidRDefault="006959C2">
      <w:pPr>
        <w:rPr>
          <w:sz w:val="22"/>
          <w:szCs w:val="22"/>
        </w:rPr>
      </w:pPr>
      <w:r>
        <w:rPr>
          <w:sz w:val="22"/>
          <w:szCs w:val="22"/>
        </w:rPr>
        <w:t xml:space="preserve">Precitlivenosť na </w:t>
      </w:r>
      <w:r w:rsidR="00C00C7B">
        <w:rPr>
          <w:sz w:val="22"/>
          <w:szCs w:val="22"/>
        </w:rPr>
        <w:t xml:space="preserve">liečivo, na iné </w:t>
      </w:r>
      <w:r>
        <w:rPr>
          <w:sz w:val="22"/>
          <w:szCs w:val="22"/>
        </w:rPr>
        <w:t>makrolidové antibiotiká alebo na ktorúkoľvek z pomocných látok uvedených v časti 6.1.</w:t>
      </w:r>
    </w:p>
    <w:p w14:paraId="7F7542D7" w14:textId="77777777" w:rsidR="009F74F8" w:rsidRPr="008166BF" w:rsidRDefault="009F74F8">
      <w:pPr>
        <w:rPr>
          <w:sz w:val="22"/>
          <w:szCs w:val="22"/>
        </w:rPr>
      </w:pPr>
    </w:p>
    <w:p w14:paraId="50924018" w14:textId="77777777" w:rsidR="009F74F8" w:rsidRPr="008166BF" w:rsidRDefault="006959C2" w:rsidP="00AF6C51">
      <w:pPr>
        <w:rPr>
          <w:sz w:val="22"/>
          <w:szCs w:val="22"/>
        </w:rPr>
      </w:pPr>
      <w:r>
        <w:rPr>
          <w:sz w:val="22"/>
          <w:szCs w:val="22"/>
        </w:rPr>
        <w:t>Keďže denná dávka 500 mg sa nedá znížiť, klaritromycín vo forme tabliet s riadeným uvoľňovaním je kontraindikovaný u pacientov s klírensom kreatinínu nižším ako 30 ml/min. Táto skupina pacientov môže užívať všetky ostatné liekové formy.</w:t>
      </w:r>
    </w:p>
    <w:p w14:paraId="15B1BAA7" w14:textId="77777777" w:rsidR="009F74F8" w:rsidRPr="008166BF" w:rsidRDefault="009F74F8">
      <w:pPr>
        <w:rPr>
          <w:sz w:val="22"/>
          <w:szCs w:val="22"/>
        </w:rPr>
      </w:pPr>
    </w:p>
    <w:p w14:paraId="5E525BA7" w14:textId="4F7451BB" w:rsidR="009F74F8" w:rsidRPr="008166BF" w:rsidRDefault="006959C2">
      <w:pPr>
        <w:rPr>
          <w:sz w:val="22"/>
          <w:szCs w:val="22"/>
        </w:rPr>
      </w:pPr>
      <w:r>
        <w:rPr>
          <w:sz w:val="22"/>
          <w:szCs w:val="22"/>
        </w:rPr>
        <w:t xml:space="preserve">Súbežné podávanie klaritromycínu a akéhokoľvek z nasledujúcich liečiv je kontraindikované: astemizol, cisaprid, </w:t>
      </w:r>
      <w:r w:rsidR="00C512DE">
        <w:rPr>
          <w:sz w:val="22"/>
          <w:szCs w:val="22"/>
        </w:rPr>
        <w:t xml:space="preserve">domperidón, </w:t>
      </w:r>
      <w:r>
        <w:rPr>
          <w:sz w:val="22"/>
          <w:szCs w:val="22"/>
        </w:rPr>
        <w:t>pimozid, terfenadín, pretože to môže spôsobiť predĺženie QT intervalu a srdcové arytmie, vrátane ventrikulárnej tachykardie, ventrikulárnej fibrilácie a </w:t>
      </w:r>
      <w:r>
        <w:rPr>
          <w:i/>
          <w:sz w:val="22"/>
          <w:szCs w:val="22"/>
        </w:rPr>
        <w:t xml:space="preserve">torsades de pointes </w:t>
      </w:r>
      <w:r>
        <w:rPr>
          <w:sz w:val="22"/>
          <w:szCs w:val="22"/>
        </w:rPr>
        <w:t>(pozri čas</w:t>
      </w:r>
      <w:r w:rsidR="00C512DE">
        <w:rPr>
          <w:sz w:val="22"/>
          <w:szCs w:val="22"/>
        </w:rPr>
        <w:t>ti 4.4 a</w:t>
      </w:r>
      <w:r>
        <w:rPr>
          <w:sz w:val="22"/>
          <w:szCs w:val="22"/>
        </w:rPr>
        <w:t xml:space="preserve"> 4.5). </w:t>
      </w:r>
    </w:p>
    <w:p w14:paraId="1892FE58" w14:textId="77777777" w:rsidR="009F74F8" w:rsidRPr="008166BF" w:rsidRDefault="009F74F8">
      <w:pPr>
        <w:rPr>
          <w:sz w:val="22"/>
          <w:szCs w:val="22"/>
        </w:rPr>
      </w:pPr>
    </w:p>
    <w:p w14:paraId="5A34464A" w14:textId="77777777" w:rsidR="009F74F8" w:rsidRPr="008166BF" w:rsidRDefault="006959C2" w:rsidP="00783502">
      <w:pPr>
        <w:rPr>
          <w:sz w:val="22"/>
          <w:szCs w:val="22"/>
        </w:rPr>
      </w:pPr>
      <w:r>
        <w:rPr>
          <w:sz w:val="22"/>
          <w:szCs w:val="22"/>
        </w:rPr>
        <w:t xml:space="preserve">Súbežné podávanie s tikagrelorom alebo ranolazínom je kontraindikované. </w:t>
      </w:r>
    </w:p>
    <w:p w14:paraId="22797A4C" w14:textId="77777777" w:rsidR="009F74F8" w:rsidRPr="008166BF" w:rsidRDefault="009F74F8" w:rsidP="00783502">
      <w:pPr>
        <w:rPr>
          <w:sz w:val="22"/>
          <w:szCs w:val="22"/>
        </w:rPr>
      </w:pPr>
    </w:p>
    <w:p w14:paraId="2955814A" w14:textId="77777777" w:rsidR="009F74F8" w:rsidRPr="008166BF" w:rsidRDefault="006959C2" w:rsidP="00783502">
      <w:pPr>
        <w:rPr>
          <w:sz w:val="22"/>
          <w:szCs w:val="22"/>
        </w:rPr>
      </w:pPr>
      <w:r>
        <w:rPr>
          <w:sz w:val="22"/>
          <w:szCs w:val="22"/>
        </w:rPr>
        <w:t>Súbežné podávanie klaritromycínu a ergotových alkaloidov (napr. ergotamínu alebo dihydroergotamínu) je kontraindikované, pretože môže viesť k ergotovej toxicite (pozri časť 4.5).</w:t>
      </w:r>
    </w:p>
    <w:p w14:paraId="504DB8E4" w14:textId="77777777" w:rsidR="009F74F8" w:rsidRPr="008166BF" w:rsidRDefault="009F74F8">
      <w:pPr>
        <w:rPr>
          <w:sz w:val="22"/>
          <w:szCs w:val="22"/>
        </w:rPr>
      </w:pPr>
    </w:p>
    <w:p w14:paraId="50BAE7D5" w14:textId="77777777" w:rsidR="009F74F8" w:rsidRPr="008166BF" w:rsidRDefault="006959C2" w:rsidP="000932C6">
      <w:pPr>
        <w:rPr>
          <w:sz w:val="22"/>
          <w:szCs w:val="22"/>
        </w:rPr>
      </w:pPr>
      <w:r>
        <w:rPr>
          <w:sz w:val="22"/>
          <w:szCs w:val="22"/>
        </w:rPr>
        <w:t xml:space="preserve">Klaritromycín sa nemá podávať pacientom s anamnézou predĺženého QT intervalu (vrodeného alebo preukázaného získaného predĺženého QT intervalu) alebo ventrikulárnej srdcovej arytmie vrátane, </w:t>
      </w:r>
      <w:r>
        <w:rPr>
          <w:i/>
          <w:sz w:val="22"/>
          <w:szCs w:val="22"/>
        </w:rPr>
        <w:t>torsades de pointes</w:t>
      </w:r>
      <w:r>
        <w:rPr>
          <w:sz w:val="22"/>
          <w:szCs w:val="22"/>
        </w:rPr>
        <w:t xml:space="preserve"> (pozri časti 4.4 a 4.5). </w:t>
      </w:r>
    </w:p>
    <w:p w14:paraId="2D5CAA86" w14:textId="77777777" w:rsidR="009F74F8" w:rsidRPr="008166BF" w:rsidRDefault="009F74F8" w:rsidP="000932C6">
      <w:pPr>
        <w:rPr>
          <w:sz w:val="22"/>
          <w:szCs w:val="22"/>
        </w:rPr>
      </w:pPr>
    </w:p>
    <w:p w14:paraId="5706AFD8" w14:textId="3C7058D6" w:rsidR="009F74F8" w:rsidRPr="008166BF" w:rsidRDefault="006959C2" w:rsidP="000932C6">
      <w:pPr>
        <w:rPr>
          <w:sz w:val="22"/>
          <w:szCs w:val="22"/>
        </w:rPr>
      </w:pPr>
      <w:r>
        <w:rPr>
          <w:sz w:val="22"/>
          <w:szCs w:val="22"/>
        </w:rPr>
        <w:t>Klaritromycín sa nemá užívať súbežne s inhibítormi HMG-CoA reduktázy (statíny), ktoré sa v značnej miere metabolizujú  CYP3A4 (lovastatín alebo simvastatín), z dôvodu zvýšeného rizika myopatie, vrátane rabdomyolýzy (pozri čas</w:t>
      </w:r>
      <w:r w:rsidR="00C512DE">
        <w:rPr>
          <w:sz w:val="22"/>
          <w:szCs w:val="22"/>
        </w:rPr>
        <w:t>ti 4.4 a</w:t>
      </w:r>
      <w:r>
        <w:rPr>
          <w:sz w:val="22"/>
          <w:szCs w:val="22"/>
        </w:rPr>
        <w:t xml:space="preserve"> 4.5).</w:t>
      </w:r>
    </w:p>
    <w:p w14:paraId="3694D127" w14:textId="77777777" w:rsidR="009F74F8" w:rsidRPr="008166BF" w:rsidRDefault="009F74F8" w:rsidP="000932C6">
      <w:pPr>
        <w:rPr>
          <w:sz w:val="22"/>
          <w:szCs w:val="22"/>
        </w:rPr>
      </w:pPr>
    </w:p>
    <w:p w14:paraId="06289D4A" w14:textId="77777777" w:rsidR="009F74F8" w:rsidRPr="008166BF" w:rsidRDefault="006959C2" w:rsidP="000932C6">
      <w:pPr>
        <w:rPr>
          <w:sz w:val="22"/>
          <w:szCs w:val="22"/>
        </w:rPr>
      </w:pPr>
      <w:r>
        <w:rPr>
          <w:sz w:val="22"/>
          <w:szCs w:val="22"/>
        </w:rPr>
        <w:t>Klaritromycín sa nemá podávať pacientom s hypokaliémiou (riziko predĺženého QT intervalu).</w:t>
      </w:r>
    </w:p>
    <w:p w14:paraId="5F26C45F" w14:textId="77777777" w:rsidR="009F74F8" w:rsidRPr="008166BF" w:rsidRDefault="009F74F8" w:rsidP="000932C6">
      <w:pPr>
        <w:rPr>
          <w:sz w:val="22"/>
          <w:szCs w:val="22"/>
        </w:rPr>
      </w:pPr>
    </w:p>
    <w:p w14:paraId="6D485BF5" w14:textId="77777777" w:rsidR="009F74F8" w:rsidRPr="008166BF" w:rsidRDefault="006959C2" w:rsidP="000932C6">
      <w:pPr>
        <w:rPr>
          <w:sz w:val="22"/>
          <w:szCs w:val="22"/>
        </w:rPr>
      </w:pPr>
      <w:r>
        <w:rPr>
          <w:sz w:val="22"/>
          <w:szCs w:val="22"/>
        </w:rPr>
        <w:t>Klaritromycín nemajú užívať pacienti, ktorí trpia závažným zlyhávaním pečene v kombinácii s poškodením obličiek.</w:t>
      </w:r>
    </w:p>
    <w:p w14:paraId="0BFCB1FB" w14:textId="77777777" w:rsidR="009F74F8" w:rsidRPr="008166BF" w:rsidRDefault="009F74F8" w:rsidP="000932C6">
      <w:pPr>
        <w:rPr>
          <w:sz w:val="22"/>
          <w:szCs w:val="22"/>
        </w:rPr>
      </w:pPr>
    </w:p>
    <w:p w14:paraId="784493EA" w14:textId="77777777" w:rsidR="009F74F8" w:rsidRPr="008166BF" w:rsidRDefault="006959C2" w:rsidP="00F3619E">
      <w:pPr>
        <w:jc w:val="both"/>
        <w:rPr>
          <w:sz w:val="22"/>
          <w:szCs w:val="22"/>
        </w:rPr>
      </w:pPr>
      <w:r>
        <w:rPr>
          <w:sz w:val="22"/>
          <w:szCs w:val="22"/>
        </w:rPr>
        <w:t>Tak ako pri iných silných inhibítoroch CYP3A4, Lekoklar XL nemajú užívať pacienti, ktorí užívajú kolchicín (pozri časti 4.4 a 4.5).</w:t>
      </w:r>
    </w:p>
    <w:p w14:paraId="79EB7EE0" w14:textId="77777777" w:rsidR="009F74F8" w:rsidRPr="008166BF" w:rsidRDefault="009F74F8" w:rsidP="004332AE">
      <w:pPr>
        <w:jc w:val="both"/>
        <w:rPr>
          <w:sz w:val="22"/>
          <w:szCs w:val="22"/>
        </w:rPr>
      </w:pPr>
    </w:p>
    <w:p w14:paraId="5A6F55C7" w14:textId="77777777" w:rsidR="000F2A6D" w:rsidRPr="008166BF" w:rsidRDefault="006959C2" w:rsidP="004332AE">
      <w:pPr>
        <w:jc w:val="both"/>
        <w:rPr>
          <w:sz w:val="22"/>
          <w:szCs w:val="22"/>
        </w:rPr>
      </w:pPr>
      <w:r>
        <w:rPr>
          <w:sz w:val="22"/>
          <w:szCs w:val="22"/>
        </w:rPr>
        <w:t>Súbežné podávanie klaritromycínu a perorálneho midazolamu je kontraindikované (pozri časť 4.5).</w:t>
      </w:r>
    </w:p>
    <w:p w14:paraId="7C3A9D9D" w14:textId="77777777" w:rsidR="000F2A6D" w:rsidRPr="008166BF" w:rsidRDefault="000F2A6D" w:rsidP="004332AE">
      <w:pPr>
        <w:jc w:val="both"/>
        <w:rPr>
          <w:sz w:val="22"/>
          <w:szCs w:val="22"/>
        </w:rPr>
      </w:pPr>
    </w:p>
    <w:p w14:paraId="6FBD8692" w14:textId="77777777" w:rsidR="009F74F8" w:rsidRPr="008166BF" w:rsidRDefault="006959C2" w:rsidP="00161564">
      <w:pPr>
        <w:numPr>
          <w:ilvl w:val="1"/>
          <w:numId w:val="23"/>
        </w:numPr>
        <w:tabs>
          <w:tab w:val="clear" w:pos="360"/>
          <w:tab w:val="num" w:pos="-900"/>
        </w:tabs>
        <w:ind w:left="540" w:hanging="540"/>
        <w:rPr>
          <w:b/>
          <w:sz w:val="22"/>
          <w:szCs w:val="22"/>
        </w:rPr>
      </w:pPr>
      <w:r>
        <w:rPr>
          <w:b/>
          <w:sz w:val="22"/>
          <w:szCs w:val="22"/>
        </w:rPr>
        <w:t>Osobitné upozornenia a opatrenia pri používaní</w:t>
      </w:r>
    </w:p>
    <w:p w14:paraId="54E076AA" w14:textId="77777777" w:rsidR="009F74F8" w:rsidRPr="008166BF" w:rsidRDefault="009F74F8" w:rsidP="00E6015E">
      <w:pPr>
        <w:rPr>
          <w:sz w:val="22"/>
          <w:szCs w:val="22"/>
        </w:rPr>
      </w:pPr>
    </w:p>
    <w:p w14:paraId="423539B0" w14:textId="77777777" w:rsidR="009F74F8" w:rsidRPr="008166BF" w:rsidRDefault="006959C2" w:rsidP="008020E6">
      <w:pPr>
        <w:pStyle w:val="Zkladntext"/>
        <w:suppressAutoHyphens/>
        <w:rPr>
          <w:sz w:val="22"/>
          <w:szCs w:val="22"/>
        </w:rPr>
      </w:pPr>
      <w:r>
        <w:rPr>
          <w:sz w:val="22"/>
          <w:szCs w:val="22"/>
        </w:rPr>
        <w:t>Lekári nesmú predpísať klaritromycín gravidným ženám bez toho, aby starostlivo zvážili pomer prínosu a rizika, a to najmä počas prvých troch mesiacov gravidity (pozri časť 4.6).</w:t>
      </w:r>
    </w:p>
    <w:p w14:paraId="0EF2FE4A" w14:textId="77777777" w:rsidR="009F74F8" w:rsidRPr="008166BF" w:rsidRDefault="009F74F8" w:rsidP="008020E6">
      <w:pPr>
        <w:pStyle w:val="Zkladntext"/>
        <w:suppressAutoHyphens/>
        <w:rPr>
          <w:sz w:val="22"/>
          <w:szCs w:val="22"/>
        </w:rPr>
      </w:pPr>
    </w:p>
    <w:p w14:paraId="1B121F32" w14:textId="77777777" w:rsidR="009F74F8" w:rsidRPr="008166BF" w:rsidRDefault="006959C2" w:rsidP="00045502">
      <w:pPr>
        <w:rPr>
          <w:sz w:val="22"/>
          <w:szCs w:val="22"/>
        </w:rPr>
      </w:pPr>
      <w:r>
        <w:rPr>
          <w:sz w:val="22"/>
          <w:szCs w:val="22"/>
        </w:rPr>
        <w:t xml:space="preserve">U pacientov so závažnou insuficienciou obličiek je nutná opatrnosť (pozri časť 4.2). </w:t>
      </w:r>
    </w:p>
    <w:p w14:paraId="2143917D" w14:textId="77777777" w:rsidR="009F74F8" w:rsidRPr="008166BF" w:rsidRDefault="009F74F8" w:rsidP="008020E6">
      <w:pPr>
        <w:pStyle w:val="Zkladntext"/>
        <w:suppressAutoHyphens/>
        <w:rPr>
          <w:sz w:val="22"/>
          <w:szCs w:val="22"/>
        </w:rPr>
      </w:pPr>
    </w:p>
    <w:p w14:paraId="38313776" w14:textId="77777777" w:rsidR="009F74F8" w:rsidRPr="008166BF" w:rsidRDefault="006959C2" w:rsidP="00A45A5D">
      <w:pPr>
        <w:rPr>
          <w:sz w:val="22"/>
          <w:szCs w:val="22"/>
        </w:rPr>
      </w:pPr>
      <w:r>
        <w:rPr>
          <w:sz w:val="22"/>
          <w:szCs w:val="22"/>
        </w:rPr>
        <w:t>Klaritromycín sa vylučuje hlavne pečeňou. Preto je pri podávaní tohto antibiotika pacientom s poruchou funkcie pečene nutná opatrnosť. Opatrnosť sa vyžaduje aj pri podávaní klaritromycínu pacientom so stredne závažnou až závažnou poruchou funkcie obličiek.</w:t>
      </w:r>
    </w:p>
    <w:p w14:paraId="5329758B" w14:textId="77777777" w:rsidR="009F74F8" w:rsidRDefault="009F74F8" w:rsidP="00A45A5D">
      <w:pPr>
        <w:rPr>
          <w:sz w:val="22"/>
          <w:szCs w:val="22"/>
        </w:rPr>
      </w:pPr>
    </w:p>
    <w:p w14:paraId="788F40DD" w14:textId="77777777" w:rsidR="005E41EC" w:rsidRDefault="005E41EC" w:rsidP="005E41EC">
      <w:pPr>
        <w:rPr>
          <w:sz w:val="22"/>
          <w:szCs w:val="22"/>
          <w:lang w:eastAsia="en-US"/>
        </w:rPr>
      </w:pPr>
      <w:r>
        <w:rPr>
          <w:sz w:val="22"/>
          <w:szCs w:val="22"/>
        </w:rPr>
        <w:t>Počas užívania klaritromycínu boli hlásené prípady poruchy funkcie pečene, vrátane zvýšenia hodnôt hepatálnych enzýmov a hepatocelulárnej a/alebo cholestatickej hepatitídy so žltačkou alebo bez nej. Táto hepatálna dysfunkcia môže byť závažná a je zvyčajne reverzibilná.</w:t>
      </w:r>
      <w:r w:rsidR="006C6903">
        <w:rPr>
          <w:sz w:val="22"/>
          <w:szCs w:val="22"/>
        </w:rPr>
        <w:t xml:space="preserve"> </w:t>
      </w:r>
    </w:p>
    <w:p w14:paraId="2AB869A7" w14:textId="77777777" w:rsidR="005E41EC" w:rsidRPr="008166BF" w:rsidRDefault="005E41EC" w:rsidP="00A45A5D">
      <w:pPr>
        <w:rPr>
          <w:sz w:val="22"/>
          <w:szCs w:val="22"/>
        </w:rPr>
      </w:pPr>
    </w:p>
    <w:p w14:paraId="7FB9FFCF" w14:textId="77777777" w:rsidR="009F74F8" w:rsidRPr="008166BF" w:rsidRDefault="006959C2" w:rsidP="00A45A5D">
      <w:pPr>
        <w:rPr>
          <w:sz w:val="22"/>
          <w:szCs w:val="22"/>
        </w:rPr>
      </w:pPr>
      <w:r>
        <w:rPr>
          <w:sz w:val="22"/>
          <w:szCs w:val="22"/>
        </w:rPr>
        <w:t>Zaznamenali sa prípady zlyhania pečene s fatálnymi následkami (pozri časť 4.8). Niektorí pacienti mohli mať existujúce ochorenie pečene alebo mohli užívať iné hepatotoxické lieky. Pacientom je potrebné odporučiť, aby ukončili liečbu a kontaktovali svojho lekára, ak sa objavia prejavy a príznaky ochorenia pečene ako je anorexia, žltačka, tmavý moč, pruritus alebo bolestivé brucho.</w:t>
      </w:r>
    </w:p>
    <w:p w14:paraId="1D97A7BB" w14:textId="77777777" w:rsidR="009F74F8" w:rsidRPr="008166BF" w:rsidRDefault="009F74F8" w:rsidP="00A45A5D">
      <w:pPr>
        <w:rPr>
          <w:sz w:val="22"/>
          <w:szCs w:val="22"/>
        </w:rPr>
      </w:pPr>
    </w:p>
    <w:p w14:paraId="5E0A6A67" w14:textId="77777777" w:rsidR="009F74F8" w:rsidRPr="008166BF" w:rsidRDefault="006959C2" w:rsidP="00924AEB">
      <w:pPr>
        <w:rPr>
          <w:sz w:val="22"/>
          <w:szCs w:val="22"/>
        </w:rPr>
      </w:pPr>
      <w:r>
        <w:rPr>
          <w:sz w:val="22"/>
          <w:szCs w:val="22"/>
        </w:rPr>
        <w:t>Pseudomembranózna kolitída sa hlásila pri užívaní takmer všetkých antibiotík, vrátane makrolidov, s rôznym stupňom závažnosti od miernej až po život ohrozujúcu. Hnačka spojená s </w:t>
      </w:r>
      <w:r>
        <w:rPr>
          <w:i/>
          <w:sz w:val="22"/>
          <w:szCs w:val="22"/>
        </w:rPr>
        <w:t xml:space="preserve">Clostridium difficile </w:t>
      </w:r>
      <w:r>
        <w:rPr>
          <w:sz w:val="22"/>
          <w:szCs w:val="22"/>
        </w:rPr>
        <w:t xml:space="preserve">(CDAD) sa hlásila pri užívaní takmer všetkých antibiotík, vrátane klaritromycínu, s rôznym stupňom závažnosti od miernej hnačky až po fatálnu kolitídu. Liečba antibiotikami mení fyziologickú mikroflóru v hrubom čreve, čo môže viesť k nadmernému rastu baktérie </w:t>
      </w:r>
      <w:r>
        <w:rPr>
          <w:i/>
          <w:sz w:val="22"/>
          <w:szCs w:val="22"/>
        </w:rPr>
        <w:t>C. difficile</w:t>
      </w:r>
      <w:r>
        <w:rPr>
          <w:sz w:val="22"/>
          <w:szCs w:val="22"/>
        </w:rPr>
        <w:t>. Hnačka spojená s </w:t>
      </w:r>
      <w:r>
        <w:rPr>
          <w:i/>
          <w:sz w:val="22"/>
          <w:szCs w:val="22"/>
        </w:rPr>
        <w:t xml:space="preserve">C. difficile </w:t>
      </w:r>
      <w:r>
        <w:rPr>
          <w:sz w:val="22"/>
          <w:szCs w:val="22"/>
        </w:rPr>
        <w:t>sa musí zvážiť u všetkých pacientov, u ktorých sa po užívaní antibiotík vyskytne hnačka. Dôkladná anamnéza je nevyhnutná, nakoľko výskyt hnačky spojenej s </w:t>
      </w:r>
      <w:r>
        <w:rPr>
          <w:i/>
          <w:sz w:val="22"/>
          <w:szCs w:val="22"/>
        </w:rPr>
        <w:t>C. difficile</w:t>
      </w:r>
      <w:r>
        <w:rPr>
          <w:sz w:val="22"/>
          <w:szCs w:val="22"/>
        </w:rPr>
        <w:t xml:space="preserve"> sa hlásil v priebehu dvoch mesiacov po podávaní antibiotík. Vysadenie liečby klaritromycínom sa má preto zvážiť bez ohľadu na indikáciu. Majú sa vykonať mikrobiologické testy a začať primeraná liečba. Je potrebné sa vyhnúť podávaniu liekov, ktoré inhibujú peristaltiku.</w:t>
      </w:r>
    </w:p>
    <w:p w14:paraId="50A0D778" w14:textId="77777777" w:rsidR="009F74F8" w:rsidRPr="008166BF" w:rsidRDefault="009F74F8" w:rsidP="00924AEB">
      <w:pPr>
        <w:rPr>
          <w:sz w:val="22"/>
          <w:szCs w:val="22"/>
        </w:rPr>
      </w:pPr>
    </w:p>
    <w:p w14:paraId="4576FF91" w14:textId="77777777" w:rsidR="009F74F8" w:rsidRPr="008166BF" w:rsidRDefault="006959C2" w:rsidP="00BD2781">
      <w:pPr>
        <w:rPr>
          <w:sz w:val="22"/>
          <w:szCs w:val="22"/>
        </w:rPr>
      </w:pPr>
      <w:r>
        <w:rPr>
          <w:sz w:val="22"/>
          <w:szCs w:val="22"/>
        </w:rPr>
        <w:t xml:space="preserve">Pri súbežnom užívaní klaritromycínu a kolchicínu sa po uvedení lieku na trh hlásila toxicita kolchicínu a to najmä u starších pacientov. Niektoré z týchto prípadov sa vyskytli u pacientov s insuficienciou obličiek. U týchto pacientov sa niekoľko prípadov skončilo smrťou (pozri časť 4.5). </w:t>
      </w:r>
    </w:p>
    <w:p w14:paraId="013749E0" w14:textId="77777777" w:rsidR="009F74F8" w:rsidRPr="008166BF" w:rsidRDefault="009F74F8" w:rsidP="00BD2781">
      <w:pPr>
        <w:rPr>
          <w:sz w:val="22"/>
          <w:szCs w:val="22"/>
        </w:rPr>
      </w:pPr>
    </w:p>
    <w:p w14:paraId="4119D4F1" w14:textId="77777777" w:rsidR="009F74F8" w:rsidRPr="008166BF" w:rsidRDefault="006959C2" w:rsidP="00BD2781">
      <w:pPr>
        <w:rPr>
          <w:sz w:val="22"/>
          <w:szCs w:val="22"/>
        </w:rPr>
      </w:pPr>
      <w:r>
        <w:rPr>
          <w:sz w:val="22"/>
          <w:szCs w:val="22"/>
        </w:rPr>
        <w:t xml:space="preserve">Súbežné podávanie klaritromycínu a kolchicínu je kontraindikované (pozri časť 4.3).  </w:t>
      </w:r>
    </w:p>
    <w:p w14:paraId="170AEEBB" w14:textId="77777777" w:rsidR="009F74F8" w:rsidRPr="008166BF" w:rsidRDefault="009F74F8" w:rsidP="00BD2781">
      <w:pPr>
        <w:rPr>
          <w:sz w:val="22"/>
          <w:szCs w:val="22"/>
        </w:rPr>
      </w:pPr>
    </w:p>
    <w:p w14:paraId="19753E53" w14:textId="77777777" w:rsidR="009F74F8" w:rsidRPr="008166BF" w:rsidRDefault="006959C2" w:rsidP="00BD2781">
      <w:pPr>
        <w:rPr>
          <w:sz w:val="22"/>
          <w:szCs w:val="22"/>
        </w:rPr>
      </w:pPr>
      <w:r>
        <w:rPr>
          <w:sz w:val="22"/>
          <w:szCs w:val="22"/>
        </w:rPr>
        <w:t>Pri súbežnom podávaní klaritromycínu a triazolobenzodiazepínov ako je triazolam a midazolam podávaný intravenózne alebo oromukozálne sa odporúča opatrnosť (pozri časť 4.5).</w:t>
      </w:r>
    </w:p>
    <w:p w14:paraId="41E4A715" w14:textId="77777777" w:rsidR="009F74F8" w:rsidRPr="008166BF" w:rsidRDefault="009F74F8" w:rsidP="00BD2781">
      <w:pPr>
        <w:rPr>
          <w:sz w:val="22"/>
          <w:szCs w:val="22"/>
        </w:rPr>
      </w:pPr>
    </w:p>
    <w:p w14:paraId="7BEA9B8E" w14:textId="77777777" w:rsidR="00B256CF" w:rsidRPr="00A61991" w:rsidRDefault="009A51D6" w:rsidP="00B256CF">
      <w:pPr>
        <w:rPr>
          <w:sz w:val="22"/>
          <w:szCs w:val="22"/>
          <w:u w:val="single"/>
        </w:rPr>
      </w:pPr>
      <w:r w:rsidRPr="00A61991">
        <w:rPr>
          <w:sz w:val="22"/>
          <w:szCs w:val="22"/>
          <w:u w:val="single"/>
        </w:rPr>
        <w:t>Kardiovaskulárne udalosti</w:t>
      </w:r>
    </w:p>
    <w:p w14:paraId="725E8900" w14:textId="77777777" w:rsidR="009F74F8" w:rsidRPr="00A61991" w:rsidRDefault="009A51D6" w:rsidP="00C47B6A">
      <w:pPr>
        <w:rPr>
          <w:sz w:val="22"/>
          <w:szCs w:val="22"/>
        </w:rPr>
      </w:pPr>
      <w:r w:rsidRPr="00A61991">
        <w:rPr>
          <w:sz w:val="22"/>
          <w:szCs w:val="22"/>
        </w:rPr>
        <w:t>Počas liečby makrolidmi vrátane klaritromycínu bola pozorovaná predĺžená repolarizácia srdca a  interval QT, čo znamená riziko vzniku srdcovej arytmie a </w:t>
      </w:r>
      <w:r w:rsidRPr="00A61991">
        <w:rPr>
          <w:i/>
          <w:sz w:val="22"/>
          <w:szCs w:val="22"/>
        </w:rPr>
        <w:t>torsades de pointes</w:t>
      </w:r>
      <w:r w:rsidRPr="00A61991">
        <w:rPr>
          <w:sz w:val="22"/>
          <w:szCs w:val="22"/>
        </w:rPr>
        <w:t xml:space="preserve"> (pozri časť 4.8). Keďže nasledujúce situácie môžu viesť k zvýšenému riziku ventrikulárnych arytmií (vrátane </w:t>
      </w:r>
      <w:r w:rsidRPr="00A61991">
        <w:rPr>
          <w:i/>
          <w:sz w:val="22"/>
          <w:szCs w:val="22"/>
        </w:rPr>
        <w:t>torsades de pointes</w:t>
      </w:r>
      <w:r w:rsidRPr="00A61991">
        <w:rPr>
          <w:sz w:val="22"/>
          <w:szCs w:val="22"/>
        </w:rPr>
        <w:t>), klaritromycín je potrebné používať s opatrnosťou u nasledujúcich pacientov:</w:t>
      </w:r>
    </w:p>
    <w:p w14:paraId="2FBAACED" w14:textId="77777777" w:rsidR="009F74F8" w:rsidRPr="00A61991" w:rsidRDefault="009F74F8" w:rsidP="00BD2781">
      <w:pPr>
        <w:rPr>
          <w:sz w:val="22"/>
          <w:szCs w:val="22"/>
        </w:rPr>
      </w:pPr>
    </w:p>
    <w:p w14:paraId="2788D78A" w14:textId="77777777" w:rsidR="00B75E91" w:rsidRPr="00A61991" w:rsidRDefault="009A51D6">
      <w:pPr>
        <w:numPr>
          <w:ilvl w:val="3"/>
          <w:numId w:val="5"/>
        </w:numPr>
        <w:tabs>
          <w:tab w:val="clear" w:pos="2520"/>
          <w:tab w:val="num" w:pos="284"/>
        </w:tabs>
        <w:ind w:left="284" w:hanging="284"/>
        <w:rPr>
          <w:sz w:val="22"/>
          <w:szCs w:val="22"/>
        </w:rPr>
      </w:pPr>
      <w:r w:rsidRPr="00A61991">
        <w:rPr>
          <w:sz w:val="22"/>
          <w:szCs w:val="22"/>
        </w:rPr>
        <w:lastRenderedPageBreak/>
        <w:t>Pacienti s ochorením koronárnych artérií, závažnou kardiálnou insuficienciou, poruchami vedenia alebo klinicky relevantnou bradykardiou.</w:t>
      </w:r>
    </w:p>
    <w:p w14:paraId="47C1A1FF" w14:textId="77777777" w:rsidR="00B75E91" w:rsidRPr="00A61991" w:rsidRDefault="009A51D6">
      <w:pPr>
        <w:numPr>
          <w:ilvl w:val="3"/>
          <w:numId w:val="5"/>
        </w:numPr>
        <w:tabs>
          <w:tab w:val="clear" w:pos="2520"/>
          <w:tab w:val="num" w:pos="284"/>
        </w:tabs>
        <w:ind w:left="284" w:hanging="284"/>
        <w:rPr>
          <w:sz w:val="22"/>
          <w:szCs w:val="22"/>
        </w:rPr>
      </w:pPr>
      <w:r w:rsidRPr="00A61991">
        <w:rPr>
          <w:sz w:val="22"/>
          <w:szCs w:val="22"/>
        </w:rPr>
        <w:t>Pacienti s poruchami elektrolytov, ako je hypomagneziémia. Klaritromycín sa nesmie podávať pacientom s hypokaliémiou (pozri časť 4.3).</w:t>
      </w:r>
    </w:p>
    <w:p w14:paraId="6A709DCF" w14:textId="77777777" w:rsidR="00B75E91" w:rsidRPr="00A61991" w:rsidRDefault="009A51D6">
      <w:pPr>
        <w:numPr>
          <w:ilvl w:val="3"/>
          <w:numId w:val="5"/>
        </w:numPr>
        <w:tabs>
          <w:tab w:val="clear" w:pos="2520"/>
          <w:tab w:val="num" w:pos="284"/>
        </w:tabs>
        <w:ind w:left="284" w:hanging="284"/>
        <w:rPr>
          <w:sz w:val="22"/>
          <w:szCs w:val="22"/>
        </w:rPr>
      </w:pPr>
      <w:r w:rsidRPr="00A61991">
        <w:rPr>
          <w:sz w:val="22"/>
          <w:szCs w:val="22"/>
        </w:rPr>
        <w:t>Pacienti, ktorí súbežne užívajú iné lieky spojené s predĺžením intervalu QT (pozri časť 4.5).</w:t>
      </w:r>
    </w:p>
    <w:p w14:paraId="7D62F6CC" w14:textId="77777777" w:rsidR="009F74F8" w:rsidRPr="00A61991" w:rsidRDefault="009A51D6" w:rsidP="008B39C6">
      <w:pPr>
        <w:numPr>
          <w:ilvl w:val="3"/>
          <w:numId w:val="5"/>
        </w:numPr>
        <w:tabs>
          <w:tab w:val="clear" w:pos="2520"/>
          <w:tab w:val="num" w:pos="284"/>
        </w:tabs>
        <w:ind w:left="284" w:hanging="284"/>
        <w:rPr>
          <w:sz w:val="22"/>
          <w:szCs w:val="22"/>
        </w:rPr>
      </w:pPr>
      <w:r w:rsidRPr="00A61991">
        <w:rPr>
          <w:sz w:val="22"/>
          <w:szCs w:val="22"/>
        </w:rPr>
        <w:t>Súbežné podávanie klaritromycínu s astemizolom, cisapridom, pimozidom a terfenadínom je kontraindikované (pozri časť 4.3).</w:t>
      </w:r>
    </w:p>
    <w:p w14:paraId="58A2DFD4" w14:textId="77777777" w:rsidR="00B75E91" w:rsidRPr="00A61991" w:rsidRDefault="009A51D6">
      <w:pPr>
        <w:numPr>
          <w:ilvl w:val="3"/>
          <w:numId w:val="5"/>
        </w:numPr>
        <w:tabs>
          <w:tab w:val="clear" w:pos="2520"/>
          <w:tab w:val="num" w:pos="284"/>
        </w:tabs>
        <w:ind w:left="284" w:hanging="284"/>
        <w:rPr>
          <w:sz w:val="22"/>
          <w:szCs w:val="22"/>
        </w:rPr>
      </w:pPr>
      <w:r w:rsidRPr="00A61991">
        <w:rPr>
          <w:sz w:val="22"/>
          <w:szCs w:val="22"/>
        </w:rPr>
        <w:t>Klaritromycín sa nesmie používať u pacientov s vrodeným alebo zdokumentovaným predĺžením intervalu QT alebo anamnézou ventrikulárnej arytmie (pozri časť 4.3).</w:t>
      </w:r>
    </w:p>
    <w:p w14:paraId="7B719B42" w14:textId="77777777" w:rsidR="008B2037" w:rsidRPr="00A61991" w:rsidRDefault="008B2037">
      <w:pPr>
        <w:rPr>
          <w:rFonts w:eastAsiaTheme="minorHAnsi"/>
          <w:bCs/>
          <w:sz w:val="22"/>
          <w:szCs w:val="22"/>
          <w:lang w:eastAsia="en-US"/>
        </w:rPr>
      </w:pPr>
    </w:p>
    <w:p w14:paraId="505E2B9C" w14:textId="77777777" w:rsidR="008B2037" w:rsidRDefault="009A51D6">
      <w:pPr>
        <w:rPr>
          <w:sz w:val="22"/>
          <w:szCs w:val="22"/>
          <w:u w:val="single"/>
        </w:rPr>
      </w:pPr>
      <w:r w:rsidRPr="00A61991">
        <w:rPr>
          <w:rFonts w:eastAsiaTheme="minorHAnsi"/>
          <w:bCs/>
          <w:sz w:val="22"/>
          <w:szCs w:val="22"/>
          <w:lang w:eastAsia="en-US"/>
        </w:rPr>
        <w:t>Epidemiologické štúdie skúmajúce riziko nežiaducich kardiovaskulárnych účinkov v spojitosti s užívaním makrolidov priniesli rôzne výsledky. Niektoré pozorovacie štúdie však zistili zriedkavé krátkodobé riziko arytmie, infarktu myokardu a kardiovaskulárnej mortality spojené s užívaním makrolidov vrátane klaritromycínu. Pri predpisovaní klaritromycínu je potrebné zohľadnenie týchto zistení vyvážiť prínosmi liečby.</w:t>
      </w:r>
    </w:p>
    <w:p w14:paraId="47BBEA98" w14:textId="77777777" w:rsidR="009F74F8" w:rsidRPr="008166BF" w:rsidRDefault="009F74F8" w:rsidP="00BD2781">
      <w:pPr>
        <w:rPr>
          <w:sz w:val="22"/>
          <w:szCs w:val="22"/>
        </w:rPr>
      </w:pPr>
    </w:p>
    <w:p w14:paraId="0F23AAC7" w14:textId="77777777" w:rsidR="009F74F8" w:rsidRPr="008166BF" w:rsidRDefault="006959C2" w:rsidP="00BD2781">
      <w:pPr>
        <w:rPr>
          <w:sz w:val="22"/>
          <w:szCs w:val="22"/>
        </w:rPr>
      </w:pPr>
      <w:r>
        <w:rPr>
          <w:sz w:val="22"/>
          <w:szCs w:val="22"/>
          <w:u w:val="single"/>
        </w:rPr>
        <w:t>Pneumónia</w:t>
      </w:r>
      <w:r>
        <w:rPr>
          <w:sz w:val="22"/>
          <w:szCs w:val="22"/>
        </w:rPr>
        <w:t xml:space="preserve"> </w:t>
      </w:r>
    </w:p>
    <w:p w14:paraId="665B5ACC" w14:textId="77777777" w:rsidR="009F74F8" w:rsidRPr="008166BF" w:rsidRDefault="006959C2" w:rsidP="00BD2781">
      <w:pPr>
        <w:rPr>
          <w:sz w:val="22"/>
          <w:szCs w:val="22"/>
        </w:rPr>
      </w:pPr>
      <w:r>
        <w:rPr>
          <w:sz w:val="22"/>
          <w:szCs w:val="22"/>
        </w:rPr>
        <w:t xml:space="preserve">Vzhľadom na vznikajúcu rezistenciu baktérie </w:t>
      </w:r>
      <w:r>
        <w:rPr>
          <w:i/>
          <w:sz w:val="22"/>
          <w:szCs w:val="22"/>
        </w:rPr>
        <w:t>Streptococcus pneumoniae</w:t>
      </w:r>
      <w:r>
        <w:rPr>
          <w:sz w:val="22"/>
          <w:szCs w:val="22"/>
        </w:rPr>
        <w:t xml:space="preserve"> na makrolidy je pri predpisovaní klaritromycínu pacientom s pneumóniou získanou v komunite dôležité, aby sa vykonalo testovanie citlivosti. U pacientov s nozokomiálnou pneumóniou sa má klaritromycín používať v kombinácii s ďalšími vhodnými antibiotikami.</w:t>
      </w:r>
    </w:p>
    <w:p w14:paraId="59B74163" w14:textId="77777777" w:rsidR="009F74F8" w:rsidRPr="008166BF" w:rsidRDefault="009F74F8" w:rsidP="00BD2781">
      <w:pPr>
        <w:rPr>
          <w:sz w:val="22"/>
          <w:szCs w:val="22"/>
        </w:rPr>
      </w:pPr>
    </w:p>
    <w:p w14:paraId="665467C7" w14:textId="77777777" w:rsidR="009F74F8" w:rsidRPr="008166BF" w:rsidRDefault="006959C2" w:rsidP="00BD2781">
      <w:pPr>
        <w:rPr>
          <w:sz w:val="22"/>
          <w:szCs w:val="22"/>
        </w:rPr>
      </w:pPr>
      <w:r>
        <w:rPr>
          <w:sz w:val="22"/>
          <w:szCs w:val="22"/>
          <w:u w:val="single"/>
        </w:rPr>
        <w:t>Mierne až stredne závažné infekcie kože a mäkkých tkanív</w:t>
      </w:r>
      <w:r>
        <w:rPr>
          <w:sz w:val="22"/>
          <w:szCs w:val="22"/>
        </w:rPr>
        <w:t xml:space="preserve"> </w:t>
      </w:r>
    </w:p>
    <w:p w14:paraId="4F1E1DF3" w14:textId="77777777" w:rsidR="009F74F8" w:rsidRPr="008166BF" w:rsidRDefault="006959C2" w:rsidP="00BD2781">
      <w:pPr>
        <w:rPr>
          <w:sz w:val="22"/>
          <w:szCs w:val="22"/>
        </w:rPr>
      </w:pPr>
      <w:r>
        <w:rPr>
          <w:sz w:val="22"/>
          <w:szCs w:val="22"/>
        </w:rPr>
        <w:t xml:space="preserve">Tieto infekcie sú najčastejšie spôsobené baktériami </w:t>
      </w:r>
      <w:r>
        <w:rPr>
          <w:i/>
          <w:sz w:val="22"/>
          <w:szCs w:val="22"/>
        </w:rPr>
        <w:t>Staphylococcus aureus</w:t>
      </w:r>
      <w:r>
        <w:rPr>
          <w:sz w:val="22"/>
          <w:szCs w:val="22"/>
        </w:rPr>
        <w:t xml:space="preserve"> a </w:t>
      </w:r>
      <w:r>
        <w:rPr>
          <w:i/>
          <w:sz w:val="22"/>
          <w:szCs w:val="22"/>
        </w:rPr>
        <w:t>Streptococcus pyogenes</w:t>
      </w:r>
      <w:r>
        <w:rPr>
          <w:sz w:val="22"/>
          <w:szCs w:val="22"/>
        </w:rPr>
        <w:t xml:space="preserve">, ktoré môžu byť rezistentné na makrolidy. Preto je potrebné vykonať testovanie citlivosti. V prípade, že sa nemôžu použiť betalaktámové antibiotiká (napr. z dôvodu alergie), liekom prvej voľby môžu byť iné antibiotiká, ako je klindamycín. V súčasnosti sa uvažuje, že makrolidy zohrávajú úlohu len pri niektorých infekciách kože a mäkkých tkanív, ako sú infekcie spôsobené baktériou </w:t>
      </w:r>
      <w:r>
        <w:rPr>
          <w:i/>
          <w:sz w:val="22"/>
          <w:szCs w:val="22"/>
        </w:rPr>
        <w:t>Corynebacterium minutissimum</w:t>
      </w:r>
      <w:r>
        <w:rPr>
          <w:sz w:val="22"/>
          <w:szCs w:val="22"/>
        </w:rPr>
        <w:t>, acne vulgaris a eryzipel a v prípadoch, kedy sa nedá použiť liečba penicilínom.</w:t>
      </w:r>
    </w:p>
    <w:p w14:paraId="516FD941" w14:textId="77777777" w:rsidR="009F74F8" w:rsidRPr="008166BF" w:rsidRDefault="009F74F8" w:rsidP="00BD2781">
      <w:pPr>
        <w:rPr>
          <w:sz w:val="22"/>
          <w:szCs w:val="22"/>
        </w:rPr>
      </w:pPr>
    </w:p>
    <w:p w14:paraId="4AEE749F" w14:textId="77777777" w:rsidR="009F74F8" w:rsidRPr="008166BF" w:rsidRDefault="009A51D6" w:rsidP="00BD2781">
      <w:pPr>
        <w:rPr>
          <w:sz w:val="22"/>
          <w:szCs w:val="22"/>
        </w:rPr>
      </w:pPr>
      <w:r w:rsidRPr="00A61991">
        <w:rPr>
          <w:sz w:val="22"/>
          <w:szCs w:val="22"/>
        </w:rPr>
        <w:t xml:space="preserve">V prípade závažných akútnych reakcií z precitlivenosti, ako sú anafylaxia, </w:t>
      </w:r>
      <w:r w:rsidRPr="00A61991">
        <w:rPr>
          <w:rFonts w:eastAsiaTheme="minorHAnsi"/>
          <w:sz w:val="22"/>
          <w:szCs w:val="22"/>
          <w:lang w:eastAsia="en-US"/>
        </w:rPr>
        <w:t xml:space="preserve">závažné kožné nežiaduce reakcie (SCAR, severe cutaneous adverse reactions) [napr. akútna generalizovaná exantémová pustulóza (AGEP), </w:t>
      </w:r>
      <w:r w:rsidRPr="00A61991">
        <w:rPr>
          <w:sz w:val="22"/>
          <w:szCs w:val="22"/>
        </w:rPr>
        <w:t xml:space="preserve">Stevensov-Johnsonov syndróm, toxická epidermálna nekrolýza a </w:t>
      </w:r>
      <w:r w:rsidRPr="00A61991">
        <w:rPr>
          <w:bCs/>
          <w:sz w:val="22"/>
          <w:szCs w:val="22"/>
        </w:rPr>
        <w:t>lieková</w:t>
      </w:r>
      <w:r w:rsidRPr="00A61991">
        <w:rPr>
          <w:sz w:val="22"/>
          <w:szCs w:val="22"/>
        </w:rPr>
        <w:t xml:space="preserve"> vyrážk</w:t>
      </w:r>
      <w:r w:rsidRPr="00A61991">
        <w:rPr>
          <w:bCs/>
          <w:sz w:val="22"/>
          <w:szCs w:val="22"/>
        </w:rPr>
        <w:t>a</w:t>
      </w:r>
      <w:r w:rsidRPr="00A61991">
        <w:rPr>
          <w:sz w:val="22"/>
          <w:szCs w:val="22"/>
        </w:rPr>
        <w:t xml:space="preserve"> s eozinofíliou a so systémovými príznakmi (DRESS, drug reaction with eosinophilia and systemic symptoms), sa má liečba klaritromycínom okamžite prerušiť a musí sa bezodkladne začať s náležitou liečbou.</w:t>
      </w:r>
    </w:p>
    <w:p w14:paraId="38FCC1B7" w14:textId="77777777" w:rsidR="009F74F8" w:rsidRPr="008166BF" w:rsidRDefault="009F74F8" w:rsidP="00BD2781">
      <w:pPr>
        <w:rPr>
          <w:sz w:val="22"/>
          <w:szCs w:val="22"/>
        </w:rPr>
      </w:pPr>
    </w:p>
    <w:p w14:paraId="53A06E09" w14:textId="77777777" w:rsidR="009F74F8" w:rsidRPr="008166BF" w:rsidRDefault="006959C2" w:rsidP="00BD2781">
      <w:pPr>
        <w:rPr>
          <w:sz w:val="22"/>
          <w:szCs w:val="22"/>
        </w:rPr>
      </w:pPr>
      <w:r>
        <w:rPr>
          <w:sz w:val="22"/>
          <w:szCs w:val="22"/>
        </w:rPr>
        <w:t xml:space="preserve">Klaritromycín sa má používať s opatrnosťou pri jeho súbežnom podávaní s liekmi, ktoré indukujú enzým CYP3A4 (pozri časť 4.5). </w:t>
      </w:r>
    </w:p>
    <w:p w14:paraId="4CAA1FF8" w14:textId="77777777" w:rsidR="009F74F8" w:rsidRPr="008166BF" w:rsidRDefault="009F74F8" w:rsidP="00BD2781">
      <w:pPr>
        <w:rPr>
          <w:sz w:val="22"/>
          <w:szCs w:val="22"/>
        </w:rPr>
      </w:pPr>
    </w:p>
    <w:p w14:paraId="3599389F" w14:textId="77777777" w:rsidR="009F74F8" w:rsidRPr="008166BF" w:rsidRDefault="006959C2" w:rsidP="00BD2781">
      <w:pPr>
        <w:rPr>
          <w:sz w:val="22"/>
          <w:szCs w:val="22"/>
        </w:rPr>
      </w:pPr>
      <w:r>
        <w:rPr>
          <w:sz w:val="22"/>
          <w:szCs w:val="22"/>
          <w:u w:val="single"/>
        </w:rPr>
        <w:t>Inhibítory HMG-CoA reduktázy (statíny)</w:t>
      </w:r>
      <w:r>
        <w:rPr>
          <w:sz w:val="22"/>
          <w:szCs w:val="22"/>
        </w:rPr>
        <w:t xml:space="preserve"> </w:t>
      </w:r>
    </w:p>
    <w:p w14:paraId="521E0932" w14:textId="77777777" w:rsidR="009F74F8" w:rsidRPr="008166BF" w:rsidRDefault="006959C2" w:rsidP="00BD2781">
      <w:pPr>
        <w:rPr>
          <w:sz w:val="22"/>
          <w:szCs w:val="22"/>
        </w:rPr>
      </w:pPr>
      <w:r>
        <w:rPr>
          <w:sz w:val="22"/>
          <w:szCs w:val="22"/>
        </w:rPr>
        <w:t>Súbežné užívanie klaritromycínu s </w:t>
      </w:r>
      <w:bookmarkStart w:id="0" w:name="OLE_LINK2"/>
      <w:r>
        <w:rPr>
          <w:sz w:val="22"/>
          <w:szCs w:val="22"/>
        </w:rPr>
        <w:t>lovastatínom alebo simvastatínom</w:t>
      </w:r>
      <w:bookmarkEnd w:id="0"/>
      <w:r>
        <w:rPr>
          <w:sz w:val="22"/>
          <w:szCs w:val="22"/>
        </w:rPr>
        <w:t xml:space="preserve"> je kontraindikované (pozri časť 4.3). </w:t>
      </w:r>
    </w:p>
    <w:p w14:paraId="6553B068" w14:textId="77777777" w:rsidR="009F74F8" w:rsidRPr="008166BF" w:rsidRDefault="009F74F8" w:rsidP="00BD2781">
      <w:pPr>
        <w:rPr>
          <w:sz w:val="22"/>
          <w:szCs w:val="22"/>
        </w:rPr>
      </w:pPr>
    </w:p>
    <w:p w14:paraId="56A37F8A" w14:textId="77777777" w:rsidR="009F74F8" w:rsidRPr="008166BF" w:rsidRDefault="006959C2" w:rsidP="00BD2781">
      <w:pPr>
        <w:rPr>
          <w:sz w:val="22"/>
          <w:szCs w:val="22"/>
        </w:rPr>
      </w:pPr>
      <w:r>
        <w:rPr>
          <w:sz w:val="22"/>
          <w:szCs w:val="22"/>
        </w:rPr>
        <w:t xml:space="preserve">Pri predpisovaní klaritromycínu s inými statínmi je potrebná opatrnosť. U pacientov súbežne užívajúcich klaritromycín a statíny bola hlásená rabdomyolýza. </w:t>
      </w:r>
    </w:p>
    <w:p w14:paraId="5960B157" w14:textId="77777777" w:rsidR="009F74F8" w:rsidRPr="008166BF" w:rsidRDefault="006959C2" w:rsidP="00BD2781">
      <w:pPr>
        <w:rPr>
          <w:sz w:val="22"/>
          <w:szCs w:val="22"/>
        </w:rPr>
      </w:pPr>
      <w:r>
        <w:rPr>
          <w:sz w:val="22"/>
          <w:szCs w:val="22"/>
        </w:rPr>
        <w:t xml:space="preserve">Pacienti majú byť sledovaní kvôli prejavom a príznakom myopatie. </w:t>
      </w:r>
    </w:p>
    <w:p w14:paraId="6D803922" w14:textId="77777777" w:rsidR="009F74F8" w:rsidRPr="008166BF" w:rsidRDefault="009F74F8" w:rsidP="00BD2781">
      <w:pPr>
        <w:rPr>
          <w:sz w:val="22"/>
          <w:szCs w:val="22"/>
        </w:rPr>
      </w:pPr>
    </w:p>
    <w:p w14:paraId="6B1CC815" w14:textId="77777777" w:rsidR="009F74F8" w:rsidRPr="008166BF" w:rsidRDefault="006959C2" w:rsidP="00BD2781">
      <w:pPr>
        <w:rPr>
          <w:sz w:val="22"/>
          <w:szCs w:val="22"/>
        </w:rPr>
      </w:pPr>
      <w:r>
        <w:rPr>
          <w:sz w:val="22"/>
          <w:szCs w:val="22"/>
        </w:rPr>
        <w:t>V situáciách, kedy je súbežné užívanie klaritromycínu so statínmi nevyhnutné, sa odporúča predpísať najnižšiu registrovanú silu statínu. Môže sa zvážiť použitie statínu, ktorý nie je závislý od metabolizmu sprostredkovaného CYP3A (napr. fluvastatín).</w:t>
      </w:r>
    </w:p>
    <w:p w14:paraId="4A34BBD9" w14:textId="77777777" w:rsidR="009F74F8" w:rsidRPr="008166BF" w:rsidRDefault="009F74F8" w:rsidP="00BD2781">
      <w:pPr>
        <w:rPr>
          <w:sz w:val="22"/>
          <w:szCs w:val="22"/>
        </w:rPr>
      </w:pPr>
    </w:p>
    <w:p w14:paraId="64175529" w14:textId="77777777" w:rsidR="009F74F8" w:rsidRPr="008166BF" w:rsidRDefault="006959C2" w:rsidP="00BD2781">
      <w:pPr>
        <w:rPr>
          <w:sz w:val="22"/>
          <w:szCs w:val="22"/>
        </w:rPr>
      </w:pPr>
      <w:r>
        <w:rPr>
          <w:sz w:val="22"/>
          <w:szCs w:val="22"/>
          <w:u w:val="single"/>
        </w:rPr>
        <w:t>Perorálne hypoglykemiká/inzulín</w:t>
      </w:r>
    </w:p>
    <w:p w14:paraId="6E2B0439" w14:textId="77777777" w:rsidR="009F74F8" w:rsidRPr="008166BF" w:rsidRDefault="006959C2" w:rsidP="00BD2781">
      <w:pPr>
        <w:rPr>
          <w:sz w:val="22"/>
          <w:szCs w:val="22"/>
        </w:rPr>
      </w:pPr>
      <w:r>
        <w:rPr>
          <w:sz w:val="22"/>
          <w:szCs w:val="22"/>
        </w:rPr>
        <w:t xml:space="preserve">Súbežné užívanie klaritromycínu a perorálnych hypoglykemík (ako sulfonylmočovina) a/alebo inzulínu môže spôsobiť výraznú hypoglykémiu. </w:t>
      </w:r>
    </w:p>
    <w:p w14:paraId="034DE1FE" w14:textId="77777777" w:rsidR="009F74F8" w:rsidRPr="008166BF" w:rsidRDefault="006959C2" w:rsidP="00BD2781">
      <w:pPr>
        <w:rPr>
          <w:sz w:val="22"/>
          <w:szCs w:val="22"/>
        </w:rPr>
      </w:pPr>
      <w:r>
        <w:rPr>
          <w:sz w:val="22"/>
          <w:szCs w:val="22"/>
        </w:rPr>
        <w:lastRenderedPageBreak/>
        <w:t>Odporúča sa dôkladné sledovanie glukózy (pozri časť 4.5).</w:t>
      </w:r>
    </w:p>
    <w:p w14:paraId="5DE3744F" w14:textId="77777777" w:rsidR="009F74F8" w:rsidRPr="008166BF" w:rsidRDefault="009F74F8" w:rsidP="00BD2781">
      <w:pPr>
        <w:rPr>
          <w:sz w:val="22"/>
          <w:szCs w:val="22"/>
        </w:rPr>
      </w:pPr>
    </w:p>
    <w:p w14:paraId="79F1ECE4" w14:textId="77777777" w:rsidR="009F74F8" w:rsidRPr="008166BF" w:rsidRDefault="006959C2" w:rsidP="00BD2781">
      <w:pPr>
        <w:rPr>
          <w:sz w:val="22"/>
          <w:szCs w:val="22"/>
        </w:rPr>
      </w:pPr>
      <w:r>
        <w:rPr>
          <w:sz w:val="22"/>
          <w:szCs w:val="22"/>
          <w:u w:val="single"/>
        </w:rPr>
        <w:t>Perorálne antikoagulanciá</w:t>
      </w:r>
      <w:r>
        <w:rPr>
          <w:sz w:val="22"/>
          <w:szCs w:val="22"/>
        </w:rPr>
        <w:t xml:space="preserve"> </w:t>
      </w:r>
    </w:p>
    <w:p w14:paraId="5119D0C7" w14:textId="77777777" w:rsidR="009F74F8" w:rsidRPr="008166BF" w:rsidRDefault="006959C2" w:rsidP="00BD2781">
      <w:pPr>
        <w:rPr>
          <w:sz w:val="22"/>
          <w:szCs w:val="22"/>
        </w:rPr>
      </w:pPr>
      <w:r>
        <w:rPr>
          <w:sz w:val="22"/>
          <w:szCs w:val="22"/>
        </w:rPr>
        <w:t xml:space="preserve">Pri súbežnom podávaní klaritromycínu s warfarínom existuje riziko závažnej hemorágie a výrazného zvýšenia INR (International Normalized Ratio) a protrombínového času (pozri časť 4.5). Pokiaľ pacienti súbežne užívajú klaritromycín a perorálne antikoagulanciá, INR a protrombínový čas sa majú pravidelne sledovať. </w:t>
      </w:r>
    </w:p>
    <w:p w14:paraId="666B3623" w14:textId="77777777" w:rsidR="009F74F8" w:rsidRPr="008166BF" w:rsidRDefault="009F74F8" w:rsidP="00A45A5D">
      <w:pPr>
        <w:rPr>
          <w:sz w:val="22"/>
          <w:szCs w:val="22"/>
        </w:rPr>
      </w:pPr>
    </w:p>
    <w:p w14:paraId="3A08C05F" w14:textId="77777777" w:rsidR="00674593" w:rsidRDefault="00674593" w:rsidP="00674593">
      <w:pPr>
        <w:pStyle w:val="TableText"/>
        <w:rPr>
          <w:rFonts w:ascii="Times New Roman" w:hAnsi="Times New Roman"/>
          <w:sz w:val="22"/>
          <w:szCs w:val="22"/>
          <w:lang w:val="sk-SK"/>
        </w:rPr>
      </w:pPr>
      <w:r>
        <w:rPr>
          <w:rStyle w:val="hps"/>
          <w:rFonts w:ascii="Times New Roman" w:hAnsi="Times New Roman"/>
          <w:sz w:val="22"/>
          <w:szCs w:val="22"/>
          <w:lang w:val="sk-SK"/>
        </w:rPr>
        <w:t>Liečba</w:t>
      </w:r>
      <w:r>
        <w:rPr>
          <w:rFonts w:ascii="Times New Roman" w:hAnsi="Times New Roman"/>
          <w:sz w:val="22"/>
          <w:szCs w:val="22"/>
          <w:lang w:val="sk-SK"/>
        </w:rPr>
        <w:t xml:space="preserve"> </w:t>
      </w:r>
      <w:r>
        <w:rPr>
          <w:rStyle w:val="hps"/>
          <w:rFonts w:ascii="Times New Roman" w:hAnsi="Times New Roman"/>
          <w:sz w:val="22"/>
          <w:szCs w:val="22"/>
          <w:lang w:val="sk-SK"/>
        </w:rPr>
        <w:t>infekcie</w:t>
      </w:r>
      <w:r>
        <w:rPr>
          <w:rFonts w:ascii="Times New Roman" w:hAnsi="Times New Roman"/>
          <w:sz w:val="22"/>
          <w:szCs w:val="22"/>
          <w:lang w:val="sk-SK"/>
        </w:rPr>
        <w:t xml:space="preserve"> </w:t>
      </w:r>
      <w:r>
        <w:rPr>
          <w:rStyle w:val="hps"/>
          <w:rFonts w:ascii="Times New Roman" w:hAnsi="Times New Roman"/>
          <w:sz w:val="22"/>
          <w:szCs w:val="22"/>
          <w:lang w:val="sk-SK"/>
        </w:rPr>
        <w:t>spôsobenej</w:t>
      </w:r>
      <w:r>
        <w:rPr>
          <w:rFonts w:ascii="Times New Roman" w:hAnsi="Times New Roman"/>
          <w:sz w:val="22"/>
          <w:szCs w:val="22"/>
          <w:lang w:val="sk-SK"/>
        </w:rPr>
        <w:t xml:space="preserve"> </w:t>
      </w:r>
      <w:r>
        <w:rPr>
          <w:rStyle w:val="hps"/>
          <w:rFonts w:ascii="Times New Roman" w:hAnsi="Times New Roman"/>
          <w:i/>
          <w:sz w:val="22"/>
          <w:szCs w:val="22"/>
          <w:lang w:val="sk-SK"/>
        </w:rPr>
        <w:t>H. pylori</w:t>
      </w:r>
      <w:r>
        <w:rPr>
          <w:rStyle w:val="hps"/>
          <w:rFonts w:ascii="Times New Roman" w:hAnsi="Times New Roman"/>
          <w:sz w:val="22"/>
          <w:szCs w:val="22"/>
          <w:lang w:val="sk-SK"/>
        </w:rPr>
        <w:t xml:space="preserve"> akýmikoľvek</w:t>
      </w:r>
      <w:r>
        <w:rPr>
          <w:rFonts w:ascii="Times New Roman" w:hAnsi="Times New Roman"/>
          <w:sz w:val="22"/>
          <w:szCs w:val="22"/>
          <w:lang w:val="sk-SK"/>
        </w:rPr>
        <w:t xml:space="preserve"> </w:t>
      </w:r>
      <w:r>
        <w:rPr>
          <w:rStyle w:val="hps"/>
          <w:rFonts w:ascii="Times New Roman" w:hAnsi="Times New Roman"/>
          <w:sz w:val="22"/>
          <w:szCs w:val="22"/>
          <w:lang w:val="sk-SK"/>
        </w:rPr>
        <w:t>antimikrobiálnymi</w:t>
      </w:r>
      <w:r>
        <w:rPr>
          <w:rFonts w:ascii="Times New Roman" w:hAnsi="Times New Roman"/>
          <w:sz w:val="22"/>
          <w:szCs w:val="22"/>
          <w:lang w:val="sk-SK"/>
        </w:rPr>
        <w:t xml:space="preserve"> </w:t>
      </w:r>
      <w:r>
        <w:rPr>
          <w:rStyle w:val="hps"/>
          <w:rFonts w:ascii="Times New Roman" w:hAnsi="Times New Roman"/>
          <w:sz w:val="22"/>
          <w:szCs w:val="22"/>
          <w:lang w:val="sk-SK"/>
        </w:rPr>
        <w:t>liečivami,</w:t>
      </w:r>
      <w:r>
        <w:rPr>
          <w:rFonts w:ascii="Times New Roman" w:hAnsi="Times New Roman"/>
          <w:sz w:val="22"/>
          <w:szCs w:val="22"/>
          <w:lang w:val="sk-SK"/>
        </w:rPr>
        <w:t xml:space="preserve"> </w:t>
      </w:r>
      <w:r>
        <w:rPr>
          <w:rStyle w:val="hps"/>
          <w:rFonts w:ascii="Times New Roman" w:hAnsi="Times New Roman"/>
          <w:sz w:val="22"/>
          <w:szCs w:val="22"/>
          <w:lang w:val="sk-SK"/>
        </w:rPr>
        <w:t>ako</w:t>
      </w:r>
      <w:r>
        <w:rPr>
          <w:rFonts w:ascii="Times New Roman" w:hAnsi="Times New Roman"/>
          <w:sz w:val="22"/>
          <w:szCs w:val="22"/>
          <w:lang w:val="sk-SK"/>
        </w:rPr>
        <w:t xml:space="preserve"> je </w:t>
      </w:r>
      <w:r>
        <w:rPr>
          <w:rStyle w:val="hps"/>
          <w:rFonts w:ascii="Times New Roman" w:hAnsi="Times New Roman"/>
          <w:sz w:val="22"/>
          <w:szCs w:val="22"/>
          <w:lang w:val="sk-SK"/>
        </w:rPr>
        <w:t>napr.</w:t>
      </w:r>
      <w:r>
        <w:rPr>
          <w:rFonts w:ascii="Times New Roman" w:hAnsi="Times New Roman"/>
          <w:sz w:val="22"/>
          <w:szCs w:val="22"/>
          <w:lang w:val="sk-SK"/>
        </w:rPr>
        <w:t xml:space="preserve"> </w:t>
      </w:r>
      <w:r>
        <w:rPr>
          <w:rStyle w:val="hps"/>
          <w:rFonts w:ascii="Times New Roman" w:hAnsi="Times New Roman"/>
          <w:sz w:val="22"/>
          <w:szCs w:val="22"/>
          <w:lang w:val="sk-SK"/>
        </w:rPr>
        <w:t>klaritromycín</w:t>
      </w:r>
      <w:r>
        <w:rPr>
          <w:rFonts w:ascii="Times New Roman" w:hAnsi="Times New Roman"/>
          <w:sz w:val="22"/>
          <w:szCs w:val="22"/>
          <w:lang w:val="sk-SK"/>
        </w:rPr>
        <w:t>, môže spôsobiť vývin mikroorganizmov rezistentných na liečivo.</w:t>
      </w:r>
    </w:p>
    <w:p w14:paraId="7CC8C650" w14:textId="77777777" w:rsidR="00674593" w:rsidRDefault="00674593" w:rsidP="007A444B">
      <w:pPr>
        <w:rPr>
          <w:sz w:val="22"/>
          <w:szCs w:val="22"/>
        </w:rPr>
      </w:pPr>
    </w:p>
    <w:p w14:paraId="3D6CE80B" w14:textId="77777777" w:rsidR="009F74F8" w:rsidRPr="008166BF" w:rsidRDefault="006959C2" w:rsidP="007A444B">
      <w:pPr>
        <w:rPr>
          <w:sz w:val="22"/>
          <w:szCs w:val="22"/>
        </w:rPr>
      </w:pPr>
      <w:r>
        <w:rPr>
          <w:sz w:val="22"/>
          <w:szCs w:val="22"/>
        </w:rPr>
        <w:t xml:space="preserve">Dlhodobé užívanie môže podobne ako pri iných antibiotikách viesť k premnoženiu necitlivých baktérií a plesní. Ak sa objaví superinfekcia, má sa začať vhodná liečba. </w:t>
      </w:r>
    </w:p>
    <w:p w14:paraId="160EC6F0" w14:textId="77777777" w:rsidR="009F74F8" w:rsidRPr="008166BF" w:rsidRDefault="009F74F8" w:rsidP="007A444B">
      <w:pPr>
        <w:rPr>
          <w:sz w:val="22"/>
          <w:szCs w:val="22"/>
        </w:rPr>
      </w:pPr>
    </w:p>
    <w:p w14:paraId="4FF2AFF7" w14:textId="77777777" w:rsidR="009F74F8" w:rsidRPr="008166BF" w:rsidRDefault="006959C2" w:rsidP="0007335C">
      <w:pPr>
        <w:rPr>
          <w:sz w:val="22"/>
          <w:szCs w:val="22"/>
        </w:rPr>
      </w:pPr>
      <w:r>
        <w:rPr>
          <w:sz w:val="22"/>
          <w:szCs w:val="22"/>
        </w:rPr>
        <w:t xml:space="preserve">Pozornosť treba venovať možnej skríženej rezistencii medzi klaritromycínom a inými makrolidmi, ako aj linkomycínom alebo klindamycínom. </w:t>
      </w:r>
    </w:p>
    <w:p w14:paraId="2C557B36" w14:textId="77777777" w:rsidR="009F74F8" w:rsidRPr="008166BF" w:rsidRDefault="009F74F8">
      <w:pPr>
        <w:rPr>
          <w:sz w:val="22"/>
          <w:szCs w:val="22"/>
        </w:rPr>
      </w:pPr>
    </w:p>
    <w:p w14:paraId="66649058" w14:textId="77777777" w:rsidR="009F74F8" w:rsidRPr="008166BF" w:rsidRDefault="006959C2" w:rsidP="00E80E68">
      <w:pPr>
        <w:numPr>
          <w:ilvl w:val="1"/>
          <w:numId w:val="22"/>
        </w:numPr>
        <w:tabs>
          <w:tab w:val="clear" w:pos="360"/>
          <w:tab w:val="num" w:pos="-540"/>
        </w:tabs>
        <w:ind w:left="540" w:hanging="540"/>
        <w:rPr>
          <w:b/>
          <w:bCs/>
          <w:sz w:val="22"/>
          <w:szCs w:val="22"/>
        </w:rPr>
      </w:pPr>
      <w:r>
        <w:rPr>
          <w:b/>
          <w:bCs/>
          <w:sz w:val="22"/>
          <w:szCs w:val="22"/>
        </w:rPr>
        <w:t>Liekové a iné interakcie</w:t>
      </w:r>
    </w:p>
    <w:p w14:paraId="3B0275FB" w14:textId="77777777" w:rsidR="009F74F8" w:rsidRPr="008166BF" w:rsidRDefault="009F74F8" w:rsidP="00E6015E">
      <w:pPr>
        <w:rPr>
          <w:b/>
          <w:bCs/>
          <w:sz w:val="22"/>
          <w:szCs w:val="22"/>
        </w:rPr>
      </w:pPr>
    </w:p>
    <w:p w14:paraId="6874FB3E" w14:textId="77777777" w:rsidR="009F74F8" w:rsidRPr="008166BF" w:rsidRDefault="006959C2" w:rsidP="000E3B4D">
      <w:pPr>
        <w:pStyle w:val="Zkladntext"/>
        <w:suppressAutoHyphens/>
        <w:rPr>
          <w:b/>
          <w:sz w:val="22"/>
          <w:szCs w:val="22"/>
        </w:rPr>
      </w:pPr>
      <w:r>
        <w:rPr>
          <w:b/>
          <w:sz w:val="22"/>
          <w:szCs w:val="22"/>
        </w:rPr>
        <w:t>Užívanie nasledujúcich liekov je prísne kontraindikované kvôli možnému vzniku závažných liekových interakcií:</w:t>
      </w:r>
    </w:p>
    <w:p w14:paraId="6AD76A4A" w14:textId="77777777" w:rsidR="009F74F8" w:rsidRPr="008166BF" w:rsidRDefault="009F74F8" w:rsidP="000E3B4D">
      <w:pPr>
        <w:pStyle w:val="Zkladntext"/>
        <w:suppressAutoHyphens/>
        <w:ind w:left="567" w:hanging="567"/>
        <w:jc w:val="both"/>
        <w:rPr>
          <w:sz w:val="22"/>
          <w:szCs w:val="22"/>
        </w:rPr>
      </w:pPr>
    </w:p>
    <w:p w14:paraId="651580E2" w14:textId="32B19ABC" w:rsidR="009F74F8" w:rsidRPr="008166BF" w:rsidRDefault="00674593" w:rsidP="000E3B4D">
      <w:pPr>
        <w:pStyle w:val="Zkladntext"/>
        <w:suppressAutoHyphens/>
        <w:ind w:left="567" w:hanging="567"/>
        <w:jc w:val="both"/>
        <w:rPr>
          <w:sz w:val="22"/>
          <w:szCs w:val="22"/>
          <w:u w:val="single"/>
        </w:rPr>
      </w:pPr>
      <w:r>
        <w:rPr>
          <w:sz w:val="22"/>
          <w:szCs w:val="22"/>
          <w:u w:val="single"/>
        </w:rPr>
        <w:t>Astemizol, c</w:t>
      </w:r>
      <w:r w:rsidR="006959C2">
        <w:rPr>
          <w:sz w:val="22"/>
          <w:szCs w:val="22"/>
          <w:u w:val="single"/>
        </w:rPr>
        <w:t xml:space="preserve">isaprid, </w:t>
      </w:r>
      <w:r>
        <w:rPr>
          <w:sz w:val="22"/>
          <w:szCs w:val="22"/>
          <w:u w:val="single"/>
        </w:rPr>
        <w:t xml:space="preserve">domperidón, </w:t>
      </w:r>
      <w:r w:rsidR="006959C2">
        <w:rPr>
          <w:sz w:val="22"/>
          <w:szCs w:val="22"/>
          <w:u w:val="single"/>
        </w:rPr>
        <w:t>pimozid a terfenadín</w:t>
      </w:r>
    </w:p>
    <w:p w14:paraId="04FE3C71" w14:textId="77777777" w:rsidR="009F74F8" w:rsidRPr="008166BF" w:rsidRDefault="006959C2" w:rsidP="000E3B4D">
      <w:pPr>
        <w:pStyle w:val="Zkladntext"/>
        <w:suppressAutoHyphens/>
        <w:rPr>
          <w:sz w:val="22"/>
          <w:szCs w:val="22"/>
        </w:rPr>
      </w:pPr>
      <w:r>
        <w:rPr>
          <w:sz w:val="22"/>
          <w:szCs w:val="22"/>
        </w:rPr>
        <w:t>U pacientov súbežne užívajúcich klaritromycín s cisapridom sa zaznamenali zvýšené hladiny cisapridu. Môže to viesť k predĺženiu QT intervalu a srdcovým arytmiám vrátane ventrikulárnej tachykardie, ventrikulárnej fibrilácie a </w:t>
      </w:r>
      <w:r>
        <w:rPr>
          <w:i/>
          <w:sz w:val="22"/>
          <w:szCs w:val="22"/>
        </w:rPr>
        <w:t>torsades de pointes</w:t>
      </w:r>
      <w:r>
        <w:rPr>
          <w:sz w:val="22"/>
          <w:szCs w:val="22"/>
        </w:rPr>
        <w:t>. Podobné účinky boli pozorované u pacientov užívajúcich klaritromycín súbežne s pimozidom (pozri časť 4.3).</w:t>
      </w:r>
    </w:p>
    <w:p w14:paraId="28616277" w14:textId="77777777" w:rsidR="009F74F8" w:rsidRPr="008166BF" w:rsidRDefault="009F74F8" w:rsidP="000E3B4D">
      <w:pPr>
        <w:pStyle w:val="Zkladntext"/>
        <w:suppressAutoHyphens/>
        <w:rPr>
          <w:sz w:val="22"/>
          <w:szCs w:val="22"/>
        </w:rPr>
      </w:pPr>
    </w:p>
    <w:p w14:paraId="3B0B3789" w14:textId="77777777" w:rsidR="009F74F8" w:rsidRPr="008166BF" w:rsidRDefault="006959C2" w:rsidP="000E3B4D">
      <w:pPr>
        <w:pStyle w:val="Zkladntext"/>
        <w:suppressAutoHyphens/>
        <w:rPr>
          <w:sz w:val="22"/>
          <w:szCs w:val="22"/>
        </w:rPr>
      </w:pPr>
      <w:r>
        <w:rPr>
          <w:sz w:val="22"/>
          <w:szCs w:val="22"/>
        </w:rPr>
        <w:t>Zaznamenalo sa, že makrolidy ovplyvňujú metabolizmus terfenadínu, čo vedie k zvýšeniu hladín terfenadínu. Ojedinele sa to spájalo s výskytom srdcových arytmií, ako je predĺženie QT intervalu, ventrikulárnej tachykardie, ventrikulárnej fibrilácie a </w:t>
      </w:r>
      <w:r>
        <w:rPr>
          <w:i/>
          <w:sz w:val="22"/>
          <w:szCs w:val="22"/>
        </w:rPr>
        <w:t>torsades de pointes</w:t>
      </w:r>
      <w:r>
        <w:rPr>
          <w:sz w:val="22"/>
          <w:szCs w:val="22"/>
        </w:rPr>
        <w:t xml:space="preserve"> (pozri časť 4.3). V jednom skúšaní so 14 zdravými dobrovoľníkmi viedlo súbežné podávanie klaritromycínu s terfenadínom k dvoj- až trojnásobnému nárastu sérových hladín kyslého metabolitu terfenadínu a k predĺženiu QT intervalu, čo nemalo za následok žiadny klinicky zistiteľný účinok. Podobné účinky sa pozorovali pri súbežnom podávaní astemizolu s inými makrolidmi.</w:t>
      </w:r>
    </w:p>
    <w:p w14:paraId="385E6779" w14:textId="77777777" w:rsidR="009F74F8" w:rsidRPr="008166BF" w:rsidRDefault="009F74F8" w:rsidP="000E3B4D">
      <w:pPr>
        <w:pStyle w:val="Zkladntext"/>
        <w:suppressAutoHyphens/>
        <w:ind w:left="567" w:hanging="567"/>
        <w:rPr>
          <w:sz w:val="22"/>
          <w:szCs w:val="22"/>
        </w:rPr>
      </w:pPr>
    </w:p>
    <w:p w14:paraId="18B46B98" w14:textId="77777777" w:rsidR="009F74F8" w:rsidRPr="008166BF" w:rsidRDefault="006959C2" w:rsidP="000E3B4D">
      <w:pPr>
        <w:pStyle w:val="Zkladntext"/>
        <w:suppressAutoHyphens/>
        <w:rPr>
          <w:sz w:val="22"/>
          <w:szCs w:val="22"/>
          <w:u w:val="single"/>
        </w:rPr>
      </w:pPr>
      <w:r>
        <w:rPr>
          <w:sz w:val="22"/>
          <w:szCs w:val="22"/>
          <w:u w:val="single"/>
        </w:rPr>
        <w:t>Ergot</w:t>
      </w:r>
      <w:r w:rsidR="00C71D90">
        <w:rPr>
          <w:sz w:val="22"/>
          <w:szCs w:val="22"/>
          <w:u w:val="single"/>
        </w:rPr>
        <w:t>amín/dihydroergotamín</w:t>
      </w:r>
    </w:p>
    <w:p w14:paraId="5C906981" w14:textId="77777777" w:rsidR="009F74F8" w:rsidRPr="008166BF" w:rsidRDefault="006959C2" w:rsidP="000E3B4D">
      <w:pPr>
        <w:pStyle w:val="Zkladntext"/>
        <w:suppressAutoHyphens/>
        <w:rPr>
          <w:sz w:val="22"/>
          <w:szCs w:val="22"/>
        </w:rPr>
      </w:pPr>
      <w:r>
        <w:rPr>
          <w:sz w:val="22"/>
          <w:szCs w:val="22"/>
        </w:rPr>
        <w:t>Hlásenia po uvedení lieku na trh naznačujú, že súbežné podávanie klaritromycínu s ergotamínom alebo dihydroergotamínom sa spájalo s akútnou ergotovou toxicitou charakterizovanou vazospazmom a ischémiou končatín a iných tkanív vrátane centrálneho nervového systému. Súbežné podávanie klaritromycínu a týchto ergotových alkaloidov je kontraindikované (pozri časť 4.3).</w:t>
      </w:r>
    </w:p>
    <w:p w14:paraId="2B2C580D" w14:textId="77777777" w:rsidR="005E631E" w:rsidRPr="008166BF" w:rsidRDefault="005E631E" w:rsidP="000E3B4D">
      <w:pPr>
        <w:pStyle w:val="Zkladntext"/>
        <w:suppressAutoHyphens/>
        <w:rPr>
          <w:sz w:val="22"/>
          <w:szCs w:val="22"/>
        </w:rPr>
      </w:pPr>
    </w:p>
    <w:p w14:paraId="5F3AAA8F" w14:textId="77777777" w:rsidR="005E631E" w:rsidRPr="008166BF" w:rsidRDefault="009A51D6" w:rsidP="000E3B4D">
      <w:pPr>
        <w:pStyle w:val="Zkladntext"/>
        <w:suppressAutoHyphens/>
        <w:rPr>
          <w:sz w:val="22"/>
          <w:szCs w:val="22"/>
          <w:u w:val="single"/>
        </w:rPr>
      </w:pPr>
      <w:r w:rsidRPr="009A51D6">
        <w:rPr>
          <w:sz w:val="22"/>
          <w:szCs w:val="22"/>
          <w:u w:val="single"/>
        </w:rPr>
        <w:t>Perorálny midazolam</w:t>
      </w:r>
    </w:p>
    <w:p w14:paraId="68AE26DC" w14:textId="77777777" w:rsidR="005E631E" w:rsidRPr="008166BF" w:rsidRDefault="005E631E" w:rsidP="000E3B4D">
      <w:pPr>
        <w:pStyle w:val="Zkladntext"/>
        <w:suppressAutoHyphens/>
        <w:rPr>
          <w:sz w:val="22"/>
          <w:szCs w:val="22"/>
        </w:rPr>
      </w:pPr>
      <w:r w:rsidRPr="008166BF">
        <w:rPr>
          <w:sz w:val="22"/>
          <w:szCs w:val="22"/>
        </w:rPr>
        <w:t>Pri súbežnom podávaní midazolamu s</w:t>
      </w:r>
      <w:r w:rsidR="006959C2">
        <w:rPr>
          <w:sz w:val="22"/>
          <w:szCs w:val="22"/>
        </w:rPr>
        <w:t> tabletami klaritromycínu (500 mg dvakrát denne) sa AUC midazolamu 7-násobne zvýšila po perorálnom podaní midazolamu. Súbežné podávanie perorálneho midazolamu a klaritromycínu je kontraindikované</w:t>
      </w:r>
      <w:r w:rsidR="00674593">
        <w:rPr>
          <w:sz w:val="22"/>
          <w:szCs w:val="22"/>
        </w:rPr>
        <w:t xml:space="preserve"> (pozri časť 4.3)</w:t>
      </w:r>
      <w:r w:rsidR="006959C2">
        <w:rPr>
          <w:sz w:val="22"/>
          <w:szCs w:val="22"/>
        </w:rPr>
        <w:t>.</w:t>
      </w:r>
    </w:p>
    <w:p w14:paraId="7C15A9DF" w14:textId="77777777" w:rsidR="005E631E" w:rsidRPr="008166BF" w:rsidRDefault="005E631E" w:rsidP="000E3B4D">
      <w:pPr>
        <w:pStyle w:val="Zkladntext"/>
        <w:suppressAutoHyphens/>
        <w:rPr>
          <w:sz w:val="22"/>
          <w:szCs w:val="22"/>
        </w:rPr>
      </w:pPr>
    </w:p>
    <w:p w14:paraId="6622DC0D" w14:textId="77777777" w:rsidR="009F74F8" w:rsidRPr="008166BF" w:rsidRDefault="006959C2" w:rsidP="00C221E9">
      <w:pPr>
        <w:pStyle w:val="Zkladntext"/>
        <w:suppressAutoHyphens/>
        <w:rPr>
          <w:sz w:val="22"/>
          <w:szCs w:val="22"/>
        </w:rPr>
      </w:pPr>
      <w:r>
        <w:rPr>
          <w:sz w:val="22"/>
          <w:szCs w:val="22"/>
          <w:u w:val="single"/>
        </w:rPr>
        <w:t>Inhibítory HMG-CoA reduktázy (statíny)</w:t>
      </w:r>
    </w:p>
    <w:p w14:paraId="6260CB4B" w14:textId="77777777" w:rsidR="009F74F8" w:rsidRPr="008166BF" w:rsidRDefault="006959C2" w:rsidP="00C221E9">
      <w:pPr>
        <w:pStyle w:val="Zkladntext"/>
        <w:suppressAutoHyphens/>
        <w:rPr>
          <w:sz w:val="22"/>
          <w:szCs w:val="22"/>
        </w:rPr>
      </w:pPr>
      <w:r>
        <w:rPr>
          <w:sz w:val="22"/>
          <w:szCs w:val="22"/>
        </w:rPr>
        <w:t>Súbežné užívanie klaritromycínu s lovastatínom alebo simvastatínom je kontraindikované (pozri časť 4.3), pretože tieto statíny sa v značnej miere metabolizujú CYP3A4 a súbežná liečba s klaritromycínom zvyšuje ich plazmatickú koncentráciu, čo zvyšuje riziko myopatie, vrátane rabdomyolýzy. Boli hlásené prípady rabdomyolýzy u pacientov užívajúcich klaritromycín súbežne s týmito statínmi. Ak je liečba klaritromycínom nevyhnutná, musí sa počas nej prerušiť liečba lovastatínom alebo simvastatínom.</w:t>
      </w:r>
    </w:p>
    <w:p w14:paraId="3663DDA7" w14:textId="77777777" w:rsidR="009F74F8" w:rsidRPr="008166BF" w:rsidRDefault="009F74F8" w:rsidP="00426D10">
      <w:pPr>
        <w:rPr>
          <w:sz w:val="22"/>
          <w:szCs w:val="22"/>
        </w:rPr>
      </w:pPr>
    </w:p>
    <w:p w14:paraId="303B2E9A" w14:textId="77777777" w:rsidR="009F74F8" w:rsidRPr="008166BF" w:rsidRDefault="006959C2" w:rsidP="00426D10">
      <w:pPr>
        <w:rPr>
          <w:sz w:val="22"/>
          <w:szCs w:val="22"/>
        </w:rPr>
      </w:pPr>
      <w:r>
        <w:rPr>
          <w:sz w:val="22"/>
          <w:szCs w:val="22"/>
        </w:rPr>
        <w:lastRenderedPageBreak/>
        <w:t>Pri predpisovaní klaritromycínu so statínmi je potrebná opatrnosť. V situáciách, kedy je súbežné užívanie klaritromycínu so statínmi nevyhnutné, sa odporúča predpísať najnižšiu registrovanú silu statínu. Môže sa zvážiť použitie statínu, ktorý nie je závislý od metabolizmu sprostredkovaného CYP3A (napr. fluvastatín). Pacienti majú byť sledovaní kvôli prejavom a príznakom myopatie.</w:t>
      </w:r>
    </w:p>
    <w:p w14:paraId="6977A91A" w14:textId="77777777" w:rsidR="009F74F8" w:rsidRPr="008166BF" w:rsidRDefault="009F74F8" w:rsidP="00C221E9">
      <w:pPr>
        <w:pStyle w:val="Zkladntext"/>
        <w:suppressAutoHyphens/>
        <w:rPr>
          <w:b/>
          <w:sz w:val="22"/>
          <w:szCs w:val="22"/>
        </w:rPr>
      </w:pPr>
    </w:p>
    <w:p w14:paraId="2E9F3E83" w14:textId="77777777" w:rsidR="009F74F8" w:rsidRPr="008166BF" w:rsidRDefault="006959C2" w:rsidP="00AE5A83">
      <w:pPr>
        <w:pStyle w:val="Zkladntext"/>
        <w:suppressAutoHyphens/>
        <w:rPr>
          <w:b/>
          <w:sz w:val="22"/>
          <w:szCs w:val="22"/>
        </w:rPr>
      </w:pPr>
      <w:r>
        <w:rPr>
          <w:b/>
          <w:sz w:val="22"/>
          <w:szCs w:val="22"/>
        </w:rPr>
        <w:t>Účinky iných liekov na klaritromycín</w:t>
      </w:r>
    </w:p>
    <w:p w14:paraId="2E2DE8EE" w14:textId="77777777" w:rsidR="009F74F8" w:rsidRPr="008166BF" w:rsidRDefault="009F74F8" w:rsidP="00AE5A83">
      <w:pPr>
        <w:pStyle w:val="Zkladntext"/>
        <w:suppressAutoHyphens/>
        <w:rPr>
          <w:sz w:val="22"/>
          <w:szCs w:val="22"/>
        </w:rPr>
      </w:pPr>
    </w:p>
    <w:p w14:paraId="324DB4EC" w14:textId="77777777" w:rsidR="009F74F8" w:rsidRPr="008166BF" w:rsidRDefault="006959C2" w:rsidP="00AE5A83">
      <w:pPr>
        <w:pStyle w:val="Zkladntext"/>
        <w:suppressAutoHyphens/>
        <w:rPr>
          <w:sz w:val="22"/>
          <w:szCs w:val="22"/>
        </w:rPr>
      </w:pPr>
      <w:r>
        <w:rPr>
          <w:sz w:val="22"/>
          <w:szCs w:val="22"/>
        </w:rPr>
        <w:t>Liečivá, ktoré indukujú enzým CYP3A (napr. rifampicín, fenytoín, karbamazepín, fenobarbital, ľubovník bodkovaný), môžu indukovať metabolizmus klaritromycínu. Môže to viesť k subterapeutickým hladinám klaritromycínu spôsobujúcim zníženie účinnosti. Okrem toho môže byť potrebné sledovať plazmatické hladiny induktora CYP3A, ktoré môžu byť zvýšené vďaka inhibícii enzýmu CYP3A klaritromycínom (pozri tiež súhrny charakteristických vlastností podávaných inhibítorov CYP3A4). Súbežné podávanie rifabutínu a klaritromycínu spôsobilo zvýšenie sérovej hladiny rifabutínu a zníženie sérovej hladiny klaritromycínu spolu so zvýšeným rizikom uveitídy.</w:t>
      </w:r>
    </w:p>
    <w:p w14:paraId="6A229FFE" w14:textId="77777777" w:rsidR="009F74F8" w:rsidRPr="008166BF" w:rsidRDefault="009F74F8" w:rsidP="00AE5A83">
      <w:pPr>
        <w:pStyle w:val="Zkladntext"/>
        <w:suppressAutoHyphens/>
        <w:rPr>
          <w:sz w:val="22"/>
          <w:szCs w:val="22"/>
        </w:rPr>
      </w:pPr>
    </w:p>
    <w:p w14:paraId="4D60C072" w14:textId="77777777" w:rsidR="009F74F8" w:rsidRPr="008166BF" w:rsidRDefault="006959C2" w:rsidP="00AE5A83">
      <w:pPr>
        <w:pStyle w:val="Zkladntext"/>
        <w:suppressAutoHyphens/>
        <w:rPr>
          <w:sz w:val="22"/>
          <w:szCs w:val="22"/>
        </w:rPr>
      </w:pPr>
      <w:r>
        <w:rPr>
          <w:sz w:val="22"/>
          <w:szCs w:val="22"/>
        </w:rPr>
        <w:t>O nasledujúcich liečivách je známe alebo sa predpokladá, že ovplyvňujú koncentrácie cirkulujúceho klaritromycínu. Môže byť potrebná úprava dávky klaritromycínu alebo zváženie alternatívnej liečby.</w:t>
      </w:r>
    </w:p>
    <w:p w14:paraId="13C3A1D8" w14:textId="77777777" w:rsidR="009F74F8" w:rsidRPr="008166BF" w:rsidRDefault="009F74F8" w:rsidP="00AE5A83">
      <w:pPr>
        <w:pStyle w:val="Zkladntext"/>
        <w:suppressAutoHyphens/>
        <w:rPr>
          <w:sz w:val="22"/>
          <w:szCs w:val="22"/>
        </w:rPr>
      </w:pPr>
    </w:p>
    <w:p w14:paraId="5324996F" w14:textId="77777777" w:rsidR="009F74F8" w:rsidRPr="008166BF" w:rsidRDefault="006959C2" w:rsidP="00AE5A83">
      <w:pPr>
        <w:pStyle w:val="Zkladntext"/>
        <w:suppressAutoHyphens/>
        <w:rPr>
          <w:sz w:val="22"/>
          <w:szCs w:val="22"/>
          <w:u w:val="single"/>
        </w:rPr>
      </w:pPr>
      <w:r>
        <w:rPr>
          <w:sz w:val="22"/>
          <w:szCs w:val="22"/>
          <w:u w:val="single"/>
        </w:rPr>
        <w:t>Efavirenz, nevirapín, rifampicín, rifabutín a rifapentín</w:t>
      </w:r>
    </w:p>
    <w:p w14:paraId="3E1F197B" w14:textId="77777777" w:rsidR="009F74F8" w:rsidRPr="008166BF" w:rsidRDefault="006959C2" w:rsidP="00AE5A83">
      <w:pPr>
        <w:pStyle w:val="Zkladntext"/>
        <w:suppressAutoHyphens/>
        <w:rPr>
          <w:sz w:val="22"/>
          <w:szCs w:val="22"/>
        </w:rPr>
      </w:pPr>
      <w:r>
        <w:rPr>
          <w:sz w:val="22"/>
          <w:szCs w:val="22"/>
        </w:rPr>
        <w:t>Silné induktory systému cytochrómu P450 ako je efavirenz, nevirapín, rifampicín, rifabutín a rifapentín môžu zvýšiť metabolizmus klaritromycínu a tak znížiť plazmatické hladiny klaritromycínu, zatiaľ čo plazmatické hladiny 14-hydroxyklaritromycínu, metabolitu, ktorý je tiež mikrobiologicky účinný, sa zvýšia. Keďže mikrobiologický účinok klaritromycínu a 14-hydroxyklaritromycínu je rozdielny pre rôzne druhy baktérií, počas súbežného podávania klaritromycínu a induktorov enzýmu môže byť zamýšľaný terapeutický účinok oslabený.</w:t>
      </w:r>
    </w:p>
    <w:p w14:paraId="4A215B93" w14:textId="77777777" w:rsidR="009F74F8" w:rsidRPr="008166BF" w:rsidRDefault="009F74F8" w:rsidP="00AE5A83">
      <w:pPr>
        <w:pStyle w:val="Zkladntext"/>
        <w:suppressAutoHyphens/>
        <w:rPr>
          <w:sz w:val="22"/>
          <w:szCs w:val="22"/>
        </w:rPr>
      </w:pPr>
    </w:p>
    <w:p w14:paraId="7CC2F2B6" w14:textId="77777777" w:rsidR="009F74F8" w:rsidRPr="008166BF" w:rsidRDefault="006959C2" w:rsidP="00AE5A83">
      <w:pPr>
        <w:pStyle w:val="Zkladntext"/>
        <w:suppressAutoHyphens/>
        <w:rPr>
          <w:sz w:val="22"/>
          <w:szCs w:val="22"/>
          <w:u w:val="single"/>
        </w:rPr>
      </w:pPr>
      <w:r>
        <w:rPr>
          <w:sz w:val="22"/>
          <w:szCs w:val="22"/>
          <w:u w:val="single"/>
        </w:rPr>
        <w:t>Etravirín</w:t>
      </w:r>
    </w:p>
    <w:p w14:paraId="5DE627ED" w14:textId="77777777" w:rsidR="009F74F8" w:rsidRPr="008166BF" w:rsidRDefault="006959C2" w:rsidP="00AE5A83">
      <w:pPr>
        <w:pStyle w:val="Zkladntext"/>
        <w:suppressAutoHyphens/>
        <w:rPr>
          <w:sz w:val="22"/>
          <w:szCs w:val="22"/>
        </w:rPr>
      </w:pPr>
      <w:r>
        <w:rPr>
          <w:sz w:val="22"/>
          <w:szCs w:val="22"/>
        </w:rPr>
        <w:t xml:space="preserve">Etravirín znižuje expozíciu klaritromycínom; avšak koncentrácia aktívneho metabolitu 14-hydroxyklaritromycínu sa zvyšuje. Keďže 14-hydroxyklaritromycín znižuje účinok voči </w:t>
      </w:r>
      <w:r>
        <w:rPr>
          <w:i/>
          <w:sz w:val="22"/>
          <w:szCs w:val="22"/>
        </w:rPr>
        <w:t>Mycobacterium avium complex</w:t>
      </w:r>
      <w:r>
        <w:rPr>
          <w:sz w:val="22"/>
          <w:szCs w:val="22"/>
        </w:rPr>
        <w:t xml:space="preserve"> (MAC), celková účinnosť voči tomuto patogénu môže byť ovplyvnená; preto sa na liečbu MAC majú zvážiť iné alternatívy klaritromycínu.</w:t>
      </w:r>
    </w:p>
    <w:p w14:paraId="61969A05" w14:textId="77777777" w:rsidR="009F74F8" w:rsidRPr="008166BF" w:rsidRDefault="009F74F8" w:rsidP="00AE5A83">
      <w:pPr>
        <w:pStyle w:val="Zkladntext"/>
        <w:suppressAutoHyphens/>
        <w:rPr>
          <w:sz w:val="22"/>
          <w:szCs w:val="22"/>
        </w:rPr>
      </w:pPr>
    </w:p>
    <w:p w14:paraId="699F935F" w14:textId="77777777" w:rsidR="009F74F8" w:rsidRPr="008166BF" w:rsidRDefault="006959C2" w:rsidP="00AE5A83">
      <w:pPr>
        <w:pStyle w:val="Zkladntext"/>
        <w:suppressAutoHyphens/>
        <w:rPr>
          <w:sz w:val="22"/>
          <w:szCs w:val="22"/>
          <w:u w:val="single"/>
        </w:rPr>
      </w:pPr>
      <w:r>
        <w:rPr>
          <w:sz w:val="22"/>
          <w:szCs w:val="22"/>
          <w:u w:val="single"/>
        </w:rPr>
        <w:t>Flukonazol</w:t>
      </w:r>
    </w:p>
    <w:p w14:paraId="29E59062" w14:textId="77777777" w:rsidR="009F74F8" w:rsidRPr="008166BF" w:rsidRDefault="006959C2" w:rsidP="00AE5A83">
      <w:pPr>
        <w:pStyle w:val="Zkladntext"/>
        <w:suppressAutoHyphens/>
        <w:rPr>
          <w:sz w:val="22"/>
          <w:szCs w:val="22"/>
        </w:rPr>
      </w:pPr>
      <w:r>
        <w:rPr>
          <w:sz w:val="22"/>
          <w:szCs w:val="22"/>
        </w:rPr>
        <w:t>Súbežné podávanie flukonazolu v dávke 200 mg denne a klaritromycínu v dávke 500 mg dvakrát denne 21 zdravým dobrovoľníkom viedlo k zvýšeniu priemerných minimálnych koncentrácií klaritromycínu v rovnovážnom stave (C</w:t>
      </w:r>
      <w:r>
        <w:rPr>
          <w:sz w:val="22"/>
          <w:szCs w:val="22"/>
          <w:vertAlign w:val="subscript"/>
        </w:rPr>
        <w:t>min</w:t>
      </w:r>
      <w:r>
        <w:rPr>
          <w:sz w:val="22"/>
          <w:szCs w:val="22"/>
        </w:rPr>
        <w:t xml:space="preserve">) o 33 % a plochy pod krivkou (AUC) o 18 %. Súbežné podávanie flukonazolu výrazne neovplyvnilo </w:t>
      </w:r>
      <w:bookmarkStart w:id="1" w:name="OLE_LINK1"/>
      <w:r>
        <w:rPr>
          <w:sz w:val="22"/>
          <w:szCs w:val="22"/>
        </w:rPr>
        <w:t xml:space="preserve">rovnovážne koncentrácie </w:t>
      </w:r>
      <w:bookmarkEnd w:id="1"/>
      <w:r>
        <w:rPr>
          <w:sz w:val="22"/>
          <w:szCs w:val="22"/>
        </w:rPr>
        <w:t>aktívneho metabolitu 14-OH-klaritromycínu. Nie je potrebná úprava dávky klaritromycínu.</w:t>
      </w:r>
    </w:p>
    <w:p w14:paraId="66E0D684" w14:textId="77777777" w:rsidR="009F74F8" w:rsidRPr="008166BF" w:rsidRDefault="009F74F8" w:rsidP="00AE5A83">
      <w:pPr>
        <w:pStyle w:val="Zkladntext"/>
        <w:suppressAutoHyphens/>
        <w:rPr>
          <w:sz w:val="22"/>
          <w:szCs w:val="22"/>
        </w:rPr>
      </w:pPr>
    </w:p>
    <w:p w14:paraId="5A927AC4" w14:textId="77777777" w:rsidR="009F74F8" w:rsidRPr="008166BF" w:rsidRDefault="006959C2" w:rsidP="00AE5A83">
      <w:pPr>
        <w:pStyle w:val="Zkladntext"/>
        <w:suppressAutoHyphens/>
        <w:rPr>
          <w:sz w:val="22"/>
          <w:szCs w:val="22"/>
          <w:u w:val="single"/>
        </w:rPr>
      </w:pPr>
      <w:r>
        <w:rPr>
          <w:sz w:val="22"/>
          <w:szCs w:val="22"/>
          <w:u w:val="single"/>
        </w:rPr>
        <w:t>Ritonavir</w:t>
      </w:r>
    </w:p>
    <w:p w14:paraId="407C91DC" w14:textId="77777777" w:rsidR="009F74F8" w:rsidRPr="008166BF" w:rsidRDefault="006959C2" w:rsidP="00AE5A83">
      <w:pPr>
        <w:pStyle w:val="Zkladntext"/>
        <w:suppressAutoHyphens/>
        <w:rPr>
          <w:sz w:val="22"/>
          <w:szCs w:val="22"/>
        </w:rPr>
      </w:pPr>
      <w:r>
        <w:rPr>
          <w:sz w:val="22"/>
          <w:szCs w:val="22"/>
        </w:rPr>
        <w:t>Farmakokinetická štúdia preukázala, že súbežné podávanie ritonaviru v dávke 200 mg každých osem hodín a klaritromycínu v dávke 500 mg každých 12 hodín viedlo k výraznej inhibícii metabolizmu klaritromycínu. Pri súbežnom podávaní ritonaviru sa C</w:t>
      </w:r>
      <w:r>
        <w:rPr>
          <w:sz w:val="22"/>
          <w:szCs w:val="22"/>
          <w:vertAlign w:val="subscript"/>
        </w:rPr>
        <w:t>max</w:t>
      </w:r>
      <w:r>
        <w:rPr>
          <w:sz w:val="22"/>
          <w:szCs w:val="22"/>
        </w:rPr>
        <w:t xml:space="preserve"> klaritromycínu zvýšila o 31 %, C</w:t>
      </w:r>
      <w:r>
        <w:rPr>
          <w:sz w:val="22"/>
          <w:szCs w:val="22"/>
          <w:vertAlign w:val="subscript"/>
        </w:rPr>
        <w:t>min</w:t>
      </w:r>
      <w:r>
        <w:rPr>
          <w:sz w:val="22"/>
          <w:szCs w:val="22"/>
        </w:rPr>
        <w:t xml:space="preserve"> o 182 % a AUC o 77 %. Zaznamenala sa v podstate úplná inhibícia tvorby 14-OH-klaritromycínu. Vzhľadom na široké terapeutické okno klaritromycínu by zníženie dávky nemalo byť u pacientov s normálnou funkciou obličiek potrebné. Avšak u pacientov s poškodením obličiek sa má zvážiť nasledujúca úprava dávky: u pacientov s klírensom kreatinínu 30 až 60 ml/min sa má dávka klaritromycínu znížiť o 50 %. U pacientov, ktorí majú klírens kreatinínu &lt; 30 ml/min sa má dávka klaritromycínu znížiť o 75 %. Dávky klaritromycínu vyššie ako 1 g/deň sa nemajú podávať súbežne s ritonavirom.</w:t>
      </w:r>
    </w:p>
    <w:p w14:paraId="05F48AE7" w14:textId="77777777" w:rsidR="009F74F8" w:rsidRPr="008166BF" w:rsidRDefault="009F74F8" w:rsidP="00AE5A83">
      <w:pPr>
        <w:pStyle w:val="Zkladntext"/>
        <w:suppressAutoHyphens/>
        <w:rPr>
          <w:sz w:val="22"/>
          <w:szCs w:val="22"/>
        </w:rPr>
      </w:pPr>
    </w:p>
    <w:p w14:paraId="11817B90" w14:textId="77777777" w:rsidR="009F74F8" w:rsidRPr="008166BF" w:rsidRDefault="006959C2" w:rsidP="00AE5A83">
      <w:pPr>
        <w:pStyle w:val="Zkladntext"/>
        <w:suppressAutoHyphens/>
        <w:rPr>
          <w:sz w:val="22"/>
          <w:szCs w:val="22"/>
        </w:rPr>
      </w:pPr>
      <w:r>
        <w:rPr>
          <w:sz w:val="22"/>
          <w:szCs w:val="22"/>
        </w:rPr>
        <w:t>Podobná úprava dávkovania sa má zvážiť u pacientov s poškodením  obličiek, keď sa ritonavir používa na zlepšenie farmakokinetiky s inými inhibítormi HIV proteázy vrátane atazanaviru a sachinaviru (pozri časť „Obojsmerné liekové interakcie“ uvedenú nižšie).</w:t>
      </w:r>
    </w:p>
    <w:p w14:paraId="2F6E0D45" w14:textId="77777777" w:rsidR="009F74F8" w:rsidRPr="008166BF" w:rsidRDefault="009F74F8" w:rsidP="00AE5A83">
      <w:pPr>
        <w:pStyle w:val="Zkladntext"/>
        <w:suppressAutoHyphens/>
        <w:rPr>
          <w:sz w:val="22"/>
          <w:szCs w:val="22"/>
        </w:rPr>
      </w:pPr>
    </w:p>
    <w:p w14:paraId="60BA36D7" w14:textId="77777777" w:rsidR="0036798A" w:rsidRDefault="0036798A" w:rsidP="00AE5A83">
      <w:pPr>
        <w:pStyle w:val="Zkladntext"/>
        <w:suppressAutoHyphens/>
        <w:rPr>
          <w:b/>
          <w:sz w:val="22"/>
          <w:szCs w:val="22"/>
        </w:rPr>
      </w:pPr>
    </w:p>
    <w:p w14:paraId="2BFFCE42" w14:textId="77777777" w:rsidR="009F74F8" w:rsidRPr="008166BF" w:rsidRDefault="006959C2" w:rsidP="00AE5A83">
      <w:pPr>
        <w:pStyle w:val="Zkladntext"/>
        <w:suppressAutoHyphens/>
        <w:rPr>
          <w:sz w:val="22"/>
          <w:szCs w:val="22"/>
        </w:rPr>
      </w:pPr>
      <w:bookmarkStart w:id="2" w:name="_GoBack"/>
      <w:bookmarkEnd w:id="2"/>
      <w:r>
        <w:rPr>
          <w:b/>
          <w:sz w:val="22"/>
          <w:szCs w:val="22"/>
        </w:rPr>
        <w:lastRenderedPageBreak/>
        <w:t>Účinok klaritromycínu na iné lieky</w:t>
      </w:r>
    </w:p>
    <w:p w14:paraId="0F988AAD" w14:textId="77777777" w:rsidR="009F74F8" w:rsidRPr="008166BF" w:rsidRDefault="009F74F8" w:rsidP="00AE5A83">
      <w:pPr>
        <w:pStyle w:val="Zkladntext"/>
        <w:suppressAutoHyphens/>
        <w:rPr>
          <w:sz w:val="22"/>
          <w:szCs w:val="22"/>
        </w:rPr>
      </w:pPr>
    </w:p>
    <w:p w14:paraId="6A0CDA60" w14:textId="77777777" w:rsidR="009F74F8" w:rsidRPr="008166BF" w:rsidRDefault="006959C2" w:rsidP="00AE5A83">
      <w:pPr>
        <w:autoSpaceDE w:val="0"/>
        <w:autoSpaceDN w:val="0"/>
        <w:adjustRightInd w:val="0"/>
        <w:rPr>
          <w:bCs/>
          <w:i/>
          <w:iCs/>
          <w:sz w:val="22"/>
          <w:szCs w:val="22"/>
          <w:u w:val="single"/>
        </w:rPr>
      </w:pPr>
      <w:r>
        <w:rPr>
          <w:bCs/>
          <w:i/>
          <w:iCs/>
          <w:sz w:val="22"/>
          <w:szCs w:val="22"/>
          <w:u w:val="single"/>
        </w:rPr>
        <w:t>Interakcie založené na CYP3A</w:t>
      </w:r>
    </w:p>
    <w:p w14:paraId="0A227250" w14:textId="77777777" w:rsidR="00674593" w:rsidRDefault="006959C2" w:rsidP="00AE5A83">
      <w:pPr>
        <w:autoSpaceDE w:val="0"/>
        <w:autoSpaceDN w:val="0"/>
        <w:adjustRightInd w:val="0"/>
        <w:rPr>
          <w:bCs/>
          <w:sz w:val="22"/>
          <w:szCs w:val="22"/>
        </w:rPr>
      </w:pPr>
      <w:r>
        <w:rPr>
          <w:bCs/>
          <w:sz w:val="22"/>
          <w:szCs w:val="22"/>
        </w:rPr>
        <w:t>Súbežné podávanie klaritromycínu, o ktorom je známe, že inhibuje CYP3A, s liečivom metabolizovaným  prevažne prostredníctvom CYP3A, sa môže spájať so</w:t>
      </w:r>
      <w:r>
        <w:rPr>
          <w:sz w:val="22"/>
          <w:szCs w:val="22"/>
        </w:rPr>
        <w:t> </w:t>
      </w:r>
      <w:r>
        <w:rPr>
          <w:bCs/>
          <w:sz w:val="22"/>
          <w:szCs w:val="22"/>
        </w:rPr>
        <w:t xml:space="preserve">zvýšením koncentrácie tohto liečiva, čo môže zvýšiť alebo predĺžiť terapeutické účinky ako aj nežiaduce účinky súbežne podávaného lieku. </w:t>
      </w:r>
    </w:p>
    <w:p w14:paraId="66882DF1" w14:textId="77777777" w:rsidR="00674593" w:rsidRDefault="00674593" w:rsidP="00AE5A83">
      <w:pPr>
        <w:autoSpaceDE w:val="0"/>
        <w:autoSpaceDN w:val="0"/>
        <w:adjustRightInd w:val="0"/>
        <w:rPr>
          <w:bCs/>
          <w:sz w:val="22"/>
          <w:szCs w:val="22"/>
        </w:rPr>
      </w:pPr>
    </w:p>
    <w:p w14:paraId="11577050" w14:textId="77777777" w:rsidR="00674593" w:rsidRDefault="00674593" w:rsidP="00674593">
      <w:pPr>
        <w:autoSpaceDE w:val="0"/>
        <w:autoSpaceDN w:val="0"/>
        <w:adjustRightInd w:val="0"/>
        <w:rPr>
          <w:bCs/>
          <w:sz w:val="22"/>
          <w:szCs w:val="22"/>
          <w:lang w:eastAsia="en-US"/>
        </w:rPr>
      </w:pPr>
      <w:r>
        <w:rPr>
          <w:bCs/>
          <w:sz w:val="22"/>
          <w:szCs w:val="22"/>
        </w:rPr>
        <w:t>Použitie klaritromycínu je kontraindikované u pacientov užívajúcich substráty enzýmu CYP3A astemizol, cisaprid, domperidón, pimozid a terfenadín kvôli riziku vzniku predĺženia QT intervalu a srdcových arytmií vrátane ventrikulárnej tachykardie, ventrikulárnej fibrilácie a torsades de pointes (pozri časti 4.3 a 4.4).</w:t>
      </w:r>
    </w:p>
    <w:p w14:paraId="627C66E8" w14:textId="575276CA" w:rsidR="00674593" w:rsidRDefault="00674593" w:rsidP="00674593">
      <w:pPr>
        <w:autoSpaceDE w:val="0"/>
        <w:autoSpaceDN w:val="0"/>
        <w:adjustRightInd w:val="0"/>
        <w:rPr>
          <w:bCs/>
          <w:sz w:val="22"/>
          <w:szCs w:val="22"/>
        </w:rPr>
      </w:pPr>
      <w:r>
        <w:rPr>
          <w:bCs/>
          <w:sz w:val="22"/>
          <w:szCs w:val="22"/>
        </w:rPr>
        <w:t xml:space="preserve">Použitie klaritromycínu je tiež kontraindikované </w:t>
      </w:r>
      <w:r w:rsidR="00154C14">
        <w:rPr>
          <w:bCs/>
          <w:sz w:val="22"/>
          <w:szCs w:val="22"/>
        </w:rPr>
        <w:t xml:space="preserve">pri súbežnej liečbe </w:t>
      </w:r>
      <w:r>
        <w:rPr>
          <w:bCs/>
          <w:sz w:val="22"/>
          <w:szCs w:val="22"/>
        </w:rPr>
        <w:t>s ergotovými alkaloidmi, perorálnym midazolamom, inhibítormi HMG CoA reduktázy metaboliz</w:t>
      </w:r>
      <w:r w:rsidR="00E46457">
        <w:rPr>
          <w:bCs/>
          <w:sz w:val="22"/>
          <w:szCs w:val="22"/>
        </w:rPr>
        <w:t>ovanými hlavne enzýmom CYP3A4 (</w:t>
      </w:r>
      <w:r>
        <w:rPr>
          <w:bCs/>
          <w:sz w:val="22"/>
          <w:szCs w:val="22"/>
        </w:rPr>
        <w:t>napr. lovastatínom a simvastatínom), kolchicínom, tikagrelom a ranolazínom (pozri časť 4.3).</w:t>
      </w:r>
    </w:p>
    <w:p w14:paraId="5984B4D0" w14:textId="77777777" w:rsidR="00674593" w:rsidRDefault="00674593" w:rsidP="00AE5A83">
      <w:pPr>
        <w:autoSpaceDE w:val="0"/>
        <w:autoSpaceDN w:val="0"/>
        <w:adjustRightInd w:val="0"/>
        <w:rPr>
          <w:bCs/>
          <w:sz w:val="22"/>
          <w:szCs w:val="22"/>
        </w:rPr>
      </w:pPr>
    </w:p>
    <w:p w14:paraId="531963EE" w14:textId="77777777" w:rsidR="009F74F8" w:rsidRPr="008166BF" w:rsidRDefault="006959C2" w:rsidP="00AE5A83">
      <w:pPr>
        <w:autoSpaceDE w:val="0"/>
        <w:autoSpaceDN w:val="0"/>
        <w:adjustRightInd w:val="0"/>
        <w:rPr>
          <w:bCs/>
          <w:sz w:val="22"/>
          <w:szCs w:val="22"/>
        </w:rPr>
      </w:pPr>
      <w:r>
        <w:rPr>
          <w:bCs/>
          <w:sz w:val="22"/>
          <w:szCs w:val="22"/>
        </w:rPr>
        <w:t xml:space="preserve">Klaritromycín sa má u pacientov liečených inými liekmi, o ktorých je známe, že sú substrátmi enzýmu CYP3A, používať opatrne, najmä ak má substrát CYP3A úzky bezpečnostný profil (napr. karbamazepín) a/alebo, ak je substrát týmto enzýmom značne metabolizovaný. </w:t>
      </w:r>
    </w:p>
    <w:p w14:paraId="101B8F89" w14:textId="77777777" w:rsidR="009F74F8" w:rsidRPr="008166BF" w:rsidRDefault="009F74F8" w:rsidP="00AE5A83">
      <w:pPr>
        <w:autoSpaceDE w:val="0"/>
        <w:autoSpaceDN w:val="0"/>
        <w:adjustRightInd w:val="0"/>
        <w:rPr>
          <w:bCs/>
          <w:sz w:val="22"/>
          <w:szCs w:val="22"/>
        </w:rPr>
      </w:pPr>
    </w:p>
    <w:p w14:paraId="0C5E27BB" w14:textId="77777777" w:rsidR="009F74F8" w:rsidRPr="008166BF" w:rsidRDefault="006959C2" w:rsidP="00AE5A83">
      <w:pPr>
        <w:autoSpaceDE w:val="0"/>
        <w:autoSpaceDN w:val="0"/>
        <w:adjustRightInd w:val="0"/>
        <w:rPr>
          <w:bCs/>
          <w:sz w:val="22"/>
          <w:szCs w:val="22"/>
        </w:rPr>
      </w:pPr>
      <w:r>
        <w:rPr>
          <w:bCs/>
          <w:sz w:val="22"/>
          <w:szCs w:val="22"/>
        </w:rPr>
        <w:t>Môže byť potrebné zvážiť úpravu dávky a ak je to možné, treba u pacientov súbežne liečených klaritromycínom pozorne sledovať sérové koncentrácie liečiv metabolizovaných prevažne prostredníctvom enzýmu CYP3A.</w:t>
      </w:r>
    </w:p>
    <w:p w14:paraId="1326E3D0" w14:textId="77777777" w:rsidR="009F74F8" w:rsidRPr="008166BF" w:rsidRDefault="009F74F8" w:rsidP="00AE5A83">
      <w:pPr>
        <w:pStyle w:val="Zkladntext"/>
        <w:suppressAutoHyphens/>
        <w:rPr>
          <w:sz w:val="22"/>
          <w:szCs w:val="22"/>
        </w:rPr>
      </w:pPr>
    </w:p>
    <w:p w14:paraId="55FE62DA" w14:textId="77777777" w:rsidR="009F74F8" w:rsidRPr="008166BF" w:rsidRDefault="006959C2" w:rsidP="00AE5A83">
      <w:pPr>
        <w:rPr>
          <w:sz w:val="22"/>
          <w:szCs w:val="22"/>
        </w:rPr>
      </w:pPr>
      <w:r>
        <w:rPr>
          <w:sz w:val="22"/>
          <w:szCs w:val="22"/>
        </w:rPr>
        <w:t>O nasledujúcich liečivách alebo skupinách liečiv je známe alebo sa predpokladá, že sú metabolizované rovnakým izoenzýmom CYP3A: alprazolam, astemizol, karbamazepín, cilostazol, cisaprid, cyklosporín, dizopyramid, ergotové alkaloidy,</w:t>
      </w:r>
      <w:r w:rsidR="00674593">
        <w:rPr>
          <w:sz w:val="22"/>
          <w:szCs w:val="22"/>
        </w:rPr>
        <w:t xml:space="preserve"> ibrutinib,</w:t>
      </w:r>
      <w:r>
        <w:rPr>
          <w:sz w:val="22"/>
          <w:szCs w:val="22"/>
        </w:rPr>
        <w:t xml:space="preserve"> lovastatín, metylprednizolón, midazolam, omeprazol, perorálne antikoagulanciá (napr. warfarín, pozri časť 4.4), atypické antipsychotiká (napr. kvetiapín), pimozid, chinidín, rifabutín, sildenafil, simvastatín, sirolimus, takrolimus, terfenadín, triazolam a vinblastín, ale tento zoznam nie je úplný. Podobný mechanizmus interakcií, na ktorom sa zúčastňujú iné izoenzýmy systému cytochrómu P450, sa uplatňuje u fenytoínu, teofylínu a valproátu.</w:t>
      </w:r>
    </w:p>
    <w:p w14:paraId="1B231931" w14:textId="77777777" w:rsidR="009F74F8" w:rsidRPr="008166BF" w:rsidRDefault="009F74F8" w:rsidP="00AE5A83">
      <w:pPr>
        <w:pStyle w:val="Zkladntext"/>
        <w:suppressAutoHyphens/>
        <w:rPr>
          <w:sz w:val="22"/>
          <w:szCs w:val="22"/>
        </w:rPr>
      </w:pPr>
    </w:p>
    <w:p w14:paraId="2C8A3808" w14:textId="77777777" w:rsidR="009F74F8" w:rsidRPr="008166BF" w:rsidRDefault="006959C2" w:rsidP="00AE5A83">
      <w:pPr>
        <w:autoSpaceDE w:val="0"/>
        <w:autoSpaceDN w:val="0"/>
        <w:adjustRightInd w:val="0"/>
        <w:rPr>
          <w:sz w:val="22"/>
          <w:szCs w:val="22"/>
          <w:u w:val="single"/>
        </w:rPr>
      </w:pPr>
      <w:r>
        <w:rPr>
          <w:sz w:val="22"/>
          <w:szCs w:val="22"/>
          <w:u w:val="single"/>
        </w:rPr>
        <w:t>Antiarytmiká</w:t>
      </w:r>
    </w:p>
    <w:p w14:paraId="4D944C78" w14:textId="77777777" w:rsidR="009F74F8" w:rsidRPr="008166BF" w:rsidRDefault="006959C2" w:rsidP="00AE5A83">
      <w:pPr>
        <w:rPr>
          <w:sz w:val="22"/>
          <w:szCs w:val="22"/>
        </w:rPr>
      </w:pPr>
      <w:r>
        <w:rPr>
          <w:sz w:val="22"/>
          <w:szCs w:val="22"/>
        </w:rPr>
        <w:t xml:space="preserve">Pri súbežnom užívaní klaritromycínu a chinidínu alebo dizopyramidu sa po uvedení lieku na trh hlásili prípady </w:t>
      </w:r>
      <w:r>
        <w:rPr>
          <w:i/>
          <w:sz w:val="22"/>
          <w:szCs w:val="22"/>
        </w:rPr>
        <w:t>torsades de pointes</w:t>
      </w:r>
      <w:r>
        <w:rPr>
          <w:sz w:val="22"/>
          <w:szCs w:val="22"/>
        </w:rPr>
        <w:t xml:space="preserve">. </w:t>
      </w:r>
      <w:r>
        <w:rPr>
          <w:bCs/>
          <w:sz w:val="22"/>
          <w:szCs w:val="22"/>
        </w:rPr>
        <w:t xml:space="preserve">Počas súbežného podávania klaritromycínu s týmito liekmi sa má sledovať EKG kvôli predĺženiu QT intervalu. </w:t>
      </w:r>
      <w:r>
        <w:rPr>
          <w:sz w:val="22"/>
          <w:szCs w:val="22"/>
        </w:rPr>
        <w:t>Počas liečby klaritromycínom sa majú sledovať sérové hladiny chinidínu a dizopyramidu.</w:t>
      </w:r>
    </w:p>
    <w:p w14:paraId="4D466EF6" w14:textId="77777777" w:rsidR="009F74F8" w:rsidRPr="008166BF" w:rsidRDefault="009F74F8" w:rsidP="00AE5A83">
      <w:pPr>
        <w:rPr>
          <w:sz w:val="22"/>
          <w:szCs w:val="22"/>
        </w:rPr>
      </w:pPr>
    </w:p>
    <w:p w14:paraId="221BA544" w14:textId="77777777" w:rsidR="009F74F8" w:rsidRPr="008166BF" w:rsidRDefault="006959C2" w:rsidP="00AE5A83">
      <w:pPr>
        <w:rPr>
          <w:sz w:val="22"/>
          <w:szCs w:val="22"/>
        </w:rPr>
      </w:pPr>
      <w:r>
        <w:rPr>
          <w:sz w:val="22"/>
          <w:szCs w:val="22"/>
        </w:rPr>
        <w:t>Pri súbežnom užívaní klaritromycínu a dizopyramidu sa po uvedení lieku na trh hlásili prípady</w:t>
      </w:r>
    </w:p>
    <w:p w14:paraId="199FE9A3" w14:textId="77777777" w:rsidR="009F74F8" w:rsidRPr="008166BF" w:rsidRDefault="006959C2" w:rsidP="00AE5A83">
      <w:pPr>
        <w:rPr>
          <w:sz w:val="22"/>
          <w:szCs w:val="22"/>
        </w:rPr>
      </w:pPr>
      <w:r>
        <w:rPr>
          <w:sz w:val="22"/>
          <w:szCs w:val="22"/>
        </w:rPr>
        <w:t>hypoglykémie. Preto sa počas súbežného užívania klaritromycínu a dizopyramidu majú sledovať hladiny glukózy v krvi.</w:t>
      </w:r>
    </w:p>
    <w:p w14:paraId="26D2D414" w14:textId="77777777" w:rsidR="009F74F8" w:rsidRPr="008166BF" w:rsidRDefault="009F74F8" w:rsidP="0091049D">
      <w:pPr>
        <w:rPr>
          <w:sz w:val="22"/>
          <w:szCs w:val="22"/>
        </w:rPr>
      </w:pPr>
    </w:p>
    <w:p w14:paraId="011ED025" w14:textId="77777777" w:rsidR="009F74F8" w:rsidRPr="008166BF" w:rsidRDefault="006959C2" w:rsidP="0091049D">
      <w:pPr>
        <w:rPr>
          <w:sz w:val="22"/>
          <w:szCs w:val="22"/>
        </w:rPr>
      </w:pPr>
      <w:r>
        <w:rPr>
          <w:sz w:val="22"/>
          <w:szCs w:val="22"/>
          <w:u w:val="single"/>
        </w:rPr>
        <w:t>Perorálne hypoglykemiká/inzulín</w:t>
      </w:r>
    </w:p>
    <w:p w14:paraId="1623DCDB" w14:textId="77777777" w:rsidR="009F74F8" w:rsidRPr="008166BF" w:rsidRDefault="006959C2" w:rsidP="0091049D">
      <w:pPr>
        <w:rPr>
          <w:sz w:val="22"/>
          <w:szCs w:val="22"/>
        </w:rPr>
      </w:pPr>
      <w:r>
        <w:rPr>
          <w:sz w:val="22"/>
          <w:szCs w:val="22"/>
        </w:rPr>
        <w:t>Pri užívaní niektorých hypoglykemík ako nateglinid a repaglinid môže dôjsť k inhibícii enzýmu CYP3A4 klaritromycínom, čo môže pri ich súbežnom užívaní spôsobiť hypoglykémiu. Odporúča sa dôkladné sledovanie glukózy.</w:t>
      </w:r>
    </w:p>
    <w:p w14:paraId="78DC86FD" w14:textId="77777777" w:rsidR="009F74F8" w:rsidRPr="008166BF" w:rsidRDefault="009F74F8" w:rsidP="00AE5A83">
      <w:pPr>
        <w:rPr>
          <w:sz w:val="22"/>
          <w:szCs w:val="22"/>
        </w:rPr>
      </w:pPr>
    </w:p>
    <w:p w14:paraId="3F337D8D" w14:textId="77777777" w:rsidR="009F74F8" w:rsidRPr="008166BF" w:rsidRDefault="006959C2" w:rsidP="00AE5A83">
      <w:pPr>
        <w:autoSpaceDE w:val="0"/>
        <w:autoSpaceDN w:val="0"/>
        <w:adjustRightInd w:val="0"/>
        <w:rPr>
          <w:bCs/>
          <w:sz w:val="22"/>
          <w:szCs w:val="22"/>
          <w:u w:val="single"/>
        </w:rPr>
      </w:pPr>
      <w:r>
        <w:rPr>
          <w:bCs/>
          <w:sz w:val="22"/>
          <w:szCs w:val="22"/>
          <w:u w:val="single"/>
        </w:rPr>
        <w:t>Omeprazol</w:t>
      </w:r>
    </w:p>
    <w:p w14:paraId="3564602B" w14:textId="77777777" w:rsidR="009F74F8" w:rsidRPr="008166BF" w:rsidRDefault="006959C2" w:rsidP="00AE5A83">
      <w:pPr>
        <w:autoSpaceDE w:val="0"/>
        <w:autoSpaceDN w:val="0"/>
        <w:adjustRightInd w:val="0"/>
        <w:rPr>
          <w:bCs/>
          <w:sz w:val="22"/>
          <w:szCs w:val="22"/>
        </w:rPr>
      </w:pPr>
      <w:r>
        <w:rPr>
          <w:bCs/>
          <w:sz w:val="22"/>
          <w:szCs w:val="22"/>
        </w:rPr>
        <w:t>Zdravým dospelým jedincom bol podávaný klaritromycín (500</w:t>
      </w:r>
      <w:r>
        <w:rPr>
          <w:sz w:val="22"/>
          <w:szCs w:val="22"/>
        </w:rPr>
        <w:t> </w:t>
      </w:r>
      <w:r>
        <w:rPr>
          <w:bCs/>
          <w:sz w:val="22"/>
          <w:szCs w:val="22"/>
        </w:rPr>
        <w:t>mg každých 8</w:t>
      </w:r>
      <w:r>
        <w:rPr>
          <w:sz w:val="22"/>
          <w:szCs w:val="22"/>
        </w:rPr>
        <w:t> </w:t>
      </w:r>
      <w:r>
        <w:rPr>
          <w:bCs/>
          <w:sz w:val="22"/>
          <w:szCs w:val="22"/>
        </w:rPr>
        <w:t>hodín) v kombinácii s omeprazolom (40 mg denne). Pri súbežnom podávaní klaritromycínu boli plazmatické koncentrácie omeprazolu v rovnovážnom stave zvýšené (C</w:t>
      </w:r>
      <w:r>
        <w:rPr>
          <w:bCs/>
          <w:sz w:val="22"/>
          <w:szCs w:val="22"/>
          <w:vertAlign w:val="subscript"/>
        </w:rPr>
        <w:t>max</w:t>
      </w:r>
      <w:r>
        <w:rPr>
          <w:bCs/>
          <w:sz w:val="22"/>
          <w:szCs w:val="22"/>
        </w:rPr>
        <w:t xml:space="preserve"> o 30 %, AUC</w:t>
      </w:r>
      <w:r>
        <w:rPr>
          <w:bCs/>
          <w:sz w:val="22"/>
          <w:szCs w:val="22"/>
          <w:vertAlign w:val="subscript"/>
        </w:rPr>
        <w:t>0-24</w:t>
      </w:r>
      <w:r>
        <w:rPr>
          <w:bCs/>
          <w:sz w:val="22"/>
          <w:szCs w:val="22"/>
        </w:rPr>
        <w:t xml:space="preserve"> o 89 % a t</w:t>
      </w:r>
      <w:r>
        <w:rPr>
          <w:bCs/>
          <w:sz w:val="22"/>
          <w:szCs w:val="22"/>
          <w:vertAlign w:val="subscript"/>
        </w:rPr>
        <w:t>1/2</w:t>
      </w:r>
      <w:r>
        <w:rPr>
          <w:bCs/>
          <w:sz w:val="22"/>
          <w:szCs w:val="22"/>
        </w:rPr>
        <w:t xml:space="preserve"> o 34 %). Priemerné hodnoty pH v žalúdku počas 24 hodín boli pri podávaní samotného omeprazolu 5,2 a pri súbežnom podávaní omeprazolu s klaritromycínom 5,7.</w:t>
      </w:r>
    </w:p>
    <w:p w14:paraId="66CA1235" w14:textId="77777777" w:rsidR="009F74F8" w:rsidRPr="008166BF" w:rsidRDefault="009F74F8" w:rsidP="00AE5A83">
      <w:pPr>
        <w:rPr>
          <w:sz w:val="22"/>
          <w:szCs w:val="22"/>
        </w:rPr>
      </w:pPr>
    </w:p>
    <w:p w14:paraId="71296B1F" w14:textId="77777777" w:rsidR="009F74F8" w:rsidRPr="008166BF" w:rsidRDefault="006959C2" w:rsidP="00AE5A83">
      <w:pPr>
        <w:autoSpaceDE w:val="0"/>
        <w:autoSpaceDN w:val="0"/>
        <w:adjustRightInd w:val="0"/>
        <w:rPr>
          <w:bCs/>
          <w:sz w:val="22"/>
          <w:szCs w:val="22"/>
          <w:u w:val="single"/>
        </w:rPr>
      </w:pPr>
      <w:r>
        <w:rPr>
          <w:bCs/>
          <w:sz w:val="22"/>
          <w:szCs w:val="22"/>
          <w:u w:val="single"/>
        </w:rPr>
        <w:lastRenderedPageBreak/>
        <w:t>Sildenafil, tadalafil a vardenafil</w:t>
      </w:r>
    </w:p>
    <w:p w14:paraId="5CFF655E" w14:textId="77777777" w:rsidR="009F74F8" w:rsidRPr="008166BF" w:rsidRDefault="006959C2" w:rsidP="00AE5A83">
      <w:pPr>
        <w:autoSpaceDE w:val="0"/>
        <w:autoSpaceDN w:val="0"/>
        <w:adjustRightInd w:val="0"/>
        <w:rPr>
          <w:bCs/>
          <w:sz w:val="22"/>
          <w:szCs w:val="22"/>
        </w:rPr>
      </w:pPr>
      <w:r>
        <w:rPr>
          <w:bCs/>
          <w:sz w:val="22"/>
          <w:szCs w:val="22"/>
        </w:rPr>
        <w:t>Každý z týchto inhibítorov fosfodiesterázy je metabolizovaný, aspoň čiastočne, prostredníctvom CYP3A. CYP3A môže byť súbežným podávaním klaritromycínu inhibovaný. Súbežné podávanie klaritromycínu so</w:t>
      </w:r>
      <w:r>
        <w:rPr>
          <w:sz w:val="22"/>
          <w:szCs w:val="22"/>
        </w:rPr>
        <w:t> </w:t>
      </w:r>
      <w:r>
        <w:rPr>
          <w:bCs/>
          <w:sz w:val="22"/>
          <w:szCs w:val="22"/>
        </w:rPr>
        <w:t>sildenafilom, tadalafilom alebo vardenafilom pravdepodobne spôsobuje zvýšenie expozície inhibítoru fosfodiesterázy. Pri súbežnom podávaní s klaritromycínom treba zvážiť zníženie dávok sildenafilu, tadalafilu a vardenafilu.</w:t>
      </w:r>
    </w:p>
    <w:p w14:paraId="4CE0B092" w14:textId="77777777" w:rsidR="009F74F8" w:rsidRPr="008166BF" w:rsidRDefault="009F74F8" w:rsidP="00AE5A83">
      <w:pPr>
        <w:autoSpaceDE w:val="0"/>
        <w:autoSpaceDN w:val="0"/>
        <w:adjustRightInd w:val="0"/>
        <w:rPr>
          <w:bCs/>
          <w:sz w:val="22"/>
          <w:szCs w:val="22"/>
        </w:rPr>
      </w:pPr>
    </w:p>
    <w:p w14:paraId="62E2C0AE" w14:textId="77777777" w:rsidR="009F74F8" w:rsidRPr="008166BF" w:rsidRDefault="006959C2" w:rsidP="00AE5A83">
      <w:pPr>
        <w:autoSpaceDE w:val="0"/>
        <w:autoSpaceDN w:val="0"/>
        <w:adjustRightInd w:val="0"/>
        <w:rPr>
          <w:bCs/>
          <w:sz w:val="22"/>
          <w:szCs w:val="22"/>
          <w:u w:val="single"/>
        </w:rPr>
      </w:pPr>
      <w:r>
        <w:rPr>
          <w:bCs/>
          <w:sz w:val="22"/>
          <w:szCs w:val="22"/>
          <w:u w:val="single"/>
        </w:rPr>
        <w:t>Teofylín, karbamazepín</w:t>
      </w:r>
    </w:p>
    <w:p w14:paraId="3006C5C7" w14:textId="77777777" w:rsidR="009F74F8" w:rsidRPr="008166BF" w:rsidRDefault="006959C2" w:rsidP="009865FC">
      <w:pPr>
        <w:rPr>
          <w:bCs/>
          <w:sz w:val="22"/>
          <w:szCs w:val="22"/>
          <w:u w:val="single"/>
        </w:rPr>
      </w:pPr>
      <w:r>
        <w:rPr>
          <w:sz w:val="22"/>
          <w:szCs w:val="22"/>
        </w:rPr>
        <w:t>Výsledky klinických skúšaní preukázali mierne, ale štatisticky významné (p ≤ 0,05) zvýšenie cirkulujúcich hladín teofylínu alebo karbamazepínu, ak sa tieto liečivá podávali súbežne s klaritromycínom. Môže byť potrebné zvážiť zníženie dávky</w:t>
      </w:r>
      <w:r>
        <w:rPr>
          <w:bCs/>
          <w:sz w:val="22"/>
          <w:szCs w:val="22"/>
        </w:rPr>
        <w:t>.</w:t>
      </w:r>
    </w:p>
    <w:p w14:paraId="0EDE32B8" w14:textId="77777777" w:rsidR="009F74F8" w:rsidRPr="008166BF" w:rsidRDefault="009F74F8" w:rsidP="009865FC">
      <w:pPr>
        <w:rPr>
          <w:bCs/>
          <w:sz w:val="22"/>
          <w:szCs w:val="22"/>
          <w:u w:val="single"/>
        </w:rPr>
      </w:pPr>
    </w:p>
    <w:p w14:paraId="7D4C84FF" w14:textId="77777777" w:rsidR="009F74F8" w:rsidRPr="008166BF" w:rsidRDefault="006959C2" w:rsidP="00AE5A83">
      <w:pPr>
        <w:autoSpaceDE w:val="0"/>
        <w:autoSpaceDN w:val="0"/>
        <w:adjustRightInd w:val="0"/>
        <w:rPr>
          <w:bCs/>
          <w:sz w:val="22"/>
          <w:szCs w:val="22"/>
          <w:u w:val="single"/>
        </w:rPr>
      </w:pPr>
      <w:r>
        <w:rPr>
          <w:bCs/>
          <w:sz w:val="22"/>
          <w:szCs w:val="22"/>
          <w:u w:val="single"/>
        </w:rPr>
        <w:t>Tolterodín</w:t>
      </w:r>
    </w:p>
    <w:p w14:paraId="7B9727C3" w14:textId="77777777" w:rsidR="009F74F8" w:rsidRPr="008166BF" w:rsidRDefault="006959C2" w:rsidP="00AE5A83">
      <w:pPr>
        <w:autoSpaceDE w:val="0"/>
        <w:autoSpaceDN w:val="0"/>
        <w:adjustRightInd w:val="0"/>
        <w:rPr>
          <w:sz w:val="22"/>
          <w:szCs w:val="22"/>
        </w:rPr>
      </w:pPr>
      <w:r>
        <w:rPr>
          <w:sz w:val="22"/>
          <w:szCs w:val="22"/>
        </w:rPr>
        <w:t>Primárna cesta metabolizmu tolterodínu je sprostredkovaná izoformou 2D6 cytochrómu P450 (CYP2D6). Avšak u podskupiny populácie, ktorej chýba CYP2D6, bol zistený metabolizmus cestou CYP3A. U tejto podskupiny populácie vedie inhibícia CYP3A k významne vyšším sérovým koncentráciám tolterodínu. Zníženie dávky tolterodínu môže byť potrebné v prítomnosti inhibítorov CYP3A, ako je klaritromycín v populácii slabých CYP2D6 metabolizérov.</w:t>
      </w:r>
    </w:p>
    <w:p w14:paraId="70DD713A" w14:textId="77777777" w:rsidR="009F74F8" w:rsidRPr="008166BF" w:rsidRDefault="009F74F8" w:rsidP="00AE5A83">
      <w:pPr>
        <w:autoSpaceDE w:val="0"/>
        <w:autoSpaceDN w:val="0"/>
        <w:adjustRightInd w:val="0"/>
        <w:rPr>
          <w:bCs/>
          <w:sz w:val="22"/>
          <w:szCs w:val="22"/>
        </w:rPr>
      </w:pPr>
    </w:p>
    <w:p w14:paraId="7A4DB4FA" w14:textId="77777777" w:rsidR="009F74F8" w:rsidRPr="008166BF" w:rsidRDefault="006959C2" w:rsidP="00AE5A83">
      <w:pPr>
        <w:autoSpaceDE w:val="0"/>
        <w:autoSpaceDN w:val="0"/>
        <w:adjustRightInd w:val="0"/>
        <w:rPr>
          <w:bCs/>
          <w:sz w:val="22"/>
          <w:szCs w:val="22"/>
          <w:u w:val="single"/>
        </w:rPr>
      </w:pPr>
      <w:r>
        <w:rPr>
          <w:bCs/>
          <w:sz w:val="22"/>
          <w:szCs w:val="22"/>
          <w:u w:val="single"/>
        </w:rPr>
        <w:t>Triazolobenzodiazepíny (napr. alprazolam, midazolam, triazolam)</w:t>
      </w:r>
    </w:p>
    <w:p w14:paraId="1224E537" w14:textId="77777777" w:rsidR="003237D2" w:rsidRPr="008166BF" w:rsidRDefault="006959C2" w:rsidP="003237D2">
      <w:pPr>
        <w:widowControl w:val="0"/>
        <w:tabs>
          <w:tab w:val="left" w:pos="1180"/>
        </w:tabs>
        <w:rPr>
          <w:bCs/>
          <w:sz w:val="22"/>
          <w:szCs w:val="22"/>
        </w:rPr>
      </w:pPr>
      <w:r>
        <w:rPr>
          <w:bCs/>
          <w:sz w:val="22"/>
          <w:szCs w:val="22"/>
        </w:rPr>
        <w:t>Pri súbežnom podávaní midazolamu s tabletami klaritromycínu (500</w:t>
      </w:r>
      <w:r>
        <w:rPr>
          <w:sz w:val="22"/>
          <w:szCs w:val="22"/>
        </w:rPr>
        <w:t> </w:t>
      </w:r>
      <w:r>
        <w:rPr>
          <w:bCs/>
          <w:sz w:val="22"/>
          <w:szCs w:val="22"/>
        </w:rPr>
        <w:t>mg dvakrát denne) sa zvýšila hodnota AUC midazolamu 2,7-násobne po intravenóznom podaní midazolamu. Pri súbežnom intravenóznom podávaní midazolamu s klaritromycínom je potrebné pacienta starostlivo sledovať kvôli možnej úprave dávkovania. Podávanie midazolamu oromukozálnou cestou, čím sa dá vyhnúť pre-systémovej eliminácii liečiva, pravdepodobne bude viesť skôr k interakciám podobným tým, ktoré sa pozorovali po intravenóznom podaní midazolamu než ako po perorálnom podaní.</w:t>
      </w:r>
    </w:p>
    <w:p w14:paraId="2C7A3557" w14:textId="77777777" w:rsidR="003237D2" w:rsidRPr="008166BF" w:rsidRDefault="003237D2" w:rsidP="003237D2">
      <w:pPr>
        <w:widowControl w:val="0"/>
        <w:tabs>
          <w:tab w:val="left" w:pos="1180"/>
        </w:tabs>
        <w:rPr>
          <w:bCs/>
          <w:sz w:val="22"/>
          <w:szCs w:val="22"/>
        </w:rPr>
      </w:pPr>
    </w:p>
    <w:p w14:paraId="675D1395" w14:textId="77777777" w:rsidR="008B2037" w:rsidRDefault="006959C2">
      <w:pPr>
        <w:widowControl w:val="0"/>
        <w:tabs>
          <w:tab w:val="left" w:pos="1180"/>
        </w:tabs>
        <w:rPr>
          <w:bCs/>
          <w:sz w:val="22"/>
          <w:szCs w:val="22"/>
        </w:rPr>
      </w:pPr>
      <w:r>
        <w:rPr>
          <w:bCs/>
          <w:sz w:val="22"/>
          <w:szCs w:val="22"/>
        </w:rPr>
        <w:t>Rovnaké upozornenie tiež platí aj pre iné benzodiazepíny, ktoré sú metabolizované prostredníctvom CYP3A, vrátane triazolamu a</w:t>
      </w:r>
      <w:r>
        <w:rPr>
          <w:sz w:val="22"/>
          <w:szCs w:val="22"/>
        </w:rPr>
        <w:t> </w:t>
      </w:r>
      <w:r>
        <w:rPr>
          <w:bCs/>
          <w:sz w:val="22"/>
          <w:szCs w:val="22"/>
        </w:rPr>
        <w:t>alprazolamu. Pri benzodiazepínoch, ktorých eliminácia nezávisí od CYP3A (temazepam, nitrazepam, lorazepam), je klinicky významná interakcia s klaritromycínom nepravdepodobná.</w:t>
      </w:r>
    </w:p>
    <w:p w14:paraId="78C5382E" w14:textId="77777777" w:rsidR="009F74F8" w:rsidRPr="008166BF" w:rsidRDefault="009F74F8" w:rsidP="00AE5A83">
      <w:pPr>
        <w:autoSpaceDE w:val="0"/>
        <w:autoSpaceDN w:val="0"/>
        <w:adjustRightInd w:val="0"/>
        <w:rPr>
          <w:bCs/>
          <w:sz w:val="22"/>
          <w:szCs w:val="22"/>
        </w:rPr>
      </w:pPr>
    </w:p>
    <w:p w14:paraId="410942FC" w14:textId="77777777" w:rsidR="009F74F8" w:rsidRPr="008166BF" w:rsidRDefault="006959C2" w:rsidP="00AE5A83">
      <w:pPr>
        <w:autoSpaceDE w:val="0"/>
        <w:autoSpaceDN w:val="0"/>
        <w:adjustRightInd w:val="0"/>
        <w:rPr>
          <w:bCs/>
          <w:sz w:val="22"/>
          <w:szCs w:val="22"/>
        </w:rPr>
      </w:pPr>
      <w:r>
        <w:rPr>
          <w:bCs/>
          <w:sz w:val="22"/>
          <w:szCs w:val="22"/>
        </w:rPr>
        <w:t>Pri súbežnom podávaní klaritromycínu a</w:t>
      </w:r>
      <w:r>
        <w:rPr>
          <w:sz w:val="22"/>
          <w:szCs w:val="22"/>
        </w:rPr>
        <w:t> </w:t>
      </w:r>
      <w:r>
        <w:rPr>
          <w:bCs/>
          <w:sz w:val="22"/>
          <w:szCs w:val="22"/>
        </w:rPr>
        <w:t>triazolamu sa po uvedení lieku na trh hlásili prípady liekových interakcií a účinkov na centrálny nervový systém (CNS) (napr. somnolencia a zmätenosť). Odporúča sa sledovanie pacienta kvôli zosilneným farmakologickým účinkom na CNS.</w:t>
      </w:r>
    </w:p>
    <w:p w14:paraId="1B5B8435" w14:textId="77777777" w:rsidR="009F74F8" w:rsidRPr="008166BF" w:rsidRDefault="009F74F8" w:rsidP="00AE5A83">
      <w:pPr>
        <w:rPr>
          <w:sz w:val="22"/>
          <w:szCs w:val="22"/>
        </w:rPr>
      </w:pPr>
    </w:p>
    <w:p w14:paraId="20EBA3BF" w14:textId="77777777" w:rsidR="009F74F8" w:rsidRPr="008166BF" w:rsidRDefault="006959C2" w:rsidP="00AE5A83">
      <w:pPr>
        <w:rPr>
          <w:b/>
          <w:sz w:val="22"/>
          <w:szCs w:val="22"/>
        </w:rPr>
      </w:pPr>
      <w:r>
        <w:rPr>
          <w:b/>
          <w:sz w:val="22"/>
          <w:szCs w:val="22"/>
        </w:rPr>
        <w:t>Iné liekové interakcie</w:t>
      </w:r>
    </w:p>
    <w:p w14:paraId="0AF59C99" w14:textId="77777777" w:rsidR="009F74F8" w:rsidRPr="008166BF" w:rsidRDefault="009F74F8" w:rsidP="00AE5A83">
      <w:pPr>
        <w:rPr>
          <w:sz w:val="22"/>
          <w:szCs w:val="22"/>
        </w:rPr>
      </w:pPr>
    </w:p>
    <w:p w14:paraId="0B8554A1" w14:textId="77777777" w:rsidR="009F74F8" w:rsidRPr="008166BF" w:rsidRDefault="00BC0ED1" w:rsidP="009865FC">
      <w:pPr>
        <w:pStyle w:val="Nadpis7"/>
        <w:ind w:left="0"/>
        <w:rPr>
          <w:rFonts w:ascii="Times New Roman" w:hAnsi="Times New Roman"/>
          <w:sz w:val="22"/>
          <w:szCs w:val="22"/>
          <w:u w:val="single"/>
        </w:rPr>
      </w:pPr>
      <w:r w:rsidRPr="008166BF">
        <w:rPr>
          <w:rFonts w:ascii="Times New Roman" w:hAnsi="Times New Roman"/>
          <w:sz w:val="22"/>
          <w:szCs w:val="22"/>
          <w:u w:val="single"/>
        </w:rPr>
        <w:t>Kolchicín</w:t>
      </w:r>
    </w:p>
    <w:p w14:paraId="150C5D10" w14:textId="77777777" w:rsidR="009F74F8" w:rsidRPr="008166BF" w:rsidRDefault="006959C2" w:rsidP="00AE5A83">
      <w:pPr>
        <w:rPr>
          <w:bCs/>
          <w:sz w:val="22"/>
          <w:szCs w:val="22"/>
        </w:rPr>
      </w:pPr>
      <w:r>
        <w:rPr>
          <w:sz w:val="22"/>
          <w:szCs w:val="22"/>
        </w:rPr>
        <w:t xml:space="preserve">Kolchicín je substrátom pre CYP3A aj pre efluxný transportér glykoproteín-P (Pgp). Klaritromycín a iné makrolidy sú známe inhibítory CYP3A a Pgp. Ak sa klaritromycín a kolchicín podávajú súbežne, inhibícia Pgp a/alebo CYP3A klaritromycínom môže viesť k zvýšenej expozícii kolchicínu </w:t>
      </w:r>
      <w:r>
        <w:rPr>
          <w:bCs/>
          <w:iCs/>
          <w:sz w:val="22"/>
          <w:szCs w:val="22"/>
        </w:rPr>
        <w:t xml:space="preserve"> Súbežné podávanie klaritromycínu a kolchicínu je kontraindikované </w:t>
      </w:r>
      <w:r>
        <w:rPr>
          <w:sz w:val="22"/>
          <w:szCs w:val="22"/>
        </w:rPr>
        <w:t xml:space="preserve">(pozri časti 4.3 a </w:t>
      </w:r>
      <w:r>
        <w:rPr>
          <w:bCs/>
          <w:sz w:val="22"/>
          <w:szCs w:val="22"/>
        </w:rPr>
        <w:t>4.4).</w:t>
      </w:r>
    </w:p>
    <w:p w14:paraId="165AE79C" w14:textId="77777777" w:rsidR="009F74F8" w:rsidRPr="008166BF" w:rsidRDefault="009F74F8" w:rsidP="00AE5A83">
      <w:pPr>
        <w:rPr>
          <w:sz w:val="22"/>
          <w:szCs w:val="22"/>
        </w:rPr>
      </w:pPr>
    </w:p>
    <w:p w14:paraId="38741960" w14:textId="77777777" w:rsidR="009F74F8" w:rsidRPr="008166BF" w:rsidRDefault="006959C2" w:rsidP="00AE5A83">
      <w:pPr>
        <w:autoSpaceDE w:val="0"/>
        <w:autoSpaceDN w:val="0"/>
        <w:adjustRightInd w:val="0"/>
        <w:rPr>
          <w:bCs/>
          <w:sz w:val="22"/>
          <w:szCs w:val="22"/>
          <w:u w:val="single"/>
        </w:rPr>
      </w:pPr>
      <w:r>
        <w:rPr>
          <w:bCs/>
          <w:sz w:val="22"/>
          <w:szCs w:val="22"/>
          <w:u w:val="single"/>
        </w:rPr>
        <w:t>Digoxín</w:t>
      </w:r>
    </w:p>
    <w:p w14:paraId="58FE3936" w14:textId="77777777" w:rsidR="009F74F8" w:rsidRPr="008166BF" w:rsidRDefault="006959C2" w:rsidP="00AE5A83">
      <w:pPr>
        <w:autoSpaceDE w:val="0"/>
        <w:autoSpaceDN w:val="0"/>
        <w:adjustRightInd w:val="0"/>
        <w:rPr>
          <w:bCs/>
          <w:sz w:val="22"/>
          <w:szCs w:val="22"/>
        </w:rPr>
      </w:pPr>
      <w:r>
        <w:rPr>
          <w:bCs/>
          <w:sz w:val="22"/>
          <w:szCs w:val="22"/>
        </w:rPr>
        <w:t>Predpokladá sa, že digoxín je substrátom pre efluxný transportér, P-glykoproteín (Pgp). Je známe, že klaritromycín inhibuje Pgp. Ak sa klaritromycín a</w:t>
      </w:r>
      <w:r>
        <w:rPr>
          <w:sz w:val="22"/>
          <w:szCs w:val="22"/>
        </w:rPr>
        <w:t> </w:t>
      </w:r>
      <w:r>
        <w:rPr>
          <w:bCs/>
          <w:sz w:val="22"/>
          <w:szCs w:val="22"/>
        </w:rPr>
        <w:t>digoxín podávajú súbežne, inhibícia Pgp klaritromycínom môže viesť k zvýšenej expozícii digoxínu. Aj po uvedení lieku na trh boli hlásené zvýšené sérové koncentrácie digoxínu u pacientov, ktorí súbežne užívali klaritromycín a</w:t>
      </w:r>
      <w:r>
        <w:rPr>
          <w:sz w:val="22"/>
          <w:szCs w:val="22"/>
        </w:rPr>
        <w:t> </w:t>
      </w:r>
      <w:r>
        <w:rPr>
          <w:bCs/>
          <w:sz w:val="22"/>
          <w:szCs w:val="22"/>
        </w:rPr>
        <w:t>digoxín. U niektorých pacientov sa objavili klinické príznaky zhodné s toxicitou digoxínu, vrátane potenciálne fatálnych arytmií. Pri súbežnej liečbe pacienta digoxínom a klaritromycínom je potrebné pozorne sledovať sérové koncentrácie digoxínu.</w:t>
      </w:r>
    </w:p>
    <w:p w14:paraId="2BE5B572" w14:textId="77777777" w:rsidR="009F74F8" w:rsidRPr="008166BF" w:rsidRDefault="009F74F8" w:rsidP="00AE5A83">
      <w:pPr>
        <w:rPr>
          <w:sz w:val="22"/>
          <w:szCs w:val="22"/>
        </w:rPr>
      </w:pPr>
    </w:p>
    <w:p w14:paraId="266E8E50" w14:textId="77777777" w:rsidR="009F74F8" w:rsidRPr="008166BF" w:rsidRDefault="006959C2" w:rsidP="00AE5A83">
      <w:pPr>
        <w:rPr>
          <w:sz w:val="22"/>
          <w:szCs w:val="22"/>
          <w:u w:val="single"/>
        </w:rPr>
      </w:pPr>
      <w:r>
        <w:rPr>
          <w:sz w:val="22"/>
          <w:szCs w:val="22"/>
          <w:u w:val="single"/>
        </w:rPr>
        <w:t>Zidovudín</w:t>
      </w:r>
    </w:p>
    <w:p w14:paraId="7A5659DE" w14:textId="77777777" w:rsidR="009F74F8" w:rsidRPr="008166BF" w:rsidRDefault="006959C2" w:rsidP="00AE5A83">
      <w:pPr>
        <w:rPr>
          <w:sz w:val="22"/>
          <w:szCs w:val="22"/>
        </w:rPr>
      </w:pPr>
      <w:r>
        <w:rPr>
          <w:sz w:val="22"/>
          <w:szCs w:val="22"/>
        </w:rPr>
        <w:lastRenderedPageBreak/>
        <w:t>Súbežné perorálne podávanie tabliet klaritromycínu a zidovudínu dospelým pacientom s HIV infekciou môže spôsobiť zníženie koncentrácie zidovudínu v rovnovážnom stave. Nakoľko sa zdá, že klaritromycín interferuje s absorpciou súbežne podávaného perorálneho zidovudínu, tejto interakcii sa dá do značnej miery vyhnúť rozložením dávok klaritromycínu a zidovudínu tak, aby sa medzi jednotlivými dávkami dodržal 4-hodinový interval. Táto interakcia sa zrejme nevyskytuje u pediatrických pacientov s HIV infekciou, ktorí užívajú suspenziu klaritromycínu súbežne so zidovudínom alebo dideoxyinozínom. Táto interakcia je nepravdepodobná, keď sa klaritromycín podáva intravenóznou infúziou.</w:t>
      </w:r>
    </w:p>
    <w:p w14:paraId="5DC28C70" w14:textId="77777777" w:rsidR="009F74F8" w:rsidRPr="008166BF" w:rsidRDefault="009F74F8" w:rsidP="00AE5A83">
      <w:pPr>
        <w:rPr>
          <w:sz w:val="22"/>
          <w:szCs w:val="22"/>
        </w:rPr>
      </w:pPr>
    </w:p>
    <w:p w14:paraId="0B928905" w14:textId="77777777" w:rsidR="009F74F8" w:rsidRPr="008166BF" w:rsidRDefault="006959C2" w:rsidP="00AE5A83">
      <w:pPr>
        <w:rPr>
          <w:sz w:val="22"/>
          <w:szCs w:val="22"/>
          <w:u w:val="single"/>
        </w:rPr>
      </w:pPr>
      <w:r>
        <w:rPr>
          <w:sz w:val="22"/>
          <w:szCs w:val="22"/>
          <w:u w:val="single"/>
        </w:rPr>
        <w:t>Fenytoín a valproát</w:t>
      </w:r>
    </w:p>
    <w:p w14:paraId="0F9F409D" w14:textId="77777777" w:rsidR="009F74F8" w:rsidRPr="008166BF" w:rsidRDefault="006959C2" w:rsidP="00AE5A83">
      <w:pPr>
        <w:rPr>
          <w:sz w:val="22"/>
          <w:szCs w:val="22"/>
        </w:rPr>
      </w:pPr>
      <w:r>
        <w:rPr>
          <w:sz w:val="22"/>
          <w:szCs w:val="22"/>
        </w:rPr>
        <w:t>Vyskytli sa spontánne alebo publikované hlásenia interakcií CYP3A inhibítorov, vrátane klaritromycínu, s liekmi, u ktorých sa nepredpokladá metabolizmus prostredníctvom CYP3A (napr. fenytoín a valproát). Ak sa tieto lieky podávajú súbežne s klaritromycínom, odporúča sa stanovenie sérových hladín. Zaznamenali sa zvýšené sérové hladiny.</w:t>
      </w:r>
    </w:p>
    <w:p w14:paraId="6B7E788F" w14:textId="77777777" w:rsidR="009F74F8" w:rsidRPr="008166BF" w:rsidRDefault="009F74F8" w:rsidP="00AE5A83">
      <w:pPr>
        <w:rPr>
          <w:sz w:val="22"/>
          <w:szCs w:val="22"/>
        </w:rPr>
      </w:pPr>
    </w:p>
    <w:p w14:paraId="6DE4089F" w14:textId="77777777" w:rsidR="009F74F8" w:rsidRPr="008166BF" w:rsidRDefault="006959C2" w:rsidP="00AE5A83">
      <w:pPr>
        <w:autoSpaceDE w:val="0"/>
        <w:autoSpaceDN w:val="0"/>
        <w:adjustRightInd w:val="0"/>
        <w:rPr>
          <w:b/>
          <w:iCs/>
          <w:sz w:val="22"/>
          <w:szCs w:val="22"/>
        </w:rPr>
      </w:pPr>
      <w:r>
        <w:rPr>
          <w:b/>
          <w:iCs/>
          <w:sz w:val="22"/>
          <w:szCs w:val="22"/>
        </w:rPr>
        <w:t>Obojsmerné liekové interakcie</w:t>
      </w:r>
    </w:p>
    <w:p w14:paraId="602BB392" w14:textId="77777777" w:rsidR="009F74F8" w:rsidRPr="008166BF" w:rsidRDefault="009F74F8" w:rsidP="00AE5A83">
      <w:pPr>
        <w:pStyle w:val="Hlavika"/>
        <w:tabs>
          <w:tab w:val="clear" w:pos="4536"/>
          <w:tab w:val="clear" w:pos="9072"/>
        </w:tabs>
        <w:jc w:val="both"/>
        <w:rPr>
          <w:sz w:val="22"/>
          <w:szCs w:val="22"/>
        </w:rPr>
      </w:pPr>
    </w:p>
    <w:p w14:paraId="0794D2F7" w14:textId="77777777" w:rsidR="009F74F8" w:rsidRPr="008166BF" w:rsidRDefault="006959C2" w:rsidP="00AE5A83">
      <w:pPr>
        <w:autoSpaceDE w:val="0"/>
        <w:autoSpaceDN w:val="0"/>
        <w:adjustRightInd w:val="0"/>
        <w:rPr>
          <w:bCs/>
          <w:sz w:val="22"/>
          <w:szCs w:val="22"/>
          <w:u w:val="single"/>
        </w:rPr>
      </w:pPr>
      <w:r>
        <w:rPr>
          <w:bCs/>
          <w:sz w:val="22"/>
          <w:szCs w:val="22"/>
          <w:u w:val="single"/>
        </w:rPr>
        <w:t>Atazanavir</w:t>
      </w:r>
    </w:p>
    <w:p w14:paraId="736E08EC" w14:textId="77777777" w:rsidR="009F74F8" w:rsidRPr="008166BF" w:rsidRDefault="006959C2" w:rsidP="00AE5A83">
      <w:pPr>
        <w:autoSpaceDE w:val="0"/>
        <w:autoSpaceDN w:val="0"/>
        <w:adjustRightInd w:val="0"/>
        <w:rPr>
          <w:bCs/>
          <w:sz w:val="22"/>
          <w:szCs w:val="22"/>
        </w:rPr>
      </w:pPr>
      <w:r>
        <w:rPr>
          <w:bCs/>
          <w:sz w:val="22"/>
          <w:szCs w:val="22"/>
        </w:rPr>
        <w:t>Klaritromycín aj</w:t>
      </w:r>
      <w:r>
        <w:rPr>
          <w:sz w:val="22"/>
          <w:szCs w:val="22"/>
        </w:rPr>
        <w:t> </w:t>
      </w:r>
      <w:r>
        <w:rPr>
          <w:bCs/>
          <w:sz w:val="22"/>
          <w:szCs w:val="22"/>
        </w:rPr>
        <w:t>atazanavir sú substrátmi a</w:t>
      </w:r>
      <w:r>
        <w:rPr>
          <w:sz w:val="22"/>
          <w:szCs w:val="22"/>
        </w:rPr>
        <w:t> </w:t>
      </w:r>
      <w:r>
        <w:rPr>
          <w:bCs/>
          <w:sz w:val="22"/>
          <w:szCs w:val="22"/>
        </w:rPr>
        <w:t>inhibítormi CYP3A a bola dokázaná obojsmerná lieková interakcia. Súbežné podávanie klaritromycínu (500 mg dvakrát denne) s</w:t>
      </w:r>
      <w:r>
        <w:rPr>
          <w:sz w:val="22"/>
          <w:szCs w:val="22"/>
        </w:rPr>
        <w:t> </w:t>
      </w:r>
      <w:r>
        <w:rPr>
          <w:bCs/>
          <w:sz w:val="22"/>
          <w:szCs w:val="22"/>
        </w:rPr>
        <w:t>atazanavirom (400 mg jedenkrát denne) viedlo k 2-násobnému zvýšeniu expozície klaritromycínu a</w:t>
      </w:r>
      <w:r>
        <w:rPr>
          <w:sz w:val="22"/>
          <w:szCs w:val="22"/>
        </w:rPr>
        <w:t> </w:t>
      </w:r>
      <w:r>
        <w:rPr>
          <w:bCs/>
          <w:sz w:val="22"/>
          <w:szCs w:val="22"/>
        </w:rPr>
        <w:t>70 % zníženiu expozície 14-hydroxyklaritromycínu s</w:t>
      </w:r>
      <w:r>
        <w:rPr>
          <w:sz w:val="22"/>
          <w:szCs w:val="22"/>
        </w:rPr>
        <w:t> </w:t>
      </w:r>
      <w:r>
        <w:rPr>
          <w:bCs/>
          <w:sz w:val="22"/>
          <w:szCs w:val="22"/>
        </w:rPr>
        <w:t>28 % zvýšením hodnoty AUC atazanaviru. Kvôli širokému terapeutickému oknu klaritromycínu nie je u pacientov s normálnou funkciou obličiek potrebné zníženie dávok. U pacientov so stredne závažným poškodením obličiek (klírens kreatinínu 30 až 60 ml/min) sa majú dávky klaritromycínu znížiť o 50 %. U pacientov s klírensom kreatinínu &lt; 30</w:t>
      </w:r>
      <w:r>
        <w:rPr>
          <w:sz w:val="22"/>
          <w:szCs w:val="22"/>
        </w:rPr>
        <w:t> </w:t>
      </w:r>
      <w:r>
        <w:rPr>
          <w:bCs/>
          <w:sz w:val="22"/>
          <w:szCs w:val="22"/>
        </w:rPr>
        <w:t>ml/min sa má dávka klaritromycínu znížiť o 75 % s použitím vhodnej liekovej formy klaritromycínu. Dávky klaritromycínu vyššie ako 1000 mg denne sa nemajú podávať s inhibítormi proteázy.</w:t>
      </w:r>
    </w:p>
    <w:p w14:paraId="5F59329B" w14:textId="77777777" w:rsidR="009F74F8" w:rsidRPr="008166BF" w:rsidRDefault="009F74F8" w:rsidP="00AE5A83">
      <w:pPr>
        <w:autoSpaceDE w:val="0"/>
        <w:autoSpaceDN w:val="0"/>
        <w:adjustRightInd w:val="0"/>
        <w:rPr>
          <w:bCs/>
          <w:sz w:val="22"/>
          <w:szCs w:val="22"/>
        </w:rPr>
      </w:pPr>
    </w:p>
    <w:p w14:paraId="7BF73B4C" w14:textId="77777777" w:rsidR="009F74F8" w:rsidRPr="008166BF" w:rsidRDefault="006959C2" w:rsidP="00AE5A83">
      <w:pPr>
        <w:autoSpaceDE w:val="0"/>
        <w:autoSpaceDN w:val="0"/>
        <w:adjustRightInd w:val="0"/>
        <w:rPr>
          <w:bCs/>
          <w:sz w:val="22"/>
          <w:szCs w:val="22"/>
          <w:u w:val="single"/>
        </w:rPr>
      </w:pPr>
      <w:r>
        <w:rPr>
          <w:bCs/>
          <w:sz w:val="22"/>
          <w:szCs w:val="22"/>
          <w:u w:val="single"/>
        </w:rPr>
        <w:t>Blokátory kalciového kanála</w:t>
      </w:r>
    </w:p>
    <w:p w14:paraId="56AACE64" w14:textId="77777777" w:rsidR="009F74F8" w:rsidRPr="008166BF" w:rsidRDefault="006959C2" w:rsidP="00AE5A83">
      <w:pPr>
        <w:rPr>
          <w:sz w:val="22"/>
          <w:szCs w:val="22"/>
        </w:rPr>
      </w:pPr>
      <w:r>
        <w:rPr>
          <w:sz w:val="22"/>
          <w:szCs w:val="22"/>
        </w:rPr>
        <w:t xml:space="preserve">Pri súbežnom užívaní klaritromycínu s blokátormi kalciového kanála, ktoré sa metabolizujú CYP3A4 (napr. verapamil, amlodipín, diltiazem) sa z dôvodu rizika hypotenzie odporúča opatrnosť. Plazmatické koncentrácie klaritromycínu, ako aj blokátorov kalciového kanála sa v dôsledku interakcie môžu zvýšiť. U pacientov súbežne užívajúcich klaritromycín a verapamil sa pozorovala hypotenzia, bradyarytmie a laktátová acidóza. </w:t>
      </w:r>
    </w:p>
    <w:p w14:paraId="71BCAEDD" w14:textId="77777777" w:rsidR="009F74F8" w:rsidRPr="008166BF" w:rsidRDefault="009F74F8" w:rsidP="00AE5A83">
      <w:pPr>
        <w:autoSpaceDE w:val="0"/>
        <w:autoSpaceDN w:val="0"/>
        <w:adjustRightInd w:val="0"/>
        <w:rPr>
          <w:bCs/>
          <w:sz w:val="22"/>
          <w:szCs w:val="22"/>
          <w:u w:val="single"/>
        </w:rPr>
      </w:pPr>
    </w:p>
    <w:p w14:paraId="6E8D3AA2" w14:textId="77777777" w:rsidR="009F74F8" w:rsidRPr="008166BF" w:rsidRDefault="006959C2" w:rsidP="00AE5A83">
      <w:pPr>
        <w:autoSpaceDE w:val="0"/>
        <w:autoSpaceDN w:val="0"/>
        <w:adjustRightInd w:val="0"/>
        <w:rPr>
          <w:bCs/>
          <w:sz w:val="22"/>
          <w:szCs w:val="22"/>
          <w:u w:val="single"/>
        </w:rPr>
      </w:pPr>
      <w:r>
        <w:rPr>
          <w:bCs/>
          <w:sz w:val="22"/>
          <w:szCs w:val="22"/>
          <w:u w:val="single"/>
        </w:rPr>
        <w:t>Itrakonazol</w:t>
      </w:r>
    </w:p>
    <w:p w14:paraId="3B0F5DDA" w14:textId="77777777" w:rsidR="009F74F8" w:rsidRPr="008166BF" w:rsidRDefault="006959C2" w:rsidP="00AE5A83">
      <w:pPr>
        <w:autoSpaceDE w:val="0"/>
        <w:autoSpaceDN w:val="0"/>
        <w:adjustRightInd w:val="0"/>
        <w:rPr>
          <w:bCs/>
          <w:sz w:val="22"/>
          <w:szCs w:val="22"/>
        </w:rPr>
      </w:pPr>
      <w:r>
        <w:rPr>
          <w:bCs/>
          <w:sz w:val="22"/>
          <w:szCs w:val="22"/>
        </w:rPr>
        <w:t>Klaritromycín aj itrakonazol sú substrátmi a inhibítormi CYP3A, čo vedie k obojsmernej liekovej interakcii. Klaritromycín môže zvyšovať plazmatické hladiny itrakonazolu, kým itrakonazol môže zvyšovať plazmatické hladiny klaritromycínu. Pacientov, ktorí súbežne užívajú itrakonazol a</w:t>
      </w:r>
      <w:r>
        <w:rPr>
          <w:sz w:val="22"/>
          <w:szCs w:val="22"/>
        </w:rPr>
        <w:t> </w:t>
      </w:r>
      <w:r>
        <w:rPr>
          <w:bCs/>
          <w:sz w:val="22"/>
          <w:szCs w:val="22"/>
        </w:rPr>
        <w:t>klaritromycín, je potrebné starostlivo sledovať kvôli prejavom alebo príznakom zosilneného alebo predĺženého farmakologického účinku.</w:t>
      </w:r>
    </w:p>
    <w:p w14:paraId="5790378E" w14:textId="77777777" w:rsidR="009F74F8" w:rsidRPr="008166BF" w:rsidRDefault="009F74F8" w:rsidP="00AE5A83">
      <w:pPr>
        <w:autoSpaceDE w:val="0"/>
        <w:autoSpaceDN w:val="0"/>
        <w:adjustRightInd w:val="0"/>
        <w:rPr>
          <w:bCs/>
          <w:sz w:val="22"/>
          <w:szCs w:val="22"/>
        </w:rPr>
      </w:pPr>
    </w:p>
    <w:p w14:paraId="52B027BD" w14:textId="77777777" w:rsidR="009F74F8" w:rsidRPr="008166BF" w:rsidRDefault="006959C2" w:rsidP="00AE5A83">
      <w:pPr>
        <w:autoSpaceDE w:val="0"/>
        <w:autoSpaceDN w:val="0"/>
        <w:adjustRightInd w:val="0"/>
        <w:rPr>
          <w:bCs/>
          <w:sz w:val="22"/>
          <w:szCs w:val="22"/>
          <w:u w:val="single"/>
        </w:rPr>
      </w:pPr>
      <w:r>
        <w:rPr>
          <w:bCs/>
          <w:sz w:val="22"/>
          <w:szCs w:val="22"/>
          <w:u w:val="single"/>
        </w:rPr>
        <w:t>Sachinavir</w:t>
      </w:r>
    </w:p>
    <w:p w14:paraId="4AF15FBE" w14:textId="6289DC1C" w:rsidR="009F74F8" w:rsidRPr="008166BF" w:rsidRDefault="006959C2" w:rsidP="00AE5A83">
      <w:pPr>
        <w:autoSpaceDE w:val="0"/>
        <w:autoSpaceDN w:val="0"/>
        <w:adjustRightInd w:val="0"/>
        <w:rPr>
          <w:bCs/>
          <w:iCs/>
          <w:sz w:val="22"/>
          <w:szCs w:val="22"/>
        </w:rPr>
      </w:pPr>
      <w:r>
        <w:rPr>
          <w:bCs/>
          <w:sz w:val="22"/>
          <w:szCs w:val="22"/>
        </w:rPr>
        <w:t>Klaritromycín aj</w:t>
      </w:r>
      <w:r>
        <w:rPr>
          <w:sz w:val="22"/>
          <w:szCs w:val="22"/>
        </w:rPr>
        <w:t> </w:t>
      </w:r>
      <w:r>
        <w:rPr>
          <w:bCs/>
          <w:sz w:val="22"/>
          <w:szCs w:val="22"/>
        </w:rPr>
        <w:t>sachinavir sú substrátmi a</w:t>
      </w:r>
      <w:r>
        <w:rPr>
          <w:sz w:val="22"/>
          <w:szCs w:val="22"/>
        </w:rPr>
        <w:t> </w:t>
      </w:r>
      <w:r>
        <w:rPr>
          <w:bCs/>
          <w:sz w:val="22"/>
          <w:szCs w:val="22"/>
        </w:rPr>
        <w:t>inhibítormi CYP3A a bola dokázaná obojsmerná lieková interakcia. Pri súbežnom podávaní klaritromycínu (500 mg dva</w:t>
      </w:r>
      <w:r>
        <w:rPr>
          <w:sz w:val="22"/>
          <w:szCs w:val="22"/>
        </w:rPr>
        <w:t>krát</w:t>
      </w:r>
      <w:r>
        <w:rPr>
          <w:bCs/>
          <w:sz w:val="22"/>
          <w:szCs w:val="22"/>
        </w:rPr>
        <w:t xml:space="preserve"> denne) a sachinaviru (mäkké želatínové kapsuly, 1200 mg tri</w:t>
      </w:r>
      <w:r>
        <w:rPr>
          <w:sz w:val="22"/>
          <w:szCs w:val="22"/>
        </w:rPr>
        <w:t>krát</w:t>
      </w:r>
      <w:r>
        <w:rPr>
          <w:bCs/>
          <w:sz w:val="22"/>
          <w:szCs w:val="22"/>
        </w:rPr>
        <w:t xml:space="preserve"> denne) 12 zdravým dobrovoľníkom boli hodnoty AUC sachinaviru v rovnovážnom stave o 177 % vyššie a hodnoty C</w:t>
      </w:r>
      <w:r>
        <w:rPr>
          <w:bCs/>
          <w:sz w:val="22"/>
          <w:szCs w:val="22"/>
          <w:vertAlign w:val="subscript"/>
        </w:rPr>
        <w:t>max</w:t>
      </w:r>
      <w:r>
        <w:rPr>
          <w:bCs/>
          <w:sz w:val="22"/>
          <w:szCs w:val="22"/>
        </w:rPr>
        <w:t xml:space="preserve"> sachinaviru v rovnovážnom stave o 187 % vyššie ako tie, ktoré sa pozorovali pri podávaní samotného sachinaviru. Hodnoty AUC a</w:t>
      </w:r>
      <w:r>
        <w:rPr>
          <w:sz w:val="22"/>
          <w:szCs w:val="22"/>
        </w:rPr>
        <w:t> </w:t>
      </w:r>
      <w:r>
        <w:rPr>
          <w:bCs/>
          <w:sz w:val="22"/>
          <w:szCs w:val="22"/>
        </w:rPr>
        <w:t>C</w:t>
      </w:r>
      <w:r>
        <w:rPr>
          <w:bCs/>
          <w:sz w:val="22"/>
          <w:szCs w:val="22"/>
          <w:vertAlign w:val="subscript"/>
        </w:rPr>
        <w:t>max</w:t>
      </w:r>
      <w:r>
        <w:rPr>
          <w:bCs/>
          <w:sz w:val="22"/>
          <w:szCs w:val="22"/>
        </w:rPr>
        <w:t xml:space="preserve"> klaritromycínu boli približne o 40 % vyššie ako tie, ktoré sa pozorovali pri podávaní samotného klaritromycínu. Ak sa oba lieky podávajú súbežne obmedzenú dobu a v sledovaných dávkach/liekových formách, nie je potrebná žiadna úprava dávky. Pozorovania zo štúdií liekových interakcií s mäkkými želatínovými kapsulami nemusia zodpovedať účinkom, ktoré sa pozorujú pri užívaní sachinaviru vo forme tvrdých želatínových kapsúl. Pozorovania zo štúdií liekových interakcií so</w:t>
      </w:r>
      <w:r>
        <w:rPr>
          <w:sz w:val="22"/>
          <w:szCs w:val="22"/>
        </w:rPr>
        <w:t> </w:t>
      </w:r>
      <w:r>
        <w:rPr>
          <w:bCs/>
          <w:sz w:val="22"/>
          <w:szCs w:val="22"/>
        </w:rPr>
        <w:t xml:space="preserve">samotným sachinavirom nemusia zodpovedať účinkom pozorovaným pri liečbe </w:t>
      </w:r>
      <w:r>
        <w:rPr>
          <w:bCs/>
          <w:sz w:val="22"/>
          <w:szCs w:val="22"/>
        </w:rPr>
        <w:lastRenderedPageBreak/>
        <w:t>sachinavirom/ritonavirom. Pri súbežnom podávaní sachinaviru s ritonavirom je potrebné zvážiť možné účinky ritonaviru na klaritromycín (pozri časť 4.5)</w:t>
      </w:r>
      <w:r>
        <w:rPr>
          <w:bCs/>
          <w:iCs/>
          <w:sz w:val="22"/>
          <w:szCs w:val="22"/>
        </w:rPr>
        <w:t>.</w:t>
      </w:r>
    </w:p>
    <w:p w14:paraId="28F2CCF3" w14:textId="77777777" w:rsidR="009F74F8" w:rsidRPr="008166BF" w:rsidRDefault="009F74F8" w:rsidP="00575219">
      <w:pPr>
        <w:ind w:left="540" w:hanging="540"/>
        <w:rPr>
          <w:b/>
          <w:bCs/>
          <w:sz w:val="22"/>
          <w:szCs w:val="22"/>
        </w:rPr>
      </w:pPr>
    </w:p>
    <w:p w14:paraId="05AD405A" w14:textId="77777777" w:rsidR="009F74F8" w:rsidRPr="008166BF" w:rsidRDefault="006959C2" w:rsidP="00575219">
      <w:pPr>
        <w:ind w:left="540" w:hanging="540"/>
        <w:rPr>
          <w:sz w:val="22"/>
          <w:szCs w:val="22"/>
        </w:rPr>
      </w:pPr>
      <w:r>
        <w:rPr>
          <w:b/>
          <w:bCs/>
          <w:sz w:val="22"/>
          <w:szCs w:val="22"/>
        </w:rPr>
        <w:t>4.6</w:t>
      </w:r>
      <w:r>
        <w:rPr>
          <w:b/>
          <w:bCs/>
          <w:sz w:val="22"/>
          <w:szCs w:val="22"/>
        </w:rPr>
        <w:tab/>
        <w:t>Fertilita, g</w:t>
      </w:r>
      <w:r>
        <w:rPr>
          <w:b/>
          <w:sz w:val="22"/>
          <w:szCs w:val="22"/>
        </w:rPr>
        <w:t>ravidita a laktácia</w:t>
      </w:r>
    </w:p>
    <w:p w14:paraId="628A6767" w14:textId="77777777" w:rsidR="009F74F8" w:rsidRPr="008166BF" w:rsidRDefault="009F74F8">
      <w:pPr>
        <w:rPr>
          <w:b/>
          <w:bCs/>
          <w:sz w:val="22"/>
          <w:szCs w:val="22"/>
        </w:rPr>
      </w:pPr>
    </w:p>
    <w:p w14:paraId="72ADC8C9" w14:textId="77777777" w:rsidR="009F74F8" w:rsidRPr="008166BF" w:rsidRDefault="006959C2" w:rsidP="00705EAB">
      <w:pPr>
        <w:pStyle w:val="Zkladntext"/>
        <w:suppressAutoHyphens/>
        <w:ind w:left="567" w:hanging="567"/>
        <w:jc w:val="both"/>
        <w:rPr>
          <w:sz w:val="22"/>
          <w:szCs w:val="22"/>
          <w:u w:val="single"/>
        </w:rPr>
      </w:pPr>
      <w:r>
        <w:rPr>
          <w:sz w:val="22"/>
          <w:szCs w:val="22"/>
          <w:u w:val="single"/>
        </w:rPr>
        <w:t>Gravidita</w:t>
      </w:r>
    </w:p>
    <w:p w14:paraId="0FFCB637" w14:textId="77777777" w:rsidR="009F74F8" w:rsidRPr="008166BF" w:rsidRDefault="006959C2" w:rsidP="009865FC">
      <w:pPr>
        <w:pStyle w:val="Zkladntext"/>
        <w:suppressAutoHyphens/>
        <w:rPr>
          <w:sz w:val="22"/>
          <w:szCs w:val="22"/>
        </w:rPr>
      </w:pPr>
      <w:r>
        <w:rPr>
          <w:sz w:val="22"/>
          <w:szCs w:val="22"/>
        </w:rPr>
        <w:t>Bezpečnosť užívania klaritromycínu počas gravidity sa nestanovila. Na základe rôznych výsledkov získaných zo štúdií na myšiach, potkanoch, králikoch a opiciach nemožno vylúčiť možné nežiaduce účinky na embryofetálny vývoj. Preto sa užívanie klaritromycínu počas gravidity bez starostlivého zváženia pomeru prínosu a riziku neodporúča.</w:t>
      </w:r>
    </w:p>
    <w:p w14:paraId="6CE724BC" w14:textId="77777777" w:rsidR="009F74F8" w:rsidRPr="008166BF" w:rsidRDefault="009F74F8">
      <w:pPr>
        <w:rPr>
          <w:sz w:val="22"/>
          <w:szCs w:val="22"/>
        </w:rPr>
      </w:pPr>
    </w:p>
    <w:p w14:paraId="7A792872" w14:textId="77777777" w:rsidR="009F74F8" w:rsidRPr="008166BF" w:rsidRDefault="006959C2" w:rsidP="00705EAB">
      <w:pPr>
        <w:pStyle w:val="Zkladntext"/>
        <w:suppressAutoHyphens/>
        <w:rPr>
          <w:sz w:val="22"/>
          <w:szCs w:val="22"/>
          <w:u w:val="single"/>
        </w:rPr>
      </w:pPr>
      <w:r>
        <w:rPr>
          <w:sz w:val="22"/>
          <w:szCs w:val="22"/>
          <w:u w:val="single"/>
        </w:rPr>
        <w:t>Dojčenie</w:t>
      </w:r>
    </w:p>
    <w:p w14:paraId="151189D7" w14:textId="77777777" w:rsidR="009F74F8" w:rsidRPr="008166BF" w:rsidRDefault="006959C2" w:rsidP="00705EAB">
      <w:pPr>
        <w:pStyle w:val="Zkladntext"/>
        <w:suppressAutoHyphens/>
        <w:rPr>
          <w:sz w:val="22"/>
          <w:szCs w:val="22"/>
          <w:u w:val="single"/>
        </w:rPr>
      </w:pPr>
      <w:r>
        <w:rPr>
          <w:sz w:val="22"/>
          <w:szCs w:val="22"/>
        </w:rPr>
        <w:t>Bezpečnosť užívania klaritromycínu počas dojčenia sa nestanovila.</w:t>
      </w:r>
    </w:p>
    <w:p w14:paraId="5CE1AA49" w14:textId="77777777" w:rsidR="009F74F8" w:rsidRDefault="006959C2" w:rsidP="00705EAB">
      <w:pPr>
        <w:pStyle w:val="Zkladntext"/>
        <w:suppressAutoHyphens/>
        <w:rPr>
          <w:sz w:val="22"/>
          <w:szCs w:val="22"/>
        </w:rPr>
      </w:pPr>
      <w:r>
        <w:rPr>
          <w:sz w:val="22"/>
          <w:szCs w:val="22"/>
        </w:rPr>
        <w:t>Klaritromycín sa vylučuje do ľudského materského mlieka.</w:t>
      </w:r>
    </w:p>
    <w:p w14:paraId="584EA0AA" w14:textId="77777777" w:rsidR="00296294" w:rsidRDefault="00296294" w:rsidP="00705EAB">
      <w:pPr>
        <w:pStyle w:val="Zkladntext"/>
        <w:suppressAutoHyphens/>
        <w:rPr>
          <w:sz w:val="22"/>
          <w:szCs w:val="22"/>
        </w:rPr>
      </w:pPr>
    </w:p>
    <w:p w14:paraId="5B76740C" w14:textId="77777777" w:rsidR="00296294" w:rsidRPr="003459B4" w:rsidRDefault="00296294" w:rsidP="00705EAB">
      <w:pPr>
        <w:pStyle w:val="Zkladntext"/>
        <w:suppressAutoHyphens/>
        <w:rPr>
          <w:sz w:val="22"/>
          <w:szCs w:val="22"/>
          <w:u w:val="single"/>
        </w:rPr>
      </w:pPr>
      <w:r w:rsidRPr="003459B4">
        <w:rPr>
          <w:sz w:val="22"/>
          <w:szCs w:val="22"/>
          <w:u w:val="single"/>
        </w:rPr>
        <w:t>Fertilita</w:t>
      </w:r>
    </w:p>
    <w:p w14:paraId="6A4EC57A" w14:textId="77777777" w:rsidR="009F74F8" w:rsidRDefault="00296294">
      <w:pPr>
        <w:rPr>
          <w:sz w:val="22"/>
          <w:szCs w:val="22"/>
        </w:rPr>
      </w:pPr>
      <w:r>
        <w:rPr>
          <w:sz w:val="22"/>
          <w:szCs w:val="22"/>
        </w:rPr>
        <w:t>K dispozícii nie sú údaje o účinku klaritromycínu na fertilitu u ľudí. Štúdie fertlity na potkanoch nepreukázali škodlivé účinky.</w:t>
      </w:r>
    </w:p>
    <w:p w14:paraId="6AFAC058" w14:textId="77777777" w:rsidR="00296294" w:rsidRPr="008166BF" w:rsidRDefault="00296294">
      <w:pPr>
        <w:rPr>
          <w:sz w:val="22"/>
          <w:szCs w:val="22"/>
        </w:rPr>
      </w:pPr>
    </w:p>
    <w:p w14:paraId="30B1E6CE" w14:textId="77777777" w:rsidR="009F74F8" w:rsidRPr="008166BF" w:rsidRDefault="006959C2" w:rsidP="00E80E68">
      <w:pPr>
        <w:numPr>
          <w:ilvl w:val="1"/>
          <w:numId w:val="21"/>
        </w:numPr>
        <w:tabs>
          <w:tab w:val="clear" w:pos="360"/>
        </w:tabs>
        <w:ind w:left="540" w:hanging="540"/>
        <w:rPr>
          <w:b/>
          <w:bCs/>
          <w:sz w:val="22"/>
          <w:szCs w:val="22"/>
        </w:rPr>
      </w:pPr>
      <w:r>
        <w:rPr>
          <w:b/>
          <w:bCs/>
          <w:sz w:val="22"/>
          <w:szCs w:val="22"/>
        </w:rPr>
        <w:t>Ovplyvnenie schopnosti viesť vozidlá a obsluhovať stroje</w:t>
      </w:r>
    </w:p>
    <w:p w14:paraId="33F049F9" w14:textId="77777777" w:rsidR="009F74F8" w:rsidRPr="008166BF" w:rsidRDefault="009F74F8" w:rsidP="00E6015E">
      <w:pPr>
        <w:rPr>
          <w:b/>
          <w:bCs/>
          <w:sz w:val="22"/>
          <w:szCs w:val="22"/>
        </w:rPr>
      </w:pPr>
    </w:p>
    <w:p w14:paraId="2452A6D5" w14:textId="77777777" w:rsidR="009F74F8" w:rsidRPr="008166BF" w:rsidRDefault="006959C2">
      <w:pPr>
        <w:rPr>
          <w:sz w:val="22"/>
          <w:szCs w:val="22"/>
        </w:rPr>
      </w:pPr>
      <w:r>
        <w:rPr>
          <w:sz w:val="22"/>
          <w:szCs w:val="22"/>
        </w:rPr>
        <w:t>Nie sú k dispozícii údaje o účinkoch klaritromycínu na schopnosť viesť vozidlá alebo obsluhovať stroje. Predtým, ako budú pacienti viesť vozidlá alebo obsluhovať stroje, je potrebné vziať do úvahy možnosť výskytu závratov, vertiga, zmätenosti a dezorientácie, ktoré sa môžu počas liečby objaviť.</w:t>
      </w:r>
      <w:r w:rsidR="005068B9">
        <w:rPr>
          <w:sz w:val="22"/>
          <w:szCs w:val="22"/>
        </w:rPr>
        <w:t xml:space="preserve"> Zhoršenie zraku a rozmazané videnie môže mať vplyv na pacientovu schopnosť viesť vozidlá alebo obsluhovať stroje (pozri časť 4.8).</w:t>
      </w:r>
    </w:p>
    <w:p w14:paraId="11D6F6E6" w14:textId="77777777" w:rsidR="009F74F8" w:rsidRPr="008166BF" w:rsidRDefault="009F74F8">
      <w:pPr>
        <w:rPr>
          <w:sz w:val="22"/>
          <w:szCs w:val="22"/>
        </w:rPr>
      </w:pPr>
    </w:p>
    <w:p w14:paraId="7ECA8DE6" w14:textId="77777777" w:rsidR="009F74F8" w:rsidRPr="008166BF" w:rsidRDefault="006959C2" w:rsidP="00575219">
      <w:pPr>
        <w:ind w:left="540" w:hanging="540"/>
        <w:rPr>
          <w:b/>
          <w:bCs/>
          <w:sz w:val="22"/>
          <w:szCs w:val="22"/>
        </w:rPr>
      </w:pPr>
      <w:r>
        <w:rPr>
          <w:b/>
          <w:bCs/>
          <w:sz w:val="22"/>
          <w:szCs w:val="22"/>
        </w:rPr>
        <w:t>4.8</w:t>
      </w:r>
      <w:r>
        <w:rPr>
          <w:b/>
          <w:bCs/>
          <w:sz w:val="22"/>
          <w:szCs w:val="22"/>
        </w:rPr>
        <w:tab/>
        <w:t>Nežiaduce účinky</w:t>
      </w:r>
    </w:p>
    <w:p w14:paraId="3BB2A12C" w14:textId="77777777" w:rsidR="009F74F8" w:rsidRPr="008166BF" w:rsidRDefault="009F74F8">
      <w:pPr>
        <w:rPr>
          <w:sz w:val="22"/>
          <w:szCs w:val="22"/>
        </w:rPr>
      </w:pPr>
    </w:p>
    <w:p w14:paraId="4EDDEF1F" w14:textId="77777777" w:rsidR="008B2037" w:rsidRDefault="009A51D6">
      <w:pPr>
        <w:jc w:val="both"/>
        <w:rPr>
          <w:b/>
          <w:sz w:val="22"/>
          <w:szCs w:val="22"/>
          <w:u w:val="single"/>
        </w:rPr>
      </w:pPr>
      <w:r w:rsidRPr="009A51D6">
        <w:rPr>
          <w:b/>
          <w:sz w:val="22"/>
          <w:szCs w:val="22"/>
          <w:u w:val="single"/>
        </w:rPr>
        <w:t>Súhrn profilu bezpečnosti</w:t>
      </w:r>
    </w:p>
    <w:p w14:paraId="332B65CF" w14:textId="77777777" w:rsidR="009F74F8" w:rsidRPr="008166BF" w:rsidRDefault="006959C2" w:rsidP="00C231A8">
      <w:pPr>
        <w:rPr>
          <w:sz w:val="22"/>
          <w:szCs w:val="22"/>
        </w:rPr>
      </w:pPr>
      <w:r>
        <w:rPr>
          <w:sz w:val="22"/>
          <w:szCs w:val="22"/>
        </w:rPr>
        <w:t>Najčastejšie bežne sa  vyskytujúce nežiaduce účinky súvisiace s liečbou klaritromycínom u dospelých aj pediatrických pacientov sú abdominálna bolesť, hnačka, nauzea, vracanie a zmeny vnímania chuti. Tieto nežiaduce účinky sú zvyčajne mierne a zodpovedajú známemu profilu bezpečnosti makrolidových antibiotík.</w:t>
      </w:r>
    </w:p>
    <w:p w14:paraId="22ED7F1B" w14:textId="77777777" w:rsidR="009F74F8" w:rsidRPr="008166BF" w:rsidRDefault="009F74F8" w:rsidP="00C231A8">
      <w:pPr>
        <w:rPr>
          <w:sz w:val="22"/>
          <w:szCs w:val="22"/>
        </w:rPr>
      </w:pPr>
    </w:p>
    <w:p w14:paraId="0C31FE89" w14:textId="77777777" w:rsidR="009F74F8" w:rsidRPr="008166BF" w:rsidRDefault="006959C2" w:rsidP="00C231A8">
      <w:pPr>
        <w:rPr>
          <w:sz w:val="22"/>
          <w:szCs w:val="22"/>
        </w:rPr>
      </w:pPr>
      <w:r>
        <w:rPr>
          <w:sz w:val="22"/>
          <w:szCs w:val="22"/>
        </w:rPr>
        <w:t>Počas klinických skúšaní nebol medzi pacientmi s existujúcou mykobakteriálnou infekciou alebo bez nej žiadny signifikantný rozdiel vo výskyte týchto gastrointestinálnych nežiaducich reakcií.</w:t>
      </w:r>
    </w:p>
    <w:p w14:paraId="74FE8B6F" w14:textId="77777777" w:rsidR="009F74F8" w:rsidRPr="008166BF" w:rsidRDefault="009F74F8" w:rsidP="00C231A8">
      <w:pPr>
        <w:rPr>
          <w:sz w:val="22"/>
          <w:szCs w:val="22"/>
        </w:rPr>
      </w:pPr>
    </w:p>
    <w:p w14:paraId="64380DF8" w14:textId="77777777" w:rsidR="008B2037" w:rsidRDefault="009A51D6">
      <w:pPr>
        <w:rPr>
          <w:b/>
          <w:sz w:val="22"/>
          <w:szCs w:val="22"/>
          <w:u w:val="single"/>
        </w:rPr>
      </w:pPr>
      <w:r w:rsidRPr="009A51D6">
        <w:rPr>
          <w:b/>
          <w:sz w:val="22"/>
          <w:szCs w:val="22"/>
          <w:u w:val="single"/>
        </w:rPr>
        <w:t xml:space="preserve">Zoznam nežiaducich účinkov </w:t>
      </w:r>
    </w:p>
    <w:p w14:paraId="557CCB9E" w14:textId="77777777" w:rsidR="009F74F8" w:rsidRPr="008166BF" w:rsidRDefault="006959C2" w:rsidP="00C231A8">
      <w:pPr>
        <w:rPr>
          <w:sz w:val="22"/>
          <w:szCs w:val="22"/>
        </w:rPr>
      </w:pPr>
      <w:r>
        <w:rPr>
          <w:sz w:val="22"/>
          <w:szCs w:val="22"/>
        </w:rPr>
        <w:t>V nasledujúcom zozname sú uvedené nežiaduce reakcie hlásené počas klinických skúšaní a po uvedení klaritromycínu na trh vo forme tabliet s okamžitým uvoľňovaním, granulátu na perorálnu suspenziu, prášku na injekčný roztok, tabliet s predĺženým uvoľňovaním a tabliet s riadeným uvoľňovaním.</w:t>
      </w:r>
    </w:p>
    <w:p w14:paraId="2F9C5526" w14:textId="77777777" w:rsidR="009F74F8" w:rsidRPr="008166BF" w:rsidRDefault="009F74F8" w:rsidP="00C231A8">
      <w:pPr>
        <w:rPr>
          <w:sz w:val="22"/>
          <w:szCs w:val="22"/>
        </w:rPr>
      </w:pPr>
    </w:p>
    <w:p w14:paraId="1B7B6A19" w14:textId="77777777" w:rsidR="009F74F8" w:rsidRPr="008166BF" w:rsidRDefault="006959C2" w:rsidP="00C231A8">
      <w:pPr>
        <w:rPr>
          <w:sz w:val="22"/>
          <w:szCs w:val="22"/>
        </w:rPr>
      </w:pPr>
      <w:r>
        <w:rPr>
          <w:sz w:val="22"/>
          <w:szCs w:val="22"/>
        </w:rPr>
        <w:t>Reakcie považované za minimálne prevdepodobne súvisiace s klaritromycínom sú uvedené podľa tried orgánových systémov a frekvencie s použitím nasledujúcej konvencie: veľmi časté (≥ 1/10), časté (≥ 1/100 až &lt; 1/10), menej časté (≥ 1/1000 až &lt; 1/100) a neznáme (nežiaduce reakcie hlásené po uvedení lieku na trh; častosť sa nedá odhadnúť z dostupných údajov). V rámci každej skupiny frekvencie sú nežiaduce účinky uvedené v poradí klesajúcej závažnosti, ak je možné závažnosť zhodnotiť.</w:t>
      </w:r>
    </w:p>
    <w:p w14:paraId="68A20C02" w14:textId="77777777" w:rsidR="009F74F8" w:rsidRPr="008166BF" w:rsidRDefault="009F74F8" w:rsidP="00C231A8">
      <w:pPr>
        <w:rPr>
          <w:sz w:val="22"/>
          <w:szCs w:val="22"/>
        </w:rPr>
      </w:pPr>
    </w:p>
    <w:p w14:paraId="2BB39B25" w14:textId="77777777" w:rsidR="009F74F8" w:rsidRPr="008166BF" w:rsidRDefault="006959C2" w:rsidP="00C231A8">
      <w:pPr>
        <w:rPr>
          <w:sz w:val="22"/>
          <w:szCs w:val="22"/>
          <w:u w:val="single"/>
        </w:rPr>
      </w:pPr>
      <w:r>
        <w:rPr>
          <w:sz w:val="22"/>
          <w:szCs w:val="22"/>
          <w:u w:val="single"/>
        </w:rPr>
        <w:t>Infekcie a nákazy</w:t>
      </w:r>
    </w:p>
    <w:p w14:paraId="24539BEE" w14:textId="77777777" w:rsidR="009F74F8" w:rsidRPr="008166BF" w:rsidRDefault="003A41A2" w:rsidP="00D768B1">
      <w:pPr>
        <w:rPr>
          <w:sz w:val="22"/>
          <w:szCs w:val="22"/>
        </w:rPr>
      </w:pPr>
      <w:r w:rsidRPr="003A41A2">
        <w:rPr>
          <w:i/>
          <w:sz w:val="22"/>
          <w:szCs w:val="22"/>
        </w:rPr>
        <w:t>Menej časté:</w:t>
      </w:r>
      <w:r w:rsidR="006959C2">
        <w:rPr>
          <w:sz w:val="22"/>
          <w:szCs w:val="22"/>
        </w:rPr>
        <w:t xml:space="preserve"> </w:t>
      </w:r>
      <w:r w:rsidR="006959C2">
        <w:rPr>
          <w:color w:val="000000"/>
          <w:sz w:val="22"/>
          <w:szCs w:val="22"/>
        </w:rPr>
        <w:t>Celulitída</w:t>
      </w:r>
      <w:r w:rsidR="006959C2">
        <w:rPr>
          <w:bCs/>
          <w:color w:val="000000"/>
          <w:sz w:val="22"/>
          <w:szCs w:val="22"/>
          <w:vertAlign w:val="superscript"/>
        </w:rPr>
        <w:t>1</w:t>
      </w:r>
      <w:r w:rsidR="006959C2">
        <w:rPr>
          <w:color w:val="000000"/>
          <w:sz w:val="22"/>
          <w:szCs w:val="22"/>
        </w:rPr>
        <w:t>, kandidóza, gastroenteritída</w:t>
      </w:r>
      <w:r w:rsidR="006959C2">
        <w:rPr>
          <w:color w:val="000000"/>
          <w:sz w:val="22"/>
          <w:szCs w:val="22"/>
          <w:vertAlign w:val="superscript"/>
        </w:rPr>
        <w:t>2</w:t>
      </w:r>
      <w:r w:rsidR="006959C2">
        <w:rPr>
          <w:color w:val="000000"/>
          <w:sz w:val="22"/>
          <w:szCs w:val="22"/>
        </w:rPr>
        <w:t>, infekcia</w:t>
      </w:r>
      <w:r w:rsidR="006959C2">
        <w:rPr>
          <w:color w:val="000000"/>
          <w:sz w:val="22"/>
          <w:szCs w:val="22"/>
          <w:vertAlign w:val="superscript"/>
        </w:rPr>
        <w:t>3</w:t>
      </w:r>
      <w:r w:rsidR="006959C2">
        <w:rPr>
          <w:color w:val="000000"/>
          <w:sz w:val="22"/>
          <w:szCs w:val="22"/>
        </w:rPr>
        <w:t>, vaginálna infekcia</w:t>
      </w:r>
    </w:p>
    <w:p w14:paraId="3691C9DC" w14:textId="77777777" w:rsidR="009F74F8" w:rsidRPr="008166BF" w:rsidRDefault="003A41A2" w:rsidP="00D768B1">
      <w:pPr>
        <w:rPr>
          <w:sz w:val="22"/>
          <w:szCs w:val="22"/>
        </w:rPr>
      </w:pPr>
      <w:r w:rsidRPr="003A41A2">
        <w:rPr>
          <w:i/>
          <w:sz w:val="22"/>
          <w:szCs w:val="22"/>
        </w:rPr>
        <w:t>Neznáme</w:t>
      </w:r>
      <w:r w:rsidR="009A51D6" w:rsidRPr="00165F52">
        <w:rPr>
          <w:i/>
          <w:sz w:val="22"/>
          <w:szCs w:val="22"/>
        </w:rPr>
        <w:t>*</w:t>
      </w:r>
      <w:r w:rsidRPr="003A41A2">
        <w:rPr>
          <w:i/>
          <w:sz w:val="22"/>
          <w:szCs w:val="22"/>
        </w:rPr>
        <w:t>:</w:t>
      </w:r>
      <w:r w:rsidR="006959C2">
        <w:rPr>
          <w:color w:val="000000"/>
          <w:sz w:val="22"/>
          <w:szCs w:val="22"/>
        </w:rPr>
        <w:t xml:space="preserve"> Pseudomembranózna kolitída,</w:t>
      </w:r>
      <w:r w:rsidR="006959C2">
        <w:rPr>
          <w:iCs/>
          <w:color w:val="000000"/>
          <w:sz w:val="22"/>
          <w:szCs w:val="22"/>
        </w:rPr>
        <w:t xml:space="preserve"> eryzipel</w:t>
      </w:r>
    </w:p>
    <w:p w14:paraId="11F9D2F1" w14:textId="77777777" w:rsidR="009F74F8" w:rsidRPr="008166BF" w:rsidRDefault="009F74F8" w:rsidP="00C231A8">
      <w:pPr>
        <w:rPr>
          <w:sz w:val="22"/>
          <w:szCs w:val="22"/>
        </w:rPr>
      </w:pPr>
    </w:p>
    <w:p w14:paraId="381E2F1C" w14:textId="77777777" w:rsidR="009F74F8" w:rsidRPr="008166BF" w:rsidRDefault="006959C2" w:rsidP="00C231A8">
      <w:pPr>
        <w:rPr>
          <w:sz w:val="22"/>
          <w:szCs w:val="22"/>
          <w:u w:val="single"/>
        </w:rPr>
      </w:pPr>
      <w:r>
        <w:rPr>
          <w:sz w:val="22"/>
          <w:szCs w:val="22"/>
          <w:u w:val="single"/>
        </w:rPr>
        <w:lastRenderedPageBreak/>
        <w:t>Poruchy krvi a lymfatického systému</w:t>
      </w:r>
    </w:p>
    <w:p w14:paraId="79020A8D" w14:textId="77777777" w:rsidR="009F74F8" w:rsidRPr="008166BF" w:rsidRDefault="003A41A2" w:rsidP="0027322C">
      <w:pPr>
        <w:rPr>
          <w:sz w:val="22"/>
          <w:szCs w:val="22"/>
        </w:rPr>
      </w:pPr>
      <w:r w:rsidRPr="003A41A2">
        <w:rPr>
          <w:i/>
          <w:sz w:val="22"/>
          <w:szCs w:val="22"/>
        </w:rPr>
        <w:t>Menej časté:</w:t>
      </w:r>
      <w:r w:rsidR="006959C2">
        <w:rPr>
          <w:sz w:val="22"/>
          <w:szCs w:val="22"/>
        </w:rPr>
        <w:t xml:space="preserve"> </w:t>
      </w:r>
      <w:r w:rsidR="006959C2">
        <w:rPr>
          <w:color w:val="000000"/>
          <w:sz w:val="22"/>
          <w:szCs w:val="22"/>
        </w:rPr>
        <w:t>Leukopénia, neutropénia</w:t>
      </w:r>
      <w:r w:rsidR="006959C2">
        <w:rPr>
          <w:color w:val="000000"/>
          <w:sz w:val="22"/>
          <w:szCs w:val="22"/>
          <w:vertAlign w:val="superscript"/>
        </w:rPr>
        <w:t>4</w:t>
      </w:r>
      <w:r w:rsidR="006959C2">
        <w:rPr>
          <w:color w:val="000000"/>
          <w:sz w:val="22"/>
          <w:szCs w:val="22"/>
        </w:rPr>
        <w:t>, trombocytémia</w:t>
      </w:r>
      <w:r w:rsidR="006959C2">
        <w:rPr>
          <w:bCs/>
          <w:color w:val="000000"/>
          <w:sz w:val="22"/>
          <w:szCs w:val="22"/>
          <w:vertAlign w:val="superscript"/>
        </w:rPr>
        <w:t>3</w:t>
      </w:r>
      <w:r w:rsidR="006959C2">
        <w:rPr>
          <w:color w:val="000000"/>
          <w:sz w:val="22"/>
          <w:szCs w:val="22"/>
        </w:rPr>
        <w:t>, eozinofília</w:t>
      </w:r>
      <w:r w:rsidR="006959C2">
        <w:rPr>
          <w:color w:val="000000"/>
          <w:sz w:val="22"/>
          <w:szCs w:val="22"/>
          <w:vertAlign w:val="superscript"/>
        </w:rPr>
        <w:t>4</w:t>
      </w:r>
    </w:p>
    <w:p w14:paraId="5E5BCB11" w14:textId="77777777" w:rsidR="009F74F8" w:rsidRPr="008166BF" w:rsidRDefault="003A41A2" w:rsidP="0027322C">
      <w:pPr>
        <w:rPr>
          <w:sz w:val="22"/>
          <w:szCs w:val="22"/>
        </w:rPr>
      </w:pPr>
      <w:r w:rsidRPr="003A41A2">
        <w:rPr>
          <w:i/>
          <w:sz w:val="22"/>
          <w:szCs w:val="22"/>
        </w:rPr>
        <w:t>Neznáme</w:t>
      </w:r>
      <w:r w:rsidR="009A51D6" w:rsidRPr="00165F52">
        <w:rPr>
          <w:i/>
          <w:sz w:val="22"/>
          <w:szCs w:val="22"/>
        </w:rPr>
        <w:t>*</w:t>
      </w:r>
      <w:r w:rsidRPr="003A41A2">
        <w:rPr>
          <w:i/>
          <w:sz w:val="22"/>
          <w:szCs w:val="22"/>
        </w:rPr>
        <w:t>:</w:t>
      </w:r>
      <w:r w:rsidR="006959C2">
        <w:rPr>
          <w:color w:val="000000"/>
          <w:sz w:val="22"/>
          <w:szCs w:val="22"/>
        </w:rPr>
        <w:t xml:space="preserve"> Agranulocytóza, trombocytopénia</w:t>
      </w:r>
    </w:p>
    <w:p w14:paraId="028A3128" w14:textId="77777777" w:rsidR="009F74F8" w:rsidRPr="008166BF" w:rsidRDefault="009F74F8" w:rsidP="00C231A8">
      <w:pPr>
        <w:rPr>
          <w:sz w:val="22"/>
          <w:szCs w:val="22"/>
        </w:rPr>
      </w:pPr>
    </w:p>
    <w:p w14:paraId="0A8C872E" w14:textId="77777777" w:rsidR="009F74F8" w:rsidRPr="008166BF" w:rsidRDefault="006959C2" w:rsidP="00C231A8">
      <w:pPr>
        <w:rPr>
          <w:sz w:val="22"/>
          <w:szCs w:val="22"/>
          <w:u w:val="single"/>
        </w:rPr>
      </w:pPr>
      <w:r>
        <w:rPr>
          <w:color w:val="000000"/>
          <w:sz w:val="22"/>
          <w:szCs w:val="22"/>
          <w:u w:val="single"/>
        </w:rPr>
        <w:t>Poruchy imunitného systému</w:t>
      </w:r>
    </w:p>
    <w:p w14:paraId="4C2A934E" w14:textId="77777777" w:rsidR="009F74F8" w:rsidRPr="008166BF" w:rsidRDefault="003A41A2" w:rsidP="0027322C">
      <w:pPr>
        <w:rPr>
          <w:b/>
          <w:sz w:val="22"/>
          <w:szCs w:val="22"/>
        </w:rPr>
      </w:pPr>
      <w:r w:rsidRPr="003A41A2">
        <w:rPr>
          <w:i/>
          <w:sz w:val="22"/>
          <w:szCs w:val="22"/>
        </w:rPr>
        <w:t>Menej časté:</w:t>
      </w:r>
      <w:r w:rsidR="006959C2">
        <w:rPr>
          <w:b/>
          <w:sz w:val="22"/>
          <w:szCs w:val="22"/>
        </w:rPr>
        <w:t xml:space="preserve"> </w:t>
      </w:r>
      <w:r w:rsidR="006959C2">
        <w:rPr>
          <w:color w:val="000000"/>
          <w:sz w:val="22"/>
          <w:szCs w:val="22"/>
        </w:rPr>
        <w:t>Anafylaktoidná reakcia</w:t>
      </w:r>
      <w:r w:rsidR="006959C2">
        <w:rPr>
          <w:bCs/>
          <w:color w:val="000000"/>
          <w:sz w:val="22"/>
          <w:szCs w:val="22"/>
          <w:vertAlign w:val="superscript"/>
        </w:rPr>
        <w:t>1</w:t>
      </w:r>
      <w:r w:rsidR="006959C2">
        <w:rPr>
          <w:color w:val="000000"/>
          <w:sz w:val="22"/>
          <w:szCs w:val="22"/>
        </w:rPr>
        <w:t>, hypersenzitivita</w:t>
      </w:r>
    </w:p>
    <w:p w14:paraId="1861EC86" w14:textId="77777777" w:rsidR="009F74F8" w:rsidRPr="008166BF" w:rsidRDefault="003A41A2" w:rsidP="0027322C">
      <w:pPr>
        <w:rPr>
          <w:b/>
          <w:sz w:val="22"/>
          <w:szCs w:val="22"/>
        </w:rPr>
      </w:pPr>
      <w:r w:rsidRPr="003A41A2">
        <w:rPr>
          <w:i/>
          <w:sz w:val="22"/>
          <w:szCs w:val="22"/>
        </w:rPr>
        <w:t>Neznáme</w:t>
      </w:r>
      <w:r w:rsidR="009A51D6" w:rsidRPr="00165F52">
        <w:rPr>
          <w:i/>
          <w:sz w:val="22"/>
          <w:szCs w:val="22"/>
        </w:rPr>
        <w:t>*</w:t>
      </w:r>
      <w:r w:rsidRPr="003A41A2">
        <w:rPr>
          <w:i/>
          <w:sz w:val="22"/>
          <w:szCs w:val="22"/>
        </w:rPr>
        <w:t>:</w:t>
      </w:r>
      <w:r w:rsidR="006959C2">
        <w:rPr>
          <w:color w:val="000000"/>
          <w:sz w:val="22"/>
          <w:szCs w:val="22"/>
        </w:rPr>
        <w:t xml:space="preserve"> Anafylaktická reakcia, angioedém</w:t>
      </w:r>
    </w:p>
    <w:p w14:paraId="7FBB8906" w14:textId="77777777" w:rsidR="009F74F8" w:rsidRPr="008166BF" w:rsidRDefault="009F74F8" w:rsidP="00C231A8">
      <w:pPr>
        <w:rPr>
          <w:sz w:val="22"/>
          <w:szCs w:val="22"/>
        </w:rPr>
      </w:pPr>
    </w:p>
    <w:p w14:paraId="58849BCC" w14:textId="77777777" w:rsidR="009F74F8" w:rsidRPr="008166BF" w:rsidRDefault="006959C2" w:rsidP="00C231A8">
      <w:pPr>
        <w:rPr>
          <w:sz w:val="22"/>
          <w:szCs w:val="22"/>
          <w:u w:val="single"/>
        </w:rPr>
      </w:pPr>
      <w:r>
        <w:rPr>
          <w:color w:val="000000"/>
          <w:sz w:val="22"/>
          <w:szCs w:val="22"/>
          <w:u w:val="single"/>
        </w:rPr>
        <w:t>Poruchy metabolizmu a výživy</w:t>
      </w:r>
    </w:p>
    <w:p w14:paraId="7259BB3F" w14:textId="77777777" w:rsidR="009F74F8" w:rsidRPr="008166BF" w:rsidRDefault="003A41A2" w:rsidP="0027322C">
      <w:pPr>
        <w:rPr>
          <w:b/>
          <w:sz w:val="22"/>
          <w:szCs w:val="22"/>
        </w:rPr>
      </w:pPr>
      <w:r w:rsidRPr="003A41A2">
        <w:rPr>
          <w:i/>
          <w:sz w:val="22"/>
          <w:szCs w:val="22"/>
        </w:rPr>
        <w:t xml:space="preserve">Menej časté: </w:t>
      </w:r>
      <w:r w:rsidR="006959C2">
        <w:rPr>
          <w:color w:val="000000"/>
          <w:sz w:val="22"/>
          <w:szCs w:val="22"/>
        </w:rPr>
        <w:t>Anorexia, znížená chuť do jedla</w:t>
      </w:r>
    </w:p>
    <w:p w14:paraId="77714D6E" w14:textId="77777777" w:rsidR="009F74F8" w:rsidRPr="008166BF" w:rsidRDefault="009F74F8" w:rsidP="00C231A8">
      <w:pPr>
        <w:rPr>
          <w:sz w:val="22"/>
          <w:szCs w:val="22"/>
        </w:rPr>
      </w:pPr>
    </w:p>
    <w:p w14:paraId="50B46461" w14:textId="77777777" w:rsidR="009F74F8" w:rsidRPr="008166BF" w:rsidRDefault="006959C2" w:rsidP="00C231A8">
      <w:pPr>
        <w:rPr>
          <w:sz w:val="22"/>
          <w:szCs w:val="22"/>
          <w:u w:val="single"/>
        </w:rPr>
      </w:pPr>
      <w:r>
        <w:rPr>
          <w:color w:val="000000"/>
          <w:sz w:val="22"/>
          <w:szCs w:val="22"/>
          <w:u w:val="single"/>
        </w:rPr>
        <w:t>Psychické poruchy</w:t>
      </w:r>
    </w:p>
    <w:p w14:paraId="337BBAFA" w14:textId="77777777" w:rsidR="009F74F8" w:rsidRPr="008166BF" w:rsidRDefault="003A41A2" w:rsidP="0027322C">
      <w:pPr>
        <w:rPr>
          <w:color w:val="000000"/>
          <w:sz w:val="22"/>
          <w:szCs w:val="22"/>
        </w:rPr>
      </w:pPr>
      <w:r w:rsidRPr="003A41A2">
        <w:rPr>
          <w:i/>
          <w:sz w:val="22"/>
          <w:szCs w:val="22"/>
        </w:rPr>
        <w:t>Časté:</w:t>
      </w:r>
      <w:r w:rsidR="006959C2">
        <w:rPr>
          <w:color w:val="000000"/>
          <w:sz w:val="22"/>
          <w:szCs w:val="22"/>
        </w:rPr>
        <w:t xml:space="preserve"> Insomnia</w:t>
      </w:r>
    </w:p>
    <w:p w14:paraId="2CC0C537" w14:textId="77777777" w:rsidR="009F74F8" w:rsidRPr="008166BF" w:rsidRDefault="003A41A2" w:rsidP="0027322C">
      <w:pPr>
        <w:rPr>
          <w:b/>
          <w:sz w:val="22"/>
          <w:szCs w:val="22"/>
        </w:rPr>
      </w:pPr>
      <w:r w:rsidRPr="003A41A2">
        <w:rPr>
          <w:i/>
          <w:sz w:val="22"/>
          <w:szCs w:val="22"/>
        </w:rPr>
        <w:t>Menej časté:</w:t>
      </w:r>
      <w:r w:rsidR="006959C2">
        <w:rPr>
          <w:b/>
          <w:sz w:val="22"/>
          <w:szCs w:val="22"/>
        </w:rPr>
        <w:t xml:space="preserve"> </w:t>
      </w:r>
      <w:r w:rsidR="006959C2">
        <w:rPr>
          <w:color w:val="000000"/>
          <w:sz w:val="22"/>
          <w:szCs w:val="22"/>
        </w:rPr>
        <w:t>Úzkosť, nervozita</w:t>
      </w:r>
      <w:r w:rsidR="006959C2">
        <w:rPr>
          <w:color w:val="000000"/>
          <w:sz w:val="22"/>
          <w:szCs w:val="22"/>
          <w:vertAlign w:val="superscript"/>
        </w:rPr>
        <w:t>3</w:t>
      </w:r>
    </w:p>
    <w:p w14:paraId="7A5A91E3" w14:textId="77777777" w:rsidR="00525801" w:rsidRPr="008166BF" w:rsidRDefault="003A41A2" w:rsidP="00525801">
      <w:pPr>
        <w:ind w:left="1134" w:hanging="1134"/>
        <w:rPr>
          <w:color w:val="000000"/>
          <w:sz w:val="22"/>
          <w:szCs w:val="22"/>
        </w:rPr>
      </w:pPr>
      <w:r w:rsidRPr="003A41A2">
        <w:rPr>
          <w:i/>
          <w:sz w:val="22"/>
          <w:szCs w:val="22"/>
        </w:rPr>
        <w:t>Neznáme</w:t>
      </w:r>
      <w:r w:rsidR="009A51D6" w:rsidRPr="00165F52">
        <w:rPr>
          <w:i/>
          <w:sz w:val="22"/>
          <w:szCs w:val="22"/>
        </w:rPr>
        <w:t>*</w:t>
      </w:r>
      <w:r w:rsidRPr="003A41A2">
        <w:rPr>
          <w:i/>
          <w:sz w:val="22"/>
          <w:szCs w:val="22"/>
        </w:rPr>
        <w:t>:</w:t>
      </w:r>
      <w:r w:rsidR="006959C2">
        <w:rPr>
          <w:color w:val="000000"/>
          <w:sz w:val="22"/>
          <w:szCs w:val="22"/>
        </w:rPr>
        <w:t xml:space="preserve"> Psychotické poruchy, stav zmätenosti</w:t>
      </w:r>
      <w:r w:rsidR="006959C2">
        <w:rPr>
          <w:color w:val="000000"/>
          <w:sz w:val="22"/>
          <w:szCs w:val="22"/>
          <w:u w:val="single"/>
          <w:vertAlign w:val="superscript"/>
        </w:rPr>
        <w:t>5</w:t>
      </w:r>
      <w:r w:rsidR="006959C2">
        <w:rPr>
          <w:color w:val="000000"/>
          <w:sz w:val="22"/>
          <w:szCs w:val="22"/>
        </w:rPr>
        <w:t>, depersonalizácia, depresia, dezorientácia,</w:t>
      </w:r>
    </w:p>
    <w:p w14:paraId="7F9BB988" w14:textId="77777777" w:rsidR="008B2037" w:rsidRDefault="006959C2">
      <w:pPr>
        <w:ind w:left="1134"/>
        <w:rPr>
          <w:b/>
          <w:sz w:val="22"/>
          <w:szCs w:val="22"/>
        </w:rPr>
      </w:pPr>
      <w:r>
        <w:rPr>
          <w:color w:val="000000"/>
          <w:sz w:val="22"/>
          <w:szCs w:val="22"/>
        </w:rPr>
        <w:t>halucinácie, nezvyčajné sny, mánia</w:t>
      </w:r>
    </w:p>
    <w:p w14:paraId="14299137" w14:textId="77777777" w:rsidR="009F74F8" w:rsidRPr="008166BF" w:rsidRDefault="009F74F8" w:rsidP="00C231A8">
      <w:pPr>
        <w:rPr>
          <w:sz w:val="22"/>
          <w:szCs w:val="22"/>
        </w:rPr>
      </w:pPr>
    </w:p>
    <w:p w14:paraId="19B4B9BC" w14:textId="77777777" w:rsidR="009F74F8" w:rsidRPr="008166BF" w:rsidRDefault="006959C2" w:rsidP="00C231A8">
      <w:pPr>
        <w:rPr>
          <w:sz w:val="22"/>
          <w:szCs w:val="22"/>
          <w:u w:val="single"/>
        </w:rPr>
      </w:pPr>
      <w:r>
        <w:rPr>
          <w:color w:val="000000"/>
          <w:sz w:val="22"/>
          <w:szCs w:val="22"/>
          <w:u w:val="single"/>
        </w:rPr>
        <w:t>Poruchy nervového systému</w:t>
      </w:r>
    </w:p>
    <w:p w14:paraId="4546111A" w14:textId="77777777" w:rsidR="009F74F8" w:rsidRPr="008166BF" w:rsidRDefault="003A41A2" w:rsidP="0027322C">
      <w:pPr>
        <w:rPr>
          <w:b/>
          <w:sz w:val="22"/>
          <w:szCs w:val="22"/>
        </w:rPr>
      </w:pPr>
      <w:r w:rsidRPr="003A41A2">
        <w:rPr>
          <w:i/>
          <w:sz w:val="22"/>
          <w:szCs w:val="22"/>
        </w:rPr>
        <w:t>Časté:</w:t>
      </w:r>
      <w:r w:rsidR="006959C2">
        <w:rPr>
          <w:color w:val="000000"/>
          <w:sz w:val="22"/>
          <w:szCs w:val="22"/>
        </w:rPr>
        <w:t xml:space="preserve"> Dysgeúzia, bolesť hlavy, zmena vnímania chuti</w:t>
      </w:r>
    </w:p>
    <w:p w14:paraId="2C0AE7F1" w14:textId="77777777" w:rsidR="009F74F8" w:rsidRPr="008166BF" w:rsidRDefault="003A41A2" w:rsidP="0027322C">
      <w:pPr>
        <w:rPr>
          <w:b/>
          <w:sz w:val="22"/>
          <w:szCs w:val="22"/>
        </w:rPr>
      </w:pPr>
      <w:r w:rsidRPr="003A41A2">
        <w:rPr>
          <w:i/>
          <w:sz w:val="22"/>
          <w:szCs w:val="22"/>
        </w:rPr>
        <w:t>Menej časté:</w:t>
      </w:r>
      <w:r w:rsidR="006959C2">
        <w:rPr>
          <w:b/>
          <w:sz w:val="22"/>
          <w:szCs w:val="22"/>
        </w:rPr>
        <w:t xml:space="preserve"> </w:t>
      </w:r>
      <w:r w:rsidR="006959C2">
        <w:rPr>
          <w:color w:val="000000"/>
          <w:sz w:val="22"/>
          <w:szCs w:val="22"/>
        </w:rPr>
        <w:t>Strata vedomia</w:t>
      </w:r>
      <w:r w:rsidR="006959C2">
        <w:rPr>
          <w:color w:val="000000"/>
          <w:sz w:val="22"/>
          <w:szCs w:val="22"/>
          <w:vertAlign w:val="superscript"/>
        </w:rPr>
        <w:t>1</w:t>
      </w:r>
      <w:r w:rsidR="006959C2">
        <w:rPr>
          <w:color w:val="000000"/>
          <w:sz w:val="22"/>
          <w:szCs w:val="22"/>
        </w:rPr>
        <w:t>, dyskinéza</w:t>
      </w:r>
      <w:r w:rsidR="006959C2">
        <w:rPr>
          <w:color w:val="000000"/>
          <w:sz w:val="22"/>
          <w:szCs w:val="22"/>
          <w:vertAlign w:val="superscript"/>
        </w:rPr>
        <w:t>1</w:t>
      </w:r>
      <w:r w:rsidR="006959C2">
        <w:rPr>
          <w:color w:val="000000"/>
          <w:sz w:val="22"/>
          <w:szCs w:val="22"/>
        </w:rPr>
        <w:t>, závraty, somnolencia</w:t>
      </w:r>
      <w:r w:rsidR="006959C2">
        <w:rPr>
          <w:color w:val="000000"/>
          <w:sz w:val="22"/>
          <w:szCs w:val="22"/>
          <w:vertAlign w:val="superscript"/>
        </w:rPr>
        <w:t>5</w:t>
      </w:r>
      <w:r w:rsidR="006959C2">
        <w:rPr>
          <w:color w:val="000000"/>
          <w:sz w:val="22"/>
          <w:szCs w:val="22"/>
        </w:rPr>
        <w:t>, tras</w:t>
      </w:r>
    </w:p>
    <w:p w14:paraId="3970C5B1" w14:textId="77777777" w:rsidR="009F74F8" w:rsidRDefault="003A41A2" w:rsidP="0027322C">
      <w:pPr>
        <w:rPr>
          <w:color w:val="000000"/>
          <w:sz w:val="22"/>
          <w:szCs w:val="22"/>
        </w:rPr>
      </w:pPr>
      <w:r w:rsidRPr="003A41A2">
        <w:rPr>
          <w:i/>
          <w:sz w:val="22"/>
          <w:szCs w:val="22"/>
        </w:rPr>
        <w:t>Neznáme</w:t>
      </w:r>
      <w:r w:rsidR="009A51D6" w:rsidRPr="00165F52">
        <w:rPr>
          <w:i/>
          <w:sz w:val="22"/>
          <w:szCs w:val="22"/>
        </w:rPr>
        <w:t>*</w:t>
      </w:r>
      <w:r w:rsidRPr="003A41A2">
        <w:rPr>
          <w:i/>
          <w:sz w:val="22"/>
          <w:szCs w:val="22"/>
        </w:rPr>
        <w:t>:</w:t>
      </w:r>
      <w:r w:rsidR="006959C2">
        <w:rPr>
          <w:color w:val="000000"/>
          <w:sz w:val="22"/>
          <w:szCs w:val="22"/>
        </w:rPr>
        <w:t xml:space="preserve"> Kŕče, ageúzia, parosmia, anosmia, parestézia  </w:t>
      </w:r>
    </w:p>
    <w:p w14:paraId="365CF988" w14:textId="77777777" w:rsidR="00E031E2" w:rsidRDefault="00E031E2" w:rsidP="0027322C">
      <w:pPr>
        <w:rPr>
          <w:color w:val="000000"/>
          <w:sz w:val="22"/>
          <w:szCs w:val="22"/>
        </w:rPr>
      </w:pPr>
    </w:p>
    <w:p w14:paraId="27DDB544" w14:textId="77777777" w:rsidR="00E031E2" w:rsidRPr="00E031E2" w:rsidRDefault="003A41A2" w:rsidP="0027322C">
      <w:pPr>
        <w:rPr>
          <w:color w:val="000000"/>
          <w:sz w:val="22"/>
          <w:szCs w:val="22"/>
          <w:u w:val="single"/>
        </w:rPr>
      </w:pPr>
      <w:r w:rsidRPr="003A41A2">
        <w:rPr>
          <w:color w:val="000000"/>
          <w:sz w:val="22"/>
          <w:szCs w:val="22"/>
          <w:u w:val="single"/>
        </w:rPr>
        <w:t>Poruchy oka</w:t>
      </w:r>
    </w:p>
    <w:p w14:paraId="7F7FC9E4" w14:textId="77777777" w:rsidR="00E031E2" w:rsidRPr="008166BF" w:rsidRDefault="003A41A2" w:rsidP="0027322C">
      <w:pPr>
        <w:rPr>
          <w:b/>
          <w:sz w:val="22"/>
          <w:szCs w:val="22"/>
        </w:rPr>
      </w:pPr>
      <w:r w:rsidRPr="003A41A2">
        <w:rPr>
          <w:i/>
          <w:color w:val="000000"/>
          <w:sz w:val="22"/>
          <w:szCs w:val="22"/>
        </w:rPr>
        <w:t>Neznáme:</w:t>
      </w:r>
      <w:r w:rsidR="00EC4717">
        <w:rPr>
          <w:color w:val="000000"/>
          <w:sz w:val="22"/>
          <w:szCs w:val="22"/>
        </w:rPr>
        <w:t xml:space="preserve"> Zhoršenie</w:t>
      </w:r>
      <w:r w:rsidR="00E031E2">
        <w:rPr>
          <w:color w:val="000000"/>
          <w:sz w:val="22"/>
          <w:szCs w:val="22"/>
        </w:rPr>
        <w:t xml:space="preserve"> zraku, rozmazané videnie</w:t>
      </w:r>
    </w:p>
    <w:p w14:paraId="64712803" w14:textId="77777777" w:rsidR="009F74F8" w:rsidRPr="008166BF" w:rsidRDefault="009F74F8" w:rsidP="00C231A8">
      <w:pPr>
        <w:rPr>
          <w:sz w:val="22"/>
          <w:szCs w:val="22"/>
        </w:rPr>
      </w:pPr>
    </w:p>
    <w:p w14:paraId="6418E26A" w14:textId="77777777" w:rsidR="009F74F8" w:rsidRPr="008166BF" w:rsidRDefault="006959C2" w:rsidP="00C231A8">
      <w:pPr>
        <w:rPr>
          <w:sz w:val="22"/>
          <w:szCs w:val="22"/>
          <w:u w:val="single"/>
        </w:rPr>
      </w:pPr>
      <w:r>
        <w:rPr>
          <w:color w:val="000000"/>
          <w:sz w:val="22"/>
          <w:szCs w:val="22"/>
          <w:u w:val="single"/>
        </w:rPr>
        <w:t>Poruchy ucha a labyrintu</w:t>
      </w:r>
    </w:p>
    <w:p w14:paraId="29B2E8DB" w14:textId="77777777" w:rsidR="009F74F8" w:rsidRPr="008166BF" w:rsidRDefault="003A41A2" w:rsidP="0000421F">
      <w:pPr>
        <w:rPr>
          <w:b/>
          <w:sz w:val="22"/>
          <w:szCs w:val="22"/>
        </w:rPr>
      </w:pPr>
      <w:r w:rsidRPr="003A41A2">
        <w:rPr>
          <w:i/>
          <w:sz w:val="22"/>
          <w:szCs w:val="22"/>
        </w:rPr>
        <w:t xml:space="preserve">Menej časté: </w:t>
      </w:r>
      <w:r w:rsidR="006959C2">
        <w:rPr>
          <w:color w:val="000000"/>
          <w:sz w:val="22"/>
          <w:szCs w:val="22"/>
        </w:rPr>
        <w:t>Vertigo, poruchy sluchu, tinnitus</w:t>
      </w:r>
    </w:p>
    <w:p w14:paraId="4F9BE60F" w14:textId="77777777" w:rsidR="009F74F8" w:rsidRPr="008166BF" w:rsidRDefault="003A41A2" w:rsidP="0000421F">
      <w:pPr>
        <w:rPr>
          <w:b/>
          <w:sz w:val="22"/>
          <w:szCs w:val="22"/>
        </w:rPr>
      </w:pPr>
      <w:r w:rsidRPr="003A41A2">
        <w:rPr>
          <w:i/>
          <w:sz w:val="22"/>
          <w:szCs w:val="22"/>
        </w:rPr>
        <w:t>Neznáme</w:t>
      </w:r>
      <w:r w:rsidR="009A51D6" w:rsidRPr="00165F52">
        <w:rPr>
          <w:i/>
          <w:sz w:val="22"/>
          <w:szCs w:val="22"/>
        </w:rPr>
        <w:t>*</w:t>
      </w:r>
      <w:r w:rsidRPr="003A41A2">
        <w:rPr>
          <w:i/>
          <w:sz w:val="22"/>
          <w:szCs w:val="22"/>
        </w:rPr>
        <w:t>:</w:t>
      </w:r>
      <w:r w:rsidR="006959C2">
        <w:rPr>
          <w:color w:val="000000"/>
          <w:sz w:val="22"/>
          <w:szCs w:val="22"/>
        </w:rPr>
        <w:t xml:space="preserve"> Hluchota</w:t>
      </w:r>
    </w:p>
    <w:p w14:paraId="2AD5B8C0" w14:textId="77777777" w:rsidR="00EF5F0B" w:rsidRPr="008166BF" w:rsidRDefault="00EF5F0B" w:rsidP="00EF5F0B">
      <w:pPr>
        <w:widowControl w:val="0"/>
        <w:tabs>
          <w:tab w:val="left" w:pos="1701"/>
          <w:tab w:val="left" w:pos="2160"/>
          <w:tab w:val="left" w:pos="2880"/>
          <w:tab w:val="left" w:pos="3600"/>
          <w:tab w:val="left" w:pos="4320"/>
          <w:tab w:val="left" w:pos="5040"/>
          <w:tab w:val="left" w:pos="5760"/>
          <w:tab w:val="left" w:pos="6480"/>
          <w:tab w:val="left" w:pos="7200"/>
          <w:tab w:val="left" w:pos="7920"/>
          <w:tab w:val="left" w:pos="8640"/>
        </w:tabs>
        <w:ind w:left="1701" w:hanging="1701"/>
        <w:rPr>
          <w:sz w:val="22"/>
          <w:szCs w:val="22"/>
        </w:rPr>
      </w:pPr>
    </w:p>
    <w:p w14:paraId="641D556B" w14:textId="77777777" w:rsidR="009F74F8" w:rsidRPr="008166BF" w:rsidRDefault="006959C2" w:rsidP="00C231A8">
      <w:pPr>
        <w:rPr>
          <w:sz w:val="22"/>
          <w:szCs w:val="22"/>
          <w:u w:val="single"/>
        </w:rPr>
      </w:pPr>
      <w:r>
        <w:rPr>
          <w:color w:val="000000"/>
          <w:sz w:val="22"/>
          <w:szCs w:val="22"/>
          <w:u w:val="single"/>
        </w:rPr>
        <w:t>Poruchy srdca a srdcovej činnosti</w:t>
      </w:r>
    </w:p>
    <w:p w14:paraId="5462E880" w14:textId="77777777" w:rsidR="00B75E91" w:rsidRPr="008166BF" w:rsidRDefault="003A41A2">
      <w:pPr>
        <w:ind w:left="1276" w:hanging="1276"/>
        <w:rPr>
          <w:b/>
          <w:sz w:val="22"/>
          <w:szCs w:val="22"/>
        </w:rPr>
      </w:pPr>
      <w:r w:rsidRPr="003A41A2">
        <w:rPr>
          <w:i/>
          <w:sz w:val="22"/>
          <w:szCs w:val="22"/>
        </w:rPr>
        <w:t>Menej časté:</w:t>
      </w:r>
      <w:r w:rsidR="006959C2">
        <w:rPr>
          <w:b/>
          <w:sz w:val="22"/>
          <w:szCs w:val="22"/>
        </w:rPr>
        <w:t xml:space="preserve"> </w:t>
      </w:r>
      <w:r w:rsidR="006959C2">
        <w:rPr>
          <w:color w:val="000000"/>
          <w:sz w:val="22"/>
          <w:szCs w:val="22"/>
        </w:rPr>
        <w:t>Zástava srdca</w:t>
      </w:r>
      <w:r w:rsidR="006959C2">
        <w:rPr>
          <w:color w:val="000000"/>
          <w:sz w:val="22"/>
          <w:szCs w:val="22"/>
          <w:vertAlign w:val="superscript"/>
        </w:rPr>
        <w:t>1</w:t>
      </w:r>
      <w:r w:rsidR="006959C2">
        <w:rPr>
          <w:color w:val="000000"/>
          <w:sz w:val="22"/>
          <w:szCs w:val="22"/>
        </w:rPr>
        <w:t>, atriálna fibrilácia</w:t>
      </w:r>
      <w:r w:rsidR="006959C2">
        <w:rPr>
          <w:color w:val="000000"/>
          <w:sz w:val="22"/>
          <w:szCs w:val="22"/>
          <w:vertAlign w:val="superscript"/>
        </w:rPr>
        <w:t>1</w:t>
      </w:r>
      <w:r w:rsidR="006959C2">
        <w:rPr>
          <w:color w:val="000000"/>
          <w:sz w:val="22"/>
          <w:szCs w:val="22"/>
        </w:rPr>
        <w:t>, predĺženie QT intervalu na EKG, extrasystoly</w:t>
      </w:r>
      <w:r w:rsidR="006959C2">
        <w:rPr>
          <w:color w:val="000000"/>
          <w:sz w:val="22"/>
          <w:szCs w:val="22"/>
          <w:vertAlign w:val="superscript"/>
        </w:rPr>
        <w:t>1</w:t>
      </w:r>
      <w:r w:rsidR="006959C2">
        <w:rPr>
          <w:color w:val="000000"/>
          <w:sz w:val="22"/>
          <w:szCs w:val="22"/>
        </w:rPr>
        <w:t>, palpitácie</w:t>
      </w:r>
    </w:p>
    <w:p w14:paraId="717E4F4A" w14:textId="77777777" w:rsidR="009F74F8" w:rsidRPr="008166BF" w:rsidRDefault="003A41A2" w:rsidP="00C231A8">
      <w:pPr>
        <w:rPr>
          <w:sz w:val="22"/>
          <w:szCs w:val="22"/>
        </w:rPr>
      </w:pPr>
      <w:r w:rsidRPr="003A41A2">
        <w:rPr>
          <w:i/>
          <w:sz w:val="22"/>
          <w:szCs w:val="22"/>
        </w:rPr>
        <w:t>Neznáme</w:t>
      </w:r>
      <w:r w:rsidR="009A51D6" w:rsidRPr="00165F52">
        <w:rPr>
          <w:i/>
          <w:sz w:val="22"/>
          <w:szCs w:val="22"/>
        </w:rPr>
        <w:t>*</w:t>
      </w:r>
      <w:r w:rsidRPr="003A41A2">
        <w:rPr>
          <w:i/>
          <w:sz w:val="22"/>
          <w:szCs w:val="22"/>
        </w:rPr>
        <w:t>:</w:t>
      </w:r>
      <w:r w:rsidR="006959C2">
        <w:rPr>
          <w:i/>
          <w:color w:val="000000"/>
          <w:sz w:val="22"/>
          <w:szCs w:val="22"/>
          <w:lang w:val="pt-BR"/>
        </w:rPr>
        <w:t xml:space="preserve"> Torsades de pointes</w:t>
      </w:r>
      <w:r w:rsidR="006959C2">
        <w:rPr>
          <w:color w:val="000000"/>
          <w:sz w:val="22"/>
          <w:szCs w:val="22"/>
          <w:lang w:val="pt-BR"/>
        </w:rPr>
        <w:t>, ventrikulárna tachykardia</w:t>
      </w:r>
      <w:r w:rsidR="006959C2">
        <w:rPr>
          <w:sz w:val="22"/>
          <w:szCs w:val="22"/>
          <w:lang w:val="pt-BR"/>
        </w:rPr>
        <w:t xml:space="preserve">, </w:t>
      </w:r>
      <w:r w:rsidR="006959C2">
        <w:rPr>
          <w:sz w:val="22"/>
          <w:szCs w:val="22"/>
        </w:rPr>
        <w:t>ventrikulárna fibrilácia</w:t>
      </w:r>
    </w:p>
    <w:p w14:paraId="15B4AD17" w14:textId="77777777" w:rsidR="009F74F8" w:rsidRPr="008166BF" w:rsidRDefault="009F74F8" w:rsidP="00C231A8">
      <w:pPr>
        <w:rPr>
          <w:color w:val="000000"/>
          <w:sz w:val="22"/>
          <w:szCs w:val="22"/>
          <w:u w:val="single"/>
        </w:rPr>
      </w:pPr>
    </w:p>
    <w:p w14:paraId="4F6111B6" w14:textId="77777777" w:rsidR="009F74F8" w:rsidRPr="008166BF" w:rsidRDefault="006959C2" w:rsidP="00C231A8">
      <w:pPr>
        <w:rPr>
          <w:sz w:val="22"/>
          <w:szCs w:val="22"/>
          <w:u w:val="single"/>
        </w:rPr>
      </w:pPr>
      <w:r>
        <w:rPr>
          <w:color w:val="000000"/>
          <w:sz w:val="22"/>
          <w:szCs w:val="22"/>
          <w:u w:val="single"/>
        </w:rPr>
        <w:t>Poruchy ciev</w:t>
      </w:r>
    </w:p>
    <w:p w14:paraId="59F16276" w14:textId="77777777" w:rsidR="009F74F8" w:rsidRPr="008166BF" w:rsidRDefault="003A41A2" w:rsidP="009B4DA9">
      <w:pPr>
        <w:rPr>
          <w:b/>
          <w:sz w:val="22"/>
          <w:szCs w:val="22"/>
        </w:rPr>
      </w:pPr>
      <w:r w:rsidRPr="003A41A2">
        <w:rPr>
          <w:i/>
          <w:sz w:val="22"/>
          <w:szCs w:val="22"/>
        </w:rPr>
        <w:t>Menej časté:</w:t>
      </w:r>
      <w:r w:rsidR="006959C2">
        <w:rPr>
          <w:b/>
          <w:sz w:val="22"/>
          <w:szCs w:val="22"/>
        </w:rPr>
        <w:t xml:space="preserve"> </w:t>
      </w:r>
      <w:r w:rsidR="006959C2">
        <w:rPr>
          <w:color w:val="000000"/>
          <w:sz w:val="22"/>
          <w:szCs w:val="22"/>
        </w:rPr>
        <w:t>Vazodilatácia</w:t>
      </w:r>
      <w:r w:rsidR="006959C2">
        <w:rPr>
          <w:color w:val="000000"/>
          <w:sz w:val="22"/>
          <w:szCs w:val="22"/>
          <w:vertAlign w:val="superscript"/>
        </w:rPr>
        <w:t>1</w:t>
      </w:r>
    </w:p>
    <w:p w14:paraId="1C5B1F90" w14:textId="77777777" w:rsidR="009F74F8" w:rsidRPr="008166BF" w:rsidRDefault="003A41A2" w:rsidP="009B4DA9">
      <w:pPr>
        <w:rPr>
          <w:b/>
          <w:sz w:val="22"/>
          <w:szCs w:val="22"/>
        </w:rPr>
      </w:pPr>
      <w:r w:rsidRPr="003A41A2">
        <w:rPr>
          <w:i/>
          <w:sz w:val="22"/>
          <w:szCs w:val="22"/>
        </w:rPr>
        <w:t>Neznáme</w:t>
      </w:r>
      <w:r w:rsidR="009A51D6" w:rsidRPr="00165F52">
        <w:rPr>
          <w:i/>
          <w:sz w:val="22"/>
          <w:szCs w:val="22"/>
        </w:rPr>
        <w:t>*</w:t>
      </w:r>
      <w:r w:rsidRPr="003A41A2">
        <w:rPr>
          <w:i/>
          <w:sz w:val="22"/>
          <w:szCs w:val="22"/>
        </w:rPr>
        <w:t>:</w:t>
      </w:r>
      <w:r w:rsidR="006959C2">
        <w:rPr>
          <w:color w:val="000000"/>
          <w:sz w:val="22"/>
          <w:szCs w:val="22"/>
        </w:rPr>
        <w:t xml:space="preserve"> Krvácanie</w:t>
      </w:r>
    </w:p>
    <w:p w14:paraId="6ED690DB" w14:textId="77777777" w:rsidR="009F74F8" w:rsidRPr="008166BF" w:rsidRDefault="009F74F8" w:rsidP="00C231A8">
      <w:pPr>
        <w:rPr>
          <w:sz w:val="22"/>
          <w:szCs w:val="22"/>
        </w:rPr>
      </w:pPr>
    </w:p>
    <w:p w14:paraId="38800E94" w14:textId="77777777" w:rsidR="009F74F8" w:rsidRPr="008166BF" w:rsidRDefault="006959C2" w:rsidP="00C231A8">
      <w:pPr>
        <w:rPr>
          <w:color w:val="000000"/>
          <w:sz w:val="22"/>
          <w:szCs w:val="22"/>
          <w:u w:val="single"/>
        </w:rPr>
      </w:pPr>
      <w:r>
        <w:rPr>
          <w:color w:val="000000"/>
          <w:sz w:val="22"/>
          <w:szCs w:val="22"/>
          <w:u w:val="single"/>
        </w:rPr>
        <w:t>Poruchy dýchacej sústavy, hrudníka a mediastína</w:t>
      </w:r>
    </w:p>
    <w:p w14:paraId="23BC28B2" w14:textId="77777777" w:rsidR="009F74F8" w:rsidRPr="008166BF" w:rsidRDefault="003A41A2" w:rsidP="009B4DA9">
      <w:pPr>
        <w:rPr>
          <w:b/>
          <w:sz w:val="22"/>
          <w:szCs w:val="22"/>
        </w:rPr>
      </w:pPr>
      <w:r w:rsidRPr="003A41A2">
        <w:rPr>
          <w:i/>
          <w:sz w:val="22"/>
          <w:szCs w:val="22"/>
        </w:rPr>
        <w:t>Menej časté:</w:t>
      </w:r>
      <w:r w:rsidR="006959C2">
        <w:rPr>
          <w:b/>
          <w:sz w:val="22"/>
          <w:szCs w:val="22"/>
        </w:rPr>
        <w:t xml:space="preserve"> </w:t>
      </w:r>
      <w:r w:rsidR="006959C2">
        <w:rPr>
          <w:color w:val="000000"/>
          <w:sz w:val="22"/>
          <w:szCs w:val="22"/>
        </w:rPr>
        <w:t>Astma</w:t>
      </w:r>
      <w:r w:rsidR="006959C2">
        <w:rPr>
          <w:color w:val="000000"/>
          <w:sz w:val="22"/>
          <w:szCs w:val="22"/>
          <w:vertAlign w:val="superscript"/>
        </w:rPr>
        <w:t>1</w:t>
      </w:r>
      <w:r w:rsidR="006959C2">
        <w:rPr>
          <w:color w:val="000000"/>
          <w:sz w:val="22"/>
          <w:szCs w:val="22"/>
        </w:rPr>
        <w:t>, epistaxa</w:t>
      </w:r>
      <w:r w:rsidR="006959C2">
        <w:rPr>
          <w:color w:val="000000"/>
          <w:sz w:val="22"/>
          <w:szCs w:val="22"/>
          <w:vertAlign w:val="superscript"/>
        </w:rPr>
        <w:t>2</w:t>
      </w:r>
      <w:r w:rsidR="006959C2">
        <w:rPr>
          <w:color w:val="000000"/>
          <w:sz w:val="22"/>
          <w:szCs w:val="22"/>
        </w:rPr>
        <w:t>, pulmonálny embolizmus</w:t>
      </w:r>
      <w:r w:rsidR="006959C2">
        <w:rPr>
          <w:color w:val="000000"/>
          <w:sz w:val="22"/>
          <w:szCs w:val="22"/>
          <w:vertAlign w:val="superscript"/>
        </w:rPr>
        <w:t>1</w:t>
      </w:r>
    </w:p>
    <w:p w14:paraId="047201D8" w14:textId="77777777" w:rsidR="009F74F8" w:rsidRPr="008166BF" w:rsidRDefault="009F74F8" w:rsidP="00C231A8">
      <w:pPr>
        <w:rPr>
          <w:color w:val="000000"/>
          <w:sz w:val="22"/>
          <w:szCs w:val="22"/>
        </w:rPr>
      </w:pPr>
    </w:p>
    <w:p w14:paraId="24BD7265" w14:textId="77777777" w:rsidR="009F74F8" w:rsidRPr="008166BF" w:rsidRDefault="006959C2" w:rsidP="00F3619E">
      <w:pPr>
        <w:tabs>
          <w:tab w:val="left" w:pos="3645"/>
        </w:tabs>
        <w:rPr>
          <w:color w:val="000000"/>
          <w:sz w:val="22"/>
          <w:szCs w:val="22"/>
          <w:u w:val="single"/>
        </w:rPr>
      </w:pPr>
      <w:r>
        <w:rPr>
          <w:color w:val="000000"/>
          <w:sz w:val="22"/>
          <w:szCs w:val="22"/>
          <w:u w:val="single"/>
        </w:rPr>
        <w:t>Poruchy gastrointestinálneho traktu</w:t>
      </w:r>
      <w:r>
        <w:rPr>
          <w:color w:val="000000"/>
          <w:sz w:val="22"/>
          <w:szCs w:val="22"/>
        </w:rPr>
        <w:tab/>
      </w:r>
    </w:p>
    <w:p w14:paraId="12DA45A4" w14:textId="77777777" w:rsidR="009F74F8" w:rsidRPr="008166BF" w:rsidRDefault="003A41A2" w:rsidP="009B4DA9">
      <w:pPr>
        <w:rPr>
          <w:b/>
          <w:sz w:val="22"/>
          <w:szCs w:val="22"/>
        </w:rPr>
      </w:pPr>
      <w:r w:rsidRPr="003A41A2">
        <w:rPr>
          <w:i/>
          <w:sz w:val="22"/>
          <w:szCs w:val="22"/>
        </w:rPr>
        <w:t>Časté:</w:t>
      </w:r>
      <w:r w:rsidRPr="003A41A2">
        <w:rPr>
          <w:i/>
          <w:color w:val="000000"/>
          <w:sz w:val="22"/>
          <w:szCs w:val="22"/>
          <w:lang w:val="pt-BR"/>
        </w:rPr>
        <w:t xml:space="preserve"> </w:t>
      </w:r>
      <w:r w:rsidR="006959C2">
        <w:rPr>
          <w:color w:val="000000"/>
          <w:sz w:val="22"/>
          <w:szCs w:val="22"/>
          <w:lang w:val="pt-BR"/>
        </w:rPr>
        <w:t>Hnačka, vracanie, dyspepsia, nauzea, abdominálna bolesť</w:t>
      </w:r>
    </w:p>
    <w:p w14:paraId="5AAE59DA" w14:textId="77777777" w:rsidR="009F74F8" w:rsidRPr="008166BF" w:rsidRDefault="003A41A2" w:rsidP="009B4DA9">
      <w:pPr>
        <w:rPr>
          <w:b/>
          <w:sz w:val="22"/>
          <w:szCs w:val="22"/>
        </w:rPr>
      </w:pPr>
      <w:r w:rsidRPr="003A41A2">
        <w:rPr>
          <w:i/>
          <w:sz w:val="22"/>
          <w:szCs w:val="22"/>
        </w:rPr>
        <w:t>Menej časté:</w:t>
      </w:r>
      <w:r w:rsidR="006959C2">
        <w:rPr>
          <w:b/>
          <w:sz w:val="22"/>
          <w:szCs w:val="22"/>
        </w:rPr>
        <w:t xml:space="preserve"> </w:t>
      </w:r>
      <w:r w:rsidR="006959C2">
        <w:rPr>
          <w:color w:val="000000"/>
          <w:sz w:val="22"/>
          <w:szCs w:val="22"/>
        </w:rPr>
        <w:t>Ezofagitída</w:t>
      </w:r>
      <w:r w:rsidR="006959C2">
        <w:rPr>
          <w:color w:val="000000"/>
          <w:sz w:val="22"/>
          <w:szCs w:val="22"/>
          <w:vertAlign w:val="superscript"/>
        </w:rPr>
        <w:t>1</w:t>
      </w:r>
      <w:r w:rsidR="006959C2">
        <w:rPr>
          <w:color w:val="000000"/>
          <w:sz w:val="22"/>
          <w:szCs w:val="22"/>
        </w:rPr>
        <w:t>, gastroezofageálna refluxná choroba</w:t>
      </w:r>
      <w:r w:rsidR="006959C2">
        <w:rPr>
          <w:color w:val="000000"/>
          <w:sz w:val="22"/>
          <w:szCs w:val="22"/>
          <w:vertAlign w:val="superscript"/>
        </w:rPr>
        <w:t>2</w:t>
      </w:r>
      <w:r w:rsidR="006959C2">
        <w:rPr>
          <w:color w:val="000000"/>
          <w:sz w:val="22"/>
          <w:szCs w:val="22"/>
        </w:rPr>
        <w:t>, gastritída, proktalgia</w:t>
      </w:r>
      <w:r w:rsidR="006959C2">
        <w:rPr>
          <w:color w:val="000000"/>
          <w:sz w:val="22"/>
          <w:szCs w:val="22"/>
          <w:vertAlign w:val="superscript"/>
        </w:rPr>
        <w:t>2</w:t>
      </w:r>
      <w:r w:rsidR="006959C2">
        <w:rPr>
          <w:color w:val="000000"/>
          <w:sz w:val="22"/>
          <w:szCs w:val="22"/>
        </w:rPr>
        <w:t>, stomatitída, glositída, abdominálna distenzia</w:t>
      </w:r>
      <w:r w:rsidR="006959C2">
        <w:rPr>
          <w:color w:val="000000"/>
          <w:sz w:val="22"/>
          <w:szCs w:val="22"/>
          <w:vertAlign w:val="superscript"/>
        </w:rPr>
        <w:t>4</w:t>
      </w:r>
      <w:r w:rsidR="006959C2">
        <w:rPr>
          <w:color w:val="000000"/>
          <w:sz w:val="22"/>
          <w:szCs w:val="22"/>
        </w:rPr>
        <w:t>, zápcha, sucho v ústach, grganie, flatulencia</w:t>
      </w:r>
    </w:p>
    <w:p w14:paraId="6DB9DFA7" w14:textId="77777777" w:rsidR="009F74F8" w:rsidRPr="008166BF" w:rsidRDefault="003A41A2" w:rsidP="009B4DA9">
      <w:pPr>
        <w:rPr>
          <w:b/>
          <w:sz w:val="22"/>
          <w:szCs w:val="22"/>
        </w:rPr>
      </w:pPr>
      <w:r w:rsidRPr="003A41A2">
        <w:rPr>
          <w:i/>
          <w:sz w:val="22"/>
          <w:szCs w:val="22"/>
        </w:rPr>
        <w:t>Neznáme</w:t>
      </w:r>
      <w:r w:rsidR="009A51D6" w:rsidRPr="00165F52">
        <w:rPr>
          <w:i/>
          <w:sz w:val="22"/>
          <w:szCs w:val="22"/>
        </w:rPr>
        <w:t>*</w:t>
      </w:r>
      <w:r w:rsidRPr="003A41A2">
        <w:rPr>
          <w:i/>
          <w:sz w:val="22"/>
          <w:szCs w:val="22"/>
        </w:rPr>
        <w:t>:</w:t>
      </w:r>
      <w:r w:rsidR="006959C2">
        <w:rPr>
          <w:color w:val="000000"/>
          <w:sz w:val="22"/>
          <w:szCs w:val="22"/>
        </w:rPr>
        <w:t xml:space="preserve"> Akútna pankreatitída, zmena zafarbenia jazyka, zmena zafarbenia zubov</w:t>
      </w:r>
    </w:p>
    <w:p w14:paraId="0EC5F33F" w14:textId="77777777" w:rsidR="009F74F8" w:rsidRPr="008166BF" w:rsidRDefault="009F74F8" w:rsidP="00C231A8">
      <w:pPr>
        <w:rPr>
          <w:color w:val="000000"/>
          <w:sz w:val="22"/>
          <w:szCs w:val="22"/>
        </w:rPr>
      </w:pPr>
    </w:p>
    <w:p w14:paraId="5B1168D0" w14:textId="77777777" w:rsidR="009F74F8" w:rsidRPr="008166BF" w:rsidRDefault="006959C2" w:rsidP="00C231A8">
      <w:pPr>
        <w:rPr>
          <w:color w:val="000000"/>
          <w:sz w:val="22"/>
          <w:szCs w:val="22"/>
          <w:u w:val="single"/>
        </w:rPr>
      </w:pPr>
      <w:r>
        <w:rPr>
          <w:color w:val="000000"/>
          <w:sz w:val="22"/>
          <w:szCs w:val="22"/>
          <w:u w:val="single"/>
        </w:rPr>
        <w:t>Poruchy pečene a žlčových ciest</w:t>
      </w:r>
    </w:p>
    <w:p w14:paraId="45EEE4DB" w14:textId="77777777" w:rsidR="009F74F8" w:rsidRPr="008166BF" w:rsidRDefault="003A41A2" w:rsidP="00C3356F">
      <w:pPr>
        <w:rPr>
          <w:b/>
          <w:sz w:val="22"/>
          <w:szCs w:val="22"/>
        </w:rPr>
      </w:pPr>
      <w:r w:rsidRPr="003A41A2">
        <w:rPr>
          <w:i/>
          <w:sz w:val="22"/>
          <w:szCs w:val="22"/>
        </w:rPr>
        <w:t>Časté:</w:t>
      </w:r>
      <w:r w:rsidR="006959C2">
        <w:rPr>
          <w:b/>
          <w:sz w:val="22"/>
          <w:szCs w:val="22"/>
        </w:rPr>
        <w:t xml:space="preserve"> </w:t>
      </w:r>
      <w:r w:rsidR="006959C2">
        <w:rPr>
          <w:color w:val="000000"/>
          <w:sz w:val="22"/>
          <w:szCs w:val="22"/>
        </w:rPr>
        <w:t>Nezvyčajné výsledky testov funkcie pečeňe</w:t>
      </w:r>
    </w:p>
    <w:p w14:paraId="78CE719C" w14:textId="77777777" w:rsidR="009F74F8" w:rsidRPr="008166BF" w:rsidRDefault="003A41A2" w:rsidP="00C3356F">
      <w:pPr>
        <w:rPr>
          <w:b/>
          <w:sz w:val="22"/>
          <w:szCs w:val="22"/>
        </w:rPr>
      </w:pPr>
      <w:r w:rsidRPr="003A41A2">
        <w:rPr>
          <w:i/>
          <w:sz w:val="22"/>
          <w:szCs w:val="22"/>
        </w:rPr>
        <w:t>Menej časté:</w:t>
      </w:r>
      <w:r w:rsidR="006959C2">
        <w:rPr>
          <w:b/>
          <w:sz w:val="22"/>
          <w:szCs w:val="22"/>
        </w:rPr>
        <w:t xml:space="preserve"> </w:t>
      </w:r>
      <w:r w:rsidR="006959C2">
        <w:rPr>
          <w:color w:val="000000"/>
          <w:sz w:val="22"/>
          <w:szCs w:val="22"/>
        </w:rPr>
        <w:t>Cholestáza</w:t>
      </w:r>
      <w:r w:rsidR="006959C2">
        <w:rPr>
          <w:color w:val="000000"/>
          <w:sz w:val="22"/>
          <w:szCs w:val="22"/>
          <w:vertAlign w:val="superscript"/>
        </w:rPr>
        <w:t>4</w:t>
      </w:r>
      <w:r w:rsidR="006959C2">
        <w:rPr>
          <w:color w:val="000000"/>
          <w:sz w:val="22"/>
          <w:szCs w:val="22"/>
        </w:rPr>
        <w:t>, hepatitída</w:t>
      </w:r>
      <w:r w:rsidR="006959C2">
        <w:rPr>
          <w:color w:val="000000"/>
          <w:sz w:val="22"/>
          <w:szCs w:val="22"/>
          <w:vertAlign w:val="superscript"/>
        </w:rPr>
        <w:t>4</w:t>
      </w:r>
      <w:r w:rsidR="006959C2">
        <w:rPr>
          <w:color w:val="000000"/>
          <w:sz w:val="22"/>
          <w:szCs w:val="22"/>
        </w:rPr>
        <w:t>, zvýšenie hladín alanínaminotransferázy, zvýšenie hladín aspartátaminotransferázy, zvýšenie hladín gamaglutamyltransferázy</w:t>
      </w:r>
      <w:r w:rsidR="006959C2">
        <w:rPr>
          <w:color w:val="000000"/>
          <w:sz w:val="22"/>
          <w:szCs w:val="22"/>
          <w:vertAlign w:val="superscript"/>
        </w:rPr>
        <w:t>4</w:t>
      </w:r>
    </w:p>
    <w:p w14:paraId="22E95586" w14:textId="77777777" w:rsidR="009F74F8" w:rsidRPr="008166BF" w:rsidRDefault="003A41A2" w:rsidP="00C3356F">
      <w:pPr>
        <w:rPr>
          <w:color w:val="000000"/>
          <w:sz w:val="22"/>
          <w:szCs w:val="22"/>
        </w:rPr>
      </w:pPr>
      <w:r w:rsidRPr="003A41A2">
        <w:rPr>
          <w:i/>
          <w:sz w:val="22"/>
          <w:szCs w:val="22"/>
        </w:rPr>
        <w:t>Neznáme</w:t>
      </w:r>
      <w:r w:rsidR="009A51D6" w:rsidRPr="00165F52">
        <w:rPr>
          <w:i/>
          <w:sz w:val="22"/>
          <w:szCs w:val="22"/>
        </w:rPr>
        <w:t>*</w:t>
      </w:r>
      <w:r w:rsidRPr="003A41A2">
        <w:rPr>
          <w:i/>
          <w:sz w:val="22"/>
          <w:szCs w:val="22"/>
        </w:rPr>
        <w:t>:</w:t>
      </w:r>
      <w:r w:rsidR="006959C2">
        <w:rPr>
          <w:color w:val="000000"/>
          <w:sz w:val="22"/>
          <w:szCs w:val="22"/>
        </w:rPr>
        <w:t xml:space="preserve"> Zlyhanie pečene, hepatocelulárna žltačka</w:t>
      </w:r>
    </w:p>
    <w:p w14:paraId="6C82C63A" w14:textId="77777777" w:rsidR="009F74F8" w:rsidRPr="008166BF" w:rsidRDefault="009F74F8" w:rsidP="00C231A8">
      <w:pPr>
        <w:rPr>
          <w:color w:val="000000"/>
          <w:sz w:val="22"/>
          <w:szCs w:val="22"/>
        </w:rPr>
      </w:pPr>
    </w:p>
    <w:p w14:paraId="6FFB8306" w14:textId="77777777" w:rsidR="009F74F8" w:rsidRPr="008166BF" w:rsidRDefault="006959C2" w:rsidP="00C231A8">
      <w:pPr>
        <w:rPr>
          <w:color w:val="000000"/>
          <w:sz w:val="22"/>
          <w:szCs w:val="22"/>
          <w:u w:val="single"/>
        </w:rPr>
      </w:pPr>
      <w:r>
        <w:rPr>
          <w:color w:val="000000"/>
          <w:sz w:val="22"/>
          <w:szCs w:val="22"/>
          <w:u w:val="single"/>
        </w:rPr>
        <w:t>Poruchy kože a podkožného tkaniva</w:t>
      </w:r>
    </w:p>
    <w:p w14:paraId="1EDE6302" w14:textId="77777777" w:rsidR="009F74F8" w:rsidRPr="008166BF" w:rsidRDefault="003A41A2" w:rsidP="00EE5D30">
      <w:pPr>
        <w:rPr>
          <w:color w:val="000000"/>
          <w:sz w:val="22"/>
          <w:szCs w:val="22"/>
          <w:lang w:val="pt-BR"/>
        </w:rPr>
      </w:pPr>
      <w:r w:rsidRPr="003A41A2">
        <w:rPr>
          <w:i/>
          <w:sz w:val="22"/>
          <w:szCs w:val="22"/>
        </w:rPr>
        <w:t>Časté:</w:t>
      </w:r>
      <w:r w:rsidRPr="003A41A2">
        <w:rPr>
          <w:i/>
          <w:color w:val="000000"/>
          <w:sz w:val="22"/>
          <w:szCs w:val="22"/>
          <w:lang w:val="pt-BR"/>
        </w:rPr>
        <w:t xml:space="preserve"> </w:t>
      </w:r>
      <w:r w:rsidR="006959C2">
        <w:rPr>
          <w:color w:val="000000"/>
          <w:sz w:val="22"/>
          <w:szCs w:val="22"/>
          <w:lang w:val="pt-BR"/>
        </w:rPr>
        <w:t xml:space="preserve">Vyrážka, hyperhidróza </w:t>
      </w:r>
    </w:p>
    <w:p w14:paraId="548917DF" w14:textId="77777777" w:rsidR="009F74F8" w:rsidRPr="008166BF" w:rsidRDefault="003A41A2" w:rsidP="00C231A8">
      <w:pPr>
        <w:rPr>
          <w:b/>
          <w:sz w:val="22"/>
          <w:szCs w:val="22"/>
        </w:rPr>
      </w:pPr>
      <w:r w:rsidRPr="003A41A2">
        <w:rPr>
          <w:i/>
          <w:sz w:val="22"/>
          <w:szCs w:val="22"/>
        </w:rPr>
        <w:lastRenderedPageBreak/>
        <w:t>Menej časté:</w:t>
      </w:r>
      <w:r w:rsidR="006959C2">
        <w:rPr>
          <w:color w:val="000000"/>
          <w:sz w:val="22"/>
          <w:szCs w:val="22"/>
          <w:lang w:val="pt-BR"/>
        </w:rPr>
        <w:t xml:space="preserve"> Bulózna dermatitída</w:t>
      </w:r>
      <w:r w:rsidR="006959C2">
        <w:rPr>
          <w:color w:val="000000"/>
          <w:sz w:val="22"/>
          <w:szCs w:val="22"/>
          <w:vertAlign w:val="superscript"/>
          <w:lang w:val="pt-BR"/>
        </w:rPr>
        <w:t>1</w:t>
      </w:r>
      <w:r w:rsidR="006959C2">
        <w:rPr>
          <w:color w:val="000000"/>
          <w:sz w:val="22"/>
          <w:szCs w:val="22"/>
          <w:lang w:val="pt-BR"/>
        </w:rPr>
        <w:t>, pruritus, urtikária, makulopapulárna vyrážka</w:t>
      </w:r>
      <w:r w:rsidR="006959C2">
        <w:rPr>
          <w:color w:val="000000"/>
          <w:sz w:val="22"/>
          <w:szCs w:val="22"/>
          <w:vertAlign w:val="superscript"/>
          <w:lang w:val="pt-BR"/>
        </w:rPr>
        <w:t>3</w:t>
      </w:r>
    </w:p>
    <w:p w14:paraId="2A659F2E" w14:textId="5DCE18C1" w:rsidR="009F74F8" w:rsidRPr="008166BF" w:rsidRDefault="003A41A2" w:rsidP="00C231A8">
      <w:pPr>
        <w:rPr>
          <w:color w:val="000000"/>
          <w:sz w:val="22"/>
          <w:szCs w:val="22"/>
        </w:rPr>
      </w:pPr>
      <w:r w:rsidRPr="003A41A2">
        <w:rPr>
          <w:i/>
          <w:sz w:val="22"/>
          <w:szCs w:val="22"/>
        </w:rPr>
        <w:t>Neznáme</w:t>
      </w:r>
      <w:r w:rsidR="009A51D6" w:rsidRPr="00165F52">
        <w:rPr>
          <w:i/>
          <w:sz w:val="22"/>
          <w:szCs w:val="22"/>
        </w:rPr>
        <w:t>*</w:t>
      </w:r>
      <w:r w:rsidRPr="003A41A2">
        <w:rPr>
          <w:i/>
          <w:sz w:val="22"/>
          <w:szCs w:val="22"/>
        </w:rPr>
        <w:t>:</w:t>
      </w:r>
      <w:r w:rsidR="009A51D6" w:rsidRPr="00A61991">
        <w:rPr>
          <w:color w:val="000000"/>
          <w:sz w:val="22"/>
          <w:szCs w:val="22"/>
        </w:rPr>
        <w:t xml:space="preserve"> </w:t>
      </w:r>
      <w:r w:rsidR="002346D2">
        <w:rPr>
          <w:color w:val="000000"/>
          <w:sz w:val="22"/>
          <w:szCs w:val="22"/>
        </w:rPr>
        <w:t>Závažné kožné nežiaduce reakcie (SCAR</w:t>
      </w:r>
      <w:r w:rsidR="0056183C">
        <w:rPr>
          <w:color w:val="000000"/>
          <w:sz w:val="22"/>
          <w:szCs w:val="22"/>
        </w:rPr>
        <w:t xml:space="preserve"> </w:t>
      </w:r>
      <w:r w:rsidR="002346D2">
        <w:rPr>
          <w:color w:val="000000"/>
          <w:sz w:val="22"/>
          <w:szCs w:val="22"/>
        </w:rPr>
        <w:t xml:space="preserve">) (napr. </w:t>
      </w:r>
      <w:r w:rsidR="002346D2">
        <w:rPr>
          <w:rFonts w:eastAsiaTheme="minorHAnsi"/>
          <w:sz w:val="22"/>
          <w:szCs w:val="22"/>
          <w:lang w:eastAsia="en-US"/>
        </w:rPr>
        <w:t>a</w:t>
      </w:r>
      <w:r w:rsidR="009A51D6" w:rsidRPr="00A61991">
        <w:rPr>
          <w:rFonts w:eastAsiaTheme="minorHAnsi"/>
          <w:sz w:val="22"/>
          <w:szCs w:val="22"/>
          <w:lang w:eastAsia="en-US"/>
        </w:rPr>
        <w:t>kútna generalizovaná exantémová pustulóza (AGEP),</w:t>
      </w:r>
      <w:r w:rsidR="006959C2">
        <w:rPr>
          <w:rFonts w:eastAsiaTheme="minorHAnsi"/>
          <w:sz w:val="22"/>
          <w:szCs w:val="22"/>
          <w:lang w:eastAsia="en-US"/>
        </w:rPr>
        <w:t xml:space="preserve"> </w:t>
      </w:r>
      <w:r w:rsidR="006959C2">
        <w:rPr>
          <w:color w:val="000000"/>
          <w:sz w:val="22"/>
          <w:szCs w:val="22"/>
        </w:rPr>
        <w:t>Stevensov-Johnsonov syndróm, toxická epidermálna nekrolýza, lieková vyrážka s eozinofíliou a so systémovými príznakmi (DRESS)</w:t>
      </w:r>
      <w:r w:rsidR="002346D2">
        <w:rPr>
          <w:color w:val="000000"/>
          <w:sz w:val="22"/>
          <w:szCs w:val="22"/>
        </w:rPr>
        <w:t>)</w:t>
      </w:r>
      <w:r w:rsidR="006959C2">
        <w:rPr>
          <w:color w:val="000000"/>
          <w:sz w:val="22"/>
          <w:szCs w:val="22"/>
        </w:rPr>
        <w:t>, akné</w:t>
      </w:r>
    </w:p>
    <w:p w14:paraId="17986109" w14:textId="77777777" w:rsidR="009F74F8" w:rsidRPr="008166BF" w:rsidRDefault="009F74F8" w:rsidP="00C231A8">
      <w:pPr>
        <w:rPr>
          <w:color w:val="000000"/>
          <w:sz w:val="22"/>
          <w:szCs w:val="22"/>
        </w:rPr>
      </w:pPr>
    </w:p>
    <w:p w14:paraId="4BCF4806" w14:textId="77777777" w:rsidR="009F74F8" w:rsidRPr="008166BF" w:rsidRDefault="006959C2" w:rsidP="00C231A8">
      <w:pPr>
        <w:rPr>
          <w:color w:val="000000"/>
          <w:sz w:val="22"/>
          <w:szCs w:val="22"/>
          <w:u w:val="single"/>
        </w:rPr>
      </w:pPr>
      <w:r>
        <w:rPr>
          <w:color w:val="000000"/>
          <w:sz w:val="22"/>
          <w:szCs w:val="22"/>
          <w:u w:val="single"/>
        </w:rPr>
        <w:t>Poruchy kostrovej a svalovej sústavy a spojivového tkaniva</w:t>
      </w:r>
    </w:p>
    <w:p w14:paraId="6A0AD908" w14:textId="77777777" w:rsidR="009F74F8" w:rsidRPr="008166BF" w:rsidRDefault="003A41A2" w:rsidP="00C231A8">
      <w:pPr>
        <w:rPr>
          <w:b/>
          <w:sz w:val="22"/>
          <w:szCs w:val="22"/>
        </w:rPr>
      </w:pPr>
      <w:r w:rsidRPr="003A41A2">
        <w:rPr>
          <w:i/>
          <w:sz w:val="22"/>
          <w:szCs w:val="22"/>
        </w:rPr>
        <w:t>Menej časté:</w:t>
      </w:r>
      <w:r w:rsidR="006959C2">
        <w:rPr>
          <w:color w:val="000000"/>
          <w:sz w:val="22"/>
          <w:szCs w:val="22"/>
        </w:rPr>
        <w:t xml:space="preserve"> Svalové kŕče</w:t>
      </w:r>
      <w:r w:rsidR="006959C2">
        <w:rPr>
          <w:color w:val="000000"/>
          <w:sz w:val="22"/>
          <w:szCs w:val="22"/>
          <w:vertAlign w:val="superscript"/>
        </w:rPr>
        <w:t>3</w:t>
      </w:r>
      <w:r w:rsidR="006959C2">
        <w:rPr>
          <w:color w:val="000000"/>
          <w:sz w:val="22"/>
          <w:szCs w:val="22"/>
        </w:rPr>
        <w:t>, muskuloskeletálna stuhnutosť</w:t>
      </w:r>
      <w:r w:rsidR="006959C2">
        <w:rPr>
          <w:color w:val="000000"/>
          <w:sz w:val="22"/>
          <w:szCs w:val="22"/>
          <w:vertAlign w:val="superscript"/>
        </w:rPr>
        <w:t>1</w:t>
      </w:r>
      <w:r w:rsidR="006959C2">
        <w:rPr>
          <w:color w:val="000000"/>
          <w:sz w:val="22"/>
          <w:szCs w:val="22"/>
        </w:rPr>
        <w:t>, myalgia</w:t>
      </w:r>
      <w:r w:rsidR="006959C2">
        <w:rPr>
          <w:color w:val="000000"/>
          <w:sz w:val="22"/>
          <w:szCs w:val="22"/>
          <w:vertAlign w:val="superscript"/>
        </w:rPr>
        <w:t>2</w:t>
      </w:r>
    </w:p>
    <w:p w14:paraId="3D34F35B" w14:textId="77777777" w:rsidR="009F74F8" w:rsidRPr="008166BF" w:rsidRDefault="003A41A2" w:rsidP="00C231A8">
      <w:pPr>
        <w:rPr>
          <w:color w:val="000000"/>
          <w:sz w:val="22"/>
          <w:szCs w:val="22"/>
        </w:rPr>
      </w:pPr>
      <w:r w:rsidRPr="003A41A2">
        <w:rPr>
          <w:i/>
          <w:sz w:val="22"/>
          <w:szCs w:val="22"/>
        </w:rPr>
        <w:t>Neznáme</w:t>
      </w:r>
      <w:r w:rsidR="009A51D6" w:rsidRPr="00165F52">
        <w:rPr>
          <w:i/>
          <w:sz w:val="22"/>
          <w:szCs w:val="22"/>
        </w:rPr>
        <w:t>*</w:t>
      </w:r>
      <w:r w:rsidRPr="003A41A2">
        <w:rPr>
          <w:i/>
          <w:sz w:val="22"/>
          <w:szCs w:val="22"/>
        </w:rPr>
        <w:t>:</w:t>
      </w:r>
      <w:r w:rsidR="006959C2">
        <w:rPr>
          <w:color w:val="000000"/>
          <w:sz w:val="22"/>
          <w:szCs w:val="22"/>
        </w:rPr>
        <w:t xml:space="preserve"> Rabdomyolýza</w:t>
      </w:r>
      <w:r w:rsidR="006959C2">
        <w:rPr>
          <w:color w:val="000000"/>
          <w:sz w:val="22"/>
          <w:szCs w:val="22"/>
          <w:vertAlign w:val="superscript"/>
        </w:rPr>
        <w:t>2,6</w:t>
      </w:r>
      <w:r w:rsidR="009F74F8" w:rsidRPr="008166BF">
        <w:rPr>
          <w:color w:val="000000"/>
          <w:sz w:val="22"/>
          <w:szCs w:val="22"/>
        </w:rPr>
        <w:t>, myopatia</w:t>
      </w:r>
    </w:p>
    <w:p w14:paraId="3368AFAB" w14:textId="77777777" w:rsidR="009F74F8" w:rsidRPr="008166BF" w:rsidRDefault="009F74F8" w:rsidP="00C231A8">
      <w:pPr>
        <w:rPr>
          <w:color w:val="000000"/>
          <w:sz w:val="22"/>
          <w:szCs w:val="22"/>
        </w:rPr>
      </w:pPr>
    </w:p>
    <w:p w14:paraId="52280325" w14:textId="77777777" w:rsidR="009F74F8" w:rsidRPr="008166BF" w:rsidRDefault="006959C2" w:rsidP="00C231A8">
      <w:pPr>
        <w:rPr>
          <w:color w:val="000000"/>
          <w:sz w:val="22"/>
          <w:szCs w:val="22"/>
          <w:u w:val="single"/>
        </w:rPr>
      </w:pPr>
      <w:r>
        <w:rPr>
          <w:color w:val="000000"/>
          <w:sz w:val="22"/>
          <w:szCs w:val="22"/>
          <w:u w:val="single"/>
        </w:rPr>
        <w:t>Poruchy obličiek a močových ciest</w:t>
      </w:r>
    </w:p>
    <w:p w14:paraId="640D7BFB" w14:textId="77777777" w:rsidR="009F74F8" w:rsidRPr="008166BF" w:rsidRDefault="003A41A2" w:rsidP="00C231A8">
      <w:pPr>
        <w:rPr>
          <w:b/>
          <w:sz w:val="22"/>
          <w:szCs w:val="22"/>
        </w:rPr>
      </w:pPr>
      <w:r w:rsidRPr="003A41A2">
        <w:rPr>
          <w:i/>
          <w:sz w:val="22"/>
          <w:szCs w:val="22"/>
        </w:rPr>
        <w:t>Menej časté:</w:t>
      </w:r>
      <w:r w:rsidRPr="003A41A2">
        <w:rPr>
          <w:i/>
          <w:color w:val="000000"/>
          <w:sz w:val="22"/>
          <w:szCs w:val="22"/>
        </w:rPr>
        <w:t xml:space="preserve"> </w:t>
      </w:r>
      <w:r w:rsidR="006959C2">
        <w:rPr>
          <w:color w:val="000000"/>
          <w:sz w:val="22"/>
          <w:szCs w:val="22"/>
        </w:rPr>
        <w:t>Zvýšenie hladín kreatinínu v krvi</w:t>
      </w:r>
      <w:r w:rsidR="006959C2">
        <w:rPr>
          <w:color w:val="000000"/>
          <w:sz w:val="22"/>
          <w:szCs w:val="22"/>
          <w:vertAlign w:val="superscript"/>
        </w:rPr>
        <w:t>1</w:t>
      </w:r>
      <w:r w:rsidR="006959C2">
        <w:rPr>
          <w:color w:val="000000"/>
          <w:sz w:val="22"/>
          <w:szCs w:val="22"/>
        </w:rPr>
        <w:t>, zvýšenie hladín močoviny v krvi</w:t>
      </w:r>
      <w:r w:rsidR="006959C2">
        <w:rPr>
          <w:color w:val="000000"/>
          <w:sz w:val="22"/>
          <w:szCs w:val="22"/>
          <w:vertAlign w:val="superscript"/>
        </w:rPr>
        <w:t>1</w:t>
      </w:r>
    </w:p>
    <w:p w14:paraId="745A2858" w14:textId="77777777" w:rsidR="009F74F8" w:rsidRPr="008166BF" w:rsidRDefault="003A41A2" w:rsidP="00C231A8">
      <w:pPr>
        <w:rPr>
          <w:color w:val="000000"/>
          <w:sz w:val="22"/>
          <w:szCs w:val="22"/>
        </w:rPr>
      </w:pPr>
      <w:r w:rsidRPr="003A41A2">
        <w:rPr>
          <w:i/>
          <w:sz w:val="22"/>
          <w:szCs w:val="22"/>
        </w:rPr>
        <w:t>Neznáme</w:t>
      </w:r>
      <w:r w:rsidR="009A51D6" w:rsidRPr="00165F52">
        <w:rPr>
          <w:i/>
          <w:sz w:val="22"/>
          <w:szCs w:val="22"/>
        </w:rPr>
        <w:t>*</w:t>
      </w:r>
      <w:r w:rsidRPr="003A41A2">
        <w:rPr>
          <w:i/>
          <w:sz w:val="22"/>
          <w:szCs w:val="22"/>
        </w:rPr>
        <w:t>:</w:t>
      </w:r>
      <w:r w:rsidR="006959C2">
        <w:rPr>
          <w:color w:val="000000"/>
          <w:sz w:val="22"/>
          <w:szCs w:val="22"/>
        </w:rPr>
        <w:t xml:space="preserve"> Zlyhanie obličiek, intersticiálna nefritída</w:t>
      </w:r>
    </w:p>
    <w:p w14:paraId="41CAA1D8" w14:textId="77777777" w:rsidR="009F74F8" w:rsidRPr="008166BF" w:rsidRDefault="009F74F8" w:rsidP="00C231A8">
      <w:pPr>
        <w:rPr>
          <w:color w:val="000000"/>
          <w:sz w:val="22"/>
          <w:szCs w:val="22"/>
        </w:rPr>
      </w:pPr>
    </w:p>
    <w:p w14:paraId="15AFA846" w14:textId="77777777" w:rsidR="009F74F8" w:rsidRPr="008166BF" w:rsidRDefault="006959C2" w:rsidP="00C231A8">
      <w:pPr>
        <w:rPr>
          <w:color w:val="000000"/>
          <w:sz w:val="22"/>
          <w:szCs w:val="22"/>
          <w:u w:val="single"/>
        </w:rPr>
      </w:pPr>
      <w:r>
        <w:rPr>
          <w:color w:val="000000"/>
          <w:sz w:val="22"/>
          <w:szCs w:val="22"/>
          <w:u w:val="single"/>
        </w:rPr>
        <w:t>Celkové poruchy a reakcie v mieste podania</w:t>
      </w:r>
    </w:p>
    <w:p w14:paraId="0ED73FE1" w14:textId="77777777" w:rsidR="009F74F8" w:rsidRPr="008166BF" w:rsidRDefault="003A41A2" w:rsidP="00EE5D30">
      <w:pPr>
        <w:rPr>
          <w:color w:val="000000"/>
          <w:sz w:val="22"/>
          <w:szCs w:val="22"/>
        </w:rPr>
      </w:pPr>
      <w:r w:rsidRPr="003A41A2">
        <w:rPr>
          <w:i/>
          <w:sz w:val="22"/>
          <w:szCs w:val="22"/>
        </w:rPr>
        <w:t>Veľmi časté:</w:t>
      </w:r>
      <w:r w:rsidR="006959C2">
        <w:rPr>
          <w:color w:val="000000"/>
          <w:sz w:val="22"/>
          <w:szCs w:val="22"/>
        </w:rPr>
        <w:t xml:space="preserve"> Flebitída v mieste podania injekcie</w:t>
      </w:r>
      <w:r w:rsidR="006959C2">
        <w:rPr>
          <w:color w:val="000000"/>
          <w:sz w:val="22"/>
          <w:szCs w:val="22"/>
          <w:vertAlign w:val="superscript"/>
        </w:rPr>
        <w:t>1</w:t>
      </w:r>
    </w:p>
    <w:p w14:paraId="72BA41EC" w14:textId="77777777" w:rsidR="009F74F8" w:rsidRPr="008166BF" w:rsidRDefault="003A41A2" w:rsidP="00C231A8">
      <w:pPr>
        <w:rPr>
          <w:b/>
          <w:sz w:val="22"/>
          <w:szCs w:val="22"/>
        </w:rPr>
      </w:pPr>
      <w:r w:rsidRPr="003A41A2">
        <w:rPr>
          <w:i/>
          <w:sz w:val="22"/>
          <w:szCs w:val="22"/>
        </w:rPr>
        <w:t>Časté:</w:t>
      </w:r>
      <w:r w:rsidR="006959C2">
        <w:rPr>
          <w:color w:val="000000"/>
          <w:sz w:val="22"/>
          <w:szCs w:val="22"/>
        </w:rPr>
        <w:t xml:space="preserve"> Bolesť v mieste podania injekcie</w:t>
      </w:r>
      <w:r w:rsidR="006959C2">
        <w:rPr>
          <w:color w:val="000000"/>
          <w:sz w:val="22"/>
          <w:szCs w:val="22"/>
          <w:vertAlign w:val="superscript"/>
        </w:rPr>
        <w:t>1</w:t>
      </w:r>
      <w:r w:rsidR="006959C2">
        <w:rPr>
          <w:color w:val="000000"/>
          <w:sz w:val="22"/>
          <w:szCs w:val="22"/>
        </w:rPr>
        <w:t>, zápal v mieste podania injekcie</w:t>
      </w:r>
      <w:r w:rsidR="006959C2">
        <w:rPr>
          <w:color w:val="000000"/>
          <w:sz w:val="22"/>
          <w:szCs w:val="22"/>
          <w:vertAlign w:val="superscript"/>
        </w:rPr>
        <w:t>1</w:t>
      </w:r>
    </w:p>
    <w:p w14:paraId="6E7FFADC" w14:textId="77777777" w:rsidR="009F74F8" w:rsidRPr="008166BF" w:rsidRDefault="003A41A2" w:rsidP="00C231A8">
      <w:pPr>
        <w:rPr>
          <w:color w:val="000000"/>
          <w:sz w:val="22"/>
          <w:szCs w:val="22"/>
        </w:rPr>
      </w:pPr>
      <w:r w:rsidRPr="003A41A2">
        <w:rPr>
          <w:i/>
          <w:sz w:val="22"/>
          <w:szCs w:val="22"/>
        </w:rPr>
        <w:t>Menej časté:</w:t>
      </w:r>
      <w:r w:rsidR="006959C2">
        <w:rPr>
          <w:color w:val="000000"/>
          <w:sz w:val="22"/>
          <w:szCs w:val="22"/>
        </w:rPr>
        <w:t xml:space="preserve"> Nevoľnosť</w:t>
      </w:r>
      <w:r w:rsidR="006959C2">
        <w:rPr>
          <w:color w:val="000000"/>
          <w:sz w:val="22"/>
          <w:szCs w:val="22"/>
          <w:vertAlign w:val="superscript"/>
        </w:rPr>
        <w:t>4</w:t>
      </w:r>
      <w:r w:rsidR="006959C2">
        <w:rPr>
          <w:color w:val="000000"/>
          <w:sz w:val="22"/>
          <w:szCs w:val="22"/>
        </w:rPr>
        <w:t>, pyrexia</w:t>
      </w:r>
      <w:r w:rsidR="006959C2">
        <w:rPr>
          <w:color w:val="000000"/>
          <w:sz w:val="22"/>
          <w:szCs w:val="22"/>
          <w:vertAlign w:val="superscript"/>
        </w:rPr>
        <w:t>3</w:t>
      </w:r>
      <w:r w:rsidR="006959C2">
        <w:rPr>
          <w:color w:val="000000"/>
          <w:sz w:val="22"/>
          <w:szCs w:val="22"/>
        </w:rPr>
        <w:t>, asténia, bolesť na hrudi</w:t>
      </w:r>
      <w:r w:rsidR="006959C2">
        <w:rPr>
          <w:color w:val="000000"/>
          <w:sz w:val="22"/>
          <w:szCs w:val="22"/>
          <w:vertAlign w:val="superscript"/>
        </w:rPr>
        <w:t>4</w:t>
      </w:r>
      <w:r w:rsidR="006959C2">
        <w:rPr>
          <w:color w:val="000000"/>
          <w:sz w:val="22"/>
          <w:szCs w:val="22"/>
        </w:rPr>
        <w:t>, triaška</w:t>
      </w:r>
      <w:r w:rsidR="006959C2">
        <w:rPr>
          <w:color w:val="000000"/>
          <w:sz w:val="22"/>
          <w:szCs w:val="22"/>
          <w:vertAlign w:val="superscript"/>
        </w:rPr>
        <w:t>4</w:t>
      </w:r>
      <w:r w:rsidR="006959C2">
        <w:rPr>
          <w:color w:val="000000"/>
          <w:sz w:val="22"/>
          <w:szCs w:val="22"/>
        </w:rPr>
        <w:t>, únava</w:t>
      </w:r>
      <w:r w:rsidR="006959C2">
        <w:rPr>
          <w:color w:val="000000"/>
          <w:sz w:val="22"/>
          <w:szCs w:val="22"/>
          <w:vertAlign w:val="superscript"/>
        </w:rPr>
        <w:t>4</w:t>
      </w:r>
    </w:p>
    <w:p w14:paraId="3EC7BB24" w14:textId="77777777" w:rsidR="009F74F8" w:rsidRPr="008166BF" w:rsidRDefault="009F74F8" w:rsidP="00C231A8">
      <w:pPr>
        <w:rPr>
          <w:color w:val="000000"/>
          <w:sz w:val="22"/>
          <w:szCs w:val="22"/>
        </w:rPr>
      </w:pPr>
    </w:p>
    <w:p w14:paraId="0F63193D" w14:textId="77777777" w:rsidR="009F74F8" w:rsidRPr="008166BF" w:rsidRDefault="006959C2" w:rsidP="00EE5D30">
      <w:pPr>
        <w:rPr>
          <w:color w:val="000000"/>
          <w:sz w:val="22"/>
          <w:szCs w:val="22"/>
          <w:u w:val="single"/>
        </w:rPr>
      </w:pPr>
      <w:r>
        <w:rPr>
          <w:color w:val="000000"/>
          <w:sz w:val="22"/>
          <w:szCs w:val="22"/>
          <w:u w:val="single"/>
        </w:rPr>
        <w:t>Laboratórne a funkčné vyšetrenia</w:t>
      </w:r>
    </w:p>
    <w:p w14:paraId="67CC05BC" w14:textId="77777777" w:rsidR="009F74F8" w:rsidRPr="008166BF" w:rsidRDefault="003A41A2" w:rsidP="00C231A8">
      <w:pPr>
        <w:rPr>
          <w:b/>
          <w:sz w:val="22"/>
          <w:szCs w:val="22"/>
        </w:rPr>
      </w:pPr>
      <w:r w:rsidRPr="003A41A2">
        <w:rPr>
          <w:i/>
          <w:sz w:val="22"/>
          <w:szCs w:val="22"/>
        </w:rPr>
        <w:t>Menej časté:</w:t>
      </w:r>
      <w:r w:rsidR="006959C2">
        <w:rPr>
          <w:color w:val="000000"/>
          <w:sz w:val="22"/>
          <w:szCs w:val="22"/>
        </w:rPr>
        <w:t xml:space="preserve"> Zmeny v pomere albumínu a globulínu</w:t>
      </w:r>
      <w:r w:rsidR="006959C2">
        <w:rPr>
          <w:bCs/>
          <w:color w:val="000000"/>
          <w:sz w:val="22"/>
          <w:szCs w:val="22"/>
          <w:vertAlign w:val="superscript"/>
        </w:rPr>
        <w:t>1</w:t>
      </w:r>
      <w:r w:rsidR="006959C2">
        <w:rPr>
          <w:color w:val="000000"/>
          <w:sz w:val="22"/>
          <w:szCs w:val="22"/>
        </w:rPr>
        <w:t>, zvýšenie hladín alkalickej fosfatázy v krvi</w:t>
      </w:r>
      <w:r w:rsidR="006959C2">
        <w:rPr>
          <w:color w:val="000000"/>
          <w:sz w:val="22"/>
          <w:szCs w:val="22"/>
          <w:vertAlign w:val="superscript"/>
        </w:rPr>
        <w:t>4</w:t>
      </w:r>
      <w:r w:rsidR="006959C2">
        <w:rPr>
          <w:color w:val="000000"/>
          <w:sz w:val="22"/>
          <w:szCs w:val="22"/>
        </w:rPr>
        <w:t>, zvýšenie hladín laktátovej dehydrogenázy v krvi</w:t>
      </w:r>
      <w:r w:rsidR="006959C2">
        <w:rPr>
          <w:color w:val="000000"/>
          <w:sz w:val="22"/>
          <w:szCs w:val="22"/>
          <w:vertAlign w:val="superscript"/>
        </w:rPr>
        <w:t>4</w:t>
      </w:r>
    </w:p>
    <w:p w14:paraId="1904EF91" w14:textId="77777777" w:rsidR="009F74F8" w:rsidRPr="008166BF" w:rsidRDefault="003A41A2" w:rsidP="00C231A8">
      <w:pPr>
        <w:rPr>
          <w:color w:val="000000"/>
          <w:sz w:val="22"/>
          <w:szCs w:val="22"/>
        </w:rPr>
      </w:pPr>
      <w:r w:rsidRPr="003A41A2">
        <w:rPr>
          <w:i/>
          <w:sz w:val="22"/>
          <w:szCs w:val="22"/>
        </w:rPr>
        <w:t>Neznáme</w:t>
      </w:r>
      <w:r w:rsidR="009A51D6" w:rsidRPr="00165F52">
        <w:rPr>
          <w:i/>
          <w:sz w:val="22"/>
          <w:szCs w:val="22"/>
        </w:rPr>
        <w:t>*</w:t>
      </w:r>
      <w:r w:rsidRPr="003A41A2">
        <w:rPr>
          <w:i/>
          <w:sz w:val="22"/>
          <w:szCs w:val="22"/>
        </w:rPr>
        <w:t>:</w:t>
      </w:r>
      <w:r w:rsidR="006959C2">
        <w:rPr>
          <w:color w:val="000000"/>
          <w:sz w:val="22"/>
          <w:szCs w:val="22"/>
        </w:rPr>
        <w:t xml:space="preserve"> Zvýšenie INR (International normalised ratio), predĺženie protrombínového času, zmeny zafarbenia moču</w:t>
      </w:r>
    </w:p>
    <w:p w14:paraId="6D674139" w14:textId="77777777" w:rsidR="008B2037" w:rsidRDefault="008B2037">
      <w:pPr>
        <w:pStyle w:val="Pta"/>
        <w:rPr>
          <w:bCs/>
          <w:color w:val="000000"/>
          <w:sz w:val="22"/>
          <w:szCs w:val="22"/>
          <w:vertAlign w:val="superscript"/>
        </w:rPr>
      </w:pPr>
    </w:p>
    <w:p w14:paraId="2D3E26B6" w14:textId="77777777" w:rsidR="009F74F8" w:rsidRPr="008166BF" w:rsidRDefault="006959C2" w:rsidP="00EE5D30">
      <w:pPr>
        <w:pStyle w:val="Pta"/>
        <w:rPr>
          <w:bCs/>
          <w:color w:val="000000"/>
          <w:sz w:val="22"/>
          <w:szCs w:val="22"/>
          <w:vertAlign w:val="superscript"/>
        </w:rPr>
      </w:pPr>
      <w:r>
        <w:rPr>
          <w:bCs/>
          <w:color w:val="000000"/>
          <w:sz w:val="22"/>
          <w:szCs w:val="22"/>
          <w:vertAlign w:val="superscript"/>
        </w:rPr>
        <w:t xml:space="preserve">1 </w:t>
      </w:r>
      <w:r>
        <w:rPr>
          <w:rStyle w:val="slostrany"/>
          <w:color w:val="000000"/>
          <w:sz w:val="22"/>
          <w:szCs w:val="22"/>
        </w:rPr>
        <w:t>nežiaduce reakcie hlásené len pri podávaní liekovej formy prášok na injekčný roztok</w:t>
      </w:r>
    </w:p>
    <w:p w14:paraId="445FE976" w14:textId="77777777" w:rsidR="009F74F8" w:rsidRPr="008166BF" w:rsidRDefault="006959C2" w:rsidP="00EE5D30">
      <w:pPr>
        <w:pStyle w:val="Pta"/>
        <w:rPr>
          <w:bCs/>
          <w:color w:val="000000"/>
          <w:sz w:val="22"/>
          <w:szCs w:val="22"/>
          <w:vertAlign w:val="superscript"/>
        </w:rPr>
      </w:pPr>
      <w:r>
        <w:rPr>
          <w:bCs/>
          <w:color w:val="000000"/>
          <w:sz w:val="22"/>
          <w:szCs w:val="22"/>
          <w:vertAlign w:val="superscript"/>
        </w:rPr>
        <w:t xml:space="preserve">2 </w:t>
      </w:r>
      <w:r>
        <w:rPr>
          <w:rStyle w:val="slostrany"/>
          <w:color w:val="000000"/>
          <w:sz w:val="22"/>
          <w:szCs w:val="22"/>
        </w:rPr>
        <w:t>nežiaduce reakcie hlásené len pri podávaní liekovej formy tablety s predĺženým uvoľňovaním</w:t>
      </w:r>
    </w:p>
    <w:p w14:paraId="2E8C2970" w14:textId="77777777" w:rsidR="009F74F8" w:rsidRPr="008166BF" w:rsidRDefault="006959C2" w:rsidP="00EE5D30">
      <w:pPr>
        <w:pStyle w:val="Pta"/>
        <w:rPr>
          <w:bCs/>
          <w:color w:val="000000"/>
          <w:sz w:val="22"/>
          <w:szCs w:val="22"/>
          <w:vertAlign w:val="superscript"/>
        </w:rPr>
      </w:pPr>
      <w:r>
        <w:rPr>
          <w:rStyle w:val="slostrany"/>
          <w:color w:val="000000"/>
          <w:sz w:val="22"/>
          <w:szCs w:val="22"/>
          <w:vertAlign w:val="superscript"/>
        </w:rPr>
        <w:t xml:space="preserve">3 </w:t>
      </w:r>
      <w:r>
        <w:rPr>
          <w:rStyle w:val="slostrany"/>
          <w:color w:val="000000"/>
          <w:sz w:val="22"/>
          <w:szCs w:val="22"/>
        </w:rPr>
        <w:t>nežiaduce reakcie hlásené len pri podávaní liekovej formy granulát na perorálnu suspenziu</w:t>
      </w:r>
    </w:p>
    <w:p w14:paraId="521E71CC" w14:textId="77777777" w:rsidR="009F74F8" w:rsidRPr="008166BF" w:rsidRDefault="006959C2" w:rsidP="00EE5D30">
      <w:pPr>
        <w:pStyle w:val="Pta"/>
        <w:rPr>
          <w:rStyle w:val="slostrany"/>
          <w:color w:val="000000"/>
          <w:sz w:val="22"/>
          <w:szCs w:val="22"/>
        </w:rPr>
      </w:pPr>
      <w:r>
        <w:rPr>
          <w:bCs/>
          <w:color w:val="000000"/>
          <w:sz w:val="22"/>
          <w:szCs w:val="22"/>
          <w:vertAlign w:val="superscript"/>
        </w:rPr>
        <w:t xml:space="preserve">4 </w:t>
      </w:r>
      <w:r>
        <w:rPr>
          <w:rStyle w:val="slostrany"/>
          <w:color w:val="000000"/>
          <w:sz w:val="22"/>
          <w:szCs w:val="22"/>
        </w:rPr>
        <w:t>nežiaduce reakcie hlásené len pri podávaní liekovej formy tablety s okamžitým uvoľňovaním</w:t>
      </w:r>
    </w:p>
    <w:p w14:paraId="75007D37" w14:textId="77777777" w:rsidR="009F74F8" w:rsidRPr="008166BF" w:rsidRDefault="006959C2" w:rsidP="00EE5D30">
      <w:pPr>
        <w:pStyle w:val="Pta"/>
        <w:rPr>
          <w:sz w:val="22"/>
          <w:szCs w:val="22"/>
        </w:rPr>
      </w:pPr>
      <w:r>
        <w:rPr>
          <w:sz w:val="22"/>
          <w:szCs w:val="22"/>
          <w:vertAlign w:val="superscript"/>
        </w:rPr>
        <w:t xml:space="preserve">5,6 </w:t>
      </w:r>
      <w:r>
        <w:rPr>
          <w:sz w:val="22"/>
          <w:szCs w:val="22"/>
        </w:rPr>
        <w:t xml:space="preserve">pozri </w:t>
      </w:r>
      <w:r w:rsidR="009A51D6" w:rsidRPr="009A51D6">
        <w:rPr>
          <w:i/>
          <w:sz w:val="22"/>
          <w:szCs w:val="22"/>
        </w:rPr>
        <w:t>Popis vybraných nežiaducich reakcií</w:t>
      </w:r>
    </w:p>
    <w:p w14:paraId="2ED0AC94" w14:textId="77777777" w:rsidR="009F74F8" w:rsidRPr="00DB3528" w:rsidRDefault="006959C2" w:rsidP="00EE5D30">
      <w:pPr>
        <w:pStyle w:val="Pta"/>
        <w:rPr>
          <w:i/>
          <w:sz w:val="22"/>
          <w:szCs w:val="22"/>
        </w:rPr>
      </w:pPr>
      <w:r>
        <w:rPr>
          <w:sz w:val="22"/>
          <w:szCs w:val="22"/>
        </w:rPr>
        <w:t xml:space="preserve">* </w:t>
      </w:r>
      <w:r w:rsidR="003A41A2" w:rsidRPr="003A41A2">
        <w:rPr>
          <w:i/>
          <w:sz w:val="22"/>
          <w:szCs w:val="22"/>
        </w:rPr>
        <w:t>Pretože tieto reakcie boli hlásené dobrovoľne od populácie neurčitej veľkosti, nie je vždy možné spoľahlivo určiť ich frekvenciu alebo stanoviť kauzálny vzťah k užívaniu lieku. Odhaduje sa, že expozícia pacienta je vyššia ako 1 milión pacientských dní liečby klaritromycínom.</w:t>
      </w:r>
    </w:p>
    <w:p w14:paraId="16797E83" w14:textId="77777777" w:rsidR="008B2037" w:rsidRDefault="008B2037">
      <w:pPr>
        <w:jc w:val="both"/>
        <w:rPr>
          <w:sz w:val="22"/>
          <w:szCs w:val="22"/>
        </w:rPr>
      </w:pPr>
    </w:p>
    <w:p w14:paraId="4DF72BC6" w14:textId="77777777" w:rsidR="008B2037" w:rsidRDefault="009A51D6">
      <w:pPr>
        <w:jc w:val="both"/>
        <w:rPr>
          <w:b/>
          <w:sz w:val="22"/>
          <w:szCs w:val="22"/>
          <w:u w:val="single"/>
        </w:rPr>
      </w:pPr>
      <w:r w:rsidRPr="009A51D6">
        <w:rPr>
          <w:b/>
          <w:sz w:val="22"/>
          <w:szCs w:val="22"/>
          <w:u w:val="single"/>
        </w:rPr>
        <w:t>Popis vybraných nežiaducich reakcií</w:t>
      </w:r>
    </w:p>
    <w:p w14:paraId="1E573003" w14:textId="77777777" w:rsidR="009F74F8" w:rsidRPr="008166BF" w:rsidRDefault="006959C2" w:rsidP="00C231A8">
      <w:pPr>
        <w:rPr>
          <w:sz w:val="22"/>
          <w:szCs w:val="22"/>
        </w:rPr>
      </w:pPr>
      <w:r>
        <w:rPr>
          <w:sz w:val="22"/>
          <w:szCs w:val="22"/>
        </w:rPr>
        <w:t>Flebitída v mieste podania injekcie, bolesť v mieste podania injekcie a zápal v mieste podania injekcie sú špecifické pre intravenóznu formu klaritromycínu.</w:t>
      </w:r>
    </w:p>
    <w:p w14:paraId="11D997D8" w14:textId="77777777" w:rsidR="009F74F8" w:rsidRPr="008166BF" w:rsidRDefault="009F74F8" w:rsidP="00C231A8">
      <w:pPr>
        <w:rPr>
          <w:sz w:val="22"/>
          <w:szCs w:val="22"/>
        </w:rPr>
      </w:pPr>
    </w:p>
    <w:p w14:paraId="63A2E826" w14:textId="77777777" w:rsidR="009F74F8" w:rsidRPr="008166BF" w:rsidRDefault="006959C2" w:rsidP="00C231A8">
      <w:pPr>
        <w:rPr>
          <w:sz w:val="22"/>
          <w:szCs w:val="22"/>
        </w:rPr>
      </w:pPr>
      <w:r>
        <w:rPr>
          <w:sz w:val="22"/>
          <w:szCs w:val="22"/>
        </w:rPr>
        <w:t>V niektorých prípadoch rabdomyolýzy bol klaritromycín podávaný súbežne so statínmi, fibrátmi, kolchicínom alebo alopurinolom (pozri časti 4.3 a 4.4).</w:t>
      </w:r>
    </w:p>
    <w:p w14:paraId="7BB0D9DC" w14:textId="77777777" w:rsidR="009F74F8" w:rsidRPr="008166BF" w:rsidRDefault="009F74F8" w:rsidP="00C231A8">
      <w:pPr>
        <w:rPr>
          <w:sz w:val="22"/>
          <w:szCs w:val="22"/>
        </w:rPr>
      </w:pPr>
    </w:p>
    <w:p w14:paraId="4AA2C7E1" w14:textId="77777777" w:rsidR="009F74F8" w:rsidRPr="008166BF" w:rsidRDefault="006959C2" w:rsidP="00C231A8">
      <w:pPr>
        <w:rPr>
          <w:sz w:val="22"/>
          <w:szCs w:val="22"/>
        </w:rPr>
      </w:pPr>
      <w:r>
        <w:rPr>
          <w:sz w:val="22"/>
          <w:szCs w:val="22"/>
        </w:rPr>
        <w:t>Pri súbežnom podávaní klaritromycínu a triazolamu sa po uvedení lieku na trh hlásili liekové interakcie a účinky na centrálny nervový systém (CNS) (napr. somnolencia a zmätenosť). Odporúča sa sledovanie pacienta kvôli zosilneným farmakologickým účinkom na CNS (pozri časť 4.5).</w:t>
      </w:r>
    </w:p>
    <w:p w14:paraId="61DADF6C" w14:textId="77777777" w:rsidR="009F74F8" w:rsidRPr="008166BF" w:rsidRDefault="009F74F8" w:rsidP="00C231A8">
      <w:pPr>
        <w:rPr>
          <w:sz w:val="22"/>
          <w:szCs w:val="22"/>
        </w:rPr>
      </w:pPr>
    </w:p>
    <w:p w14:paraId="24BA2686" w14:textId="77777777" w:rsidR="009F74F8" w:rsidRPr="008166BF" w:rsidRDefault="006959C2" w:rsidP="00C231A8">
      <w:pPr>
        <w:rPr>
          <w:sz w:val="22"/>
          <w:szCs w:val="22"/>
        </w:rPr>
      </w:pPr>
      <w:r>
        <w:rPr>
          <w:sz w:val="22"/>
          <w:szCs w:val="22"/>
        </w:rPr>
        <w:t>Zaznamenali sa zriedkavé prípady výskytu klaritromycínu podávaného vo forme tabliet s predĺženým uvoľňovaním v stolici. Väčšina z nich sa objavila u pacientov s anatomickou (vrátane ileostómie alebo kolostómie) alebo funkčnou poruchou gastrointestinálneho traktu so skráteným časom prechodu gastrointestinálnym traktom. V niektorých hláseniach sa zvyšky tabliet objavili v súvislosti s hnačkou. Odporúča sa, aby pacienti, u ktorých sa v stolici objavili zvyšky tabliet a nedošlo k zlepšeniu ich stavu, prešli na liečbu inou liekovou formou klaritromycínu (napr. suspenziu) alebo iným antibiotikom.</w:t>
      </w:r>
    </w:p>
    <w:p w14:paraId="1464B8ED" w14:textId="77777777" w:rsidR="009F74F8" w:rsidRPr="008166BF" w:rsidRDefault="009F74F8" w:rsidP="00C231A8">
      <w:pPr>
        <w:rPr>
          <w:sz w:val="22"/>
          <w:szCs w:val="22"/>
        </w:rPr>
      </w:pPr>
    </w:p>
    <w:p w14:paraId="77171231" w14:textId="77777777" w:rsidR="009F74F8" w:rsidRPr="008166BF" w:rsidRDefault="006959C2" w:rsidP="00C231A8">
      <w:pPr>
        <w:rPr>
          <w:sz w:val="22"/>
          <w:szCs w:val="22"/>
        </w:rPr>
      </w:pPr>
      <w:r>
        <w:rPr>
          <w:sz w:val="22"/>
          <w:szCs w:val="22"/>
          <w:u w:val="single"/>
        </w:rPr>
        <w:t>Osobitné skupiny pacientov</w:t>
      </w:r>
      <w:r>
        <w:rPr>
          <w:sz w:val="22"/>
          <w:szCs w:val="22"/>
        </w:rPr>
        <w:t xml:space="preserve"> </w:t>
      </w:r>
    </w:p>
    <w:p w14:paraId="4B21E78C" w14:textId="77777777" w:rsidR="009F74F8" w:rsidRPr="008166BF" w:rsidRDefault="006959C2" w:rsidP="00C231A8">
      <w:pPr>
        <w:rPr>
          <w:sz w:val="22"/>
          <w:szCs w:val="22"/>
        </w:rPr>
      </w:pPr>
      <w:r>
        <w:rPr>
          <w:sz w:val="22"/>
          <w:szCs w:val="22"/>
        </w:rPr>
        <w:t xml:space="preserve">Nežiaduce reakcie u pacientov s oslabeným imunitným systémom (pozri časť </w:t>
      </w:r>
      <w:r w:rsidR="009A51D6" w:rsidRPr="009A51D6">
        <w:rPr>
          <w:i/>
          <w:sz w:val="22"/>
          <w:szCs w:val="22"/>
        </w:rPr>
        <w:t>Iné osobitné skupiny pacientov</w:t>
      </w:r>
      <w:r>
        <w:rPr>
          <w:sz w:val="22"/>
          <w:szCs w:val="22"/>
        </w:rPr>
        <w:t>).</w:t>
      </w:r>
    </w:p>
    <w:p w14:paraId="6EBCC88A" w14:textId="77777777" w:rsidR="009F74F8" w:rsidRPr="008166BF" w:rsidRDefault="009F74F8" w:rsidP="00C231A8">
      <w:pPr>
        <w:rPr>
          <w:sz w:val="22"/>
          <w:szCs w:val="22"/>
        </w:rPr>
      </w:pPr>
    </w:p>
    <w:p w14:paraId="5B663870" w14:textId="77777777" w:rsidR="008B2037" w:rsidRDefault="009A51D6">
      <w:pPr>
        <w:rPr>
          <w:b/>
          <w:sz w:val="22"/>
          <w:szCs w:val="22"/>
          <w:u w:val="single"/>
        </w:rPr>
      </w:pPr>
      <w:r w:rsidRPr="009A51D6">
        <w:rPr>
          <w:b/>
          <w:sz w:val="22"/>
          <w:szCs w:val="22"/>
          <w:u w:val="single"/>
        </w:rPr>
        <w:t>Pediatrická populácia</w:t>
      </w:r>
    </w:p>
    <w:p w14:paraId="7B900683" w14:textId="77777777" w:rsidR="009F74F8" w:rsidRPr="008166BF" w:rsidRDefault="006959C2" w:rsidP="00C231A8">
      <w:pPr>
        <w:rPr>
          <w:sz w:val="22"/>
          <w:szCs w:val="22"/>
        </w:rPr>
      </w:pPr>
      <w:r>
        <w:rPr>
          <w:sz w:val="22"/>
          <w:szCs w:val="22"/>
        </w:rPr>
        <w:t>Klinické skúšania sa uskutočnili u detí vo veku 6 mesiacov až 12 rokov, ktorým sa podával klaritromycín vo forme suspenzie. Preto deti mladšie ako 12 rokov majú užívať klaritromycín vo forme suspenzie.</w:t>
      </w:r>
    </w:p>
    <w:p w14:paraId="5F56CA05" w14:textId="77777777" w:rsidR="005E4FAF" w:rsidRPr="008166BF" w:rsidRDefault="005E4FAF" w:rsidP="00C231A8">
      <w:pPr>
        <w:rPr>
          <w:sz w:val="22"/>
          <w:szCs w:val="22"/>
        </w:rPr>
      </w:pPr>
    </w:p>
    <w:p w14:paraId="1F911A87" w14:textId="77777777" w:rsidR="009F74F8" w:rsidRPr="008166BF" w:rsidRDefault="006959C2" w:rsidP="00C231A8">
      <w:pPr>
        <w:rPr>
          <w:sz w:val="22"/>
          <w:szCs w:val="22"/>
        </w:rPr>
      </w:pPr>
      <w:r>
        <w:rPr>
          <w:sz w:val="22"/>
          <w:szCs w:val="22"/>
        </w:rPr>
        <w:t>Predpokladá sa, že frekvencia, typ a závažnosť nežiaducich reakcií u detí bude podobná ako u dospelých pacientov.</w:t>
      </w:r>
    </w:p>
    <w:p w14:paraId="1CB3786C" w14:textId="77777777" w:rsidR="009F74F8" w:rsidRPr="008166BF" w:rsidRDefault="009F74F8" w:rsidP="00C231A8">
      <w:pPr>
        <w:rPr>
          <w:sz w:val="22"/>
          <w:szCs w:val="22"/>
        </w:rPr>
      </w:pPr>
    </w:p>
    <w:p w14:paraId="2C1F96BC" w14:textId="77777777" w:rsidR="008B2037" w:rsidRDefault="009A51D6">
      <w:pPr>
        <w:rPr>
          <w:b/>
          <w:sz w:val="22"/>
          <w:szCs w:val="22"/>
          <w:u w:val="single"/>
        </w:rPr>
      </w:pPr>
      <w:r w:rsidRPr="009A51D6">
        <w:rPr>
          <w:b/>
          <w:sz w:val="22"/>
          <w:szCs w:val="22"/>
          <w:u w:val="single"/>
        </w:rPr>
        <w:t>Iné osobitné skupiny pacientov</w:t>
      </w:r>
    </w:p>
    <w:p w14:paraId="52E6796C" w14:textId="77777777" w:rsidR="009F74F8" w:rsidRPr="008166BF" w:rsidRDefault="006959C2" w:rsidP="00C231A8">
      <w:pPr>
        <w:rPr>
          <w:i/>
          <w:sz w:val="22"/>
          <w:szCs w:val="22"/>
        </w:rPr>
      </w:pPr>
      <w:r>
        <w:rPr>
          <w:i/>
          <w:sz w:val="22"/>
          <w:szCs w:val="22"/>
        </w:rPr>
        <w:t>Pacienti s oslabeným imunitným systémom</w:t>
      </w:r>
    </w:p>
    <w:p w14:paraId="6ECCF6E1" w14:textId="77777777" w:rsidR="009F74F8" w:rsidRPr="008166BF" w:rsidRDefault="006959C2" w:rsidP="00C231A8">
      <w:pPr>
        <w:rPr>
          <w:sz w:val="22"/>
          <w:szCs w:val="22"/>
        </w:rPr>
      </w:pPr>
      <w:r>
        <w:rPr>
          <w:sz w:val="22"/>
          <w:szCs w:val="22"/>
        </w:rPr>
        <w:t xml:space="preserve">U pacientov s AIDS alebo iných pacientov s oslabeným imunitným systémom dlhodobo liečených vyššími dávkami klaritromycínu z dôvodu mykobakteriálnej infekcie bolo často náročné rozlíšiť nežiaduce udalosti pravdepodobne súvisiace s podávaním klaritromycínu od príznakov základného ochorenia </w:t>
      </w:r>
      <w:r>
        <w:rPr>
          <w:bCs/>
          <w:sz w:val="22"/>
          <w:szCs w:val="22"/>
        </w:rPr>
        <w:t xml:space="preserve">vyvolaného </w:t>
      </w:r>
      <w:r>
        <w:rPr>
          <w:sz w:val="22"/>
          <w:szCs w:val="22"/>
        </w:rPr>
        <w:t xml:space="preserve">vírusom ľudskej imunitnej nedostatočnosti (HIV) alebo pridruženého ochorenia. </w:t>
      </w:r>
    </w:p>
    <w:p w14:paraId="4827FCFD" w14:textId="77777777" w:rsidR="009F74F8" w:rsidRPr="008166BF" w:rsidRDefault="009F74F8" w:rsidP="00C231A8">
      <w:pPr>
        <w:rPr>
          <w:sz w:val="22"/>
          <w:szCs w:val="22"/>
        </w:rPr>
      </w:pPr>
    </w:p>
    <w:p w14:paraId="41215B70" w14:textId="77777777" w:rsidR="009F74F8" w:rsidRPr="008166BF" w:rsidRDefault="006959C2" w:rsidP="00C231A8">
      <w:pPr>
        <w:rPr>
          <w:sz w:val="22"/>
          <w:szCs w:val="22"/>
        </w:rPr>
      </w:pPr>
      <w:r>
        <w:rPr>
          <w:sz w:val="22"/>
          <w:szCs w:val="22"/>
        </w:rPr>
        <w:t xml:space="preserve">Najčastejšie hlásenými nežiaducimi reakciami u dospelých pacientov liečených celkovými dennými dávkami 1000 mg a 2000 mg klaritromycínu boli: nauzea, vracanie, zmeny vnímania chuti, abdominálna bolesť, hnačka, vyrážka, plynatosť, bolesť hlavy, zápcha, poruchy sluchu, zvýšenie hladiny </w:t>
      </w:r>
      <w:r>
        <w:rPr>
          <w:color w:val="000000"/>
          <w:sz w:val="22"/>
          <w:szCs w:val="22"/>
        </w:rPr>
        <w:t>aspartátaminotransferázy</w:t>
      </w:r>
      <w:r>
        <w:rPr>
          <w:sz w:val="22"/>
          <w:szCs w:val="22"/>
        </w:rPr>
        <w:t xml:space="preserve"> (AST) a alanínaminotransferázy (ALT). Ďalšie udalosti objavujúce sa s nízkou frekvenciou zahŕňajú dyspnoe, insomniu a sucho v ústach. Výskyt bol porovnateľný ako u pacientov liečených dávkami 1000 mg a 2000 mg, avšak bol zvyčajne 3 až 4-násobne častejší u tých pacientov, ktorí dostávali celkové denné dávky klaritromycínu 4000 mg.</w:t>
      </w:r>
    </w:p>
    <w:p w14:paraId="37BDB63F" w14:textId="77777777" w:rsidR="009F74F8" w:rsidRPr="008166BF" w:rsidRDefault="009F74F8" w:rsidP="00C231A8">
      <w:pPr>
        <w:rPr>
          <w:sz w:val="22"/>
          <w:szCs w:val="22"/>
        </w:rPr>
      </w:pPr>
    </w:p>
    <w:p w14:paraId="04057192" w14:textId="77777777" w:rsidR="009F74F8" w:rsidRPr="008166BF" w:rsidRDefault="006959C2" w:rsidP="00C231A8">
      <w:pPr>
        <w:rPr>
          <w:sz w:val="22"/>
          <w:szCs w:val="22"/>
        </w:rPr>
      </w:pPr>
      <w:r>
        <w:rPr>
          <w:sz w:val="22"/>
          <w:szCs w:val="22"/>
        </w:rPr>
        <w:t>U týchto pacientov s oslabeným imunitným systémom sa hodnotili laboratórne výsledky analyzovaním týchto hodnôt mimo závažne abnormálnej hladiny (t.j. najvyššia a najnižšia hraničná hodnota) pre stanovený test. Na základe týchto kritérií asi 2 % až 3 % týchto pacientov, ktorí dostávali 1000 mg alebo 2000 mg klaritromycínu denne, mali závažne abnormálne zvýšené hladiny AST a ALT, abnormálne nízky počet bielych krviniek a krvných doštičiek. Nízke percento pacientov v týchto dvoch skupinách dávok malo tiež zvýšené hladiny dusíka močoviny v krvi. Mierne zvýšený výskyt nezvyčajných hladín všetkých parametrov, s výnimkou bielych krviniek, sa pozoroval u pacientov, ktorí užívali 4000 mg denne.</w:t>
      </w:r>
    </w:p>
    <w:p w14:paraId="5FE2A9FB" w14:textId="77777777" w:rsidR="009F74F8" w:rsidRPr="008166BF" w:rsidRDefault="009F74F8">
      <w:pPr>
        <w:rPr>
          <w:sz w:val="22"/>
          <w:szCs w:val="22"/>
        </w:rPr>
      </w:pPr>
    </w:p>
    <w:p w14:paraId="159FE804" w14:textId="77777777" w:rsidR="009E31FF" w:rsidRPr="009F1C5A" w:rsidRDefault="009E31FF" w:rsidP="009E31FF">
      <w:pPr>
        <w:pStyle w:val="Normlnywebov"/>
        <w:shd w:val="clear" w:color="auto" w:fill="FFFFFF"/>
        <w:spacing w:before="0"/>
        <w:jc w:val="both"/>
        <w:rPr>
          <w:sz w:val="22"/>
          <w:szCs w:val="22"/>
          <w:lang w:val="sk-SK"/>
        </w:rPr>
      </w:pPr>
      <w:r w:rsidRPr="009F1C5A">
        <w:rPr>
          <w:sz w:val="22"/>
          <w:szCs w:val="22"/>
          <w:u w:val="single"/>
          <w:lang w:val="sk-SK"/>
        </w:rPr>
        <w:t>Hlásenie podozrení na nežiaduce reakcie</w:t>
      </w:r>
    </w:p>
    <w:p w14:paraId="0844EA18" w14:textId="415A9244" w:rsidR="009F74F8" w:rsidRPr="008166BF" w:rsidRDefault="009E31FF" w:rsidP="007B5498">
      <w:pPr>
        <w:pStyle w:val="Normlnywebov"/>
        <w:shd w:val="clear" w:color="auto" w:fill="FFFFFF"/>
        <w:spacing w:before="0"/>
        <w:jc w:val="both"/>
        <w:rPr>
          <w:noProof/>
          <w:sz w:val="22"/>
          <w:szCs w:val="22"/>
        </w:rPr>
      </w:pPr>
      <w:r w:rsidRPr="009F1C5A">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007B5498" w:rsidRPr="003459B4">
        <w:rPr>
          <w:sz w:val="22"/>
          <w:szCs w:val="22"/>
          <w:highlight w:val="lightGray"/>
        </w:rPr>
        <w:t>národné centrum hlásenia uvedené v </w:t>
      </w:r>
      <w:hyperlink r:id="rId8">
        <w:r w:rsidR="007B5498" w:rsidRPr="003459B4">
          <w:rPr>
            <w:rStyle w:val="Hypertextovprepojenie"/>
            <w:sz w:val="22"/>
            <w:szCs w:val="22"/>
            <w:highlight w:val="lightGray"/>
          </w:rPr>
          <w:t>Prílohe V</w:t>
        </w:r>
      </w:hyperlink>
    </w:p>
    <w:p w14:paraId="56D55829" w14:textId="77777777" w:rsidR="009F74F8" w:rsidRPr="008166BF" w:rsidRDefault="009A51D6" w:rsidP="00575219">
      <w:pPr>
        <w:ind w:left="540" w:hanging="540"/>
        <w:rPr>
          <w:b/>
          <w:bCs/>
          <w:sz w:val="22"/>
          <w:szCs w:val="22"/>
        </w:rPr>
      </w:pPr>
      <w:r w:rsidRPr="009A51D6">
        <w:rPr>
          <w:b/>
          <w:bCs/>
          <w:sz w:val="22"/>
          <w:szCs w:val="22"/>
        </w:rPr>
        <w:t>4.9</w:t>
      </w:r>
      <w:r w:rsidRPr="009A51D6">
        <w:rPr>
          <w:b/>
          <w:bCs/>
          <w:sz w:val="22"/>
          <w:szCs w:val="22"/>
        </w:rPr>
        <w:tab/>
        <w:t>Predávkovanie</w:t>
      </w:r>
    </w:p>
    <w:p w14:paraId="51A3F4A3" w14:textId="77777777" w:rsidR="009F74F8" w:rsidRPr="008166BF" w:rsidRDefault="009F74F8">
      <w:pPr>
        <w:rPr>
          <w:sz w:val="22"/>
          <w:szCs w:val="22"/>
        </w:rPr>
      </w:pPr>
    </w:p>
    <w:p w14:paraId="19ECDF98" w14:textId="77777777" w:rsidR="009F74F8" w:rsidRPr="008166BF" w:rsidRDefault="009A51D6" w:rsidP="007F058F">
      <w:pPr>
        <w:rPr>
          <w:sz w:val="22"/>
          <w:szCs w:val="22"/>
        </w:rPr>
      </w:pPr>
      <w:r w:rsidRPr="009A51D6">
        <w:rPr>
          <w:sz w:val="22"/>
          <w:szCs w:val="22"/>
        </w:rPr>
        <w:t xml:space="preserve">Na základe hlásení je možné očakávať, že užitie veľkých množstiev klaritromycínu môže spôsobiť gastrointestinálne príznaky. U jedného pacienta s bipolárnou poruchou v anamnéze, ktorý užil </w:t>
      </w:r>
      <w:smartTag w:uri="urn:schemas-microsoft-com:office:smarttags" w:element="metricconverter">
        <w:smartTagPr>
          <w:attr w:name="ProductID" w:val="8ﾠg"/>
        </w:smartTagPr>
        <w:r w:rsidRPr="009A51D6">
          <w:rPr>
            <w:sz w:val="22"/>
            <w:szCs w:val="22"/>
          </w:rPr>
          <w:t>8 g</w:t>
        </w:r>
      </w:smartTag>
      <w:r w:rsidRPr="009A51D6">
        <w:rPr>
          <w:sz w:val="22"/>
          <w:szCs w:val="22"/>
        </w:rPr>
        <w:t xml:space="preserve"> klaritromycínu, sa objavila zmena duševného stavu, paranoidné správanie, hypokaliémia a hypoxémia. </w:t>
      </w:r>
    </w:p>
    <w:p w14:paraId="2F4A7D8C" w14:textId="77777777" w:rsidR="009F74F8" w:rsidRPr="008166BF" w:rsidRDefault="009F74F8" w:rsidP="007F058F">
      <w:pPr>
        <w:rPr>
          <w:sz w:val="22"/>
          <w:szCs w:val="22"/>
        </w:rPr>
      </w:pPr>
    </w:p>
    <w:p w14:paraId="57BF2798" w14:textId="77777777" w:rsidR="009F74F8" w:rsidRPr="008166BF" w:rsidRDefault="009A51D6" w:rsidP="007F058F">
      <w:pPr>
        <w:rPr>
          <w:sz w:val="22"/>
          <w:szCs w:val="22"/>
        </w:rPr>
      </w:pPr>
      <w:r w:rsidRPr="009A51D6">
        <w:rPr>
          <w:sz w:val="22"/>
          <w:szCs w:val="22"/>
        </w:rPr>
        <w:t xml:space="preserve">Nežiaduce reakcie sprevádzajúce predávkovanie sa majú liečiť včasnou elimináciou neabsorbovaného liečiva a podpornými opatreniami. Podobne ako v prípade iných makrolidov nemožno očakávať, že by hemodialýza alebo peritoneálna dialýza výrazne ovplyvnili sérové hladiny klaritromycínu. </w:t>
      </w:r>
    </w:p>
    <w:p w14:paraId="5B5ED3D9" w14:textId="77777777" w:rsidR="009F74F8" w:rsidRPr="008166BF" w:rsidRDefault="009F74F8" w:rsidP="007F058F">
      <w:pPr>
        <w:rPr>
          <w:sz w:val="22"/>
          <w:szCs w:val="22"/>
        </w:rPr>
      </w:pPr>
    </w:p>
    <w:p w14:paraId="5FF21FAB" w14:textId="77777777" w:rsidR="009F74F8" w:rsidRPr="008166BF" w:rsidRDefault="009F74F8">
      <w:pPr>
        <w:rPr>
          <w:sz w:val="22"/>
          <w:szCs w:val="22"/>
        </w:rPr>
      </w:pPr>
    </w:p>
    <w:p w14:paraId="66B5DC47" w14:textId="77777777" w:rsidR="009F74F8" w:rsidRPr="008166BF" w:rsidRDefault="009A51D6" w:rsidP="00575219">
      <w:pPr>
        <w:numPr>
          <w:ilvl w:val="0"/>
          <w:numId w:val="7"/>
        </w:numPr>
        <w:tabs>
          <w:tab w:val="clear" w:pos="360"/>
        </w:tabs>
        <w:ind w:left="540" w:hanging="540"/>
        <w:rPr>
          <w:b/>
          <w:bCs/>
          <w:sz w:val="22"/>
          <w:szCs w:val="22"/>
        </w:rPr>
      </w:pPr>
      <w:r w:rsidRPr="009A51D6">
        <w:rPr>
          <w:b/>
          <w:bCs/>
          <w:sz w:val="22"/>
          <w:szCs w:val="22"/>
        </w:rPr>
        <w:t>FARMAKOLOGICKÉ  VLASTNOSTI</w:t>
      </w:r>
    </w:p>
    <w:p w14:paraId="69D084FB" w14:textId="77777777" w:rsidR="009F74F8" w:rsidRPr="008166BF" w:rsidRDefault="009F74F8" w:rsidP="00575219">
      <w:pPr>
        <w:rPr>
          <w:b/>
          <w:bCs/>
          <w:sz w:val="22"/>
          <w:szCs w:val="22"/>
        </w:rPr>
      </w:pPr>
    </w:p>
    <w:p w14:paraId="7F8A6E51" w14:textId="77777777" w:rsidR="009F74F8" w:rsidRPr="008166BF" w:rsidRDefault="009A51D6" w:rsidP="0087687C">
      <w:pPr>
        <w:numPr>
          <w:ilvl w:val="1"/>
          <w:numId w:val="20"/>
        </w:numPr>
        <w:tabs>
          <w:tab w:val="clear" w:pos="360"/>
        </w:tabs>
        <w:ind w:left="540" w:hanging="540"/>
        <w:rPr>
          <w:b/>
          <w:bCs/>
          <w:sz w:val="22"/>
          <w:szCs w:val="22"/>
        </w:rPr>
      </w:pPr>
      <w:r w:rsidRPr="009A51D6">
        <w:rPr>
          <w:b/>
          <w:bCs/>
          <w:sz w:val="22"/>
          <w:szCs w:val="22"/>
        </w:rPr>
        <w:t>Farmakodynamické vlastnosti</w:t>
      </w:r>
    </w:p>
    <w:p w14:paraId="7CB71128" w14:textId="77777777" w:rsidR="009F74F8" w:rsidRPr="008166BF" w:rsidRDefault="009F74F8" w:rsidP="00F3619E">
      <w:pPr>
        <w:ind w:left="360"/>
        <w:rPr>
          <w:sz w:val="22"/>
          <w:szCs w:val="22"/>
        </w:rPr>
      </w:pPr>
    </w:p>
    <w:p w14:paraId="161A35ED" w14:textId="77777777" w:rsidR="009F74F8" w:rsidRPr="008166BF" w:rsidRDefault="009A51D6" w:rsidP="00F3619E">
      <w:pPr>
        <w:rPr>
          <w:sz w:val="22"/>
          <w:szCs w:val="22"/>
        </w:rPr>
      </w:pPr>
      <w:r w:rsidRPr="009A51D6">
        <w:rPr>
          <w:sz w:val="22"/>
          <w:szCs w:val="22"/>
        </w:rPr>
        <w:t>Farmakoterapeutická skupina: antibiotiká na systémové použitie, makrolidy, linkozamidy a streptogramíny, ATC kód: J01FA09</w:t>
      </w:r>
    </w:p>
    <w:p w14:paraId="06938B76" w14:textId="77777777" w:rsidR="009F74F8" w:rsidRPr="008166BF" w:rsidRDefault="009F74F8">
      <w:pPr>
        <w:rPr>
          <w:sz w:val="22"/>
          <w:szCs w:val="22"/>
        </w:rPr>
      </w:pPr>
    </w:p>
    <w:p w14:paraId="6559D07B" w14:textId="77777777" w:rsidR="009F74F8" w:rsidRPr="008166BF" w:rsidRDefault="009A51D6" w:rsidP="002C3FFD">
      <w:pPr>
        <w:rPr>
          <w:sz w:val="22"/>
          <w:szCs w:val="22"/>
          <w:u w:val="single"/>
        </w:rPr>
      </w:pPr>
      <w:r w:rsidRPr="009A51D6">
        <w:rPr>
          <w:sz w:val="22"/>
          <w:szCs w:val="22"/>
          <w:u w:val="single"/>
        </w:rPr>
        <w:t>Mechanizmus účinku</w:t>
      </w:r>
    </w:p>
    <w:p w14:paraId="419FFBBD" w14:textId="77777777" w:rsidR="009F74F8" w:rsidRPr="008166BF" w:rsidRDefault="009A51D6">
      <w:pPr>
        <w:rPr>
          <w:sz w:val="22"/>
          <w:szCs w:val="22"/>
        </w:rPr>
      </w:pPr>
      <w:r w:rsidRPr="009A51D6">
        <w:rPr>
          <w:sz w:val="22"/>
          <w:szCs w:val="22"/>
        </w:rPr>
        <w:t>Klaritromycín je semisyntetický derivát erytromycínu a jeho antibakteriálny účinok spočíva vo väzbe na 50S ribozomálnu podjednotku, citlivých baktérií a potlačení syntézy proteínov.</w:t>
      </w:r>
    </w:p>
    <w:p w14:paraId="31896192" w14:textId="77777777" w:rsidR="009F74F8" w:rsidRPr="008166BF" w:rsidRDefault="009A51D6" w:rsidP="002C3FFD">
      <w:pPr>
        <w:rPr>
          <w:sz w:val="22"/>
          <w:szCs w:val="22"/>
        </w:rPr>
      </w:pPr>
      <w:r w:rsidRPr="009A51D6">
        <w:rPr>
          <w:sz w:val="22"/>
          <w:szCs w:val="22"/>
        </w:rPr>
        <w:t>Je vysoko účinný proti širokému spektru aeróbnych a anaeróbnych grampozitívnych a gramnegatívnych organizmov. Minimálne inhibičné koncentrácie (MIC) klaritromycínu sú zvyčajne dvojnásobne nižšie ako MIC erytromycínu.</w:t>
      </w:r>
    </w:p>
    <w:p w14:paraId="7E70E4B1" w14:textId="77777777" w:rsidR="009F74F8" w:rsidRPr="008166BF" w:rsidRDefault="009F74F8">
      <w:pPr>
        <w:rPr>
          <w:sz w:val="22"/>
          <w:szCs w:val="22"/>
        </w:rPr>
      </w:pPr>
    </w:p>
    <w:p w14:paraId="4C026584" w14:textId="77777777" w:rsidR="009F74F8" w:rsidRPr="008166BF" w:rsidRDefault="009A51D6">
      <w:pPr>
        <w:rPr>
          <w:sz w:val="22"/>
          <w:szCs w:val="22"/>
        </w:rPr>
      </w:pPr>
      <w:r w:rsidRPr="009A51D6">
        <w:rPr>
          <w:sz w:val="22"/>
          <w:szCs w:val="22"/>
        </w:rPr>
        <w:t xml:space="preserve">14-hydroxymetabolit klaritromycínu má tiež antimikrobiálnu aktivitu. MIC tohto metabolitu je rovnaká alebo dvakrát vyššia ako MIC materskej zlúčeniny, s výnimkou </w:t>
      </w:r>
      <w:r w:rsidRPr="009A51D6">
        <w:rPr>
          <w:i/>
          <w:sz w:val="22"/>
          <w:szCs w:val="22"/>
        </w:rPr>
        <w:t>Haemophilus influenzae</w:t>
      </w:r>
      <w:r w:rsidRPr="009A51D6">
        <w:rPr>
          <w:sz w:val="22"/>
          <w:szCs w:val="22"/>
        </w:rPr>
        <w:t>, kde 14-hydroxymetabolit je dvojnásobne účinnejší ako materská zlúčenina.</w:t>
      </w:r>
    </w:p>
    <w:p w14:paraId="12FD65AD" w14:textId="77777777" w:rsidR="009F74F8" w:rsidRPr="008166BF" w:rsidRDefault="009F74F8" w:rsidP="004008F4">
      <w:pPr>
        <w:rPr>
          <w:sz w:val="22"/>
          <w:szCs w:val="22"/>
          <w:highlight w:val="yellow"/>
        </w:rPr>
      </w:pPr>
    </w:p>
    <w:p w14:paraId="1E3266D5" w14:textId="77777777" w:rsidR="009F74F8" w:rsidRPr="008166BF" w:rsidRDefault="009A51D6" w:rsidP="004008F4">
      <w:pPr>
        <w:rPr>
          <w:sz w:val="22"/>
          <w:szCs w:val="22"/>
          <w:u w:val="single"/>
        </w:rPr>
      </w:pPr>
      <w:r w:rsidRPr="009A51D6">
        <w:rPr>
          <w:sz w:val="22"/>
          <w:szCs w:val="22"/>
          <w:u w:val="single"/>
        </w:rPr>
        <w:t>Farmakokinetický/farmakodynamický vzťah</w:t>
      </w:r>
    </w:p>
    <w:p w14:paraId="0E9FA9B6" w14:textId="77777777" w:rsidR="009F74F8" w:rsidRPr="008166BF" w:rsidRDefault="009A51D6" w:rsidP="004008F4">
      <w:pPr>
        <w:rPr>
          <w:sz w:val="22"/>
          <w:szCs w:val="22"/>
        </w:rPr>
      </w:pPr>
      <w:r w:rsidRPr="009A51D6">
        <w:rPr>
          <w:sz w:val="22"/>
          <w:szCs w:val="22"/>
        </w:rPr>
        <w:t xml:space="preserve">Klaritromycín je v značnej miere distribuovaný do tkanív a telesných tekutín. Z dôvodu vysokého prieniku do tkanív sú intracelulárne koncentrácie vyššie ako sérové koncentrácie. </w:t>
      </w:r>
    </w:p>
    <w:p w14:paraId="1E3E64AA" w14:textId="77777777" w:rsidR="009F74F8" w:rsidRPr="008166BF" w:rsidRDefault="009F74F8" w:rsidP="004008F4">
      <w:pPr>
        <w:rPr>
          <w:sz w:val="22"/>
          <w:szCs w:val="22"/>
        </w:rPr>
      </w:pPr>
    </w:p>
    <w:p w14:paraId="5AA8946A" w14:textId="77777777" w:rsidR="009F74F8" w:rsidRPr="008166BF" w:rsidRDefault="009A51D6" w:rsidP="004008F4">
      <w:pPr>
        <w:rPr>
          <w:sz w:val="22"/>
          <w:szCs w:val="22"/>
        </w:rPr>
      </w:pPr>
      <w:r w:rsidRPr="009A51D6">
        <w:rPr>
          <w:sz w:val="22"/>
          <w:szCs w:val="22"/>
        </w:rPr>
        <w:t>Najdôležitejšie farmakodynamické parametre na určenie aktivity makrolidov nie sú jednoznačne stanovené. Čas, počas ktorého sérová koncentrácia zotrváva nad MIC (T/MIC) môže korelovať s najvyššou účinnosťou klaritromycínu, avšak i keď koncentrácie klaritromycínu dosiahnuté v tkanivách respiračného traktu a tekutinách epitelovej výstelky prekračujú koncentrácie v plazme, použitie parametrov založených na plazmatických koncentráciách môže viesť k nesprávnemu určeniu presnej odpovede infekcií respiračného traktu.</w:t>
      </w:r>
    </w:p>
    <w:p w14:paraId="10528B5D" w14:textId="77777777" w:rsidR="009F74F8" w:rsidRPr="008166BF" w:rsidRDefault="009F74F8" w:rsidP="004008F4">
      <w:pPr>
        <w:rPr>
          <w:sz w:val="22"/>
          <w:szCs w:val="22"/>
          <w:u w:val="single"/>
        </w:rPr>
      </w:pPr>
    </w:p>
    <w:p w14:paraId="49B934FE" w14:textId="77777777" w:rsidR="009F74F8" w:rsidRPr="008166BF" w:rsidRDefault="009A51D6" w:rsidP="004008F4">
      <w:pPr>
        <w:rPr>
          <w:sz w:val="22"/>
          <w:szCs w:val="22"/>
          <w:u w:val="single"/>
        </w:rPr>
      </w:pPr>
      <w:r w:rsidRPr="009A51D6">
        <w:rPr>
          <w:sz w:val="22"/>
          <w:szCs w:val="22"/>
          <w:u w:val="single"/>
        </w:rPr>
        <w:t>Mechanizmus rezistencie</w:t>
      </w:r>
    </w:p>
    <w:p w14:paraId="6132D5AE" w14:textId="77777777" w:rsidR="009F74F8" w:rsidRPr="008166BF" w:rsidRDefault="009A51D6" w:rsidP="004008F4">
      <w:pPr>
        <w:rPr>
          <w:bCs/>
          <w:sz w:val="22"/>
          <w:szCs w:val="22"/>
        </w:rPr>
      </w:pPr>
      <w:r w:rsidRPr="009A51D6">
        <w:rPr>
          <w:bCs/>
          <w:sz w:val="22"/>
          <w:szCs w:val="22"/>
        </w:rPr>
        <w:t>Medzi mechanizmy spôsobujúce vznik rezistencie voči makrolidovým antibiotikám patrí zmena cieľového miesta antibiotika alebo modifikácia antibiotika a/alebo jeho aktívny eflux.</w:t>
      </w:r>
    </w:p>
    <w:p w14:paraId="763C5324" w14:textId="77777777" w:rsidR="009F74F8" w:rsidRPr="008166BF" w:rsidRDefault="009F74F8" w:rsidP="004008F4">
      <w:pPr>
        <w:rPr>
          <w:bCs/>
          <w:sz w:val="22"/>
          <w:szCs w:val="22"/>
        </w:rPr>
      </w:pPr>
    </w:p>
    <w:p w14:paraId="034E919B" w14:textId="77777777" w:rsidR="009F74F8" w:rsidRPr="008166BF" w:rsidRDefault="009A51D6" w:rsidP="004008F4">
      <w:pPr>
        <w:rPr>
          <w:bCs/>
          <w:sz w:val="22"/>
          <w:szCs w:val="22"/>
        </w:rPr>
      </w:pPr>
      <w:r w:rsidRPr="009A51D6">
        <w:rPr>
          <w:bCs/>
          <w:sz w:val="22"/>
          <w:szCs w:val="22"/>
        </w:rPr>
        <w:t xml:space="preserve">Vznik rezistencie môže byť sprostredkovaný chromozómami alebo plazmidmi, rezistencia môže byť indukovaná alebo konštitutívna. Baktérie rezistentné na makrolidy vytvárajú enzýmy, ktoré spôsobujú metyláciu adenínového zvyšku ribozomálnej RNA, čo následne vedie k inhibícii väzby antibiotika na ribozóm. </w:t>
      </w:r>
    </w:p>
    <w:p w14:paraId="78348ECB" w14:textId="77777777" w:rsidR="009F74F8" w:rsidRPr="008166BF" w:rsidRDefault="009F74F8" w:rsidP="004008F4">
      <w:pPr>
        <w:rPr>
          <w:bCs/>
          <w:sz w:val="22"/>
          <w:szCs w:val="22"/>
        </w:rPr>
      </w:pPr>
    </w:p>
    <w:p w14:paraId="1356F764" w14:textId="77777777" w:rsidR="009F74F8" w:rsidRPr="008166BF" w:rsidRDefault="009A51D6" w:rsidP="004008F4">
      <w:pPr>
        <w:rPr>
          <w:bCs/>
          <w:sz w:val="22"/>
          <w:szCs w:val="22"/>
        </w:rPr>
      </w:pPr>
      <w:r w:rsidRPr="009A51D6">
        <w:rPr>
          <w:bCs/>
          <w:sz w:val="22"/>
          <w:szCs w:val="22"/>
        </w:rPr>
        <w:t>Mikroorganizmy rezistentné na makrolidy sú spravidla skrížene rezistentné na linkozamidy a streptogramín B v dôsledku metylácie väzbového miesta na ribozóme. Klaritromycín tiež patrí medzi silné induktory tohto enzýmu. Okrem toho majú makrolidy v dôsledku inhibície peptidyltransferázy ribozómov bakteriostatický účinok.</w:t>
      </w:r>
    </w:p>
    <w:p w14:paraId="0A5D6244" w14:textId="77777777" w:rsidR="009F74F8" w:rsidRPr="008166BF" w:rsidRDefault="009F74F8" w:rsidP="004008F4">
      <w:pPr>
        <w:rPr>
          <w:bCs/>
          <w:sz w:val="22"/>
          <w:szCs w:val="22"/>
        </w:rPr>
      </w:pPr>
    </w:p>
    <w:p w14:paraId="3B8F8140" w14:textId="77777777" w:rsidR="009F74F8" w:rsidRPr="008166BF" w:rsidRDefault="009A51D6" w:rsidP="004008F4">
      <w:pPr>
        <w:rPr>
          <w:bCs/>
          <w:sz w:val="22"/>
          <w:szCs w:val="22"/>
        </w:rPr>
      </w:pPr>
      <w:r w:rsidRPr="009A51D6">
        <w:rPr>
          <w:bCs/>
          <w:sz w:val="22"/>
          <w:szCs w:val="22"/>
        </w:rPr>
        <w:t>Medzi klaritromycínom, erytromycínom a azitromycínom existuje úplná skrížená rezistencia. Stafylokoky rezistentné na meticilín a oxacilín a </w:t>
      </w:r>
      <w:r w:rsidRPr="009A51D6">
        <w:rPr>
          <w:bCs/>
          <w:i/>
          <w:sz w:val="22"/>
          <w:szCs w:val="22"/>
        </w:rPr>
        <w:t>Streptococcus pneumoniae</w:t>
      </w:r>
      <w:r w:rsidRPr="009A51D6">
        <w:rPr>
          <w:bCs/>
          <w:sz w:val="22"/>
          <w:szCs w:val="22"/>
        </w:rPr>
        <w:t xml:space="preserve"> rezistentný na penicilín sú rezistentné na všetky v súčasnosti dostupné betalaktámové antibiotiká a makrolidy, ako je klaritromycín.</w:t>
      </w:r>
    </w:p>
    <w:p w14:paraId="0B5E5715" w14:textId="77777777" w:rsidR="009F74F8" w:rsidRPr="008166BF" w:rsidRDefault="009F74F8" w:rsidP="004008F4">
      <w:pPr>
        <w:rPr>
          <w:sz w:val="22"/>
          <w:szCs w:val="22"/>
        </w:rPr>
      </w:pPr>
    </w:p>
    <w:p w14:paraId="3D3F8A82" w14:textId="77777777" w:rsidR="009F74F8" w:rsidRPr="008166BF" w:rsidRDefault="009A51D6" w:rsidP="004008F4">
      <w:pPr>
        <w:rPr>
          <w:b/>
          <w:sz w:val="22"/>
          <w:szCs w:val="22"/>
          <w:u w:val="single"/>
        </w:rPr>
      </w:pPr>
      <w:r w:rsidRPr="009A51D6">
        <w:rPr>
          <w:b/>
          <w:sz w:val="22"/>
          <w:szCs w:val="22"/>
          <w:u w:val="single"/>
        </w:rPr>
        <w:t>Hraničné hodnoty citlivosti</w:t>
      </w:r>
    </w:p>
    <w:p w14:paraId="49B17AD0" w14:textId="77777777" w:rsidR="009F74F8" w:rsidRPr="008166BF" w:rsidRDefault="009A51D6" w:rsidP="004008F4">
      <w:pPr>
        <w:rPr>
          <w:sz w:val="22"/>
          <w:szCs w:val="22"/>
        </w:rPr>
      </w:pPr>
      <w:r w:rsidRPr="009A51D6">
        <w:rPr>
          <w:sz w:val="22"/>
          <w:szCs w:val="22"/>
        </w:rPr>
        <w:t>Podľa EUCAST (European Committee for Antimicrobial Susceptibility Testing) boli stanovené nasledovné hraničné hodnoty citlivosti pre klaritromycín, oddeľujúce citlivé mikroorganizmy od rezistentných:</w:t>
      </w:r>
    </w:p>
    <w:p w14:paraId="38C15262" w14:textId="77777777" w:rsidR="009F74F8" w:rsidRPr="008166BF" w:rsidRDefault="009F74F8" w:rsidP="004008F4">
      <w:pPr>
        <w:rPr>
          <w:sz w:val="22"/>
          <w:szCs w:val="22"/>
          <w:highlight w:val="yellow"/>
        </w:rPr>
      </w:pPr>
    </w:p>
    <w:tbl>
      <w:tblPr>
        <w:tblW w:w="912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7"/>
        <w:gridCol w:w="2601"/>
        <w:gridCol w:w="2599"/>
      </w:tblGrid>
      <w:tr w:rsidR="009F74F8" w:rsidRPr="008166BF" w14:paraId="7F286B2C" w14:textId="77777777" w:rsidTr="00B43559">
        <w:tc>
          <w:tcPr>
            <w:tcW w:w="3927" w:type="dxa"/>
          </w:tcPr>
          <w:p w14:paraId="6B8244C1" w14:textId="77777777" w:rsidR="009F74F8" w:rsidRPr="008166BF" w:rsidRDefault="009F74F8" w:rsidP="00B43559">
            <w:pPr>
              <w:rPr>
                <w:b/>
                <w:sz w:val="22"/>
                <w:szCs w:val="22"/>
                <w:highlight w:val="yellow"/>
              </w:rPr>
            </w:pPr>
          </w:p>
        </w:tc>
        <w:tc>
          <w:tcPr>
            <w:tcW w:w="5200" w:type="dxa"/>
            <w:gridSpan w:val="2"/>
          </w:tcPr>
          <w:p w14:paraId="7F948111" w14:textId="77777777" w:rsidR="009F74F8" w:rsidRPr="008166BF" w:rsidRDefault="009A51D6" w:rsidP="00F3619E">
            <w:pPr>
              <w:jc w:val="center"/>
              <w:rPr>
                <w:b/>
                <w:sz w:val="22"/>
                <w:szCs w:val="22"/>
                <w:highlight w:val="yellow"/>
              </w:rPr>
            </w:pPr>
            <w:r w:rsidRPr="009A51D6">
              <w:rPr>
                <w:b/>
                <w:sz w:val="22"/>
                <w:szCs w:val="22"/>
              </w:rPr>
              <w:t>Hraničné koncentrácie klaritromycínu v súvislosti s druhom</w:t>
            </w:r>
          </w:p>
        </w:tc>
      </w:tr>
      <w:tr w:rsidR="009F74F8" w:rsidRPr="008166BF" w14:paraId="37FF48D7" w14:textId="77777777" w:rsidTr="00F3619E">
        <w:tc>
          <w:tcPr>
            <w:tcW w:w="3927" w:type="dxa"/>
          </w:tcPr>
          <w:p w14:paraId="4CA47CE1" w14:textId="77777777" w:rsidR="009F74F8" w:rsidRPr="008166BF" w:rsidRDefault="009F74F8" w:rsidP="00B43559">
            <w:pPr>
              <w:rPr>
                <w:b/>
                <w:sz w:val="22"/>
                <w:szCs w:val="22"/>
              </w:rPr>
            </w:pPr>
            <w:r w:rsidRPr="008166BF">
              <w:rPr>
                <w:b/>
                <w:sz w:val="22"/>
                <w:szCs w:val="22"/>
              </w:rPr>
              <w:t>Patogény</w:t>
            </w:r>
          </w:p>
        </w:tc>
        <w:tc>
          <w:tcPr>
            <w:tcW w:w="2601" w:type="dxa"/>
          </w:tcPr>
          <w:p w14:paraId="5D57B45B" w14:textId="77777777" w:rsidR="009F74F8" w:rsidRPr="008166BF" w:rsidRDefault="009A51D6" w:rsidP="00F3619E">
            <w:pPr>
              <w:jc w:val="center"/>
              <w:rPr>
                <w:b/>
                <w:sz w:val="22"/>
                <w:szCs w:val="22"/>
              </w:rPr>
            </w:pPr>
            <w:r w:rsidRPr="009A51D6">
              <w:rPr>
                <w:b/>
                <w:sz w:val="22"/>
                <w:szCs w:val="22"/>
              </w:rPr>
              <w:t xml:space="preserve">Citlivé </w:t>
            </w:r>
            <w:r w:rsidR="009F74F8" w:rsidRPr="008166BF">
              <w:rPr>
                <w:b/>
                <w:sz w:val="22"/>
                <w:szCs w:val="22"/>
              </w:rPr>
              <w:sym w:font="Symbol" w:char="F0A3"/>
            </w:r>
            <w:r w:rsidR="009F74F8" w:rsidRPr="008166BF">
              <w:rPr>
                <w:b/>
                <w:sz w:val="22"/>
                <w:szCs w:val="22"/>
              </w:rPr>
              <w:t xml:space="preserve"> (mg/l)</w:t>
            </w:r>
          </w:p>
        </w:tc>
        <w:tc>
          <w:tcPr>
            <w:tcW w:w="2599" w:type="dxa"/>
          </w:tcPr>
          <w:p w14:paraId="08AEE120" w14:textId="77777777" w:rsidR="009F74F8" w:rsidRPr="008166BF" w:rsidRDefault="009A51D6" w:rsidP="00F3619E">
            <w:pPr>
              <w:jc w:val="center"/>
              <w:rPr>
                <w:b/>
                <w:sz w:val="22"/>
                <w:szCs w:val="22"/>
              </w:rPr>
            </w:pPr>
            <w:r w:rsidRPr="009A51D6">
              <w:rPr>
                <w:b/>
                <w:sz w:val="22"/>
                <w:szCs w:val="22"/>
              </w:rPr>
              <w:t>Rezistentné &gt; (mg/l)</w:t>
            </w:r>
          </w:p>
        </w:tc>
      </w:tr>
      <w:tr w:rsidR="009F74F8" w:rsidRPr="008166BF" w14:paraId="6FF1DAA7" w14:textId="77777777" w:rsidTr="00F3619E">
        <w:tc>
          <w:tcPr>
            <w:tcW w:w="3927" w:type="dxa"/>
          </w:tcPr>
          <w:p w14:paraId="579A2D21" w14:textId="77777777" w:rsidR="009F74F8" w:rsidRPr="008166BF" w:rsidRDefault="009F74F8" w:rsidP="00B43559">
            <w:pPr>
              <w:rPr>
                <w:i/>
                <w:sz w:val="22"/>
                <w:szCs w:val="22"/>
              </w:rPr>
            </w:pPr>
            <w:r w:rsidRPr="008166BF">
              <w:rPr>
                <w:i/>
                <w:sz w:val="22"/>
                <w:szCs w:val="22"/>
              </w:rPr>
              <w:t>Enterobacteriaceae</w:t>
            </w:r>
          </w:p>
        </w:tc>
        <w:tc>
          <w:tcPr>
            <w:tcW w:w="2601" w:type="dxa"/>
          </w:tcPr>
          <w:p w14:paraId="50C240B3" w14:textId="77777777" w:rsidR="009F74F8" w:rsidRPr="008166BF" w:rsidRDefault="009A51D6" w:rsidP="00F3619E">
            <w:pPr>
              <w:jc w:val="center"/>
              <w:rPr>
                <w:sz w:val="22"/>
                <w:szCs w:val="22"/>
              </w:rPr>
            </w:pPr>
            <w:r w:rsidRPr="009A51D6">
              <w:rPr>
                <w:sz w:val="22"/>
                <w:szCs w:val="22"/>
              </w:rPr>
              <w:t>-</w:t>
            </w:r>
          </w:p>
        </w:tc>
        <w:tc>
          <w:tcPr>
            <w:tcW w:w="2599" w:type="dxa"/>
          </w:tcPr>
          <w:p w14:paraId="4738FA94" w14:textId="77777777" w:rsidR="009F74F8" w:rsidRPr="008166BF" w:rsidRDefault="009A51D6" w:rsidP="00F3619E">
            <w:pPr>
              <w:jc w:val="center"/>
              <w:rPr>
                <w:sz w:val="22"/>
                <w:szCs w:val="22"/>
              </w:rPr>
            </w:pPr>
            <w:r w:rsidRPr="009A51D6">
              <w:rPr>
                <w:sz w:val="22"/>
                <w:szCs w:val="22"/>
              </w:rPr>
              <w:t>-</w:t>
            </w:r>
          </w:p>
        </w:tc>
      </w:tr>
      <w:tr w:rsidR="009F74F8" w:rsidRPr="008166BF" w14:paraId="39001A68" w14:textId="77777777" w:rsidTr="00F3619E">
        <w:tc>
          <w:tcPr>
            <w:tcW w:w="3927" w:type="dxa"/>
          </w:tcPr>
          <w:p w14:paraId="2C5E1F2C" w14:textId="77777777" w:rsidR="009F74F8" w:rsidRPr="008166BF" w:rsidRDefault="009F74F8" w:rsidP="00B43559">
            <w:pPr>
              <w:rPr>
                <w:i/>
                <w:sz w:val="22"/>
                <w:szCs w:val="22"/>
              </w:rPr>
            </w:pPr>
            <w:r w:rsidRPr="008166BF">
              <w:rPr>
                <w:i/>
                <w:sz w:val="22"/>
                <w:szCs w:val="22"/>
              </w:rPr>
              <w:t xml:space="preserve">Pseudomonas </w:t>
            </w:r>
            <w:r w:rsidR="009A51D6" w:rsidRPr="009A51D6">
              <w:rPr>
                <w:sz w:val="22"/>
                <w:szCs w:val="22"/>
              </w:rPr>
              <w:t>spp.</w:t>
            </w:r>
          </w:p>
        </w:tc>
        <w:tc>
          <w:tcPr>
            <w:tcW w:w="2601" w:type="dxa"/>
          </w:tcPr>
          <w:p w14:paraId="31DEA10B" w14:textId="77777777" w:rsidR="009F74F8" w:rsidRPr="008166BF" w:rsidRDefault="009A51D6" w:rsidP="00F3619E">
            <w:pPr>
              <w:jc w:val="center"/>
              <w:rPr>
                <w:sz w:val="22"/>
                <w:szCs w:val="22"/>
              </w:rPr>
            </w:pPr>
            <w:r w:rsidRPr="009A51D6">
              <w:rPr>
                <w:sz w:val="22"/>
                <w:szCs w:val="22"/>
              </w:rPr>
              <w:t>-</w:t>
            </w:r>
          </w:p>
        </w:tc>
        <w:tc>
          <w:tcPr>
            <w:tcW w:w="2599" w:type="dxa"/>
          </w:tcPr>
          <w:p w14:paraId="44D4F677" w14:textId="77777777" w:rsidR="009F74F8" w:rsidRPr="008166BF" w:rsidRDefault="009A51D6" w:rsidP="00F3619E">
            <w:pPr>
              <w:jc w:val="center"/>
              <w:rPr>
                <w:sz w:val="22"/>
                <w:szCs w:val="22"/>
              </w:rPr>
            </w:pPr>
            <w:r w:rsidRPr="009A51D6">
              <w:rPr>
                <w:sz w:val="22"/>
                <w:szCs w:val="22"/>
              </w:rPr>
              <w:t>-</w:t>
            </w:r>
          </w:p>
        </w:tc>
      </w:tr>
      <w:tr w:rsidR="009F74F8" w:rsidRPr="008166BF" w14:paraId="25B6F814" w14:textId="77777777" w:rsidTr="00F3619E">
        <w:tc>
          <w:tcPr>
            <w:tcW w:w="3927" w:type="dxa"/>
          </w:tcPr>
          <w:p w14:paraId="5401E631" w14:textId="77777777" w:rsidR="009F74F8" w:rsidRPr="008166BF" w:rsidRDefault="009F74F8" w:rsidP="00B43559">
            <w:pPr>
              <w:rPr>
                <w:i/>
                <w:sz w:val="22"/>
                <w:szCs w:val="22"/>
              </w:rPr>
            </w:pPr>
            <w:r w:rsidRPr="008166BF">
              <w:rPr>
                <w:i/>
                <w:sz w:val="22"/>
                <w:szCs w:val="22"/>
              </w:rPr>
              <w:t xml:space="preserve">Acinetobacter </w:t>
            </w:r>
            <w:r w:rsidR="009A51D6" w:rsidRPr="009A51D6">
              <w:rPr>
                <w:sz w:val="22"/>
                <w:szCs w:val="22"/>
              </w:rPr>
              <w:t>spp.</w:t>
            </w:r>
          </w:p>
        </w:tc>
        <w:tc>
          <w:tcPr>
            <w:tcW w:w="2601" w:type="dxa"/>
          </w:tcPr>
          <w:p w14:paraId="67E8BA8B" w14:textId="77777777" w:rsidR="009F74F8" w:rsidRPr="008166BF" w:rsidRDefault="009A51D6" w:rsidP="00F3619E">
            <w:pPr>
              <w:jc w:val="center"/>
              <w:rPr>
                <w:sz w:val="22"/>
                <w:szCs w:val="22"/>
              </w:rPr>
            </w:pPr>
            <w:r w:rsidRPr="009A51D6">
              <w:rPr>
                <w:sz w:val="22"/>
                <w:szCs w:val="22"/>
              </w:rPr>
              <w:t>-</w:t>
            </w:r>
          </w:p>
        </w:tc>
        <w:tc>
          <w:tcPr>
            <w:tcW w:w="2599" w:type="dxa"/>
          </w:tcPr>
          <w:p w14:paraId="6649510B" w14:textId="77777777" w:rsidR="009F74F8" w:rsidRPr="008166BF" w:rsidRDefault="009A51D6" w:rsidP="00F3619E">
            <w:pPr>
              <w:jc w:val="center"/>
              <w:rPr>
                <w:sz w:val="22"/>
                <w:szCs w:val="22"/>
              </w:rPr>
            </w:pPr>
            <w:r w:rsidRPr="009A51D6">
              <w:rPr>
                <w:sz w:val="22"/>
                <w:szCs w:val="22"/>
              </w:rPr>
              <w:t>-</w:t>
            </w:r>
          </w:p>
        </w:tc>
      </w:tr>
      <w:tr w:rsidR="009F74F8" w:rsidRPr="008166BF" w14:paraId="7BF6D4B3" w14:textId="77777777" w:rsidTr="00F3619E">
        <w:tc>
          <w:tcPr>
            <w:tcW w:w="3927" w:type="dxa"/>
          </w:tcPr>
          <w:p w14:paraId="7757CC03" w14:textId="77777777" w:rsidR="009F74F8" w:rsidRPr="008166BF" w:rsidRDefault="009F74F8" w:rsidP="00B43559">
            <w:pPr>
              <w:rPr>
                <w:sz w:val="22"/>
                <w:szCs w:val="22"/>
              </w:rPr>
            </w:pPr>
            <w:r w:rsidRPr="008166BF">
              <w:rPr>
                <w:i/>
                <w:sz w:val="22"/>
                <w:szCs w:val="22"/>
              </w:rPr>
              <w:t>Staphylococcus</w:t>
            </w:r>
            <w:r w:rsidR="009A51D6" w:rsidRPr="009A51D6">
              <w:rPr>
                <w:sz w:val="22"/>
                <w:szCs w:val="22"/>
              </w:rPr>
              <w:t xml:space="preserve"> spp.</w:t>
            </w:r>
            <w:r w:rsidR="009A51D6" w:rsidRPr="009A51D6">
              <w:rPr>
                <w:sz w:val="22"/>
                <w:szCs w:val="22"/>
                <w:vertAlign w:val="superscript"/>
              </w:rPr>
              <w:t xml:space="preserve"> 1</w:t>
            </w:r>
          </w:p>
        </w:tc>
        <w:tc>
          <w:tcPr>
            <w:tcW w:w="2601" w:type="dxa"/>
          </w:tcPr>
          <w:p w14:paraId="7E3A8A7E" w14:textId="77777777" w:rsidR="009F74F8" w:rsidRPr="008166BF" w:rsidRDefault="009A51D6" w:rsidP="00505C2C">
            <w:pPr>
              <w:jc w:val="center"/>
              <w:rPr>
                <w:sz w:val="22"/>
                <w:szCs w:val="22"/>
              </w:rPr>
            </w:pPr>
            <w:r w:rsidRPr="009A51D6">
              <w:rPr>
                <w:sz w:val="22"/>
                <w:szCs w:val="22"/>
              </w:rPr>
              <w:t>1</w:t>
            </w:r>
          </w:p>
        </w:tc>
        <w:tc>
          <w:tcPr>
            <w:tcW w:w="2599" w:type="dxa"/>
          </w:tcPr>
          <w:p w14:paraId="26E00A46" w14:textId="77777777" w:rsidR="009F74F8" w:rsidRPr="008166BF" w:rsidRDefault="006959C2" w:rsidP="00505C2C">
            <w:pPr>
              <w:jc w:val="center"/>
              <w:rPr>
                <w:sz w:val="22"/>
                <w:szCs w:val="22"/>
              </w:rPr>
            </w:pPr>
            <w:r>
              <w:rPr>
                <w:sz w:val="22"/>
                <w:szCs w:val="22"/>
              </w:rPr>
              <w:t>2</w:t>
            </w:r>
          </w:p>
        </w:tc>
      </w:tr>
      <w:tr w:rsidR="009F74F8" w:rsidRPr="008166BF" w14:paraId="3052DABE" w14:textId="77777777" w:rsidTr="00F3619E">
        <w:tc>
          <w:tcPr>
            <w:tcW w:w="3927" w:type="dxa"/>
          </w:tcPr>
          <w:p w14:paraId="474ADCD9" w14:textId="77777777" w:rsidR="009F74F8" w:rsidRPr="008166BF" w:rsidRDefault="009F74F8" w:rsidP="00B43559">
            <w:pPr>
              <w:rPr>
                <w:i/>
                <w:sz w:val="22"/>
                <w:szCs w:val="22"/>
              </w:rPr>
            </w:pPr>
            <w:r w:rsidRPr="008166BF">
              <w:rPr>
                <w:i/>
                <w:sz w:val="22"/>
                <w:szCs w:val="22"/>
              </w:rPr>
              <w:lastRenderedPageBreak/>
              <w:t xml:space="preserve">Enterococcus </w:t>
            </w:r>
            <w:r w:rsidR="006959C2">
              <w:rPr>
                <w:sz w:val="22"/>
                <w:szCs w:val="22"/>
              </w:rPr>
              <w:t>spp.</w:t>
            </w:r>
          </w:p>
        </w:tc>
        <w:tc>
          <w:tcPr>
            <w:tcW w:w="2601" w:type="dxa"/>
          </w:tcPr>
          <w:p w14:paraId="1E075A8F" w14:textId="77777777" w:rsidR="009F74F8" w:rsidRPr="008166BF" w:rsidRDefault="006959C2" w:rsidP="00F3619E">
            <w:pPr>
              <w:jc w:val="center"/>
              <w:rPr>
                <w:sz w:val="22"/>
                <w:szCs w:val="22"/>
              </w:rPr>
            </w:pPr>
            <w:r>
              <w:rPr>
                <w:sz w:val="22"/>
                <w:szCs w:val="22"/>
              </w:rPr>
              <w:t>-</w:t>
            </w:r>
          </w:p>
        </w:tc>
        <w:tc>
          <w:tcPr>
            <w:tcW w:w="2599" w:type="dxa"/>
          </w:tcPr>
          <w:p w14:paraId="1B29DEBE" w14:textId="77777777" w:rsidR="009F74F8" w:rsidRPr="008166BF" w:rsidRDefault="006959C2" w:rsidP="00F3619E">
            <w:pPr>
              <w:jc w:val="center"/>
              <w:rPr>
                <w:sz w:val="22"/>
                <w:szCs w:val="22"/>
              </w:rPr>
            </w:pPr>
            <w:r>
              <w:rPr>
                <w:sz w:val="22"/>
                <w:szCs w:val="22"/>
              </w:rPr>
              <w:t>-</w:t>
            </w:r>
          </w:p>
        </w:tc>
      </w:tr>
      <w:tr w:rsidR="009F74F8" w:rsidRPr="008166BF" w14:paraId="4FC313A8" w14:textId="77777777" w:rsidTr="00F3619E">
        <w:tc>
          <w:tcPr>
            <w:tcW w:w="3927" w:type="dxa"/>
          </w:tcPr>
          <w:p w14:paraId="759E7BF1" w14:textId="77777777" w:rsidR="009F74F8" w:rsidRPr="008166BF" w:rsidRDefault="009F74F8" w:rsidP="00B43559">
            <w:pPr>
              <w:rPr>
                <w:sz w:val="22"/>
                <w:szCs w:val="22"/>
              </w:rPr>
            </w:pPr>
            <w:r w:rsidRPr="008166BF">
              <w:rPr>
                <w:i/>
                <w:sz w:val="22"/>
                <w:szCs w:val="22"/>
              </w:rPr>
              <w:t>Streptococcus</w:t>
            </w:r>
            <w:r w:rsidR="006959C2">
              <w:rPr>
                <w:sz w:val="22"/>
                <w:szCs w:val="22"/>
              </w:rPr>
              <w:t xml:space="preserve"> skupiny A, B, C, G</w:t>
            </w:r>
            <w:r w:rsidR="006959C2">
              <w:rPr>
                <w:sz w:val="22"/>
                <w:szCs w:val="22"/>
                <w:vertAlign w:val="superscript"/>
              </w:rPr>
              <w:t>1</w:t>
            </w:r>
          </w:p>
        </w:tc>
        <w:tc>
          <w:tcPr>
            <w:tcW w:w="2601" w:type="dxa"/>
          </w:tcPr>
          <w:p w14:paraId="5C05D358" w14:textId="77777777" w:rsidR="009F74F8" w:rsidRPr="008166BF" w:rsidRDefault="006959C2" w:rsidP="00F3619E">
            <w:pPr>
              <w:jc w:val="center"/>
              <w:rPr>
                <w:sz w:val="22"/>
                <w:szCs w:val="22"/>
              </w:rPr>
            </w:pPr>
            <w:r>
              <w:rPr>
                <w:sz w:val="22"/>
                <w:szCs w:val="22"/>
              </w:rPr>
              <w:t>0,25</w:t>
            </w:r>
          </w:p>
        </w:tc>
        <w:tc>
          <w:tcPr>
            <w:tcW w:w="2599" w:type="dxa"/>
          </w:tcPr>
          <w:p w14:paraId="6689CE7A" w14:textId="77777777" w:rsidR="009F74F8" w:rsidRPr="008166BF" w:rsidRDefault="006959C2" w:rsidP="00505C2C">
            <w:pPr>
              <w:jc w:val="center"/>
              <w:rPr>
                <w:sz w:val="22"/>
                <w:szCs w:val="22"/>
              </w:rPr>
            </w:pPr>
            <w:r>
              <w:rPr>
                <w:sz w:val="22"/>
                <w:szCs w:val="22"/>
              </w:rPr>
              <w:t>0,5</w:t>
            </w:r>
          </w:p>
        </w:tc>
      </w:tr>
      <w:tr w:rsidR="009F74F8" w:rsidRPr="008166BF" w14:paraId="228E27AB" w14:textId="77777777" w:rsidTr="00F3619E">
        <w:tc>
          <w:tcPr>
            <w:tcW w:w="3927" w:type="dxa"/>
          </w:tcPr>
          <w:p w14:paraId="09D5FF1B" w14:textId="77777777" w:rsidR="009F74F8" w:rsidRPr="008166BF" w:rsidRDefault="009F74F8" w:rsidP="007D43C7">
            <w:pPr>
              <w:rPr>
                <w:i/>
                <w:sz w:val="22"/>
                <w:szCs w:val="22"/>
              </w:rPr>
            </w:pPr>
            <w:r w:rsidRPr="008166BF">
              <w:rPr>
                <w:i/>
                <w:sz w:val="22"/>
                <w:szCs w:val="22"/>
              </w:rPr>
              <w:t>Streptococcus pneumoniae</w:t>
            </w:r>
            <w:r w:rsidR="006959C2">
              <w:rPr>
                <w:sz w:val="22"/>
                <w:szCs w:val="22"/>
                <w:vertAlign w:val="superscript"/>
              </w:rPr>
              <w:t>1</w:t>
            </w:r>
            <w:r w:rsidR="006959C2">
              <w:rPr>
                <w:b/>
                <w:i/>
                <w:sz w:val="22"/>
                <w:szCs w:val="22"/>
              </w:rPr>
              <w:t xml:space="preserve"> </w:t>
            </w:r>
          </w:p>
        </w:tc>
        <w:tc>
          <w:tcPr>
            <w:tcW w:w="2601" w:type="dxa"/>
          </w:tcPr>
          <w:p w14:paraId="71A877F0" w14:textId="77777777" w:rsidR="009F74F8" w:rsidRPr="008166BF" w:rsidRDefault="006959C2" w:rsidP="00F3619E">
            <w:pPr>
              <w:jc w:val="center"/>
              <w:rPr>
                <w:sz w:val="22"/>
                <w:szCs w:val="22"/>
              </w:rPr>
            </w:pPr>
            <w:r>
              <w:rPr>
                <w:sz w:val="22"/>
                <w:szCs w:val="22"/>
              </w:rPr>
              <w:t>0,25</w:t>
            </w:r>
          </w:p>
        </w:tc>
        <w:tc>
          <w:tcPr>
            <w:tcW w:w="2599" w:type="dxa"/>
          </w:tcPr>
          <w:p w14:paraId="670E16D0" w14:textId="77777777" w:rsidR="009F74F8" w:rsidRPr="008166BF" w:rsidRDefault="006959C2" w:rsidP="00505C2C">
            <w:pPr>
              <w:jc w:val="center"/>
              <w:rPr>
                <w:sz w:val="22"/>
                <w:szCs w:val="22"/>
              </w:rPr>
            </w:pPr>
            <w:r>
              <w:rPr>
                <w:sz w:val="22"/>
                <w:szCs w:val="22"/>
              </w:rPr>
              <w:t>0,5</w:t>
            </w:r>
          </w:p>
        </w:tc>
      </w:tr>
      <w:tr w:rsidR="009F74F8" w:rsidRPr="008166BF" w14:paraId="4A1AB562" w14:textId="77777777" w:rsidTr="00F3619E">
        <w:tc>
          <w:tcPr>
            <w:tcW w:w="3927" w:type="dxa"/>
          </w:tcPr>
          <w:p w14:paraId="4294997F" w14:textId="77777777" w:rsidR="009F74F8" w:rsidRPr="008166BF" w:rsidRDefault="00DB3528" w:rsidP="00B43559">
            <w:pPr>
              <w:rPr>
                <w:sz w:val="22"/>
                <w:szCs w:val="22"/>
              </w:rPr>
            </w:pPr>
            <w:r>
              <w:rPr>
                <w:sz w:val="22"/>
                <w:szCs w:val="22"/>
              </w:rPr>
              <w:t xml:space="preserve">Skupina viridujúcich </w:t>
            </w:r>
            <w:r w:rsidR="009F74F8" w:rsidRPr="008166BF">
              <w:rPr>
                <w:sz w:val="22"/>
                <w:szCs w:val="22"/>
              </w:rPr>
              <w:t>streptokok</w:t>
            </w:r>
            <w:r>
              <w:rPr>
                <w:sz w:val="22"/>
                <w:szCs w:val="22"/>
              </w:rPr>
              <w:t>ov</w:t>
            </w:r>
          </w:p>
        </w:tc>
        <w:tc>
          <w:tcPr>
            <w:tcW w:w="2601" w:type="dxa"/>
          </w:tcPr>
          <w:p w14:paraId="59D176D3" w14:textId="77777777" w:rsidR="009F74F8" w:rsidRPr="008166BF" w:rsidRDefault="006959C2" w:rsidP="00F3619E">
            <w:pPr>
              <w:jc w:val="center"/>
              <w:rPr>
                <w:sz w:val="22"/>
                <w:szCs w:val="22"/>
              </w:rPr>
            </w:pPr>
            <w:r>
              <w:rPr>
                <w:sz w:val="22"/>
                <w:szCs w:val="22"/>
              </w:rPr>
              <w:t>Nedostatočne preukázané</w:t>
            </w:r>
          </w:p>
        </w:tc>
        <w:tc>
          <w:tcPr>
            <w:tcW w:w="2599" w:type="dxa"/>
          </w:tcPr>
          <w:p w14:paraId="53C866C0" w14:textId="77777777" w:rsidR="009F74F8" w:rsidRPr="008166BF" w:rsidRDefault="006959C2" w:rsidP="00F3619E">
            <w:pPr>
              <w:jc w:val="center"/>
              <w:rPr>
                <w:sz w:val="22"/>
                <w:szCs w:val="22"/>
              </w:rPr>
            </w:pPr>
            <w:r>
              <w:rPr>
                <w:sz w:val="22"/>
                <w:szCs w:val="22"/>
              </w:rPr>
              <w:t>Nedostatočne preukázané</w:t>
            </w:r>
          </w:p>
        </w:tc>
      </w:tr>
      <w:tr w:rsidR="009F74F8" w:rsidRPr="008166BF" w14:paraId="33AE264C" w14:textId="77777777" w:rsidTr="00F3619E">
        <w:tc>
          <w:tcPr>
            <w:tcW w:w="3927" w:type="dxa"/>
          </w:tcPr>
          <w:p w14:paraId="7DAD3E13" w14:textId="77777777" w:rsidR="009F74F8" w:rsidRPr="008166BF" w:rsidRDefault="009F74F8" w:rsidP="00B43559">
            <w:pPr>
              <w:rPr>
                <w:i/>
                <w:sz w:val="22"/>
                <w:szCs w:val="22"/>
              </w:rPr>
            </w:pPr>
            <w:r w:rsidRPr="008166BF">
              <w:rPr>
                <w:i/>
                <w:sz w:val="22"/>
                <w:szCs w:val="22"/>
              </w:rPr>
              <w:t>Haemophilus influenzae</w:t>
            </w:r>
            <w:r w:rsidR="006959C2">
              <w:rPr>
                <w:b/>
                <w:sz w:val="22"/>
                <w:szCs w:val="22"/>
                <w:vertAlign w:val="superscript"/>
              </w:rPr>
              <w:t xml:space="preserve"> </w:t>
            </w:r>
            <w:r w:rsidR="006959C2">
              <w:rPr>
                <w:sz w:val="22"/>
                <w:szCs w:val="22"/>
                <w:vertAlign w:val="superscript"/>
              </w:rPr>
              <w:t>2</w:t>
            </w:r>
          </w:p>
        </w:tc>
        <w:tc>
          <w:tcPr>
            <w:tcW w:w="2601" w:type="dxa"/>
          </w:tcPr>
          <w:p w14:paraId="7A33580F" w14:textId="77777777" w:rsidR="009F74F8" w:rsidRPr="008166BF" w:rsidRDefault="00DB3528" w:rsidP="00F3619E">
            <w:pPr>
              <w:jc w:val="center"/>
              <w:rPr>
                <w:sz w:val="22"/>
                <w:szCs w:val="22"/>
              </w:rPr>
            </w:pPr>
            <w:r>
              <w:rPr>
                <w:sz w:val="22"/>
                <w:szCs w:val="22"/>
              </w:rPr>
              <w:t>Poznámka</w:t>
            </w:r>
          </w:p>
        </w:tc>
        <w:tc>
          <w:tcPr>
            <w:tcW w:w="2599" w:type="dxa"/>
          </w:tcPr>
          <w:p w14:paraId="1EC62CB7" w14:textId="77777777" w:rsidR="009F74F8" w:rsidRPr="008166BF" w:rsidRDefault="00DB3528" w:rsidP="00505C2C">
            <w:pPr>
              <w:jc w:val="center"/>
              <w:rPr>
                <w:sz w:val="22"/>
                <w:szCs w:val="22"/>
              </w:rPr>
            </w:pPr>
            <w:r>
              <w:rPr>
                <w:sz w:val="22"/>
                <w:szCs w:val="22"/>
              </w:rPr>
              <w:t>Poznámka</w:t>
            </w:r>
          </w:p>
        </w:tc>
      </w:tr>
      <w:tr w:rsidR="009F74F8" w:rsidRPr="008166BF" w14:paraId="628CCDA3" w14:textId="77777777" w:rsidTr="00F3619E">
        <w:tc>
          <w:tcPr>
            <w:tcW w:w="3927" w:type="dxa"/>
          </w:tcPr>
          <w:p w14:paraId="3B0005D4" w14:textId="77777777" w:rsidR="009F74F8" w:rsidRPr="008166BF" w:rsidRDefault="009F74F8" w:rsidP="00B43559">
            <w:pPr>
              <w:rPr>
                <w:i/>
                <w:sz w:val="22"/>
                <w:szCs w:val="22"/>
              </w:rPr>
            </w:pPr>
            <w:r w:rsidRPr="008166BF">
              <w:rPr>
                <w:i/>
                <w:sz w:val="22"/>
                <w:szCs w:val="22"/>
              </w:rPr>
              <w:t>Moraxella catarrhalis</w:t>
            </w:r>
            <w:r w:rsidR="006959C2">
              <w:rPr>
                <w:sz w:val="22"/>
                <w:szCs w:val="22"/>
                <w:vertAlign w:val="superscript"/>
              </w:rPr>
              <w:t>1</w:t>
            </w:r>
          </w:p>
        </w:tc>
        <w:tc>
          <w:tcPr>
            <w:tcW w:w="2601" w:type="dxa"/>
          </w:tcPr>
          <w:p w14:paraId="0AEC7627" w14:textId="77777777" w:rsidR="009F74F8" w:rsidRPr="008166BF" w:rsidRDefault="006959C2" w:rsidP="00505C2C">
            <w:pPr>
              <w:jc w:val="center"/>
              <w:rPr>
                <w:sz w:val="22"/>
                <w:szCs w:val="22"/>
              </w:rPr>
            </w:pPr>
            <w:r>
              <w:rPr>
                <w:sz w:val="22"/>
                <w:szCs w:val="22"/>
              </w:rPr>
              <w:t>0,25</w:t>
            </w:r>
          </w:p>
        </w:tc>
        <w:tc>
          <w:tcPr>
            <w:tcW w:w="2599" w:type="dxa"/>
          </w:tcPr>
          <w:p w14:paraId="2C7D6B5E" w14:textId="77777777" w:rsidR="009F74F8" w:rsidRPr="008166BF" w:rsidRDefault="006959C2" w:rsidP="00F3619E">
            <w:pPr>
              <w:jc w:val="center"/>
              <w:rPr>
                <w:sz w:val="22"/>
                <w:szCs w:val="22"/>
              </w:rPr>
            </w:pPr>
            <w:r>
              <w:rPr>
                <w:sz w:val="22"/>
                <w:szCs w:val="22"/>
              </w:rPr>
              <w:t>0,5</w:t>
            </w:r>
          </w:p>
        </w:tc>
      </w:tr>
      <w:tr w:rsidR="009F74F8" w:rsidRPr="008166BF" w14:paraId="5B61F19B" w14:textId="77777777" w:rsidTr="00F3619E">
        <w:tc>
          <w:tcPr>
            <w:tcW w:w="3927" w:type="dxa"/>
          </w:tcPr>
          <w:p w14:paraId="4EB9D3E9" w14:textId="77777777" w:rsidR="009F74F8" w:rsidRPr="008166BF" w:rsidRDefault="009F74F8" w:rsidP="00B43559">
            <w:pPr>
              <w:rPr>
                <w:i/>
                <w:sz w:val="22"/>
                <w:szCs w:val="22"/>
              </w:rPr>
            </w:pPr>
            <w:r w:rsidRPr="008166BF">
              <w:rPr>
                <w:i/>
                <w:sz w:val="22"/>
                <w:szCs w:val="22"/>
              </w:rPr>
              <w:t>Neisseria gonorrhoeae</w:t>
            </w:r>
          </w:p>
        </w:tc>
        <w:tc>
          <w:tcPr>
            <w:tcW w:w="2601" w:type="dxa"/>
          </w:tcPr>
          <w:p w14:paraId="4A03687C" w14:textId="77777777" w:rsidR="009F74F8" w:rsidRPr="008166BF" w:rsidRDefault="006959C2" w:rsidP="00F3619E">
            <w:pPr>
              <w:jc w:val="center"/>
              <w:rPr>
                <w:sz w:val="22"/>
                <w:szCs w:val="22"/>
              </w:rPr>
            </w:pPr>
            <w:r>
              <w:rPr>
                <w:sz w:val="22"/>
                <w:szCs w:val="22"/>
              </w:rPr>
              <w:t>-</w:t>
            </w:r>
          </w:p>
        </w:tc>
        <w:tc>
          <w:tcPr>
            <w:tcW w:w="2599" w:type="dxa"/>
          </w:tcPr>
          <w:p w14:paraId="7FCC4AE3" w14:textId="77777777" w:rsidR="009F74F8" w:rsidRPr="008166BF" w:rsidRDefault="006959C2" w:rsidP="00F3619E">
            <w:pPr>
              <w:jc w:val="center"/>
              <w:rPr>
                <w:sz w:val="22"/>
                <w:szCs w:val="22"/>
              </w:rPr>
            </w:pPr>
            <w:r>
              <w:rPr>
                <w:sz w:val="22"/>
                <w:szCs w:val="22"/>
              </w:rPr>
              <w:t>-</w:t>
            </w:r>
          </w:p>
        </w:tc>
      </w:tr>
      <w:tr w:rsidR="009F74F8" w:rsidRPr="008166BF" w14:paraId="1CF79162" w14:textId="77777777" w:rsidTr="00F3619E">
        <w:tc>
          <w:tcPr>
            <w:tcW w:w="3927" w:type="dxa"/>
          </w:tcPr>
          <w:p w14:paraId="577EACFC" w14:textId="77777777" w:rsidR="009F74F8" w:rsidRPr="008166BF" w:rsidRDefault="009F74F8" w:rsidP="00B43559">
            <w:pPr>
              <w:rPr>
                <w:i/>
                <w:sz w:val="22"/>
                <w:szCs w:val="22"/>
              </w:rPr>
            </w:pPr>
            <w:r w:rsidRPr="008166BF">
              <w:rPr>
                <w:i/>
                <w:sz w:val="22"/>
                <w:szCs w:val="22"/>
              </w:rPr>
              <w:t xml:space="preserve">Neisseria </w:t>
            </w:r>
            <w:r w:rsidR="006959C2">
              <w:rPr>
                <w:i/>
                <w:sz w:val="22"/>
                <w:szCs w:val="22"/>
              </w:rPr>
              <w:t>meningitidis</w:t>
            </w:r>
          </w:p>
        </w:tc>
        <w:tc>
          <w:tcPr>
            <w:tcW w:w="2601" w:type="dxa"/>
          </w:tcPr>
          <w:p w14:paraId="31BF2C0B" w14:textId="77777777" w:rsidR="009F74F8" w:rsidRPr="008166BF" w:rsidRDefault="006959C2" w:rsidP="00F3619E">
            <w:pPr>
              <w:jc w:val="center"/>
              <w:rPr>
                <w:sz w:val="22"/>
                <w:szCs w:val="22"/>
              </w:rPr>
            </w:pPr>
            <w:r>
              <w:rPr>
                <w:sz w:val="22"/>
                <w:szCs w:val="22"/>
              </w:rPr>
              <w:t>-</w:t>
            </w:r>
          </w:p>
        </w:tc>
        <w:tc>
          <w:tcPr>
            <w:tcW w:w="2599" w:type="dxa"/>
          </w:tcPr>
          <w:p w14:paraId="0E097C70" w14:textId="77777777" w:rsidR="009F74F8" w:rsidRPr="008166BF" w:rsidRDefault="006959C2" w:rsidP="00F3619E">
            <w:pPr>
              <w:jc w:val="center"/>
              <w:rPr>
                <w:sz w:val="22"/>
                <w:szCs w:val="22"/>
              </w:rPr>
            </w:pPr>
            <w:r>
              <w:rPr>
                <w:sz w:val="22"/>
                <w:szCs w:val="22"/>
              </w:rPr>
              <w:t>-</w:t>
            </w:r>
          </w:p>
        </w:tc>
      </w:tr>
      <w:tr w:rsidR="009F74F8" w:rsidRPr="008166BF" w14:paraId="17BAD960" w14:textId="77777777" w:rsidTr="00F3619E">
        <w:tc>
          <w:tcPr>
            <w:tcW w:w="3927" w:type="dxa"/>
          </w:tcPr>
          <w:p w14:paraId="60911505" w14:textId="77777777" w:rsidR="009F74F8" w:rsidRPr="008166BF" w:rsidRDefault="009F74F8" w:rsidP="00B43559">
            <w:pPr>
              <w:rPr>
                <w:sz w:val="22"/>
                <w:szCs w:val="22"/>
              </w:rPr>
            </w:pPr>
            <w:r w:rsidRPr="008166BF">
              <w:rPr>
                <w:sz w:val="22"/>
                <w:szCs w:val="22"/>
              </w:rPr>
              <w:t xml:space="preserve">Grampozitívne anaeróbne mikroorganizmy (okrem </w:t>
            </w:r>
            <w:r w:rsidR="006959C2">
              <w:rPr>
                <w:i/>
                <w:sz w:val="22"/>
                <w:szCs w:val="22"/>
              </w:rPr>
              <w:t>Clostridium difficile</w:t>
            </w:r>
            <w:r w:rsidR="006959C2">
              <w:rPr>
                <w:sz w:val="22"/>
                <w:szCs w:val="22"/>
              </w:rPr>
              <w:t>)</w:t>
            </w:r>
          </w:p>
        </w:tc>
        <w:tc>
          <w:tcPr>
            <w:tcW w:w="2601" w:type="dxa"/>
          </w:tcPr>
          <w:p w14:paraId="38E05867" w14:textId="77777777" w:rsidR="009F74F8" w:rsidRPr="008166BF" w:rsidRDefault="006959C2" w:rsidP="00F3619E">
            <w:pPr>
              <w:jc w:val="center"/>
              <w:rPr>
                <w:sz w:val="22"/>
                <w:szCs w:val="22"/>
              </w:rPr>
            </w:pPr>
            <w:r>
              <w:rPr>
                <w:sz w:val="22"/>
                <w:szCs w:val="22"/>
              </w:rPr>
              <w:t>-</w:t>
            </w:r>
          </w:p>
        </w:tc>
        <w:tc>
          <w:tcPr>
            <w:tcW w:w="2599" w:type="dxa"/>
          </w:tcPr>
          <w:p w14:paraId="11AC3D5D" w14:textId="77777777" w:rsidR="009F74F8" w:rsidRPr="008166BF" w:rsidRDefault="006959C2" w:rsidP="00F3619E">
            <w:pPr>
              <w:jc w:val="center"/>
              <w:rPr>
                <w:sz w:val="22"/>
                <w:szCs w:val="22"/>
              </w:rPr>
            </w:pPr>
            <w:r>
              <w:rPr>
                <w:sz w:val="22"/>
                <w:szCs w:val="22"/>
              </w:rPr>
              <w:t>-</w:t>
            </w:r>
          </w:p>
        </w:tc>
      </w:tr>
      <w:tr w:rsidR="009F74F8" w:rsidRPr="008166BF" w14:paraId="21D7400C" w14:textId="77777777" w:rsidTr="00F3619E">
        <w:tc>
          <w:tcPr>
            <w:tcW w:w="3927" w:type="dxa"/>
          </w:tcPr>
          <w:p w14:paraId="76320160" w14:textId="77777777" w:rsidR="009F74F8" w:rsidRPr="008166BF" w:rsidRDefault="009F74F8" w:rsidP="00B43559">
            <w:pPr>
              <w:rPr>
                <w:sz w:val="22"/>
                <w:szCs w:val="22"/>
              </w:rPr>
            </w:pPr>
            <w:r w:rsidRPr="008166BF">
              <w:rPr>
                <w:sz w:val="22"/>
                <w:szCs w:val="22"/>
              </w:rPr>
              <w:t>Gramnegatívne anaeróbne mikroorganizmy</w:t>
            </w:r>
          </w:p>
        </w:tc>
        <w:tc>
          <w:tcPr>
            <w:tcW w:w="2601" w:type="dxa"/>
          </w:tcPr>
          <w:p w14:paraId="776BC758" w14:textId="77777777" w:rsidR="009F74F8" w:rsidRPr="008166BF" w:rsidRDefault="006959C2" w:rsidP="00F3619E">
            <w:pPr>
              <w:jc w:val="center"/>
              <w:rPr>
                <w:sz w:val="22"/>
                <w:szCs w:val="22"/>
              </w:rPr>
            </w:pPr>
            <w:r>
              <w:rPr>
                <w:sz w:val="22"/>
                <w:szCs w:val="22"/>
              </w:rPr>
              <w:t>-</w:t>
            </w:r>
          </w:p>
        </w:tc>
        <w:tc>
          <w:tcPr>
            <w:tcW w:w="2599" w:type="dxa"/>
          </w:tcPr>
          <w:p w14:paraId="7CCB6464" w14:textId="77777777" w:rsidR="009F74F8" w:rsidRPr="008166BF" w:rsidRDefault="006959C2" w:rsidP="00F3619E">
            <w:pPr>
              <w:jc w:val="center"/>
              <w:rPr>
                <w:sz w:val="22"/>
                <w:szCs w:val="22"/>
              </w:rPr>
            </w:pPr>
            <w:r>
              <w:rPr>
                <w:sz w:val="22"/>
                <w:szCs w:val="22"/>
              </w:rPr>
              <w:t>-</w:t>
            </w:r>
          </w:p>
        </w:tc>
      </w:tr>
      <w:tr w:rsidR="009F74F8" w:rsidRPr="008166BF" w14:paraId="489700C1" w14:textId="77777777" w:rsidTr="00F3619E">
        <w:tc>
          <w:tcPr>
            <w:tcW w:w="3927" w:type="dxa"/>
          </w:tcPr>
          <w:p w14:paraId="59C0DF9A" w14:textId="77777777" w:rsidR="009F74F8" w:rsidRPr="008166BF" w:rsidRDefault="002171A3" w:rsidP="00B43559">
            <w:pPr>
              <w:rPr>
                <w:sz w:val="22"/>
                <w:szCs w:val="22"/>
              </w:rPr>
            </w:pPr>
            <w:r w:rsidRPr="008166BF">
              <w:rPr>
                <w:i/>
                <w:sz w:val="22"/>
                <w:szCs w:val="22"/>
              </w:rPr>
              <w:t>Helicobacter pylori</w:t>
            </w:r>
            <w:r w:rsidR="006959C2">
              <w:rPr>
                <w:b/>
                <w:sz w:val="22"/>
                <w:szCs w:val="22"/>
                <w:vertAlign w:val="superscript"/>
              </w:rPr>
              <w:t xml:space="preserve"> </w:t>
            </w:r>
            <w:r w:rsidR="006959C2">
              <w:rPr>
                <w:sz w:val="22"/>
                <w:szCs w:val="22"/>
                <w:vertAlign w:val="superscript"/>
              </w:rPr>
              <w:t>3</w:t>
            </w:r>
          </w:p>
        </w:tc>
        <w:tc>
          <w:tcPr>
            <w:tcW w:w="2601" w:type="dxa"/>
          </w:tcPr>
          <w:p w14:paraId="574F0F94" w14:textId="77777777" w:rsidR="009F74F8" w:rsidRPr="008166BF" w:rsidRDefault="006959C2" w:rsidP="00505C2C">
            <w:pPr>
              <w:jc w:val="center"/>
              <w:rPr>
                <w:sz w:val="22"/>
                <w:szCs w:val="22"/>
              </w:rPr>
            </w:pPr>
            <w:r>
              <w:rPr>
                <w:sz w:val="22"/>
                <w:szCs w:val="22"/>
              </w:rPr>
              <w:t>0,25</w:t>
            </w:r>
          </w:p>
        </w:tc>
        <w:tc>
          <w:tcPr>
            <w:tcW w:w="2599" w:type="dxa"/>
          </w:tcPr>
          <w:p w14:paraId="0F158B8B" w14:textId="77777777" w:rsidR="009F74F8" w:rsidRPr="008166BF" w:rsidRDefault="006959C2" w:rsidP="00F3619E">
            <w:pPr>
              <w:jc w:val="center"/>
              <w:rPr>
                <w:sz w:val="22"/>
                <w:szCs w:val="22"/>
              </w:rPr>
            </w:pPr>
            <w:r>
              <w:rPr>
                <w:sz w:val="22"/>
                <w:szCs w:val="22"/>
              </w:rPr>
              <w:t>0,5</w:t>
            </w:r>
          </w:p>
        </w:tc>
      </w:tr>
      <w:tr w:rsidR="009F74F8" w:rsidRPr="008166BF" w14:paraId="34E95B5B" w14:textId="77777777" w:rsidTr="00F3619E">
        <w:tc>
          <w:tcPr>
            <w:tcW w:w="3927" w:type="dxa"/>
          </w:tcPr>
          <w:p w14:paraId="6404BADC" w14:textId="77777777" w:rsidR="009F74F8" w:rsidRPr="008166BF" w:rsidRDefault="002171A3" w:rsidP="00B43559">
            <w:pPr>
              <w:rPr>
                <w:sz w:val="22"/>
                <w:szCs w:val="22"/>
              </w:rPr>
            </w:pPr>
            <w:r w:rsidRPr="008166BF">
              <w:rPr>
                <w:i/>
                <w:sz w:val="22"/>
                <w:szCs w:val="22"/>
              </w:rPr>
              <w:t>Campylobacter jejuni</w:t>
            </w:r>
            <w:r w:rsidR="006959C2">
              <w:rPr>
                <w:sz w:val="22"/>
                <w:szCs w:val="22"/>
              </w:rPr>
              <w:t xml:space="preserve"> a </w:t>
            </w:r>
            <w:r w:rsidR="006959C2">
              <w:rPr>
                <w:i/>
                <w:sz w:val="22"/>
                <w:szCs w:val="22"/>
              </w:rPr>
              <w:t>coli</w:t>
            </w:r>
            <w:r w:rsidR="006959C2">
              <w:rPr>
                <w:sz w:val="22"/>
                <w:szCs w:val="22"/>
                <w:vertAlign w:val="superscript"/>
              </w:rPr>
              <w:t>4</w:t>
            </w:r>
          </w:p>
        </w:tc>
        <w:tc>
          <w:tcPr>
            <w:tcW w:w="2601" w:type="dxa"/>
          </w:tcPr>
          <w:p w14:paraId="24818674" w14:textId="77777777" w:rsidR="009F74F8" w:rsidRPr="008166BF" w:rsidRDefault="006959C2" w:rsidP="00505C2C">
            <w:pPr>
              <w:jc w:val="center"/>
              <w:rPr>
                <w:sz w:val="22"/>
                <w:szCs w:val="22"/>
              </w:rPr>
            </w:pPr>
            <w:r>
              <w:rPr>
                <w:sz w:val="22"/>
                <w:szCs w:val="22"/>
              </w:rPr>
              <w:t>Poznámka</w:t>
            </w:r>
          </w:p>
        </w:tc>
        <w:tc>
          <w:tcPr>
            <w:tcW w:w="2599" w:type="dxa"/>
          </w:tcPr>
          <w:p w14:paraId="180FE5A3" w14:textId="77777777" w:rsidR="009F74F8" w:rsidRPr="008166BF" w:rsidRDefault="006959C2" w:rsidP="00F3619E">
            <w:pPr>
              <w:jc w:val="center"/>
              <w:rPr>
                <w:sz w:val="22"/>
                <w:szCs w:val="22"/>
              </w:rPr>
            </w:pPr>
            <w:r>
              <w:rPr>
                <w:sz w:val="22"/>
                <w:szCs w:val="22"/>
              </w:rPr>
              <w:t>Poznámka</w:t>
            </w:r>
          </w:p>
        </w:tc>
      </w:tr>
      <w:tr w:rsidR="00526E5F" w:rsidRPr="008166BF" w14:paraId="30607D8B" w14:textId="77777777" w:rsidTr="00F3619E">
        <w:tc>
          <w:tcPr>
            <w:tcW w:w="3927" w:type="dxa"/>
          </w:tcPr>
          <w:p w14:paraId="77629449" w14:textId="77777777" w:rsidR="00526E5F" w:rsidRPr="008166BF" w:rsidRDefault="00526E5F" w:rsidP="00B43559">
            <w:pPr>
              <w:rPr>
                <w:i/>
                <w:sz w:val="22"/>
                <w:szCs w:val="22"/>
              </w:rPr>
            </w:pPr>
            <w:r w:rsidRPr="008166BF">
              <w:rPr>
                <w:i/>
                <w:sz w:val="22"/>
                <w:szCs w:val="22"/>
              </w:rPr>
              <w:t>Kingella kingae</w:t>
            </w:r>
            <w:r w:rsidR="006959C2">
              <w:rPr>
                <w:sz w:val="22"/>
                <w:szCs w:val="22"/>
                <w:vertAlign w:val="superscript"/>
              </w:rPr>
              <w:t>5</w:t>
            </w:r>
          </w:p>
        </w:tc>
        <w:tc>
          <w:tcPr>
            <w:tcW w:w="2601" w:type="dxa"/>
          </w:tcPr>
          <w:p w14:paraId="1BDFB9BF" w14:textId="77777777" w:rsidR="00526E5F" w:rsidRPr="008166BF" w:rsidRDefault="006959C2" w:rsidP="00505C2C">
            <w:pPr>
              <w:jc w:val="center"/>
              <w:rPr>
                <w:sz w:val="22"/>
                <w:szCs w:val="22"/>
              </w:rPr>
            </w:pPr>
            <w:r>
              <w:rPr>
                <w:sz w:val="22"/>
                <w:szCs w:val="22"/>
              </w:rPr>
              <w:t>0,5</w:t>
            </w:r>
          </w:p>
        </w:tc>
        <w:tc>
          <w:tcPr>
            <w:tcW w:w="2599" w:type="dxa"/>
          </w:tcPr>
          <w:p w14:paraId="70E5865C" w14:textId="77777777" w:rsidR="00526E5F" w:rsidRPr="008166BF" w:rsidRDefault="006959C2" w:rsidP="00F3619E">
            <w:pPr>
              <w:jc w:val="center"/>
              <w:rPr>
                <w:sz w:val="22"/>
                <w:szCs w:val="22"/>
              </w:rPr>
            </w:pPr>
            <w:r>
              <w:rPr>
                <w:sz w:val="22"/>
                <w:szCs w:val="22"/>
              </w:rPr>
              <w:t>0,5</w:t>
            </w:r>
          </w:p>
        </w:tc>
      </w:tr>
      <w:tr w:rsidR="009F74F8" w:rsidRPr="008166BF" w14:paraId="45727A7E" w14:textId="77777777" w:rsidTr="00F3619E">
        <w:tc>
          <w:tcPr>
            <w:tcW w:w="3927" w:type="dxa"/>
          </w:tcPr>
          <w:p w14:paraId="00BD1CBC" w14:textId="77777777" w:rsidR="009F74F8" w:rsidRPr="008166BF" w:rsidRDefault="00296F68" w:rsidP="00B43559">
            <w:pPr>
              <w:rPr>
                <w:i/>
                <w:sz w:val="22"/>
                <w:szCs w:val="22"/>
              </w:rPr>
            </w:pPr>
            <w:r w:rsidRPr="008166BF">
              <w:rPr>
                <w:sz w:val="22"/>
                <w:szCs w:val="22"/>
              </w:rPr>
              <w:t xml:space="preserve">Farmakokinetické/farmakodynamické </w:t>
            </w:r>
            <w:r w:rsidR="006959C2">
              <w:rPr>
                <w:sz w:val="22"/>
                <w:szCs w:val="22"/>
              </w:rPr>
              <w:t>hraničné koncentrácie (nesúvisiace s druhom)</w:t>
            </w:r>
          </w:p>
        </w:tc>
        <w:tc>
          <w:tcPr>
            <w:tcW w:w="2601" w:type="dxa"/>
          </w:tcPr>
          <w:p w14:paraId="7204069A" w14:textId="77777777" w:rsidR="009F74F8" w:rsidRPr="008166BF" w:rsidRDefault="006959C2" w:rsidP="00F3619E">
            <w:pPr>
              <w:jc w:val="center"/>
              <w:rPr>
                <w:sz w:val="22"/>
                <w:szCs w:val="22"/>
              </w:rPr>
            </w:pPr>
            <w:r>
              <w:rPr>
                <w:sz w:val="22"/>
                <w:szCs w:val="22"/>
              </w:rPr>
              <w:t>Nedostatočne preukázané</w:t>
            </w:r>
          </w:p>
        </w:tc>
        <w:tc>
          <w:tcPr>
            <w:tcW w:w="2599" w:type="dxa"/>
          </w:tcPr>
          <w:p w14:paraId="1F7E2587" w14:textId="77777777" w:rsidR="009F74F8" w:rsidRPr="008166BF" w:rsidRDefault="006959C2" w:rsidP="00F3619E">
            <w:pPr>
              <w:jc w:val="center"/>
              <w:rPr>
                <w:sz w:val="22"/>
                <w:szCs w:val="22"/>
              </w:rPr>
            </w:pPr>
            <w:r>
              <w:rPr>
                <w:sz w:val="22"/>
                <w:szCs w:val="22"/>
              </w:rPr>
              <w:t>Nedostatočne preukázané</w:t>
            </w:r>
          </w:p>
        </w:tc>
      </w:tr>
    </w:tbl>
    <w:p w14:paraId="53D2146E" w14:textId="77777777" w:rsidR="009F74F8" w:rsidRPr="008166BF" w:rsidRDefault="009F74F8" w:rsidP="004008F4">
      <w:pPr>
        <w:rPr>
          <w:i/>
          <w:sz w:val="22"/>
          <w:szCs w:val="22"/>
        </w:rPr>
      </w:pPr>
    </w:p>
    <w:p w14:paraId="3D66A5F0" w14:textId="77777777" w:rsidR="009F74F8" w:rsidRPr="008166BF" w:rsidRDefault="009A51D6" w:rsidP="004008F4">
      <w:pPr>
        <w:rPr>
          <w:sz w:val="22"/>
          <w:szCs w:val="22"/>
        </w:rPr>
      </w:pPr>
      <w:r w:rsidRPr="009A51D6">
        <w:rPr>
          <w:sz w:val="22"/>
          <w:szCs w:val="22"/>
          <w:vertAlign w:val="superscript"/>
        </w:rPr>
        <w:t>1</w:t>
      </w:r>
      <w:r w:rsidR="006959C2">
        <w:rPr>
          <w:sz w:val="22"/>
          <w:szCs w:val="22"/>
        </w:rPr>
        <w:t>Erytromycín sa môže použiť na stanovenie citlivosti na azitromycín, klaritromycín a roxitromycín.</w:t>
      </w:r>
    </w:p>
    <w:p w14:paraId="25F8CA32" w14:textId="77777777" w:rsidR="0010065B" w:rsidRDefault="009A51D6" w:rsidP="004008F4">
      <w:pPr>
        <w:rPr>
          <w:sz w:val="22"/>
          <w:szCs w:val="22"/>
        </w:rPr>
      </w:pPr>
      <w:r w:rsidRPr="009A51D6">
        <w:rPr>
          <w:sz w:val="22"/>
          <w:szCs w:val="22"/>
          <w:vertAlign w:val="superscript"/>
        </w:rPr>
        <w:t>2</w:t>
      </w:r>
      <w:r w:rsidR="0010065B" w:rsidRPr="0010065B">
        <w:rPr>
          <w:sz w:val="22"/>
          <w:szCs w:val="22"/>
        </w:rPr>
        <w:t xml:space="preserve"> </w:t>
      </w:r>
      <w:r w:rsidR="0010065B">
        <w:rPr>
          <w:sz w:val="22"/>
          <w:szCs w:val="22"/>
        </w:rPr>
        <w:t xml:space="preserve">Klinický </w:t>
      </w:r>
      <w:r w:rsidR="0046107E">
        <w:rPr>
          <w:sz w:val="22"/>
          <w:szCs w:val="22"/>
        </w:rPr>
        <w:t>dôkaz o účinnosti makrolidov v liečbe</w:t>
      </w:r>
      <w:r w:rsidR="0010065B">
        <w:rPr>
          <w:sz w:val="22"/>
          <w:szCs w:val="22"/>
        </w:rPr>
        <w:t xml:space="preserve"> respiračných infekcií vyvolaných </w:t>
      </w:r>
      <w:r w:rsidR="003A41A2" w:rsidRPr="003A41A2">
        <w:rPr>
          <w:i/>
          <w:sz w:val="22"/>
          <w:szCs w:val="22"/>
        </w:rPr>
        <w:t>H. influenzae</w:t>
      </w:r>
      <w:r w:rsidR="0010065B">
        <w:rPr>
          <w:sz w:val="22"/>
          <w:szCs w:val="22"/>
        </w:rPr>
        <w:t xml:space="preserve"> je </w:t>
      </w:r>
      <w:r w:rsidR="005D7D9D">
        <w:rPr>
          <w:sz w:val="22"/>
          <w:szCs w:val="22"/>
        </w:rPr>
        <w:t> nejednoznačný vzhľadom na</w:t>
      </w:r>
      <w:r w:rsidR="0010065B">
        <w:rPr>
          <w:sz w:val="22"/>
          <w:szCs w:val="22"/>
        </w:rPr>
        <w:t xml:space="preserve"> </w:t>
      </w:r>
      <w:r w:rsidR="0046107E">
        <w:rPr>
          <w:sz w:val="22"/>
          <w:szCs w:val="22"/>
        </w:rPr>
        <w:t>vysok</w:t>
      </w:r>
      <w:r w:rsidR="005D7D9D">
        <w:rPr>
          <w:sz w:val="22"/>
          <w:szCs w:val="22"/>
        </w:rPr>
        <w:t>ú</w:t>
      </w:r>
      <w:r w:rsidR="0046107E">
        <w:rPr>
          <w:sz w:val="22"/>
          <w:szCs w:val="22"/>
        </w:rPr>
        <w:t xml:space="preserve"> mier</w:t>
      </w:r>
      <w:r w:rsidR="005D7D9D">
        <w:rPr>
          <w:sz w:val="22"/>
          <w:szCs w:val="22"/>
        </w:rPr>
        <w:t>u</w:t>
      </w:r>
      <w:r w:rsidR="0046107E">
        <w:rPr>
          <w:sz w:val="22"/>
          <w:szCs w:val="22"/>
        </w:rPr>
        <w:t xml:space="preserve"> spontánnych vyliečení. Ak je potrebné otestovať akékoľvek makrolidové antibiotikum proti tomuto druhu, majú sa použiť epidemiologické hraničné hodnoty (ECOFF) na určenie kmeňov so získanou rezistenciou. ECOFF hodnoty </w:t>
      </w:r>
      <w:r w:rsidR="00E52D4A">
        <w:rPr>
          <w:sz w:val="22"/>
          <w:szCs w:val="22"/>
        </w:rPr>
        <w:t xml:space="preserve">pre liečivá </w:t>
      </w:r>
      <w:r w:rsidR="0046107E">
        <w:rPr>
          <w:sz w:val="22"/>
          <w:szCs w:val="22"/>
        </w:rPr>
        <w:t>sú :</w:t>
      </w:r>
    </w:p>
    <w:p w14:paraId="5471AA1E" w14:textId="77777777" w:rsidR="0046107E" w:rsidRDefault="0046107E" w:rsidP="004008F4">
      <w:pPr>
        <w:rPr>
          <w:sz w:val="22"/>
          <w:szCs w:val="22"/>
          <w:vertAlign w:val="superscript"/>
        </w:rPr>
      </w:pPr>
      <w:r>
        <w:rPr>
          <w:sz w:val="22"/>
          <w:szCs w:val="22"/>
        </w:rPr>
        <w:t>azitromycín 4 mg/l, klaritromycín 32 mg/l, erytromycín 16 mg/l a telitromycín 8 mg/l. K dispozícii nie sú dostatočné údaje na stanovenie ECOFF pre roxitromycín.</w:t>
      </w:r>
    </w:p>
    <w:p w14:paraId="27982574" w14:textId="77777777" w:rsidR="009F74F8" w:rsidRPr="008166BF" w:rsidRDefault="009A51D6" w:rsidP="004008F4">
      <w:pPr>
        <w:rPr>
          <w:sz w:val="22"/>
          <w:szCs w:val="22"/>
        </w:rPr>
      </w:pPr>
      <w:r w:rsidRPr="009A51D6">
        <w:rPr>
          <w:sz w:val="22"/>
          <w:szCs w:val="22"/>
          <w:vertAlign w:val="superscript"/>
        </w:rPr>
        <w:t>3</w:t>
      </w:r>
      <w:r w:rsidR="006959C2">
        <w:rPr>
          <w:sz w:val="22"/>
          <w:szCs w:val="22"/>
        </w:rPr>
        <w:t>Hraničné hodnoty citlivosti sú založené na epidemiologických hraničných hodnotách (ECOFF), ktoré odlišujú izoláty divokého typu od tých so zníženou citlivosťou.</w:t>
      </w:r>
    </w:p>
    <w:p w14:paraId="12E1A3D7" w14:textId="77777777" w:rsidR="009F74F8" w:rsidRPr="008166BF" w:rsidRDefault="009A51D6" w:rsidP="004008F4">
      <w:pPr>
        <w:rPr>
          <w:sz w:val="22"/>
          <w:szCs w:val="22"/>
        </w:rPr>
      </w:pPr>
      <w:r w:rsidRPr="009A51D6">
        <w:rPr>
          <w:sz w:val="22"/>
          <w:szCs w:val="22"/>
          <w:vertAlign w:val="superscript"/>
        </w:rPr>
        <w:t>4</w:t>
      </w:r>
      <w:r w:rsidR="00B1424E" w:rsidRPr="008166BF">
        <w:rPr>
          <w:sz w:val="22"/>
          <w:szCs w:val="22"/>
        </w:rPr>
        <w:t>Erytromycín sa môže používať na stanovenie citlivosti na azitromycín a</w:t>
      </w:r>
      <w:r w:rsidR="006959C2">
        <w:rPr>
          <w:sz w:val="22"/>
          <w:szCs w:val="22"/>
        </w:rPr>
        <w:t> klaritromycín.</w:t>
      </w:r>
    </w:p>
    <w:p w14:paraId="75573AA1" w14:textId="77777777" w:rsidR="009F74F8" w:rsidRPr="008166BF" w:rsidRDefault="009A51D6" w:rsidP="004008F4">
      <w:pPr>
        <w:rPr>
          <w:sz w:val="22"/>
          <w:szCs w:val="22"/>
        </w:rPr>
      </w:pPr>
      <w:r w:rsidRPr="009A51D6">
        <w:rPr>
          <w:sz w:val="22"/>
          <w:szCs w:val="22"/>
          <w:vertAlign w:val="superscript"/>
        </w:rPr>
        <w:t>5</w:t>
      </w:r>
      <w:r w:rsidR="00E66DBC" w:rsidRPr="008166BF">
        <w:rPr>
          <w:sz w:val="22"/>
          <w:szCs w:val="22"/>
        </w:rPr>
        <w:t>Ci</w:t>
      </w:r>
      <w:r w:rsidR="006959C2">
        <w:rPr>
          <w:sz w:val="22"/>
          <w:szCs w:val="22"/>
        </w:rPr>
        <w:t>tlivosť sa môže určiť podľa citlivosti na erytromycín.</w:t>
      </w:r>
    </w:p>
    <w:p w14:paraId="2E71364A" w14:textId="77777777" w:rsidR="00E52D4A" w:rsidRDefault="0046107E" w:rsidP="004008F4">
      <w:pPr>
        <w:rPr>
          <w:sz w:val="22"/>
          <w:szCs w:val="22"/>
        </w:rPr>
      </w:pPr>
      <w:r w:rsidRPr="00E52D4A">
        <w:rPr>
          <w:sz w:val="22"/>
          <w:szCs w:val="22"/>
        </w:rPr>
        <w:t>Nedostatočne preukázané</w:t>
      </w:r>
      <w:r w:rsidR="00E52D4A">
        <w:rPr>
          <w:sz w:val="22"/>
          <w:szCs w:val="22"/>
        </w:rPr>
        <w:t>: Nie je dostatočne preukázané</w:t>
      </w:r>
      <w:r>
        <w:rPr>
          <w:sz w:val="22"/>
          <w:szCs w:val="22"/>
        </w:rPr>
        <w:t>, že</w:t>
      </w:r>
      <w:r w:rsidR="00E52D4A">
        <w:rPr>
          <w:sz w:val="22"/>
          <w:szCs w:val="22"/>
        </w:rPr>
        <w:t xml:space="preserve"> mikroorganizmus alebo skupina mikroorganizmov sú vhodným cieľom pre liečbu daným liečivom. </w:t>
      </w:r>
      <w:r w:rsidR="003A41A2" w:rsidRPr="003A41A2">
        <w:rPr>
          <w:sz w:val="22"/>
          <w:szCs w:val="22"/>
        </w:rPr>
        <w:t>Môže byť hlásená</w:t>
      </w:r>
      <w:r w:rsidR="00E52D4A" w:rsidRPr="00C017E5">
        <w:rPr>
          <w:sz w:val="22"/>
          <w:szCs w:val="22"/>
        </w:rPr>
        <w:t xml:space="preserve"> m</w:t>
      </w:r>
      <w:r w:rsidR="003A41A2" w:rsidRPr="003A41A2">
        <w:rPr>
          <w:sz w:val="22"/>
          <w:szCs w:val="22"/>
        </w:rPr>
        <w:t>inimá</w:t>
      </w:r>
      <w:r w:rsidR="00C017E5">
        <w:rPr>
          <w:sz w:val="22"/>
          <w:szCs w:val="22"/>
        </w:rPr>
        <w:t>l</w:t>
      </w:r>
      <w:r w:rsidR="003A41A2" w:rsidRPr="003A41A2">
        <w:rPr>
          <w:sz w:val="22"/>
          <w:szCs w:val="22"/>
        </w:rPr>
        <w:t>na</w:t>
      </w:r>
      <w:r w:rsidR="00E52D4A" w:rsidRPr="00C017E5">
        <w:rPr>
          <w:sz w:val="22"/>
          <w:szCs w:val="22"/>
        </w:rPr>
        <w:t xml:space="preserve"> inhibičn</w:t>
      </w:r>
      <w:r w:rsidR="003A41A2" w:rsidRPr="003A41A2">
        <w:rPr>
          <w:sz w:val="22"/>
          <w:szCs w:val="22"/>
        </w:rPr>
        <w:t>á</w:t>
      </w:r>
      <w:r w:rsidR="00E52D4A" w:rsidRPr="00C017E5">
        <w:rPr>
          <w:sz w:val="22"/>
          <w:szCs w:val="22"/>
        </w:rPr>
        <w:t xml:space="preserve"> koncentráci</w:t>
      </w:r>
      <w:r w:rsidR="003A41A2" w:rsidRPr="003A41A2">
        <w:rPr>
          <w:sz w:val="22"/>
          <w:szCs w:val="22"/>
        </w:rPr>
        <w:t>a</w:t>
      </w:r>
      <w:r w:rsidR="00E52D4A" w:rsidRPr="00C017E5">
        <w:rPr>
          <w:sz w:val="22"/>
          <w:szCs w:val="22"/>
        </w:rPr>
        <w:t xml:space="preserve"> (MIC) s poznámkou, </w:t>
      </w:r>
      <w:r w:rsidR="003A41A2" w:rsidRPr="003A41A2">
        <w:rPr>
          <w:sz w:val="22"/>
          <w:szCs w:val="22"/>
        </w:rPr>
        <w:t xml:space="preserve">ale </w:t>
      </w:r>
      <w:r w:rsidR="00E52D4A" w:rsidRPr="00C017E5">
        <w:rPr>
          <w:sz w:val="22"/>
          <w:szCs w:val="22"/>
        </w:rPr>
        <w:t xml:space="preserve">bez </w:t>
      </w:r>
      <w:r w:rsidR="003A41A2" w:rsidRPr="003A41A2">
        <w:rPr>
          <w:sz w:val="22"/>
          <w:szCs w:val="22"/>
        </w:rPr>
        <w:t>sprievodnej kategorizácie na citlivé</w:t>
      </w:r>
      <w:r w:rsidR="00C017E5" w:rsidRPr="00C017E5">
        <w:rPr>
          <w:sz w:val="22"/>
          <w:szCs w:val="22"/>
        </w:rPr>
        <w:t xml:space="preserve"> (S, s</w:t>
      </w:r>
      <w:r w:rsidR="00C017E5">
        <w:rPr>
          <w:sz w:val="22"/>
          <w:szCs w:val="22"/>
        </w:rPr>
        <w:t>usceptible</w:t>
      </w:r>
      <w:r w:rsidR="003A41A2" w:rsidRPr="003A41A2">
        <w:rPr>
          <w:sz w:val="22"/>
          <w:szCs w:val="22"/>
        </w:rPr>
        <w:t xml:space="preserve">), stredne citlivé </w:t>
      </w:r>
      <w:r w:rsidR="00C017E5" w:rsidRPr="00C017E5">
        <w:rPr>
          <w:sz w:val="22"/>
          <w:szCs w:val="22"/>
        </w:rPr>
        <w:t>(I, i</w:t>
      </w:r>
      <w:r w:rsidR="00C017E5">
        <w:rPr>
          <w:sz w:val="22"/>
          <w:szCs w:val="22"/>
        </w:rPr>
        <w:t>n</w:t>
      </w:r>
      <w:r w:rsidR="00C017E5" w:rsidRPr="00C017E5">
        <w:rPr>
          <w:sz w:val="22"/>
          <w:szCs w:val="22"/>
        </w:rPr>
        <w:t>term</w:t>
      </w:r>
      <w:r w:rsidR="003A41A2" w:rsidRPr="003A41A2">
        <w:rPr>
          <w:sz w:val="22"/>
          <w:szCs w:val="22"/>
        </w:rPr>
        <w:t>ediate) alebo rezistentné (R, resistant)</w:t>
      </w:r>
      <w:r w:rsidR="00E52D4A" w:rsidRPr="00C017E5">
        <w:rPr>
          <w:sz w:val="22"/>
          <w:szCs w:val="22"/>
        </w:rPr>
        <w:t>.</w:t>
      </w:r>
    </w:p>
    <w:p w14:paraId="483C7BD7" w14:textId="77777777" w:rsidR="00C017E5" w:rsidRDefault="00C017E5" w:rsidP="004008F4">
      <w:pPr>
        <w:rPr>
          <w:sz w:val="22"/>
          <w:szCs w:val="22"/>
        </w:rPr>
      </w:pPr>
    </w:p>
    <w:p w14:paraId="5367C178" w14:textId="77777777" w:rsidR="009F74F8" w:rsidRPr="008166BF" w:rsidRDefault="006959C2" w:rsidP="004008F4">
      <w:pPr>
        <w:rPr>
          <w:sz w:val="22"/>
          <w:szCs w:val="22"/>
        </w:rPr>
      </w:pPr>
      <w:r>
        <w:rPr>
          <w:sz w:val="22"/>
          <w:szCs w:val="22"/>
        </w:rPr>
        <w:t xml:space="preserve">Klaritromycín sa používa na eradikáciu </w:t>
      </w:r>
      <w:r>
        <w:rPr>
          <w:i/>
          <w:sz w:val="22"/>
          <w:szCs w:val="22"/>
        </w:rPr>
        <w:t>H. pylori</w:t>
      </w:r>
      <w:r>
        <w:rPr>
          <w:sz w:val="22"/>
          <w:szCs w:val="22"/>
        </w:rPr>
        <w:t>;</w:t>
      </w:r>
      <w:r>
        <w:rPr>
          <w:i/>
          <w:sz w:val="22"/>
          <w:szCs w:val="22"/>
        </w:rPr>
        <w:t xml:space="preserve"> </w:t>
      </w:r>
      <w:r>
        <w:rPr>
          <w:sz w:val="22"/>
          <w:szCs w:val="22"/>
        </w:rPr>
        <w:t>minimálna inhibičná koncentrácia (MIC) ≤ 0,25 µg/ml bola stanovená ako hraničná hodnota citlivosti Inštitútom pre klinické a laboratórne štandardy (CLSI).</w:t>
      </w:r>
    </w:p>
    <w:p w14:paraId="4E75F4AE" w14:textId="77777777" w:rsidR="009F74F8" w:rsidRPr="008166BF" w:rsidRDefault="009F74F8" w:rsidP="004008F4">
      <w:pPr>
        <w:rPr>
          <w:i/>
          <w:sz w:val="22"/>
          <w:szCs w:val="22"/>
          <w:highlight w:val="yellow"/>
        </w:rPr>
      </w:pPr>
    </w:p>
    <w:p w14:paraId="1E389A1E" w14:textId="77777777" w:rsidR="009F74F8" w:rsidRPr="008166BF" w:rsidRDefault="006959C2" w:rsidP="004008F4">
      <w:pPr>
        <w:rPr>
          <w:b/>
          <w:sz w:val="22"/>
          <w:szCs w:val="22"/>
        </w:rPr>
      </w:pPr>
      <w:r>
        <w:rPr>
          <w:b/>
          <w:sz w:val="22"/>
          <w:szCs w:val="22"/>
        </w:rPr>
        <w:t>Citlivosť</w:t>
      </w:r>
    </w:p>
    <w:p w14:paraId="7C7D41BE" w14:textId="77777777" w:rsidR="009F74F8" w:rsidRPr="008166BF" w:rsidRDefault="006959C2" w:rsidP="004008F4">
      <w:pPr>
        <w:rPr>
          <w:sz w:val="22"/>
          <w:szCs w:val="22"/>
        </w:rPr>
      </w:pPr>
      <w:r>
        <w:rPr>
          <w:iCs/>
          <w:sz w:val="22"/>
          <w:szCs w:val="22"/>
        </w:rPr>
        <w:t xml:space="preserve">Prevalencia získanej rezistencie u vybraných druhov </w:t>
      </w:r>
      <w:r>
        <w:rPr>
          <w:sz w:val="22"/>
          <w:szCs w:val="22"/>
        </w:rPr>
        <w:t>môže kolísať v závislosti od geografickej polohy a času</w:t>
      </w:r>
      <w:r>
        <w:rPr>
          <w:iCs/>
          <w:sz w:val="22"/>
          <w:szCs w:val="22"/>
        </w:rPr>
        <w:t xml:space="preserve"> a </w:t>
      </w:r>
      <w:r>
        <w:rPr>
          <w:sz w:val="22"/>
          <w:szCs w:val="22"/>
        </w:rPr>
        <w:t>predovšetkým pri liečbe závažných infekcií sú potrebné lokálne informácie o rezistencii. Ak je lokálna prevalencia rezistencie taká, že prospešnosť liečiva je prinajmenšom u niektorých typov infekcií sporná, je potrebné sa poradiť s odborníkom.</w:t>
      </w:r>
    </w:p>
    <w:p w14:paraId="6C5015D9" w14:textId="77777777" w:rsidR="009F74F8" w:rsidRPr="008166BF" w:rsidRDefault="009F74F8" w:rsidP="004008F4">
      <w:pPr>
        <w:rPr>
          <w:sz w:val="22"/>
          <w:szCs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76"/>
      </w:tblGrid>
      <w:tr w:rsidR="009F74F8" w:rsidRPr="008166BF" w14:paraId="110A80C7" w14:textId="77777777" w:rsidTr="00B43559">
        <w:tc>
          <w:tcPr>
            <w:tcW w:w="9276" w:type="dxa"/>
            <w:tcBorders>
              <w:top w:val="single" w:sz="4" w:space="0" w:color="auto"/>
              <w:bottom w:val="single" w:sz="4" w:space="0" w:color="auto"/>
            </w:tcBorders>
          </w:tcPr>
          <w:p w14:paraId="5763218A" w14:textId="77777777" w:rsidR="009F74F8" w:rsidRPr="008166BF" w:rsidRDefault="006959C2" w:rsidP="00B43559">
            <w:pPr>
              <w:rPr>
                <w:b/>
                <w:sz w:val="22"/>
                <w:szCs w:val="22"/>
                <w:lang w:val="en-GB"/>
              </w:rPr>
            </w:pPr>
            <w:r>
              <w:rPr>
                <w:b/>
                <w:sz w:val="22"/>
                <w:szCs w:val="22"/>
                <w:lang w:val="en-GB"/>
              </w:rPr>
              <w:t>Bežne citlivé druhy</w:t>
            </w:r>
          </w:p>
        </w:tc>
      </w:tr>
      <w:tr w:rsidR="009F74F8" w:rsidRPr="008166BF" w14:paraId="6EA29F80" w14:textId="77777777" w:rsidTr="00B43559">
        <w:tc>
          <w:tcPr>
            <w:tcW w:w="9276" w:type="dxa"/>
            <w:tcBorders>
              <w:top w:val="single" w:sz="4" w:space="0" w:color="auto"/>
            </w:tcBorders>
          </w:tcPr>
          <w:p w14:paraId="5AFB1D5F" w14:textId="77777777" w:rsidR="009F74F8" w:rsidRPr="008166BF" w:rsidRDefault="009F74F8" w:rsidP="00B43559">
            <w:pPr>
              <w:rPr>
                <w:sz w:val="22"/>
                <w:szCs w:val="22"/>
                <w:lang w:val="en-GB"/>
              </w:rPr>
            </w:pPr>
            <w:r w:rsidRPr="008166BF">
              <w:rPr>
                <w:sz w:val="22"/>
                <w:szCs w:val="22"/>
                <w:lang w:val="en-GB"/>
              </w:rPr>
              <w:t>Aeróbne grampozitívne mikroorganizmy</w:t>
            </w:r>
          </w:p>
        </w:tc>
      </w:tr>
      <w:tr w:rsidR="009F74F8" w:rsidRPr="008166BF" w14:paraId="45DBF052" w14:textId="77777777" w:rsidTr="00B43559">
        <w:tc>
          <w:tcPr>
            <w:tcW w:w="9276" w:type="dxa"/>
          </w:tcPr>
          <w:p w14:paraId="6FCDD11B" w14:textId="77777777" w:rsidR="009F74F8" w:rsidRPr="008166BF" w:rsidRDefault="006959C2" w:rsidP="00B43559">
            <w:pPr>
              <w:rPr>
                <w:i/>
                <w:sz w:val="22"/>
                <w:szCs w:val="22"/>
                <w:lang w:val="en-GB"/>
              </w:rPr>
            </w:pPr>
            <w:r>
              <w:rPr>
                <w:i/>
                <w:sz w:val="22"/>
                <w:szCs w:val="22"/>
                <w:lang w:val="en-GB"/>
              </w:rPr>
              <w:t>Corynebacterium diphteriae</w:t>
            </w:r>
          </w:p>
        </w:tc>
      </w:tr>
      <w:tr w:rsidR="009F74F8" w:rsidRPr="008166BF" w14:paraId="76BA2BC8" w14:textId="77777777" w:rsidTr="00B43559">
        <w:tc>
          <w:tcPr>
            <w:tcW w:w="9276" w:type="dxa"/>
          </w:tcPr>
          <w:p w14:paraId="219F48D7" w14:textId="77777777" w:rsidR="008B2037" w:rsidRDefault="009F74F8">
            <w:pPr>
              <w:rPr>
                <w:sz w:val="22"/>
                <w:szCs w:val="22"/>
                <w:lang w:val="en-GB"/>
              </w:rPr>
            </w:pPr>
            <w:r w:rsidRPr="008166BF">
              <w:rPr>
                <w:i/>
                <w:sz w:val="22"/>
                <w:szCs w:val="22"/>
                <w:lang w:val="en-GB"/>
              </w:rPr>
              <w:t xml:space="preserve">Streptococcus </w:t>
            </w:r>
            <w:r w:rsidR="006959C2">
              <w:rPr>
                <w:sz w:val="22"/>
                <w:szCs w:val="22"/>
                <w:lang w:val="en-GB"/>
              </w:rPr>
              <w:t>skupiny F</w:t>
            </w:r>
          </w:p>
        </w:tc>
      </w:tr>
      <w:tr w:rsidR="009F74F8" w:rsidRPr="008166BF" w14:paraId="166588A0" w14:textId="77777777" w:rsidTr="00B43559">
        <w:tc>
          <w:tcPr>
            <w:tcW w:w="9276" w:type="dxa"/>
          </w:tcPr>
          <w:p w14:paraId="5F2E8307" w14:textId="77777777" w:rsidR="009F74F8" w:rsidRPr="008166BF" w:rsidRDefault="009F74F8" w:rsidP="00B43559">
            <w:pPr>
              <w:rPr>
                <w:sz w:val="22"/>
                <w:szCs w:val="22"/>
                <w:lang w:val="en-GB"/>
              </w:rPr>
            </w:pPr>
            <w:r w:rsidRPr="008166BF">
              <w:rPr>
                <w:sz w:val="22"/>
                <w:szCs w:val="22"/>
                <w:lang w:val="en-GB"/>
              </w:rPr>
              <w:t>Aeróbne gramnegatívne mikroorganizmy</w:t>
            </w:r>
          </w:p>
        </w:tc>
      </w:tr>
      <w:tr w:rsidR="009F74F8" w:rsidRPr="008166BF" w14:paraId="6C75646B" w14:textId="77777777" w:rsidTr="00B43559">
        <w:tc>
          <w:tcPr>
            <w:tcW w:w="9276" w:type="dxa"/>
          </w:tcPr>
          <w:p w14:paraId="503716E0" w14:textId="77777777" w:rsidR="009F74F8" w:rsidRPr="008166BF" w:rsidRDefault="006959C2" w:rsidP="00B43559">
            <w:pPr>
              <w:rPr>
                <w:i/>
                <w:sz w:val="22"/>
                <w:szCs w:val="22"/>
                <w:lang w:val="en-GB"/>
              </w:rPr>
            </w:pPr>
            <w:r>
              <w:rPr>
                <w:i/>
                <w:sz w:val="22"/>
                <w:szCs w:val="22"/>
                <w:lang w:val="en-GB"/>
              </w:rPr>
              <w:t>Bordetella pertussis</w:t>
            </w:r>
          </w:p>
        </w:tc>
      </w:tr>
      <w:tr w:rsidR="009F74F8" w:rsidRPr="008166BF" w14:paraId="2E204B35" w14:textId="77777777" w:rsidTr="00B43559">
        <w:tc>
          <w:tcPr>
            <w:tcW w:w="9276" w:type="dxa"/>
          </w:tcPr>
          <w:p w14:paraId="6E9A3CED" w14:textId="77777777" w:rsidR="008B2037" w:rsidRDefault="009F74F8">
            <w:pPr>
              <w:rPr>
                <w:sz w:val="22"/>
                <w:szCs w:val="22"/>
                <w:lang w:val="en-GB"/>
              </w:rPr>
            </w:pPr>
            <w:r w:rsidRPr="008166BF">
              <w:rPr>
                <w:i/>
                <w:sz w:val="22"/>
                <w:szCs w:val="22"/>
                <w:lang w:val="en-GB"/>
              </w:rPr>
              <w:t xml:space="preserve">Legionella </w:t>
            </w:r>
            <w:r w:rsidR="006959C2">
              <w:rPr>
                <w:sz w:val="22"/>
                <w:szCs w:val="22"/>
                <w:lang w:val="en-GB"/>
              </w:rPr>
              <w:t>spp.</w:t>
            </w:r>
          </w:p>
        </w:tc>
      </w:tr>
      <w:tr w:rsidR="009F74F8" w:rsidRPr="008166BF" w14:paraId="083E31A4" w14:textId="77777777" w:rsidTr="00B43559">
        <w:tc>
          <w:tcPr>
            <w:tcW w:w="9276" w:type="dxa"/>
          </w:tcPr>
          <w:p w14:paraId="27F1F484" w14:textId="77777777" w:rsidR="008B2037" w:rsidRDefault="009F74F8">
            <w:pPr>
              <w:rPr>
                <w:i/>
                <w:sz w:val="22"/>
                <w:szCs w:val="22"/>
                <w:lang w:val="en-GB"/>
              </w:rPr>
            </w:pPr>
            <w:r w:rsidRPr="008166BF">
              <w:rPr>
                <w:i/>
                <w:sz w:val="22"/>
                <w:szCs w:val="22"/>
                <w:lang w:val="en-GB"/>
              </w:rPr>
              <w:t>Moraxella catarrhalis</w:t>
            </w:r>
          </w:p>
        </w:tc>
      </w:tr>
      <w:tr w:rsidR="009F74F8" w:rsidRPr="008166BF" w14:paraId="71B7F3AB" w14:textId="77777777" w:rsidTr="00B43559">
        <w:tc>
          <w:tcPr>
            <w:tcW w:w="9276" w:type="dxa"/>
          </w:tcPr>
          <w:p w14:paraId="55031135" w14:textId="77777777" w:rsidR="008B2037" w:rsidRDefault="009F74F8">
            <w:pPr>
              <w:rPr>
                <w:i/>
                <w:sz w:val="22"/>
                <w:szCs w:val="22"/>
                <w:lang w:val="en-GB"/>
              </w:rPr>
            </w:pPr>
            <w:r w:rsidRPr="008166BF">
              <w:rPr>
                <w:i/>
                <w:sz w:val="22"/>
                <w:szCs w:val="22"/>
                <w:lang w:val="en-GB"/>
              </w:rPr>
              <w:lastRenderedPageBreak/>
              <w:t>Pasteurella multocida</w:t>
            </w:r>
          </w:p>
        </w:tc>
      </w:tr>
      <w:tr w:rsidR="009F74F8" w:rsidRPr="008166BF" w14:paraId="191DA83F" w14:textId="77777777" w:rsidTr="00B43559">
        <w:tc>
          <w:tcPr>
            <w:tcW w:w="9276" w:type="dxa"/>
          </w:tcPr>
          <w:p w14:paraId="390BEA06" w14:textId="77777777" w:rsidR="009F74F8" w:rsidRPr="008166BF" w:rsidRDefault="009F74F8" w:rsidP="00B43559">
            <w:pPr>
              <w:rPr>
                <w:sz w:val="22"/>
                <w:szCs w:val="22"/>
                <w:lang w:val="en-GB"/>
              </w:rPr>
            </w:pPr>
            <w:r w:rsidRPr="008166BF">
              <w:rPr>
                <w:sz w:val="22"/>
                <w:szCs w:val="22"/>
                <w:lang w:val="en-GB"/>
              </w:rPr>
              <w:t>Anaeróbne mikroorganizmy</w:t>
            </w:r>
          </w:p>
        </w:tc>
      </w:tr>
      <w:tr w:rsidR="009F74F8" w:rsidRPr="008166BF" w14:paraId="328C496A" w14:textId="77777777" w:rsidTr="00B43559">
        <w:tc>
          <w:tcPr>
            <w:tcW w:w="9276" w:type="dxa"/>
          </w:tcPr>
          <w:p w14:paraId="21CC37FA" w14:textId="77777777" w:rsidR="009F74F8" w:rsidRPr="008166BF" w:rsidRDefault="006959C2" w:rsidP="00B43559">
            <w:pPr>
              <w:rPr>
                <w:sz w:val="22"/>
                <w:szCs w:val="22"/>
                <w:lang w:val="en-GB"/>
              </w:rPr>
            </w:pPr>
            <w:r>
              <w:rPr>
                <w:i/>
                <w:sz w:val="22"/>
                <w:szCs w:val="22"/>
                <w:lang w:val="en-GB"/>
              </w:rPr>
              <w:t>Clostridum</w:t>
            </w:r>
            <w:r>
              <w:rPr>
                <w:sz w:val="22"/>
                <w:szCs w:val="22"/>
                <w:lang w:val="en-GB"/>
              </w:rPr>
              <w:t xml:space="preserve"> spp. iné ako </w:t>
            </w:r>
            <w:r>
              <w:rPr>
                <w:i/>
                <w:sz w:val="22"/>
                <w:szCs w:val="22"/>
                <w:lang w:val="en-GB"/>
              </w:rPr>
              <w:t>C. difficile</w:t>
            </w:r>
          </w:p>
        </w:tc>
      </w:tr>
      <w:tr w:rsidR="009F74F8" w:rsidRPr="008166BF" w14:paraId="6DAE50D8" w14:textId="77777777" w:rsidTr="00B43559">
        <w:tc>
          <w:tcPr>
            <w:tcW w:w="9276" w:type="dxa"/>
          </w:tcPr>
          <w:p w14:paraId="4AE927F2" w14:textId="77777777" w:rsidR="009F74F8" w:rsidRPr="008166BF" w:rsidRDefault="009F74F8" w:rsidP="00B43559">
            <w:pPr>
              <w:rPr>
                <w:sz w:val="22"/>
                <w:szCs w:val="22"/>
                <w:lang w:val="en-GB"/>
              </w:rPr>
            </w:pPr>
            <w:r w:rsidRPr="008166BF">
              <w:rPr>
                <w:sz w:val="22"/>
                <w:szCs w:val="22"/>
                <w:lang w:val="en-GB"/>
              </w:rPr>
              <w:t>Iné mikroorganizmy</w:t>
            </w:r>
          </w:p>
        </w:tc>
      </w:tr>
      <w:tr w:rsidR="009F74F8" w:rsidRPr="008166BF" w14:paraId="3215D5C0" w14:textId="77777777" w:rsidTr="00B43559">
        <w:tc>
          <w:tcPr>
            <w:tcW w:w="9276" w:type="dxa"/>
          </w:tcPr>
          <w:p w14:paraId="536057D1" w14:textId="77777777" w:rsidR="009F74F8" w:rsidRPr="008166BF" w:rsidRDefault="006959C2" w:rsidP="00B43559">
            <w:pPr>
              <w:rPr>
                <w:i/>
                <w:sz w:val="22"/>
                <w:szCs w:val="22"/>
                <w:lang w:val="en-GB"/>
              </w:rPr>
            </w:pPr>
            <w:r>
              <w:rPr>
                <w:i/>
                <w:sz w:val="22"/>
                <w:szCs w:val="22"/>
                <w:lang w:val="en-GB"/>
              </w:rPr>
              <w:t>Chlamydia trachomatis</w:t>
            </w:r>
          </w:p>
        </w:tc>
      </w:tr>
      <w:tr w:rsidR="009F74F8" w:rsidRPr="008166BF" w14:paraId="03EB0AE7" w14:textId="77777777" w:rsidTr="009F74F8">
        <w:tc>
          <w:tcPr>
            <w:tcW w:w="9276" w:type="dxa"/>
          </w:tcPr>
          <w:p w14:paraId="0AB60503" w14:textId="77777777" w:rsidR="008B2037" w:rsidRDefault="009F74F8">
            <w:pPr>
              <w:rPr>
                <w:i/>
                <w:sz w:val="22"/>
                <w:szCs w:val="22"/>
                <w:lang w:val="en-GB"/>
              </w:rPr>
            </w:pPr>
            <w:r w:rsidRPr="008166BF">
              <w:rPr>
                <w:i/>
                <w:sz w:val="22"/>
                <w:szCs w:val="22"/>
                <w:lang w:val="en-GB"/>
              </w:rPr>
              <w:t>Chlamydia pneumoniae</w:t>
            </w:r>
          </w:p>
        </w:tc>
      </w:tr>
      <w:tr w:rsidR="009F74F8" w:rsidRPr="008166BF" w14:paraId="0F3CB284" w14:textId="77777777" w:rsidTr="009F74F8">
        <w:tc>
          <w:tcPr>
            <w:tcW w:w="9276" w:type="dxa"/>
          </w:tcPr>
          <w:p w14:paraId="6B0DE5FB" w14:textId="77777777" w:rsidR="008B2037" w:rsidRDefault="009F74F8">
            <w:pPr>
              <w:rPr>
                <w:i/>
                <w:sz w:val="22"/>
                <w:szCs w:val="22"/>
                <w:lang w:val="en-GB"/>
              </w:rPr>
            </w:pPr>
            <w:r w:rsidRPr="008166BF">
              <w:rPr>
                <w:i/>
                <w:sz w:val="22"/>
                <w:szCs w:val="22"/>
                <w:lang w:val="en-GB"/>
              </w:rPr>
              <w:t>C</w:t>
            </w:r>
            <w:r w:rsidR="006959C2">
              <w:rPr>
                <w:i/>
                <w:sz w:val="22"/>
                <w:szCs w:val="22"/>
                <w:lang w:val="en-GB"/>
              </w:rPr>
              <w:t>hlamydophila psitacci</w:t>
            </w:r>
          </w:p>
        </w:tc>
      </w:tr>
      <w:tr w:rsidR="009F74F8" w:rsidRPr="008166BF" w14:paraId="06957A00" w14:textId="77777777" w:rsidTr="009F74F8">
        <w:tc>
          <w:tcPr>
            <w:tcW w:w="9276" w:type="dxa"/>
          </w:tcPr>
          <w:p w14:paraId="26992DD3" w14:textId="77777777" w:rsidR="008B2037" w:rsidRDefault="00E66DBC">
            <w:pPr>
              <w:rPr>
                <w:i/>
                <w:sz w:val="22"/>
                <w:szCs w:val="22"/>
                <w:lang w:val="en-GB"/>
              </w:rPr>
            </w:pPr>
            <w:r w:rsidRPr="008166BF">
              <w:rPr>
                <w:i/>
                <w:sz w:val="22"/>
                <w:szCs w:val="22"/>
                <w:lang w:val="en-GB"/>
              </w:rPr>
              <w:t xml:space="preserve">Mycoplasma pneumoniae </w:t>
            </w:r>
          </w:p>
          <w:p w14:paraId="5D7FB026" w14:textId="77777777" w:rsidR="008B2037" w:rsidRDefault="006959C2">
            <w:pPr>
              <w:rPr>
                <w:i/>
                <w:sz w:val="22"/>
                <w:szCs w:val="22"/>
                <w:lang w:val="en-GB"/>
              </w:rPr>
            </w:pPr>
            <w:r>
              <w:rPr>
                <w:i/>
                <w:sz w:val="22"/>
                <w:szCs w:val="22"/>
                <w:lang w:val="en-GB"/>
              </w:rPr>
              <w:t>Mycobacterium</w:t>
            </w:r>
            <w:r>
              <w:rPr>
                <w:sz w:val="22"/>
                <w:szCs w:val="22"/>
                <w:lang w:val="en-GB"/>
              </w:rPr>
              <w:t xml:space="preserve"> spp.</w:t>
            </w:r>
          </w:p>
        </w:tc>
      </w:tr>
      <w:tr w:rsidR="009F74F8" w:rsidRPr="008166BF" w14:paraId="5C8958D4" w14:textId="77777777" w:rsidTr="00B43559">
        <w:tc>
          <w:tcPr>
            <w:tcW w:w="9276" w:type="dxa"/>
            <w:tcBorders>
              <w:top w:val="single" w:sz="4" w:space="0" w:color="auto"/>
              <w:bottom w:val="single" w:sz="4" w:space="0" w:color="auto"/>
            </w:tcBorders>
          </w:tcPr>
          <w:p w14:paraId="2F75FD76" w14:textId="77777777" w:rsidR="009F74F8" w:rsidRPr="008166BF" w:rsidRDefault="002171A3" w:rsidP="00B43559">
            <w:pPr>
              <w:rPr>
                <w:b/>
                <w:color w:val="999999"/>
                <w:sz w:val="22"/>
                <w:szCs w:val="22"/>
                <w:vertAlign w:val="superscript"/>
              </w:rPr>
            </w:pPr>
            <w:r w:rsidRPr="008166BF">
              <w:rPr>
                <w:b/>
                <w:sz w:val="22"/>
                <w:szCs w:val="22"/>
              </w:rPr>
              <w:t>Druhy, pri ktorých môže byť problémom získaná rezistencia</w:t>
            </w:r>
            <w:r w:rsidR="009A51D6" w:rsidRPr="009A51D6">
              <w:rPr>
                <w:b/>
                <w:color w:val="999999"/>
                <w:sz w:val="22"/>
                <w:szCs w:val="22"/>
                <w:vertAlign w:val="superscript"/>
              </w:rPr>
              <w:t>#</w:t>
            </w:r>
          </w:p>
        </w:tc>
      </w:tr>
      <w:tr w:rsidR="009F74F8" w:rsidRPr="008166BF" w14:paraId="526B2149" w14:textId="77777777" w:rsidTr="00B43559">
        <w:tc>
          <w:tcPr>
            <w:tcW w:w="9276" w:type="dxa"/>
            <w:tcBorders>
              <w:top w:val="single" w:sz="4" w:space="0" w:color="auto"/>
            </w:tcBorders>
          </w:tcPr>
          <w:p w14:paraId="1C21A95D" w14:textId="77777777" w:rsidR="009F74F8" w:rsidRPr="008166BF" w:rsidRDefault="009F74F8" w:rsidP="00B43559">
            <w:pPr>
              <w:rPr>
                <w:sz w:val="22"/>
                <w:szCs w:val="22"/>
                <w:lang w:val="en-GB"/>
              </w:rPr>
            </w:pPr>
            <w:r w:rsidRPr="008166BF">
              <w:rPr>
                <w:sz w:val="22"/>
                <w:szCs w:val="22"/>
                <w:lang w:val="en-GB"/>
              </w:rPr>
              <w:t>Aeróbne grampozitívne mikroorganizmy</w:t>
            </w:r>
          </w:p>
        </w:tc>
      </w:tr>
      <w:tr w:rsidR="009F74F8" w:rsidRPr="008166BF" w14:paraId="69D2A7F5" w14:textId="77777777" w:rsidTr="00B43559">
        <w:tc>
          <w:tcPr>
            <w:tcW w:w="9276" w:type="dxa"/>
          </w:tcPr>
          <w:p w14:paraId="72E8D8D0" w14:textId="77777777" w:rsidR="008B2037" w:rsidRDefault="009F74F8">
            <w:pPr>
              <w:rPr>
                <w:i/>
                <w:sz w:val="22"/>
                <w:szCs w:val="22"/>
                <w:lang w:val="en-GB"/>
              </w:rPr>
            </w:pPr>
            <w:r w:rsidRPr="008166BF">
              <w:rPr>
                <w:i/>
                <w:sz w:val="22"/>
                <w:szCs w:val="22"/>
                <w:lang w:val="en-GB"/>
              </w:rPr>
              <w:t xml:space="preserve">Enterococcus </w:t>
            </w:r>
            <w:r w:rsidR="006959C2">
              <w:rPr>
                <w:sz w:val="22"/>
                <w:szCs w:val="22"/>
                <w:lang w:val="en-GB"/>
              </w:rPr>
              <w:t>spp. +</w:t>
            </w:r>
          </w:p>
        </w:tc>
      </w:tr>
      <w:tr w:rsidR="009F74F8" w:rsidRPr="008166BF" w14:paraId="11C4DF84" w14:textId="77777777" w:rsidTr="00B43559">
        <w:tc>
          <w:tcPr>
            <w:tcW w:w="9276" w:type="dxa"/>
          </w:tcPr>
          <w:p w14:paraId="518260B5" w14:textId="77777777" w:rsidR="008B2037" w:rsidRDefault="002171A3">
            <w:pPr>
              <w:rPr>
                <w:sz w:val="22"/>
                <w:szCs w:val="22"/>
              </w:rPr>
            </w:pPr>
            <w:r w:rsidRPr="008166BF">
              <w:rPr>
                <w:i/>
                <w:sz w:val="22"/>
                <w:szCs w:val="22"/>
              </w:rPr>
              <w:t>Staphylococcus aureus</w:t>
            </w:r>
            <w:r w:rsidR="006959C2">
              <w:rPr>
                <w:sz w:val="22"/>
                <w:szCs w:val="22"/>
              </w:rPr>
              <w:t xml:space="preserve"> (meticilín-citlivé a meticilín-rezistentné+)</w:t>
            </w:r>
          </w:p>
        </w:tc>
      </w:tr>
      <w:tr w:rsidR="009F74F8" w:rsidRPr="008166BF" w14:paraId="762B4A94" w14:textId="77777777" w:rsidTr="00B43559">
        <w:tc>
          <w:tcPr>
            <w:tcW w:w="9276" w:type="dxa"/>
          </w:tcPr>
          <w:p w14:paraId="48BF83AC" w14:textId="77777777" w:rsidR="008B2037" w:rsidRDefault="009F74F8">
            <w:pPr>
              <w:rPr>
                <w:i/>
                <w:sz w:val="22"/>
                <w:szCs w:val="22"/>
                <w:lang w:val="en-GB"/>
              </w:rPr>
            </w:pPr>
            <w:r w:rsidRPr="008166BF">
              <w:rPr>
                <w:i/>
                <w:sz w:val="22"/>
                <w:szCs w:val="22"/>
                <w:lang w:val="en-GB"/>
              </w:rPr>
              <w:t>Staphylococcus epidermidis</w:t>
            </w:r>
            <w:r w:rsidR="006959C2">
              <w:rPr>
                <w:i/>
                <w:sz w:val="22"/>
                <w:szCs w:val="22"/>
                <w:lang w:val="en-GB"/>
              </w:rPr>
              <w:t xml:space="preserve"> +</w:t>
            </w:r>
          </w:p>
        </w:tc>
      </w:tr>
      <w:tr w:rsidR="009F74F8" w:rsidRPr="008166BF" w14:paraId="20389205" w14:textId="77777777" w:rsidTr="00B43559">
        <w:tc>
          <w:tcPr>
            <w:tcW w:w="9276" w:type="dxa"/>
          </w:tcPr>
          <w:p w14:paraId="75D8FB96" w14:textId="77777777" w:rsidR="008B2037" w:rsidRDefault="009F74F8">
            <w:pPr>
              <w:rPr>
                <w:i/>
                <w:sz w:val="22"/>
                <w:szCs w:val="22"/>
                <w:lang w:val="en-GB"/>
              </w:rPr>
            </w:pPr>
            <w:r w:rsidRPr="008166BF">
              <w:rPr>
                <w:i/>
                <w:sz w:val="22"/>
                <w:szCs w:val="22"/>
                <w:lang w:val="en-GB"/>
              </w:rPr>
              <w:t>Streptococcus skupiny A*, B, C, G</w:t>
            </w:r>
          </w:p>
        </w:tc>
      </w:tr>
      <w:tr w:rsidR="009F74F8" w:rsidRPr="008166BF" w14:paraId="6E805E0D" w14:textId="77777777" w:rsidTr="00B43559">
        <w:tc>
          <w:tcPr>
            <w:tcW w:w="9276" w:type="dxa"/>
          </w:tcPr>
          <w:p w14:paraId="35468C47" w14:textId="77777777" w:rsidR="008B2037" w:rsidRDefault="009F74F8">
            <w:pPr>
              <w:rPr>
                <w:i/>
                <w:sz w:val="22"/>
                <w:szCs w:val="22"/>
                <w:lang w:val="en-GB"/>
              </w:rPr>
            </w:pPr>
            <w:r w:rsidRPr="008166BF">
              <w:rPr>
                <w:i/>
                <w:sz w:val="22"/>
                <w:szCs w:val="22"/>
                <w:lang w:val="en-GB"/>
              </w:rPr>
              <w:t>Streptococcus viridans</w:t>
            </w:r>
          </w:p>
        </w:tc>
      </w:tr>
      <w:tr w:rsidR="009F74F8" w:rsidRPr="008166BF" w14:paraId="4EDFEEB1" w14:textId="77777777" w:rsidTr="00B43559">
        <w:tc>
          <w:tcPr>
            <w:tcW w:w="9276" w:type="dxa"/>
          </w:tcPr>
          <w:p w14:paraId="4DA505E5" w14:textId="77777777" w:rsidR="008B2037" w:rsidRDefault="009F74F8">
            <w:pPr>
              <w:rPr>
                <w:i/>
                <w:sz w:val="22"/>
                <w:szCs w:val="22"/>
                <w:lang w:val="en-GB"/>
              </w:rPr>
            </w:pPr>
            <w:r w:rsidRPr="008166BF">
              <w:rPr>
                <w:i/>
                <w:sz w:val="22"/>
                <w:szCs w:val="22"/>
                <w:lang w:val="en-GB"/>
              </w:rPr>
              <w:t>Streptococcus pneumoniae*+</w:t>
            </w:r>
          </w:p>
        </w:tc>
      </w:tr>
      <w:tr w:rsidR="009F74F8" w:rsidRPr="008166BF" w14:paraId="25C5B69E" w14:textId="77777777" w:rsidTr="00B43559">
        <w:tc>
          <w:tcPr>
            <w:tcW w:w="9276" w:type="dxa"/>
          </w:tcPr>
          <w:p w14:paraId="7FD4E798" w14:textId="77777777" w:rsidR="009F74F8" w:rsidRPr="008166BF" w:rsidRDefault="009F74F8" w:rsidP="00B43559">
            <w:pPr>
              <w:rPr>
                <w:sz w:val="22"/>
                <w:szCs w:val="22"/>
                <w:lang w:val="en-GB"/>
              </w:rPr>
            </w:pPr>
            <w:r w:rsidRPr="008166BF">
              <w:rPr>
                <w:sz w:val="22"/>
                <w:szCs w:val="22"/>
                <w:lang w:val="en-GB"/>
              </w:rPr>
              <w:t>Aeróbne gramnegatívne mikroorganizmy</w:t>
            </w:r>
          </w:p>
        </w:tc>
      </w:tr>
      <w:tr w:rsidR="009F74F8" w:rsidRPr="008166BF" w14:paraId="4CC5696B" w14:textId="77777777" w:rsidTr="009F74F8">
        <w:tc>
          <w:tcPr>
            <w:tcW w:w="9276" w:type="dxa"/>
          </w:tcPr>
          <w:p w14:paraId="2CFBA3BE" w14:textId="77777777" w:rsidR="008B2037" w:rsidRDefault="009F74F8">
            <w:pPr>
              <w:rPr>
                <w:i/>
                <w:sz w:val="22"/>
                <w:szCs w:val="22"/>
                <w:lang w:val="en-GB"/>
              </w:rPr>
            </w:pPr>
            <w:r w:rsidRPr="008166BF">
              <w:rPr>
                <w:i/>
                <w:sz w:val="22"/>
                <w:szCs w:val="22"/>
                <w:lang w:val="en-GB"/>
              </w:rPr>
              <w:t>Haemophilus infuenzae</w:t>
            </w:r>
            <w:r w:rsidR="006959C2">
              <w:rPr>
                <w:i/>
                <w:sz w:val="22"/>
                <w:szCs w:val="22"/>
                <w:lang w:val="en-GB"/>
              </w:rPr>
              <w:t xml:space="preserve"> </w:t>
            </w:r>
            <w:r w:rsidR="006959C2">
              <w:rPr>
                <w:sz w:val="22"/>
                <w:szCs w:val="22"/>
              </w:rPr>
              <w:t>§</w:t>
            </w:r>
          </w:p>
        </w:tc>
      </w:tr>
      <w:tr w:rsidR="009F74F8" w:rsidRPr="008166BF" w14:paraId="1B7FD9BD" w14:textId="77777777" w:rsidTr="009F74F8">
        <w:tc>
          <w:tcPr>
            <w:tcW w:w="9276" w:type="dxa"/>
          </w:tcPr>
          <w:p w14:paraId="4C6A0CF4" w14:textId="77777777" w:rsidR="008B2037" w:rsidRDefault="009F74F8">
            <w:pPr>
              <w:rPr>
                <w:i/>
                <w:sz w:val="22"/>
                <w:szCs w:val="22"/>
                <w:lang w:val="en-GB"/>
              </w:rPr>
            </w:pPr>
            <w:r w:rsidRPr="008166BF">
              <w:rPr>
                <w:i/>
                <w:sz w:val="22"/>
                <w:szCs w:val="22"/>
                <w:lang w:val="en-GB"/>
              </w:rPr>
              <w:t>Helicobacter pylori</w:t>
            </w:r>
          </w:p>
        </w:tc>
      </w:tr>
      <w:tr w:rsidR="009F74F8" w:rsidRPr="008166BF" w14:paraId="74258058" w14:textId="77777777" w:rsidTr="009F74F8">
        <w:tc>
          <w:tcPr>
            <w:tcW w:w="9276" w:type="dxa"/>
          </w:tcPr>
          <w:p w14:paraId="12D0ED1F" w14:textId="77777777" w:rsidR="009F74F8" w:rsidRPr="008166BF" w:rsidRDefault="009F74F8" w:rsidP="00B43559">
            <w:pPr>
              <w:rPr>
                <w:sz w:val="22"/>
                <w:szCs w:val="22"/>
                <w:lang w:val="en-GB"/>
              </w:rPr>
            </w:pPr>
            <w:r w:rsidRPr="008166BF">
              <w:rPr>
                <w:sz w:val="22"/>
                <w:szCs w:val="22"/>
                <w:lang w:val="en-GB"/>
              </w:rPr>
              <w:t>Anaeróbne mikroorganizmy</w:t>
            </w:r>
          </w:p>
        </w:tc>
      </w:tr>
      <w:tr w:rsidR="009F74F8" w:rsidRPr="008166BF" w14:paraId="38D90C06" w14:textId="77777777" w:rsidTr="009F74F8">
        <w:tc>
          <w:tcPr>
            <w:tcW w:w="9276" w:type="dxa"/>
          </w:tcPr>
          <w:p w14:paraId="5DB9B81D" w14:textId="77777777" w:rsidR="008B2037" w:rsidRDefault="009F74F8">
            <w:pPr>
              <w:rPr>
                <w:sz w:val="22"/>
                <w:szCs w:val="22"/>
                <w:lang w:val="en-GB"/>
              </w:rPr>
            </w:pPr>
            <w:r w:rsidRPr="008166BF">
              <w:rPr>
                <w:i/>
                <w:sz w:val="22"/>
                <w:szCs w:val="22"/>
                <w:lang w:val="en-GB"/>
              </w:rPr>
              <w:t xml:space="preserve">Bacteroides </w:t>
            </w:r>
            <w:r w:rsidR="006959C2">
              <w:rPr>
                <w:sz w:val="22"/>
                <w:szCs w:val="22"/>
                <w:lang w:val="en-GB"/>
              </w:rPr>
              <w:t>spp.</w:t>
            </w:r>
          </w:p>
        </w:tc>
      </w:tr>
      <w:tr w:rsidR="009F74F8" w:rsidRPr="008166BF" w14:paraId="4C93ABD8" w14:textId="77777777" w:rsidTr="009F74F8">
        <w:tc>
          <w:tcPr>
            <w:tcW w:w="9276" w:type="dxa"/>
          </w:tcPr>
          <w:p w14:paraId="79AF13B3" w14:textId="77777777" w:rsidR="008B2037" w:rsidRDefault="009F74F8">
            <w:pPr>
              <w:rPr>
                <w:sz w:val="22"/>
                <w:szCs w:val="22"/>
                <w:lang w:val="en-GB"/>
              </w:rPr>
            </w:pPr>
            <w:r w:rsidRPr="008166BF">
              <w:rPr>
                <w:i/>
                <w:sz w:val="22"/>
                <w:szCs w:val="22"/>
                <w:lang w:val="en-GB"/>
              </w:rPr>
              <w:t>Peptococcus/Peptostreptococcus</w:t>
            </w:r>
            <w:r w:rsidR="006959C2">
              <w:rPr>
                <w:sz w:val="22"/>
                <w:szCs w:val="22"/>
                <w:lang w:val="en-GB"/>
              </w:rPr>
              <w:t xml:space="preserve"> spp.</w:t>
            </w:r>
          </w:p>
        </w:tc>
      </w:tr>
      <w:tr w:rsidR="009F74F8" w:rsidRPr="008166BF" w14:paraId="6A87C90F" w14:textId="77777777" w:rsidTr="00B43559">
        <w:tc>
          <w:tcPr>
            <w:tcW w:w="9276" w:type="dxa"/>
            <w:tcBorders>
              <w:top w:val="single" w:sz="4" w:space="0" w:color="auto"/>
              <w:bottom w:val="single" w:sz="4" w:space="0" w:color="auto"/>
            </w:tcBorders>
          </w:tcPr>
          <w:p w14:paraId="58345403" w14:textId="77777777" w:rsidR="009F74F8" w:rsidRPr="008166BF" w:rsidRDefault="009F74F8" w:rsidP="00B43559">
            <w:pPr>
              <w:rPr>
                <w:sz w:val="22"/>
                <w:szCs w:val="22"/>
                <w:lang w:val="en-GB"/>
              </w:rPr>
            </w:pPr>
            <w:r w:rsidRPr="008166BF">
              <w:rPr>
                <w:b/>
                <w:sz w:val="22"/>
                <w:szCs w:val="22"/>
                <w:lang w:val="en-GB"/>
              </w:rPr>
              <w:t>Prirodzene rezistentné mikroorganizmy</w:t>
            </w:r>
          </w:p>
        </w:tc>
      </w:tr>
      <w:tr w:rsidR="009F74F8" w:rsidRPr="008166BF" w14:paraId="0C67DF3A" w14:textId="77777777" w:rsidTr="00B43559">
        <w:tc>
          <w:tcPr>
            <w:tcW w:w="9276" w:type="dxa"/>
            <w:tcBorders>
              <w:top w:val="single" w:sz="4" w:space="0" w:color="auto"/>
            </w:tcBorders>
          </w:tcPr>
          <w:p w14:paraId="763939B6" w14:textId="77777777" w:rsidR="009F74F8" w:rsidRPr="008166BF" w:rsidRDefault="009F74F8" w:rsidP="00B43559">
            <w:pPr>
              <w:rPr>
                <w:sz w:val="22"/>
                <w:szCs w:val="22"/>
                <w:lang w:val="en-GB"/>
              </w:rPr>
            </w:pPr>
            <w:r w:rsidRPr="008166BF">
              <w:rPr>
                <w:sz w:val="22"/>
                <w:szCs w:val="22"/>
                <w:lang w:val="en-GB"/>
              </w:rPr>
              <w:t>Aeróbne gramnegatívne mikroorganizmy</w:t>
            </w:r>
          </w:p>
        </w:tc>
      </w:tr>
      <w:tr w:rsidR="009F74F8" w:rsidRPr="008166BF" w:rsidDel="00E17157" w14:paraId="6B0D4D41" w14:textId="77777777" w:rsidTr="00B43559">
        <w:tc>
          <w:tcPr>
            <w:tcW w:w="9276" w:type="dxa"/>
          </w:tcPr>
          <w:p w14:paraId="07EB5AF6" w14:textId="77777777" w:rsidR="008B2037" w:rsidRDefault="009F74F8">
            <w:pPr>
              <w:rPr>
                <w:i/>
                <w:sz w:val="22"/>
                <w:szCs w:val="22"/>
                <w:lang w:val="en-GB"/>
              </w:rPr>
            </w:pPr>
            <w:r w:rsidRPr="008166BF">
              <w:rPr>
                <w:i/>
                <w:sz w:val="22"/>
                <w:szCs w:val="22"/>
                <w:lang w:val="en-GB"/>
              </w:rPr>
              <w:t>Acinetobacter</w:t>
            </w:r>
          </w:p>
        </w:tc>
      </w:tr>
      <w:tr w:rsidR="009F74F8" w:rsidRPr="008166BF" w14:paraId="24FAFF59" w14:textId="77777777" w:rsidTr="00B43559">
        <w:tc>
          <w:tcPr>
            <w:tcW w:w="9276" w:type="dxa"/>
          </w:tcPr>
          <w:p w14:paraId="7859B829" w14:textId="77777777" w:rsidR="008B2037" w:rsidRDefault="009F74F8">
            <w:pPr>
              <w:rPr>
                <w:sz w:val="22"/>
                <w:szCs w:val="22"/>
                <w:lang w:val="en-GB"/>
              </w:rPr>
            </w:pPr>
            <w:r w:rsidRPr="008166BF">
              <w:rPr>
                <w:i/>
                <w:sz w:val="22"/>
                <w:szCs w:val="22"/>
                <w:lang w:val="en-GB"/>
              </w:rPr>
              <w:t>Enterobacteriacea</w:t>
            </w:r>
            <w:r w:rsidR="006959C2">
              <w:rPr>
                <w:i/>
                <w:sz w:val="22"/>
                <w:szCs w:val="22"/>
                <w:lang w:val="en-GB"/>
              </w:rPr>
              <w:t xml:space="preserve">e </w:t>
            </w:r>
          </w:p>
        </w:tc>
      </w:tr>
      <w:tr w:rsidR="009F74F8" w:rsidRPr="008166BF" w14:paraId="6AAB0317" w14:textId="77777777" w:rsidTr="00B43559">
        <w:tc>
          <w:tcPr>
            <w:tcW w:w="9276" w:type="dxa"/>
          </w:tcPr>
          <w:p w14:paraId="4C22B5F3" w14:textId="77777777" w:rsidR="008B2037" w:rsidRDefault="009F74F8">
            <w:pPr>
              <w:rPr>
                <w:sz w:val="22"/>
                <w:szCs w:val="22"/>
                <w:lang w:val="en-GB"/>
              </w:rPr>
            </w:pPr>
            <w:r w:rsidRPr="008166BF">
              <w:rPr>
                <w:i/>
                <w:sz w:val="22"/>
                <w:szCs w:val="22"/>
                <w:lang w:val="en-GB"/>
              </w:rPr>
              <w:t>Pseudomonas aeruginosa</w:t>
            </w:r>
            <w:r w:rsidR="006959C2">
              <w:rPr>
                <w:i/>
                <w:sz w:val="22"/>
                <w:szCs w:val="22"/>
                <w:lang w:val="en-GB"/>
              </w:rPr>
              <w:t xml:space="preserve"> </w:t>
            </w:r>
          </w:p>
        </w:tc>
      </w:tr>
      <w:tr w:rsidR="009F74F8" w:rsidRPr="008166BF" w14:paraId="1ED78C62" w14:textId="77777777" w:rsidTr="00B43559">
        <w:tc>
          <w:tcPr>
            <w:tcW w:w="9276" w:type="dxa"/>
          </w:tcPr>
          <w:p w14:paraId="3DA28510" w14:textId="77777777" w:rsidR="009F74F8" w:rsidRPr="008166BF" w:rsidRDefault="009F74F8" w:rsidP="00B43559">
            <w:pPr>
              <w:rPr>
                <w:sz w:val="22"/>
                <w:szCs w:val="22"/>
                <w:lang w:val="en-GB"/>
              </w:rPr>
            </w:pPr>
            <w:r w:rsidRPr="008166BF">
              <w:rPr>
                <w:sz w:val="22"/>
                <w:szCs w:val="22"/>
                <w:lang w:val="en-GB"/>
              </w:rPr>
              <w:t>Anaeróbne mikroorganizmy</w:t>
            </w:r>
          </w:p>
        </w:tc>
      </w:tr>
      <w:tr w:rsidR="009F74F8" w:rsidRPr="008166BF" w14:paraId="54CBD73A" w14:textId="77777777" w:rsidTr="00B43559">
        <w:tc>
          <w:tcPr>
            <w:tcW w:w="9276" w:type="dxa"/>
          </w:tcPr>
          <w:p w14:paraId="4E314FB6" w14:textId="77777777" w:rsidR="008B2037" w:rsidRDefault="009F74F8">
            <w:pPr>
              <w:rPr>
                <w:sz w:val="22"/>
                <w:szCs w:val="22"/>
                <w:lang w:val="en-GB"/>
              </w:rPr>
            </w:pPr>
            <w:r w:rsidRPr="008166BF">
              <w:rPr>
                <w:i/>
                <w:sz w:val="22"/>
                <w:szCs w:val="22"/>
                <w:lang w:val="en-GB"/>
              </w:rPr>
              <w:t xml:space="preserve">Fusobacterium </w:t>
            </w:r>
            <w:r w:rsidR="006959C2">
              <w:rPr>
                <w:sz w:val="22"/>
                <w:szCs w:val="22"/>
                <w:lang w:val="en-GB"/>
              </w:rPr>
              <w:t>spp.</w:t>
            </w:r>
          </w:p>
        </w:tc>
      </w:tr>
      <w:tr w:rsidR="009F74F8" w:rsidRPr="008166BF" w14:paraId="2014A402" w14:textId="77777777" w:rsidTr="00B43559">
        <w:tc>
          <w:tcPr>
            <w:tcW w:w="9276" w:type="dxa"/>
          </w:tcPr>
          <w:p w14:paraId="2B0CAB4E" w14:textId="77777777" w:rsidR="009F74F8" w:rsidRPr="008166BF" w:rsidRDefault="009F74F8" w:rsidP="00B43559">
            <w:pPr>
              <w:rPr>
                <w:sz w:val="22"/>
                <w:szCs w:val="22"/>
                <w:lang w:val="en-GB"/>
              </w:rPr>
            </w:pPr>
            <w:r w:rsidRPr="008166BF">
              <w:rPr>
                <w:sz w:val="22"/>
                <w:szCs w:val="22"/>
                <w:lang w:val="en-GB"/>
              </w:rPr>
              <w:t>Iné mikroorganizmy</w:t>
            </w:r>
          </w:p>
        </w:tc>
      </w:tr>
      <w:tr w:rsidR="009F74F8" w:rsidRPr="008166BF" w14:paraId="278C0FC0" w14:textId="77777777" w:rsidTr="00B43559">
        <w:tc>
          <w:tcPr>
            <w:tcW w:w="9276" w:type="dxa"/>
            <w:tcBorders>
              <w:bottom w:val="single" w:sz="4" w:space="0" w:color="auto"/>
            </w:tcBorders>
          </w:tcPr>
          <w:p w14:paraId="52E49DF1" w14:textId="77777777" w:rsidR="008B2037" w:rsidRDefault="009F74F8">
            <w:pPr>
              <w:rPr>
                <w:i/>
                <w:sz w:val="22"/>
                <w:szCs w:val="22"/>
                <w:lang w:val="en-GB"/>
              </w:rPr>
            </w:pPr>
            <w:r w:rsidRPr="008166BF">
              <w:rPr>
                <w:i/>
                <w:sz w:val="22"/>
                <w:szCs w:val="22"/>
                <w:lang w:val="en-GB"/>
              </w:rPr>
              <w:t>Mycobacterium tuberculosis</w:t>
            </w:r>
          </w:p>
        </w:tc>
      </w:tr>
    </w:tbl>
    <w:p w14:paraId="4345137D" w14:textId="77777777" w:rsidR="009F74F8" w:rsidRPr="008166BF" w:rsidRDefault="009F74F8" w:rsidP="009206B3">
      <w:pPr>
        <w:rPr>
          <w:sz w:val="22"/>
          <w:szCs w:val="22"/>
        </w:rPr>
      </w:pPr>
    </w:p>
    <w:p w14:paraId="4C097AFA" w14:textId="77777777" w:rsidR="008B2037" w:rsidRDefault="009A51D6">
      <w:pPr>
        <w:tabs>
          <w:tab w:val="left" w:pos="284"/>
        </w:tabs>
        <w:rPr>
          <w:sz w:val="22"/>
          <w:szCs w:val="22"/>
        </w:rPr>
      </w:pPr>
      <w:r w:rsidRPr="009A51D6">
        <w:rPr>
          <w:b/>
          <w:color w:val="999999"/>
          <w:sz w:val="22"/>
          <w:szCs w:val="22"/>
          <w:vertAlign w:val="superscript"/>
        </w:rPr>
        <w:t xml:space="preserve"># </w:t>
      </w:r>
      <w:r w:rsidRPr="009A51D6">
        <w:rPr>
          <w:b/>
          <w:color w:val="999999"/>
          <w:sz w:val="22"/>
          <w:szCs w:val="22"/>
          <w:vertAlign w:val="superscript"/>
        </w:rPr>
        <w:tab/>
      </w:r>
      <w:r w:rsidR="009F74F8" w:rsidRPr="008166BF">
        <w:rPr>
          <w:sz w:val="22"/>
          <w:szCs w:val="22"/>
        </w:rPr>
        <w:t>≥ 10 % rezistencia najmenej v jednej krajine Európskej únie</w:t>
      </w:r>
    </w:p>
    <w:p w14:paraId="22BF971F" w14:textId="77777777" w:rsidR="008B2037" w:rsidRDefault="006959C2">
      <w:pPr>
        <w:tabs>
          <w:tab w:val="left" w:pos="284"/>
        </w:tabs>
        <w:rPr>
          <w:sz w:val="22"/>
          <w:szCs w:val="22"/>
        </w:rPr>
      </w:pPr>
      <w:r>
        <w:rPr>
          <w:sz w:val="22"/>
          <w:szCs w:val="22"/>
        </w:rPr>
        <w:t xml:space="preserve">* </w:t>
      </w:r>
      <w:r>
        <w:rPr>
          <w:sz w:val="22"/>
          <w:szCs w:val="22"/>
        </w:rPr>
        <w:tab/>
        <w:t>Druhy, proti ktorým bola dokázaná účinnosť počas klinických testovaní (ak sú citlivé)</w:t>
      </w:r>
    </w:p>
    <w:p w14:paraId="2B1552FC" w14:textId="77777777" w:rsidR="008B2037" w:rsidRDefault="006959C2">
      <w:pPr>
        <w:tabs>
          <w:tab w:val="left" w:pos="284"/>
        </w:tabs>
        <w:ind w:left="284" w:hanging="284"/>
        <w:rPr>
          <w:sz w:val="22"/>
          <w:szCs w:val="22"/>
        </w:rPr>
      </w:pPr>
      <w:r>
        <w:rPr>
          <w:sz w:val="22"/>
          <w:szCs w:val="22"/>
        </w:rPr>
        <w:t xml:space="preserve">+ </w:t>
      </w:r>
      <w:r>
        <w:rPr>
          <w:sz w:val="22"/>
          <w:szCs w:val="22"/>
        </w:rPr>
        <w:tab/>
        <w:t>Druhy, pri ktorých sa pozoroval vysoký stupeň rezistencie (to znamená vyšší ako 50 %) v jednej alebo viacerých oblastiach/krajinách/regióne (regiónoch) Európskej únie</w:t>
      </w:r>
    </w:p>
    <w:p w14:paraId="6C1D5567" w14:textId="77777777" w:rsidR="008B2037" w:rsidRDefault="006959C2">
      <w:pPr>
        <w:tabs>
          <w:tab w:val="left" w:pos="284"/>
        </w:tabs>
        <w:ind w:left="284" w:hanging="284"/>
        <w:rPr>
          <w:sz w:val="22"/>
          <w:szCs w:val="22"/>
        </w:rPr>
      </w:pPr>
      <w:r>
        <w:rPr>
          <w:sz w:val="22"/>
          <w:szCs w:val="22"/>
        </w:rPr>
        <w:t>§</w:t>
      </w:r>
      <w:r>
        <w:rPr>
          <w:sz w:val="22"/>
          <w:szCs w:val="22"/>
        </w:rPr>
        <w:tab/>
        <w:t xml:space="preserve"> Hraničné hodnoty citlivosti pre makrolidy a príbuzné antibiotiká sú nastavené na divoké typy </w:t>
      </w:r>
      <w:r>
        <w:rPr>
          <w:i/>
          <w:sz w:val="22"/>
          <w:szCs w:val="22"/>
        </w:rPr>
        <w:t>H. influenzae</w:t>
      </w:r>
      <w:r>
        <w:rPr>
          <w:sz w:val="22"/>
          <w:szCs w:val="22"/>
        </w:rPr>
        <w:t xml:space="preserve">. </w:t>
      </w:r>
    </w:p>
    <w:p w14:paraId="3C6231AD" w14:textId="77777777" w:rsidR="009F74F8" w:rsidRPr="008166BF" w:rsidRDefault="009F74F8" w:rsidP="009206B3">
      <w:pPr>
        <w:rPr>
          <w:sz w:val="22"/>
          <w:szCs w:val="22"/>
        </w:rPr>
      </w:pPr>
    </w:p>
    <w:p w14:paraId="1E188AFF" w14:textId="77777777" w:rsidR="009F74F8" w:rsidRPr="008166BF" w:rsidRDefault="006959C2" w:rsidP="009206B3">
      <w:pPr>
        <w:rPr>
          <w:b/>
          <w:sz w:val="22"/>
          <w:szCs w:val="22"/>
        </w:rPr>
      </w:pPr>
      <w:r>
        <w:rPr>
          <w:b/>
          <w:sz w:val="22"/>
          <w:szCs w:val="22"/>
        </w:rPr>
        <w:t>Ďalšie informácie</w:t>
      </w:r>
    </w:p>
    <w:p w14:paraId="2E99279D" w14:textId="77777777" w:rsidR="009F74F8" w:rsidRPr="008166BF" w:rsidRDefault="006959C2" w:rsidP="009206B3">
      <w:pPr>
        <w:rPr>
          <w:sz w:val="22"/>
          <w:szCs w:val="22"/>
        </w:rPr>
      </w:pPr>
      <w:r>
        <w:rPr>
          <w:sz w:val="22"/>
          <w:szCs w:val="22"/>
        </w:rPr>
        <w:t xml:space="preserve">Citlivosť a rezistencia </w:t>
      </w:r>
      <w:r>
        <w:rPr>
          <w:i/>
          <w:sz w:val="22"/>
          <w:szCs w:val="22"/>
        </w:rPr>
        <w:t>Streptococcus pneumoniae</w:t>
      </w:r>
      <w:r>
        <w:rPr>
          <w:sz w:val="22"/>
          <w:szCs w:val="22"/>
        </w:rPr>
        <w:t xml:space="preserve"> a </w:t>
      </w:r>
      <w:r>
        <w:rPr>
          <w:i/>
          <w:sz w:val="22"/>
          <w:szCs w:val="22"/>
        </w:rPr>
        <w:t xml:space="preserve">Streptococcus </w:t>
      </w:r>
      <w:r>
        <w:rPr>
          <w:sz w:val="22"/>
          <w:szCs w:val="22"/>
        </w:rPr>
        <w:t>spp. na klaritromycín sa môže určiť testovaním erytromycínu.</w:t>
      </w:r>
    </w:p>
    <w:p w14:paraId="449176BF" w14:textId="77777777" w:rsidR="009F74F8" w:rsidRPr="008166BF" w:rsidRDefault="009F74F8" w:rsidP="009206B3">
      <w:pPr>
        <w:rPr>
          <w:sz w:val="22"/>
          <w:szCs w:val="22"/>
        </w:rPr>
      </w:pPr>
    </w:p>
    <w:p w14:paraId="1B854685" w14:textId="77777777" w:rsidR="009F74F8" w:rsidRPr="008166BF" w:rsidRDefault="006959C2">
      <w:pPr>
        <w:rPr>
          <w:sz w:val="22"/>
          <w:szCs w:val="22"/>
        </w:rPr>
      </w:pPr>
      <w:r>
        <w:rPr>
          <w:sz w:val="22"/>
          <w:szCs w:val="22"/>
        </w:rPr>
        <w:t xml:space="preserve">Najdostupnejšie klinické skúsenosti z kontrolovaných randomizovaných klinických skúšaní naznačujú, že pri podávaní klaritromycínu v dávke 500 mg dvakrát denne v kombinácii s iným antibiotikom, napr. amoxicilínom alebo metronidazolom a napr. omeprazolom (podávaným v schválených dávkach) počas 7 dní sa dosiahol &gt; 80 % pomer eradikácie </w:t>
      </w:r>
      <w:r>
        <w:rPr>
          <w:i/>
          <w:sz w:val="22"/>
          <w:szCs w:val="22"/>
        </w:rPr>
        <w:t>H. pylori</w:t>
      </w:r>
      <w:r>
        <w:rPr>
          <w:sz w:val="22"/>
          <w:szCs w:val="22"/>
        </w:rPr>
        <w:t xml:space="preserve"> u pacientov s gastroduodenálnymi vredmi. Tak ako sa očakávalo, signifikantne nižšie pomery eradikácie sa pozorovali u pacientov s východiskovými izolátmi </w:t>
      </w:r>
      <w:r>
        <w:rPr>
          <w:i/>
          <w:sz w:val="22"/>
          <w:szCs w:val="22"/>
        </w:rPr>
        <w:t>H. pylori</w:t>
      </w:r>
      <w:r>
        <w:rPr>
          <w:sz w:val="22"/>
          <w:szCs w:val="22"/>
        </w:rPr>
        <w:t xml:space="preserve"> rezistentnými na metronidazol. Preto sa pri výbere vhodnej kombinovanej liečby na eradikáciu </w:t>
      </w:r>
      <w:r>
        <w:rPr>
          <w:i/>
          <w:sz w:val="22"/>
          <w:szCs w:val="22"/>
        </w:rPr>
        <w:t>H. pylori</w:t>
      </w:r>
      <w:r>
        <w:rPr>
          <w:sz w:val="22"/>
          <w:szCs w:val="22"/>
        </w:rPr>
        <w:t xml:space="preserve"> musí vziať do úvahy lokálna informácia o prevalencii rezistencie a lokálnych terapeutických nariadeniach. </w:t>
      </w:r>
    </w:p>
    <w:p w14:paraId="62EF1A94" w14:textId="77777777" w:rsidR="009F74F8" w:rsidRPr="008166BF" w:rsidRDefault="006959C2">
      <w:pPr>
        <w:rPr>
          <w:sz w:val="22"/>
          <w:szCs w:val="22"/>
        </w:rPr>
      </w:pPr>
      <w:r>
        <w:rPr>
          <w:sz w:val="22"/>
          <w:szCs w:val="22"/>
        </w:rPr>
        <w:t>Okrem toho sa u pacientov s perzistentnou infekciou, potenciálnym rozvojom sekundárnej rezistencie na antimikrobiálnu látku (u pacientov s primárne citlivými kmeňmi) musí zvážiť nová terapeutická liečebná schéma.</w:t>
      </w:r>
    </w:p>
    <w:p w14:paraId="09DB9DCC" w14:textId="77777777" w:rsidR="009F74F8" w:rsidRPr="008166BF" w:rsidRDefault="009F74F8">
      <w:pPr>
        <w:rPr>
          <w:sz w:val="22"/>
          <w:szCs w:val="22"/>
        </w:rPr>
      </w:pPr>
    </w:p>
    <w:p w14:paraId="49416284" w14:textId="77777777" w:rsidR="009F74F8" w:rsidRPr="008166BF" w:rsidRDefault="006959C2" w:rsidP="0087687C">
      <w:pPr>
        <w:numPr>
          <w:ilvl w:val="1"/>
          <w:numId w:val="19"/>
        </w:numPr>
        <w:tabs>
          <w:tab w:val="clear" w:pos="360"/>
          <w:tab w:val="num" w:pos="-720"/>
        </w:tabs>
        <w:ind w:left="540" w:hanging="540"/>
        <w:rPr>
          <w:b/>
          <w:bCs/>
          <w:sz w:val="22"/>
          <w:szCs w:val="22"/>
        </w:rPr>
      </w:pPr>
      <w:r>
        <w:rPr>
          <w:b/>
          <w:bCs/>
          <w:sz w:val="22"/>
          <w:szCs w:val="22"/>
        </w:rPr>
        <w:t>Farmakokinetické vlastnosti</w:t>
      </w:r>
    </w:p>
    <w:p w14:paraId="6C6D3FC3" w14:textId="77777777" w:rsidR="009F74F8" w:rsidRPr="008166BF" w:rsidRDefault="009F74F8" w:rsidP="008B28B0">
      <w:pPr>
        <w:rPr>
          <w:b/>
          <w:bCs/>
          <w:sz w:val="22"/>
          <w:szCs w:val="22"/>
        </w:rPr>
      </w:pPr>
    </w:p>
    <w:p w14:paraId="36340591" w14:textId="77777777" w:rsidR="009F74F8" w:rsidRPr="008166BF" w:rsidRDefault="006959C2" w:rsidP="008B28B0">
      <w:pPr>
        <w:rPr>
          <w:bCs/>
          <w:sz w:val="22"/>
          <w:szCs w:val="22"/>
          <w:u w:val="single"/>
        </w:rPr>
      </w:pPr>
      <w:r>
        <w:rPr>
          <w:bCs/>
          <w:sz w:val="22"/>
          <w:szCs w:val="22"/>
          <w:u w:val="single"/>
        </w:rPr>
        <w:t>Absorpcia</w:t>
      </w:r>
    </w:p>
    <w:p w14:paraId="04C64A8B" w14:textId="77777777" w:rsidR="00B15FB4" w:rsidRPr="008166BF" w:rsidRDefault="006959C2" w:rsidP="00F3619E">
      <w:pPr>
        <w:pStyle w:val="Zkladntext"/>
        <w:rPr>
          <w:sz w:val="22"/>
          <w:szCs w:val="22"/>
        </w:rPr>
      </w:pPr>
      <w:r>
        <w:rPr>
          <w:sz w:val="22"/>
          <w:szCs w:val="22"/>
        </w:rPr>
        <w:t xml:space="preserve">Klaritromycín sa rýchlo a dobre absorbuje z gastrointestinálneho traktu - primárne v jejúne - ale po perorálnom podaní podlieha rozsiahlemu metabolizmu prvého prechodu pečeňou. Absolútna biologická dostupnosť po podaní 250 mg tablety klaritromycínu je približne 50 %. </w:t>
      </w:r>
    </w:p>
    <w:p w14:paraId="4626792F" w14:textId="77777777" w:rsidR="00B15FB4" w:rsidRPr="008166BF" w:rsidRDefault="00B15FB4" w:rsidP="00F3619E">
      <w:pPr>
        <w:pStyle w:val="Zkladntext"/>
        <w:rPr>
          <w:sz w:val="22"/>
          <w:szCs w:val="22"/>
        </w:rPr>
      </w:pPr>
    </w:p>
    <w:p w14:paraId="4D03CCE0" w14:textId="77777777" w:rsidR="009F74F8" w:rsidRPr="008166BF" w:rsidRDefault="006959C2" w:rsidP="00F3619E">
      <w:pPr>
        <w:pStyle w:val="Zkladntext"/>
        <w:rPr>
          <w:sz w:val="22"/>
          <w:szCs w:val="22"/>
        </w:rPr>
      </w:pPr>
      <w:r>
        <w:rPr>
          <w:sz w:val="22"/>
          <w:szCs w:val="22"/>
        </w:rPr>
        <w:t>Potrava môže mierne spomaliť absorpciu, ale neovplyvňuje mieru biologickej dostupnosti. Preto sa tablety klaritromycínu môžu podávať bez ohľadu na príjem potravy. Kvôli jeho chemickej štruktúre (6-O-metylerytromycín) je klaritromycín úplne rezistentný voči degradácii žalúdočnou kyselinou. Maximálne plazmatické hladiny 1 - 2 μg/ml klaritromycνnu sa pozorovali u dospelých po perorálnom podaní 250 mg dvakrát denne. Po podaní 500 mg klaritromycínu dvakrát denne bola maximálna plazmatická hladina 2,8 μg/ml.</w:t>
      </w:r>
    </w:p>
    <w:p w14:paraId="25D78E2F" w14:textId="77777777" w:rsidR="009F74F8" w:rsidRPr="008166BF" w:rsidRDefault="009F74F8" w:rsidP="00FB28F0">
      <w:pPr>
        <w:rPr>
          <w:sz w:val="22"/>
          <w:szCs w:val="22"/>
        </w:rPr>
      </w:pPr>
    </w:p>
    <w:p w14:paraId="59766EA0" w14:textId="77777777" w:rsidR="009F74F8" w:rsidRPr="008166BF" w:rsidRDefault="006959C2" w:rsidP="00FB28F0">
      <w:pPr>
        <w:rPr>
          <w:sz w:val="22"/>
          <w:szCs w:val="22"/>
        </w:rPr>
      </w:pPr>
      <w:r>
        <w:rPr>
          <w:sz w:val="22"/>
          <w:szCs w:val="22"/>
        </w:rPr>
        <w:t xml:space="preserve">Po podaní klaritromycínu 250 mg dvakrát denne mikrobiologicky účinný 14-hydroxymetabolit dosahoval maximálne plazmatické koncentrácie 0,6 μg/ml. Rovnovážny stav sa dosiahne do 2 dní podávania. </w:t>
      </w:r>
    </w:p>
    <w:p w14:paraId="2F7EC9E4" w14:textId="77777777" w:rsidR="009F74F8" w:rsidRPr="008166BF" w:rsidRDefault="009F74F8">
      <w:pPr>
        <w:pStyle w:val="Zkladntext"/>
        <w:rPr>
          <w:sz w:val="22"/>
          <w:szCs w:val="22"/>
        </w:rPr>
      </w:pPr>
    </w:p>
    <w:p w14:paraId="2E13FA88" w14:textId="77777777" w:rsidR="009F74F8" w:rsidRPr="008166BF" w:rsidRDefault="006959C2" w:rsidP="00515A64">
      <w:pPr>
        <w:rPr>
          <w:sz w:val="22"/>
          <w:szCs w:val="22"/>
          <w:u w:val="single"/>
        </w:rPr>
      </w:pPr>
      <w:r>
        <w:rPr>
          <w:sz w:val="22"/>
          <w:szCs w:val="22"/>
          <w:u w:val="single"/>
        </w:rPr>
        <w:t>Distribúcia</w:t>
      </w:r>
    </w:p>
    <w:p w14:paraId="4F7F10EB" w14:textId="77777777" w:rsidR="009F74F8" w:rsidRPr="008166BF" w:rsidRDefault="006959C2" w:rsidP="00515A64">
      <w:pPr>
        <w:rPr>
          <w:sz w:val="22"/>
          <w:szCs w:val="22"/>
        </w:rPr>
      </w:pPr>
      <w:r>
        <w:rPr>
          <w:sz w:val="22"/>
          <w:szCs w:val="22"/>
        </w:rPr>
        <w:t xml:space="preserve">Klaritromycín dobre prestupuje do mnohých orgánov, pričom dosahuje distribučný objem 200 - 400 l. Klaritromycín dosahuje v niektorých tkanivách koncentrácie, ktoré sú niekoľkonásobne vyššie ako hladiny liečiva v obehu. Zvýšené hladiny možno pozorovať v tonziliárnom a pľúcnom tkanive. Klaritromycín tiež preniká do žalúdočnej sliznice. </w:t>
      </w:r>
    </w:p>
    <w:p w14:paraId="58B8D538" w14:textId="77777777" w:rsidR="009F74F8" w:rsidRPr="008166BF" w:rsidRDefault="009F74F8" w:rsidP="00515A64">
      <w:pPr>
        <w:rPr>
          <w:sz w:val="22"/>
          <w:szCs w:val="22"/>
        </w:rPr>
      </w:pPr>
    </w:p>
    <w:p w14:paraId="45D8BAFB" w14:textId="77777777" w:rsidR="009F74F8" w:rsidRPr="008166BF" w:rsidRDefault="006959C2" w:rsidP="00515A64">
      <w:pPr>
        <w:rPr>
          <w:sz w:val="22"/>
          <w:szCs w:val="22"/>
        </w:rPr>
      </w:pPr>
      <w:r>
        <w:rPr>
          <w:sz w:val="22"/>
          <w:szCs w:val="22"/>
        </w:rPr>
        <w:t>Klaritromycín sa pri terapeutických dávkach približne zo 70 % viaže na plazmatické proteíny.</w:t>
      </w:r>
    </w:p>
    <w:p w14:paraId="268A0FC5" w14:textId="77777777" w:rsidR="009F74F8" w:rsidRPr="008166BF" w:rsidRDefault="009F74F8" w:rsidP="00515A64">
      <w:pPr>
        <w:rPr>
          <w:sz w:val="22"/>
          <w:szCs w:val="22"/>
        </w:rPr>
      </w:pPr>
    </w:p>
    <w:p w14:paraId="198BB137" w14:textId="77777777" w:rsidR="009F74F8" w:rsidRPr="008166BF" w:rsidRDefault="006959C2" w:rsidP="00515A64">
      <w:pPr>
        <w:rPr>
          <w:sz w:val="22"/>
          <w:szCs w:val="22"/>
          <w:u w:val="single"/>
        </w:rPr>
      </w:pPr>
      <w:r>
        <w:rPr>
          <w:sz w:val="22"/>
          <w:szCs w:val="22"/>
          <w:u w:val="single"/>
        </w:rPr>
        <w:t>Biotransformácia a eliminácia</w:t>
      </w:r>
    </w:p>
    <w:p w14:paraId="1F1A4ABF" w14:textId="77777777" w:rsidR="009F74F8" w:rsidRPr="008166BF" w:rsidRDefault="006959C2" w:rsidP="00515A64">
      <w:pPr>
        <w:rPr>
          <w:sz w:val="22"/>
          <w:szCs w:val="22"/>
        </w:rPr>
      </w:pPr>
      <w:r>
        <w:rPr>
          <w:sz w:val="22"/>
          <w:szCs w:val="22"/>
        </w:rPr>
        <w:t>Klaritromycín sa rýchlo a extenzívne metabolizuje v pečeni. Metabolizmus v pečeni zahŕňa systém cytochrómu P450. Sú popísane tri metabolity: N-demetylklaritromycín, dekladinozylklaritromycín a 14-hydroxyklaritromycín.</w:t>
      </w:r>
    </w:p>
    <w:p w14:paraId="4EB24AF7" w14:textId="77777777" w:rsidR="009F74F8" w:rsidRPr="008166BF" w:rsidRDefault="009F74F8" w:rsidP="00515A64">
      <w:pPr>
        <w:rPr>
          <w:sz w:val="22"/>
          <w:szCs w:val="22"/>
        </w:rPr>
      </w:pPr>
    </w:p>
    <w:p w14:paraId="28F2CDCF" w14:textId="77777777" w:rsidR="009F74F8" w:rsidRPr="008166BF" w:rsidRDefault="006959C2" w:rsidP="00515A64">
      <w:pPr>
        <w:rPr>
          <w:sz w:val="22"/>
          <w:szCs w:val="22"/>
        </w:rPr>
      </w:pPr>
      <w:r>
        <w:rPr>
          <w:sz w:val="22"/>
          <w:szCs w:val="22"/>
        </w:rPr>
        <w:t>Farmakokinetika klaritromycínu je nelineárna z dôvodu saturácie pečeňového cytochrómu P450 pri vysokých dávkach. Eliminačný polčas sa zvyšuje z 2 - 4 hodín po podaní 250 mg klaritromycínu dvakrát denne na 5 hodín po podaní 500 mg klaritromycínu dvakrát denne. Polčas aktívneho 14-hydroxymetabolitu je v rozmedzí 5 - 6 hodín po podaní 250 mg klaritromycínu dvakrát denne.</w:t>
      </w:r>
    </w:p>
    <w:p w14:paraId="05CE3D25" w14:textId="77777777" w:rsidR="009F74F8" w:rsidRPr="008166BF" w:rsidRDefault="009F74F8" w:rsidP="00515A64">
      <w:pPr>
        <w:rPr>
          <w:sz w:val="22"/>
          <w:szCs w:val="22"/>
        </w:rPr>
      </w:pPr>
    </w:p>
    <w:p w14:paraId="540C57BB" w14:textId="77777777" w:rsidR="009F74F8" w:rsidRPr="008166BF" w:rsidRDefault="006959C2" w:rsidP="00515A64">
      <w:pPr>
        <w:rPr>
          <w:sz w:val="22"/>
          <w:szCs w:val="22"/>
        </w:rPr>
      </w:pPr>
      <w:r>
        <w:rPr>
          <w:sz w:val="22"/>
          <w:szCs w:val="22"/>
        </w:rPr>
        <w:t xml:space="preserve">Približne 20 - 40 % klaritromycínu sa vylúči v nezmenej forme močom. Tento podiel narastá so zvyšovaním dávky. Okrem toho, 10 - 15 % sa vylúči močom vo forme 14-hydroxymetabolitu. Zvyšok sa vylúči stolicou. Pri insuficiencii obličiek sú plazmatické hladiny klaritromycínu zvýšené, ak sa dávka nezníži. </w:t>
      </w:r>
    </w:p>
    <w:p w14:paraId="788E8FF9" w14:textId="77777777" w:rsidR="009F74F8" w:rsidRPr="008166BF" w:rsidRDefault="006959C2" w:rsidP="00515A64">
      <w:pPr>
        <w:rPr>
          <w:sz w:val="22"/>
          <w:szCs w:val="22"/>
        </w:rPr>
      </w:pPr>
      <w:r>
        <w:rPr>
          <w:sz w:val="22"/>
          <w:szCs w:val="22"/>
        </w:rPr>
        <w:t>Celkový plazmatický klírens je približne 700 ml/min (11,7 ml/s) s renálnym klírensom približne 170 ml/min (2,8 ml/s).</w:t>
      </w:r>
    </w:p>
    <w:p w14:paraId="10364B01" w14:textId="77777777" w:rsidR="009F74F8" w:rsidRPr="008166BF" w:rsidRDefault="009F74F8" w:rsidP="00515A64">
      <w:pPr>
        <w:rPr>
          <w:sz w:val="22"/>
          <w:szCs w:val="22"/>
        </w:rPr>
      </w:pPr>
    </w:p>
    <w:p w14:paraId="0DE82F79" w14:textId="77777777" w:rsidR="009F74F8" w:rsidRPr="008166BF" w:rsidRDefault="006959C2" w:rsidP="00515A64">
      <w:pPr>
        <w:tabs>
          <w:tab w:val="left" w:pos="2127"/>
        </w:tabs>
        <w:rPr>
          <w:sz w:val="22"/>
          <w:szCs w:val="22"/>
          <w:u w:val="single"/>
        </w:rPr>
      </w:pPr>
      <w:r>
        <w:rPr>
          <w:sz w:val="22"/>
          <w:szCs w:val="22"/>
          <w:u w:val="single"/>
        </w:rPr>
        <w:t>Osobitné skupiny pacientov</w:t>
      </w:r>
    </w:p>
    <w:p w14:paraId="1F71DAB9" w14:textId="77777777" w:rsidR="009F74F8" w:rsidRPr="008166BF" w:rsidRDefault="006959C2" w:rsidP="00515A64">
      <w:pPr>
        <w:rPr>
          <w:sz w:val="22"/>
          <w:szCs w:val="22"/>
          <w:highlight w:val="yellow"/>
        </w:rPr>
      </w:pPr>
      <w:r>
        <w:rPr>
          <w:sz w:val="22"/>
          <w:szCs w:val="22"/>
        </w:rPr>
        <w:t>Poškodenie obličiek: znížená funkcia obličiek pri renálnej insuficiencii spôsobuje zvýšené plazmatické hladiny klaritromycínu a jeho aktívneho metabolitu.</w:t>
      </w:r>
    </w:p>
    <w:p w14:paraId="6DE0B3A9" w14:textId="77777777" w:rsidR="009F74F8" w:rsidRPr="008166BF" w:rsidRDefault="009F74F8">
      <w:pPr>
        <w:pStyle w:val="Zkladntext"/>
        <w:rPr>
          <w:sz w:val="22"/>
          <w:szCs w:val="22"/>
        </w:rPr>
      </w:pPr>
    </w:p>
    <w:p w14:paraId="60594D08" w14:textId="77777777" w:rsidR="009F74F8" w:rsidRPr="008166BF" w:rsidRDefault="006959C2" w:rsidP="0087687C">
      <w:pPr>
        <w:numPr>
          <w:ilvl w:val="1"/>
          <w:numId w:val="18"/>
        </w:numPr>
        <w:tabs>
          <w:tab w:val="clear" w:pos="360"/>
          <w:tab w:val="num" w:pos="-1080"/>
        </w:tabs>
        <w:ind w:left="540" w:hanging="540"/>
        <w:rPr>
          <w:b/>
          <w:bCs/>
          <w:sz w:val="22"/>
          <w:szCs w:val="22"/>
        </w:rPr>
      </w:pPr>
      <w:r>
        <w:rPr>
          <w:b/>
          <w:bCs/>
          <w:sz w:val="22"/>
          <w:szCs w:val="22"/>
        </w:rPr>
        <w:t>Predklinické údaje o bezpečnosti</w:t>
      </w:r>
    </w:p>
    <w:p w14:paraId="5CED28CF" w14:textId="77777777" w:rsidR="009F74F8" w:rsidRPr="008166BF" w:rsidRDefault="009F74F8" w:rsidP="008B28B0">
      <w:pPr>
        <w:rPr>
          <w:b/>
          <w:bCs/>
          <w:sz w:val="22"/>
          <w:szCs w:val="22"/>
        </w:rPr>
      </w:pPr>
    </w:p>
    <w:p w14:paraId="1143858A" w14:textId="77777777" w:rsidR="009F74F8" w:rsidRPr="008166BF" w:rsidRDefault="006959C2" w:rsidP="00C56FEA">
      <w:pPr>
        <w:rPr>
          <w:sz w:val="22"/>
          <w:szCs w:val="22"/>
        </w:rPr>
      </w:pPr>
      <w:r>
        <w:rPr>
          <w:sz w:val="22"/>
          <w:szCs w:val="22"/>
        </w:rPr>
        <w:t xml:space="preserve">V 4-týždňových štúdiách na zvieratách sa zistilo, že toxicita klaritromycínu závisí od dávky a dĺžky liečby. U všetkých druhov zvierat sa prvé znaky toxicity pozorovali v pečeni, kde sa po 14 dňoch u psov a opíc pozorovali lézie. Systémové hladiny liečiva, ktoré viedli k tejto toxicite nie sú detailne známe, ale toxické dávky (300 mg/kg/deň) boli zreteľne vyššie ako sú odporúčané terapeutické dávky pre ľudí. Ďalšie postihnuté tkanivá sa týkajú žalúdka, stítnej žľazy a iných lymfoidných tkanív, ako aj </w:t>
      </w:r>
      <w:r>
        <w:rPr>
          <w:sz w:val="22"/>
          <w:szCs w:val="22"/>
        </w:rPr>
        <w:lastRenderedPageBreak/>
        <w:t>obličiek. Pri podobných terapeutických dávkach sa začervenanie spojiviek a slzenie objavili len u psov. Pri dávke 400 mg/kg/deň sa u niektorých psov a opíc vyskytol zákal rohovky a/alebo edém.</w:t>
      </w:r>
    </w:p>
    <w:p w14:paraId="6666A7AB" w14:textId="77777777" w:rsidR="009F74F8" w:rsidRPr="008166BF" w:rsidRDefault="009F74F8" w:rsidP="00C56FEA">
      <w:pPr>
        <w:rPr>
          <w:i/>
          <w:sz w:val="22"/>
          <w:szCs w:val="22"/>
        </w:rPr>
      </w:pPr>
    </w:p>
    <w:p w14:paraId="0B3B2F3B" w14:textId="77777777" w:rsidR="009F74F8" w:rsidRPr="008166BF" w:rsidRDefault="006959C2" w:rsidP="00C56FEA">
      <w:pPr>
        <w:rPr>
          <w:sz w:val="22"/>
          <w:szCs w:val="22"/>
        </w:rPr>
      </w:pPr>
      <w:r>
        <w:rPr>
          <w:i/>
          <w:sz w:val="22"/>
          <w:szCs w:val="22"/>
        </w:rPr>
        <w:t>In vitro</w:t>
      </w:r>
      <w:r>
        <w:rPr>
          <w:sz w:val="22"/>
          <w:szCs w:val="22"/>
        </w:rPr>
        <w:t xml:space="preserve"> a </w:t>
      </w:r>
      <w:r>
        <w:rPr>
          <w:i/>
          <w:sz w:val="22"/>
          <w:szCs w:val="22"/>
        </w:rPr>
        <w:t>in vivo</w:t>
      </w:r>
      <w:r>
        <w:rPr>
          <w:sz w:val="22"/>
          <w:szCs w:val="22"/>
        </w:rPr>
        <w:t xml:space="preserve"> štúdie nepreukázali genotoxický potenciál klaritromycínu.</w:t>
      </w:r>
    </w:p>
    <w:p w14:paraId="788F9151" w14:textId="77777777" w:rsidR="00141EF5" w:rsidRPr="008166BF" w:rsidRDefault="00141EF5" w:rsidP="00C56FEA">
      <w:pPr>
        <w:rPr>
          <w:sz w:val="22"/>
          <w:szCs w:val="22"/>
        </w:rPr>
      </w:pPr>
    </w:p>
    <w:p w14:paraId="36C6DB0B" w14:textId="77777777" w:rsidR="00141EF5" w:rsidRPr="008166BF" w:rsidRDefault="006959C2" w:rsidP="00C56FEA">
      <w:pPr>
        <w:rPr>
          <w:sz w:val="22"/>
          <w:szCs w:val="22"/>
        </w:rPr>
      </w:pPr>
      <w:r>
        <w:rPr>
          <w:sz w:val="22"/>
          <w:szCs w:val="22"/>
        </w:rPr>
        <w:t xml:space="preserve">V </w:t>
      </w:r>
      <w:r>
        <w:rPr>
          <w:i/>
          <w:sz w:val="22"/>
          <w:szCs w:val="22"/>
        </w:rPr>
        <w:t>in vitro</w:t>
      </w:r>
      <w:r>
        <w:rPr>
          <w:sz w:val="22"/>
          <w:szCs w:val="22"/>
        </w:rPr>
        <w:t xml:space="preserve"> a </w:t>
      </w:r>
      <w:r>
        <w:rPr>
          <w:i/>
          <w:sz w:val="22"/>
          <w:szCs w:val="22"/>
        </w:rPr>
        <w:t>in vivo</w:t>
      </w:r>
      <w:r>
        <w:rPr>
          <w:sz w:val="22"/>
          <w:szCs w:val="22"/>
        </w:rPr>
        <w:t xml:space="preserve"> štúdiách s klaritromycínom sa nezistili mutagénne účinky.</w:t>
      </w:r>
    </w:p>
    <w:p w14:paraId="05CE1056" w14:textId="77777777" w:rsidR="009F74F8" w:rsidRPr="008166BF" w:rsidRDefault="009F74F8" w:rsidP="00C56FEA">
      <w:pPr>
        <w:rPr>
          <w:sz w:val="22"/>
          <w:szCs w:val="22"/>
        </w:rPr>
      </w:pPr>
    </w:p>
    <w:p w14:paraId="4D5576D4" w14:textId="77777777" w:rsidR="009F74F8" w:rsidRPr="008166BF" w:rsidRDefault="006959C2" w:rsidP="00C56FEA">
      <w:pPr>
        <w:rPr>
          <w:sz w:val="22"/>
          <w:szCs w:val="22"/>
        </w:rPr>
      </w:pPr>
      <w:r>
        <w:rPr>
          <w:sz w:val="22"/>
          <w:szCs w:val="22"/>
        </w:rPr>
        <w:t xml:space="preserve">Štúdie reprodukčnej toxicity ukázali, že podávanie klaritromycínu v 2-násobných </w:t>
      </w:r>
    </w:p>
    <w:p w14:paraId="62BC76B5" w14:textId="77777777" w:rsidR="009F74F8" w:rsidRPr="008166BF" w:rsidRDefault="006959C2" w:rsidP="00C56FEA">
      <w:pPr>
        <w:rPr>
          <w:sz w:val="22"/>
          <w:szCs w:val="22"/>
        </w:rPr>
      </w:pPr>
      <w:r>
        <w:rPr>
          <w:sz w:val="22"/>
          <w:szCs w:val="22"/>
        </w:rPr>
        <w:t xml:space="preserve">klinických dávkach králikom (i.v.) a 10-násobných klinických dávkach opiciam (p.o.) spôsobilo </w:t>
      </w:r>
    </w:p>
    <w:p w14:paraId="7322F9D5" w14:textId="77777777" w:rsidR="009F74F8" w:rsidRPr="008166BF" w:rsidRDefault="006959C2" w:rsidP="00C56FEA">
      <w:pPr>
        <w:rPr>
          <w:sz w:val="22"/>
          <w:szCs w:val="22"/>
        </w:rPr>
      </w:pPr>
      <w:r>
        <w:rPr>
          <w:sz w:val="22"/>
          <w:szCs w:val="22"/>
        </w:rPr>
        <w:t xml:space="preserve">zvýšený výskyt spontánnych potratov. Tieto dávky súviseli s toxicitou pre matku. Žiadne </w:t>
      </w:r>
    </w:p>
    <w:p w14:paraId="1FD758CA" w14:textId="77777777" w:rsidR="009F74F8" w:rsidRPr="008166BF" w:rsidRDefault="006959C2" w:rsidP="00C56FEA">
      <w:pPr>
        <w:rPr>
          <w:sz w:val="22"/>
          <w:szCs w:val="22"/>
        </w:rPr>
      </w:pPr>
      <w:r>
        <w:rPr>
          <w:sz w:val="22"/>
          <w:szCs w:val="22"/>
        </w:rPr>
        <w:t>embryotoxické ani teratogénne účinky sa vo všeobecnosti nezistili v štúdiách na potkanoch. Kardiovaskulárne malformácie sa však pozorovali v dvoch štúdiách na potkanoch liečených dávkami 150 mg/kg/deň. U myší pri 70-násobných klinických dávkach sa vyskytol rázštep podnebia s rôznou incidenciou (3 - 30 %).</w:t>
      </w:r>
    </w:p>
    <w:p w14:paraId="23761354" w14:textId="77777777" w:rsidR="009F74F8" w:rsidRPr="008166BF" w:rsidRDefault="009F74F8" w:rsidP="00C56FEA">
      <w:pPr>
        <w:rPr>
          <w:sz w:val="22"/>
          <w:szCs w:val="22"/>
        </w:rPr>
      </w:pPr>
    </w:p>
    <w:p w14:paraId="03D03E1C" w14:textId="77777777" w:rsidR="009F74F8" w:rsidRPr="008166BF" w:rsidRDefault="006959C2" w:rsidP="00C56FEA">
      <w:pPr>
        <w:rPr>
          <w:sz w:val="22"/>
          <w:szCs w:val="22"/>
        </w:rPr>
      </w:pPr>
      <w:r>
        <w:rPr>
          <w:sz w:val="22"/>
          <w:szCs w:val="22"/>
        </w:rPr>
        <w:t>Klaritromycín bol dokázaný v mlieku dojčiacich zvierat.</w:t>
      </w:r>
    </w:p>
    <w:p w14:paraId="66EB5B50" w14:textId="77777777" w:rsidR="009F74F8" w:rsidRPr="008166BF" w:rsidRDefault="009F74F8" w:rsidP="00C56FEA">
      <w:pPr>
        <w:rPr>
          <w:sz w:val="22"/>
          <w:szCs w:val="22"/>
        </w:rPr>
      </w:pPr>
    </w:p>
    <w:p w14:paraId="6E1AED2B" w14:textId="77777777" w:rsidR="009F74F8" w:rsidRPr="008166BF" w:rsidRDefault="006959C2" w:rsidP="00C56FEA">
      <w:pPr>
        <w:rPr>
          <w:sz w:val="22"/>
          <w:szCs w:val="22"/>
        </w:rPr>
      </w:pPr>
      <w:r>
        <w:rPr>
          <w:sz w:val="22"/>
          <w:szCs w:val="22"/>
        </w:rPr>
        <w:t>U trojdňových myší a potkanov hodnoty LD</w:t>
      </w:r>
      <w:r>
        <w:rPr>
          <w:sz w:val="22"/>
          <w:szCs w:val="22"/>
          <w:vertAlign w:val="subscript"/>
        </w:rPr>
        <w:t xml:space="preserve">50 </w:t>
      </w:r>
      <w:r>
        <w:rPr>
          <w:sz w:val="22"/>
          <w:szCs w:val="22"/>
        </w:rPr>
        <w:t>dosiahli približne polovicu hodnôt u dospelých zvierat. U mláďat sa prejavil podobný profil toxicity ako u dospelých zvierat, hoci v niektorých štúdiách bola hlásená zvýšená nefrotoxicita u novorodencov potkanov. U mláďat sa tiež zistilo mierne zníženie počtu erytrocytov, krvných doštičiek a leukocytov.</w:t>
      </w:r>
    </w:p>
    <w:p w14:paraId="1A09740C" w14:textId="77777777" w:rsidR="009F74F8" w:rsidRPr="008166BF" w:rsidRDefault="009F74F8" w:rsidP="00C56FEA">
      <w:pPr>
        <w:rPr>
          <w:sz w:val="22"/>
          <w:szCs w:val="22"/>
        </w:rPr>
      </w:pPr>
    </w:p>
    <w:p w14:paraId="77B5B9B6" w14:textId="77777777" w:rsidR="009F74F8" w:rsidRPr="008166BF" w:rsidRDefault="006959C2" w:rsidP="00C56FEA">
      <w:pPr>
        <w:rPr>
          <w:sz w:val="22"/>
          <w:szCs w:val="22"/>
        </w:rPr>
      </w:pPr>
      <w:r>
        <w:rPr>
          <w:sz w:val="22"/>
          <w:szCs w:val="22"/>
        </w:rPr>
        <w:t xml:space="preserve">Karcinogenita klaritromycínu sa nehodnotila. </w:t>
      </w:r>
    </w:p>
    <w:p w14:paraId="11A274A7" w14:textId="77777777" w:rsidR="009F74F8" w:rsidRPr="008166BF" w:rsidRDefault="009F74F8">
      <w:pPr>
        <w:rPr>
          <w:sz w:val="22"/>
          <w:szCs w:val="22"/>
        </w:rPr>
      </w:pPr>
    </w:p>
    <w:p w14:paraId="2061F61F" w14:textId="77777777" w:rsidR="009F74F8" w:rsidRPr="008166BF" w:rsidRDefault="009F74F8">
      <w:pPr>
        <w:rPr>
          <w:sz w:val="22"/>
          <w:szCs w:val="22"/>
        </w:rPr>
      </w:pPr>
    </w:p>
    <w:p w14:paraId="692BD9BA" w14:textId="77777777" w:rsidR="009F74F8" w:rsidRPr="008166BF" w:rsidRDefault="006959C2" w:rsidP="00575219">
      <w:pPr>
        <w:numPr>
          <w:ilvl w:val="0"/>
          <w:numId w:val="7"/>
        </w:numPr>
        <w:tabs>
          <w:tab w:val="clear" w:pos="360"/>
        </w:tabs>
        <w:ind w:left="540" w:hanging="540"/>
        <w:rPr>
          <w:b/>
          <w:bCs/>
          <w:sz w:val="22"/>
          <w:szCs w:val="22"/>
        </w:rPr>
      </w:pPr>
      <w:r>
        <w:rPr>
          <w:b/>
          <w:bCs/>
          <w:sz w:val="22"/>
          <w:szCs w:val="22"/>
        </w:rPr>
        <w:t>FARMACEUTICKÉ  INFORMÁCIE</w:t>
      </w:r>
    </w:p>
    <w:p w14:paraId="524CA5F0" w14:textId="77777777" w:rsidR="009F74F8" w:rsidRPr="008166BF" w:rsidRDefault="009F74F8" w:rsidP="008B28B0">
      <w:pPr>
        <w:rPr>
          <w:b/>
          <w:bCs/>
          <w:sz w:val="22"/>
          <w:szCs w:val="22"/>
        </w:rPr>
      </w:pPr>
    </w:p>
    <w:p w14:paraId="6186BB35" w14:textId="77777777" w:rsidR="009F74F8" w:rsidRPr="008166BF" w:rsidRDefault="006959C2" w:rsidP="000A1518">
      <w:pPr>
        <w:numPr>
          <w:ilvl w:val="1"/>
          <w:numId w:val="17"/>
        </w:numPr>
        <w:tabs>
          <w:tab w:val="clear" w:pos="360"/>
          <w:tab w:val="num" w:pos="-540"/>
        </w:tabs>
        <w:ind w:left="540" w:hanging="540"/>
        <w:rPr>
          <w:b/>
          <w:bCs/>
          <w:sz w:val="22"/>
          <w:szCs w:val="22"/>
        </w:rPr>
      </w:pPr>
      <w:r>
        <w:rPr>
          <w:b/>
          <w:bCs/>
          <w:sz w:val="22"/>
          <w:szCs w:val="22"/>
        </w:rPr>
        <w:t xml:space="preserve"> Zoznam pomocných látok</w:t>
      </w:r>
    </w:p>
    <w:p w14:paraId="08C8C3FD" w14:textId="77777777" w:rsidR="009F74F8" w:rsidRPr="008166BF" w:rsidRDefault="009F74F8">
      <w:pPr>
        <w:rPr>
          <w:sz w:val="22"/>
          <w:szCs w:val="22"/>
        </w:rPr>
      </w:pPr>
    </w:p>
    <w:p w14:paraId="19136B53" w14:textId="77777777" w:rsidR="009F74F8" w:rsidRPr="008166BF" w:rsidRDefault="006959C2" w:rsidP="00FB6150">
      <w:pPr>
        <w:rPr>
          <w:sz w:val="22"/>
          <w:szCs w:val="22"/>
        </w:rPr>
      </w:pPr>
      <w:r>
        <w:rPr>
          <w:sz w:val="22"/>
          <w:szCs w:val="22"/>
        </w:rPr>
        <w:t>hydroxypropylmetylcelulóza</w:t>
      </w:r>
    </w:p>
    <w:p w14:paraId="1908FB4A" w14:textId="77777777" w:rsidR="009F74F8" w:rsidRPr="008166BF" w:rsidRDefault="006959C2" w:rsidP="00FB6150">
      <w:pPr>
        <w:rPr>
          <w:sz w:val="22"/>
          <w:szCs w:val="22"/>
        </w:rPr>
      </w:pPr>
      <w:r>
        <w:rPr>
          <w:sz w:val="22"/>
          <w:szCs w:val="22"/>
        </w:rPr>
        <w:t>glyceroltribehenát</w:t>
      </w:r>
    </w:p>
    <w:p w14:paraId="089CF8D6" w14:textId="77777777" w:rsidR="009F74F8" w:rsidRPr="008166BF" w:rsidRDefault="006959C2" w:rsidP="00FB6150">
      <w:pPr>
        <w:rPr>
          <w:sz w:val="22"/>
          <w:szCs w:val="22"/>
        </w:rPr>
      </w:pPr>
      <w:r>
        <w:rPr>
          <w:sz w:val="22"/>
          <w:szCs w:val="22"/>
        </w:rPr>
        <w:t>povidón</w:t>
      </w:r>
    </w:p>
    <w:p w14:paraId="0902F101" w14:textId="77777777" w:rsidR="009F74F8" w:rsidRPr="008166BF" w:rsidRDefault="006959C2" w:rsidP="00FB6150">
      <w:pPr>
        <w:rPr>
          <w:sz w:val="22"/>
          <w:szCs w:val="22"/>
        </w:rPr>
      </w:pPr>
      <w:r>
        <w:rPr>
          <w:sz w:val="22"/>
          <w:szCs w:val="22"/>
        </w:rPr>
        <w:t>mikrokryštalická celulóza</w:t>
      </w:r>
    </w:p>
    <w:p w14:paraId="50E45CDF" w14:textId="77777777" w:rsidR="009F74F8" w:rsidRPr="008166BF" w:rsidRDefault="006959C2" w:rsidP="00FB6150">
      <w:pPr>
        <w:rPr>
          <w:sz w:val="22"/>
          <w:szCs w:val="22"/>
        </w:rPr>
      </w:pPr>
      <w:r>
        <w:rPr>
          <w:sz w:val="22"/>
          <w:szCs w:val="22"/>
        </w:rPr>
        <w:t>kyselina stearová</w:t>
      </w:r>
    </w:p>
    <w:p w14:paraId="63CBC8FA" w14:textId="77777777" w:rsidR="009F74F8" w:rsidRPr="008166BF" w:rsidRDefault="006959C2" w:rsidP="00FB6150">
      <w:pPr>
        <w:rPr>
          <w:sz w:val="22"/>
          <w:szCs w:val="22"/>
        </w:rPr>
      </w:pPr>
      <w:r>
        <w:rPr>
          <w:sz w:val="22"/>
          <w:szCs w:val="22"/>
        </w:rPr>
        <w:t>koloidný oxid kremičitý</w:t>
      </w:r>
    </w:p>
    <w:p w14:paraId="1BEA033A" w14:textId="77777777" w:rsidR="009F74F8" w:rsidRPr="008166BF" w:rsidRDefault="006959C2" w:rsidP="00FB6150">
      <w:pPr>
        <w:rPr>
          <w:sz w:val="22"/>
          <w:szCs w:val="22"/>
        </w:rPr>
      </w:pPr>
      <w:r>
        <w:rPr>
          <w:sz w:val="22"/>
          <w:szCs w:val="22"/>
        </w:rPr>
        <w:t>stearan vápenatý</w:t>
      </w:r>
    </w:p>
    <w:p w14:paraId="7B8A8AD4" w14:textId="77777777" w:rsidR="009F74F8" w:rsidRPr="008166BF" w:rsidRDefault="006959C2" w:rsidP="00FB6150">
      <w:pPr>
        <w:rPr>
          <w:sz w:val="22"/>
          <w:szCs w:val="22"/>
        </w:rPr>
      </w:pPr>
      <w:r>
        <w:rPr>
          <w:sz w:val="22"/>
          <w:szCs w:val="22"/>
        </w:rPr>
        <w:t>mastenec</w:t>
      </w:r>
    </w:p>
    <w:p w14:paraId="0CFCE127" w14:textId="77777777" w:rsidR="009F74F8" w:rsidRPr="008166BF" w:rsidRDefault="006959C2" w:rsidP="00FB6150">
      <w:pPr>
        <w:rPr>
          <w:sz w:val="22"/>
          <w:szCs w:val="22"/>
        </w:rPr>
      </w:pPr>
      <w:r>
        <w:rPr>
          <w:sz w:val="22"/>
          <w:szCs w:val="22"/>
        </w:rPr>
        <w:t>polysorbát 80</w:t>
      </w:r>
    </w:p>
    <w:p w14:paraId="5C564BA4" w14:textId="77777777" w:rsidR="009F74F8" w:rsidRPr="008166BF" w:rsidRDefault="006959C2" w:rsidP="00FB6150">
      <w:pPr>
        <w:rPr>
          <w:sz w:val="22"/>
          <w:szCs w:val="22"/>
        </w:rPr>
      </w:pPr>
      <w:r>
        <w:rPr>
          <w:sz w:val="22"/>
          <w:szCs w:val="22"/>
        </w:rPr>
        <w:t>hydroxypropylcelulóza</w:t>
      </w:r>
    </w:p>
    <w:p w14:paraId="75A0AE70" w14:textId="77777777" w:rsidR="009F74F8" w:rsidRPr="008166BF" w:rsidRDefault="006959C2" w:rsidP="00FB6150">
      <w:pPr>
        <w:rPr>
          <w:sz w:val="22"/>
          <w:szCs w:val="22"/>
        </w:rPr>
      </w:pPr>
      <w:r>
        <w:rPr>
          <w:sz w:val="22"/>
          <w:szCs w:val="22"/>
        </w:rPr>
        <w:t>makrogol 400</w:t>
      </w:r>
    </w:p>
    <w:p w14:paraId="3050F30D" w14:textId="77777777" w:rsidR="009F74F8" w:rsidRPr="008166BF" w:rsidRDefault="006959C2" w:rsidP="00FB6150">
      <w:pPr>
        <w:rPr>
          <w:sz w:val="22"/>
          <w:szCs w:val="22"/>
        </w:rPr>
      </w:pPr>
      <w:r>
        <w:rPr>
          <w:sz w:val="22"/>
          <w:szCs w:val="22"/>
        </w:rPr>
        <w:t>žltý oxid železitý E 172</w:t>
      </w:r>
    </w:p>
    <w:p w14:paraId="2C891703" w14:textId="77777777" w:rsidR="009F74F8" w:rsidRPr="008166BF" w:rsidRDefault="006959C2" w:rsidP="00FB6150">
      <w:pPr>
        <w:rPr>
          <w:sz w:val="22"/>
          <w:szCs w:val="22"/>
        </w:rPr>
      </w:pPr>
      <w:r>
        <w:rPr>
          <w:sz w:val="22"/>
          <w:szCs w:val="22"/>
        </w:rPr>
        <w:t>oxid titaničitý E 171</w:t>
      </w:r>
    </w:p>
    <w:p w14:paraId="2244870A" w14:textId="77777777" w:rsidR="009F74F8" w:rsidRPr="008166BF" w:rsidRDefault="006959C2" w:rsidP="00FB6150">
      <w:pPr>
        <w:rPr>
          <w:sz w:val="22"/>
          <w:szCs w:val="22"/>
        </w:rPr>
      </w:pPr>
      <w:r>
        <w:rPr>
          <w:sz w:val="22"/>
          <w:szCs w:val="22"/>
        </w:rPr>
        <w:t xml:space="preserve">vanilková aróma </w:t>
      </w:r>
    </w:p>
    <w:p w14:paraId="39FD3FE8" w14:textId="77777777" w:rsidR="009F74F8" w:rsidRPr="008166BF" w:rsidRDefault="009F74F8">
      <w:pPr>
        <w:rPr>
          <w:sz w:val="22"/>
          <w:szCs w:val="22"/>
        </w:rPr>
      </w:pPr>
    </w:p>
    <w:p w14:paraId="438986BD" w14:textId="77777777" w:rsidR="009F74F8" w:rsidRPr="008166BF" w:rsidRDefault="006959C2" w:rsidP="000A1518">
      <w:pPr>
        <w:numPr>
          <w:ilvl w:val="1"/>
          <w:numId w:val="16"/>
        </w:numPr>
        <w:tabs>
          <w:tab w:val="clear" w:pos="360"/>
          <w:tab w:val="num" w:pos="-360"/>
        </w:tabs>
        <w:ind w:left="540" w:hanging="540"/>
        <w:rPr>
          <w:b/>
          <w:bCs/>
          <w:sz w:val="22"/>
          <w:szCs w:val="22"/>
        </w:rPr>
      </w:pPr>
      <w:r>
        <w:rPr>
          <w:b/>
          <w:bCs/>
          <w:sz w:val="22"/>
          <w:szCs w:val="22"/>
        </w:rPr>
        <w:t>Inkompatibility</w:t>
      </w:r>
    </w:p>
    <w:p w14:paraId="0E02EA3D" w14:textId="77777777" w:rsidR="009F74F8" w:rsidRPr="008166BF" w:rsidRDefault="009F74F8" w:rsidP="008B28B0">
      <w:pPr>
        <w:rPr>
          <w:b/>
          <w:bCs/>
          <w:sz w:val="22"/>
          <w:szCs w:val="22"/>
        </w:rPr>
      </w:pPr>
    </w:p>
    <w:p w14:paraId="20E0D704" w14:textId="77777777" w:rsidR="009F74F8" w:rsidRPr="008166BF" w:rsidRDefault="006959C2">
      <w:pPr>
        <w:rPr>
          <w:sz w:val="22"/>
          <w:szCs w:val="22"/>
        </w:rPr>
      </w:pPr>
      <w:r>
        <w:rPr>
          <w:sz w:val="22"/>
          <w:szCs w:val="22"/>
        </w:rPr>
        <w:t>Nie sú známe.</w:t>
      </w:r>
    </w:p>
    <w:p w14:paraId="6CA57869" w14:textId="77777777" w:rsidR="009F74F8" w:rsidRPr="008166BF" w:rsidRDefault="009F74F8">
      <w:pPr>
        <w:rPr>
          <w:b/>
          <w:sz w:val="22"/>
          <w:szCs w:val="22"/>
        </w:rPr>
      </w:pPr>
    </w:p>
    <w:p w14:paraId="23094AAF" w14:textId="77777777" w:rsidR="009F74F8" w:rsidRPr="008166BF" w:rsidRDefault="009A51D6" w:rsidP="00575219">
      <w:pPr>
        <w:pStyle w:val="Nadpis7"/>
        <w:ind w:left="540" w:hanging="540"/>
        <w:rPr>
          <w:rFonts w:ascii="Times New Roman" w:hAnsi="Times New Roman"/>
          <w:b/>
          <w:sz w:val="22"/>
          <w:szCs w:val="22"/>
        </w:rPr>
      </w:pPr>
      <w:r w:rsidRPr="009A51D6">
        <w:rPr>
          <w:rFonts w:ascii="Times New Roman" w:hAnsi="Times New Roman"/>
          <w:b/>
          <w:sz w:val="22"/>
          <w:szCs w:val="22"/>
        </w:rPr>
        <w:t>6.3</w:t>
      </w:r>
      <w:r w:rsidRPr="009A51D6">
        <w:rPr>
          <w:rFonts w:ascii="Times New Roman" w:hAnsi="Times New Roman"/>
          <w:b/>
          <w:sz w:val="22"/>
          <w:szCs w:val="22"/>
        </w:rPr>
        <w:tab/>
        <w:t>Čas použiteľnosti</w:t>
      </w:r>
    </w:p>
    <w:p w14:paraId="3682DCD6" w14:textId="77777777" w:rsidR="009F74F8" w:rsidRPr="008166BF" w:rsidRDefault="009F74F8" w:rsidP="008B28B0">
      <w:pPr>
        <w:rPr>
          <w:sz w:val="22"/>
          <w:szCs w:val="22"/>
        </w:rPr>
      </w:pPr>
    </w:p>
    <w:p w14:paraId="555EDF99" w14:textId="77777777" w:rsidR="009F74F8" w:rsidRPr="008166BF" w:rsidRDefault="006959C2">
      <w:pPr>
        <w:rPr>
          <w:sz w:val="22"/>
          <w:szCs w:val="22"/>
        </w:rPr>
      </w:pPr>
      <w:r>
        <w:rPr>
          <w:sz w:val="22"/>
          <w:szCs w:val="22"/>
        </w:rPr>
        <w:t>2 roky</w:t>
      </w:r>
    </w:p>
    <w:p w14:paraId="33B4D2F7" w14:textId="77777777" w:rsidR="009F74F8" w:rsidRPr="008166BF" w:rsidRDefault="009F74F8" w:rsidP="00575219">
      <w:pPr>
        <w:rPr>
          <w:b/>
          <w:bCs/>
          <w:sz w:val="22"/>
          <w:szCs w:val="22"/>
        </w:rPr>
      </w:pPr>
    </w:p>
    <w:p w14:paraId="3B0E142A" w14:textId="77777777" w:rsidR="009F74F8" w:rsidRPr="008166BF" w:rsidRDefault="006959C2" w:rsidP="000A1518">
      <w:pPr>
        <w:ind w:left="540" w:hanging="540"/>
        <w:rPr>
          <w:b/>
          <w:sz w:val="22"/>
          <w:szCs w:val="22"/>
        </w:rPr>
      </w:pPr>
      <w:r>
        <w:rPr>
          <w:b/>
          <w:sz w:val="22"/>
          <w:szCs w:val="22"/>
        </w:rPr>
        <w:t>6.4</w:t>
      </w:r>
      <w:r>
        <w:rPr>
          <w:b/>
          <w:sz w:val="22"/>
          <w:szCs w:val="22"/>
        </w:rPr>
        <w:tab/>
        <w:t>Špeciálne upozornenia na uchovávanie</w:t>
      </w:r>
    </w:p>
    <w:p w14:paraId="26285F35" w14:textId="77777777" w:rsidR="009F74F8" w:rsidRPr="008166BF" w:rsidRDefault="009F74F8" w:rsidP="007B60FD">
      <w:pPr>
        <w:rPr>
          <w:sz w:val="22"/>
          <w:szCs w:val="22"/>
        </w:rPr>
      </w:pPr>
    </w:p>
    <w:p w14:paraId="75D946D2" w14:textId="77777777" w:rsidR="009F74F8" w:rsidRPr="008166BF" w:rsidRDefault="006959C2">
      <w:pPr>
        <w:rPr>
          <w:sz w:val="22"/>
          <w:szCs w:val="22"/>
        </w:rPr>
      </w:pPr>
      <w:r>
        <w:rPr>
          <w:sz w:val="22"/>
          <w:szCs w:val="22"/>
        </w:rPr>
        <w:t>Uchovávajte pri teplote do 25 °C.</w:t>
      </w:r>
    </w:p>
    <w:p w14:paraId="2B7EECF0" w14:textId="77777777" w:rsidR="009F74F8" w:rsidRPr="008166BF" w:rsidRDefault="006959C2">
      <w:pPr>
        <w:rPr>
          <w:bCs/>
          <w:sz w:val="22"/>
          <w:szCs w:val="22"/>
        </w:rPr>
      </w:pPr>
      <w:r>
        <w:rPr>
          <w:bCs/>
          <w:sz w:val="22"/>
          <w:szCs w:val="22"/>
        </w:rPr>
        <w:lastRenderedPageBreak/>
        <w:t>Uchovávajte v pôvodnom obale na ochranu pred svetlom.</w:t>
      </w:r>
    </w:p>
    <w:p w14:paraId="3F547666" w14:textId="77777777" w:rsidR="009F74F8" w:rsidRPr="008166BF" w:rsidRDefault="009F74F8">
      <w:pPr>
        <w:rPr>
          <w:b/>
          <w:bCs/>
          <w:sz w:val="22"/>
          <w:szCs w:val="22"/>
        </w:rPr>
      </w:pPr>
    </w:p>
    <w:p w14:paraId="264EFE46" w14:textId="77777777" w:rsidR="009F74F8" w:rsidRPr="008166BF" w:rsidRDefault="006959C2" w:rsidP="00575219">
      <w:pPr>
        <w:ind w:left="540" w:hanging="540"/>
        <w:rPr>
          <w:b/>
          <w:sz w:val="22"/>
          <w:szCs w:val="22"/>
        </w:rPr>
      </w:pPr>
      <w:r>
        <w:rPr>
          <w:b/>
          <w:bCs/>
          <w:sz w:val="22"/>
          <w:szCs w:val="22"/>
        </w:rPr>
        <w:t>6.5</w:t>
      </w:r>
      <w:r>
        <w:rPr>
          <w:b/>
          <w:bCs/>
          <w:sz w:val="22"/>
          <w:szCs w:val="22"/>
        </w:rPr>
        <w:tab/>
      </w:r>
      <w:r>
        <w:rPr>
          <w:b/>
          <w:sz w:val="22"/>
          <w:szCs w:val="22"/>
        </w:rPr>
        <w:t>Druh obalu a obsah balenia</w:t>
      </w:r>
      <w:r>
        <w:rPr>
          <w:b/>
          <w:color w:val="0000FF"/>
          <w:sz w:val="22"/>
          <w:szCs w:val="22"/>
        </w:rPr>
        <w:t xml:space="preserve"> </w:t>
      </w:r>
    </w:p>
    <w:p w14:paraId="3F7D8764" w14:textId="77777777" w:rsidR="009F74F8" w:rsidRPr="008166BF" w:rsidRDefault="009F74F8" w:rsidP="008B28B0">
      <w:pPr>
        <w:rPr>
          <w:sz w:val="22"/>
          <w:szCs w:val="22"/>
        </w:rPr>
      </w:pPr>
    </w:p>
    <w:p w14:paraId="4DBFD780" w14:textId="77777777" w:rsidR="009F74F8" w:rsidRPr="008166BF" w:rsidRDefault="006959C2" w:rsidP="008B28B0">
      <w:pPr>
        <w:rPr>
          <w:sz w:val="22"/>
          <w:szCs w:val="22"/>
        </w:rPr>
      </w:pPr>
      <w:r>
        <w:rPr>
          <w:sz w:val="22"/>
          <w:szCs w:val="22"/>
        </w:rPr>
        <w:t>Al/Al blister</w:t>
      </w:r>
    </w:p>
    <w:p w14:paraId="53BB30FA" w14:textId="77777777" w:rsidR="009F74F8" w:rsidRPr="008166BF" w:rsidRDefault="009F74F8" w:rsidP="008B28B0">
      <w:pPr>
        <w:rPr>
          <w:sz w:val="22"/>
          <w:szCs w:val="22"/>
        </w:rPr>
      </w:pPr>
    </w:p>
    <w:p w14:paraId="4F52BABD" w14:textId="77777777" w:rsidR="009F74F8" w:rsidRPr="008166BF" w:rsidRDefault="006959C2" w:rsidP="008B28B0">
      <w:pPr>
        <w:rPr>
          <w:sz w:val="22"/>
          <w:szCs w:val="22"/>
        </w:rPr>
      </w:pPr>
      <w:r>
        <w:rPr>
          <w:sz w:val="22"/>
          <w:szCs w:val="22"/>
        </w:rPr>
        <w:t xml:space="preserve">5, 7, </w:t>
      </w:r>
      <w:smartTag w:uri="urn:schemas-microsoft-com:office:smarttags" w:element="metricconverter">
        <w:smartTagPr>
          <w:attr w:name="ProductID" w:val="10 a"/>
        </w:smartTagPr>
        <w:r>
          <w:rPr>
            <w:sz w:val="22"/>
            <w:szCs w:val="22"/>
          </w:rPr>
          <w:t>10 a</w:t>
        </w:r>
      </w:smartTag>
      <w:r>
        <w:rPr>
          <w:sz w:val="22"/>
          <w:szCs w:val="22"/>
        </w:rPr>
        <w:t xml:space="preserve"> 14 filmom obalených tabliet</w:t>
      </w:r>
    </w:p>
    <w:p w14:paraId="33D2CF49" w14:textId="77777777" w:rsidR="009F74F8" w:rsidRPr="008166BF" w:rsidRDefault="009F74F8">
      <w:pPr>
        <w:rPr>
          <w:b/>
          <w:bCs/>
          <w:sz w:val="22"/>
          <w:szCs w:val="22"/>
        </w:rPr>
      </w:pPr>
    </w:p>
    <w:p w14:paraId="3966E934" w14:textId="77777777" w:rsidR="009F74F8" w:rsidRPr="008166BF" w:rsidRDefault="006959C2">
      <w:pPr>
        <w:rPr>
          <w:sz w:val="22"/>
          <w:szCs w:val="22"/>
        </w:rPr>
      </w:pPr>
      <w:r>
        <w:rPr>
          <w:sz w:val="22"/>
          <w:szCs w:val="22"/>
        </w:rPr>
        <w:t>Na trh nemusia byť uvedené všetky veľkosti balenia.</w:t>
      </w:r>
    </w:p>
    <w:p w14:paraId="3C0D46E2" w14:textId="77777777" w:rsidR="009F74F8" w:rsidRPr="008166BF" w:rsidRDefault="009F74F8">
      <w:pPr>
        <w:rPr>
          <w:b/>
          <w:bCs/>
          <w:sz w:val="22"/>
          <w:szCs w:val="22"/>
        </w:rPr>
      </w:pPr>
    </w:p>
    <w:p w14:paraId="64652185" w14:textId="77777777" w:rsidR="009F74F8" w:rsidRPr="008166BF" w:rsidRDefault="006959C2" w:rsidP="00575219">
      <w:pPr>
        <w:ind w:left="540" w:hanging="540"/>
        <w:rPr>
          <w:sz w:val="22"/>
          <w:szCs w:val="22"/>
        </w:rPr>
      </w:pPr>
      <w:r>
        <w:rPr>
          <w:b/>
          <w:bCs/>
          <w:sz w:val="22"/>
          <w:szCs w:val="22"/>
        </w:rPr>
        <w:t>6.6</w:t>
      </w:r>
      <w:r>
        <w:rPr>
          <w:b/>
          <w:bCs/>
          <w:sz w:val="22"/>
          <w:szCs w:val="22"/>
        </w:rPr>
        <w:tab/>
      </w:r>
      <w:r>
        <w:rPr>
          <w:b/>
          <w:sz w:val="22"/>
          <w:szCs w:val="22"/>
        </w:rPr>
        <w:t>Špeciálne opatrenia na likvidáciu a iné zaobchádzanie s liekom</w:t>
      </w:r>
    </w:p>
    <w:p w14:paraId="16C3C7DB" w14:textId="77777777" w:rsidR="009F74F8" w:rsidRPr="008166BF" w:rsidRDefault="009F74F8">
      <w:pPr>
        <w:rPr>
          <w:sz w:val="22"/>
          <w:szCs w:val="22"/>
        </w:rPr>
      </w:pPr>
    </w:p>
    <w:p w14:paraId="6FD6DC8B" w14:textId="77777777" w:rsidR="009F74F8" w:rsidRPr="008166BF" w:rsidRDefault="006959C2" w:rsidP="00072475">
      <w:pPr>
        <w:rPr>
          <w:sz w:val="22"/>
          <w:szCs w:val="22"/>
        </w:rPr>
      </w:pPr>
      <w:r>
        <w:rPr>
          <w:sz w:val="22"/>
          <w:szCs w:val="22"/>
        </w:rPr>
        <w:t xml:space="preserve">Všetok nepoužitý liek alebo odpad vzniknutý z lieku sa má zlikvidovať v súlade s národnými požiadavkami. </w:t>
      </w:r>
    </w:p>
    <w:p w14:paraId="20D7C559" w14:textId="77777777" w:rsidR="009F74F8" w:rsidRPr="008166BF" w:rsidRDefault="006959C2">
      <w:pPr>
        <w:rPr>
          <w:b/>
          <w:bCs/>
          <w:sz w:val="22"/>
          <w:szCs w:val="22"/>
        </w:rPr>
      </w:pPr>
      <w:r>
        <w:rPr>
          <w:sz w:val="22"/>
          <w:szCs w:val="22"/>
        </w:rPr>
        <w:t xml:space="preserve"> </w:t>
      </w:r>
    </w:p>
    <w:p w14:paraId="10BA9CC2" w14:textId="77777777" w:rsidR="009F74F8" w:rsidRPr="008166BF" w:rsidRDefault="009F74F8">
      <w:pPr>
        <w:rPr>
          <w:b/>
          <w:bCs/>
          <w:sz w:val="22"/>
          <w:szCs w:val="22"/>
        </w:rPr>
      </w:pPr>
    </w:p>
    <w:p w14:paraId="621C8582" w14:textId="77777777" w:rsidR="009F74F8" w:rsidRPr="008166BF" w:rsidRDefault="006959C2">
      <w:pPr>
        <w:numPr>
          <w:ilvl w:val="0"/>
          <w:numId w:val="7"/>
        </w:numPr>
        <w:rPr>
          <w:b/>
          <w:bCs/>
          <w:caps/>
          <w:sz w:val="22"/>
          <w:szCs w:val="22"/>
        </w:rPr>
      </w:pPr>
      <w:r>
        <w:rPr>
          <w:b/>
          <w:bCs/>
          <w:caps/>
          <w:sz w:val="22"/>
          <w:szCs w:val="22"/>
        </w:rPr>
        <w:t>Držiteľ rozhodnutia o registrácii</w:t>
      </w:r>
    </w:p>
    <w:p w14:paraId="7B3AAD8E" w14:textId="77777777" w:rsidR="009F74F8" w:rsidRPr="008166BF" w:rsidRDefault="009F74F8" w:rsidP="00575219">
      <w:pPr>
        <w:pStyle w:val="Zarkazkladnhotextu"/>
        <w:ind w:left="0"/>
        <w:rPr>
          <w:sz w:val="22"/>
          <w:szCs w:val="22"/>
        </w:rPr>
      </w:pPr>
    </w:p>
    <w:p w14:paraId="15211EEB" w14:textId="77777777" w:rsidR="009F74F8" w:rsidRPr="008166BF" w:rsidRDefault="006959C2" w:rsidP="00575219">
      <w:pPr>
        <w:pStyle w:val="Zarkazkladnhotextu"/>
        <w:ind w:left="0"/>
        <w:rPr>
          <w:sz w:val="22"/>
          <w:szCs w:val="22"/>
        </w:rPr>
      </w:pPr>
      <w:r>
        <w:rPr>
          <w:sz w:val="22"/>
          <w:szCs w:val="22"/>
        </w:rPr>
        <w:t xml:space="preserve">Sandoz Pharmaceuticals d.d. </w:t>
      </w:r>
    </w:p>
    <w:p w14:paraId="32ABDA70" w14:textId="77777777" w:rsidR="009F74F8" w:rsidRPr="008166BF" w:rsidRDefault="006959C2" w:rsidP="00575219">
      <w:pPr>
        <w:pStyle w:val="Zarkazkladnhotextu"/>
        <w:ind w:left="0"/>
        <w:rPr>
          <w:sz w:val="22"/>
          <w:szCs w:val="22"/>
        </w:rPr>
      </w:pPr>
      <w:r>
        <w:rPr>
          <w:sz w:val="22"/>
          <w:szCs w:val="22"/>
        </w:rPr>
        <w:t>Verovškova 57</w:t>
      </w:r>
    </w:p>
    <w:p w14:paraId="05E7D5F4" w14:textId="77777777" w:rsidR="009F74F8" w:rsidRPr="008166BF" w:rsidRDefault="006959C2" w:rsidP="00575219">
      <w:pPr>
        <w:pStyle w:val="Zarkazkladnhotextu"/>
        <w:ind w:left="0"/>
        <w:rPr>
          <w:sz w:val="22"/>
          <w:szCs w:val="22"/>
        </w:rPr>
      </w:pPr>
      <w:r>
        <w:rPr>
          <w:sz w:val="22"/>
          <w:szCs w:val="22"/>
        </w:rPr>
        <w:t>1000 Ľubľana</w:t>
      </w:r>
    </w:p>
    <w:p w14:paraId="2A07AE42" w14:textId="77777777" w:rsidR="009F74F8" w:rsidRPr="008166BF" w:rsidRDefault="006959C2" w:rsidP="00575219">
      <w:pPr>
        <w:pStyle w:val="Zarkazkladnhotextu"/>
        <w:ind w:left="0"/>
        <w:rPr>
          <w:sz w:val="22"/>
          <w:szCs w:val="22"/>
        </w:rPr>
      </w:pPr>
      <w:r>
        <w:rPr>
          <w:sz w:val="22"/>
          <w:szCs w:val="22"/>
        </w:rPr>
        <w:t>Slovinsko</w:t>
      </w:r>
    </w:p>
    <w:p w14:paraId="03B4F1CC" w14:textId="77777777" w:rsidR="009F74F8" w:rsidRPr="008166BF" w:rsidRDefault="009F74F8" w:rsidP="00575219">
      <w:pPr>
        <w:rPr>
          <w:b/>
          <w:bCs/>
          <w:sz w:val="22"/>
          <w:szCs w:val="22"/>
        </w:rPr>
      </w:pPr>
    </w:p>
    <w:p w14:paraId="4FACCE17" w14:textId="77777777" w:rsidR="009F74F8" w:rsidRPr="008166BF" w:rsidRDefault="009F74F8">
      <w:pPr>
        <w:rPr>
          <w:b/>
          <w:bCs/>
          <w:sz w:val="22"/>
          <w:szCs w:val="22"/>
        </w:rPr>
      </w:pPr>
    </w:p>
    <w:p w14:paraId="336B1DED" w14:textId="77777777" w:rsidR="009F74F8" w:rsidRPr="008166BF" w:rsidRDefault="006959C2" w:rsidP="00801D9C">
      <w:pPr>
        <w:ind w:left="540" w:hanging="540"/>
        <w:rPr>
          <w:b/>
          <w:bCs/>
          <w:caps/>
          <w:sz w:val="22"/>
          <w:szCs w:val="22"/>
        </w:rPr>
      </w:pPr>
      <w:r>
        <w:rPr>
          <w:b/>
          <w:bCs/>
          <w:sz w:val="22"/>
          <w:szCs w:val="22"/>
        </w:rPr>
        <w:t>8.</w:t>
      </w:r>
      <w:r>
        <w:rPr>
          <w:b/>
          <w:bCs/>
          <w:sz w:val="22"/>
          <w:szCs w:val="22"/>
        </w:rPr>
        <w:tab/>
      </w:r>
      <w:r>
        <w:rPr>
          <w:b/>
          <w:bCs/>
          <w:caps/>
          <w:sz w:val="22"/>
          <w:szCs w:val="22"/>
        </w:rPr>
        <w:t>Registračné číslo</w:t>
      </w:r>
    </w:p>
    <w:p w14:paraId="2F67D135" w14:textId="77777777" w:rsidR="009F74F8" w:rsidRPr="008166BF" w:rsidRDefault="009F74F8" w:rsidP="00575219">
      <w:pPr>
        <w:rPr>
          <w:b/>
          <w:bCs/>
          <w:sz w:val="22"/>
          <w:szCs w:val="22"/>
        </w:rPr>
      </w:pPr>
    </w:p>
    <w:p w14:paraId="3CD1BC5D" w14:textId="77777777" w:rsidR="009F74F8" w:rsidRPr="008166BF" w:rsidRDefault="006959C2" w:rsidP="00B5091A">
      <w:pPr>
        <w:rPr>
          <w:bCs/>
          <w:sz w:val="22"/>
          <w:szCs w:val="22"/>
        </w:rPr>
      </w:pPr>
      <w:r>
        <w:rPr>
          <w:bCs/>
          <w:sz w:val="22"/>
          <w:szCs w:val="22"/>
        </w:rPr>
        <w:t>15/0092/07-S</w:t>
      </w:r>
    </w:p>
    <w:p w14:paraId="55341B05" w14:textId="77777777" w:rsidR="009F74F8" w:rsidRPr="008166BF" w:rsidRDefault="009F74F8" w:rsidP="00575219">
      <w:pPr>
        <w:rPr>
          <w:b/>
          <w:bCs/>
          <w:sz w:val="22"/>
          <w:szCs w:val="22"/>
        </w:rPr>
      </w:pPr>
    </w:p>
    <w:p w14:paraId="4AFD637C" w14:textId="77777777" w:rsidR="009F74F8" w:rsidRPr="008166BF" w:rsidRDefault="009F74F8" w:rsidP="00575219">
      <w:pPr>
        <w:rPr>
          <w:b/>
          <w:bCs/>
          <w:sz w:val="22"/>
          <w:szCs w:val="22"/>
        </w:rPr>
      </w:pPr>
    </w:p>
    <w:p w14:paraId="75DE6FA0" w14:textId="77777777" w:rsidR="009F74F8" w:rsidRPr="008166BF" w:rsidRDefault="006959C2" w:rsidP="00801D9C">
      <w:pPr>
        <w:ind w:left="540" w:hanging="540"/>
        <w:rPr>
          <w:b/>
          <w:bCs/>
          <w:caps/>
          <w:sz w:val="22"/>
          <w:szCs w:val="22"/>
        </w:rPr>
      </w:pPr>
      <w:r>
        <w:rPr>
          <w:b/>
          <w:bCs/>
          <w:sz w:val="22"/>
          <w:szCs w:val="22"/>
        </w:rPr>
        <w:t>9.</w:t>
      </w:r>
      <w:r>
        <w:rPr>
          <w:b/>
          <w:bCs/>
          <w:sz w:val="22"/>
          <w:szCs w:val="22"/>
        </w:rPr>
        <w:tab/>
      </w:r>
      <w:r>
        <w:rPr>
          <w:b/>
          <w:bCs/>
          <w:caps/>
          <w:sz w:val="22"/>
          <w:szCs w:val="22"/>
        </w:rPr>
        <w:t xml:space="preserve">Dátum prvej registrácie/Predĺženia registrácie </w:t>
      </w:r>
    </w:p>
    <w:p w14:paraId="716D3652" w14:textId="77777777" w:rsidR="009F74F8" w:rsidRPr="008166BF" w:rsidRDefault="009F74F8">
      <w:pPr>
        <w:rPr>
          <w:bCs/>
          <w:sz w:val="22"/>
          <w:szCs w:val="22"/>
        </w:rPr>
      </w:pPr>
    </w:p>
    <w:p w14:paraId="05C9E8E5" w14:textId="77777777" w:rsidR="009F74F8" w:rsidRPr="008166BF" w:rsidRDefault="006959C2">
      <w:pPr>
        <w:rPr>
          <w:bCs/>
          <w:sz w:val="22"/>
          <w:szCs w:val="22"/>
        </w:rPr>
      </w:pPr>
      <w:r>
        <w:rPr>
          <w:bCs/>
          <w:sz w:val="22"/>
          <w:szCs w:val="22"/>
        </w:rPr>
        <w:t>Dátum prvej registrácie: 15. októbra 2007</w:t>
      </w:r>
    </w:p>
    <w:p w14:paraId="2DF84B78" w14:textId="77777777" w:rsidR="009F74F8" w:rsidRPr="008166BF" w:rsidRDefault="006959C2">
      <w:pPr>
        <w:rPr>
          <w:bCs/>
          <w:sz w:val="22"/>
          <w:szCs w:val="22"/>
        </w:rPr>
      </w:pPr>
      <w:r>
        <w:rPr>
          <w:bCs/>
          <w:sz w:val="22"/>
          <w:szCs w:val="22"/>
        </w:rPr>
        <w:t>Dátum posledného predĺženia registrácie: 9. júla 2013</w:t>
      </w:r>
    </w:p>
    <w:p w14:paraId="29740FDD" w14:textId="77777777" w:rsidR="009F74F8" w:rsidRPr="008166BF" w:rsidRDefault="009F74F8">
      <w:pPr>
        <w:rPr>
          <w:bCs/>
          <w:sz w:val="22"/>
          <w:szCs w:val="22"/>
        </w:rPr>
      </w:pPr>
    </w:p>
    <w:p w14:paraId="64915FE2" w14:textId="77777777" w:rsidR="009F74F8" w:rsidRPr="008166BF" w:rsidRDefault="009F74F8">
      <w:pPr>
        <w:rPr>
          <w:b/>
          <w:bCs/>
          <w:sz w:val="22"/>
          <w:szCs w:val="22"/>
        </w:rPr>
      </w:pPr>
    </w:p>
    <w:p w14:paraId="38184FB2" w14:textId="77777777" w:rsidR="009F74F8" w:rsidRPr="008166BF" w:rsidRDefault="006959C2" w:rsidP="00801D9C">
      <w:pPr>
        <w:ind w:left="540" w:hanging="540"/>
        <w:rPr>
          <w:b/>
          <w:bCs/>
          <w:caps/>
          <w:sz w:val="22"/>
          <w:szCs w:val="22"/>
        </w:rPr>
      </w:pPr>
      <w:r>
        <w:rPr>
          <w:b/>
          <w:bCs/>
          <w:sz w:val="22"/>
          <w:szCs w:val="22"/>
        </w:rPr>
        <w:t>10.</w:t>
      </w:r>
      <w:r>
        <w:rPr>
          <w:b/>
          <w:bCs/>
          <w:sz w:val="22"/>
          <w:szCs w:val="22"/>
        </w:rPr>
        <w:tab/>
      </w:r>
      <w:r>
        <w:rPr>
          <w:b/>
          <w:bCs/>
          <w:caps/>
          <w:sz w:val="22"/>
          <w:szCs w:val="22"/>
        </w:rPr>
        <w:t>Dátum revízie textu</w:t>
      </w:r>
    </w:p>
    <w:p w14:paraId="17B63D67" w14:textId="77777777" w:rsidR="009F74F8" w:rsidRPr="008166BF" w:rsidRDefault="009F74F8">
      <w:pPr>
        <w:rPr>
          <w:b/>
          <w:bCs/>
          <w:sz w:val="22"/>
          <w:szCs w:val="22"/>
        </w:rPr>
      </w:pPr>
    </w:p>
    <w:p w14:paraId="455E54CF" w14:textId="4AAA2088" w:rsidR="009F74F8" w:rsidRPr="008166BF" w:rsidRDefault="00C82216">
      <w:pPr>
        <w:rPr>
          <w:bCs/>
          <w:sz w:val="22"/>
          <w:szCs w:val="22"/>
        </w:rPr>
      </w:pPr>
      <w:r>
        <w:rPr>
          <w:bCs/>
          <w:sz w:val="22"/>
          <w:szCs w:val="22"/>
        </w:rPr>
        <w:t>11/2019</w:t>
      </w:r>
    </w:p>
    <w:sectPr w:rsidR="009F74F8" w:rsidRPr="008166BF" w:rsidSect="00E21901">
      <w:headerReference w:type="default" r:id="rId9"/>
      <w:footerReference w:type="default" r:id="rId10"/>
      <w:headerReference w:type="first" r:id="rId11"/>
      <w:footerReference w:type="first" r:id="rId12"/>
      <w:pgSz w:w="11906" w:h="16838"/>
      <w:pgMar w:top="1417" w:right="1417" w:bottom="1417"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E6193" w14:textId="77777777" w:rsidR="000D408A" w:rsidRDefault="000D408A">
      <w:r>
        <w:separator/>
      </w:r>
    </w:p>
  </w:endnote>
  <w:endnote w:type="continuationSeparator" w:id="0">
    <w:p w14:paraId="52FA4554" w14:textId="77777777" w:rsidR="000D408A" w:rsidRDefault="000D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F9F31" w14:textId="4AB98F22" w:rsidR="000D408A" w:rsidRDefault="000D408A">
    <w:pPr>
      <w:pStyle w:val="Pta"/>
      <w:jc w:val="center"/>
      <w:rPr>
        <w:sz w:val="18"/>
        <w:szCs w:val="18"/>
      </w:rPr>
    </w:pPr>
    <w:r w:rsidRPr="009F74F8">
      <w:rPr>
        <w:sz w:val="18"/>
        <w:szCs w:val="18"/>
      </w:rPr>
      <w:fldChar w:fldCharType="begin"/>
    </w:r>
    <w:r w:rsidRPr="002171A3">
      <w:rPr>
        <w:sz w:val="18"/>
        <w:szCs w:val="18"/>
      </w:rPr>
      <w:instrText xml:space="preserve"> PAGE   </w:instrText>
    </w:r>
    <w:r>
      <w:rPr>
        <w:sz w:val="18"/>
        <w:szCs w:val="18"/>
      </w:rPr>
      <w:instrText>\</w:instrText>
    </w:r>
    <w:r w:rsidRPr="002171A3">
      <w:rPr>
        <w:sz w:val="18"/>
        <w:szCs w:val="18"/>
      </w:rPr>
      <w:instrText xml:space="preserve">* MERGEFORMAT </w:instrText>
    </w:r>
    <w:r w:rsidRPr="009F74F8">
      <w:rPr>
        <w:sz w:val="18"/>
        <w:szCs w:val="18"/>
      </w:rPr>
      <w:fldChar w:fldCharType="separate"/>
    </w:r>
    <w:r w:rsidR="00DF066A">
      <w:rPr>
        <w:noProof/>
        <w:sz w:val="18"/>
        <w:szCs w:val="18"/>
      </w:rPr>
      <w:t>19</w:t>
    </w:r>
    <w:r w:rsidRPr="009F74F8">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58593" w14:textId="77777777" w:rsidR="000D408A" w:rsidRDefault="000D408A">
    <w:pPr>
      <w:pStyle w:val="Pta"/>
      <w:jc w:val="center"/>
      <w:rPr>
        <w:sz w:val="18"/>
        <w:szCs w:val="18"/>
      </w:rPr>
    </w:pPr>
    <w:r>
      <w:rPr>
        <w:sz w:val="18"/>
        <w:szCs w:val="18"/>
      </w:rPr>
      <w:fldChar w:fldCharType="begin"/>
    </w:r>
    <w:r>
      <w:rPr>
        <w:sz w:val="18"/>
        <w:szCs w:val="18"/>
      </w:rPr>
      <w:instrText>PAGE   \* MERGEFORMAT</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58B03" w14:textId="77777777" w:rsidR="000D408A" w:rsidRDefault="000D408A">
      <w:r>
        <w:separator/>
      </w:r>
    </w:p>
  </w:footnote>
  <w:footnote w:type="continuationSeparator" w:id="0">
    <w:p w14:paraId="3DB5BEC1" w14:textId="77777777" w:rsidR="000D408A" w:rsidRDefault="000D4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B7059" w14:textId="7D407B83" w:rsidR="000D408A" w:rsidRDefault="000D408A" w:rsidP="00C512DE">
    <w:r w:rsidRPr="003E489E">
      <w:rPr>
        <w:sz w:val="18"/>
        <w:szCs w:val="18"/>
      </w:rPr>
      <w:t>Schválený text k rozhodnutiu</w:t>
    </w:r>
    <w:r>
      <w:rPr>
        <w:sz w:val="18"/>
        <w:szCs w:val="18"/>
      </w:rPr>
      <w:t xml:space="preserve"> o zmene, ev. č.: 2019/03629-ZME</w:t>
    </w:r>
  </w:p>
  <w:p w14:paraId="1C21E472" w14:textId="2DCF5AD5" w:rsidR="000D408A" w:rsidRDefault="000D40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DFAA6" w14:textId="77777777" w:rsidR="000D408A" w:rsidRDefault="000D408A" w:rsidP="00DA5378">
    <w:pPr>
      <w:rPr>
        <w:sz w:val="18"/>
        <w:szCs w:val="18"/>
      </w:rPr>
    </w:pPr>
    <w:r w:rsidRPr="003E489E">
      <w:rPr>
        <w:sz w:val="18"/>
        <w:szCs w:val="18"/>
      </w:rPr>
      <w:t>Schválený text k rozhodnutiu</w:t>
    </w:r>
    <w:r>
      <w:rPr>
        <w:sz w:val="18"/>
        <w:szCs w:val="18"/>
      </w:rPr>
      <w:t xml:space="preserve"> o zmene, 2017/05582-ZME</w:t>
    </w:r>
  </w:p>
  <w:p w14:paraId="7205B367" w14:textId="77777777" w:rsidR="000D408A" w:rsidRPr="003E489E" w:rsidRDefault="000D408A" w:rsidP="00DA5378">
    <w:pPr>
      <w:rPr>
        <w:sz w:val="18"/>
        <w:szCs w:val="18"/>
      </w:rPr>
    </w:pPr>
    <w:r>
      <w:rPr>
        <w:sz w:val="18"/>
        <w:szCs w:val="18"/>
      </w:rPr>
      <w:t>Príloha č.1 k notifikácii o zmene, ev.č.: 2017/06578-Z1A  a 2018/01694-Z1A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D5FA2"/>
    <w:multiLevelType w:val="multilevel"/>
    <w:tmpl w:val="2CDEBE2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52E5B8E"/>
    <w:multiLevelType w:val="multilevel"/>
    <w:tmpl w:val="4AA03C7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87C329B"/>
    <w:multiLevelType w:val="multilevel"/>
    <w:tmpl w:val="40A4427C"/>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9010E7A"/>
    <w:multiLevelType w:val="multilevel"/>
    <w:tmpl w:val="57640AA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15:restartNumberingAfterBreak="0">
    <w:nsid w:val="0BB675C4"/>
    <w:multiLevelType w:val="hybridMultilevel"/>
    <w:tmpl w:val="7D769212"/>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0C87DAA"/>
    <w:multiLevelType w:val="hybridMultilevel"/>
    <w:tmpl w:val="6C3A7222"/>
    <w:lvl w:ilvl="0" w:tplc="9804665C">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62116"/>
    <w:multiLevelType w:val="multilevel"/>
    <w:tmpl w:val="235037F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018A9"/>
    <w:multiLevelType w:val="multilevel"/>
    <w:tmpl w:val="7110D59E"/>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1B0664B1"/>
    <w:multiLevelType w:val="hybridMultilevel"/>
    <w:tmpl w:val="49B8A2F0"/>
    <w:lvl w:ilvl="0" w:tplc="0405000F">
      <w:start w:val="9"/>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7A2654"/>
    <w:multiLevelType w:val="multilevel"/>
    <w:tmpl w:val="44BAEF46"/>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6A34C2"/>
    <w:multiLevelType w:val="multilevel"/>
    <w:tmpl w:val="4FC21E02"/>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8E50D04"/>
    <w:multiLevelType w:val="hybridMultilevel"/>
    <w:tmpl w:val="90E04540"/>
    <w:lvl w:ilvl="0" w:tplc="0405000F">
      <w:start w:val="9"/>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DD03B13"/>
    <w:multiLevelType w:val="hybridMultilevel"/>
    <w:tmpl w:val="BC2EBED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2FF11D4"/>
    <w:multiLevelType w:val="hybridMultilevel"/>
    <w:tmpl w:val="FE06E6B2"/>
    <w:lvl w:ilvl="0" w:tplc="25A0E2BC">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863500"/>
    <w:multiLevelType w:val="multilevel"/>
    <w:tmpl w:val="F464589A"/>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89740D2"/>
    <w:multiLevelType w:val="multilevel"/>
    <w:tmpl w:val="150CDDD4"/>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91B7CA2"/>
    <w:multiLevelType w:val="hybridMultilevel"/>
    <w:tmpl w:val="BBFE8568"/>
    <w:lvl w:ilvl="0" w:tplc="0405000F">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AEA425B"/>
    <w:multiLevelType w:val="multilevel"/>
    <w:tmpl w:val="DC8C7726"/>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213771F"/>
    <w:multiLevelType w:val="multilevel"/>
    <w:tmpl w:val="6F78EA9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227612D"/>
    <w:multiLevelType w:val="multilevel"/>
    <w:tmpl w:val="6F241AF2"/>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536E663C"/>
    <w:multiLevelType w:val="multilevel"/>
    <w:tmpl w:val="97F8ADBE"/>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84B7BE5"/>
    <w:multiLevelType w:val="multilevel"/>
    <w:tmpl w:val="CABE598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8964334"/>
    <w:multiLevelType w:val="multilevel"/>
    <w:tmpl w:val="EB90AA82"/>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661204A5"/>
    <w:multiLevelType w:val="hybridMultilevel"/>
    <w:tmpl w:val="76CE2A1A"/>
    <w:lvl w:ilvl="0" w:tplc="0405000F">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F4D08F78">
      <w:start w:val="1"/>
      <w:numFmt w:val="lowerLetter"/>
      <w:lvlText w:val="%3)"/>
      <w:lvlJc w:val="left"/>
      <w:pPr>
        <w:tabs>
          <w:tab w:val="num" w:pos="1980"/>
        </w:tabs>
        <w:ind w:left="1980" w:hanging="360"/>
      </w:pPr>
      <w:rPr>
        <w:rFonts w:cs="Times New Roman" w:hint="default"/>
      </w:rPr>
    </w:lvl>
    <w:lvl w:ilvl="3" w:tplc="7384110E">
      <w:start w:val="1"/>
      <w:numFmt w:val="bullet"/>
      <w:lvlText w:val="-"/>
      <w:lvlJc w:val="left"/>
      <w:pPr>
        <w:tabs>
          <w:tab w:val="num" w:pos="2520"/>
        </w:tabs>
        <w:ind w:left="2520" w:hanging="360"/>
      </w:pPr>
      <w:rPr>
        <w:rFonts w:ascii="Times New Roman" w:eastAsia="Times New Roman" w:hAnsi="Times New Roman" w:hint="default"/>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0A701B7"/>
    <w:multiLevelType w:val="multilevel"/>
    <w:tmpl w:val="235037F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33C082A"/>
    <w:multiLevelType w:val="multilevel"/>
    <w:tmpl w:val="C91AA60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73F310FD"/>
    <w:multiLevelType w:val="multilevel"/>
    <w:tmpl w:val="D3E4790E"/>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3"/>
  </w:num>
  <w:num w:numId="2">
    <w:abstractNumId w:val="5"/>
  </w:num>
  <w:num w:numId="3">
    <w:abstractNumId w:val="3"/>
  </w:num>
  <w:num w:numId="4">
    <w:abstractNumId w:val="14"/>
  </w:num>
  <w:num w:numId="5">
    <w:abstractNumId w:val="23"/>
  </w:num>
  <w:num w:numId="6">
    <w:abstractNumId w:val="18"/>
  </w:num>
  <w:num w:numId="7">
    <w:abstractNumId w:val="6"/>
  </w:num>
  <w:num w:numId="8">
    <w:abstractNumId w:val="11"/>
  </w:num>
  <w:num w:numId="9">
    <w:abstractNumId w:val="8"/>
  </w:num>
  <w:num w:numId="10">
    <w:abstractNumId w:val="16"/>
  </w:num>
  <w:num w:numId="11">
    <w:abstractNumId w:val="12"/>
  </w:num>
  <w:num w:numId="12">
    <w:abstractNumId w:val="15"/>
  </w:num>
  <w:num w:numId="13">
    <w:abstractNumId w:val="21"/>
  </w:num>
  <w:num w:numId="14">
    <w:abstractNumId w:val="9"/>
  </w:num>
  <w:num w:numId="15">
    <w:abstractNumId w:val="24"/>
  </w:num>
  <w:num w:numId="16">
    <w:abstractNumId w:val="2"/>
  </w:num>
  <w:num w:numId="17">
    <w:abstractNumId w:val="1"/>
  </w:num>
  <w:num w:numId="18">
    <w:abstractNumId w:val="10"/>
  </w:num>
  <w:num w:numId="19">
    <w:abstractNumId w:val="22"/>
  </w:num>
  <w:num w:numId="20">
    <w:abstractNumId w:val="25"/>
  </w:num>
  <w:num w:numId="21">
    <w:abstractNumId w:val="20"/>
  </w:num>
  <w:num w:numId="22">
    <w:abstractNumId w:val="26"/>
  </w:num>
  <w:num w:numId="23">
    <w:abstractNumId w:val="17"/>
  </w:num>
  <w:num w:numId="24">
    <w:abstractNumId w:val="7"/>
  </w:num>
  <w:num w:numId="25">
    <w:abstractNumId w:val="19"/>
  </w:num>
  <w:num w:numId="26">
    <w:abstractNumId w:val="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EE53EE"/>
    <w:rsid w:val="00001E10"/>
    <w:rsid w:val="0000421F"/>
    <w:rsid w:val="0000527F"/>
    <w:rsid w:val="0000593A"/>
    <w:rsid w:val="00007D89"/>
    <w:rsid w:val="00014009"/>
    <w:rsid w:val="00016A0E"/>
    <w:rsid w:val="000174E2"/>
    <w:rsid w:val="00031FAF"/>
    <w:rsid w:val="00033906"/>
    <w:rsid w:val="0003767B"/>
    <w:rsid w:val="00045502"/>
    <w:rsid w:val="0004662B"/>
    <w:rsid w:val="0005318C"/>
    <w:rsid w:val="000545D5"/>
    <w:rsid w:val="00060AC0"/>
    <w:rsid w:val="0006524F"/>
    <w:rsid w:val="000678C4"/>
    <w:rsid w:val="00072475"/>
    <w:rsid w:val="0007335C"/>
    <w:rsid w:val="00076468"/>
    <w:rsid w:val="000827E9"/>
    <w:rsid w:val="000835E1"/>
    <w:rsid w:val="0008423F"/>
    <w:rsid w:val="0009049F"/>
    <w:rsid w:val="0009050A"/>
    <w:rsid w:val="0009055B"/>
    <w:rsid w:val="000907E1"/>
    <w:rsid w:val="000932C6"/>
    <w:rsid w:val="000A1518"/>
    <w:rsid w:val="000A303B"/>
    <w:rsid w:val="000B1179"/>
    <w:rsid w:val="000B3818"/>
    <w:rsid w:val="000C3243"/>
    <w:rsid w:val="000C36D0"/>
    <w:rsid w:val="000D00D3"/>
    <w:rsid w:val="000D1AB8"/>
    <w:rsid w:val="000D408A"/>
    <w:rsid w:val="000D7E3A"/>
    <w:rsid w:val="000E05CA"/>
    <w:rsid w:val="000E3B4D"/>
    <w:rsid w:val="000F1024"/>
    <w:rsid w:val="000F170D"/>
    <w:rsid w:val="000F287B"/>
    <w:rsid w:val="000F2A6D"/>
    <w:rsid w:val="000F3750"/>
    <w:rsid w:val="000F5DDD"/>
    <w:rsid w:val="0010065B"/>
    <w:rsid w:val="00101C27"/>
    <w:rsid w:val="00103414"/>
    <w:rsid w:val="0010395A"/>
    <w:rsid w:val="001119A3"/>
    <w:rsid w:val="00112A0F"/>
    <w:rsid w:val="001153AB"/>
    <w:rsid w:val="00115A76"/>
    <w:rsid w:val="00125AD8"/>
    <w:rsid w:val="0013061D"/>
    <w:rsid w:val="00131F44"/>
    <w:rsid w:val="0013339A"/>
    <w:rsid w:val="00136D94"/>
    <w:rsid w:val="00136F98"/>
    <w:rsid w:val="00141EF5"/>
    <w:rsid w:val="0015326D"/>
    <w:rsid w:val="00154C14"/>
    <w:rsid w:val="00157419"/>
    <w:rsid w:val="00161564"/>
    <w:rsid w:val="0016355A"/>
    <w:rsid w:val="00165F52"/>
    <w:rsid w:val="00166225"/>
    <w:rsid w:val="00167000"/>
    <w:rsid w:val="00171825"/>
    <w:rsid w:val="00171B17"/>
    <w:rsid w:val="00174A8E"/>
    <w:rsid w:val="00183DA4"/>
    <w:rsid w:val="0018402E"/>
    <w:rsid w:val="00184426"/>
    <w:rsid w:val="001856DA"/>
    <w:rsid w:val="00185F53"/>
    <w:rsid w:val="001925BE"/>
    <w:rsid w:val="00196012"/>
    <w:rsid w:val="00197944"/>
    <w:rsid w:val="001A3011"/>
    <w:rsid w:val="001A416F"/>
    <w:rsid w:val="001A43E7"/>
    <w:rsid w:val="001A4BCC"/>
    <w:rsid w:val="001B120B"/>
    <w:rsid w:val="001B3BD0"/>
    <w:rsid w:val="001C2C71"/>
    <w:rsid w:val="001C4C51"/>
    <w:rsid w:val="001D2FAE"/>
    <w:rsid w:val="001D5AF1"/>
    <w:rsid w:val="001E2D4E"/>
    <w:rsid w:val="001F5095"/>
    <w:rsid w:val="001F7AD1"/>
    <w:rsid w:val="002052A3"/>
    <w:rsid w:val="00205F58"/>
    <w:rsid w:val="002117F5"/>
    <w:rsid w:val="0021302B"/>
    <w:rsid w:val="00213C1B"/>
    <w:rsid w:val="002171A3"/>
    <w:rsid w:val="0021723E"/>
    <w:rsid w:val="00223029"/>
    <w:rsid w:val="00224F96"/>
    <w:rsid w:val="00227FC6"/>
    <w:rsid w:val="00230D58"/>
    <w:rsid w:val="00232C2C"/>
    <w:rsid w:val="002346D2"/>
    <w:rsid w:val="00246C95"/>
    <w:rsid w:val="00253619"/>
    <w:rsid w:val="00253A28"/>
    <w:rsid w:val="002642FF"/>
    <w:rsid w:val="0026507C"/>
    <w:rsid w:val="00266545"/>
    <w:rsid w:val="00267B07"/>
    <w:rsid w:val="0027322C"/>
    <w:rsid w:val="00277836"/>
    <w:rsid w:val="002817BE"/>
    <w:rsid w:val="00285A8A"/>
    <w:rsid w:val="00286C94"/>
    <w:rsid w:val="00296294"/>
    <w:rsid w:val="00296F68"/>
    <w:rsid w:val="002B3304"/>
    <w:rsid w:val="002B4279"/>
    <w:rsid w:val="002B7F71"/>
    <w:rsid w:val="002C1F60"/>
    <w:rsid w:val="002C2CE6"/>
    <w:rsid w:val="002C356E"/>
    <w:rsid w:val="002C3FFD"/>
    <w:rsid w:val="002C742A"/>
    <w:rsid w:val="002C7711"/>
    <w:rsid w:val="002D3C5D"/>
    <w:rsid w:val="002D7BB1"/>
    <w:rsid w:val="002E1A3C"/>
    <w:rsid w:val="002E1C1D"/>
    <w:rsid w:val="002E6C19"/>
    <w:rsid w:val="002F16B6"/>
    <w:rsid w:val="002F39D4"/>
    <w:rsid w:val="003016F3"/>
    <w:rsid w:val="003168F8"/>
    <w:rsid w:val="00322EBB"/>
    <w:rsid w:val="003237D2"/>
    <w:rsid w:val="003259C5"/>
    <w:rsid w:val="00327BFD"/>
    <w:rsid w:val="00333804"/>
    <w:rsid w:val="003367A7"/>
    <w:rsid w:val="00337006"/>
    <w:rsid w:val="003402B9"/>
    <w:rsid w:val="00340526"/>
    <w:rsid w:val="00342602"/>
    <w:rsid w:val="003459B4"/>
    <w:rsid w:val="00354BB7"/>
    <w:rsid w:val="0036798A"/>
    <w:rsid w:val="00372217"/>
    <w:rsid w:val="00373249"/>
    <w:rsid w:val="0037656D"/>
    <w:rsid w:val="003802D9"/>
    <w:rsid w:val="003821BA"/>
    <w:rsid w:val="00385742"/>
    <w:rsid w:val="00391ADA"/>
    <w:rsid w:val="00392CDF"/>
    <w:rsid w:val="003A41A2"/>
    <w:rsid w:val="003B1D88"/>
    <w:rsid w:val="003B39FA"/>
    <w:rsid w:val="003B6942"/>
    <w:rsid w:val="003C1BC2"/>
    <w:rsid w:val="003C63E8"/>
    <w:rsid w:val="003D0BE3"/>
    <w:rsid w:val="003D20FA"/>
    <w:rsid w:val="003D3CEE"/>
    <w:rsid w:val="003D59C4"/>
    <w:rsid w:val="003E0226"/>
    <w:rsid w:val="003E489E"/>
    <w:rsid w:val="003E6B90"/>
    <w:rsid w:val="003F0650"/>
    <w:rsid w:val="003F180D"/>
    <w:rsid w:val="004008F4"/>
    <w:rsid w:val="00404E67"/>
    <w:rsid w:val="004076F8"/>
    <w:rsid w:val="00413703"/>
    <w:rsid w:val="00415D02"/>
    <w:rsid w:val="00415FAA"/>
    <w:rsid w:val="00416302"/>
    <w:rsid w:val="00417667"/>
    <w:rsid w:val="00420DAD"/>
    <w:rsid w:val="00421F0F"/>
    <w:rsid w:val="00422945"/>
    <w:rsid w:val="00426D10"/>
    <w:rsid w:val="0043105F"/>
    <w:rsid w:val="004332AE"/>
    <w:rsid w:val="00442F66"/>
    <w:rsid w:val="00446285"/>
    <w:rsid w:val="0044690B"/>
    <w:rsid w:val="0045074D"/>
    <w:rsid w:val="004604D4"/>
    <w:rsid w:val="0046107E"/>
    <w:rsid w:val="004777C8"/>
    <w:rsid w:val="00477AFB"/>
    <w:rsid w:val="0049110B"/>
    <w:rsid w:val="00492414"/>
    <w:rsid w:val="0049464C"/>
    <w:rsid w:val="004A361B"/>
    <w:rsid w:val="004B0995"/>
    <w:rsid w:val="004D091D"/>
    <w:rsid w:val="004D4DD1"/>
    <w:rsid w:val="004D71DD"/>
    <w:rsid w:val="004D7234"/>
    <w:rsid w:val="004E0ECF"/>
    <w:rsid w:val="004E316B"/>
    <w:rsid w:val="004F1555"/>
    <w:rsid w:val="00502EE9"/>
    <w:rsid w:val="0050311D"/>
    <w:rsid w:val="00505C2C"/>
    <w:rsid w:val="005068B9"/>
    <w:rsid w:val="00511D58"/>
    <w:rsid w:val="00515A64"/>
    <w:rsid w:val="00522558"/>
    <w:rsid w:val="00525801"/>
    <w:rsid w:val="00526E5F"/>
    <w:rsid w:val="00527FAA"/>
    <w:rsid w:val="00534B7B"/>
    <w:rsid w:val="00536BAC"/>
    <w:rsid w:val="00541EFF"/>
    <w:rsid w:val="00542E54"/>
    <w:rsid w:val="00560FB4"/>
    <w:rsid w:val="005612A4"/>
    <w:rsid w:val="0056183C"/>
    <w:rsid w:val="00571B5A"/>
    <w:rsid w:val="00573CD1"/>
    <w:rsid w:val="00575219"/>
    <w:rsid w:val="00580E57"/>
    <w:rsid w:val="0058348F"/>
    <w:rsid w:val="00590561"/>
    <w:rsid w:val="00590818"/>
    <w:rsid w:val="00590BDD"/>
    <w:rsid w:val="00595F9B"/>
    <w:rsid w:val="00596ABE"/>
    <w:rsid w:val="00597629"/>
    <w:rsid w:val="005A5F49"/>
    <w:rsid w:val="005A7650"/>
    <w:rsid w:val="005B1CDB"/>
    <w:rsid w:val="005B312E"/>
    <w:rsid w:val="005B3FF7"/>
    <w:rsid w:val="005B79C6"/>
    <w:rsid w:val="005C6D5A"/>
    <w:rsid w:val="005D0419"/>
    <w:rsid w:val="005D5D6F"/>
    <w:rsid w:val="005D7D9D"/>
    <w:rsid w:val="005E41EC"/>
    <w:rsid w:val="005E4FAF"/>
    <w:rsid w:val="005E5586"/>
    <w:rsid w:val="005E631E"/>
    <w:rsid w:val="005F10D8"/>
    <w:rsid w:val="00600755"/>
    <w:rsid w:val="00600E9A"/>
    <w:rsid w:val="00605433"/>
    <w:rsid w:val="00605733"/>
    <w:rsid w:val="0061244E"/>
    <w:rsid w:val="00615F8A"/>
    <w:rsid w:val="0061634C"/>
    <w:rsid w:val="00617FDA"/>
    <w:rsid w:val="00625794"/>
    <w:rsid w:val="00635C62"/>
    <w:rsid w:val="00642B78"/>
    <w:rsid w:val="00642D15"/>
    <w:rsid w:val="00653E50"/>
    <w:rsid w:val="0065596F"/>
    <w:rsid w:val="00657486"/>
    <w:rsid w:val="00657B49"/>
    <w:rsid w:val="00664802"/>
    <w:rsid w:val="006727A6"/>
    <w:rsid w:val="00674593"/>
    <w:rsid w:val="00676A28"/>
    <w:rsid w:val="0067798A"/>
    <w:rsid w:val="0068153D"/>
    <w:rsid w:val="006841A0"/>
    <w:rsid w:val="0068619B"/>
    <w:rsid w:val="00690C6C"/>
    <w:rsid w:val="0069254E"/>
    <w:rsid w:val="0069445B"/>
    <w:rsid w:val="00694D49"/>
    <w:rsid w:val="006959C2"/>
    <w:rsid w:val="00696394"/>
    <w:rsid w:val="006A120D"/>
    <w:rsid w:val="006A251D"/>
    <w:rsid w:val="006B387A"/>
    <w:rsid w:val="006B7B8D"/>
    <w:rsid w:val="006C6903"/>
    <w:rsid w:val="006C7644"/>
    <w:rsid w:val="006E7093"/>
    <w:rsid w:val="006F3912"/>
    <w:rsid w:val="0070363F"/>
    <w:rsid w:val="00705EAB"/>
    <w:rsid w:val="00707516"/>
    <w:rsid w:val="00710BF3"/>
    <w:rsid w:val="007212BA"/>
    <w:rsid w:val="00727C7B"/>
    <w:rsid w:val="00730FF2"/>
    <w:rsid w:val="00734F1A"/>
    <w:rsid w:val="007371DB"/>
    <w:rsid w:val="00742759"/>
    <w:rsid w:val="0074410F"/>
    <w:rsid w:val="0074755B"/>
    <w:rsid w:val="007514AC"/>
    <w:rsid w:val="00751A28"/>
    <w:rsid w:val="00753092"/>
    <w:rsid w:val="00755CB0"/>
    <w:rsid w:val="00761B23"/>
    <w:rsid w:val="00766145"/>
    <w:rsid w:val="007665A3"/>
    <w:rsid w:val="00766D1D"/>
    <w:rsid w:val="00776B3A"/>
    <w:rsid w:val="00777B3E"/>
    <w:rsid w:val="00780EE5"/>
    <w:rsid w:val="00783502"/>
    <w:rsid w:val="00790422"/>
    <w:rsid w:val="007A444B"/>
    <w:rsid w:val="007A75EA"/>
    <w:rsid w:val="007B0227"/>
    <w:rsid w:val="007B5498"/>
    <w:rsid w:val="007B60FD"/>
    <w:rsid w:val="007B6554"/>
    <w:rsid w:val="007B755D"/>
    <w:rsid w:val="007C0F91"/>
    <w:rsid w:val="007C1AE9"/>
    <w:rsid w:val="007C229D"/>
    <w:rsid w:val="007C2CB0"/>
    <w:rsid w:val="007C65FC"/>
    <w:rsid w:val="007C68B0"/>
    <w:rsid w:val="007D43C7"/>
    <w:rsid w:val="007E15E7"/>
    <w:rsid w:val="007E2F6C"/>
    <w:rsid w:val="007F058F"/>
    <w:rsid w:val="0080050D"/>
    <w:rsid w:val="00801D9C"/>
    <w:rsid w:val="008020E6"/>
    <w:rsid w:val="00803F23"/>
    <w:rsid w:val="00811A9E"/>
    <w:rsid w:val="00811F1B"/>
    <w:rsid w:val="00814C4B"/>
    <w:rsid w:val="00815A91"/>
    <w:rsid w:val="008166BF"/>
    <w:rsid w:val="00824CA1"/>
    <w:rsid w:val="00830048"/>
    <w:rsid w:val="0084652A"/>
    <w:rsid w:val="00851257"/>
    <w:rsid w:val="00862138"/>
    <w:rsid w:val="00862D2B"/>
    <w:rsid w:val="008649F9"/>
    <w:rsid w:val="00870975"/>
    <w:rsid w:val="00872D5B"/>
    <w:rsid w:val="008756C9"/>
    <w:rsid w:val="0087687C"/>
    <w:rsid w:val="00887523"/>
    <w:rsid w:val="0089029B"/>
    <w:rsid w:val="008908DF"/>
    <w:rsid w:val="00890928"/>
    <w:rsid w:val="00892463"/>
    <w:rsid w:val="00893769"/>
    <w:rsid w:val="008A5DEA"/>
    <w:rsid w:val="008B2037"/>
    <w:rsid w:val="008B28B0"/>
    <w:rsid w:val="008B39C6"/>
    <w:rsid w:val="008C1DEE"/>
    <w:rsid w:val="008C3413"/>
    <w:rsid w:val="008D0E41"/>
    <w:rsid w:val="008D44EE"/>
    <w:rsid w:val="008E0F39"/>
    <w:rsid w:val="008E2ED3"/>
    <w:rsid w:val="008E437F"/>
    <w:rsid w:val="008E764C"/>
    <w:rsid w:val="008F26A4"/>
    <w:rsid w:val="00904411"/>
    <w:rsid w:val="009047A8"/>
    <w:rsid w:val="00907A16"/>
    <w:rsid w:val="0091049D"/>
    <w:rsid w:val="00912D57"/>
    <w:rsid w:val="00915555"/>
    <w:rsid w:val="00915AF7"/>
    <w:rsid w:val="00916627"/>
    <w:rsid w:val="00916B78"/>
    <w:rsid w:val="009206B3"/>
    <w:rsid w:val="009215FA"/>
    <w:rsid w:val="00921AA7"/>
    <w:rsid w:val="00924AEB"/>
    <w:rsid w:val="00931832"/>
    <w:rsid w:val="009327C9"/>
    <w:rsid w:val="00934225"/>
    <w:rsid w:val="0093456F"/>
    <w:rsid w:val="009418B8"/>
    <w:rsid w:val="009432C1"/>
    <w:rsid w:val="00943A89"/>
    <w:rsid w:val="009546E3"/>
    <w:rsid w:val="0095660C"/>
    <w:rsid w:val="00956907"/>
    <w:rsid w:val="00961804"/>
    <w:rsid w:val="00965994"/>
    <w:rsid w:val="009768F1"/>
    <w:rsid w:val="00976CAF"/>
    <w:rsid w:val="00981E1B"/>
    <w:rsid w:val="00982071"/>
    <w:rsid w:val="009865FC"/>
    <w:rsid w:val="009906CD"/>
    <w:rsid w:val="009930C2"/>
    <w:rsid w:val="009A0017"/>
    <w:rsid w:val="009A51D6"/>
    <w:rsid w:val="009A7D36"/>
    <w:rsid w:val="009B0E86"/>
    <w:rsid w:val="009B4DA9"/>
    <w:rsid w:val="009C344B"/>
    <w:rsid w:val="009C55B1"/>
    <w:rsid w:val="009E13B3"/>
    <w:rsid w:val="009E1851"/>
    <w:rsid w:val="009E31FF"/>
    <w:rsid w:val="009F5DBB"/>
    <w:rsid w:val="009F5E9F"/>
    <w:rsid w:val="009F74A8"/>
    <w:rsid w:val="009F74F8"/>
    <w:rsid w:val="00A07854"/>
    <w:rsid w:val="00A10401"/>
    <w:rsid w:val="00A11331"/>
    <w:rsid w:val="00A16DC5"/>
    <w:rsid w:val="00A17560"/>
    <w:rsid w:val="00A20371"/>
    <w:rsid w:val="00A20786"/>
    <w:rsid w:val="00A26B4F"/>
    <w:rsid w:val="00A26BE8"/>
    <w:rsid w:val="00A27ABB"/>
    <w:rsid w:val="00A32B7E"/>
    <w:rsid w:val="00A364A3"/>
    <w:rsid w:val="00A45A5D"/>
    <w:rsid w:val="00A5021D"/>
    <w:rsid w:val="00A536A8"/>
    <w:rsid w:val="00A61991"/>
    <w:rsid w:val="00A61A8C"/>
    <w:rsid w:val="00A62DAF"/>
    <w:rsid w:val="00A63D9E"/>
    <w:rsid w:val="00A65CFB"/>
    <w:rsid w:val="00A712F8"/>
    <w:rsid w:val="00A715EC"/>
    <w:rsid w:val="00A72BC0"/>
    <w:rsid w:val="00A75D53"/>
    <w:rsid w:val="00A8159D"/>
    <w:rsid w:val="00A8320F"/>
    <w:rsid w:val="00A8408E"/>
    <w:rsid w:val="00A91206"/>
    <w:rsid w:val="00A92CF0"/>
    <w:rsid w:val="00A954E2"/>
    <w:rsid w:val="00AA5747"/>
    <w:rsid w:val="00AA583A"/>
    <w:rsid w:val="00AA74B4"/>
    <w:rsid w:val="00AB0BA5"/>
    <w:rsid w:val="00AB30A0"/>
    <w:rsid w:val="00AB48AE"/>
    <w:rsid w:val="00AC3C0C"/>
    <w:rsid w:val="00AC41BE"/>
    <w:rsid w:val="00AC568D"/>
    <w:rsid w:val="00AD6209"/>
    <w:rsid w:val="00AE1309"/>
    <w:rsid w:val="00AE1B2A"/>
    <w:rsid w:val="00AE5A83"/>
    <w:rsid w:val="00AF0AA4"/>
    <w:rsid w:val="00AF19E0"/>
    <w:rsid w:val="00AF1C02"/>
    <w:rsid w:val="00AF3F0B"/>
    <w:rsid w:val="00AF60D1"/>
    <w:rsid w:val="00AF6C51"/>
    <w:rsid w:val="00B1333C"/>
    <w:rsid w:val="00B13832"/>
    <w:rsid w:val="00B1424E"/>
    <w:rsid w:val="00B15CB6"/>
    <w:rsid w:val="00B15FB4"/>
    <w:rsid w:val="00B256CF"/>
    <w:rsid w:val="00B32CB7"/>
    <w:rsid w:val="00B37E51"/>
    <w:rsid w:val="00B410A3"/>
    <w:rsid w:val="00B42EF2"/>
    <w:rsid w:val="00B43559"/>
    <w:rsid w:val="00B4501A"/>
    <w:rsid w:val="00B5091A"/>
    <w:rsid w:val="00B53A7C"/>
    <w:rsid w:val="00B5596E"/>
    <w:rsid w:val="00B75E91"/>
    <w:rsid w:val="00B83034"/>
    <w:rsid w:val="00B8633D"/>
    <w:rsid w:val="00BA01DA"/>
    <w:rsid w:val="00BA0C60"/>
    <w:rsid w:val="00BA5E14"/>
    <w:rsid w:val="00BB7ACD"/>
    <w:rsid w:val="00BC0ED1"/>
    <w:rsid w:val="00BC2925"/>
    <w:rsid w:val="00BC2E01"/>
    <w:rsid w:val="00BC680F"/>
    <w:rsid w:val="00BD1300"/>
    <w:rsid w:val="00BD2781"/>
    <w:rsid w:val="00BD5ADE"/>
    <w:rsid w:val="00BF5FAD"/>
    <w:rsid w:val="00BF72F0"/>
    <w:rsid w:val="00BF7E81"/>
    <w:rsid w:val="00C00C7B"/>
    <w:rsid w:val="00C017E5"/>
    <w:rsid w:val="00C109D3"/>
    <w:rsid w:val="00C11179"/>
    <w:rsid w:val="00C14CAC"/>
    <w:rsid w:val="00C17653"/>
    <w:rsid w:val="00C221E9"/>
    <w:rsid w:val="00C231A8"/>
    <w:rsid w:val="00C27FEE"/>
    <w:rsid w:val="00C32BE5"/>
    <w:rsid w:val="00C3356F"/>
    <w:rsid w:val="00C35689"/>
    <w:rsid w:val="00C47B6A"/>
    <w:rsid w:val="00C501D7"/>
    <w:rsid w:val="00C512DE"/>
    <w:rsid w:val="00C52B9D"/>
    <w:rsid w:val="00C55806"/>
    <w:rsid w:val="00C56FEA"/>
    <w:rsid w:val="00C706A2"/>
    <w:rsid w:val="00C71D90"/>
    <w:rsid w:val="00C73A01"/>
    <w:rsid w:val="00C74E8C"/>
    <w:rsid w:val="00C7590B"/>
    <w:rsid w:val="00C77B15"/>
    <w:rsid w:val="00C82216"/>
    <w:rsid w:val="00C853C6"/>
    <w:rsid w:val="00C91F92"/>
    <w:rsid w:val="00C92BE0"/>
    <w:rsid w:val="00C93FFB"/>
    <w:rsid w:val="00C9599C"/>
    <w:rsid w:val="00C95A02"/>
    <w:rsid w:val="00C96ADE"/>
    <w:rsid w:val="00CB2A71"/>
    <w:rsid w:val="00CB369D"/>
    <w:rsid w:val="00CB535A"/>
    <w:rsid w:val="00CC1E9C"/>
    <w:rsid w:val="00CC425D"/>
    <w:rsid w:val="00CC45A4"/>
    <w:rsid w:val="00CC7AAA"/>
    <w:rsid w:val="00CD532D"/>
    <w:rsid w:val="00CE2304"/>
    <w:rsid w:val="00CE627D"/>
    <w:rsid w:val="00CF27EB"/>
    <w:rsid w:val="00D06C2E"/>
    <w:rsid w:val="00D06D06"/>
    <w:rsid w:val="00D070A9"/>
    <w:rsid w:val="00D13AD4"/>
    <w:rsid w:val="00D16900"/>
    <w:rsid w:val="00D270D7"/>
    <w:rsid w:val="00D349BA"/>
    <w:rsid w:val="00D37E8C"/>
    <w:rsid w:val="00D43063"/>
    <w:rsid w:val="00D458A2"/>
    <w:rsid w:val="00D50590"/>
    <w:rsid w:val="00D573DC"/>
    <w:rsid w:val="00D70F9E"/>
    <w:rsid w:val="00D768B1"/>
    <w:rsid w:val="00D76C71"/>
    <w:rsid w:val="00D770D0"/>
    <w:rsid w:val="00D80BA6"/>
    <w:rsid w:val="00D82E6C"/>
    <w:rsid w:val="00D93C56"/>
    <w:rsid w:val="00D93DD9"/>
    <w:rsid w:val="00DA08BD"/>
    <w:rsid w:val="00DA2765"/>
    <w:rsid w:val="00DA5378"/>
    <w:rsid w:val="00DB2374"/>
    <w:rsid w:val="00DB3528"/>
    <w:rsid w:val="00DB5E04"/>
    <w:rsid w:val="00DC2AE1"/>
    <w:rsid w:val="00DC51AC"/>
    <w:rsid w:val="00DD3F5C"/>
    <w:rsid w:val="00DD40D9"/>
    <w:rsid w:val="00DE0511"/>
    <w:rsid w:val="00DE2600"/>
    <w:rsid w:val="00DF066A"/>
    <w:rsid w:val="00DF379E"/>
    <w:rsid w:val="00E02D76"/>
    <w:rsid w:val="00E031E2"/>
    <w:rsid w:val="00E05A07"/>
    <w:rsid w:val="00E07A94"/>
    <w:rsid w:val="00E07F0A"/>
    <w:rsid w:val="00E1699C"/>
    <w:rsid w:val="00E17157"/>
    <w:rsid w:val="00E21901"/>
    <w:rsid w:val="00E22113"/>
    <w:rsid w:val="00E243CE"/>
    <w:rsid w:val="00E3704F"/>
    <w:rsid w:val="00E46457"/>
    <w:rsid w:val="00E517D1"/>
    <w:rsid w:val="00E52D4A"/>
    <w:rsid w:val="00E566D2"/>
    <w:rsid w:val="00E57ECC"/>
    <w:rsid w:val="00E6015E"/>
    <w:rsid w:val="00E61060"/>
    <w:rsid w:val="00E61FA3"/>
    <w:rsid w:val="00E6458F"/>
    <w:rsid w:val="00E66DBC"/>
    <w:rsid w:val="00E675A0"/>
    <w:rsid w:val="00E80E68"/>
    <w:rsid w:val="00E8306C"/>
    <w:rsid w:val="00E83DED"/>
    <w:rsid w:val="00E9572E"/>
    <w:rsid w:val="00EA38B2"/>
    <w:rsid w:val="00EB4D73"/>
    <w:rsid w:val="00EB5D92"/>
    <w:rsid w:val="00EC190B"/>
    <w:rsid w:val="00EC4717"/>
    <w:rsid w:val="00ED043F"/>
    <w:rsid w:val="00ED0575"/>
    <w:rsid w:val="00ED1C3A"/>
    <w:rsid w:val="00ED2DF4"/>
    <w:rsid w:val="00ED354D"/>
    <w:rsid w:val="00ED6B2A"/>
    <w:rsid w:val="00EE2BCE"/>
    <w:rsid w:val="00EE53EE"/>
    <w:rsid w:val="00EE5D30"/>
    <w:rsid w:val="00EE69AD"/>
    <w:rsid w:val="00EE771A"/>
    <w:rsid w:val="00EF5F0B"/>
    <w:rsid w:val="00F003C5"/>
    <w:rsid w:val="00F057CD"/>
    <w:rsid w:val="00F14C9C"/>
    <w:rsid w:val="00F1557D"/>
    <w:rsid w:val="00F24A69"/>
    <w:rsid w:val="00F25754"/>
    <w:rsid w:val="00F30069"/>
    <w:rsid w:val="00F32B41"/>
    <w:rsid w:val="00F3619E"/>
    <w:rsid w:val="00F41986"/>
    <w:rsid w:val="00F459C3"/>
    <w:rsid w:val="00F4784F"/>
    <w:rsid w:val="00F5300B"/>
    <w:rsid w:val="00F610C4"/>
    <w:rsid w:val="00F70B04"/>
    <w:rsid w:val="00F750E3"/>
    <w:rsid w:val="00F82B5A"/>
    <w:rsid w:val="00F83A3F"/>
    <w:rsid w:val="00F870C9"/>
    <w:rsid w:val="00F96282"/>
    <w:rsid w:val="00F972C8"/>
    <w:rsid w:val="00FA19C8"/>
    <w:rsid w:val="00FB28F0"/>
    <w:rsid w:val="00FB6150"/>
    <w:rsid w:val="00FC508A"/>
    <w:rsid w:val="00FC5898"/>
    <w:rsid w:val="00FD0E0B"/>
    <w:rsid w:val="00FD0FA3"/>
    <w:rsid w:val="00FD52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4:docId w14:val="358206DA"/>
  <w15:docId w15:val="{52F4E613-0B75-47D2-BD8D-783997F2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14C9C"/>
    <w:rPr>
      <w:sz w:val="24"/>
      <w:szCs w:val="24"/>
      <w:lang w:val="sk-SK" w:eastAsia="cs-CZ"/>
    </w:rPr>
  </w:style>
  <w:style w:type="paragraph" w:styleId="Nadpis1">
    <w:name w:val="heading 1"/>
    <w:basedOn w:val="Normlny"/>
    <w:next w:val="Normlny"/>
    <w:link w:val="Nadpis1Char"/>
    <w:uiPriority w:val="9"/>
    <w:qFormat/>
    <w:rsid w:val="00916627"/>
    <w:pPr>
      <w:keepNext/>
      <w:outlineLvl w:val="0"/>
    </w:pPr>
    <w:rPr>
      <w:rFonts w:ascii="Cambria" w:hAnsi="Cambria"/>
      <w:b/>
      <w:kern w:val="32"/>
      <w:sz w:val="32"/>
      <w:szCs w:val="20"/>
    </w:rPr>
  </w:style>
  <w:style w:type="paragraph" w:styleId="Nadpis2">
    <w:name w:val="heading 2"/>
    <w:basedOn w:val="Normlny"/>
    <w:next w:val="Normlny"/>
    <w:link w:val="Nadpis2Char"/>
    <w:uiPriority w:val="9"/>
    <w:qFormat/>
    <w:rsid w:val="00916627"/>
    <w:pPr>
      <w:keepNext/>
      <w:outlineLvl w:val="1"/>
    </w:pPr>
    <w:rPr>
      <w:rFonts w:ascii="Cambria" w:hAnsi="Cambria"/>
      <w:b/>
      <w:i/>
      <w:sz w:val="28"/>
      <w:szCs w:val="20"/>
    </w:rPr>
  </w:style>
  <w:style w:type="paragraph" w:styleId="Nadpis3">
    <w:name w:val="heading 3"/>
    <w:basedOn w:val="Normlny"/>
    <w:next w:val="Normlny"/>
    <w:link w:val="Nadpis3Char"/>
    <w:uiPriority w:val="9"/>
    <w:qFormat/>
    <w:rsid w:val="00916627"/>
    <w:pPr>
      <w:keepNext/>
      <w:outlineLvl w:val="2"/>
    </w:pPr>
    <w:rPr>
      <w:rFonts w:ascii="Cambria" w:hAnsi="Cambria"/>
      <w:b/>
      <w:sz w:val="26"/>
      <w:szCs w:val="20"/>
    </w:rPr>
  </w:style>
  <w:style w:type="paragraph" w:styleId="Nadpis4">
    <w:name w:val="heading 4"/>
    <w:basedOn w:val="Normlny"/>
    <w:next w:val="Normlny"/>
    <w:link w:val="Nadpis4Char"/>
    <w:uiPriority w:val="9"/>
    <w:qFormat/>
    <w:rsid w:val="00916627"/>
    <w:pPr>
      <w:keepNext/>
      <w:outlineLvl w:val="3"/>
    </w:pPr>
    <w:rPr>
      <w:rFonts w:ascii="Calibri" w:hAnsi="Calibri"/>
      <w:b/>
      <w:sz w:val="28"/>
      <w:szCs w:val="20"/>
    </w:rPr>
  </w:style>
  <w:style w:type="paragraph" w:styleId="Nadpis5">
    <w:name w:val="heading 5"/>
    <w:basedOn w:val="Normlny"/>
    <w:next w:val="Normlny"/>
    <w:link w:val="Nadpis5Char"/>
    <w:uiPriority w:val="9"/>
    <w:qFormat/>
    <w:rsid w:val="00916627"/>
    <w:pPr>
      <w:keepNext/>
      <w:jc w:val="center"/>
      <w:outlineLvl w:val="4"/>
    </w:pPr>
    <w:rPr>
      <w:rFonts w:ascii="Calibri" w:hAnsi="Calibri"/>
      <w:b/>
      <w:i/>
      <w:sz w:val="26"/>
      <w:szCs w:val="20"/>
    </w:rPr>
  </w:style>
  <w:style w:type="paragraph" w:styleId="Nadpis6">
    <w:name w:val="heading 6"/>
    <w:basedOn w:val="Normlny"/>
    <w:next w:val="Normlny"/>
    <w:link w:val="Nadpis6Char"/>
    <w:uiPriority w:val="9"/>
    <w:qFormat/>
    <w:rsid w:val="00916627"/>
    <w:pPr>
      <w:keepNext/>
      <w:outlineLvl w:val="5"/>
    </w:pPr>
    <w:rPr>
      <w:rFonts w:ascii="Calibri" w:hAnsi="Calibri"/>
      <w:b/>
      <w:sz w:val="22"/>
      <w:szCs w:val="20"/>
    </w:rPr>
  </w:style>
  <w:style w:type="paragraph" w:styleId="Nadpis7">
    <w:name w:val="heading 7"/>
    <w:basedOn w:val="Normlny"/>
    <w:next w:val="Normlny"/>
    <w:link w:val="Nadpis7Char"/>
    <w:uiPriority w:val="9"/>
    <w:qFormat/>
    <w:rsid w:val="00916627"/>
    <w:pPr>
      <w:keepNext/>
      <w:ind w:left="360"/>
      <w:outlineLvl w:val="6"/>
    </w:pPr>
    <w:rPr>
      <w:rFonts w:ascii="Calibri" w:hAnsi="Calibri"/>
      <w:szCs w:val="20"/>
    </w:rPr>
  </w:style>
  <w:style w:type="paragraph" w:styleId="Nadpis8">
    <w:name w:val="heading 8"/>
    <w:basedOn w:val="Normlny"/>
    <w:next w:val="Normlny"/>
    <w:link w:val="Nadpis8Char"/>
    <w:uiPriority w:val="9"/>
    <w:qFormat/>
    <w:rsid w:val="00916627"/>
    <w:pPr>
      <w:keepNext/>
      <w:ind w:left="360"/>
      <w:outlineLvl w:val="7"/>
    </w:pPr>
    <w:rPr>
      <w:rFonts w:ascii="Calibri" w:hAnsi="Calibri"/>
      <w:i/>
      <w:szCs w:val="20"/>
    </w:rPr>
  </w:style>
  <w:style w:type="paragraph" w:styleId="Nadpis9">
    <w:name w:val="heading 9"/>
    <w:basedOn w:val="Normlny"/>
    <w:next w:val="Normlny"/>
    <w:link w:val="Nadpis9Char"/>
    <w:uiPriority w:val="9"/>
    <w:qFormat/>
    <w:rsid w:val="00916627"/>
    <w:pPr>
      <w:keepNext/>
      <w:ind w:left="360"/>
      <w:outlineLvl w:val="8"/>
    </w:pPr>
    <w:rPr>
      <w:rFonts w:ascii="Cambria" w:hAnsi="Cambria"/>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2171A3"/>
    <w:rPr>
      <w:rFonts w:ascii="Cambria" w:hAnsi="Cambria"/>
      <w:b/>
      <w:kern w:val="32"/>
      <w:sz w:val="32"/>
      <w:lang w:eastAsia="cs-CZ"/>
    </w:rPr>
  </w:style>
  <w:style w:type="character" w:customStyle="1" w:styleId="Nadpis2Char">
    <w:name w:val="Nadpis 2 Char"/>
    <w:link w:val="Nadpis2"/>
    <w:uiPriority w:val="9"/>
    <w:semiHidden/>
    <w:locked/>
    <w:rsid w:val="002171A3"/>
    <w:rPr>
      <w:rFonts w:ascii="Cambria" w:hAnsi="Cambria"/>
      <w:b/>
      <w:i/>
      <w:sz w:val="28"/>
      <w:lang w:eastAsia="cs-CZ"/>
    </w:rPr>
  </w:style>
  <w:style w:type="character" w:customStyle="1" w:styleId="Nadpis3Char">
    <w:name w:val="Nadpis 3 Char"/>
    <w:link w:val="Nadpis3"/>
    <w:uiPriority w:val="9"/>
    <w:semiHidden/>
    <w:locked/>
    <w:rsid w:val="002171A3"/>
    <w:rPr>
      <w:rFonts w:ascii="Cambria" w:hAnsi="Cambria"/>
      <w:b/>
      <w:sz w:val="26"/>
      <w:lang w:eastAsia="cs-CZ"/>
    </w:rPr>
  </w:style>
  <w:style w:type="character" w:customStyle="1" w:styleId="Nadpis4Char">
    <w:name w:val="Nadpis 4 Char"/>
    <w:link w:val="Nadpis4"/>
    <w:uiPriority w:val="9"/>
    <w:semiHidden/>
    <w:locked/>
    <w:rsid w:val="002171A3"/>
    <w:rPr>
      <w:rFonts w:ascii="Calibri" w:hAnsi="Calibri"/>
      <w:b/>
      <w:sz w:val="28"/>
      <w:lang w:eastAsia="cs-CZ"/>
    </w:rPr>
  </w:style>
  <w:style w:type="character" w:customStyle="1" w:styleId="Nadpis5Char">
    <w:name w:val="Nadpis 5 Char"/>
    <w:link w:val="Nadpis5"/>
    <w:uiPriority w:val="9"/>
    <w:semiHidden/>
    <w:locked/>
    <w:rsid w:val="002171A3"/>
    <w:rPr>
      <w:rFonts w:ascii="Calibri" w:hAnsi="Calibri"/>
      <w:b/>
      <w:i/>
      <w:sz w:val="26"/>
      <w:lang w:eastAsia="cs-CZ"/>
    </w:rPr>
  </w:style>
  <w:style w:type="character" w:customStyle="1" w:styleId="Nadpis6Char">
    <w:name w:val="Nadpis 6 Char"/>
    <w:link w:val="Nadpis6"/>
    <w:uiPriority w:val="9"/>
    <w:semiHidden/>
    <w:locked/>
    <w:rsid w:val="002171A3"/>
    <w:rPr>
      <w:rFonts w:ascii="Calibri" w:hAnsi="Calibri"/>
      <w:b/>
      <w:sz w:val="22"/>
      <w:lang w:eastAsia="cs-CZ"/>
    </w:rPr>
  </w:style>
  <w:style w:type="character" w:customStyle="1" w:styleId="Nadpis7Char">
    <w:name w:val="Nadpis 7 Char"/>
    <w:link w:val="Nadpis7"/>
    <w:uiPriority w:val="9"/>
    <w:semiHidden/>
    <w:locked/>
    <w:rsid w:val="002171A3"/>
    <w:rPr>
      <w:rFonts w:ascii="Calibri" w:hAnsi="Calibri"/>
      <w:sz w:val="24"/>
      <w:lang w:eastAsia="cs-CZ"/>
    </w:rPr>
  </w:style>
  <w:style w:type="character" w:customStyle="1" w:styleId="Nadpis8Char">
    <w:name w:val="Nadpis 8 Char"/>
    <w:link w:val="Nadpis8"/>
    <w:uiPriority w:val="9"/>
    <w:semiHidden/>
    <w:locked/>
    <w:rsid w:val="002171A3"/>
    <w:rPr>
      <w:rFonts w:ascii="Calibri" w:hAnsi="Calibri"/>
      <w:i/>
      <w:sz w:val="24"/>
      <w:lang w:eastAsia="cs-CZ"/>
    </w:rPr>
  </w:style>
  <w:style w:type="character" w:customStyle="1" w:styleId="Nadpis9Char">
    <w:name w:val="Nadpis 9 Char"/>
    <w:link w:val="Nadpis9"/>
    <w:uiPriority w:val="9"/>
    <w:semiHidden/>
    <w:locked/>
    <w:rsid w:val="002171A3"/>
    <w:rPr>
      <w:rFonts w:ascii="Cambria" w:hAnsi="Cambria"/>
      <w:sz w:val="22"/>
      <w:lang w:eastAsia="cs-CZ"/>
    </w:rPr>
  </w:style>
  <w:style w:type="paragraph" w:styleId="Zarkazkladnhotextu">
    <w:name w:val="Body Text Indent"/>
    <w:basedOn w:val="Normlny"/>
    <w:link w:val="ZarkazkladnhotextuChar"/>
    <w:uiPriority w:val="99"/>
    <w:rsid w:val="00916627"/>
    <w:pPr>
      <w:ind w:left="360"/>
    </w:pPr>
    <w:rPr>
      <w:szCs w:val="20"/>
    </w:rPr>
  </w:style>
  <w:style w:type="character" w:customStyle="1" w:styleId="ZarkazkladnhotextuChar">
    <w:name w:val="Zarážka základného textu Char"/>
    <w:link w:val="Zarkazkladnhotextu"/>
    <w:uiPriority w:val="99"/>
    <w:semiHidden/>
    <w:locked/>
    <w:rsid w:val="002171A3"/>
    <w:rPr>
      <w:sz w:val="24"/>
      <w:lang w:eastAsia="cs-CZ"/>
    </w:rPr>
  </w:style>
  <w:style w:type="paragraph" w:styleId="Zkladntext">
    <w:name w:val="Body Text"/>
    <w:basedOn w:val="Normlny"/>
    <w:link w:val="ZkladntextChar"/>
    <w:uiPriority w:val="99"/>
    <w:rsid w:val="00916627"/>
    <w:rPr>
      <w:szCs w:val="20"/>
    </w:rPr>
  </w:style>
  <w:style w:type="character" w:customStyle="1" w:styleId="ZkladntextChar">
    <w:name w:val="Základný text Char"/>
    <w:link w:val="Zkladntext"/>
    <w:uiPriority w:val="99"/>
    <w:semiHidden/>
    <w:locked/>
    <w:rsid w:val="002171A3"/>
    <w:rPr>
      <w:sz w:val="24"/>
      <w:lang w:eastAsia="cs-CZ"/>
    </w:rPr>
  </w:style>
  <w:style w:type="paragraph" w:styleId="Hlavika">
    <w:name w:val="header"/>
    <w:basedOn w:val="Normlny"/>
    <w:link w:val="HlavikaChar"/>
    <w:uiPriority w:val="99"/>
    <w:rsid w:val="00916627"/>
    <w:pPr>
      <w:tabs>
        <w:tab w:val="center" w:pos="4536"/>
        <w:tab w:val="right" w:pos="9072"/>
      </w:tabs>
    </w:pPr>
    <w:rPr>
      <w:szCs w:val="20"/>
    </w:rPr>
  </w:style>
  <w:style w:type="character" w:customStyle="1" w:styleId="HlavikaChar">
    <w:name w:val="Hlavička Char"/>
    <w:link w:val="Hlavika"/>
    <w:uiPriority w:val="99"/>
    <w:locked/>
    <w:rsid w:val="00DA5378"/>
    <w:rPr>
      <w:sz w:val="24"/>
      <w:lang w:eastAsia="cs-CZ"/>
    </w:rPr>
  </w:style>
  <w:style w:type="paragraph" w:styleId="Pta">
    <w:name w:val="footer"/>
    <w:basedOn w:val="Normlny"/>
    <w:link w:val="PtaChar"/>
    <w:uiPriority w:val="99"/>
    <w:rsid w:val="00916627"/>
    <w:pPr>
      <w:tabs>
        <w:tab w:val="center" w:pos="4536"/>
        <w:tab w:val="right" w:pos="9072"/>
      </w:tabs>
    </w:pPr>
    <w:rPr>
      <w:szCs w:val="20"/>
    </w:rPr>
  </w:style>
  <w:style w:type="character" w:customStyle="1" w:styleId="PtaChar">
    <w:name w:val="Päta Char"/>
    <w:link w:val="Pta"/>
    <w:uiPriority w:val="99"/>
    <w:locked/>
    <w:rsid w:val="00DA5378"/>
    <w:rPr>
      <w:sz w:val="24"/>
      <w:lang w:eastAsia="cs-CZ"/>
    </w:rPr>
  </w:style>
  <w:style w:type="paragraph" w:styleId="Textbubliny">
    <w:name w:val="Balloon Text"/>
    <w:basedOn w:val="Normlny"/>
    <w:link w:val="TextbublinyChar"/>
    <w:uiPriority w:val="99"/>
    <w:semiHidden/>
    <w:rsid w:val="00F14C9C"/>
    <w:rPr>
      <w:sz w:val="22"/>
      <w:szCs w:val="20"/>
    </w:rPr>
  </w:style>
  <w:style w:type="character" w:customStyle="1" w:styleId="TextbublinyChar">
    <w:name w:val="Text bubliny Char"/>
    <w:link w:val="Textbubliny"/>
    <w:uiPriority w:val="99"/>
    <w:semiHidden/>
    <w:locked/>
    <w:rsid w:val="00F14C9C"/>
    <w:rPr>
      <w:sz w:val="22"/>
      <w:lang w:val="sk-SK" w:eastAsia="cs-CZ"/>
    </w:rPr>
  </w:style>
  <w:style w:type="character" w:styleId="slostrany">
    <w:name w:val="page number"/>
    <w:basedOn w:val="Predvolenpsmoodseku"/>
    <w:uiPriority w:val="99"/>
    <w:rsid w:val="00C231A8"/>
  </w:style>
  <w:style w:type="character" w:styleId="Hypertextovprepojenie">
    <w:name w:val="Hyperlink"/>
    <w:uiPriority w:val="99"/>
    <w:rsid w:val="00E8306C"/>
    <w:rPr>
      <w:color w:val="0000FF"/>
      <w:u w:val="single"/>
    </w:rPr>
  </w:style>
  <w:style w:type="character" w:styleId="Odkaznakomentr">
    <w:name w:val="annotation reference"/>
    <w:uiPriority w:val="99"/>
    <w:semiHidden/>
    <w:rsid w:val="00727C7B"/>
    <w:rPr>
      <w:sz w:val="16"/>
    </w:rPr>
  </w:style>
  <w:style w:type="paragraph" w:styleId="Textkomentra">
    <w:name w:val="annotation text"/>
    <w:basedOn w:val="Normlny"/>
    <w:link w:val="TextkomentraChar"/>
    <w:uiPriority w:val="99"/>
    <w:semiHidden/>
    <w:rsid w:val="00727C7B"/>
    <w:rPr>
      <w:sz w:val="20"/>
      <w:szCs w:val="20"/>
    </w:rPr>
  </w:style>
  <w:style w:type="character" w:customStyle="1" w:styleId="TextkomentraChar">
    <w:name w:val="Text komentára Char"/>
    <w:link w:val="Textkomentra"/>
    <w:uiPriority w:val="99"/>
    <w:semiHidden/>
    <w:locked/>
    <w:rsid w:val="00072475"/>
    <w:rPr>
      <w:lang w:eastAsia="cs-CZ"/>
    </w:rPr>
  </w:style>
  <w:style w:type="paragraph" w:styleId="Predmetkomentra">
    <w:name w:val="annotation subject"/>
    <w:basedOn w:val="Textkomentra"/>
    <w:next w:val="Textkomentra"/>
    <w:link w:val="PredmetkomentraChar"/>
    <w:uiPriority w:val="99"/>
    <w:semiHidden/>
    <w:rsid w:val="00727C7B"/>
    <w:rPr>
      <w:b/>
    </w:rPr>
  </w:style>
  <w:style w:type="character" w:customStyle="1" w:styleId="PredmetkomentraChar">
    <w:name w:val="Predmet komentára Char"/>
    <w:link w:val="Predmetkomentra"/>
    <w:uiPriority w:val="99"/>
    <w:semiHidden/>
    <w:locked/>
    <w:rsid w:val="002171A3"/>
    <w:rPr>
      <w:b/>
      <w:lang w:eastAsia="cs-CZ"/>
    </w:rPr>
  </w:style>
  <w:style w:type="paragraph" w:customStyle="1" w:styleId="Zkladntext21">
    <w:name w:val="Základní text 21"/>
    <w:basedOn w:val="Normlny"/>
    <w:rsid w:val="00707516"/>
    <w:pPr>
      <w:suppressAutoHyphens/>
    </w:pPr>
    <w:rPr>
      <w:sz w:val="22"/>
      <w:szCs w:val="20"/>
    </w:rPr>
  </w:style>
  <w:style w:type="paragraph" w:styleId="Revzia">
    <w:name w:val="Revision"/>
    <w:hidden/>
    <w:uiPriority w:val="99"/>
    <w:semiHidden/>
    <w:rsid w:val="009B4DA9"/>
    <w:rPr>
      <w:sz w:val="24"/>
      <w:szCs w:val="24"/>
      <w:lang w:val="sk-SK" w:eastAsia="cs-CZ"/>
    </w:rPr>
  </w:style>
  <w:style w:type="character" w:styleId="Zvraznenie">
    <w:name w:val="Emphasis"/>
    <w:uiPriority w:val="20"/>
    <w:qFormat/>
    <w:rsid w:val="004604D4"/>
    <w:rPr>
      <w:b/>
    </w:rPr>
  </w:style>
  <w:style w:type="character" w:customStyle="1" w:styleId="st1">
    <w:name w:val="st1"/>
    <w:rsid w:val="004604D4"/>
  </w:style>
  <w:style w:type="paragraph" w:styleId="Odsekzoznamu">
    <w:name w:val="List Paragraph"/>
    <w:basedOn w:val="Normlny"/>
    <w:uiPriority w:val="34"/>
    <w:qFormat/>
    <w:rsid w:val="00B256CF"/>
    <w:pPr>
      <w:ind w:left="720"/>
      <w:contextualSpacing/>
    </w:pPr>
  </w:style>
  <w:style w:type="paragraph" w:styleId="Normlnywebov">
    <w:name w:val="Normal (Web)"/>
    <w:basedOn w:val="Normlny"/>
    <w:uiPriority w:val="99"/>
    <w:unhideWhenUsed/>
    <w:rsid w:val="009E31FF"/>
    <w:pPr>
      <w:spacing w:before="180"/>
    </w:pPr>
    <w:rPr>
      <w:lang w:val="en-US" w:eastAsia="en-US"/>
    </w:rPr>
  </w:style>
  <w:style w:type="character" w:styleId="Siln">
    <w:name w:val="Strong"/>
    <w:basedOn w:val="Predvolenpsmoodseku"/>
    <w:uiPriority w:val="22"/>
    <w:qFormat/>
    <w:rsid w:val="009E31FF"/>
    <w:rPr>
      <w:b/>
      <w:bCs/>
    </w:rPr>
  </w:style>
  <w:style w:type="character" w:customStyle="1" w:styleId="hps">
    <w:name w:val="hps"/>
    <w:rsid w:val="005E41EC"/>
  </w:style>
  <w:style w:type="paragraph" w:customStyle="1" w:styleId="TableText">
    <w:name w:val="Table Text"/>
    <w:basedOn w:val="Normlny"/>
    <w:rsid w:val="00674593"/>
    <w:rPr>
      <w:rFonts w:ascii="CG Times (W1)" w:hAnsi="CG Times (W1)"/>
      <w:sz w:val="20"/>
      <w:szCs w:val="20"/>
      <w:lang w:val="en-GB" w:eastAsia="en-US"/>
    </w:rPr>
  </w:style>
  <w:style w:type="character" w:styleId="PouitHypertextovPrepojenie">
    <w:name w:val="FollowedHyperlink"/>
    <w:basedOn w:val="Predvolenpsmoodseku"/>
    <w:uiPriority w:val="99"/>
    <w:semiHidden/>
    <w:unhideWhenUsed/>
    <w:rsid w:val="007B54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1540">
      <w:bodyDiv w:val="1"/>
      <w:marLeft w:val="0"/>
      <w:marRight w:val="0"/>
      <w:marTop w:val="0"/>
      <w:marBottom w:val="0"/>
      <w:divBdr>
        <w:top w:val="none" w:sz="0" w:space="0" w:color="auto"/>
        <w:left w:val="none" w:sz="0" w:space="0" w:color="auto"/>
        <w:bottom w:val="none" w:sz="0" w:space="0" w:color="auto"/>
        <w:right w:val="none" w:sz="0" w:space="0" w:color="auto"/>
      </w:divBdr>
    </w:div>
    <w:div w:id="279653348">
      <w:bodyDiv w:val="1"/>
      <w:marLeft w:val="0"/>
      <w:marRight w:val="0"/>
      <w:marTop w:val="0"/>
      <w:marBottom w:val="0"/>
      <w:divBdr>
        <w:top w:val="none" w:sz="0" w:space="0" w:color="auto"/>
        <w:left w:val="none" w:sz="0" w:space="0" w:color="auto"/>
        <w:bottom w:val="none" w:sz="0" w:space="0" w:color="auto"/>
        <w:right w:val="none" w:sz="0" w:space="0" w:color="auto"/>
      </w:divBdr>
    </w:div>
    <w:div w:id="636909747">
      <w:bodyDiv w:val="1"/>
      <w:marLeft w:val="0"/>
      <w:marRight w:val="0"/>
      <w:marTop w:val="0"/>
      <w:marBottom w:val="0"/>
      <w:divBdr>
        <w:top w:val="none" w:sz="0" w:space="0" w:color="auto"/>
        <w:left w:val="none" w:sz="0" w:space="0" w:color="auto"/>
        <w:bottom w:val="none" w:sz="0" w:space="0" w:color="auto"/>
        <w:right w:val="none" w:sz="0" w:space="0" w:color="auto"/>
      </w:divBdr>
    </w:div>
    <w:div w:id="895313958">
      <w:bodyDiv w:val="1"/>
      <w:marLeft w:val="0"/>
      <w:marRight w:val="0"/>
      <w:marTop w:val="0"/>
      <w:marBottom w:val="0"/>
      <w:divBdr>
        <w:top w:val="none" w:sz="0" w:space="0" w:color="auto"/>
        <w:left w:val="none" w:sz="0" w:space="0" w:color="auto"/>
        <w:bottom w:val="none" w:sz="0" w:space="0" w:color="auto"/>
        <w:right w:val="none" w:sz="0" w:space="0" w:color="auto"/>
      </w:divBdr>
    </w:div>
    <w:div w:id="1389182132">
      <w:marLeft w:val="0"/>
      <w:marRight w:val="0"/>
      <w:marTop w:val="0"/>
      <w:marBottom w:val="0"/>
      <w:divBdr>
        <w:top w:val="none" w:sz="0" w:space="0" w:color="auto"/>
        <w:left w:val="none" w:sz="0" w:space="0" w:color="auto"/>
        <w:bottom w:val="none" w:sz="0" w:space="0" w:color="auto"/>
        <w:right w:val="none" w:sz="0" w:space="0" w:color="auto"/>
      </w:divBdr>
    </w:div>
    <w:div w:id="1389182133">
      <w:marLeft w:val="0"/>
      <w:marRight w:val="0"/>
      <w:marTop w:val="0"/>
      <w:marBottom w:val="0"/>
      <w:divBdr>
        <w:top w:val="none" w:sz="0" w:space="0" w:color="auto"/>
        <w:left w:val="none" w:sz="0" w:space="0" w:color="auto"/>
        <w:bottom w:val="none" w:sz="0" w:space="0" w:color="auto"/>
        <w:right w:val="none" w:sz="0" w:space="0" w:color="auto"/>
      </w:divBdr>
    </w:div>
    <w:div w:id="13891821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85A5B-8DF9-4E8C-9A72-66162607B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8102</Words>
  <Characters>46186</Characters>
  <Application>Microsoft Office Word</Application>
  <DocSecurity>0</DocSecurity>
  <Lines>384</Lines>
  <Paragraphs>108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TATRY  2001</vt:lpstr>
      <vt:lpstr>TATRY  2001</vt:lpstr>
    </vt:vector>
  </TitlesOfParts>
  <Company>escho</Company>
  <LinksUpToDate>false</LinksUpToDate>
  <CharactersWithSpaces>54180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TATRY  2001</dc:title>
  <dc:creator>Ing. Branislav Števo</dc:creator>
  <cp:lastModifiedBy>Repiščáková, Janka</cp:lastModifiedBy>
  <cp:revision>27</cp:revision>
  <cp:lastPrinted>2007-03-26T09:04:00Z</cp:lastPrinted>
  <dcterms:created xsi:type="dcterms:W3CDTF">2018-06-27T13:27:00Z</dcterms:created>
  <dcterms:modified xsi:type="dcterms:W3CDTF">2019-11-11T09:29:00Z</dcterms:modified>
</cp:coreProperties>
</file>