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23" w:rsidRDefault="00103A23" w:rsidP="00C30D61">
      <w:pPr>
        <w:rPr>
          <w:b/>
          <w:sz w:val="22"/>
          <w:szCs w:val="22"/>
        </w:rPr>
      </w:pPr>
    </w:p>
    <w:p w:rsidR="00591F74" w:rsidRPr="00664446" w:rsidRDefault="00591F74" w:rsidP="00224C6F">
      <w:pPr>
        <w:jc w:val="center"/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SÚHRN  CHARAKTERISTICKÝCH VLASTNOSTÍ  LIEKU</w:t>
      </w:r>
    </w:p>
    <w:p w:rsidR="00546FF3" w:rsidRPr="00664446" w:rsidRDefault="00546FF3">
      <w:pPr>
        <w:rPr>
          <w:b/>
          <w:sz w:val="22"/>
          <w:szCs w:val="22"/>
        </w:rPr>
      </w:pPr>
    </w:p>
    <w:p w:rsidR="00224C6F" w:rsidRPr="00664446" w:rsidRDefault="00224C6F">
      <w:pPr>
        <w:rPr>
          <w:b/>
          <w:sz w:val="22"/>
          <w:szCs w:val="22"/>
        </w:rPr>
      </w:pPr>
    </w:p>
    <w:p w:rsidR="00591F74" w:rsidRPr="00664446" w:rsidRDefault="00591F74" w:rsidP="004352D8">
      <w:pPr>
        <w:numPr>
          <w:ilvl w:val="0"/>
          <w:numId w:val="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NÁZOV LIEKU </w:t>
      </w:r>
    </w:p>
    <w:p w:rsidR="00224C6F" w:rsidRPr="00664446" w:rsidRDefault="00224C6F">
      <w:pPr>
        <w:rPr>
          <w:sz w:val="22"/>
          <w:szCs w:val="22"/>
        </w:rPr>
      </w:pPr>
    </w:p>
    <w:p w:rsidR="00591F74" w:rsidRDefault="00737236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Pentasa Sachet </w:t>
      </w:r>
      <w:r w:rsidR="00BF44F5">
        <w:rPr>
          <w:sz w:val="22"/>
          <w:szCs w:val="22"/>
        </w:rPr>
        <w:t>4</w:t>
      </w:r>
      <w:r w:rsidR="007C19EC" w:rsidRPr="00664446">
        <w:rPr>
          <w:sz w:val="22"/>
          <w:szCs w:val="22"/>
        </w:rPr>
        <w:t> </w:t>
      </w:r>
      <w:r w:rsidR="00591F74" w:rsidRPr="00664446">
        <w:rPr>
          <w:sz w:val="22"/>
          <w:szCs w:val="22"/>
        </w:rPr>
        <w:t>g</w:t>
      </w:r>
    </w:p>
    <w:p w:rsidR="00A05890" w:rsidRPr="00664446" w:rsidRDefault="00A05890">
      <w:pPr>
        <w:rPr>
          <w:sz w:val="22"/>
          <w:szCs w:val="22"/>
        </w:rPr>
      </w:pPr>
      <w:r>
        <w:rPr>
          <w:sz w:val="22"/>
          <w:szCs w:val="22"/>
        </w:rPr>
        <w:t>granulát s predĺženým uvoľňovaním</w:t>
      </w:r>
    </w:p>
    <w:p w:rsidR="00591F74" w:rsidRPr="00664446" w:rsidRDefault="00591F74">
      <w:pPr>
        <w:rPr>
          <w:b/>
          <w:sz w:val="22"/>
          <w:szCs w:val="22"/>
        </w:rPr>
      </w:pPr>
    </w:p>
    <w:p w:rsidR="00224C6F" w:rsidRPr="00664446" w:rsidRDefault="00224C6F">
      <w:pPr>
        <w:rPr>
          <w:b/>
          <w:sz w:val="22"/>
          <w:szCs w:val="22"/>
        </w:rPr>
      </w:pPr>
    </w:p>
    <w:p w:rsidR="00591F74" w:rsidRPr="00664446" w:rsidRDefault="00591F74" w:rsidP="004352D8">
      <w:pPr>
        <w:numPr>
          <w:ilvl w:val="0"/>
          <w:numId w:val="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KVALITATÍVNE A KVANTITATÍVNE ZLOŽENIE </w:t>
      </w:r>
    </w:p>
    <w:p w:rsidR="00224C6F" w:rsidRPr="00664446" w:rsidRDefault="00224C6F">
      <w:pPr>
        <w:rPr>
          <w:sz w:val="22"/>
          <w:szCs w:val="22"/>
        </w:rPr>
      </w:pPr>
    </w:p>
    <w:p w:rsidR="00591F74" w:rsidRPr="00664446" w:rsidRDefault="00F932B9">
      <w:pPr>
        <w:rPr>
          <w:sz w:val="22"/>
          <w:szCs w:val="22"/>
        </w:rPr>
      </w:pPr>
      <w:r w:rsidRPr="00664446">
        <w:rPr>
          <w:sz w:val="22"/>
          <w:szCs w:val="22"/>
        </w:rPr>
        <w:t>Jedno</w:t>
      </w:r>
      <w:r w:rsidR="007B7DC6" w:rsidRPr="00664446">
        <w:rPr>
          <w:sz w:val="22"/>
          <w:szCs w:val="22"/>
        </w:rPr>
        <w:t xml:space="preserve"> </w:t>
      </w:r>
      <w:r w:rsidR="0020059B" w:rsidRPr="00664446">
        <w:rPr>
          <w:sz w:val="22"/>
          <w:szCs w:val="22"/>
        </w:rPr>
        <w:t>vrecko</w:t>
      </w:r>
      <w:r w:rsidR="007B7DC6" w:rsidRPr="00664446">
        <w:rPr>
          <w:sz w:val="22"/>
          <w:szCs w:val="22"/>
        </w:rPr>
        <w:t xml:space="preserve"> obsahuje</w:t>
      </w:r>
      <w:r w:rsidR="00E95321" w:rsidRPr="00664446">
        <w:rPr>
          <w:sz w:val="22"/>
          <w:szCs w:val="22"/>
        </w:rPr>
        <w:t xml:space="preserve"> </w:t>
      </w:r>
      <w:r w:rsidR="00BF44F5">
        <w:rPr>
          <w:sz w:val="22"/>
          <w:szCs w:val="22"/>
        </w:rPr>
        <w:t>4</w:t>
      </w:r>
      <w:r w:rsidR="007C19EC" w:rsidRPr="00664446">
        <w:rPr>
          <w:sz w:val="22"/>
          <w:szCs w:val="22"/>
        </w:rPr>
        <w:t> </w:t>
      </w:r>
      <w:r w:rsidR="00E95321" w:rsidRPr="00664446">
        <w:rPr>
          <w:sz w:val="22"/>
          <w:szCs w:val="22"/>
        </w:rPr>
        <w:t>g mesalazínu</w:t>
      </w:r>
      <w:r w:rsidR="00485D46">
        <w:rPr>
          <w:sz w:val="22"/>
          <w:szCs w:val="22"/>
        </w:rPr>
        <w:t>.</w:t>
      </w:r>
    </w:p>
    <w:p w:rsidR="00591F74" w:rsidRPr="00664446" w:rsidRDefault="00591F74">
      <w:pPr>
        <w:rPr>
          <w:b/>
          <w:sz w:val="22"/>
          <w:szCs w:val="22"/>
        </w:rPr>
      </w:pPr>
    </w:p>
    <w:p w:rsidR="002E142D" w:rsidRPr="00664446" w:rsidRDefault="002E142D">
      <w:pPr>
        <w:rPr>
          <w:sz w:val="22"/>
          <w:szCs w:val="22"/>
        </w:rPr>
      </w:pPr>
      <w:r w:rsidRPr="00664446">
        <w:rPr>
          <w:sz w:val="22"/>
          <w:szCs w:val="22"/>
        </w:rPr>
        <w:t>Úplný zoznam pomocných látok, pozri časť 6.1.</w:t>
      </w:r>
    </w:p>
    <w:p w:rsidR="00224C6F" w:rsidRPr="00664446" w:rsidRDefault="00224C6F">
      <w:pPr>
        <w:rPr>
          <w:b/>
          <w:sz w:val="22"/>
          <w:szCs w:val="22"/>
        </w:rPr>
      </w:pPr>
    </w:p>
    <w:p w:rsidR="00BB3885" w:rsidRPr="00664446" w:rsidRDefault="00BB3885">
      <w:pPr>
        <w:rPr>
          <w:b/>
          <w:sz w:val="22"/>
          <w:szCs w:val="22"/>
        </w:rPr>
      </w:pPr>
    </w:p>
    <w:p w:rsidR="00591F74" w:rsidRPr="00664446" w:rsidRDefault="00591F74" w:rsidP="004352D8">
      <w:pPr>
        <w:numPr>
          <w:ilvl w:val="0"/>
          <w:numId w:val="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LIEKOVÁ FORMA</w:t>
      </w:r>
    </w:p>
    <w:p w:rsidR="00224C6F" w:rsidRPr="00664446" w:rsidRDefault="00224C6F">
      <w:pPr>
        <w:rPr>
          <w:sz w:val="22"/>
          <w:szCs w:val="22"/>
        </w:rPr>
      </w:pPr>
    </w:p>
    <w:p w:rsidR="00546FF3" w:rsidRPr="00664446" w:rsidRDefault="00591F74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Granulát s predĺženým uvoľňovaním </w:t>
      </w:r>
    </w:p>
    <w:p w:rsidR="007C4B5E" w:rsidRPr="00664446" w:rsidRDefault="007C4B5E">
      <w:pPr>
        <w:rPr>
          <w:sz w:val="22"/>
          <w:szCs w:val="22"/>
        </w:rPr>
      </w:pPr>
    </w:p>
    <w:p w:rsidR="00591F74" w:rsidRPr="00664446" w:rsidRDefault="006F652E">
      <w:pPr>
        <w:rPr>
          <w:sz w:val="22"/>
          <w:szCs w:val="22"/>
        </w:rPr>
      </w:pPr>
      <w:r>
        <w:rPr>
          <w:sz w:val="22"/>
          <w:szCs w:val="22"/>
        </w:rPr>
        <w:t>Takmer biely</w:t>
      </w:r>
      <w:r w:rsidR="00F578AD" w:rsidRPr="00664446">
        <w:rPr>
          <w:sz w:val="22"/>
          <w:szCs w:val="22"/>
        </w:rPr>
        <w:t xml:space="preserve"> až bielohnedý </w:t>
      </w:r>
      <w:r w:rsidR="007C4B5E" w:rsidRPr="00664446">
        <w:rPr>
          <w:sz w:val="22"/>
          <w:szCs w:val="22"/>
        </w:rPr>
        <w:t>granulát.</w:t>
      </w:r>
    </w:p>
    <w:p w:rsidR="00591F74" w:rsidRPr="00664446" w:rsidRDefault="00591F74">
      <w:pPr>
        <w:rPr>
          <w:b/>
          <w:sz w:val="22"/>
          <w:szCs w:val="22"/>
        </w:rPr>
      </w:pPr>
    </w:p>
    <w:p w:rsidR="00224C6F" w:rsidRPr="00664446" w:rsidRDefault="00224C6F">
      <w:pPr>
        <w:rPr>
          <w:b/>
          <w:sz w:val="22"/>
          <w:szCs w:val="22"/>
        </w:rPr>
      </w:pPr>
    </w:p>
    <w:p w:rsidR="00591F74" w:rsidRPr="00664446" w:rsidRDefault="00591F74" w:rsidP="004352D8">
      <w:pPr>
        <w:numPr>
          <w:ilvl w:val="0"/>
          <w:numId w:val="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KLINICKÉ ÚDAJE</w:t>
      </w:r>
    </w:p>
    <w:p w:rsidR="00591F74" w:rsidRPr="00664446" w:rsidRDefault="00591F74">
      <w:pPr>
        <w:rPr>
          <w:b/>
          <w:sz w:val="22"/>
          <w:szCs w:val="22"/>
        </w:rPr>
      </w:pPr>
    </w:p>
    <w:p w:rsidR="00591F74" w:rsidRPr="00664446" w:rsidRDefault="00591F74" w:rsidP="002648A9">
      <w:pPr>
        <w:numPr>
          <w:ilvl w:val="0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Terapeutické indikácie</w:t>
      </w:r>
    </w:p>
    <w:p w:rsidR="00224C6F" w:rsidRPr="00664446" w:rsidRDefault="00224C6F">
      <w:pPr>
        <w:rPr>
          <w:sz w:val="22"/>
          <w:szCs w:val="22"/>
        </w:rPr>
      </w:pPr>
    </w:p>
    <w:p w:rsidR="00591F74" w:rsidRPr="00664446" w:rsidRDefault="00591F74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Liečba </w:t>
      </w:r>
      <w:r w:rsidR="002A2A01">
        <w:rPr>
          <w:sz w:val="22"/>
          <w:szCs w:val="22"/>
        </w:rPr>
        <w:t xml:space="preserve">akútneho štádia </w:t>
      </w:r>
      <w:r w:rsidRPr="00664446">
        <w:rPr>
          <w:sz w:val="22"/>
          <w:szCs w:val="22"/>
        </w:rPr>
        <w:t xml:space="preserve">mierne až stredne závažnej </w:t>
      </w:r>
      <w:r w:rsidR="0020059B" w:rsidRPr="00664446">
        <w:rPr>
          <w:sz w:val="22"/>
          <w:szCs w:val="22"/>
        </w:rPr>
        <w:t xml:space="preserve">ulceróznej </w:t>
      </w:r>
      <w:r w:rsidR="0020059B" w:rsidRPr="0040201D">
        <w:rPr>
          <w:sz w:val="22"/>
          <w:szCs w:val="22"/>
        </w:rPr>
        <w:t>kolitídy</w:t>
      </w:r>
      <w:r w:rsidR="00AF0A88" w:rsidRPr="0040201D">
        <w:rPr>
          <w:sz w:val="22"/>
          <w:szCs w:val="22"/>
        </w:rPr>
        <w:t xml:space="preserve"> u dospelých</w:t>
      </w:r>
      <w:r w:rsidR="002A2A01">
        <w:rPr>
          <w:sz w:val="22"/>
          <w:szCs w:val="22"/>
        </w:rPr>
        <w:t>.</w:t>
      </w:r>
    </w:p>
    <w:p w:rsidR="00591F74" w:rsidRDefault="00591F74">
      <w:pPr>
        <w:rPr>
          <w:b/>
          <w:sz w:val="22"/>
          <w:szCs w:val="22"/>
        </w:rPr>
      </w:pPr>
    </w:p>
    <w:p w:rsidR="00DB2992" w:rsidRPr="00664446" w:rsidRDefault="00DB2992">
      <w:pPr>
        <w:rPr>
          <w:b/>
          <w:sz w:val="22"/>
          <w:szCs w:val="22"/>
        </w:rPr>
      </w:pPr>
    </w:p>
    <w:p w:rsidR="00591F74" w:rsidRPr="00664446" w:rsidRDefault="00591F74" w:rsidP="002648A9">
      <w:pPr>
        <w:numPr>
          <w:ilvl w:val="1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Dávkovanie a spôsob podávania</w:t>
      </w:r>
    </w:p>
    <w:p w:rsidR="009762B3" w:rsidRPr="00664446" w:rsidRDefault="009762B3">
      <w:pPr>
        <w:rPr>
          <w:b/>
          <w:bCs/>
          <w:i/>
          <w:sz w:val="22"/>
          <w:szCs w:val="22"/>
        </w:rPr>
      </w:pPr>
    </w:p>
    <w:p w:rsidR="006F0828" w:rsidRPr="006F0828" w:rsidRDefault="006F0828" w:rsidP="006F0828">
      <w:pPr>
        <w:rPr>
          <w:bCs/>
          <w:sz w:val="22"/>
          <w:szCs w:val="22"/>
          <w:u w:val="single"/>
        </w:rPr>
      </w:pPr>
      <w:r w:rsidRPr="006F0828">
        <w:rPr>
          <w:bCs/>
          <w:sz w:val="22"/>
          <w:szCs w:val="22"/>
          <w:u w:val="single"/>
        </w:rPr>
        <w:t>Dávkovanie</w:t>
      </w:r>
    </w:p>
    <w:p w:rsidR="006F0828" w:rsidRDefault="006F0828">
      <w:pPr>
        <w:rPr>
          <w:sz w:val="22"/>
          <w:szCs w:val="22"/>
          <w:u w:val="single"/>
        </w:rPr>
      </w:pPr>
    </w:p>
    <w:p w:rsidR="00591F74" w:rsidRPr="00737FA0" w:rsidRDefault="000B5A08">
      <w:pPr>
        <w:rPr>
          <w:sz w:val="22"/>
          <w:szCs w:val="22"/>
        </w:rPr>
      </w:pPr>
      <w:r>
        <w:rPr>
          <w:sz w:val="22"/>
          <w:szCs w:val="22"/>
        </w:rPr>
        <w:t>Liečba akútneho štádia ulceróznej kolitídy</w:t>
      </w:r>
      <w:r w:rsidR="006F652E">
        <w:rPr>
          <w:sz w:val="22"/>
          <w:szCs w:val="22"/>
        </w:rPr>
        <w:t>:</w:t>
      </w:r>
      <w:r>
        <w:rPr>
          <w:sz w:val="22"/>
          <w:szCs w:val="22"/>
        </w:rPr>
        <w:t xml:space="preserve"> 4 g jedenkrát denne. </w:t>
      </w:r>
      <w:r w:rsidR="00F13279" w:rsidRPr="00737FA0">
        <w:rPr>
          <w:sz w:val="22"/>
          <w:szCs w:val="22"/>
        </w:rPr>
        <w:t xml:space="preserve">Pri potrebe nižšej dávky mesalazínu ako sú 4 g </w:t>
      </w:r>
      <w:r>
        <w:rPr>
          <w:sz w:val="22"/>
          <w:szCs w:val="22"/>
        </w:rPr>
        <w:t>možno použiť liek Pentasa s nižšou silou</w:t>
      </w:r>
      <w:r w:rsidR="00F13279" w:rsidRPr="00737FA0">
        <w:rPr>
          <w:sz w:val="22"/>
          <w:szCs w:val="22"/>
        </w:rPr>
        <w:t xml:space="preserve">. </w:t>
      </w:r>
    </w:p>
    <w:p w:rsidR="00973AE8" w:rsidRDefault="00973AE8">
      <w:pPr>
        <w:rPr>
          <w:sz w:val="22"/>
          <w:szCs w:val="22"/>
          <w:u w:val="single"/>
        </w:rPr>
      </w:pPr>
    </w:p>
    <w:p w:rsidR="00C61DAE" w:rsidRPr="00737FA0" w:rsidRDefault="00F13279" w:rsidP="00C61DAE">
      <w:pPr>
        <w:rPr>
          <w:i/>
          <w:sz w:val="22"/>
          <w:szCs w:val="22"/>
        </w:rPr>
      </w:pPr>
      <w:r w:rsidRPr="00737FA0">
        <w:rPr>
          <w:i/>
          <w:sz w:val="22"/>
          <w:szCs w:val="22"/>
        </w:rPr>
        <w:t xml:space="preserve">Pediatrická populácia </w:t>
      </w:r>
    </w:p>
    <w:p w:rsidR="002B6D0B" w:rsidRPr="00737FA0" w:rsidRDefault="002B6D0B" w:rsidP="002B6D0B">
      <w:pPr>
        <w:rPr>
          <w:sz w:val="22"/>
          <w:szCs w:val="22"/>
        </w:rPr>
      </w:pPr>
      <w:r w:rsidRPr="00737FA0">
        <w:rPr>
          <w:sz w:val="22"/>
          <w:szCs w:val="22"/>
        </w:rPr>
        <w:t xml:space="preserve">Podávanie lieku Pentasa Sachet 4 g sa </w:t>
      </w:r>
      <w:r w:rsidR="00C610AB">
        <w:rPr>
          <w:sz w:val="22"/>
          <w:szCs w:val="22"/>
        </w:rPr>
        <w:t xml:space="preserve">neodporúča </w:t>
      </w:r>
      <w:r w:rsidRPr="00737FA0">
        <w:rPr>
          <w:sz w:val="22"/>
          <w:szCs w:val="22"/>
        </w:rPr>
        <w:t xml:space="preserve">deťom a dospievajúcim do 18 rokov vzhľadom na vysokú jednotlivú dávku 4 g mesalazínu. </w:t>
      </w:r>
      <w:r w:rsidR="00FE3A25" w:rsidRPr="00737FA0">
        <w:rPr>
          <w:sz w:val="22"/>
          <w:szCs w:val="22"/>
        </w:rPr>
        <w:t>V prípade</w:t>
      </w:r>
      <w:r w:rsidRPr="00737FA0">
        <w:rPr>
          <w:sz w:val="22"/>
          <w:szCs w:val="22"/>
        </w:rPr>
        <w:t xml:space="preserve"> potreby použitia mesalazínu v pediatrickej populácii možno použiť liek Pentasa s </w:t>
      </w:r>
      <w:r w:rsidR="00004D8E" w:rsidRPr="00737FA0">
        <w:rPr>
          <w:sz w:val="22"/>
          <w:szCs w:val="22"/>
        </w:rPr>
        <w:t>ni</w:t>
      </w:r>
      <w:r w:rsidRPr="00737FA0">
        <w:rPr>
          <w:sz w:val="22"/>
          <w:szCs w:val="22"/>
        </w:rPr>
        <w:t xml:space="preserve">žšou silou. </w:t>
      </w:r>
    </w:p>
    <w:p w:rsidR="000D09BD" w:rsidRDefault="000D09BD">
      <w:pPr>
        <w:rPr>
          <w:bCs/>
          <w:i/>
          <w:sz w:val="22"/>
          <w:szCs w:val="22"/>
        </w:rPr>
      </w:pPr>
    </w:p>
    <w:p w:rsidR="00376E1A" w:rsidRDefault="00376E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Pacienti s poruchou funkcie obličiek a/alebo pečene, pozri časti 4.3 a 4.4.</w:t>
      </w:r>
    </w:p>
    <w:p w:rsidR="00376E1A" w:rsidRPr="00737FA0" w:rsidRDefault="00376E1A">
      <w:pPr>
        <w:rPr>
          <w:bCs/>
          <w:sz w:val="22"/>
          <w:szCs w:val="22"/>
        </w:rPr>
      </w:pPr>
    </w:p>
    <w:p w:rsidR="00A665D9" w:rsidRPr="00737FA0" w:rsidRDefault="00F13279">
      <w:pPr>
        <w:rPr>
          <w:bCs/>
          <w:sz w:val="22"/>
          <w:szCs w:val="22"/>
          <w:u w:val="single"/>
        </w:rPr>
      </w:pPr>
      <w:r w:rsidRPr="00737FA0">
        <w:rPr>
          <w:bCs/>
          <w:sz w:val="22"/>
          <w:szCs w:val="22"/>
          <w:u w:val="single"/>
        </w:rPr>
        <w:t>Spôsob podávania</w:t>
      </w:r>
    </w:p>
    <w:p w:rsidR="00591F74" w:rsidRPr="00737FA0" w:rsidRDefault="00F13279">
      <w:pPr>
        <w:rPr>
          <w:bCs/>
          <w:sz w:val="22"/>
          <w:szCs w:val="22"/>
        </w:rPr>
      </w:pPr>
      <w:r w:rsidRPr="00737FA0">
        <w:rPr>
          <w:bCs/>
          <w:sz w:val="22"/>
          <w:szCs w:val="22"/>
        </w:rPr>
        <w:t>Granulát</w:t>
      </w:r>
      <w:r w:rsidR="001C197A" w:rsidRPr="001C197A">
        <w:rPr>
          <w:bCs/>
          <w:sz w:val="22"/>
          <w:szCs w:val="22"/>
        </w:rPr>
        <w:t xml:space="preserve"> </w:t>
      </w:r>
      <w:r w:rsidRPr="00737FA0">
        <w:rPr>
          <w:bCs/>
          <w:sz w:val="22"/>
          <w:szCs w:val="22"/>
        </w:rPr>
        <w:t>Pentasy sa nesmie žuvať.</w:t>
      </w:r>
    </w:p>
    <w:p w:rsidR="002E142D" w:rsidRPr="00737FA0" w:rsidRDefault="00F13279" w:rsidP="002E142D">
      <w:pPr>
        <w:rPr>
          <w:sz w:val="22"/>
          <w:szCs w:val="22"/>
        </w:rPr>
      </w:pPr>
      <w:r w:rsidRPr="00737FA0">
        <w:rPr>
          <w:sz w:val="22"/>
          <w:szCs w:val="22"/>
        </w:rPr>
        <w:t>Po otvorení vrecka sa obsah vysype na jazyk a zapije vodou alebo džúsom.</w:t>
      </w:r>
    </w:p>
    <w:p w:rsidR="00367A48" w:rsidRPr="00664446" w:rsidRDefault="00367A48" w:rsidP="002E142D">
      <w:pPr>
        <w:rPr>
          <w:sz w:val="22"/>
          <w:szCs w:val="22"/>
        </w:rPr>
      </w:pPr>
    </w:p>
    <w:p w:rsidR="00591F74" w:rsidRPr="00664446" w:rsidRDefault="00591F74" w:rsidP="002648A9">
      <w:pPr>
        <w:numPr>
          <w:ilvl w:val="1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Kontraindikácie</w:t>
      </w:r>
    </w:p>
    <w:p w:rsidR="00224C6F" w:rsidRPr="00664446" w:rsidRDefault="00224C6F">
      <w:pPr>
        <w:rPr>
          <w:sz w:val="22"/>
          <w:szCs w:val="22"/>
        </w:rPr>
      </w:pPr>
    </w:p>
    <w:p w:rsidR="00C17B38" w:rsidRPr="00C17B38" w:rsidRDefault="00C17B38" w:rsidP="00C17B38">
      <w:pPr>
        <w:numPr>
          <w:ilvl w:val="0"/>
          <w:numId w:val="28"/>
        </w:numPr>
        <w:rPr>
          <w:sz w:val="22"/>
          <w:szCs w:val="22"/>
        </w:rPr>
      </w:pPr>
      <w:r w:rsidRPr="00C17B38">
        <w:rPr>
          <w:sz w:val="22"/>
          <w:szCs w:val="22"/>
        </w:rPr>
        <w:t xml:space="preserve">Precitlivenosť na liečivo, iné salicyláty alebo na ktorúkoľvek z pomocných látok uvedených v časti 6.1. </w:t>
      </w:r>
    </w:p>
    <w:p w:rsidR="00591F74" w:rsidRPr="00664446" w:rsidRDefault="00350452" w:rsidP="00AB12B8">
      <w:pPr>
        <w:numPr>
          <w:ilvl w:val="0"/>
          <w:numId w:val="28"/>
        </w:numPr>
        <w:rPr>
          <w:sz w:val="22"/>
          <w:szCs w:val="22"/>
        </w:rPr>
      </w:pPr>
      <w:r w:rsidRPr="00664446">
        <w:rPr>
          <w:sz w:val="22"/>
          <w:szCs w:val="22"/>
        </w:rPr>
        <w:t>Záva</w:t>
      </w:r>
      <w:r w:rsidR="00CF674E" w:rsidRPr="00664446">
        <w:rPr>
          <w:sz w:val="22"/>
          <w:szCs w:val="22"/>
        </w:rPr>
        <w:t>žn</w:t>
      </w:r>
      <w:r w:rsidRPr="00664446">
        <w:rPr>
          <w:sz w:val="22"/>
          <w:szCs w:val="22"/>
        </w:rPr>
        <w:t>é</w:t>
      </w:r>
      <w:r w:rsidR="00591F74" w:rsidRPr="00664446">
        <w:rPr>
          <w:sz w:val="22"/>
          <w:szCs w:val="22"/>
        </w:rPr>
        <w:t xml:space="preserve"> poškodenie pečene alebo obličiek.</w:t>
      </w:r>
    </w:p>
    <w:p w:rsidR="00591F74" w:rsidRPr="00664446" w:rsidRDefault="00591F74">
      <w:pPr>
        <w:rPr>
          <w:b/>
          <w:sz w:val="22"/>
          <w:szCs w:val="22"/>
        </w:rPr>
      </w:pPr>
    </w:p>
    <w:p w:rsidR="00591F74" w:rsidRPr="00664446" w:rsidRDefault="00224C6F" w:rsidP="002648A9">
      <w:pPr>
        <w:numPr>
          <w:ilvl w:val="1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Osobitné</w:t>
      </w:r>
      <w:r w:rsidR="00591F74" w:rsidRPr="00664446">
        <w:rPr>
          <w:b/>
          <w:sz w:val="22"/>
          <w:szCs w:val="22"/>
        </w:rPr>
        <w:t xml:space="preserve"> upozornenia</w:t>
      </w:r>
      <w:r w:rsidRPr="00664446">
        <w:rPr>
          <w:b/>
          <w:sz w:val="22"/>
          <w:szCs w:val="22"/>
        </w:rPr>
        <w:t xml:space="preserve"> a opatrenia pri užívaní</w:t>
      </w:r>
    </w:p>
    <w:p w:rsidR="00591F74" w:rsidRPr="00664446" w:rsidRDefault="00591F74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lastRenderedPageBreak/>
        <w:t>Väčšina pacientov, ktorí neznášajú sulfasalazín alebo sú naň precitlivení, môž</w:t>
      </w:r>
      <w:r w:rsidR="006E7812" w:rsidRPr="00664446">
        <w:rPr>
          <w:sz w:val="22"/>
          <w:szCs w:val="22"/>
        </w:rPr>
        <w:t>e</w:t>
      </w:r>
      <w:r w:rsidRPr="00664446">
        <w:rPr>
          <w:sz w:val="22"/>
          <w:szCs w:val="22"/>
        </w:rPr>
        <w:t xml:space="preserve"> užívať Pentasu bez </w:t>
      </w:r>
      <w:r w:rsidR="00126948" w:rsidRPr="00664446">
        <w:rPr>
          <w:sz w:val="22"/>
          <w:szCs w:val="22"/>
        </w:rPr>
        <w:t>rizika</w:t>
      </w:r>
      <w:r w:rsidR="00546FF3" w:rsidRPr="00664446">
        <w:rPr>
          <w:sz w:val="22"/>
          <w:szCs w:val="22"/>
        </w:rPr>
        <w:t xml:space="preserve"> vzniku </w:t>
      </w:r>
      <w:r w:rsidR="00A62916" w:rsidRPr="00664446">
        <w:rPr>
          <w:sz w:val="22"/>
          <w:szCs w:val="22"/>
        </w:rPr>
        <w:t>podobných</w:t>
      </w:r>
      <w:r w:rsidR="00546FF3" w:rsidRPr="00664446">
        <w:rPr>
          <w:sz w:val="22"/>
          <w:szCs w:val="22"/>
        </w:rPr>
        <w:t xml:space="preserve"> reakcií</w:t>
      </w:r>
      <w:r w:rsidRPr="00664446">
        <w:rPr>
          <w:sz w:val="22"/>
          <w:szCs w:val="22"/>
        </w:rPr>
        <w:t>. Pri liečbe pacientov alergických na sulfasalazín sa však odporúča zvýšená opatrnosť (riziko alergie na salicyláty).</w:t>
      </w:r>
      <w:r w:rsidR="00E77E8A" w:rsidRPr="00664446">
        <w:rPr>
          <w:sz w:val="22"/>
          <w:szCs w:val="22"/>
        </w:rPr>
        <w:t xml:space="preserve"> V prípade akútnych intolerančných reakcií, ako sú kŕče v bruchu, </w:t>
      </w:r>
      <w:r w:rsidR="00F115BA" w:rsidRPr="00664446">
        <w:rPr>
          <w:sz w:val="22"/>
          <w:szCs w:val="22"/>
        </w:rPr>
        <w:t>akútna</w:t>
      </w:r>
      <w:r w:rsidR="00E77E8A" w:rsidRPr="00664446">
        <w:rPr>
          <w:sz w:val="22"/>
          <w:szCs w:val="22"/>
        </w:rPr>
        <w:t xml:space="preserve"> bolesť brucha, </w:t>
      </w:r>
      <w:r w:rsidR="00F115BA" w:rsidRPr="00664446">
        <w:rPr>
          <w:sz w:val="22"/>
          <w:szCs w:val="22"/>
        </w:rPr>
        <w:t>horúčka</w:t>
      </w:r>
      <w:r w:rsidR="00E77E8A" w:rsidRPr="00664446">
        <w:rPr>
          <w:sz w:val="22"/>
          <w:szCs w:val="22"/>
        </w:rPr>
        <w:t xml:space="preserve">, silná bolesť hlavy a vyrážka, </w:t>
      </w:r>
      <w:r w:rsidR="00D92402" w:rsidRPr="00664446">
        <w:rPr>
          <w:sz w:val="22"/>
          <w:szCs w:val="22"/>
        </w:rPr>
        <w:t xml:space="preserve">treba </w:t>
      </w:r>
      <w:r w:rsidR="00E77E8A" w:rsidRPr="00664446">
        <w:rPr>
          <w:sz w:val="22"/>
          <w:szCs w:val="22"/>
        </w:rPr>
        <w:t>liečbu ihneď ukonči</w:t>
      </w:r>
      <w:r w:rsidR="00D92402" w:rsidRPr="00664446">
        <w:rPr>
          <w:sz w:val="22"/>
          <w:szCs w:val="22"/>
        </w:rPr>
        <w:t>ť</w:t>
      </w:r>
      <w:r w:rsidR="00E77E8A" w:rsidRPr="00664446">
        <w:rPr>
          <w:sz w:val="22"/>
          <w:szCs w:val="22"/>
        </w:rPr>
        <w:t xml:space="preserve">. </w:t>
      </w:r>
    </w:p>
    <w:p w:rsidR="00B11B8F" w:rsidRPr="00664446" w:rsidRDefault="00B11B8F" w:rsidP="005478F7">
      <w:pPr>
        <w:rPr>
          <w:sz w:val="22"/>
          <w:szCs w:val="22"/>
        </w:rPr>
      </w:pPr>
    </w:p>
    <w:p w:rsidR="00001F19" w:rsidRPr="00664446" w:rsidRDefault="00591F74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Opatrnosť je potrebná u pacientov s </w:t>
      </w:r>
      <w:r w:rsidR="00C17B38">
        <w:rPr>
          <w:sz w:val="22"/>
          <w:szCs w:val="22"/>
        </w:rPr>
        <w:t>poruchou</w:t>
      </w:r>
      <w:r w:rsidR="00C17B38" w:rsidRPr="00664446">
        <w:rPr>
          <w:sz w:val="22"/>
          <w:szCs w:val="22"/>
        </w:rPr>
        <w:t xml:space="preserve"> </w:t>
      </w:r>
      <w:r w:rsidRPr="00664446">
        <w:rPr>
          <w:sz w:val="22"/>
          <w:szCs w:val="22"/>
        </w:rPr>
        <w:t>funkci</w:t>
      </w:r>
      <w:r w:rsidR="00C17B38">
        <w:rPr>
          <w:sz w:val="22"/>
          <w:szCs w:val="22"/>
        </w:rPr>
        <w:t>e</w:t>
      </w:r>
      <w:r w:rsidRPr="00664446">
        <w:rPr>
          <w:sz w:val="22"/>
          <w:szCs w:val="22"/>
        </w:rPr>
        <w:t xml:space="preserve"> pečene. </w:t>
      </w:r>
      <w:r w:rsidR="00001F19" w:rsidRPr="00664446">
        <w:rPr>
          <w:sz w:val="22"/>
          <w:szCs w:val="22"/>
        </w:rPr>
        <w:t xml:space="preserve">Pred liečbou a počas liečby, podľa uváženia ošetrujúceho lekára, treba stanoviť hodnoty pečeňových testov, ako sú ALT alebo AST. </w:t>
      </w:r>
    </w:p>
    <w:p w:rsidR="00001F19" w:rsidRPr="00664446" w:rsidRDefault="00001F19" w:rsidP="005478F7">
      <w:pPr>
        <w:rPr>
          <w:sz w:val="22"/>
          <w:szCs w:val="22"/>
        </w:rPr>
      </w:pPr>
    </w:p>
    <w:p w:rsidR="00591F74" w:rsidRDefault="00496038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Liek sa n</w:t>
      </w:r>
      <w:r w:rsidR="00591F74" w:rsidRPr="00664446">
        <w:rPr>
          <w:sz w:val="22"/>
          <w:szCs w:val="22"/>
        </w:rPr>
        <w:t>eodporúča podávať pacientom s</w:t>
      </w:r>
      <w:r w:rsidR="00C17B38">
        <w:rPr>
          <w:sz w:val="22"/>
          <w:szCs w:val="22"/>
        </w:rPr>
        <w:t> </w:t>
      </w:r>
      <w:r w:rsidR="00591F74" w:rsidRPr="00664446">
        <w:rPr>
          <w:sz w:val="22"/>
          <w:szCs w:val="22"/>
        </w:rPr>
        <w:t>po</w:t>
      </w:r>
      <w:r w:rsidR="00C17B38">
        <w:rPr>
          <w:sz w:val="22"/>
          <w:szCs w:val="22"/>
        </w:rPr>
        <w:t xml:space="preserve">ruchou </w:t>
      </w:r>
      <w:r w:rsidR="00597CB7" w:rsidRPr="00664446">
        <w:rPr>
          <w:sz w:val="22"/>
          <w:szCs w:val="22"/>
        </w:rPr>
        <w:t xml:space="preserve">funkcie </w:t>
      </w:r>
      <w:r w:rsidR="00591F74" w:rsidRPr="00664446">
        <w:rPr>
          <w:sz w:val="22"/>
          <w:szCs w:val="22"/>
        </w:rPr>
        <w:t xml:space="preserve">obličiek. </w:t>
      </w:r>
      <w:r w:rsidR="00F932B9" w:rsidRPr="00664446">
        <w:rPr>
          <w:sz w:val="22"/>
          <w:szCs w:val="22"/>
        </w:rPr>
        <w:t xml:space="preserve">Funkciu obličiek treba pravidelne </w:t>
      </w:r>
      <w:r w:rsidR="00411888" w:rsidRPr="00664446">
        <w:rPr>
          <w:sz w:val="22"/>
          <w:szCs w:val="22"/>
        </w:rPr>
        <w:t>kontrolovať</w:t>
      </w:r>
      <w:r w:rsidR="00F932B9" w:rsidRPr="00664446">
        <w:rPr>
          <w:sz w:val="22"/>
          <w:szCs w:val="22"/>
        </w:rPr>
        <w:t xml:space="preserve"> (napr. hladinu kreatinínu v sére), predovšetkým v </w:t>
      </w:r>
      <w:r w:rsidR="00C17B38">
        <w:rPr>
          <w:sz w:val="22"/>
          <w:szCs w:val="22"/>
        </w:rPr>
        <w:t>za</w:t>
      </w:r>
      <w:r w:rsidR="00F932B9" w:rsidRPr="00664446">
        <w:rPr>
          <w:sz w:val="22"/>
          <w:szCs w:val="22"/>
        </w:rPr>
        <w:t xml:space="preserve">čiatočnej fáze liečby. </w:t>
      </w:r>
      <w:r w:rsidR="00717B35" w:rsidRPr="00664446">
        <w:rPr>
          <w:sz w:val="22"/>
          <w:szCs w:val="22"/>
        </w:rPr>
        <w:t xml:space="preserve">Podľa </w:t>
      </w:r>
      <w:r w:rsidR="004B6508" w:rsidRPr="00664446">
        <w:rPr>
          <w:sz w:val="22"/>
          <w:szCs w:val="22"/>
        </w:rPr>
        <w:t>u</w:t>
      </w:r>
      <w:r w:rsidR="00E77E8A" w:rsidRPr="00664446">
        <w:rPr>
          <w:sz w:val="22"/>
          <w:szCs w:val="22"/>
        </w:rPr>
        <w:t>váženia ošetrujúceho lekára sa má pred liečbou a počas liečby urobiť vyšetrenie moču (</w:t>
      </w:r>
      <w:r w:rsidR="00A43204" w:rsidRPr="00664446">
        <w:rPr>
          <w:sz w:val="22"/>
          <w:szCs w:val="22"/>
        </w:rPr>
        <w:t>diagnostickým</w:t>
      </w:r>
      <w:r w:rsidR="00103A23" w:rsidRPr="00664446">
        <w:rPr>
          <w:sz w:val="22"/>
          <w:szCs w:val="22"/>
        </w:rPr>
        <w:t>i</w:t>
      </w:r>
      <w:r w:rsidR="00A43204" w:rsidRPr="00664446">
        <w:rPr>
          <w:sz w:val="22"/>
          <w:szCs w:val="22"/>
        </w:rPr>
        <w:t xml:space="preserve"> prúžk</w:t>
      </w:r>
      <w:r w:rsidR="00103A23" w:rsidRPr="00664446">
        <w:rPr>
          <w:sz w:val="22"/>
          <w:szCs w:val="22"/>
        </w:rPr>
        <w:t>a</w:t>
      </w:r>
      <w:r w:rsidR="00A43204" w:rsidRPr="00664446">
        <w:rPr>
          <w:sz w:val="22"/>
          <w:szCs w:val="22"/>
        </w:rPr>
        <w:t>m</w:t>
      </w:r>
      <w:r w:rsidR="00103A23" w:rsidRPr="00664446">
        <w:rPr>
          <w:sz w:val="22"/>
          <w:szCs w:val="22"/>
        </w:rPr>
        <w:t>i</w:t>
      </w:r>
      <w:r w:rsidR="00E77E8A" w:rsidRPr="00664446">
        <w:rPr>
          <w:sz w:val="22"/>
          <w:szCs w:val="22"/>
        </w:rPr>
        <w:t xml:space="preserve">). </w:t>
      </w:r>
      <w:r w:rsidR="00591F74" w:rsidRPr="00664446">
        <w:rPr>
          <w:sz w:val="22"/>
          <w:szCs w:val="22"/>
        </w:rPr>
        <w:t xml:space="preserve">Ak sa u pacienta objaví počas liečby Pentasou porucha renálnych funkcií, je nutné vylúčiť mesalazínom vyvolanú nefrotoxicitu. </w:t>
      </w:r>
      <w:r w:rsidR="001A4F86" w:rsidRPr="00664446">
        <w:rPr>
          <w:sz w:val="22"/>
          <w:szCs w:val="22"/>
        </w:rPr>
        <w:t>Pri s</w:t>
      </w:r>
      <w:r w:rsidR="00591F74" w:rsidRPr="00664446">
        <w:rPr>
          <w:sz w:val="22"/>
          <w:szCs w:val="22"/>
        </w:rPr>
        <w:t>ú</w:t>
      </w:r>
      <w:r w:rsidR="00126948" w:rsidRPr="00664446">
        <w:rPr>
          <w:sz w:val="22"/>
          <w:szCs w:val="22"/>
        </w:rPr>
        <w:t>bež</w:t>
      </w:r>
      <w:r w:rsidR="00591F74" w:rsidRPr="00664446">
        <w:rPr>
          <w:sz w:val="22"/>
          <w:szCs w:val="22"/>
        </w:rPr>
        <w:t>n</w:t>
      </w:r>
      <w:r w:rsidR="001A4F86" w:rsidRPr="00664446">
        <w:rPr>
          <w:sz w:val="22"/>
          <w:szCs w:val="22"/>
        </w:rPr>
        <w:t xml:space="preserve">om užívaní iných známych nefrotoxických látok sa má </w:t>
      </w:r>
      <w:r w:rsidR="00597CB7" w:rsidRPr="00664446">
        <w:rPr>
          <w:sz w:val="22"/>
          <w:szCs w:val="22"/>
        </w:rPr>
        <w:t xml:space="preserve">častejšie sledovať </w:t>
      </w:r>
      <w:r w:rsidR="00001FB8" w:rsidRPr="00664446">
        <w:rPr>
          <w:sz w:val="22"/>
          <w:szCs w:val="22"/>
        </w:rPr>
        <w:t>funkcia obličiek</w:t>
      </w:r>
      <w:r w:rsidR="001A4F86" w:rsidRPr="00664446">
        <w:rPr>
          <w:sz w:val="22"/>
          <w:szCs w:val="22"/>
        </w:rPr>
        <w:t>.</w:t>
      </w:r>
      <w:r w:rsidR="00591F74" w:rsidRPr="00664446">
        <w:rPr>
          <w:sz w:val="22"/>
          <w:szCs w:val="22"/>
        </w:rPr>
        <w:t xml:space="preserve"> </w:t>
      </w:r>
    </w:p>
    <w:p w:rsidR="002E12D7" w:rsidRDefault="002E12D7" w:rsidP="005478F7">
      <w:pPr>
        <w:rPr>
          <w:sz w:val="22"/>
          <w:szCs w:val="22"/>
        </w:rPr>
      </w:pPr>
    </w:p>
    <w:p w:rsidR="002E12D7" w:rsidRPr="00664446" w:rsidRDefault="00916F3A" w:rsidP="005478F7">
      <w:pPr>
        <w:rPr>
          <w:sz w:val="22"/>
          <w:szCs w:val="22"/>
        </w:rPr>
      </w:pPr>
      <w:r>
        <w:rPr>
          <w:sz w:val="22"/>
          <w:szCs w:val="22"/>
        </w:rPr>
        <w:t>Pri</w:t>
      </w:r>
      <w:r w:rsidR="002E12D7" w:rsidRPr="000E1B1C">
        <w:rPr>
          <w:sz w:val="22"/>
          <w:szCs w:val="22"/>
        </w:rPr>
        <w:t xml:space="preserve"> už</w:t>
      </w:r>
      <w:r>
        <w:rPr>
          <w:sz w:val="22"/>
          <w:szCs w:val="22"/>
        </w:rPr>
        <w:t>it</w:t>
      </w:r>
      <w:r w:rsidR="002E12D7" w:rsidRPr="000E1B1C">
        <w:rPr>
          <w:sz w:val="22"/>
          <w:szCs w:val="22"/>
        </w:rPr>
        <w:t xml:space="preserve">í mesalazínu boli hlásené prípady nefrolitiázy, vrátane </w:t>
      </w:r>
      <w:r>
        <w:rPr>
          <w:sz w:val="22"/>
          <w:szCs w:val="22"/>
        </w:rPr>
        <w:t>obličkových kameňov</w:t>
      </w:r>
      <w:r w:rsidR="002E12D7" w:rsidRPr="000E1B1C">
        <w:rPr>
          <w:sz w:val="22"/>
          <w:szCs w:val="22"/>
        </w:rPr>
        <w:t xml:space="preserve"> so 100% obsahom mesalazínu. </w:t>
      </w:r>
      <w:r>
        <w:rPr>
          <w:sz w:val="22"/>
          <w:szCs w:val="22"/>
        </w:rPr>
        <w:t>P</w:t>
      </w:r>
      <w:r w:rsidRPr="000E1B1C">
        <w:rPr>
          <w:sz w:val="22"/>
          <w:szCs w:val="22"/>
        </w:rPr>
        <w:t xml:space="preserve">očas liečby sa </w:t>
      </w:r>
      <w:r>
        <w:rPr>
          <w:sz w:val="22"/>
          <w:szCs w:val="22"/>
        </w:rPr>
        <w:t>o</w:t>
      </w:r>
      <w:r w:rsidR="002E12D7" w:rsidRPr="000E1B1C">
        <w:rPr>
          <w:sz w:val="22"/>
          <w:szCs w:val="22"/>
        </w:rPr>
        <w:t>dporúča zabezpečiť dostatočný príjem tekutín.</w:t>
      </w:r>
    </w:p>
    <w:p w:rsidR="00B11B8F" w:rsidRPr="00664446" w:rsidRDefault="00B11B8F" w:rsidP="005478F7">
      <w:pPr>
        <w:rPr>
          <w:sz w:val="22"/>
          <w:szCs w:val="22"/>
        </w:rPr>
      </w:pPr>
    </w:p>
    <w:p w:rsidR="00D92402" w:rsidRPr="00664446" w:rsidRDefault="00D92402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Pri chorobách pľúc, najmä pri astme, je počas liečby potrebné </w:t>
      </w:r>
      <w:r w:rsidR="00C17B38" w:rsidRPr="00C17B38">
        <w:rPr>
          <w:sz w:val="22"/>
          <w:szCs w:val="22"/>
        </w:rPr>
        <w:t>pacientov dôsledne sledovať</w:t>
      </w:r>
      <w:r w:rsidR="00AA22A4">
        <w:rPr>
          <w:sz w:val="22"/>
          <w:szCs w:val="22"/>
        </w:rPr>
        <w:t xml:space="preserve"> (pozri časť 4.8)</w:t>
      </w:r>
      <w:r w:rsidRPr="00664446">
        <w:rPr>
          <w:sz w:val="22"/>
          <w:szCs w:val="22"/>
        </w:rPr>
        <w:t>.</w:t>
      </w:r>
    </w:p>
    <w:p w:rsidR="00D92402" w:rsidRPr="00664446" w:rsidRDefault="00D92402" w:rsidP="005478F7">
      <w:pPr>
        <w:rPr>
          <w:sz w:val="22"/>
          <w:szCs w:val="22"/>
        </w:rPr>
      </w:pPr>
    </w:p>
    <w:p w:rsidR="00591F74" w:rsidRPr="00664446" w:rsidRDefault="00F932B9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Zriedkavo boli hlásené k</w:t>
      </w:r>
      <w:r w:rsidR="00591F74" w:rsidRPr="00664446">
        <w:rPr>
          <w:sz w:val="22"/>
          <w:szCs w:val="22"/>
        </w:rPr>
        <w:t>ardiáln</w:t>
      </w:r>
      <w:r w:rsidR="00337B56" w:rsidRPr="00664446">
        <w:rPr>
          <w:sz w:val="22"/>
          <w:szCs w:val="22"/>
        </w:rPr>
        <w:t>e hypersenzitívne reakcie</w:t>
      </w:r>
      <w:r w:rsidR="00591F74" w:rsidRPr="00664446">
        <w:rPr>
          <w:sz w:val="22"/>
          <w:szCs w:val="22"/>
        </w:rPr>
        <w:t xml:space="preserve"> (myokarditída a perikarditída)</w:t>
      </w:r>
      <w:r w:rsidR="006E7812" w:rsidRPr="00664446">
        <w:rPr>
          <w:sz w:val="22"/>
          <w:szCs w:val="22"/>
        </w:rPr>
        <w:t xml:space="preserve"> spôsobené mesalazínom</w:t>
      </w:r>
      <w:r w:rsidR="00337B56" w:rsidRPr="00664446">
        <w:rPr>
          <w:sz w:val="22"/>
          <w:szCs w:val="22"/>
        </w:rPr>
        <w:t>.</w:t>
      </w:r>
      <w:r w:rsidR="00591F74" w:rsidRPr="00664446">
        <w:rPr>
          <w:sz w:val="22"/>
          <w:szCs w:val="22"/>
        </w:rPr>
        <w:t xml:space="preserve"> </w:t>
      </w:r>
      <w:r w:rsidR="00337B56" w:rsidRPr="00664446">
        <w:rPr>
          <w:sz w:val="22"/>
          <w:szCs w:val="22"/>
        </w:rPr>
        <w:t>Veľmi zriedkavo bol</w:t>
      </w:r>
      <w:r w:rsidR="001A4F86" w:rsidRPr="00664446">
        <w:rPr>
          <w:sz w:val="22"/>
          <w:szCs w:val="22"/>
        </w:rPr>
        <w:t>i</w:t>
      </w:r>
      <w:r w:rsidR="00337B56" w:rsidRPr="00664446">
        <w:rPr>
          <w:sz w:val="22"/>
          <w:szCs w:val="22"/>
        </w:rPr>
        <w:t xml:space="preserve"> hlásen</w:t>
      </w:r>
      <w:r w:rsidR="001A4F86" w:rsidRPr="00664446">
        <w:rPr>
          <w:sz w:val="22"/>
          <w:szCs w:val="22"/>
        </w:rPr>
        <w:t>é</w:t>
      </w:r>
      <w:r w:rsidR="00337B56" w:rsidRPr="00664446">
        <w:rPr>
          <w:sz w:val="22"/>
          <w:szCs w:val="22"/>
        </w:rPr>
        <w:t xml:space="preserve"> </w:t>
      </w:r>
      <w:r w:rsidR="001A4F86" w:rsidRPr="00664446">
        <w:rPr>
          <w:sz w:val="22"/>
          <w:szCs w:val="22"/>
        </w:rPr>
        <w:t>zá</w:t>
      </w:r>
      <w:r w:rsidR="00591F74" w:rsidRPr="00664446">
        <w:rPr>
          <w:sz w:val="22"/>
          <w:szCs w:val="22"/>
        </w:rPr>
        <w:t>v</w:t>
      </w:r>
      <w:r w:rsidR="001A4F86" w:rsidRPr="00664446">
        <w:rPr>
          <w:sz w:val="22"/>
          <w:szCs w:val="22"/>
        </w:rPr>
        <w:t>a</w:t>
      </w:r>
      <w:r w:rsidR="00591F74" w:rsidRPr="00664446">
        <w:rPr>
          <w:sz w:val="22"/>
          <w:szCs w:val="22"/>
        </w:rPr>
        <w:t>žn</w:t>
      </w:r>
      <w:r w:rsidR="00637C2C" w:rsidRPr="00664446">
        <w:rPr>
          <w:sz w:val="22"/>
          <w:szCs w:val="22"/>
        </w:rPr>
        <w:t xml:space="preserve">é </w:t>
      </w:r>
      <w:r w:rsidR="00591F74" w:rsidRPr="00664446">
        <w:rPr>
          <w:sz w:val="22"/>
          <w:szCs w:val="22"/>
        </w:rPr>
        <w:t>poruchy v zložení krvi</w:t>
      </w:r>
      <w:r w:rsidR="004B38F8" w:rsidRPr="00664446">
        <w:rPr>
          <w:sz w:val="22"/>
          <w:szCs w:val="22"/>
        </w:rPr>
        <w:t xml:space="preserve"> (krvná dyskrázia)</w:t>
      </w:r>
      <w:r w:rsidR="00591F74" w:rsidRPr="00664446">
        <w:rPr>
          <w:sz w:val="22"/>
          <w:szCs w:val="22"/>
        </w:rPr>
        <w:t>.</w:t>
      </w:r>
      <w:r w:rsidR="00220F51" w:rsidRPr="00664446">
        <w:rPr>
          <w:sz w:val="22"/>
          <w:szCs w:val="22"/>
        </w:rPr>
        <w:t xml:space="preserve"> Pred liečbou a počas liečby, podľa uváženia ošetrujúceho lekára, sa odporúča vyšetrenie krvi (diferenciálny krvný obraz). </w:t>
      </w:r>
      <w:r w:rsidR="00591F74" w:rsidRPr="00664446">
        <w:rPr>
          <w:sz w:val="22"/>
          <w:szCs w:val="22"/>
        </w:rPr>
        <w:t>U </w:t>
      </w:r>
      <w:r w:rsidR="00FC2B3D" w:rsidRPr="00664446">
        <w:rPr>
          <w:sz w:val="22"/>
          <w:szCs w:val="22"/>
        </w:rPr>
        <w:t>pacientov</w:t>
      </w:r>
      <w:r w:rsidR="00591F74" w:rsidRPr="00664446">
        <w:rPr>
          <w:sz w:val="22"/>
          <w:szCs w:val="22"/>
        </w:rPr>
        <w:t xml:space="preserve"> liečených azatioprínom</w:t>
      </w:r>
      <w:r w:rsidR="00E77E8A" w:rsidRPr="00664446">
        <w:rPr>
          <w:sz w:val="22"/>
          <w:szCs w:val="22"/>
        </w:rPr>
        <w:t>,</w:t>
      </w:r>
      <w:r w:rsidR="00591F74" w:rsidRPr="00664446">
        <w:rPr>
          <w:sz w:val="22"/>
          <w:szCs w:val="22"/>
        </w:rPr>
        <w:t xml:space="preserve"> 6-merka</w:t>
      </w:r>
      <w:r w:rsidR="0020059B" w:rsidRPr="00664446">
        <w:rPr>
          <w:sz w:val="22"/>
          <w:szCs w:val="22"/>
        </w:rPr>
        <w:t>p</w:t>
      </w:r>
      <w:r w:rsidR="00591F74" w:rsidRPr="00664446">
        <w:rPr>
          <w:sz w:val="22"/>
          <w:szCs w:val="22"/>
        </w:rPr>
        <w:t xml:space="preserve">topurínom </w:t>
      </w:r>
      <w:r w:rsidR="00E77E8A" w:rsidRPr="00664446">
        <w:rPr>
          <w:sz w:val="22"/>
          <w:szCs w:val="22"/>
        </w:rPr>
        <w:t xml:space="preserve">alebo tioguanínom </w:t>
      </w:r>
      <w:r w:rsidR="00591F74" w:rsidRPr="00664446">
        <w:rPr>
          <w:sz w:val="22"/>
          <w:szCs w:val="22"/>
        </w:rPr>
        <w:t>môže sú</w:t>
      </w:r>
      <w:r w:rsidR="00FC6048" w:rsidRPr="00664446">
        <w:rPr>
          <w:sz w:val="22"/>
          <w:szCs w:val="22"/>
        </w:rPr>
        <w:t>bežn</w:t>
      </w:r>
      <w:r w:rsidR="00591F74" w:rsidRPr="00664446">
        <w:rPr>
          <w:sz w:val="22"/>
          <w:szCs w:val="22"/>
        </w:rPr>
        <w:t xml:space="preserve">á liečba mesalazínom zvyšovať riziko </w:t>
      </w:r>
      <w:r w:rsidR="00C17B38" w:rsidRPr="00C17B38">
        <w:rPr>
          <w:sz w:val="22"/>
          <w:szCs w:val="22"/>
        </w:rPr>
        <w:t>krvnej dyskrázie</w:t>
      </w:r>
      <w:r w:rsidR="00C17B38" w:rsidRPr="00C17B38" w:rsidDel="00C17B38">
        <w:rPr>
          <w:sz w:val="22"/>
          <w:szCs w:val="22"/>
        </w:rPr>
        <w:t xml:space="preserve"> </w:t>
      </w:r>
      <w:r w:rsidR="00E7356E" w:rsidRPr="00664446">
        <w:rPr>
          <w:sz w:val="22"/>
          <w:szCs w:val="22"/>
        </w:rPr>
        <w:t>(pozri časť 4.5)</w:t>
      </w:r>
      <w:r w:rsidR="00591F74" w:rsidRPr="00664446">
        <w:rPr>
          <w:sz w:val="22"/>
          <w:szCs w:val="22"/>
        </w:rPr>
        <w:t xml:space="preserve">. Pri podozrení na tieto nežiaduce reakcie alebo pri ich potvrdení </w:t>
      </w:r>
      <w:r w:rsidR="003325E7" w:rsidRPr="00664446">
        <w:rPr>
          <w:sz w:val="22"/>
          <w:szCs w:val="22"/>
        </w:rPr>
        <w:t xml:space="preserve">sa </w:t>
      </w:r>
      <w:r w:rsidR="00591F74" w:rsidRPr="00664446">
        <w:rPr>
          <w:sz w:val="22"/>
          <w:szCs w:val="22"/>
        </w:rPr>
        <w:t>m</w:t>
      </w:r>
      <w:r w:rsidR="008143A4" w:rsidRPr="00664446">
        <w:rPr>
          <w:sz w:val="22"/>
          <w:szCs w:val="22"/>
        </w:rPr>
        <w:t>á</w:t>
      </w:r>
      <w:r w:rsidR="00591F74" w:rsidRPr="00664446">
        <w:rPr>
          <w:sz w:val="22"/>
          <w:szCs w:val="22"/>
        </w:rPr>
        <w:t xml:space="preserve"> liečba </w:t>
      </w:r>
      <w:r w:rsidR="001D61E9" w:rsidRPr="00664446">
        <w:rPr>
          <w:sz w:val="22"/>
          <w:szCs w:val="22"/>
        </w:rPr>
        <w:t xml:space="preserve">okamžite </w:t>
      </w:r>
      <w:r w:rsidR="00C17B38">
        <w:rPr>
          <w:sz w:val="22"/>
          <w:szCs w:val="22"/>
        </w:rPr>
        <w:t>ukončiť</w:t>
      </w:r>
      <w:r w:rsidR="00591F74" w:rsidRPr="00664446">
        <w:rPr>
          <w:sz w:val="22"/>
          <w:szCs w:val="22"/>
        </w:rPr>
        <w:t>.</w:t>
      </w:r>
    </w:p>
    <w:p w:rsidR="00591F74" w:rsidRPr="00664446" w:rsidRDefault="00591F74">
      <w:pPr>
        <w:rPr>
          <w:b/>
          <w:sz w:val="22"/>
          <w:szCs w:val="22"/>
        </w:rPr>
      </w:pPr>
    </w:p>
    <w:p w:rsidR="00E77E8A" w:rsidRPr="00664446" w:rsidRDefault="00EE1A32">
      <w:pPr>
        <w:rPr>
          <w:sz w:val="22"/>
          <w:szCs w:val="22"/>
        </w:rPr>
      </w:pPr>
      <w:r w:rsidRPr="00664446">
        <w:rPr>
          <w:sz w:val="22"/>
          <w:szCs w:val="22"/>
        </w:rPr>
        <w:t>Kontrolné vyšetrenia</w:t>
      </w:r>
      <w:r w:rsidR="00376E1A">
        <w:rPr>
          <w:sz w:val="22"/>
          <w:szCs w:val="22"/>
        </w:rPr>
        <w:t xml:space="preserve"> (diferenciálny krvný obraz</w:t>
      </w:r>
      <w:r w:rsidR="00200FBF">
        <w:rPr>
          <w:sz w:val="22"/>
          <w:szCs w:val="22"/>
        </w:rPr>
        <w:t>,</w:t>
      </w:r>
      <w:r w:rsidR="00376E1A">
        <w:rPr>
          <w:sz w:val="22"/>
          <w:szCs w:val="22"/>
        </w:rPr>
        <w:t xml:space="preserve"> hodnoty pečeňových enzýmov ako sú ALT alebo AST</w:t>
      </w:r>
      <w:r w:rsidR="00200FBF">
        <w:rPr>
          <w:sz w:val="22"/>
          <w:szCs w:val="22"/>
        </w:rPr>
        <w:t>,</w:t>
      </w:r>
      <w:r w:rsidR="00376E1A">
        <w:rPr>
          <w:sz w:val="22"/>
          <w:szCs w:val="22"/>
        </w:rPr>
        <w:t xml:space="preserve"> hladina kreatinínu v sére a vyšetrenie moču (diagnostickými prúžkami)</w:t>
      </w:r>
      <w:r w:rsidR="00200FBF">
        <w:rPr>
          <w:sz w:val="22"/>
          <w:szCs w:val="22"/>
        </w:rPr>
        <w:t>)</w:t>
      </w:r>
      <w:r w:rsidRPr="00664446">
        <w:rPr>
          <w:sz w:val="22"/>
          <w:szCs w:val="22"/>
        </w:rPr>
        <w:t xml:space="preserve"> sa o</w:t>
      </w:r>
      <w:r w:rsidR="00E77E8A" w:rsidRPr="00664446">
        <w:rPr>
          <w:sz w:val="22"/>
          <w:szCs w:val="22"/>
        </w:rPr>
        <w:t xml:space="preserve">dporúča </w:t>
      </w:r>
      <w:r w:rsidRPr="00664446">
        <w:rPr>
          <w:sz w:val="22"/>
          <w:szCs w:val="22"/>
        </w:rPr>
        <w:t>vykonať 14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dní po začatí liečby</w:t>
      </w:r>
      <w:r w:rsidR="00D92402" w:rsidRPr="00664446">
        <w:rPr>
          <w:sz w:val="22"/>
          <w:szCs w:val="22"/>
        </w:rPr>
        <w:t>, potom ešte</w:t>
      </w:r>
      <w:r w:rsidRPr="00664446">
        <w:rPr>
          <w:sz w:val="22"/>
          <w:szCs w:val="22"/>
        </w:rPr>
        <w:t xml:space="preserve"> dve alebo tri kontrol</w:t>
      </w:r>
      <w:r w:rsidR="00D92402" w:rsidRPr="00664446">
        <w:rPr>
          <w:sz w:val="22"/>
          <w:szCs w:val="22"/>
        </w:rPr>
        <w:t>né vyšetrenia</w:t>
      </w:r>
      <w:r w:rsidRPr="00664446">
        <w:rPr>
          <w:sz w:val="22"/>
          <w:szCs w:val="22"/>
        </w:rPr>
        <w:t xml:space="preserve"> v 4 týždňových intervaloch. Ak sú nálezy normálne, ďalšie kontrol</w:t>
      </w:r>
      <w:r w:rsidR="00D92402" w:rsidRPr="00664446">
        <w:rPr>
          <w:sz w:val="22"/>
          <w:szCs w:val="22"/>
        </w:rPr>
        <w:t>né vyšetrenia</w:t>
      </w:r>
      <w:r w:rsidRPr="00664446">
        <w:rPr>
          <w:sz w:val="22"/>
          <w:szCs w:val="22"/>
        </w:rPr>
        <w:t xml:space="preserve"> sa majú vykonať každé tri mesiace. V prípade, že sa vyskytnú ďalšie </w:t>
      </w:r>
      <w:r w:rsidR="00D92402" w:rsidRPr="00664446">
        <w:rPr>
          <w:sz w:val="22"/>
          <w:szCs w:val="22"/>
        </w:rPr>
        <w:t xml:space="preserve">chorobné </w:t>
      </w:r>
      <w:r w:rsidRPr="00664446">
        <w:rPr>
          <w:sz w:val="22"/>
          <w:szCs w:val="22"/>
        </w:rPr>
        <w:t>príznaky, kontrol</w:t>
      </w:r>
      <w:r w:rsidR="00D92402" w:rsidRPr="00664446">
        <w:rPr>
          <w:sz w:val="22"/>
          <w:szCs w:val="22"/>
        </w:rPr>
        <w:t>né vyšetreni</w:t>
      </w:r>
      <w:r w:rsidR="00F115BA" w:rsidRPr="00664446">
        <w:rPr>
          <w:sz w:val="22"/>
          <w:szCs w:val="22"/>
        </w:rPr>
        <w:t>a</w:t>
      </w:r>
      <w:r w:rsidRPr="00664446">
        <w:rPr>
          <w:sz w:val="22"/>
          <w:szCs w:val="22"/>
        </w:rPr>
        <w:t xml:space="preserve"> je treba vykonať okamžite.</w:t>
      </w:r>
    </w:p>
    <w:p w:rsidR="00A14C45" w:rsidRPr="00664446" w:rsidRDefault="00A14C45">
      <w:pPr>
        <w:rPr>
          <w:sz w:val="22"/>
          <w:szCs w:val="22"/>
        </w:rPr>
      </w:pPr>
    </w:p>
    <w:p w:rsidR="00591F74" w:rsidRPr="00664446" w:rsidRDefault="00591F74" w:rsidP="002648A9">
      <w:pPr>
        <w:numPr>
          <w:ilvl w:val="1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Liekové a iné interakcie</w:t>
      </w:r>
    </w:p>
    <w:p w:rsidR="00224C6F" w:rsidRPr="00664446" w:rsidRDefault="00224C6F">
      <w:pPr>
        <w:rPr>
          <w:bCs/>
          <w:sz w:val="22"/>
          <w:szCs w:val="22"/>
        </w:rPr>
      </w:pPr>
    </w:p>
    <w:p w:rsidR="00591F74" w:rsidRPr="00664446" w:rsidRDefault="00F818EE" w:rsidP="005478F7">
      <w:pPr>
        <w:rPr>
          <w:bCs/>
          <w:sz w:val="22"/>
          <w:szCs w:val="22"/>
        </w:rPr>
      </w:pPr>
      <w:r w:rsidRPr="00664446">
        <w:rPr>
          <w:bCs/>
          <w:sz w:val="22"/>
          <w:szCs w:val="22"/>
        </w:rPr>
        <w:t>N</w:t>
      </w:r>
      <w:r w:rsidR="00032C39" w:rsidRPr="00664446">
        <w:rPr>
          <w:bCs/>
          <w:sz w:val="22"/>
          <w:szCs w:val="22"/>
        </w:rPr>
        <w:t>iekoľk</w:t>
      </w:r>
      <w:r w:rsidRPr="00664446">
        <w:rPr>
          <w:bCs/>
          <w:sz w:val="22"/>
          <w:szCs w:val="22"/>
        </w:rPr>
        <w:t>o</w:t>
      </w:r>
      <w:r w:rsidR="00032C39" w:rsidRPr="00664446">
        <w:rPr>
          <w:bCs/>
          <w:sz w:val="22"/>
          <w:szCs w:val="22"/>
        </w:rPr>
        <w:t xml:space="preserve"> štúdi</w:t>
      </w:r>
      <w:r w:rsidRPr="00664446">
        <w:rPr>
          <w:bCs/>
          <w:sz w:val="22"/>
          <w:szCs w:val="22"/>
        </w:rPr>
        <w:t>í</w:t>
      </w:r>
      <w:r w:rsidR="00032C39" w:rsidRPr="00664446">
        <w:rPr>
          <w:bCs/>
          <w:sz w:val="22"/>
          <w:szCs w:val="22"/>
        </w:rPr>
        <w:t xml:space="preserve"> preukázal</w:t>
      </w:r>
      <w:r w:rsidRPr="00664446">
        <w:rPr>
          <w:bCs/>
          <w:sz w:val="22"/>
          <w:szCs w:val="22"/>
        </w:rPr>
        <w:t>o</w:t>
      </w:r>
      <w:r w:rsidR="00032C39" w:rsidRPr="00664446">
        <w:rPr>
          <w:bCs/>
          <w:sz w:val="22"/>
          <w:szCs w:val="22"/>
        </w:rPr>
        <w:t xml:space="preserve"> zvýšený výskyt </w:t>
      </w:r>
      <w:r w:rsidR="00466D77" w:rsidRPr="00664446">
        <w:rPr>
          <w:bCs/>
          <w:sz w:val="22"/>
          <w:szCs w:val="22"/>
        </w:rPr>
        <w:t>myelosupresívnych účinkov</w:t>
      </w:r>
      <w:r w:rsidR="00032C39" w:rsidRPr="00664446">
        <w:rPr>
          <w:bCs/>
          <w:sz w:val="22"/>
          <w:szCs w:val="22"/>
        </w:rPr>
        <w:t xml:space="preserve"> </w:t>
      </w:r>
      <w:r w:rsidRPr="00664446">
        <w:rPr>
          <w:bCs/>
          <w:sz w:val="22"/>
          <w:szCs w:val="22"/>
        </w:rPr>
        <w:t>pri použití k</w:t>
      </w:r>
      <w:r w:rsidR="00A83F3E" w:rsidRPr="00664446">
        <w:rPr>
          <w:bCs/>
          <w:sz w:val="22"/>
          <w:szCs w:val="22"/>
        </w:rPr>
        <w:t>ombinovan</w:t>
      </w:r>
      <w:r w:rsidRPr="00664446">
        <w:rPr>
          <w:bCs/>
          <w:sz w:val="22"/>
          <w:szCs w:val="22"/>
        </w:rPr>
        <w:t>ej</w:t>
      </w:r>
      <w:r w:rsidR="00A83F3E" w:rsidRPr="00664446">
        <w:rPr>
          <w:bCs/>
          <w:sz w:val="22"/>
          <w:szCs w:val="22"/>
        </w:rPr>
        <w:t xml:space="preserve"> liečb</w:t>
      </w:r>
      <w:r w:rsidRPr="00664446">
        <w:rPr>
          <w:bCs/>
          <w:sz w:val="22"/>
          <w:szCs w:val="22"/>
        </w:rPr>
        <w:t>y</w:t>
      </w:r>
      <w:r w:rsidR="00A83F3E" w:rsidRPr="00664446">
        <w:rPr>
          <w:bCs/>
          <w:sz w:val="22"/>
          <w:szCs w:val="22"/>
        </w:rPr>
        <w:t xml:space="preserve"> Pentasy s</w:t>
      </w:r>
      <w:r w:rsidR="00466D77" w:rsidRPr="00664446">
        <w:rPr>
          <w:bCs/>
          <w:sz w:val="22"/>
          <w:szCs w:val="22"/>
        </w:rPr>
        <w:t> </w:t>
      </w:r>
      <w:r w:rsidR="00A83F3E" w:rsidRPr="00664446">
        <w:rPr>
          <w:bCs/>
          <w:sz w:val="22"/>
          <w:szCs w:val="22"/>
        </w:rPr>
        <w:t>azatioprínom</w:t>
      </w:r>
      <w:r w:rsidR="00466D77" w:rsidRPr="00664446">
        <w:rPr>
          <w:bCs/>
          <w:sz w:val="22"/>
          <w:szCs w:val="22"/>
        </w:rPr>
        <w:t>,</w:t>
      </w:r>
      <w:r w:rsidR="00A83F3E" w:rsidRPr="00664446">
        <w:rPr>
          <w:bCs/>
          <w:sz w:val="22"/>
          <w:szCs w:val="22"/>
        </w:rPr>
        <w:t xml:space="preserve"> 6-merkaptopurínom</w:t>
      </w:r>
      <w:r w:rsidR="00466D77" w:rsidRPr="00664446">
        <w:rPr>
          <w:bCs/>
          <w:sz w:val="22"/>
          <w:szCs w:val="22"/>
        </w:rPr>
        <w:t xml:space="preserve"> alebo tioguanínom</w:t>
      </w:r>
      <w:r w:rsidR="00BF2528" w:rsidRPr="00664446">
        <w:rPr>
          <w:bCs/>
          <w:sz w:val="22"/>
          <w:szCs w:val="22"/>
        </w:rPr>
        <w:t xml:space="preserve">; </w:t>
      </w:r>
      <w:r w:rsidR="00891C20" w:rsidRPr="00664446">
        <w:rPr>
          <w:bCs/>
          <w:sz w:val="22"/>
          <w:szCs w:val="22"/>
        </w:rPr>
        <w:t xml:space="preserve">aj keď sa zistilo, že </w:t>
      </w:r>
      <w:r w:rsidR="004B38F8" w:rsidRPr="00664446">
        <w:rPr>
          <w:bCs/>
          <w:sz w:val="22"/>
          <w:szCs w:val="22"/>
        </w:rPr>
        <w:t>k</w:t>
      </w:r>
      <w:r w:rsidR="00597CB7" w:rsidRPr="00664446">
        <w:rPr>
          <w:bCs/>
          <w:sz w:val="22"/>
          <w:szCs w:val="22"/>
        </w:rPr>
        <w:t> </w:t>
      </w:r>
      <w:r w:rsidR="004B38F8" w:rsidRPr="00664446">
        <w:rPr>
          <w:bCs/>
          <w:sz w:val="22"/>
          <w:szCs w:val="22"/>
        </w:rPr>
        <w:t>interakciám</w:t>
      </w:r>
      <w:r w:rsidR="00597CB7" w:rsidRPr="00664446">
        <w:rPr>
          <w:bCs/>
          <w:sz w:val="22"/>
          <w:szCs w:val="22"/>
        </w:rPr>
        <w:t xml:space="preserve"> dochádza</w:t>
      </w:r>
      <w:r w:rsidR="004B38F8" w:rsidRPr="00664446">
        <w:rPr>
          <w:bCs/>
          <w:sz w:val="22"/>
          <w:szCs w:val="22"/>
        </w:rPr>
        <w:t>, ich m</w:t>
      </w:r>
      <w:r w:rsidR="00E7356E" w:rsidRPr="00664446">
        <w:rPr>
          <w:bCs/>
          <w:sz w:val="22"/>
          <w:szCs w:val="22"/>
        </w:rPr>
        <w:t xml:space="preserve">echanizmus </w:t>
      </w:r>
      <w:r w:rsidR="00A83F3E" w:rsidRPr="00664446">
        <w:rPr>
          <w:bCs/>
          <w:sz w:val="22"/>
          <w:szCs w:val="22"/>
        </w:rPr>
        <w:t xml:space="preserve">nie je </w:t>
      </w:r>
      <w:r w:rsidR="00E7356E" w:rsidRPr="00664446">
        <w:rPr>
          <w:bCs/>
          <w:sz w:val="22"/>
          <w:szCs w:val="22"/>
        </w:rPr>
        <w:t xml:space="preserve">dosiaľ </w:t>
      </w:r>
      <w:r w:rsidR="00A83F3E" w:rsidRPr="00664446">
        <w:rPr>
          <w:bCs/>
          <w:sz w:val="22"/>
          <w:szCs w:val="22"/>
        </w:rPr>
        <w:t xml:space="preserve">úplne </w:t>
      </w:r>
      <w:r w:rsidR="00E7356E" w:rsidRPr="00664446">
        <w:rPr>
          <w:bCs/>
          <w:sz w:val="22"/>
          <w:szCs w:val="22"/>
        </w:rPr>
        <w:t>objasnený</w:t>
      </w:r>
      <w:r w:rsidR="00A83F3E" w:rsidRPr="00664446">
        <w:rPr>
          <w:bCs/>
          <w:sz w:val="22"/>
          <w:szCs w:val="22"/>
        </w:rPr>
        <w:t xml:space="preserve">. </w:t>
      </w:r>
      <w:r w:rsidR="008F5360" w:rsidRPr="00664446">
        <w:rPr>
          <w:bCs/>
          <w:sz w:val="22"/>
          <w:szCs w:val="22"/>
        </w:rPr>
        <w:t>Preto sa o</w:t>
      </w:r>
      <w:r w:rsidR="00A83F3E" w:rsidRPr="00664446">
        <w:rPr>
          <w:bCs/>
          <w:sz w:val="22"/>
          <w:szCs w:val="22"/>
        </w:rPr>
        <w:t>dporúča pravidelné sledovanie bielych krviniek a následná úprava dávkovacieho režimu tiopurínov.</w:t>
      </w:r>
    </w:p>
    <w:p w:rsidR="00591F74" w:rsidRPr="00664446" w:rsidRDefault="00591F74">
      <w:pPr>
        <w:rPr>
          <w:bCs/>
          <w:sz w:val="22"/>
          <w:szCs w:val="22"/>
        </w:rPr>
      </w:pPr>
    </w:p>
    <w:p w:rsidR="00466D77" w:rsidRDefault="001B4F8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Mesalazín môže znížiť antikoagulačný účinok warfarínu, ale dôkaz o tejto interakcii nie je dostatočný.</w:t>
      </w:r>
    </w:p>
    <w:p w:rsidR="001B4F87" w:rsidRPr="00664446" w:rsidRDefault="001B4F87">
      <w:pPr>
        <w:rPr>
          <w:bCs/>
          <w:sz w:val="22"/>
          <w:szCs w:val="22"/>
        </w:rPr>
      </w:pPr>
    </w:p>
    <w:p w:rsidR="00591F74" w:rsidRPr="00664446" w:rsidRDefault="00A43204" w:rsidP="002648A9">
      <w:pPr>
        <w:numPr>
          <w:ilvl w:val="1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Fertilita, g</w:t>
      </w:r>
      <w:r w:rsidR="00591F74" w:rsidRPr="00664446">
        <w:rPr>
          <w:b/>
          <w:sz w:val="22"/>
          <w:szCs w:val="22"/>
        </w:rPr>
        <w:t>ravidit</w:t>
      </w:r>
      <w:r w:rsidR="00224C6F" w:rsidRPr="00664446">
        <w:rPr>
          <w:b/>
          <w:sz w:val="22"/>
          <w:szCs w:val="22"/>
        </w:rPr>
        <w:t>a</w:t>
      </w:r>
      <w:r w:rsidR="00591F74" w:rsidRPr="00664446">
        <w:rPr>
          <w:b/>
          <w:sz w:val="22"/>
          <w:szCs w:val="22"/>
        </w:rPr>
        <w:t xml:space="preserve"> a laktáci</w:t>
      </w:r>
      <w:r w:rsidR="00224C6F" w:rsidRPr="00664446">
        <w:rPr>
          <w:b/>
          <w:sz w:val="22"/>
          <w:szCs w:val="22"/>
        </w:rPr>
        <w:t>a</w:t>
      </w:r>
    </w:p>
    <w:p w:rsidR="00224C6F" w:rsidRPr="00664446" w:rsidRDefault="00224C6F" w:rsidP="00B03455">
      <w:pPr>
        <w:rPr>
          <w:sz w:val="22"/>
          <w:szCs w:val="22"/>
        </w:rPr>
      </w:pPr>
    </w:p>
    <w:p w:rsidR="00B03455" w:rsidRPr="00664446" w:rsidRDefault="00B03455" w:rsidP="007F23BA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V gravidite a počas laktácie </w:t>
      </w:r>
      <w:r w:rsidR="00780330" w:rsidRPr="00664446">
        <w:rPr>
          <w:sz w:val="22"/>
          <w:szCs w:val="22"/>
        </w:rPr>
        <w:t>treba</w:t>
      </w:r>
      <w:r w:rsidRPr="00664446">
        <w:rPr>
          <w:sz w:val="22"/>
          <w:szCs w:val="22"/>
        </w:rPr>
        <w:t xml:space="preserve"> Pentas</w:t>
      </w:r>
      <w:r w:rsidR="00780330" w:rsidRPr="00664446">
        <w:rPr>
          <w:sz w:val="22"/>
          <w:szCs w:val="22"/>
        </w:rPr>
        <w:t>u</w:t>
      </w:r>
      <w:r w:rsidRPr="00664446">
        <w:rPr>
          <w:sz w:val="22"/>
          <w:szCs w:val="22"/>
        </w:rPr>
        <w:t xml:space="preserve"> užívať opatrne a len v tých prípadoch, ke</w:t>
      </w:r>
      <w:r w:rsidR="005C6480" w:rsidRPr="00664446">
        <w:rPr>
          <w:sz w:val="22"/>
          <w:szCs w:val="22"/>
        </w:rPr>
        <w:t>dy</w:t>
      </w:r>
      <w:r w:rsidRPr="00664446">
        <w:rPr>
          <w:sz w:val="22"/>
          <w:szCs w:val="22"/>
        </w:rPr>
        <w:t xml:space="preserve"> </w:t>
      </w:r>
      <w:r w:rsidR="007F23BA" w:rsidRPr="007F23BA">
        <w:rPr>
          <w:sz w:val="22"/>
          <w:szCs w:val="22"/>
        </w:rPr>
        <w:t xml:space="preserve">podľa zhodnotenia lekára </w:t>
      </w:r>
      <w:r w:rsidR="00164AA1" w:rsidRPr="00664446">
        <w:rPr>
          <w:sz w:val="22"/>
          <w:szCs w:val="22"/>
        </w:rPr>
        <w:t>očakávaný prínos liečby</w:t>
      </w:r>
      <w:r w:rsidRPr="00664446">
        <w:rPr>
          <w:sz w:val="22"/>
          <w:szCs w:val="22"/>
        </w:rPr>
        <w:t xml:space="preserve"> prev</w:t>
      </w:r>
      <w:r w:rsidR="00164AA1" w:rsidRPr="00664446">
        <w:rPr>
          <w:sz w:val="22"/>
          <w:szCs w:val="22"/>
        </w:rPr>
        <w:t>yšuje</w:t>
      </w:r>
      <w:r w:rsidRPr="00664446">
        <w:rPr>
          <w:sz w:val="22"/>
          <w:szCs w:val="22"/>
        </w:rPr>
        <w:t xml:space="preserve"> </w:t>
      </w:r>
      <w:r w:rsidR="00164AA1" w:rsidRPr="00664446">
        <w:rPr>
          <w:sz w:val="22"/>
          <w:szCs w:val="22"/>
        </w:rPr>
        <w:t xml:space="preserve">jej potenciálne </w:t>
      </w:r>
      <w:r w:rsidR="00780330" w:rsidRPr="00664446">
        <w:rPr>
          <w:sz w:val="22"/>
          <w:szCs w:val="22"/>
        </w:rPr>
        <w:t>riziko</w:t>
      </w:r>
      <w:r w:rsidRPr="00664446">
        <w:rPr>
          <w:sz w:val="22"/>
          <w:szCs w:val="22"/>
        </w:rPr>
        <w:t>.</w:t>
      </w:r>
      <w:r w:rsidR="007F23BA">
        <w:rPr>
          <w:sz w:val="22"/>
          <w:szCs w:val="22"/>
        </w:rPr>
        <w:t xml:space="preserve"> </w:t>
      </w:r>
      <w:r w:rsidR="007F23BA" w:rsidRPr="007F23BA">
        <w:rPr>
          <w:sz w:val="22"/>
          <w:szCs w:val="22"/>
        </w:rPr>
        <w:t>Aj samotné črevné zápalové ochorenie môže zvýšiť</w:t>
      </w:r>
      <w:r w:rsidR="00DB2992">
        <w:rPr>
          <w:sz w:val="22"/>
          <w:szCs w:val="22"/>
        </w:rPr>
        <w:t xml:space="preserve"> </w:t>
      </w:r>
      <w:r w:rsidR="007F23BA" w:rsidRPr="007F23BA">
        <w:rPr>
          <w:sz w:val="22"/>
          <w:szCs w:val="22"/>
        </w:rPr>
        <w:t>riziká ovplyvňujúce tehotenstvo.</w:t>
      </w:r>
    </w:p>
    <w:p w:rsidR="00FC3738" w:rsidRPr="00664446" w:rsidRDefault="00FC3738" w:rsidP="005478F7">
      <w:pPr>
        <w:rPr>
          <w:sz w:val="22"/>
          <w:szCs w:val="22"/>
        </w:rPr>
      </w:pPr>
    </w:p>
    <w:p w:rsidR="00A665D9" w:rsidRPr="00737FA0" w:rsidRDefault="00F13279" w:rsidP="005478F7">
      <w:pPr>
        <w:rPr>
          <w:sz w:val="22"/>
          <w:szCs w:val="22"/>
          <w:u w:val="single"/>
        </w:rPr>
      </w:pPr>
      <w:r w:rsidRPr="00737FA0">
        <w:rPr>
          <w:sz w:val="22"/>
          <w:szCs w:val="22"/>
          <w:u w:val="single"/>
        </w:rPr>
        <w:t>Gravidita</w:t>
      </w:r>
    </w:p>
    <w:p w:rsidR="006225AD" w:rsidRPr="00664446" w:rsidRDefault="00B03455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O mesalazíne je známe, že prechádza placentárnou bariérou</w:t>
      </w:r>
      <w:r w:rsidR="00845B86" w:rsidRPr="00664446">
        <w:rPr>
          <w:sz w:val="22"/>
          <w:szCs w:val="22"/>
        </w:rPr>
        <w:t xml:space="preserve"> a jeho koncentrácia v</w:t>
      </w:r>
      <w:r w:rsidR="00262E62" w:rsidRPr="00664446">
        <w:rPr>
          <w:sz w:val="22"/>
          <w:szCs w:val="22"/>
        </w:rPr>
        <w:t xml:space="preserve"> pupočníkovej </w:t>
      </w:r>
      <w:r w:rsidR="00845B86" w:rsidRPr="00664446">
        <w:rPr>
          <w:sz w:val="22"/>
          <w:szCs w:val="22"/>
        </w:rPr>
        <w:t xml:space="preserve">plazme je </w:t>
      </w:r>
      <w:r w:rsidR="00127690" w:rsidRPr="00664446">
        <w:rPr>
          <w:sz w:val="22"/>
          <w:szCs w:val="22"/>
        </w:rPr>
        <w:t>nižšia ako</w:t>
      </w:r>
      <w:r w:rsidR="00845B86" w:rsidRPr="00664446">
        <w:rPr>
          <w:sz w:val="22"/>
          <w:szCs w:val="22"/>
        </w:rPr>
        <w:t xml:space="preserve"> koncentráci</w:t>
      </w:r>
      <w:r w:rsidR="00127690" w:rsidRPr="00664446">
        <w:rPr>
          <w:sz w:val="22"/>
          <w:szCs w:val="22"/>
        </w:rPr>
        <w:t>a</w:t>
      </w:r>
      <w:r w:rsidR="00845B86" w:rsidRPr="00664446">
        <w:rPr>
          <w:sz w:val="22"/>
          <w:szCs w:val="22"/>
        </w:rPr>
        <w:t xml:space="preserve"> </w:t>
      </w:r>
      <w:r w:rsidR="002A0008" w:rsidRPr="00664446">
        <w:rPr>
          <w:sz w:val="22"/>
          <w:szCs w:val="22"/>
        </w:rPr>
        <w:t xml:space="preserve">v </w:t>
      </w:r>
      <w:r w:rsidR="00845B86" w:rsidRPr="00664446">
        <w:rPr>
          <w:sz w:val="22"/>
          <w:szCs w:val="22"/>
        </w:rPr>
        <w:t>materskej plazm</w:t>
      </w:r>
      <w:r w:rsidR="002A0008" w:rsidRPr="00664446">
        <w:rPr>
          <w:sz w:val="22"/>
          <w:szCs w:val="22"/>
        </w:rPr>
        <w:t>e</w:t>
      </w:r>
      <w:r w:rsidR="00845B86" w:rsidRPr="00664446">
        <w:rPr>
          <w:sz w:val="22"/>
          <w:szCs w:val="22"/>
        </w:rPr>
        <w:t>. Metabolit</w:t>
      </w:r>
      <w:r w:rsidR="002A0008" w:rsidRPr="00664446">
        <w:rPr>
          <w:sz w:val="22"/>
          <w:szCs w:val="22"/>
        </w:rPr>
        <w:t xml:space="preserve"> mesalazínu</w:t>
      </w:r>
      <w:r w:rsidR="00891C20" w:rsidRPr="00664446">
        <w:rPr>
          <w:sz w:val="22"/>
          <w:szCs w:val="22"/>
        </w:rPr>
        <w:t>,</w:t>
      </w:r>
      <w:r w:rsidR="002A0008" w:rsidRPr="00664446">
        <w:rPr>
          <w:sz w:val="22"/>
          <w:szCs w:val="22"/>
        </w:rPr>
        <w:t xml:space="preserve"> </w:t>
      </w:r>
      <w:r w:rsidR="00E7356E" w:rsidRPr="00664446">
        <w:rPr>
          <w:sz w:val="22"/>
          <w:szCs w:val="22"/>
        </w:rPr>
        <w:t>acetyl</w:t>
      </w:r>
      <w:r w:rsidR="00845B86" w:rsidRPr="00664446">
        <w:rPr>
          <w:sz w:val="22"/>
          <w:szCs w:val="22"/>
        </w:rPr>
        <w:t>mesalazín, sa nachádza v </w:t>
      </w:r>
      <w:r w:rsidR="00B35B8F" w:rsidRPr="00664446">
        <w:rPr>
          <w:sz w:val="22"/>
          <w:szCs w:val="22"/>
        </w:rPr>
        <w:t>obdobných</w:t>
      </w:r>
      <w:r w:rsidR="00845B86" w:rsidRPr="00664446">
        <w:rPr>
          <w:sz w:val="22"/>
          <w:szCs w:val="22"/>
        </w:rPr>
        <w:t xml:space="preserve"> koncentráci</w:t>
      </w:r>
      <w:r w:rsidR="00B35B8F" w:rsidRPr="00664446">
        <w:rPr>
          <w:sz w:val="22"/>
          <w:szCs w:val="22"/>
        </w:rPr>
        <w:t>ách</w:t>
      </w:r>
      <w:r w:rsidR="00845B86" w:rsidRPr="00664446">
        <w:rPr>
          <w:sz w:val="22"/>
          <w:szCs w:val="22"/>
        </w:rPr>
        <w:t xml:space="preserve"> v pupočn</w:t>
      </w:r>
      <w:r w:rsidR="00262E62" w:rsidRPr="00664446">
        <w:rPr>
          <w:sz w:val="22"/>
          <w:szCs w:val="22"/>
        </w:rPr>
        <w:t>íkovej</w:t>
      </w:r>
      <w:r w:rsidR="00845B86" w:rsidRPr="00664446">
        <w:rPr>
          <w:sz w:val="22"/>
          <w:szCs w:val="22"/>
        </w:rPr>
        <w:t xml:space="preserve"> a materskej plazme. </w:t>
      </w:r>
    </w:p>
    <w:p w:rsidR="00387C7B" w:rsidRDefault="007F23BA" w:rsidP="005478F7">
      <w:pPr>
        <w:rPr>
          <w:sz w:val="22"/>
          <w:szCs w:val="22"/>
        </w:rPr>
      </w:pPr>
      <w:r w:rsidRPr="007F23BA">
        <w:rPr>
          <w:sz w:val="22"/>
          <w:szCs w:val="22"/>
        </w:rPr>
        <w:t xml:space="preserve">Štúdie na zvieratách s perorálnym mesalazínom nepreukázali priame alebo nepriame škodlivé účinky na fertilitu, graviditu, embryo/fetálny vývoj, pôrod alebo postnatálny vývoj. Neuskutočnili sa žiadne primerané a dobre kontrolované štúdie, ktoré by boli zamerané na podávanie Pentasy tehotným ženám. </w:t>
      </w:r>
      <w:r w:rsidRPr="007F23BA">
        <w:rPr>
          <w:sz w:val="22"/>
          <w:szCs w:val="22"/>
        </w:rPr>
        <w:lastRenderedPageBreak/>
        <w:t xml:space="preserve">Limitované publikované údaje u žien užívajúcich mesalazín nepreukázali zvýšený celkový výskyt vrodených malformácií. Niektoré údaje poukazujú na zvýšený výskyt predčasného pôrodu, narodenia mŕtveho plodu a nízkej pôrodnej hmotnosti; no tieto nežiaduce účinky súvisia taktiež s aktívnym črevným zápalovým ochorením.  </w:t>
      </w:r>
    </w:p>
    <w:p w:rsidR="00B03455" w:rsidRPr="00664446" w:rsidRDefault="00B03455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U novorodencov, ktorých matky </w:t>
      </w:r>
      <w:r w:rsidR="00780330" w:rsidRPr="00664446">
        <w:rPr>
          <w:sz w:val="22"/>
          <w:szCs w:val="22"/>
        </w:rPr>
        <w:t>sa</w:t>
      </w:r>
      <w:r w:rsidRPr="00664446">
        <w:rPr>
          <w:sz w:val="22"/>
          <w:szCs w:val="22"/>
        </w:rPr>
        <w:t xml:space="preserve"> lieč</w:t>
      </w:r>
      <w:r w:rsidR="00780330" w:rsidRPr="00664446">
        <w:rPr>
          <w:sz w:val="22"/>
          <w:szCs w:val="22"/>
        </w:rPr>
        <w:t>ili</w:t>
      </w:r>
      <w:r w:rsidRPr="00664446">
        <w:rPr>
          <w:sz w:val="22"/>
          <w:szCs w:val="22"/>
        </w:rPr>
        <w:t xml:space="preserve"> Pentasou, sa pozorovali poruchy krvi (</w:t>
      </w:r>
      <w:r w:rsidR="002A0008" w:rsidRPr="00664446">
        <w:rPr>
          <w:sz w:val="22"/>
          <w:szCs w:val="22"/>
        </w:rPr>
        <w:t xml:space="preserve">pancytopénia, </w:t>
      </w:r>
      <w:r w:rsidRPr="00664446">
        <w:rPr>
          <w:sz w:val="22"/>
          <w:szCs w:val="22"/>
        </w:rPr>
        <w:t>leukopénia, trombocytopénia a anémia).</w:t>
      </w:r>
    </w:p>
    <w:p w:rsidR="00164AA1" w:rsidRPr="00664446" w:rsidRDefault="00164AA1" w:rsidP="005478F7">
      <w:pPr>
        <w:rPr>
          <w:sz w:val="22"/>
          <w:szCs w:val="22"/>
        </w:rPr>
      </w:pPr>
    </w:p>
    <w:p w:rsidR="003F45B6" w:rsidRPr="00664446" w:rsidRDefault="00A43204" w:rsidP="003F45B6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Ojedinelý prípad zlyhania obličiek bol hlásený u novorodenca po dlhodobom užívaní vysokých dávok </w:t>
      </w:r>
      <w:r w:rsidR="003F45B6" w:rsidRPr="00664446">
        <w:rPr>
          <w:sz w:val="22"/>
          <w:szCs w:val="22"/>
        </w:rPr>
        <w:t xml:space="preserve"> mesalazínu (2 – 4 g perorálne) </w:t>
      </w:r>
      <w:r w:rsidRPr="00664446">
        <w:rPr>
          <w:sz w:val="22"/>
          <w:szCs w:val="22"/>
        </w:rPr>
        <w:t xml:space="preserve">matkou </w:t>
      </w:r>
      <w:r w:rsidR="003F45B6" w:rsidRPr="00664446">
        <w:rPr>
          <w:sz w:val="22"/>
          <w:szCs w:val="22"/>
        </w:rPr>
        <w:t xml:space="preserve">počas </w:t>
      </w:r>
      <w:r w:rsidRPr="00664446">
        <w:rPr>
          <w:sz w:val="22"/>
          <w:szCs w:val="22"/>
        </w:rPr>
        <w:t>tehotenstva</w:t>
      </w:r>
      <w:r w:rsidR="003F45B6" w:rsidRPr="00664446">
        <w:rPr>
          <w:sz w:val="22"/>
          <w:szCs w:val="22"/>
        </w:rPr>
        <w:t>.</w:t>
      </w:r>
    </w:p>
    <w:p w:rsidR="00E62A23" w:rsidRPr="00664446" w:rsidRDefault="00E62A23" w:rsidP="005478F7">
      <w:pPr>
        <w:rPr>
          <w:sz w:val="22"/>
          <w:szCs w:val="22"/>
        </w:rPr>
      </w:pPr>
    </w:p>
    <w:p w:rsidR="00A665D9" w:rsidRPr="00737FA0" w:rsidRDefault="00387C7B" w:rsidP="005478F7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:rsidR="00B03455" w:rsidRPr="00664446" w:rsidRDefault="00B03455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Mesalazín sa vylučuje do materského mlieka</w:t>
      </w:r>
      <w:r w:rsidR="00164AA1" w:rsidRPr="00664446">
        <w:rPr>
          <w:sz w:val="22"/>
          <w:szCs w:val="22"/>
        </w:rPr>
        <w:t>.</w:t>
      </w:r>
      <w:r w:rsidRPr="00664446">
        <w:rPr>
          <w:sz w:val="22"/>
          <w:szCs w:val="22"/>
        </w:rPr>
        <w:t xml:space="preserve"> </w:t>
      </w:r>
      <w:r w:rsidR="00164AA1" w:rsidRPr="00664446">
        <w:rPr>
          <w:sz w:val="22"/>
          <w:szCs w:val="22"/>
        </w:rPr>
        <w:t>K</w:t>
      </w:r>
      <w:r w:rsidRPr="00664446">
        <w:rPr>
          <w:sz w:val="22"/>
          <w:szCs w:val="22"/>
        </w:rPr>
        <w:t xml:space="preserve">oncentrácia </w:t>
      </w:r>
      <w:r w:rsidR="00164AA1" w:rsidRPr="00664446">
        <w:rPr>
          <w:sz w:val="22"/>
          <w:szCs w:val="22"/>
        </w:rPr>
        <w:t xml:space="preserve">mesalazínu v materskom mlieku </w:t>
      </w:r>
      <w:r w:rsidRPr="00664446">
        <w:rPr>
          <w:sz w:val="22"/>
          <w:szCs w:val="22"/>
        </w:rPr>
        <w:t xml:space="preserve">je nižšia </w:t>
      </w:r>
      <w:r w:rsidR="00B60015" w:rsidRPr="00664446">
        <w:rPr>
          <w:sz w:val="22"/>
          <w:szCs w:val="22"/>
        </w:rPr>
        <w:t>ako</w:t>
      </w:r>
      <w:r w:rsidRPr="00664446">
        <w:rPr>
          <w:sz w:val="22"/>
          <w:szCs w:val="22"/>
        </w:rPr>
        <w:t xml:space="preserve"> v krvi matky, </w:t>
      </w:r>
      <w:r w:rsidR="00164AA1" w:rsidRPr="00664446">
        <w:rPr>
          <w:sz w:val="22"/>
          <w:szCs w:val="22"/>
        </w:rPr>
        <w:t>pričom</w:t>
      </w:r>
      <w:r w:rsidR="00FC6048" w:rsidRPr="00664446">
        <w:rPr>
          <w:sz w:val="22"/>
          <w:szCs w:val="22"/>
        </w:rPr>
        <w:t xml:space="preserve"> koncentrácia </w:t>
      </w:r>
      <w:r w:rsidR="007F23BA">
        <w:rPr>
          <w:sz w:val="22"/>
          <w:szCs w:val="22"/>
        </w:rPr>
        <w:t xml:space="preserve">jeho </w:t>
      </w:r>
      <w:r w:rsidR="00FC6048" w:rsidRPr="00664446">
        <w:rPr>
          <w:sz w:val="22"/>
          <w:szCs w:val="22"/>
        </w:rPr>
        <w:t>metabolitu</w:t>
      </w:r>
      <w:r w:rsidR="00891C20" w:rsidRPr="00664446">
        <w:rPr>
          <w:sz w:val="22"/>
          <w:szCs w:val="22"/>
        </w:rPr>
        <w:t>,</w:t>
      </w:r>
      <w:r w:rsidR="00FC6048" w:rsidRPr="00664446">
        <w:rPr>
          <w:sz w:val="22"/>
          <w:szCs w:val="22"/>
        </w:rPr>
        <w:t xml:space="preserve"> acetyl</w:t>
      </w:r>
      <w:r w:rsidRPr="00664446">
        <w:rPr>
          <w:sz w:val="22"/>
          <w:szCs w:val="22"/>
        </w:rPr>
        <w:t>mesalazínu</w:t>
      </w:r>
      <w:r w:rsidR="00AE2CAD" w:rsidRPr="00664446">
        <w:rPr>
          <w:sz w:val="22"/>
          <w:szCs w:val="22"/>
        </w:rPr>
        <w:t>,</w:t>
      </w:r>
      <w:r w:rsidRPr="00664446">
        <w:rPr>
          <w:sz w:val="22"/>
          <w:szCs w:val="22"/>
        </w:rPr>
        <w:t xml:space="preserve"> sa zdá byť rovnaká alebo vyššia. Doteraz je málo skúseností s </w:t>
      </w:r>
      <w:r w:rsidR="0020059B" w:rsidRPr="00664446">
        <w:rPr>
          <w:sz w:val="22"/>
          <w:szCs w:val="22"/>
        </w:rPr>
        <w:t>per</w:t>
      </w:r>
      <w:r w:rsidRPr="00664446">
        <w:rPr>
          <w:sz w:val="22"/>
          <w:szCs w:val="22"/>
        </w:rPr>
        <w:t>oráln</w:t>
      </w:r>
      <w:r w:rsidR="00780330" w:rsidRPr="00664446">
        <w:rPr>
          <w:sz w:val="22"/>
          <w:szCs w:val="22"/>
        </w:rPr>
        <w:t>y</w:t>
      </w:r>
      <w:r w:rsidRPr="00664446">
        <w:rPr>
          <w:sz w:val="22"/>
          <w:szCs w:val="22"/>
        </w:rPr>
        <w:t>m použitím mesalazínu u dojčiacich žien. Nevykona</w:t>
      </w:r>
      <w:r w:rsidR="00780330" w:rsidRPr="00664446">
        <w:rPr>
          <w:sz w:val="22"/>
          <w:szCs w:val="22"/>
        </w:rPr>
        <w:t>li sa</w:t>
      </w:r>
      <w:r w:rsidRPr="00664446">
        <w:rPr>
          <w:sz w:val="22"/>
          <w:szCs w:val="22"/>
        </w:rPr>
        <w:t xml:space="preserve"> žiadne kontrolované štúdie </w:t>
      </w:r>
      <w:r w:rsidR="00780330" w:rsidRPr="00664446">
        <w:rPr>
          <w:sz w:val="22"/>
          <w:szCs w:val="22"/>
        </w:rPr>
        <w:t>počas</w:t>
      </w:r>
      <w:r w:rsidRPr="00664446">
        <w:rPr>
          <w:sz w:val="22"/>
          <w:szCs w:val="22"/>
        </w:rPr>
        <w:t xml:space="preserve"> dojčenia. U dojčiat nem</w:t>
      </w:r>
      <w:r w:rsidR="00164AA1" w:rsidRPr="00664446">
        <w:rPr>
          <w:sz w:val="22"/>
          <w:szCs w:val="22"/>
        </w:rPr>
        <w:t>o</w:t>
      </w:r>
      <w:r w:rsidRPr="00664446">
        <w:rPr>
          <w:sz w:val="22"/>
          <w:szCs w:val="22"/>
        </w:rPr>
        <w:t>ž</w:t>
      </w:r>
      <w:r w:rsidR="00164AA1" w:rsidRPr="00664446">
        <w:rPr>
          <w:sz w:val="22"/>
          <w:szCs w:val="22"/>
        </w:rPr>
        <w:t>no</w:t>
      </w:r>
      <w:r w:rsidRPr="00664446">
        <w:rPr>
          <w:sz w:val="22"/>
          <w:szCs w:val="22"/>
        </w:rPr>
        <w:t xml:space="preserve"> vylúčiť reakci</w:t>
      </w:r>
      <w:r w:rsidR="0003679C" w:rsidRPr="00664446">
        <w:rPr>
          <w:sz w:val="22"/>
          <w:szCs w:val="22"/>
        </w:rPr>
        <w:t>e</w:t>
      </w:r>
      <w:r w:rsidRPr="00664446">
        <w:rPr>
          <w:sz w:val="22"/>
          <w:szCs w:val="22"/>
        </w:rPr>
        <w:t xml:space="preserve"> z</w:t>
      </w:r>
      <w:r w:rsidR="00755A9B" w:rsidRPr="00664446">
        <w:rPr>
          <w:sz w:val="22"/>
          <w:szCs w:val="22"/>
        </w:rPr>
        <w:t> </w:t>
      </w:r>
      <w:r w:rsidRPr="00664446">
        <w:rPr>
          <w:sz w:val="22"/>
          <w:szCs w:val="22"/>
        </w:rPr>
        <w:t>precitlivenosti</w:t>
      </w:r>
      <w:r w:rsidR="00755A9B" w:rsidRPr="00664446">
        <w:rPr>
          <w:sz w:val="22"/>
          <w:szCs w:val="22"/>
        </w:rPr>
        <w:t>,</w:t>
      </w:r>
      <w:r w:rsidRPr="00664446">
        <w:rPr>
          <w:sz w:val="22"/>
          <w:szCs w:val="22"/>
        </w:rPr>
        <w:t xml:space="preserve"> ako je napríklad hnačka.</w:t>
      </w:r>
      <w:r w:rsidR="00B60015" w:rsidRPr="00664446">
        <w:rPr>
          <w:sz w:val="22"/>
          <w:szCs w:val="22"/>
        </w:rPr>
        <w:t xml:space="preserve"> </w:t>
      </w:r>
      <w:r w:rsidR="00E62A23" w:rsidRPr="00664446">
        <w:rPr>
          <w:sz w:val="22"/>
          <w:szCs w:val="22"/>
        </w:rPr>
        <w:t xml:space="preserve">Ak sa u dojčaťa objaví hnačka, dojčenie treba </w:t>
      </w:r>
      <w:r w:rsidR="00F115BA" w:rsidRPr="00664446">
        <w:rPr>
          <w:sz w:val="22"/>
          <w:szCs w:val="22"/>
        </w:rPr>
        <w:t>ukončiť</w:t>
      </w:r>
      <w:r w:rsidR="00E62A23" w:rsidRPr="00664446">
        <w:rPr>
          <w:sz w:val="22"/>
          <w:szCs w:val="22"/>
        </w:rPr>
        <w:t>.</w:t>
      </w:r>
    </w:p>
    <w:p w:rsidR="001937C1" w:rsidRDefault="001937C1">
      <w:pPr>
        <w:rPr>
          <w:sz w:val="22"/>
          <w:szCs w:val="22"/>
        </w:rPr>
      </w:pPr>
    </w:p>
    <w:p w:rsidR="00A665D9" w:rsidRDefault="00F13279">
      <w:pPr>
        <w:rPr>
          <w:sz w:val="22"/>
          <w:szCs w:val="22"/>
          <w:u w:val="single"/>
        </w:rPr>
      </w:pPr>
      <w:r w:rsidRPr="00737FA0">
        <w:rPr>
          <w:sz w:val="22"/>
          <w:szCs w:val="22"/>
          <w:u w:val="single"/>
        </w:rPr>
        <w:t>Fertilita</w:t>
      </w:r>
    </w:p>
    <w:p w:rsidR="007F23BA" w:rsidRPr="007F23BA" w:rsidRDefault="007F23BA" w:rsidP="007F23BA">
      <w:pPr>
        <w:rPr>
          <w:sz w:val="22"/>
          <w:szCs w:val="22"/>
        </w:rPr>
      </w:pPr>
      <w:r w:rsidRPr="007F23BA">
        <w:rPr>
          <w:sz w:val="22"/>
          <w:szCs w:val="22"/>
        </w:rPr>
        <w:t>V štúdiách na zvieratách sa nepreukázal vplyv mesalazínu na fertilitu samcov a samičiek.</w:t>
      </w:r>
    </w:p>
    <w:p w:rsidR="00387C7B" w:rsidRDefault="00387C7B" w:rsidP="007F23BA">
      <w:pPr>
        <w:rPr>
          <w:sz w:val="22"/>
          <w:szCs w:val="22"/>
        </w:rPr>
      </w:pPr>
    </w:p>
    <w:p w:rsidR="007F23BA" w:rsidRPr="007F23BA" w:rsidRDefault="007F23BA" w:rsidP="007F23BA">
      <w:pPr>
        <w:rPr>
          <w:sz w:val="22"/>
          <w:szCs w:val="22"/>
        </w:rPr>
      </w:pPr>
      <w:r w:rsidRPr="007F23BA">
        <w:rPr>
          <w:sz w:val="22"/>
          <w:szCs w:val="22"/>
        </w:rPr>
        <w:t>Počas užívania mesalazínu bola veľmi zriedkavo hlásená oligospermia (reverzibilná), pozri časť 4.8.</w:t>
      </w:r>
    </w:p>
    <w:p w:rsidR="00A665D9" w:rsidRPr="004E0E64" w:rsidRDefault="00A665D9">
      <w:pPr>
        <w:rPr>
          <w:sz w:val="22"/>
          <w:szCs w:val="22"/>
          <w:u w:val="single"/>
        </w:rPr>
      </w:pPr>
    </w:p>
    <w:p w:rsidR="00591F74" w:rsidRPr="00664446" w:rsidRDefault="00591F74" w:rsidP="002648A9">
      <w:pPr>
        <w:numPr>
          <w:ilvl w:val="1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Ovplyvnenie schopnosti viesť vozidlá a obsluhovať stroje</w:t>
      </w:r>
    </w:p>
    <w:p w:rsidR="00224C6F" w:rsidRPr="00664446" w:rsidRDefault="00224C6F">
      <w:pPr>
        <w:rPr>
          <w:sz w:val="22"/>
          <w:szCs w:val="22"/>
        </w:rPr>
      </w:pPr>
    </w:p>
    <w:p w:rsidR="007F23BA" w:rsidRPr="007F23BA" w:rsidRDefault="007F23BA" w:rsidP="007F23BA">
      <w:pPr>
        <w:rPr>
          <w:sz w:val="22"/>
          <w:szCs w:val="22"/>
        </w:rPr>
      </w:pPr>
      <w:r w:rsidRPr="007F23BA">
        <w:rPr>
          <w:sz w:val="22"/>
          <w:szCs w:val="22"/>
        </w:rPr>
        <w:t>Pentas</w:t>
      </w:r>
      <w:r>
        <w:rPr>
          <w:sz w:val="22"/>
          <w:szCs w:val="22"/>
        </w:rPr>
        <w:t>a</w:t>
      </w:r>
      <w:r w:rsidRPr="007F23BA">
        <w:rPr>
          <w:sz w:val="22"/>
          <w:szCs w:val="22"/>
        </w:rPr>
        <w:t xml:space="preserve"> nemá žiadny alebo má len zanedbateľný účinok na schopnosti viesť vozidlá a obsluhovať stroje.</w:t>
      </w:r>
    </w:p>
    <w:p w:rsidR="00591F74" w:rsidRPr="00664446" w:rsidRDefault="00591F74">
      <w:pPr>
        <w:rPr>
          <w:b/>
          <w:sz w:val="22"/>
          <w:szCs w:val="22"/>
        </w:rPr>
      </w:pPr>
    </w:p>
    <w:p w:rsidR="00591F74" w:rsidRPr="00664446" w:rsidRDefault="00591F74" w:rsidP="002648A9">
      <w:pPr>
        <w:numPr>
          <w:ilvl w:val="1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Nežiaduce účinky</w:t>
      </w:r>
    </w:p>
    <w:p w:rsidR="00224C6F" w:rsidRPr="00664446" w:rsidRDefault="00224C6F">
      <w:pPr>
        <w:rPr>
          <w:sz w:val="22"/>
          <w:szCs w:val="22"/>
        </w:rPr>
      </w:pPr>
    </w:p>
    <w:p w:rsidR="00FC3738" w:rsidRPr="00664446" w:rsidRDefault="00591F74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V klinických štúdiách boli najčastejšími nežiaducimi reakciami hnačka, nauzea, bolesti brucha, bolesti hlavy, </w:t>
      </w:r>
      <w:r w:rsidR="00164AA1" w:rsidRPr="00664446">
        <w:rPr>
          <w:sz w:val="22"/>
          <w:szCs w:val="22"/>
        </w:rPr>
        <w:t>vracanie</w:t>
      </w:r>
      <w:r w:rsidRPr="00664446">
        <w:rPr>
          <w:sz w:val="22"/>
          <w:szCs w:val="22"/>
        </w:rPr>
        <w:t xml:space="preserve"> a kožná vyrážka.</w:t>
      </w:r>
      <w:r w:rsidR="00164AA1" w:rsidRPr="00664446">
        <w:rPr>
          <w:sz w:val="22"/>
          <w:szCs w:val="22"/>
        </w:rPr>
        <w:t xml:space="preserve"> </w:t>
      </w:r>
    </w:p>
    <w:p w:rsidR="00591F74" w:rsidRPr="00664446" w:rsidRDefault="00591F74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Príležitostne sa môžu vyskytnúť </w:t>
      </w:r>
      <w:r w:rsidR="00FD0488" w:rsidRPr="00664446">
        <w:rPr>
          <w:sz w:val="22"/>
          <w:szCs w:val="22"/>
        </w:rPr>
        <w:t>hypersenzitívne reakcie a lieková horúčka</w:t>
      </w:r>
      <w:r w:rsidRPr="00664446">
        <w:rPr>
          <w:sz w:val="22"/>
          <w:szCs w:val="22"/>
        </w:rPr>
        <w:t>.</w:t>
      </w:r>
    </w:p>
    <w:p w:rsidR="00780330" w:rsidRPr="00664446" w:rsidRDefault="00780330" w:rsidP="00224C6F">
      <w:pPr>
        <w:jc w:val="both"/>
        <w:rPr>
          <w:sz w:val="22"/>
          <w:szCs w:val="22"/>
        </w:rPr>
      </w:pPr>
    </w:p>
    <w:p w:rsidR="00224C6F" w:rsidRPr="00664446" w:rsidRDefault="00591F74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Frekvencia nežiaducich účinkov podľa klinických štúdií a</w:t>
      </w:r>
      <w:r w:rsidR="0020059B" w:rsidRPr="00664446">
        <w:rPr>
          <w:sz w:val="22"/>
          <w:szCs w:val="22"/>
        </w:rPr>
        <w:t xml:space="preserve"> v rámci sledovania </w:t>
      </w:r>
      <w:r w:rsidR="00780330" w:rsidRPr="00664446">
        <w:rPr>
          <w:sz w:val="22"/>
          <w:szCs w:val="22"/>
        </w:rPr>
        <w:t>po uvedení lieku na trh</w:t>
      </w:r>
      <w:r w:rsidRPr="00664446">
        <w:rPr>
          <w:sz w:val="22"/>
          <w:szCs w:val="22"/>
        </w:rPr>
        <w:t>:</w:t>
      </w:r>
    </w:p>
    <w:p w:rsidR="00164AA1" w:rsidRPr="00664446" w:rsidRDefault="00164AA1" w:rsidP="00224C6F">
      <w:pPr>
        <w:jc w:val="both"/>
        <w:rPr>
          <w:sz w:val="22"/>
          <w:szCs w:val="22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490"/>
        <w:gridCol w:w="1559"/>
        <w:gridCol w:w="3685"/>
        <w:gridCol w:w="1560"/>
      </w:tblGrid>
      <w:tr w:rsidR="00C25C29" w:rsidRPr="00664446" w:rsidTr="00C25C29">
        <w:tc>
          <w:tcPr>
            <w:tcW w:w="1913" w:type="dxa"/>
            <w:shd w:val="clear" w:color="auto" w:fill="F2F2F2"/>
          </w:tcPr>
          <w:p w:rsidR="00916F3A" w:rsidRPr="00664446" w:rsidRDefault="00916F3A" w:rsidP="003F45B6">
            <w:pPr>
              <w:rPr>
                <w:b/>
                <w:sz w:val="22"/>
                <w:szCs w:val="22"/>
              </w:rPr>
            </w:pPr>
            <w:r w:rsidRPr="00664446">
              <w:rPr>
                <w:b/>
                <w:sz w:val="22"/>
                <w:szCs w:val="22"/>
              </w:rPr>
              <w:t>Trieda orgánových systémov podľa MedDRA</w:t>
            </w:r>
          </w:p>
        </w:tc>
        <w:tc>
          <w:tcPr>
            <w:tcW w:w="1490" w:type="dxa"/>
            <w:shd w:val="clear" w:color="auto" w:fill="F2F2F2"/>
          </w:tcPr>
          <w:p w:rsidR="00916F3A" w:rsidRPr="00664446" w:rsidRDefault="00916F3A" w:rsidP="00FD0488">
            <w:pPr>
              <w:jc w:val="both"/>
              <w:rPr>
                <w:b/>
                <w:sz w:val="22"/>
                <w:szCs w:val="22"/>
              </w:rPr>
            </w:pPr>
            <w:r w:rsidRPr="00664446">
              <w:rPr>
                <w:b/>
                <w:sz w:val="22"/>
                <w:szCs w:val="22"/>
              </w:rPr>
              <w:t>Časté</w:t>
            </w:r>
          </w:p>
          <w:p w:rsidR="00916F3A" w:rsidRPr="00664446" w:rsidRDefault="00916F3A" w:rsidP="00FD0488">
            <w:pPr>
              <w:rPr>
                <w:b/>
                <w:sz w:val="22"/>
                <w:szCs w:val="22"/>
              </w:rPr>
            </w:pPr>
            <w:r w:rsidRPr="00664446">
              <w:rPr>
                <w:b/>
                <w:sz w:val="22"/>
                <w:szCs w:val="22"/>
              </w:rPr>
              <w:t>(≥ 1/100 až &lt; 1/10)</w:t>
            </w:r>
          </w:p>
        </w:tc>
        <w:tc>
          <w:tcPr>
            <w:tcW w:w="1559" w:type="dxa"/>
            <w:shd w:val="clear" w:color="auto" w:fill="F2F2F2"/>
          </w:tcPr>
          <w:p w:rsidR="00916F3A" w:rsidRPr="00664446" w:rsidRDefault="00916F3A" w:rsidP="00FD0488">
            <w:pPr>
              <w:jc w:val="both"/>
              <w:rPr>
                <w:b/>
                <w:sz w:val="22"/>
                <w:szCs w:val="22"/>
              </w:rPr>
            </w:pPr>
            <w:r w:rsidRPr="00664446">
              <w:rPr>
                <w:b/>
                <w:sz w:val="22"/>
                <w:szCs w:val="22"/>
              </w:rPr>
              <w:t>Zriedkavé</w:t>
            </w:r>
          </w:p>
          <w:p w:rsidR="00916F3A" w:rsidRPr="00664446" w:rsidRDefault="00916F3A" w:rsidP="00FD0488">
            <w:pPr>
              <w:rPr>
                <w:b/>
                <w:sz w:val="22"/>
                <w:szCs w:val="22"/>
              </w:rPr>
            </w:pPr>
            <w:r w:rsidRPr="00664446">
              <w:rPr>
                <w:b/>
                <w:sz w:val="22"/>
                <w:szCs w:val="22"/>
              </w:rPr>
              <w:t>(≥ 1/10 000 až &lt; 1/ 1 000)</w:t>
            </w:r>
          </w:p>
        </w:tc>
        <w:tc>
          <w:tcPr>
            <w:tcW w:w="3685" w:type="dxa"/>
            <w:shd w:val="clear" w:color="auto" w:fill="F2F2F2"/>
          </w:tcPr>
          <w:p w:rsidR="00916F3A" w:rsidRPr="00664446" w:rsidRDefault="00916F3A" w:rsidP="00FD0488">
            <w:pPr>
              <w:jc w:val="both"/>
              <w:rPr>
                <w:b/>
                <w:sz w:val="22"/>
                <w:szCs w:val="22"/>
              </w:rPr>
            </w:pPr>
            <w:r w:rsidRPr="00664446">
              <w:rPr>
                <w:b/>
                <w:sz w:val="22"/>
                <w:szCs w:val="22"/>
              </w:rPr>
              <w:t>Veľmi zriedkavé</w:t>
            </w:r>
          </w:p>
          <w:p w:rsidR="00916F3A" w:rsidRPr="00664446" w:rsidRDefault="00916F3A" w:rsidP="00FD0488">
            <w:pPr>
              <w:rPr>
                <w:b/>
                <w:sz w:val="22"/>
                <w:szCs w:val="22"/>
              </w:rPr>
            </w:pPr>
            <w:r w:rsidRPr="00664446">
              <w:rPr>
                <w:b/>
                <w:sz w:val="22"/>
                <w:szCs w:val="22"/>
              </w:rPr>
              <w:t>(&lt; 1/10 000)</w:t>
            </w:r>
          </w:p>
        </w:tc>
        <w:tc>
          <w:tcPr>
            <w:tcW w:w="1560" w:type="dxa"/>
            <w:shd w:val="clear" w:color="auto" w:fill="F2F2F2"/>
          </w:tcPr>
          <w:p w:rsidR="00916F3A" w:rsidRDefault="00916F3A" w:rsidP="00FD048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Neznáme</w:t>
            </w:r>
          </w:p>
          <w:p w:rsidR="00916F3A" w:rsidRPr="00664446" w:rsidRDefault="00916F3A" w:rsidP="00C25C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(nedá sa odhadnúť z dostupných údajov)</w:t>
            </w:r>
          </w:p>
        </w:tc>
      </w:tr>
      <w:tr w:rsidR="00916F3A" w:rsidRPr="00664446" w:rsidTr="00C25C29">
        <w:tc>
          <w:tcPr>
            <w:tcW w:w="1913" w:type="dxa"/>
            <w:shd w:val="clear" w:color="auto" w:fill="F2F2F2"/>
          </w:tcPr>
          <w:p w:rsidR="00916F3A" w:rsidRPr="00664446" w:rsidRDefault="00916F3A" w:rsidP="00594B8C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>Poruchy krvi a lymfatického systému</w:t>
            </w:r>
          </w:p>
        </w:tc>
        <w:tc>
          <w:tcPr>
            <w:tcW w:w="1490" w:type="dxa"/>
          </w:tcPr>
          <w:p w:rsidR="00916F3A" w:rsidRPr="00664446" w:rsidRDefault="00916F3A" w:rsidP="003F176A">
            <w:pPr>
              <w:ind w:left="-70" w:firstLine="25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16F3A" w:rsidRPr="00664446" w:rsidRDefault="00916F3A" w:rsidP="003F176A">
            <w:pPr>
              <w:ind w:left="1120"/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 xml:space="preserve">        </w:t>
            </w:r>
          </w:p>
          <w:p w:rsidR="00916F3A" w:rsidRPr="00664446" w:rsidRDefault="00916F3A" w:rsidP="003F176A">
            <w:pPr>
              <w:rPr>
                <w:sz w:val="22"/>
                <w:szCs w:val="22"/>
              </w:rPr>
            </w:pPr>
          </w:p>
          <w:p w:rsidR="00916F3A" w:rsidRPr="00664446" w:rsidRDefault="00916F3A" w:rsidP="003F176A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916F3A" w:rsidRPr="00664446" w:rsidRDefault="00916F3A" w:rsidP="00AA22A4">
            <w:pPr>
              <w:rPr>
                <w:sz w:val="22"/>
                <w:szCs w:val="22"/>
              </w:rPr>
            </w:pPr>
            <w:r w:rsidRPr="007F23BA">
              <w:rPr>
                <w:sz w:val="22"/>
                <w:szCs w:val="22"/>
              </w:rPr>
              <w:t xml:space="preserve">zmeny krvného obrazu </w:t>
            </w:r>
            <w:r>
              <w:rPr>
                <w:sz w:val="22"/>
                <w:szCs w:val="22"/>
              </w:rPr>
              <w:t>(</w:t>
            </w:r>
            <w:r w:rsidRPr="007F23BA">
              <w:rPr>
                <w:sz w:val="22"/>
                <w:szCs w:val="22"/>
              </w:rPr>
              <w:t>anémia, aplastická anémia, agranulocytóza, neutropénia, leukopénia (vrátane granulocytopénie), pancytopénia, trombocytopénia a eozinofília (ako súčasť alergickej reakcie)</w:t>
            </w:r>
          </w:p>
        </w:tc>
        <w:tc>
          <w:tcPr>
            <w:tcW w:w="1560" w:type="dxa"/>
          </w:tcPr>
          <w:p w:rsidR="00916F3A" w:rsidRPr="007F23BA" w:rsidRDefault="00916F3A" w:rsidP="00AA22A4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916F3A" w:rsidRPr="00664446" w:rsidTr="00C25C29">
        <w:tc>
          <w:tcPr>
            <w:tcW w:w="1913" w:type="dxa"/>
            <w:shd w:val="clear" w:color="auto" w:fill="F2F2F2"/>
          </w:tcPr>
          <w:p w:rsidR="00916F3A" w:rsidRPr="00664446" w:rsidRDefault="00916F3A" w:rsidP="0002142A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1490" w:type="dxa"/>
          </w:tcPr>
          <w:p w:rsidR="00916F3A" w:rsidRPr="00664446" w:rsidRDefault="00916F3A" w:rsidP="003A4F8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</w:p>
          <w:p w:rsidR="00916F3A" w:rsidRPr="00664446" w:rsidRDefault="00916F3A" w:rsidP="00CB577D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916F3A" w:rsidRPr="00664446" w:rsidRDefault="00916F3A" w:rsidP="00AA22A4">
            <w:pPr>
              <w:rPr>
                <w:sz w:val="22"/>
                <w:szCs w:val="22"/>
              </w:rPr>
            </w:pPr>
            <w:r w:rsidRPr="007F23BA">
              <w:rPr>
                <w:sz w:val="22"/>
                <w:szCs w:val="22"/>
              </w:rPr>
              <w:t>hypersenzitívna reakcia</w:t>
            </w:r>
            <w:r>
              <w:rPr>
                <w:sz w:val="22"/>
                <w:szCs w:val="22"/>
              </w:rPr>
              <w:t>,</w:t>
            </w:r>
            <w:r w:rsidRPr="007F23BA">
              <w:rPr>
                <w:sz w:val="22"/>
                <w:szCs w:val="22"/>
              </w:rPr>
              <w:t xml:space="preserve"> anafylaktick</w:t>
            </w:r>
            <w:r>
              <w:rPr>
                <w:sz w:val="22"/>
                <w:szCs w:val="22"/>
              </w:rPr>
              <w:t>á</w:t>
            </w:r>
            <w:r w:rsidRPr="007F23BA">
              <w:rPr>
                <w:sz w:val="22"/>
                <w:szCs w:val="22"/>
              </w:rPr>
              <w:t xml:space="preserve"> reakci</w:t>
            </w:r>
            <w:r>
              <w:rPr>
                <w:sz w:val="22"/>
                <w:szCs w:val="22"/>
              </w:rPr>
              <w:t>a</w:t>
            </w:r>
            <w:r w:rsidRPr="007F23BA">
              <w:rPr>
                <w:sz w:val="22"/>
                <w:szCs w:val="22"/>
              </w:rPr>
              <w:t>, liekov</w:t>
            </w:r>
            <w:r>
              <w:rPr>
                <w:sz w:val="22"/>
                <w:szCs w:val="22"/>
              </w:rPr>
              <w:t>ý</w:t>
            </w:r>
            <w:r w:rsidRPr="007F23BA">
              <w:rPr>
                <w:sz w:val="22"/>
                <w:szCs w:val="22"/>
              </w:rPr>
              <w:t xml:space="preserve"> výsev s eozinofíliou a systémovými symptómami (syndróm DRESS)</w:t>
            </w:r>
          </w:p>
        </w:tc>
        <w:tc>
          <w:tcPr>
            <w:tcW w:w="1560" w:type="dxa"/>
          </w:tcPr>
          <w:p w:rsidR="00916F3A" w:rsidRPr="007F23BA" w:rsidRDefault="00916F3A" w:rsidP="00AA22A4">
            <w:pPr>
              <w:rPr>
                <w:sz w:val="22"/>
                <w:szCs w:val="22"/>
              </w:rPr>
            </w:pPr>
          </w:p>
        </w:tc>
      </w:tr>
      <w:tr w:rsidR="00916F3A" w:rsidRPr="00664446" w:rsidTr="00C25C29">
        <w:tc>
          <w:tcPr>
            <w:tcW w:w="1913" w:type="dxa"/>
            <w:shd w:val="clear" w:color="auto" w:fill="F2F2F2"/>
          </w:tcPr>
          <w:p w:rsidR="00916F3A" w:rsidRPr="00664446" w:rsidRDefault="00916F3A" w:rsidP="00F7731F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490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664446">
              <w:rPr>
                <w:sz w:val="22"/>
                <w:szCs w:val="22"/>
              </w:rPr>
              <w:t>olesť hlavy</w:t>
            </w:r>
          </w:p>
        </w:tc>
        <w:tc>
          <w:tcPr>
            <w:tcW w:w="1559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664446">
              <w:rPr>
                <w:sz w:val="22"/>
                <w:szCs w:val="22"/>
              </w:rPr>
              <w:t>ávraty</w:t>
            </w:r>
          </w:p>
          <w:p w:rsidR="00916F3A" w:rsidRPr="00664446" w:rsidRDefault="00916F3A" w:rsidP="005913CD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64446">
              <w:rPr>
                <w:sz w:val="22"/>
                <w:szCs w:val="22"/>
              </w:rPr>
              <w:t>eriférna neuropatia</w:t>
            </w:r>
          </w:p>
        </w:tc>
        <w:tc>
          <w:tcPr>
            <w:tcW w:w="1560" w:type="dxa"/>
          </w:tcPr>
          <w:p w:rsidR="00916F3A" w:rsidRDefault="00916F3A" w:rsidP="003F176A">
            <w:pPr>
              <w:rPr>
                <w:sz w:val="22"/>
                <w:szCs w:val="22"/>
              </w:rPr>
            </w:pPr>
          </w:p>
        </w:tc>
      </w:tr>
      <w:tr w:rsidR="00916F3A" w:rsidRPr="00664446" w:rsidTr="00C25C29">
        <w:tc>
          <w:tcPr>
            <w:tcW w:w="1913" w:type="dxa"/>
            <w:shd w:val="clear" w:color="auto" w:fill="F2F2F2"/>
          </w:tcPr>
          <w:p w:rsidR="00916F3A" w:rsidRPr="00664446" w:rsidRDefault="00916F3A" w:rsidP="00FD0488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>Poruchy srdca a srdcovej činnosti</w:t>
            </w:r>
          </w:p>
          <w:p w:rsidR="00916F3A" w:rsidRPr="00664446" w:rsidRDefault="00916F3A" w:rsidP="00FD0488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16F3A" w:rsidRPr="00664446" w:rsidRDefault="00916F3A" w:rsidP="00CB5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64446">
              <w:rPr>
                <w:sz w:val="22"/>
                <w:szCs w:val="22"/>
              </w:rPr>
              <w:t>yokarditída* a perikarditída*</w:t>
            </w:r>
          </w:p>
          <w:p w:rsidR="00916F3A" w:rsidRPr="00664446" w:rsidRDefault="00916F3A" w:rsidP="003F176A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</w:p>
        </w:tc>
      </w:tr>
      <w:tr w:rsidR="00916F3A" w:rsidRPr="00664446" w:rsidTr="00C25C29">
        <w:tc>
          <w:tcPr>
            <w:tcW w:w="1913" w:type="dxa"/>
            <w:shd w:val="clear" w:color="auto" w:fill="F2F2F2"/>
          </w:tcPr>
          <w:p w:rsidR="00916F3A" w:rsidRPr="00664446" w:rsidRDefault="00916F3A" w:rsidP="00FD0488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 xml:space="preserve">Poruchy dýchacej </w:t>
            </w:r>
            <w:r w:rsidRPr="00664446">
              <w:rPr>
                <w:sz w:val="22"/>
                <w:szCs w:val="22"/>
              </w:rPr>
              <w:lastRenderedPageBreak/>
              <w:t>sústavy, hrudníka a mediastína</w:t>
            </w:r>
          </w:p>
          <w:p w:rsidR="00916F3A" w:rsidRPr="00664446" w:rsidRDefault="00916F3A" w:rsidP="00FD0488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916F3A" w:rsidRPr="00664446" w:rsidRDefault="00916F3A" w:rsidP="00AA2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664446">
              <w:rPr>
                <w:sz w:val="22"/>
                <w:szCs w:val="22"/>
              </w:rPr>
              <w:t xml:space="preserve">lergické </w:t>
            </w:r>
            <w:r>
              <w:rPr>
                <w:sz w:val="22"/>
                <w:szCs w:val="22"/>
              </w:rPr>
              <w:t xml:space="preserve">a fibrotické </w:t>
            </w:r>
            <w:r w:rsidRPr="00664446">
              <w:rPr>
                <w:sz w:val="22"/>
                <w:szCs w:val="22"/>
              </w:rPr>
              <w:t xml:space="preserve">pľúcne reakcie </w:t>
            </w:r>
            <w:r w:rsidRPr="00664446">
              <w:rPr>
                <w:sz w:val="22"/>
                <w:szCs w:val="22"/>
              </w:rPr>
              <w:lastRenderedPageBreak/>
              <w:t>(vrátane dyspnoe, kašľa, bronchospazmu,</w:t>
            </w:r>
            <w:r>
              <w:rPr>
                <w:sz w:val="22"/>
                <w:szCs w:val="22"/>
              </w:rPr>
              <w:t xml:space="preserve"> alergickej alveolitídy,</w:t>
            </w:r>
            <w:r w:rsidRPr="00664446">
              <w:rPr>
                <w:sz w:val="22"/>
                <w:szCs w:val="22"/>
              </w:rPr>
              <w:t xml:space="preserve"> pľúcn</w:t>
            </w:r>
            <w:r>
              <w:rPr>
                <w:sz w:val="22"/>
                <w:szCs w:val="22"/>
              </w:rPr>
              <w:t>ej</w:t>
            </w:r>
            <w:r w:rsidRPr="00664446">
              <w:rPr>
                <w:sz w:val="22"/>
                <w:szCs w:val="22"/>
              </w:rPr>
              <w:t xml:space="preserve"> eozinofíli</w:t>
            </w:r>
            <w:r>
              <w:rPr>
                <w:sz w:val="22"/>
                <w:szCs w:val="22"/>
              </w:rPr>
              <w:t>e</w:t>
            </w:r>
            <w:r w:rsidRPr="00664446">
              <w:rPr>
                <w:sz w:val="22"/>
                <w:szCs w:val="22"/>
              </w:rPr>
              <w:t>, intersticiáln</w:t>
            </w:r>
            <w:r>
              <w:rPr>
                <w:sz w:val="22"/>
                <w:szCs w:val="22"/>
              </w:rPr>
              <w:t>ej</w:t>
            </w:r>
            <w:r w:rsidRPr="00664446">
              <w:rPr>
                <w:sz w:val="22"/>
                <w:szCs w:val="22"/>
              </w:rPr>
              <w:t xml:space="preserve">  chorob</w:t>
            </w:r>
            <w:r>
              <w:rPr>
                <w:sz w:val="22"/>
                <w:szCs w:val="22"/>
              </w:rPr>
              <w:t>y</w:t>
            </w:r>
            <w:r w:rsidRPr="00664446">
              <w:rPr>
                <w:sz w:val="22"/>
                <w:szCs w:val="22"/>
              </w:rPr>
              <w:t xml:space="preserve"> pľúc, pľúcn</w:t>
            </w:r>
            <w:r>
              <w:rPr>
                <w:sz w:val="22"/>
                <w:szCs w:val="22"/>
              </w:rPr>
              <w:t>ej</w:t>
            </w:r>
            <w:r w:rsidRPr="00664446">
              <w:rPr>
                <w:sz w:val="22"/>
                <w:szCs w:val="22"/>
              </w:rPr>
              <w:t xml:space="preserve"> infiltrá</w:t>
            </w:r>
            <w:r>
              <w:rPr>
                <w:sz w:val="22"/>
                <w:szCs w:val="22"/>
              </w:rPr>
              <w:t>cie</w:t>
            </w:r>
            <w:r w:rsidRPr="00664446">
              <w:rPr>
                <w:sz w:val="22"/>
                <w:szCs w:val="22"/>
              </w:rPr>
              <w:t>, pneumonitíd</w:t>
            </w:r>
            <w:r>
              <w:rPr>
                <w:sz w:val="22"/>
                <w:szCs w:val="22"/>
              </w:rPr>
              <w:t>y</w:t>
            </w:r>
            <w:r w:rsidRPr="00664446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916F3A" w:rsidRDefault="00916F3A" w:rsidP="00AA22A4">
            <w:pPr>
              <w:rPr>
                <w:sz w:val="22"/>
                <w:szCs w:val="22"/>
              </w:rPr>
            </w:pPr>
          </w:p>
        </w:tc>
      </w:tr>
      <w:tr w:rsidR="00916F3A" w:rsidRPr="00664446" w:rsidTr="00C25C29">
        <w:tc>
          <w:tcPr>
            <w:tcW w:w="1913" w:type="dxa"/>
            <w:shd w:val="clear" w:color="auto" w:fill="F2F2F2"/>
          </w:tcPr>
          <w:p w:rsidR="00916F3A" w:rsidRPr="00664446" w:rsidRDefault="00916F3A" w:rsidP="00FD0488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lastRenderedPageBreak/>
              <w:t xml:space="preserve">Poruchy gastrointestinálneho traktu  </w:t>
            </w:r>
          </w:p>
          <w:p w:rsidR="00916F3A" w:rsidRPr="00664446" w:rsidRDefault="00916F3A" w:rsidP="00FD0488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916F3A" w:rsidRPr="00664446" w:rsidRDefault="00916F3A" w:rsidP="00CB5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664446">
              <w:rPr>
                <w:sz w:val="22"/>
                <w:szCs w:val="22"/>
              </w:rPr>
              <w:t>načka, bolesti brucha, nauzea, vracanie</w:t>
            </w:r>
            <w:r>
              <w:rPr>
                <w:sz w:val="22"/>
                <w:szCs w:val="22"/>
              </w:rPr>
              <w:t>,</w:t>
            </w:r>
          </w:p>
          <w:p w:rsidR="00916F3A" w:rsidRPr="00664446" w:rsidRDefault="00916F3A" w:rsidP="003F176A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>flatulencia</w:t>
            </w:r>
          </w:p>
        </w:tc>
        <w:tc>
          <w:tcPr>
            <w:tcW w:w="1559" w:type="dxa"/>
          </w:tcPr>
          <w:p w:rsidR="00916F3A" w:rsidRPr="00664446" w:rsidRDefault="00916F3A" w:rsidP="004C2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664446">
              <w:rPr>
                <w:sz w:val="22"/>
                <w:szCs w:val="22"/>
              </w:rPr>
              <w:t xml:space="preserve">výšená amyláza, akútna pankreatitída* </w:t>
            </w:r>
          </w:p>
        </w:tc>
        <w:tc>
          <w:tcPr>
            <w:tcW w:w="3685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  <w:r w:rsidRPr="007F23BA">
              <w:rPr>
                <w:sz w:val="22"/>
                <w:szCs w:val="22"/>
              </w:rPr>
              <w:t>pankolitída</w:t>
            </w:r>
          </w:p>
        </w:tc>
        <w:tc>
          <w:tcPr>
            <w:tcW w:w="1560" w:type="dxa"/>
          </w:tcPr>
          <w:p w:rsidR="00916F3A" w:rsidRPr="007F23BA" w:rsidRDefault="00916F3A" w:rsidP="003F176A">
            <w:pPr>
              <w:rPr>
                <w:sz w:val="22"/>
                <w:szCs w:val="22"/>
              </w:rPr>
            </w:pPr>
          </w:p>
        </w:tc>
      </w:tr>
      <w:tr w:rsidR="00916F3A" w:rsidRPr="00664446" w:rsidTr="00C25C29">
        <w:tc>
          <w:tcPr>
            <w:tcW w:w="1913" w:type="dxa"/>
            <w:shd w:val="clear" w:color="auto" w:fill="F2F2F2"/>
          </w:tcPr>
          <w:p w:rsidR="00916F3A" w:rsidRPr="00664446" w:rsidRDefault="00916F3A" w:rsidP="00FD0488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>Poruchy pečene a žlčových ciest</w:t>
            </w:r>
          </w:p>
        </w:tc>
        <w:tc>
          <w:tcPr>
            <w:tcW w:w="1490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916F3A" w:rsidRPr="00664446" w:rsidRDefault="00916F3A" w:rsidP="00C30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664446">
              <w:rPr>
                <w:sz w:val="22"/>
                <w:szCs w:val="22"/>
              </w:rPr>
              <w:t>výšen</w:t>
            </w:r>
            <w:r>
              <w:rPr>
                <w:sz w:val="22"/>
                <w:szCs w:val="22"/>
              </w:rPr>
              <w:t>é</w:t>
            </w:r>
            <w:r w:rsidRPr="00664446">
              <w:rPr>
                <w:sz w:val="22"/>
                <w:szCs w:val="22"/>
              </w:rPr>
              <w:t xml:space="preserve"> hladiny </w:t>
            </w:r>
            <w:r>
              <w:rPr>
                <w:sz w:val="22"/>
                <w:szCs w:val="22"/>
              </w:rPr>
              <w:t>transamináz</w:t>
            </w:r>
            <w:r w:rsidRPr="0066444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zvýšené hodnoty </w:t>
            </w:r>
            <w:r w:rsidRPr="00664446">
              <w:rPr>
                <w:sz w:val="22"/>
                <w:szCs w:val="22"/>
              </w:rPr>
              <w:t xml:space="preserve">parametrov cholestázy </w:t>
            </w:r>
            <w:r>
              <w:rPr>
                <w:sz w:val="22"/>
                <w:szCs w:val="22"/>
              </w:rPr>
              <w:t xml:space="preserve">(napr. alkalickej fosfatázy, gamaglutamyltransferázy </w:t>
            </w:r>
            <w:r w:rsidRPr="00664446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 </w:t>
            </w:r>
            <w:r w:rsidRPr="00664446">
              <w:rPr>
                <w:sz w:val="22"/>
                <w:szCs w:val="22"/>
              </w:rPr>
              <w:t>bilirubín</w:t>
            </w:r>
            <w:r>
              <w:rPr>
                <w:sz w:val="22"/>
                <w:szCs w:val="22"/>
              </w:rPr>
              <w:t>u)</w:t>
            </w:r>
            <w:r w:rsidRPr="00664446">
              <w:rPr>
                <w:sz w:val="22"/>
                <w:szCs w:val="22"/>
              </w:rPr>
              <w:t>, hepatotoxicita (vrátane hepatitídy*, cholestatickej hepatitídy, cirhózy, zlyhania pečene)</w:t>
            </w:r>
          </w:p>
        </w:tc>
        <w:tc>
          <w:tcPr>
            <w:tcW w:w="1560" w:type="dxa"/>
          </w:tcPr>
          <w:p w:rsidR="00916F3A" w:rsidRDefault="00916F3A" w:rsidP="00C30D61">
            <w:pPr>
              <w:rPr>
                <w:sz w:val="22"/>
                <w:szCs w:val="22"/>
              </w:rPr>
            </w:pPr>
          </w:p>
        </w:tc>
      </w:tr>
      <w:tr w:rsidR="00916F3A" w:rsidRPr="00664446" w:rsidTr="00C25C29">
        <w:tc>
          <w:tcPr>
            <w:tcW w:w="1913" w:type="dxa"/>
            <w:shd w:val="clear" w:color="auto" w:fill="F2F2F2"/>
          </w:tcPr>
          <w:p w:rsidR="00916F3A" w:rsidRPr="00664446" w:rsidRDefault="00916F3A" w:rsidP="00CB577D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>Poruchy kože a podkožného tkaniva</w:t>
            </w:r>
          </w:p>
          <w:p w:rsidR="00916F3A" w:rsidRPr="00664446" w:rsidRDefault="00916F3A" w:rsidP="00FD0488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664446">
              <w:rPr>
                <w:sz w:val="22"/>
                <w:szCs w:val="22"/>
              </w:rPr>
              <w:t>yrážka (vrátane žihľavky, erytematóznej vyrážky)</w:t>
            </w:r>
          </w:p>
        </w:tc>
        <w:tc>
          <w:tcPr>
            <w:tcW w:w="1559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fotosenzitivita**</w:t>
            </w:r>
          </w:p>
        </w:tc>
        <w:tc>
          <w:tcPr>
            <w:tcW w:w="3685" w:type="dxa"/>
          </w:tcPr>
          <w:p w:rsidR="00916F3A" w:rsidRPr="00664446" w:rsidRDefault="00916F3A" w:rsidP="000D5B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664446">
              <w:rPr>
                <w:sz w:val="22"/>
                <w:szCs w:val="22"/>
              </w:rPr>
              <w:t>lopécia</w:t>
            </w:r>
            <w:r>
              <w:rPr>
                <w:sz w:val="22"/>
                <w:szCs w:val="22"/>
              </w:rPr>
              <w:t xml:space="preserve"> (reverzibilná), alergická dermatitída, multiformný erytém, </w:t>
            </w:r>
            <w:r w:rsidRPr="007F23BA">
              <w:rPr>
                <w:sz w:val="22"/>
                <w:szCs w:val="22"/>
              </w:rPr>
              <w:t xml:space="preserve"> Stevens</w:t>
            </w:r>
            <w:r>
              <w:rPr>
                <w:sz w:val="22"/>
                <w:szCs w:val="22"/>
              </w:rPr>
              <w:t>ov</w:t>
            </w:r>
            <w:r w:rsidRPr="007F23BA">
              <w:rPr>
                <w:sz w:val="22"/>
                <w:szCs w:val="22"/>
              </w:rPr>
              <w:t>-Johnsonov syndróm (SJS)</w:t>
            </w:r>
          </w:p>
        </w:tc>
        <w:tc>
          <w:tcPr>
            <w:tcW w:w="1560" w:type="dxa"/>
          </w:tcPr>
          <w:p w:rsidR="00916F3A" w:rsidRDefault="00916F3A" w:rsidP="000D5BA8">
            <w:pPr>
              <w:rPr>
                <w:sz w:val="22"/>
                <w:szCs w:val="22"/>
              </w:rPr>
            </w:pPr>
          </w:p>
        </w:tc>
      </w:tr>
      <w:tr w:rsidR="00916F3A" w:rsidRPr="00664446" w:rsidTr="00C25C29">
        <w:tc>
          <w:tcPr>
            <w:tcW w:w="1913" w:type="dxa"/>
            <w:shd w:val="clear" w:color="auto" w:fill="F2F2F2"/>
          </w:tcPr>
          <w:p w:rsidR="00916F3A" w:rsidRPr="00664446" w:rsidRDefault="00916F3A" w:rsidP="00FD0488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 xml:space="preserve">Poruchy kostrovej a svalovej sústavy a spojivového tkaniva </w:t>
            </w:r>
          </w:p>
        </w:tc>
        <w:tc>
          <w:tcPr>
            <w:tcW w:w="1490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916F3A" w:rsidRPr="00664446" w:rsidRDefault="00916F3A" w:rsidP="00CB6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64446">
              <w:rPr>
                <w:sz w:val="22"/>
                <w:szCs w:val="22"/>
              </w:rPr>
              <w:t xml:space="preserve">yalgia, artralgia, </w:t>
            </w:r>
            <w:r>
              <w:rPr>
                <w:sz w:val="22"/>
                <w:szCs w:val="22"/>
              </w:rPr>
              <w:t>syndróm</w:t>
            </w:r>
            <w:r w:rsidRPr="00664446">
              <w:rPr>
                <w:sz w:val="22"/>
                <w:szCs w:val="22"/>
              </w:rPr>
              <w:t xml:space="preserve"> podobn</w:t>
            </w:r>
            <w:r>
              <w:rPr>
                <w:sz w:val="22"/>
                <w:szCs w:val="22"/>
              </w:rPr>
              <w:t>ý</w:t>
            </w:r>
            <w:r w:rsidRPr="00664446">
              <w:rPr>
                <w:sz w:val="22"/>
                <w:szCs w:val="22"/>
              </w:rPr>
              <w:t xml:space="preserve"> lupus erythematosus</w:t>
            </w:r>
            <w:r>
              <w:rPr>
                <w:sz w:val="22"/>
                <w:szCs w:val="22"/>
              </w:rPr>
              <w:t xml:space="preserve"> (systémový lupus erythematosus)</w:t>
            </w:r>
          </w:p>
        </w:tc>
        <w:tc>
          <w:tcPr>
            <w:tcW w:w="1560" w:type="dxa"/>
          </w:tcPr>
          <w:p w:rsidR="00916F3A" w:rsidRDefault="00916F3A" w:rsidP="00CB654A">
            <w:pPr>
              <w:rPr>
                <w:sz w:val="22"/>
                <w:szCs w:val="22"/>
              </w:rPr>
            </w:pPr>
          </w:p>
        </w:tc>
      </w:tr>
      <w:tr w:rsidR="00916F3A" w:rsidRPr="00664446" w:rsidTr="00C25C29">
        <w:tc>
          <w:tcPr>
            <w:tcW w:w="1913" w:type="dxa"/>
            <w:shd w:val="clear" w:color="auto" w:fill="F2F2F2"/>
          </w:tcPr>
          <w:p w:rsidR="00916F3A" w:rsidRPr="00664446" w:rsidRDefault="00916F3A" w:rsidP="00916F3A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>Poruchy obličiek a močových ciest</w:t>
            </w:r>
          </w:p>
        </w:tc>
        <w:tc>
          <w:tcPr>
            <w:tcW w:w="1490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64446">
              <w:rPr>
                <w:sz w:val="22"/>
                <w:szCs w:val="22"/>
              </w:rPr>
              <w:t>orucha renálnych funkcií (vrátane akútnej/chronickej intersticiálnej nefritídy*, nefrotického syndrómu, insuficiencie obličiek), zmena farby moču</w:t>
            </w:r>
          </w:p>
        </w:tc>
        <w:tc>
          <w:tcPr>
            <w:tcW w:w="1560" w:type="dxa"/>
          </w:tcPr>
          <w:p w:rsidR="00916F3A" w:rsidRDefault="00916F3A" w:rsidP="003F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nefrolitiáza***</w:t>
            </w:r>
          </w:p>
        </w:tc>
      </w:tr>
      <w:tr w:rsidR="00916F3A" w:rsidRPr="00664446" w:rsidTr="00C25C29">
        <w:tc>
          <w:tcPr>
            <w:tcW w:w="1913" w:type="dxa"/>
            <w:shd w:val="clear" w:color="auto" w:fill="F2F2F2"/>
          </w:tcPr>
          <w:p w:rsidR="00916F3A" w:rsidRPr="00664446" w:rsidRDefault="00916F3A" w:rsidP="00FD0488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>Poruchy reprodukčného systému</w:t>
            </w:r>
          </w:p>
        </w:tc>
        <w:tc>
          <w:tcPr>
            <w:tcW w:w="1490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664446">
              <w:rPr>
                <w:sz w:val="22"/>
                <w:szCs w:val="22"/>
              </w:rPr>
              <w:t>ligospermia (reverzibilná)</w:t>
            </w:r>
          </w:p>
        </w:tc>
        <w:tc>
          <w:tcPr>
            <w:tcW w:w="1560" w:type="dxa"/>
          </w:tcPr>
          <w:p w:rsidR="00916F3A" w:rsidRDefault="00916F3A" w:rsidP="003F176A">
            <w:pPr>
              <w:rPr>
                <w:sz w:val="22"/>
                <w:szCs w:val="22"/>
              </w:rPr>
            </w:pPr>
          </w:p>
        </w:tc>
      </w:tr>
      <w:tr w:rsidR="00916F3A" w:rsidRPr="00664446" w:rsidTr="00C25C29">
        <w:tc>
          <w:tcPr>
            <w:tcW w:w="1913" w:type="dxa"/>
            <w:shd w:val="clear" w:color="auto" w:fill="F2F2F2"/>
          </w:tcPr>
          <w:p w:rsidR="00916F3A" w:rsidRPr="00664446" w:rsidRDefault="00916F3A" w:rsidP="00FD0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1490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16F3A" w:rsidRPr="00664446" w:rsidRDefault="00916F3A" w:rsidP="003F176A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916F3A" w:rsidRDefault="00916F3A" w:rsidP="003F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lieková horúčka</w:t>
            </w:r>
          </w:p>
        </w:tc>
        <w:tc>
          <w:tcPr>
            <w:tcW w:w="1560" w:type="dxa"/>
          </w:tcPr>
          <w:p w:rsidR="00916F3A" w:rsidRDefault="00916F3A" w:rsidP="003F176A">
            <w:pPr>
              <w:rPr>
                <w:sz w:val="22"/>
                <w:szCs w:val="22"/>
              </w:rPr>
            </w:pPr>
          </w:p>
        </w:tc>
      </w:tr>
    </w:tbl>
    <w:p w:rsidR="00FD4A0D" w:rsidRPr="00664446" w:rsidRDefault="00AF0C80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*</w:t>
      </w:r>
      <w:r w:rsidR="00916F3A">
        <w:rPr>
          <w:sz w:val="22"/>
          <w:szCs w:val="22"/>
        </w:rPr>
        <w:tab/>
      </w:r>
      <w:r w:rsidRPr="00664446">
        <w:rPr>
          <w:sz w:val="22"/>
          <w:szCs w:val="22"/>
        </w:rPr>
        <w:t>Mechanizmus mesalazínom vyvolanej myokarditídy, perikarditídy, pankreatitídy, nefritídy a hepatitídy nie je známy, m</w:t>
      </w:r>
      <w:r w:rsidR="000A56E4" w:rsidRPr="00664446">
        <w:rPr>
          <w:sz w:val="22"/>
          <w:szCs w:val="22"/>
        </w:rPr>
        <w:t>ôže</w:t>
      </w:r>
      <w:r w:rsidRPr="00664446">
        <w:rPr>
          <w:sz w:val="22"/>
          <w:szCs w:val="22"/>
        </w:rPr>
        <w:t xml:space="preserve"> však byť alergického pôvodu. </w:t>
      </w:r>
    </w:p>
    <w:p w:rsidR="00CB654A" w:rsidRDefault="00CB654A" w:rsidP="005478F7">
      <w:pPr>
        <w:rPr>
          <w:sz w:val="22"/>
          <w:szCs w:val="22"/>
        </w:rPr>
      </w:pPr>
      <w:r>
        <w:rPr>
          <w:sz w:val="22"/>
          <w:szCs w:val="22"/>
        </w:rPr>
        <w:t>**</w:t>
      </w:r>
      <w:r w:rsidR="00916F3A">
        <w:rPr>
          <w:sz w:val="22"/>
          <w:szCs w:val="22"/>
        </w:rPr>
        <w:tab/>
      </w:r>
      <w:r>
        <w:rPr>
          <w:sz w:val="22"/>
          <w:szCs w:val="22"/>
        </w:rPr>
        <w:t>Fotosenzitivita: U pacientov s existujúcimi ochoreniami kože, ako je atopická dermatitída a atopický ekzém, sú hlásené závažnejšie reakcie.</w:t>
      </w:r>
    </w:p>
    <w:p w:rsidR="002E12D7" w:rsidRDefault="002E12D7" w:rsidP="005478F7">
      <w:pPr>
        <w:rPr>
          <w:sz w:val="22"/>
          <w:szCs w:val="22"/>
        </w:rPr>
      </w:pPr>
      <w:r>
        <w:rPr>
          <w:sz w:val="22"/>
          <w:szCs w:val="22"/>
        </w:rPr>
        <w:t>***</w:t>
      </w:r>
      <w:r w:rsidR="00916F3A">
        <w:rPr>
          <w:sz w:val="22"/>
          <w:szCs w:val="22"/>
        </w:rPr>
        <w:tab/>
        <w:t>Pre ďalšie informácie pozri časť 4.4.</w:t>
      </w:r>
    </w:p>
    <w:p w:rsidR="00CB654A" w:rsidRPr="00664446" w:rsidRDefault="00CB654A" w:rsidP="005478F7">
      <w:pPr>
        <w:rPr>
          <w:sz w:val="22"/>
          <w:szCs w:val="22"/>
        </w:rPr>
      </w:pPr>
    </w:p>
    <w:p w:rsidR="00591F74" w:rsidRPr="00664446" w:rsidRDefault="00AF0C80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Je </w:t>
      </w:r>
      <w:r w:rsidR="000A56E4" w:rsidRPr="00664446">
        <w:rPr>
          <w:sz w:val="22"/>
          <w:szCs w:val="22"/>
        </w:rPr>
        <w:t>dôležité vedieť</w:t>
      </w:r>
      <w:r w:rsidRPr="00664446">
        <w:rPr>
          <w:sz w:val="22"/>
          <w:szCs w:val="22"/>
        </w:rPr>
        <w:t>, že niektoré z týchto ochorení môžu</w:t>
      </w:r>
      <w:r w:rsidR="000A56E4" w:rsidRPr="00664446">
        <w:rPr>
          <w:sz w:val="22"/>
          <w:szCs w:val="22"/>
        </w:rPr>
        <w:t> súvisieť</w:t>
      </w:r>
      <w:r w:rsidRPr="00664446">
        <w:rPr>
          <w:sz w:val="22"/>
          <w:szCs w:val="22"/>
        </w:rPr>
        <w:t xml:space="preserve"> so samotným</w:t>
      </w:r>
      <w:r w:rsidR="000A56E4" w:rsidRPr="00664446">
        <w:rPr>
          <w:sz w:val="22"/>
          <w:szCs w:val="22"/>
        </w:rPr>
        <w:t xml:space="preserve"> </w:t>
      </w:r>
      <w:r w:rsidR="0020059B" w:rsidRPr="00664446">
        <w:rPr>
          <w:sz w:val="22"/>
          <w:szCs w:val="22"/>
        </w:rPr>
        <w:t xml:space="preserve">črevným </w:t>
      </w:r>
      <w:r w:rsidR="000A56E4" w:rsidRPr="00664446">
        <w:rPr>
          <w:sz w:val="22"/>
          <w:szCs w:val="22"/>
        </w:rPr>
        <w:t>zápalovým ochorením.</w:t>
      </w:r>
    </w:p>
    <w:p w:rsidR="00591F74" w:rsidRDefault="00591F74" w:rsidP="00224C6F">
      <w:pPr>
        <w:jc w:val="both"/>
        <w:rPr>
          <w:b/>
          <w:sz w:val="22"/>
          <w:szCs w:val="22"/>
        </w:rPr>
      </w:pPr>
    </w:p>
    <w:p w:rsidR="00727CB1" w:rsidRPr="006C3B40" w:rsidRDefault="00727CB1" w:rsidP="00727CB1">
      <w:pPr>
        <w:ind w:left="567" w:hanging="567"/>
        <w:rPr>
          <w:sz w:val="22"/>
          <w:u w:val="single"/>
        </w:rPr>
      </w:pPr>
      <w:r w:rsidRPr="006C3B40">
        <w:rPr>
          <w:sz w:val="22"/>
          <w:u w:val="single"/>
        </w:rPr>
        <w:t>Hlásenie podozrení na nežiaduce reakcie</w:t>
      </w:r>
    </w:p>
    <w:p w:rsidR="00727CB1" w:rsidRPr="007B7125" w:rsidRDefault="00727CB1" w:rsidP="00727CB1">
      <w:pPr>
        <w:ind w:left="567" w:hanging="567"/>
        <w:rPr>
          <w:sz w:val="22"/>
        </w:rPr>
      </w:pPr>
      <w:r w:rsidRPr="007B7125">
        <w:rPr>
          <w:sz w:val="22"/>
        </w:rPr>
        <w:t>Hlásenie podozrení na nežiaduce reakcie po registrácii lieku je dôležité. Umožňuje priebežné</w:t>
      </w:r>
    </w:p>
    <w:p w:rsidR="00727CB1" w:rsidRPr="007B7125" w:rsidRDefault="00727CB1" w:rsidP="00727CB1">
      <w:pPr>
        <w:ind w:left="567" w:hanging="567"/>
        <w:rPr>
          <w:sz w:val="22"/>
        </w:rPr>
      </w:pPr>
      <w:r w:rsidRPr="007B7125">
        <w:rPr>
          <w:sz w:val="22"/>
        </w:rPr>
        <w:t>monitorovanie pomeru prínosu a rizika lieku. Od zdravotníckych pracovníkov sa vyžaduje, aby hlásili</w:t>
      </w:r>
    </w:p>
    <w:p w:rsidR="00727CB1" w:rsidRPr="001813EB" w:rsidRDefault="00727CB1" w:rsidP="001813EB">
      <w:pPr>
        <w:ind w:left="567" w:hanging="567"/>
        <w:rPr>
          <w:sz w:val="22"/>
          <w:szCs w:val="22"/>
        </w:rPr>
      </w:pPr>
      <w:r w:rsidRPr="007B7125">
        <w:rPr>
          <w:sz w:val="22"/>
        </w:rPr>
        <w:t xml:space="preserve">akékoľvek podozrenie na nežiaduce </w:t>
      </w:r>
      <w:r w:rsidRPr="001813EB">
        <w:rPr>
          <w:sz w:val="22"/>
          <w:szCs w:val="22"/>
        </w:rPr>
        <w:t xml:space="preserve">reakcie </w:t>
      </w:r>
      <w:r w:rsidR="001813EB" w:rsidRPr="00815E14">
        <w:rPr>
          <w:sz w:val="22"/>
          <w:szCs w:val="22"/>
        </w:rPr>
        <w:t xml:space="preserve">na </w:t>
      </w:r>
      <w:r w:rsidR="001813EB" w:rsidRPr="00737FA0">
        <w:rPr>
          <w:noProof/>
          <w:sz w:val="22"/>
          <w:szCs w:val="22"/>
          <w:highlight w:val="lightGray"/>
        </w:rPr>
        <w:t>národné centrum hlásenia uvedené v </w:t>
      </w:r>
      <w:hyperlink r:id="rId9" w:history="1">
        <w:r w:rsidR="001813EB" w:rsidRPr="00737FA0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815E14">
        <w:rPr>
          <w:sz w:val="22"/>
          <w:szCs w:val="22"/>
        </w:rPr>
        <w:t>.</w:t>
      </w:r>
    </w:p>
    <w:p w:rsidR="00727CB1" w:rsidRPr="00664446" w:rsidRDefault="00727CB1" w:rsidP="00224C6F">
      <w:pPr>
        <w:jc w:val="both"/>
        <w:rPr>
          <w:b/>
          <w:sz w:val="22"/>
          <w:szCs w:val="22"/>
        </w:rPr>
      </w:pPr>
    </w:p>
    <w:p w:rsidR="00591F74" w:rsidRPr="00664446" w:rsidRDefault="00591F74" w:rsidP="002648A9">
      <w:pPr>
        <w:numPr>
          <w:ilvl w:val="1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Predávkovanie</w:t>
      </w:r>
    </w:p>
    <w:p w:rsidR="00224C6F" w:rsidRPr="00664446" w:rsidRDefault="00224C6F">
      <w:pPr>
        <w:rPr>
          <w:sz w:val="22"/>
          <w:szCs w:val="22"/>
          <w:u w:val="single"/>
        </w:rPr>
      </w:pPr>
    </w:p>
    <w:p w:rsidR="00591F74" w:rsidRPr="00664446" w:rsidRDefault="00716B26" w:rsidP="005478F7">
      <w:pPr>
        <w:rPr>
          <w:sz w:val="22"/>
          <w:szCs w:val="22"/>
        </w:rPr>
      </w:pPr>
      <w:r w:rsidRPr="00A7593A">
        <w:rPr>
          <w:sz w:val="22"/>
          <w:szCs w:val="22"/>
          <w:u w:val="single"/>
        </w:rPr>
        <w:t>Akútna</w:t>
      </w:r>
      <w:r w:rsidR="00591F74" w:rsidRPr="00A7593A">
        <w:rPr>
          <w:sz w:val="22"/>
          <w:szCs w:val="22"/>
          <w:u w:val="single"/>
        </w:rPr>
        <w:t xml:space="preserve"> toxicita u zvierat</w:t>
      </w:r>
      <w:r w:rsidR="00591F74" w:rsidRPr="00CD137A">
        <w:rPr>
          <w:sz w:val="22"/>
          <w:szCs w:val="22"/>
        </w:rPr>
        <w:t>:</w:t>
      </w:r>
      <w:r w:rsidR="00591F74" w:rsidRPr="00664446">
        <w:rPr>
          <w:sz w:val="22"/>
          <w:szCs w:val="22"/>
        </w:rPr>
        <w:t xml:space="preserve"> Jedno</w:t>
      </w:r>
      <w:r w:rsidR="005B4F84" w:rsidRPr="00664446">
        <w:rPr>
          <w:sz w:val="22"/>
          <w:szCs w:val="22"/>
        </w:rPr>
        <w:t>razové</w:t>
      </w:r>
      <w:r w:rsidR="00591F74" w:rsidRPr="00664446">
        <w:rPr>
          <w:sz w:val="22"/>
          <w:szCs w:val="22"/>
        </w:rPr>
        <w:t xml:space="preserve"> perorálne dávky mesalazínu až </w:t>
      </w:r>
      <w:r w:rsidR="003A4F80" w:rsidRPr="00664446">
        <w:rPr>
          <w:sz w:val="22"/>
          <w:szCs w:val="22"/>
        </w:rPr>
        <w:t>do</w:t>
      </w:r>
      <w:r w:rsidR="00591F74" w:rsidRPr="00664446">
        <w:rPr>
          <w:sz w:val="22"/>
          <w:szCs w:val="22"/>
        </w:rPr>
        <w:t xml:space="preserve"> 5</w:t>
      </w:r>
      <w:r w:rsidR="00A43204" w:rsidRPr="00664446">
        <w:rPr>
          <w:sz w:val="22"/>
          <w:szCs w:val="22"/>
        </w:rPr>
        <w:t> </w:t>
      </w:r>
      <w:r w:rsidR="00591F74" w:rsidRPr="00664446">
        <w:rPr>
          <w:sz w:val="22"/>
          <w:szCs w:val="22"/>
        </w:rPr>
        <w:t xml:space="preserve">g/kg u prasiat </w:t>
      </w:r>
      <w:r w:rsidR="0020059B" w:rsidRPr="00664446">
        <w:rPr>
          <w:sz w:val="22"/>
          <w:szCs w:val="22"/>
        </w:rPr>
        <w:t>a</w:t>
      </w:r>
      <w:r w:rsidR="003F176A" w:rsidRPr="00664446">
        <w:rPr>
          <w:sz w:val="22"/>
          <w:szCs w:val="22"/>
        </w:rPr>
        <w:t> </w:t>
      </w:r>
      <w:r w:rsidR="00591F74" w:rsidRPr="00664446">
        <w:rPr>
          <w:sz w:val="22"/>
          <w:szCs w:val="22"/>
        </w:rPr>
        <w:t>jedno</w:t>
      </w:r>
      <w:r w:rsidR="005B4F84" w:rsidRPr="00664446">
        <w:rPr>
          <w:sz w:val="22"/>
          <w:szCs w:val="22"/>
        </w:rPr>
        <w:t>razová</w:t>
      </w:r>
      <w:r w:rsidR="00591F74" w:rsidRPr="00664446">
        <w:rPr>
          <w:sz w:val="22"/>
          <w:szCs w:val="22"/>
        </w:rPr>
        <w:t xml:space="preserve"> intravenózn</w:t>
      </w:r>
      <w:r w:rsidR="005B4F84" w:rsidRPr="00664446">
        <w:rPr>
          <w:sz w:val="22"/>
          <w:szCs w:val="22"/>
        </w:rPr>
        <w:t>a</w:t>
      </w:r>
      <w:r w:rsidR="0020059B" w:rsidRPr="00664446">
        <w:rPr>
          <w:sz w:val="22"/>
          <w:szCs w:val="22"/>
        </w:rPr>
        <w:t xml:space="preserve"> dávk</w:t>
      </w:r>
      <w:r w:rsidR="005B4F84" w:rsidRPr="00664446">
        <w:rPr>
          <w:sz w:val="22"/>
          <w:szCs w:val="22"/>
        </w:rPr>
        <w:t>a</w:t>
      </w:r>
      <w:r w:rsidR="00591F74" w:rsidRPr="00664446">
        <w:rPr>
          <w:sz w:val="22"/>
          <w:szCs w:val="22"/>
        </w:rPr>
        <w:t xml:space="preserve"> 920 mg/kg u potkanov neboli letálne.</w:t>
      </w:r>
    </w:p>
    <w:p w:rsidR="005B4F84" w:rsidRPr="00664446" w:rsidRDefault="005B4F84" w:rsidP="005478F7">
      <w:pPr>
        <w:rPr>
          <w:i/>
          <w:sz w:val="22"/>
          <w:szCs w:val="22"/>
        </w:rPr>
      </w:pPr>
    </w:p>
    <w:p w:rsidR="007F23BA" w:rsidRPr="007F23BA" w:rsidRDefault="00716B26" w:rsidP="007F23BA">
      <w:pPr>
        <w:rPr>
          <w:sz w:val="22"/>
          <w:szCs w:val="22"/>
        </w:rPr>
      </w:pPr>
      <w:r w:rsidRPr="00A7593A">
        <w:rPr>
          <w:sz w:val="22"/>
          <w:szCs w:val="22"/>
          <w:u w:val="single"/>
        </w:rPr>
        <w:lastRenderedPageBreak/>
        <w:t>Akútna</w:t>
      </w:r>
      <w:r w:rsidR="00591F74" w:rsidRPr="00A7593A">
        <w:rPr>
          <w:sz w:val="22"/>
          <w:szCs w:val="22"/>
          <w:u w:val="single"/>
        </w:rPr>
        <w:t xml:space="preserve"> toxicita u človeka</w:t>
      </w:r>
      <w:r w:rsidR="00591F74" w:rsidRPr="00CD137A">
        <w:rPr>
          <w:sz w:val="22"/>
          <w:szCs w:val="22"/>
        </w:rPr>
        <w:t xml:space="preserve">: </w:t>
      </w:r>
      <w:r w:rsidR="00F10594" w:rsidRPr="00664446">
        <w:rPr>
          <w:sz w:val="22"/>
          <w:szCs w:val="22"/>
        </w:rPr>
        <w:t>K dispozícii sú</w:t>
      </w:r>
      <w:r w:rsidR="005913CD" w:rsidRPr="00664446">
        <w:rPr>
          <w:sz w:val="22"/>
          <w:szCs w:val="22"/>
        </w:rPr>
        <w:t xml:space="preserve"> len obmedzené klinické skúsenosti pri predávkovaní Pentas</w:t>
      </w:r>
      <w:r w:rsidR="00FF48B7" w:rsidRPr="00664446">
        <w:rPr>
          <w:sz w:val="22"/>
          <w:szCs w:val="22"/>
        </w:rPr>
        <w:t>ou</w:t>
      </w:r>
      <w:r w:rsidR="00F10594" w:rsidRPr="00664446">
        <w:rPr>
          <w:sz w:val="22"/>
          <w:szCs w:val="22"/>
        </w:rPr>
        <w:t>, ktoré nepoukazujú na renálnu alebo hepatálnu toxicitu</w:t>
      </w:r>
      <w:r w:rsidR="005913CD" w:rsidRPr="00664446">
        <w:rPr>
          <w:sz w:val="22"/>
          <w:szCs w:val="22"/>
        </w:rPr>
        <w:t xml:space="preserve">. </w:t>
      </w:r>
      <w:r w:rsidR="007F23BA" w:rsidRPr="007F23BA">
        <w:rPr>
          <w:sz w:val="22"/>
          <w:szCs w:val="22"/>
        </w:rPr>
        <w:t>Avšak, keďže Pentasa je aminosalicylát, môžu sa objaviť symptómy salicylátovej toxicity</w:t>
      </w:r>
      <w:r w:rsidR="00CB654A">
        <w:rPr>
          <w:sz w:val="22"/>
          <w:szCs w:val="22"/>
        </w:rPr>
        <w:t xml:space="preserve"> ako sú poruchy acidobázickej rovnováhy, hyperventilácia, pľúcny edém, vracanie, dehydratácia a hypoglykémia</w:t>
      </w:r>
      <w:r w:rsidR="007F23BA" w:rsidRPr="007F23BA">
        <w:rPr>
          <w:sz w:val="22"/>
          <w:szCs w:val="22"/>
        </w:rPr>
        <w:t>. Symptómy predávkovania salicylátmi sú dobre opísané v literatúre.</w:t>
      </w:r>
    </w:p>
    <w:p w:rsidR="007F23BA" w:rsidRPr="007F23BA" w:rsidRDefault="007F23BA" w:rsidP="007F23BA">
      <w:pPr>
        <w:rPr>
          <w:sz w:val="22"/>
          <w:szCs w:val="22"/>
        </w:rPr>
      </w:pPr>
    </w:p>
    <w:p w:rsidR="007F23BA" w:rsidRDefault="007F23BA" w:rsidP="007F23BA">
      <w:pPr>
        <w:rPr>
          <w:sz w:val="22"/>
          <w:szCs w:val="22"/>
        </w:rPr>
      </w:pPr>
      <w:r w:rsidRPr="007F23BA">
        <w:rPr>
          <w:sz w:val="22"/>
          <w:szCs w:val="22"/>
        </w:rPr>
        <w:t>Hlásené boli prípady, kedy pacienti užívali dávky 8 g denne počas mesiaca bez akýchkoľvek nežiaducich účinkov.</w:t>
      </w:r>
    </w:p>
    <w:p w:rsidR="007F23BA" w:rsidRPr="007F23BA" w:rsidRDefault="007F23BA" w:rsidP="007F23BA">
      <w:pPr>
        <w:rPr>
          <w:sz w:val="22"/>
          <w:szCs w:val="22"/>
        </w:rPr>
      </w:pPr>
    </w:p>
    <w:p w:rsidR="005913CD" w:rsidRPr="00664446" w:rsidRDefault="00F10594" w:rsidP="005478F7">
      <w:pPr>
        <w:rPr>
          <w:i/>
          <w:sz w:val="22"/>
          <w:szCs w:val="22"/>
        </w:rPr>
      </w:pPr>
      <w:r w:rsidRPr="00664446">
        <w:rPr>
          <w:sz w:val="22"/>
          <w:szCs w:val="22"/>
        </w:rPr>
        <w:t xml:space="preserve">Neexistuje špecifické antidotum a liečba je symptomatická a podporná. </w:t>
      </w:r>
      <w:r w:rsidR="007F23BA" w:rsidRPr="007F23BA">
        <w:rPr>
          <w:sz w:val="22"/>
          <w:szCs w:val="22"/>
        </w:rPr>
        <w:t>Liečba v nemocnici zahŕňa dôsledné sledovanie renálnych funkcií.</w:t>
      </w:r>
    </w:p>
    <w:p w:rsidR="003F176A" w:rsidRPr="00664446" w:rsidRDefault="003F176A" w:rsidP="005478F7">
      <w:pPr>
        <w:rPr>
          <w:sz w:val="22"/>
          <w:szCs w:val="22"/>
        </w:rPr>
      </w:pPr>
    </w:p>
    <w:p w:rsidR="00350452" w:rsidRPr="00664446" w:rsidRDefault="00350452" w:rsidP="005478F7">
      <w:pPr>
        <w:rPr>
          <w:sz w:val="22"/>
          <w:szCs w:val="22"/>
        </w:rPr>
      </w:pPr>
    </w:p>
    <w:p w:rsidR="00591F74" w:rsidRPr="00664446" w:rsidRDefault="00591F74" w:rsidP="002648A9">
      <w:pPr>
        <w:numPr>
          <w:ilvl w:val="0"/>
          <w:numId w:val="23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FARMAKOLOGICKÉ VLASTNOSTI</w:t>
      </w:r>
    </w:p>
    <w:p w:rsidR="00224C6F" w:rsidRPr="00664446" w:rsidRDefault="00224C6F">
      <w:pPr>
        <w:rPr>
          <w:b/>
          <w:sz w:val="22"/>
          <w:szCs w:val="22"/>
        </w:rPr>
      </w:pPr>
    </w:p>
    <w:p w:rsidR="00591F74" w:rsidRPr="00664446" w:rsidRDefault="00591F74" w:rsidP="002648A9">
      <w:pPr>
        <w:numPr>
          <w:ilvl w:val="0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Farmakodynamické vlastnosti</w:t>
      </w:r>
    </w:p>
    <w:p w:rsidR="00AF0C80" w:rsidRPr="00664446" w:rsidRDefault="00AF0C80" w:rsidP="00AF0C80">
      <w:pPr>
        <w:jc w:val="both"/>
        <w:rPr>
          <w:b/>
          <w:sz w:val="22"/>
          <w:szCs w:val="22"/>
        </w:rPr>
      </w:pPr>
    </w:p>
    <w:p w:rsidR="00AF0C80" w:rsidRPr="00664446" w:rsidRDefault="00AF0C80" w:rsidP="005478F7">
      <w:pPr>
        <w:rPr>
          <w:sz w:val="22"/>
          <w:szCs w:val="22"/>
          <w:u w:val="single"/>
        </w:rPr>
      </w:pPr>
      <w:r w:rsidRPr="00664446">
        <w:rPr>
          <w:sz w:val="22"/>
          <w:szCs w:val="22"/>
        </w:rPr>
        <w:t xml:space="preserve">Farmakoterapeutická skupina: </w:t>
      </w:r>
      <w:r w:rsidR="007F23BA" w:rsidRPr="007F23BA">
        <w:rPr>
          <w:sz w:val="22"/>
          <w:szCs w:val="22"/>
        </w:rPr>
        <w:t>antidiaroiká, črevné antiinfektíva a antiflogistiká, črevné protizápalové liečivá</w:t>
      </w:r>
      <w:r w:rsidR="000D5BA8">
        <w:rPr>
          <w:sz w:val="22"/>
          <w:szCs w:val="22"/>
        </w:rPr>
        <w:t>,</w:t>
      </w:r>
      <w:r w:rsidR="004C20B4">
        <w:rPr>
          <w:sz w:val="22"/>
          <w:szCs w:val="22"/>
        </w:rPr>
        <w:t xml:space="preserve"> </w:t>
      </w:r>
      <w:r w:rsidRPr="00664446">
        <w:rPr>
          <w:sz w:val="22"/>
          <w:szCs w:val="22"/>
        </w:rPr>
        <w:t>ATC kód</w:t>
      </w:r>
      <w:r w:rsidR="000A56E4" w:rsidRPr="00664446">
        <w:rPr>
          <w:sz w:val="22"/>
          <w:szCs w:val="22"/>
        </w:rPr>
        <w:t>:</w:t>
      </w:r>
      <w:r w:rsidR="000A56E4" w:rsidRPr="00664446">
        <w:rPr>
          <w:b/>
          <w:sz w:val="22"/>
          <w:szCs w:val="22"/>
        </w:rPr>
        <w:t xml:space="preserve"> </w:t>
      </w:r>
      <w:r w:rsidR="000A56E4" w:rsidRPr="00664446">
        <w:rPr>
          <w:sz w:val="22"/>
          <w:szCs w:val="22"/>
        </w:rPr>
        <w:t>A07EC02</w:t>
      </w:r>
    </w:p>
    <w:p w:rsidR="000A56E4" w:rsidRPr="00664446" w:rsidRDefault="000A56E4" w:rsidP="005478F7">
      <w:pPr>
        <w:rPr>
          <w:sz w:val="22"/>
          <w:szCs w:val="22"/>
          <w:u w:val="single"/>
        </w:rPr>
      </w:pPr>
    </w:p>
    <w:p w:rsidR="002967AC" w:rsidRPr="00664446" w:rsidRDefault="002967AC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Mesalazín je aktívnou zložkou sulfa</w:t>
      </w:r>
      <w:r w:rsidR="009F509E" w:rsidRPr="00664446">
        <w:rPr>
          <w:sz w:val="22"/>
          <w:szCs w:val="22"/>
        </w:rPr>
        <w:t>sa</w:t>
      </w:r>
      <w:r w:rsidRPr="00664446">
        <w:rPr>
          <w:sz w:val="22"/>
          <w:szCs w:val="22"/>
        </w:rPr>
        <w:t>lazínu, ktorý sa používa na liečbu ulceróznej kolitídy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Crohnovej choroby.</w:t>
      </w:r>
    </w:p>
    <w:p w:rsidR="007F23BA" w:rsidRPr="007F23BA" w:rsidRDefault="0020059B" w:rsidP="007F23BA">
      <w:pPr>
        <w:rPr>
          <w:sz w:val="22"/>
          <w:szCs w:val="22"/>
        </w:rPr>
      </w:pPr>
      <w:r w:rsidRPr="00664446">
        <w:rPr>
          <w:sz w:val="22"/>
          <w:szCs w:val="22"/>
        </w:rPr>
        <w:t>Na základe k</w:t>
      </w:r>
      <w:r w:rsidR="00591F74" w:rsidRPr="00664446">
        <w:rPr>
          <w:sz w:val="22"/>
          <w:szCs w:val="22"/>
        </w:rPr>
        <w:t>linick</w:t>
      </w:r>
      <w:r w:rsidRPr="00664446">
        <w:rPr>
          <w:sz w:val="22"/>
          <w:szCs w:val="22"/>
        </w:rPr>
        <w:t>ých štúdií sa zistilo</w:t>
      </w:r>
      <w:r w:rsidR="00591F74" w:rsidRPr="00664446">
        <w:rPr>
          <w:sz w:val="22"/>
          <w:szCs w:val="22"/>
        </w:rPr>
        <w:t xml:space="preserve">, že </w:t>
      </w:r>
      <w:r w:rsidRPr="00664446">
        <w:rPr>
          <w:sz w:val="22"/>
          <w:szCs w:val="22"/>
        </w:rPr>
        <w:t>perorálne aj rektálne podanie mesalazínu vedie k</w:t>
      </w:r>
      <w:r w:rsidR="004C20B4">
        <w:rPr>
          <w:sz w:val="22"/>
          <w:szCs w:val="22"/>
        </w:rPr>
        <w:t> </w:t>
      </w:r>
      <w:r w:rsidR="00591F74" w:rsidRPr="00664446">
        <w:rPr>
          <w:sz w:val="22"/>
          <w:szCs w:val="22"/>
        </w:rPr>
        <w:t>terapeutick</w:t>
      </w:r>
      <w:r w:rsidRPr="00664446">
        <w:rPr>
          <w:sz w:val="22"/>
          <w:szCs w:val="22"/>
        </w:rPr>
        <w:t>ému</w:t>
      </w:r>
      <w:r w:rsidR="00591F74" w:rsidRPr="00664446">
        <w:rPr>
          <w:sz w:val="22"/>
          <w:szCs w:val="22"/>
        </w:rPr>
        <w:t xml:space="preserve"> </w:t>
      </w:r>
      <w:r w:rsidRPr="00664446">
        <w:rPr>
          <w:sz w:val="22"/>
          <w:szCs w:val="22"/>
        </w:rPr>
        <w:t xml:space="preserve">účinku </w:t>
      </w:r>
      <w:r w:rsidR="00591F74" w:rsidRPr="00664446">
        <w:rPr>
          <w:sz w:val="22"/>
          <w:szCs w:val="22"/>
        </w:rPr>
        <w:t xml:space="preserve">skôr </w:t>
      </w:r>
      <w:r w:rsidRPr="00664446">
        <w:rPr>
          <w:sz w:val="22"/>
          <w:szCs w:val="22"/>
        </w:rPr>
        <w:t xml:space="preserve">cestou lokálneho ako </w:t>
      </w:r>
      <w:r w:rsidR="00591F74" w:rsidRPr="00664446">
        <w:rPr>
          <w:sz w:val="22"/>
          <w:szCs w:val="22"/>
        </w:rPr>
        <w:t>systémové</w:t>
      </w:r>
      <w:r w:rsidRPr="00664446">
        <w:rPr>
          <w:sz w:val="22"/>
          <w:szCs w:val="22"/>
        </w:rPr>
        <w:t>ho pôsobenia</w:t>
      </w:r>
      <w:r w:rsidR="00591F74" w:rsidRPr="00664446">
        <w:rPr>
          <w:sz w:val="22"/>
          <w:szCs w:val="22"/>
        </w:rPr>
        <w:t xml:space="preserve"> na zápalom postihnuté tkanivo čreva.</w:t>
      </w:r>
      <w:r w:rsidR="007F23BA">
        <w:rPr>
          <w:sz w:val="22"/>
          <w:szCs w:val="22"/>
        </w:rPr>
        <w:t xml:space="preserve"> </w:t>
      </w:r>
      <w:r w:rsidR="007F23BA" w:rsidRPr="007F23BA">
        <w:rPr>
          <w:sz w:val="22"/>
          <w:szCs w:val="22"/>
        </w:rPr>
        <w:t>Na základe dostupných informácií možno predpokladať, že závažnosť črevného zápalu u</w:t>
      </w:r>
      <w:r w:rsidR="004C20B4">
        <w:rPr>
          <w:sz w:val="22"/>
          <w:szCs w:val="22"/>
        </w:rPr>
        <w:t> </w:t>
      </w:r>
      <w:r w:rsidR="007F23BA" w:rsidRPr="007F23BA">
        <w:rPr>
          <w:sz w:val="22"/>
          <w:szCs w:val="22"/>
        </w:rPr>
        <w:t>pacientov s</w:t>
      </w:r>
      <w:r w:rsidR="004C20B4">
        <w:rPr>
          <w:sz w:val="22"/>
          <w:szCs w:val="22"/>
        </w:rPr>
        <w:t> </w:t>
      </w:r>
      <w:r w:rsidR="007F23BA" w:rsidRPr="007F23BA">
        <w:rPr>
          <w:sz w:val="22"/>
          <w:szCs w:val="22"/>
        </w:rPr>
        <w:t>ulceratívnou kolitídou, ktorí sa liečia mesalazínom, nepriamo úmerne koreluje so slizničnou koncentráciou mesalazínu.</w:t>
      </w:r>
    </w:p>
    <w:p w:rsidR="00591F74" w:rsidRPr="00664446" w:rsidRDefault="00591F74" w:rsidP="005478F7">
      <w:pPr>
        <w:rPr>
          <w:sz w:val="22"/>
          <w:szCs w:val="22"/>
        </w:rPr>
      </w:pPr>
    </w:p>
    <w:p w:rsidR="00591F74" w:rsidRPr="00664446" w:rsidRDefault="00591F74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U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 xml:space="preserve">pacientov so zápalovým črevným ochorením dochádza </w:t>
      </w:r>
      <w:r w:rsidR="0020059B" w:rsidRPr="00664446">
        <w:rPr>
          <w:sz w:val="22"/>
          <w:szCs w:val="22"/>
        </w:rPr>
        <w:t>v</w:t>
      </w:r>
      <w:r w:rsidR="004C20B4">
        <w:rPr>
          <w:sz w:val="22"/>
          <w:szCs w:val="22"/>
        </w:rPr>
        <w:t> </w:t>
      </w:r>
      <w:r w:rsidR="0020059B" w:rsidRPr="00664446">
        <w:rPr>
          <w:sz w:val="22"/>
          <w:szCs w:val="22"/>
        </w:rPr>
        <w:t xml:space="preserve">zapálenom tkanive čreva </w:t>
      </w:r>
      <w:r w:rsidRPr="00664446">
        <w:rPr>
          <w:sz w:val="22"/>
          <w:szCs w:val="22"/>
        </w:rPr>
        <w:t>k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zvýšenej migrácii leukocytov, abnormálnej produkcii cytokínov, zvýšenej produkcii metabolitov kyseliny arachidonovej, najmä leukotriénu B4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 xml:space="preserve">zvýšenej tvorbe voľných radikálov. </w:t>
      </w:r>
      <w:r w:rsidR="007F23BA" w:rsidRPr="007F23BA">
        <w:rPr>
          <w:sz w:val="22"/>
          <w:szCs w:val="22"/>
        </w:rPr>
        <w:t>Mechanizmus účinku mesalazínu nie je úplne objasnený, predpokladá sa zapojenie mechanizmov ako aktivácia γ-formy PPAR receptorov (Peroxisome Proliferator-Activated Receptors) a</w:t>
      </w:r>
      <w:r w:rsidR="004C20B4">
        <w:rPr>
          <w:sz w:val="22"/>
          <w:szCs w:val="22"/>
        </w:rPr>
        <w:t> </w:t>
      </w:r>
      <w:r w:rsidR="007F23BA" w:rsidRPr="007F23BA">
        <w:rPr>
          <w:sz w:val="22"/>
          <w:szCs w:val="22"/>
        </w:rPr>
        <w:t>inhibícia jadrového faktora kappa B (NF-κB) v</w:t>
      </w:r>
      <w:r w:rsidR="004C20B4">
        <w:rPr>
          <w:sz w:val="22"/>
          <w:szCs w:val="22"/>
        </w:rPr>
        <w:t> </w:t>
      </w:r>
      <w:r w:rsidR="007F23BA" w:rsidRPr="007F23BA">
        <w:rPr>
          <w:sz w:val="22"/>
          <w:szCs w:val="22"/>
        </w:rPr>
        <w:t xml:space="preserve">črevnej sliznici. </w:t>
      </w:r>
      <w:r w:rsidRPr="00664446">
        <w:rPr>
          <w:sz w:val="22"/>
          <w:szCs w:val="22"/>
        </w:rPr>
        <w:t xml:space="preserve">Mesalazín vykazuje </w:t>
      </w:r>
      <w:r w:rsidRPr="00664446">
        <w:rPr>
          <w:i/>
          <w:sz w:val="22"/>
          <w:szCs w:val="22"/>
        </w:rPr>
        <w:t>in</w:t>
      </w:r>
      <w:r w:rsidR="00755A9B" w:rsidRPr="00664446">
        <w:rPr>
          <w:i/>
          <w:sz w:val="22"/>
          <w:szCs w:val="22"/>
        </w:rPr>
        <w:t xml:space="preserve"> </w:t>
      </w:r>
      <w:r w:rsidRPr="00664446">
        <w:rPr>
          <w:i/>
          <w:sz w:val="22"/>
          <w:szCs w:val="22"/>
        </w:rPr>
        <w:t>vitro</w:t>
      </w:r>
      <w:r w:rsidRPr="00664446">
        <w:rPr>
          <w:sz w:val="22"/>
          <w:szCs w:val="22"/>
        </w:rPr>
        <w:t xml:space="preserve"> </w:t>
      </w:r>
      <w:r w:rsidR="00C532B4" w:rsidRPr="00664446">
        <w:rPr>
          <w:sz w:val="22"/>
          <w:szCs w:val="22"/>
        </w:rPr>
        <w:t>a</w:t>
      </w:r>
      <w:r w:rsidR="004C20B4">
        <w:rPr>
          <w:sz w:val="22"/>
          <w:szCs w:val="22"/>
        </w:rPr>
        <w:t> </w:t>
      </w:r>
      <w:r w:rsidR="00C532B4" w:rsidRPr="00664446">
        <w:rPr>
          <w:i/>
          <w:sz w:val="22"/>
          <w:szCs w:val="22"/>
        </w:rPr>
        <w:t>in vivo</w:t>
      </w:r>
      <w:r w:rsidR="00C532B4" w:rsidRPr="00664446">
        <w:rPr>
          <w:sz w:val="22"/>
          <w:szCs w:val="22"/>
        </w:rPr>
        <w:t xml:space="preserve"> </w:t>
      </w:r>
      <w:r w:rsidRPr="00664446">
        <w:rPr>
          <w:sz w:val="22"/>
          <w:szCs w:val="22"/>
        </w:rPr>
        <w:t>farmakologické účinky, ktoré vedú k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inhibícii chemotaxie leukocytov, zníženiu produkcie cytokínov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leukotriénov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k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odstraňovaniu voľných radikálov.</w:t>
      </w:r>
      <w:r w:rsidR="005B4F84" w:rsidRPr="00664446">
        <w:rPr>
          <w:sz w:val="22"/>
          <w:szCs w:val="22"/>
        </w:rPr>
        <w:t xml:space="preserve"> </w:t>
      </w:r>
      <w:r w:rsidRPr="00664446">
        <w:rPr>
          <w:sz w:val="22"/>
          <w:szCs w:val="22"/>
        </w:rPr>
        <w:t>V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súčasnosti nie je známe, ktorý z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týchto mechanizmov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či vôbec niektorý z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nich</w:t>
      </w:r>
      <w:r w:rsidR="00113CEA" w:rsidRPr="00664446">
        <w:rPr>
          <w:sz w:val="22"/>
          <w:szCs w:val="22"/>
        </w:rPr>
        <w:t>,</w:t>
      </w:r>
      <w:r w:rsidRPr="00664446">
        <w:rPr>
          <w:sz w:val="22"/>
          <w:szCs w:val="22"/>
        </w:rPr>
        <w:t xml:space="preserve"> dominantným spôsobom ovplyvňuje klinickú účinnosť mesalazínu.</w:t>
      </w:r>
    </w:p>
    <w:p w:rsidR="00C01C70" w:rsidRPr="00664446" w:rsidRDefault="00C01C70" w:rsidP="00C01C70">
      <w:pPr>
        <w:rPr>
          <w:sz w:val="22"/>
          <w:szCs w:val="22"/>
        </w:rPr>
      </w:pPr>
    </w:p>
    <w:p w:rsidR="00C01C70" w:rsidRPr="00664446" w:rsidRDefault="00C01C70" w:rsidP="00C01C70">
      <w:pPr>
        <w:rPr>
          <w:sz w:val="22"/>
          <w:szCs w:val="22"/>
        </w:rPr>
      </w:pPr>
      <w:r w:rsidRPr="00664446">
        <w:rPr>
          <w:sz w:val="22"/>
          <w:szCs w:val="22"/>
        </w:rPr>
        <w:t>Pri ulceróznej kolitíde je zvýšené riziko vzniku kolorektálneho karcinómu (CRC), najmä u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pacientov, u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ktorých je ochorenie rozsiahle, trvá dlhšie ako 8 rokov, majú CRC v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rodinnej anamnéze v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prvostupňovej línii alebo v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prípade komorbidity s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primárnou sklerotizujúcou cholangitídou (PSC). Riziko CRC asociované s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kolitídou sa odhaduje na 2 % pri desaťročnom trvaní choroby, 8 % po dvadsiatich rokoch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 xml:space="preserve">18 % po tridsiatich rokoch trvania choroby. </w:t>
      </w:r>
    </w:p>
    <w:p w:rsidR="00C01C70" w:rsidRPr="00664446" w:rsidRDefault="00C01C70" w:rsidP="00C01C70">
      <w:pPr>
        <w:rPr>
          <w:sz w:val="22"/>
          <w:szCs w:val="22"/>
        </w:rPr>
      </w:pPr>
    </w:p>
    <w:p w:rsidR="00C01C70" w:rsidRPr="00664446" w:rsidRDefault="00C01C70" w:rsidP="00C01C70">
      <w:pPr>
        <w:rPr>
          <w:sz w:val="22"/>
          <w:szCs w:val="22"/>
        </w:rPr>
      </w:pPr>
      <w:r w:rsidRPr="00664446">
        <w:rPr>
          <w:sz w:val="22"/>
          <w:szCs w:val="22"/>
        </w:rPr>
        <w:t>Metaanalýzou 9 observačných štúdií (3 kohortové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6 štúdií prípad-kontrola) s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334 prípadmi CRC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140 prípadmi dysplázie u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celkovo 1 932 pacientov s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ulceróznou kolitídou, bolo zistené približne 50</w:t>
      </w:r>
      <w:r w:rsidR="00CE38C0" w:rsidRPr="00664446">
        <w:rPr>
          <w:sz w:val="22"/>
          <w:szCs w:val="22"/>
        </w:rPr>
        <w:t> </w:t>
      </w:r>
      <w:r w:rsidRPr="00664446">
        <w:rPr>
          <w:sz w:val="22"/>
          <w:szCs w:val="22"/>
        </w:rPr>
        <w:t>% zníženie rizika CRC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tiež dysplázi</w:t>
      </w:r>
      <w:r w:rsidR="00341077" w:rsidRPr="00664446">
        <w:rPr>
          <w:sz w:val="22"/>
          <w:szCs w:val="22"/>
        </w:rPr>
        <w:t>e</w:t>
      </w:r>
      <w:r w:rsidRPr="00664446">
        <w:rPr>
          <w:sz w:val="22"/>
          <w:szCs w:val="22"/>
        </w:rPr>
        <w:t>/CRC u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pacientov liečených mesalazínom. Zníženie rizika CRC záviselo od dávky, ako ukázala metaanalýza štúdií so záznamom denných dávok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mesalazín</w:t>
      </w:r>
      <w:r w:rsidR="0040201D">
        <w:rPr>
          <w:sz w:val="22"/>
          <w:szCs w:val="22"/>
        </w:rPr>
        <w:t xml:space="preserve"> </w:t>
      </w:r>
      <w:r w:rsidRPr="00664446">
        <w:rPr>
          <w:sz w:val="22"/>
          <w:szCs w:val="22"/>
        </w:rPr>
        <w:t xml:space="preserve"> mal chemopreventívny účinok pri dávke  ≥ 1,2 g/deň. </w:t>
      </w:r>
      <w:r w:rsidR="00341077" w:rsidRPr="00664446">
        <w:rPr>
          <w:sz w:val="22"/>
          <w:szCs w:val="22"/>
        </w:rPr>
        <w:t>Okrem toho</w:t>
      </w:r>
      <w:r w:rsidRPr="00664446">
        <w:rPr>
          <w:sz w:val="22"/>
          <w:szCs w:val="22"/>
        </w:rPr>
        <w:t xml:space="preserve"> chemopreventívny účinok súvisí s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celoživotným užívaním dávky mesalazínu</w:t>
      </w:r>
      <w:r w:rsidR="00341077" w:rsidRPr="00664446">
        <w:rPr>
          <w:sz w:val="22"/>
          <w:szCs w:val="22"/>
        </w:rPr>
        <w:t>.</w:t>
      </w:r>
      <w:r w:rsidRPr="00664446">
        <w:rPr>
          <w:sz w:val="22"/>
          <w:szCs w:val="22"/>
        </w:rPr>
        <w:t xml:space="preserve"> </w:t>
      </w:r>
      <w:r w:rsidR="00341077" w:rsidRPr="00664446">
        <w:rPr>
          <w:sz w:val="22"/>
          <w:szCs w:val="22"/>
        </w:rPr>
        <w:t>D</w:t>
      </w:r>
      <w:r w:rsidRPr="00664446">
        <w:rPr>
          <w:sz w:val="22"/>
          <w:szCs w:val="22"/>
        </w:rPr>
        <w:t>održiavanie liečby mesalazínom (compliance pacienta) znižuje riziko CRC.</w:t>
      </w:r>
    </w:p>
    <w:p w:rsidR="00C01C70" w:rsidRPr="00664446" w:rsidRDefault="00C01C70" w:rsidP="00C01C70">
      <w:pPr>
        <w:rPr>
          <w:sz w:val="22"/>
          <w:szCs w:val="22"/>
        </w:rPr>
      </w:pPr>
    </w:p>
    <w:p w:rsidR="00591F74" w:rsidRPr="00664446" w:rsidRDefault="00C01C70" w:rsidP="00CE38C0">
      <w:pPr>
        <w:rPr>
          <w:sz w:val="22"/>
          <w:szCs w:val="22"/>
        </w:rPr>
      </w:pPr>
      <w:r w:rsidRPr="00664446">
        <w:rPr>
          <w:sz w:val="22"/>
          <w:szCs w:val="22"/>
        </w:rPr>
        <w:t>Účinky mesalazínu pozorované v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experimentálnych modeloch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biopsie pacientov svedčia o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úlohe mesalazínu v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prevencii CRC asociovaného s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kolitídou, potlačením obidvoch zápalovo závislých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zápalovo nezávislých signalizačných ciest podieľajúcich sa na rozvoji CRC asociovaného s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kolitídou.</w:t>
      </w:r>
    </w:p>
    <w:p w:rsidR="00C01C70" w:rsidRPr="00664446" w:rsidRDefault="00C01C70" w:rsidP="00C01C70">
      <w:pPr>
        <w:jc w:val="both"/>
        <w:rPr>
          <w:sz w:val="22"/>
          <w:szCs w:val="22"/>
        </w:rPr>
      </w:pPr>
    </w:p>
    <w:p w:rsidR="00591F74" w:rsidRPr="00664446" w:rsidRDefault="00591F74" w:rsidP="002648A9">
      <w:pPr>
        <w:numPr>
          <w:ilvl w:val="1"/>
          <w:numId w:val="18"/>
        </w:numPr>
        <w:jc w:val="both"/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lastRenderedPageBreak/>
        <w:t>Farmakokinetické vlastnosti</w:t>
      </w:r>
    </w:p>
    <w:p w:rsidR="00224C6F" w:rsidRPr="00664446" w:rsidRDefault="00224C6F" w:rsidP="00224C6F">
      <w:pPr>
        <w:jc w:val="both"/>
        <w:rPr>
          <w:b/>
          <w:sz w:val="22"/>
          <w:szCs w:val="22"/>
        </w:rPr>
      </w:pPr>
    </w:p>
    <w:p w:rsidR="00591F74" w:rsidRPr="00664446" w:rsidRDefault="00113CEA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T</w:t>
      </w:r>
      <w:r w:rsidR="00591F74" w:rsidRPr="00664446">
        <w:rPr>
          <w:sz w:val="22"/>
          <w:szCs w:val="22"/>
        </w:rPr>
        <w:t>erapeutická aktivita mesalazínu závisí s</w:t>
      </w:r>
      <w:r w:rsidR="004C20B4">
        <w:rPr>
          <w:sz w:val="22"/>
          <w:szCs w:val="22"/>
        </w:rPr>
        <w:t> </w:t>
      </w:r>
      <w:r w:rsidR="00591F74" w:rsidRPr="00664446">
        <w:rPr>
          <w:sz w:val="22"/>
          <w:szCs w:val="22"/>
        </w:rPr>
        <w:t xml:space="preserve">najväčšou pravdepodobnosťou </w:t>
      </w:r>
      <w:r w:rsidR="00C50725" w:rsidRPr="00664446">
        <w:rPr>
          <w:sz w:val="22"/>
          <w:szCs w:val="22"/>
        </w:rPr>
        <w:t>od</w:t>
      </w:r>
      <w:r w:rsidR="00591F74" w:rsidRPr="00664446">
        <w:rPr>
          <w:sz w:val="22"/>
          <w:szCs w:val="22"/>
        </w:rPr>
        <w:t xml:space="preserve"> lokáln</w:t>
      </w:r>
      <w:r w:rsidR="00C50725" w:rsidRPr="00664446">
        <w:rPr>
          <w:sz w:val="22"/>
          <w:szCs w:val="22"/>
        </w:rPr>
        <w:t>eho</w:t>
      </w:r>
      <w:r w:rsidR="00591F74" w:rsidRPr="00664446">
        <w:rPr>
          <w:sz w:val="22"/>
          <w:szCs w:val="22"/>
        </w:rPr>
        <w:t xml:space="preserve"> kontakt</w:t>
      </w:r>
      <w:r w:rsidR="00C50725" w:rsidRPr="00664446">
        <w:rPr>
          <w:sz w:val="22"/>
          <w:szCs w:val="22"/>
        </w:rPr>
        <w:t>u</w:t>
      </w:r>
      <w:r w:rsidR="00591F74" w:rsidRPr="00664446">
        <w:rPr>
          <w:sz w:val="22"/>
          <w:szCs w:val="22"/>
        </w:rPr>
        <w:t xml:space="preserve"> lieku s</w:t>
      </w:r>
      <w:r w:rsidR="004C20B4">
        <w:rPr>
          <w:sz w:val="22"/>
          <w:szCs w:val="22"/>
        </w:rPr>
        <w:t> </w:t>
      </w:r>
      <w:r w:rsidR="00591F74" w:rsidRPr="00664446">
        <w:rPr>
          <w:sz w:val="22"/>
          <w:szCs w:val="22"/>
        </w:rPr>
        <w:t>postihnutou oblasťou črevnej sliznice.</w:t>
      </w:r>
    </w:p>
    <w:p w:rsidR="00B11B8F" w:rsidRPr="00664446" w:rsidRDefault="00B11B8F" w:rsidP="005478F7">
      <w:pPr>
        <w:rPr>
          <w:sz w:val="22"/>
          <w:szCs w:val="22"/>
        </w:rPr>
      </w:pPr>
    </w:p>
    <w:p w:rsidR="00591F74" w:rsidRPr="00664446" w:rsidRDefault="00591F74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Pentasa</w:t>
      </w:r>
      <w:r w:rsidRPr="00664446">
        <w:rPr>
          <w:position w:val="6"/>
          <w:sz w:val="22"/>
          <w:szCs w:val="22"/>
        </w:rPr>
        <w:t xml:space="preserve"> </w:t>
      </w:r>
      <w:r w:rsidRPr="00664446">
        <w:rPr>
          <w:sz w:val="22"/>
          <w:szCs w:val="22"/>
        </w:rPr>
        <w:t>Sachet</w:t>
      </w:r>
      <w:r w:rsidR="006123CF" w:rsidRPr="00664446">
        <w:rPr>
          <w:sz w:val="22"/>
          <w:szCs w:val="22"/>
        </w:rPr>
        <w:t>,</w:t>
      </w:r>
      <w:r w:rsidRPr="00664446">
        <w:rPr>
          <w:sz w:val="22"/>
          <w:szCs w:val="22"/>
        </w:rPr>
        <w:t xml:space="preserve"> granulát s</w:t>
      </w:r>
      <w:r w:rsidR="004C20B4">
        <w:rPr>
          <w:sz w:val="22"/>
          <w:szCs w:val="22"/>
        </w:rPr>
        <w:t> </w:t>
      </w:r>
      <w:r w:rsidR="00113CEA" w:rsidRPr="00664446">
        <w:rPr>
          <w:sz w:val="22"/>
          <w:szCs w:val="22"/>
        </w:rPr>
        <w:t xml:space="preserve">predĺženým </w:t>
      </w:r>
      <w:r w:rsidRPr="00664446">
        <w:rPr>
          <w:sz w:val="22"/>
          <w:szCs w:val="22"/>
        </w:rPr>
        <w:t>uvoľňovaním</w:t>
      </w:r>
      <w:r w:rsidR="006123CF" w:rsidRPr="00664446">
        <w:rPr>
          <w:sz w:val="22"/>
          <w:szCs w:val="22"/>
        </w:rPr>
        <w:t>,</w:t>
      </w:r>
      <w:r w:rsidRPr="00664446">
        <w:rPr>
          <w:sz w:val="22"/>
          <w:szCs w:val="22"/>
        </w:rPr>
        <w:t xml:space="preserve"> sú mikrogranuly mesalazínu potiahnuté etylcelulózou. </w:t>
      </w:r>
      <w:r w:rsidR="006F0828" w:rsidRPr="006F0828">
        <w:rPr>
          <w:sz w:val="22"/>
          <w:szCs w:val="22"/>
        </w:rPr>
        <w:t>Potiahnuté mikrogranuly vstupujú do duodena do jednej hodiny po užití nezávisle od súbežného požitia jedla. Mesalazín sa plynulo uvoľňuje z</w:t>
      </w:r>
      <w:r w:rsidR="004C20B4">
        <w:rPr>
          <w:sz w:val="22"/>
          <w:szCs w:val="22"/>
        </w:rPr>
        <w:t> </w:t>
      </w:r>
      <w:r w:rsidR="006F0828" w:rsidRPr="006F0828">
        <w:rPr>
          <w:sz w:val="22"/>
          <w:szCs w:val="22"/>
        </w:rPr>
        <w:t>potiahnutých mikrogranúl po celý čas prechodu tráviacim traktom nezávisle od pH jednotlivých črevných úsekov.</w:t>
      </w:r>
    </w:p>
    <w:p w:rsidR="00B11B8F" w:rsidRPr="00664446" w:rsidRDefault="00B11B8F" w:rsidP="005478F7">
      <w:pPr>
        <w:rPr>
          <w:sz w:val="22"/>
          <w:szCs w:val="22"/>
        </w:rPr>
      </w:pPr>
    </w:p>
    <w:p w:rsidR="006F0828" w:rsidRPr="00200FBF" w:rsidRDefault="00490382" w:rsidP="006F0828">
      <w:pPr>
        <w:rPr>
          <w:sz w:val="22"/>
          <w:szCs w:val="22"/>
          <w:u w:val="single"/>
        </w:rPr>
      </w:pPr>
      <w:r w:rsidRPr="00200FBF">
        <w:rPr>
          <w:sz w:val="22"/>
          <w:szCs w:val="22"/>
          <w:u w:val="single"/>
        </w:rPr>
        <w:t xml:space="preserve">Absorpcia </w:t>
      </w:r>
    </w:p>
    <w:p w:rsidR="006F0828" w:rsidRPr="00737FA0" w:rsidRDefault="00F13279" w:rsidP="006F0828">
      <w:pPr>
        <w:rPr>
          <w:sz w:val="22"/>
          <w:szCs w:val="22"/>
        </w:rPr>
      </w:pPr>
      <w:r w:rsidRPr="00737FA0">
        <w:rPr>
          <w:sz w:val="22"/>
          <w:szCs w:val="22"/>
        </w:rPr>
        <w:t>Biodostupnosť Pentasy po perorálnom užití sa podľa údajov o</w:t>
      </w:r>
      <w:r w:rsidR="004C20B4">
        <w:rPr>
          <w:sz w:val="22"/>
          <w:szCs w:val="22"/>
        </w:rPr>
        <w:t> </w:t>
      </w:r>
      <w:r w:rsidRPr="00737FA0">
        <w:rPr>
          <w:sz w:val="22"/>
          <w:szCs w:val="22"/>
        </w:rPr>
        <w:t>obsahu v</w:t>
      </w:r>
      <w:r w:rsidR="004C20B4">
        <w:rPr>
          <w:sz w:val="22"/>
          <w:szCs w:val="22"/>
        </w:rPr>
        <w:t> </w:t>
      </w:r>
      <w:r w:rsidRPr="00737FA0">
        <w:rPr>
          <w:sz w:val="22"/>
          <w:szCs w:val="22"/>
        </w:rPr>
        <w:t>moči zdravých dobrovoľníkov odhaduje na približne 30 %. Maximálne plazmatické koncentrácie možno pozorovať 1 – 6 hodín po užití dávky. Užitie mesalazínu jedenkrát denne (1 x 4 g/deň) a</w:t>
      </w:r>
      <w:r w:rsidR="004C20B4">
        <w:rPr>
          <w:sz w:val="22"/>
          <w:szCs w:val="22"/>
        </w:rPr>
        <w:t> </w:t>
      </w:r>
      <w:r w:rsidRPr="00737FA0">
        <w:rPr>
          <w:sz w:val="22"/>
          <w:szCs w:val="22"/>
        </w:rPr>
        <w:t>dvakrát denne (2 x 2 g/deň) vedie k</w:t>
      </w:r>
      <w:r w:rsidR="004C20B4">
        <w:rPr>
          <w:sz w:val="22"/>
          <w:szCs w:val="22"/>
        </w:rPr>
        <w:t> </w:t>
      </w:r>
      <w:r w:rsidRPr="00737FA0">
        <w:rPr>
          <w:sz w:val="22"/>
          <w:szCs w:val="22"/>
        </w:rPr>
        <w:t>porovnateľnej systémovej expozícii (AUC) počas 24 hodín a</w:t>
      </w:r>
      <w:r w:rsidR="004C20B4">
        <w:rPr>
          <w:sz w:val="22"/>
          <w:szCs w:val="22"/>
        </w:rPr>
        <w:t> </w:t>
      </w:r>
      <w:r w:rsidRPr="00737FA0">
        <w:rPr>
          <w:sz w:val="22"/>
          <w:szCs w:val="22"/>
        </w:rPr>
        <w:t>svedčí o</w:t>
      </w:r>
      <w:r w:rsidR="004C20B4">
        <w:rPr>
          <w:sz w:val="22"/>
          <w:szCs w:val="22"/>
        </w:rPr>
        <w:t> </w:t>
      </w:r>
      <w:r w:rsidRPr="00737FA0">
        <w:rPr>
          <w:sz w:val="22"/>
          <w:szCs w:val="22"/>
        </w:rPr>
        <w:t>plynulom uvoľňovaní mesalazínu z</w:t>
      </w:r>
      <w:r w:rsidR="004C20B4">
        <w:rPr>
          <w:sz w:val="22"/>
          <w:szCs w:val="22"/>
        </w:rPr>
        <w:t> </w:t>
      </w:r>
      <w:r w:rsidRPr="00737FA0">
        <w:rPr>
          <w:sz w:val="22"/>
          <w:szCs w:val="22"/>
        </w:rPr>
        <w:t>liekovej formy počas doby liečby. Rovnovážny stav po perorálnom podaní sa dosiahne po 5 dňoch liečby.</w:t>
      </w:r>
    </w:p>
    <w:p w:rsidR="006F0828" w:rsidRPr="006F0828" w:rsidRDefault="006F0828" w:rsidP="006F0828">
      <w:pPr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"/>
        <w:gridCol w:w="1562"/>
        <w:gridCol w:w="1839"/>
        <w:gridCol w:w="1942"/>
        <w:gridCol w:w="38"/>
        <w:gridCol w:w="1698"/>
        <w:gridCol w:w="2152"/>
      </w:tblGrid>
      <w:tr w:rsidR="006F0828" w:rsidRPr="00200FBF" w:rsidTr="00E90400">
        <w:trPr>
          <w:jc w:val="center"/>
        </w:trPr>
        <w:tc>
          <w:tcPr>
            <w:tcW w:w="5410" w:type="dxa"/>
            <w:gridSpan w:val="4"/>
            <w:shd w:val="clear" w:color="auto" w:fill="auto"/>
          </w:tcPr>
          <w:p w:rsidR="006F0828" w:rsidRPr="00200FBF" w:rsidRDefault="006F0828" w:rsidP="006F0828">
            <w:pPr>
              <w:rPr>
                <w:b/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 xml:space="preserve">                                      </w:t>
            </w:r>
            <w:r w:rsidR="00200FBF">
              <w:rPr>
                <w:sz w:val="20"/>
                <w:szCs w:val="20"/>
              </w:rPr>
              <w:t xml:space="preserve">     </w:t>
            </w:r>
            <w:r w:rsidRPr="00200FBF">
              <w:rPr>
                <w:b/>
                <w:sz w:val="20"/>
                <w:szCs w:val="20"/>
              </w:rPr>
              <w:t>Jednorazová dávka</w:t>
            </w:r>
          </w:p>
        </w:tc>
        <w:tc>
          <w:tcPr>
            <w:tcW w:w="3896" w:type="dxa"/>
            <w:gridSpan w:val="3"/>
            <w:shd w:val="clear" w:color="auto" w:fill="auto"/>
          </w:tcPr>
          <w:p w:rsidR="006F0828" w:rsidRPr="00200FBF" w:rsidRDefault="00200FBF" w:rsidP="006F0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</w:t>
            </w:r>
            <w:r w:rsidR="006F0828" w:rsidRPr="00200FBF">
              <w:rPr>
                <w:b/>
                <w:sz w:val="20"/>
                <w:szCs w:val="20"/>
              </w:rPr>
              <w:t>Rovnovážny stav</w:t>
            </w:r>
          </w:p>
        </w:tc>
      </w:tr>
      <w:tr w:rsidR="006F0828" w:rsidRPr="00200FBF" w:rsidTr="00E90400">
        <w:tblPrEx>
          <w:jc w:val="left"/>
        </w:tblPrEx>
        <w:trPr>
          <w:gridBefore w:val="1"/>
          <w:wBefore w:w="57" w:type="dxa"/>
        </w:trPr>
        <w:tc>
          <w:tcPr>
            <w:tcW w:w="1564" w:type="dxa"/>
            <w:shd w:val="clear" w:color="auto" w:fill="auto"/>
          </w:tcPr>
          <w:p w:rsidR="006F0828" w:rsidRPr="00200FBF" w:rsidRDefault="006F0828" w:rsidP="006F082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F0828" w:rsidRPr="00200FBF" w:rsidRDefault="006F0828" w:rsidP="006F0828">
            <w:pPr>
              <w:rPr>
                <w:b/>
                <w:sz w:val="20"/>
                <w:szCs w:val="20"/>
                <w:vertAlign w:val="subscript"/>
              </w:rPr>
            </w:pPr>
            <w:r w:rsidRPr="00200FBF">
              <w:rPr>
                <w:b/>
                <w:sz w:val="20"/>
                <w:szCs w:val="20"/>
              </w:rPr>
              <w:t>C</w:t>
            </w:r>
            <w:r w:rsidRPr="00200FBF">
              <w:rPr>
                <w:b/>
                <w:sz w:val="20"/>
                <w:szCs w:val="20"/>
                <w:vertAlign w:val="subscript"/>
              </w:rPr>
              <w:t xml:space="preserve">max </w:t>
            </w:r>
            <w:r w:rsidRPr="00200FBF">
              <w:rPr>
                <w:b/>
                <w:sz w:val="20"/>
                <w:szCs w:val="20"/>
              </w:rPr>
              <w:t>(ng/ml)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F0828" w:rsidRPr="00200FBF" w:rsidRDefault="006F0828" w:rsidP="006F0828">
            <w:pPr>
              <w:rPr>
                <w:b/>
                <w:sz w:val="20"/>
                <w:szCs w:val="20"/>
              </w:rPr>
            </w:pPr>
            <w:r w:rsidRPr="00200FBF">
              <w:rPr>
                <w:b/>
                <w:sz w:val="20"/>
                <w:szCs w:val="20"/>
              </w:rPr>
              <w:t>AUC 0-24  (h</w:t>
            </w:r>
            <w:r w:rsidRPr="00200FBF">
              <w:rPr>
                <w:b/>
                <w:sz w:val="20"/>
                <w:szCs w:val="20"/>
                <w:vertAlign w:val="superscript"/>
              </w:rPr>
              <w:t>.</w:t>
            </w:r>
            <w:r w:rsidRPr="00200FBF">
              <w:rPr>
                <w:b/>
                <w:sz w:val="20"/>
                <w:szCs w:val="20"/>
              </w:rPr>
              <w:t>ng/ml)</w:t>
            </w:r>
          </w:p>
        </w:tc>
        <w:tc>
          <w:tcPr>
            <w:tcW w:w="1701" w:type="dxa"/>
            <w:shd w:val="clear" w:color="auto" w:fill="auto"/>
          </w:tcPr>
          <w:p w:rsidR="006F0828" w:rsidRPr="00200FBF" w:rsidRDefault="006F0828" w:rsidP="006F0828">
            <w:pPr>
              <w:rPr>
                <w:b/>
                <w:sz w:val="20"/>
                <w:szCs w:val="20"/>
                <w:vertAlign w:val="subscript"/>
              </w:rPr>
            </w:pPr>
            <w:r w:rsidRPr="00200FBF">
              <w:rPr>
                <w:b/>
                <w:sz w:val="20"/>
                <w:szCs w:val="20"/>
              </w:rPr>
              <w:t>C</w:t>
            </w:r>
            <w:r w:rsidRPr="00200FBF">
              <w:rPr>
                <w:b/>
                <w:sz w:val="20"/>
                <w:szCs w:val="20"/>
                <w:vertAlign w:val="subscript"/>
              </w:rPr>
              <w:t xml:space="preserve">max </w:t>
            </w:r>
            <w:r w:rsidRPr="00200FBF">
              <w:rPr>
                <w:b/>
                <w:sz w:val="20"/>
                <w:szCs w:val="20"/>
              </w:rPr>
              <w:t>(ng/ml)</w:t>
            </w:r>
          </w:p>
        </w:tc>
        <w:tc>
          <w:tcPr>
            <w:tcW w:w="2157" w:type="dxa"/>
            <w:shd w:val="clear" w:color="auto" w:fill="auto"/>
          </w:tcPr>
          <w:p w:rsidR="006F0828" w:rsidRPr="00200FBF" w:rsidRDefault="006F0828" w:rsidP="006F0828">
            <w:pPr>
              <w:rPr>
                <w:b/>
                <w:sz w:val="20"/>
                <w:szCs w:val="20"/>
              </w:rPr>
            </w:pPr>
            <w:r w:rsidRPr="00200FBF">
              <w:rPr>
                <w:b/>
                <w:sz w:val="20"/>
                <w:szCs w:val="20"/>
              </w:rPr>
              <w:t>AUC 0-24 (h</w:t>
            </w:r>
            <w:r w:rsidRPr="00200FBF">
              <w:rPr>
                <w:b/>
                <w:sz w:val="20"/>
                <w:szCs w:val="20"/>
                <w:vertAlign w:val="superscript"/>
              </w:rPr>
              <w:t>.</w:t>
            </w:r>
            <w:r w:rsidRPr="00200FBF">
              <w:rPr>
                <w:b/>
                <w:sz w:val="20"/>
                <w:szCs w:val="20"/>
              </w:rPr>
              <w:t>ng/ml)</w:t>
            </w:r>
          </w:p>
        </w:tc>
      </w:tr>
      <w:tr w:rsidR="006F0828" w:rsidRPr="00200FBF" w:rsidTr="00E90400">
        <w:tblPrEx>
          <w:jc w:val="left"/>
        </w:tblPrEx>
        <w:trPr>
          <w:gridBefore w:val="1"/>
          <w:wBefore w:w="57" w:type="dxa"/>
        </w:trPr>
        <w:tc>
          <w:tcPr>
            <w:tcW w:w="1564" w:type="dxa"/>
            <w:shd w:val="clear" w:color="auto" w:fill="auto"/>
          </w:tcPr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mesalazín</w:t>
            </w: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2 g (2</w:t>
            </w:r>
            <w:r w:rsidR="004C20B4">
              <w:rPr>
                <w:sz w:val="20"/>
                <w:szCs w:val="20"/>
              </w:rPr>
              <w:t xml:space="preserve"> </w:t>
            </w:r>
            <w:r w:rsidRPr="00200FBF">
              <w:rPr>
                <w:sz w:val="20"/>
                <w:szCs w:val="20"/>
              </w:rPr>
              <w:t>x</w:t>
            </w:r>
            <w:r w:rsidR="004C20B4">
              <w:rPr>
                <w:sz w:val="20"/>
                <w:szCs w:val="20"/>
              </w:rPr>
              <w:t> </w:t>
            </w:r>
            <w:r w:rsidRPr="00200FBF">
              <w:rPr>
                <w:sz w:val="20"/>
                <w:szCs w:val="20"/>
              </w:rPr>
              <w:t>denne)</w:t>
            </w: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4 g (1</w:t>
            </w:r>
            <w:r w:rsidR="004C20B4">
              <w:rPr>
                <w:sz w:val="20"/>
                <w:szCs w:val="20"/>
              </w:rPr>
              <w:t> </w:t>
            </w:r>
            <w:r w:rsidRPr="00200FBF">
              <w:rPr>
                <w:sz w:val="20"/>
                <w:szCs w:val="20"/>
              </w:rPr>
              <w:t>x</w:t>
            </w:r>
            <w:r w:rsidR="004C20B4">
              <w:rPr>
                <w:sz w:val="20"/>
                <w:szCs w:val="20"/>
              </w:rPr>
              <w:t> </w:t>
            </w:r>
            <w:r w:rsidRPr="00200FBF">
              <w:rPr>
                <w:sz w:val="20"/>
                <w:szCs w:val="20"/>
              </w:rPr>
              <w:t>denne)</w:t>
            </w: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F0828" w:rsidRPr="00200FBF" w:rsidRDefault="006F0828" w:rsidP="006F0828">
            <w:pPr>
              <w:rPr>
                <w:sz w:val="20"/>
                <w:szCs w:val="20"/>
              </w:rPr>
            </w:pP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5</w:t>
            </w:r>
            <w:r w:rsidR="00F920B9" w:rsidRPr="00200FBF">
              <w:rPr>
                <w:sz w:val="20"/>
                <w:szCs w:val="20"/>
              </w:rPr>
              <w:t> </w:t>
            </w:r>
            <w:r w:rsidRPr="00200FBF">
              <w:rPr>
                <w:sz w:val="20"/>
                <w:szCs w:val="20"/>
              </w:rPr>
              <w:t>103,51</w:t>
            </w: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8</w:t>
            </w:r>
            <w:r w:rsidR="00F920B9" w:rsidRPr="00200FBF">
              <w:rPr>
                <w:sz w:val="20"/>
                <w:szCs w:val="20"/>
              </w:rPr>
              <w:t> </w:t>
            </w:r>
            <w:r w:rsidRPr="00200FBF">
              <w:rPr>
                <w:sz w:val="20"/>
                <w:szCs w:val="20"/>
              </w:rPr>
              <w:t>561,36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F0828" w:rsidRPr="00200FBF" w:rsidRDefault="006F0828" w:rsidP="006F0828">
            <w:pPr>
              <w:rPr>
                <w:sz w:val="20"/>
                <w:szCs w:val="20"/>
              </w:rPr>
            </w:pP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36 456</w:t>
            </w: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35 657</w:t>
            </w:r>
          </w:p>
        </w:tc>
        <w:tc>
          <w:tcPr>
            <w:tcW w:w="1701" w:type="dxa"/>
            <w:shd w:val="clear" w:color="auto" w:fill="auto"/>
          </w:tcPr>
          <w:p w:rsidR="006F0828" w:rsidRPr="00200FBF" w:rsidRDefault="006F0828" w:rsidP="006F0828">
            <w:pPr>
              <w:rPr>
                <w:sz w:val="20"/>
                <w:szCs w:val="20"/>
              </w:rPr>
            </w:pP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6</w:t>
            </w:r>
            <w:r w:rsidR="00F920B9" w:rsidRPr="00200FBF">
              <w:rPr>
                <w:sz w:val="20"/>
                <w:szCs w:val="20"/>
              </w:rPr>
              <w:t> </w:t>
            </w:r>
            <w:r w:rsidRPr="00200FBF">
              <w:rPr>
                <w:sz w:val="20"/>
                <w:szCs w:val="20"/>
              </w:rPr>
              <w:t>803,70</w:t>
            </w: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9</w:t>
            </w:r>
            <w:r w:rsidR="00F920B9" w:rsidRPr="00200FBF">
              <w:rPr>
                <w:sz w:val="20"/>
                <w:szCs w:val="20"/>
              </w:rPr>
              <w:t> </w:t>
            </w:r>
            <w:r w:rsidRPr="00200FBF">
              <w:rPr>
                <w:sz w:val="20"/>
                <w:szCs w:val="20"/>
              </w:rPr>
              <w:t>742,51</w:t>
            </w:r>
          </w:p>
        </w:tc>
        <w:tc>
          <w:tcPr>
            <w:tcW w:w="2157" w:type="dxa"/>
            <w:shd w:val="clear" w:color="auto" w:fill="auto"/>
          </w:tcPr>
          <w:p w:rsidR="006F0828" w:rsidRPr="00200FBF" w:rsidRDefault="006F0828" w:rsidP="006F0828">
            <w:pPr>
              <w:rPr>
                <w:sz w:val="20"/>
                <w:szCs w:val="20"/>
              </w:rPr>
            </w:pP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57 519</w:t>
            </w: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50 742</w:t>
            </w:r>
          </w:p>
        </w:tc>
      </w:tr>
    </w:tbl>
    <w:p w:rsidR="006F0828" w:rsidRPr="00737FA0" w:rsidRDefault="00F13279" w:rsidP="006F0828">
      <w:pPr>
        <w:rPr>
          <w:sz w:val="22"/>
          <w:szCs w:val="22"/>
        </w:rPr>
      </w:pPr>
      <w:r w:rsidRPr="00737FA0">
        <w:rPr>
          <w:sz w:val="22"/>
          <w:szCs w:val="22"/>
        </w:rPr>
        <w:t>Molekulová hmotnosť mesalazínu: 153,13 g/mol; acetylmesalazínu: 195,17 g/mol</w:t>
      </w:r>
    </w:p>
    <w:p w:rsidR="006F0828" w:rsidRPr="00737FA0" w:rsidRDefault="006F0828" w:rsidP="006F0828">
      <w:pPr>
        <w:rPr>
          <w:sz w:val="22"/>
          <w:szCs w:val="22"/>
        </w:rPr>
      </w:pPr>
    </w:p>
    <w:p w:rsidR="006F0828" w:rsidRPr="00737FA0" w:rsidRDefault="00F13279" w:rsidP="006F0828">
      <w:pPr>
        <w:rPr>
          <w:sz w:val="22"/>
          <w:szCs w:val="22"/>
        </w:rPr>
      </w:pPr>
      <w:r w:rsidRPr="00737FA0">
        <w:rPr>
          <w:sz w:val="22"/>
          <w:szCs w:val="22"/>
        </w:rPr>
        <w:t>Prechod gastrointestinálnym traktom a uvoľňovanie mesalazínu po perorálnom podaní sú nezávislé od súbežného podania jedla, zatiaľ čo systémová expozícia môže byť zvýšená.</w:t>
      </w:r>
    </w:p>
    <w:p w:rsidR="006F0828" w:rsidRPr="006F0828" w:rsidRDefault="006F0828" w:rsidP="006F0828">
      <w:pPr>
        <w:rPr>
          <w:sz w:val="22"/>
          <w:szCs w:val="22"/>
          <w:u w:val="single"/>
        </w:rPr>
      </w:pPr>
    </w:p>
    <w:p w:rsidR="006F0828" w:rsidRPr="006F0828" w:rsidRDefault="006F0828" w:rsidP="006F0828">
      <w:pPr>
        <w:rPr>
          <w:sz w:val="22"/>
          <w:szCs w:val="22"/>
          <w:u w:val="single"/>
        </w:rPr>
      </w:pPr>
      <w:r w:rsidRPr="006F0828">
        <w:rPr>
          <w:sz w:val="22"/>
          <w:szCs w:val="22"/>
          <w:u w:val="single"/>
        </w:rPr>
        <w:t xml:space="preserve">Distribúcia </w:t>
      </w:r>
    </w:p>
    <w:p w:rsidR="006F0828" w:rsidRPr="00737FA0" w:rsidRDefault="00F13279" w:rsidP="006F0828">
      <w:pPr>
        <w:rPr>
          <w:sz w:val="22"/>
          <w:szCs w:val="22"/>
        </w:rPr>
      </w:pPr>
      <w:r w:rsidRPr="00737FA0">
        <w:rPr>
          <w:sz w:val="22"/>
          <w:szCs w:val="22"/>
        </w:rPr>
        <w:t>Na bielkoviny v plazme sa viaže asi 50 % mesalazínu a 80 % acetylmesalazínu.</w:t>
      </w:r>
    </w:p>
    <w:p w:rsidR="006F0828" w:rsidRDefault="006F0828" w:rsidP="005478F7">
      <w:pPr>
        <w:rPr>
          <w:sz w:val="22"/>
          <w:szCs w:val="22"/>
          <w:u w:val="single"/>
        </w:rPr>
      </w:pPr>
    </w:p>
    <w:p w:rsidR="00C532B4" w:rsidRPr="00A7593A" w:rsidRDefault="00591F74" w:rsidP="005478F7">
      <w:pPr>
        <w:rPr>
          <w:sz w:val="22"/>
          <w:szCs w:val="22"/>
          <w:u w:val="single"/>
        </w:rPr>
      </w:pPr>
      <w:r w:rsidRPr="00A7593A">
        <w:rPr>
          <w:sz w:val="22"/>
          <w:szCs w:val="22"/>
          <w:u w:val="single"/>
        </w:rPr>
        <w:t xml:space="preserve">Biotransformácia </w:t>
      </w:r>
    </w:p>
    <w:p w:rsidR="00591F74" w:rsidRPr="00664446" w:rsidRDefault="00591F74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Mesalazín </w:t>
      </w:r>
      <w:r w:rsidR="00C50725" w:rsidRPr="00664446">
        <w:rPr>
          <w:sz w:val="22"/>
          <w:szCs w:val="22"/>
        </w:rPr>
        <w:t>sa</w:t>
      </w:r>
      <w:r w:rsidRPr="00664446">
        <w:rPr>
          <w:sz w:val="22"/>
          <w:szCs w:val="22"/>
        </w:rPr>
        <w:t xml:space="preserve"> metaboliz</w:t>
      </w:r>
      <w:r w:rsidR="00C50725" w:rsidRPr="00664446">
        <w:rPr>
          <w:sz w:val="22"/>
          <w:szCs w:val="22"/>
        </w:rPr>
        <w:t>uje</w:t>
      </w:r>
      <w:r w:rsidRPr="00664446">
        <w:rPr>
          <w:sz w:val="22"/>
          <w:szCs w:val="22"/>
        </w:rPr>
        <w:t xml:space="preserve"> tak presystémovo</w:t>
      </w:r>
      <w:r w:rsidR="00C50725" w:rsidRPr="00664446">
        <w:rPr>
          <w:sz w:val="22"/>
          <w:szCs w:val="22"/>
        </w:rPr>
        <w:t xml:space="preserve"> v sliznici</w:t>
      </w:r>
      <w:r w:rsidRPr="00664446">
        <w:rPr>
          <w:sz w:val="22"/>
          <w:szCs w:val="22"/>
        </w:rPr>
        <w:t xml:space="preserve"> črev</w:t>
      </w:r>
      <w:r w:rsidR="00C50725" w:rsidRPr="00664446">
        <w:rPr>
          <w:sz w:val="22"/>
          <w:szCs w:val="22"/>
        </w:rPr>
        <w:t>a</w:t>
      </w:r>
      <w:r w:rsidR="00113CEA" w:rsidRPr="00664446">
        <w:rPr>
          <w:sz w:val="22"/>
          <w:szCs w:val="22"/>
        </w:rPr>
        <w:t>,</w:t>
      </w:r>
      <w:r w:rsidRPr="00664446">
        <w:rPr>
          <w:sz w:val="22"/>
          <w:szCs w:val="22"/>
        </w:rPr>
        <w:t xml:space="preserve"> ako aj systémovo v pečeni na N-acetyl</w:t>
      </w:r>
      <w:r w:rsidR="00C50725" w:rsidRPr="00664446">
        <w:rPr>
          <w:sz w:val="22"/>
          <w:szCs w:val="22"/>
        </w:rPr>
        <w:t>-</w:t>
      </w:r>
      <w:r w:rsidRPr="00664446">
        <w:rPr>
          <w:sz w:val="22"/>
          <w:szCs w:val="22"/>
        </w:rPr>
        <w:t>mesalazín (acetylmesalazín)</w:t>
      </w:r>
      <w:r w:rsidR="006F0828">
        <w:rPr>
          <w:sz w:val="22"/>
          <w:szCs w:val="22"/>
        </w:rPr>
        <w:t xml:space="preserve"> </w:t>
      </w:r>
      <w:r w:rsidR="006F0828" w:rsidRPr="006F0828">
        <w:rPr>
          <w:sz w:val="22"/>
          <w:szCs w:val="22"/>
        </w:rPr>
        <w:t>predovšetkým  prostredníctvom N-acetyltransferázy 1 (NAT-1).</w:t>
      </w:r>
      <w:r w:rsidRPr="00664446">
        <w:rPr>
          <w:sz w:val="22"/>
          <w:szCs w:val="22"/>
        </w:rPr>
        <w:t xml:space="preserve"> </w:t>
      </w:r>
      <w:r w:rsidR="00C50725" w:rsidRPr="00664446">
        <w:rPr>
          <w:sz w:val="22"/>
          <w:szCs w:val="22"/>
        </w:rPr>
        <w:t>Čiastočne prebieha acetylácia aj</w:t>
      </w:r>
      <w:r w:rsidRPr="00664446">
        <w:rPr>
          <w:sz w:val="22"/>
          <w:szCs w:val="22"/>
        </w:rPr>
        <w:t xml:space="preserve"> pôsobením baktérií </w:t>
      </w:r>
      <w:r w:rsidR="00C50725" w:rsidRPr="00664446">
        <w:rPr>
          <w:sz w:val="22"/>
          <w:szCs w:val="22"/>
        </w:rPr>
        <w:t>hrubého čreva</w:t>
      </w:r>
      <w:r w:rsidRPr="00664446">
        <w:rPr>
          <w:sz w:val="22"/>
          <w:szCs w:val="22"/>
        </w:rPr>
        <w:t xml:space="preserve">. </w:t>
      </w:r>
      <w:r w:rsidR="00984A78" w:rsidRPr="00664446">
        <w:rPr>
          <w:sz w:val="22"/>
          <w:szCs w:val="22"/>
        </w:rPr>
        <w:t>Zdá sa, že a</w:t>
      </w:r>
      <w:r w:rsidRPr="00664446">
        <w:rPr>
          <w:sz w:val="22"/>
          <w:szCs w:val="22"/>
        </w:rPr>
        <w:t xml:space="preserve">cetylácia </w:t>
      </w:r>
      <w:r w:rsidR="00C50725" w:rsidRPr="00664446">
        <w:rPr>
          <w:sz w:val="22"/>
          <w:szCs w:val="22"/>
        </w:rPr>
        <w:t>nie je závislá od</w:t>
      </w:r>
      <w:r w:rsidRPr="00664446">
        <w:rPr>
          <w:sz w:val="22"/>
          <w:szCs w:val="22"/>
        </w:rPr>
        <w:t xml:space="preserve"> fenotyp</w:t>
      </w:r>
      <w:r w:rsidR="008B62A1" w:rsidRPr="00664446">
        <w:rPr>
          <w:sz w:val="22"/>
          <w:szCs w:val="22"/>
        </w:rPr>
        <w:t>u</w:t>
      </w:r>
      <w:r w:rsidR="00C50725" w:rsidRPr="00664446">
        <w:rPr>
          <w:sz w:val="22"/>
          <w:szCs w:val="22"/>
        </w:rPr>
        <w:t xml:space="preserve"> </w:t>
      </w:r>
      <w:r w:rsidR="008B62A1" w:rsidRPr="00664446">
        <w:rPr>
          <w:sz w:val="22"/>
          <w:szCs w:val="22"/>
        </w:rPr>
        <w:t xml:space="preserve">pacienta ako </w:t>
      </w:r>
      <w:r w:rsidR="00C50725" w:rsidRPr="00664446">
        <w:rPr>
          <w:sz w:val="22"/>
          <w:szCs w:val="22"/>
        </w:rPr>
        <w:t>acetyl</w:t>
      </w:r>
      <w:r w:rsidR="008B62A1" w:rsidRPr="00664446">
        <w:rPr>
          <w:sz w:val="22"/>
          <w:szCs w:val="22"/>
        </w:rPr>
        <w:t>átora.</w:t>
      </w:r>
      <w:r w:rsidR="00C50725" w:rsidRPr="00664446">
        <w:rPr>
          <w:sz w:val="22"/>
          <w:szCs w:val="22"/>
        </w:rPr>
        <w:t xml:space="preserve"> </w:t>
      </w:r>
    </w:p>
    <w:p w:rsidR="006F0828" w:rsidRPr="006F0828" w:rsidRDefault="006F0828" w:rsidP="006F0828">
      <w:pPr>
        <w:rPr>
          <w:sz w:val="22"/>
          <w:szCs w:val="22"/>
        </w:rPr>
      </w:pPr>
      <w:r w:rsidRPr="006F0828">
        <w:rPr>
          <w:sz w:val="22"/>
          <w:szCs w:val="22"/>
        </w:rPr>
        <w:t>Metabolický pomer acetylmesalazínu k mesalazínu v plazme po perorálnom podaní sa pohybuje od 3,5 pri dávkovaní 3-krát 500 mg denne po 1,3 pri dávkovaní 3-krát 2 g denne, čo ukazuje na saturovateľnú, od dávky závislú acetyláciu.</w:t>
      </w:r>
    </w:p>
    <w:p w:rsidR="00A14124" w:rsidRPr="00664446" w:rsidRDefault="00A14124" w:rsidP="00224C6F">
      <w:pPr>
        <w:jc w:val="both"/>
        <w:rPr>
          <w:sz w:val="22"/>
          <w:szCs w:val="22"/>
          <w:u w:val="single"/>
        </w:rPr>
      </w:pPr>
    </w:p>
    <w:p w:rsidR="00D27839" w:rsidRPr="00A7593A" w:rsidRDefault="00591F74" w:rsidP="005478F7">
      <w:pPr>
        <w:rPr>
          <w:sz w:val="22"/>
          <w:szCs w:val="22"/>
          <w:u w:val="single"/>
        </w:rPr>
      </w:pPr>
      <w:r w:rsidRPr="00A7593A">
        <w:rPr>
          <w:sz w:val="22"/>
          <w:szCs w:val="22"/>
          <w:u w:val="single"/>
        </w:rPr>
        <w:t xml:space="preserve">Eliminácia </w:t>
      </w:r>
    </w:p>
    <w:p w:rsidR="00591F74" w:rsidRDefault="00715430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Mesalazín a acetylmesalazín</w:t>
      </w:r>
      <w:r w:rsidR="00591F74" w:rsidRPr="00664446">
        <w:rPr>
          <w:sz w:val="22"/>
          <w:szCs w:val="22"/>
        </w:rPr>
        <w:t xml:space="preserve"> sa vylučujú močom a stolicou. </w:t>
      </w:r>
      <w:r w:rsidR="005C3C4D" w:rsidRPr="00664446">
        <w:rPr>
          <w:sz w:val="22"/>
          <w:szCs w:val="22"/>
        </w:rPr>
        <w:t>V m</w:t>
      </w:r>
      <w:r w:rsidR="00591F74" w:rsidRPr="00664446">
        <w:rPr>
          <w:sz w:val="22"/>
          <w:szCs w:val="22"/>
        </w:rPr>
        <w:t>oč</w:t>
      </w:r>
      <w:r w:rsidR="005C3C4D" w:rsidRPr="00664446">
        <w:rPr>
          <w:sz w:val="22"/>
          <w:szCs w:val="22"/>
        </w:rPr>
        <w:t xml:space="preserve">i sa vylučuje najmä </w:t>
      </w:r>
      <w:r w:rsidR="00591F74" w:rsidRPr="00664446">
        <w:rPr>
          <w:sz w:val="22"/>
          <w:szCs w:val="22"/>
        </w:rPr>
        <w:t>acetylmesalazín.</w:t>
      </w:r>
    </w:p>
    <w:p w:rsidR="006F0828" w:rsidRPr="006F0828" w:rsidRDefault="006F0828" w:rsidP="006F0828">
      <w:pPr>
        <w:rPr>
          <w:sz w:val="22"/>
          <w:szCs w:val="22"/>
        </w:rPr>
      </w:pPr>
      <w:r w:rsidRPr="006F0828">
        <w:rPr>
          <w:sz w:val="22"/>
          <w:szCs w:val="22"/>
        </w:rPr>
        <w:t xml:space="preserve">Mesalazín sa uvoľňuje z Pentasy kontinuálne počas tranzitu tráviacim traktom, a preto nie je možné určiť polčas eliminácie po perorálnom podaní. Avšak keď sa liek už nenachádza v gastrointestinálnom trakte, eliminácia sa bude odvíjať od plazmatického polčasu nepotiahnutého mesalazínu po perorálnom alebo i.v. podaní, čo je približne 40 minút pre mesalazín a približne 70 minút pre acetylmesalazín. </w:t>
      </w:r>
    </w:p>
    <w:p w:rsidR="000A5AFB" w:rsidRDefault="006F0828" w:rsidP="00737FA0">
      <w:pPr>
        <w:rPr>
          <w:sz w:val="22"/>
          <w:szCs w:val="22"/>
        </w:rPr>
      </w:pPr>
      <w:r>
        <w:rPr>
          <w:sz w:val="22"/>
          <w:szCs w:val="22"/>
        </w:rPr>
        <w:t>Patofyziologické zmeny, ako sú hnačka a zvýšená črevná acidita, ktoré sa pozorovali v priebehu aktívnej fázy zápalového črevného ochorenia, majú len minimálny vplyv na prechod mesalazínu do črevnej sliznice po perorálnom podaní.</w:t>
      </w:r>
      <w:r w:rsidR="00815E14">
        <w:rPr>
          <w:sz w:val="22"/>
          <w:szCs w:val="22"/>
        </w:rPr>
        <w:t xml:space="preserve"> </w:t>
      </w:r>
      <w:r w:rsidR="00710A48" w:rsidRPr="00664446">
        <w:rPr>
          <w:sz w:val="22"/>
          <w:szCs w:val="22"/>
        </w:rPr>
        <w:t>U </w:t>
      </w:r>
      <w:r w:rsidR="00DF4AF8">
        <w:rPr>
          <w:sz w:val="22"/>
          <w:szCs w:val="22"/>
        </w:rPr>
        <w:t>subjektov</w:t>
      </w:r>
      <w:r w:rsidR="00710A48" w:rsidRPr="00664446">
        <w:rPr>
          <w:sz w:val="22"/>
          <w:szCs w:val="22"/>
        </w:rPr>
        <w:t xml:space="preserve"> so zrýchlenou črevnou pasážou </w:t>
      </w:r>
      <w:r w:rsidR="00B66461" w:rsidRPr="00664446">
        <w:rPr>
          <w:sz w:val="22"/>
          <w:szCs w:val="22"/>
        </w:rPr>
        <w:t xml:space="preserve">sa </w:t>
      </w:r>
      <w:r>
        <w:rPr>
          <w:sz w:val="22"/>
          <w:szCs w:val="22"/>
        </w:rPr>
        <w:t>vylúčilo močom iba</w:t>
      </w:r>
      <w:r w:rsidR="00B66461" w:rsidRPr="00664446">
        <w:rPr>
          <w:sz w:val="22"/>
          <w:szCs w:val="22"/>
        </w:rPr>
        <w:t xml:space="preserve"> 20</w:t>
      </w:r>
      <w:r w:rsidR="00A13940" w:rsidRPr="00664446">
        <w:rPr>
          <w:sz w:val="22"/>
          <w:szCs w:val="22"/>
        </w:rPr>
        <w:t xml:space="preserve"> </w:t>
      </w:r>
      <w:r w:rsidR="00B66461" w:rsidRPr="00664446">
        <w:rPr>
          <w:sz w:val="22"/>
          <w:szCs w:val="22"/>
        </w:rPr>
        <w:t>–</w:t>
      </w:r>
      <w:r w:rsidR="00A13940" w:rsidRPr="00664446">
        <w:rPr>
          <w:sz w:val="22"/>
          <w:szCs w:val="22"/>
        </w:rPr>
        <w:t xml:space="preserve"> </w:t>
      </w:r>
      <w:r w:rsidR="00B66461" w:rsidRPr="00664446">
        <w:rPr>
          <w:sz w:val="22"/>
          <w:szCs w:val="22"/>
        </w:rPr>
        <w:t>25</w:t>
      </w:r>
      <w:r w:rsidR="005342BE" w:rsidRPr="00664446">
        <w:rPr>
          <w:sz w:val="22"/>
          <w:szCs w:val="22"/>
        </w:rPr>
        <w:t> </w:t>
      </w:r>
      <w:r w:rsidR="00B66461" w:rsidRPr="00664446">
        <w:rPr>
          <w:sz w:val="22"/>
          <w:szCs w:val="22"/>
        </w:rPr>
        <w:t>% dennej dávky.</w:t>
      </w:r>
      <w:r w:rsidR="00D91C2C" w:rsidRPr="00664446">
        <w:rPr>
          <w:sz w:val="22"/>
          <w:szCs w:val="22"/>
        </w:rPr>
        <w:t xml:space="preserve"> </w:t>
      </w:r>
      <w:r w:rsidR="00432DFD" w:rsidRPr="00664446">
        <w:rPr>
          <w:sz w:val="22"/>
          <w:szCs w:val="22"/>
        </w:rPr>
        <w:t>Súčasne</w:t>
      </w:r>
      <w:r w:rsidR="00D91C2C" w:rsidRPr="00664446">
        <w:rPr>
          <w:sz w:val="22"/>
          <w:szCs w:val="22"/>
        </w:rPr>
        <w:t xml:space="preserve"> sa pozorovalo zodpovedajúce zvýšenie vylučovania </w:t>
      </w:r>
      <w:r w:rsidR="00710A48" w:rsidRPr="00664446">
        <w:rPr>
          <w:sz w:val="22"/>
          <w:szCs w:val="22"/>
        </w:rPr>
        <w:t xml:space="preserve">mesalazínu </w:t>
      </w:r>
      <w:r w:rsidR="00D91C2C" w:rsidRPr="00664446">
        <w:rPr>
          <w:sz w:val="22"/>
          <w:szCs w:val="22"/>
        </w:rPr>
        <w:t>stolic</w:t>
      </w:r>
      <w:r w:rsidR="00061001" w:rsidRPr="00664446">
        <w:rPr>
          <w:sz w:val="22"/>
          <w:szCs w:val="22"/>
        </w:rPr>
        <w:t>ou</w:t>
      </w:r>
      <w:r w:rsidR="00D91C2C" w:rsidRPr="00664446">
        <w:rPr>
          <w:sz w:val="22"/>
          <w:szCs w:val="22"/>
        </w:rPr>
        <w:t>.</w:t>
      </w:r>
    </w:p>
    <w:p w:rsidR="00591F74" w:rsidRPr="00E90400" w:rsidRDefault="00591F74" w:rsidP="005478F7">
      <w:pPr>
        <w:autoSpaceDE w:val="0"/>
        <w:autoSpaceDN w:val="0"/>
        <w:adjustRightInd w:val="0"/>
        <w:rPr>
          <w:sz w:val="22"/>
          <w:szCs w:val="22"/>
        </w:rPr>
      </w:pPr>
      <w:r w:rsidRPr="00664446">
        <w:rPr>
          <w:sz w:val="22"/>
          <w:szCs w:val="22"/>
        </w:rPr>
        <w:t>U pacientov s poruchou funkcie pečene a obličiek môže výsledné zníženie rýchlosti eliminácie a</w:t>
      </w:r>
      <w:r w:rsidR="003F176A" w:rsidRPr="00664446">
        <w:rPr>
          <w:sz w:val="22"/>
          <w:szCs w:val="22"/>
        </w:rPr>
        <w:t> </w:t>
      </w:r>
      <w:r w:rsidRPr="00664446">
        <w:rPr>
          <w:sz w:val="22"/>
          <w:szCs w:val="22"/>
        </w:rPr>
        <w:t>zvýšenie systémovej koncentrácie mesalazínu viesť k zvýšenému riziku nefrotoxických nežiaducich reakcií.</w:t>
      </w:r>
    </w:p>
    <w:p w:rsidR="00476681" w:rsidRPr="00664446" w:rsidRDefault="00476681" w:rsidP="005478F7">
      <w:pPr>
        <w:autoSpaceDE w:val="0"/>
        <w:autoSpaceDN w:val="0"/>
        <w:adjustRightInd w:val="0"/>
        <w:rPr>
          <w:sz w:val="22"/>
          <w:szCs w:val="22"/>
        </w:rPr>
      </w:pPr>
    </w:p>
    <w:p w:rsidR="00591F74" w:rsidRPr="00664446" w:rsidRDefault="00591F74" w:rsidP="002648A9">
      <w:pPr>
        <w:numPr>
          <w:ilvl w:val="1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Predklinické údaje o bezpečnosti </w:t>
      </w:r>
    </w:p>
    <w:p w:rsidR="00224C6F" w:rsidRPr="00664446" w:rsidRDefault="00224C6F">
      <w:pPr>
        <w:rPr>
          <w:sz w:val="22"/>
          <w:szCs w:val="22"/>
        </w:rPr>
      </w:pPr>
    </w:p>
    <w:p w:rsidR="00591F74" w:rsidRPr="00664446" w:rsidRDefault="00432DFD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U všetkých </w:t>
      </w:r>
      <w:r w:rsidR="00274C37" w:rsidRPr="00664446">
        <w:rPr>
          <w:sz w:val="22"/>
          <w:szCs w:val="22"/>
        </w:rPr>
        <w:t xml:space="preserve">živočíšnych </w:t>
      </w:r>
      <w:r w:rsidRPr="00664446">
        <w:rPr>
          <w:sz w:val="22"/>
          <w:szCs w:val="22"/>
        </w:rPr>
        <w:t>druhov sa preukázal</w:t>
      </w:r>
      <w:r w:rsidR="00C81877" w:rsidRPr="00664446">
        <w:rPr>
          <w:sz w:val="22"/>
          <w:szCs w:val="22"/>
        </w:rPr>
        <w:t>i</w:t>
      </w:r>
      <w:r w:rsidRPr="00664446">
        <w:rPr>
          <w:sz w:val="22"/>
          <w:szCs w:val="22"/>
        </w:rPr>
        <w:t xml:space="preserve"> toxick</w:t>
      </w:r>
      <w:r w:rsidR="00C81877" w:rsidRPr="00664446">
        <w:rPr>
          <w:sz w:val="22"/>
          <w:szCs w:val="22"/>
        </w:rPr>
        <w:t>é</w:t>
      </w:r>
      <w:r w:rsidRPr="00664446">
        <w:rPr>
          <w:sz w:val="22"/>
          <w:szCs w:val="22"/>
        </w:rPr>
        <w:t xml:space="preserve"> účink</w:t>
      </w:r>
      <w:r w:rsidR="00C81877" w:rsidRPr="00664446">
        <w:rPr>
          <w:sz w:val="22"/>
          <w:szCs w:val="22"/>
        </w:rPr>
        <w:t>y</w:t>
      </w:r>
      <w:r w:rsidRPr="00664446">
        <w:rPr>
          <w:sz w:val="22"/>
          <w:szCs w:val="22"/>
        </w:rPr>
        <w:t xml:space="preserve"> na obličky. </w:t>
      </w:r>
      <w:r w:rsidR="00932514">
        <w:rPr>
          <w:sz w:val="22"/>
          <w:szCs w:val="22"/>
        </w:rPr>
        <w:t>Dávky a plazmatické koncentrácie u potkanov a opíc, pri ktorých neboli pozorované toxické účinky (NOAEL</w:t>
      </w:r>
      <w:r w:rsidR="006F0828" w:rsidRPr="006F0828">
        <w:rPr>
          <w:sz w:val="22"/>
          <w:szCs w:val="22"/>
        </w:rPr>
        <w:t xml:space="preserve"> </w:t>
      </w:r>
      <w:r w:rsidR="006F0828">
        <w:rPr>
          <w:sz w:val="22"/>
          <w:szCs w:val="22"/>
        </w:rPr>
        <w:t xml:space="preserve">- </w:t>
      </w:r>
      <w:r w:rsidR="006F0828" w:rsidRPr="006F0828">
        <w:rPr>
          <w:sz w:val="22"/>
          <w:szCs w:val="22"/>
        </w:rPr>
        <w:t>No Observed Adverse Effect Level</w:t>
      </w:r>
      <w:r w:rsidR="00932514">
        <w:rPr>
          <w:sz w:val="22"/>
          <w:szCs w:val="22"/>
        </w:rPr>
        <w:t xml:space="preserve">), boli 2 až 7,2 násobne vyššie ako dávky používané u ľudí. </w:t>
      </w:r>
    </w:p>
    <w:p w:rsidR="00432DFD" w:rsidRPr="00664446" w:rsidRDefault="00432DFD" w:rsidP="005478F7">
      <w:pPr>
        <w:rPr>
          <w:sz w:val="22"/>
          <w:szCs w:val="22"/>
        </w:rPr>
      </w:pPr>
    </w:p>
    <w:p w:rsidR="00591F74" w:rsidRPr="00664446" w:rsidRDefault="00591F74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V štúdiách na zvieratách </w:t>
      </w:r>
      <w:r w:rsidR="00343439" w:rsidRPr="00664446">
        <w:rPr>
          <w:sz w:val="22"/>
          <w:szCs w:val="22"/>
        </w:rPr>
        <w:t>sa</w:t>
      </w:r>
      <w:r w:rsidRPr="00664446">
        <w:rPr>
          <w:sz w:val="22"/>
          <w:szCs w:val="22"/>
        </w:rPr>
        <w:t xml:space="preserve"> </w:t>
      </w:r>
      <w:r w:rsidR="00343439" w:rsidRPr="00664446">
        <w:rPr>
          <w:sz w:val="22"/>
          <w:szCs w:val="22"/>
        </w:rPr>
        <w:t>ne</w:t>
      </w:r>
      <w:r w:rsidRPr="00664446">
        <w:rPr>
          <w:sz w:val="22"/>
          <w:szCs w:val="22"/>
        </w:rPr>
        <w:t>pozorova</w:t>
      </w:r>
      <w:r w:rsidR="00343439" w:rsidRPr="00664446">
        <w:rPr>
          <w:sz w:val="22"/>
          <w:szCs w:val="22"/>
        </w:rPr>
        <w:t>li</w:t>
      </w:r>
      <w:r w:rsidRPr="00664446">
        <w:rPr>
          <w:sz w:val="22"/>
          <w:szCs w:val="22"/>
        </w:rPr>
        <w:t xml:space="preserve"> žiadne významné toxické </w:t>
      </w:r>
      <w:r w:rsidR="00343439" w:rsidRPr="00664446">
        <w:rPr>
          <w:sz w:val="22"/>
          <w:szCs w:val="22"/>
        </w:rPr>
        <w:t>účinky</w:t>
      </w:r>
      <w:r w:rsidRPr="00664446">
        <w:rPr>
          <w:sz w:val="22"/>
          <w:szCs w:val="22"/>
        </w:rPr>
        <w:t xml:space="preserve"> na zažívacie ústrojenstvo, pečeň alebo tvorbu krvi.</w:t>
      </w:r>
    </w:p>
    <w:p w:rsidR="00432DFD" w:rsidRPr="00664446" w:rsidRDefault="00432DFD" w:rsidP="005478F7">
      <w:pPr>
        <w:rPr>
          <w:i/>
          <w:sz w:val="22"/>
          <w:szCs w:val="22"/>
          <w:highlight w:val="yellow"/>
        </w:rPr>
      </w:pPr>
    </w:p>
    <w:p w:rsidR="00591F74" w:rsidRDefault="00591F74" w:rsidP="005478F7">
      <w:pPr>
        <w:rPr>
          <w:sz w:val="22"/>
          <w:szCs w:val="22"/>
        </w:rPr>
      </w:pPr>
      <w:r w:rsidRPr="00664446">
        <w:rPr>
          <w:i/>
          <w:sz w:val="22"/>
          <w:szCs w:val="22"/>
        </w:rPr>
        <w:t>In vitro</w:t>
      </w:r>
      <w:r w:rsidRPr="00664446">
        <w:rPr>
          <w:sz w:val="22"/>
          <w:szCs w:val="22"/>
        </w:rPr>
        <w:t xml:space="preserve"> a </w:t>
      </w:r>
      <w:r w:rsidRPr="00664446">
        <w:rPr>
          <w:i/>
          <w:sz w:val="22"/>
          <w:szCs w:val="22"/>
        </w:rPr>
        <w:t>in vivo</w:t>
      </w:r>
      <w:r w:rsidRPr="00664446">
        <w:rPr>
          <w:sz w:val="22"/>
          <w:szCs w:val="22"/>
        </w:rPr>
        <w:t xml:space="preserve"> št</w:t>
      </w:r>
      <w:r w:rsidR="00755A9B" w:rsidRPr="00664446">
        <w:rPr>
          <w:sz w:val="22"/>
          <w:szCs w:val="22"/>
        </w:rPr>
        <w:t>údie nepreukázali žiadne mutagé</w:t>
      </w:r>
      <w:r w:rsidRPr="00664446">
        <w:rPr>
          <w:sz w:val="22"/>
          <w:szCs w:val="22"/>
        </w:rPr>
        <w:t>nn</w:t>
      </w:r>
      <w:r w:rsidR="00755A9B" w:rsidRPr="00664446">
        <w:rPr>
          <w:sz w:val="22"/>
          <w:szCs w:val="22"/>
        </w:rPr>
        <w:t>e</w:t>
      </w:r>
      <w:r w:rsidR="00AB506D" w:rsidRPr="00664446">
        <w:rPr>
          <w:sz w:val="22"/>
          <w:szCs w:val="22"/>
        </w:rPr>
        <w:t xml:space="preserve"> alebo klastogénne</w:t>
      </w:r>
      <w:r w:rsidRPr="00664446">
        <w:rPr>
          <w:sz w:val="22"/>
          <w:szCs w:val="22"/>
        </w:rPr>
        <w:t xml:space="preserve"> účinky. Štúdie </w:t>
      </w:r>
      <w:r w:rsidR="00343439" w:rsidRPr="00664446">
        <w:rPr>
          <w:sz w:val="22"/>
          <w:szCs w:val="22"/>
        </w:rPr>
        <w:t xml:space="preserve">karcinogenity </w:t>
      </w:r>
      <w:r w:rsidRPr="00664446">
        <w:rPr>
          <w:sz w:val="22"/>
          <w:szCs w:val="22"/>
        </w:rPr>
        <w:t xml:space="preserve">na </w:t>
      </w:r>
      <w:r w:rsidR="00AB506D" w:rsidRPr="00664446">
        <w:rPr>
          <w:sz w:val="22"/>
          <w:szCs w:val="22"/>
        </w:rPr>
        <w:t xml:space="preserve">myšiach a </w:t>
      </w:r>
      <w:r w:rsidRPr="00664446">
        <w:rPr>
          <w:sz w:val="22"/>
          <w:szCs w:val="22"/>
        </w:rPr>
        <w:t>potkanoch  nepreukázali zvýšený výskyt nádorov</w:t>
      </w:r>
      <w:r w:rsidR="00C81877" w:rsidRPr="00664446">
        <w:rPr>
          <w:sz w:val="22"/>
          <w:szCs w:val="22"/>
        </w:rPr>
        <w:t xml:space="preserve"> súvisiacich s užívaním lieku</w:t>
      </w:r>
      <w:r w:rsidRPr="00664446">
        <w:rPr>
          <w:sz w:val="22"/>
          <w:szCs w:val="22"/>
        </w:rPr>
        <w:t>.</w:t>
      </w:r>
    </w:p>
    <w:p w:rsidR="006C5779" w:rsidRPr="00664446" w:rsidRDefault="006C5779" w:rsidP="005478F7">
      <w:pPr>
        <w:rPr>
          <w:sz w:val="22"/>
          <w:szCs w:val="22"/>
        </w:rPr>
      </w:pPr>
    </w:p>
    <w:p w:rsidR="00591F74" w:rsidRDefault="00932514">
      <w:pPr>
        <w:rPr>
          <w:sz w:val="22"/>
          <w:szCs w:val="22"/>
        </w:rPr>
      </w:pPr>
      <w:r w:rsidRPr="00932514">
        <w:rPr>
          <w:sz w:val="22"/>
          <w:szCs w:val="22"/>
        </w:rPr>
        <w:t xml:space="preserve">Štúdie na zvieratách </w:t>
      </w:r>
      <w:r>
        <w:rPr>
          <w:sz w:val="22"/>
          <w:szCs w:val="22"/>
        </w:rPr>
        <w:t>s perorálnym mesalazínom nepreukázali priamy alebo nepriamy škodlivý účinok na fertilitu, graviditu, embryonálny</w:t>
      </w:r>
      <w:r w:rsidR="00013598">
        <w:rPr>
          <w:sz w:val="22"/>
          <w:szCs w:val="22"/>
        </w:rPr>
        <w:t>/</w:t>
      </w:r>
      <w:r>
        <w:rPr>
          <w:sz w:val="22"/>
          <w:szCs w:val="22"/>
        </w:rPr>
        <w:t>fetálny vývoj, pôrod alebo postnatálny vývoj.</w:t>
      </w:r>
    </w:p>
    <w:p w:rsidR="00932514" w:rsidRPr="00932514" w:rsidRDefault="00932514">
      <w:pPr>
        <w:rPr>
          <w:sz w:val="22"/>
          <w:szCs w:val="22"/>
        </w:rPr>
      </w:pPr>
    </w:p>
    <w:p w:rsidR="001937C1" w:rsidRPr="00664446" w:rsidRDefault="001937C1">
      <w:pPr>
        <w:rPr>
          <w:sz w:val="22"/>
          <w:szCs w:val="22"/>
        </w:rPr>
      </w:pPr>
      <w:r w:rsidRPr="00664446">
        <w:rPr>
          <w:sz w:val="22"/>
          <w:szCs w:val="22"/>
        </w:rPr>
        <w:t>Mesalazín nepredstavuje riziko pre životné prostredie v</w:t>
      </w:r>
      <w:r w:rsidR="00AD59DB" w:rsidRPr="00664446">
        <w:rPr>
          <w:sz w:val="22"/>
          <w:szCs w:val="22"/>
        </w:rPr>
        <w:t> </w:t>
      </w:r>
      <w:r w:rsidRPr="00664446">
        <w:rPr>
          <w:sz w:val="22"/>
          <w:szCs w:val="22"/>
        </w:rPr>
        <w:t xml:space="preserve">dávkach </w:t>
      </w:r>
      <w:r w:rsidR="00AD59DB" w:rsidRPr="00664446">
        <w:rPr>
          <w:sz w:val="22"/>
          <w:szCs w:val="22"/>
        </w:rPr>
        <w:t>predpísaných na užitie pacientom.</w:t>
      </w:r>
    </w:p>
    <w:p w:rsidR="001937C1" w:rsidRPr="00664446" w:rsidRDefault="001937C1">
      <w:pPr>
        <w:rPr>
          <w:b/>
          <w:sz w:val="22"/>
          <w:szCs w:val="22"/>
        </w:rPr>
      </w:pPr>
    </w:p>
    <w:p w:rsidR="00AD59DB" w:rsidRPr="00664446" w:rsidRDefault="00AD59DB">
      <w:pPr>
        <w:rPr>
          <w:b/>
          <w:sz w:val="22"/>
          <w:szCs w:val="22"/>
        </w:rPr>
      </w:pPr>
    </w:p>
    <w:p w:rsidR="00591F74" w:rsidRPr="00664446" w:rsidRDefault="00591F74" w:rsidP="002648A9">
      <w:pPr>
        <w:numPr>
          <w:ilvl w:val="0"/>
          <w:numId w:val="23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FARMACEUTICKÉ </w:t>
      </w:r>
      <w:r w:rsidR="00224C6F" w:rsidRPr="00664446">
        <w:rPr>
          <w:b/>
          <w:sz w:val="22"/>
          <w:szCs w:val="22"/>
        </w:rPr>
        <w:t>INFORMÁCIE</w:t>
      </w:r>
    </w:p>
    <w:p w:rsidR="00A16BD2" w:rsidRPr="00664446" w:rsidRDefault="00A16BD2" w:rsidP="00A16BD2">
      <w:pPr>
        <w:rPr>
          <w:b/>
          <w:sz w:val="22"/>
          <w:szCs w:val="22"/>
        </w:rPr>
      </w:pPr>
    </w:p>
    <w:p w:rsidR="00591F74" w:rsidRPr="00664446" w:rsidRDefault="00A16BD2" w:rsidP="00A16BD2">
      <w:p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6.1     </w:t>
      </w:r>
      <w:r w:rsidR="00591F74" w:rsidRPr="00664446">
        <w:rPr>
          <w:b/>
          <w:sz w:val="22"/>
          <w:szCs w:val="22"/>
        </w:rPr>
        <w:t xml:space="preserve">Zoznam pomocných látok </w:t>
      </w:r>
    </w:p>
    <w:p w:rsidR="00224C6F" w:rsidRPr="00664446" w:rsidRDefault="00224C6F">
      <w:pPr>
        <w:rPr>
          <w:sz w:val="22"/>
          <w:szCs w:val="22"/>
        </w:rPr>
      </w:pPr>
    </w:p>
    <w:p w:rsidR="00432DFD" w:rsidRPr="00664446" w:rsidRDefault="006F0828" w:rsidP="00432DFD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432DFD" w:rsidRPr="00664446">
        <w:rPr>
          <w:sz w:val="22"/>
          <w:szCs w:val="22"/>
        </w:rPr>
        <w:t>tylcelulóza</w:t>
      </w:r>
    </w:p>
    <w:p w:rsidR="006859CC" w:rsidRPr="00664446" w:rsidRDefault="006F0828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8B62A1" w:rsidRPr="00664446">
        <w:rPr>
          <w:sz w:val="22"/>
          <w:szCs w:val="22"/>
        </w:rPr>
        <w:t>ovidón</w:t>
      </w:r>
    </w:p>
    <w:p w:rsidR="00A16BD2" w:rsidRPr="00664446" w:rsidRDefault="00A16BD2" w:rsidP="00A16BD2">
      <w:pPr>
        <w:rPr>
          <w:b/>
          <w:sz w:val="22"/>
          <w:szCs w:val="22"/>
        </w:rPr>
      </w:pPr>
    </w:p>
    <w:p w:rsidR="00591F74" w:rsidRPr="00664446" w:rsidRDefault="00A16BD2" w:rsidP="00A16BD2">
      <w:p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6.2     </w:t>
      </w:r>
      <w:r w:rsidR="00591F74" w:rsidRPr="00664446">
        <w:rPr>
          <w:b/>
          <w:sz w:val="22"/>
          <w:szCs w:val="22"/>
        </w:rPr>
        <w:t>Inkompatibility</w:t>
      </w:r>
    </w:p>
    <w:p w:rsidR="00224C6F" w:rsidRPr="00664446" w:rsidRDefault="00224C6F">
      <w:pPr>
        <w:rPr>
          <w:sz w:val="22"/>
          <w:szCs w:val="22"/>
        </w:rPr>
      </w:pPr>
    </w:p>
    <w:p w:rsidR="00591F74" w:rsidRPr="00664446" w:rsidRDefault="00591F74">
      <w:pPr>
        <w:rPr>
          <w:sz w:val="22"/>
          <w:szCs w:val="22"/>
        </w:rPr>
      </w:pPr>
      <w:r w:rsidRPr="00664446">
        <w:rPr>
          <w:sz w:val="22"/>
          <w:szCs w:val="22"/>
        </w:rPr>
        <w:t>Ne</w:t>
      </w:r>
      <w:r w:rsidR="006859CC" w:rsidRPr="00664446">
        <w:rPr>
          <w:sz w:val="22"/>
          <w:szCs w:val="22"/>
        </w:rPr>
        <w:t>aplikovateľné</w:t>
      </w:r>
      <w:r w:rsidRPr="00664446">
        <w:rPr>
          <w:sz w:val="22"/>
          <w:szCs w:val="22"/>
        </w:rPr>
        <w:t>.</w:t>
      </w:r>
    </w:p>
    <w:p w:rsidR="00A16BD2" w:rsidRPr="00664446" w:rsidRDefault="00A16BD2" w:rsidP="00A16BD2">
      <w:pPr>
        <w:rPr>
          <w:b/>
          <w:sz w:val="22"/>
          <w:szCs w:val="22"/>
        </w:rPr>
      </w:pPr>
    </w:p>
    <w:p w:rsidR="00591F74" w:rsidRPr="00664446" w:rsidRDefault="00A16BD2" w:rsidP="00A16BD2">
      <w:p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6.3     </w:t>
      </w:r>
      <w:r w:rsidR="00591F74" w:rsidRPr="00664446">
        <w:rPr>
          <w:b/>
          <w:sz w:val="22"/>
          <w:szCs w:val="22"/>
        </w:rPr>
        <w:t>Čas použiteľnosti</w:t>
      </w:r>
    </w:p>
    <w:p w:rsidR="00224C6F" w:rsidRPr="00664446" w:rsidRDefault="00224C6F">
      <w:pPr>
        <w:rPr>
          <w:sz w:val="22"/>
          <w:szCs w:val="22"/>
        </w:rPr>
      </w:pPr>
    </w:p>
    <w:p w:rsidR="00591F74" w:rsidRPr="00664446" w:rsidRDefault="00591F74">
      <w:pPr>
        <w:rPr>
          <w:sz w:val="22"/>
          <w:szCs w:val="22"/>
        </w:rPr>
      </w:pPr>
      <w:r w:rsidRPr="00664446">
        <w:rPr>
          <w:sz w:val="22"/>
          <w:szCs w:val="22"/>
        </w:rPr>
        <w:t>2 roky</w:t>
      </w:r>
    </w:p>
    <w:p w:rsidR="006822EE" w:rsidRPr="00664446" w:rsidRDefault="006822EE">
      <w:pPr>
        <w:rPr>
          <w:sz w:val="22"/>
          <w:szCs w:val="22"/>
        </w:rPr>
      </w:pPr>
    </w:p>
    <w:p w:rsidR="006822EE" w:rsidRPr="00664446" w:rsidRDefault="00877EEA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Obsah vrecka </w:t>
      </w:r>
      <w:r w:rsidR="002E77A1">
        <w:rPr>
          <w:sz w:val="22"/>
          <w:szCs w:val="22"/>
        </w:rPr>
        <w:t>treba užiť</w:t>
      </w:r>
      <w:r w:rsidR="006822EE" w:rsidRPr="00664446">
        <w:rPr>
          <w:sz w:val="22"/>
          <w:szCs w:val="22"/>
        </w:rPr>
        <w:t xml:space="preserve"> ihneď po otvorení.</w:t>
      </w:r>
    </w:p>
    <w:p w:rsidR="00591F74" w:rsidRPr="00664446" w:rsidRDefault="00591F74">
      <w:pPr>
        <w:rPr>
          <w:b/>
          <w:sz w:val="22"/>
          <w:szCs w:val="22"/>
        </w:rPr>
      </w:pPr>
    </w:p>
    <w:p w:rsidR="00591F74" w:rsidRPr="00664446" w:rsidRDefault="007A6728">
      <w:p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6.4     </w:t>
      </w:r>
      <w:r w:rsidR="00224C6F" w:rsidRPr="00664446">
        <w:rPr>
          <w:b/>
          <w:sz w:val="22"/>
          <w:szCs w:val="22"/>
        </w:rPr>
        <w:t>Špeciálne u</w:t>
      </w:r>
      <w:r w:rsidR="00591F74" w:rsidRPr="00664446">
        <w:rPr>
          <w:b/>
          <w:sz w:val="22"/>
          <w:szCs w:val="22"/>
        </w:rPr>
        <w:t xml:space="preserve">pozornenia na </w:t>
      </w:r>
      <w:r w:rsidR="00224C6F" w:rsidRPr="00664446">
        <w:rPr>
          <w:b/>
          <w:sz w:val="22"/>
          <w:szCs w:val="22"/>
        </w:rPr>
        <w:t>uchovávanie</w:t>
      </w:r>
    </w:p>
    <w:p w:rsidR="00224C6F" w:rsidRPr="00664446" w:rsidRDefault="00224C6F">
      <w:pPr>
        <w:rPr>
          <w:sz w:val="22"/>
          <w:szCs w:val="22"/>
        </w:rPr>
      </w:pPr>
    </w:p>
    <w:p w:rsidR="006F0828" w:rsidRPr="006F0828" w:rsidRDefault="006F0828" w:rsidP="006F0828">
      <w:pPr>
        <w:rPr>
          <w:sz w:val="22"/>
          <w:szCs w:val="22"/>
        </w:rPr>
      </w:pPr>
      <w:r w:rsidRPr="006F0828">
        <w:rPr>
          <w:sz w:val="22"/>
          <w:szCs w:val="22"/>
        </w:rPr>
        <w:t>Tento liek nevyžaduje žiadne zvláštne teplotné podmienky na uchovávanie.</w:t>
      </w:r>
    </w:p>
    <w:p w:rsidR="00591F74" w:rsidRPr="00664446" w:rsidRDefault="00A36AC9">
      <w:pPr>
        <w:rPr>
          <w:sz w:val="22"/>
          <w:szCs w:val="22"/>
        </w:rPr>
      </w:pPr>
      <w:r w:rsidRPr="00664446">
        <w:rPr>
          <w:sz w:val="22"/>
          <w:szCs w:val="22"/>
        </w:rPr>
        <w:t>Uchovávajte v</w:t>
      </w:r>
      <w:r w:rsidR="005342BE" w:rsidRPr="00664446">
        <w:rPr>
          <w:sz w:val="22"/>
          <w:szCs w:val="22"/>
        </w:rPr>
        <w:t> </w:t>
      </w:r>
      <w:r w:rsidR="00B11B8F" w:rsidRPr="00664446">
        <w:rPr>
          <w:sz w:val="22"/>
          <w:szCs w:val="22"/>
        </w:rPr>
        <w:t>pôvodnom obale na ochranu pred svetlom</w:t>
      </w:r>
      <w:r w:rsidR="002F54E8" w:rsidRPr="00664446">
        <w:rPr>
          <w:sz w:val="22"/>
          <w:szCs w:val="22"/>
        </w:rPr>
        <w:t>.</w:t>
      </w:r>
    </w:p>
    <w:p w:rsidR="0066033C" w:rsidRPr="00664446" w:rsidRDefault="0066033C">
      <w:pPr>
        <w:rPr>
          <w:sz w:val="22"/>
          <w:szCs w:val="22"/>
        </w:rPr>
      </w:pPr>
    </w:p>
    <w:p w:rsidR="00591F74" w:rsidRPr="00664446" w:rsidRDefault="007A6728">
      <w:p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6.5      </w:t>
      </w:r>
      <w:r w:rsidR="00224C6F" w:rsidRPr="00664446">
        <w:rPr>
          <w:b/>
          <w:sz w:val="22"/>
          <w:szCs w:val="22"/>
        </w:rPr>
        <w:t>Druh</w:t>
      </w:r>
      <w:r w:rsidR="00591F74" w:rsidRPr="00664446">
        <w:rPr>
          <w:b/>
          <w:sz w:val="22"/>
          <w:szCs w:val="22"/>
        </w:rPr>
        <w:t xml:space="preserve"> obalu</w:t>
      </w:r>
      <w:r w:rsidR="00224C6F" w:rsidRPr="00664446">
        <w:rPr>
          <w:b/>
          <w:sz w:val="22"/>
          <w:szCs w:val="22"/>
        </w:rPr>
        <w:t xml:space="preserve"> a</w:t>
      </w:r>
      <w:r w:rsidR="00591F74" w:rsidRPr="00664446">
        <w:rPr>
          <w:b/>
          <w:sz w:val="22"/>
          <w:szCs w:val="22"/>
        </w:rPr>
        <w:t xml:space="preserve"> </w:t>
      </w:r>
      <w:r w:rsidR="00224C6F" w:rsidRPr="00664446">
        <w:rPr>
          <w:b/>
          <w:sz w:val="22"/>
          <w:szCs w:val="22"/>
        </w:rPr>
        <w:t>obsah</w:t>
      </w:r>
      <w:r w:rsidR="00591F74" w:rsidRPr="00664446">
        <w:rPr>
          <w:b/>
          <w:sz w:val="22"/>
          <w:szCs w:val="22"/>
        </w:rPr>
        <w:t xml:space="preserve"> balenia</w:t>
      </w:r>
    </w:p>
    <w:p w:rsidR="00224C6F" w:rsidRPr="00664446" w:rsidRDefault="00224C6F">
      <w:pPr>
        <w:rPr>
          <w:sz w:val="22"/>
          <w:szCs w:val="22"/>
        </w:rPr>
      </w:pPr>
    </w:p>
    <w:p w:rsidR="00591F74" w:rsidRPr="00664446" w:rsidRDefault="003C4C23">
      <w:pPr>
        <w:rPr>
          <w:sz w:val="22"/>
          <w:szCs w:val="22"/>
        </w:rPr>
      </w:pPr>
      <w:r w:rsidRPr="00664446">
        <w:rPr>
          <w:sz w:val="22"/>
          <w:szCs w:val="22"/>
        </w:rPr>
        <w:t>Vrecká z hliníkovej fólie</w:t>
      </w:r>
      <w:r w:rsidR="00473E26" w:rsidRPr="00664446">
        <w:rPr>
          <w:sz w:val="22"/>
          <w:szCs w:val="22"/>
        </w:rPr>
        <w:t>.</w:t>
      </w:r>
    </w:p>
    <w:p w:rsidR="000E6A5C" w:rsidRPr="00664446" w:rsidRDefault="000E6A5C">
      <w:pPr>
        <w:rPr>
          <w:sz w:val="22"/>
          <w:szCs w:val="22"/>
        </w:rPr>
      </w:pPr>
    </w:p>
    <w:p w:rsidR="00737236" w:rsidRDefault="006859CC">
      <w:pPr>
        <w:rPr>
          <w:sz w:val="22"/>
          <w:szCs w:val="22"/>
        </w:rPr>
      </w:pPr>
      <w:r w:rsidRPr="00664446">
        <w:rPr>
          <w:sz w:val="22"/>
          <w:szCs w:val="22"/>
        </w:rPr>
        <w:t>V</w:t>
      </w:r>
      <w:r w:rsidR="00591F74" w:rsidRPr="00664446">
        <w:rPr>
          <w:sz w:val="22"/>
          <w:szCs w:val="22"/>
        </w:rPr>
        <w:t xml:space="preserve">eľkosť balenia: </w:t>
      </w:r>
      <w:r w:rsidR="00BE383F" w:rsidRPr="00664446">
        <w:rPr>
          <w:sz w:val="22"/>
          <w:szCs w:val="22"/>
        </w:rPr>
        <w:t xml:space="preserve">1 x </w:t>
      </w:r>
      <w:r w:rsidR="006C5779">
        <w:rPr>
          <w:sz w:val="22"/>
          <w:szCs w:val="22"/>
        </w:rPr>
        <w:t>20, 1 x 30, 1 x 50, 1 x 100</w:t>
      </w:r>
      <w:r w:rsidR="00737236" w:rsidRPr="00664446">
        <w:rPr>
          <w:sz w:val="22"/>
          <w:szCs w:val="22"/>
        </w:rPr>
        <w:t xml:space="preserve"> </w:t>
      </w:r>
      <w:r w:rsidR="00BE383F" w:rsidRPr="00664446">
        <w:rPr>
          <w:sz w:val="22"/>
          <w:szCs w:val="22"/>
        </w:rPr>
        <w:t>vreciek</w:t>
      </w:r>
    </w:p>
    <w:p w:rsidR="00591F74" w:rsidRPr="00664446" w:rsidRDefault="00061001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 </w:t>
      </w:r>
    </w:p>
    <w:p w:rsidR="00591F74" w:rsidRPr="00664446" w:rsidRDefault="00591F74">
      <w:pPr>
        <w:rPr>
          <w:sz w:val="22"/>
          <w:szCs w:val="22"/>
        </w:rPr>
      </w:pPr>
      <w:r w:rsidRPr="00664446">
        <w:rPr>
          <w:b/>
          <w:sz w:val="22"/>
          <w:szCs w:val="22"/>
        </w:rPr>
        <w:t>6.6</w:t>
      </w:r>
      <w:r w:rsidRPr="00664446">
        <w:rPr>
          <w:b/>
          <w:sz w:val="22"/>
          <w:szCs w:val="22"/>
        </w:rPr>
        <w:tab/>
      </w:r>
      <w:r w:rsidR="00E95321" w:rsidRPr="00664446">
        <w:rPr>
          <w:b/>
          <w:sz w:val="22"/>
          <w:szCs w:val="22"/>
        </w:rPr>
        <w:t>Špeciálne opatrenia na likvidáciu a iné zaobchádzanie s liekom</w:t>
      </w:r>
    </w:p>
    <w:p w:rsidR="00591F74" w:rsidRPr="00664446" w:rsidRDefault="00591F74">
      <w:pPr>
        <w:rPr>
          <w:sz w:val="22"/>
          <w:szCs w:val="22"/>
        </w:rPr>
      </w:pPr>
    </w:p>
    <w:p w:rsidR="00591F74" w:rsidRPr="00664446" w:rsidRDefault="006859CC">
      <w:pPr>
        <w:rPr>
          <w:sz w:val="22"/>
          <w:szCs w:val="22"/>
        </w:rPr>
      </w:pPr>
      <w:r w:rsidRPr="00664446">
        <w:rPr>
          <w:sz w:val="22"/>
          <w:szCs w:val="22"/>
        </w:rPr>
        <w:t>Žiadne zvláštne požiadavky</w:t>
      </w:r>
      <w:r w:rsidR="00591F74" w:rsidRPr="00664446">
        <w:rPr>
          <w:sz w:val="22"/>
          <w:szCs w:val="22"/>
        </w:rPr>
        <w:t>.</w:t>
      </w:r>
    </w:p>
    <w:p w:rsidR="003C4C23" w:rsidRPr="00664446" w:rsidRDefault="003C4C23">
      <w:pPr>
        <w:rPr>
          <w:sz w:val="22"/>
          <w:szCs w:val="22"/>
        </w:rPr>
      </w:pPr>
    </w:p>
    <w:p w:rsidR="006F0828" w:rsidRPr="006F0828" w:rsidRDefault="006F0828" w:rsidP="006F0828">
      <w:pPr>
        <w:rPr>
          <w:sz w:val="22"/>
          <w:szCs w:val="22"/>
        </w:rPr>
      </w:pPr>
      <w:r w:rsidRPr="006F0828">
        <w:rPr>
          <w:sz w:val="22"/>
          <w:szCs w:val="22"/>
        </w:rPr>
        <w:t>Všetok nepoužitý liek alebo odpad vzniknutý z lieku sa má zlikvidovať v súlade s národnými požiadavkami.</w:t>
      </w:r>
    </w:p>
    <w:p w:rsidR="00224C6F" w:rsidRPr="00664446" w:rsidRDefault="00224C6F">
      <w:pPr>
        <w:rPr>
          <w:b/>
          <w:sz w:val="22"/>
          <w:szCs w:val="22"/>
        </w:rPr>
      </w:pPr>
    </w:p>
    <w:p w:rsidR="003C4C23" w:rsidRPr="00664446" w:rsidRDefault="003C4C23">
      <w:pPr>
        <w:rPr>
          <w:b/>
          <w:sz w:val="22"/>
          <w:szCs w:val="22"/>
        </w:rPr>
      </w:pPr>
    </w:p>
    <w:p w:rsidR="00591F74" w:rsidRPr="00664446" w:rsidRDefault="00591F74" w:rsidP="007A6728">
      <w:pPr>
        <w:numPr>
          <w:ilvl w:val="0"/>
          <w:numId w:val="23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DRŽITEĽ ROZHODNUTIA  O  REGISTRÁCII</w:t>
      </w:r>
    </w:p>
    <w:p w:rsidR="00591F74" w:rsidRPr="00664446" w:rsidRDefault="00591F74">
      <w:pPr>
        <w:rPr>
          <w:sz w:val="22"/>
          <w:szCs w:val="22"/>
        </w:rPr>
      </w:pPr>
    </w:p>
    <w:p w:rsidR="00591F74" w:rsidRPr="00664446" w:rsidRDefault="00147ADF">
      <w:pPr>
        <w:rPr>
          <w:sz w:val="22"/>
          <w:szCs w:val="22"/>
        </w:rPr>
      </w:pPr>
      <w:r w:rsidRPr="00664446">
        <w:rPr>
          <w:sz w:val="22"/>
          <w:szCs w:val="22"/>
        </w:rPr>
        <w:t>F</w:t>
      </w:r>
      <w:r w:rsidR="00405861" w:rsidRPr="00664446">
        <w:rPr>
          <w:sz w:val="22"/>
          <w:szCs w:val="22"/>
        </w:rPr>
        <w:t>erring</w:t>
      </w:r>
      <w:r w:rsidRPr="000658E4">
        <w:rPr>
          <w:sz w:val="22"/>
          <w:szCs w:val="22"/>
        </w:rPr>
        <w:t>-Léčiva, a.s.</w:t>
      </w:r>
    </w:p>
    <w:p w:rsidR="009B04B4" w:rsidRPr="00664446" w:rsidRDefault="009B04B4">
      <w:pPr>
        <w:rPr>
          <w:sz w:val="22"/>
          <w:szCs w:val="22"/>
        </w:rPr>
      </w:pPr>
      <w:r w:rsidRPr="00664446">
        <w:rPr>
          <w:sz w:val="22"/>
          <w:szCs w:val="22"/>
        </w:rPr>
        <w:t>K Rybníku 475</w:t>
      </w:r>
    </w:p>
    <w:p w:rsidR="00147ADF" w:rsidRPr="00664446" w:rsidRDefault="009B04B4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252 42 </w:t>
      </w:r>
      <w:r w:rsidR="00147ADF" w:rsidRPr="00664446">
        <w:rPr>
          <w:sz w:val="22"/>
          <w:szCs w:val="22"/>
        </w:rPr>
        <w:t>Jesenice u Prahy</w:t>
      </w:r>
    </w:p>
    <w:p w:rsidR="00147ADF" w:rsidRPr="00664446" w:rsidRDefault="00147ADF">
      <w:pPr>
        <w:rPr>
          <w:sz w:val="22"/>
          <w:szCs w:val="22"/>
        </w:rPr>
      </w:pPr>
      <w:r w:rsidRPr="00664446">
        <w:rPr>
          <w:sz w:val="22"/>
          <w:szCs w:val="22"/>
        </w:rPr>
        <w:t>Česká republika</w:t>
      </w:r>
    </w:p>
    <w:p w:rsidR="002F54E8" w:rsidRPr="00664446" w:rsidRDefault="002F54E8">
      <w:pPr>
        <w:rPr>
          <w:sz w:val="22"/>
          <w:szCs w:val="22"/>
        </w:rPr>
      </w:pPr>
    </w:p>
    <w:p w:rsidR="002F54E8" w:rsidRPr="00664446" w:rsidRDefault="002F54E8">
      <w:pPr>
        <w:rPr>
          <w:sz w:val="22"/>
          <w:szCs w:val="22"/>
        </w:rPr>
      </w:pPr>
    </w:p>
    <w:p w:rsidR="001E3B8C" w:rsidRPr="00664446" w:rsidRDefault="00180C0B" w:rsidP="007A6728">
      <w:pPr>
        <w:numPr>
          <w:ilvl w:val="0"/>
          <w:numId w:val="23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REGISTRAČNÉ ČÍSLO </w:t>
      </w:r>
    </w:p>
    <w:p w:rsidR="006E7812" w:rsidRPr="00664446" w:rsidRDefault="006E7812">
      <w:pPr>
        <w:rPr>
          <w:b/>
          <w:sz w:val="22"/>
          <w:szCs w:val="22"/>
        </w:rPr>
      </w:pPr>
    </w:p>
    <w:p w:rsidR="00224C6F" w:rsidRPr="00737FA0" w:rsidRDefault="00737FA0">
      <w:pPr>
        <w:rPr>
          <w:sz w:val="22"/>
          <w:szCs w:val="22"/>
        </w:rPr>
      </w:pPr>
      <w:r w:rsidRPr="00737FA0">
        <w:rPr>
          <w:sz w:val="22"/>
          <w:szCs w:val="22"/>
        </w:rPr>
        <w:t>29/0187/17-S</w:t>
      </w:r>
    </w:p>
    <w:p w:rsidR="00737FA0" w:rsidRPr="00664446" w:rsidRDefault="00737FA0">
      <w:pPr>
        <w:rPr>
          <w:b/>
          <w:sz w:val="22"/>
          <w:szCs w:val="22"/>
        </w:rPr>
      </w:pPr>
    </w:p>
    <w:p w:rsidR="00C627E5" w:rsidRPr="00664446" w:rsidRDefault="00C627E5">
      <w:pPr>
        <w:rPr>
          <w:b/>
          <w:sz w:val="22"/>
          <w:szCs w:val="22"/>
        </w:rPr>
      </w:pPr>
    </w:p>
    <w:p w:rsidR="00591F74" w:rsidRPr="00664446" w:rsidRDefault="00180C0B" w:rsidP="007A6728">
      <w:pPr>
        <w:numPr>
          <w:ilvl w:val="0"/>
          <w:numId w:val="23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DÁTUM </w:t>
      </w:r>
      <w:r w:rsidR="00E64AD3">
        <w:rPr>
          <w:b/>
          <w:sz w:val="22"/>
          <w:szCs w:val="22"/>
        </w:rPr>
        <w:t xml:space="preserve">PRVEJ </w:t>
      </w:r>
      <w:r w:rsidRPr="00664446">
        <w:rPr>
          <w:b/>
          <w:sz w:val="22"/>
          <w:szCs w:val="22"/>
        </w:rPr>
        <w:t>REGISTRÁCIE</w:t>
      </w:r>
      <w:r w:rsidR="00E95321" w:rsidRPr="00664446">
        <w:rPr>
          <w:b/>
          <w:sz w:val="22"/>
          <w:szCs w:val="22"/>
        </w:rPr>
        <w:t>/PREDĹŽENIA REGISTRÁCIE</w:t>
      </w:r>
    </w:p>
    <w:p w:rsidR="00405861" w:rsidRPr="00664446" w:rsidRDefault="00405861">
      <w:pPr>
        <w:rPr>
          <w:b/>
          <w:sz w:val="22"/>
          <w:szCs w:val="22"/>
        </w:rPr>
      </w:pPr>
    </w:p>
    <w:p w:rsidR="00651EAB" w:rsidRDefault="00727CB1">
      <w:pPr>
        <w:rPr>
          <w:sz w:val="22"/>
          <w:szCs w:val="22"/>
        </w:rPr>
      </w:pPr>
      <w:r>
        <w:rPr>
          <w:sz w:val="22"/>
          <w:szCs w:val="22"/>
        </w:rPr>
        <w:t xml:space="preserve">Dátum prvej registrácie: </w:t>
      </w:r>
      <w:r w:rsidR="00B85B42">
        <w:rPr>
          <w:sz w:val="22"/>
          <w:szCs w:val="22"/>
        </w:rPr>
        <w:t>22. júna 2017</w:t>
      </w:r>
    </w:p>
    <w:p w:rsidR="00476681" w:rsidRPr="00664446" w:rsidRDefault="00727CB1">
      <w:pPr>
        <w:rPr>
          <w:sz w:val="22"/>
          <w:szCs w:val="22"/>
        </w:rPr>
      </w:pPr>
      <w:r>
        <w:rPr>
          <w:sz w:val="22"/>
          <w:szCs w:val="22"/>
        </w:rPr>
        <w:t>Dátum posledného predĺženia registrácie:</w:t>
      </w:r>
    </w:p>
    <w:p w:rsidR="00DB2992" w:rsidRDefault="00DB2992">
      <w:pPr>
        <w:rPr>
          <w:sz w:val="22"/>
          <w:szCs w:val="22"/>
        </w:rPr>
      </w:pPr>
    </w:p>
    <w:p w:rsidR="00591F74" w:rsidRPr="00664446" w:rsidRDefault="00591F74">
      <w:pPr>
        <w:rPr>
          <w:sz w:val="22"/>
          <w:szCs w:val="22"/>
        </w:rPr>
      </w:pPr>
    </w:p>
    <w:p w:rsidR="00591F74" w:rsidRPr="00664446" w:rsidRDefault="00591F74" w:rsidP="007A6728">
      <w:pPr>
        <w:numPr>
          <w:ilvl w:val="0"/>
          <w:numId w:val="23"/>
        </w:numPr>
        <w:rPr>
          <w:sz w:val="22"/>
          <w:szCs w:val="22"/>
        </w:rPr>
      </w:pPr>
      <w:r w:rsidRPr="00664446">
        <w:rPr>
          <w:b/>
          <w:sz w:val="22"/>
          <w:szCs w:val="22"/>
        </w:rPr>
        <w:t>DÁTUM REVÍZIE TEXTU</w:t>
      </w:r>
    </w:p>
    <w:p w:rsidR="00591F74" w:rsidRPr="00664446" w:rsidRDefault="00591F74">
      <w:pPr>
        <w:rPr>
          <w:sz w:val="22"/>
          <w:szCs w:val="22"/>
        </w:rPr>
      </w:pPr>
    </w:p>
    <w:p w:rsidR="00CB654A" w:rsidRPr="00664446" w:rsidRDefault="00916F3A">
      <w:pPr>
        <w:rPr>
          <w:sz w:val="22"/>
          <w:szCs w:val="22"/>
        </w:rPr>
      </w:pPr>
      <w:r>
        <w:rPr>
          <w:sz w:val="22"/>
          <w:szCs w:val="22"/>
        </w:rPr>
        <w:t>11</w:t>
      </w:r>
      <w:r w:rsidR="000276EA">
        <w:rPr>
          <w:sz w:val="22"/>
          <w:szCs w:val="22"/>
        </w:rPr>
        <w:t>/</w:t>
      </w:r>
      <w:r>
        <w:rPr>
          <w:sz w:val="22"/>
          <w:szCs w:val="22"/>
        </w:rPr>
        <w:t>2019</w:t>
      </w:r>
    </w:p>
    <w:sectPr w:rsidR="00CB654A" w:rsidRPr="00664446" w:rsidSect="00C25C29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D31" w:rsidRDefault="004E6D31">
      <w:r>
        <w:separator/>
      </w:r>
    </w:p>
  </w:endnote>
  <w:endnote w:type="continuationSeparator" w:id="0">
    <w:p w:rsidR="004E6D31" w:rsidRDefault="004E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5C" w:rsidRDefault="001C197A" w:rsidP="0066444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28215C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F34CE">
      <w:rPr>
        <w:rStyle w:val="slostrany"/>
        <w:noProof/>
      </w:rPr>
      <w:t>10</w:t>
    </w:r>
    <w:r>
      <w:rPr>
        <w:rStyle w:val="slostrany"/>
      </w:rPr>
      <w:fldChar w:fldCharType="end"/>
    </w:r>
  </w:p>
  <w:p w:rsidR="0028215C" w:rsidRDefault="0028215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5C" w:rsidRPr="00DF4AF8" w:rsidRDefault="001C197A" w:rsidP="00664446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DF4AF8">
      <w:rPr>
        <w:rStyle w:val="slostrany"/>
        <w:rFonts w:ascii="Times New Roman" w:hAnsi="Times New Roman"/>
        <w:sz w:val="18"/>
        <w:szCs w:val="18"/>
      </w:rPr>
      <w:fldChar w:fldCharType="begin"/>
    </w:r>
    <w:r w:rsidR="0028215C" w:rsidRPr="00DF4AF8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DF4AF8">
      <w:rPr>
        <w:rStyle w:val="slostrany"/>
        <w:rFonts w:ascii="Times New Roman" w:hAnsi="Times New Roman"/>
        <w:sz w:val="18"/>
        <w:szCs w:val="18"/>
      </w:rPr>
      <w:fldChar w:fldCharType="separate"/>
    </w:r>
    <w:r w:rsidR="00C25C29">
      <w:rPr>
        <w:rStyle w:val="slostrany"/>
        <w:rFonts w:ascii="Times New Roman" w:hAnsi="Times New Roman"/>
        <w:noProof/>
        <w:sz w:val="18"/>
        <w:szCs w:val="18"/>
      </w:rPr>
      <w:t>4</w:t>
    </w:r>
    <w:r w:rsidRPr="00DF4AF8">
      <w:rPr>
        <w:rStyle w:val="slostrany"/>
        <w:rFonts w:ascii="Times New Roman" w:hAnsi="Times New Roman"/>
        <w:sz w:val="18"/>
        <w:szCs w:val="18"/>
      </w:rPr>
      <w:fldChar w:fldCharType="end"/>
    </w:r>
  </w:p>
  <w:p w:rsidR="0028215C" w:rsidRDefault="0028215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D31" w:rsidRDefault="004E6D31">
      <w:r>
        <w:separator/>
      </w:r>
    </w:p>
  </w:footnote>
  <w:footnote w:type="continuationSeparator" w:id="0">
    <w:p w:rsidR="004E6D31" w:rsidRDefault="004E6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D61" w:rsidRPr="00AA22A4" w:rsidRDefault="00C30D61" w:rsidP="00C30D61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o zmene, ev. č.: </w:t>
    </w:r>
    <w:r w:rsidR="00916F3A">
      <w:rPr>
        <w:sz w:val="18"/>
        <w:szCs w:val="18"/>
      </w:rPr>
      <w:t>2019/06089-Z1A</w:t>
    </w:r>
  </w:p>
  <w:p w:rsidR="00C30D61" w:rsidRDefault="00C30D6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54A" w:rsidRPr="00AA22A4" w:rsidRDefault="00CB654A" w:rsidP="00CB654A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o zmene, ev. č.: </w:t>
    </w:r>
  </w:p>
  <w:p w:rsidR="00CB654A" w:rsidRDefault="00CB654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Nadpis1"/>
      <w:lvlText w:val="%1."/>
      <w:legacy w:legacy="1" w:legacySpace="170" w:legacyIndent="397"/>
      <w:lvlJc w:val="left"/>
      <w:pPr>
        <w:ind w:left="397" w:hanging="397"/>
      </w:pPr>
      <w:rPr>
        <w:rFonts w:ascii="Times New Roman" w:hAnsi="Times New Roman" w:hint="default"/>
        <w:b/>
        <w:i w:val="0"/>
        <w:sz w:val="40"/>
      </w:rPr>
    </w:lvl>
    <w:lvl w:ilvl="1">
      <w:start w:val="1"/>
      <w:numFmt w:val="upperRoman"/>
      <w:pStyle w:val="Nadpis2"/>
      <w:lvlText w:val="%1.%2."/>
      <w:legacy w:legacy="1" w:legacySpace="170" w:legacyIndent="567"/>
      <w:lvlJc w:val="left"/>
      <w:pPr>
        <w:ind w:left="964" w:hanging="567"/>
      </w:pPr>
      <w:rPr>
        <w:rFonts w:ascii="Times New Roman" w:hAnsi="Times New Roman" w:hint="default"/>
      </w:rPr>
    </w:lvl>
    <w:lvl w:ilvl="2">
      <w:start w:val="1"/>
      <w:numFmt w:val="upperLetter"/>
      <w:pStyle w:val="Nadpis3"/>
      <w:lvlText w:val="%1.%2.%3"/>
      <w:legacy w:legacy="1" w:legacySpace="170" w:legacyIndent="851"/>
      <w:lvlJc w:val="left"/>
      <w:pPr>
        <w:ind w:left="1815" w:hanging="851"/>
      </w:pPr>
      <w:rPr>
        <w:rFonts w:ascii="Times New Roman" w:hAnsi="Times New Roman" w:hint="default"/>
      </w:rPr>
    </w:lvl>
    <w:lvl w:ilvl="3">
      <w:start w:val="1"/>
      <w:numFmt w:val="decimal"/>
      <w:pStyle w:val="Nadpis4"/>
      <w:lvlText w:val="%1.%2.%3%4."/>
      <w:legacy w:legacy="1" w:legacySpace="0" w:legacyIndent="708"/>
      <w:lvlJc w:val="left"/>
      <w:pPr>
        <w:ind w:left="2523" w:hanging="708"/>
      </w:pPr>
      <w:rPr>
        <w:rFonts w:ascii="Times New Roman" w:hAnsi="Times New Roman" w:hint="default"/>
      </w:rPr>
    </w:lvl>
    <w:lvl w:ilvl="4">
      <w:start w:val="1"/>
      <w:numFmt w:val="decimal"/>
      <w:pStyle w:val="Nadpis5"/>
      <w:lvlText w:val="%1.%2.%3%4.%5."/>
      <w:legacy w:legacy="1" w:legacySpace="0" w:legacyIndent="708"/>
      <w:lvlJc w:val="left"/>
      <w:pPr>
        <w:ind w:left="3231" w:hanging="708"/>
      </w:pPr>
      <w:rPr>
        <w:rFonts w:ascii="Times New Roman" w:hAnsi="Times New Roman" w:hint="default"/>
      </w:rPr>
    </w:lvl>
    <w:lvl w:ilvl="5">
      <w:start w:val="1"/>
      <w:numFmt w:val="decimal"/>
      <w:pStyle w:val="Nadpis6"/>
      <w:lvlText w:val="%1.%2.%3%4.%5.%6."/>
      <w:legacy w:legacy="1" w:legacySpace="0" w:legacyIndent="708"/>
      <w:lvlJc w:val="left"/>
      <w:pPr>
        <w:ind w:left="3939" w:hanging="708"/>
      </w:pPr>
      <w:rPr>
        <w:rFonts w:ascii="Times New Roman" w:hAnsi="Times New Roman" w:hint="default"/>
      </w:rPr>
    </w:lvl>
    <w:lvl w:ilvl="6">
      <w:start w:val="1"/>
      <w:numFmt w:val="decimal"/>
      <w:pStyle w:val="Nadpis7"/>
      <w:lvlText w:val="%1.%2.%3%4.%5.%6.%7."/>
      <w:legacy w:legacy="1" w:legacySpace="0" w:legacyIndent="708"/>
      <w:lvlJc w:val="left"/>
      <w:pPr>
        <w:ind w:left="4647" w:hanging="708"/>
      </w:pPr>
      <w:rPr>
        <w:rFonts w:ascii="Times New Roman" w:hAnsi="Times New Roman" w:hint="default"/>
      </w:rPr>
    </w:lvl>
    <w:lvl w:ilvl="7">
      <w:start w:val="1"/>
      <w:numFmt w:val="decimal"/>
      <w:pStyle w:val="Nadpis8"/>
      <w:lvlText w:val="%1.%2.%3%4.%5.%6.%7.%8."/>
      <w:legacy w:legacy="1" w:legacySpace="0" w:legacyIndent="708"/>
      <w:lvlJc w:val="left"/>
      <w:pPr>
        <w:ind w:left="5355" w:hanging="708"/>
      </w:pPr>
      <w:rPr>
        <w:rFonts w:ascii="Times New Roman" w:hAnsi="Times New Roman" w:hint="default"/>
      </w:rPr>
    </w:lvl>
    <w:lvl w:ilvl="8">
      <w:start w:val="1"/>
      <w:numFmt w:val="decimal"/>
      <w:pStyle w:val="Nadpis9"/>
      <w:lvlText w:val="%1.%2.%3%4.%5.%6.%7.%8.%9."/>
      <w:legacy w:legacy="1" w:legacySpace="0" w:legacyIndent="708"/>
      <w:lvlJc w:val="left"/>
      <w:pPr>
        <w:ind w:left="6063" w:hanging="708"/>
      </w:pPr>
      <w:rPr>
        <w:rFonts w:ascii="Times New Roman" w:hAnsi="Times New Roman" w:hint="default"/>
      </w:rPr>
    </w:lvl>
  </w:abstractNum>
  <w:abstractNum w:abstractNumId="1">
    <w:nsid w:val="0319094B"/>
    <w:multiLevelType w:val="multilevel"/>
    <w:tmpl w:val="E52EB008"/>
    <w:lvl w:ilvl="0">
      <w:start w:val="1"/>
      <w:numFmt w:val="none"/>
      <w:lvlText w:val="4.6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516615"/>
    <w:multiLevelType w:val="multilevel"/>
    <w:tmpl w:val="F210F87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5C095A"/>
    <w:multiLevelType w:val="multilevel"/>
    <w:tmpl w:val="C5DAE980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FCF3BC8"/>
    <w:multiLevelType w:val="singleLevel"/>
    <w:tmpl w:val="3C20FA30"/>
    <w:lvl w:ilvl="0">
      <w:start w:val="27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E61E1"/>
    <w:multiLevelType w:val="multilevel"/>
    <w:tmpl w:val="7E98EA50"/>
    <w:lvl w:ilvl="0">
      <w:start w:val="1"/>
      <w:numFmt w:val="none"/>
      <w:lvlText w:val="6.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4220B06"/>
    <w:multiLevelType w:val="singleLevel"/>
    <w:tmpl w:val="D5883F8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7">
    <w:nsid w:val="169634A9"/>
    <w:multiLevelType w:val="multilevel"/>
    <w:tmpl w:val="0C707A62"/>
    <w:lvl w:ilvl="0">
      <w:start w:val="1"/>
      <w:numFmt w:val="none"/>
      <w:lvlText w:val="6.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74735AF"/>
    <w:multiLevelType w:val="multilevel"/>
    <w:tmpl w:val="B8BEFD46"/>
    <w:lvl w:ilvl="0">
      <w:start w:val="4"/>
      <w:numFmt w:val="decimal"/>
      <w:lvlText w:val="%1.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B9F4739"/>
    <w:multiLevelType w:val="hybridMultilevel"/>
    <w:tmpl w:val="48DC8C80"/>
    <w:lvl w:ilvl="0" w:tplc="090A1F7C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C7650E"/>
    <w:multiLevelType w:val="hybridMultilevel"/>
    <w:tmpl w:val="3B266ECE"/>
    <w:lvl w:ilvl="0" w:tplc="2AF0A58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7C78FE"/>
    <w:multiLevelType w:val="multilevel"/>
    <w:tmpl w:val="D23254D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DE4367"/>
    <w:multiLevelType w:val="multilevel"/>
    <w:tmpl w:val="2C2AA686"/>
    <w:lvl w:ilvl="0">
      <w:start w:val="4"/>
      <w:numFmt w:val="decimal"/>
      <w:lvlText w:val="%1.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D460DD"/>
    <w:multiLevelType w:val="multilevel"/>
    <w:tmpl w:val="E3B2B410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47810AA"/>
    <w:multiLevelType w:val="hybridMultilevel"/>
    <w:tmpl w:val="EEC21FAA"/>
    <w:lvl w:ilvl="0" w:tplc="8398D200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543D6"/>
    <w:multiLevelType w:val="hybridMultilevel"/>
    <w:tmpl w:val="C50267A8"/>
    <w:lvl w:ilvl="0" w:tplc="0F30EB6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B774890A">
      <w:numFmt w:val="none"/>
      <w:lvlText w:val=""/>
      <w:lvlJc w:val="left"/>
      <w:pPr>
        <w:tabs>
          <w:tab w:val="num" w:pos="360"/>
        </w:tabs>
      </w:pPr>
    </w:lvl>
    <w:lvl w:ilvl="2" w:tplc="C136B522">
      <w:numFmt w:val="none"/>
      <w:lvlText w:val=""/>
      <w:lvlJc w:val="left"/>
      <w:pPr>
        <w:tabs>
          <w:tab w:val="num" w:pos="360"/>
        </w:tabs>
      </w:pPr>
    </w:lvl>
    <w:lvl w:ilvl="3" w:tplc="516E80BC">
      <w:numFmt w:val="none"/>
      <w:lvlText w:val=""/>
      <w:lvlJc w:val="left"/>
      <w:pPr>
        <w:tabs>
          <w:tab w:val="num" w:pos="360"/>
        </w:tabs>
      </w:pPr>
    </w:lvl>
    <w:lvl w:ilvl="4" w:tplc="43128FC8">
      <w:numFmt w:val="none"/>
      <w:lvlText w:val=""/>
      <w:lvlJc w:val="left"/>
      <w:pPr>
        <w:tabs>
          <w:tab w:val="num" w:pos="360"/>
        </w:tabs>
      </w:pPr>
    </w:lvl>
    <w:lvl w:ilvl="5" w:tplc="6C182BDC">
      <w:numFmt w:val="none"/>
      <w:lvlText w:val=""/>
      <w:lvlJc w:val="left"/>
      <w:pPr>
        <w:tabs>
          <w:tab w:val="num" w:pos="360"/>
        </w:tabs>
      </w:pPr>
    </w:lvl>
    <w:lvl w:ilvl="6" w:tplc="EBA483F4">
      <w:numFmt w:val="none"/>
      <w:lvlText w:val=""/>
      <w:lvlJc w:val="left"/>
      <w:pPr>
        <w:tabs>
          <w:tab w:val="num" w:pos="360"/>
        </w:tabs>
      </w:pPr>
    </w:lvl>
    <w:lvl w:ilvl="7" w:tplc="D17E7492">
      <w:numFmt w:val="none"/>
      <w:lvlText w:val=""/>
      <w:lvlJc w:val="left"/>
      <w:pPr>
        <w:tabs>
          <w:tab w:val="num" w:pos="360"/>
        </w:tabs>
      </w:pPr>
    </w:lvl>
    <w:lvl w:ilvl="8" w:tplc="61C64A46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E3E01A6"/>
    <w:multiLevelType w:val="multilevel"/>
    <w:tmpl w:val="3AE61524"/>
    <w:lvl w:ilvl="0">
      <w:start w:val="4"/>
      <w:numFmt w:val="decimal"/>
      <w:lvlText w:val="%1.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F7D363E"/>
    <w:multiLevelType w:val="multilevel"/>
    <w:tmpl w:val="E3048C1E"/>
    <w:lvl w:ilvl="0">
      <w:start w:val="1"/>
      <w:numFmt w:val="none"/>
      <w:lvlText w:val="4.4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7C9066B"/>
    <w:multiLevelType w:val="multilevel"/>
    <w:tmpl w:val="DBB2D05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8EE732B"/>
    <w:multiLevelType w:val="hybridMultilevel"/>
    <w:tmpl w:val="8432F0EE"/>
    <w:lvl w:ilvl="0" w:tplc="AD786D10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A51CED"/>
    <w:multiLevelType w:val="singleLevel"/>
    <w:tmpl w:val="DB701AA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684313D3"/>
    <w:multiLevelType w:val="hybridMultilevel"/>
    <w:tmpl w:val="930EE630"/>
    <w:lvl w:ilvl="0" w:tplc="4768F3D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832BC3"/>
    <w:multiLevelType w:val="multilevel"/>
    <w:tmpl w:val="62B66F8E"/>
    <w:lvl w:ilvl="0">
      <w:start w:val="1"/>
      <w:numFmt w:val="none"/>
      <w:lvlText w:val="4.8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8AA0AB3"/>
    <w:multiLevelType w:val="multilevel"/>
    <w:tmpl w:val="C0F0684E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DF65E3"/>
    <w:multiLevelType w:val="hybridMultilevel"/>
    <w:tmpl w:val="E96447FE"/>
    <w:lvl w:ilvl="0" w:tplc="3780852A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 w:tplc="1838A55C">
      <w:numFmt w:val="none"/>
      <w:lvlText w:val=""/>
      <w:lvlJc w:val="left"/>
      <w:pPr>
        <w:tabs>
          <w:tab w:val="num" w:pos="360"/>
        </w:tabs>
      </w:pPr>
    </w:lvl>
    <w:lvl w:ilvl="2" w:tplc="223251F0">
      <w:numFmt w:val="none"/>
      <w:lvlText w:val=""/>
      <w:lvlJc w:val="left"/>
      <w:pPr>
        <w:tabs>
          <w:tab w:val="num" w:pos="360"/>
        </w:tabs>
      </w:pPr>
    </w:lvl>
    <w:lvl w:ilvl="3" w:tplc="D0EEB874">
      <w:numFmt w:val="none"/>
      <w:lvlText w:val=""/>
      <w:lvlJc w:val="left"/>
      <w:pPr>
        <w:tabs>
          <w:tab w:val="num" w:pos="360"/>
        </w:tabs>
      </w:pPr>
    </w:lvl>
    <w:lvl w:ilvl="4" w:tplc="ED9E4DB4">
      <w:numFmt w:val="none"/>
      <w:lvlText w:val=""/>
      <w:lvlJc w:val="left"/>
      <w:pPr>
        <w:tabs>
          <w:tab w:val="num" w:pos="360"/>
        </w:tabs>
      </w:pPr>
    </w:lvl>
    <w:lvl w:ilvl="5" w:tplc="763AEB18">
      <w:numFmt w:val="none"/>
      <w:lvlText w:val=""/>
      <w:lvlJc w:val="left"/>
      <w:pPr>
        <w:tabs>
          <w:tab w:val="num" w:pos="360"/>
        </w:tabs>
      </w:pPr>
    </w:lvl>
    <w:lvl w:ilvl="6" w:tplc="A90CB2FC">
      <w:numFmt w:val="none"/>
      <w:lvlText w:val=""/>
      <w:lvlJc w:val="left"/>
      <w:pPr>
        <w:tabs>
          <w:tab w:val="num" w:pos="360"/>
        </w:tabs>
      </w:pPr>
    </w:lvl>
    <w:lvl w:ilvl="7" w:tplc="F36E6244">
      <w:numFmt w:val="none"/>
      <w:lvlText w:val=""/>
      <w:lvlJc w:val="left"/>
      <w:pPr>
        <w:tabs>
          <w:tab w:val="num" w:pos="360"/>
        </w:tabs>
      </w:pPr>
    </w:lvl>
    <w:lvl w:ilvl="8" w:tplc="3AE250AE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5A471C4"/>
    <w:multiLevelType w:val="multilevel"/>
    <w:tmpl w:val="E488E700"/>
    <w:lvl w:ilvl="0">
      <w:start w:val="1"/>
      <w:numFmt w:val="none"/>
      <w:lvlText w:val="5.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A556914"/>
    <w:multiLevelType w:val="singleLevel"/>
    <w:tmpl w:val="9600F06C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>
    <w:nsid w:val="7E177B7E"/>
    <w:multiLevelType w:val="multilevel"/>
    <w:tmpl w:val="784C65EA"/>
    <w:lvl w:ilvl="0">
      <w:start w:val="1"/>
      <w:numFmt w:val="none"/>
      <w:lvlText w:val="5.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0"/>
  </w:num>
  <w:num w:numId="4">
    <w:abstractNumId w:val="18"/>
  </w:num>
  <w:num w:numId="5">
    <w:abstractNumId w:val="11"/>
  </w:num>
  <w:num w:numId="6">
    <w:abstractNumId w:val="26"/>
  </w:num>
  <w:num w:numId="7">
    <w:abstractNumId w:val="6"/>
  </w:num>
  <w:num w:numId="8">
    <w:abstractNumId w:val="15"/>
  </w:num>
  <w:num w:numId="9">
    <w:abstractNumId w:val="21"/>
  </w:num>
  <w:num w:numId="10">
    <w:abstractNumId w:val="14"/>
  </w:num>
  <w:num w:numId="11">
    <w:abstractNumId w:val="19"/>
  </w:num>
  <w:num w:numId="12">
    <w:abstractNumId w:val="9"/>
  </w:num>
  <w:num w:numId="13">
    <w:abstractNumId w:val="12"/>
  </w:num>
  <w:num w:numId="14">
    <w:abstractNumId w:val="13"/>
  </w:num>
  <w:num w:numId="15">
    <w:abstractNumId w:val="3"/>
  </w:num>
  <w:num w:numId="16">
    <w:abstractNumId w:val="23"/>
  </w:num>
  <w:num w:numId="17">
    <w:abstractNumId w:val="16"/>
  </w:num>
  <w:num w:numId="18">
    <w:abstractNumId w:val="8"/>
  </w:num>
  <w:num w:numId="19">
    <w:abstractNumId w:val="17"/>
  </w:num>
  <w:num w:numId="20">
    <w:abstractNumId w:val="1"/>
  </w:num>
  <w:num w:numId="21">
    <w:abstractNumId w:val="22"/>
  </w:num>
  <w:num w:numId="22">
    <w:abstractNumId w:val="25"/>
  </w:num>
  <w:num w:numId="23">
    <w:abstractNumId w:val="24"/>
  </w:num>
  <w:num w:numId="24">
    <w:abstractNumId w:val="27"/>
  </w:num>
  <w:num w:numId="25">
    <w:abstractNumId w:val="5"/>
  </w:num>
  <w:num w:numId="26">
    <w:abstractNumId w:val="7"/>
  </w:num>
  <w:num w:numId="27">
    <w:abstractNumId w:val="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21"/>
    <w:rsid w:val="00000F46"/>
    <w:rsid w:val="00001F19"/>
    <w:rsid w:val="00001FB8"/>
    <w:rsid w:val="0000446A"/>
    <w:rsid w:val="00004D8E"/>
    <w:rsid w:val="00006863"/>
    <w:rsid w:val="00013598"/>
    <w:rsid w:val="0002142A"/>
    <w:rsid w:val="00021957"/>
    <w:rsid w:val="000276EA"/>
    <w:rsid w:val="00032C39"/>
    <w:rsid w:val="0003679C"/>
    <w:rsid w:val="000539CC"/>
    <w:rsid w:val="00054846"/>
    <w:rsid w:val="00061001"/>
    <w:rsid w:val="00063ECA"/>
    <w:rsid w:val="000658E4"/>
    <w:rsid w:val="00092EB7"/>
    <w:rsid w:val="000975F7"/>
    <w:rsid w:val="000A56E4"/>
    <w:rsid w:val="000A5AFB"/>
    <w:rsid w:val="000B5A08"/>
    <w:rsid w:val="000D09BD"/>
    <w:rsid w:val="000D1118"/>
    <w:rsid w:val="000D5BA8"/>
    <w:rsid w:val="000E6A5C"/>
    <w:rsid w:val="000F1317"/>
    <w:rsid w:val="000F3DC3"/>
    <w:rsid w:val="000F4E89"/>
    <w:rsid w:val="000F549E"/>
    <w:rsid w:val="000F63AD"/>
    <w:rsid w:val="000F78E2"/>
    <w:rsid w:val="00103A23"/>
    <w:rsid w:val="00113CEA"/>
    <w:rsid w:val="0012259A"/>
    <w:rsid w:val="00125A44"/>
    <w:rsid w:val="00126948"/>
    <w:rsid w:val="00127690"/>
    <w:rsid w:val="0013071B"/>
    <w:rsid w:val="00141A91"/>
    <w:rsid w:val="00142A42"/>
    <w:rsid w:val="00145D63"/>
    <w:rsid w:val="00147ADF"/>
    <w:rsid w:val="00161917"/>
    <w:rsid w:val="00164AA1"/>
    <w:rsid w:val="00166A35"/>
    <w:rsid w:val="00180C0B"/>
    <w:rsid w:val="001813EB"/>
    <w:rsid w:val="00184E26"/>
    <w:rsid w:val="00192240"/>
    <w:rsid w:val="001937C1"/>
    <w:rsid w:val="001963E8"/>
    <w:rsid w:val="001969CD"/>
    <w:rsid w:val="001A4F86"/>
    <w:rsid w:val="001B388B"/>
    <w:rsid w:val="001B4F87"/>
    <w:rsid w:val="001C197A"/>
    <w:rsid w:val="001C4F8A"/>
    <w:rsid w:val="001D0AB1"/>
    <w:rsid w:val="001D4C3D"/>
    <w:rsid w:val="001D60AC"/>
    <w:rsid w:val="001D61E9"/>
    <w:rsid w:val="001E3B8C"/>
    <w:rsid w:val="001F33B6"/>
    <w:rsid w:val="001F52F7"/>
    <w:rsid w:val="0020059B"/>
    <w:rsid w:val="00200FBF"/>
    <w:rsid w:val="00203BAE"/>
    <w:rsid w:val="00217E07"/>
    <w:rsid w:val="00220F51"/>
    <w:rsid w:val="00224C6F"/>
    <w:rsid w:val="002277A8"/>
    <w:rsid w:val="00235679"/>
    <w:rsid w:val="00244233"/>
    <w:rsid w:val="002447C0"/>
    <w:rsid w:val="0024480F"/>
    <w:rsid w:val="00256A4E"/>
    <w:rsid w:val="00260118"/>
    <w:rsid w:val="00261F1A"/>
    <w:rsid w:val="00262E62"/>
    <w:rsid w:val="002648A9"/>
    <w:rsid w:val="002658A9"/>
    <w:rsid w:val="00274C37"/>
    <w:rsid w:val="0028215C"/>
    <w:rsid w:val="002967AC"/>
    <w:rsid w:val="002A0008"/>
    <w:rsid w:val="002A2A01"/>
    <w:rsid w:val="002B6D0B"/>
    <w:rsid w:val="002C2339"/>
    <w:rsid w:val="002C309C"/>
    <w:rsid w:val="002C3FDB"/>
    <w:rsid w:val="002C4724"/>
    <w:rsid w:val="002D0EEE"/>
    <w:rsid w:val="002D413A"/>
    <w:rsid w:val="002E12D7"/>
    <w:rsid w:val="002E142D"/>
    <w:rsid w:val="002E7094"/>
    <w:rsid w:val="002E77A1"/>
    <w:rsid w:val="002F54E8"/>
    <w:rsid w:val="0031183C"/>
    <w:rsid w:val="00314863"/>
    <w:rsid w:val="003325E7"/>
    <w:rsid w:val="00333728"/>
    <w:rsid w:val="00337B56"/>
    <w:rsid w:val="00341077"/>
    <w:rsid w:val="00343439"/>
    <w:rsid w:val="00350452"/>
    <w:rsid w:val="00367A48"/>
    <w:rsid w:val="00376E1A"/>
    <w:rsid w:val="00387C7B"/>
    <w:rsid w:val="003906D5"/>
    <w:rsid w:val="003A37A6"/>
    <w:rsid w:val="003A386B"/>
    <w:rsid w:val="003A4F80"/>
    <w:rsid w:val="003C4C23"/>
    <w:rsid w:val="003C5D78"/>
    <w:rsid w:val="003D1DED"/>
    <w:rsid w:val="003E0026"/>
    <w:rsid w:val="003F176A"/>
    <w:rsid w:val="003F2D44"/>
    <w:rsid w:val="003F3151"/>
    <w:rsid w:val="003F34E5"/>
    <w:rsid w:val="003F45B6"/>
    <w:rsid w:val="0040201D"/>
    <w:rsid w:val="00405861"/>
    <w:rsid w:val="0040729B"/>
    <w:rsid w:val="00411888"/>
    <w:rsid w:val="004128BA"/>
    <w:rsid w:val="004131A7"/>
    <w:rsid w:val="004147AB"/>
    <w:rsid w:val="00420B38"/>
    <w:rsid w:val="004229D5"/>
    <w:rsid w:val="0043007B"/>
    <w:rsid w:val="00432DFD"/>
    <w:rsid w:val="004352D8"/>
    <w:rsid w:val="004450BC"/>
    <w:rsid w:val="004478A3"/>
    <w:rsid w:val="00465945"/>
    <w:rsid w:val="00466D77"/>
    <w:rsid w:val="00467761"/>
    <w:rsid w:val="00472E42"/>
    <w:rsid w:val="00473645"/>
    <w:rsid w:val="00473E26"/>
    <w:rsid w:val="00476681"/>
    <w:rsid w:val="0047700D"/>
    <w:rsid w:val="004802FE"/>
    <w:rsid w:val="00485D46"/>
    <w:rsid w:val="00490382"/>
    <w:rsid w:val="00496038"/>
    <w:rsid w:val="004A4763"/>
    <w:rsid w:val="004B38F8"/>
    <w:rsid w:val="004B6508"/>
    <w:rsid w:val="004B65AF"/>
    <w:rsid w:val="004B767D"/>
    <w:rsid w:val="004C20B4"/>
    <w:rsid w:val="004D0861"/>
    <w:rsid w:val="004D4AFA"/>
    <w:rsid w:val="004E0E64"/>
    <w:rsid w:val="004E2E5B"/>
    <w:rsid w:val="004E6D31"/>
    <w:rsid w:val="004F1689"/>
    <w:rsid w:val="004F34CE"/>
    <w:rsid w:val="005042A8"/>
    <w:rsid w:val="00524E56"/>
    <w:rsid w:val="005342BE"/>
    <w:rsid w:val="00541788"/>
    <w:rsid w:val="0054461E"/>
    <w:rsid w:val="00546FF3"/>
    <w:rsid w:val="005478F7"/>
    <w:rsid w:val="005526D6"/>
    <w:rsid w:val="00564765"/>
    <w:rsid w:val="00565BC0"/>
    <w:rsid w:val="005660B1"/>
    <w:rsid w:val="00582B91"/>
    <w:rsid w:val="005913CD"/>
    <w:rsid w:val="00591F74"/>
    <w:rsid w:val="00592475"/>
    <w:rsid w:val="00594B8C"/>
    <w:rsid w:val="00597CB7"/>
    <w:rsid w:val="005B04A0"/>
    <w:rsid w:val="005B4F84"/>
    <w:rsid w:val="005C3C4D"/>
    <w:rsid w:val="005C6480"/>
    <w:rsid w:val="005D2C70"/>
    <w:rsid w:val="005E069B"/>
    <w:rsid w:val="005E12C4"/>
    <w:rsid w:val="005F139E"/>
    <w:rsid w:val="00603A6E"/>
    <w:rsid w:val="00603CE0"/>
    <w:rsid w:val="00610947"/>
    <w:rsid w:val="006123CF"/>
    <w:rsid w:val="0062051D"/>
    <w:rsid w:val="00621CBE"/>
    <w:rsid w:val="006225AD"/>
    <w:rsid w:val="00630DC8"/>
    <w:rsid w:val="00636EAD"/>
    <w:rsid w:val="00637C2C"/>
    <w:rsid w:val="00640FBF"/>
    <w:rsid w:val="00651EAB"/>
    <w:rsid w:val="00654025"/>
    <w:rsid w:val="0065467B"/>
    <w:rsid w:val="00656187"/>
    <w:rsid w:val="0066033C"/>
    <w:rsid w:val="00662122"/>
    <w:rsid w:val="00664446"/>
    <w:rsid w:val="0066540A"/>
    <w:rsid w:val="0066718C"/>
    <w:rsid w:val="006808EB"/>
    <w:rsid w:val="006822EE"/>
    <w:rsid w:val="006859CC"/>
    <w:rsid w:val="006A00BD"/>
    <w:rsid w:val="006A3465"/>
    <w:rsid w:val="006B319E"/>
    <w:rsid w:val="006C1FAF"/>
    <w:rsid w:val="006C5779"/>
    <w:rsid w:val="006E5D3E"/>
    <w:rsid w:val="006E7812"/>
    <w:rsid w:val="006F0828"/>
    <w:rsid w:val="006F652E"/>
    <w:rsid w:val="006F78FE"/>
    <w:rsid w:val="0070315E"/>
    <w:rsid w:val="00704647"/>
    <w:rsid w:val="00704752"/>
    <w:rsid w:val="00710A48"/>
    <w:rsid w:val="00715430"/>
    <w:rsid w:val="00716B26"/>
    <w:rsid w:val="007170BF"/>
    <w:rsid w:val="007179C7"/>
    <w:rsid w:val="00717B35"/>
    <w:rsid w:val="00727CB1"/>
    <w:rsid w:val="0073514A"/>
    <w:rsid w:val="00737236"/>
    <w:rsid w:val="00737FA0"/>
    <w:rsid w:val="00741412"/>
    <w:rsid w:val="00755A9B"/>
    <w:rsid w:val="00757F9E"/>
    <w:rsid w:val="00760C40"/>
    <w:rsid w:val="00762883"/>
    <w:rsid w:val="00762F80"/>
    <w:rsid w:val="00766A36"/>
    <w:rsid w:val="00780330"/>
    <w:rsid w:val="00780DA1"/>
    <w:rsid w:val="0078418D"/>
    <w:rsid w:val="007A251F"/>
    <w:rsid w:val="007A6728"/>
    <w:rsid w:val="007B21E4"/>
    <w:rsid w:val="007B3028"/>
    <w:rsid w:val="007B7125"/>
    <w:rsid w:val="007B7DC6"/>
    <w:rsid w:val="007C19EC"/>
    <w:rsid w:val="007C4B5E"/>
    <w:rsid w:val="007D34D6"/>
    <w:rsid w:val="007D3AB2"/>
    <w:rsid w:val="007D65B4"/>
    <w:rsid w:val="007E3D4B"/>
    <w:rsid w:val="007F23BA"/>
    <w:rsid w:val="007F2ECE"/>
    <w:rsid w:val="008071F0"/>
    <w:rsid w:val="008125A6"/>
    <w:rsid w:val="008143A4"/>
    <w:rsid w:val="0081451F"/>
    <w:rsid w:val="00815E14"/>
    <w:rsid w:val="00815FA3"/>
    <w:rsid w:val="008215A0"/>
    <w:rsid w:val="00827ECF"/>
    <w:rsid w:val="00845B86"/>
    <w:rsid w:val="008518A4"/>
    <w:rsid w:val="0085250A"/>
    <w:rsid w:val="008549E3"/>
    <w:rsid w:val="00863383"/>
    <w:rsid w:val="00877EEA"/>
    <w:rsid w:val="00891C20"/>
    <w:rsid w:val="008B62A1"/>
    <w:rsid w:val="008C17C1"/>
    <w:rsid w:val="008D263B"/>
    <w:rsid w:val="008D5076"/>
    <w:rsid w:val="008D5FD2"/>
    <w:rsid w:val="008D6A76"/>
    <w:rsid w:val="008F5360"/>
    <w:rsid w:val="008F6A2F"/>
    <w:rsid w:val="009049D3"/>
    <w:rsid w:val="00907FA5"/>
    <w:rsid w:val="009133DD"/>
    <w:rsid w:val="00914EB5"/>
    <w:rsid w:val="00916F3A"/>
    <w:rsid w:val="00926310"/>
    <w:rsid w:val="00927231"/>
    <w:rsid w:val="00932514"/>
    <w:rsid w:val="0094483B"/>
    <w:rsid w:val="0095269A"/>
    <w:rsid w:val="00956831"/>
    <w:rsid w:val="009659ED"/>
    <w:rsid w:val="00973AE8"/>
    <w:rsid w:val="009762B3"/>
    <w:rsid w:val="0097742A"/>
    <w:rsid w:val="00984A78"/>
    <w:rsid w:val="009875AE"/>
    <w:rsid w:val="009B04B4"/>
    <w:rsid w:val="009B23E7"/>
    <w:rsid w:val="009B6659"/>
    <w:rsid w:val="009B7D80"/>
    <w:rsid w:val="009C3CFE"/>
    <w:rsid w:val="009C55BA"/>
    <w:rsid w:val="009D5FE1"/>
    <w:rsid w:val="009E3E6B"/>
    <w:rsid w:val="009E57BE"/>
    <w:rsid w:val="009F509E"/>
    <w:rsid w:val="00A0555F"/>
    <w:rsid w:val="00A05890"/>
    <w:rsid w:val="00A13940"/>
    <w:rsid w:val="00A14124"/>
    <w:rsid w:val="00A14C45"/>
    <w:rsid w:val="00A15D84"/>
    <w:rsid w:val="00A16BD2"/>
    <w:rsid w:val="00A25496"/>
    <w:rsid w:val="00A32A3F"/>
    <w:rsid w:val="00A36AC9"/>
    <w:rsid w:val="00A43204"/>
    <w:rsid w:val="00A4341F"/>
    <w:rsid w:val="00A506A3"/>
    <w:rsid w:val="00A575C5"/>
    <w:rsid w:val="00A61AA5"/>
    <w:rsid w:val="00A62916"/>
    <w:rsid w:val="00A665D9"/>
    <w:rsid w:val="00A7593A"/>
    <w:rsid w:val="00A83F3E"/>
    <w:rsid w:val="00A84556"/>
    <w:rsid w:val="00A97898"/>
    <w:rsid w:val="00AA22A4"/>
    <w:rsid w:val="00AA68D9"/>
    <w:rsid w:val="00AB12B8"/>
    <w:rsid w:val="00AB4550"/>
    <w:rsid w:val="00AB506D"/>
    <w:rsid w:val="00AD59DB"/>
    <w:rsid w:val="00AE21C0"/>
    <w:rsid w:val="00AE2CAD"/>
    <w:rsid w:val="00AE3CDA"/>
    <w:rsid w:val="00AE4A4C"/>
    <w:rsid w:val="00AF0A88"/>
    <w:rsid w:val="00AF0C80"/>
    <w:rsid w:val="00B03455"/>
    <w:rsid w:val="00B114E9"/>
    <w:rsid w:val="00B11B8F"/>
    <w:rsid w:val="00B13747"/>
    <w:rsid w:val="00B16A69"/>
    <w:rsid w:val="00B247FF"/>
    <w:rsid w:val="00B34341"/>
    <w:rsid w:val="00B34B60"/>
    <w:rsid w:val="00B358A9"/>
    <w:rsid w:val="00B35B8F"/>
    <w:rsid w:val="00B40273"/>
    <w:rsid w:val="00B474C1"/>
    <w:rsid w:val="00B517C0"/>
    <w:rsid w:val="00B53159"/>
    <w:rsid w:val="00B60015"/>
    <w:rsid w:val="00B63788"/>
    <w:rsid w:val="00B65258"/>
    <w:rsid w:val="00B66461"/>
    <w:rsid w:val="00B665A1"/>
    <w:rsid w:val="00B8281F"/>
    <w:rsid w:val="00B85B42"/>
    <w:rsid w:val="00BA0106"/>
    <w:rsid w:val="00BB3885"/>
    <w:rsid w:val="00BD4421"/>
    <w:rsid w:val="00BD5C53"/>
    <w:rsid w:val="00BE1932"/>
    <w:rsid w:val="00BE383F"/>
    <w:rsid w:val="00BF07F5"/>
    <w:rsid w:val="00BF106C"/>
    <w:rsid w:val="00BF2528"/>
    <w:rsid w:val="00BF2FFD"/>
    <w:rsid w:val="00BF44F5"/>
    <w:rsid w:val="00BF488E"/>
    <w:rsid w:val="00BF6225"/>
    <w:rsid w:val="00BF6CE1"/>
    <w:rsid w:val="00C008FD"/>
    <w:rsid w:val="00C01C70"/>
    <w:rsid w:val="00C134CF"/>
    <w:rsid w:val="00C175EE"/>
    <w:rsid w:val="00C17B38"/>
    <w:rsid w:val="00C2076A"/>
    <w:rsid w:val="00C238BC"/>
    <w:rsid w:val="00C25C29"/>
    <w:rsid w:val="00C30D61"/>
    <w:rsid w:val="00C42ADF"/>
    <w:rsid w:val="00C44A4C"/>
    <w:rsid w:val="00C5042A"/>
    <w:rsid w:val="00C50725"/>
    <w:rsid w:val="00C532B4"/>
    <w:rsid w:val="00C534D9"/>
    <w:rsid w:val="00C541C5"/>
    <w:rsid w:val="00C55B85"/>
    <w:rsid w:val="00C610AB"/>
    <w:rsid w:val="00C61DAE"/>
    <w:rsid w:val="00C627E5"/>
    <w:rsid w:val="00C6543D"/>
    <w:rsid w:val="00C80E7D"/>
    <w:rsid w:val="00C81877"/>
    <w:rsid w:val="00CB577D"/>
    <w:rsid w:val="00CB654A"/>
    <w:rsid w:val="00CD137A"/>
    <w:rsid w:val="00CE2DC2"/>
    <w:rsid w:val="00CE38C0"/>
    <w:rsid w:val="00CF1AD9"/>
    <w:rsid w:val="00CF5CFF"/>
    <w:rsid w:val="00CF674E"/>
    <w:rsid w:val="00D00EFA"/>
    <w:rsid w:val="00D012FE"/>
    <w:rsid w:val="00D12A10"/>
    <w:rsid w:val="00D1567E"/>
    <w:rsid w:val="00D17D02"/>
    <w:rsid w:val="00D22AA8"/>
    <w:rsid w:val="00D23550"/>
    <w:rsid w:val="00D2700A"/>
    <w:rsid w:val="00D27839"/>
    <w:rsid w:val="00D311C4"/>
    <w:rsid w:val="00D824F1"/>
    <w:rsid w:val="00D91C2C"/>
    <w:rsid w:val="00D92402"/>
    <w:rsid w:val="00D93C04"/>
    <w:rsid w:val="00DA1600"/>
    <w:rsid w:val="00DA16B4"/>
    <w:rsid w:val="00DA3DD7"/>
    <w:rsid w:val="00DA4E81"/>
    <w:rsid w:val="00DB2992"/>
    <w:rsid w:val="00DC25A8"/>
    <w:rsid w:val="00DC2F6C"/>
    <w:rsid w:val="00DC60A8"/>
    <w:rsid w:val="00DD518B"/>
    <w:rsid w:val="00DE2B6B"/>
    <w:rsid w:val="00DF4AF8"/>
    <w:rsid w:val="00E01C00"/>
    <w:rsid w:val="00E12E31"/>
    <w:rsid w:val="00E16795"/>
    <w:rsid w:val="00E2182A"/>
    <w:rsid w:val="00E376B1"/>
    <w:rsid w:val="00E45461"/>
    <w:rsid w:val="00E53291"/>
    <w:rsid w:val="00E563EE"/>
    <w:rsid w:val="00E62A23"/>
    <w:rsid w:val="00E6300E"/>
    <w:rsid w:val="00E64AD3"/>
    <w:rsid w:val="00E7356E"/>
    <w:rsid w:val="00E73AC7"/>
    <w:rsid w:val="00E7416F"/>
    <w:rsid w:val="00E77E8A"/>
    <w:rsid w:val="00E81BF8"/>
    <w:rsid w:val="00E862DD"/>
    <w:rsid w:val="00E90400"/>
    <w:rsid w:val="00E950C7"/>
    <w:rsid w:val="00E95321"/>
    <w:rsid w:val="00E97202"/>
    <w:rsid w:val="00EA1938"/>
    <w:rsid w:val="00EB50B2"/>
    <w:rsid w:val="00EB76F2"/>
    <w:rsid w:val="00EC591C"/>
    <w:rsid w:val="00ED5192"/>
    <w:rsid w:val="00EE1A32"/>
    <w:rsid w:val="00EE49C3"/>
    <w:rsid w:val="00EF06B7"/>
    <w:rsid w:val="00F10594"/>
    <w:rsid w:val="00F115BA"/>
    <w:rsid w:val="00F13279"/>
    <w:rsid w:val="00F24BCF"/>
    <w:rsid w:val="00F25911"/>
    <w:rsid w:val="00F311AC"/>
    <w:rsid w:val="00F35502"/>
    <w:rsid w:val="00F51793"/>
    <w:rsid w:val="00F53632"/>
    <w:rsid w:val="00F54691"/>
    <w:rsid w:val="00F578AD"/>
    <w:rsid w:val="00F71E82"/>
    <w:rsid w:val="00F7731F"/>
    <w:rsid w:val="00F815F3"/>
    <w:rsid w:val="00F818EE"/>
    <w:rsid w:val="00F920B9"/>
    <w:rsid w:val="00F932B9"/>
    <w:rsid w:val="00F94543"/>
    <w:rsid w:val="00F9520F"/>
    <w:rsid w:val="00FA4DEA"/>
    <w:rsid w:val="00FA683D"/>
    <w:rsid w:val="00FB33BF"/>
    <w:rsid w:val="00FB6BE0"/>
    <w:rsid w:val="00FC1D2C"/>
    <w:rsid w:val="00FC2B3D"/>
    <w:rsid w:val="00FC3738"/>
    <w:rsid w:val="00FC6048"/>
    <w:rsid w:val="00FD0488"/>
    <w:rsid w:val="00FD40BE"/>
    <w:rsid w:val="00FD4A0D"/>
    <w:rsid w:val="00FD728D"/>
    <w:rsid w:val="00FE01B3"/>
    <w:rsid w:val="00FE3A25"/>
    <w:rsid w:val="00FF26FE"/>
    <w:rsid w:val="00FF48B7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60A8"/>
    <w:rPr>
      <w:sz w:val="24"/>
      <w:szCs w:val="24"/>
    </w:rPr>
  </w:style>
  <w:style w:type="paragraph" w:styleId="Nadpis1">
    <w:name w:val="heading 1"/>
    <w:basedOn w:val="Normlny"/>
    <w:next w:val="Normlny"/>
    <w:qFormat/>
    <w:rsid w:val="00DC60A8"/>
    <w:pPr>
      <w:keepNext/>
      <w:numPr>
        <w:numId w:val="1"/>
      </w:numPr>
      <w:spacing w:before="480" w:after="480"/>
      <w:outlineLvl w:val="0"/>
    </w:pPr>
    <w:rPr>
      <w:rFonts w:ascii="Tahoma" w:hAnsi="Tahoma"/>
      <w:b/>
      <w:smallCaps/>
      <w:color w:val="000080"/>
      <w:kern w:val="28"/>
      <w:sz w:val="40"/>
      <w:szCs w:val="20"/>
      <w:u w:val="single"/>
    </w:rPr>
  </w:style>
  <w:style w:type="paragraph" w:styleId="Nadpis2">
    <w:name w:val="heading 2"/>
    <w:basedOn w:val="Normlny"/>
    <w:next w:val="Normlny"/>
    <w:qFormat/>
    <w:rsid w:val="00DC60A8"/>
    <w:pPr>
      <w:keepNext/>
      <w:numPr>
        <w:ilvl w:val="1"/>
        <w:numId w:val="1"/>
      </w:numPr>
      <w:spacing w:before="360" w:after="360"/>
      <w:outlineLvl w:val="1"/>
    </w:pPr>
    <w:rPr>
      <w:rFonts w:ascii="Tahoma" w:hAnsi="Tahoma"/>
      <w:b/>
      <w:sz w:val="36"/>
      <w:szCs w:val="20"/>
    </w:rPr>
  </w:style>
  <w:style w:type="paragraph" w:styleId="Nadpis3">
    <w:name w:val="heading 3"/>
    <w:basedOn w:val="Normlny"/>
    <w:next w:val="Normlny"/>
    <w:qFormat/>
    <w:rsid w:val="00DC60A8"/>
    <w:pPr>
      <w:keepNext/>
      <w:numPr>
        <w:ilvl w:val="2"/>
        <w:numId w:val="1"/>
      </w:numPr>
      <w:spacing w:before="280" w:after="280"/>
      <w:outlineLvl w:val="2"/>
    </w:pPr>
    <w:rPr>
      <w:rFonts w:ascii="Tahoma" w:hAnsi="Tahoma"/>
      <w:b/>
      <w:sz w:val="28"/>
      <w:szCs w:val="20"/>
    </w:rPr>
  </w:style>
  <w:style w:type="paragraph" w:styleId="Nadpis4">
    <w:name w:val="heading 4"/>
    <w:basedOn w:val="Normlny"/>
    <w:next w:val="Normlny"/>
    <w:qFormat/>
    <w:rsid w:val="00DC60A8"/>
    <w:pPr>
      <w:keepNext/>
      <w:numPr>
        <w:ilvl w:val="3"/>
        <w:numId w:val="1"/>
      </w:numPr>
      <w:spacing w:before="240" w:after="60"/>
      <w:outlineLvl w:val="3"/>
    </w:pPr>
    <w:rPr>
      <w:rFonts w:ascii="Tahoma" w:hAnsi="Tahoma"/>
      <w:b/>
      <w:i/>
      <w:sz w:val="22"/>
      <w:szCs w:val="20"/>
    </w:rPr>
  </w:style>
  <w:style w:type="paragraph" w:styleId="Nadpis5">
    <w:name w:val="heading 5"/>
    <w:basedOn w:val="Normlny"/>
    <w:next w:val="Normlny"/>
    <w:qFormat/>
    <w:rsid w:val="00DC60A8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y"/>
    <w:next w:val="Normlny"/>
    <w:qFormat/>
    <w:rsid w:val="00DC60A8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y"/>
    <w:next w:val="Normlny"/>
    <w:qFormat/>
    <w:rsid w:val="00DC60A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y"/>
    <w:next w:val="Normlny"/>
    <w:qFormat/>
    <w:rsid w:val="00DC60A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y"/>
    <w:next w:val="Normlny"/>
    <w:qFormat/>
    <w:rsid w:val="00DC60A8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DC60A8"/>
  </w:style>
  <w:style w:type="paragraph" w:styleId="Pta">
    <w:name w:val="footer"/>
    <w:basedOn w:val="Normlny"/>
    <w:rsid w:val="00DC60A8"/>
    <w:pPr>
      <w:tabs>
        <w:tab w:val="center" w:pos="4536"/>
        <w:tab w:val="right" w:pos="9072"/>
      </w:tabs>
    </w:pPr>
    <w:rPr>
      <w:rFonts w:ascii="Arial" w:hAnsi="Arial"/>
      <w:sz w:val="16"/>
      <w:szCs w:val="20"/>
    </w:rPr>
  </w:style>
  <w:style w:type="paragraph" w:styleId="Zkladntext">
    <w:name w:val="Body Text"/>
    <w:basedOn w:val="Normlny"/>
    <w:rsid w:val="00DC60A8"/>
    <w:rPr>
      <w:rFonts w:ascii="Arial" w:hAnsi="Arial" w:cs="Arial"/>
      <w:sz w:val="20"/>
      <w:u w:val="single"/>
    </w:rPr>
  </w:style>
  <w:style w:type="paragraph" w:styleId="Zkladntext2">
    <w:name w:val="Body Text 2"/>
    <w:basedOn w:val="Normlny"/>
    <w:rsid w:val="00B63788"/>
    <w:pPr>
      <w:spacing w:after="120" w:line="480" w:lineRule="auto"/>
    </w:pPr>
  </w:style>
  <w:style w:type="paragraph" w:styleId="Textbubliny">
    <w:name w:val="Balloon Text"/>
    <w:basedOn w:val="Normlny"/>
    <w:semiHidden/>
    <w:rsid w:val="00224C6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4352D8"/>
    <w:pPr>
      <w:tabs>
        <w:tab w:val="center" w:pos="4536"/>
        <w:tab w:val="right" w:pos="9072"/>
      </w:tabs>
    </w:pPr>
  </w:style>
  <w:style w:type="character" w:styleId="Odkaznakomentr">
    <w:name w:val="annotation reference"/>
    <w:rsid w:val="002A2A0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A2A0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A2A01"/>
  </w:style>
  <w:style w:type="paragraph" w:styleId="Predmetkomentra">
    <w:name w:val="annotation subject"/>
    <w:basedOn w:val="Textkomentra"/>
    <w:next w:val="Textkomentra"/>
    <w:link w:val="PredmetkomentraChar"/>
    <w:rsid w:val="002A2A01"/>
    <w:rPr>
      <w:b/>
      <w:bCs/>
    </w:rPr>
  </w:style>
  <w:style w:type="character" w:customStyle="1" w:styleId="PredmetkomentraChar">
    <w:name w:val="Predmet komentára Char"/>
    <w:link w:val="Predmetkomentra"/>
    <w:rsid w:val="002A2A01"/>
    <w:rPr>
      <w:b/>
      <w:bCs/>
    </w:rPr>
  </w:style>
  <w:style w:type="paragraph" w:styleId="Revzia">
    <w:name w:val="Revision"/>
    <w:hidden/>
    <w:uiPriority w:val="99"/>
    <w:semiHidden/>
    <w:rsid w:val="00235679"/>
    <w:rPr>
      <w:sz w:val="24"/>
      <w:szCs w:val="24"/>
    </w:rPr>
  </w:style>
  <w:style w:type="character" w:styleId="Hypertextovprepojenie">
    <w:name w:val="Hyperlink"/>
    <w:rsid w:val="001813E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16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60A8"/>
    <w:rPr>
      <w:sz w:val="24"/>
      <w:szCs w:val="24"/>
    </w:rPr>
  </w:style>
  <w:style w:type="paragraph" w:styleId="Nadpis1">
    <w:name w:val="heading 1"/>
    <w:basedOn w:val="Normlny"/>
    <w:next w:val="Normlny"/>
    <w:qFormat/>
    <w:rsid w:val="00DC60A8"/>
    <w:pPr>
      <w:keepNext/>
      <w:numPr>
        <w:numId w:val="1"/>
      </w:numPr>
      <w:spacing w:before="480" w:after="480"/>
      <w:outlineLvl w:val="0"/>
    </w:pPr>
    <w:rPr>
      <w:rFonts w:ascii="Tahoma" w:hAnsi="Tahoma"/>
      <w:b/>
      <w:smallCaps/>
      <w:color w:val="000080"/>
      <w:kern w:val="28"/>
      <w:sz w:val="40"/>
      <w:szCs w:val="20"/>
      <w:u w:val="single"/>
    </w:rPr>
  </w:style>
  <w:style w:type="paragraph" w:styleId="Nadpis2">
    <w:name w:val="heading 2"/>
    <w:basedOn w:val="Normlny"/>
    <w:next w:val="Normlny"/>
    <w:qFormat/>
    <w:rsid w:val="00DC60A8"/>
    <w:pPr>
      <w:keepNext/>
      <w:numPr>
        <w:ilvl w:val="1"/>
        <w:numId w:val="1"/>
      </w:numPr>
      <w:spacing w:before="360" w:after="360"/>
      <w:outlineLvl w:val="1"/>
    </w:pPr>
    <w:rPr>
      <w:rFonts w:ascii="Tahoma" w:hAnsi="Tahoma"/>
      <w:b/>
      <w:sz w:val="36"/>
      <w:szCs w:val="20"/>
    </w:rPr>
  </w:style>
  <w:style w:type="paragraph" w:styleId="Nadpis3">
    <w:name w:val="heading 3"/>
    <w:basedOn w:val="Normlny"/>
    <w:next w:val="Normlny"/>
    <w:qFormat/>
    <w:rsid w:val="00DC60A8"/>
    <w:pPr>
      <w:keepNext/>
      <w:numPr>
        <w:ilvl w:val="2"/>
        <w:numId w:val="1"/>
      </w:numPr>
      <w:spacing w:before="280" w:after="280"/>
      <w:outlineLvl w:val="2"/>
    </w:pPr>
    <w:rPr>
      <w:rFonts w:ascii="Tahoma" w:hAnsi="Tahoma"/>
      <w:b/>
      <w:sz w:val="28"/>
      <w:szCs w:val="20"/>
    </w:rPr>
  </w:style>
  <w:style w:type="paragraph" w:styleId="Nadpis4">
    <w:name w:val="heading 4"/>
    <w:basedOn w:val="Normlny"/>
    <w:next w:val="Normlny"/>
    <w:qFormat/>
    <w:rsid w:val="00DC60A8"/>
    <w:pPr>
      <w:keepNext/>
      <w:numPr>
        <w:ilvl w:val="3"/>
        <w:numId w:val="1"/>
      </w:numPr>
      <w:spacing w:before="240" w:after="60"/>
      <w:outlineLvl w:val="3"/>
    </w:pPr>
    <w:rPr>
      <w:rFonts w:ascii="Tahoma" w:hAnsi="Tahoma"/>
      <w:b/>
      <w:i/>
      <w:sz w:val="22"/>
      <w:szCs w:val="20"/>
    </w:rPr>
  </w:style>
  <w:style w:type="paragraph" w:styleId="Nadpis5">
    <w:name w:val="heading 5"/>
    <w:basedOn w:val="Normlny"/>
    <w:next w:val="Normlny"/>
    <w:qFormat/>
    <w:rsid w:val="00DC60A8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y"/>
    <w:next w:val="Normlny"/>
    <w:qFormat/>
    <w:rsid w:val="00DC60A8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y"/>
    <w:next w:val="Normlny"/>
    <w:qFormat/>
    <w:rsid w:val="00DC60A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y"/>
    <w:next w:val="Normlny"/>
    <w:qFormat/>
    <w:rsid w:val="00DC60A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y"/>
    <w:next w:val="Normlny"/>
    <w:qFormat/>
    <w:rsid w:val="00DC60A8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DC60A8"/>
  </w:style>
  <w:style w:type="paragraph" w:styleId="Pta">
    <w:name w:val="footer"/>
    <w:basedOn w:val="Normlny"/>
    <w:rsid w:val="00DC60A8"/>
    <w:pPr>
      <w:tabs>
        <w:tab w:val="center" w:pos="4536"/>
        <w:tab w:val="right" w:pos="9072"/>
      </w:tabs>
    </w:pPr>
    <w:rPr>
      <w:rFonts w:ascii="Arial" w:hAnsi="Arial"/>
      <w:sz w:val="16"/>
      <w:szCs w:val="20"/>
    </w:rPr>
  </w:style>
  <w:style w:type="paragraph" w:styleId="Zkladntext">
    <w:name w:val="Body Text"/>
    <w:basedOn w:val="Normlny"/>
    <w:rsid w:val="00DC60A8"/>
    <w:rPr>
      <w:rFonts w:ascii="Arial" w:hAnsi="Arial" w:cs="Arial"/>
      <w:sz w:val="20"/>
      <w:u w:val="single"/>
    </w:rPr>
  </w:style>
  <w:style w:type="paragraph" w:styleId="Zkladntext2">
    <w:name w:val="Body Text 2"/>
    <w:basedOn w:val="Normlny"/>
    <w:rsid w:val="00B63788"/>
    <w:pPr>
      <w:spacing w:after="120" w:line="480" w:lineRule="auto"/>
    </w:pPr>
  </w:style>
  <w:style w:type="paragraph" w:styleId="Textbubliny">
    <w:name w:val="Balloon Text"/>
    <w:basedOn w:val="Normlny"/>
    <w:semiHidden/>
    <w:rsid w:val="00224C6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4352D8"/>
    <w:pPr>
      <w:tabs>
        <w:tab w:val="center" w:pos="4536"/>
        <w:tab w:val="right" w:pos="9072"/>
      </w:tabs>
    </w:pPr>
  </w:style>
  <w:style w:type="character" w:styleId="Odkaznakomentr">
    <w:name w:val="annotation reference"/>
    <w:rsid w:val="002A2A0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A2A0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A2A01"/>
  </w:style>
  <w:style w:type="paragraph" w:styleId="Predmetkomentra">
    <w:name w:val="annotation subject"/>
    <w:basedOn w:val="Textkomentra"/>
    <w:next w:val="Textkomentra"/>
    <w:link w:val="PredmetkomentraChar"/>
    <w:rsid w:val="002A2A01"/>
    <w:rPr>
      <w:b/>
      <w:bCs/>
    </w:rPr>
  </w:style>
  <w:style w:type="character" w:customStyle="1" w:styleId="PredmetkomentraChar">
    <w:name w:val="Predmet komentára Char"/>
    <w:link w:val="Predmetkomentra"/>
    <w:rsid w:val="002A2A01"/>
    <w:rPr>
      <w:b/>
      <w:bCs/>
    </w:rPr>
  </w:style>
  <w:style w:type="paragraph" w:styleId="Revzia">
    <w:name w:val="Revision"/>
    <w:hidden/>
    <w:uiPriority w:val="99"/>
    <w:semiHidden/>
    <w:rsid w:val="00235679"/>
    <w:rPr>
      <w:sz w:val="24"/>
      <w:szCs w:val="24"/>
    </w:rPr>
  </w:style>
  <w:style w:type="character" w:styleId="Hypertextovprepojenie">
    <w:name w:val="Hyperlink"/>
    <w:rsid w:val="001813E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16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D59FC-35A6-41ED-A375-DD853898C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2476</Words>
  <Characters>16347</Characters>
  <Application>Microsoft Office Word</Application>
  <DocSecurity>0</DocSecurity>
  <Lines>136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FERRING</Company>
  <LinksUpToDate>false</LinksUpToDate>
  <CharactersWithSpaces>18786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HEVO</dc:creator>
  <cp:lastModifiedBy>Uhnáková Milota</cp:lastModifiedBy>
  <cp:revision>2</cp:revision>
  <cp:lastPrinted>2018-03-07T08:37:00Z</cp:lastPrinted>
  <dcterms:created xsi:type="dcterms:W3CDTF">2019-11-13T07:41:00Z</dcterms:created>
  <dcterms:modified xsi:type="dcterms:W3CDTF">2019-11-13T07:41:00Z</dcterms:modified>
</cp:coreProperties>
</file>