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6BC26" w14:textId="77777777" w:rsidR="001D0CCF" w:rsidRPr="00D14558" w:rsidRDefault="001D0CCF">
      <w:pPr>
        <w:rPr>
          <w:b/>
          <w:bCs/>
          <w:sz w:val="22"/>
          <w:szCs w:val="22"/>
        </w:rPr>
      </w:pPr>
    </w:p>
    <w:p w14:paraId="251CD626" w14:textId="77777777" w:rsidR="001D0CCF" w:rsidRPr="00115F66" w:rsidRDefault="008F04FA" w:rsidP="00115F66">
      <w:pPr>
        <w:pStyle w:val="Podtitul"/>
        <w:rPr>
          <w:rFonts w:ascii="Times New Roman" w:hAnsi="Times New Roman" w:cs="Times New Roman"/>
          <w:sz w:val="22"/>
          <w:szCs w:val="22"/>
        </w:rPr>
      </w:pPr>
      <w:r w:rsidRPr="00115F66">
        <w:rPr>
          <w:rFonts w:ascii="Times New Roman" w:hAnsi="Times New Roman" w:cs="Times New Roman"/>
          <w:sz w:val="22"/>
          <w:szCs w:val="22"/>
        </w:rPr>
        <w:t>SÚHRN CHARAKTERISTICKÝCH VLASTNOSTÍ LIEKU</w:t>
      </w:r>
    </w:p>
    <w:p w14:paraId="5E502933" w14:textId="77777777" w:rsidR="001D0CCF" w:rsidRPr="00115F66" w:rsidRDefault="001D0CCF" w:rsidP="00115F66">
      <w:pPr>
        <w:jc w:val="both"/>
        <w:rPr>
          <w:b/>
          <w:bCs/>
          <w:sz w:val="22"/>
          <w:szCs w:val="22"/>
        </w:rPr>
      </w:pPr>
    </w:p>
    <w:p w14:paraId="4449689D" w14:textId="77777777" w:rsidR="001D0CCF" w:rsidRPr="00115F66" w:rsidRDefault="001D0CCF" w:rsidP="00115F66">
      <w:pPr>
        <w:jc w:val="both"/>
        <w:rPr>
          <w:b/>
          <w:bCs/>
          <w:sz w:val="22"/>
          <w:szCs w:val="22"/>
        </w:rPr>
      </w:pPr>
    </w:p>
    <w:p w14:paraId="4F3F15C4" w14:textId="77777777" w:rsidR="001D0CCF" w:rsidRPr="00115F66" w:rsidRDefault="001D0CCF" w:rsidP="00115F66">
      <w:pPr>
        <w:jc w:val="both"/>
        <w:rPr>
          <w:sz w:val="22"/>
          <w:szCs w:val="22"/>
        </w:rPr>
      </w:pPr>
      <w:r w:rsidRPr="00115F66">
        <w:rPr>
          <w:b/>
          <w:bCs/>
          <w:sz w:val="22"/>
          <w:szCs w:val="22"/>
        </w:rPr>
        <w:t>1.</w:t>
      </w:r>
      <w:r w:rsidRPr="00115F66">
        <w:rPr>
          <w:b/>
          <w:bCs/>
          <w:sz w:val="22"/>
          <w:szCs w:val="22"/>
        </w:rPr>
        <w:tab/>
        <w:t>NÁZOV LIEKU</w:t>
      </w:r>
    </w:p>
    <w:p w14:paraId="4232EC06" w14:textId="77777777" w:rsidR="008F04FA" w:rsidRPr="00115F66" w:rsidRDefault="008F04FA" w:rsidP="00115F66">
      <w:pPr>
        <w:jc w:val="both"/>
        <w:rPr>
          <w:sz w:val="22"/>
          <w:szCs w:val="22"/>
        </w:rPr>
      </w:pPr>
    </w:p>
    <w:p w14:paraId="36958AA1" w14:textId="77777777" w:rsidR="001D0CCF" w:rsidRPr="00115F66" w:rsidRDefault="001D0CCF" w:rsidP="00115F66">
      <w:pPr>
        <w:jc w:val="both"/>
        <w:rPr>
          <w:sz w:val="22"/>
          <w:szCs w:val="22"/>
        </w:rPr>
      </w:pPr>
      <w:r w:rsidRPr="00115F66">
        <w:rPr>
          <w:sz w:val="22"/>
          <w:szCs w:val="22"/>
        </w:rPr>
        <w:t>Melyd 2 mg tablety</w:t>
      </w:r>
    </w:p>
    <w:p w14:paraId="21F42446" w14:textId="77777777" w:rsidR="001D0CCF" w:rsidRPr="00115F66" w:rsidRDefault="001D0CCF" w:rsidP="00115F66">
      <w:pPr>
        <w:jc w:val="both"/>
        <w:rPr>
          <w:sz w:val="22"/>
          <w:szCs w:val="22"/>
        </w:rPr>
      </w:pPr>
      <w:r w:rsidRPr="00115F66">
        <w:rPr>
          <w:sz w:val="22"/>
          <w:szCs w:val="22"/>
        </w:rPr>
        <w:t>Melyd 3 mg tablety</w:t>
      </w:r>
    </w:p>
    <w:p w14:paraId="2E20467B" w14:textId="77777777" w:rsidR="001D0CCF" w:rsidRPr="00115F66" w:rsidRDefault="001D0CCF" w:rsidP="00115F66">
      <w:pPr>
        <w:jc w:val="both"/>
        <w:rPr>
          <w:sz w:val="22"/>
          <w:szCs w:val="22"/>
        </w:rPr>
      </w:pPr>
      <w:r w:rsidRPr="00115F66">
        <w:rPr>
          <w:sz w:val="22"/>
          <w:szCs w:val="22"/>
        </w:rPr>
        <w:t>Melyd 4 mg tablety</w:t>
      </w:r>
    </w:p>
    <w:p w14:paraId="273CA73D" w14:textId="77777777" w:rsidR="001D0CCF" w:rsidRPr="00115F66" w:rsidRDefault="001D0CCF" w:rsidP="00115F66">
      <w:pPr>
        <w:jc w:val="both"/>
        <w:rPr>
          <w:sz w:val="22"/>
          <w:szCs w:val="22"/>
        </w:rPr>
      </w:pPr>
    </w:p>
    <w:p w14:paraId="5CE89EBC" w14:textId="77777777" w:rsidR="001D0CCF" w:rsidRPr="00115F66" w:rsidRDefault="001D0CCF" w:rsidP="00115F66">
      <w:pPr>
        <w:jc w:val="both"/>
        <w:rPr>
          <w:sz w:val="22"/>
          <w:szCs w:val="22"/>
        </w:rPr>
      </w:pPr>
    </w:p>
    <w:p w14:paraId="631E6863" w14:textId="77777777" w:rsidR="001D0CCF" w:rsidRPr="00115F66" w:rsidRDefault="001D0CCF" w:rsidP="00115F66">
      <w:pPr>
        <w:jc w:val="both"/>
        <w:rPr>
          <w:sz w:val="22"/>
          <w:szCs w:val="22"/>
        </w:rPr>
      </w:pPr>
      <w:r w:rsidRPr="00115F66">
        <w:rPr>
          <w:b/>
          <w:bCs/>
          <w:sz w:val="22"/>
          <w:szCs w:val="22"/>
        </w:rPr>
        <w:t>2.</w:t>
      </w:r>
      <w:r w:rsidRPr="00115F66">
        <w:rPr>
          <w:b/>
          <w:bCs/>
          <w:sz w:val="22"/>
          <w:szCs w:val="22"/>
        </w:rPr>
        <w:tab/>
        <w:t>KVALITATÍVNE A KVANTITATÍVNE ZLOŽENIE</w:t>
      </w:r>
    </w:p>
    <w:p w14:paraId="209792DB" w14:textId="77777777" w:rsidR="001D0CCF" w:rsidRPr="00115F66" w:rsidRDefault="001D0CCF" w:rsidP="00115F66">
      <w:pPr>
        <w:jc w:val="both"/>
        <w:rPr>
          <w:i/>
          <w:iCs/>
          <w:sz w:val="22"/>
          <w:szCs w:val="22"/>
        </w:rPr>
      </w:pPr>
    </w:p>
    <w:p w14:paraId="71E99CD2" w14:textId="77777777" w:rsidR="001D0CCF" w:rsidRPr="00115F66" w:rsidRDefault="001D0CCF" w:rsidP="00115F66">
      <w:pPr>
        <w:jc w:val="both"/>
        <w:rPr>
          <w:sz w:val="22"/>
          <w:szCs w:val="22"/>
        </w:rPr>
      </w:pPr>
      <w:r w:rsidRPr="00115F66">
        <w:rPr>
          <w:sz w:val="22"/>
          <w:szCs w:val="22"/>
        </w:rPr>
        <w:t>Melyd 2 mg tablety</w:t>
      </w:r>
    </w:p>
    <w:p w14:paraId="2A320626" w14:textId="77777777" w:rsidR="001D0CCF" w:rsidRPr="00115F66" w:rsidRDefault="001D0CCF" w:rsidP="00115F66">
      <w:pPr>
        <w:jc w:val="both"/>
        <w:rPr>
          <w:sz w:val="22"/>
          <w:szCs w:val="22"/>
        </w:rPr>
      </w:pPr>
      <w:r w:rsidRPr="00115F66">
        <w:rPr>
          <w:sz w:val="22"/>
          <w:szCs w:val="22"/>
        </w:rPr>
        <w:t>Každá tableta obsahuje 2 mg glimepiridu.</w:t>
      </w:r>
    </w:p>
    <w:p w14:paraId="5C229BF9" w14:textId="77777777" w:rsidR="001D0CCF" w:rsidRPr="00115F66" w:rsidRDefault="001D0CCF" w:rsidP="00115F66">
      <w:pPr>
        <w:jc w:val="both"/>
        <w:rPr>
          <w:sz w:val="22"/>
          <w:szCs w:val="22"/>
        </w:rPr>
      </w:pPr>
    </w:p>
    <w:p w14:paraId="36C673D4" w14:textId="5BAF184D" w:rsidR="00EC6842" w:rsidRDefault="00C95243" w:rsidP="00115F66">
      <w:pPr>
        <w:rPr>
          <w:sz w:val="22"/>
          <w:szCs w:val="22"/>
        </w:rPr>
      </w:pPr>
      <w:r w:rsidRPr="00493191">
        <w:rPr>
          <w:sz w:val="22"/>
          <w:szCs w:val="22"/>
          <w:u w:val="single"/>
        </w:rPr>
        <w:t>Pomocné látky so známym účinkom</w:t>
      </w:r>
    </w:p>
    <w:p w14:paraId="765653B8" w14:textId="67441A76" w:rsidR="001D0CCF" w:rsidRPr="00115F66" w:rsidRDefault="001D0CCF" w:rsidP="00115F66">
      <w:pPr>
        <w:rPr>
          <w:sz w:val="22"/>
          <w:szCs w:val="22"/>
        </w:rPr>
      </w:pPr>
      <w:r w:rsidRPr="00115F66">
        <w:rPr>
          <w:sz w:val="22"/>
          <w:szCs w:val="22"/>
        </w:rPr>
        <w:t>Jedna tableta obsahuje 14</w:t>
      </w:r>
      <w:r w:rsidR="00EC6842">
        <w:rPr>
          <w:sz w:val="22"/>
          <w:szCs w:val="22"/>
        </w:rPr>
        <w:t>1</w:t>
      </w:r>
      <w:r w:rsidRPr="00115F66">
        <w:rPr>
          <w:sz w:val="22"/>
          <w:szCs w:val="22"/>
        </w:rPr>
        <w:t>,0</w:t>
      </w:r>
      <w:r w:rsidR="00EC6842">
        <w:rPr>
          <w:sz w:val="22"/>
          <w:szCs w:val="22"/>
        </w:rPr>
        <w:t>8</w:t>
      </w:r>
      <w:r w:rsidRPr="00115F66">
        <w:rPr>
          <w:sz w:val="22"/>
          <w:szCs w:val="22"/>
        </w:rPr>
        <w:t xml:space="preserve"> mg monohydrátu laktózy</w:t>
      </w:r>
      <w:r w:rsidR="00841C45" w:rsidRPr="00115F66">
        <w:rPr>
          <w:sz w:val="22"/>
          <w:szCs w:val="22"/>
        </w:rPr>
        <w:t>, 0,11 mg hlinitého laku oranžovej žlti (E110), 0,14 mg hlinitého laku tartrazínu (E102)</w:t>
      </w:r>
      <w:r w:rsidR="00EC6842">
        <w:rPr>
          <w:sz w:val="22"/>
          <w:szCs w:val="22"/>
        </w:rPr>
        <w:t xml:space="preserve"> a 0,34 mg sodíka</w:t>
      </w:r>
      <w:r w:rsidRPr="00115F66">
        <w:rPr>
          <w:sz w:val="22"/>
          <w:szCs w:val="22"/>
        </w:rPr>
        <w:t>.</w:t>
      </w:r>
    </w:p>
    <w:p w14:paraId="68D6B386" w14:textId="77777777" w:rsidR="001D0CCF" w:rsidRPr="00115F66" w:rsidRDefault="001D0CCF" w:rsidP="00115F66">
      <w:pPr>
        <w:jc w:val="both"/>
        <w:rPr>
          <w:sz w:val="22"/>
          <w:szCs w:val="22"/>
        </w:rPr>
      </w:pPr>
    </w:p>
    <w:p w14:paraId="0FB21B49" w14:textId="77777777" w:rsidR="001D0CCF" w:rsidRPr="00115F66" w:rsidRDefault="001D0CCF" w:rsidP="00115F66">
      <w:pPr>
        <w:jc w:val="both"/>
        <w:rPr>
          <w:sz w:val="22"/>
          <w:szCs w:val="22"/>
        </w:rPr>
      </w:pPr>
      <w:r w:rsidRPr="00115F66">
        <w:rPr>
          <w:sz w:val="22"/>
          <w:szCs w:val="22"/>
        </w:rPr>
        <w:t>Melyd 3 mg tablety</w:t>
      </w:r>
    </w:p>
    <w:p w14:paraId="3ECD7FCF" w14:textId="77777777" w:rsidR="001D0CCF" w:rsidRPr="00115F66" w:rsidRDefault="001D0CCF" w:rsidP="00115F66">
      <w:pPr>
        <w:suppressAutoHyphens/>
        <w:rPr>
          <w:sz w:val="22"/>
          <w:szCs w:val="22"/>
        </w:rPr>
      </w:pPr>
      <w:r w:rsidRPr="00115F66">
        <w:rPr>
          <w:sz w:val="22"/>
          <w:szCs w:val="22"/>
        </w:rPr>
        <w:t>Každá tableta obsahuje 3 mg glimepiridu.</w:t>
      </w:r>
    </w:p>
    <w:p w14:paraId="6CACFC31" w14:textId="77777777" w:rsidR="001D0CCF" w:rsidRPr="00115F66" w:rsidRDefault="001D0CCF" w:rsidP="00115F66">
      <w:pPr>
        <w:suppressAutoHyphens/>
        <w:rPr>
          <w:sz w:val="22"/>
          <w:szCs w:val="22"/>
        </w:rPr>
      </w:pPr>
    </w:p>
    <w:p w14:paraId="4353D564" w14:textId="014EA304" w:rsidR="00EC6842" w:rsidRDefault="00C95243" w:rsidP="00115F66">
      <w:pPr>
        <w:suppressAutoHyphens/>
        <w:rPr>
          <w:sz w:val="22"/>
          <w:szCs w:val="22"/>
        </w:rPr>
      </w:pPr>
      <w:r w:rsidRPr="00493191">
        <w:rPr>
          <w:sz w:val="22"/>
          <w:szCs w:val="22"/>
          <w:u w:val="single"/>
        </w:rPr>
        <w:t>Pomocn</w:t>
      </w:r>
      <w:r w:rsidR="00EC6842" w:rsidRPr="00493191">
        <w:rPr>
          <w:sz w:val="22"/>
          <w:szCs w:val="22"/>
          <w:u w:val="single"/>
        </w:rPr>
        <w:t>é</w:t>
      </w:r>
      <w:r w:rsidRPr="00493191">
        <w:rPr>
          <w:sz w:val="22"/>
          <w:szCs w:val="22"/>
          <w:u w:val="single"/>
        </w:rPr>
        <w:t xml:space="preserve"> látk</w:t>
      </w:r>
      <w:r w:rsidR="00EC6842" w:rsidRPr="00493191">
        <w:rPr>
          <w:sz w:val="22"/>
          <w:szCs w:val="22"/>
          <w:u w:val="single"/>
        </w:rPr>
        <w:t>y</w:t>
      </w:r>
      <w:r w:rsidRPr="00493191">
        <w:rPr>
          <w:sz w:val="22"/>
          <w:szCs w:val="22"/>
          <w:u w:val="single"/>
        </w:rPr>
        <w:t xml:space="preserve"> so známym účinkom</w:t>
      </w:r>
      <w:r w:rsidRPr="00115F66">
        <w:rPr>
          <w:sz w:val="22"/>
          <w:szCs w:val="22"/>
        </w:rPr>
        <w:t xml:space="preserve"> </w:t>
      </w:r>
    </w:p>
    <w:p w14:paraId="022E4542" w14:textId="1C05C041" w:rsidR="001D0CCF" w:rsidRPr="00115F66" w:rsidRDefault="001D0CCF" w:rsidP="00115F66">
      <w:pPr>
        <w:suppressAutoHyphens/>
        <w:rPr>
          <w:sz w:val="22"/>
          <w:szCs w:val="22"/>
        </w:rPr>
      </w:pPr>
      <w:r w:rsidRPr="00115F66">
        <w:rPr>
          <w:sz w:val="22"/>
          <w:szCs w:val="22"/>
        </w:rPr>
        <w:t>Jedna tableta obsahuje 1</w:t>
      </w:r>
      <w:r w:rsidR="00EC6842">
        <w:rPr>
          <w:sz w:val="22"/>
          <w:szCs w:val="22"/>
        </w:rPr>
        <w:t>40</w:t>
      </w:r>
      <w:r w:rsidRPr="00115F66">
        <w:rPr>
          <w:sz w:val="22"/>
          <w:szCs w:val="22"/>
        </w:rPr>
        <w:t>,</w:t>
      </w:r>
      <w:r w:rsidR="00EC6842">
        <w:rPr>
          <w:sz w:val="22"/>
          <w:szCs w:val="22"/>
        </w:rPr>
        <w:t>71</w:t>
      </w:r>
      <w:r w:rsidRPr="00115F66">
        <w:rPr>
          <w:sz w:val="22"/>
          <w:szCs w:val="22"/>
        </w:rPr>
        <w:t xml:space="preserve"> mg monohydrátu laktózy</w:t>
      </w:r>
      <w:r w:rsidR="00EC6842">
        <w:rPr>
          <w:sz w:val="22"/>
          <w:szCs w:val="22"/>
        </w:rPr>
        <w:t xml:space="preserve"> a 0,34 mg sodíka</w:t>
      </w:r>
      <w:r w:rsidRPr="00115F66">
        <w:rPr>
          <w:sz w:val="22"/>
          <w:szCs w:val="22"/>
        </w:rPr>
        <w:t>.</w:t>
      </w:r>
    </w:p>
    <w:p w14:paraId="4423A5FB" w14:textId="77777777" w:rsidR="001D0CCF" w:rsidRPr="00115F66" w:rsidRDefault="001D0CCF" w:rsidP="00115F66">
      <w:pPr>
        <w:pStyle w:val="Hlavika"/>
        <w:tabs>
          <w:tab w:val="clear" w:pos="4819"/>
          <w:tab w:val="clear" w:pos="9638"/>
        </w:tabs>
        <w:suppressAutoHyphens/>
        <w:rPr>
          <w:rFonts w:ascii="Times New Roman" w:hAnsi="Times New Roman"/>
          <w:lang w:val="sk-SK" w:eastAsia="en-US"/>
        </w:rPr>
      </w:pPr>
    </w:p>
    <w:p w14:paraId="26A36016" w14:textId="77777777" w:rsidR="001D0CCF" w:rsidRPr="00115F66" w:rsidRDefault="001D0CCF" w:rsidP="00115F66">
      <w:pPr>
        <w:suppressAutoHyphens/>
        <w:rPr>
          <w:sz w:val="22"/>
          <w:szCs w:val="22"/>
        </w:rPr>
      </w:pPr>
      <w:r w:rsidRPr="00115F66">
        <w:rPr>
          <w:sz w:val="22"/>
          <w:szCs w:val="22"/>
        </w:rPr>
        <w:t>Melyd 4 mg tablety</w:t>
      </w:r>
    </w:p>
    <w:p w14:paraId="64A9E490" w14:textId="77777777" w:rsidR="001D0CCF" w:rsidRPr="00115F66" w:rsidRDefault="001D0CCF" w:rsidP="00115F66">
      <w:pPr>
        <w:suppressAutoHyphens/>
        <w:rPr>
          <w:sz w:val="22"/>
          <w:szCs w:val="22"/>
        </w:rPr>
      </w:pPr>
      <w:r w:rsidRPr="00115F66">
        <w:rPr>
          <w:sz w:val="22"/>
          <w:szCs w:val="22"/>
        </w:rPr>
        <w:t>Každá tableta obsahuje 4 mg glimepiridu.</w:t>
      </w:r>
    </w:p>
    <w:p w14:paraId="64B24778" w14:textId="77777777" w:rsidR="001D0CCF" w:rsidRPr="00115F66" w:rsidRDefault="001D0CCF" w:rsidP="00115F66">
      <w:pPr>
        <w:suppressAutoHyphens/>
        <w:rPr>
          <w:sz w:val="22"/>
          <w:szCs w:val="22"/>
        </w:rPr>
      </w:pPr>
    </w:p>
    <w:p w14:paraId="266CBAA9" w14:textId="6434E325" w:rsidR="00EC6842" w:rsidRDefault="00C95243" w:rsidP="00115F66">
      <w:pPr>
        <w:suppressAutoHyphens/>
        <w:rPr>
          <w:sz w:val="22"/>
          <w:szCs w:val="22"/>
        </w:rPr>
      </w:pPr>
      <w:r w:rsidRPr="00493191">
        <w:rPr>
          <w:sz w:val="22"/>
          <w:szCs w:val="22"/>
          <w:u w:val="single"/>
        </w:rPr>
        <w:t>Pomocn</w:t>
      </w:r>
      <w:r w:rsidR="00EC6842" w:rsidRPr="00493191">
        <w:rPr>
          <w:sz w:val="22"/>
          <w:szCs w:val="22"/>
          <w:u w:val="single"/>
        </w:rPr>
        <w:t>é</w:t>
      </w:r>
      <w:r w:rsidRPr="00493191">
        <w:rPr>
          <w:sz w:val="22"/>
          <w:szCs w:val="22"/>
          <w:u w:val="single"/>
        </w:rPr>
        <w:t xml:space="preserve"> látk</w:t>
      </w:r>
      <w:r w:rsidR="00EC6842" w:rsidRPr="00493191">
        <w:rPr>
          <w:sz w:val="22"/>
          <w:szCs w:val="22"/>
          <w:u w:val="single"/>
        </w:rPr>
        <w:t>y</w:t>
      </w:r>
      <w:r w:rsidRPr="00493191">
        <w:rPr>
          <w:sz w:val="22"/>
          <w:szCs w:val="22"/>
          <w:u w:val="single"/>
        </w:rPr>
        <w:t xml:space="preserve"> so známym účinkom</w:t>
      </w:r>
      <w:r w:rsidRPr="00115F66">
        <w:rPr>
          <w:sz w:val="22"/>
          <w:szCs w:val="22"/>
        </w:rPr>
        <w:t xml:space="preserve"> </w:t>
      </w:r>
    </w:p>
    <w:p w14:paraId="3441A6BC" w14:textId="5BFAF7B4" w:rsidR="001D0CCF" w:rsidRPr="00115F66" w:rsidRDefault="001D0CCF" w:rsidP="00115F66">
      <w:pPr>
        <w:suppressAutoHyphens/>
        <w:rPr>
          <w:sz w:val="22"/>
          <w:szCs w:val="22"/>
        </w:rPr>
      </w:pPr>
      <w:r w:rsidRPr="00115F66">
        <w:rPr>
          <w:sz w:val="22"/>
          <w:szCs w:val="22"/>
        </w:rPr>
        <w:t>Jedna tableta obsahuje 13</w:t>
      </w:r>
      <w:r w:rsidR="00EC6842">
        <w:rPr>
          <w:sz w:val="22"/>
          <w:szCs w:val="22"/>
        </w:rPr>
        <w:t>9</w:t>
      </w:r>
      <w:r w:rsidRPr="00115F66">
        <w:rPr>
          <w:sz w:val="22"/>
          <w:szCs w:val="22"/>
        </w:rPr>
        <w:t>,</w:t>
      </w:r>
      <w:r w:rsidR="00EC6842">
        <w:rPr>
          <w:sz w:val="22"/>
          <w:szCs w:val="22"/>
        </w:rPr>
        <w:t>6</w:t>
      </w:r>
      <w:r w:rsidRPr="00115F66">
        <w:rPr>
          <w:sz w:val="22"/>
          <w:szCs w:val="22"/>
        </w:rPr>
        <w:t>0 mg monohydrátu laktózy</w:t>
      </w:r>
      <w:r w:rsidR="00EC6842">
        <w:rPr>
          <w:sz w:val="22"/>
          <w:szCs w:val="22"/>
        </w:rPr>
        <w:t xml:space="preserve"> a 0,34 mg sodíka</w:t>
      </w:r>
      <w:r w:rsidRPr="00115F66">
        <w:rPr>
          <w:sz w:val="22"/>
          <w:szCs w:val="22"/>
        </w:rPr>
        <w:t>.</w:t>
      </w:r>
    </w:p>
    <w:p w14:paraId="55A63CC2" w14:textId="77777777" w:rsidR="001D0CCF" w:rsidRPr="00115F66" w:rsidRDefault="001D0CCF" w:rsidP="00115F66">
      <w:pPr>
        <w:pStyle w:val="Pta"/>
        <w:tabs>
          <w:tab w:val="clear" w:pos="4536"/>
          <w:tab w:val="clear" w:pos="9072"/>
        </w:tabs>
        <w:jc w:val="both"/>
        <w:rPr>
          <w:sz w:val="22"/>
          <w:szCs w:val="22"/>
        </w:rPr>
      </w:pPr>
    </w:p>
    <w:p w14:paraId="6575BCBC" w14:textId="77777777" w:rsidR="001D0CCF" w:rsidRPr="00115F66" w:rsidRDefault="001D0CCF" w:rsidP="00115F66">
      <w:pPr>
        <w:jc w:val="both"/>
        <w:outlineLvl w:val="0"/>
        <w:rPr>
          <w:sz w:val="22"/>
          <w:szCs w:val="22"/>
        </w:rPr>
      </w:pPr>
      <w:r w:rsidRPr="00115F66">
        <w:rPr>
          <w:sz w:val="22"/>
          <w:szCs w:val="22"/>
        </w:rPr>
        <w:t>Úplný zoznam pomocných látok, pozri časť 6.1.</w:t>
      </w:r>
    </w:p>
    <w:p w14:paraId="70D66577" w14:textId="77777777" w:rsidR="001D0CCF" w:rsidRPr="00115F66" w:rsidRDefault="001D0CCF" w:rsidP="00115F66">
      <w:pPr>
        <w:jc w:val="both"/>
        <w:rPr>
          <w:sz w:val="22"/>
          <w:szCs w:val="22"/>
        </w:rPr>
      </w:pPr>
    </w:p>
    <w:p w14:paraId="6BFF7905" w14:textId="77777777" w:rsidR="001D0CCF" w:rsidRPr="00115F66" w:rsidRDefault="001D0CCF" w:rsidP="00115F66">
      <w:pPr>
        <w:jc w:val="both"/>
        <w:rPr>
          <w:sz w:val="22"/>
          <w:szCs w:val="22"/>
        </w:rPr>
      </w:pPr>
    </w:p>
    <w:p w14:paraId="42D29925" w14:textId="77777777" w:rsidR="001D0CCF" w:rsidRPr="00115F66" w:rsidRDefault="001D0CCF" w:rsidP="00115F66">
      <w:pPr>
        <w:jc w:val="both"/>
        <w:rPr>
          <w:caps/>
          <w:sz w:val="22"/>
          <w:szCs w:val="22"/>
        </w:rPr>
      </w:pPr>
      <w:r w:rsidRPr="00115F66">
        <w:rPr>
          <w:b/>
          <w:bCs/>
          <w:sz w:val="22"/>
          <w:szCs w:val="22"/>
        </w:rPr>
        <w:t>3.</w:t>
      </w:r>
      <w:r w:rsidRPr="00115F66">
        <w:rPr>
          <w:b/>
          <w:bCs/>
          <w:sz w:val="22"/>
          <w:szCs w:val="22"/>
        </w:rPr>
        <w:tab/>
        <w:t>LIEKOVÁ FORMA</w:t>
      </w:r>
    </w:p>
    <w:p w14:paraId="244A02AD" w14:textId="77777777" w:rsidR="001D0CCF" w:rsidRPr="00115F66" w:rsidRDefault="001D0CCF" w:rsidP="00115F66">
      <w:pPr>
        <w:jc w:val="both"/>
        <w:rPr>
          <w:sz w:val="22"/>
          <w:szCs w:val="22"/>
        </w:rPr>
      </w:pPr>
    </w:p>
    <w:p w14:paraId="46555F58" w14:textId="77777777" w:rsidR="001D0CCF" w:rsidRPr="00115F66" w:rsidRDefault="001D0CCF" w:rsidP="00115F66">
      <w:pPr>
        <w:rPr>
          <w:sz w:val="22"/>
          <w:szCs w:val="22"/>
        </w:rPr>
      </w:pPr>
      <w:r w:rsidRPr="00115F66">
        <w:rPr>
          <w:sz w:val="22"/>
          <w:szCs w:val="22"/>
        </w:rPr>
        <w:t>Tableta.</w:t>
      </w:r>
    </w:p>
    <w:p w14:paraId="54378B29" w14:textId="45FD987F" w:rsidR="001D0CCF" w:rsidRPr="00115F66" w:rsidRDefault="001D0CCF" w:rsidP="00115F66">
      <w:pPr>
        <w:rPr>
          <w:sz w:val="22"/>
          <w:szCs w:val="22"/>
        </w:rPr>
      </w:pPr>
    </w:p>
    <w:p w14:paraId="71E275B7" w14:textId="77777777" w:rsidR="001D0CCF" w:rsidRPr="00115F66" w:rsidRDefault="001D0CCF" w:rsidP="00115F66">
      <w:pPr>
        <w:rPr>
          <w:sz w:val="22"/>
          <w:szCs w:val="22"/>
        </w:rPr>
      </w:pPr>
      <w:r w:rsidRPr="00115F66">
        <w:rPr>
          <w:sz w:val="22"/>
          <w:szCs w:val="22"/>
        </w:rPr>
        <w:t>Melyd 2 mg tablety</w:t>
      </w:r>
    </w:p>
    <w:p w14:paraId="17CAD4CF" w14:textId="77777777" w:rsidR="001D0CCF" w:rsidRPr="00115F66" w:rsidRDefault="001D0CCF" w:rsidP="00115F66">
      <w:pPr>
        <w:rPr>
          <w:sz w:val="22"/>
          <w:szCs w:val="22"/>
        </w:rPr>
      </w:pPr>
      <w:r w:rsidRPr="00115F66">
        <w:rPr>
          <w:sz w:val="22"/>
          <w:szCs w:val="22"/>
        </w:rPr>
        <w:t>Tablety sú zelené, ploché, podlhovasté (10 x 5 mm) so skosenými okrajmi, na jednej strane s deliacou ryhou a s vyrazeným "G" na druhej strane.</w:t>
      </w:r>
    </w:p>
    <w:p w14:paraId="5B52CF41" w14:textId="77777777" w:rsidR="001D0CCF" w:rsidRPr="00115F66" w:rsidRDefault="001D0CCF" w:rsidP="00115F66">
      <w:pPr>
        <w:rPr>
          <w:sz w:val="22"/>
          <w:szCs w:val="22"/>
        </w:rPr>
      </w:pPr>
      <w:r w:rsidRPr="00115F66">
        <w:rPr>
          <w:sz w:val="22"/>
          <w:szCs w:val="22"/>
        </w:rPr>
        <w:t>Melyd 3 mg tablety</w:t>
      </w:r>
    </w:p>
    <w:p w14:paraId="12E5EA73" w14:textId="77777777" w:rsidR="001D0CCF" w:rsidRPr="00115F66" w:rsidRDefault="001D0CCF" w:rsidP="00115F66">
      <w:pPr>
        <w:suppressAutoHyphens/>
        <w:rPr>
          <w:sz w:val="22"/>
          <w:szCs w:val="22"/>
        </w:rPr>
      </w:pPr>
      <w:r w:rsidRPr="00115F66">
        <w:rPr>
          <w:sz w:val="22"/>
          <w:szCs w:val="22"/>
        </w:rPr>
        <w:t>Tablety sú žlté, ploché, podlhovasté (10 x 5 mm) so skosenými okrajmi, na jednej strane s deliacou ryhou a s vyrazeným "G" na druhej strane.</w:t>
      </w:r>
    </w:p>
    <w:p w14:paraId="195FFE98" w14:textId="77777777" w:rsidR="001D0CCF" w:rsidRPr="00115F66" w:rsidRDefault="001D0CCF" w:rsidP="00115F66">
      <w:pPr>
        <w:suppressAutoHyphens/>
        <w:rPr>
          <w:sz w:val="22"/>
          <w:szCs w:val="22"/>
        </w:rPr>
      </w:pPr>
      <w:r w:rsidRPr="00115F66">
        <w:rPr>
          <w:sz w:val="22"/>
          <w:szCs w:val="22"/>
        </w:rPr>
        <w:t>Melyd 4 mg tablety</w:t>
      </w:r>
    </w:p>
    <w:p w14:paraId="12B6C545" w14:textId="77777777" w:rsidR="001D0CCF" w:rsidRPr="00115F66" w:rsidRDefault="001D0CCF" w:rsidP="00115F66">
      <w:pPr>
        <w:suppressAutoHyphens/>
        <w:rPr>
          <w:sz w:val="22"/>
          <w:szCs w:val="22"/>
        </w:rPr>
      </w:pPr>
      <w:r w:rsidRPr="00115F66">
        <w:rPr>
          <w:sz w:val="22"/>
          <w:szCs w:val="22"/>
        </w:rPr>
        <w:t>Tablety sú modré, ploché, podlhovasté (10 x 5 mm) so skosenými okrajmi, na jednej strane s deliacou ryhou a s vyrazeným "G" na druhej strane.</w:t>
      </w:r>
    </w:p>
    <w:p w14:paraId="08BA9673" w14:textId="77777777" w:rsidR="001D0CCF" w:rsidRPr="00115F66" w:rsidRDefault="001D0CCF" w:rsidP="00115F66">
      <w:pPr>
        <w:suppressAutoHyphens/>
        <w:rPr>
          <w:sz w:val="22"/>
          <w:szCs w:val="22"/>
        </w:rPr>
      </w:pPr>
    </w:p>
    <w:p w14:paraId="792A7DF5" w14:textId="77777777" w:rsidR="001D0CCF" w:rsidRPr="00115F66" w:rsidRDefault="001D0CCF" w:rsidP="00115F66">
      <w:pPr>
        <w:suppressAutoHyphens/>
        <w:rPr>
          <w:sz w:val="22"/>
          <w:szCs w:val="22"/>
        </w:rPr>
      </w:pPr>
      <w:r w:rsidRPr="00115F66">
        <w:rPr>
          <w:sz w:val="22"/>
          <w:szCs w:val="22"/>
        </w:rPr>
        <w:t>Tableta sa môže rozdeliť na rovnaké</w:t>
      </w:r>
      <w:r w:rsidR="008F04FA" w:rsidRPr="00115F66">
        <w:rPr>
          <w:sz w:val="22"/>
          <w:szCs w:val="22"/>
        </w:rPr>
        <w:t xml:space="preserve"> dávky</w:t>
      </w:r>
      <w:r w:rsidRPr="00115F66">
        <w:rPr>
          <w:sz w:val="22"/>
          <w:szCs w:val="22"/>
        </w:rPr>
        <w:t>.</w:t>
      </w:r>
    </w:p>
    <w:p w14:paraId="6E2F2B71" w14:textId="77777777" w:rsidR="001D0CCF" w:rsidRPr="00115F66" w:rsidRDefault="001D0CCF" w:rsidP="00115F66">
      <w:pPr>
        <w:jc w:val="both"/>
        <w:rPr>
          <w:sz w:val="22"/>
          <w:szCs w:val="22"/>
        </w:rPr>
      </w:pPr>
    </w:p>
    <w:p w14:paraId="22A28F9B" w14:textId="77777777" w:rsidR="001D0CCF" w:rsidRPr="00115F66" w:rsidRDefault="001D0CCF" w:rsidP="00115F66">
      <w:pPr>
        <w:jc w:val="both"/>
        <w:rPr>
          <w:sz w:val="22"/>
          <w:szCs w:val="22"/>
        </w:rPr>
      </w:pPr>
    </w:p>
    <w:p w14:paraId="516BE308" w14:textId="77777777" w:rsidR="001D0CCF" w:rsidRPr="00115F66" w:rsidRDefault="001D0CCF" w:rsidP="00115F66">
      <w:pPr>
        <w:jc w:val="both"/>
        <w:rPr>
          <w:caps/>
          <w:sz w:val="22"/>
          <w:szCs w:val="22"/>
        </w:rPr>
      </w:pPr>
      <w:r w:rsidRPr="00115F66">
        <w:rPr>
          <w:b/>
          <w:bCs/>
          <w:caps/>
          <w:sz w:val="22"/>
          <w:szCs w:val="22"/>
        </w:rPr>
        <w:t>4.</w:t>
      </w:r>
      <w:r w:rsidRPr="00115F66">
        <w:rPr>
          <w:b/>
          <w:bCs/>
          <w:caps/>
          <w:sz w:val="22"/>
          <w:szCs w:val="22"/>
        </w:rPr>
        <w:tab/>
        <w:t>KLINICKÉ ÚDAJE</w:t>
      </w:r>
    </w:p>
    <w:p w14:paraId="32F18CD0" w14:textId="77777777" w:rsidR="001D0CCF" w:rsidRPr="00115F66" w:rsidRDefault="001D0CCF" w:rsidP="00115F66">
      <w:pPr>
        <w:jc w:val="both"/>
        <w:rPr>
          <w:sz w:val="22"/>
          <w:szCs w:val="22"/>
        </w:rPr>
      </w:pPr>
    </w:p>
    <w:p w14:paraId="77B3D868" w14:textId="77777777" w:rsidR="001D0CCF" w:rsidRPr="00115F66" w:rsidRDefault="001D0CCF" w:rsidP="00115F66">
      <w:pPr>
        <w:jc w:val="both"/>
        <w:rPr>
          <w:sz w:val="22"/>
          <w:szCs w:val="22"/>
        </w:rPr>
      </w:pPr>
      <w:r w:rsidRPr="00115F66">
        <w:rPr>
          <w:b/>
          <w:bCs/>
          <w:sz w:val="22"/>
          <w:szCs w:val="22"/>
        </w:rPr>
        <w:t>4.1</w:t>
      </w:r>
      <w:r w:rsidRPr="00115F66">
        <w:rPr>
          <w:b/>
          <w:bCs/>
          <w:sz w:val="22"/>
          <w:szCs w:val="22"/>
        </w:rPr>
        <w:tab/>
        <w:t>Terapeutické indikácie</w:t>
      </w:r>
    </w:p>
    <w:p w14:paraId="49820D9C" w14:textId="77777777" w:rsidR="001D0CCF" w:rsidRPr="00115F66" w:rsidRDefault="001D0CCF" w:rsidP="00115F66">
      <w:pPr>
        <w:jc w:val="both"/>
        <w:rPr>
          <w:sz w:val="22"/>
          <w:szCs w:val="22"/>
        </w:rPr>
      </w:pPr>
    </w:p>
    <w:p w14:paraId="1D50EF05" w14:textId="77777777" w:rsidR="001D0CCF" w:rsidRPr="00115F66" w:rsidRDefault="001D0CCF" w:rsidP="00115F66">
      <w:pPr>
        <w:pStyle w:val="Zkladntext2"/>
      </w:pPr>
      <w:r w:rsidRPr="00115F66">
        <w:lastRenderedPageBreak/>
        <w:t>Melyd je určený na liečbu diabetu mellitu</w:t>
      </w:r>
      <w:r w:rsidR="00515FAA">
        <w:t>s</w:t>
      </w:r>
      <w:r w:rsidRPr="00115F66">
        <w:t xml:space="preserve"> 2. typu, ak samotná diéta, fyzická aktivita a zníženie hmotnosti nie sú postačujúce.</w:t>
      </w:r>
    </w:p>
    <w:p w14:paraId="44EE4205" w14:textId="77777777" w:rsidR="001D0CCF" w:rsidRPr="00115F66" w:rsidRDefault="001D0CCF" w:rsidP="00115F66">
      <w:pPr>
        <w:ind w:right="43"/>
        <w:rPr>
          <w:b/>
          <w:bCs/>
          <w:sz w:val="22"/>
          <w:szCs w:val="22"/>
        </w:rPr>
      </w:pPr>
    </w:p>
    <w:p w14:paraId="0367A44B" w14:textId="77777777" w:rsidR="001D0CCF" w:rsidRPr="00115F66" w:rsidRDefault="001D0CCF" w:rsidP="00115F66">
      <w:pPr>
        <w:ind w:right="43"/>
        <w:rPr>
          <w:b/>
          <w:bCs/>
          <w:sz w:val="22"/>
          <w:szCs w:val="22"/>
        </w:rPr>
      </w:pPr>
      <w:r w:rsidRPr="00115F66">
        <w:rPr>
          <w:b/>
          <w:bCs/>
          <w:sz w:val="22"/>
          <w:szCs w:val="22"/>
        </w:rPr>
        <w:t>4.2</w:t>
      </w:r>
      <w:r w:rsidRPr="00115F66">
        <w:rPr>
          <w:b/>
          <w:bCs/>
          <w:sz w:val="22"/>
          <w:szCs w:val="22"/>
        </w:rPr>
        <w:tab/>
        <w:t>Dávkovanie a spôsob podávania</w:t>
      </w:r>
    </w:p>
    <w:p w14:paraId="3A1688FE" w14:textId="77777777" w:rsidR="001D0CCF" w:rsidRDefault="001D0CCF" w:rsidP="00115F66">
      <w:pPr>
        <w:ind w:right="43"/>
        <w:rPr>
          <w:sz w:val="22"/>
          <w:szCs w:val="22"/>
        </w:rPr>
      </w:pPr>
    </w:p>
    <w:p w14:paraId="0D925783" w14:textId="77777777" w:rsidR="00EC6842" w:rsidRDefault="00EC6842" w:rsidP="00115F66">
      <w:pPr>
        <w:ind w:right="43"/>
        <w:rPr>
          <w:sz w:val="22"/>
          <w:szCs w:val="22"/>
          <w:u w:val="single"/>
        </w:rPr>
      </w:pPr>
      <w:r>
        <w:rPr>
          <w:sz w:val="22"/>
          <w:szCs w:val="22"/>
          <w:u w:val="single"/>
        </w:rPr>
        <w:t>Dávkovanie</w:t>
      </w:r>
    </w:p>
    <w:p w14:paraId="4233EAE5" w14:textId="77777777" w:rsidR="00EC6842" w:rsidRPr="00493191" w:rsidRDefault="00EC6842" w:rsidP="00115F66">
      <w:pPr>
        <w:ind w:right="43"/>
        <w:rPr>
          <w:sz w:val="22"/>
          <w:szCs w:val="22"/>
          <w:u w:val="single"/>
        </w:rPr>
      </w:pPr>
    </w:p>
    <w:p w14:paraId="5CC736C5" w14:textId="77777777" w:rsidR="001D0CCF" w:rsidRPr="00493191" w:rsidRDefault="001D0CCF" w:rsidP="00115F66">
      <w:pPr>
        <w:ind w:right="43"/>
        <w:jc w:val="both"/>
        <w:rPr>
          <w:sz w:val="22"/>
          <w:szCs w:val="22"/>
        </w:rPr>
      </w:pPr>
      <w:r w:rsidRPr="00493191">
        <w:rPr>
          <w:sz w:val="22"/>
          <w:szCs w:val="22"/>
        </w:rPr>
        <w:t>Na perorálne podanie.</w:t>
      </w:r>
    </w:p>
    <w:p w14:paraId="618D0CC4" w14:textId="77777777" w:rsidR="001D0CCF" w:rsidRPr="00115F66" w:rsidRDefault="001D0CCF" w:rsidP="00115F66">
      <w:pPr>
        <w:ind w:right="43"/>
        <w:jc w:val="both"/>
        <w:rPr>
          <w:sz w:val="22"/>
          <w:szCs w:val="22"/>
        </w:rPr>
      </w:pPr>
    </w:p>
    <w:p w14:paraId="7B2F95F0" w14:textId="77777777" w:rsidR="001D0CCF" w:rsidRPr="00115F66" w:rsidRDefault="001D0CCF" w:rsidP="00115F66">
      <w:pPr>
        <w:ind w:right="43"/>
        <w:jc w:val="both"/>
        <w:rPr>
          <w:sz w:val="22"/>
          <w:szCs w:val="22"/>
        </w:rPr>
      </w:pPr>
      <w:r w:rsidRPr="00115F66">
        <w:rPr>
          <w:sz w:val="22"/>
          <w:szCs w:val="22"/>
        </w:rPr>
        <w:t>Základom pre úspešnú liečbu cukrovky je správna diéta, pravidelná fyzická aktivita, ako aj pravidelné vyšetrovanie krvi a moču. Negatívne účinky v dôsledku nedodržiavania diéty nemôžu byť kompenzované tabletami alebo inzulínom.</w:t>
      </w:r>
    </w:p>
    <w:p w14:paraId="6B98171D" w14:textId="77777777" w:rsidR="001D0CCF" w:rsidRPr="00115F66" w:rsidRDefault="001D0CCF" w:rsidP="00115F66">
      <w:pPr>
        <w:ind w:right="43"/>
        <w:rPr>
          <w:sz w:val="22"/>
          <w:szCs w:val="22"/>
        </w:rPr>
      </w:pPr>
    </w:p>
    <w:p w14:paraId="44BBA859" w14:textId="77777777" w:rsidR="001D0CCF" w:rsidRPr="00115F66" w:rsidRDefault="001D0CCF" w:rsidP="00115F66">
      <w:pPr>
        <w:ind w:right="43"/>
        <w:rPr>
          <w:sz w:val="22"/>
          <w:szCs w:val="22"/>
        </w:rPr>
      </w:pPr>
      <w:r w:rsidRPr="00115F66">
        <w:rPr>
          <w:sz w:val="22"/>
          <w:szCs w:val="22"/>
        </w:rPr>
        <w:t xml:space="preserve">Dávkovanie závisí od výsledkov stanovenia glukózy v krvi a moči . </w:t>
      </w:r>
    </w:p>
    <w:p w14:paraId="6E363F10" w14:textId="77777777" w:rsidR="001D0CCF" w:rsidRPr="00115F66" w:rsidRDefault="001D0CCF" w:rsidP="00115F66">
      <w:pPr>
        <w:ind w:right="43"/>
        <w:rPr>
          <w:i/>
          <w:iCs/>
          <w:sz w:val="22"/>
          <w:szCs w:val="22"/>
        </w:rPr>
      </w:pPr>
    </w:p>
    <w:p w14:paraId="321E35C2" w14:textId="77777777" w:rsidR="001D0CCF" w:rsidRPr="00115F66" w:rsidRDefault="001D0CCF" w:rsidP="00115F66">
      <w:pPr>
        <w:pStyle w:val="Zkladntext"/>
        <w:rPr>
          <w:rFonts w:ascii="Times New Roman" w:hAnsi="Times New Roman" w:cs="Times New Roman"/>
        </w:rPr>
      </w:pPr>
      <w:r w:rsidRPr="00115F66">
        <w:rPr>
          <w:rFonts w:ascii="Times New Roman" w:hAnsi="Times New Roman" w:cs="Times New Roman"/>
        </w:rPr>
        <w:t xml:space="preserve">Začiatočná dávka je 1 mg  glimepiridu denne.  Ak sa touto dávkou dosiahne dobrá kompenzácia cukrovky, táto dávka má sa použiť aj na udržiavaciu liečbu. </w:t>
      </w:r>
    </w:p>
    <w:p w14:paraId="4C013183" w14:textId="77777777" w:rsidR="001D0CCF" w:rsidRPr="00115F66" w:rsidRDefault="001D0CCF" w:rsidP="00115F66">
      <w:pPr>
        <w:pStyle w:val="Zkladntext"/>
        <w:rPr>
          <w:rFonts w:ascii="Times New Roman" w:hAnsi="Times New Roman" w:cs="Times New Roman"/>
        </w:rPr>
      </w:pPr>
    </w:p>
    <w:p w14:paraId="64D546DA" w14:textId="77777777" w:rsidR="001D0CCF" w:rsidRPr="00115F66" w:rsidRDefault="001D0CCF" w:rsidP="00115F66">
      <w:pPr>
        <w:pStyle w:val="Zkladntext"/>
        <w:rPr>
          <w:rFonts w:ascii="Times New Roman" w:hAnsi="Times New Roman" w:cs="Times New Roman"/>
        </w:rPr>
      </w:pPr>
      <w:r w:rsidRPr="00115F66">
        <w:rPr>
          <w:rFonts w:ascii="Times New Roman" w:hAnsi="Times New Roman" w:cs="Times New Roman"/>
        </w:rPr>
        <w:t>Na rôzne dávkovacie režimy sú k dispozícii vhodné sily lieku.</w:t>
      </w:r>
    </w:p>
    <w:p w14:paraId="650C1859" w14:textId="77777777" w:rsidR="001D0CCF" w:rsidRPr="00115F66" w:rsidRDefault="001D0CCF" w:rsidP="00115F66">
      <w:pPr>
        <w:pStyle w:val="Zkladntext"/>
        <w:rPr>
          <w:rFonts w:ascii="Times New Roman" w:hAnsi="Times New Roman" w:cs="Times New Roman"/>
        </w:rPr>
      </w:pPr>
    </w:p>
    <w:p w14:paraId="1C0EF18A" w14:textId="77777777" w:rsidR="001D0CCF" w:rsidRPr="00115F66" w:rsidRDefault="001D0CCF" w:rsidP="00115F66">
      <w:pPr>
        <w:pStyle w:val="Zkladntext"/>
        <w:rPr>
          <w:rFonts w:ascii="Times New Roman" w:hAnsi="Times New Roman" w:cs="Times New Roman"/>
        </w:rPr>
      </w:pPr>
      <w:r w:rsidRPr="00115F66">
        <w:rPr>
          <w:rFonts w:ascii="Times New Roman" w:hAnsi="Times New Roman" w:cs="Times New Roman"/>
        </w:rPr>
        <w:t xml:space="preserve">Pokiaľ je kompenzácia cukrovky neuspokojivá, dávkovanie sa musí zvyšovať na základe glykemickej kompenzácie postupne s intervalom asi 1 až 2 týždne medzi jednotlivými krokmi na 2, 3 alebo 4 mg glimepiridu denne. </w:t>
      </w:r>
    </w:p>
    <w:p w14:paraId="0455017F" w14:textId="77777777" w:rsidR="001D0CCF" w:rsidRPr="00115F66" w:rsidRDefault="001D0CCF" w:rsidP="00115F66">
      <w:pPr>
        <w:pStyle w:val="Zkladntext"/>
        <w:rPr>
          <w:rFonts w:ascii="Times New Roman" w:hAnsi="Times New Roman" w:cs="Times New Roman"/>
        </w:rPr>
      </w:pPr>
    </w:p>
    <w:p w14:paraId="4C2707C1" w14:textId="77777777" w:rsidR="001D0CCF" w:rsidRPr="00115F66" w:rsidRDefault="001D0CCF" w:rsidP="00115F66">
      <w:pPr>
        <w:rPr>
          <w:sz w:val="22"/>
          <w:szCs w:val="22"/>
        </w:rPr>
      </w:pPr>
      <w:r w:rsidRPr="00115F66">
        <w:rPr>
          <w:sz w:val="22"/>
          <w:szCs w:val="22"/>
        </w:rPr>
        <w:t xml:space="preserve">Dávka presahujúca 4 mg glimepiridu denne vykazuje lepšie výsledky iba vo výnimočných prípadoch. </w:t>
      </w:r>
    </w:p>
    <w:p w14:paraId="10614DCF" w14:textId="77777777" w:rsidR="001D0CCF" w:rsidRPr="00115F66" w:rsidRDefault="001D0CCF" w:rsidP="00115F66">
      <w:pPr>
        <w:rPr>
          <w:sz w:val="22"/>
          <w:szCs w:val="22"/>
        </w:rPr>
      </w:pPr>
      <w:r w:rsidRPr="00115F66">
        <w:rPr>
          <w:sz w:val="22"/>
          <w:szCs w:val="22"/>
        </w:rPr>
        <w:t>Maximálna odporúčaná dávka je 6 mg glimepiridu denne.</w:t>
      </w:r>
    </w:p>
    <w:p w14:paraId="7FF2B7BE" w14:textId="77777777" w:rsidR="001D0CCF" w:rsidRPr="00115F66" w:rsidRDefault="001D0CCF" w:rsidP="00115F66">
      <w:pPr>
        <w:rPr>
          <w:sz w:val="22"/>
          <w:szCs w:val="22"/>
        </w:rPr>
      </w:pPr>
    </w:p>
    <w:p w14:paraId="1D7FE10C" w14:textId="77777777" w:rsidR="001D0CCF" w:rsidRPr="00115F66" w:rsidRDefault="001D0CCF" w:rsidP="00115F66">
      <w:pPr>
        <w:rPr>
          <w:sz w:val="22"/>
          <w:szCs w:val="22"/>
        </w:rPr>
      </w:pPr>
      <w:r w:rsidRPr="00115F66">
        <w:rPr>
          <w:sz w:val="22"/>
          <w:szCs w:val="22"/>
        </w:rPr>
        <w:t xml:space="preserve">U pacientov, ktorých stav nebol dostatočne kompenzovaný maximálnou dennou dávkou metformínu, možno začať sprievodnú liečbu glimepiridom. </w:t>
      </w:r>
    </w:p>
    <w:p w14:paraId="4DE947ED" w14:textId="77777777" w:rsidR="001D0CCF" w:rsidRPr="00115F66" w:rsidRDefault="001D0CCF" w:rsidP="00115F66">
      <w:pPr>
        <w:rPr>
          <w:sz w:val="22"/>
          <w:szCs w:val="22"/>
        </w:rPr>
      </w:pPr>
      <w:r w:rsidRPr="00115F66">
        <w:rPr>
          <w:sz w:val="22"/>
          <w:szCs w:val="22"/>
        </w:rPr>
        <w:t xml:space="preserve">Dávka metformínu sa udržiava a terapia glimepiridom sa začne nízkymi dávkami, ktoré sa potom postupne zvyšujú v závislosti od požadovaného stupňa metabolickej kompenzácie až na maximálnu dennú dávku. Kombinovaná terapia sa má začať pod starostlivým lekárskym dozorom. </w:t>
      </w:r>
    </w:p>
    <w:p w14:paraId="09791C47" w14:textId="77777777" w:rsidR="001D0CCF" w:rsidRPr="00115F66" w:rsidRDefault="001D0CCF" w:rsidP="00115F66">
      <w:pPr>
        <w:pStyle w:val="Pta"/>
        <w:tabs>
          <w:tab w:val="clear" w:pos="4536"/>
          <w:tab w:val="clear" w:pos="9072"/>
        </w:tabs>
        <w:rPr>
          <w:sz w:val="22"/>
          <w:szCs w:val="22"/>
        </w:rPr>
      </w:pPr>
    </w:p>
    <w:p w14:paraId="063E86B8" w14:textId="77777777" w:rsidR="001D0CCF" w:rsidRPr="00115F66" w:rsidRDefault="001D0CCF" w:rsidP="00115F66">
      <w:pPr>
        <w:rPr>
          <w:sz w:val="22"/>
          <w:szCs w:val="22"/>
        </w:rPr>
      </w:pPr>
      <w:r w:rsidRPr="00115F66">
        <w:rPr>
          <w:sz w:val="22"/>
          <w:szCs w:val="22"/>
        </w:rPr>
        <w:t>U pacientov, u ktorých sa nedosiahla adekvátna kompenzácia stavu maximálnymi dennými dávkami Melydu, možno v prípade potreby nasadiť sprievodnú inzulínovú liečbu. Dávka glimepiridu sa udržiava a zároveň sa nasadia nízke dávky inzulínu, ktoré sa postupne zvyšujú v závislosti od požadovaného stupňa metabolickej kompenzácie. Kombinovaná liečba sa má začať pod starostlivým lekárskym dohľadom.</w:t>
      </w:r>
    </w:p>
    <w:p w14:paraId="27C2F9CB" w14:textId="77777777" w:rsidR="001D0CCF" w:rsidRPr="00115F66" w:rsidRDefault="001D0CCF" w:rsidP="00115F66">
      <w:pPr>
        <w:pStyle w:val="Pta"/>
        <w:tabs>
          <w:tab w:val="clear" w:pos="4536"/>
          <w:tab w:val="clear" w:pos="9072"/>
        </w:tabs>
        <w:rPr>
          <w:sz w:val="22"/>
          <w:szCs w:val="22"/>
        </w:rPr>
      </w:pPr>
    </w:p>
    <w:p w14:paraId="7DF59604" w14:textId="77777777" w:rsidR="001D0CCF" w:rsidRPr="00115F66" w:rsidRDefault="001D0CCF" w:rsidP="00115F66">
      <w:pPr>
        <w:pStyle w:val="Pta"/>
        <w:tabs>
          <w:tab w:val="clear" w:pos="4536"/>
          <w:tab w:val="clear" w:pos="9072"/>
        </w:tabs>
        <w:rPr>
          <w:sz w:val="22"/>
          <w:szCs w:val="22"/>
        </w:rPr>
      </w:pPr>
      <w:r w:rsidRPr="00115F66">
        <w:rPr>
          <w:sz w:val="22"/>
          <w:szCs w:val="22"/>
        </w:rPr>
        <w:t xml:space="preserve">Zvyčajne postačuje jednorazová denná dávka glimepiridu. Odporúča sa užiť túto dávku krátko pred alebo počas výdatných raňajok alebo - ak sa neraňajkuje – krátko pred alebo počas prvého hlavného jedla. </w:t>
      </w:r>
    </w:p>
    <w:p w14:paraId="51891D46" w14:textId="77777777" w:rsidR="001D0CCF" w:rsidRPr="00115F66" w:rsidRDefault="001D0CCF" w:rsidP="00115F66">
      <w:pPr>
        <w:pStyle w:val="Pta"/>
        <w:tabs>
          <w:tab w:val="clear" w:pos="4536"/>
          <w:tab w:val="clear" w:pos="9072"/>
        </w:tabs>
        <w:rPr>
          <w:sz w:val="22"/>
          <w:szCs w:val="22"/>
        </w:rPr>
      </w:pPr>
    </w:p>
    <w:p w14:paraId="1434F028" w14:textId="77777777" w:rsidR="001D0CCF" w:rsidRPr="00115F66" w:rsidRDefault="001D0CCF" w:rsidP="00115F66">
      <w:pPr>
        <w:pStyle w:val="Pta"/>
        <w:tabs>
          <w:tab w:val="clear" w:pos="4536"/>
          <w:tab w:val="clear" w:pos="9072"/>
        </w:tabs>
        <w:rPr>
          <w:sz w:val="22"/>
          <w:szCs w:val="22"/>
        </w:rPr>
      </w:pPr>
      <w:r w:rsidRPr="00115F66">
        <w:rPr>
          <w:sz w:val="22"/>
          <w:szCs w:val="22"/>
        </w:rPr>
        <w:t xml:space="preserve">Vynechanie dávky sa nesmie upravovať následným užitím vyššej dávky. </w:t>
      </w:r>
    </w:p>
    <w:p w14:paraId="4DEDED52" w14:textId="77777777" w:rsidR="001D0CCF" w:rsidRPr="00115F66" w:rsidRDefault="001D0CCF" w:rsidP="00115F66">
      <w:pPr>
        <w:pStyle w:val="Pta"/>
        <w:tabs>
          <w:tab w:val="clear" w:pos="4536"/>
          <w:tab w:val="clear" w:pos="9072"/>
        </w:tabs>
        <w:rPr>
          <w:sz w:val="22"/>
          <w:szCs w:val="22"/>
        </w:rPr>
      </w:pPr>
    </w:p>
    <w:p w14:paraId="3BB644DF" w14:textId="77777777" w:rsidR="001D0CCF" w:rsidRPr="00115F66" w:rsidRDefault="001D0CCF" w:rsidP="00115F66">
      <w:pPr>
        <w:pStyle w:val="Pta"/>
        <w:tabs>
          <w:tab w:val="clear" w:pos="4536"/>
          <w:tab w:val="clear" w:pos="9072"/>
        </w:tabs>
        <w:rPr>
          <w:sz w:val="22"/>
          <w:szCs w:val="22"/>
        </w:rPr>
      </w:pPr>
      <w:r w:rsidRPr="00115F66">
        <w:rPr>
          <w:sz w:val="22"/>
          <w:szCs w:val="22"/>
        </w:rPr>
        <w:t xml:space="preserve">Ak pacient užívajúci 1 mg glimepiridu denne má hypoglykemickú reakciu, naznačuje to, že jeho stav možno kompenzovať aj samotnou diétou.  </w:t>
      </w:r>
    </w:p>
    <w:p w14:paraId="5A7CEFEF" w14:textId="77777777" w:rsidR="001D0CCF" w:rsidRPr="00115F66" w:rsidRDefault="001D0CCF" w:rsidP="00115F66">
      <w:pPr>
        <w:pStyle w:val="Pta"/>
        <w:tabs>
          <w:tab w:val="clear" w:pos="4536"/>
          <w:tab w:val="clear" w:pos="9072"/>
        </w:tabs>
        <w:rPr>
          <w:sz w:val="22"/>
          <w:szCs w:val="22"/>
        </w:rPr>
      </w:pPr>
    </w:p>
    <w:p w14:paraId="060D8443" w14:textId="77777777" w:rsidR="001D0CCF" w:rsidRPr="00115F66" w:rsidRDefault="001D0CCF" w:rsidP="00115F66">
      <w:pPr>
        <w:pStyle w:val="Zkladntext"/>
        <w:rPr>
          <w:rFonts w:ascii="Times New Roman" w:hAnsi="Times New Roman" w:cs="Times New Roman"/>
        </w:rPr>
      </w:pPr>
      <w:r w:rsidRPr="00115F66">
        <w:rPr>
          <w:rFonts w:ascii="Times New Roman" w:hAnsi="Times New Roman" w:cs="Times New Roman"/>
        </w:rPr>
        <w:t xml:space="preserve">V priebehu liečby, keďže so zlepšujúcou sa kompenzáciou cukrovky vzrastá citlivosť na inzulín, môže potreba glimepiridu klesať. Aby sa predišlo hypoglykémii, musí sa zvážiť dočasné zníženie dávky alebo prerušenie liečby. Zmena dávkovania môže byť nevyhnutná, ak sa zmení telesná hmotnosť alebo životný štýl pacienta alebo iné faktory zvyšujúce riziko hypoglykémie alebo hyperglykémie. </w:t>
      </w:r>
    </w:p>
    <w:p w14:paraId="4F97A90C" w14:textId="77777777" w:rsidR="001D0CCF" w:rsidRPr="00115F66" w:rsidRDefault="001D0CCF" w:rsidP="00115F66">
      <w:pPr>
        <w:pStyle w:val="Pta"/>
        <w:tabs>
          <w:tab w:val="clear" w:pos="4536"/>
          <w:tab w:val="clear" w:pos="9072"/>
        </w:tabs>
        <w:jc w:val="both"/>
        <w:rPr>
          <w:sz w:val="22"/>
          <w:szCs w:val="22"/>
        </w:rPr>
      </w:pPr>
    </w:p>
    <w:p w14:paraId="083D1FBC" w14:textId="77777777" w:rsidR="001D0CCF" w:rsidRPr="00493191" w:rsidRDefault="001D0CCF" w:rsidP="00115F66">
      <w:pPr>
        <w:pStyle w:val="Nadpis2"/>
        <w:jc w:val="both"/>
        <w:rPr>
          <w:rFonts w:ascii="Times New Roman" w:hAnsi="Times New Roman" w:cs="Times New Roman"/>
          <w:iCs w:val="0"/>
          <w:sz w:val="22"/>
          <w:szCs w:val="22"/>
        </w:rPr>
      </w:pPr>
      <w:r w:rsidRPr="00493191">
        <w:rPr>
          <w:rFonts w:ascii="Times New Roman" w:hAnsi="Times New Roman" w:cs="Times New Roman"/>
          <w:iCs w:val="0"/>
          <w:sz w:val="22"/>
          <w:szCs w:val="22"/>
        </w:rPr>
        <w:t>Prechod z iných perorálnych antidiabetík na Melyd:</w:t>
      </w:r>
    </w:p>
    <w:p w14:paraId="2BF711C4" w14:textId="77777777" w:rsidR="001D0CCF" w:rsidRPr="00115F66" w:rsidRDefault="001D0CCF" w:rsidP="00115F66">
      <w:pPr>
        <w:pStyle w:val="Pta"/>
        <w:tabs>
          <w:tab w:val="clear" w:pos="4536"/>
          <w:tab w:val="clear" w:pos="9072"/>
        </w:tabs>
        <w:rPr>
          <w:sz w:val="22"/>
          <w:szCs w:val="22"/>
        </w:rPr>
      </w:pPr>
      <w:r w:rsidRPr="00115F66">
        <w:rPr>
          <w:sz w:val="22"/>
          <w:szCs w:val="22"/>
        </w:rPr>
        <w:t xml:space="preserve">Prechod z iných perorálnych antidiabetík na Melyd možno spravidla uskutočniť. Pri prechode na Melyd sa musí vziať do úvahy sila a trvanie liečby predchádzajúcim liekom. V niektorých prípadoch, najmä u antidiabetík s dlhým </w:t>
      </w:r>
      <w:r w:rsidR="00841C45" w:rsidRPr="00115F66">
        <w:rPr>
          <w:sz w:val="22"/>
          <w:szCs w:val="22"/>
        </w:rPr>
        <w:t xml:space="preserve"> polčasom eliminácie </w:t>
      </w:r>
      <w:r w:rsidRPr="00115F66">
        <w:rPr>
          <w:sz w:val="22"/>
          <w:szCs w:val="22"/>
        </w:rPr>
        <w:t xml:space="preserve">(napr. chlórpropamid), sa odporúča niekoľkodňové </w:t>
      </w:r>
      <w:r w:rsidRPr="00115F66">
        <w:rPr>
          <w:sz w:val="22"/>
          <w:szCs w:val="22"/>
        </w:rPr>
        <w:lastRenderedPageBreak/>
        <w:t xml:space="preserve">obdobie na vylúčenie lieku, aby sa zminimalizovalo riziko hypoglykemickej reakcie v dôsledku aditívneho účinku. </w:t>
      </w:r>
    </w:p>
    <w:p w14:paraId="407154F5" w14:textId="77777777" w:rsidR="001D0CCF" w:rsidRPr="00115F66" w:rsidRDefault="001D0CCF" w:rsidP="00115F66">
      <w:pPr>
        <w:pStyle w:val="Pta"/>
        <w:tabs>
          <w:tab w:val="clear" w:pos="4536"/>
          <w:tab w:val="clear" w:pos="9072"/>
        </w:tabs>
        <w:rPr>
          <w:sz w:val="22"/>
          <w:szCs w:val="22"/>
        </w:rPr>
      </w:pPr>
    </w:p>
    <w:p w14:paraId="56D52327" w14:textId="77777777" w:rsidR="001D0CCF" w:rsidRPr="00115F66" w:rsidRDefault="001D0CCF" w:rsidP="00115F66">
      <w:pPr>
        <w:pStyle w:val="Pta"/>
        <w:tabs>
          <w:tab w:val="clear" w:pos="4536"/>
          <w:tab w:val="clear" w:pos="9072"/>
        </w:tabs>
        <w:rPr>
          <w:sz w:val="22"/>
          <w:szCs w:val="22"/>
        </w:rPr>
      </w:pPr>
      <w:r w:rsidRPr="00115F66">
        <w:rPr>
          <w:sz w:val="22"/>
          <w:szCs w:val="22"/>
        </w:rPr>
        <w:t>Odporúčaná začiatočná dávka je 1 mg glimepiridu denne. Na základe reakcie sa dávkovanie glimepiridu môže postupne zvyšovať, ako bolo skôr uvedené.</w:t>
      </w:r>
    </w:p>
    <w:p w14:paraId="49B27B70" w14:textId="77777777" w:rsidR="001D0CCF" w:rsidRPr="00115F66" w:rsidRDefault="001D0CCF" w:rsidP="00115F66">
      <w:pPr>
        <w:rPr>
          <w:sz w:val="22"/>
          <w:szCs w:val="22"/>
        </w:rPr>
      </w:pPr>
    </w:p>
    <w:p w14:paraId="5F366395" w14:textId="77777777" w:rsidR="001D0CCF" w:rsidRPr="00493191" w:rsidRDefault="001D0CCF" w:rsidP="00115F66">
      <w:pPr>
        <w:pStyle w:val="Nadpis2"/>
        <w:jc w:val="both"/>
        <w:rPr>
          <w:rFonts w:ascii="Times New Roman" w:hAnsi="Times New Roman" w:cs="Times New Roman"/>
          <w:iCs w:val="0"/>
          <w:sz w:val="22"/>
          <w:szCs w:val="22"/>
        </w:rPr>
      </w:pPr>
      <w:r w:rsidRPr="00493191">
        <w:rPr>
          <w:rFonts w:ascii="Times New Roman" w:hAnsi="Times New Roman" w:cs="Times New Roman"/>
          <w:iCs w:val="0"/>
          <w:sz w:val="22"/>
          <w:szCs w:val="22"/>
        </w:rPr>
        <w:t>Prechod z inzulínu na Melyd:</w:t>
      </w:r>
    </w:p>
    <w:p w14:paraId="44973A8C" w14:textId="77777777" w:rsidR="001D0CCF" w:rsidRPr="00115F66" w:rsidRDefault="001D0CCF" w:rsidP="00115F66">
      <w:pPr>
        <w:rPr>
          <w:sz w:val="22"/>
          <w:szCs w:val="22"/>
        </w:rPr>
      </w:pPr>
      <w:r w:rsidRPr="00115F66">
        <w:rPr>
          <w:sz w:val="22"/>
          <w:szCs w:val="22"/>
        </w:rPr>
        <w:t>Pacientom s diabetom mellitu 2. typu liečeným inzulínom sa môže vo výnimočných prípadoch indikovať prechod na Melyd. Prechod sa má uskutočniť pod starostlivým lekárskym dohľadom.</w:t>
      </w:r>
    </w:p>
    <w:p w14:paraId="78ADEA84" w14:textId="77777777" w:rsidR="001D0CCF" w:rsidRPr="00115F66" w:rsidRDefault="001D0CCF" w:rsidP="00115F66">
      <w:pPr>
        <w:ind w:right="43"/>
        <w:rPr>
          <w:sz w:val="22"/>
          <w:szCs w:val="22"/>
        </w:rPr>
      </w:pPr>
    </w:p>
    <w:p w14:paraId="430ACC1B" w14:textId="449E7338" w:rsidR="001D0CCF" w:rsidRPr="00493191" w:rsidRDefault="001D0CCF" w:rsidP="00115F66">
      <w:pPr>
        <w:pStyle w:val="Pta"/>
        <w:tabs>
          <w:tab w:val="clear" w:pos="4536"/>
          <w:tab w:val="clear" w:pos="9072"/>
        </w:tabs>
        <w:jc w:val="both"/>
        <w:rPr>
          <w:i/>
          <w:sz w:val="22"/>
          <w:szCs w:val="22"/>
          <w:u w:val="single"/>
        </w:rPr>
      </w:pPr>
      <w:r w:rsidRPr="00493191">
        <w:rPr>
          <w:i/>
          <w:sz w:val="22"/>
          <w:szCs w:val="22"/>
          <w:u w:val="single"/>
        </w:rPr>
        <w:t>Osobitn</w:t>
      </w:r>
      <w:r w:rsidR="00EC6842" w:rsidRPr="00493191">
        <w:rPr>
          <w:i/>
          <w:sz w:val="22"/>
          <w:szCs w:val="22"/>
          <w:u w:val="single"/>
        </w:rPr>
        <w:t>á</w:t>
      </w:r>
      <w:r w:rsidRPr="00493191">
        <w:rPr>
          <w:i/>
          <w:sz w:val="22"/>
          <w:szCs w:val="22"/>
          <w:u w:val="single"/>
        </w:rPr>
        <w:t xml:space="preserve"> </w:t>
      </w:r>
      <w:r w:rsidR="003D169D" w:rsidRPr="00493191">
        <w:rPr>
          <w:i/>
          <w:sz w:val="22"/>
          <w:szCs w:val="22"/>
          <w:u w:val="single"/>
        </w:rPr>
        <w:t>populáci</w:t>
      </w:r>
      <w:r w:rsidR="00EC6842" w:rsidRPr="00493191">
        <w:rPr>
          <w:i/>
          <w:sz w:val="22"/>
          <w:szCs w:val="22"/>
          <w:u w:val="single"/>
        </w:rPr>
        <w:t>a</w:t>
      </w:r>
    </w:p>
    <w:p w14:paraId="1044EEEB" w14:textId="0DB70689" w:rsidR="001D0CCF" w:rsidRPr="00115F66" w:rsidRDefault="001D0CCF" w:rsidP="00115F66">
      <w:pPr>
        <w:pStyle w:val="Pta"/>
        <w:tabs>
          <w:tab w:val="clear" w:pos="4536"/>
          <w:tab w:val="clear" w:pos="9072"/>
        </w:tabs>
        <w:jc w:val="both"/>
        <w:rPr>
          <w:sz w:val="22"/>
          <w:szCs w:val="22"/>
        </w:rPr>
      </w:pPr>
      <w:r w:rsidRPr="00115F66">
        <w:rPr>
          <w:sz w:val="22"/>
          <w:szCs w:val="22"/>
        </w:rPr>
        <w:t xml:space="preserve">Pacienti s </w:t>
      </w:r>
      <w:r w:rsidR="00EC6842">
        <w:rPr>
          <w:sz w:val="22"/>
          <w:szCs w:val="22"/>
        </w:rPr>
        <w:t xml:space="preserve">poruchou </w:t>
      </w:r>
      <w:r w:rsidRPr="00115F66">
        <w:rPr>
          <w:sz w:val="22"/>
          <w:szCs w:val="22"/>
        </w:rPr>
        <w:t>funkcie obličiek alebo pečene:</w:t>
      </w:r>
    </w:p>
    <w:p w14:paraId="3F8E6F4F" w14:textId="77777777" w:rsidR="001D0CCF" w:rsidRPr="00115F66" w:rsidRDefault="001D0CCF" w:rsidP="00115F66">
      <w:pPr>
        <w:pStyle w:val="Pta"/>
        <w:tabs>
          <w:tab w:val="clear" w:pos="4536"/>
          <w:tab w:val="clear" w:pos="9072"/>
        </w:tabs>
        <w:jc w:val="both"/>
        <w:rPr>
          <w:sz w:val="22"/>
          <w:szCs w:val="22"/>
        </w:rPr>
      </w:pPr>
      <w:r w:rsidRPr="00115F66">
        <w:rPr>
          <w:sz w:val="22"/>
          <w:szCs w:val="22"/>
        </w:rPr>
        <w:t>Pozri časť 4.3.</w:t>
      </w:r>
    </w:p>
    <w:p w14:paraId="5650FD8B" w14:textId="77777777" w:rsidR="001D0CCF" w:rsidRPr="00115F66" w:rsidRDefault="001D0CCF" w:rsidP="00115F66">
      <w:pPr>
        <w:pStyle w:val="Pta"/>
        <w:tabs>
          <w:tab w:val="clear" w:pos="4536"/>
          <w:tab w:val="clear" w:pos="9072"/>
        </w:tabs>
        <w:jc w:val="both"/>
        <w:rPr>
          <w:sz w:val="22"/>
          <w:szCs w:val="22"/>
        </w:rPr>
      </w:pPr>
    </w:p>
    <w:p w14:paraId="7C1BA126" w14:textId="41826B6B" w:rsidR="001D0CCF" w:rsidRPr="00115F66" w:rsidRDefault="00EC6842" w:rsidP="00115F66">
      <w:pPr>
        <w:rPr>
          <w:color w:val="000000"/>
          <w:sz w:val="22"/>
          <w:szCs w:val="22"/>
          <w:u w:val="single"/>
        </w:rPr>
      </w:pPr>
      <w:r w:rsidRPr="00493191">
        <w:rPr>
          <w:i/>
          <w:color w:val="000000"/>
          <w:sz w:val="22"/>
          <w:szCs w:val="22"/>
          <w:u w:val="single"/>
        </w:rPr>
        <w:t>Pediatrická populácia</w:t>
      </w:r>
    </w:p>
    <w:p w14:paraId="4B021EF9" w14:textId="77777777" w:rsidR="001D0CCF" w:rsidRPr="00115F66" w:rsidRDefault="001D0CCF" w:rsidP="00115F66">
      <w:pPr>
        <w:rPr>
          <w:color w:val="000000"/>
          <w:sz w:val="22"/>
          <w:szCs w:val="22"/>
        </w:rPr>
      </w:pPr>
      <w:r w:rsidRPr="00115F66">
        <w:rPr>
          <w:color w:val="000000"/>
          <w:sz w:val="22"/>
          <w:szCs w:val="22"/>
        </w:rPr>
        <w:t>O používaní glimepiridu u pacientov vo veku do 8 rokov nie sú k dispozícii žiadne údaje. O používaní glimepiridu v monoterapii pacientov vo veku od 8 do 17 rokov sú údaje obmedzené (pozri časti 5.1 a 5.2).</w:t>
      </w:r>
    </w:p>
    <w:p w14:paraId="2B6B0D27" w14:textId="77777777" w:rsidR="001D0CCF" w:rsidRDefault="001D0CCF" w:rsidP="00115F66">
      <w:pPr>
        <w:pStyle w:val="Pta"/>
        <w:tabs>
          <w:tab w:val="clear" w:pos="4536"/>
          <w:tab w:val="clear" w:pos="9072"/>
        </w:tabs>
        <w:rPr>
          <w:color w:val="000000"/>
          <w:sz w:val="22"/>
          <w:szCs w:val="22"/>
        </w:rPr>
      </w:pPr>
      <w:r w:rsidRPr="00115F66">
        <w:rPr>
          <w:color w:val="000000"/>
          <w:sz w:val="22"/>
          <w:szCs w:val="22"/>
        </w:rPr>
        <w:t>Dostupné údaje o bezpečnosti a účinnosti v pediatrickej populácii sú nedostatočné, a preto sa používanie glimepiridu pre túto skupinu pacientov neodporúča.</w:t>
      </w:r>
    </w:p>
    <w:p w14:paraId="44E44AB7" w14:textId="77777777" w:rsidR="00EC6842" w:rsidRDefault="00EC6842" w:rsidP="00115F66">
      <w:pPr>
        <w:pStyle w:val="Pta"/>
        <w:tabs>
          <w:tab w:val="clear" w:pos="4536"/>
          <w:tab w:val="clear" w:pos="9072"/>
        </w:tabs>
        <w:rPr>
          <w:color w:val="000000"/>
          <w:sz w:val="22"/>
          <w:szCs w:val="22"/>
        </w:rPr>
      </w:pPr>
    </w:p>
    <w:p w14:paraId="05131524" w14:textId="77777777" w:rsidR="00EC6842" w:rsidRDefault="00EC6842" w:rsidP="00115F66">
      <w:pPr>
        <w:pStyle w:val="Pta"/>
        <w:tabs>
          <w:tab w:val="clear" w:pos="4536"/>
          <w:tab w:val="clear" w:pos="9072"/>
        </w:tabs>
        <w:rPr>
          <w:color w:val="000000"/>
          <w:sz w:val="22"/>
          <w:szCs w:val="22"/>
          <w:u w:val="single"/>
        </w:rPr>
      </w:pPr>
      <w:r>
        <w:rPr>
          <w:color w:val="000000"/>
          <w:sz w:val="22"/>
          <w:szCs w:val="22"/>
          <w:u w:val="single"/>
        </w:rPr>
        <w:t>Spôsob podávania</w:t>
      </w:r>
    </w:p>
    <w:p w14:paraId="481EC491" w14:textId="77777777" w:rsidR="00EC6842" w:rsidRPr="00EC6842" w:rsidRDefault="00EC6842" w:rsidP="00115F66">
      <w:pPr>
        <w:pStyle w:val="Pta"/>
        <w:tabs>
          <w:tab w:val="clear" w:pos="4536"/>
          <w:tab w:val="clear" w:pos="9072"/>
        </w:tabs>
        <w:rPr>
          <w:sz w:val="22"/>
          <w:szCs w:val="22"/>
        </w:rPr>
      </w:pPr>
      <w:r>
        <w:rPr>
          <w:color w:val="000000"/>
          <w:sz w:val="22"/>
          <w:szCs w:val="22"/>
        </w:rPr>
        <w:t>Glimepirid sa musí užiť tesne pred jedlom alebo počas jedla (pozri časť 4.4).</w:t>
      </w:r>
    </w:p>
    <w:p w14:paraId="5F67DB3F" w14:textId="77777777" w:rsidR="001D0CCF" w:rsidRPr="00115F66" w:rsidRDefault="001D0CCF" w:rsidP="00115F66">
      <w:pPr>
        <w:jc w:val="both"/>
        <w:rPr>
          <w:sz w:val="22"/>
          <w:szCs w:val="22"/>
        </w:rPr>
      </w:pPr>
    </w:p>
    <w:p w14:paraId="2E52E14B" w14:textId="77777777" w:rsidR="001D0CCF" w:rsidRPr="00115F66" w:rsidRDefault="001D0CCF" w:rsidP="00115F66">
      <w:pPr>
        <w:ind w:right="43"/>
        <w:rPr>
          <w:b/>
          <w:bCs/>
          <w:sz w:val="22"/>
          <w:szCs w:val="22"/>
        </w:rPr>
      </w:pPr>
      <w:r w:rsidRPr="00115F66">
        <w:rPr>
          <w:b/>
          <w:bCs/>
          <w:sz w:val="22"/>
          <w:szCs w:val="22"/>
        </w:rPr>
        <w:t>4.3</w:t>
      </w:r>
      <w:r w:rsidRPr="00115F66">
        <w:rPr>
          <w:b/>
          <w:bCs/>
          <w:sz w:val="22"/>
          <w:szCs w:val="22"/>
        </w:rPr>
        <w:tab/>
        <w:t>Kontraindikácie</w:t>
      </w:r>
    </w:p>
    <w:p w14:paraId="3C99D92E" w14:textId="77777777" w:rsidR="001D0CCF" w:rsidRPr="00115F66" w:rsidRDefault="001D0CCF" w:rsidP="00115F66">
      <w:pPr>
        <w:jc w:val="both"/>
        <w:rPr>
          <w:sz w:val="22"/>
          <w:szCs w:val="22"/>
        </w:rPr>
      </w:pPr>
    </w:p>
    <w:p w14:paraId="752D98DE" w14:textId="77777777" w:rsidR="001D0CCF" w:rsidRPr="00115F66" w:rsidRDefault="001D0CCF" w:rsidP="00115F66">
      <w:pPr>
        <w:rPr>
          <w:sz w:val="22"/>
          <w:szCs w:val="22"/>
        </w:rPr>
      </w:pPr>
      <w:r w:rsidRPr="00115F66">
        <w:rPr>
          <w:sz w:val="22"/>
          <w:szCs w:val="22"/>
        </w:rPr>
        <w:t>Glimepirid je kontraindikovaný u pacientov pri týchto stavoch:</w:t>
      </w:r>
    </w:p>
    <w:p w14:paraId="714E70B6" w14:textId="435FC3CF" w:rsidR="001D0CCF" w:rsidRPr="00115F66" w:rsidRDefault="001D0CCF" w:rsidP="00115F66">
      <w:pPr>
        <w:ind w:left="705" w:hanging="705"/>
        <w:rPr>
          <w:sz w:val="22"/>
          <w:szCs w:val="22"/>
        </w:rPr>
      </w:pPr>
      <w:r w:rsidRPr="00115F66">
        <w:rPr>
          <w:sz w:val="22"/>
          <w:szCs w:val="22"/>
        </w:rPr>
        <w:t>●</w:t>
      </w:r>
      <w:r w:rsidRPr="00115F66">
        <w:rPr>
          <w:sz w:val="22"/>
          <w:szCs w:val="22"/>
        </w:rPr>
        <w:tab/>
        <w:t>precitlivenosť na</w:t>
      </w:r>
      <w:r w:rsidR="00EC6842">
        <w:rPr>
          <w:sz w:val="22"/>
          <w:szCs w:val="22"/>
        </w:rPr>
        <w:t>liečivo</w:t>
      </w:r>
      <w:r w:rsidRPr="00115F66">
        <w:rPr>
          <w:sz w:val="22"/>
          <w:szCs w:val="22"/>
        </w:rPr>
        <w:t>, iné deriváty sulfonylmočoviny alebo sulfonamidy alebo na ktorúkoľvek  z pomocných látok</w:t>
      </w:r>
      <w:r w:rsidR="00943D5B" w:rsidRPr="00115F66">
        <w:rPr>
          <w:sz w:val="22"/>
          <w:szCs w:val="22"/>
        </w:rPr>
        <w:t xml:space="preserve"> uvedených v časti 6.1</w:t>
      </w:r>
      <w:r w:rsidRPr="00115F66">
        <w:rPr>
          <w:sz w:val="22"/>
          <w:szCs w:val="22"/>
        </w:rPr>
        <w:t>,</w:t>
      </w:r>
    </w:p>
    <w:p w14:paraId="6946DDE4" w14:textId="77777777" w:rsidR="001D0CCF" w:rsidRPr="00115F66" w:rsidRDefault="001D0CCF" w:rsidP="00115F66">
      <w:pPr>
        <w:rPr>
          <w:sz w:val="22"/>
          <w:szCs w:val="22"/>
        </w:rPr>
      </w:pPr>
      <w:r w:rsidRPr="00115F66">
        <w:rPr>
          <w:sz w:val="22"/>
          <w:szCs w:val="22"/>
        </w:rPr>
        <w:t>●</w:t>
      </w:r>
      <w:r w:rsidRPr="00115F66">
        <w:rPr>
          <w:sz w:val="22"/>
          <w:szCs w:val="22"/>
        </w:rPr>
        <w:tab/>
        <w:t>diabetes závislý od inzulínu,</w:t>
      </w:r>
    </w:p>
    <w:p w14:paraId="5EBB63B2" w14:textId="77777777" w:rsidR="001D0CCF" w:rsidRPr="00115F66" w:rsidRDefault="001D0CCF" w:rsidP="00115F66">
      <w:pPr>
        <w:rPr>
          <w:sz w:val="22"/>
          <w:szCs w:val="22"/>
        </w:rPr>
      </w:pPr>
      <w:r w:rsidRPr="00115F66">
        <w:rPr>
          <w:sz w:val="22"/>
          <w:szCs w:val="22"/>
        </w:rPr>
        <w:t>●</w:t>
      </w:r>
      <w:r w:rsidRPr="00115F66">
        <w:rPr>
          <w:sz w:val="22"/>
          <w:szCs w:val="22"/>
        </w:rPr>
        <w:tab/>
        <w:t>diabetická kóma,</w:t>
      </w:r>
    </w:p>
    <w:p w14:paraId="55EC84C5" w14:textId="77777777" w:rsidR="001D0CCF" w:rsidRPr="00115F66" w:rsidRDefault="001D0CCF" w:rsidP="00115F66">
      <w:pPr>
        <w:rPr>
          <w:sz w:val="22"/>
          <w:szCs w:val="22"/>
        </w:rPr>
      </w:pPr>
      <w:r w:rsidRPr="00115F66">
        <w:rPr>
          <w:sz w:val="22"/>
          <w:szCs w:val="22"/>
        </w:rPr>
        <w:t>●</w:t>
      </w:r>
      <w:r w:rsidRPr="00115F66">
        <w:rPr>
          <w:sz w:val="22"/>
          <w:szCs w:val="22"/>
        </w:rPr>
        <w:tab/>
        <w:t>ketoacidóza,</w:t>
      </w:r>
    </w:p>
    <w:p w14:paraId="6DAE62FD" w14:textId="77777777" w:rsidR="001D0CCF" w:rsidRPr="00115F66" w:rsidRDefault="001D0CCF" w:rsidP="00115F66">
      <w:pPr>
        <w:pStyle w:val="Zarkazkladnhotextu2"/>
        <w:rPr>
          <w:szCs w:val="22"/>
        </w:rPr>
      </w:pPr>
      <w:r w:rsidRPr="00115F66">
        <w:rPr>
          <w:szCs w:val="22"/>
        </w:rPr>
        <w:t>●</w:t>
      </w:r>
      <w:r w:rsidRPr="00115F66">
        <w:rPr>
          <w:szCs w:val="22"/>
        </w:rPr>
        <w:tab/>
        <w:t>ťažká porucha funkcie obličiek alebo pečene. V prípade ťažkej poruchy funkcie obličiek alebo pečene sa vyžaduje prestavenie na inzulín.</w:t>
      </w:r>
    </w:p>
    <w:p w14:paraId="5618738D" w14:textId="77777777" w:rsidR="001D0CCF" w:rsidRPr="00115F66" w:rsidRDefault="001D0CCF" w:rsidP="00115F66">
      <w:pPr>
        <w:rPr>
          <w:sz w:val="22"/>
          <w:szCs w:val="22"/>
        </w:rPr>
      </w:pPr>
    </w:p>
    <w:p w14:paraId="0315DAF1" w14:textId="77777777" w:rsidR="00841C45" w:rsidRPr="00115F66" w:rsidRDefault="00841C45" w:rsidP="00115F66">
      <w:pPr>
        <w:jc w:val="both"/>
        <w:rPr>
          <w:sz w:val="22"/>
          <w:szCs w:val="22"/>
        </w:rPr>
      </w:pPr>
      <w:r w:rsidRPr="00115F66">
        <w:rPr>
          <w:iCs/>
          <w:sz w:val="22"/>
          <w:szCs w:val="22"/>
        </w:rPr>
        <w:t xml:space="preserve">Navyše pre </w:t>
      </w:r>
      <w:r w:rsidRPr="00115F66">
        <w:rPr>
          <w:sz w:val="22"/>
          <w:szCs w:val="22"/>
        </w:rPr>
        <w:t>Melyd 2 mg tablety</w:t>
      </w:r>
    </w:p>
    <w:p w14:paraId="787D068C" w14:textId="77777777" w:rsidR="001D0CCF" w:rsidRPr="00115F66" w:rsidRDefault="00841C45" w:rsidP="00115F66">
      <w:pPr>
        <w:numPr>
          <w:ilvl w:val="0"/>
          <w:numId w:val="26"/>
        </w:numPr>
        <w:ind w:left="567" w:hanging="567"/>
        <w:rPr>
          <w:iCs/>
          <w:sz w:val="22"/>
          <w:szCs w:val="22"/>
        </w:rPr>
      </w:pPr>
      <w:r w:rsidRPr="00115F66">
        <w:rPr>
          <w:iCs/>
          <w:sz w:val="22"/>
          <w:szCs w:val="22"/>
        </w:rPr>
        <w:t xml:space="preserve">precitlivenosť na </w:t>
      </w:r>
      <w:r w:rsidRPr="00115F66">
        <w:rPr>
          <w:sz w:val="22"/>
          <w:szCs w:val="22"/>
        </w:rPr>
        <w:t>hlinitý lak oranžovej žlti (E110) a hlinitý lak tartrazínu (E102).</w:t>
      </w:r>
    </w:p>
    <w:p w14:paraId="6F710F23" w14:textId="77777777" w:rsidR="00841C45" w:rsidRPr="00115F66" w:rsidRDefault="00841C45" w:rsidP="00115F66">
      <w:pPr>
        <w:rPr>
          <w:iCs/>
          <w:sz w:val="22"/>
          <w:szCs w:val="22"/>
        </w:rPr>
      </w:pPr>
    </w:p>
    <w:p w14:paraId="5F5EA03C" w14:textId="77777777" w:rsidR="001D0CCF" w:rsidRPr="00115F66" w:rsidRDefault="001D0CCF" w:rsidP="00115F66">
      <w:pPr>
        <w:jc w:val="both"/>
        <w:rPr>
          <w:sz w:val="22"/>
          <w:szCs w:val="22"/>
        </w:rPr>
      </w:pPr>
      <w:r w:rsidRPr="00115F66">
        <w:rPr>
          <w:b/>
          <w:bCs/>
          <w:sz w:val="22"/>
          <w:szCs w:val="22"/>
        </w:rPr>
        <w:t>4.4</w:t>
      </w:r>
      <w:r w:rsidRPr="00115F66">
        <w:rPr>
          <w:b/>
          <w:bCs/>
          <w:sz w:val="22"/>
          <w:szCs w:val="22"/>
        </w:rPr>
        <w:tab/>
        <w:t>Osobitné upozornenia a opatrenia pri používaní</w:t>
      </w:r>
    </w:p>
    <w:p w14:paraId="4C35F4A3" w14:textId="77777777" w:rsidR="001D0CCF" w:rsidRPr="00115F66" w:rsidRDefault="001D0CCF" w:rsidP="00115F66">
      <w:pPr>
        <w:ind w:right="43"/>
        <w:rPr>
          <w:sz w:val="22"/>
          <w:szCs w:val="22"/>
        </w:rPr>
      </w:pPr>
    </w:p>
    <w:p w14:paraId="4CF6FF0F" w14:textId="77777777" w:rsidR="001D0CCF" w:rsidRPr="00115F66" w:rsidRDefault="00B55A81" w:rsidP="00115F66">
      <w:pPr>
        <w:pStyle w:val="Zkladntext"/>
        <w:jc w:val="both"/>
        <w:rPr>
          <w:rFonts w:ascii="Times New Roman" w:hAnsi="Times New Roman" w:cs="Times New Roman"/>
        </w:rPr>
      </w:pPr>
      <w:r w:rsidRPr="00115F66">
        <w:rPr>
          <w:rFonts w:ascii="Times New Roman" w:hAnsi="Times New Roman" w:cs="Times New Roman"/>
        </w:rPr>
        <w:t xml:space="preserve">Glimepirid </w:t>
      </w:r>
      <w:r w:rsidR="001D0CCF" w:rsidRPr="00115F66">
        <w:rPr>
          <w:rFonts w:ascii="Times New Roman" w:hAnsi="Times New Roman" w:cs="Times New Roman"/>
        </w:rPr>
        <w:t>sa musí užívať krátko pred jedlom alebo počas jedla.</w:t>
      </w:r>
    </w:p>
    <w:p w14:paraId="3AA3C73A" w14:textId="77777777" w:rsidR="001D0CCF" w:rsidRPr="00115F66" w:rsidRDefault="001D0CCF" w:rsidP="00115F66">
      <w:pPr>
        <w:pStyle w:val="Zkladntext"/>
        <w:jc w:val="both"/>
        <w:rPr>
          <w:rFonts w:ascii="Times New Roman" w:hAnsi="Times New Roman" w:cs="Times New Roman"/>
        </w:rPr>
      </w:pPr>
    </w:p>
    <w:p w14:paraId="381EE1AD" w14:textId="77777777" w:rsidR="001D0CCF" w:rsidRPr="00115F66" w:rsidRDefault="001D0CCF" w:rsidP="00115F66">
      <w:pPr>
        <w:pStyle w:val="Zkladntext"/>
        <w:rPr>
          <w:rFonts w:ascii="Times New Roman" w:hAnsi="Times New Roman" w:cs="Times New Roman"/>
        </w:rPr>
      </w:pPr>
      <w:r w:rsidRPr="00115F66">
        <w:rPr>
          <w:rFonts w:ascii="Times New Roman" w:hAnsi="Times New Roman" w:cs="Times New Roman"/>
        </w:rPr>
        <w:t xml:space="preserve">Ak sa jedlo prijíma v nepravidelnom čase alebo sa úplne vynecháva, liečba </w:t>
      </w:r>
      <w:r w:rsidR="00B55A81" w:rsidRPr="00115F66">
        <w:rPr>
          <w:rFonts w:ascii="Times New Roman" w:hAnsi="Times New Roman" w:cs="Times New Roman"/>
        </w:rPr>
        <w:t xml:space="preserve">glimepiridom </w:t>
      </w:r>
      <w:r w:rsidRPr="00115F66">
        <w:rPr>
          <w:rFonts w:ascii="Times New Roman" w:hAnsi="Times New Roman" w:cs="Times New Roman"/>
        </w:rPr>
        <w:t xml:space="preserve">môže viesť k hypoglykémii. Možné príznaky hypoglykémie zahŕňajú: bolesť hlavy, pálčivý hlad, nevoľnosť, vracanie, únavu, ospalosť, poruchy spánku, nepokoj, agresívnosť, narušené sústredenie, bdelosť a čas reakcie, depresiu, zmätenosť, poruchy reči a zraku, afáziu, tras, parézy, senzorické  poruchy, závrat, bezmocnosť, stratu sebakontroly, delírium, cerebrálne záchvaty, spavosť a stratu vedomia vrátane kómy, plytkého dýchania a bradykardie. </w:t>
      </w:r>
    </w:p>
    <w:p w14:paraId="13C46904" w14:textId="77777777" w:rsidR="001D0CCF" w:rsidRPr="00115F66" w:rsidRDefault="001D0CCF" w:rsidP="00115F66">
      <w:pPr>
        <w:rPr>
          <w:sz w:val="22"/>
          <w:szCs w:val="22"/>
        </w:rPr>
      </w:pPr>
      <w:r w:rsidRPr="00115F66">
        <w:rPr>
          <w:sz w:val="22"/>
          <w:szCs w:val="22"/>
        </w:rPr>
        <w:t xml:space="preserve">Okrem toho sa môžu vyskytnúť znaky adrenergnej protiregulácie, ako sú potenie, vlhká koža, úzkosť, tachykardia, hypertenzia, palpitácie, angina pectoris a srdcové arytmie. </w:t>
      </w:r>
    </w:p>
    <w:p w14:paraId="70FD76A6" w14:textId="77777777" w:rsidR="001D0CCF" w:rsidRPr="00115F66" w:rsidRDefault="001D0CCF" w:rsidP="00115F66">
      <w:pPr>
        <w:jc w:val="both"/>
        <w:rPr>
          <w:sz w:val="22"/>
          <w:szCs w:val="22"/>
        </w:rPr>
      </w:pPr>
    </w:p>
    <w:p w14:paraId="46BDA0FC" w14:textId="77777777" w:rsidR="001D0CCF" w:rsidRPr="00115F66" w:rsidRDefault="001D0CCF" w:rsidP="00115F66">
      <w:pPr>
        <w:jc w:val="both"/>
        <w:rPr>
          <w:sz w:val="22"/>
          <w:szCs w:val="22"/>
        </w:rPr>
      </w:pPr>
      <w:r w:rsidRPr="00115F66">
        <w:rPr>
          <w:sz w:val="22"/>
          <w:szCs w:val="22"/>
        </w:rPr>
        <w:t xml:space="preserve">Klinický obraz ťažkého hypoglykemického záchvatu môže pripomínať mŕtvicu. </w:t>
      </w:r>
    </w:p>
    <w:p w14:paraId="73D5C5ED" w14:textId="77777777" w:rsidR="001D0CCF" w:rsidRPr="00115F66" w:rsidRDefault="001D0CCF" w:rsidP="00115F66">
      <w:pPr>
        <w:pStyle w:val="Zkladntext"/>
        <w:rPr>
          <w:rFonts w:ascii="Times New Roman" w:hAnsi="Times New Roman" w:cs="Times New Roman"/>
        </w:rPr>
      </w:pPr>
    </w:p>
    <w:p w14:paraId="6B1701E4" w14:textId="77777777" w:rsidR="001D0CCF" w:rsidRPr="00115F66" w:rsidRDefault="001D0CCF" w:rsidP="00115F66">
      <w:pPr>
        <w:pStyle w:val="Zkladntext"/>
        <w:rPr>
          <w:rFonts w:ascii="Times New Roman" w:hAnsi="Times New Roman" w:cs="Times New Roman"/>
        </w:rPr>
      </w:pPr>
      <w:r w:rsidRPr="00115F66">
        <w:rPr>
          <w:rFonts w:ascii="Times New Roman" w:hAnsi="Times New Roman" w:cs="Times New Roman"/>
        </w:rPr>
        <w:t>Symptómy hypoglykémie sa takmer vždy zvládnu podaním sacharidov (cukru). Umelé sladidlá nie sú účinné.</w:t>
      </w:r>
    </w:p>
    <w:p w14:paraId="6CB07E23" w14:textId="77777777" w:rsidR="001D0CCF" w:rsidRPr="00115F66" w:rsidRDefault="001D0CCF" w:rsidP="00115F66">
      <w:pPr>
        <w:pStyle w:val="Zkladntext"/>
        <w:rPr>
          <w:rFonts w:ascii="Times New Roman" w:hAnsi="Times New Roman" w:cs="Times New Roman"/>
        </w:rPr>
      </w:pPr>
    </w:p>
    <w:p w14:paraId="49E3FDB9" w14:textId="77777777" w:rsidR="001D0CCF" w:rsidRPr="00115F66" w:rsidRDefault="001D0CCF" w:rsidP="00115F66">
      <w:pPr>
        <w:pStyle w:val="Zkladntext"/>
        <w:rPr>
          <w:rFonts w:ascii="Times New Roman" w:hAnsi="Times New Roman" w:cs="Times New Roman"/>
        </w:rPr>
      </w:pPr>
      <w:r w:rsidRPr="00115F66">
        <w:rPr>
          <w:rFonts w:ascii="Times New Roman" w:hAnsi="Times New Roman" w:cs="Times New Roman"/>
        </w:rPr>
        <w:lastRenderedPageBreak/>
        <w:t>Zo skúseností s inými derivátmi sulfonylmočoviny je známe, že hypoglykémia sa môže zopakovať  napriek úspešným začiatočným protiopatreniam.</w:t>
      </w:r>
    </w:p>
    <w:p w14:paraId="4A898988" w14:textId="77777777" w:rsidR="001D0CCF" w:rsidRPr="00115F66" w:rsidRDefault="001D0CCF" w:rsidP="00115F66">
      <w:pPr>
        <w:pStyle w:val="Zkladntext"/>
        <w:rPr>
          <w:rFonts w:ascii="Times New Roman" w:hAnsi="Times New Roman" w:cs="Times New Roman"/>
        </w:rPr>
      </w:pPr>
    </w:p>
    <w:p w14:paraId="196E12C1" w14:textId="77777777" w:rsidR="001D0CCF" w:rsidRPr="00115F66" w:rsidRDefault="001D0CCF" w:rsidP="00115F66">
      <w:pPr>
        <w:pStyle w:val="Zkladntext"/>
        <w:rPr>
          <w:rFonts w:ascii="Times New Roman" w:hAnsi="Times New Roman" w:cs="Times New Roman"/>
        </w:rPr>
      </w:pPr>
      <w:r w:rsidRPr="00115F66">
        <w:rPr>
          <w:rFonts w:ascii="Times New Roman" w:hAnsi="Times New Roman" w:cs="Times New Roman"/>
        </w:rPr>
        <w:t>Závažná hypoglykémia alebo dlhodobá hypoglykémia, ktorá bola iba dočasne zvládnutá zvyčajnými množstvami cukru, si vyžaduje okamžité lekárske ošetrenie a niekedy aj hospitalizáciu.</w:t>
      </w:r>
    </w:p>
    <w:p w14:paraId="2ED2429E" w14:textId="77777777" w:rsidR="001D0CCF" w:rsidRPr="00115F66" w:rsidRDefault="001D0CCF" w:rsidP="00115F66">
      <w:pPr>
        <w:pStyle w:val="Zkladntext"/>
        <w:jc w:val="both"/>
        <w:rPr>
          <w:rFonts w:ascii="Times New Roman" w:hAnsi="Times New Roman" w:cs="Times New Roman"/>
        </w:rPr>
      </w:pPr>
    </w:p>
    <w:p w14:paraId="53526C55" w14:textId="77777777" w:rsidR="001D0CCF" w:rsidRPr="00115F66" w:rsidRDefault="001D0CCF" w:rsidP="00115F66">
      <w:pPr>
        <w:pStyle w:val="Zkladntext"/>
        <w:jc w:val="both"/>
        <w:rPr>
          <w:rFonts w:ascii="Times New Roman" w:hAnsi="Times New Roman" w:cs="Times New Roman"/>
        </w:rPr>
      </w:pPr>
      <w:r w:rsidRPr="00115F66">
        <w:rPr>
          <w:rFonts w:ascii="Times New Roman" w:hAnsi="Times New Roman" w:cs="Times New Roman"/>
        </w:rPr>
        <w:t>Faktory zvyšujúce riziko hypoglykémie obsahujú:</w:t>
      </w:r>
    </w:p>
    <w:p w14:paraId="1C12D6EB" w14:textId="77777777" w:rsidR="001D0CCF" w:rsidRPr="00115F66" w:rsidRDefault="001D0CCF" w:rsidP="00115F66">
      <w:pPr>
        <w:numPr>
          <w:ilvl w:val="0"/>
          <w:numId w:val="22"/>
        </w:numPr>
        <w:jc w:val="both"/>
        <w:rPr>
          <w:sz w:val="22"/>
          <w:szCs w:val="22"/>
        </w:rPr>
      </w:pPr>
      <w:r w:rsidRPr="00115F66">
        <w:rPr>
          <w:sz w:val="22"/>
          <w:szCs w:val="22"/>
        </w:rPr>
        <w:t xml:space="preserve">neochotu alebo (častejšie u starších pacientov) neschopnosť pacienta spolupracovať, </w:t>
      </w:r>
    </w:p>
    <w:p w14:paraId="19CBA747" w14:textId="77777777" w:rsidR="001D0CCF" w:rsidRPr="00115F66" w:rsidRDefault="001D0CCF" w:rsidP="00115F66">
      <w:pPr>
        <w:numPr>
          <w:ilvl w:val="0"/>
          <w:numId w:val="22"/>
        </w:numPr>
        <w:jc w:val="both"/>
        <w:rPr>
          <w:sz w:val="22"/>
          <w:szCs w:val="22"/>
        </w:rPr>
      </w:pPr>
      <w:r w:rsidRPr="00115F66">
        <w:rPr>
          <w:sz w:val="22"/>
          <w:szCs w:val="22"/>
        </w:rPr>
        <w:t>podvýživu, nepravidelné stravovanie alebo vynechávanie jedla alebo obdobia hladovania,</w:t>
      </w:r>
    </w:p>
    <w:p w14:paraId="34DD0139" w14:textId="77777777" w:rsidR="001D0CCF" w:rsidRPr="00115F66" w:rsidRDefault="001D0CCF" w:rsidP="00115F66">
      <w:pPr>
        <w:numPr>
          <w:ilvl w:val="0"/>
          <w:numId w:val="22"/>
        </w:numPr>
        <w:jc w:val="both"/>
        <w:rPr>
          <w:sz w:val="22"/>
          <w:szCs w:val="22"/>
        </w:rPr>
      </w:pPr>
      <w:r w:rsidRPr="00115F66">
        <w:rPr>
          <w:sz w:val="22"/>
          <w:szCs w:val="22"/>
        </w:rPr>
        <w:t>výkyvy diéty,</w:t>
      </w:r>
    </w:p>
    <w:p w14:paraId="1D84A48D" w14:textId="77777777" w:rsidR="001D0CCF" w:rsidRPr="00115F66" w:rsidRDefault="001D0CCF" w:rsidP="00115F66">
      <w:pPr>
        <w:numPr>
          <w:ilvl w:val="0"/>
          <w:numId w:val="22"/>
        </w:numPr>
        <w:jc w:val="both"/>
        <w:rPr>
          <w:sz w:val="22"/>
          <w:szCs w:val="22"/>
        </w:rPr>
      </w:pPr>
      <w:r w:rsidRPr="00115F66">
        <w:rPr>
          <w:sz w:val="22"/>
          <w:szCs w:val="22"/>
        </w:rPr>
        <w:t>nevyváženosť medzi telesným cvičením a príjmom sacharidov,</w:t>
      </w:r>
    </w:p>
    <w:p w14:paraId="04A97B96" w14:textId="77777777" w:rsidR="001D0CCF" w:rsidRPr="00115F66" w:rsidRDefault="001D0CCF" w:rsidP="00115F66">
      <w:pPr>
        <w:numPr>
          <w:ilvl w:val="0"/>
          <w:numId w:val="22"/>
        </w:numPr>
        <w:jc w:val="both"/>
        <w:rPr>
          <w:sz w:val="22"/>
          <w:szCs w:val="22"/>
        </w:rPr>
      </w:pPr>
      <w:r w:rsidRPr="00115F66">
        <w:rPr>
          <w:sz w:val="22"/>
          <w:szCs w:val="22"/>
        </w:rPr>
        <w:t>konzumáciu alkoholu, osobitne v kombinácii s vynechávaním jedla,</w:t>
      </w:r>
    </w:p>
    <w:p w14:paraId="74F6CC1B" w14:textId="77777777" w:rsidR="001D0CCF" w:rsidRPr="00115F66" w:rsidRDefault="001D0CCF" w:rsidP="00115F66">
      <w:pPr>
        <w:numPr>
          <w:ilvl w:val="0"/>
          <w:numId w:val="22"/>
        </w:numPr>
        <w:jc w:val="both"/>
        <w:rPr>
          <w:sz w:val="22"/>
          <w:szCs w:val="22"/>
        </w:rPr>
      </w:pPr>
      <w:r w:rsidRPr="00115F66">
        <w:rPr>
          <w:sz w:val="22"/>
          <w:szCs w:val="22"/>
        </w:rPr>
        <w:t>poškodenie funkcie obličiek,</w:t>
      </w:r>
    </w:p>
    <w:p w14:paraId="3B0124DD" w14:textId="77777777" w:rsidR="001D0CCF" w:rsidRPr="00115F66" w:rsidRDefault="001D0CCF" w:rsidP="00115F66">
      <w:pPr>
        <w:pStyle w:val="Pta"/>
        <w:numPr>
          <w:ilvl w:val="0"/>
          <w:numId w:val="22"/>
        </w:numPr>
        <w:tabs>
          <w:tab w:val="clear" w:pos="4536"/>
          <w:tab w:val="clear" w:pos="9072"/>
        </w:tabs>
        <w:jc w:val="both"/>
        <w:rPr>
          <w:sz w:val="22"/>
          <w:szCs w:val="22"/>
        </w:rPr>
      </w:pPr>
      <w:r w:rsidRPr="00115F66">
        <w:rPr>
          <w:sz w:val="22"/>
          <w:szCs w:val="22"/>
        </w:rPr>
        <w:t>závažné poškodenie funkcie pečene,</w:t>
      </w:r>
    </w:p>
    <w:p w14:paraId="35F01245" w14:textId="77777777" w:rsidR="001D0CCF" w:rsidRPr="00115F66" w:rsidRDefault="001D0CCF" w:rsidP="00115F66">
      <w:pPr>
        <w:numPr>
          <w:ilvl w:val="0"/>
          <w:numId w:val="22"/>
        </w:numPr>
        <w:jc w:val="both"/>
        <w:rPr>
          <w:sz w:val="22"/>
          <w:szCs w:val="22"/>
        </w:rPr>
      </w:pPr>
      <w:r w:rsidRPr="00115F66">
        <w:rPr>
          <w:sz w:val="22"/>
          <w:szCs w:val="22"/>
        </w:rPr>
        <w:t>predávkovanie</w:t>
      </w:r>
      <w:r w:rsidR="00B55A81" w:rsidRPr="00115F66">
        <w:rPr>
          <w:sz w:val="22"/>
          <w:szCs w:val="22"/>
        </w:rPr>
        <w:t xml:space="preserve"> glimepiridom</w:t>
      </w:r>
      <w:r w:rsidRPr="00115F66">
        <w:rPr>
          <w:sz w:val="22"/>
          <w:szCs w:val="22"/>
        </w:rPr>
        <w:t>,</w:t>
      </w:r>
    </w:p>
    <w:p w14:paraId="55F9AEB1" w14:textId="77777777" w:rsidR="001D0CCF" w:rsidRPr="00115F66" w:rsidRDefault="001D0CCF" w:rsidP="00115F66">
      <w:pPr>
        <w:numPr>
          <w:ilvl w:val="0"/>
          <w:numId w:val="22"/>
        </w:numPr>
        <w:rPr>
          <w:sz w:val="22"/>
          <w:szCs w:val="22"/>
        </w:rPr>
      </w:pPr>
      <w:r w:rsidRPr="00115F66">
        <w:rPr>
          <w:sz w:val="22"/>
          <w:szCs w:val="22"/>
        </w:rPr>
        <w:t>určité nekompenzované poruchy endokrinného systému ovplyvňujúce metabolizmus sacharidov  alebo protireguláciu hypoglykémie (ako napríklad pri istých poruchách funkcie štítnej žľazy a pri nedostatočnosti prednej hypofýzy alebo drene nadobličiek),</w:t>
      </w:r>
    </w:p>
    <w:p w14:paraId="66AF9D08" w14:textId="77777777" w:rsidR="001D0CCF" w:rsidRPr="00115F66" w:rsidRDefault="001D0CCF" w:rsidP="00115F66">
      <w:pPr>
        <w:numPr>
          <w:ilvl w:val="0"/>
          <w:numId w:val="22"/>
        </w:numPr>
        <w:jc w:val="both"/>
        <w:rPr>
          <w:sz w:val="22"/>
          <w:szCs w:val="22"/>
        </w:rPr>
      </w:pPr>
      <w:r w:rsidRPr="00115F66">
        <w:rPr>
          <w:sz w:val="22"/>
          <w:szCs w:val="22"/>
        </w:rPr>
        <w:t>súbežné podávanie niektorých iných liekov (pozri časť 4.5).</w:t>
      </w:r>
    </w:p>
    <w:p w14:paraId="7A2828D9" w14:textId="77777777" w:rsidR="001D0CCF" w:rsidRPr="00115F66" w:rsidRDefault="001D0CCF" w:rsidP="00115F66">
      <w:pPr>
        <w:jc w:val="both"/>
        <w:rPr>
          <w:sz w:val="22"/>
          <w:szCs w:val="22"/>
        </w:rPr>
      </w:pPr>
    </w:p>
    <w:p w14:paraId="71B41114" w14:textId="77777777" w:rsidR="001D0CCF" w:rsidRPr="00115F66" w:rsidRDefault="001D0CCF" w:rsidP="00115F66">
      <w:pPr>
        <w:rPr>
          <w:sz w:val="22"/>
          <w:szCs w:val="22"/>
        </w:rPr>
      </w:pPr>
      <w:r w:rsidRPr="00115F66">
        <w:rPr>
          <w:sz w:val="22"/>
          <w:szCs w:val="22"/>
        </w:rPr>
        <w:t xml:space="preserve">Liečba </w:t>
      </w:r>
      <w:r w:rsidR="00B55A81" w:rsidRPr="00115F66">
        <w:rPr>
          <w:sz w:val="22"/>
          <w:szCs w:val="22"/>
        </w:rPr>
        <w:t xml:space="preserve">glimepiridom </w:t>
      </w:r>
      <w:r w:rsidRPr="00115F66">
        <w:rPr>
          <w:sz w:val="22"/>
          <w:szCs w:val="22"/>
        </w:rPr>
        <w:t>si vyžaduje pravidelné merania hladín glukózy v krvi a moči. Okrem toho sa odporúča stanoviť pomer glykozylovaného hemoglobínu.</w:t>
      </w:r>
    </w:p>
    <w:p w14:paraId="24001D09" w14:textId="77777777" w:rsidR="001D0CCF" w:rsidRPr="00115F66" w:rsidRDefault="001D0CCF" w:rsidP="00115F66">
      <w:pPr>
        <w:rPr>
          <w:sz w:val="22"/>
          <w:szCs w:val="22"/>
        </w:rPr>
      </w:pPr>
    </w:p>
    <w:p w14:paraId="3366A3FC" w14:textId="77777777" w:rsidR="001D0CCF" w:rsidRPr="00115F66" w:rsidRDefault="001D0CCF" w:rsidP="00115F66">
      <w:pPr>
        <w:rPr>
          <w:sz w:val="22"/>
          <w:szCs w:val="22"/>
        </w:rPr>
      </w:pPr>
      <w:r w:rsidRPr="00115F66">
        <w:rPr>
          <w:sz w:val="22"/>
          <w:szCs w:val="22"/>
        </w:rPr>
        <w:t xml:space="preserve">V priebehu liečby </w:t>
      </w:r>
      <w:r w:rsidR="00B55A81" w:rsidRPr="00115F66">
        <w:rPr>
          <w:sz w:val="22"/>
          <w:szCs w:val="22"/>
        </w:rPr>
        <w:t xml:space="preserve">glimepiridom </w:t>
      </w:r>
      <w:r w:rsidRPr="00115F66">
        <w:rPr>
          <w:sz w:val="22"/>
          <w:szCs w:val="22"/>
        </w:rPr>
        <w:t>sa vyžaduje pravidelné sledovanie pečeňových a hematologických parametrov (hlavne leukocytov a trombocytov).</w:t>
      </w:r>
    </w:p>
    <w:p w14:paraId="03ADB97E" w14:textId="77777777" w:rsidR="001D0CCF" w:rsidRPr="00115F66" w:rsidRDefault="001D0CCF" w:rsidP="00115F66">
      <w:pPr>
        <w:pStyle w:val="Zkladntext"/>
        <w:rPr>
          <w:rFonts w:ascii="Times New Roman" w:hAnsi="Times New Roman" w:cs="Times New Roman"/>
        </w:rPr>
      </w:pPr>
    </w:p>
    <w:p w14:paraId="3AB1BA11" w14:textId="77777777" w:rsidR="001D0CCF" w:rsidRPr="00115F66" w:rsidRDefault="001D0CCF" w:rsidP="00115F66">
      <w:pPr>
        <w:pStyle w:val="Zkladntext"/>
        <w:rPr>
          <w:rFonts w:ascii="Times New Roman" w:hAnsi="Times New Roman" w:cs="Times New Roman"/>
        </w:rPr>
      </w:pPr>
      <w:r w:rsidRPr="00115F66">
        <w:rPr>
          <w:rFonts w:ascii="Times New Roman" w:hAnsi="Times New Roman" w:cs="Times New Roman"/>
        </w:rPr>
        <w:t>V stresových situáciách (napr. nehody, naliehavá operácia, infekcie s horúčkou atď.) možno   indikovať dočasné prestavenie na inzulín.</w:t>
      </w:r>
    </w:p>
    <w:p w14:paraId="4F3BE6DB" w14:textId="77777777" w:rsidR="001D0CCF" w:rsidRPr="00115F66" w:rsidRDefault="001D0CCF" w:rsidP="00115F66">
      <w:pPr>
        <w:rPr>
          <w:sz w:val="22"/>
          <w:szCs w:val="22"/>
        </w:rPr>
      </w:pPr>
    </w:p>
    <w:p w14:paraId="481440BE" w14:textId="77777777" w:rsidR="001D0CCF" w:rsidRPr="00115F66" w:rsidRDefault="001D0CCF" w:rsidP="00115F66">
      <w:pPr>
        <w:rPr>
          <w:sz w:val="22"/>
          <w:szCs w:val="22"/>
        </w:rPr>
      </w:pPr>
      <w:r w:rsidRPr="00115F66">
        <w:rPr>
          <w:sz w:val="22"/>
          <w:szCs w:val="22"/>
        </w:rPr>
        <w:t xml:space="preserve">S použitím </w:t>
      </w:r>
      <w:r w:rsidR="00B55A81" w:rsidRPr="00115F66">
        <w:rPr>
          <w:sz w:val="22"/>
          <w:szCs w:val="22"/>
        </w:rPr>
        <w:t xml:space="preserve">glimepiridu </w:t>
      </w:r>
      <w:r w:rsidRPr="00115F66">
        <w:rPr>
          <w:sz w:val="22"/>
          <w:szCs w:val="22"/>
        </w:rPr>
        <w:t>u pacientov so závažným poškodením funkcie pečene a u dialyzovaných pacientov nie sú skúsenosti. Pacientom so závažným poškodením funkcie obličiek alebo pečene sa indikuje prestavenie na inzulín.</w:t>
      </w:r>
    </w:p>
    <w:p w14:paraId="4C04830D" w14:textId="77777777" w:rsidR="001D0CCF" w:rsidRPr="00115F66" w:rsidRDefault="001D0CCF" w:rsidP="00115F66">
      <w:pPr>
        <w:rPr>
          <w:sz w:val="22"/>
          <w:szCs w:val="22"/>
        </w:rPr>
      </w:pPr>
    </w:p>
    <w:p w14:paraId="6424753E" w14:textId="77777777" w:rsidR="001D0CCF" w:rsidRPr="00115F66" w:rsidRDefault="001D0CCF" w:rsidP="00115F66">
      <w:pPr>
        <w:pStyle w:val="Zkladntext"/>
        <w:rPr>
          <w:rFonts w:ascii="Times New Roman" w:hAnsi="Times New Roman" w:cs="Times New Roman"/>
        </w:rPr>
      </w:pPr>
      <w:r w:rsidRPr="00115F66">
        <w:rPr>
          <w:rFonts w:ascii="Times New Roman" w:hAnsi="Times New Roman" w:cs="Times New Roman"/>
        </w:rPr>
        <w:t>Liečba pacientov s deficitom G6PD derivátmi sulfonylmočoviny môže viesť k hemolytickej anémii. Keďže glimepirid patrí do chemickej skupiny derivátov sulfonylmočoviny, pri pacientoch s deficitom G6PD je nutná opatrnosť a musí sa zvážiť alternatívna liečba bez použitia derivátov sulfonylmočoviny.</w:t>
      </w:r>
    </w:p>
    <w:p w14:paraId="65B2BE76" w14:textId="77777777" w:rsidR="001D0CCF" w:rsidRPr="00115F66" w:rsidRDefault="001D0CCF" w:rsidP="00115F66">
      <w:pPr>
        <w:rPr>
          <w:sz w:val="22"/>
          <w:szCs w:val="22"/>
        </w:rPr>
      </w:pPr>
    </w:p>
    <w:p w14:paraId="12B59D45" w14:textId="77777777" w:rsidR="001D0CCF" w:rsidRPr="00B679AE" w:rsidRDefault="00B679AE" w:rsidP="00115F66">
      <w:pPr>
        <w:pStyle w:val="Zkladntext"/>
        <w:jc w:val="both"/>
        <w:rPr>
          <w:rFonts w:ascii="Times New Roman" w:hAnsi="Times New Roman" w:cs="Times New Roman"/>
          <w:u w:val="single"/>
        </w:rPr>
      </w:pPr>
      <w:r w:rsidRPr="00B679AE">
        <w:rPr>
          <w:rFonts w:ascii="Times New Roman" w:hAnsi="Times New Roman" w:cs="Times New Roman"/>
          <w:u w:val="single"/>
        </w:rPr>
        <w:t>Pomocné látky</w:t>
      </w:r>
    </w:p>
    <w:p w14:paraId="5C5F1258" w14:textId="77777777" w:rsidR="00B679AE" w:rsidRPr="00493191" w:rsidRDefault="00B679AE" w:rsidP="00493191">
      <w:pPr>
        <w:rPr>
          <w:sz w:val="22"/>
          <w:szCs w:val="22"/>
          <w:lang w:eastAsia="sk-SK"/>
        </w:rPr>
      </w:pPr>
      <w:r>
        <w:rPr>
          <w:sz w:val="22"/>
          <w:szCs w:val="22"/>
        </w:rPr>
        <w:t xml:space="preserve">Melyd obsahuje laktózu. </w:t>
      </w:r>
      <w:r w:rsidRPr="00B679AE">
        <w:rPr>
          <w:sz w:val="22"/>
          <w:szCs w:val="22"/>
          <w:lang w:eastAsia="sk-SK"/>
        </w:rPr>
        <w:t>Pacienti so zriedkavými dedičnými problémami galaktózovej intolerancie, celkovým deficitom laktázy alebo glukózo-galaktózovou</w:t>
      </w:r>
      <w:r w:rsidRPr="00493191">
        <w:rPr>
          <w:sz w:val="22"/>
          <w:szCs w:val="22"/>
          <w:lang w:eastAsia="sk-SK"/>
        </w:rPr>
        <w:t xml:space="preserve"> </w:t>
      </w:r>
      <w:r w:rsidRPr="00B679AE">
        <w:rPr>
          <w:sz w:val="22"/>
          <w:szCs w:val="22"/>
          <w:lang w:eastAsia="sk-SK"/>
        </w:rPr>
        <w:t>malabsorpciou nesmú užívať tento liek.</w:t>
      </w:r>
    </w:p>
    <w:p w14:paraId="464F8F3D" w14:textId="77777777" w:rsidR="00B679AE" w:rsidRPr="00493191" w:rsidRDefault="00B679AE" w:rsidP="00B679AE">
      <w:pPr>
        <w:autoSpaceDE w:val="0"/>
        <w:autoSpaceDN w:val="0"/>
        <w:adjustRightInd w:val="0"/>
        <w:rPr>
          <w:sz w:val="22"/>
          <w:szCs w:val="22"/>
          <w:lang w:eastAsia="sk-SK"/>
        </w:rPr>
      </w:pPr>
    </w:p>
    <w:p w14:paraId="7536E5C2" w14:textId="77777777" w:rsidR="00B679AE" w:rsidRPr="00B679AE" w:rsidRDefault="00B679AE" w:rsidP="00B679AE">
      <w:pPr>
        <w:autoSpaceDE w:val="0"/>
        <w:autoSpaceDN w:val="0"/>
        <w:adjustRightInd w:val="0"/>
        <w:rPr>
          <w:sz w:val="22"/>
          <w:szCs w:val="22"/>
          <w:lang w:eastAsia="sk-SK"/>
        </w:rPr>
      </w:pPr>
      <w:r w:rsidRPr="00B679AE">
        <w:rPr>
          <w:sz w:val="22"/>
          <w:szCs w:val="22"/>
          <w:lang w:eastAsia="sk-SK"/>
        </w:rPr>
        <w:t>Tento liek obsahuje menej ako 1 mmol sodíka (23 mg) v tablete , t.j. v podstate zanedbateľné množstvo sodíka.</w:t>
      </w:r>
    </w:p>
    <w:p w14:paraId="56193212" w14:textId="77777777" w:rsidR="00B679AE" w:rsidRPr="00B679AE" w:rsidRDefault="00B679AE" w:rsidP="00115F66">
      <w:pPr>
        <w:pStyle w:val="Zkladntext"/>
        <w:jc w:val="both"/>
        <w:rPr>
          <w:rFonts w:ascii="Times New Roman" w:hAnsi="Times New Roman" w:cs="Times New Roman"/>
          <w:u w:val="single"/>
        </w:rPr>
      </w:pPr>
    </w:p>
    <w:p w14:paraId="2AE7DE5A" w14:textId="77777777" w:rsidR="00B55A81" w:rsidRPr="00115F66" w:rsidRDefault="00B55A81" w:rsidP="00115F66">
      <w:pPr>
        <w:rPr>
          <w:iCs/>
          <w:sz w:val="22"/>
          <w:szCs w:val="22"/>
        </w:rPr>
      </w:pPr>
      <w:r w:rsidRPr="00115F66">
        <w:rPr>
          <w:iCs/>
          <w:sz w:val="22"/>
          <w:szCs w:val="22"/>
        </w:rPr>
        <w:t xml:space="preserve">Melyd 2 mg tablety obsahujú farbivá </w:t>
      </w:r>
      <w:r w:rsidRPr="00115F66">
        <w:rPr>
          <w:sz w:val="22"/>
          <w:szCs w:val="22"/>
        </w:rPr>
        <w:t>oranžovú žlť a tartrazín, ktoré môžu vyvolať alergické reakcie.</w:t>
      </w:r>
    </w:p>
    <w:p w14:paraId="1C49DE0B" w14:textId="77777777" w:rsidR="00B55A81" w:rsidRPr="00115F66" w:rsidRDefault="00B55A81" w:rsidP="00115F66">
      <w:pPr>
        <w:pStyle w:val="Zkladntext"/>
        <w:jc w:val="both"/>
        <w:rPr>
          <w:rFonts w:ascii="Times New Roman" w:hAnsi="Times New Roman" w:cs="Times New Roman"/>
        </w:rPr>
      </w:pPr>
    </w:p>
    <w:p w14:paraId="58D7FA13" w14:textId="77777777" w:rsidR="001D0CCF" w:rsidRPr="00115F66" w:rsidRDefault="001D0CCF" w:rsidP="00115F66">
      <w:pPr>
        <w:ind w:right="43"/>
        <w:rPr>
          <w:b/>
          <w:bCs/>
          <w:sz w:val="22"/>
          <w:szCs w:val="22"/>
        </w:rPr>
      </w:pPr>
      <w:r w:rsidRPr="00115F66">
        <w:rPr>
          <w:b/>
          <w:bCs/>
          <w:sz w:val="22"/>
          <w:szCs w:val="22"/>
        </w:rPr>
        <w:t>4.5</w:t>
      </w:r>
      <w:r w:rsidRPr="00115F66">
        <w:rPr>
          <w:b/>
          <w:bCs/>
          <w:sz w:val="22"/>
          <w:szCs w:val="22"/>
        </w:rPr>
        <w:tab/>
        <w:t>Liekové a iné interakcie</w:t>
      </w:r>
    </w:p>
    <w:p w14:paraId="70A19FF0" w14:textId="77777777" w:rsidR="001D0CCF" w:rsidRPr="00115F66" w:rsidRDefault="001D0CCF" w:rsidP="00115F66">
      <w:pPr>
        <w:pStyle w:val="Zkladntext"/>
        <w:jc w:val="both"/>
        <w:rPr>
          <w:rFonts w:ascii="Times New Roman" w:hAnsi="Times New Roman" w:cs="Times New Roman"/>
        </w:rPr>
      </w:pPr>
    </w:p>
    <w:p w14:paraId="0381AFC1" w14:textId="77777777" w:rsidR="001D0CCF" w:rsidRPr="00115F66" w:rsidRDefault="001D0CCF" w:rsidP="00115F66">
      <w:pPr>
        <w:pStyle w:val="Zkladntext"/>
        <w:rPr>
          <w:rFonts w:ascii="Times New Roman" w:hAnsi="Times New Roman" w:cs="Times New Roman"/>
        </w:rPr>
      </w:pPr>
      <w:r w:rsidRPr="00115F66">
        <w:rPr>
          <w:rFonts w:ascii="Times New Roman" w:hAnsi="Times New Roman" w:cs="Times New Roman"/>
        </w:rPr>
        <w:t xml:space="preserve">Ak sa Melyd užíva súbežne s niektorými inými liekmi, môže dôjsť k nežiaducemu zvýšeniu alebo zníženiu hypoglykemického účinku glimepiridu. Z tohto dôvodu sa iné lieky majú užívať iba s vedomím (alebo na predpis) lekára. </w:t>
      </w:r>
    </w:p>
    <w:p w14:paraId="21403271" w14:textId="77777777" w:rsidR="001D0CCF" w:rsidRPr="00115F66" w:rsidRDefault="001D0CCF" w:rsidP="00115F66">
      <w:pPr>
        <w:pStyle w:val="Zkladntext"/>
        <w:rPr>
          <w:rFonts w:ascii="Times New Roman" w:hAnsi="Times New Roman" w:cs="Times New Roman"/>
        </w:rPr>
      </w:pPr>
    </w:p>
    <w:p w14:paraId="36DBDCC9" w14:textId="77777777" w:rsidR="001D0CCF" w:rsidRPr="00115F66" w:rsidRDefault="001D0CCF" w:rsidP="00115F66">
      <w:pPr>
        <w:pStyle w:val="Zkladntext"/>
        <w:rPr>
          <w:rFonts w:ascii="Times New Roman" w:hAnsi="Times New Roman" w:cs="Times New Roman"/>
        </w:rPr>
      </w:pPr>
      <w:r w:rsidRPr="00115F66">
        <w:rPr>
          <w:rFonts w:ascii="Times New Roman" w:hAnsi="Times New Roman" w:cs="Times New Roman"/>
        </w:rPr>
        <w:t>Glimeprid je metabolizovaný prostredníctvom cytochrómu P450 2C9 (CYP2C9). O jeho metabolizme je známe, že je ovplyvnený súbežným podávaním induktorov (napr. rifampicín) alebo inhibítorov (napr. flukonazol).</w:t>
      </w:r>
    </w:p>
    <w:p w14:paraId="2BB1ECA7" w14:textId="77777777" w:rsidR="001D0CCF" w:rsidRPr="00115F66" w:rsidRDefault="001D0CCF" w:rsidP="00115F66">
      <w:pPr>
        <w:pStyle w:val="Zkladntext"/>
        <w:rPr>
          <w:rFonts w:ascii="Times New Roman" w:hAnsi="Times New Roman" w:cs="Times New Roman"/>
        </w:rPr>
      </w:pPr>
    </w:p>
    <w:p w14:paraId="63D09024" w14:textId="77777777" w:rsidR="001D0CCF" w:rsidRPr="00115F66" w:rsidRDefault="001D0CCF" w:rsidP="00115F66">
      <w:pPr>
        <w:pStyle w:val="Zkladntext"/>
        <w:rPr>
          <w:rFonts w:ascii="Times New Roman" w:hAnsi="Times New Roman" w:cs="Times New Roman"/>
        </w:rPr>
      </w:pPr>
      <w:r w:rsidRPr="00115F66">
        <w:rPr>
          <w:rFonts w:ascii="Times New Roman" w:hAnsi="Times New Roman" w:cs="Times New Roman"/>
        </w:rPr>
        <w:lastRenderedPageBreak/>
        <w:t xml:space="preserve">Výsledky interakčnej štúdie </w:t>
      </w:r>
      <w:r w:rsidRPr="00115F66">
        <w:rPr>
          <w:rFonts w:ascii="Times New Roman" w:hAnsi="Times New Roman" w:cs="Times New Roman"/>
          <w:i/>
          <w:iCs/>
        </w:rPr>
        <w:t>in vivo</w:t>
      </w:r>
      <w:r w:rsidRPr="00115F66">
        <w:rPr>
          <w:rFonts w:ascii="Times New Roman" w:hAnsi="Times New Roman" w:cs="Times New Roman"/>
        </w:rPr>
        <w:t xml:space="preserve"> opísané v literatúre dokazujú, že AUC je približne dvojnásobne zvýšená flukonazolom, jedným z najsilnejších inhibítorov CYP2C9.</w:t>
      </w:r>
    </w:p>
    <w:p w14:paraId="5336AE3C" w14:textId="77777777" w:rsidR="001D0CCF" w:rsidRPr="00115F66" w:rsidRDefault="001D0CCF" w:rsidP="00115F66">
      <w:pPr>
        <w:pStyle w:val="Zkladntext"/>
        <w:jc w:val="both"/>
        <w:rPr>
          <w:rFonts w:ascii="Times New Roman" w:hAnsi="Times New Roman" w:cs="Times New Roman"/>
        </w:rPr>
      </w:pPr>
    </w:p>
    <w:p w14:paraId="73C728FB" w14:textId="77777777" w:rsidR="001D0CCF" w:rsidRPr="00115F66" w:rsidRDefault="001D0CCF" w:rsidP="00115F66">
      <w:pPr>
        <w:pStyle w:val="Zkladntext"/>
        <w:rPr>
          <w:rFonts w:ascii="Times New Roman" w:hAnsi="Times New Roman" w:cs="Times New Roman"/>
        </w:rPr>
      </w:pPr>
      <w:r w:rsidRPr="00115F66">
        <w:rPr>
          <w:rFonts w:ascii="Times New Roman" w:hAnsi="Times New Roman" w:cs="Times New Roman"/>
        </w:rPr>
        <w:t>Na základe skúseností s glimepiridom a inými derivátmi sulfonylmočoviny sa musia spomenúť nasledovné interakcie.</w:t>
      </w:r>
    </w:p>
    <w:p w14:paraId="3A7C28AF" w14:textId="77777777" w:rsidR="001D0CCF" w:rsidRPr="00115F66" w:rsidRDefault="001D0CCF" w:rsidP="00115F66">
      <w:pPr>
        <w:rPr>
          <w:sz w:val="22"/>
          <w:szCs w:val="22"/>
        </w:rPr>
      </w:pPr>
    </w:p>
    <w:p w14:paraId="48319305" w14:textId="77777777" w:rsidR="001D0CCF" w:rsidRPr="00115F66" w:rsidRDefault="001D0CCF" w:rsidP="00115F66">
      <w:pPr>
        <w:pStyle w:val="Zkladntext"/>
        <w:rPr>
          <w:rFonts w:ascii="Times New Roman" w:hAnsi="Times New Roman" w:cs="Times New Roman"/>
        </w:rPr>
      </w:pPr>
      <w:r w:rsidRPr="00115F66">
        <w:rPr>
          <w:rFonts w:ascii="Times New Roman" w:hAnsi="Times New Roman" w:cs="Times New Roman"/>
        </w:rPr>
        <w:t>Zosilnenie účinku na zníženie glukózy v krvi, a teda v niektorých prípadoch hypoglykémia  môže nastať, ak sa užíva niektorý z nasledovných liekov, napr:</w:t>
      </w:r>
    </w:p>
    <w:p w14:paraId="30E211AA" w14:textId="77777777" w:rsidR="001D0CCF" w:rsidRPr="00115F66" w:rsidRDefault="001D0CCF" w:rsidP="00115F66">
      <w:pPr>
        <w:rPr>
          <w:sz w:val="22"/>
          <w:szCs w:val="22"/>
        </w:rPr>
      </w:pPr>
    </w:p>
    <w:p w14:paraId="6BCC8158" w14:textId="77777777" w:rsidR="001D0CCF" w:rsidRPr="00115F66" w:rsidRDefault="001D0CCF" w:rsidP="00115F66">
      <w:pPr>
        <w:numPr>
          <w:ilvl w:val="0"/>
          <w:numId w:val="25"/>
        </w:numPr>
        <w:ind w:left="705"/>
        <w:rPr>
          <w:sz w:val="22"/>
          <w:szCs w:val="22"/>
        </w:rPr>
      </w:pPr>
      <w:r w:rsidRPr="00115F66">
        <w:rPr>
          <w:sz w:val="22"/>
          <w:szCs w:val="22"/>
        </w:rPr>
        <w:t>fenylbutazón, azapropazón a oxyfenbutazón,</w:t>
      </w:r>
    </w:p>
    <w:p w14:paraId="1F8AFDF7" w14:textId="77777777" w:rsidR="001D0CCF" w:rsidRPr="00115F66" w:rsidRDefault="001D0CCF" w:rsidP="00115F66">
      <w:pPr>
        <w:numPr>
          <w:ilvl w:val="0"/>
          <w:numId w:val="25"/>
        </w:numPr>
        <w:ind w:left="705"/>
        <w:rPr>
          <w:sz w:val="22"/>
          <w:szCs w:val="22"/>
        </w:rPr>
      </w:pPr>
      <w:r w:rsidRPr="00115F66">
        <w:rPr>
          <w:sz w:val="22"/>
          <w:szCs w:val="22"/>
        </w:rPr>
        <w:t>inzulín a iné perorálne antidiabetiká ako napríklad metformín,</w:t>
      </w:r>
    </w:p>
    <w:p w14:paraId="323D9CE9" w14:textId="77777777" w:rsidR="001D0CCF" w:rsidRPr="00115F66" w:rsidRDefault="001D0CCF" w:rsidP="00115F66">
      <w:pPr>
        <w:numPr>
          <w:ilvl w:val="0"/>
          <w:numId w:val="25"/>
        </w:numPr>
        <w:ind w:left="705"/>
        <w:rPr>
          <w:sz w:val="22"/>
          <w:szCs w:val="22"/>
        </w:rPr>
      </w:pPr>
      <w:r w:rsidRPr="00115F66">
        <w:rPr>
          <w:sz w:val="22"/>
          <w:szCs w:val="22"/>
        </w:rPr>
        <w:t>salicyláty a kyselina paraaminosalicylová,</w:t>
      </w:r>
    </w:p>
    <w:p w14:paraId="00B9689F" w14:textId="77777777" w:rsidR="001D0CCF" w:rsidRPr="00115F66" w:rsidRDefault="001D0CCF" w:rsidP="00493191">
      <w:pPr>
        <w:numPr>
          <w:ilvl w:val="0"/>
          <w:numId w:val="25"/>
        </w:numPr>
        <w:tabs>
          <w:tab w:val="clear" w:pos="1065"/>
          <w:tab w:val="num" w:pos="709"/>
        </w:tabs>
        <w:ind w:left="705"/>
        <w:rPr>
          <w:sz w:val="22"/>
          <w:szCs w:val="22"/>
        </w:rPr>
      </w:pPr>
      <w:r w:rsidRPr="00115F66">
        <w:rPr>
          <w:sz w:val="22"/>
          <w:szCs w:val="22"/>
        </w:rPr>
        <w:t>anabolické steroidy a mužské pohlavné hormóny,</w:t>
      </w:r>
    </w:p>
    <w:p w14:paraId="63EF444C" w14:textId="77777777" w:rsidR="001D0CCF" w:rsidRPr="00115F66" w:rsidRDefault="001D0CCF" w:rsidP="00493191">
      <w:pPr>
        <w:numPr>
          <w:ilvl w:val="0"/>
          <w:numId w:val="25"/>
        </w:numPr>
        <w:tabs>
          <w:tab w:val="clear" w:pos="1065"/>
          <w:tab w:val="num" w:pos="709"/>
        </w:tabs>
        <w:ind w:left="1134" w:hanging="1134"/>
        <w:rPr>
          <w:sz w:val="22"/>
          <w:szCs w:val="22"/>
        </w:rPr>
      </w:pPr>
      <w:r w:rsidRPr="00115F66">
        <w:rPr>
          <w:sz w:val="22"/>
          <w:szCs w:val="22"/>
        </w:rPr>
        <w:t>chloramfenikol, niektoré dlhodobo účinkujúce sulfonamidy, tetracyklíny, chinolónové</w:t>
      </w:r>
    </w:p>
    <w:p w14:paraId="6D1BFBB6" w14:textId="77777777" w:rsidR="001D0CCF" w:rsidRPr="00115F66" w:rsidRDefault="001D0CCF" w:rsidP="00493191">
      <w:pPr>
        <w:numPr>
          <w:ilvl w:val="0"/>
          <w:numId w:val="25"/>
        </w:numPr>
        <w:tabs>
          <w:tab w:val="clear" w:pos="1065"/>
          <w:tab w:val="num" w:pos="709"/>
        </w:tabs>
        <w:ind w:left="1134" w:hanging="1134"/>
        <w:rPr>
          <w:sz w:val="22"/>
          <w:szCs w:val="22"/>
        </w:rPr>
      </w:pPr>
      <w:r w:rsidRPr="00115F66">
        <w:rPr>
          <w:sz w:val="22"/>
          <w:szCs w:val="22"/>
        </w:rPr>
        <w:t>antibiotiká a klaritromycín,</w:t>
      </w:r>
    </w:p>
    <w:p w14:paraId="65947432" w14:textId="77777777" w:rsidR="001D0CCF" w:rsidRPr="00115F66" w:rsidRDefault="001D0CCF" w:rsidP="00493191">
      <w:pPr>
        <w:numPr>
          <w:ilvl w:val="0"/>
          <w:numId w:val="25"/>
        </w:numPr>
        <w:tabs>
          <w:tab w:val="clear" w:pos="1065"/>
          <w:tab w:val="num" w:pos="709"/>
        </w:tabs>
        <w:ind w:left="705"/>
        <w:rPr>
          <w:sz w:val="22"/>
          <w:szCs w:val="22"/>
        </w:rPr>
      </w:pPr>
      <w:r w:rsidRPr="00115F66">
        <w:rPr>
          <w:sz w:val="22"/>
          <w:szCs w:val="22"/>
        </w:rPr>
        <w:t>kumarínové antikoagulanciá,</w:t>
      </w:r>
    </w:p>
    <w:p w14:paraId="0B3A7E68" w14:textId="77777777" w:rsidR="001D0CCF" w:rsidRPr="00115F66" w:rsidRDefault="001D0CCF" w:rsidP="00115F66">
      <w:pPr>
        <w:numPr>
          <w:ilvl w:val="0"/>
          <w:numId w:val="25"/>
        </w:numPr>
        <w:ind w:left="705"/>
        <w:rPr>
          <w:sz w:val="22"/>
          <w:szCs w:val="22"/>
        </w:rPr>
      </w:pPr>
      <w:r w:rsidRPr="00115F66">
        <w:rPr>
          <w:sz w:val="22"/>
          <w:szCs w:val="22"/>
        </w:rPr>
        <w:t>fenfluramín,</w:t>
      </w:r>
    </w:p>
    <w:p w14:paraId="5E0FFFE5" w14:textId="77777777" w:rsidR="00B55A81" w:rsidRPr="00115F66" w:rsidRDefault="00B55A81" w:rsidP="00115F66">
      <w:pPr>
        <w:numPr>
          <w:ilvl w:val="0"/>
          <w:numId w:val="25"/>
        </w:numPr>
        <w:ind w:left="705"/>
        <w:rPr>
          <w:sz w:val="22"/>
          <w:szCs w:val="22"/>
        </w:rPr>
      </w:pPr>
      <w:r w:rsidRPr="00115F66">
        <w:rPr>
          <w:sz w:val="22"/>
          <w:szCs w:val="22"/>
        </w:rPr>
        <w:t>dizopyramid,</w:t>
      </w:r>
    </w:p>
    <w:p w14:paraId="26D8E329" w14:textId="77777777" w:rsidR="001D0CCF" w:rsidRPr="00115F66" w:rsidRDefault="001D0CCF" w:rsidP="00115F66">
      <w:pPr>
        <w:numPr>
          <w:ilvl w:val="0"/>
          <w:numId w:val="25"/>
        </w:numPr>
        <w:ind w:left="705"/>
        <w:rPr>
          <w:sz w:val="22"/>
          <w:szCs w:val="22"/>
        </w:rPr>
      </w:pPr>
      <w:r w:rsidRPr="00115F66">
        <w:rPr>
          <w:sz w:val="22"/>
          <w:szCs w:val="22"/>
        </w:rPr>
        <w:t>fibráty,</w:t>
      </w:r>
    </w:p>
    <w:p w14:paraId="698F761B" w14:textId="77777777" w:rsidR="001D0CCF" w:rsidRPr="00115F66" w:rsidRDefault="001D0CCF" w:rsidP="00115F66">
      <w:pPr>
        <w:numPr>
          <w:ilvl w:val="0"/>
          <w:numId w:val="25"/>
        </w:numPr>
        <w:ind w:left="705"/>
        <w:rPr>
          <w:sz w:val="22"/>
          <w:szCs w:val="22"/>
        </w:rPr>
      </w:pPr>
      <w:r w:rsidRPr="00115F66">
        <w:rPr>
          <w:sz w:val="22"/>
          <w:szCs w:val="22"/>
        </w:rPr>
        <w:t>ACE inhibítory,</w:t>
      </w:r>
    </w:p>
    <w:p w14:paraId="3FB2DE53" w14:textId="77777777" w:rsidR="001D0CCF" w:rsidRPr="00115F66" w:rsidRDefault="001D0CCF" w:rsidP="00115F66">
      <w:pPr>
        <w:numPr>
          <w:ilvl w:val="0"/>
          <w:numId w:val="25"/>
        </w:numPr>
        <w:ind w:left="705"/>
        <w:rPr>
          <w:sz w:val="22"/>
          <w:szCs w:val="22"/>
        </w:rPr>
      </w:pPr>
      <w:r w:rsidRPr="00115F66">
        <w:rPr>
          <w:sz w:val="22"/>
          <w:szCs w:val="22"/>
        </w:rPr>
        <w:t>fluoxetín, MAO inhibítory,</w:t>
      </w:r>
    </w:p>
    <w:p w14:paraId="4C07DAF0" w14:textId="77777777" w:rsidR="001D0CCF" w:rsidRPr="00115F66" w:rsidRDefault="001D0CCF" w:rsidP="00115F66">
      <w:pPr>
        <w:numPr>
          <w:ilvl w:val="0"/>
          <w:numId w:val="25"/>
        </w:numPr>
        <w:ind w:left="705"/>
        <w:rPr>
          <w:sz w:val="22"/>
          <w:szCs w:val="22"/>
        </w:rPr>
      </w:pPr>
      <w:r w:rsidRPr="00115F66">
        <w:rPr>
          <w:sz w:val="22"/>
          <w:szCs w:val="22"/>
        </w:rPr>
        <w:t>alopurinol, probenicid, sulfinpyrazón,</w:t>
      </w:r>
    </w:p>
    <w:p w14:paraId="6466F949" w14:textId="77777777" w:rsidR="001D0CCF" w:rsidRPr="00115F66" w:rsidRDefault="001D0CCF" w:rsidP="00115F66">
      <w:pPr>
        <w:numPr>
          <w:ilvl w:val="0"/>
          <w:numId w:val="25"/>
        </w:numPr>
        <w:ind w:left="705"/>
        <w:rPr>
          <w:sz w:val="22"/>
          <w:szCs w:val="22"/>
        </w:rPr>
      </w:pPr>
      <w:r w:rsidRPr="00115F66">
        <w:rPr>
          <w:sz w:val="22"/>
          <w:szCs w:val="22"/>
        </w:rPr>
        <w:t xml:space="preserve">sympatolytiká, </w:t>
      </w:r>
    </w:p>
    <w:p w14:paraId="5D764607" w14:textId="77777777" w:rsidR="001D0CCF" w:rsidRPr="00115F66" w:rsidRDefault="001D0CCF" w:rsidP="00115F66">
      <w:pPr>
        <w:numPr>
          <w:ilvl w:val="0"/>
          <w:numId w:val="25"/>
        </w:numPr>
        <w:ind w:left="705"/>
        <w:rPr>
          <w:sz w:val="22"/>
          <w:szCs w:val="22"/>
        </w:rPr>
      </w:pPr>
      <w:r w:rsidRPr="00115F66">
        <w:rPr>
          <w:sz w:val="22"/>
          <w:szCs w:val="22"/>
        </w:rPr>
        <w:t>cyklofosfamid, trofosfamid a ifosfamidy,</w:t>
      </w:r>
    </w:p>
    <w:p w14:paraId="1D695296" w14:textId="77777777" w:rsidR="001D0CCF" w:rsidRPr="00115F66" w:rsidRDefault="001D0CCF" w:rsidP="00115F66">
      <w:pPr>
        <w:numPr>
          <w:ilvl w:val="0"/>
          <w:numId w:val="25"/>
        </w:numPr>
        <w:ind w:left="705"/>
        <w:rPr>
          <w:sz w:val="22"/>
          <w:szCs w:val="22"/>
        </w:rPr>
      </w:pPr>
      <w:r w:rsidRPr="00115F66">
        <w:rPr>
          <w:sz w:val="22"/>
          <w:szCs w:val="22"/>
        </w:rPr>
        <w:t>mikonazol, flukonazol,</w:t>
      </w:r>
    </w:p>
    <w:p w14:paraId="6C920860" w14:textId="77777777" w:rsidR="001D0CCF" w:rsidRPr="00115F66" w:rsidRDefault="001D0CCF" w:rsidP="00115F66">
      <w:pPr>
        <w:numPr>
          <w:ilvl w:val="0"/>
          <w:numId w:val="25"/>
        </w:numPr>
        <w:ind w:left="705"/>
        <w:rPr>
          <w:sz w:val="22"/>
          <w:szCs w:val="22"/>
        </w:rPr>
      </w:pPr>
      <w:r w:rsidRPr="00115F66">
        <w:rPr>
          <w:sz w:val="22"/>
          <w:szCs w:val="22"/>
        </w:rPr>
        <w:t>pentoxifylín (vysoká parenterálna dávka),</w:t>
      </w:r>
    </w:p>
    <w:p w14:paraId="39583A72" w14:textId="77777777" w:rsidR="001D0CCF" w:rsidRPr="00115F66" w:rsidRDefault="001D0CCF" w:rsidP="00115F66">
      <w:pPr>
        <w:numPr>
          <w:ilvl w:val="0"/>
          <w:numId w:val="25"/>
        </w:numPr>
        <w:ind w:left="705"/>
        <w:rPr>
          <w:sz w:val="22"/>
          <w:szCs w:val="22"/>
        </w:rPr>
      </w:pPr>
      <w:r w:rsidRPr="00115F66">
        <w:rPr>
          <w:sz w:val="22"/>
          <w:szCs w:val="22"/>
        </w:rPr>
        <w:t>tritokvalín.</w:t>
      </w:r>
    </w:p>
    <w:p w14:paraId="08C6ECBA" w14:textId="57863BDE" w:rsidR="001D0CCF" w:rsidRPr="00115F66" w:rsidRDefault="001D0CCF" w:rsidP="00115F66">
      <w:pPr>
        <w:pStyle w:val="Zkladntext"/>
        <w:rPr>
          <w:rFonts w:ascii="Times New Roman" w:hAnsi="Times New Roman" w:cs="Times New Roman"/>
        </w:rPr>
      </w:pPr>
    </w:p>
    <w:p w14:paraId="52744FB8" w14:textId="77777777" w:rsidR="001D0CCF" w:rsidRPr="00115F66" w:rsidRDefault="001D0CCF" w:rsidP="00115F66">
      <w:pPr>
        <w:pStyle w:val="Zkladntext"/>
        <w:rPr>
          <w:rFonts w:ascii="Times New Roman" w:hAnsi="Times New Roman" w:cs="Times New Roman"/>
        </w:rPr>
      </w:pPr>
      <w:r w:rsidRPr="00115F66">
        <w:rPr>
          <w:rFonts w:ascii="Times New Roman" w:hAnsi="Times New Roman" w:cs="Times New Roman"/>
        </w:rPr>
        <w:t>Oslabenie hypoglykemického účinku, ktoré vedie k zvýšeniu hladín glukózy môže nastať pri užívaní niektorého z nasledovných liekov:</w:t>
      </w:r>
    </w:p>
    <w:p w14:paraId="53232FDE" w14:textId="77777777" w:rsidR="001D0CCF" w:rsidRPr="00115F66" w:rsidRDefault="001D0CCF" w:rsidP="00115F66">
      <w:pPr>
        <w:pStyle w:val="Zkladntext"/>
        <w:rPr>
          <w:rFonts w:ascii="Times New Roman" w:hAnsi="Times New Roman" w:cs="Times New Roman"/>
        </w:rPr>
      </w:pPr>
    </w:p>
    <w:p w14:paraId="07F03251" w14:textId="77777777" w:rsidR="001D0CCF" w:rsidRPr="00115F66" w:rsidRDefault="001D0CCF" w:rsidP="00493191">
      <w:pPr>
        <w:pStyle w:val="Zkladntext"/>
        <w:numPr>
          <w:ilvl w:val="0"/>
          <w:numId w:val="24"/>
        </w:numPr>
        <w:tabs>
          <w:tab w:val="clear" w:pos="780"/>
          <w:tab w:val="num" w:pos="709"/>
        </w:tabs>
        <w:ind w:hanging="780"/>
        <w:rPr>
          <w:rFonts w:ascii="Times New Roman" w:hAnsi="Times New Roman" w:cs="Times New Roman"/>
        </w:rPr>
      </w:pPr>
      <w:r w:rsidRPr="00115F66">
        <w:rPr>
          <w:rFonts w:ascii="Times New Roman" w:hAnsi="Times New Roman" w:cs="Times New Roman"/>
        </w:rPr>
        <w:t xml:space="preserve">estrogény a progestagény, </w:t>
      </w:r>
    </w:p>
    <w:p w14:paraId="24C6F8A9" w14:textId="77777777" w:rsidR="001D0CCF" w:rsidRPr="00115F66" w:rsidRDefault="001D0CCF" w:rsidP="00493191">
      <w:pPr>
        <w:pStyle w:val="Zkladntext"/>
        <w:numPr>
          <w:ilvl w:val="0"/>
          <w:numId w:val="24"/>
        </w:numPr>
        <w:tabs>
          <w:tab w:val="clear" w:pos="780"/>
          <w:tab w:val="num" w:pos="709"/>
        </w:tabs>
        <w:ind w:hanging="780"/>
        <w:rPr>
          <w:rFonts w:ascii="Times New Roman" w:hAnsi="Times New Roman" w:cs="Times New Roman"/>
        </w:rPr>
      </w:pPr>
      <w:r w:rsidRPr="00115F66">
        <w:rPr>
          <w:rFonts w:ascii="Times New Roman" w:hAnsi="Times New Roman" w:cs="Times New Roman"/>
        </w:rPr>
        <w:t xml:space="preserve">saluretiká, tiazínové diuretiká, </w:t>
      </w:r>
    </w:p>
    <w:p w14:paraId="003E3DD2" w14:textId="77777777" w:rsidR="001D0CCF" w:rsidRPr="00115F66" w:rsidRDefault="001D0CCF" w:rsidP="00493191">
      <w:pPr>
        <w:pStyle w:val="Zkladntext"/>
        <w:numPr>
          <w:ilvl w:val="0"/>
          <w:numId w:val="24"/>
        </w:numPr>
        <w:tabs>
          <w:tab w:val="clear" w:pos="780"/>
          <w:tab w:val="num" w:pos="709"/>
        </w:tabs>
        <w:ind w:hanging="780"/>
        <w:rPr>
          <w:rFonts w:ascii="Times New Roman" w:hAnsi="Times New Roman" w:cs="Times New Roman"/>
        </w:rPr>
      </w:pPr>
      <w:r w:rsidRPr="00115F66">
        <w:rPr>
          <w:rFonts w:ascii="Times New Roman" w:hAnsi="Times New Roman" w:cs="Times New Roman"/>
        </w:rPr>
        <w:t xml:space="preserve">lieky stimulujúce štítnu žľazu, glukokortikoidy, </w:t>
      </w:r>
    </w:p>
    <w:p w14:paraId="6ED64D45" w14:textId="77777777" w:rsidR="001D0CCF" w:rsidRPr="00115F66" w:rsidRDefault="001D0CCF" w:rsidP="00493191">
      <w:pPr>
        <w:pStyle w:val="Zkladntext"/>
        <w:numPr>
          <w:ilvl w:val="0"/>
          <w:numId w:val="24"/>
        </w:numPr>
        <w:tabs>
          <w:tab w:val="clear" w:pos="780"/>
          <w:tab w:val="num" w:pos="709"/>
        </w:tabs>
        <w:ind w:hanging="780"/>
        <w:rPr>
          <w:rFonts w:ascii="Times New Roman" w:hAnsi="Times New Roman" w:cs="Times New Roman"/>
        </w:rPr>
      </w:pPr>
      <w:r w:rsidRPr="00115F66">
        <w:rPr>
          <w:rFonts w:ascii="Times New Roman" w:hAnsi="Times New Roman" w:cs="Times New Roman"/>
        </w:rPr>
        <w:t xml:space="preserve">fenotiazínové deriváty, chlórpromazín, </w:t>
      </w:r>
    </w:p>
    <w:p w14:paraId="2E5F41CF" w14:textId="77777777" w:rsidR="001D0CCF" w:rsidRPr="00115F66" w:rsidRDefault="001D0CCF" w:rsidP="00493191">
      <w:pPr>
        <w:pStyle w:val="Zkladntext"/>
        <w:numPr>
          <w:ilvl w:val="0"/>
          <w:numId w:val="24"/>
        </w:numPr>
        <w:tabs>
          <w:tab w:val="clear" w:pos="780"/>
          <w:tab w:val="num" w:pos="709"/>
        </w:tabs>
        <w:ind w:hanging="780"/>
        <w:rPr>
          <w:rFonts w:ascii="Times New Roman" w:hAnsi="Times New Roman" w:cs="Times New Roman"/>
        </w:rPr>
      </w:pPr>
      <w:r w:rsidRPr="00115F66">
        <w:rPr>
          <w:rFonts w:ascii="Times New Roman" w:hAnsi="Times New Roman" w:cs="Times New Roman"/>
        </w:rPr>
        <w:t xml:space="preserve">adrenalín a sympatomimetiká, </w:t>
      </w:r>
    </w:p>
    <w:p w14:paraId="176C8016" w14:textId="77777777" w:rsidR="001D0CCF" w:rsidRPr="00115F66" w:rsidRDefault="001D0CCF" w:rsidP="00493191">
      <w:pPr>
        <w:pStyle w:val="Zkladntext"/>
        <w:numPr>
          <w:ilvl w:val="0"/>
          <w:numId w:val="24"/>
        </w:numPr>
        <w:tabs>
          <w:tab w:val="clear" w:pos="780"/>
          <w:tab w:val="num" w:pos="709"/>
        </w:tabs>
        <w:ind w:hanging="780"/>
        <w:rPr>
          <w:rFonts w:ascii="Times New Roman" w:hAnsi="Times New Roman" w:cs="Times New Roman"/>
        </w:rPr>
      </w:pPr>
      <w:r w:rsidRPr="00115F66">
        <w:rPr>
          <w:rFonts w:ascii="Times New Roman" w:hAnsi="Times New Roman" w:cs="Times New Roman"/>
        </w:rPr>
        <w:t xml:space="preserve">kyselina nikotínová (vo vysokých dávkach) a deriváty kyseliny nikotínovej, </w:t>
      </w:r>
    </w:p>
    <w:p w14:paraId="387A9652" w14:textId="77777777" w:rsidR="001D0CCF" w:rsidRPr="00115F66" w:rsidRDefault="001D0CCF" w:rsidP="00493191">
      <w:pPr>
        <w:pStyle w:val="Zkladntext"/>
        <w:numPr>
          <w:ilvl w:val="0"/>
          <w:numId w:val="24"/>
        </w:numPr>
        <w:tabs>
          <w:tab w:val="clear" w:pos="780"/>
          <w:tab w:val="num" w:pos="709"/>
        </w:tabs>
        <w:ind w:hanging="780"/>
        <w:rPr>
          <w:rFonts w:ascii="Times New Roman" w:hAnsi="Times New Roman" w:cs="Times New Roman"/>
        </w:rPr>
      </w:pPr>
      <w:r w:rsidRPr="00115F66">
        <w:rPr>
          <w:rFonts w:ascii="Times New Roman" w:hAnsi="Times New Roman" w:cs="Times New Roman"/>
        </w:rPr>
        <w:t xml:space="preserve">laxatíva (pri dlhodobom užívaní), </w:t>
      </w:r>
    </w:p>
    <w:p w14:paraId="51E5A8D2" w14:textId="77777777" w:rsidR="001D0CCF" w:rsidRPr="00115F66" w:rsidRDefault="001D0CCF" w:rsidP="00493191">
      <w:pPr>
        <w:pStyle w:val="Zkladntext"/>
        <w:numPr>
          <w:ilvl w:val="0"/>
          <w:numId w:val="24"/>
        </w:numPr>
        <w:tabs>
          <w:tab w:val="clear" w:pos="780"/>
          <w:tab w:val="num" w:pos="709"/>
        </w:tabs>
        <w:ind w:hanging="780"/>
        <w:rPr>
          <w:rFonts w:ascii="Times New Roman" w:hAnsi="Times New Roman" w:cs="Times New Roman"/>
        </w:rPr>
      </w:pPr>
      <w:r w:rsidRPr="00115F66">
        <w:rPr>
          <w:rFonts w:ascii="Times New Roman" w:hAnsi="Times New Roman" w:cs="Times New Roman"/>
        </w:rPr>
        <w:t xml:space="preserve">fenytoín, diazoxid, </w:t>
      </w:r>
    </w:p>
    <w:p w14:paraId="728A62BE" w14:textId="77777777" w:rsidR="001D0CCF" w:rsidRPr="00115F66" w:rsidRDefault="001D0CCF" w:rsidP="00493191">
      <w:pPr>
        <w:pStyle w:val="Zkladntext"/>
        <w:numPr>
          <w:ilvl w:val="0"/>
          <w:numId w:val="24"/>
        </w:numPr>
        <w:tabs>
          <w:tab w:val="clear" w:pos="780"/>
          <w:tab w:val="num" w:pos="709"/>
        </w:tabs>
        <w:ind w:hanging="780"/>
        <w:rPr>
          <w:rFonts w:ascii="Times New Roman" w:hAnsi="Times New Roman" w:cs="Times New Roman"/>
        </w:rPr>
      </w:pPr>
      <w:r w:rsidRPr="00115F66">
        <w:rPr>
          <w:rFonts w:ascii="Times New Roman" w:hAnsi="Times New Roman" w:cs="Times New Roman"/>
        </w:rPr>
        <w:t xml:space="preserve">glukagón, barbituráty, rifampicín, </w:t>
      </w:r>
    </w:p>
    <w:p w14:paraId="41FB06CA" w14:textId="77777777" w:rsidR="001D0CCF" w:rsidRPr="00115F66" w:rsidRDefault="001D0CCF" w:rsidP="00493191">
      <w:pPr>
        <w:pStyle w:val="Zkladntext"/>
        <w:numPr>
          <w:ilvl w:val="0"/>
          <w:numId w:val="24"/>
        </w:numPr>
        <w:tabs>
          <w:tab w:val="clear" w:pos="780"/>
          <w:tab w:val="num" w:pos="709"/>
        </w:tabs>
        <w:ind w:hanging="780"/>
        <w:rPr>
          <w:rFonts w:ascii="Times New Roman" w:hAnsi="Times New Roman" w:cs="Times New Roman"/>
        </w:rPr>
      </w:pPr>
      <w:r w:rsidRPr="00115F66">
        <w:rPr>
          <w:rFonts w:ascii="Times New Roman" w:hAnsi="Times New Roman" w:cs="Times New Roman"/>
        </w:rPr>
        <w:t xml:space="preserve">acetazolamid. </w:t>
      </w:r>
    </w:p>
    <w:p w14:paraId="56403F49" w14:textId="77777777" w:rsidR="001D0CCF" w:rsidRPr="00115F66" w:rsidRDefault="001D0CCF" w:rsidP="00115F66">
      <w:pPr>
        <w:rPr>
          <w:sz w:val="22"/>
          <w:szCs w:val="22"/>
        </w:rPr>
      </w:pPr>
    </w:p>
    <w:p w14:paraId="79C8AD6E" w14:textId="77777777" w:rsidR="001D0CCF" w:rsidRPr="00115F66" w:rsidRDefault="001D0CCF" w:rsidP="00115F66">
      <w:pPr>
        <w:pStyle w:val="Zkladntext"/>
        <w:rPr>
          <w:rFonts w:ascii="Times New Roman" w:hAnsi="Times New Roman" w:cs="Times New Roman"/>
        </w:rPr>
      </w:pPr>
      <w:r w:rsidRPr="00115F66">
        <w:rPr>
          <w:rFonts w:ascii="Times New Roman" w:hAnsi="Times New Roman" w:cs="Times New Roman"/>
        </w:rPr>
        <w:t>Antagonisty H</w:t>
      </w:r>
      <w:r w:rsidRPr="00115F66">
        <w:rPr>
          <w:rFonts w:ascii="Times New Roman" w:hAnsi="Times New Roman" w:cs="Times New Roman"/>
          <w:vertAlign w:val="subscript"/>
        </w:rPr>
        <w:t>2</w:t>
      </w:r>
      <w:r w:rsidRPr="00115F66">
        <w:rPr>
          <w:rFonts w:ascii="Times New Roman" w:hAnsi="Times New Roman" w:cs="Times New Roman"/>
        </w:rPr>
        <w:t xml:space="preserve"> receptorov, betablokátory, klonidín a rezerpín môžu viesť buď k posilneniu, alebo k oslabeniu hypoglykemizujúceho účinku. </w:t>
      </w:r>
    </w:p>
    <w:p w14:paraId="22B253F7" w14:textId="77777777" w:rsidR="001D0CCF" w:rsidRPr="00115F66" w:rsidRDefault="001D0CCF" w:rsidP="00115F66">
      <w:pPr>
        <w:pStyle w:val="Zkladntext"/>
        <w:rPr>
          <w:rFonts w:ascii="Times New Roman" w:hAnsi="Times New Roman" w:cs="Times New Roman"/>
        </w:rPr>
      </w:pPr>
    </w:p>
    <w:p w14:paraId="2E4C0013" w14:textId="77777777" w:rsidR="001D0CCF" w:rsidRPr="00115F66" w:rsidRDefault="001D0CCF" w:rsidP="00115F66">
      <w:pPr>
        <w:pStyle w:val="Zkladntext"/>
        <w:rPr>
          <w:rFonts w:ascii="Times New Roman" w:hAnsi="Times New Roman" w:cs="Times New Roman"/>
        </w:rPr>
      </w:pPr>
      <w:r w:rsidRPr="00115F66">
        <w:rPr>
          <w:rFonts w:ascii="Times New Roman" w:hAnsi="Times New Roman" w:cs="Times New Roman"/>
        </w:rPr>
        <w:t>Pod vplyvom sympatolytík ako sú betablokátory, klonidín a rezerpín sa môžu znížiť alebo chýbať symptómy adrenergnej protiregulácie na hypoglykémiu.</w:t>
      </w:r>
    </w:p>
    <w:p w14:paraId="34ABAE79" w14:textId="77777777" w:rsidR="001D0CCF" w:rsidRPr="00115F66" w:rsidRDefault="001D0CCF" w:rsidP="00115F66">
      <w:pPr>
        <w:rPr>
          <w:sz w:val="22"/>
          <w:szCs w:val="22"/>
        </w:rPr>
      </w:pPr>
    </w:p>
    <w:p w14:paraId="39511C11" w14:textId="77777777" w:rsidR="001D0CCF" w:rsidRPr="00115F66" w:rsidRDefault="001D0CCF" w:rsidP="00115F66">
      <w:pPr>
        <w:pStyle w:val="Zkladntext"/>
        <w:rPr>
          <w:rFonts w:ascii="Times New Roman" w:hAnsi="Times New Roman" w:cs="Times New Roman"/>
        </w:rPr>
      </w:pPr>
      <w:r w:rsidRPr="00115F66">
        <w:rPr>
          <w:rFonts w:ascii="Times New Roman" w:hAnsi="Times New Roman" w:cs="Times New Roman"/>
        </w:rPr>
        <w:t xml:space="preserve">Akútne alebo chronické požívanie alkoholu môže nepredvídateľným spôsobom posilniť alebo oslabiť hypoglykemické pôsobenie glimepiridu. </w:t>
      </w:r>
    </w:p>
    <w:p w14:paraId="77AE9648" w14:textId="77777777" w:rsidR="001D0CCF" w:rsidRPr="00115F66" w:rsidRDefault="001D0CCF" w:rsidP="00115F66">
      <w:pPr>
        <w:pStyle w:val="Pta"/>
        <w:tabs>
          <w:tab w:val="clear" w:pos="4536"/>
          <w:tab w:val="clear" w:pos="9072"/>
        </w:tabs>
        <w:jc w:val="both"/>
        <w:rPr>
          <w:sz w:val="22"/>
          <w:szCs w:val="22"/>
        </w:rPr>
      </w:pPr>
    </w:p>
    <w:p w14:paraId="7FC84DC0" w14:textId="77777777" w:rsidR="001D0CCF" w:rsidRPr="00115F66" w:rsidRDefault="001D0CCF" w:rsidP="00115F66">
      <w:pPr>
        <w:pStyle w:val="Zkladntext"/>
        <w:jc w:val="both"/>
        <w:rPr>
          <w:rFonts w:ascii="Times New Roman" w:hAnsi="Times New Roman" w:cs="Times New Roman"/>
        </w:rPr>
      </w:pPr>
      <w:r w:rsidRPr="00115F66">
        <w:rPr>
          <w:rFonts w:ascii="Times New Roman" w:hAnsi="Times New Roman" w:cs="Times New Roman"/>
        </w:rPr>
        <w:t xml:space="preserve">Glimepirid môže buď posilniť, alebo oslabiť účinok kumarínových derivátov. </w:t>
      </w:r>
    </w:p>
    <w:p w14:paraId="425BB9DB" w14:textId="77777777" w:rsidR="001D0CCF" w:rsidRPr="00115F66" w:rsidRDefault="001D0CCF" w:rsidP="00115F66">
      <w:pPr>
        <w:pStyle w:val="Zkladntext"/>
        <w:rPr>
          <w:rFonts w:ascii="Times New Roman" w:hAnsi="Times New Roman" w:cs="Times New Roman"/>
          <w:b/>
          <w:bCs/>
        </w:rPr>
      </w:pPr>
    </w:p>
    <w:p w14:paraId="53F5F12E" w14:textId="77777777" w:rsidR="001D0CCF" w:rsidRPr="00115F66" w:rsidRDefault="001D0CCF" w:rsidP="00115F66">
      <w:pPr>
        <w:ind w:right="45"/>
        <w:rPr>
          <w:b/>
          <w:bCs/>
          <w:sz w:val="22"/>
          <w:szCs w:val="22"/>
        </w:rPr>
      </w:pPr>
      <w:r w:rsidRPr="00115F66">
        <w:rPr>
          <w:b/>
          <w:bCs/>
          <w:sz w:val="22"/>
          <w:szCs w:val="22"/>
        </w:rPr>
        <w:t>4.6</w:t>
      </w:r>
      <w:r w:rsidRPr="00115F66">
        <w:rPr>
          <w:b/>
          <w:bCs/>
          <w:sz w:val="22"/>
          <w:szCs w:val="22"/>
        </w:rPr>
        <w:tab/>
      </w:r>
      <w:r w:rsidR="00B55A81" w:rsidRPr="00115F66">
        <w:rPr>
          <w:b/>
          <w:bCs/>
          <w:sz w:val="22"/>
          <w:szCs w:val="22"/>
        </w:rPr>
        <w:t>Fertilita, g</w:t>
      </w:r>
      <w:r w:rsidRPr="00115F66">
        <w:rPr>
          <w:b/>
          <w:bCs/>
          <w:sz w:val="22"/>
          <w:szCs w:val="22"/>
        </w:rPr>
        <w:t>ravidita a laktácia</w:t>
      </w:r>
    </w:p>
    <w:p w14:paraId="1D325DC3" w14:textId="77777777" w:rsidR="001D0CCF" w:rsidRPr="00115F66" w:rsidRDefault="001D0CCF" w:rsidP="00115F66">
      <w:pPr>
        <w:pStyle w:val="Zarkazkladnhotextu"/>
        <w:ind w:right="45"/>
        <w:jc w:val="left"/>
        <w:rPr>
          <w:rFonts w:ascii="Times New Roman" w:hAnsi="Times New Roman" w:cs="Times New Roman"/>
        </w:rPr>
      </w:pPr>
    </w:p>
    <w:p w14:paraId="3043B278" w14:textId="77777777" w:rsidR="001D0CCF" w:rsidRPr="00493191" w:rsidRDefault="001D0CCF" w:rsidP="00115F66">
      <w:pPr>
        <w:pStyle w:val="Zarkazkladnhotextu"/>
        <w:ind w:right="45"/>
        <w:jc w:val="left"/>
        <w:rPr>
          <w:rFonts w:ascii="Times New Roman" w:hAnsi="Times New Roman" w:cs="Times New Roman"/>
          <w:iCs/>
          <w:u w:val="single"/>
        </w:rPr>
      </w:pPr>
      <w:r w:rsidRPr="00493191">
        <w:rPr>
          <w:rFonts w:ascii="Times New Roman" w:hAnsi="Times New Roman" w:cs="Times New Roman"/>
          <w:iCs/>
          <w:u w:val="single"/>
        </w:rPr>
        <w:t>Gravidita</w:t>
      </w:r>
    </w:p>
    <w:p w14:paraId="30227B03" w14:textId="77777777" w:rsidR="001D0CCF" w:rsidRPr="00115F66" w:rsidRDefault="001D0CCF" w:rsidP="00115F66">
      <w:pPr>
        <w:pStyle w:val="Zarkazkladnhotextu"/>
        <w:ind w:right="45"/>
        <w:jc w:val="left"/>
        <w:rPr>
          <w:rFonts w:ascii="Times New Roman" w:hAnsi="Times New Roman" w:cs="Times New Roman"/>
        </w:rPr>
      </w:pPr>
    </w:p>
    <w:p w14:paraId="35D5FEA1" w14:textId="77777777" w:rsidR="001D0CCF" w:rsidRPr="00115F66" w:rsidRDefault="001D0CCF" w:rsidP="00115F66">
      <w:pPr>
        <w:pStyle w:val="Zarkazkladnhotextu"/>
        <w:ind w:right="45"/>
        <w:jc w:val="left"/>
        <w:rPr>
          <w:rFonts w:ascii="Times New Roman" w:hAnsi="Times New Roman" w:cs="Times New Roman"/>
          <w:u w:val="single"/>
        </w:rPr>
      </w:pPr>
      <w:r w:rsidRPr="00115F66">
        <w:rPr>
          <w:rFonts w:ascii="Times New Roman" w:hAnsi="Times New Roman" w:cs="Times New Roman"/>
          <w:u w:val="single"/>
        </w:rPr>
        <w:lastRenderedPageBreak/>
        <w:t>Riziko súvisiace s diabetom</w:t>
      </w:r>
    </w:p>
    <w:p w14:paraId="6D962679" w14:textId="77777777" w:rsidR="001D0CCF" w:rsidRPr="00115F66" w:rsidRDefault="001D0CCF" w:rsidP="00115F66">
      <w:pPr>
        <w:pStyle w:val="Zarkazkladnhotextu"/>
        <w:ind w:right="45"/>
        <w:jc w:val="left"/>
        <w:rPr>
          <w:rFonts w:ascii="Times New Roman" w:hAnsi="Times New Roman" w:cs="Times New Roman"/>
        </w:rPr>
      </w:pPr>
      <w:r w:rsidRPr="00115F66">
        <w:rPr>
          <w:rFonts w:ascii="Times New Roman" w:hAnsi="Times New Roman" w:cs="Times New Roman"/>
        </w:rPr>
        <w:t>Abnormálne hladiny glukózy v krvi sa počas tehotenstva spájajú s vysokým výskytom kongenitálnych abnormalít a perinatálnou mortalitou. Počas tehotenstva sa teda musí dôkladne sledovať hladina glukózy v krvi s cieľom vyhnúť sa teratogénnemu riziku. Za takýchto okolností sa vyžaduje použitie inzulínu. Pacientky, ktoré plánujú otehotnieť, majú o tom informovať svojho lekára.</w:t>
      </w:r>
    </w:p>
    <w:p w14:paraId="344EF4CE" w14:textId="77777777" w:rsidR="001D0CCF" w:rsidRPr="00115F66" w:rsidRDefault="001D0CCF" w:rsidP="00115F66">
      <w:pPr>
        <w:pStyle w:val="Zarkazkladnhotextu"/>
        <w:ind w:right="45"/>
        <w:jc w:val="left"/>
        <w:rPr>
          <w:rFonts w:ascii="Times New Roman" w:hAnsi="Times New Roman" w:cs="Times New Roman"/>
        </w:rPr>
      </w:pPr>
    </w:p>
    <w:p w14:paraId="54125E9F" w14:textId="77777777" w:rsidR="001D0CCF" w:rsidRPr="00115F66" w:rsidRDefault="001D0CCF" w:rsidP="00115F66">
      <w:pPr>
        <w:pStyle w:val="Zarkazkladnhotextu"/>
        <w:ind w:right="45"/>
        <w:jc w:val="left"/>
        <w:rPr>
          <w:rFonts w:ascii="Times New Roman" w:hAnsi="Times New Roman" w:cs="Times New Roman"/>
          <w:u w:val="single"/>
        </w:rPr>
      </w:pPr>
      <w:r w:rsidRPr="00115F66">
        <w:rPr>
          <w:rFonts w:ascii="Times New Roman" w:hAnsi="Times New Roman" w:cs="Times New Roman"/>
          <w:u w:val="single"/>
        </w:rPr>
        <w:t>Riziko súvisiace s glimepiridom</w:t>
      </w:r>
    </w:p>
    <w:p w14:paraId="5FC4E728" w14:textId="77777777" w:rsidR="001D0CCF" w:rsidRPr="00115F66" w:rsidRDefault="001D0CCF" w:rsidP="00115F66">
      <w:pPr>
        <w:widowControl w:val="0"/>
        <w:rPr>
          <w:sz w:val="22"/>
          <w:szCs w:val="22"/>
        </w:rPr>
      </w:pPr>
      <w:r w:rsidRPr="00115F66">
        <w:rPr>
          <w:sz w:val="22"/>
          <w:szCs w:val="22"/>
        </w:rPr>
        <w:t xml:space="preserve">Nie sú k dispozícii dostatočné údaje o použití glimepiridu u gravidných žien. Štúdie na zvieratách preukázali reprodukčnú toxicitu, ktorá pravdepodobne súvisela s farmakologickou aktivitou (hypoglykémia) glimepiridu (pozri časť 5.3). </w:t>
      </w:r>
    </w:p>
    <w:p w14:paraId="1FE4CADE" w14:textId="77777777" w:rsidR="001D0CCF" w:rsidRPr="00115F66" w:rsidRDefault="001D0CCF" w:rsidP="00115F66">
      <w:pPr>
        <w:widowControl w:val="0"/>
        <w:rPr>
          <w:sz w:val="22"/>
          <w:szCs w:val="22"/>
        </w:rPr>
      </w:pPr>
    </w:p>
    <w:p w14:paraId="27475841" w14:textId="77777777" w:rsidR="001D0CCF" w:rsidRPr="00115F66" w:rsidRDefault="001D0CCF" w:rsidP="00115F66">
      <w:pPr>
        <w:widowControl w:val="0"/>
        <w:rPr>
          <w:sz w:val="22"/>
          <w:szCs w:val="22"/>
        </w:rPr>
      </w:pPr>
      <w:r w:rsidRPr="00115F66">
        <w:rPr>
          <w:sz w:val="22"/>
          <w:szCs w:val="22"/>
        </w:rPr>
        <w:t>Glimepirid sa preto nemá používať počas celej gravidity.</w:t>
      </w:r>
    </w:p>
    <w:p w14:paraId="77117287" w14:textId="77777777" w:rsidR="001D0CCF" w:rsidRPr="00115F66" w:rsidRDefault="001D0CCF" w:rsidP="00115F66">
      <w:pPr>
        <w:widowControl w:val="0"/>
        <w:rPr>
          <w:sz w:val="22"/>
          <w:szCs w:val="22"/>
        </w:rPr>
      </w:pPr>
      <w:r w:rsidRPr="00115F66">
        <w:rPr>
          <w:sz w:val="22"/>
          <w:szCs w:val="22"/>
        </w:rPr>
        <w:t>V prípade liečby glimepiridom, ak pacientky plánujú otehotnieť alebo ak sa zistí gravidita, liečba sa má prestaviť na liečbu inzulínom čo najskôr, ako je možné.</w:t>
      </w:r>
    </w:p>
    <w:p w14:paraId="736398BB" w14:textId="77777777" w:rsidR="001D0CCF" w:rsidRPr="00115F66" w:rsidRDefault="001D0CCF" w:rsidP="00115F66">
      <w:pPr>
        <w:pStyle w:val="Zarkazkladnhotextu"/>
        <w:ind w:right="45"/>
        <w:jc w:val="left"/>
        <w:rPr>
          <w:rFonts w:ascii="Times New Roman" w:hAnsi="Times New Roman" w:cs="Times New Roman"/>
        </w:rPr>
      </w:pPr>
    </w:p>
    <w:p w14:paraId="1522BAAD" w14:textId="4B773CA8" w:rsidR="001D0CCF" w:rsidRPr="00115F66" w:rsidRDefault="00B679AE" w:rsidP="00115F66">
      <w:pPr>
        <w:pStyle w:val="Zkladntext"/>
        <w:rPr>
          <w:rFonts w:ascii="Times New Roman" w:hAnsi="Times New Roman" w:cs="Times New Roman"/>
        </w:rPr>
      </w:pPr>
      <w:r w:rsidRPr="00493191">
        <w:rPr>
          <w:rFonts w:ascii="Times New Roman" w:hAnsi="Times New Roman" w:cs="Times New Roman"/>
          <w:iCs/>
          <w:u w:val="single"/>
        </w:rPr>
        <w:t>Dojčenie</w:t>
      </w:r>
      <w:r w:rsidR="001D0CCF" w:rsidRPr="00115F66">
        <w:rPr>
          <w:rFonts w:ascii="Times New Roman" w:hAnsi="Times New Roman" w:cs="Times New Roman"/>
        </w:rPr>
        <w:t>Vylučovanie do materského mlieka nie je známe. Glimepirid sa vylučuje do mlieka potkanov. Keďže aj iné deriváty sulfonylmočoviny prechádzajú do materského mlieka a keďže existuje riziko hypoglykémie dojčiat, neodporúča sa dojčiť počas liečby glimepiridom.</w:t>
      </w:r>
    </w:p>
    <w:p w14:paraId="70603BD6" w14:textId="77777777" w:rsidR="001D0CCF" w:rsidRPr="00115F66" w:rsidRDefault="001D0CCF" w:rsidP="00115F66">
      <w:pPr>
        <w:pStyle w:val="Zkladntext"/>
        <w:rPr>
          <w:rFonts w:ascii="Times New Roman" w:hAnsi="Times New Roman" w:cs="Times New Roman"/>
        </w:rPr>
      </w:pPr>
    </w:p>
    <w:p w14:paraId="36E47B67" w14:textId="77777777" w:rsidR="001D0CCF" w:rsidRPr="00115F66" w:rsidRDefault="001D0CCF" w:rsidP="00115F66">
      <w:pPr>
        <w:ind w:left="284" w:right="43" w:hanging="284"/>
        <w:rPr>
          <w:b/>
          <w:bCs/>
          <w:sz w:val="22"/>
          <w:szCs w:val="22"/>
        </w:rPr>
      </w:pPr>
      <w:r w:rsidRPr="00115F66">
        <w:rPr>
          <w:b/>
          <w:bCs/>
          <w:sz w:val="22"/>
          <w:szCs w:val="22"/>
        </w:rPr>
        <w:t>4.7</w:t>
      </w:r>
      <w:r w:rsidRPr="00115F66">
        <w:rPr>
          <w:b/>
          <w:bCs/>
          <w:sz w:val="22"/>
          <w:szCs w:val="22"/>
        </w:rPr>
        <w:tab/>
      </w:r>
      <w:r w:rsidRPr="00115F66">
        <w:rPr>
          <w:b/>
          <w:bCs/>
          <w:sz w:val="22"/>
          <w:szCs w:val="22"/>
        </w:rPr>
        <w:tab/>
        <w:t>Ovplyvnenie schopnosti viesť vozidlá a obsluhovať stroje</w:t>
      </w:r>
    </w:p>
    <w:p w14:paraId="765EDF3A" w14:textId="77777777" w:rsidR="001D0CCF" w:rsidRPr="00115F66" w:rsidRDefault="001D0CCF" w:rsidP="00115F66">
      <w:pPr>
        <w:rPr>
          <w:sz w:val="22"/>
          <w:szCs w:val="22"/>
        </w:rPr>
      </w:pPr>
    </w:p>
    <w:p w14:paraId="30A6B8D8" w14:textId="77777777" w:rsidR="001D0CCF" w:rsidRPr="00115F66" w:rsidRDefault="001D0CCF" w:rsidP="00115F66">
      <w:pPr>
        <w:rPr>
          <w:sz w:val="22"/>
          <w:szCs w:val="22"/>
        </w:rPr>
      </w:pPr>
      <w:r w:rsidRPr="00115F66">
        <w:rPr>
          <w:sz w:val="22"/>
          <w:szCs w:val="22"/>
        </w:rPr>
        <w:t xml:space="preserve"> Neuskutočnili sa žiadne štúdie o účinkoch na schopnosť viesť vozidlá a obsluhovať stroje.</w:t>
      </w:r>
    </w:p>
    <w:p w14:paraId="070E0B37" w14:textId="77777777" w:rsidR="001D0CCF" w:rsidRPr="00115F66" w:rsidRDefault="001D0CCF" w:rsidP="00115F66">
      <w:pPr>
        <w:rPr>
          <w:sz w:val="22"/>
          <w:szCs w:val="22"/>
        </w:rPr>
      </w:pPr>
    </w:p>
    <w:p w14:paraId="40D1012A" w14:textId="77777777" w:rsidR="001D0CCF" w:rsidRPr="00115F66" w:rsidRDefault="001D0CCF" w:rsidP="00115F66">
      <w:pPr>
        <w:rPr>
          <w:sz w:val="22"/>
          <w:szCs w:val="22"/>
        </w:rPr>
      </w:pPr>
      <w:r w:rsidRPr="00115F66">
        <w:rPr>
          <w:sz w:val="22"/>
          <w:szCs w:val="22"/>
        </w:rPr>
        <w:t>Schopnosť pacienta sústrediť sa a reagovať môže byť narušená v dôsledku hypoglykémie alebo hyperglykémie alebo napr. v dôsledku poškodenia zraku. Môže to predstavovať riziko v situáciách, keď tieto schopnosti majú osobitný význam (napr. vedenie vozidla alebo obsluha strojov).</w:t>
      </w:r>
    </w:p>
    <w:p w14:paraId="2D268D56" w14:textId="77777777" w:rsidR="001D0CCF" w:rsidRPr="00115F66" w:rsidRDefault="001D0CCF" w:rsidP="00115F66">
      <w:pPr>
        <w:rPr>
          <w:sz w:val="22"/>
          <w:szCs w:val="22"/>
        </w:rPr>
      </w:pPr>
    </w:p>
    <w:p w14:paraId="3B08F75B" w14:textId="77777777" w:rsidR="001D0CCF" w:rsidRPr="00115F66" w:rsidRDefault="001D0CCF" w:rsidP="00115F66">
      <w:pPr>
        <w:rPr>
          <w:sz w:val="22"/>
          <w:szCs w:val="22"/>
        </w:rPr>
      </w:pPr>
      <w:r w:rsidRPr="00115F66">
        <w:rPr>
          <w:sz w:val="22"/>
          <w:szCs w:val="22"/>
        </w:rPr>
        <w:t>Pacientom sa má odporučiť, aby podnikli opatrenia na zamedzenie hypoglykémie počas vedenia vozidla. Toto je dôležité najmä pre tých pacientov, ktorí majú znížené alebo absentujúce varovné príznaky hypoglykémie alebo majú časté epizódy hypoglykémie. Za týchto okolností sa má zvážiť vhodnosť vedenia vozidiel alebo obsluhy strojov.</w:t>
      </w:r>
    </w:p>
    <w:p w14:paraId="6206331A" w14:textId="77777777" w:rsidR="001D0CCF" w:rsidRPr="00115F66" w:rsidRDefault="001D0CCF" w:rsidP="00115F66">
      <w:pPr>
        <w:rPr>
          <w:sz w:val="22"/>
          <w:szCs w:val="22"/>
        </w:rPr>
      </w:pPr>
    </w:p>
    <w:p w14:paraId="22E34C81" w14:textId="77777777" w:rsidR="001D0CCF" w:rsidRPr="00115F66" w:rsidRDefault="001D0CCF" w:rsidP="00115F66">
      <w:pPr>
        <w:ind w:right="43"/>
        <w:rPr>
          <w:b/>
          <w:bCs/>
          <w:sz w:val="22"/>
          <w:szCs w:val="22"/>
        </w:rPr>
      </w:pPr>
      <w:r w:rsidRPr="00115F66">
        <w:rPr>
          <w:b/>
          <w:bCs/>
          <w:sz w:val="22"/>
          <w:szCs w:val="22"/>
        </w:rPr>
        <w:t>4.8</w:t>
      </w:r>
      <w:r w:rsidRPr="00115F66">
        <w:rPr>
          <w:b/>
          <w:bCs/>
          <w:sz w:val="22"/>
          <w:szCs w:val="22"/>
        </w:rPr>
        <w:tab/>
        <w:t>Nežiaduce účinky</w:t>
      </w:r>
    </w:p>
    <w:p w14:paraId="04FAC576" w14:textId="77777777" w:rsidR="001D0CCF" w:rsidRPr="00115F66" w:rsidRDefault="001D0CCF" w:rsidP="00115F66">
      <w:pPr>
        <w:pStyle w:val="Zkladntext"/>
        <w:rPr>
          <w:rFonts w:ascii="Times New Roman" w:hAnsi="Times New Roman" w:cs="Times New Roman"/>
        </w:rPr>
      </w:pPr>
    </w:p>
    <w:p w14:paraId="2375F61E" w14:textId="77777777" w:rsidR="001D0CCF" w:rsidRPr="00115F66" w:rsidRDefault="001D0CCF" w:rsidP="00115F66">
      <w:pPr>
        <w:rPr>
          <w:sz w:val="22"/>
          <w:szCs w:val="22"/>
        </w:rPr>
      </w:pPr>
      <w:r w:rsidRPr="00115F66">
        <w:rPr>
          <w:sz w:val="22"/>
          <w:szCs w:val="22"/>
        </w:rPr>
        <w:t xml:space="preserve">Nasledovné nežiaduce </w:t>
      </w:r>
      <w:r w:rsidR="00C95243" w:rsidRPr="00115F66">
        <w:rPr>
          <w:sz w:val="22"/>
          <w:szCs w:val="22"/>
        </w:rPr>
        <w:t xml:space="preserve">reakcie z klinických skúšaní </w:t>
      </w:r>
      <w:r w:rsidRPr="00115F66">
        <w:rPr>
          <w:sz w:val="22"/>
          <w:szCs w:val="22"/>
        </w:rPr>
        <w:t>vyplývajú zo skúseností s glimepiridom a inými derivátmi sulfonylmočoviny.</w:t>
      </w:r>
    </w:p>
    <w:p w14:paraId="7F6FA3DA" w14:textId="77777777" w:rsidR="00D14558" w:rsidRPr="00115F66" w:rsidRDefault="00D14558" w:rsidP="00115F66">
      <w:pPr>
        <w:rPr>
          <w:sz w:val="22"/>
          <w:szCs w:val="22"/>
        </w:rPr>
      </w:pPr>
      <w:r w:rsidRPr="00115F66">
        <w:rPr>
          <w:sz w:val="22"/>
          <w:szCs w:val="22"/>
        </w:rPr>
        <w:t>Nežiaduce účinky sú uvedené nižšie podľa triedy orgánových systémov a podľa klesajúcej závažnosti:</w:t>
      </w:r>
    </w:p>
    <w:p w14:paraId="78EDE2EB" w14:textId="77777777" w:rsidR="00D14558" w:rsidRPr="00115F66" w:rsidRDefault="00D14558" w:rsidP="00115F66">
      <w:pPr>
        <w:jc w:val="both"/>
        <w:rPr>
          <w:sz w:val="22"/>
          <w:szCs w:val="22"/>
        </w:rPr>
      </w:pPr>
      <w:r w:rsidRPr="00115F66">
        <w:rPr>
          <w:sz w:val="22"/>
          <w:szCs w:val="22"/>
        </w:rPr>
        <w:t>Veľmi časté (</w:t>
      </w:r>
      <w:r w:rsidRPr="00115F66">
        <w:rPr>
          <w:sz w:val="22"/>
          <w:szCs w:val="22"/>
        </w:rPr>
        <w:sym w:font="Symbol" w:char="F0B3"/>
      </w:r>
      <w:r w:rsidRPr="00115F66">
        <w:rPr>
          <w:sz w:val="22"/>
          <w:szCs w:val="22"/>
        </w:rPr>
        <w:t>1/10), časté (</w:t>
      </w:r>
      <w:r w:rsidRPr="00115F66">
        <w:rPr>
          <w:sz w:val="22"/>
          <w:szCs w:val="22"/>
        </w:rPr>
        <w:sym w:font="Symbol" w:char="F0B3"/>
      </w:r>
      <w:r w:rsidRPr="00115F66">
        <w:rPr>
          <w:sz w:val="22"/>
          <w:szCs w:val="22"/>
        </w:rPr>
        <w:t>1/100 až &lt;1/10), menej časté (</w:t>
      </w:r>
      <w:r w:rsidRPr="00115F66">
        <w:rPr>
          <w:sz w:val="22"/>
          <w:szCs w:val="22"/>
        </w:rPr>
        <w:sym w:font="Symbol" w:char="F0B3"/>
      </w:r>
      <w:r w:rsidRPr="00115F66">
        <w:rPr>
          <w:sz w:val="22"/>
          <w:szCs w:val="22"/>
        </w:rPr>
        <w:t>1/1 000 až &lt;1/100), zriedkavé (</w:t>
      </w:r>
      <w:r w:rsidRPr="00115F66">
        <w:rPr>
          <w:sz w:val="22"/>
          <w:szCs w:val="22"/>
        </w:rPr>
        <w:sym w:font="Symbol" w:char="F0B3"/>
      </w:r>
      <w:r w:rsidRPr="00115F66">
        <w:rPr>
          <w:sz w:val="22"/>
          <w:szCs w:val="22"/>
        </w:rPr>
        <w:t>1/10 000 až &lt; 1/1 000), veľmi zriedkavé (&lt;1/10 000), neznáme (z dostupných údajov).</w:t>
      </w:r>
    </w:p>
    <w:p w14:paraId="592753F8" w14:textId="77777777" w:rsidR="001D0CCF" w:rsidRPr="00115F66" w:rsidRDefault="001D0CCF" w:rsidP="00115F66">
      <w:pPr>
        <w:rPr>
          <w:sz w:val="22"/>
          <w:szCs w:val="22"/>
        </w:rPr>
      </w:pPr>
    </w:p>
    <w:p w14:paraId="54CD4202" w14:textId="77777777" w:rsidR="001D0CCF" w:rsidRPr="00493191" w:rsidRDefault="001D0CCF" w:rsidP="00115F66">
      <w:pPr>
        <w:rPr>
          <w:b/>
          <w:i/>
          <w:sz w:val="22"/>
          <w:szCs w:val="22"/>
        </w:rPr>
      </w:pPr>
      <w:r w:rsidRPr="00493191">
        <w:rPr>
          <w:b/>
          <w:i/>
          <w:sz w:val="22"/>
          <w:szCs w:val="22"/>
        </w:rPr>
        <w:t>Poruchy krvi a lymfatického systému</w:t>
      </w:r>
    </w:p>
    <w:p w14:paraId="616A3CA9" w14:textId="77777777" w:rsidR="001D0CCF" w:rsidRPr="00115F66" w:rsidRDefault="001D0CCF" w:rsidP="00115F66">
      <w:pPr>
        <w:rPr>
          <w:sz w:val="22"/>
          <w:szCs w:val="22"/>
        </w:rPr>
      </w:pPr>
      <w:r w:rsidRPr="00115F66">
        <w:rPr>
          <w:sz w:val="22"/>
          <w:szCs w:val="22"/>
        </w:rPr>
        <w:t>Zriedkavé: trombocytopénia, leukopénia, granulocytopénia, agranulocytóza, erytropénia, hemolytická anémia a pancytopénia, ktoré sú spravidla reverzibilné po ukončení liečby.</w:t>
      </w:r>
    </w:p>
    <w:p w14:paraId="43A61BDA" w14:textId="77777777" w:rsidR="00C95243" w:rsidRPr="00115F66" w:rsidRDefault="00C95243" w:rsidP="00115F66">
      <w:pPr>
        <w:rPr>
          <w:sz w:val="22"/>
          <w:szCs w:val="22"/>
        </w:rPr>
      </w:pPr>
      <w:r w:rsidRPr="00115F66">
        <w:rPr>
          <w:sz w:val="22"/>
          <w:szCs w:val="22"/>
        </w:rPr>
        <w:t>Neznáme:</w:t>
      </w:r>
      <w:bookmarkStart w:id="0" w:name="OLE_LINK2"/>
      <w:bookmarkStart w:id="1" w:name="OLE_LINK3"/>
      <w:r w:rsidRPr="00115F66">
        <w:rPr>
          <w:sz w:val="22"/>
          <w:szCs w:val="22"/>
        </w:rPr>
        <w:t xml:space="preserve"> ťažká trombocytopénia s počtom krvných doštičiek nižším ako 10 000/µl a trombocytopenická purpura.</w:t>
      </w:r>
      <w:bookmarkEnd w:id="0"/>
      <w:bookmarkEnd w:id="1"/>
    </w:p>
    <w:p w14:paraId="568748B8" w14:textId="77777777" w:rsidR="001D0CCF" w:rsidRPr="00115F66" w:rsidRDefault="001D0CCF" w:rsidP="00115F66">
      <w:pPr>
        <w:rPr>
          <w:sz w:val="22"/>
          <w:szCs w:val="22"/>
        </w:rPr>
      </w:pPr>
    </w:p>
    <w:p w14:paraId="1EFDA279" w14:textId="77777777" w:rsidR="001D0CCF" w:rsidRPr="00493191" w:rsidRDefault="001D0CCF" w:rsidP="00115F66">
      <w:pPr>
        <w:rPr>
          <w:b/>
          <w:i/>
          <w:sz w:val="22"/>
          <w:szCs w:val="22"/>
        </w:rPr>
      </w:pPr>
      <w:r w:rsidRPr="00493191">
        <w:rPr>
          <w:b/>
          <w:i/>
          <w:sz w:val="22"/>
          <w:szCs w:val="22"/>
        </w:rPr>
        <w:t>Poruchy imunitného systému</w:t>
      </w:r>
    </w:p>
    <w:p w14:paraId="034EB774" w14:textId="77777777" w:rsidR="001D0CCF" w:rsidRPr="00115F66" w:rsidRDefault="001D0CCF" w:rsidP="00115F66">
      <w:pPr>
        <w:rPr>
          <w:sz w:val="22"/>
          <w:szCs w:val="22"/>
        </w:rPr>
      </w:pPr>
      <w:r w:rsidRPr="00115F66">
        <w:rPr>
          <w:sz w:val="22"/>
          <w:szCs w:val="22"/>
        </w:rPr>
        <w:t>Veľmi zriedkavé: leukocytoklastová vaskulitída, mierne hypersenzitívne reakcie, ktoré môžu prerásť do závažných reakcií spojených s dyspnoe, poklesom krvného tlaku a niekedy so šokom.</w:t>
      </w:r>
    </w:p>
    <w:p w14:paraId="7DE09928" w14:textId="77777777" w:rsidR="001D0CCF" w:rsidRPr="00115F66" w:rsidRDefault="00D14558" w:rsidP="00115F66">
      <w:pPr>
        <w:rPr>
          <w:sz w:val="22"/>
          <w:szCs w:val="22"/>
        </w:rPr>
      </w:pPr>
      <w:r w:rsidRPr="00115F66">
        <w:rPr>
          <w:sz w:val="22"/>
          <w:szCs w:val="22"/>
        </w:rPr>
        <w:t xml:space="preserve">Neznáme: </w:t>
      </w:r>
      <w:r w:rsidR="001D0CCF" w:rsidRPr="00115F66">
        <w:rPr>
          <w:sz w:val="22"/>
          <w:szCs w:val="22"/>
        </w:rPr>
        <w:t>skrížená alergizácia so sulfonylmočovinou, sulfonamidmi alebo príbuznými látkami.</w:t>
      </w:r>
    </w:p>
    <w:p w14:paraId="2C608055" w14:textId="77777777" w:rsidR="001D0CCF" w:rsidRPr="00115F66" w:rsidRDefault="001D0CCF" w:rsidP="00115F66">
      <w:pPr>
        <w:rPr>
          <w:sz w:val="22"/>
          <w:szCs w:val="22"/>
        </w:rPr>
      </w:pPr>
    </w:p>
    <w:p w14:paraId="0D27FD8C" w14:textId="77777777" w:rsidR="001D0CCF" w:rsidRPr="00493191" w:rsidRDefault="001D0CCF" w:rsidP="00115F66">
      <w:pPr>
        <w:rPr>
          <w:b/>
          <w:i/>
          <w:sz w:val="22"/>
          <w:szCs w:val="22"/>
        </w:rPr>
      </w:pPr>
      <w:r w:rsidRPr="00493191">
        <w:rPr>
          <w:b/>
          <w:i/>
          <w:sz w:val="22"/>
          <w:szCs w:val="22"/>
        </w:rPr>
        <w:t>Poruchy metabolizmu a výživy</w:t>
      </w:r>
    </w:p>
    <w:p w14:paraId="52368DF8" w14:textId="77777777" w:rsidR="001D0CCF" w:rsidRPr="00115F66" w:rsidRDefault="001D0CCF" w:rsidP="00115F66">
      <w:pPr>
        <w:rPr>
          <w:sz w:val="22"/>
          <w:szCs w:val="22"/>
        </w:rPr>
      </w:pPr>
      <w:r w:rsidRPr="00115F66">
        <w:rPr>
          <w:sz w:val="22"/>
          <w:szCs w:val="22"/>
        </w:rPr>
        <w:t>Zriedkavé: hypoglykémia.</w:t>
      </w:r>
    </w:p>
    <w:p w14:paraId="11F14015" w14:textId="77777777" w:rsidR="001D0CCF" w:rsidRPr="00115F66" w:rsidRDefault="001D0CCF" w:rsidP="00115F66">
      <w:pPr>
        <w:rPr>
          <w:sz w:val="22"/>
          <w:szCs w:val="22"/>
        </w:rPr>
      </w:pPr>
      <w:r w:rsidRPr="00115F66">
        <w:rPr>
          <w:sz w:val="22"/>
          <w:szCs w:val="22"/>
        </w:rPr>
        <w:t>Tieto hypoglykemické reakcie sa zväčša vyskytnú okamžite, môžu mať závažný charakter a nie vždy je ľahké ich korigovať. Výskyt hypoglykemických reakcií závisí, tak ako aj pri inej hypoglykemickej terapii, od individuálnych faktorov, ako sú stravovacie návyky a dávkovanie (pozri čas</w:t>
      </w:r>
      <w:r w:rsidR="00D14558" w:rsidRPr="00115F66">
        <w:rPr>
          <w:sz w:val="22"/>
          <w:szCs w:val="22"/>
        </w:rPr>
        <w:t>ť</w:t>
      </w:r>
      <w:r w:rsidRPr="00115F66">
        <w:rPr>
          <w:sz w:val="22"/>
          <w:szCs w:val="22"/>
        </w:rPr>
        <w:t xml:space="preserve"> 4.4).</w:t>
      </w:r>
    </w:p>
    <w:p w14:paraId="6F342910" w14:textId="77777777" w:rsidR="001D0CCF" w:rsidRPr="00115F66" w:rsidRDefault="001D0CCF" w:rsidP="00115F66">
      <w:pPr>
        <w:rPr>
          <w:sz w:val="22"/>
          <w:szCs w:val="22"/>
        </w:rPr>
      </w:pPr>
    </w:p>
    <w:p w14:paraId="3F1836EF" w14:textId="77777777" w:rsidR="001D0CCF" w:rsidRPr="00493191" w:rsidRDefault="001D0CCF" w:rsidP="00115F66">
      <w:pPr>
        <w:rPr>
          <w:b/>
          <w:i/>
          <w:sz w:val="22"/>
          <w:szCs w:val="22"/>
        </w:rPr>
      </w:pPr>
      <w:r w:rsidRPr="00493191">
        <w:rPr>
          <w:b/>
          <w:i/>
          <w:sz w:val="22"/>
          <w:szCs w:val="22"/>
        </w:rPr>
        <w:lastRenderedPageBreak/>
        <w:t>Poruchy oka</w:t>
      </w:r>
    </w:p>
    <w:p w14:paraId="1F004CDD" w14:textId="77777777" w:rsidR="001D0CCF" w:rsidRPr="00115F66" w:rsidRDefault="00D14558" w:rsidP="00115F66">
      <w:pPr>
        <w:rPr>
          <w:sz w:val="22"/>
          <w:szCs w:val="22"/>
        </w:rPr>
      </w:pPr>
      <w:r w:rsidRPr="00115F66">
        <w:rPr>
          <w:sz w:val="22"/>
          <w:szCs w:val="22"/>
        </w:rPr>
        <w:t xml:space="preserve">Neznáme: </w:t>
      </w:r>
      <w:r w:rsidR="001D0CCF" w:rsidRPr="00115F66">
        <w:rPr>
          <w:sz w:val="22"/>
          <w:szCs w:val="22"/>
        </w:rPr>
        <w:t>Zvlášť na začiatku liečby sa môžu v dôsledku zmeny hladín krvného cukru vyskytnúť poruchy zrakového vnímania, ktoré sú dočasné.</w:t>
      </w:r>
    </w:p>
    <w:p w14:paraId="69916C2F" w14:textId="77777777" w:rsidR="001D0CCF" w:rsidRPr="00115F66" w:rsidRDefault="001D0CCF" w:rsidP="00115F66">
      <w:pPr>
        <w:rPr>
          <w:i/>
          <w:sz w:val="22"/>
          <w:szCs w:val="22"/>
        </w:rPr>
      </w:pPr>
    </w:p>
    <w:p w14:paraId="0AF0463B" w14:textId="77777777" w:rsidR="001D0CCF" w:rsidRPr="00493191" w:rsidRDefault="001D0CCF" w:rsidP="00115F66">
      <w:pPr>
        <w:rPr>
          <w:b/>
          <w:i/>
          <w:sz w:val="22"/>
          <w:szCs w:val="22"/>
        </w:rPr>
      </w:pPr>
      <w:r w:rsidRPr="00493191">
        <w:rPr>
          <w:b/>
          <w:i/>
          <w:sz w:val="22"/>
          <w:szCs w:val="22"/>
        </w:rPr>
        <w:t>Poruchy gastrointestinálneho traktu</w:t>
      </w:r>
    </w:p>
    <w:p w14:paraId="3EC30247" w14:textId="77777777" w:rsidR="001D0CCF" w:rsidRPr="00115F66" w:rsidRDefault="001D0CCF" w:rsidP="00115F66">
      <w:pPr>
        <w:rPr>
          <w:sz w:val="22"/>
          <w:szCs w:val="22"/>
        </w:rPr>
      </w:pPr>
      <w:r w:rsidRPr="00115F66">
        <w:rPr>
          <w:sz w:val="22"/>
          <w:szCs w:val="22"/>
        </w:rPr>
        <w:t>Veľmi zriedkavé: nevoľnosť, vracanie, hnačka, abdominálna distenzia, abdominálna nepohoda, abdominálna bolesť, ktoré si málokedy vyžadujú vysadenie liečby.</w:t>
      </w:r>
    </w:p>
    <w:p w14:paraId="5A3B2426" w14:textId="77777777" w:rsidR="001D0CCF" w:rsidRPr="00115F66" w:rsidRDefault="001D0CCF" w:rsidP="00115F66">
      <w:pPr>
        <w:rPr>
          <w:sz w:val="22"/>
          <w:szCs w:val="22"/>
        </w:rPr>
      </w:pPr>
    </w:p>
    <w:p w14:paraId="29E6B526" w14:textId="77777777" w:rsidR="001D0CCF" w:rsidRPr="00493191" w:rsidRDefault="001D0CCF" w:rsidP="00115F66">
      <w:pPr>
        <w:rPr>
          <w:b/>
          <w:i/>
          <w:sz w:val="22"/>
          <w:szCs w:val="22"/>
        </w:rPr>
      </w:pPr>
      <w:r w:rsidRPr="00493191">
        <w:rPr>
          <w:b/>
          <w:i/>
          <w:sz w:val="22"/>
          <w:szCs w:val="22"/>
        </w:rPr>
        <w:t>Poruchy pečene a žlčových ciest</w:t>
      </w:r>
    </w:p>
    <w:p w14:paraId="12C04980" w14:textId="77777777" w:rsidR="001D0CCF" w:rsidRPr="00115F66" w:rsidRDefault="001D0CCF" w:rsidP="00115F66">
      <w:pPr>
        <w:rPr>
          <w:sz w:val="22"/>
          <w:szCs w:val="22"/>
        </w:rPr>
      </w:pPr>
      <w:r w:rsidRPr="00115F66">
        <w:rPr>
          <w:sz w:val="22"/>
          <w:szCs w:val="22"/>
        </w:rPr>
        <w:t>Veľmi zriedkavé: abnormálna funkcia pečene (napr. s cholestázou a žltačkou), hepatitída a zlyhanie pečene.</w:t>
      </w:r>
    </w:p>
    <w:p w14:paraId="75D06D0B" w14:textId="77777777" w:rsidR="00D14558" w:rsidRPr="00115F66" w:rsidRDefault="00D14558" w:rsidP="00115F66">
      <w:pPr>
        <w:rPr>
          <w:sz w:val="22"/>
          <w:szCs w:val="22"/>
        </w:rPr>
      </w:pPr>
      <w:r w:rsidRPr="00115F66">
        <w:rPr>
          <w:sz w:val="22"/>
          <w:szCs w:val="22"/>
        </w:rPr>
        <w:t>Neznáme: Zvýšené hladiny pečeňových enzýmov.</w:t>
      </w:r>
    </w:p>
    <w:p w14:paraId="57F42C04" w14:textId="77777777" w:rsidR="001D0CCF" w:rsidRPr="00115F66" w:rsidRDefault="001D0CCF" w:rsidP="00115F66">
      <w:pPr>
        <w:rPr>
          <w:sz w:val="22"/>
          <w:szCs w:val="22"/>
        </w:rPr>
      </w:pPr>
    </w:p>
    <w:p w14:paraId="4D497A62" w14:textId="77777777" w:rsidR="001D0CCF" w:rsidRPr="00493191" w:rsidRDefault="001D0CCF" w:rsidP="00115F66">
      <w:pPr>
        <w:rPr>
          <w:b/>
          <w:i/>
          <w:sz w:val="22"/>
          <w:szCs w:val="22"/>
        </w:rPr>
      </w:pPr>
      <w:r w:rsidRPr="00493191">
        <w:rPr>
          <w:b/>
          <w:i/>
          <w:sz w:val="22"/>
          <w:szCs w:val="22"/>
        </w:rPr>
        <w:t>Poruchy kože a podkožného tkaniva</w:t>
      </w:r>
    </w:p>
    <w:p w14:paraId="16E8CEC8" w14:textId="77777777" w:rsidR="001D0CCF" w:rsidRPr="00115F66" w:rsidRDefault="00D14558" w:rsidP="00115F66">
      <w:pPr>
        <w:rPr>
          <w:sz w:val="22"/>
          <w:szCs w:val="22"/>
        </w:rPr>
      </w:pPr>
      <w:r w:rsidRPr="00115F66">
        <w:rPr>
          <w:sz w:val="22"/>
          <w:szCs w:val="22"/>
        </w:rPr>
        <w:t xml:space="preserve">Neznáme: </w:t>
      </w:r>
      <w:r w:rsidR="001D0CCF" w:rsidRPr="00115F66">
        <w:rPr>
          <w:sz w:val="22"/>
          <w:szCs w:val="22"/>
        </w:rPr>
        <w:t>Môžu sa objaviť hypersenzitívne reakcie kože ako pruritus, vyrážka, žihľavka a fotosenzitivita.</w:t>
      </w:r>
    </w:p>
    <w:p w14:paraId="7C518593" w14:textId="77777777" w:rsidR="001D0CCF" w:rsidRPr="00115F66" w:rsidRDefault="001D0CCF" w:rsidP="00115F66">
      <w:pPr>
        <w:rPr>
          <w:sz w:val="22"/>
          <w:szCs w:val="22"/>
        </w:rPr>
      </w:pPr>
    </w:p>
    <w:p w14:paraId="5E7E5E13" w14:textId="77777777" w:rsidR="001D0CCF" w:rsidRPr="00493191" w:rsidRDefault="001D0CCF" w:rsidP="00115F66">
      <w:pPr>
        <w:rPr>
          <w:b/>
          <w:i/>
          <w:sz w:val="22"/>
          <w:szCs w:val="22"/>
        </w:rPr>
      </w:pPr>
      <w:r w:rsidRPr="00493191">
        <w:rPr>
          <w:b/>
          <w:i/>
          <w:sz w:val="22"/>
          <w:szCs w:val="22"/>
        </w:rPr>
        <w:t>Laboratórne a funkčné vyšetrenia</w:t>
      </w:r>
    </w:p>
    <w:p w14:paraId="30EBDA8A" w14:textId="77777777" w:rsidR="001D0CCF" w:rsidRPr="00115F66" w:rsidRDefault="001D0CCF" w:rsidP="00115F66">
      <w:pPr>
        <w:rPr>
          <w:sz w:val="22"/>
          <w:szCs w:val="22"/>
        </w:rPr>
      </w:pPr>
      <w:r w:rsidRPr="00115F66">
        <w:rPr>
          <w:sz w:val="22"/>
          <w:szCs w:val="22"/>
        </w:rPr>
        <w:t>Veľmi zriedkavé: pokles hladiny sodíka v krvi.</w:t>
      </w:r>
    </w:p>
    <w:p w14:paraId="632BBF97" w14:textId="77777777" w:rsidR="00D14558" w:rsidRPr="00115F66" w:rsidRDefault="00D14558" w:rsidP="00115F66">
      <w:pPr>
        <w:jc w:val="both"/>
        <w:rPr>
          <w:iCs/>
          <w:sz w:val="22"/>
          <w:szCs w:val="22"/>
        </w:rPr>
      </w:pPr>
    </w:p>
    <w:p w14:paraId="67DE6C2D" w14:textId="0E18FB20" w:rsidR="00D14558" w:rsidRPr="00115F66" w:rsidRDefault="00D14558" w:rsidP="00115F66">
      <w:pPr>
        <w:ind w:left="-57"/>
        <w:rPr>
          <w:iCs/>
          <w:sz w:val="22"/>
          <w:szCs w:val="22"/>
        </w:rPr>
      </w:pPr>
      <w:r w:rsidRPr="00115F66">
        <w:rPr>
          <w:iCs/>
          <w:sz w:val="22"/>
          <w:szCs w:val="22"/>
        </w:rPr>
        <w:t xml:space="preserve">Melyd 2 mg tablety obsahujú farbivá </w:t>
      </w:r>
      <w:r w:rsidRPr="00115F66">
        <w:rPr>
          <w:sz w:val="22"/>
          <w:szCs w:val="22"/>
        </w:rPr>
        <w:t>oranžovú žlť a tartrazín, ktoré môžu vyvolať alergické reakcie.</w:t>
      </w:r>
    </w:p>
    <w:p w14:paraId="5AE8E4AB" w14:textId="77777777" w:rsidR="00C95243" w:rsidRPr="00115F66" w:rsidRDefault="00C95243" w:rsidP="00115F66">
      <w:pPr>
        <w:suppressLineNumbers/>
        <w:autoSpaceDE w:val="0"/>
        <w:autoSpaceDN w:val="0"/>
        <w:adjustRightInd w:val="0"/>
        <w:rPr>
          <w:noProof/>
          <w:sz w:val="22"/>
          <w:szCs w:val="22"/>
          <w:u w:val="single"/>
        </w:rPr>
      </w:pPr>
    </w:p>
    <w:p w14:paraId="33996AA9" w14:textId="77777777" w:rsidR="00C95243" w:rsidRPr="00115F66" w:rsidRDefault="00C95243" w:rsidP="00115F66">
      <w:pPr>
        <w:suppressLineNumbers/>
        <w:autoSpaceDE w:val="0"/>
        <w:autoSpaceDN w:val="0"/>
        <w:adjustRightInd w:val="0"/>
        <w:rPr>
          <w:sz w:val="22"/>
          <w:szCs w:val="22"/>
          <w:u w:val="single"/>
        </w:rPr>
      </w:pPr>
      <w:r w:rsidRPr="00115F66">
        <w:rPr>
          <w:noProof/>
          <w:sz w:val="22"/>
          <w:szCs w:val="22"/>
          <w:u w:val="single"/>
        </w:rPr>
        <w:t>Hlásenie podozrení na nežiaduce reakcie</w:t>
      </w:r>
    </w:p>
    <w:p w14:paraId="1F9D9682" w14:textId="3F943DCC" w:rsidR="00C95243" w:rsidRPr="00115F66" w:rsidRDefault="00C95243" w:rsidP="00115F66">
      <w:pPr>
        <w:suppressLineNumbers/>
        <w:autoSpaceDE w:val="0"/>
        <w:autoSpaceDN w:val="0"/>
        <w:adjustRightInd w:val="0"/>
        <w:rPr>
          <w:noProof/>
          <w:sz w:val="22"/>
          <w:szCs w:val="22"/>
        </w:rPr>
      </w:pPr>
      <w:r w:rsidRPr="00115F66">
        <w:rPr>
          <w:noProof/>
          <w:sz w:val="22"/>
          <w:szCs w:val="22"/>
        </w:rPr>
        <w:t>Hlásenie podozrení na nežiaduce reakcie po registrácii lieku je dôležité.</w:t>
      </w:r>
      <w:r w:rsidRPr="00115F66">
        <w:rPr>
          <w:sz w:val="22"/>
          <w:szCs w:val="22"/>
        </w:rPr>
        <w:t xml:space="preserve"> </w:t>
      </w:r>
      <w:r w:rsidRPr="00115F66">
        <w:rPr>
          <w:noProof/>
          <w:sz w:val="22"/>
          <w:szCs w:val="22"/>
        </w:rPr>
        <w:t>Umožňuje priebežné monitorovanie pomeru prínosu a rizika lieku.</w:t>
      </w:r>
      <w:r w:rsidRPr="00115F66">
        <w:rPr>
          <w:sz w:val="22"/>
          <w:szCs w:val="22"/>
        </w:rPr>
        <w:t xml:space="preserve"> Od </w:t>
      </w:r>
      <w:r w:rsidRPr="00115F66">
        <w:rPr>
          <w:noProof/>
          <w:sz w:val="22"/>
          <w:szCs w:val="22"/>
        </w:rPr>
        <w:t xml:space="preserve">zdravotníckych pracovníkov sa vyžaduje, aby hlásili akékoľvek podozrenia na nežiaduce reakcie </w:t>
      </w:r>
      <w:r w:rsidR="006D3F5D">
        <w:rPr>
          <w:noProof/>
          <w:sz w:val="22"/>
          <w:szCs w:val="22"/>
        </w:rPr>
        <w:t>na</w:t>
      </w:r>
      <w:r w:rsidRPr="00115F66">
        <w:rPr>
          <w:noProof/>
          <w:sz w:val="22"/>
          <w:szCs w:val="22"/>
        </w:rPr>
        <w:t xml:space="preserve"> </w:t>
      </w:r>
      <w:r w:rsidRPr="00A07A04">
        <w:rPr>
          <w:noProof/>
          <w:sz w:val="22"/>
          <w:szCs w:val="22"/>
          <w:highlight w:val="lightGray"/>
        </w:rPr>
        <w:t xml:space="preserve">národné </w:t>
      </w:r>
      <w:r w:rsidR="006D3F5D">
        <w:rPr>
          <w:noProof/>
          <w:sz w:val="22"/>
          <w:szCs w:val="22"/>
          <w:highlight w:val="lightGray"/>
        </w:rPr>
        <w:t>centrum</w:t>
      </w:r>
      <w:r w:rsidRPr="00A07A04">
        <w:rPr>
          <w:noProof/>
          <w:sz w:val="22"/>
          <w:szCs w:val="22"/>
          <w:highlight w:val="lightGray"/>
        </w:rPr>
        <w:t xml:space="preserve"> hlásenia uvedené v </w:t>
      </w:r>
      <w:hyperlink r:id="rId8" w:history="1">
        <w:r w:rsidRPr="00A07A04">
          <w:rPr>
            <w:rStyle w:val="Hypertextovprepojenie"/>
            <w:noProof/>
            <w:sz w:val="22"/>
            <w:szCs w:val="22"/>
            <w:highlight w:val="lightGray"/>
          </w:rPr>
          <w:t>Prílohe V</w:t>
        </w:r>
      </w:hyperlink>
      <w:r w:rsidRPr="00115F66">
        <w:rPr>
          <w:noProof/>
          <w:sz w:val="22"/>
          <w:szCs w:val="22"/>
        </w:rPr>
        <w:t>.</w:t>
      </w:r>
    </w:p>
    <w:p w14:paraId="7BA3CD25" w14:textId="77777777" w:rsidR="00D14558" w:rsidRPr="00115F66" w:rsidRDefault="00D14558" w:rsidP="00115F66">
      <w:pPr>
        <w:rPr>
          <w:sz w:val="22"/>
          <w:szCs w:val="22"/>
        </w:rPr>
      </w:pPr>
    </w:p>
    <w:p w14:paraId="5601EF10" w14:textId="77777777" w:rsidR="001D0CCF" w:rsidRPr="00115F66" w:rsidRDefault="001D0CCF" w:rsidP="00115F66">
      <w:pPr>
        <w:ind w:right="43"/>
        <w:rPr>
          <w:b/>
          <w:bCs/>
          <w:sz w:val="22"/>
          <w:szCs w:val="22"/>
        </w:rPr>
      </w:pPr>
      <w:r w:rsidRPr="00115F66">
        <w:rPr>
          <w:b/>
          <w:bCs/>
          <w:sz w:val="22"/>
          <w:szCs w:val="22"/>
        </w:rPr>
        <w:t>4.9</w:t>
      </w:r>
      <w:r w:rsidRPr="00115F66">
        <w:rPr>
          <w:b/>
          <w:bCs/>
          <w:sz w:val="22"/>
          <w:szCs w:val="22"/>
        </w:rPr>
        <w:tab/>
        <w:t>Predávkovanie</w:t>
      </w:r>
    </w:p>
    <w:p w14:paraId="233D24F0" w14:textId="77777777" w:rsidR="001D0CCF" w:rsidRPr="00115F66" w:rsidRDefault="001D0CCF" w:rsidP="00115F66">
      <w:pPr>
        <w:ind w:right="43"/>
        <w:rPr>
          <w:b/>
          <w:bCs/>
          <w:sz w:val="22"/>
          <w:szCs w:val="22"/>
        </w:rPr>
      </w:pPr>
    </w:p>
    <w:p w14:paraId="7BBEC2C8" w14:textId="77777777" w:rsidR="00B679AE" w:rsidRPr="00493191" w:rsidRDefault="00B679AE" w:rsidP="00115F66">
      <w:pPr>
        <w:ind w:right="43"/>
        <w:rPr>
          <w:sz w:val="22"/>
          <w:szCs w:val="22"/>
          <w:u w:val="single"/>
        </w:rPr>
      </w:pPr>
      <w:r>
        <w:rPr>
          <w:sz w:val="22"/>
          <w:szCs w:val="22"/>
          <w:u w:val="single"/>
        </w:rPr>
        <w:t>Príznaky</w:t>
      </w:r>
    </w:p>
    <w:p w14:paraId="60436A51" w14:textId="77777777" w:rsidR="001D0CCF" w:rsidRPr="00115F66" w:rsidRDefault="001D0CCF" w:rsidP="00115F66">
      <w:pPr>
        <w:ind w:right="43"/>
        <w:rPr>
          <w:sz w:val="22"/>
          <w:szCs w:val="22"/>
        </w:rPr>
      </w:pPr>
      <w:r w:rsidRPr="00115F66">
        <w:rPr>
          <w:sz w:val="22"/>
          <w:szCs w:val="22"/>
        </w:rPr>
        <w:t>Po užití nadmernej dávky môže nastať hypoglykémia trvajúca 12 až 72 hodín a po počiatočnom zvládnutí sa môže vrátiť. Do 24 hodín po užití sa príznaky nemusia prejaviť. Zvyčajne sa odporúča pozorovanie v  nemocnici. Môže sa objaviť nauzea, vracanie a bolesť epigastria. Hypoglykémia môže byť spravidla sprevádzaná neurologickými symptómami ako nepokoj, tras, poruchy zrakového vnímania, problémy s koordináciou, ospalosť, kóma a kŕče.</w:t>
      </w:r>
    </w:p>
    <w:p w14:paraId="1552826A" w14:textId="77777777" w:rsidR="001D0CCF" w:rsidRPr="00115F66" w:rsidRDefault="001D0CCF" w:rsidP="00115F66">
      <w:pPr>
        <w:pStyle w:val="Nadpis4"/>
        <w:jc w:val="left"/>
        <w:rPr>
          <w:rFonts w:ascii="Times New Roman" w:hAnsi="Times New Roman" w:cs="Times New Roman"/>
          <w:sz w:val="22"/>
          <w:szCs w:val="22"/>
        </w:rPr>
      </w:pPr>
      <w:r w:rsidRPr="00115F66">
        <w:rPr>
          <w:rFonts w:ascii="Times New Roman" w:hAnsi="Times New Roman" w:cs="Times New Roman"/>
          <w:sz w:val="22"/>
          <w:szCs w:val="22"/>
        </w:rPr>
        <w:t xml:space="preserve"> </w:t>
      </w:r>
    </w:p>
    <w:p w14:paraId="1961DFF2" w14:textId="77777777" w:rsidR="00B679AE" w:rsidRPr="00493191" w:rsidRDefault="00B679AE" w:rsidP="00115F66">
      <w:pPr>
        <w:ind w:right="43"/>
        <w:rPr>
          <w:sz w:val="22"/>
          <w:szCs w:val="22"/>
          <w:u w:val="single"/>
        </w:rPr>
      </w:pPr>
      <w:r>
        <w:rPr>
          <w:sz w:val="22"/>
          <w:szCs w:val="22"/>
          <w:u w:val="single"/>
        </w:rPr>
        <w:t>Liečba</w:t>
      </w:r>
    </w:p>
    <w:p w14:paraId="5AD90CAC" w14:textId="77777777" w:rsidR="001D0CCF" w:rsidRPr="00115F66" w:rsidRDefault="001D0CCF" w:rsidP="00115F66">
      <w:pPr>
        <w:ind w:right="43"/>
        <w:rPr>
          <w:sz w:val="22"/>
          <w:szCs w:val="22"/>
        </w:rPr>
      </w:pPr>
      <w:r w:rsidRPr="00115F66">
        <w:rPr>
          <w:sz w:val="22"/>
          <w:szCs w:val="22"/>
        </w:rPr>
        <w:t>Liečba primárne pozostáva z vyvolania vracania na zamedzenie absorpcie vypitím vody alebo limonády so živočíšnym uhlím (adsorbent) a síranom sodným (laxatívum). Ak sa užili veľké množstvá, indikovaný je výplach žalúdka a následné užitie živočíšneho uhlia a síranu sodného. V prípade (ťažkého) predávkovania je indikovaná hospitalizácia na jednotke intenzívnej starostlivosti. Čo najskôr, ako je možné, sa má začať s podávaním 50% roztoku glukózy vo forme 50 ml bolusovej intravenóznej injekcie a potom pokračovať v podávaní 10% roztoku za prísneho sledovania hladín cukru v krvi. Ďalšia liečba je symptomatická.</w:t>
      </w:r>
    </w:p>
    <w:p w14:paraId="53C80072" w14:textId="77777777" w:rsidR="001D0CCF" w:rsidRPr="00115F66" w:rsidRDefault="001D0CCF" w:rsidP="00115F66">
      <w:pPr>
        <w:ind w:right="43"/>
        <w:rPr>
          <w:sz w:val="22"/>
          <w:szCs w:val="22"/>
        </w:rPr>
      </w:pPr>
    </w:p>
    <w:p w14:paraId="3AC5E6B6" w14:textId="35137FAB" w:rsidR="002F53BC" w:rsidRPr="00115F66" w:rsidRDefault="00E65B21" w:rsidP="00115F66">
      <w:pPr>
        <w:ind w:right="43"/>
        <w:rPr>
          <w:sz w:val="22"/>
          <w:szCs w:val="22"/>
          <w:u w:val="single"/>
        </w:rPr>
      </w:pPr>
      <w:r w:rsidRPr="00115F66">
        <w:rPr>
          <w:sz w:val="22"/>
          <w:szCs w:val="22"/>
          <w:u w:val="single"/>
        </w:rPr>
        <w:t>Pediatrická populácia</w:t>
      </w:r>
    </w:p>
    <w:p w14:paraId="5530B107" w14:textId="4815A4AD" w:rsidR="001D0CCF" w:rsidRPr="00115F66" w:rsidRDefault="001D0CCF" w:rsidP="00115F66">
      <w:pPr>
        <w:ind w:right="43"/>
        <w:rPr>
          <w:sz w:val="22"/>
          <w:szCs w:val="22"/>
        </w:rPr>
      </w:pPr>
      <w:r w:rsidRPr="00115F66">
        <w:rPr>
          <w:sz w:val="22"/>
          <w:szCs w:val="22"/>
        </w:rPr>
        <w:t xml:space="preserve">Pri liečbe hypoglykémie spôsobenej náhodným užitím </w:t>
      </w:r>
      <w:r w:rsidR="002F53BC" w:rsidRPr="00115F66">
        <w:rPr>
          <w:sz w:val="22"/>
          <w:szCs w:val="22"/>
        </w:rPr>
        <w:t xml:space="preserve">glimepiridu </w:t>
      </w:r>
      <w:r w:rsidRPr="00115F66">
        <w:rPr>
          <w:sz w:val="22"/>
          <w:szCs w:val="22"/>
        </w:rPr>
        <w:t>dojčatami a malými deťmi treba dávku glukózy obzvlášť starostlivo prispôsobiť, aby sa predišlo vzniku nebezpečnej hyperglykémie. Glukóza v krvi sa má dôsledne monitorovať.</w:t>
      </w:r>
    </w:p>
    <w:p w14:paraId="48043C60" w14:textId="77777777" w:rsidR="001D0CCF" w:rsidRPr="00115F66" w:rsidRDefault="001D0CCF" w:rsidP="00115F66">
      <w:pPr>
        <w:ind w:right="43"/>
        <w:rPr>
          <w:sz w:val="22"/>
          <w:szCs w:val="22"/>
        </w:rPr>
      </w:pPr>
    </w:p>
    <w:p w14:paraId="658CF8C1" w14:textId="77777777" w:rsidR="001D0CCF" w:rsidRPr="00115F66" w:rsidRDefault="001D0CCF" w:rsidP="00115F66">
      <w:pPr>
        <w:ind w:right="43"/>
        <w:rPr>
          <w:b/>
          <w:bCs/>
          <w:sz w:val="22"/>
          <w:szCs w:val="22"/>
        </w:rPr>
      </w:pPr>
    </w:p>
    <w:p w14:paraId="6C2FE1B2" w14:textId="77777777" w:rsidR="001D0CCF" w:rsidRPr="00115F66" w:rsidRDefault="001D0CCF" w:rsidP="00115F66">
      <w:pPr>
        <w:jc w:val="both"/>
        <w:rPr>
          <w:sz w:val="22"/>
          <w:szCs w:val="22"/>
        </w:rPr>
      </w:pPr>
      <w:r w:rsidRPr="00115F66">
        <w:rPr>
          <w:b/>
          <w:bCs/>
          <w:sz w:val="22"/>
          <w:szCs w:val="22"/>
        </w:rPr>
        <w:t>5.</w:t>
      </w:r>
      <w:r w:rsidRPr="00115F66">
        <w:rPr>
          <w:b/>
          <w:bCs/>
          <w:sz w:val="22"/>
          <w:szCs w:val="22"/>
        </w:rPr>
        <w:tab/>
        <w:t>FARMAKOLOGICKÉ VLASTNOSTI</w:t>
      </w:r>
    </w:p>
    <w:p w14:paraId="03F264DA" w14:textId="77777777" w:rsidR="001D0CCF" w:rsidRPr="00115F66" w:rsidRDefault="001D0CCF" w:rsidP="00115F66">
      <w:pPr>
        <w:jc w:val="both"/>
        <w:rPr>
          <w:sz w:val="22"/>
          <w:szCs w:val="22"/>
        </w:rPr>
      </w:pPr>
    </w:p>
    <w:p w14:paraId="0513A3FD" w14:textId="77777777" w:rsidR="001D0CCF" w:rsidRPr="00115F66" w:rsidRDefault="001D0CCF" w:rsidP="00115F66">
      <w:pPr>
        <w:jc w:val="both"/>
        <w:rPr>
          <w:sz w:val="22"/>
          <w:szCs w:val="22"/>
        </w:rPr>
      </w:pPr>
      <w:r w:rsidRPr="00115F66">
        <w:rPr>
          <w:b/>
          <w:bCs/>
          <w:sz w:val="22"/>
          <w:szCs w:val="22"/>
        </w:rPr>
        <w:t>5.1</w:t>
      </w:r>
      <w:r w:rsidRPr="00115F66">
        <w:rPr>
          <w:b/>
          <w:bCs/>
          <w:sz w:val="22"/>
          <w:szCs w:val="22"/>
        </w:rPr>
        <w:tab/>
        <w:t>Farmakodynamické vlastnosti</w:t>
      </w:r>
    </w:p>
    <w:p w14:paraId="5D86DB81" w14:textId="77777777" w:rsidR="001D0CCF" w:rsidRPr="00115F66" w:rsidRDefault="001D0CCF" w:rsidP="00115F66">
      <w:pPr>
        <w:jc w:val="both"/>
        <w:rPr>
          <w:sz w:val="22"/>
          <w:szCs w:val="22"/>
        </w:rPr>
      </w:pPr>
    </w:p>
    <w:p w14:paraId="199FBF5A" w14:textId="77777777" w:rsidR="001D0CCF" w:rsidRPr="00115F66" w:rsidRDefault="001D0CCF" w:rsidP="00115F66">
      <w:pPr>
        <w:ind w:right="43"/>
        <w:rPr>
          <w:sz w:val="22"/>
          <w:szCs w:val="22"/>
        </w:rPr>
      </w:pPr>
      <w:r w:rsidRPr="00115F66">
        <w:rPr>
          <w:sz w:val="22"/>
          <w:szCs w:val="22"/>
        </w:rPr>
        <w:t>Farmakoterapeutická skupina: perorálne antidiabetiká, deriváty sulfonylmočoviny.</w:t>
      </w:r>
    </w:p>
    <w:p w14:paraId="207CB138" w14:textId="77777777" w:rsidR="001D0CCF" w:rsidRPr="00115F66" w:rsidRDefault="001D0CCF" w:rsidP="00115F66">
      <w:pPr>
        <w:ind w:right="43"/>
        <w:rPr>
          <w:b/>
          <w:bCs/>
          <w:sz w:val="22"/>
          <w:szCs w:val="22"/>
        </w:rPr>
      </w:pPr>
      <w:r w:rsidRPr="00115F66">
        <w:rPr>
          <w:sz w:val="22"/>
          <w:szCs w:val="22"/>
        </w:rPr>
        <w:t>ATC kód: A10BB12.</w:t>
      </w:r>
    </w:p>
    <w:p w14:paraId="6AA77CCB" w14:textId="77777777" w:rsidR="001D0CCF" w:rsidRPr="00115F66" w:rsidRDefault="001D0CCF" w:rsidP="00115F66">
      <w:pPr>
        <w:ind w:right="43"/>
        <w:rPr>
          <w:b/>
          <w:bCs/>
          <w:sz w:val="22"/>
          <w:szCs w:val="22"/>
        </w:rPr>
      </w:pPr>
    </w:p>
    <w:p w14:paraId="366B7494" w14:textId="77777777" w:rsidR="001D0CCF" w:rsidRPr="00115F66" w:rsidRDefault="001D0CCF" w:rsidP="00115F66">
      <w:pPr>
        <w:ind w:right="43"/>
        <w:rPr>
          <w:sz w:val="22"/>
          <w:szCs w:val="22"/>
        </w:rPr>
      </w:pPr>
      <w:r w:rsidRPr="00115F66">
        <w:rPr>
          <w:sz w:val="22"/>
          <w:szCs w:val="22"/>
        </w:rPr>
        <w:t>Glimepirid je perorálne antidiabetikum patriace do skupiny derivátov sulfonylmočoviny. Možno ho použiť pri liečbe diabetu mellitu</w:t>
      </w:r>
      <w:r w:rsidR="000C234C" w:rsidRPr="00115F66">
        <w:rPr>
          <w:sz w:val="22"/>
          <w:szCs w:val="22"/>
        </w:rPr>
        <w:t>s</w:t>
      </w:r>
      <w:r w:rsidRPr="00115F66">
        <w:rPr>
          <w:sz w:val="22"/>
          <w:szCs w:val="22"/>
        </w:rPr>
        <w:t xml:space="preserve"> nezávislého od inzulínu..</w:t>
      </w:r>
    </w:p>
    <w:p w14:paraId="53641CC5" w14:textId="77777777" w:rsidR="001D0CCF" w:rsidRPr="00115F66" w:rsidRDefault="001D0CCF" w:rsidP="00115F66">
      <w:pPr>
        <w:ind w:right="43"/>
        <w:rPr>
          <w:sz w:val="22"/>
          <w:szCs w:val="22"/>
        </w:rPr>
      </w:pPr>
    </w:p>
    <w:p w14:paraId="42B08496" w14:textId="77777777" w:rsidR="001D0CCF" w:rsidRPr="00115F66" w:rsidRDefault="001D0CCF" w:rsidP="00115F66">
      <w:pPr>
        <w:ind w:right="43"/>
        <w:rPr>
          <w:sz w:val="22"/>
          <w:szCs w:val="22"/>
        </w:rPr>
      </w:pPr>
      <w:r w:rsidRPr="00115F66">
        <w:rPr>
          <w:sz w:val="22"/>
          <w:szCs w:val="22"/>
        </w:rPr>
        <w:t>Glimepirid pôsobí najmä stimuláciou uvoľňovania inzulínu z beta buniek pankreasu. Tento účinok je založený, tak ako aj v prípade iných derivátov sulfonylmočoviny, na zvýšenej odpovedi pankreatických beta buniek na fyziologický glukózový podnet. Okrem toho má glimepirid výrazný extrapankreatický efekt, ktorý sa opísal aj u iných derivátov sulfonylmočoviny.</w:t>
      </w:r>
    </w:p>
    <w:p w14:paraId="08DB523A" w14:textId="77777777" w:rsidR="001D0CCF" w:rsidRPr="00115F66" w:rsidRDefault="001D0CCF" w:rsidP="00115F66">
      <w:pPr>
        <w:ind w:right="43"/>
        <w:rPr>
          <w:sz w:val="22"/>
          <w:szCs w:val="22"/>
        </w:rPr>
      </w:pPr>
    </w:p>
    <w:p w14:paraId="60EE257A" w14:textId="77777777" w:rsidR="001D0CCF" w:rsidRPr="00115F66" w:rsidRDefault="001D0CCF" w:rsidP="00115F66">
      <w:pPr>
        <w:pStyle w:val="Nadpis6"/>
        <w:jc w:val="left"/>
        <w:rPr>
          <w:rFonts w:ascii="Times New Roman" w:hAnsi="Times New Roman" w:cs="Times New Roman"/>
          <w:sz w:val="22"/>
          <w:szCs w:val="22"/>
        </w:rPr>
      </w:pPr>
      <w:r w:rsidRPr="00115F66">
        <w:rPr>
          <w:rFonts w:ascii="Times New Roman" w:hAnsi="Times New Roman" w:cs="Times New Roman"/>
          <w:sz w:val="22"/>
          <w:szCs w:val="22"/>
        </w:rPr>
        <w:t>Uvoľňovanie inzulínu</w:t>
      </w:r>
    </w:p>
    <w:p w14:paraId="2B20B22E" w14:textId="77777777" w:rsidR="001D0CCF" w:rsidRPr="00115F66" w:rsidRDefault="001D0CCF" w:rsidP="00115F66">
      <w:pPr>
        <w:ind w:right="43"/>
        <w:rPr>
          <w:sz w:val="22"/>
          <w:szCs w:val="22"/>
        </w:rPr>
      </w:pPr>
      <w:r w:rsidRPr="00115F66">
        <w:rPr>
          <w:sz w:val="22"/>
          <w:szCs w:val="22"/>
        </w:rPr>
        <w:t xml:space="preserve">Deriváty sulfonylmočoviny ovplyvňujú sekréciu inzulínu uzavretím ATP - závislých draslíkových kanálov v membráne beta buniek. Uzavretím draslíkových kanálov sa indukuje depolarizácia beta bunky, čo vedie k otvoreniu vápnikových kanálov - a k zvýšenému vtoku vápnika do bunky. </w:t>
      </w:r>
    </w:p>
    <w:p w14:paraId="20606807" w14:textId="77777777" w:rsidR="001D0CCF" w:rsidRPr="00115F66" w:rsidRDefault="001D0CCF" w:rsidP="00115F66">
      <w:pPr>
        <w:ind w:right="43"/>
        <w:rPr>
          <w:sz w:val="22"/>
          <w:szCs w:val="22"/>
        </w:rPr>
      </w:pPr>
      <w:r w:rsidRPr="00115F66">
        <w:rPr>
          <w:sz w:val="22"/>
          <w:szCs w:val="22"/>
        </w:rPr>
        <w:t xml:space="preserve">Vedie to k uvoľneniu inzulínu prostredníctvom exocytózy. </w:t>
      </w:r>
    </w:p>
    <w:p w14:paraId="2D839BCD" w14:textId="77777777" w:rsidR="001D0CCF" w:rsidRPr="00115F66" w:rsidRDefault="001D0CCF" w:rsidP="00115F66">
      <w:pPr>
        <w:ind w:right="43"/>
        <w:rPr>
          <w:sz w:val="22"/>
          <w:szCs w:val="22"/>
        </w:rPr>
      </w:pPr>
      <w:r w:rsidRPr="00115F66">
        <w:rPr>
          <w:sz w:val="22"/>
          <w:szCs w:val="22"/>
        </w:rPr>
        <w:t xml:space="preserve">Glimepirid sa s vysokou výmennou rýchlosťou viaže na proteín v membráne beta buniek, ktorý je spojený s ATP - závislým draslíkovým kanálom, no líši sa od toho, na ktorý sa viažu bežné deriváty sulfonylmočoviny. </w:t>
      </w:r>
    </w:p>
    <w:p w14:paraId="2CFCD759" w14:textId="77777777" w:rsidR="001D0CCF" w:rsidRPr="00115F66" w:rsidRDefault="001D0CCF" w:rsidP="00115F66">
      <w:pPr>
        <w:ind w:right="43"/>
        <w:rPr>
          <w:b/>
          <w:bCs/>
          <w:sz w:val="22"/>
          <w:szCs w:val="22"/>
        </w:rPr>
      </w:pPr>
    </w:p>
    <w:p w14:paraId="7ADE3CEE" w14:textId="77777777" w:rsidR="001D0CCF" w:rsidRPr="00115F66" w:rsidRDefault="001D0CCF" w:rsidP="00115F66">
      <w:pPr>
        <w:ind w:right="43"/>
        <w:rPr>
          <w:b/>
          <w:bCs/>
          <w:sz w:val="22"/>
          <w:szCs w:val="22"/>
        </w:rPr>
      </w:pPr>
      <w:r w:rsidRPr="00115F66">
        <w:rPr>
          <w:b/>
          <w:bCs/>
          <w:sz w:val="22"/>
          <w:szCs w:val="22"/>
        </w:rPr>
        <w:t>Extrapankreatická aktivita</w:t>
      </w:r>
    </w:p>
    <w:p w14:paraId="3AD4813B" w14:textId="77777777" w:rsidR="001D0CCF" w:rsidRPr="00115F66" w:rsidRDefault="001D0CCF" w:rsidP="00115F66">
      <w:pPr>
        <w:ind w:right="43"/>
        <w:rPr>
          <w:sz w:val="22"/>
          <w:szCs w:val="22"/>
        </w:rPr>
      </w:pPr>
      <w:r w:rsidRPr="00115F66">
        <w:rPr>
          <w:sz w:val="22"/>
          <w:szCs w:val="22"/>
        </w:rPr>
        <w:t xml:space="preserve">Medzi extrapankreatické efekty patrí napríklad zvýšenie citlivosti periférneho tkaniva na inzulín a zníženie vychytávania inzulínu pečeňou. </w:t>
      </w:r>
    </w:p>
    <w:p w14:paraId="056E7733" w14:textId="77777777" w:rsidR="001D0CCF" w:rsidRPr="00115F66" w:rsidRDefault="001D0CCF" w:rsidP="00115F66">
      <w:pPr>
        <w:ind w:right="43"/>
        <w:rPr>
          <w:sz w:val="22"/>
          <w:szCs w:val="22"/>
        </w:rPr>
      </w:pPr>
    </w:p>
    <w:p w14:paraId="79DF8CEE" w14:textId="77777777" w:rsidR="001D0CCF" w:rsidRPr="00115F66" w:rsidRDefault="001D0CCF" w:rsidP="00115F66">
      <w:pPr>
        <w:ind w:right="43"/>
        <w:rPr>
          <w:sz w:val="22"/>
          <w:szCs w:val="22"/>
        </w:rPr>
      </w:pPr>
      <w:r w:rsidRPr="00115F66">
        <w:rPr>
          <w:sz w:val="22"/>
          <w:szCs w:val="22"/>
        </w:rPr>
        <w:t xml:space="preserve">Periférne svaly a tukové tkanivá vychytávajú glukózu z krvi prostredníctvom špeciálnych transportných proteínov, ktoré sa nachádzajú v bunkovej membráne. Transport glukózy v týchto tkanivách je krokom limitujúcim využitie glukózy. Glimepirid veľmi rýchlo zvyšuje počet aktívnych transportných molekúl pre glukózu v plazmatickej membráne svalových a tukových buniek, čo následne vedie k stimulácii vychytávania glukózy. </w:t>
      </w:r>
    </w:p>
    <w:p w14:paraId="102E8984" w14:textId="77777777" w:rsidR="001D0CCF" w:rsidRPr="00115F66" w:rsidRDefault="001D0CCF" w:rsidP="00115F66">
      <w:pPr>
        <w:ind w:right="43"/>
        <w:rPr>
          <w:sz w:val="22"/>
          <w:szCs w:val="22"/>
        </w:rPr>
      </w:pPr>
    </w:p>
    <w:p w14:paraId="645E3497" w14:textId="77777777" w:rsidR="001D0CCF" w:rsidRPr="00115F66" w:rsidRDefault="001D0CCF" w:rsidP="00115F66">
      <w:pPr>
        <w:ind w:right="43"/>
        <w:rPr>
          <w:sz w:val="22"/>
          <w:szCs w:val="22"/>
        </w:rPr>
      </w:pPr>
      <w:r w:rsidRPr="00115F66">
        <w:rPr>
          <w:sz w:val="22"/>
          <w:szCs w:val="22"/>
        </w:rPr>
        <w:t xml:space="preserve">Glimepirid zvyšuje aktivitu glykozylfosfatidylinozitol-špecifickej fosfolipázy C, čo môže súvisieť s lipogenézou a glykogenézou, ktorú glimepirid indukuje v izolovaných tukových a svalových bunkách. </w:t>
      </w:r>
    </w:p>
    <w:p w14:paraId="0D146212" w14:textId="77777777" w:rsidR="001D0CCF" w:rsidRPr="00115F66" w:rsidRDefault="001D0CCF" w:rsidP="00115F66">
      <w:pPr>
        <w:ind w:right="43"/>
        <w:rPr>
          <w:sz w:val="22"/>
          <w:szCs w:val="22"/>
        </w:rPr>
      </w:pPr>
      <w:r w:rsidRPr="00115F66">
        <w:rPr>
          <w:sz w:val="22"/>
          <w:szCs w:val="22"/>
        </w:rPr>
        <w:t>Glimepirid potláča tvorbu glukózy v pečeni tak, že zvyšuje vnútrobunkovú  koncentráciu fruktóza-2,6-bisfosfátu, čo následne inhibuje glukoneogenézu.</w:t>
      </w:r>
    </w:p>
    <w:p w14:paraId="6202FE84" w14:textId="77777777" w:rsidR="001D0CCF" w:rsidRPr="00115F66" w:rsidRDefault="001D0CCF" w:rsidP="00115F66">
      <w:pPr>
        <w:ind w:right="43"/>
        <w:rPr>
          <w:sz w:val="22"/>
          <w:szCs w:val="22"/>
        </w:rPr>
      </w:pPr>
    </w:p>
    <w:p w14:paraId="27EAEDB7" w14:textId="77777777" w:rsidR="001D0CCF" w:rsidRPr="00115F66" w:rsidRDefault="001D0CCF" w:rsidP="00115F66">
      <w:pPr>
        <w:pStyle w:val="Nadpis5"/>
        <w:jc w:val="left"/>
        <w:rPr>
          <w:rFonts w:ascii="Times New Roman" w:hAnsi="Times New Roman" w:cs="Times New Roman"/>
          <w:b/>
          <w:bCs/>
          <w:sz w:val="22"/>
          <w:szCs w:val="22"/>
          <w:u w:val="none"/>
        </w:rPr>
      </w:pPr>
      <w:r w:rsidRPr="00115F66">
        <w:rPr>
          <w:rFonts w:ascii="Times New Roman" w:hAnsi="Times New Roman" w:cs="Times New Roman"/>
          <w:b/>
          <w:bCs/>
          <w:sz w:val="22"/>
          <w:szCs w:val="22"/>
          <w:u w:val="none"/>
        </w:rPr>
        <w:t>Všeobecné</w:t>
      </w:r>
    </w:p>
    <w:p w14:paraId="7AAE3E33" w14:textId="77777777" w:rsidR="001D0CCF" w:rsidRPr="00115F66" w:rsidRDefault="001D0CCF" w:rsidP="00115F66">
      <w:pPr>
        <w:ind w:right="43"/>
        <w:rPr>
          <w:sz w:val="22"/>
          <w:szCs w:val="22"/>
        </w:rPr>
      </w:pPr>
      <w:r w:rsidRPr="00115F66">
        <w:rPr>
          <w:sz w:val="22"/>
          <w:szCs w:val="22"/>
        </w:rPr>
        <w:t xml:space="preserve">Minimálna účinná perorálna dávka je u zdravých osôb približne 0,6 mg. Účinok glimepiridu je opakovateľný a závislý od dávky. Fyziologická odpoveď na intenzívne fyzické cvičenie, zníženie inzulínovej sekrécie sa pri liečbe glimepiridom zachováva. </w:t>
      </w:r>
    </w:p>
    <w:p w14:paraId="099517A0" w14:textId="77777777" w:rsidR="001D0CCF" w:rsidRPr="00115F66" w:rsidRDefault="001D0CCF" w:rsidP="00115F66">
      <w:pPr>
        <w:ind w:right="43"/>
        <w:rPr>
          <w:sz w:val="22"/>
          <w:szCs w:val="22"/>
        </w:rPr>
      </w:pPr>
    </w:p>
    <w:p w14:paraId="37B81A96" w14:textId="77777777" w:rsidR="001D0CCF" w:rsidRPr="00115F66" w:rsidRDefault="001D0CCF" w:rsidP="00115F66">
      <w:pPr>
        <w:ind w:right="43"/>
        <w:rPr>
          <w:sz w:val="22"/>
          <w:szCs w:val="22"/>
        </w:rPr>
      </w:pPr>
      <w:r w:rsidRPr="00115F66">
        <w:rPr>
          <w:sz w:val="22"/>
          <w:szCs w:val="22"/>
        </w:rPr>
        <w:t xml:space="preserve">Účinok sa výrazne neodlišuje, ak sa liek podá 30 minút alebo bezprostredne pred jedlom. U diabetických pacientov sa dá počas 24 hodín dosiahnuť dobrá metabolická kompenzácia jednorazovou dennou dávkou. </w:t>
      </w:r>
    </w:p>
    <w:p w14:paraId="2CE0AE95" w14:textId="77777777" w:rsidR="001D0CCF" w:rsidRPr="00115F66" w:rsidRDefault="001D0CCF" w:rsidP="00115F66">
      <w:pPr>
        <w:ind w:right="43"/>
        <w:rPr>
          <w:sz w:val="22"/>
          <w:szCs w:val="22"/>
        </w:rPr>
      </w:pPr>
    </w:p>
    <w:p w14:paraId="4296458C" w14:textId="77777777" w:rsidR="001D0CCF" w:rsidRPr="00115F66" w:rsidRDefault="001D0CCF" w:rsidP="00115F66">
      <w:pPr>
        <w:ind w:right="43"/>
        <w:rPr>
          <w:sz w:val="22"/>
          <w:szCs w:val="22"/>
        </w:rPr>
      </w:pPr>
      <w:r w:rsidRPr="00115F66">
        <w:rPr>
          <w:sz w:val="22"/>
          <w:szCs w:val="22"/>
        </w:rPr>
        <w:t>Hoci hydroxymetabolity glimepiridu spôsobili malý, ale významný pokles sérovej glukózy u zdravých osôb, k celkovému účinku lieku prispievajú len malou časťou.</w:t>
      </w:r>
    </w:p>
    <w:p w14:paraId="19F6E746" w14:textId="77777777" w:rsidR="001D0CCF" w:rsidRPr="00115F66" w:rsidRDefault="001D0CCF" w:rsidP="00115F66">
      <w:pPr>
        <w:ind w:right="43"/>
        <w:rPr>
          <w:sz w:val="22"/>
          <w:szCs w:val="22"/>
        </w:rPr>
      </w:pPr>
    </w:p>
    <w:p w14:paraId="301332FC" w14:textId="77777777" w:rsidR="001D0CCF" w:rsidRPr="00115F66" w:rsidRDefault="001D0CCF" w:rsidP="00115F66">
      <w:pPr>
        <w:pStyle w:val="Nadpis5"/>
        <w:jc w:val="left"/>
        <w:rPr>
          <w:rFonts w:ascii="Times New Roman" w:hAnsi="Times New Roman" w:cs="Times New Roman"/>
          <w:b/>
          <w:bCs/>
          <w:sz w:val="22"/>
          <w:szCs w:val="22"/>
          <w:u w:val="none"/>
        </w:rPr>
      </w:pPr>
      <w:r w:rsidRPr="00115F66">
        <w:rPr>
          <w:rFonts w:ascii="Times New Roman" w:hAnsi="Times New Roman" w:cs="Times New Roman"/>
          <w:b/>
          <w:bCs/>
          <w:sz w:val="22"/>
          <w:szCs w:val="22"/>
          <w:u w:val="none"/>
        </w:rPr>
        <w:t>Kombinovaná liečba s metformínom</w:t>
      </w:r>
    </w:p>
    <w:p w14:paraId="6B97BD1E" w14:textId="77777777" w:rsidR="001D0CCF" w:rsidRPr="00115F66" w:rsidRDefault="001D0CCF" w:rsidP="00115F66">
      <w:pPr>
        <w:ind w:right="43"/>
        <w:rPr>
          <w:sz w:val="22"/>
          <w:szCs w:val="22"/>
        </w:rPr>
      </w:pPr>
      <w:r w:rsidRPr="00115F66">
        <w:rPr>
          <w:sz w:val="22"/>
          <w:szCs w:val="22"/>
        </w:rPr>
        <w:t>V jednej štúdií sa ukázala zlepšená metabolická kontrola v súbežnej liečbe glimepiridom v porovnaní so samotným metformínom u pacientov, ktorí neboli adekvátne kontrolovaní maximálnou dávkou metformínu.</w:t>
      </w:r>
    </w:p>
    <w:p w14:paraId="373F245B" w14:textId="77777777" w:rsidR="001D0CCF" w:rsidRPr="00115F66" w:rsidRDefault="001D0CCF" w:rsidP="00115F66">
      <w:pPr>
        <w:ind w:right="43"/>
        <w:rPr>
          <w:sz w:val="22"/>
          <w:szCs w:val="22"/>
        </w:rPr>
      </w:pPr>
    </w:p>
    <w:p w14:paraId="0C6285A9" w14:textId="77777777" w:rsidR="001D0CCF" w:rsidRPr="00115F66" w:rsidRDefault="001D0CCF" w:rsidP="00115F66">
      <w:pPr>
        <w:pStyle w:val="Nadpis5"/>
        <w:jc w:val="left"/>
        <w:rPr>
          <w:rFonts w:ascii="Times New Roman" w:hAnsi="Times New Roman" w:cs="Times New Roman"/>
          <w:b/>
          <w:bCs/>
          <w:sz w:val="22"/>
          <w:szCs w:val="22"/>
          <w:u w:val="none"/>
        </w:rPr>
      </w:pPr>
      <w:r w:rsidRPr="00115F66">
        <w:rPr>
          <w:rFonts w:ascii="Times New Roman" w:hAnsi="Times New Roman" w:cs="Times New Roman"/>
          <w:b/>
          <w:bCs/>
          <w:sz w:val="22"/>
          <w:szCs w:val="22"/>
          <w:u w:val="none"/>
        </w:rPr>
        <w:t>Kombinovaná liečba s inzulínom</w:t>
      </w:r>
    </w:p>
    <w:p w14:paraId="3AAE6CA0" w14:textId="77777777" w:rsidR="001D0CCF" w:rsidRPr="00115F66" w:rsidRDefault="001D0CCF" w:rsidP="00115F66">
      <w:pPr>
        <w:ind w:right="43"/>
        <w:rPr>
          <w:sz w:val="22"/>
          <w:szCs w:val="22"/>
        </w:rPr>
      </w:pPr>
      <w:r w:rsidRPr="00115F66">
        <w:rPr>
          <w:sz w:val="22"/>
          <w:szCs w:val="22"/>
        </w:rPr>
        <w:t>Údaje o kombinovanej liečbe inzulínom sú obmedzené. Pacientom, ktorých stav nie je primerane kompenzovaný maximálnymi dávkami glimepiridu, možno nasadiť sprievodnú inzulínovú liečbu. V dvoch štúdiách dosiahla kombinácia to isté zlepšenie metabolickej kompenzácie ako samotný inzulín; pri kombinovanej liečbe však stačila nižšia priemerná dávka inzulínu.</w:t>
      </w:r>
    </w:p>
    <w:p w14:paraId="508A13DC" w14:textId="77777777" w:rsidR="001D0CCF" w:rsidRPr="00115F66" w:rsidRDefault="001D0CCF" w:rsidP="00115F66">
      <w:pPr>
        <w:ind w:right="43"/>
        <w:rPr>
          <w:b/>
          <w:bCs/>
          <w:sz w:val="22"/>
          <w:szCs w:val="22"/>
        </w:rPr>
      </w:pPr>
    </w:p>
    <w:p w14:paraId="5C28C1AD" w14:textId="77777777" w:rsidR="001D0CCF" w:rsidRPr="00115F66" w:rsidRDefault="001D0CCF" w:rsidP="00115F66">
      <w:pPr>
        <w:rPr>
          <w:sz w:val="22"/>
          <w:szCs w:val="22"/>
          <w:u w:val="single"/>
        </w:rPr>
      </w:pPr>
      <w:r w:rsidRPr="00115F66">
        <w:rPr>
          <w:b/>
          <w:bCs/>
          <w:sz w:val="22"/>
          <w:szCs w:val="22"/>
        </w:rPr>
        <w:t xml:space="preserve">Osobitné </w:t>
      </w:r>
      <w:r w:rsidR="000C234C" w:rsidRPr="00115F66">
        <w:rPr>
          <w:b/>
          <w:bCs/>
          <w:sz w:val="22"/>
          <w:szCs w:val="22"/>
        </w:rPr>
        <w:t>populácie</w:t>
      </w:r>
    </w:p>
    <w:p w14:paraId="229AF320" w14:textId="77777777" w:rsidR="001D0CCF" w:rsidRPr="00115F66" w:rsidRDefault="001D0CCF" w:rsidP="00115F66">
      <w:pPr>
        <w:rPr>
          <w:sz w:val="22"/>
          <w:szCs w:val="22"/>
        </w:rPr>
      </w:pPr>
    </w:p>
    <w:p w14:paraId="2D6DCDF8" w14:textId="77777777" w:rsidR="001D0CCF" w:rsidRPr="00115F66" w:rsidRDefault="001D0CCF" w:rsidP="00115F66">
      <w:pPr>
        <w:rPr>
          <w:color w:val="000000"/>
          <w:sz w:val="22"/>
          <w:szCs w:val="22"/>
          <w:u w:val="single"/>
        </w:rPr>
      </w:pPr>
      <w:r w:rsidRPr="00115F66">
        <w:rPr>
          <w:color w:val="000000"/>
          <w:sz w:val="22"/>
          <w:szCs w:val="22"/>
          <w:u w:val="single"/>
        </w:rPr>
        <w:t>Deti a dospievajúci</w:t>
      </w:r>
    </w:p>
    <w:p w14:paraId="68837789" w14:textId="77777777" w:rsidR="001D0CCF" w:rsidRPr="00115F66" w:rsidRDefault="001D0CCF" w:rsidP="00115F66">
      <w:pPr>
        <w:rPr>
          <w:color w:val="000000"/>
          <w:sz w:val="22"/>
          <w:szCs w:val="22"/>
        </w:rPr>
      </w:pPr>
    </w:p>
    <w:p w14:paraId="168DB7CF" w14:textId="77777777" w:rsidR="001D0CCF" w:rsidRPr="00115F66" w:rsidRDefault="001D0CCF" w:rsidP="00115F66">
      <w:pPr>
        <w:rPr>
          <w:color w:val="000000"/>
          <w:sz w:val="22"/>
          <w:szCs w:val="22"/>
        </w:rPr>
      </w:pPr>
      <w:r w:rsidRPr="00115F66">
        <w:rPr>
          <w:color w:val="000000"/>
          <w:sz w:val="22"/>
          <w:szCs w:val="22"/>
        </w:rPr>
        <w:t>Do aktívneho kontrolovaného klinického skúšania (glimepirid v dávke do 8 mg denne alebo metformín v dávke do 2 000 mg denne) v trvaní 24 týždňov bolo zaradených 285 detí (vo veku 8-17 rokov) s diabetom 2. typu.</w:t>
      </w:r>
    </w:p>
    <w:p w14:paraId="55D14F66" w14:textId="77777777" w:rsidR="001D0CCF" w:rsidRPr="00115F66" w:rsidRDefault="001D0CCF" w:rsidP="00115F66">
      <w:pPr>
        <w:rPr>
          <w:color w:val="000000"/>
          <w:sz w:val="22"/>
          <w:szCs w:val="22"/>
        </w:rPr>
      </w:pPr>
    </w:p>
    <w:p w14:paraId="59DFD5AB" w14:textId="77777777" w:rsidR="001D0CCF" w:rsidRPr="00115F66" w:rsidRDefault="001D0CCF" w:rsidP="00115F66">
      <w:pPr>
        <w:rPr>
          <w:sz w:val="22"/>
          <w:szCs w:val="22"/>
        </w:rPr>
      </w:pPr>
      <w:r w:rsidRPr="00115F66">
        <w:rPr>
          <w:color w:val="000000"/>
          <w:sz w:val="22"/>
          <w:szCs w:val="22"/>
        </w:rPr>
        <w:t>Pri  oboch liečivách, glimepiride aj metformíne, bol pozorovaný signifikantný pokles HbA</w:t>
      </w:r>
      <w:r w:rsidRPr="00115F66">
        <w:rPr>
          <w:color w:val="000000"/>
          <w:sz w:val="22"/>
          <w:szCs w:val="22"/>
          <w:vertAlign w:val="subscript"/>
        </w:rPr>
        <w:t>1c</w:t>
      </w:r>
      <w:r w:rsidRPr="00115F66">
        <w:rPr>
          <w:color w:val="000000"/>
          <w:sz w:val="22"/>
          <w:szCs w:val="22"/>
        </w:rPr>
        <w:t xml:space="preserve"> v porovnaní s východiskovou hodnotou</w:t>
      </w:r>
      <w:r w:rsidRPr="00115F66">
        <w:rPr>
          <w:sz w:val="22"/>
          <w:szCs w:val="22"/>
        </w:rPr>
        <w:t xml:space="preserve"> (glimepirid -0,95 (se 0,41); metformín -1,39 (se 0,40))</w:t>
      </w:r>
      <w:r w:rsidRPr="00115F66">
        <w:rPr>
          <w:color w:val="000000"/>
          <w:sz w:val="22"/>
          <w:szCs w:val="22"/>
        </w:rPr>
        <w:t xml:space="preserve">. Avšak pokiaľ ide o priemer zmeny </w:t>
      </w:r>
      <w:r w:rsidRPr="00115F66">
        <w:rPr>
          <w:sz w:val="22"/>
          <w:szCs w:val="22"/>
        </w:rPr>
        <w:t>HbA</w:t>
      </w:r>
      <w:r w:rsidRPr="00115F66">
        <w:rPr>
          <w:sz w:val="22"/>
          <w:szCs w:val="22"/>
          <w:vertAlign w:val="subscript"/>
        </w:rPr>
        <w:t>1c</w:t>
      </w:r>
      <w:r w:rsidRPr="00115F66">
        <w:rPr>
          <w:color w:val="000000"/>
          <w:sz w:val="22"/>
          <w:szCs w:val="22"/>
        </w:rPr>
        <w:t xml:space="preserve"> z východiskovej hodnoty pri glimepiride sa nedosiahli kritériá non-inferiority v porovnaní s metformínom</w:t>
      </w:r>
      <w:r w:rsidRPr="00115F66">
        <w:rPr>
          <w:sz w:val="22"/>
          <w:szCs w:val="22"/>
          <w:vertAlign w:val="subscript"/>
        </w:rPr>
        <w:t>.</w:t>
      </w:r>
      <w:r w:rsidRPr="00115F66">
        <w:rPr>
          <w:sz w:val="22"/>
          <w:szCs w:val="22"/>
        </w:rPr>
        <w:t xml:space="preserve"> Rozdiel medzi liečenými skupinami bol 0,44% v prospech metformínu. Horná hranica (1,05) 95% intervalu spoľahlivosti pre rozdiel nebola pod hodnotou 0,3% rozpätia non-inferiority.</w:t>
      </w:r>
    </w:p>
    <w:p w14:paraId="7B14E43F" w14:textId="77777777" w:rsidR="001D0CCF" w:rsidRPr="00115F66" w:rsidRDefault="001D0CCF" w:rsidP="00115F66">
      <w:pPr>
        <w:ind w:right="43"/>
        <w:rPr>
          <w:sz w:val="22"/>
          <w:szCs w:val="22"/>
        </w:rPr>
      </w:pPr>
      <w:r w:rsidRPr="00115F66">
        <w:rPr>
          <w:color w:val="000000"/>
          <w:sz w:val="22"/>
          <w:szCs w:val="22"/>
        </w:rPr>
        <w:t>Počas liečby glimepiridom neboli u detí zaznamenané žiadne nové skutočnosti týkajúce sa bezpečnosti lieku v porovnaní s dospelými pacientmi s diabetom mellitu 2. typu. V skupine pediatrických pacientov nie sú k dispozícii žiadne dlhodobé údaje o účinnosti a bezpečnosti.</w:t>
      </w:r>
    </w:p>
    <w:p w14:paraId="6B855100" w14:textId="77777777" w:rsidR="001D0CCF" w:rsidRPr="00115F66" w:rsidRDefault="001D0CCF" w:rsidP="00115F66">
      <w:pPr>
        <w:ind w:right="43"/>
        <w:rPr>
          <w:b/>
          <w:bCs/>
          <w:sz w:val="22"/>
          <w:szCs w:val="22"/>
        </w:rPr>
      </w:pPr>
    </w:p>
    <w:p w14:paraId="7481609D" w14:textId="77777777" w:rsidR="001D0CCF" w:rsidRPr="00115F66" w:rsidRDefault="001D0CCF" w:rsidP="00115F66">
      <w:pPr>
        <w:ind w:right="43"/>
        <w:rPr>
          <w:b/>
          <w:bCs/>
          <w:sz w:val="22"/>
          <w:szCs w:val="22"/>
        </w:rPr>
      </w:pPr>
      <w:r w:rsidRPr="00115F66">
        <w:rPr>
          <w:b/>
          <w:bCs/>
          <w:sz w:val="22"/>
          <w:szCs w:val="22"/>
        </w:rPr>
        <w:t>5.2</w:t>
      </w:r>
      <w:r w:rsidRPr="00115F66">
        <w:rPr>
          <w:b/>
          <w:bCs/>
          <w:sz w:val="22"/>
          <w:szCs w:val="22"/>
        </w:rPr>
        <w:tab/>
        <w:t>Farmakokinetické vlastnosti</w:t>
      </w:r>
    </w:p>
    <w:p w14:paraId="22644B5E" w14:textId="77777777" w:rsidR="001D0CCF" w:rsidRPr="00115F66" w:rsidRDefault="001D0CCF" w:rsidP="00115F66">
      <w:pPr>
        <w:ind w:right="43"/>
        <w:rPr>
          <w:sz w:val="22"/>
          <w:szCs w:val="22"/>
        </w:rPr>
      </w:pPr>
    </w:p>
    <w:p w14:paraId="7CAC1103" w14:textId="77777777" w:rsidR="001D0CCF" w:rsidRPr="00115F66" w:rsidRDefault="001D0CCF" w:rsidP="00115F66">
      <w:pPr>
        <w:pStyle w:val="Nadpis5"/>
        <w:jc w:val="left"/>
        <w:rPr>
          <w:rFonts w:ascii="Times New Roman" w:hAnsi="Times New Roman" w:cs="Times New Roman"/>
          <w:sz w:val="22"/>
          <w:szCs w:val="22"/>
          <w:u w:val="none"/>
        </w:rPr>
      </w:pPr>
      <w:r w:rsidRPr="00115F66">
        <w:rPr>
          <w:rFonts w:ascii="Times New Roman" w:hAnsi="Times New Roman" w:cs="Times New Roman"/>
          <w:sz w:val="22"/>
          <w:szCs w:val="22"/>
        </w:rPr>
        <w:t>Absorpcia</w:t>
      </w:r>
    </w:p>
    <w:p w14:paraId="7015A54F" w14:textId="77777777" w:rsidR="001D0CCF" w:rsidRPr="00115F66" w:rsidRDefault="001D0CCF" w:rsidP="00115F66">
      <w:pPr>
        <w:ind w:right="43"/>
        <w:rPr>
          <w:sz w:val="22"/>
          <w:szCs w:val="22"/>
        </w:rPr>
      </w:pPr>
      <w:r w:rsidRPr="00115F66">
        <w:rPr>
          <w:sz w:val="22"/>
          <w:szCs w:val="22"/>
        </w:rPr>
        <w:t>Biologická dostupnosť glimepiridu po perorálnom podaní je úplná. Príjem potravy nemá podstatný vplyv na vstrebávanie, iba sa mierne zníži stupeň absorpcie. Maximálne sérové koncentrácie (C</w:t>
      </w:r>
      <w:r w:rsidRPr="00115F66">
        <w:rPr>
          <w:sz w:val="22"/>
          <w:szCs w:val="22"/>
          <w:vertAlign w:val="subscript"/>
        </w:rPr>
        <w:t>max</w:t>
      </w:r>
      <w:r w:rsidRPr="00115F66">
        <w:rPr>
          <w:sz w:val="22"/>
          <w:szCs w:val="22"/>
        </w:rPr>
        <w:t>) sa dosiahnu približne za 2,5 hodiny po perorálnom užití (priemerne 0,3 цg/ml počas viacnásobného dávkovania 4 mg denne) a medzi dávkou a C</w:t>
      </w:r>
      <w:r w:rsidRPr="00115F66">
        <w:rPr>
          <w:sz w:val="22"/>
          <w:szCs w:val="22"/>
          <w:vertAlign w:val="subscript"/>
        </w:rPr>
        <w:t>max</w:t>
      </w:r>
      <w:r w:rsidRPr="00115F66">
        <w:rPr>
          <w:sz w:val="22"/>
          <w:szCs w:val="22"/>
        </w:rPr>
        <w:t xml:space="preserve">, ako aj medzi dávkou a AUC (plocha pod časovo-koncentračnou krivkou) je lineárny vzťah. </w:t>
      </w:r>
    </w:p>
    <w:p w14:paraId="0973C668" w14:textId="77777777" w:rsidR="001D0CCF" w:rsidRPr="00115F66" w:rsidRDefault="001D0CCF" w:rsidP="00115F66">
      <w:pPr>
        <w:ind w:right="43"/>
        <w:rPr>
          <w:sz w:val="22"/>
          <w:szCs w:val="22"/>
        </w:rPr>
      </w:pPr>
    </w:p>
    <w:p w14:paraId="398F3D41" w14:textId="77777777" w:rsidR="001D0CCF" w:rsidRPr="00115F66" w:rsidRDefault="001D0CCF" w:rsidP="00115F66">
      <w:pPr>
        <w:pStyle w:val="Nadpis5"/>
        <w:jc w:val="left"/>
        <w:rPr>
          <w:rFonts w:ascii="Times New Roman" w:hAnsi="Times New Roman" w:cs="Times New Roman"/>
          <w:sz w:val="22"/>
          <w:szCs w:val="22"/>
          <w:u w:val="none"/>
        </w:rPr>
      </w:pPr>
      <w:r w:rsidRPr="00115F66">
        <w:rPr>
          <w:rFonts w:ascii="Times New Roman" w:hAnsi="Times New Roman" w:cs="Times New Roman"/>
          <w:sz w:val="22"/>
          <w:szCs w:val="22"/>
        </w:rPr>
        <w:t>Distribúcia</w:t>
      </w:r>
    </w:p>
    <w:p w14:paraId="472DA64D" w14:textId="77777777" w:rsidR="001D0CCF" w:rsidRPr="00115F66" w:rsidRDefault="001D0CCF" w:rsidP="00115F66">
      <w:pPr>
        <w:ind w:right="43"/>
        <w:rPr>
          <w:sz w:val="22"/>
          <w:szCs w:val="22"/>
        </w:rPr>
      </w:pPr>
      <w:r w:rsidRPr="00115F66">
        <w:rPr>
          <w:sz w:val="22"/>
          <w:szCs w:val="22"/>
        </w:rPr>
        <w:t>Glimepirid má veľmi nízky distribučný objem (približne 8,8 litrov), ktorý sa približne rovná distribučnému priestoru albumínu, ďalej vysokú väzbovosť na proteíny (</w:t>
      </w:r>
      <w:r w:rsidRPr="00115F66">
        <w:rPr>
          <w:sz w:val="22"/>
          <w:szCs w:val="22"/>
        </w:rPr>
        <w:sym w:font="Symbol" w:char="F03E"/>
      </w:r>
      <w:r w:rsidRPr="00115F66">
        <w:rPr>
          <w:sz w:val="22"/>
          <w:szCs w:val="22"/>
        </w:rPr>
        <w:t xml:space="preserve">99%) a nízky klírens (približne 48 ml/min). </w:t>
      </w:r>
    </w:p>
    <w:p w14:paraId="3D51C0F3" w14:textId="77777777" w:rsidR="001D0CCF" w:rsidRPr="00115F66" w:rsidRDefault="001D0CCF" w:rsidP="00115F66">
      <w:pPr>
        <w:ind w:right="43"/>
        <w:rPr>
          <w:sz w:val="22"/>
          <w:szCs w:val="22"/>
        </w:rPr>
      </w:pPr>
      <w:r w:rsidRPr="00115F66">
        <w:rPr>
          <w:sz w:val="22"/>
          <w:szCs w:val="22"/>
        </w:rPr>
        <w:t>U zvierat glimepirid prechádza do mlieka. Glimepirid prechádza placentou. Prechod hematoencefalickou bariérou je nízky.</w:t>
      </w:r>
    </w:p>
    <w:p w14:paraId="0463F01D" w14:textId="77777777" w:rsidR="001D0CCF" w:rsidRPr="00115F66" w:rsidRDefault="001D0CCF" w:rsidP="00115F66">
      <w:pPr>
        <w:ind w:right="43"/>
        <w:rPr>
          <w:sz w:val="22"/>
          <w:szCs w:val="22"/>
        </w:rPr>
      </w:pPr>
    </w:p>
    <w:p w14:paraId="08FF471B" w14:textId="77777777" w:rsidR="001D0CCF" w:rsidRPr="00115F66" w:rsidRDefault="001D0CCF" w:rsidP="00115F66">
      <w:pPr>
        <w:pStyle w:val="Nadpis5"/>
        <w:jc w:val="left"/>
        <w:rPr>
          <w:rFonts w:ascii="Times New Roman" w:hAnsi="Times New Roman" w:cs="Times New Roman"/>
          <w:sz w:val="22"/>
          <w:szCs w:val="22"/>
          <w:u w:val="none"/>
        </w:rPr>
      </w:pPr>
      <w:r w:rsidRPr="00115F66">
        <w:rPr>
          <w:rFonts w:ascii="Times New Roman" w:hAnsi="Times New Roman" w:cs="Times New Roman"/>
          <w:sz w:val="22"/>
          <w:szCs w:val="22"/>
        </w:rPr>
        <w:t>Biotransformácia a eliminácia</w:t>
      </w:r>
    </w:p>
    <w:p w14:paraId="44577D9F" w14:textId="77777777" w:rsidR="001D0CCF" w:rsidRPr="00115F66" w:rsidRDefault="001D0CCF" w:rsidP="00115F66">
      <w:pPr>
        <w:ind w:right="43"/>
        <w:rPr>
          <w:sz w:val="22"/>
          <w:szCs w:val="22"/>
        </w:rPr>
      </w:pPr>
      <w:r w:rsidRPr="00115F66">
        <w:rPr>
          <w:sz w:val="22"/>
          <w:szCs w:val="22"/>
        </w:rPr>
        <w:t>Stredný dominantný sérový polčas, ktorý je dôležitý pre sérové koncentrácie pri viacnásobnom dávkovaní, je okolo 5 až 8 hodín. Po vysokých dávkach sa zaznamenali o niečo dlhšie polčasy.</w:t>
      </w:r>
    </w:p>
    <w:p w14:paraId="6B7B1A0C" w14:textId="77777777" w:rsidR="001D0CCF" w:rsidRPr="00115F66" w:rsidRDefault="001D0CCF" w:rsidP="00115F66">
      <w:pPr>
        <w:ind w:right="43"/>
        <w:rPr>
          <w:sz w:val="22"/>
          <w:szCs w:val="22"/>
        </w:rPr>
      </w:pPr>
      <w:r w:rsidRPr="00115F66">
        <w:rPr>
          <w:sz w:val="22"/>
          <w:szCs w:val="22"/>
        </w:rPr>
        <w:t>Po podaní jednorazovej dávky rádioaktívne označeného glimepiridu sa 58% rádioaktivity našlo v moči a 35% v stolici. Nezmenená látka sa v moči nezistila. V moči aj stolici sa zistili dva metabolity – pravdepodobne vychádzajúce z pečeňového metabolizmu (hlavný enzým je CYP2C9) - hydroxyderivát a karboxyderivát. Po perorálnom podaní glimepiridu bol terminálny polčas týchto metabolitov 3 až 6 hodín, resp. 5 až 6 hodín.</w:t>
      </w:r>
    </w:p>
    <w:p w14:paraId="6CA31DAA" w14:textId="77777777" w:rsidR="001D0CCF" w:rsidRPr="00115F66" w:rsidRDefault="001D0CCF" w:rsidP="00115F66">
      <w:pPr>
        <w:ind w:right="43"/>
        <w:rPr>
          <w:sz w:val="22"/>
          <w:szCs w:val="22"/>
        </w:rPr>
      </w:pPr>
    </w:p>
    <w:p w14:paraId="48B604C2" w14:textId="77777777" w:rsidR="001D0CCF" w:rsidRPr="00115F66" w:rsidRDefault="001D0CCF" w:rsidP="00115F66">
      <w:pPr>
        <w:pStyle w:val="Zkladntext2"/>
      </w:pPr>
      <w:r w:rsidRPr="00115F66">
        <w:t xml:space="preserve">Porovnanie jednorazovej dávky a opakovaného dávkovania jedenkrát denne neodhalilo žiadne významné rozdiely vo farmakokinetike a  intraindividuálna variabilita bola veľmi nízka. </w:t>
      </w:r>
    </w:p>
    <w:p w14:paraId="09E16604" w14:textId="77777777" w:rsidR="001D0CCF" w:rsidRPr="00115F66" w:rsidRDefault="001D0CCF" w:rsidP="00115F66">
      <w:pPr>
        <w:ind w:right="43"/>
        <w:rPr>
          <w:sz w:val="22"/>
          <w:szCs w:val="22"/>
        </w:rPr>
      </w:pPr>
      <w:r w:rsidRPr="00115F66">
        <w:rPr>
          <w:sz w:val="22"/>
          <w:szCs w:val="22"/>
        </w:rPr>
        <w:t>Nezistila sa žiadna relevantná kumulácia lieku.</w:t>
      </w:r>
    </w:p>
    <w:p w14:paraId="27134B45" w14:textId="77777777" w:rsidR="001D0CCF" w:rsidRPr="00115F66" w:rsidRDefault="001D0CCF" w:rsidP="00115F66">
      <w:pPr>
        <w:ind w:right="43"/>
        <w:rPr>
          <w:sz w:val="22"/>
          <w:szCs w:val="22"/>
        </w:rPr>
      </w:pPr>
    </w:p>
    <w:p w14:paraId="2A3B692A" w14:textId="77777777" w:rsidR="001D0CCF" w:rsidRPr="00115F66" w:rsidRDefault="001D0CCF" w:rsidP="00115F66">
      <w:pPr>
        <w:pStyle w:val="Nadpis7"/>
      </w:pPr>
      <w:r w:rsidRPr="00115F66">
        <w:t xml:space="preserve">Osobitné </w:t>
      </w:r>
      <w:r w:rsidR="00115F66" w:rsidRPr="00115F66">
        <w:t>populácie</w:t>
      </w:r>
    </w:p>
    <w:p w14:paraId="443E3498" w14:textId="77777777" w:rsidR="001D0CCF" w:rsidRPr="00115F66" w:rsidRDefault="001D0CCF" w:rsidP="00115F66">
      <w:pPr>
        <w:ind w:right="43"/>
        <w:rPr>
          <w:sz w:val="22"/>
          <w:szCs w:val="22"/>
        </w:rPr>
      </w:pPr>
      <w:r w:rsidRPr="00115F66">
        <w:rPr>
          <w:sz w:val="22"/>
          <w:szCs w:val="22"/>
        </w:rPr>
        <w:t>Farmakokinetika bola podobná u mužov i u žien, ako aj u mladých a starších (nad 65 rokov) pacientov. Pacienti s nízkym klírensom kreatinínu mali sklon k zvýšenému glimepiridovému klírensu a zníženým priemerným sérovým koncentráciám, čo najpravdepodobnejšie vyplýva z rýchlejšieho vylučovania v dôsledku menšej väzby na proteíny. Renálna eliminácia oboch metabolitov sa zhoršila. Celkovo sa u týchto pacientov nepredpokladá ďalšie riziko kumulácie.</w:t>
      </w:r>
    </w:p>
    <w:p w14:paraId="217477DF" w14:textId="77777777" w:rsidR="001D0CCF" w:rsidRPr="00115F66" w:rsidRDefault="001D0CCF" w:rsidP="00115F66">
      <w:pPr>
        <w:ind w:right="43"/>
        <w:rPr>
          <w:sz w:val="22"/>
          <w:szCs w:val="22"/>
        </w:rPr>
      </w:pPr>
    </w:p>
    <w:p w14:paraId="0C2778E3" w14:textId="77777777" w:rsidR="001D0CCF" w:rsidRPr="00115F66" w:rsidRDefault="001D0CCF" w:rsidP="00115F66">
      <w:pPr>
        <w:ind w:right="43"/>
        <w:rPr>
          <w:sz w:val="22"/>
          <w:szCs w:val="22"/>
        </w:rPr>
      </w:pPr>
      <w:r w:rsidRPr="00115F66">
        <w:rPr>
          <w:sz w:val="22"/>
          <w:szCs w:val="22"/>
        </w:rPr>
        <w:t>Farmakokinetika zistená u piatich nediabetických pacientov po operácii žlčových ciest bola podobná ako u zdravých osôb.</w:t>
      </w:r>
    </w:p>
    <w:p w14:paraId="61554BE5" w14:textId="77777777" w:rsidR="001D0CCF" w:rsidRPr="00115F66" w:rsidRDefault="001D0CCF" w:rsidP="00115F66">
      <w:pPr>
        <w:ind w:right="43"/>
        <w:rPr>
          <w:sz w:val="22"/>
          <w:szCs w:val="22"/>
        </w:rPr>
      </w:pPr>
    </w:p>
    <w:p w14:paraId="204D6935" w14:textId="77777777" w:rsidR="006D3F5D" w:rsidRPr="00493191" w:rsidRDefault="0027017B" w:rsidP="00115F66">
      <w:pPr>
        <w:ind w:right="43"/>
        <w:rPr>
          <w:rFonts w:eastAsia="MS Mincho"/>
          <w:color w:val="000000"/>
          <w:sz w:val="22"/>
          <w:szCs w:val="22"/>
          <w:u w:val="single"/>
          <w:lang w:eastAsia="ja-JP"/>
        </w:rPr>
      </w:pPr>
      <w:r w:rsidRPr="00493191">
        <w:rPr>
          <w:sz w:val="22"/>
          <w:szCs w:val="22"/>
          <w:u w:val="single"/>
        </w:rPr>
        <w:t>Pediatrická populácia</w:t>
      </w:r>
      <w:r w:rsidRPr="00493191">
        <w:rPr>
          <w:rFonts w:eastAsia="MS Mincho"/>
          <w:color w:val="000000"/>
          <w:sz w:val="22"/>
          <w:szCs w:val="22"/>
          <w:u w:val="single"/>
          <w:lang w:eastAsia="ja-JP"/>
        </w:rPr>
        <w:t xml:space="preserve"> </w:t>
      </w:r>
    </w:p>
    <w:p w14:paraId="54C9E800" w14:textId="77777777" w:rsidR="001D0CCF" w:rsidRPr="00115F66" w:rsidRDefault="001D0CCF" w:rsidP="00115F66">
      <w:pPr>
        <w:ind w:right="43"/>
        <w:rPr>
          <w:sz w:val="22"/>
          <w:szCs w:val="22"/>
        </w:rPr>
      </w:pPr>
      <w:r w:rsidRPr="00115F66">
        <w:rPr>
          <w:rFonts w:eastAsia="MS Mincho"/>
          <w:color w:val="000000"/>
          <w:sz w:val="22"/>
          <w:szCs w:val="22"/>
          <w:lang w:eastAsia="ja-JP"/>
        </w:rPr>
        <w:lastRenderedPageBreak/>
        <w:t>V štúdii po jedle, kde sa skúmala farmakokinetika, bezpečnosť a tolerabilita glimepiridu podávaného ako jednotlivá dávka 1 mg v skupine 30 pediatrických pacientov (4 deti vo veku 10-12 rokov a 26 detí vo veku 12 až 17 rokov) s diabetom 2. typu, sa preukázalo, že priemerná hodnota</w:t>
      </w:r>
      <w:r w:rsidRPr="00115F66">
        <w:rPr>
          <w:color w:val="000000"/>
          <w:sz w:val="22"/>
          <w:szCs w:val="22"/>
        </w:rPr>
        <w:t xml:space="preserve"> AUC</w:t>
      </w:r>
      <w:r w:rsidRPr="00115F66">
        <w:rPr>
          <w:color w:val="000000"/>
          <w:sz w:val="22"/>
          <w:szCs w:val="22"/>
          <w:vertAlign w:val="subscript"/>
        </w:rPr>
        <w:t>(0-last)</w:t>
      </w:r>
      <w:r w:rsidRPr="00115F66">
        <w:rPr>
          <w:color w:val="000000"/>
          <w:sz w:val="22"/>
          <w:szCs w:val="22"/>
        </w:rPr>
        <w:t xml:space="preserve"> , C</w:t>
      </w:r>
      <w:r w:rsidRPr="00115F66">
        <w:rPr>
          <w:color w:val="000000"/>
          <w:sz w:val="22"/>
          <w:szCs w:val="22"/>
          <w:vertAlign w:val="subscript"/>
        </w:rPr>
        <w:t xml:space="preserve">max </w:t>
      </w:r>
      <w:r w:rsidRPr="00115F66">
        <w:rPr>
          <w:color w:val="000000"/>
          <w:sz w:val="22"/>
          <w:szCs w:val="22"/>
        </w:rPr>
        <w:t>a t</w:t>
      </w:r>
      <w:r w:rsidRPr="00115F66">
        <w:rPr>
          <w:color w:val="000000"/>
          <w:sz w:val="22"/>
          <w:szCs w:val="22"/>
          <w:vertAlign w:val="subscript"/>
        </w:rPr>
        <w:t xml:space="preserve">1/2  </w:t>
      </w:r>
      <w:r w:rsidRPr="00115F66">
        <w:rPr>
          <w:rFonts w:eastAsia="MS Mincho"/>
          <w:color w:val="000000"/>
          <w:sz w:val="22"/>
          <w:szCs w:val="22"/>
          <w:lang w:eastAsia="ja-JP"/>
        </w:rPr>
        <w:t>je podobná ako u dospelých.</w:t>
      </w:r>
    </w:p>
    <w:p w14:paraId="60D6285B" w14:textId="77777777" w:rsidR="001D0CCF" w:rsidRPr="00115F66" w:rsidRDefault="001D0CCF" w:rsidP="00115F66">
      <w:pPr>
        <w:ind w:right="43"/>
        <w:rPr>
          <w:sz w:val="22"/>
          <w:szCs w:val="22"/>
        </w:rPr>
      </w:pPr>
    </w:p>
    <w:p w14:paraId="12D71B87" w14:textId="77777777" w:rsidR="001D0CCF" w:rsidRPr="00115F66" w:rsidRDefault="001D0CCF" w:rsidP="00115F66">
      <w:pPr>
        <w:ind w:right="43"/>
        <w:rPr>
          <w:b/>
          <w:bCs/>
          <w:sz w:val="22"/>
          <w:szCs w:val="22"/>
        </w:rPr>
      </w:pPr>
      <w:r w:rsidRPr="00115F66">
        <w:rPr>
          <w:b/>
          <w:bCs/>
          <w:sz w:val="22"/>
          <w:szCs w:val="22"/>
        </w:rPr>
        <w:t>5.3</w:t>
      </w:r>
      <w:r w:rsidRPr="00115F66">
        <w:rPr>
          <w:b/>
          <w:bCs/>
          <w:sz w:val="22"/>
          <w:szCs w:val="22"/>
        </w:rPr>
        <w:tab/>
        <w:t>Predklinické údaje o bezpečnosti</w:t>
      </w:r>
    </w:p>
    <w:p w14:paraId="6147D62B" w14:textId="77777777" w:rsidR="001D0CCF" w:rsidRPr="00115F66" w:rsidRDefault="001D0CCF" w:rsidP="00115F66">
      <w:pPr>
        <w:ind w:right="43"/>
        <w:rPr>
          <w:b/>
          <w:bCs/>
          <w:sz w:val="22"/>
          <w:szCs w:val="22"/>
        </w:rPr>
      </w:pPr>
    </w:p>
    <w:p w14:paraId="1BF01E71" w14:textId="2B8D02C3" w:rsidR="001D0CCF" w:rsidRPr="00115F66" w:rsidRDefault="001D0CCF" w:rsidP="00115F66">
      <w:pPr>
        <w:ind w:right="43"/>
        <w:rPr>
          <w:sz w:val="22"/>
          <w:szCs w:val="22"/>
        </w:rPr>
      </w:pPr>
      <w:r w:rsidRPr="00115F66">
        <w:rPr>
          <w:sz w:val="22"/>
          <w:szCs w:val="22"/>
        </w:rPr>
        <w:t xml:space="preserve">Pozorované predklinické účinky sa vyskytli pri expozíciách značne prekračujúcich maximálnu expozíciu u ľudí, takže majú malý význam pre klinickú prax alebo boli spôsobené farmakodynamickým účinkom (hypoglykémiou) zložky. Toto zistenie sa zakladá na základe obvyklých </w:t>
      </w:r>
      <w:r w:rsidR="006D3F5D">
        <w:rPr>
          <w:sz w:val="22"/>
          <w:szCs w:val="22"/>
        </w:rPr>
        <w:t xml:space="preserve">farmakologických </w:t>
      </w:r>
      <w:r w:rsidRPr="00115F66">
        <w:rPr>
          <w:sz w:val="22"/>
          <w:szCs w:val="22"/>
        </w:rPr>
        <w:t>štúdií bezpečnosti, toxicity po opakovanom pod</w:t>
      </w:r>
      <w:r w:rsidR="006D3F5D">
        <w:rPr>
          <w:sz w:val="22"/>
          <w:szCs w:val="22"/>
        </w:rPr>
        <w:t>áv</w:t>
      </w:r>
      <w:r w:rsidRPr="00115F66">
        <w:rPr>
          <w:sz w:val="22"/>
          <w:szCs w:val="22"/>
        </w:rPr>
        <w:t>aní, genotoxicity, karcinog</w:t>
      </w:r>
      <w:r w:rsidR="006D3F5D">
        <w:rPr>
          <w:sz w:val="22"/>
          <w:szCs w:val="22"/>
        </w:rPr>
        <w:t>énneho potenciálu</w:t>
      </w:r>
      <w:r w:rsidRPr="00115F66">
        <w:rPr>
          <w:sz w:val="22"/>
          <w:szCs w:val="22"/>
        </w:rPr>
        <w:t xml:space="preserve"> a reprodukčnej toxicity. V druhom prípade (štúdie pokrývajúce embryotoxicitu, teratogenitu a vývojovú toxicitu), sa pozorované nežiaduce účinky považovali za sekundárne k hypoglykemickým účinkom indukovaným liečivom u samíc a mláďat.</w:t>
      </w:r>
    </w:p>
    <w:p w14:paraId="65CCA153" w14:textId="77777777" w:rsidR="001D0CCF" w:rsidRPr="00115F66" w:rsidRDefault="001D0CCF" w:rsidP="00115F66">
      <w:pPr>
        <w:ind w:right="43"/>
        <w:rPr>
          <w:sz w:val="22"/>
          <w:szCs w:val="22"/>
        </w:rPr>
      </w:pPr>
    </w:p>
    <w:p w14:paraId="7655E9E8" w14:textId="77777777" w:rsidR="001D0CCF" w:rsidRPr="00115F66" w:rsidRDefault="001D0CCF" w:rsidP="00115F66">
      <w:pPr>
        <w:ind w:right="43"/>
        <w:rPr>
          <w:sz w:val="22"/>
          <w:szCs w:val="22"/>
        </w:rPr>
      </w:pPr>
    </w:p>
    <w:p w14:paraId="58FB53AE" w14:textId="77777777" w:rsidR="001D0CCF" w:rsidRPr="00115F66" w:rsidRDefault="001D0CCF" w:rsidP="00115F66">
      <w:pPr>
        <w:jc w:val="both"/>
        <w:rPr>
          <w:b/>
          <w:bCs/>
          <w:sz w:val="22"/>
          <w:szCs w:val="22"/>
        </w:rPr>
      </w:pPr>
      <w:r w:rsidRPr="00115F66">
        <w:rPr>
          <w:b/>
          <w:bCs/>
          <w:sz w:val="22"/>
          <w:szCs w:val="22"/>
        </w:rPr>
        <w:t>6.</w:t>
      </w:r>
      <w:r w:rsidRPr="00115F66">
        <w:rPr>
          <w:b/>
          <w:bCs/>
          <w:sz w:val="22"/>
          <w:szCs w:val="22"/>
        </w:rPr>
        <w:tab/>
        <w:t>FARMACEUTICKÉ INFORMÁCIE</w:t>
      </w:r>
    </w:p>
    <w:p w14:paraId="3CC6115A" w14:textId="77777777" w:rsidR="001D0CCF" w:rsidRPr="00115F66" w:rsidRDefault="001D0CCF" w:rsidP="00115F66">
      <w:pPr>
        <w:jc w:val="both"/>
        <w:rPr>
          <w:sz w:val="22"/>
          <w:szCs w:val="22"/>
        </w:rPr>
      </w:pPr>
    </w:p>
    <w:p w14:paraId="15948D0E" w14:textId="77777777" w:rsidR="001D0CCF" w:rsidRPr="00115F66" w:rsidRDefault="001D0CCF" w:rsidP="00115F66">
      <w:pPr>
        <w:numPr>
          <w:ilvl w:val="1"/>
          <w:numId w:val="15"/>
        </w:numPr>
        <w:jc w:val="both"/>
        <w:rPr>
          <w:b/>
          <w:bCs/>
          <w:sz w:val="22"/>
          <w:szCs w:val="22"/>
        </w:rPr>
      </w:pPr>
      <w:r w:rsidRPr="00115F66">
        <w:rPr>
          <w:b/>
          <w:bCs/>
          <w:sz w:val="22"/>
          <w:szCs w:val="22"/>
        </w:rPr>
        <w:t>Zoznam pomocných látok</w:t>
      </w:r>
    </w:p>
    <w:p w14:paraId="7EF40003" w14:textId="77777777" w:rsidR="001D0CCF" w:rsidRPr="00115F66" w:rsidRDefault="001D0CCF" w:rsidP="00115F66">
      <w:pPr>
        <w:jc w:val="both"/>
        <w:rPr>
          <w:b/>
          <w:bCs/>
          <w:sz w:val="22"/>
          <w:szCs w:val="22"/>
        </w:rPr>
      </w:pPr>
    </w:p>
    <w:p w14:paraId="415E0D16" w14:textId="4BF657AB" w:rsidR="00493191" w:rsidRDefault="00493191" w:rsidP="00115F66">
      <w:pPr>
        <w:jc w:val="both"/>
        <w:rPr>
          <w:sz w:val="22"/>
          <w:szCs w:val="22"/>
        </w:rPr>
      </w:pPr>
      <w:r>
        <w:rPr>
          <w:sz w:val="22"/>
          <w:szCs w:val="22"/>
        </w:rPr>
        <w:t>l</w:t>
      </w:r>
      <w:r w:rsidR="00B679AE">
        <w:rPr>
          <w:sz w:val="22"/>
          <w:szCs w:val="22"/>
        </w:rPr>
        <w:t>aktóza</w:t>
      </w:r>
    </w:p>
    <w:p w14:paraId="419D9F07" w14:textId="03C3ABF8" w:rsidR="001D0CCF" w:rsidRPr="00115F66" w:rsidRDefault="00B679AE" w:rsidP="00115F66">
      <w:pPr>
        <w:jc w:val="both"/>
        <w:rPr>
          <w:sz w:val="22"/>
          <w:szCs w:val="22"/>
        </w:rPr>
      </w:pPr>
      <w:r>
        <w:rPr>
          <w:sz w:val="22"/>
          <w:szCs w:val="22"/>
        </w:rPr>
        <w:t>m</w:t>
      </w:r>
      <w:r w:rsidR="001D0CCF" w:rsidRPr="00115F66">
        <w:rPr>
          <w:sz w:val="22"/>
          <w:szCs w:val="22"/>
        </w:rPr>
        <w:t>onohydrát karboxymetylškrob</w:t>
      </w:r>
      <w:r w:rsidR="00493191">
        <w:rPr>
          <w:sz w:val="22"/>
          <w:szCs w:val="22"/>
        </w:rPr>
        <w:t>u</w:t>
      </w:r>
      <w:r w:rsidR="001D0CCF" w:rsidRPr="00115F66">
        <w:rPr>
          <w:sz w:val="22"/>
          <w:szCs w:val="22"/>
        </w:rPr>
        <w:t xml:space="preserve"> A,</w:t>
      </w:r>
      <w:r w:rsidRPr="00B679AE">
        <w:rPr>
          <w:sz w:val="22"/>
          <w:szCs w:val="22"/>
        </w:rPr>
        <w:t xml:space="preserve"> </w:t>
      </w:r>
      <w:r w:rsidRPr="00115F66">
        <w:rPr>
          <w:sz w:val="22"/>
          <w:szCs w:val="22"/>
        </w:rPr>
        <w:t>sodná soľ</w:t>
      </w:r>
    </w:p>
    <w:p w14:paraId="56EAA87B" w14:textId="06937850" w:rsidR="001D0CCF" w:rsidRPr="00115F66" w:rsidRDefault="00B679AE" w:rsidP="00115F66">
      <w:pPr>
        <w:jc w:val="both"/>
        <w:rPr>
          <w:sz w:val="22"/>
          <w:szCs w:val="22"/>
        </w:rPr>
      </w:pPr>
      <w:r>
        <w:rPr>
          <w:sz w:val="22"/>
          <w:szCs w:val="22"/>
        </w:rPr>
        <w:t>stearan horečnatý</w:t>
      </w:r>
    </w:p>
    <w:p w14:paraId="034E67D4" w14:textId="77777777" w:rsidR="001D0CCF" w:rsidRPr="00115F66" w:rsidRDefault="001D0CCF" w:rsidP="00115F66">
      <w:pPr>
        <w:jc w:val="both"/>
        <w:rPr>
          <w:sz w:val="22"/>
          <w:szCs w:val="22"/>
        </w:rPr>
      </w:pPr>
      <w:r w:rsidRPr="00115F66">
        <w:rPr>
          <w:sz w:val="22"/>
          <w:szCs w:val="22"/>
        </w:rPr>
        <w:t>mikrokryštalická celulóza,</w:t>
      </w:r>
    </w:p>
    <w:p w14:paraId="71F1EE21" w14:textId="04A8E8A4" w:rsidR="001D0CCF" w:rsidRPr="00115F66" w:rsidRDefault="001D0CCF" w:rsidP="00115F66">
      <w:pPr>
        <w:jc w:val="both"/>
        <w:rPr>
          <w:sz w:val="22"/>
          <w:szCs w:val="22"/>
        </w:rPr>
      </w:pPr>
      <w:r w:rsidRPr="00115F66">
        <w:rPr>
          <w:sz w:val="22"/>
          <w:szCs w:val="22"/>
        </w:rPr>
        <w:t>povidón K 29-32</w:t>
      </w:r>
    </w:p>
    <w:p w14:paraId="69495815" w14:textId="77777777" w:rsidR="001D0CCF" w:rsidRPr="00115F66" w:rsidRDefault="001D0CCF" w:rsidP="00115F66">
      <w:pPr>
        <w:jc w:val="both"/>
        <w:rPr>
          <w:sz w:val="22"/>
          <w:szCs w:val="22"/>
        </w:rPr>
      </w:pPr>
    </w:p>
    <w:p w14:paraId="3DC5045B" w14:textId="77777777" w:rsidR="001D0CCF" w:rsidRPr="00115F66" w:rsidRDefault="001D0CCF" w:rsidP="00115F66">
      <w:pPr>
        <w:jc w:val="both"/>
        <w:rPr>
          <w:sz w:val="22"/>
          <w:szCs w:val="22"/>
        </w:rPr>
      </w:pPr>
      <w:r w:rsidRPr="00115F66">
        <w:rPr>
          <w:sz w:val="22"/>
          <w:szCs w:val="22"/>
        </w:rPr>
        <w:t>Ďalej obsahuje farbivá:</w:t>
      </w:r>
      <w:bookmarkStart w:id="2" w:name="_GoBack"/>
      <w:bookmarkEnd w:id="2"/>
    </w:p>
    <w:p w14:paraId="4A44F205" w14:textId="77777777" w:rsidR="001D0CCF" w:rsidRPr="00115F66" w:rsidRDefault="001D0CCF" w:rsidP="00115F66">
      <w:pPr>
        <w:jc w:val="both"/>
        <w:rPr>
          <w:sz w:val="22"/>
          <w:szCs w:val="22"/>
        </w:rPr>
      </w:pPr>
    </w:p>
    <w:p w14:paraId="52059749" w14:textId="77777777" w:rsidR="001D0CCF" w:rsidRPr="00115F66" w:rsidRDefault="001D0CCF" w:rsidP="00115F66">
      <w:pPr>
        <w:jc w:val="both"/>
        <w:rPr>
          <w:sz w:val="22"/>
          <w:szCs w:val="22"/>
        </w:rPr>
      </w:pPr>
      <w:r w:rsidRPr="00115F66">
        <w:rPr>
          <w:sz w:val="22"/>
          <w:szCs w:val="22"/>
        </w:rPr>
        <w:t>Melyd 2: žltý oxid železitý (E172), hlinitý lak oranžovej žlt</w:t>
      </w:r>
      <w:r w:rsidR="002F53BC" w:rsidRPr="00115F66">
        <w:rPr>
          <w:sz w:val="22"/>
          <w:szCs w:val="22"/>
        </w:rPr>
        <w:t>i</w:t>
      </w:r>
      <w:r w:rsidRPr="00115F66">
        <w:rPr>
          <w:sz w:val="22"/>
          <w:szCs w:val="22"/>
        </w:rPr>
        <w:t xml:space="preserve"> FCF (E110), hlinitý lak tartrazínu (E102), hlinitý lak brilantnej modrej FCF (E133).</w:t>
      </w:r>
    </w:p>
    <w:p w14:paraId="3B89B3D2" w14:textId="77777777" w:rsidR="001D0CCF" w:rsidRPr="00115F66" w:rsidRDefault="001D0CCF" w:rsidP="00115F66">
      <w:pPr>
        <w:jc w:val="both"/>
        <w:rPr>
          <w:sz w:val="22"/>
          <w:szCs w:val="22"/>
        </w:rPr>
      </w:pPr>
      <w:r w:rsidRPr="00115F66">
        <w:rPr>
          <w:sz w:val="22"/>
          <w:szCs w:val="22"/>
        </w:rPr>
        <w:t>Melyd 3: žltý oxid železitý (E172).</w:t>
      </w:r>
    </w:p>
    <w:p w14:paraId="2CC45323" w14:textId="77777777" w:rsidR="001D0CCF" w:rsidRPr="00115F66" w:rsidRDefault="001D0CCF" w:rsidP="00115F66">
      <w:pPr>
        <w:jc w:val="both"/>
        <w:rPr>
          <w:sz w:val="22"/>
          <w:szCs w:val="22"/>
        </w:rPr>
      </w:pPr>
      <w:r w:rsidRPr="00115F66">
        <w:rPr>
          <w:sz w:val="22"/>
          <w:szCs w:val="22"/>
        </w:rPr>
        <w:t>Melyd 4: hlinitý lak indigokarmínu (E132).</w:t>
      </w:r>
    </w:p>
    <w:p w14:paraId="02B62303" w14:textId="77777777" w:rsidR="001D0CCF" w:rsidRPr="00115F66" w:rsidRDefault="001D0CCF" w:rsidP="00115F66">
      <w:pPr>
        <w:jc w:val="both"/>
        <w:rPr>
          <w:sz w:val="22"/>
          <w:szCs w:val="22"/>
        </w:rPr>
      </w:pPr>
    </w:p>
    <w:p w14:paraId="2069CD88" w14:textId="77777777" w:rsidR="001D0CCF" w:rsidRPr="00115F66" w:rsidRDefault="001D0CCF" w:rsidP="00115F66">
      <w:pPr>
        <w:ind w:right="43"/>
        <w:rPr>
          <w:b/>
          <w:bCs/>
          <w:sz w:val="22"/>
          <w:szCs w:val="22"/>
        </w:rPr>
      </w:pPr>
      <w:r w:rsidRPr="00115F66">
        <w:rPr>
          <w:b/>
          <w:bCs/>
          <w:sz w:val="22"/>
          <w:szCs w:val="22"/>
        </w:rPr>
        <w:t>6.2</w:t>
      </w:r>
      <w:r w:rsidRPr="00115F66">
        <w:rPr>
          <w:b/>
          <w:bCs/>
          <w:sz w:val="22"/>
          <w:szCs w:val="22"/>
        </w:rPr>
        <w:tab/>
        <w:t>Inkompatibility</w:t>
      </w:r>
    </w:p>
    <w:p w14:paraId="15FEB107" w14:textId="77777777" w:rsidR="001D0CCF" w:rsidRPr="00115F66" w:rsidRDefault="001D0CCF" w:rsidP="00115F66">
      <w:pPr>
        <w:ind w:right="43"/>
        <w:rPr>
          <w:sz w:val="22"/>
          <w:szCs w:val="22"/>
        </w:rPr>
      </w:pPr>
    </w:p>
    <w:p w14:paraId="66DA231F" w14:textId="627B47A3" w:rsidR="001D0CCF" w:rsidRPr="00115F66" w:rsidRDefault="001D0CCF" w:rsidP="00115F66">
      <w:pPr>
        <w:pStyle w:val="Zkladntext2"/>
      </w:pPr>
      <w:r w:rsidRPr="00115F66">
        <w:t>Neaplikovateľné.</w:t>
      </w:r>
    </w:p>
    <w:p w14:paraId="59824456" w14:textId="77777777" w:rsidR="001D0CCF" w:rsidRPr="00115F66" w:rsidRDefault="001D0CCF" w:rsidP="00115F66">
      <w:pPr>
        <w:ind w:right="43"/>
        <w:rPr>
          <w:sz w:val="22"/>
          <w:szCs w:val="22"/>
        </w:rPr>
      </w:pPr>
    </w:p>
    <w:p w14:paraId="75847C8B" w14:textId="77777777" w:rsidR="001D0CCF" w:rsidRPr="00115F66" w:rsidRDefault="001D0CCF" w:rsidP="00115F66">
      <w:pPr>
        <w:numPr>
          <w:ilvl w:val="1"/>
          <w:numId w:val="15"/>
        </w:numPr>
        <w:ind w:right="43"/>
        <w:rPr>
          <w:b/>
          <w:bCs/>
          <w:sz w:val="22"/>
          <w:szCs w:val="22"/>
        </w:rPr>
      </w:pPr>
      <w:r w:rsidRPr="00115F66">
        <w:rPr>
          <w:b/>
          <w:bCs/>
          <w:sz w:val="22"/>
          <w:szCs w:val="22"/>
        </w:rPr>
        <w:t xml:space="preserve">Čas použiteľnosti </w:t>
      </w:r>
    </w:p>
    <w:p w14:paraId="76AAD083" w14:textId="77777777" w:rsidR="001D0CCF" w:rsidRPr="00115F66" w:rsidRDefault="001D0CCF" w:rsidP="00115F66">
      <w:pPr>
        <w:ind w:right="43"/>
        <w:rPr>
          <w:sz w:val="22"/>
          <w:szCs w:val="22"/>
        </w:rPr>
      </w:pPr>
    </w:p>
    <w:p w14:paraId="120E20B6" w14:textId="77777777" w:rsidR="001D0CCF" w:rsidRPr="00115F66" w:rsidRDefault="002F53BC" w:rsidP="00115F66">
      <w:pPr>
        <w:ind w:right="43"/>
        <w:rPr>
          <w:sz w:val="22"/>
          <w:szCs w:val="22"/>
        </w:rPr>
      </w:pPr>
      <w:r w:rsidRPr="00115F66">
        <w:rPr>
          <w:sz w:val="22"/>
          <w:szCs w:val="22"/>
        </w:rPr>
        <w:t>3 roky</w:t>
      </w:r>
    </w:p>
    <w:p w14:paraId="4309A7FB" w14:textId="77777777" w:rsidR="001D0CCF" w:rsidRPr="00115F66" w:rsidRDefault="001D0CCF" w:rsidP="00115F66">
      <w:pPr>
        <w:ind w:right="43"/>
        <w:rPr>
          <w:b/>
          <w:bCs/>
          <w:sz w:val="22"/>
          <w:szCs w:val="22"/>
        </w:rPr>
      </w:pPr>
    </w:p>
    <w:p w14:paraId="647E150F" w14:textId="77777777" w:rsidR="001D0CCF" w:rsidRPr="00115F66" w:rsidRDefault="001D0CCF" w:rsidP="00115F66">
      <w:pPr>
        <w:ind w:right="43"/>
        <w:rPr>
          <w:b/>
          <w:bCs/>
          <w:sz w:val="22"/>
          <w:szCs w:val="22"/>
        </w:rPr>
      </w:pPr>
      <w:r w:rsidRPr="00115F66">
        <w:rPr>
          <w:b/>
          <w:bCs/>
          <w:sz w:val="22"/>
          <w:szCs w:val="22"/>
        </w:rPr>
        <w:t>6.4</w:t>
      </w:r>
      <w:r w:rsidRPr="00115F66">
        <w:rPr>
          <w:b/>
          <w:bCs/>
          <w:sz w:val="22"/>
          <w:szCs w:val="22"/>
        </w:rPr>
        <w:tab/>
        <w:t>Špeciálne upozornenia na uchovávanie</w:t>
      </w:r>
    </w:p>
    <w:p w14:paraId="53FAC839" w14:textId="77777777" w:rsidR="001D0CCF" w:rsidRPr="00115F66" w:rsidRDefault="001D0CCF" w:rsidP="00115F66">
      <w:pPr>
        <w:ind w:right="43"/>
        <w:rPr>
          <w:sz w:val="22"/>
          <w:szCs w:val="22"/>
        </w:rPr>
      </w:pPr>
    </w:p>
    <w:p w14:paraId="56E02280" w14:textId="77777777" w:rsidR="001D0CCF" w:rsidRPr="00115F66" w:rsidRDefault="001D0CCF" w:rsidP="00115F66">
      <w:pPr>
        <w:ind w:right="43"/>
        <w:rPr>
          <w:sz w:val="22"/>
          <w:szCs w:val="22"/>
        </w:rPr>
      </w:pPr>
      <w:r w:rsidRPr="00115F66">
        <w:rPr>
          <w:sz w:val="22"/>
          <w:szCs w:val="22"/>
        </w:rPr>
        <w:t>Uchovávajte pri teplote neprevyšujúcej 30°</w:t>
      </w:r>
      <w:r w:rsidR="00DA7A2B" w:rsidRPr="00115F66">
        <w:rPr>
          <w:sz w:val="22"/>
          <w:szCs w:val="22"/>
        </w:rPr>
        <w:t xml:space="preserve"> </w:t>
      </w:r>
      <w:r w:rsidRPr="00115F66">
        <w:rPr>
          <w:sz w:val="22"/>
          <w:szCs w:val="22"/>
        </w:rPr>
        <w:t>C.</w:t>
      </w:r>
    </w:p>
    <w:p w14:paraId="6F9862A3" w14:textId="77777777" w:rsidR="001D0CCF" w:rsidRPr="00115F66" w:rsidRDefault="001D0CCF" w:rsidP="00115F66">
      <w:pPr>
        <w:ind w:right="43"/>
        <w:rPr>
          <w:b/>
          <w:bCs/>
          <w:sz w:val="22"/>
          <w:szCs w:val="22"/>
        </w:rPr>
      </w:pPr>
    </w:p>
    <w:p w14:paraId="440CF4C3" w14:textId="77777777" w:rsidR="001D0CCF" w:rsidRPr="00115F66" w:rsidRDefault="001D0CCF" w:rsidP="00115F66">
      <w:pPr>
        <w:ind w:right="43"/>
        <w:rPr>
          <w:b/>
          <w:bCs/>
          <w:sz w:val="22"/>
          <w:szCs w:val="22"/>
        </w:rPr>
      </w:pPr>
      <w:r w:rsidRPr="00115F66">
        <w:rPr>
          <w:b/>
          <w:bCs/>
          <w:sz w:val="22"/>
          <w:szCs w:val="22"/>
        </w:rPr>
        <w:t>6.5</w:t>
      </w:r>
      <w:r w:rsidRPr="00115F66">
        <w:rPr>
          <w:b/>
          <w:bCs/>
          <w:sz w:val="22"/>
          <w:szCs w:val="22"/>
        </w:rPr>
        <w:tab/>
        <w:t>Druh obalu a obsah balenia</w:t>
      </w:r>
    </w:p>
    <w:p w14:paraId="4016A5E5" w14:textId="77777777" w:rsidR="001D0CCF" w:rsidRPr="00115F66" w:rsidRDefault="001D0CCF" w:rsidP="00115F66">
      <w:pPr>
        <w:ind w:right="43"/>
        <w:rPr>
          <w:sz w:val="22"/>
          <w:szCs w:val="22"/>
        </w:rPr>
      </w:pPr>
    </w:p>
    <w:p w14:paraId="3FE71FDA" w14:textId="77777777" w:rsidR="001D0CCF" w:rsidRPr="00115F66" w:rsidRDefault="001D0CCF" w:rsidP="00115F66">
      <w:pPr>
        <w:ind w:right="43"/>
        <w:rPr>
          <w:sz w:val="22"/>
          <w:szCs w:val="22"/>
        </w:rPr>
      </w:pPr>
      <w:r w:rsidRPr="00115F66">
        <w:rPr>
          <w:sz w:val="22"/>
          <w:szCs w:val="22"/>
        </w:rPr>
        <w:t>PVC/hliníkové blistre.</w:t>
      </w:r>
    </w:p>
    <w:p w14:paraId="20BDC9FC" w14:textId="77777777" w:rsidR="001D0CCF" w:rsidRPr="00115F66" w:rsidRDefault="001D0CCF" w:rsidP="00115F66">
      <w:pPr>
        <w:ind w:right="43"/>
        <w:rPr>
          <w:sz w:val="22"/>
          <w:szCs w:val="22"/>
        </w:rPr>
      </w:pPr>
    </w:p>
    <w:p w14:paraId="2BFA8F95" w14:textId="77777777" w:rsidR="001D0CCF" w:rsidRPr="00115F66" w:rsidRDefault="001D0CCF" w:rsidP="00115F66">
      <w:pPr>
        <w:suppressAutoHyphens/>
        <w:ind w:left="561" w:hanging="561"/>
        <w:rPr>
          <w:sz w:val="22"/>
          <w:szCs w:val="22"/>
        </w:rPr>
      </w:pPr>
      <w:r w:rsidRPr="00115F66">
        <w:rPr>
          <w:sz w:val="22"/>
          <w:szCs w:val="22"/>
        </w:rPr>
        <w:t>Veľkosti balen</w:t>
      </w:r>
      <w:r w:rsidR="00DA7A2B" w:rsidRPr="00115F66">
        <w:rPr>
          <w:sz w:val="22"/>
          <w:szCs w:val="22"/>
        </w:rPr>
        <w:t>ia</w:t>
      </w:r>
      <w:r w:rsidRPr="00115F66">
        <w:rPr>
          <w:sz w:val="22"/>
          <w:szCs w:val="22"/>
        </w:rPr>
        <w:t>: 10, 15, 20, 30, 50, 60, 90, 120 a 180 tabliet.</w:t>
      </w:r>
    </w:p>
    <w:p w14:paraId="46630219" w14:textId="77777777" w:rsidR="001D0CCF" w:rsidRPr="00115F66" w:rsidRDefault="001D0CCF" w:rsidP="00115F66">
      <w:pPr>
        <w:suppressAutoHyphens/>
        <w:ind w:left="561" w:hanging="561"/>
        <w:rPr>
          <w:spacing w:val="-3"/>
          <w:sz w:val="22"/>
          <w:szCs w:val="22"/>
        </w:rPr>
      </w:pPr>
    </w:p>
    <w:p w14:paraId="5F54510C" w14:textId="77777777" w:rsidR="001D0CCF" w:rsidRPr="00115F66" w:rsidRDefault="00DA7A2B" w:rsidP="00115F66">
      <w:pPr>
        <w:ind w:right="43"/>
        <w:rPr>
          <w:sz w:val="22"/>
          <w:szCs w:val="22"/>
        </w:rPr>
      </w:pPr>
      <w:r w:rsidRPr="00115F66">
        <w:rPr>
          <w:sz w:val="22"/>
          <w:szCs w:val="22"/>
        </w:rPr>
        <w:t xml:space="preserve">Na trh nemusia byť uvedené </w:t>
      </w:r>
      <w:r w:rsidR="001D0CCF" w:rsidRPr="00115F66">
        <w:rPr>
          <w:sz w:val="22"/>
          <w:szCs w:val="22"/>
        </w:rPr>
        <w:t>všetky veľkosti balenia.</w:t>
      </w:r>
    </w:p>
    <w:p w14:paraId="40B61CA4" w14:textId="77777777" w:rsidR="001D0CCF" w:rsidRPr="00115F66" w:rsidRDefault="001D0CCF" w:rsidP="00493191">
      <w:pPr>
        <w:ind w:right="43"/>
        <w:rPr>
          <w:sz w:val="22"/>
          <w:szCs w:val="22"/>
        </w:rPr>
      </w:pPr>
    </w:p>
    <w:p w14:paraId="25758CE8" w14:textId="2E78295C" w:rsidR="001D0CCF" w:rsidRPr="00115F66" w:rsidRDefault="001D0CCF" w:rsidP="00115F66">
      <w:pPr>
        <w:ind w:right="43"/>
        <w:rPr>
          <w:b/>
          <w:bCs/>
          <w:sz w:val="22"/>
          <w:szCs w:val="22"/>
        </w:rPr>
      </w:pPr>
      <w:r w:rsidRPr="00115F66">
        <w:rPr>
          <w:b/>
          <w:bCs/>
          <w:sz w:val="22"/>
          <w:szCs w:val="22"/>
        </w:rPr>
        <w:t>6.6</w:t>
      </w:r>
      <w:r w:rsidRPr="00115F66">
        <w:rPr>
          <w:b/>
          <w:bCs/>
          <w:sz w:val="22"/>
          <w:szCs w:val="22"/>
        </w:rPr>
        <w:tab/>
        <w:t xml:space="preserve">Špeciálne opatrenia na likvidáciu  </w:t>
      </w:r>
      <w:r w:rsidRPr="00115F66">
        <w:rPr>
          <w:b/>
          <w:sz w:val="22"/>
          <w:szCs w:val="22"/>
        </w:rPr>
        <w:t>a iné zaobchádzanie s liekom</w:t>
      </w:r>
    </w:p>
    <w:p w14:paraId="29AB6524" w14:textId="77777777" w:rsidR="001D0CCF" w:rsidRPr="00115F66" w:rsidRDefault="001D0CCF" w:rsidP="00115F66">
      <w:pPr>
        <w:pStyle w:val="Zarkazkladnhotextu"/>
        <w:jc w:val="left"/>
        <w:rPr>
          <w:rFonts w:ascii="Times New Roman" w:hAnsi="Times New Roman" w:cs="Times New Roman"/>
        </w:rPr>
      </w:pPr>
    </w:p>
    <w:p w14:paraId="2F53ED25" w14:textId="77777777" w:rsidR="001D0CCF" w:rsidRPr="00115F66" w:rsidRDefault="001D0CCF" w:rsidP="00115F66">
      <w:pPr>
        <w:pStyle w:val="Zarkazkladnhotextu"/>
        <w:jc w:val="left"/>
        <w:rPr>
          <w:rFonts w:ascii="Times New Roman" w:hAnsi="Times New Roman" w:cs="Times New Roman"/>
        </w:rPr>
      </w:pPr>
      <w:r w:rsidRPr="00115F66">
        <w:rPr>
          <w:rFonts w:ascii="Times New Roman" w:hAnsi="Times New Roman" w:cs="Times New Roman"/>
        </w:rPr>
        <w:t xml:space="preserve">Žiadne zvláštne požiadavky. </w:t>
      </w:r>
    </w:p>
    <w:p w14:paraId="41BD80D4" w14:textId="77777777" w:rsidR="001D0CCF" w:rsidRPr="00115F66" w:rsidRDefault="001D0CCF" w:rsidP="00115F66">
      <w:pPr>
        <w:ind w:right="43"/>
        <w:rPr>
          <w:sz w:val="22"/>
          <w:szCs w:val="22"/>
        </w:rPr>
      </w:pPr>
    </w:p>
    <w:p w14:paraId="1E041D6F" w14:textId="77777777" w:rsidR="001D0CCF" w:rsidRPr="00115F66" w:rsidRDefault="001D0CCF" w:rsidP="00115F66">
      <w:pPr>
        <w:ind w:right="43"/>
        <w:rPr>
          <w:sz w:val="22"/>
          <w:szCs w:val="22"/>
        </w:rPr>
      </w:pPr>
    </w:p>
    <w:p w14:paraId="1EE9EBB1" w14:textId="77777777" w:rsidR="001D0CCF" w:rsidRPr="00115F66" w:rsidRDefault="001D0CCF" w:rsidP="00115F66">
      <w:pPr>
        <w:jc w:val="both"/>
        <w:rPr>
          <w:sz w:val="22"/>
          <w:szCs w:val="22"/>
        </w:rPr>
      </w:pPr>
      <w:r w:rsidRPr="00115F66">
        <w:rPr>
          <w:b/>
          <w:bCs/>
          <w:sz w:val="22"/>
          <w:szCs w:val="22"/>
        </w:rPr>
        <w:t>7.</w:t>
      </w:r>
      <w:r w:rsidRPr="00115F66">
        <w:rPr>
          <w:b/>
          <w:bCs/>
          <w:sz w:val="22"/>
          <w:szCs w:val="22"/>
        </w:rPr>
        <w:tab/>
        <w:t>DRŽITEĽ ROZHODNUTIA O REGISTRÁCII</w:t>
      </w:r>
    </w:p>
    <w:p w14:paraId="0F0399E7" w14:textId="77777777" w:rsidR="001D0CCF" w:rsidRPr="00115F66" w:rsidRDefault="001D0CCF" w:rsidP="00115F66">
      <w:pPr>
        <w:jc w:val="both"/>
        <w:rPr>
          <w:sz w:val="22"/>
          <w:szCs w:val="22"/>
        </w:rPr>
      </w:pPr>
    </w:p>
    <w:p w14:paraId="1833FA07" w14:textId="77777777" w:rsidR="001D0CCF" w:rsidRPr="00115F66" w:rsidRDefault="001D0CCF" w:rsidP="00115F66">
      <w:pPr>
        <w:jc w:val="both"/>
        <w:rPr>
          <w:sz w:val="22"/>
          <w:szCs w:val="22"/>
        </w:rPr>
      </w:pPr>
      <w:r w:rsidRPr="00115F66">
        <w:rPr>
          <w:sz w:val="22"/>
          <w:szCs w:val="22"/>
        </w:rPr>
        <w:t>STADA Arzneimittel AG</w:t>
      </w:r>
    </w:p>
    <w:p w14:paraId="1D0BA07B" w14:textId="77777777" w:rsidR="001D0CCF" w:rsidRPr="00115F66" w:rsidRDefault="001D0CCF" w:rsidP="00115F66">
      <w:pPr>
        <w:jc w:val="both"/>
        <w:rPr>
          <w:sz w:val="22"/>
          <w:szCs w:val="22"/>
        </w:rPr>
      </w:pPr>
      <w:r w:rsidRPr="00115F66">
        <w:rPr>
          <w:sz w:val="22"/>
          <w:szCs w:val="22"/>
        </w:rPr>
        <w:t>Stadastrasse 2-18</w:t>
      </w:r>
    </w:p>
    <w:p w14:paraId="62186287" w14:textId="77777777" w:rsidR="001D0CCF" w:rsidRPr="00115F66" w:rsidRDefault="001D0CCF" w:rsidP="00115F66">
      <w:pPr>
        <w:jc w:val="both"/>
        <w:rPr>
          <w:sz w:val="22"/>
          <w:szCs w:val="22"/>
        </w:rPr>
      </w:pPr>
      <w:r w:rsidRPr="00115F66">
        <w:rPr>
          <w:sz w:val="22"/>
          <w:szCs w:val="22"/>
        </w:rPr>
        <w:t>61118 Bad Vilbel</w:t>
      </w:r>
    </w:p>
    <w:p w14:paraId="5C88B8B2" w14:textId="77777777" w:rsidR="001D0CCF" w:rsidRPr="00115F66" w:rsidRDefault="001D0CCF" w:rsidP="00115F66">
      <w:pPr>
        <w:jc w:val="both"/>
        <w:rPr>
          <w:sz w:val="22"/>
          <w:szCs w:val="22"/>
        </w:rPr>
      </w:pPr>
      <w:r w:rsidRPr="00115F66">
        <w:rPr>
          <w:sz w:val="22"/>
          <w:szCs w:val="22"/>
        </w:rPr>
        <w:t>Nemecko</w:t>
      </w:r>
    </w:p>
    <w:p w14:paraId="042274D6" w14:textId="77777777" w:rsidR="001D0CCF" w:rsidRPr="00115F66" w:rsidRDefault="001D0CCF" w:rsidP="00115F66">
      <w:pPr>
        <w:jc w:val="both"/>
        <w:rPr>
          <w:sz w:val="22"/>
          <w:szCs w:val="22"/>
        </w:rPr>
      </w:pPr>
    </w:p>
    <w:p w14:paraId="38E8E5FF" w14:textId="77777777" w:rsidR="001D0CCF" w:rsidRPr="00115F66" w:rsidRDefault="001D0CCF" w:rsidP="00115F66">
      <w:pPr>
        <w:jc w:val="both"/>
        <w:rPr>
          <w:sz w:val="22"/>
          <w:szCs w:val="22"/>
        </w:rPr>
      </w:pPr>
    </w:p>
    <w:p w14:paraId="59CC4093" w14:textId="77777777" w:rsidR="001D0CCF" w:rsidRPr="00115F66" w:rsidRDefault="001D0CCF" w:rsidP="00115F66">
      <w:pPr>
        <w:jc w:val="both"/>
        <w:rPr>
          <w:b/>
          <w:bCs/>
          <w:sz w:val="22"/>
          <w:szCs w:val="22"/>
        </w:rPr>
      </w:pPr>
      <w:r w:rsidRPr="00115F66">
        <w:rPr>
          <w:b/>
          <w:bCs/>
          <w:sz w:val="22"/>
          <w:szCs w:val="22"/>
        </w:rPr>
        <w:t>8.</w:t>
      </w:r>
      <w:r w:rsidRPr="00115F66">
        <w:rPr>
          <w:b/>
          <w:bCs/>
          <w:sz w:val="22"/>
          <w:szCs w:val="22"/>
        </w:rPr>
        <w:tab/>
        <w:t xml:space="preserve">REGISTRAČNÉ ČÍSLA </w:t>
      </w:r>
    </w:p>
    <w:p w14:paraId="0BD6388C" w14:textId="77777777" w:rsidR="001D0CCF" w:rsidRPr="00115F66" w:rsidRDefault="001D0CCF" w:rsidP="00115F66">
      <w:pPr>
        <w:jc w:val="both"/>
        <w:rPr>
          <w:sz w:val="22"/>
          <w:szCs w:val="22"/>
        </w:rPr>
      </w:pPr>
    </w:p>
    <w:p w14:paraId="344410FA" w14:textId="77777777" w:rsidR="001D0CCF" w:rsidRPr="00115F66" w:rsidRDefault="001D0CCF" w:rsidP="00115F66">
      <w:pPr>
        <w:jc w:val="both"/>
        <w:rPr>
          <w:sz w:val="22"/>
          <w:szCs w:val="22"/>
        </w:rPr>
      </w:pPr>
      <w:r w:rsidRPr="00115F66">
        <w:rPr>
          <w:sz w:val="22"/>
          <w:szCs w:val="22"/>
        </w:rPr>
        <w:t>Melyd 2 mg tablety: 18/0203/06-S</w:t>
      </w:r>
    </w:p>
    <w:p w14:paraId="324C108D" w14:textId="77777777" w:rsidR="001D0CCF" w:rsidRPr="00115F66" w:rsidRDefault="001D0CCF" w:rsidP="00115F66">
      <w:pPr>
        <w:jc w:val="both"/>
        <w:rPr>
          <w:sz w:val="22"/>
          <w:szCs w:val="22"/>
        </w:rPr>
      </w:pPr>
      <w:r w:rsidRPr="00115F66">
        <w:rPr>
          <w:sz w:val="22"/>
          <w:szCs w:val="22"/>
        </w:rPr>
        <w:t>Melyd 3 mg tablety: 18/0204/06-S</w:t>
      </w:r>
    </w:p>
    <w:p w14:paraId="2B23C0DF" w14:textId="77777777" w:rsidR="001D0CCF" w:rsidRPr="00115F66" w:rsidRDefault="001D0CCF" w:rsidP="00115F66">
      <w:pPr>
        <w:jc w:val="both"/>
        <w:rPr>
          <w:sz w:val="22"/>
          <w:szCs w:val="22"/>
        </w:rPr>
      </w:pPr>
      <w:r w:rsidRPr="00115F66">
        <w:rPr>
          <w:sz w:val="22"/>
          <w:szCs w:val="22"/>
        </w:rPr>
        <w:t>Melyd 4 mg tablety: 18/0205/06-S</w:t>
      </w:r>
    </w:p>
    <w:p w14:paraId="15AB0813" w14:textId="77777777" w:rsidR="001D0CCF" w:rsidRPr="00115F66" w:rsidRDefault="001D0CCF" w:rsidP="00115F66">
      <w:pPr>
        <w:jc w:val="both"/>
        <w:rPr>
          <w:sz w:val="22"/>
          <w:szCs w:val="22"/>
        </w:rPr>
      </w:pPr>
    </w:p>
    <w:p w14:paraId="5D618B4E" w14:textId="77777777" w:rsidR="001D0CCF" w:rsidRPr="00115F66" w:rsidRDefault="001D0CCF" w:rsidP="00115F66">
      <w:pPr>
        <w:jc w:val="both"/>
        <w:rPr>
          <w:sz w:val="22"/>
          <w:szCs w:val="22"/>
        </w:rPr>
      </w:pPr>
    </w:p>
    <w:p w14:paraId="022A1757" w14:textId="77777777" w:rsidR="001D0CCF" w:rsidRPr="00115F66" w:rsidRDefault="001D0CCF" w:rsidP="00115F66">
      <w:pPr>
        <w:jc w:val="both"/>
        <w:rPr>
          <w:sz w:val="22"/>
          <w:szCs w:val="22"/>
        </w:rPr>
      </w:pPr>
      <w:r w:rsidRPr="00115F66">
        <w:rPr>
          <w:b/>
          <w:bCs/>
          <w:sz w:val="22"/>
          <w:szCs w:val="22"/>
        </w:rPr>
        <w:t>9.</w:t>
      </w:r>
      <w:r w:rsidRPr="00115F66">
        <w:rPr>
          <w:b/>
          <w:bCs/>
          <w:sz w:val="22"/>
          <w:szCs w:val="22"/>
        </w:rPr>
        <w:tab/>
        <w:t>DÁTUM PRVEJ REGISTRÁCIE/ PREDĹŽENIA REGISTRÁCIE</w:t>
      </w:r>
    </w:p>
    <w:p w14:paraId="23CE1C94" w14:textId="77777777" w:rsidR="001D0CCF" w:rsidRPr="00115F66" w:rsidRDefault="001D0CCF" w:rsidP="00115F66">
      <w:pPr>
        <w:jc w:val="both"/>
        <w:rPr>
          <w:sz w:val="22"/>
          <w:szCs w:val="22"/>
        </w:rPr>
      </w:pPr>
    </w:p>
    <w:p w14:paraId="352B278B" w14:textId="52D76C89" w:rsidR="001D0CCF" w:rsidRPr="00115F66" w:rsidRDefault="002F53BC" w:rsidP="00115F66">
      <w:pPr>
        <w:jc w:val="both"/>
        <w:rPr>
          <w:sz w:val="22"/>
          <w:szCs w:val="22"/>
        </w:rPr>
      </w:pPr>
      <w:r w:rsidRPr="00115F66">
        <w:rPr>
          <w:sz w:val="22"/>
          <w:szCs w:val="22"/>
        </w:rPr>
        <w:t xml:space="preserve">Dátum prvej registrácie: </w:t>
      </w:r>
      <w:r w:rsidR="001D0CCF" w:rsidRPr="00115F66">
        <w:rPr>
          <w:sz w:val="22"/>
          <w:szCs w:val="22"/>
        </w:rPr>
        <w:t>23.</w:t>
      </w:r>
      <w:r w:rsidR="00DA7A2B" w:rsidRPr="00115F66">
        <w:rPr>
          <w:sz w:val="22"/>
          <w:szCs w:val="22"/>
        </w:rPr>
        <w:t xml:space="preserve"> mája </w:t>
      </w:r>
      <w:r w:rsidR="001D0CCF" w:rsidRPr="00115F66">
        <w:rPr>
          <w:sz w:val="22"/>
          <w:szCs w:val="22"/>
        </w:rPr>
        <w:t>2006</w:t>
      </w:r>
    </w:p>
    <w:p w14:paraId="5398DECE" w14:textId="17DFF4F0" w:rsidR="002F53BC" w:rsidRPr="00115F66" w:rsidRDefault="002F53BC" w:rsidP="00115F66">
      <w:pPr>
        <w:jc w:val="both"/>
        <w:rPr>
          <w:sz w:val="22"/>
          <w:szCs w:val="22"/>
        </w:rPr>
      </w:pPr>
      <w:r w:rsidRPr="00115F66">
        <w:rPr>
          <w:sz w:val="22"/>
          <w:szCs w:val="22"/>
        </w:rPr>
        <w:t>Dátum posledného predĺženia</w:t>
      </w:r>
      <w:r w:rsidR="00D8655B" w:rsidRPr="00115F66">
        <w:rPr>
          <w:sz w:val="22"/>
          <w:szCs w:val="22"/>
        </w:rPr>
        <w:t xml:space="preserve"> registrácie</w:t>
      </w:r>
      <w:r w:rsidRPr="00115F66">
        <w:rPr>
          <w:sz w:val="22"/>
          <w:szCs w:val="22"/>
        </w:rPr>
        <w:t>: 21.</w:t>
      </w:r>
      <w:r w:rsidR="00DA7A2B" w:rsidRPr="00115F66" w:rsidDel="00DA7A2B">
        <w:rPr>
          <w:sz w:val="22"/>
          <w:szCs w:val="22"/>
        </w:rPr>
        <w:t xml:space="preserve"> </w:t>
      </w:r>
      <w:r w:rsidR="00DA7A2B" w:rsidRPr="00115F66">
        <w:rPr>
          <w:sz w:val="22"/>
          <w:szCs w:val="22"/>
        </w:rPr>
        <w:t>septembra</w:t>
      </w:r>
      <w:r w:rsidR="00115F66" w:rsidRPr="00115F66">
        <w:rPr>
          <w:sz w:val="22"/>
          <w:szCs w:val="22"/>
        </w:rPr>
        <w:t xml:space="preserve"> </w:t>
      </w:r>
      <w:r w:rsidRPr="00115F66">
        <w:rPr>
          <w:sz w:val="22"/>
          <w:szCs w:val="22"/>
        </w:rPr>
        <w:t>2010</w:t>
      </w:r>
    </w:p>
    <w:p w14:paraId="2AA8607A" w14:textId="77777777" w:rsidR="001D0CCF" w:rsidRPr="00115F66" w:rsidRDefault="001D0CCF" w:rsidP="00115F66">
      <w:pPr>
        <w:jc w:val="both"/>
        <w:rPr>
          <w:sz w:val="22"/>
          <w:szCs w:val="22"/>
        </w:rPr>
      </w:pPr>
    </w:p>
    <w:p w14:paraId="1889E16B" w14:textId="77777777" w:rsidR="001D0CCF" w:rsidRPr="00115F66" w:rsidRDefault="001D0CCF" w:rsidP="00115F66">
      <w:pPr>
        <w:jc w:val="both"/>
        <w:rPr>
          <w:sz w:val="22"/>
          <w:szCs w:val="22"/>
        </w:rPr>
      </w:pPr>
    </w:p>
    <w:p w14:paraId="7C998914" w14:textId="77777777" w:rsidR="001D0CCF" w:rsidRPr="00115F66" w:rsidRDefault="001D0CCF" w:rsidP="00115F66">
      <w:pPr>
        <w:ind w:right="43"/>
        <w:rPr>
          <w:b/>
          <w:bCs/>
          <w:sz w:val="22"/>
          <w:szCs w:val="22"/>
        </w:rPr>
      </w:pPr>
      <w:r w:rsidRPr="00115F66">
        <w:rPr>
          <w:b/>
          <w:bCs/>
          <w:sz w:val="22"/>
          <w:szCs w:val="22"/>
        </w:rPr>
        <w:t>10.</w:t>
      </w:r>
      <w:r w:rsidRPr="00115F66">
        <w:rPr>
          <w:b/>
          <w:bCs/>
          <w:sz w:val="22"/>
          <w:szCs w:val="22"/>
        </w:rPr>
        <w:tab/>
        <w:t>DÁTUM REVÍZIE TEXTU</w:t>
      </w:r>
    </w:p>
    <w:p w14:paraId="292CC1D9" w14:textId="77777777" w:rsidR="001D0CCF" w:rsidRPr="00115F66" w:rsidRDefault="001D0CCF" w:rsidP="00115F66">
      <w:pPr>
        <w:ind w:right="43"/>
        <w:rPr>
          <w:sz w:val="22"/>
          <w:szCs w:val="22"/>
        </w:rPr>
      </w:pPr>
    </w:p>
    <w:p w14:paraId="351565CB" w14:textId="05C451E4" w:rsidR="001D0CCF" w:rsidRPr="00115F66" w:rsidRDefault="00A75268">
      <w:pPr>
        <w:ind w:right="43"/>
        <w:rPr>
          <w:sz w:val="22"/>
          <w:szCs w:val="22"/>
        </w:rPr>
      </w:pPr>
      <w:r>
        <w:rPr>
          <w:sz w:val="22"/>
          <w:szCs w:val="22"/>
        </w:rPr>
        <w:t>11/2019</w:t>
      </w:r>
    </w:p>
    <w:sectPr w:rsidR="001D0CCF" w:rsidRPr="00115F66" w:rsidSect="00493191">
      <w:headerReference w:type="default" r:id="rId9"/>
      <w:footerReference w:type="even" r:id="rId10"/>
      <w:footerReference w:type="default" r:id="rId11"/>
      <w:pgSz w:w="11906" w:h="16838" w:code="9"/>
      <w:pgMar w:top="1134" w:right="1418" w:bottom="1134" w:left="1418" w:header="737" w:footer="73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0BE1C" w14:textId="77777777" w:rsidR="000C2AE9" w:rsidRDefault="000C2AE9">
      <w:r>
        <w:separator/>
      </w:r>
    </w:p>
  </w:endnote>
  <w:endnote w:type="continuationSeparator" w:id="0">
    <w:p w14:paraId="729C1F92" w14:textId="77777777" w:rsidR="000C2AE9" w:rsidRDefault="000C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Univers">
    <w:altName w:val="Arial"/>
    <w:charset w:val="EE"/>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0CD22" w14:textId="77777777" w:rsidR="001D0CCF" w:rsidRDefault="001D0CCF" w:rsidP="00115F66">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52EA5430" w14:textId="77777777" w:rsidR="001D0CCF" w:rsidRDefault="001D0CCF">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3E6EA" w14:textId="77777777" w:rsidR="001D0CCF" w:rsidRPr="00DA7A2B" w:rsidRDefault="001D0CCF" w:rsidP="00115F66">
    <w:pPr>
      <w:pStyle w:val="Pta"/>
      <w:framePr w:wrap="around" w:vAnchor="text" w:hAnchor="margin" w:xAlign="center" w:y="1"/>
      <w:rPr>
        <w:rStyle w:val="slostrany"/>
        <w:sz w:val="18"/>
        <w:szCs w:val="18"/>
      </w:rPr>
    </w:pPr>
    <w:r w:rsidRPr="00DA7A2B">
      <w:rPr>
        <w:rStyle w:val="slostrany"/>
        <w:sz w:val="18"/>
        <w:szCs w:val="18"/>
      </w:rPr>
      <w:fldChar w:fldCharType="begin"/>
    </w:r>
    <w:r w:rsidRPr="00DA7A2B">
      <w:rPr>
        <w:rStyle w:val="slostrany"/>
        <w:sz w:val="18"/>
        <w:szCs w:val="18"/>
      </w:rPr>
      <w:instrText xml:space="preserve">PAGE  </w:instrText>
    </w:r>
    <w:r w:rsidRPr="00DA7A2B">
      <w:rPr>
        <w:rStyle w:val="slostrany"/>
        <w:sz w:val="18"/>
        <w:szCs w:val="18"/>
      </w:rPr>
      <w:fldChar w:fldCharType="separate"/>
    </w:r>
    <w:r w:rsidR="00493191">
      <w:rPr>
        <w:rStyle w:val="slostrany"/>
        <w:noProof/>
        <w:sz w:val="18"/>
        <w:szCs w:val="18"/>
      </w:rPr>
      <w:t>11</w:t>
    </w:r>
    <w:r w:rsidRPr="00DA7A2B">
      <w:rPr>
        <w:rStyle w:val="slostrany"/>
        <w:sz w:val="18"/>
        <w:szCs w:val="18"/>
      </w:rPr>
      <w:fldChar w:fldCharType="end"/>
    </w:r>
  </w:p>
  <w:p w14:paraId="495E6D4F" w14:textId="77777777" w:rsidR="001D0CCF" w:rsidRDefault="001D0CCF">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86751" w14:textId="77777777" w:rsidR="000C2AE9" w:rsidRDefault="000C2AE9">
      <w:r>
        <w:separator/>
      </w:r>
    </w:p>
  </w:footnote>
  <w:footnote w:type="continuationSeparator" w:id="0">
    <w:p w14:paraId="084765E9" w14:textId="77777777" w:rsidR="000C2AE9" w:rsidRDefault="000C2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E60AA" w14:textId="77777777" w:rsidR="00EC6842" w:rsidRDefault="00EC6842" w:rsidP="00493191">
    <w:pPr>
      <w:pStyle w:val="Nzov"/>
      <w:tabs>
        <w:tab w:val="clear" w:pos="284"/>
        <w:tab w:val="left" w:pos="567"/>
      </w:tabs>
      <w:jc w:val="left"/>
      <w:outlineLvl w:val="0"/>
    </w:pPr>
    <w:r w:rsidRPr="00D14558">
      <w:rPr>
        <w:b w:val="0"/>
        <w:sz w:val="18"/>
        <w:szCs w:val="18"/>
        <w:lang w:val="sk-SK"/>
      </w:rPr>
      <w:t xml:space="preserve">Príloha č. 1 k notifikácii </w:t>
    </w:r>
    <w:r>
      <w:rPr>
        <w:b w:val="0"/>
        <w:sz w:val="18"/>
        <w:szCs w:val="18"/>
        <w:lang w:val="sk-SK"/>
      </w:rPr>
      <w:t xml:space="preserve">o </w:t>
    </w:r>
    <w:r w:rsidRPr="00D14558">
      <w:rPr>
        <w:b w:val="0"/>
        <w:sz w:val="18"/>
        <w:szCs w:val="18"/>
        <w:lang w:val="sk-SK"/>
      </w:rPr>
      <w:t>zmen</w:t>
    </w:r>
    <w:r>
      <w:rPr>
        <w:b w:val="0"/>
        <w:sz w:val="18"/>
        <w:szCs w:val="18"/>
        <w:lang w:val="sk-SK"/>
      </w:rPr>
      <w:t>e</w:t>
    </w:r>
    <w:r w:rsidRPr="00C95243">
      <w:rPr>
        <w:b w:val="0"/>
        <w:sz w:val="18"/>
        <w:szCs w:val="18"/>
        <w:lang w:val="sk-SK"/>
      </w:rPr>
      <w:t xml:space="preserve">, ev. č.: </w:t>
    </w:r>
    <w:r>
      <w:rPr>
        <w:b w:val="0"/>
        <w:sz w:val="18"/>
        <w:szCs w:val="18"/>
        <w:lang w:val="sk-SK"/>
      </w:rPr>
      <w:t>2019/0</w:t>
    </w:r>
    <w:r w:rsidR="00507F39">
      <w:rPr>
        <w:b w:val="0"/>
        <w:sz w:val="18"/>
        <w:szCs w:val="18"/>
        <w:lang w:val="sk-SK"/>
      </w:rPr>
      <w:t>5616-Z1B</w:t>
    </w:r>
  </w:p>
  <w:p w14:paraId="325F38FE" w14:textId="77777777" w:rsidR="00EC6842" w:rsidRDefault="00EC684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02531"/>
    <w:multiLevelType w:val="singleLevel"/>
    <w:tmpl w:val="041B000F"/>
    <w:lvl w:ilvl="0">
      <w:start w:val="1"/>
      <w:numFmt w:val="decimal"/>
      <w:lvlText w:val="%1."/>
      <w:lvlJc w:val="left"/>
      <w:pPr>
        <w:tabs>
          <w:tab w:val="num" w:pos="360"/>
        </w:tabs>
        <w:ind w:left="360" w:hanging="360"/>
      </w:pPr>
      <w:rPr>
        <w:rFonts w:hint="default"/>
      </w:rPr>
    </w:lvl>
  </w:abstractNum>
  <w:abstractNum w:abstractNumId="1" w15:restartNumberingAfterBreak="0">
    <w:nsid w:val="09177509"/>
    <w:multiLevelType w:val="hybridMultilevel"/>
    <w:tmpl w:val="3DCE8466"/>
    <w:lvl w:ilvl="0" w:tplc="04050001">
      <w:start w:val="1"/>
      <w:numFmt w:val="bullet"/>
      <w:lvlText w:val=""/>
      <w:lvlJc w:val="left"/>
      <w:pPr>
        <w:tabs>
          <w:tab w:val="num" w:pos="720"/>
        </w:tabs>
        <w:ind w:left="720" w:hanging="360"/>
      </w:pPr>
      <w:rPr>
        <w:rFonts w:ascii="Symbol" w:hAnsi="Symbol"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A7843C2"/>
    <w:multiLevelType w:val="hybridMultilevel"/>
    <w:tmpl w:val="6EC0214C"/>
    <w:lvl w:ilvl="0" w:tplc="04050001">
      <w:start w:val="1"/>
      <w:numFmt w:val="bullet"/>
      <w:lvlText w:val=""/>
      <w:lvlJc w:val="left"/>
      <w:pPr>
        <w:tabs>
          <w:tab w:val="num" w:pos="720"/>
        </w:tabs>
        <w:ind w:left="720" w:hanging="360"/>
      </w:pPr>
      <w:rPr>
        <w:rFonts w:ascii="Symbol" w:hAnsi="Symbol"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A9A6B40"/>
    <w:multiLevelType w:val="multilevel"/>
    <w:tmpl w:val="A9AA7770"/>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BE176AF"/>
    <w:multiLevelType w:val="singleLevel"/>
    <w:tmpl w:val="4666382C"/>
    <w:lvl w:ilvl="0">
      <w:start w:val="1"/>
      <w:numFmt w:val="lowerLetter"/>
      <w:lvlText w:val="%1)"/>
      <w:lvlJc w:val="left"/>
      <w:pPr>
        <w:tabs>
          <w:tab w:val="num" w:pos="360"/>
        </w:tabs>
        <w:ind w:left="360" w:hanging="360"/>
      </w:pPr>
      <w:rPr>
        <w:rFonts w:hint="default"/>
      </w:rPr>
    </w:lvl>
  </w:abstractNum>
  <w:abstractNum w:abstractNumId="5" w15:restartNumberingAfterBreak="0">
    <w:nsid w:val="1DC831AD"/>
    <w:multiLevelType w:val="singleLevel"/>
    <w:tmpl w:val="0FE8843E"/>
    <w:lvl w:ilvl="0">
      <w:start w:val="36"/>
      <w:numFmt w:val="decimal"/>
      <w:lvlText w:val="%1"/>
      <w:lvlJc w:val="left"/>
      <w:pPr>
        <w:tabs>
          <w:tab w:val="num" w:pos="360"/>
        </w:tabs>
        <w:ind w:left="360" w:hanging="360"/>
      </w:pPr>
      <w:rPr>
        <w:rFonts w:hint="default"/>
      </w:rPr>
    </w:lvl>
  </w:abstractNum>
  <w:abstractNum w:abstractNumId="6" w15:restartNumberingAfterBreak="0">
    <w:nsid w:val="245516DC"/>
    <w:multiLevelType w:val="hybridMultilevel"/>
    <w:tmpl w:val="33466D20"/>
    <w:lvl w:ilvl="0" w:tplc="8250D8F4">
      <w:start w:val="4"/>
      <w:numFmt w:val="bullet"/>
      <w:lvlText w:val="-"/>
      <w:lvlJc w:val="left"/>
      <w:pPr>
        <w:tabs>
          <w:tab w:val="num" w:pos="780"/>
        </w:tabs>
        <w:ind w:left="78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2B616006"/>
    <w:multiLevelType w:val="singleLevel"/>
    <w:tmpl w:val="4666382C"/>
    <w:lvl w:ilvl="0">
      <w:start w:val="1"/>
      <w:numFmt w:val="lowerLetter"/>
      <w:lvlText w:val="%1)"/>
      <w:lvlJc w:val="left"/>
      <w:pPr>
        <w:tabs>
          <w:tab w:val="num" w:pos="360"/>
        </w:tabs>
        <w:ind w:left="360" w:hanging="360"/>
      </w:pPr>
      <w:rPr>
        <w:rFonts w:hint="default"/>
      </w:rPr>
    </w:lvl>
  </w:abstractNum>
  <w:abstractNum w:abstractNumId="8" w15:restartNumberingAfterBreak="0">
    <w:nsid w:val="2B9C496C"/>
    <w:multiLevelType w:val="hybridMultilevel"/>
    <w:tmpl w:val="EEE6992A"/>
    <w:lvl w:ilvl="0" w:tplc="8250D8F4">
      <w:start w:val="4"/>
      <w:numFmt w:val="bullet"/>
      <w:lvlText w:val="-"/>
      <w:lvlJc w:val="left"/>
      <w:pPr>
        <w:tabs>
          <w:tab w:val="num" w:pos="780"/>
        </w:tabs>
        <w:ind w:left="78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370569B6"/>
    <w:multiLevelType w:val="singleLevel"/>
    <w:tmpl w:val="041B000F"/>
    <w:lvl w:ilvl="0">
      <w:start w:val="1"/>
      <w:numFmt w:val="decimal"/>
      <w:lvlText w:val="%1."/>
      <w:lvlJc w:val="left"/>
      <w:pPr>
        <w:tabs>
          <w:tab w:val="num" w:pos="360"/>
        </w:tabs>
        <w:ind w:left="360" w:hanging="360"/>
      </w:pPr>
      <w:rPr>
        <w:rFonts w:hint="default"/>
      </w:rPr>
    </w:lvl>
  </w:abstractNum>
  <w:abstractNum w:abstractNumId="10" w15:restartNumberingAfterBreak="0">
    <w:nsid w:val="41411DED"/>
    <w:multiLevelType w:val="singleLevel"/>
    <w:tmpl w:val="B4DAC0AC"/>
    <w:lvl w:ilvl="0">
      <w:numFmt w:val="bullet"/>
      <w:lvlText w:val="-"/>
      <w:lvlJc w:val="left"/>
      <w:pPr>
        <w:tabs>
          <w:tab w:val="num" w:pos="360"/>
        </w:tabs>
        <w:ind w:left="360" w:hanging="360"/>
      </w:pPr>
      <w:rPr>
        <w:rFonts w:ascii="Times New Roman" w:hAnsi="Times New Roman" w:cs="Times New Roman" w:hint="default"/>
        <w:b/>
        <w:i w:val="0"/>
        <w:sz w:val="22"/>
        <w:szCs w:val="22"/>
      </w:rPr>
    </w:lvl>
  </w:abstractNum>
  <w:abstractNum w:abstractNumId="11" w15:restartNumberingAfterBreak="0">
    <w:nsid w:val="428A636B"/>
    <w:multiLevelType w:val="singleLevel"/>
    <w:tmpl w:val="041B000F"/>
    <w:lvl w:ilvl="0">
      <w:start w:val="1"/>
      <w:numFmt w:val="decimal"/>
      <w:lvlText w:val="%1."/>
      <w:lvlJc w:val="left"/>
      <w:pPr>
        <w:tabs>
          <w:tab w:val="num" w:pos="360"/>
        </w:tabs>
        <w:ind w:left="360" w:hanging="360"/>
      </w:pPr>
      <w:rPr>
        <w:rFonts w:hint="default"/>
      </w:rPr>
    </w:lvl>
  </w:abstractNum>
  <w:abstractNum w:abstractNumId="12" w15:restartNumberingAfterBreak="0">
    <w:nsid w:val="453C5B3F"/>
    <w:multiLevelType w:val="hybridMultilevel"/>
    <w:tmpl w:val="ABF680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E304C2C"/>
    <w:multiLevelType w:val="singleLevel"/>
    <w:tmpl w:val="CE763220"/>
    <w:lvl w:ilvl="0">
      <w:start w:val="4"/>
      <w:numFmt w:val="bullet"/>
      <w:lvlText w:val="-"/>
      <w:lvlJc w:val="left"/>
      <w:pPr>
        <w:tabs>
          <w:tab w:val="num" w:pos="360"/>
        </w:tabs>
        <w:ind w:left="360" w:hanging="360"/>
      </w:pPr>
      <w:rPr>
        <w:rFonts w:hint="default"/>
      </w:rPr>
    </w:lvl>
  </w:abstractNum>
  <w:abstractNum w:abstractNumId="14" w15:restartNumberingAfterBreak="0">
    <w:nsid w:val="4F6C2E00"/>
    <w:multiLevelType w:val="singleLevel"/>
    <w:tmpl w:val="041B0001"/>
    <w:lvl w:ilvl="0">
      <w:start w:val="4"/>
      <w:numFmt w:val="bullet"/>
      <w:lvlText w:val=""/>
      <w:lvlJc w:val="left"/>
      <w:pPr>
        <w:tabs>
          <w:tab w:val="num" w:pos="360"/>
        </w:tabs>
        <w:ind w:left="360" w:hanging="360"/>
      </w:pPr>
      <w:rPr>
        <w:rFonts w:ascii="Symbol" w:hAnsi="Symbol" w:cs="Times New Roman" w:hint="default"/>
      </w:rPr>
    </w:lvl>
  </w:abstractNum>
  <w:abstractNum w:abstractNumId="15" w15:restartNumberingAfterBreak="0">
    <w:nsid w:val="559B5566"/>
    <w:multiLevelType w:val="singleLevel"/>
    <w:tmpl w:val="041B000F"/>
    <w:lvl w:ilvl="0">
      <w:start w:val="1"/>
      <w:numFmt w:val="decimal"/>
      <w:lvlText w:val="%1."/>
      <w:lvlJc w:val="left"/>
      <w:pPr>
        <w:tabs>
          <w:tab w:val="num" w:pos="360"/>
        </w:tabs>
        <w:ind w:left="360" w:hanging="360"/>
      </w:pPr>
      <w:rPr>
        <w:rFonts w:hint="default"/>
      </w:rPr>
    </w:lvl>
  </w:abstractNum>
  <w:abstractNum w:abstractNumId="16" w15:restartNumberingAfterBreak="0">
    <w:nsid w:val="57E54173"/>
    <w:multiLevelType w:val="hybridMultilevel"/>
    <w:tmpl w:val="4BE60D62"/>
    <w:lvl w:ilvl="0" w:tplc="04050001">
      <w:start w:val="1"/>
      <w:numFmt w:val="bullet"/>
      <w:lvlText w:val=""/>
      <w:lvlJc w:val="left"/>
      <w:pPr>
        <w:tabs>
          <w:tab w:val="num" w:pos="720"/>
        </w:tabs>
        <w:ind w:left="720" w:hanging="360"/>
      </w:pPr>
      <w:rPr>
        <w:rFonts w:ascii="Symbol" w:hAnsi="Symbol"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5F476D6C"/>
    <w:multiLevelType w:val="hybridMultilevel"/>
    <w:tmpl w:val="2584B3F6"/>
    <w:lvl w:ilvl="0" w:tplc="8250D8F4">
      <w:start w:val="4"/>
      <w:numFmt w:val="bullet"/>
      <w:lvlText w:val="-"/>
      <w:lvlJc w:val="left"/>
      <w:pPr>
        <w:tabs>
          <w:tab w:val="num" w:pos="780"/>
        </w:tabs>
        <w:ind w:left="78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5FEE7910"/>
    <w:multiLevelType w:val="singleLevel"/>
    <w:tmpl w:val="4666382C"/>
    <w:lvl w:ilvl="0">
      <w:start w:val="1"/>
      <w:numFmt w:val="lowerLetter"/>
      <w:lvlText w:val="%1)"/>
      <w:lvlJc w:val="left"/>
      <w:pPr>
        <w:tabs>
          <w:tab w:val="num" w:pos="360"/>
        </w:tabs>
        <w:ind w:left="360" w:hanging="360"/>
      </w:pPr>
      <w:rPr>
        <w:rFonts w:hint="default"/>
      </w:rPr>
    </w:lvl>
  </w:abstractNum>
  <w:abstractNum w:abstractNumId="19" w15:restartNumberingAfterBreak="0">
    <w:nsid w:val="622851B5"/>
    <w:multiLevelType w:val="hybridMultilevel"/>
    <w:tmpl w:val="9BCA3F56"/>
    <w:lvl w:ilvl="0" w:tplc="04050001">
      <w:start w:val="1"/>
      <w:numFmt w:val="bullet"/>
      <w:lvlText w:val=""/>
      <w:lvlJc w:val="left"/>
      <w:pPr>
        <w:tabs>
          <w:tab w:val="num" w:pos="720"/>
        </w:tabs>
        <w:ind w:left="720" w:hanging="360"/>
      </w:pPr>
      <w:rPr>
        <w:rFonts w:ascii="Symbol" w:hAnsi="Symbol"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63E21809"/>
    <w:multiLevelType w:val="hybridMultilevel"/>
    <w:tmpl w:val="78C6B1DC"/>
    <w:lvl w:ilvl="0" w:tplc="04050001">
      <w:start w:val="1"/>
      <w:numFmt w:val="bullet"/>
      <w:lvlText w:val=""/>
      <w:lvlJc w:val="left"/>
      <w:pPr>
        <w:tabs>
          <w:tab w:val="num" w:pos="720"/>
        </w:tabs>
        <w:ind w:left="720" w:hanging="360"/>
      </w:pPr>
      <w:rPr>
        <w:rFonts w:ascii="Symbol" w:hAnsi="Symbol"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669104AA"/>
    <w:multiLevelType w:val="singleLevel"/>
    <w:tmpl w:val="2A7C3A18"/>
    <w:lvl w:ilvl="0">
      <w:start w:val="36"/>
      <w:numFmt w:val="decimal"/>
      <w:lvlText w:val="%1"/>
      <w:lvlJc w:val="left"/>
      <w:pPr>
        <w:tabs>
          <w:tab w:val="num" w:pos="360"/>
        </w:tabs>
        <w:ind w:left="360" w:hanging="360"/>
      </w:pPr>
      <w:rPr>
        <w:rFonts w:hint="default"/>
      </w:rPr>
    </w:lvl>
  </w:abstractNum>
  <w:abstractNum w:abstractNumId="22" w15:restartNumberingAfterBreak="0">
    <w:nsid w:val="697D3883"/>
    <w:multiLevelType w:val="singleLevel"/>
    <w:tmpl w:val="B4DAC0AC"/>
    <w:lvl w:ilvl="0">
      <w:numFmt w:val="bullet"/>
      <w:lvlText w:val="-"/>
      <w:lvlJc w:val="left"/>
      <w:pPr>
        <w:tabs>
          <w:tab w:val="num" w:pos="360"/>
        </w:tabs>
        <w:ind w:left="360" w:hanging="360"/>
      </w:pPr>
      <w:rPr>
        <w:rFonts w:ascii="Times New Roman" w:hAnsi="Times New Roman" w:cs="Times New Roman" w:hint="default"/>
        <w:b/>
        <w:i w:val="0"/>
        <w:sz w:val="22"/>
        <w:szCs w:val="22"/>
      </w:rPr>
    </w:lvl>
  </w:abstractNum>
  <w:abstractNum w:abstractNumId="23" w15:restartNumberingAfterBreak="0">
    <w:nsid w:val="71215E13"/>
    <w:multiLevelType w:val="hybridMultilevel"/>
    <w:tmpl w:val="3E269898"/>
    <w:lvl w:ilvl="0" w:tplc="EC7CEC48">
      <w:numFmt w:val="bullet"/>
      <w:lvlText w:val="-"/>
      <w:lvlJc w:val="left"/>
      <w:pPr>
        <w:tabs>
          <w:tab w:val="num" w:pos="720"/>
        </w:tabs>
        <w:ind w:left="720" w:hanging="360"/>
      </w:pPr>
      <w:rPr>
        <w:rFonts w:ascii="Arial" w:eastAsia="Times New Roman" w:hAnsi="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7C4E1AAF"/>
    <w:multiLevelType w:val="singleLevel"/>
    <w:tmpl w:val="041B000F"/>
    <w:lvl w:ilvl="0">
      <w:start w:val="3"/>
      <w:numFmt w:val="decimal"/>
      <w:lvlText w:val="%1."/>
      <w:lvlJc w:val="left"/>
      <w:pPr>
        <w:tabs>
          <w:tab w:val="num" w:pos="360"/>
        </w:tabs>
        <w:ind w:left="360" w:hanging="360"/>
      </w:pPr>
      <w:rPr>
        <w:rFonts w:hint="default"/>
      </w:rPr>
    </w:lvl>
  </w:abstractNum>
  <w:abstractNum w:abstractNumId="25" w15:restartNumberingAfterBreak="0">
    <w:nsid w:val="7CE236C8"/>
    <w:multiLevelType w:val="hybridMultilevel"/>
    <w:tmpl w:val="CB3A19CE"/>
    <w:lvl w:ilvl="0" w:tplc="1F545992">
      <w:numFmt w:val="bullet"/>
      <w:lvlText w:val="-"/>
      <w:lvlJc w:val="left"/>
      <w:pPr>
        <w:tabs>
          <w:tab w:val="num" w:pos="1065"/>
        </w:tabs>
        <w:ind w:left="1065" w:hanging="705"/>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8"/>
  </w:num>
  <w:num w:numId="3">
    <w:abstractNumId w:val="4"/>
  </w:num>
  <w:num w:numId="4">
    <w:abstractNumId w:val="7"/>
  </w:num>
  <w:num w:numId="5">
    <w:abstractNumId w:val="22"/>
  </w:num>
  <w:num w:numId="6">
    <w:abstractNumId w:val="0"/>
  </w:num>
  <w:num w:numId="7">
    <w:abstractNumId w:val="24"/>
  </w:num>
  <w:num w:numId="8">
    <w:abstractNumId w:val="14"/>
  </w:num>
  <w:num w:numId="9">
    <w:abstractNumId w:val="13"/>
  </w:num>
  <w:num w:numId="10">
    <w:abstractNumId w:val="9"/>
  </w:num>
  <w:num w:numId="11">
    <w:abstractNumId w:val="11"/>
  </w:num>
  <w:num w:numId="12">
    <w:abstractNumId w:val="15"/>
  </w:num>
  <w:num w:numId="13">
    <w:abstractNumId w:val="21"/>
  </w:num>
  <w:num w:numId="14">
    <w:abstractNumId w:val="5"/>
  </w:num>
  <w:num w:numId="15">
    <w:abstractNumId w:val="3"/>
  </w:num>
  <w:num w:numId="16">
    <w:abstractNumId w:val="16"/>
  </w:num>
  <w:num w:numId="17">
    <w:abstractNumId w:val="23"/>
  </w:num>
  <w:num w:numId="18">
    <w:abstractNumId w:val="2"/>
  </w:num>
  <w:num w:numId="19">
    <w:abstractNumId w:val="20"/>
  </w:num>
  <w:num w:numId="20">
    <w:abstractNumId w:val="1"/>
  </w:num>
  <w:num w:numId="21">
    <w:abstractNumId w:val="19"/>
  </w:num>
  <w:num w:numId="22">
    <w:abstractNumId w:val="6"/>
  </w:num>
  <w:num w:numId="23">
    <w:abstractNumId w:val="17"/>
  </w:num>
  <w:num w:numId="24">
    <w:abstractNumId w:val="8"/>
  </w:num>
  <w:num w:numId="25">
    <w:abstractNumId w:val="25"/>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D5B"/>
    <w:rsid w:val="00040831"/>
    <w:rsid w:val="000B6802"/>
    <w:rsid w:val="000C234C"/>
    <w:rsid w:val="000C2AE9"/>
    <w:rsid w:val="00115F66"/>
    <w:rsid w:val="001D0CCF"/>
    <w:rsid w:val="001E782F"/>
    <w:rsid w:val="0026034B"/>
    <w:rsid w:val="0027017B"/>
    <w:rsid w:val="002D72A8"/>
    <w:rsid w:val="002F53BC"/>
    <w:rsid w:val="003C2E74"/>
    <w:rsid w:val="003D169D"/>
    <w:rsid w:val="00403385"/>
    <w:rsid w:val="00406CA2"/>
    <w:rsid w:val="00435293"/>
    <w:rsid w:val="00493191"/>
    <w:rsid w:val="004B324E"/>
    <w:rsid w:val="00507F39"/>
    <w:rsid w:val="00515FAA"/>
    <w:rsid w:val="005E2004"/>
    <w:rsid w:val="006605A6"/>
    <w:rsid w:val="006B41FC"/>
    <w:rsid w:val="006D3F5D"/>
    <w:rsid w:val="007A183C"/>
    <w:rsid w:val="007B0541"/>
    <w:rsid w:val="007C2CBB"/>
    <w:rsid w:val="00810780"/>
    <w:rsid w:val="00841C45"/>
    <w:rsid w:val="008910CF"/>
    <w:rsid w:val="008A263E"/>
    <w:rsid w:val="008F04FA"/>
    <w:rsid w:val="0091632F"/>
    <w:rsid w:val="00943D5B"/>
    <w:rsid w:val="00A07A04"/>
    <w:rsid w:val="00A75268"/>
    <w:rsid w:val="00B55A81"/>
    <w:rsid w:val="00B679AE"/>
    <w:rsid w:val="00B713F6"/>
    <w:rsid w:val="00C95243"/>
    <w:rsid w:val="00D14558"/>
    <w:rsid w:val="00D213E2"/>
    <w:rsid w:val="00D8655B"/>
    <w:rsid w:val="00DA7A2B"/>
    <w:rsid w:val="00E64CEB"/>
    <w:rsid w:val="00E65B21"/>
    <w:rsid w:val="00EC6842"/>
    <w:rsid w:val="00F32C6A"/>
    <w:rsid w:val="00F869A6"/>
    <w:rsid w:val="00FD5C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76E648"/>
  <w15:docId w15:val="{9E384AF5-8A72-4688-A9E6-1AD14DB1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lang w:eastAsia="en-US"/>
    </w:rPr>
  </w:style>
  <w:style w:type="paragraph" w:styleId="Nadpis1">
    <w:name w:val="heading 1"/>
    <w:basedOn w:val="Normlny"/>
    <w:next w:val="Normlny"/>
    <w:qFormat/>
    <w:pPr>
      <w:keepNext/>
      <w:ind w:right="43"/>
      <w:jc w:val="center"/>
      <w:outlineLvl w:val="0"/>
    </w:pPr>
    <w:rPr>
      <w:rFonts w:ascii="Arial" w:hAnsi="Arial" w:cs="Arial"/>
      <w:b/>
      <w:bCs/>
      <w:sz w:val="28"/>
      <w:szCs w:val="28"/>
    </w:rPr>
  </w:style>
  <w:style w:type="paragraph" w:styleId="Nadpis2">
    <w:name w:val="heading 2"/>
    <w:basedOn w:val="Normlny"/>
    <w:next w:val="Normlny"/>
    <w:qFormat/>
    <w:pPr>
      <w:keepNext/>
      <w:outlineLvl w:val="1"/>
    </w:pPr>
    <w:rPr>
      <w:rFonts w:ascii="Arial" w:hAnsi="Arial" w:cs="Arial"/>
      <w:i/>
      <w:iCs/>
    </w:rPr>
  </w:style>
  <w:style w:type="paragraph" w:styleId="Nadpis3">
    <w:name w:val="heading 3"/>
    <w:basedOn w:val="Normlny"/>
    <w:next w:val="Normlny"/>
    <w:qFormat/>
    <w:pPr>
      <w:keepNext/>
      <w:tabs>
        <w:tab w:val="left" w:pos="8505"/>
      </w:tabs>
      <w:ind w:right="566"/>
      <w:outlineLvl w:val="2"/>
    </w:pPr>
    <w:rPr>
      <w:rFonts w:ascii="Arial" w:hAnsi="Arial" w:cs="Arial"/>
      <w:i/>
      <w:iCs/>
      <w:sz w:val="24"/>
      <w:szCs w:val="24"/>
    </w:rPr>
  </w:style>
  <w:style w:type="paragraph" w:styleId="Nadpis4">
    <w:name w:val="heading 4"/>
    <w:basedOn w:val="Normlny"/>
    <w:next w:val="Normlny"/>
    <w:qFormat/>
    <w:pPr>
      <w:keepNext/>
      <w:ind w:right="43"/>
      <w:jc w:val="both"/>
      <w:outlineLvl w:val="3"/>
    </w:pPr>
    <w:rPr>
      <w:rFonts w:ascii="Arial" w:hAnsi="Arial" w:cs="Arial"/>
      <w:i/>
      <w:iCs/>
    </w:rPr>
  </w:style>
  <w:style w:type="paragraph" w:styleId="Nadpis5">
    <w:name w:val="heading 5"/>
    <w:basedOn w:val="Normlny"/>
    <w:next w:val="Normlny"/>
    <w:qFormat/>
    <w:pPr>
      <w:keepNext/>
      <w:ind w:right="43"/>
      <w:jc w:val="both"/>
      <w:outlineLvl w:val="4"/>
    </w:pPr>
    <w:rPr>
      <w:rFonts w:ascii="Arial" w:hAnsi="Arial" w:cs="Arial"/>
      <w:u w:val="single"/>
    </w:rPr>
  </w:style>
  <w:style w:type="paragraph" w:styleId="Nadpis6">
    <w:name w:val="heading 6"/>
    <w:basedOn w:val="Normlny"/>
    <w:next w:val="Normlny"/>
    <w:qFormat/>
    <w:pPr>
      <w:keepNext/>
      <w:ind w:right="43"/>
      <w:jc w:val="both"/>
      <w:outlineLvl w:val="5"/>
    </w:pPr>
    <w:rPr>
      <w:rFonts w:ascii="Arial" w:hAnsi="Arial" w:cs="Arial"/>
      <w:b/>
      <w:bCs/>
    </w:rPr>
  </w:style>
  <w:style w:type="paragraph" w:styleId="Nadpis7">
    <w:name w:val="heading 7"/>
    <w:basedOn w:val="Normlny"/>
    <w:next w:val="Normlny"/>
    <w:qFormat/>
    <w:pPr>
      <w:keepNext/>
      <w:ind w:right="43"/>
      <w:outlineLvl w:val="6"/>
    </w:pPr>
    <w:rPr>
      <w:b/>
      <w:bCs/>
      <w:sz w:val="22"/>
      <w:szCs w:val="22"/>
    </w:rPr>
  </w:style>
  <w:style w:type="paragraph" w:styleId="Nadpis8">
    <w:name w:val="heading 8"/>
    <w:basedOn w:val="Normlny"/>
    <w:next w:val="Normlny"/>
    <w:qFormat/>
    <w:pPr>
      <w:keepNext/>
      <w:outlineLvl w:val="7"/>
    </w:pPr>
    <w:rPr>
      <w:color w:val="000000"/>
      <w:sz w:val="22"/>
      <w:u w:val="single"/>
    </w:rPr>
  </w:style>
  <w:style w:type="paragraph" w:styleId="Nadpis9">
    <w:name w:val="heading 9"/>
    <w:basedOn w:val="Normlny"/>
    <w:next w:val="Normlny"/>
    <w:qFormat/>
    <w:pPr>
      <w:keepNext/>
      <w:outlineLvl w:val="8"/>
    </w:pPr>
    <w:rPr>
      <w:b/>
      <w:bCs/>
      <w:caps/>
      <w:sz w:val="16"/>
      <w:szCs w:val="1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semiHidden/>
    <w:rPr>
      <w:rFonts w:ascii="Arial" w:hAnsi="Arial" w:cs="Arial"/>
      <w:sz w:val="22"/>
      <w:szCs w:val="22"/>
    </w:rPr>
  </w:style>
  <w:style w:type="paragraph" w:styleId="Zarkazkladnhotextu">
    <w:name w:val="Body Text Indent"/>
    <w:basedOn w:val="Normlny"/>
    <w:semiHidden/>
    <w:pPr>
      <w:ind w:right="43"/>
      <w:jc w:val="both"/>
    </w:pPr>
    <w:rPr>
      <w:rFonts w:ascii="Arial" w:hAnsi="Arial" w:cs="Arial"/>
      <w:sz w:val="22"/>
      <w:szCs w:val="22"/>
    </w:rPr>
  </w:style>
  <w:style w:type="paragraph" w:styleId="Pta">
    <w:name w:val="footer"/>
    <w:basedOn w:val="Normlny"/>
    <w:semiHidden/>
    <w:pPr>
      <w:tabs>
        <w:tab w:val="center" w:pos="4536"/>
        <w:tab w:val="right" w:pos="9072"/>
      </w:tabs>
    </w:pPr>
  </w:style>
  <w:style w:type="character" w:styleId="slostrany">
    <w:name w:val="page number"/>
    <w:basedOn w:val="Predvolenpsmoodseku"/>
    <w:semiHidden/>
  </w:style>
  <w:style w:type="paragraph" w:styleId="Zkladntext3">
    <w:name w:val="Body Text 3"/>
    <w:basedOn w:val="Normlny"/>
    <w:semiHidden/>
    <w:pPr>
      <w:ind w:right="43"/>
      <w:jc w:val="both"/>
    </w:pPr>
    <w:rPr>
      <w:rFonts w:ascii="Arial" w:hAnsi="Arial" w:cs="Arial"/>
      <w:i/>
      <w:iCs/>
    </w:rPr>
  </w:style>
  <w:style w:type="paragraph" w:styleId="Nzov">
    <w:name w:val="Title"/>
    <w:basedOn w:val="Normlny"/>
    <w:qFormat/>
    <w:pPr>
      <w:tabs>
        <w:tab w:val="left" w:pos="284"/>
      </w:tabs>
      <w:jc w:val="center"/>
    </w:pPr>
    <w:rPr>
      <w:b/>
      <w:bCs/>
      <w:sz w:val="28"/>
      <w:szCs w:val="28"/>
      <w:lang w:val="cs-CZ" w:eastAsia="cs-CZ"/>
    </w:rPr>
  </w:style>
  <w:style w:type="paragraph" w:styleId="Hlavika">
    <w:name w:val="header"/>
    <w:basedOn w:val="Normlny"/>
    <w:link w:val="HlavikaChar"/>
    <w:uiPriority w:val="99"/>
    <w:pPr>
      <w:tabs>
        <w:tab w:val="center" w:pos="4819"/>
        <w:tab w:val="right" w:pos="9638"/>
      </w:tabs>
    </w:pPr>
    <w:rPr>
      <w:rFonts w:ascii="Univers" w:hAnsi="Univers"/>
      <w:sz w:val="22"/>
      <w:szCs w:val="22"/>
      <w:lang w:val="da-DK" w:eastAsia="da-DK"/>
    </w:rPr>
  </w:style>
  <w:style w:type="paragraph" w:customStyle="1" w:styleId="leipa">
    <w:name w:val="leipa"/>
    <w:basedOn w:val="Normlny"/>
    <w:pPr>
      <w:spacing w:before="100" w:beforeAutospacing="1" w:after="100" w:afterAutospacing="1"/>
    </w:pPr>
    <w:rPr>
      <w:rFonts w:ascii="Arial Unicode MS" w:eastAsia="Arial Unicode MS"/>
      <w:sz w:val="24"/>
      <w:szCs w:val="24"/>
      <w:lang w:val="de-DE" w:eastAsia="de-DE"/>
    </w:rPr>
  </w:style>
  <w:style w:type="paragraph" w:styleId="Podtitul">
    <w:name w:val="Subtitle"/>
    <w:basedOn w:val="Normlny"/>
    <w:qFormat/>
    <w:pPr>
      <w:jc w:val="center"/>
    </w:pPr>
    <w:rPr>
      <w:rFonts w:ascii="Arial" w:hAnsi="Arial" w:cs="Arial"/>
      <w:b/>
      <w:bCs/>
    </w:rPr>
  </w:style>
  <w:style w:type="paragraph" w:customStyle="1" w:styleId="Textkoncovejpoznmky">
    <w:name w:val="Text koncovej poznámky"/>
    <w:basedOn w:val="Normlny"/>
    <w:semiHidden/>
    <w:pPr>
      <w:tabs>
        <w:tab w:val="left" w:pos="567"/>
      </w:tabs>
    </w:pPr>
    <w:rPr>
      <w:sz w:val="22"/>
      <w:szCs w:val="22"/>
      <w:lang w:val="en-GB"/>
    </w:rPr>
  </w:style>
  <w:style w:type="paragraph" w:customStyle="1" w:styleId="Textbubliny1">
    <w:name w:val="Text bubliny1"/>
    <w:basedOn w:val="Normlny"/>
    <w:rPr>
      <w:rFonts w:ascii="Tahoma" w:hAnsi="Tahoma" w:cs="Tahoma"/>
      <w:sz w:val="16"/>
      <w:szCs w:val="16"/>
    </w:rPr>
  </w:style>
  <w:style w:type="paragraph" w:styleId="Zarkazkladnhotextu2">
    <w:name w:val="Body Text Indent 2"/>
    <w:basedOn w:val="Normlny"/>
    <w:semiHidden/>
    <w:pPr>
      <w:ind w:left="709" w:hanging="709"/>
      <w:jc w:val="both"/>
    </w:pPr>
    <w:rPr>
      <w:sz w:val="22"/>
    </w:rPr>
  </w:style>
  <w:style w:type="paragraph" w:styleId="Zkladntext2">
    <w:name w:val="Body Text 2"/>
    <w:basedOn w:val="Normlny"/>
    <w:semiHidden/>
    <w:pPr>
      <w:ind w:right="43"/>
    </w:pPr>
    <w:rPr>
      <w:sz w:val="22"/>
      <w:szCs w:val="22"/>
    </w:rPr>
  </w:style>
  <w:style w:type="paragraph" w:styleId="Textbubliny">
    <w:name w:val="Balloon Text"/>
    <w:basedOn w:val="Normlny"/>
    <w:semiHidden/>
    <w:rPr>
      <w:rFonts w:ascii="Tahoma" w:hAnsi="Tahoma" w:cs="Tahoma"/>
      <w:sz w:val="16"/>
      <w:szCs w:val="16"/>
    </w:rPr>
  </w:style>
  <w:style w:type="character" w:styleId="Hypertextovprepojenie">
    <w:name w:val="Hyperlink"/>
    <w:rsid w:val="00C95243"/>
    <w:rPr>
      <w:color w:val="0000FF"/>
      <w:u w:val="single"/>
    </w:rPr>
  </w:style>
  <w:style w:type="character" w:styleId="PouitHypertextovPrepojenie">
    <w:name w:val="FollowedHyperlink"/>
    <w:rsid w:val="00E64CEB"/>
    <w:rPr>
      <w:color w:val="800080"/>
      <w:u w:val="single"/>
    </w:rPr>
  </w:style>
  <w:style w:type="character" w:customStyle="1" w:styleId="HlavikaChar">
    <w:name w:val="Hlavička Char"/>
    <w:link w:val="Hlavika"/>
    <w:uiPriority w:val="99"/>
    <w:rsid w:val="00EC6842"/>
    <w:rPr>
      <w:rFonts w:ascii="Univers" w:hAnsi="Univers"/>
      <w:sz w:val="22"/>
      <w:szCs w:val="22"/>
      <w:lang w:val="da-DK" w:eastAsia="da-DK"/>
    </w:rPr>
  </w:style>
  <w:style w:type="character" w:styleId="Odkaznakomentr">
    <w:name w:val="annotation reference"/>
    <w:basedOn w:val="Predvolenpsmoodseku"/>
    <w:uiPriority w:val="99"/>
    <w:semiHidden/>
    <w:unhideWhenUsed/>
    <w:rsid w:val="006D3F5D"/>
    <w:rPr>
      <w:sz w:val="16"/>
      <w:szCs w:val="16"/>
    </w:rPr>
  </w:style>
  <w:style w:type="paragraph" w:styleId="Textkomentra">
    <w:name w:val="annotation text"/>
    <w:basedOn w:val="Normlny"/>
    <w:link w:val="TextkomentraChar"/>
    <w:uiPriority w:val="99"/>
    <w:semiHidden/>
    <w:unhideWhenUsed/>
    <w:rsid w:val="006D3F5D"/>
  </w:style>
  <w:style w:type="character" w:customStyle="1" w:styleId="TextkomentraChar">
    <w:name w:val="Text komentára Char"/>
    <w:basedOn w:val="Predvolenpsmoodseku"/>
    <w:link w:val="Textkomentra"/>
    <w:uiPriority w:val="99"/>
    <w:semiHidden/>
    <w:rsid w:val="006D3F5D"/>
    <w:rPr>
      <w:lang w:eastAsia="en-US"/>
    </w:rPr>
  </w:style>
  <w:style w:type="paragraph" w:styleId="Predmetkomentra">
    <w:name w:val="annotation subject"/>
    <w:basedOn w:val="Textkomentra"/>
    <w:next w:val="Textkomentra"/>
    <w:link w:val="PredmetkomentraChar"/>
    <w:uiPriority w:val="99"/>
    <w:semiHidden/>
    <w:unhideWhenUsed/>
    <w:rsid w:val="006D3F5D"/>
    <w:rPr>
      <w:b/>
      <w:bCs/>
    </w:rPr>
  </w:style>
  <w:style w:type="character" w:customStyle="1" w:styleId="PredmetkomentraChar">
    <w:name w:val="Predmet komentára Char"/>
    <w:basedOn w:val="TextkomentraChar"/>
    <w:link w:val="Predmetkomentra"/>
    <w:uiPriority w:val="99"/>
    <w:semiHidden/>
    <w:rsid w:val="006D3F5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72A493-ABF1-4E61-AA43-0B08DD18E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4017</Words>
  <Characters>22903</Characters>
  <Application>Microsoft Office Word</Application>
  <DocSecurity>0</DocSecurity>
  <Lines>190</Lines>
  <Paragraphs>53</Paragraphs>
  <ScaleCrop>false</ScaleCrop>
  <HeadingPairs>
    <vt:vector size="2" baseType="variant">
      <vt:variant>
        <vt:lpstr>Názov</vt:lpstr>
      </vt:variant>
      <vt:variant>
        <vt:i4>1</vt:i4>
      </vt:variant>
    </vt:vector>
  </HeadingPairs>
  <TitlesOfParts>
    <vt:vector size="1" baseType="lpstr">
      <vt:lpstr>PRÍLOHA Č</vt:lpstr>
    </vt:vector>
  </TitlesOfParts>
  <Company>Hewlett-Packard</Company>
  <LinksUpToDate>false</LinksUpToDate>
  <CharactersWithSpaces>26867</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R-Pharmaservices</dc:creator>
  <cp:lastModifiedBy>zuzana molnarova</cp:lastModifiedBy>
  <cp:revision>3</cp:revision>
  <cp:lastPrinted>2019-11-13T07:57:00Z</cp:lastPrinted>
  <dcterms:created xsi:type="dcterms:W3CDTF">2019-11-13T07:57:00Z</dcterms:created>
  <dcterms:modified xsi:type="dcterms:W3CDTF">2019-11-13T07:57:00Z</dcterms:modified>
</cp:coreProperties>
</file>