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99" w:rsidRDefault="00F23599" w:rsidP="00F23599">
      <w:pPr>
        <w:pStyle w:val="ListParagraph1"/>
        <w:tabs>
          <w:tab w:val="left" w:pos="567"/>
        </w:tabs>
        <w:ind w:left="0"/>
        <w:rPr>
          <w:b/>
          <w:bCs/>
          <w:caps/>
          <w:snapToGrid w:val="0"/>
          <w:sz w:val="22"/>
          <w:szCs w:val="22"/>
          <w:lang w:val="sk-SK" w:eastAsia="en-US"/>
        </w:rPr>
      </w:pPr>
    </w:p>
    <w:p w:rsidR="00F23599" w:rsidRDefault="00F23599" w:rsidP="00F23599">
      <w:pPr>
        <w:jc w:val="center"/>
        <w:rPr>
          <w:b/>
          <w:szCs w:val="22"/>
        </w:rPr>
      </w:pPr>
      <w:r w:rsidRPr="004A6946">
        <w:rPr>
          <w:b/>
          <w:sz w:val="22"/>
          <w:szCs w:val="22"/>
        </w:rPr>
        <w:t>SÚHRN CHARAKTERISTICKÝCH VLASTNOSTÍ LIEKU</w:t>
      </w:r>
    </w:p>
    <w:p w:rsidR="00F23599" w:rsidRDefault="00F23599" w:rsidP="00F23599">
      <w:pPr>
        <w:pStyle w:val="ListParagraph1"/>
        <w:tabs>
          <w:tab w:val="left" w:pos="567"/>
        </w:tabs>
        <w:ind w:left="0"/>
        <w:rPr>
          <w:b/>
          <w:bCs/>
          <w:caps/>
          <w:snapToGrid w:val="0"/>
          <w:sz w:val="22"/>
          <w:szCs w:val="22"/>
          <w:lang w:val="sk-SK" w:eastAsia="en-US"/>
        </w:rPr>
      </w:pPr>
    </w:p>
    <w:p w:rsidR="00F23599" w:rsidRDefault="00F23599" w:rsidP="00F23599">
      <w:pPr>
        <w:pStyle w:val="ListParagraph1"/>
        <w:tabs>
          <w:tab w:val="left" w:pos="567"/>
        </w:tabs>
        <w:ind w:left="0"/>
        <w:rPr>
          <w:b/>
          <w:bCs/>
          <w:caps/>
          <w:snapToGrid w:val="0"/>
          <w:sz w:val="22"/>
          <w:szCs w:val="22"/>
          <w:lang w:val="sk-SK" w:eastAsia="en-US"/>
        </w:rPr>
      </w:pPr>
    </w:p>
    <w:p w:rsidR="005E4AB2" w:rsidRPr="0065581A" w:rsidRDefault="005E4AB2" w:rsidP="003A7D01">
      <w:pPr>
        <w:pStyle w:val="ListParagraph1"/>
        <w:numPr>
          <w:ilvl w:val="0"/>
          <w:numId w:val="2"/>
        </w:numPr>
        <w:tabs>
          <w:tab w:val="left" w:pos="567"/>
          <w:tab w:val="num" w:pos="855"/>
        </w:tabs>
        <w:ind w:left="567" w:hanging="567"/>
        <w:rPr>
          <w:b/>
          <w:bCs/>
          <w:caps/>
          <w:snapToGrid w:val="0"/>
          <w:sz w:val="22"/>
          <w:szCs w:val="22"/>
          <w:lang w:val="sk-SK" w:eastAsia="en-US"/>
        </w:rPr>
      </w:pPr>
      <w:r w:rsidRPr="0065581A">
        <w:rPr>
          <w:b/>
          <w:bCs/>
          <w:caps/>
          <w:snapToGrid w:val="0"/>
          <w:sz w:val="22"/>
          <w:szCs w:val="22"/>
          <w:lang w:val="sk-SK" w:eastAsia="en-US"/>
        </w:rPr>
        <w:t>Názov lieku</w:t>
      </w:r>
    </w:p>
    <w:p w:rsidR="005E4AB2" w:rsidRPr="0065581A" w:rsidRDefault="005E4AB2" w:rsidP="00BA694C">
      <w:pPr>
        <w:widowControl w:val="0"/>
        <w:rPr>
          <w:sz w:val="22"/>
          <w:szCs w:val="22"/>
          <w:lang w:val="sk-SK"/>
        </w:rPr>
      </w:pPr>
    </w:p>
    <w:p w:rsidR="00BB5576" w:rsidRDefault="003C62B2" w:rsidP="00840F4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Postinor-1</w:t>
      </w:r>
      <w:r w:rsidR="005E4AB2" w:rsidRPr="0065581A">
        <w:rPr>
          <w:sz w:val="22"/>
          <w:szCs w:val="22"/>
          <w:lang w:val="sk-SK"/>
        </w:rPr>
        <w:t xml:space="preserve"> </w:t>
      </w:r>
    </w:p>
    <w:p w:rsidR="00BB5576" w:rsidRDefault="00BB5576" w:rsidP="00840F41">
      <w:pPr>
        <w:rPr>
          <w:sz w:val="22"/>
          <w:szCs w:val="22"/>
          <w:lang w:val="sk-SK"/>
        </w:rPr>
      </w:pPr>
    </w:p>
    <w:p w:rsidR="005E4AB2" w:rsidRPr="0065581A" w:rsidRDefault="003860B2" w:rsidP="00840F4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1 </w:t>
      </w:r>
      <w:r w:rsidR="005E4AB2" w:rsidRPr="0065581A">
        <w:rPr>
          <w:sz w:val="22"/>
          <w:szCs w:val="22"/>
          <w:lang w:val="sk-SK"/>
        </w:rPr>
        <w:t xml:space="preserve">500 </w:t>
      </w:r>
      <w:r w:rsidR="009E4D80">
        <w:rPr>
          <w:sz w:val="22"/>
          <w:szCs w:val="22"/>
          <w:lang w:val="sk-SK"/>
        </w:rPr>
        <w:t>mikrogramov</w:t>
      </w:r>
      <w:r w:rsidR="005E4AB2" w:rsidRPr="0065581A">
        <w:rPr>
          <w:sz w:val="22"/>
          <w:szCs w:val="22"/>
          <w:lang w:val="sk-SK"/>
        </w:rPr>
        <w:t xml:space="preserve"> tableta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3A7D01">
      <w:pPr>
        <w:pStyle w:val="ListParagraph1"/>
        <w:numPr>
          <w:ilvl w:val="0"/>
          <w:numId w:val="2"/>
        </w:numPr>
        <w:tabs>
          <w:tab w:val="left" w:pos="567"/>
          <w:tab w:val="num" w:pos="855"/>
        </w:tabs>
        <w:ind w:left="567" w:hanging="567"/>
        <w:rPr>
          <w:b/>
          <w:bCs/>
          <w:caps/>
          <w:snapToGrid w:val="0"/>
          <w:sz w:val="22"/>
          <w:szCs w:val="22"/>
          <w:lang w:val="sk-SK" w:eastAsia="en-US"/>
        </w:rPr>
      </w:pPr>
      <w:r w:rsidRPr="0065581A">
        <w:rPr>
          <w:b/>
          <w:bCs/>
          <w:caps/>
          <w:snapToGrid w:val="0"/>
          <w:sz w:val="22"/>
          <w:szCs w:val="22"/>
          <w:lang w:val="sk-SK" w:eastAsia="en-US"/>
        </w:rPr>
        <w:t xml:space="preserve">Kvalitatívne a kvantitatívne zloženie 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FE5CE5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Každá tableta obsahuje 1</w:t>
      </w:r>
      <w:r w:rsidR="00E7187A">
        <w:rPr>
          <w:sz w:val="22"/>
          <w:szCs w:val="22"/>
          <w:lang w:val="sk-SK"/>
        </w:rPr>
        <w:t> </w:t>
      </w:r>
      <w:r w:rsidRPr="0065581A">
        <w:rPr>
          <w:sz w:val="22"/>
          <w:szCs w:val="22"/>
          <w:lang w:val="sk-SK"/>
        </w:rPr>
        <w:t xml:space="preserve">500 </w:t>
      </w:r>
      <w:r w:rsidR="009E4D80">
        <w:rPr>
          <w:sz w:val="22"/>
          <w:szCs w:val="22"/>
          <w:lang w:val="sk-SK"/>
        </w:rPr>
        <w:t>mikrogramov</w:t>
      </w:r>
      <w:r w:rsidRPr="0065581A">
        <w:rPr>
          <w:sz w:val="22"/>
          <w:szCs w:val="22"/>
          <w:lang w:val="sk-SK"/>
        </w:rPr>
        <w:t xml:space="preserve"> levonorgestrelu.</w:t>
      </w:r>
    </w:p>
    <w:p w:rsidR="005E4AB2" w:rsidRPr="0065581A" w:rsidRDefault="005E4AB2" w:rsidP="00FE5CE5">
      <w:pPr>
        <w:rPr>
          <w:sz w:val="22"/>
          <w:szCs w:val="22"/>
          <w:lang w:val="sk-SK"/>
        </w:rPr>
      </w:pPr>
    </w:p>
    <w:p w:rsidR="005E4AB2" w:rsidRPr="0065581A" w:rsidRDefault="005E4AB2" w:rsidP="00FE5CE5">
      <w:pPr>
        <w:rPr>
          <w:sz w:val="22"/>
          <w:szCs w:val="22"/>
          <w:lang w:val="sk-SK"/>
        </w:rPr>
      </w:pPr>
      <w:r w:rsidRPr="004A6946">
        <w:rPr>
          <w:sz w:val="22"/>
          <w:szCs w:val="22"/>
          <w:u w:val="single"/>
          <w:lang w:val="sk-SK"/>
        </w:rPr>
        <w:t xml:space="preserve">Pomocná látka </w:t>
      </w:r>
      <w:r w:rsidRPr="0065581A">
        <w:rPr>
          <w:sz w:val="22"/>
          <w:szCs w:val="22"/>
          <w:u w:val="single"/>
          <w:lang w:val="sk-SK"/>
        </w:rPr>
        <w:t>so známym účinkom</w:t>
      </w:r>
      <w:r w:rsidRPr="0065581A">
        <w:rPr>
          <w:sz w:val="22"/>
          <w:szCs w:val="22"/>
          <w:lang w:val="sk-SK"/>
        </w:rPr>
        <w:t>: 142,5</w:t>
      </w:r>
      <w:r w:rsidR="00BF5191">
        <w:rPr>
          <w:sz w:val="22"/>
          <w:szCs w:val="22"/>
          <w:lang w:val="sk-SK"/>
        </w:rPr>
        <w:t> </w:t>
      </w:r>
      <w:r w:rsidRPr="0065581A">
        <w:rPr>
          <w:sz w:val="22"/>
          <w:szCs w:val="22"/>
          <w:lang w:val="sk-SK"/>
        </w:rPr>
        <w:t xml:space="preserve">mg </w:t>
      </w:r>
      <w:proofErr w:type="spellStart"/>
      <w:r w:rsidRPr="0065581A">
        <w:rPr>
          <w:sz w:val="22"/>
          <w:szCs w:val="22"/>
          <w:lang w:val="sk-SK"/>
        </w:rPr>
        <w:t>monohydrátu</w:t>
      </w:r>
      <w:proofErr w:type="spellEnd"/>
      <w:r w:rsidRPr="0065581A">
        <w:rPr>
          <w:sz w:val="22"/>
          <w:szCs w:val="22"/>
          <w:lang w:val="sk-SK"/>
        </w:rPr>
        <w:t xml:space="preserve"> laktózy.</w:t>
      </w:r>
    </w:p>
    <w:p w:rsidR="005E4AB2" w:rsidRPr="0065581A" w:rsidRDefault="005E4AB2" w:rsidP="00FE5CE5">
      <w:pPr>
        <w:rPr>
          <w:sz w:val="22"/>
          <w:szCs w:val="22"/>
          <w:lang w:val="sk-SK"/>
        </w:rPr>
      </w:pPr>
    </w:p>
    <w:p w:rsidR="005E4AB2" w:rsidRPr="0065581A" w:rsidRDefault="005E4AB2" w:rsidP="00FE5CE5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Úplný zoznam pomocných látok, pozri časť 6.1.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3A7D01">
      <w:pPr>
        <w:pStyle w:val="ListParagraph1"/>
        <w:numPr>
          <w:ilvl w:val="0"/>
          <w:numId w:val="2"/>
        </w:numPr>
        <w:tabs>
          <w:tab w:val="left" w:pos="567"/>
          <w:tab w:val="num" w:pos="855"/>
        </w:tabs>
        <w:ind w:left="567" w:hanging="567"/>
        <w:rPr>
          <w:b/>
          <w:bCs/>
          <w:caps/>
          <w:snapToGrid w:val="0"/>
          <w:sz w:val="22"/>
          <w:szCs w:val="22"/>
          <w:lang w:val="sk-SK" w:eastAsia="en-US"/>
        </w:rPr>
      </w:pPr>
      <w:r w:rsidRPr="0065581A">
        <w:rPr>
          <w:b/>
          <w:bCs/>
          <w:caps/>
          <w:snapToGrid w:val="0"/>
          <w:sz w:val="22"/>
          <w:szCs w:val="22"/>
          <w:lang w:val="sk-SK" w:eastAsia="en-US"/>
        </w:rPr>
        <w:t>Lieková forma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Tableta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 xml:space="preserve">Takmer biela plochá okrúhla tableta s priemerom asi </w:t>
      </w:r>
      <w:smartTag w:uri="urn:schemas-microsoft-com:office:smarttags" w:element="metricconverter">
        <w:smartTagPr>
          <w:attr w:name="ProductID" w:val="8 mm"/>
        </w:smartTagPr>
        <w:r w:rsidRPr="0065581A">
          <w:rPr>
            <w:sz w:val="22"/>
            <w:szCs w:val="22"/>
            <w:lang w:val="sk-SK"/>
          </w:rPr>
          <w:t>8 mm</w:t>
        </w:r>
      </w:smartTag>
      <w:r w:rsidRPr="0065581A">
        <w:rPr>
          <w:sz w:val="22"/>
          <w:szCs w:val="22"/>
          <w:lang w:val="sk-SK"/>
        </w:rPr>
        <w:t xml:space="preserve"> a s odtlačkom označenia „</w:t>
      </w:r>
      <w:r w:rsidR="001E5A67" w:rsidRPr="0065581A">
        <w:rPr>
          <w:sz w:val="22"/>
          <w:szCs w:val="22"/>
          <w:lang w:val="sk-SK"/>
        </w:rPr>
        <w:t>G</w:t>
      </w:r>
      <w:r w:rsidR="001E5A67">
        <w:rPr>
          <w:sz w:val="22"/>
          <w:szCs w:val="22"/>
          <w:lang w:val="sk-SK"/>
        </w:rPr>
        <w:t>00</w:t>
      </w:r>
      <w:r w:rsidRPr="0065581A">
        <w:rPr>
          <w:sz w:val="22"/>
          <w:szCs w:val="22"/>
          <w:lang w:val="sk-SK"/>
        </w:rPr>
        <w:t>“ na jednej strane.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3A7D01">
      <w:pPr>
        <w:pStyle w:val="ListParagraph1"/>
        <w:numPr>
          <w:ilvl w:val="0"/>
          <w:numId w:val="2"/>
        </w:numPr>
        <w:tabs>
          <w:tab w:val="left" w:pos="567"/>
          <w:tab w:val="num" w:pos="855"/>
        </w:tabs>
        <w:ind w:left="567" w:hanging="567"/>
        <w:rPr>
          <w:b/>
          <w:bCs/>
          <w:caps/>
          <w:snapToGrid w:val="0"/>
          <w:sz w:val="22"/>
          <w:szCs w:val="22"/>
          <w:lang w:val="sk-SK" w:eastAsia="en-US"/>
        </w:rPr>
      </w:pPr>
      <w:r w:rsidRPr="0065581A">
        <w:rPr>
          <w:b/>
          <w:bCs/>
          <w:caps/>
          <w:snapToGrid w:val="0"/>
          <w:sz w:val="22"/>
          <w:szCs w:val="22"/>
          <w:lang w:val="sk-SK" w:eastAsia="en-US"/>
        </w:rPr>
        <w:t>Klinické údaje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2F753B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4.1</w:t>
      </w:r>
      <w:r w:rsidRPr="0065581A">
        <w:rPr>
          <w:b/>
          <w:sz w:val="22"/>
          <w:szCs w:val="22"/>
          <w:lang w:val="sk-SK"/>
        </w:rPr>
        <w:tab/>
        <w:t>Terapeutické indikácie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0F29A0">
      <w:pPr>
        <w:rPr>
          <w:sz w:val="22"/>
          <w:szCs w:val="22"/>
          <w:lang w:val="sk-SK"/>
        </w:rPr>
      </w:pPr>
      <w:proofErr w:type="spellStart"/>
      <w:r w:rsidRPr="0065581A">
        <w:rPr>
          <w:sz w:val="22"/>
          <w:szCs w:val="22"/>
          <w:lang w:val="sk-SK"/>
        </w:rPr>
        <w:t>Postkoitáln</w:t>
      </w:r>
      <w:r w:rsidR="00061E54">
        <w:rPr>
          <w:sz w:val="22"/>
          <w:szCs w:val="22"/>
          <w:lang w:val="sk-SK"/>
        </w:rPr>
        <w:t>a</w:t>
      </w:r>
      <w:proofErr w:type="spellEnd"/>
      <w:r w:rsidRPr="0065581A">
        <w:rPr>
          <w:sz w:val="22"/>
          <w:szCs w:val="22"/>
          <w:lang w:val="sk-SK"/>
        </w:rPr>
        <w:t xml:space="preserve"> </w:t>
      </w:r>
      <w:r w:rsidR="00BF5191">
        <w:rPr>
          <w:sz w:val="22"/>
          <w:szCs w:val="22"/>
          <w:lang w:val="sk-SK"/>
        </w:rPr>
        <w:t>(núdzov</w:t>
      </w:r>
      <w:r w:rsidR="00061E54">
        <w:rPr>
          <w:sz w:val="22"/>
          <w:szCs w:val="22"/>
          <w:lang w:val="sk-SK"/>
        </w:rPr>
        <w:t>á</w:t>
      </w:r>
      <w:r w:rsidR="00BF5191">
        <w:rPr>
          <w:sz w:val="22"/>
          <w:szCs w:val="22"/>
          <w:lang w:val="sk-SK"/>
        </w:rPr>
        <w:t xml:space="preserve">) </w:t>
      </w:r>
      <w:r w:rsidR="00061E54">
        <w:rPr>
          <w:sz w:val="22"/>
          <w:szCs w:val="22"/>
          <w:lang w:val="sk-SK"/>
        </w:rPr>
        <w:t>antikoncepcia</w:t>
      </w:r>
      <w:r w:rsidRPr="0065581A">
        <w:rPr>
          <w:sz w:val="22"/>
          <w:szCs w:val="22"/>
          <w:lang w:val="sk-SK"/>
        </w:rPr>
        <w:t>, ktor</w:t>
      </w:r>
      <w:r w:rsidR="00061E54">
        <w:rPr>
          <w:sz w:val="22"/>
          <w:szCs w:val="22"/>
          <w:lang w:val="sk-SK"/>
        </w:rPr>
        <w:t>á</w:t>
      </w:r>
      <w:r w:rsidRPr="0065581A">
        <w:rPr>
          <w:sz w:val="22"/>
          <w:szCs w:val="22"/>
          <w:lang w:val="sk-SK"/>
        </w:rPr>
        <w:t xml:space="preserve"> sa použije do 72 hodín po nechránenom pohlavnom styku alebo po zlyhaní </w:t>
      </w:r>
      <w:r w:rsidR="00061E54">
        <w:rPr>
          <w:sz w:val="22"/>
          <w:szCs w:val="22"/>
          <w:lang w:val="sk-SK"/>
        </w:rPr>
        <w:t>antikoncepčnej</w:t>
      </w:r>
      <w:r w:rsidRPr="0065581A">
        <w:rPr>
          <w:sz w:val="22"/>
          <w:szCs w:val="22"/>
          <w:lang w:val="sk-SK"/>
        </w:rPr>
        <w:t xml:space="preserve"> metódy.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2F753B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4.2</w:t>
      </w:r>
      <w:r w:rsidRPr="0065581A">
        <w:rPr>
          <w:b/>
          <w:sz w:val="22"/>
          <w:szCs w:val="22"/>
          <w:lang w:val="sk-SK"/>
        </w:rPr>
        <w:tab/>
        <w:t xml:space="preserve">Dávkovanie a spôsob podávania </w:t>
      </w:r>
    </w:p>
    <w:p w:rsidR="005E4AB2" w:rsidRPr="004A6946" w:rsidRDefault="005E4AB2" w:rsidP="00840F41">
      <w:pPr>
        <w:rPr>
          <w:b/>
          <w:sz w:val="22"/>
          <w:szCs w:val="22"/>
          <w:u w:val="single"/>
          <w:lang w:val="sk-SK"/>
        </w:rPr>
      </w:pPr>
    </w:p>
    <w:p w:rsidR="00C65504" w:rsidRPr="004A6946" w:rsidRDefault="00C65504" w:rsidP="00840F41">
      <w:pPr>
        <w:pStyle w:val="Zkladntext"/>
        <w:rPr>
          <w:sz w:val="22"/>
          <w:szCs w:val="22"/>
          <w:u w:val="single"/>
          <w:lang w:val="sk-SK"/>
        </w:rPr>
      </w:pPr>
      <w:r w:rsidRPr="004A6946">
        <w:rPr>
          <w:sz w:val="22"/>
          <w:szCs w:val="22"/>
          <w:u w:val="single"/>
          <w:lang w:val="sk-SK"/>
        </w:rPr>
        <w:t>Dávkovanie</w:t>
      </w:r>
    </w:p>
    <w:p w:rsidR="005E4AB2" w:rsidRPr="0065581A" w:rsidRDefault="005E4AB2" w:rsidP="00840F41">
      <w:pPr>
        <w:pStyle w:val="Zkladntext"/>
        <w:rPr>
          <w:sz w:val="22"/>
          <w:szCs w:val="22"/>
          <w:lang w:val="sk-SK"/>
        </w:rPr>
      </w:pPr>
    </w:p>
    <w:p w:rsidR="005E4AB2" w:rsidRPr="0065581A" w:rsidRDefault="005E4AB2" w:rsidP="001664D2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Tableta sa má užiť čo najskôr, pokiaľ možno do 12 hodín, a nie neskôr ako 72 hodín po nechránenom pohlavnom styku (pozri časť 5.1).</w:t>
      </w:r>
    </w:p>
    <w:p w:rsidR="005E4AB2" w:rsidRPr="0065581A" w:rsidRDefault="005E4AB2" w:rsidP="001664D2">
      <w:pPr>
        <w:rPr>
          <w:sz w:val="22"/>
          <w:szCs w:val="22"/>
          <w:lang w:val="sk-SK"/>
        </w:rPr>
      </w:pPr>
    </w:p>
    <w:p w:rsidR="00C65504" w:rsidRDefault="00C65504" w:rsidP="00C65504">
      <w:pPr>
        <w:rPr>
          <w:rFonts w:eastAsia="Verdana"/>
          <w:sz w:val="22"/>
          <w:szCs w:val="22"/>
          <w:lang w:val="sk-SK" w:eastAsia="en-GB"/>
        </w:rPr>
      </w:pPr>
      <w:r w:rsidRPr="004A6946">
        <w:rPr>
          <w:sz w:val="22"/>
          <w:lang w:val="sk-SK"/>
        </w:rPr>
        <w:t xml:space="preserve">Ženám, ktoré používali počas posledných 4 týždňov lieky indukujúce enzýmy a potrebujú </w:t>
      </w:r>
      <w:proofErr w:type="spellStart"/>
      <w:r w:rsidRPr="004A6946">
        <w:rPr>
          <w:sz w:val="22"/>
          <w:lang w:val="sk-SK"/>
        </w:rPr>
        <w:t>postkoitáln</w:t>
      </w:r>
      <w:r w:rsidR="00061E54">
        <w:rPr>
          <w:sz w:val="22"/>
          <w:lang w:val="sk-SK"/>
        </w:rPr>
        <w:t>u</w:t>
      </w:r>
      <w:proofErr w:type="spellEnd"/>
      <w:r w:rsidRPr="004A6946">
        <w:rPr>
          <w:sz w:val="22"/>
          <w:lang w:val="sk-SK"/>
        </w:rPr>
        <w:t xml:space="preserve"> </w:t>
      </w:r>
      <w:r w:rsidR="00061E54">
        <w:rPr>
          <w:sz w:val="22"/>
          <w:lang w:val="sk-SK"/>
        </w:rPr>
        <w:t>antikoncepciu</w:t>
      </w:r>
      <w:r w:rsidR="001E5A67">
        <w:rPr>
          <w:sz w:val="22"/>
          <w:lang w:val="sk-SK"/>
        </w:rPr>
        <w:t xml:space="preserve"> (P</w:t>
      </w:r>
      <w:r w:rsidR="000953FF">
        <w:rPr>
          <w:sz w:val="22"/>
          <w:lang w:val="sk-SK"/>
        </w:rPr>
        <w:t>A</w:t>
      </w:r>
      <w:r w:rsidR="001E5A67">
        <w:rPr>
          <w:sz w:val="22"/>
          <w:lang w:val="sk-SK"/>
        </w:rPr>
        <w:t>)</w:t>
      </w:r>
      <w:r w:rsidRPr="004A6946">
        <w:rPr>
          <w:sz w:val="22"/>
          <w:lang w:val="sk-SK"/>
        </w:rPr>
        <w:t>, sa odporúča použiť nehormonáln</w:t>
      </w:r>
      <w:r w:rsidR="00061E54">
        <w:rPr>
          <w:sz w:val="22"/>
          <w:lang w:val="sk-SK"/>
        </w:rPr>
        <w:t>u</w:t>
      </w:r>
      <w:r w:rsidRPr="004A6946">
        <w:rPr>
          <w:sz w:val="22"/>
          <w:lang w:val="sk-SK"/>
        </w:rPr>
        <w:t xml:space="preserve"> </w:t>
      </w:r>
      <w:r w:rsidR="000953FF" w:rsidRPr="004A6946">
        <w:rPr>
          <w:sz w:val="22"/>
          <w:lang w:val="sk-SK"/>
        </w:rPr>
        <w:t>P</w:t>
      </w:r>
      <w:r w:rsidR="000953FF">
        <w:rPr>
          <w:sz w:val="22"/>
          <w:lang w:val="sk-SK"/>
        </w:rPr>
        <w:t>A</w:t>
      </w:r>
      <w:r w:rsidRPr="004A6946">
        <w:rPr>
          <w:sz w:val="22"/>
          <w:lang w:val="sk-SK"/>
        </w:rPr>
        <w:t>, napr. intrauterinné teliesko s meďou alebo užiť dvojitú dávku levonorgestrelu (t.j. 2 tablety, ktoré sa užijú spolu) pre tie ženy, ktoré nemôžu alebo nechcú použiť intrauterinné teliesko s meďou (pozri časť 4.5).</w:t>
      </w:r>
      <w:r w:rsidRPr="00C1343B">
        <w:rPr>
          <w:rFonts w:eastAsia="Verdana"/>
          <w:sz w:val="22"/>
          <w:szCs w:val="22"/>
          <w:lang w:val="sk-SK" w:eastAsia="en-GB"/>
        </w:rPr>
        <w:t xml:space="preserve"> </w:t>
      </w:r>
    </w:p>
    <w:p w:rsidR="001E5A67" w:rsidRPr="00C1343B" w:rsidRDefault="001E5A67" w:rsidP="00C65504">
      <w:pPr>
        <w:rPr>
          <w:rFonts w:eastAsia="Verdana"/>
          <w:sz w:val="22"/>
          <w:szCs w:val="22"/>
          <w:lang w:val="sk-SK" w:eastAsia="en-GB"/>
        </w:rPr>
      </w:pPr>
    </w:p>
    <w:p w:rsidR="001E5A67" w:rsidRPr="0065581A" w:rsidRDefault="001E5A67" w:rsidP="001E5A67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Ak pacientka vracia v priebehu troch hodín od užitia tablety, má sa ihneď užiť ďalšia tableta.</w:t>
      </w:r>
    </w:p>
    <w:p w:rsidR="00C65504" w:rsidRDefault="00C65504" w:rsidP="00840F41">
      <w:pPr>
        <w:rPr>
          <w:sz w:val="22"/>
          <w:szCs w:val="22"/>
          <w:lang w:val="sk-SK"/>
        </w:rPr>
      </w:pPr>
    </w:p>
    <w:p w:rsidR="005E4AB2" w:rsidRPr="0065581A" w:rsidRDefault="003C62B2" w:rsidP="00840F4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Postinor-1</w:t>
      </w:r>
      <w:r w:rsidR="005E4AB2" w:rsidRPr="0065581A">
        <w:rPr>
          <w:sz w:val="22"/>
          <w:szCs w:val="22"/>
          <w:lang w:val="sk-SK"/>
        </w:rPr>
        <w:t xml:space="preserve"> možno </w:t>
      </w:r>
      <w:r w:rsidR="005E4AB2" w:rsidRPr="0096279C">
        <w:rPr>
          <w:sz w:val="22"/>
          <w:szCs w:val="22"/>
          <w:lang w:val="sk-SK"/>
        </w:rPr>
        <w:t>použiť</w:t>
      </w:r>
      <w:r w:rsidR="005E4AB2" w:rsidRPr="0065581A">
        <w:rPr>
          <w:sz w:val="22"/>
          <w:szCs w:val="22"/>
          <w:lang w:val="sk-SK"/>
        </w:rPr>
        <w:t xml:space="preserve"> v každom období menštruačného cyklu s výnimkou oneskorenia menštruačného krvácania.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 xml:space="preserve">Po užití </w:t>
      </w:r>
      <w:proofErr w:type="spellStart"/>
      <w:r w:rsidRPr="0065581A">
        <w:rPr>
          <w:sz w:val="22"/>
          <w:szCs w:val="22"/>
          <w:lang w:val="sk-SK"/>
        </w:rPr>
        <w:t>postkoitálne</w:t>
      </w:r>
      <w:r w:rsidR="00061E54">
        <w:rPr>
          <w:sz w:val="22"/>
          <w:szCs w:val="22"/>
          <w:lang w:val="sk-SK"/>
        </w:rPr>
        <w:t>j</w:t>
      </w:r>
      <w:proofErr w:type="spellEnd"/>
      <w:r w:rsidRPr="0065581A">
        <w:rPr>
          <w:sz w:val="22"/>
          <w:szCs w:val="22"/>
          <w:lang w:val="sk-SK"/>
        </w:rPr>
        <w:t xml:space="preserve"> </w:t>
      </w:r>
      <w:r w:rsidR="00061E54">
        <w:rPr>
          <w:sz w:val="22"/>
          <w:szCs w:val="22"/>
          <w:lang w:val="sk-SK"/>
        </w:rPr>
        <w:t>antikoncepcie</w:t>
      </w:r>
      <w:r w:rsidRPr="0065581A">
        <w:rPr>
          <w:sz w:val="22"/>
          <w:szCs w:val="22"/>
          <w:lang w:val="sk-SK"/>
        </w:rPr>
        <w:t xml:space="preserve"> sa odporúča používať lokálnu </w:t>
      </w:r>
      <w:proofErr w:type="spellStart"/>
      <w:r w:rsidRPr="0065581A">
        <w:rPr>
          <w:sz w:val="22"/>
          <w:szCs w:val="22"/>
          <w:lang w:val="sk-SK"/>
        </w:rPr>
        <w:t>bariérovú</w:t>
      </w:r>
      <w:proofErr w:type="spellEnd"/>
      <w:r w:rsidRPr="0065581A">
        <w:rPr>
          <w:sz w:val="22"/>
          <w:szCs w:val="22"/>
          <w:lang w:val="sk-SK"/>
        </w:rPr>
        <w:t xml:space="preserve"> </w:t>
      </w:r>
      <w:r w:rsidRPr="0096279C">
        <w:rPr>
          <w:sz w:val="22"/>
          <w:szCs w:val="22"/>
          <w:lang w:val="sk-SK"/>
        </w:rPr>
        <w:t xml:space="preserve">metódu </w:t>
      </w:r>
      <w:r w:rsidR="00061E54">
        <w:rPr>
          <w:sz w:val="22"/>
          <w:szCs w:val="22"/>
          <w:lang w:val="sk-SK"/>
        </w:rPr>
        <w:t>antikoncepcie</w:t>
      </w:r>
      <w:r w:rsidRPr="0065581A">
        <w:rPr>
          <w:sz w:val="22"/>
          <w:szCs w:val="22"/>
          <w:lang w:val="sk-SK"/>
        </w:rPr>
        <w:t xml:space="preserve"> (napr. kondóm, vaginálny pesar, spermicídy, cervikálny pesar) až do začiatku nasledujúceho </w:t>
      </w:r>
      <w:r w:rsidRPr="0065581A">
        <w:rPr>
          <w:sz w:val="22"/>
          <w:szCs w:val="22"/>
          <w:lang w:val="sk-SK"/>
        </w:rPr>
        <w:lastRenderedPageBreak/>
        <w:t xml:space="preserve">menštruačného krvácania. Užitie levonorgestrelu nie je kontraindikáciou pre pokračovanie v pravidelnej hormonálnej </w:t>
      </w:r>
      <w:r w:rsidR="00061E54">
        <w:rPr>
          <w:sz w:val="22"/>
          <w:szCs w:val="22"/>
          <w:lang w:val="sk-SK"/>
        </w:rPr>
        <w:t>antikoncepcii</w:t>
      </w:r>
      <w:r w:rsidRPr="0065581A">
        <w:rPr>
          <w:sz w:val="22"/>
          <w:szCs w:val="22"/>
          <w:lang w:val="sk-SK"/>
        </w:rPr>
        <w:t>.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835C2A" w:rsidRDefault="007A35CE" w:rsidP="00840F41">
      <w:pPr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Pediatrická populácia</w:t>
      </w:r>
      <w:r w:rsidR="006A136B">
        <w:rPr>
          <w:i/>
          <w:sz w:val="22"/>
          <w:szCs w:val="22"/>
          <w:lang w:val="sk-SK"/>
        </w:rPr>
        <w:t xml:space="preserve"> </w:t>
      </w:r>
    </w:p>
    <w:p w:rsidR="00615BE2" w:rsidRPr="00CD0D91" w:rsidRDefault="00615BE2" w:rsidP="00615BE2">
      <w:pPr>
        <w:widowControl w:val="0"/>
        <w:suppressAutoHyphens/>
        <w:rPr>
          <w:sz w:val="22"/>
          <w:szCs w:val="22"/>
          <w:lang w:val="sk-SK"/>
        </w:rPr>
      </w:pPr>
      <w:r w:rsidRPr="00CD0D91">
        <w:rPr>
          <w:sz w:val="22"/>
          <w:szCs w:val="22"/>
          <w:lang w:val="sk-SK"/>
        </w:rPr>
        <w:t xml:space="preserve">U detí v predpubertálnom veku nie je žiadne opodstatnenie použitia </w:t>
      </w:r>
      <w:r>
        <w:rPr>
          <w:sz w:val="22"/>
          <w:szCs w:val="22"/>
          <w:lang w:val="sk-SK"/>
        </w:rPr>
        <w:t>Postinoru-1</w:t>
      </w:r>
      <w:r w:rsidRPr="00CD0D91">
        <w:rPr>
          <w:sz w:val="22"/>
          <w:szCs w:val="22"/>
          <w:lang w:val="sk-SK"/>
        </w:rPr>
        <w:t xml:space="preserve"> pre indikáciu núdzovej</w:t>
      </w:r>
      <w:r w:rsidR="00061E54">
        <w:rPr>
          <w:sz w:val="22"/>
          <w:szCs w:val="22"/>
          <w:lang w:val="sk-SK"/>
        </w:rPr>
        <w:t xml:space="preserve"> </w:t>
      </w:r>
      <w:r w:rsidRPr="00CD0D91">
        <w:rPr>
          <w:sz w:val="22"/>
          <w:szCs w:val="22"/>
          <w:lang w:val="sk-SK"/>
        </w:rPr>
        <w:t>antikoncepcie.</w:t>
      </w:r>
    </w:p>
    <w:p w:rsidR="005E4AB2" w:rsidRPr="004A6946" w:rsidRDefault="005E4AB2" w:rsidP="00840F41">
      <w:pPr>
        <w:rPr>
          <w:sz w:val="22"/>
          <w:u w:val="single"/>
          <w:lang w:val="sk-SK"/>
        </w:rPr>
      </w:pPr>
    </w:p>
    <w:p w:rsidR="00C65504" w:rsidRPr="004A6946" w:rsidRDefault="00C65504" w:rsidP="00C65504">
      <w:pPr>
        <w:rPr>
          <w:sz w:val="22"/>
          <w:szCs w:val="22"/>
          <w:u w:val="single"/>
          <w:lang w:val="sk-SK"/>
        </w:rPr>
      </w:pPr>
      <w:r w:rsidRPr="004A6946">
        <w:rPr>
          <w:sz w:val="22"/>
          <w:szCs w:val="22"/>
          <w:u w:val="single"/>
          <w:lang w:val="sk-SK"/>
        </w:rPr>
        <w:t>Spôsob podávania</w:t>
      </w:r>
    </w:p>
    <w:p w:rsidR="00C65504" w:rsidRDefault="001E5A67" w:rsidP="00C6550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C65504" w:rsidRPr="004A6946">
        <w:rPr>
          <w:sz w:val="22"/>
          <w:szCs w:val="22"/>
          <w:lang w:val="sk-SK"/>
        </w:rPr>
        <w:t xml:space="preserve">erorálne </w:t>
      </w:r>
      <w:r>
        <w:rPr>
          <w:sz w:val="22"/>
          <w:szCs w:val="22"/>
          <w:lang w:val="sk-SK"/>
        </w:rPr>
        <w:t>použitie</w:t>
      </w:r>
      <w:r w:rsidR="00C65504" w:rsidRPr="004A6946">
        <w:rPr>
          <w:sz w:val="22"/>
          <w:szCs w:val="22"/>
          <w:lang w:val="sk-SK"/>
        </w:rPr>
        <w:t>.</w:t>
      </w:r>
      <w:bookmarkStart w:id="0" w:name="_GoBack"/>
      <w:bookmarkEnd w:id="0"/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856E08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4.3</w:t>
      </w:r>
      <w:r w:rsidRPr="0065581A">
        <w:rPr>
          <w:b/>
          <w:sz w:val="22"/>
          <w:szCs w:val="22"/>
          <w:lang w:val="sk-SK"/>
        </w:rPr>
        <w:tab/>
        <w:t>Kontraindikácie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 xml:space="preserve">Precitlivenosť na liečivo alebo </w:t>
      </w:r>
      <w:r w:rsidR="001E5A67">
        <w:rPr>
          <w:sz w:val="22"/>
          <w:szCs w:val="22"/>
          <w:lang w:val="sk-SK"/>
        </w:rPr>
        <w:t xml:space="preserve">na </w:t>
      </w:r>
      <w:r w:rsidRPr="0065581A">
        <w:rPr>
          <w:sz w:val="22"/>
          <w:szCs w:val="22"/>
          <w:lang w:val="sk-SK"/>
        </w:rPr>
        <w:t>ktorúkoľvek z pomocných látok uvedených v časti 6.1.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856E08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4.4</w:t>
      </w:r>
      <w:r w:rsidRPr="0065581A">
        <w:rPr>
          <w:b/>
          <w:sz w:val="22"/>
          <w:szCs w:val="22"/>
          <w:lang w:val="sk-SK"/>
        </w:rPr>
        <w:tab/>
        <w:t>Osobitné upozornenia a opatrenia pri používaní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  <w:proofErr w:type="spellStart"/>
      <w:r w:rsidRPr="0065581A">
        <w:rPr>
          <w:sz w:val="22"/>
          <w:szCs w:val="22"/>
          <w:lang w:val="sk-SK"/>
        </w:rPr>
        <w:t>Postkoitáln</w:t>
      </w:r>
      <w:r w:rsidR="00061E54">
        <w:rPr>
          <w:sz w:val="22"/>
          <w:szCs w:val="22"/>
          <w:lang w:val="sk-SK"/>
        </w:rPr>
        <w:t>a</w:t>
      </w:r>
      <w:proofErr w:type="spellEnd"/>
      <w:r w:rsidRPr="0065581A">
        <w:rPr>
          <w:sz w:val="22"/>
          <w:szCs w:val="22"/>
          <w:lang w:val="sk-SK"/>
        </w:rPr>
        <w:t xml:space="preserve"> </w:t>
      </w:r>
      <w:r w:rsidR="00061E54">
        <w:rPr>
          <w:sz w:val="22"/>
          <w:szCs w:val="22"/>
          <w:lang w:val="sk-SK"/>
        </w:rPr>
        <w:t>antikoncepcia</w:t>
      </w:r>
      <w:r w:rsidRPr="0065581A">
        <w:rPr>
          <w:sz w:val="22"/>
          <w:szCs w:val="22"/>
          <w:lang w:val="sk-SK"/>
        </w:rPr>
        <w:t xml:space="preserve"> je príležitostnou metódou určenou na núdzové použitie. V žiadnom prípade nenahrádza pravidelné</w:t>
      </w:r>
      <w:r w:rsidR="00061E54">
        <w:rPr>
          <w:sz w:val="22"/>
          <w:szCs w:val="22"/>
          <w:lang w:val="sk-SK"/>
        </w:rPr>
        <w:t xml:space="preserve"> antikoncepčné</w:t>
      </w:r>
      <w:r w:rsidRPr="0065581A">
        <w:rPr>
          <w:sz w:val="22"/>
          <w:szCs w:val="22"/>
          <w:lang w:val="sk-SK"/>
        </w:rPr>
        <w:t xml:space="preserve"> metódy.</w:t>
      </w:r>
    </w:p>
    <w:p w:rsidR="00A05BBF" w:rsidRDefault="005E4AB2" w:rsidP="007F797E">
      <w:pPr>
        <w:rPr>
          <w:sz w:val="22"/>
          <w:szCs w:val="22"/>
          <w:lang w:val="sk-SK"/>
        </w:rPr>
      </w:pPr>
      <w:proofErr w:type="spellStart"/>
      <w:r w:rsidRPr="0065581A">
        <w:rPr>
          <w:sz w:val="22"/>
          <w:szCs w:val="22"/>
          <w:lang w:val="sk-SK"/>
        </w:rPr>
        <w:t>Postkoitáln</w:t>
      </w:r>
      <w:r w:rsidR="00061E54">
        <w:rPr>
          <w:sz w:val="22"/>
          <w:szCs w:val="22"/>
          <w:lang w:val="sk-SK"/>
        </w:rPr>
        <w:t>a</w:t>
      </w:r>
      <w:proofErr w:type="spellEnd"/>
      <w:r w:rsidR="00061E54">
        <w:rPr>
          <w:sz w:val="22"/>
          <w:szCs w:val="22"/>
          <w:lang w:val="sk-SK"/>
        </w:rPr>
        <w:t xml:space="preserve"> antikoncepcia</w:t>
      </w:r>
      <w:r w:rsidRPr="0065581A">
        <w:rPr>
          <w:sz w:val="22"/>
          <w:szCs w:val="22"/>
          <w:lang w:val="sk-SK"/>
        </w:rPr>
        <w:t xml:space="preserve"> nemusí vždy zabrániť otehotneniu. Ak čas nechráneného pohlavného styku nie je istý alebo ak žena </w:t>
      </w:r>
      <w:r w:rsidR="009E1E5A">
        <w:rPr>
          <w:sz w:val="22"/>
          <w:szCs w:val="22"/>
          <w:lang w:val="sk-SK"/>
        </w:rPr>
        <w:t xml:space="preserve">v </w:t>
      </w:r>
      <w:r w:rsidR="009E1E5A" w:rsidRPr="0065581A">
        <w:rPr>
          <w:sz w:val="22"/>
          <w:szCs w:val="22"/>
          <w:lang w:val="sk-SK"/>
        </w:rPr>
        <w:t xml:space="preserve">priebehu daného menštruačného cyklu </w:t>
      </w:r>
      <w:r w:rsidRPr="0065581A">
        <w:rPr>
          <w:sz w:val="22"/>
          <w:szCs w:val="22"/>
          <w:lang w:val="sk-SK"/>
        </w:rPr>
        <w:t xml:space="preserve">mala nechránený pohlavný styk pred </w:t>
      </w:r>
      <w:r w:rsidR="009E1E5A">
        <w:rPr>
          <w:sz w:val="22"/>
          <w:szCs w:val="22"/>
          <w:lang w:val="sk-SK"/>
        </w:rPr>
        <w:t xml:space="preserve">viac ako </w:t>
      </w:r>
      <w:r w:rsidRPr="0065581A">
        <w:rPr>
          <w:sz w:val="22"/>
          <w:szCs w:val="22"/>
          <w:lang w:val="sk-SK"/>
        </w:rPr>
        <w:t xml:space="preserve">72 hodinami, </w:t>
      </w:r>
      <w:r w:rsidR="009E1E5A" w:rsidRPr="0065581A">
        <w:rPr>
          <w:sz w:val="22"/>
          <w:szCs w:val="22"/>
          <w:lang w:val="sk-SK"/>
        </w:rPr>
        <w:t>m</w:t>
      </w:r>
      <w:r w:rsidR="009E1E5A">
        <w:rPr>
          <w:sz w:val="22"/>
          <w:szCs w:val="22"/>
          <w:lang w:val="sk-SK"/>
        </w:rPr>
        <w:t>ohlo</w:t>
      </w:r>
      <w:r w:rsidRPr="0065581A">
        <w:rPr>
          <w:sz w:val="22"/>
          <w:szCs w:val="22"/>
          <w:lang w:val="sk-SK"/>
        </w:rPr>
        <w:t xml:space="preserve"> dôjsť k otehotneniu. Preto liečba levonorgestrelom po nasledujúcom nechránenom pohlavnom styku môže byť v prevencii pred otehotnením neúspešná. Ak sa menštruačné krvácanie omešká o viac ako 5 dní</w:t>
      </w:r>
      <w:r w:rsidR="009E1E5A">
        <w:rPr>
          <w:sz w:val="22"/>
          <w:szCs w:val="22"/>
          <w:lang w:val="sk-SK"/>
        </w:rPr>
        <w:t>,</w:t>
      </w:r>
      <w:r w:rsidRPr="0065581A">
        <w:rPr>
          <w:sz w:val="22"/>
          <w:szCs w:val="22"/>
          <w:lang w:val="sk-SK"/>
        </w:rPr>
        <w:t xml:space="preserve"> alebo ak sa v očakávanom čase cyklu objaví abnormálne krvácanie, prípadne ak je podozrenie na tehotenstvo z akéhokoľvek iného dôvodu, m</w:t>
      </w:r>
      <w:r w:rsidR="009E1E5A">
        <w:rPr>
          <w:sz w:val="22"/>
          <w:szCs w:val="22"/>
          <w:lang w:val="sk-SK"/>
        </w:rPr>
        <w:t>á</w:t>
      </w:r>
      <w:r w:rsidRPr="0065581A">
        <w:rPr>
          <w:sz w:val="22"/>
          <w:szCs w:val="22"/>
          <w:lang w:val="sk-SK"/>
        </w:rPr>
        <w:t xml:space="preserve"> sa vylúčiť gravidita.</w:t>
      </w:r>
      <w:r w:rsidR="006A136B">
        <w:rPr>
          <w:sz w:val="22"/>
          <w:szCs w:val="22"/>
          <w:lang w:val="sk-SK"/>
        </w:rPr>
        <w:t xml:space="preserve"> </w:t>
      </w:r>
    </w:p>
    <w:p w:rsidR="005E4AB2" w:rsidRPr="0065581A" w:rsidRDefault="005E4AB2" w:rsidP="007F797E">
      <w:pPr>
        <w:rPr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 xml:space="preserve">Ak po liečbe levonorgestrelom pacientka otehotnie, má sa zvážiť možnosť ektopickej gravidity. </w:t>
      </w:r>
      <w:r w:rsidRPr="0065581A">
        <w:rPr>
          <w:sz w:val="22"/>
          <w:szCs w:val="22"/>
          <w:lang w:val="sk-SK"/>
        </w:rPr>
        <w:t xml:space="preserve">Absolútne riziko ektopickej gravidity je pravdepodobne nízke, keďže levonorgestrel zabraňuje ovulácii a oplodneniu. Ektopická gravidita môže pretrvávať aj napriek výskytu uterinného krvácania. </w:t>
      </w:r>
    </w:p>
    <w:p w:rsidR="005E4AB2" w:rsidRPr="0065581A" w:rsidRDefault="005E4AB2" w:rsidP="007F797E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Preto sa levonorgestrel neodporúča u pacientok s rizikom ektopickej gravidity (salpingitída alebo ektopická gravidita v anamnéze).</w:t>
      </w:r>
    </w:p>
    <w:p w:rsidR="005E4AB2" w:rsidRPr="0065581A" w:rsidRDefault="005E4AB2" w:rsidP="007F797E">
      <w:pPr>
        <w:rPr>
          <w:sz w:val="22"/>
          <w:szCs w:val="22"/>
          <w:lang w:val="sk-SK"/>
        </w:rPr>
      </w:pPr>
    </w:p>
    <w:p w:rsidR="005E4AB2" w:rsidRDefault="005E4AB2" w:rsidP="00840F41">
      <w:pPr>
        <w:rPr>
          <w:sz w:val="22"/>
          <w:szCs w:val="22"/>
          <w:lang w:val="sk-SK"/>
        </w:rPr>
      </w:pPr>
      <w:r w:rsidRPr="00C749C8">
        <w:rPr>
          <w:sz w:val="22"/>
          <w:szCs w:val="22"/>
          <w:lang w:val="sk-SK"/>
        </w:rPr>
        <w:t>Levonorgestrel</w:t>
      </w:r>
      <w:r w:rsidR="00B22C43">
        <w:rPr>
          <w:sz w:val="22"/>
          <w:szCs w:val="22"/>
          <w:lang w:val="sk-SK"/>
        </w:rPr>
        <w:t xml:space="preserve"> </w:t>
      </w:r>
      <w:r w:rsidRPr="00C749C8">
        <w:rPr>
          <w:sz w:val="22"/>
          <w:szCs w:val="22"/>
          <w:lang w:val="sk-SK"/>
        </w:rPr>
        <w:t>sa neodporúča užívať u pacientok s ťažkou hepatálnou dysfunkciou.</w:t>
      </w:r>
    </w:p>
    <w:p w:rsidR="009E1E5A" w:rsidRPr="00C749C8" w:rsidRDefault="009E1E5A" w:rsidP="00840F41">
      <w:pPr>
        <w:rPr>
          <w:sz w:val="22"/>
          <w:szCs w:val="22"/>
          <w:lang w:val="sk-SK"/>
        </w:rPr>
      </w:pPr>
    </w:p>
    <w:p w:rsidR="005E4AB2" w:rsidRPr="00C749C8" w:rsidRDefault="005E4AB2" w:rsidP="00840F41">
      <w:pPr>
        <w:rPr>
          <w:sz w:val="22"/>
          <w:szCs w:val="22"/>
          <w:lang w:val="sk-SK"/>
        </w:rPr>
      </w:pPr>
      <w:r w:rsidRPr="00C749C8">
        <w:rPr>
          <w:sz w:val="22"/>
          <w:szCs w:val="22"/>
          <w:lang w:val="sk-SK"/>
        </w:rPr>
        <w:t>Ťažké malabsorpčné syndrómy, ako je napr. Crohnova choroba, môžu znížiť účinnosť levonorgestrelu.</w:t>
      </w:r>
    </w:p>
    <w:p w:rsidR="005E4AB2" w:rsidRPr="00C749C8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A34877">
      <w:pPr>
        <w:rPr>
          <w:sz w:val="22"/>
          <w:szCs w:val="22"/>
          <w:lang w:val="sk-SK"/>
        </w:rPr>
      </w:pPr>
      <w:r w:rsidRPr="00C749C8">
        <w:rPr>
          <w:sz w:val="22"/>
          <w:szCs w:val="22"/>
          <w:lang w:val="sk-SK"/>
        </w:rPr>
        <w:t xml:space="preserve">Tento liek obsahuje monohydrát laktózy. </w:t>
      </w:r>
      <w:r w:rsidR="00F75799" w:rsidRPr="00F75799">
        <w:rPr>
          <w:sz w:val="22"/>
          <w:szCs w:val="22"/>
          <w:lang w:val="sk-SK"/>
        </w:rPr>
        <w:t>Pacientky so zriedkavými dedičnými problémami galaktózovej intolerancie, celkovým deficitom laktázy alebo glukózo-galaktózovou malabsorpciou nesmú užívať tento liek.</w:t>
      </w:r>
      <w:r w:rsidR="00F75799" w:rsidRPr="00C749C8" w:rsidDel="00F75799">
        <w:rPr>
          <w:sz w:val="22"/>
          <w:szCs w:val="22"/>
          <w:lang w:val="sk-SK"/>
        </w:rPr>
        <w:t xml:space="preserve"> 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F17397">
      <w:pPr>
        <w:rPr>
          <w:sz w:val="22"/>
          <w:szCs w:val="22"/>
          <w:lang w:val="sk-SK"/>
        </w:rPr>
      </w:pPr>
      <w:r w:rsidRPr="002E5F24">
        <w:rPr>
          <w:sz w:val="22"/>
          <w:szCs w:val="22"/>
          <w:lang w:val="sk-SK"/>
        </w:rPr>
        <w:t>Po užití levonorgestrelu je menštruačné krvácanie zvyčajne normálne a objavuje sa v očakávanom čase. Niekedy sa môže objaviť o niekoľko dní skôr alebo neskôr</w:t>
      </w:r>
      <w:r w:rsidR="000201AF">
        <w:rPr>
          <w:sz w:val="22"/>
          <w:szCs w:val="22"/>
          <w:lang w:val="sk-SK"/>
        </w:rPr>
        <w:t xml:space="preserve"> ako sa očakávalo</w:t>
      </w:r>
      <w:r w:rsidRPr="002E5F24">
        <w:rPr>
          <w:sz w:val="22"/>
          <w:szCs w:val="22"/>
          <w:lang w:val="sk-SK"/>
        </w:rPr>
        <w:t xml:space="preserve">. Na základe lekárskeho vyšetrenia sa ženám odporúča začať používať </w:t>
      </w:r>
      <w:r w:rsidR="00CA2D8C" w:rsidRPr="002E5F24">
        <w:rPr>
          <w:sz w:val="22"/>
          <w:szCs w:val="22"/>
          <w:lang w:val="sk-SK"/>
        </w:rPr>
        <w:t xml:space="preserve">alebo upraviť </w:t>
      </w:r>
      <w:r w:rsidR="00CA2D8C">
        <w:rPr>
          <w:sz w:val="22"/>
          <w:szCs w:val="22"/>
          <w:lang w:val="sk-SK"/>
        </w:rPr>
        <w:t xml:space="preserve">metódu </w:t>
      </w:r>
      <w:r w:rsidR="00CA2D8C" w:rsidRPr="002E5F24">
        <w:rPr>
          <w:sz w:val="22"/>
          <w:szCs w:val="22"/>
          <w:lang w:val="sk-SK"/>
        </w:rPr>
        <w:t>pravideln</w:t>
      </w:r>
      <w:r w:rsidR="00CA2D8C">
        <w:rPr>
          <w:sz w:val="22"/>
          <w:szCs w:val="22"/>
          <w:lang w:val="sk-SK"/>
        </w:rPr>
        <w:t>ej</w:t>
      </w:r>
      <w:r w:rsidR="00CA2D8C" w:rsidRPr="002E5F24">
        <w:rPr>
          <w:sz w:val="22"/>
          <w:szCs w:val="22"/>
          <w:lang w:val="sk-SK"/>
        </w:rPr>
        <w:t xml:space="preserve"> </w:t>
      </w:r>
      <w:r w:rsidR="00F75799">
        <w:rPr>
          <w:sz w:val="22"/>
          <w:szCs w:val="22"/>
          <w:lang w:val="sk-SK"/>
        </w:rPr>
        <w:t>anti</w:t>
      </w:r>
      <w:r w:rsidRPr="002E5F24">
        <w:rPr>
          <w:sz w:val="22"/>
          <w:szCs w:val="22"/>
          <w:lang w:val="sk-SK"/>
        </w:rPr>
        <w:t>koncepci</w:t>
      </w:r>
      <w:r w:rsidR="00CA2D8C">
        <w:rPr>
          <w:sz w:val="22"/>
          <w:szCs w:val="22"/>
          <w:lang w:val="sk-SK"/>
        </w:rPr>
        <w:t>e</w:t>
      </w:r>
      <w:r w:rsidRPr="002E5F24">
        <w:rPr>
          <w:sz w:val="22"/>
          <w:szCs w:val="22"/>
          <w:lang w:val="sk-SK"/>
        </w:rPr>
        <w:t xml:space="preserve">. V prípade, že sa počas najbližšej prestávky v užívaní pravidelnej hormonálnej </w:t>
      </w:r>
      <w:r w:rsidR="00F75799">
        <w:rPr>
          <w:sz w:val="22"/>
          <w:szCs w:val="22"/>
          <w:lang w:val="sk-SK"/>
        </w:rPr>
        <w:t>anti</w:t>
      </w:r>
      <w:r w:rsidRPr="002E5F24">
        <w:rPr>
          <w:sz w:val="22"/>
          <w:szCs w:val="22"/>
          <w:lang w:val="sk-SK"/>
        </w:rPr>
        <w:t xml:space="preserve">koncepcie po užití </w:t>
      </w:r>
      <w:proofErr w:type="spellStart"/>
      <w:r w:rsidRPr="002E5F24">
        <w:rPr>
          <w:sz w:val="22"/>
          <w:szCs w:val="22"/>
          <w:lang w:val="sk-SK"/>
        </w:rPr>
        <w:t>levonorgestrelu</w:t>
      </w:r>
      <w:proofErr w:type="spellEnd"/>
      <w:r w:rsidRPr="002E5F24">
        <w:rPr>
          <w:sz w:val="22"/>
          <w:szCs w:val="22"/>
          <w:lang w:val="sk-SK"/>
        </w:rPr>
        <w:t xml:space="preserve"> nedostaví menštruačné krvácanie</w:t>
      </w:r>
      <w:r w:rsidRPr="0065581A">
        <w:rPr>
          <w:sz w:val="22"/>
          <w:szCs w:val="22"/>
          <w:lang w:val="sk-SK"/>
        </w:rPr>
        <w:t xml:space="preserve">, treba vylúčiť graviditu. </w:t>
      </w:r>
    </w:p>
    <w:p w:rsidR="005E4AB2" w:rsidRDefault="005E4AB2" w:rsidP="00F17397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Opakované podávanie počas jedného menštruačného cyklu sa neodporúča vzhľadom na možnosť narušenia cyklu.</w:t>
      </w:r>
    </w:p>
    <w:p w:rsidR="00A05BBF" w:rsidRDefault="00A05BBF" w:rsidP="00D86959">
      <w:pPr>
        <w:rPr>
          <w:bCs/>
          <w:iCs/>
          <w:sz w:val="22"/>
          <w:szCs w:val="22"/>
          <w:lang w:val="sk-SK"/>
        </w:rPr>
      </w:pPr>
    </w:p>
    <w:p w:rsidR="00D86959" w:rsidRPr="00D86959" w:rsidRDefault="00D86959" w:rsidP="00D86959">
      <w:pPr>
        <w:rPr>
          <w:bCs/>
          <w:iCs/>
          <w:sz w:val="22"/>
          <w:szCs w:val="22"/>
          <w:lang w:val="sk-SK"/>
        </w:rPr>
      </w:pPr>
      <w:r w:rsidRPr="00D86959">
        <w:rPr>
          <w:bCs/>
          <w:iCs/>
          <w:sz w:val="22"/>
          <w:szCs w:val="22"/>
          <w:lang w:val="sk-SK"/>
        </w:rPr>
        <w:t>Obmedzené a nepresvedčivé údaje naznačujú, že účinnosť</w:t>
      </w:r>
      <w:r>
        <w:rPr>
          <w:bCs/>
          <w:iCs/>
          <w:sz w:val="22"/>
          <w:szCs w:val="22"/>
          <w:lang w:val="sk-SK"/>
        </w:rPr>
        <w:t xml:space="preserve"> </w:t>
      </w:r>
      <w:r w:rsidR="003C62B2">
        <w:rPr>
          <w:bCs/>
          <w:iCs/>
          <w:sz w:val="22"/>
          <w:szCs w:val="22"/>
          <w:lang w:val="sk-SK"/>
        </w:rPr>
        <w:t>Postinoru-1</w:t>
      </w:r>
      <w:r w:rsidRPr="00D86959">
        <w:rPr>
          <w:bCs/>
          <w:iCs/>
          <w:sz w:val="22"/>
          <w:szCs w:val="22"/>
          <w:lang w:val="sk-SK"/>
        </w:rPr>
        <w:t xml:space="preserve"> sa môže znižovať so zvyšujúcou sa telesnou hmotnosťou alebo zvyšujúcim sa indexom telesnej hmotnosti (BMI) (pozri čas</w:t>
      </w:r>
      <w:r w:rsidR="007B5710">
        <w:rPr>
          <w:bCs/>
          <w:iCs/>
          <w:sz w:val="22"/>
          <w:szCs w:val="22"/>
          <w:lang w:val="sk-SK"/>
        </w:rPr>
        <w:t>ti</w:t>
      </w:r>
      <w:r w:rsidRPr="00D86959">
        <w:rPr>
          <w:bCs/>
          <w:iCs/>
          <w:sz w:val="22"/>
          <w:szCs w:val="22"/>
          <w:lang w:val="sk-SK"/>
        </w:rPr>
        <w:t xml:space="preserve"> 5.1</w:t>
      </w:r>
      <w:r w:rsidR="007B5710">
        <w:rPr>
          <w:bCs/>
          <w:iCs/>
          <w:sz w:val="22"/>
          <w:szCs w:val="22"/>
          <w:lang w:val="sk-SK"/>
        </w:rPr>
        <w:t xml:space="preserve"> a 5.2</w:t>
      </w:r>
      <w:r w:rsidRPr="00D86959">
        <w:rPr>
          <w:bCs/>
          <w:iCs/>
          <w:sz w:val="22"/>
          <w:szCs w:val="22"/>
          <w:lang w:val="sk-SK"/>
        </w:rPr>
        <w:t>). Všetky ženy majú užiť núdzovú antikoncepciu, akonáhle je to možné po nechránenom pohlavnom styku, bez ohľadu na telesnú hmotnosť ženy alebo BMI.</w:t>
      </w:r>
    </w:p>
    <w:p w:rsidR="005E4AB2" w:rsidRPr="0065581A" w:rsidRDefault="005E4AB2" w:rsidP="00F17397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 xml:space="preserve">Levonorgestrel nie je taký účinný ako konvenčné pravidelné </w:t>
      </w:r>
      <w:r w:rsidR="00F75799">
        <w:rPr>
          <w:sz w:val="22"/>
          <w:szCs w:val="22"/>
          <w:lang w:val="sk-SK"/>
        </w:rPr>
        <w:t>antikoncepčné</w:t>
      </w:r>
      <w:r w:rsidRPr="0065581A">
        <w:rPr>
          <w:sz w:val="22"/>
          <w:szCs w:val="22"/>
          <w:lang w:val="sk-SK"/>
        </w:rPr>
        <w:t xml:space="preserve"> metódy a je vhodný iba </w:t>
      </w:r>
      <w:r w:rsidR="00CA2D8C">
        <w:rPr>
          <w:sz w:val="22"/>
          <w:szCs w:val="22"/>
          <w:lang w:val="sk-SK"/>
        </w:rPr>
        <w:t>ako</w:t>
      </w:r>
      <w:r w:rsidR="00CA2D8C" w:rsidRPr="0065581A">
        <w:rPr>
          <w:sz w:val="22"/>
          <w:szCs w:val="22"/>
          <w:lang w:val="sk-SK"/>
        </w:rPr>
        <w:t xml:space="preserve"> </w:t>
      </w:r>
      <w:r w:rsidR="00CA2D8C">
        <w:rPr>
          <w:sz w:val="22"/>
          <w:szCs w:val="22"/>
          <w:lang w:val="sk-SK"/>
        </w:rPr>
        <w:t>núdzové</w:t>
      </w:r>
      <w:r w:rsidR="00CA2D8C" w:rsidRPr="0065581A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 xml:space="preserve">riešenie. Ženám, ktoré opakovane užívajú </w:t>
      </w:r>
      <w:proofErr w:type="spellStart"/>
      <w:r w:rsidRPr="0065581A">
        <w:rPr>
          <w:sz w:val="22"/>
          <w:szCs w:val="22"/>
          <w:lang w:val="sk-SK"/>
        </w:rPr>
        <w:t>postkoitáln</w:t>
      </w:r>
      <w:r w:rsidR="00F75799">
        <w:rPr>
          <w:sz w:val="22"/>
          <w:szCs w:val="22"/>
          <w:lang w:val="sk-SK"/>
        </w:rPr>
        <w:t>u</w:t>
      </w:r>
      <w:proofErr w:type="spellEnd"/>
      <w:r w:rsidR="00717CE5">
        <w:rPr>
          <w:sz w:val="22"/>
          <w:szCs w:val="22"/>
          <w:lang w:val="sk-SK"/>
        </w:rPr>
        <w:t xml:space="preserve"> </w:t>
      </w:r>
      <w:r w:rsidR="00F75799">
        <w:rPr>
          <w:sz w:val="22"/>
          <w:szCs w:val="22"/>
          <w:lang w:val="sk-SK"/>
        </w:rPr>
        <w:t>antikoncepciu</w:t>
      </w:r>
      <w:r w:rsidRPr="0065581A">
        <w:rPr>
          <w:sz w:val="22"/>
          <w:szCs w:val="22"/>
          <w:lang w:val="sk-SK"/>
        </w:rPr>
        <w:t xml:space="preserve">, sa má poradiť, aby zvážili dlhodobé metódy </w:t>
      </w:r>
      <w:r w:rsidR="00F75799">
        <w:rPr>
          <w:sz w:val="22"/>
          <w:szCs w:val="22"/>
          <w:lang w:val="sk-SK"/>
        </w:rPr>
        <w:t>antikoncepcie</w:t>
      </w:r>
      <w:r w:rsidRPr="0065581A">
        <w:rPr>
          <w:sz w:val="22"/>
          <w:szCs w:val="22"/>
          <w:lang w:val="sk-SK"/>
        </w:rPr>
        <w:t>.</w:t>
      </w:r>
    </w:p>
    <w:p w:rsidR="00A05BBF" w:rsidRDefault="00A05BBF" w:rsidP="00F17397">
      <w:pPr>
        <w:rPr>
          <w:sz w:val="22"/>
          <w:szCs w:val="22"/>
          <w:lang w:val="sk-SK"/>
        </w:rPr>
      </w:pPr>
    </w:p>
    <w:p w:rsidR="005E4AB2" w:rsidRPr="0065581A" w:rsidRDefault="005E4AB2" w:rsidP="00F17397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lastRenderedPageBreak/>
        <w:t xml:space="preserve">Použitie </w:t>
      </w:r>
      <w:proofErr w:type="spellStart"/>
      <w:r w:rsidRPr="0065581A">
        <w:rPr>
          <w:sz w:val="22"/>
          <w:szCs w:val="22"/>
          <w:lang w:val="sk-SK"/>
        </w:rPr>
        <w:t>postkoitálne</w:t>
      </w:r>
      <w:r w:rsidR="00F75799">
        <w:rPr>
          <w:sz w:val="22"/>
          <w:szCs w:val="22"/>
          <w:lang w:val="sk-SK"/>
        </w:rPr>
        <w:t>j</w:t>
      </w:r>
      <w:proofErr w:type="spellEnd"/>
      <w:r w:rsidR="00F75799">
        <w:rPr>
          <w:sz w:val="22"/>
          <w:szCs w:val="22"/>
          <w:lang w:val="sk-SK"/>
        </w:rPr>
        <w:t xml:space="preserve"> antikoncepcie</w:t>
      </w:r>
      <w:r w:rsidRPr="0065581A">
        <w:rPr>
          <w:sz w:val="22"/>
          <w:szCs w:val="22"/>
          <w:lang w:val="sk-SK"/>
        </w:rPr>
        <w:t xml:space="preserve"> nenahrádza nevyhnutné opatrenia voči pohlavne prenosným chorobám.</w:t>
      </w:r>
    </w:p>
    <w:p w:rsidR="005E4AB2" w:rsidRPr="0065581A" w:rsidRDefault="005E4AB2" w:rsidP="00F17397">
      <w:pPr>
        <w:rPr>
          <w:sz w:val="22"/>
          <w:szCs w:val="22"/>
          <w:lang w:val="sk-SK"/>
        </w:rPr>
      </w:pPr>
    </w:p>
    <w:p w:rsidR="005E4AB2" w:rsidRPr="0065581A" w:rsidRDefault="005E4AB2" w:rsidP="00F17397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4.5</w:t>
      </w:r>
      <w:r w:rsidRPr="0065581A">
        <w:rPr>
          <w:b/>
          <w:sz w:val="22"/>
          <w:szCs w:val="22"/>
          <w:lang w:val="sk-SK"/>
        </w:rPr>
        <w:tab/>
        <w:t>Liekové a iné interakcie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4A6946" w:rsidRDefault="00CA2D8C" w:rsidP="00840F41">
      <w:pPr>
        <w:rPr>
          <w:sz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65581A">
        <w:rPr>
          <w:sz w:val="22"/>
          <w:szCs w:val="22"/>
          <w:lang w:val="sk-SK"/>
        </w:rPr>
        <w:t xml:space="preserve"> </w:t>
      </w:r>
      <w:r w:rsidR="005E4AB2" w:rsidRPr="0065581A">
        <w:rPr>
          <w:sz w:val="22"/>
          <w:szCs w:val="22"/>
          <w:lang w:val="sk-SK"/>
        </w:rPr>
        <w:t>užívanie induktorov pečeňových enzýmov</w:t>
      </w:r>
      <w:r>
        <w:rPr>
          <w:sz w:val="22"/>
          <w:szCs w:val="22"/>
          <w:lang w:val="sk-SK"/>
        </w:rPr>
        <w:t xml:space="preserve">, </w:t>
      </w:r>
      <w:r w:rsidRPr="004A6946">
        <w:rPr>
          <w:sz w:val="22"/>
          <w:lang w:val="sk-SK"/>
        </w:rPr>
        <w:t>hlavne induktorov enzým</w:t>
      </w:r>
      <w:r>
        <w:rPr>
          <w:sz w:val="22"/>
          <w:lang w:val="sk-SK"/>
        </w:rPr>
        <w:t>u</w:t>
      </w:r>
      <w:r w:rsidRPr="004A6946">
        <w:rPr>
          <w:sz w:val="22"/>
          <w:lang w:val="sk-SK"/>
        </w:rPr>
        <w:t xml:space="preserve"> CYP3A4</w:t>
      </w:r>
      <w:r>
        <w:rPr>
          <w:sz w:val="22"/>
          <w:lang w:val="sk-SK"/>
        </w:rPr>
        <w:t>,</w:t>
      </w:r>
      <w:r w:rsidR="005E4AB2" w:rsidRPr="0065581A">
        <w:rPr>
          <w:sz w:val="22"/>
          <w:szCs w:val="22"/>
          <w:lang w:val="sk-SK"/>
        </w:rPr>
        <w:t xml:space="preserve"> urýchľuje metabolizmus </w:t>
      </w:r>
      <w:proofErr w:type="spellStart"/>
      <w:r w:rsidR="005E4AB2" w:rsidRPr="0065581A">
        <w:rPr>
          <w:sz w:val="22"/>
          <w:szCs w:val="22"/>
          <w:lang w:val="sk-SK"/>
        </w:rPr>
        <w:t>levonorgestrelu</w:t>
      </w:r>
      <w:proofErr w:type="spellEnd"/>
      <w:r w:rsidR="00A05BBF" w:rsidRPr="004A6946">
        <w:rPr>
          <w:sz w:val="22"/>
          <w:lang w:val="sk-SK"/>
        </w:rPr>
        <w:t xml:space="preserve">. Zistilo sa, že </w:t>
      </w:r>
      <w:r>
        <w:rPr>
          <w:sz w:val="22"/>
          <w:lang w:val="sk-SK"/>
        </w:rPr>
        <w:t>súbežné</w:t>
      </w:r>
      <w:r w:rsidRPr="004A6946">
        <w:rPr>
          <w:sz w:val="22"/>
          <w:lang w:val="sk-SK"/>
        </w:rPr>
        <w:t xml:space="preserve"> </w:t>
      </w:r>
      <w:r w:rsidR="00A05BBF" w:rsidRPr="004A6946">
        <w:rPr>
          <w:sz w:val="22"/>
          <w:lang w:val="sk-SK"/>
        </w:rPr>
        <w:t xml:space="preserve">podávanie </w:t>
      </w:r>
      <w:proofErr w:type="spellStart"/>
      <w:r w:rsidR="00A05BBF" w:rsidRPr="004A6946">
        <w:rPr>
          <w:sz w:val="22"/>
          <w:lang w:val="sk-SK"/>
        </w:rPr>
        <w:t>efavirenzu</w:t>
      </w:r>
      <w:proofErr w:type="spellEnd"/>
      <w:r w:rsidR="00A05BBF" w:rsidRPr="004A6946">
        <w:rPr>
          <w:sz w:val="22"/>
          <w:lang w:val="sk-SK"/>
        </w:rPr>
        <w:t xml:space="preserve"> znižuje plazmatické koncentrácie levonorgestrelu (AUC) približne o 50</w:t>
      </w:r>
      <w:r>
        <w:rPr>
          <w:sz w:val="22"/>
          <w:lang w:val="sk-SK"/>
        </w:rPr>
        <w:t> </w:t>
      </w:r>
      <w:r w:rsidR="00A05BBF" w:rsidRPr="004A6946">
        <w:rPr>
          <w:rFonts w:eastAsia="Verdana"/>
          <w:sz w:val="22"/>
          <w:szCs w:val="22"/>
          <w:lang w:val="sk-SK" w:eastAsia="en-GB"/>
        </w:rPr>
        <w:t>%</w:t>
      </w:r>
      <w:r w:rsidR="005E4AB2" w:rsidRPr="004A6946">
        <w:rPr>
          <w:sz w:val="22"/>
          <w:szCs w:val="22"/>
          <w:lang w:val="sk-SK"/>
        </w:rPr>
        <w:t>.</w:t>
      </w:r>
      <w:r w:rsidR="005E4AB2" w:rsidRPr="004A6946">
        <w:rPr>
          <w:sz w:val="22"/>
          <w:lang w:val="sk-SK"/>
        </w:rPr>
        <w:t xml:space="preserve"> </w:t>
      </w:r>
    </w:p>
    <w:p w:rsidR="00A05BBF" w:rsidRPr="004A6946" w:rsidRDefault="00A05BBF" w:rsidP="00840F41">
      <w:pPr>
        <w:rPr>
          <w:sz w:val="22"/>
          <w:lang w:val="sk-SK"/>
        </w:rPr>
      </w:pPr>
    </w:p>
    <w:p w:rsidR="00A05BBF" w:rsidRPr="004A6946" w:rsidRDefault="005E4AB2" w:rsidP="00840F41">
      <w:pPr>
        <w:rPr>
          <w:sz w:val="22"/>
          <w:lang w:val="sk-SK"/>
        </w:rPr>
      </w:pPr>
      <w:r w:rsidRPr="004A6946">
        <w:rPr>
          <w:sz w:val="22"/>
          <w:lang w:val="sk-SK"/>
        </w:rPr>
        <w:t xml:space="preserve">Medzi lieky, o ktorých sa predpokladá, že </w:t>
      </w:r>
      <w:r w:rsidR="00A05BBF" w:rsidRPr="004A6946">
        <w:rPr>
          <w:sz w:val="22"/>
          <w:lang w:val="sk-SK"/>
        </w:rPr>
        <w:t>majú podobnú schopnosť</w:t>
      </w:r>
      <w:r w:rsidRPr="004A6946">
        <w:rPr>
          <w:sz w:val="22"/>
          <w:lang w:val="sk-SK"/>
        </w:rPr>
        <w:t xml:space="preserve"> </w:t>
      </w:r>
      <w:r w:rsidR="00A05BBF" w:rsidRPr="004A6946">
        <w:rPr>
          <w:sz w:val="22"/>
          <w:lang w:val="sk-SK"/>
        </w:rPr>
        <w:t>znižovať plazmatické koncentrácie</w:t>
      </w:r>
      <w:r w:rsidRPr="004A6946">
        <w:rPr>
          <w:sz w:val="22"/>
          <w:lang w:val="sk-SK"/>
        </w:rPr>
        <w:t xml:space="preserve"> levonorgestrelu, patria barbituráty (vrátane primidónu), fenytoín, karbamazepín, rastlinné prípravky obsahujúce </w:t>
      </w:r>
      <w:r w:rsidRPr="004A6946">
        <w:rPr>
          <w:i/>
          <w:sz w:val="22"/>
          <w:lang w:val="sk-SK"/>
        </w:rPr>
        <w:t xml:space="preserve">Hypericum perforatum </w:t>
      </w:r>
      <w:r w:rsidRPr="004A6946">
        <w:rPr>
          <w:sz w:val="22"/>
          <w:lang w:val="sk-SK"/>
        </w:rPr>
        <w:t>(ľubovník bodkovaný), rifampicín, ritonavir, rifabutín</w:t>
      </w:r>
      <w:r w:rsidR="00A05BBF" w:rsidRPr="004A6946">
        <w:rPr>
          <w:sz w:val="22"/>
          <w:lang w:val="sk-SK"/>
        </w:rPr>
        <w:t xml:space="preserve"> a</w:t>
      </w:r>
      <w:r w:rsidRPr="004A6946">
        <w:rPr>
          <w:sz w:val="22"/>
          <w:lang w:val="sk-SK"/>
        </w:rPr>
        <w:t xml:space="preserve"> grizeofulvín. </w:t>
      </w:r>
    </w:p>
    <w:p w:rsidR="00A05BBF" w:rsidRPr="004A6946" w:rsidRDefault="00A05BBF" w:rsidP="00A05BBF">
      <w:pPr>
        <w:rPr>
          <w:sz w:val="22"/>
          <w:lang w:val="sk-SK"/>
        </w:rPr>
      </w:pPr>
    </w:p>
    <w:p w:rsidR="00A05BBF" w:rsidRPr="004A6946" w:rsidRDefault="00A05BBF" w:rsidP="00A05BBF">
      <w:pPr>
        <w:rPr>
          <w:rFonts w:eastAsia="Verdana"/>
          <w:sz w:val="22"/>
          <w:szCs w:val="22"/>
          <w:lang w:val="sk-SK" w:eastAsia="en-GB"/>
        </w:rPr>
      </w:pPr>
      <w:r w:rsidRPr="004A6946">
        <w:rPr>
          <w:sz w:val="22"/>
          <w:lang w:val="sk-SK"/>
        </w:rPr>
        <w:t xml:space="preserve">U žien, ktoré používali počas posledných 4 týždňov lieky indukujúce enzýmy a potrebujú </w:t>
      </w:r>
      <w:proofErr w:type="spellStart"/>
      <w:r w:rsidRPr="004A6946">
        <w:rPr>
          <w:sz w:val="22"/>
          <w:lang w:val="sk-SK"/>
        </w:rPr>
        <w:t>postkoitáln</w:t>
      </w:r>
      <w:r w:rsidR="001359D4">
        <w:rPr>
          <w:sz w:val="22"/>
          <w:lang w:val="sk-SK"/>
        </w:rPr>
        <w:t>u</w:t>
      </w:r>
      <w:proofErr w:type="spellEnd"/>
      <w:r w:rsidR="001359D4">
        <w:rPr>
          <w:sz w:val="22"/>
          <w:lang w:val="sk-SK"/>
        </w:rPr>
        <w:t xml:space="preserve"> antikoncepciu</w:t>
      </w:r>
      <w:r w:rsidRPr="004A6946">
        <w:rPr>
          <w:sz w:val="22"/>
          <w:lang w:val="sk-SK"/>
        </w:rPr>
        <w:t>, sa má zvážiť použitie nehormonálne</w:t>
      </w:r>
      <w:r w:rsidR="001359D4">
        <w:rPr>
          <w:sz w:val="22"/>
          <w:lang w:val="sk-SK"/>
        </w:rPr>
        <w:t>j</w:t>
      </w:r>
      <w:r w:rsidRPr="004A6946">
        <w:rPr>
          <w:sz w:val="22"/>
          <w:lang w:val="sk-SK"/>
        </w:rPr>
        <w:t xml:space="preserve"> </w:t>
      </w:r>
      <w:proofErr w:type="spellStart"/>
      <w:r w:rsidRPr="004A6946">
        <w:rPr>
          <w:sz w:val="22"/>
          <w:lang w:val="sk-SK"/>
        </w:rPr>
        <w:t>postkoitálne</w:t>
      </w:r>
      <w:r w:rsidR="001359D4">
        <w:rPr>
          <w:sz w:val="22"/>
          <w:lang w:val="sk-SK"/>
        </w:rPr>
        <w:t>j</w:t>
      </w:r>
      <w:proofErr w:type="spellEnd"/>
      <w:r w:rsidR="001359D4">
        <w:rPr>
          <w:sz w:val="22"/>
          <w:lang w:val="sk-SK"/>
        </w:rPr>
        <w:t xml:space="preserve"> antikoncepcie</w:t>
      </w:r>
      <w:r w:rsidRPr="004A6946">
        <w:rPr>
          <w:sz w:val="22"/>
          <w:lang w:val="sk-SK"/>
        </w:rPr>
        <w:t xml:space="preserve"> (napr. intrauterinného telieska s meďou). Užitie dvojitej dávky levonorgestrelu (t.j. 3</w:t>
      </w:r>
      <w:r w:rsidR="00CA2D8C">
        <w:rPr>
          <w:sz w:val="22"/>
          <w:lang w:val="sk-SK"/>
        </w:rPr>
        <w:t> </w:t>
      </w:r>
      <w:r w:rsidRPr="004A6946">
        <w:rPr>
          <w:sz w:val="22"/>
          <w:lang w:val="sk-SK"/>
        </w:rPr>
        <w:t xml:space="preserve">000 </w:t>
      </w:r>
      <w:proofErr w:type="spellStart"/>
      <w:r w:rsidRPr="004A6946">
        <w:rPr>
          <w:sz w:val="22"/>
          <w:lang w:val="sk-SK"/>
        </w:rPr>
        <w:t>mikrogramov</w:t>
      </w:r>
      <w:proofErr w:type="spellEnd"/>
      <w:r w:rsidRPr="004A6946">
        <w:rPr>
          <w:sz w:val="22"/>
          <w:lang w:val="sk-SK"/>
        </w:rPr>
        <w:t xml:space="preserve"> v priebehu 72 hodín po nechránenom pohlavnom styku) je možnosťou voľby pre ženy, ktoré nemôžu alebo nechcú použiť intrauterinné teliesko s meďou, hoci sa táto špecifická kombinácia (dvojitá dávka </w:t>
      </w:r>
      <w:proofErr w:type="spellStart"/>
      <w:r w:rsidRPr="004A6946">
        <w:rPr>
          <w:sz w:val="22"/>
          <w:lang w:val="sk-SK"/>
        </w:rPr>
        <w:t>levonorgestrelu</w:t>
      </w:r>
      <w:proofErr w:type="spellEnd"/>
      <w:r w:rsidRPr="004A6946">
        <w:rPr>
          <w:sz w:val="22"/>
          <w:lang w:val="sk-SK"/>
        </w:rPr>
        <w:t xml:space="preserve"> počas </w:t>
      </w:r>
      <w:r w:rsidR="00CA2D8C">
        <w:rPr>
          <w:sz w:val="22"/>
          <w:lang w:val="sk-SK"/>
        </w:rPr>
        <w:t>súbežného</w:t>
      </w:r>
      <w:r w:rsidR="00CA2D8C" w:rsidRPr="004A6946">
        <w:rPr>
          <w:sz w:val="22"/>
          <w:lang w:val="sk-SK"/>
        </w:rPr>
        <w:t xml:space="preserve"> </w:t>
      </w:r>
      <w:r w:rsidRPr="004A6946">
        <w:rPr>
          <w:sz w:val="22"/>
          <w:lang w:val="sk-SK"/>
        </w:rPr>
        <w:t>použitia enzýmového induktora) neskúmala.</w:t>
      </w:r>
    </w:p>
    <w:p w:rsidR="00A05BBF" w:rsidRDefault="00A05BBF" w:rsidP="00840F41">
      <w:pPr>
        <w:rPr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Lieky obsahujúce levonorgestrel môžu zvýšiť riziko toxicity cyklosporínu vzhľadom na možnú inhibíciu metabolizmu cyklosporínu.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2D3670">
      <w:pPr>
        <w:rPr>
          <w:sz w:val="22"/>
          <w:szCs w:val="22"/>
          <w:lang w:val="sk-SK"/>
        </w:rPr>
      </w:pPr>
      <w:r w:rsidRPr="00942832">
        <w:rPr>
          <w:sz w:val="22"/>
          <w:szCs w:val="22"/>
          <w:lang w:val="sk-SK"/>
        </w:rPr>
        <w:t>Ženy, ktoré užívajú tieto lieky, sa majú poradiť so svojím lekárom.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F17397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4.6</w:t>
      </w:r>
      <w:r w:rsidRPr="0065581A">
        <w:rPr>
          <w:b/>
          <w:sz w:val="22"/>
          <w:szCs w:val="22"/>
          <w:lang w:val="sk-SK"/>
        </w:rPr>
        <w:tab/>
      </w:r>
      <w:r w:rsidR="00BB0FF3">
        <w:rPr>
          <w:b/>
          <w:sz w:val="22"/>
          <w:szCs w:val="22"/>
          <w:lang w:val="sk-SK"/>
        </w:rPr>
        <w:t>Fertilita, g</w:t>
      </w:r>
      <w:r w:rsidRPr="0065581A">
        <w:rPr>
          <w:b/>
          <w:sz w:val="22"/>
          <w:szCs w:val="22"/>
          <w:lang w:val="sk-SK"/>
        </w:rPr>
        <w:t>ravidita a laktácia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4A6946" w:rsidRDefault="005E4AB2" w:rsidP="00840F41">
      <w:pPr>
        <w:rPr>
          <w:sz w:val="22"/>
          <w:u w:val="single"/>
          <w:lang w:val="sk-SK"/>
        </w:rPr>
      </w:pPr>
      <w:r w:rsidRPr="004A6946">
        <w:rPr>
          <w:sz w:val="22"/>
          <w:u w:val="single"/>
          <w:lang w:val="sk-SK"/>
        </w:rPr>
        <w:t>Gravidita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 xml:space="preserve">Levonorgestrel sa </w:t>
      </w:r>
      <w:r w:rsidR="004E1928" w:rsidRPr="0065581A">
        <w:rPr>
          <w:sz w:val="22"/>
          <w:szCs w:val="22"/>
          <w:lang w:val="sk-SK"/>
        </w:rPr>
        <w:t>ne</w:t>
      </w:r>
      <w:r w:rsidR="004E1928">
        <w:rPr>
          <w:sz w:val="22"/>
          <w:szCs w:val="22"/>
          <w:lang w:val="sk-SK"/>
        </w:rPr>
        <w:t>má</w:t>
      </w:r>
      <w:r w:rsidR="004E1928" w:rsidRPr="0065581A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podávať tehotným ženám. Nepreruší graviditu. V prípade pokračujúceho tehotenstva obmedzené epidemiologické údaje nenaznačujú žiadne nežiaduce účinky na plod, ale nie sú k dispozícii žiadne klinické údaje o možných dôsledkoch v prípade užitia dávok vyšších ako 1,5</w:t>
      </w:r>
      <w:r w:rsidR="00BF5191">
        <w:rPr>
          <w:sz w:val="22"/>
          <w:szCs w:val="22"/>
          <w:lang w:val="sk-SK"/>
        </w:rPr>
        <w:t> </w:t>
      </w:r>
      <w:r w:rsidRPr="0065581A">
        <w:rPr>
          <w:sz w:val="22"/>
          <w:szCs w:val="22"/>
          <w:lang w:val="sk-SK"/>
        </w:rPr>
        <w:t xml:space="preserve">mg </w:t>
      </w:r>
      <w:proofErr w:type="spellStart"/>
      <w:r w:rsidRPr="0065581A">
        <w:rPr>
          <w:sz w:val="22"/>
          <w:szCs w:val="22"/>
          <w:lang w:val="sk-SK"/>
        </w:rPr>
        <w:t>levonorgestrelu</w:t>
      </w:r>
      <w:proofErr w:type="spellEnd"/>
      <w:r w:rsidRPr="0065581A">
        <w:rPr>
          <w:sz w:val="22"/>
          <w:szCs w:val="22"/>
          <w:lang w:val="sk-SK"/>
        </w:rPr>
        <w:t xml:space="preserve"> (pozri časť 5.3).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4A6946" w:rsidRDefault="004E1928" w:rsidP="00840F41">
      <w:pPr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Dojčenie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Levonorgestrel sa vylučuje do materského mlieka. Potenciálnu expozíciu dieťaťa levonorgestrelu možno znížiť, ak dojčiaca žena užije tablet</w:t>
      </w:r>
      <w:r w:rsidR="00F14E13">
        <w:rPr>
          <w:sz w:val="22"/>
          <w:szCs w:val="22"/>
          <w:lang w:val="sk-SK"/>
        </w:rPr>
        <w:t>u</w:t>
      </w:r>
      <w:r w:rsidRPr="0065581A">
        <w:rPr>
          <w:sz w:val="22"/>
          <w:szCs w:val="22"/>
          <w:lang w:val="sk-SK"/>
        </w:rPr>
        <w:t xml:space="preserve"> ihneď po dojčení a dojčenie po podaní levonorgestrelu preruší aspoň na 8 hodín.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4A6946" w:rsidRDefault="005E4AB2" w:rsidP="00840F41">
      <w:pPr>
        <w:rPr>
          <w:sz w:val="22"/>
          <w:u w:val="single"/>
          <w:lang w:val="sk-SK"/>
        </w:rPr>
      </w:pPr>
      <w:r w:rsidRPr="004A6946">
        <w:rPr>
          <w:sz w:val="22"/>
          <w:u w:val="single"/>
          <w:lang w:val="sk-SK"/>
        </w:rPr>
        <w:t>Fertilita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A136B">
        <w:rPr>
          <w:sz w:val="22"/>
          <w:szCs w:val="22"/>
          <w:lang w:val="sk-SK"/>
        </w:rPr>
        <w:t>Levonorgestrel zvyšuje možnosť porúch cyklu, ktoré niekedy môžu viesť k skoršiemu alebo neskoršiemu dátumu ovulácie. Tieto zmeny môžu mať za následok</w:t>
      </w:r>
      <w:r w:rsidR="009E4D80" w:rsidRPr="006A136B">
        <w:rPr>
          <w:sz w:val="22"/>
          <w:szCs w:val="22"/>
          <w:lang w:val="sk-SK"/>
        </w:rPr>
        <w:t xml:space="preserve"> </w:t>
      </w:r>
      <w:r w:rsidRPr="006A136B">
        <w:rPr>
          <w:sz w:val="22"/>
          <w:szCs w:val="22"/>
          <w:lang w:val="sk-SK"/>
        </w:rPr>
        <w:t>modifikované obdobie</w:t>
      </w:r>
      <w:r w:rsidR="009E4D80" w:rsidRPr="006A136B">
        <w:rPr>
          <w:sz w:val="22"/>
          <w:szCs w:val="22"/>
          <w:lang w:val="sk-SK"/>
        </w:rPr>
        <w:t xml:space="preserve"> </w:t>
      </w:r>
      <w:r w:rsidRPr="006A136B">
        <w:rPr>
          <w:sz w:val="22"/>
          <w:szCs w:val="22"/>
          <w:lang w:val="sk-SK"/>
        </w:rPr>
        <w:t>fertility, avšak z dlhodobého hľadiska nie sú k dispozícii žiadne údaje o fertilite.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057BB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4.7</w:t>
      </w:r>
      <w:r w:rsidRPr="0065581A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Neuskutočnili sa žiadne štúdie o účinku na schopnosť viesť vozidlá a obsluhovať stroje.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057BB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4.8</w:t>
      </w:r>
      <w:r w:rsidRPr="0065581A">
        <w:rPr>
          <w:b/>
          <w:sz w:val="22"/>
          <w:szCs w:val="22"/>
          <w:lang w:val="sk-SK"/>
        </w:rPr>
        <w:tab/>
        <w:t>Nežiaduce účinky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pStyle w:val="Zkladntext"/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 xml:space="preserve">Najčastejšie hláseným nežiaducim účinkom bola nevoľnosť. </w:t>
      </w:r>
    </w:p>
    <w:p w:rsidR="005E4AB2" w:rsidRPr="0065581A" w:rsidRDefault="005E4AB2" w:rsidP="00840F41">
      <w:pPr>
        <w:pStyle w:val="Zkladntext"/>
        <w:rPr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2942"/>
        <w:gridCol w:w="2942"/>
      </w:tblGrid>
      <w:tr w:rsidR="005E4AB2" w:rsidRPr="0065581A" w:rsidTr="00EC53C0">
        <w:trPr>
          <w:cantSplit/>
        </w:trPr>
        <w:tc>
          <w:tcPr>
            <w:tcW w:w="1806" w:type="pct"/>
            <w:vMerge w:val="restart"/>
            <w:shd w:val="clear" w:color="auto" w:fill="D9D9D9"/>
            <w:vAlign w:val="center"/>
          </w:tcPr>
          <w:p w:rsidR="005E4AB2" w:rsidRPr="0065581A" w:rsidRDefault="005E4AB2" w:rsidP="00057BB2">
            <w:pPr>
              <w:rPr>
                <w:b/>
                <w:sz w:val="22"/>
                <w:szCs w:val="22"/>
                <w:lang w:val="sk-SK"/>
              </w:rPr>
            </w:pPr>
            <w:r w:rsidRPr="0065581A">
              <w:rPr>
                <w:b/>
                <w:sz w:val="22"/>
                <w:szCs w:val="22"/>
                <w:lang w:val="sk-SK"/>
              </w:rPr>
              <w:t xml:space="preserve">Trieda orgánových systémov MedDRA </w:t>
            </w:r>
            <w:r w:rsidR="00FF6D54" w:rsidRPr="00A442B4">
              <w:rPr>
                <w:b/>
                <w:sz w:val="22"/>
                <w:szCs w:val="22"/>
                <w:lang w:val="sk-SK"/>
              </w:rPr>
              <w:t>17.0</w:t>
            </w:r>
          </w:p>
        </w:tc>
        <w:tc>
          <w:tcPr>
            <w:tcW w:w="3194" w:type="pct"/>
            <w:gridSpan w:val="2"/>
            <w:shd w:val="clear" w:color="auto" w:fill="D9D9D9"/>
          </w:tcPr>
          <w:p w:rsidR="005E4AB2" w:rsidRPr="0065581A" w:rsidRDefault="005E4AB2" w:rsidP="00057BB2">
            <w:pPr>
              <w:rPr>
                <w:b/>
                <w:sz w:val="22"/>
                <w:szCs w:val="22"/>
                <w:lang w:val="sk-SK"/>
              </w:rPr>
            </w:pPr>
            <w:r w:rsidRPr="0065581A">
              <w:rPr>
                <w:b/>
                <w:sz w:val="22"/>
                <w:szCs w:val="22"/>
                <w:lang w:val="sk-SK"/>
              </w:rPr>
              <w:t>Frekvencia</w:t>
            </w:r>
            <w:r w:rsidR="006A136B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65581A">
              <w:rPr>
                <w:b/>
                <w:sz w:val="22"/>
                <w:szCs w:val="22"/>
                <w:lang w:val="sk-SK"/>
              </w:rPr>
              <w:t>výskytu nežiaducich účinkov</w:t>
            </w:r>
          </w:p>
        </w:tc>
      </w:tr>
      <w:tr w:rsidR="005E4AB2" w:rsidRPr="0065581A" w:rsidTr="00EC53C0">
        <w:tc>
          <w:tcPr>
            <w:tcW w:w="1806" w:type="pct"/>
            <w:vMerge/>
            <w:shd w:val="clear" w:color="auto" w:fill="D9D9D9"/>
          </w:tcPr>
          <w:p w:rsidR="005E4AB2" w:rsidRPr="0065581A" w:rsidRDefault="005E4AB2" w:rsidP="00EC53C0">
            <w:pPr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597" w:type="pct"/>
            <w:shd w:val="clear" w:color="auto" w:fill="D9D9D9"/>
          </w:tcPr>
          <w:p w:rsidR="005E4AB2" w:rsidRPr="004A6946" w:rsidRDefault="005E4AB2" w:rsidP="00EC53C0">
            <w:pPr>
              <w:rPr>
                <w:b/>
                <w:sz w:val="22"/>
                <w:szCs w:val="22"/>
                <w:highlight w:val="lightGray"/>
                <w:lang w:val="sk-SK"/>
              </w:rPr>
            </w:pPr>
            <w:r w:rsidRPr="004A6946">
              <w:rPr>
                <w:b/>
                <w:sz w:val="22"/>
                <w:szCs w:val="22"/>
                <w:highlight w:val="lightGray"/>
                <w:lang w:val="sk-SK"/>
              </w:rPr>
              <w:t>Veľmi časté</w:t>
            </w:r>
          </w:p>
          <w:p w:rsidR="005E4AB2" w:rsidRPr="004A6946" w:rsidRDefault="005E4AB2" w:rsidP="00EC53C0">
            <w:pPr>
              <w:rPr>
                <w:b/>
                <w:sz w:val="22"/>
                <w:szCs w:val="22"/>
                <w:highlight w:val="lightGray"/>
                <w:lang w:val="sk-SK"/>
              </w:rPr>
            </w:pPr>
            <w:r w:rsidRPr="004A6946">
              <w:rPr>
                <w:sz w:val="22"/>
                <w:highlight w:val="lightGray"/>
                <w:lang w:val="sk-SK"/>
              </w:rPr>
              <w:t>(</w:t>
            </w:r>
            <w:r w:rsidRPr="004A6946">
              <w:rPr>
                <w:sz w:val="22"/>
                <w:highlight w:val="lightGray"/>
                <w:u w:val="single"/>
                <w:lang w:val="sk-SK"/>
              </w:rPr>
              <w:t>&gt;</w:t>
            </w:r>
            <w:r w:rsidRPr="004A6946">
              <w:rPr>
                <w:sz w:val="22"/>
                <w:szCs w:val="22"/>
                <w:highlight w:val="lightGray"/>
                <w:lang w:val="sk-SK"/>
              </w:rPr>
              <w:t>1</w:t>
            </w:r>
            <w:r w:rsidR="00D07629" w:rsidRPr="004A6946">
              <w:rPr>
                <w:sz w:val="22"/>
                <w:szCs w:val="22"/>
                <w:highlight w:val="lightGray"/>
                <w:lang w:val="sk-SK"/>
              </w:rPr>
              <w:t>/</w:t>
            </w:r>
            <w:r w:rsidRPr="004A6946">
              <w:rPr>
                <w:sz w:val="22"/>
                <w:highlight w:val="lightGray"/>
                <w:lang w:val="sk-SK"/>
              </w:rPr>
              <w:t>10)</w:t>
            </w:r>
          </w:p>
        </w:tc>
        <w:tc>
          <w:tcPr>
            <w:tcW w:w="1597" w:type="pct"/>
            <w:shd w:val="clear" w:color="auto" w:fill="D9D9D9"/>
          </w:tcPr>
          <w:p w:rsidR="005E4AB2" w:rsidRPr="004A6946" w:rsidRDefault="005E4AB2" w:rsidP="00EC53C0">
            <w:pPr>
              <w:rPr>
                <w:b/>
                <w:sz w:val="22"/>
                <w:szCs w:val="22"/>
                <w:highlight w:val="lightGray"/>
                <w:lang w:val="sk-SK"/>
              </w:rPr>
            </w:pPr>
            <w:r w:rsidRPr="004A6946">
              <w:rPr>
                <w:b/>
                <w:sz w:val="22"/>
                <w:szCs w:val="22"/>
                <w:highlight w:val="lightGray"/>
                <w:lang w:val="sk-SK"/>
              </w:rPr>
              <w:t>Časté</w:t>
            </w:r>
          </w:p>
          <w:p w:rsidR="005E4AB2" w:rsidRPr="004A6946" w:rsidRDefault="005E4AB2" w:rsidP="00057BB2">
            <w:pPr>
              <w:rPr>
                <w:b/>
                <w:sz w:val="22"/>
                <w:szCs w:val="22"/>
                <w:highlight w:val="lightGray"/>
                <w:lang w:val="sk-SK"/>
              </w:rPr>
            </w:pPr>
            <w:r w:rsidRPr="004A6946">
              <w:rPr>
                <w:sz w:val="22"/>
                <w:highlight w:val="lightGray"/>
                <w:lang w:val="sk-SK"/>
              </w:rPr>
              <w:t>(</w:t>
            </w:r>
            <w:r w:rsidRPr="004A6946">
              <w:rPr>
                <w:sz w:val="22"/>
                <w:highlight w:val="lightGray"/>
                <w:u w:val="single"/>
                <w:lang w:val="sk-SK"/>
              </w:rPr>
              <w:t>&gt;</w:t>
            </w:r>
            <w:r w:rsidRPr="004A6946">
              <w:rPr>
                <w:sz w:val="22"/>
                <w:highlight w:val="lightGray"/>
                <w:lang w:val="sk-SK"/>
              </w:rPr>
              <w:t>1</w:t>
            </w:r>
            <w:r w:rsidR="00D07629" w:rsidRPr="004A6946">
              <w:rPr>
                <w:sz w:val="22"/>
                <w:szCs w:val="22"/>
                <w:highlight w:val="lightGray"/>
                <w:lang w:val="sk-SK"/>
              </w:rPr>
              <w:t>/100</w:t>
            </w:r>
            <w:r w:rsidRPr="004A6946">
              <w:rPr>
                <w:sz w:val="22"/>
                <w:highlight w:val="lightGray"/>
                <w:lang w:val="sk-SK"/>
              </w:rPr>
              <w:t xml:space="preserve"> až &lt; </w:t>
            </w:r>
            <w:r w:rsidR="00D07629" w:rsidRPr="004A6946">
              <w:rPr>
                <w:sz w:val="22"/>
                <w:szCs w:val="22"/>
                <w:highlight w:val="lightGray"/>
                <w:lang w:val="sk-SK"/>
              </w:rPr>
              <w:t>1/</w:t>
            </w:r>
            <w:r w:rsidRPr="004A6946">
              <w:rPr>
                <w:sz w:val="22"/>
                <w:highlight w:val="lightGray"/>
                <w:lang w:val="sk-SK"/>
              </w:rPr>
              <w:t>10)</w:t>
            </w:r>
          </w:p>
        </w:tc>
      </w:tr>
      <w:tr w:rsidR="005E4AB2" w:rsidRPr="0065581A" w:rsidTr="00EC53C0">
        <w:tc>
          <w:tcPr>
            <w:tcW w:w="1806" w:type="pct"/>
          </w:tcPr>
          <w:p w:rsidR="005E4AB2" w:rsidRPr="0065581A" w:rsidRDefault="005E4AB2" w:rsidP="004D5C5D">
            <w:pPr>
              <w:rPr>
                <w:b/>
                <w:sz w:val="22"/>
                <w:szCs w:val="22"/>
                <w:lang w:val="sk-SK"/>
              </w:rPr>
            </w:pPr>
            <w:r w:rsidRPr="0065581A">
              <w:rPr>
                <w:b/>
                <w:sz w:val="22"/>
                <w:szCs w:val="22"/>
                <w:lang w:val="sk-SK"/>
              </w:rPr>
              <w:lastRenderedPageBreak/>
              <w:t>Poruchy nervového systému</w:t>
            </w:r>
          </w:p>
        </w:tc>
        <w:tc>
          <w:tcPr>
            <w:tcW w:w="1597" w:type="pct"/>
          </w:tcPr>
          <w:p w:rsidR="005E4AB2" w:rsidRPr="0065581A" w:rsidRDefault="005E4AB2" w:rsidP="00057BB2">
            <w:pPr>
              <w:rPr>
                <w:b/>
                <w:sz w:val="22"/>
                <w:szCs w:val="22"/>
                <w:lang w:val="sk-SK"/>
              </w:rPr>
            </w:pPr>
            <w:r w:rsidRPr="0065581A">
              <w:rPr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597" w:type="pct"/>
          </w:tcPr>
          <w:p w:rsidR="005E4AB2" w:rsidRPr="0065581A" w:rsidRDefault="005E4AB2" w:rsidP="00EC53C0">
            <w:pPr>
              <w:rPr>
                <w:sz w:val="22"/>
                <w:szCs w:val="22"/>
                <w:lang w:val="sk-SK"/>
              </w:rPr>
            </w:pPr>
            <w:r w:rsidRPr="0065581A">
              <w:rPr>
                <w:sz w:val="22"/>
                <w:szCs w:val="22"/>
                <w:lang w:val="sk-SK"/>
              </w:rPr>
              <w:t>Závraty</w:t>
            </w:r>
          </w:p>
          <w:p w:rsidR="005E4AB2" w:rsidRPr="0065581A" w:rsidRDefault="005E4AB2" w:rsidP="00EC53C0">
            <w:pPr>
              <w:rPr>
                <w:sz w:val="22"/>
                <w:szCs w:val="22"/>
                <w:lang w:val="sk-SK"/>
              </w:rPr>
            </w:pPr>
          </w:p>
        </w:tc>
      </w:tr>
      <w:tr w:rsidR="005E4AB2" w:rsidRPr="0065581A" w:rsidTr="00EC53C0">
        <w:tc>
          <w:tcPr>
            <w:tcW w:w="1806" w:type="pct"/>
          </w:tcPr>
          <w:p w:rsidR="005E4AB2" w:rsidRPr="0065581A" w:rsidRDefault="005E4AB2" w:rsidP="004D5C5D">
            <w:pPr>
              <w:rPr>
                <w:b/>
                <w:sz w:val="22"/>
                <w:szCs w:val="22"/>
                <w:lang w:val="sk-SK"/>
              </w:rPr>
            </w:pPr>
            <w:r w:rsidRPr="0065581A">
              <w:rPr>
                <w:b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1597" w:type="pct"/>
          </w:tcPr>
          <w:p w:rsidR="005E4AB2" w:rsidRPr="0065581A" w:rsidRDefault="005E4AB2" w:rsidP="00EC53C0">
            <w:pPr>
              <w:rPr>
                <w:sz w:val="22"/>
                <w:szCs w:val="22"/>
                <w:lang w:val="sk-SK"/>
              </w:rPr>
            </w:pPr>
            <w:r w:rsidRPr="0065581A">
              <w:rPr>
                <w:sz w:val="22"/>
                <w:szCs w:val="22"/>
                <w:lang w:val="sk-SK"/>
              </w:rPr>
              <w:t>Nauzea</w:t>
            </w:r>
          </w:p>
          <w:p w:rsidR="005E4AB2" w:rsidRPr="0065581A" w:rsidRDefault="005E4AB2" w:rsidP="00BF5191">
            <w:pPr>
              <w:rPr>
                <w:b/>
                <w:sz w:val="22"/>
                <w:szCs w:val="22"/>
                <w:lang w:val="sk-SK"/>
              </w:rPr>
            </w:pPr>
            <w:r w:rsidRPr="0065581A">
              <w:rPr>
                <w:sz w:val="22"/>
                <w:szCs w:val="22"/>
                <w:lang w:val="sk-SK"/>
              </w:rPr>
              <w:t>Bolesť v</w:t>
            </w:r>
            <w:r w:rsidR="00BF5191">
              <w:rPr>
                <w:sz w:val="22"/>
                <w:szCs w:val="22"/>
                <w:lang w:val="sk-SK"/>
              </w:rPr>
              <w:t> dolnej časti brucha</w:t>
            </w:r>
          </w:p>
        </w:tc>
        <w:tc>
          <w:tcPr>
            <w:tcW w:w="1597" w:type="pct"/>
          </w:tcPr>
          <w:p w:rsidR="005E4AB2" w:rsidRPr="0065581A" w:rsidRDefault="005E4AB2" w:rsidP="00EC53C0">
            <w:pPr>
              <w:rPr>
                <w:sz w:val="22"/>
                <w:szCs w:val="22"/>
                <w:lang w:val="sk-SK"/>
              </w:rPr>
            </w:pPr>
            <w:r w:rsidRPr="0065581A">
              <w:rPr>
                <w:sz w:val="22"/>
                <w:szCs w:val="22"/>
                <w:lang w:val="sk-SK"/>
              </w:rPr>
              <w:t>Hnačka</w:t>
            </w:r>
          </w:p>
          <w:p w:rsidR="005E4AB2" w:rsidRPr="0065581A" w:rsidRDefault="005E4AB2" w:rsidP="00057BB2">
            <w:pPr>
              <w:rPr>
                <w:sz w:val="22"/>
                <w:szCs w:val="22"/>
                <w:lang w:val="sk-SK"/>
              </w:rPr>
            </w:pPr>
            <w:r w:rsidRPr="0065581A">
              <w:rPr>
                <w:sz w:val="22"/>
                <w:szCs w:val="22"/>
                <w:lang w:val="sk-SK"/>
              </w:rPr>
              <w:t>Vracanie</w:t>
            </w:r>
          </w:p>
        </w:tc>
      </w:tr>
      <w:tr w:rsidR="005E4AB2" w:rsidRPr="004A6946" w:rsidTr="00EC53C0">
        <w:tc>
          <w:tcPr>
            <w:tcW w:w="1806" w:type="pct"/>
          </w:tcPr>
          <w:p w:rsidR="005E4AB2" w:rsidRPr="0065581A" w:rsidRDefault="005E4AB2" w:rsidP="00EC53C0">
            <w:pPr>
              <w:rPr>
                <w:b/>
                <w:sz w:val="22"/>
                <w:szCs w:val="22"/>
                <w:lang w:val="sk-SK"/>
              </w:rPr>
            </w:pPr>
            <w:r w:rsidRPr="0065581A">
              <w:rPr>
                <w:b/>
                <w:sz w:val="22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1597" w:type="pct"/>
          </w:tcPr>
          <w:p w:rsidR="005E4AB2" w:rsidRPr="0065581A" w:rsidRDefault="005E4AB2" w:rsidP="00EC53C0">
            <w:pPr>
              <w:rPr>
                <w:b/>
                <w:sz w:val="22"/>
                <w:szCs w:val="22"/>
                <w:lang w:val="sk-SK"/>
              </w:rPr>
            </w:pPr>
            <w:r w:rsidRPr="0065581A">
              <w:rPr>
                <w:sz w:val="22"/>
                <w:szCs w:val="22"/>
                <w:lang w:val="sk-SK"/>
              </w:rPr>
              <w:t>Krvácanie nesúvisiace s menštruáciou*</w:t>
            </w:r>
          </w:p>
        </w:tc>
        <w:tc>
          <w:tcPr>
            <w:tcW w:w="1597" w:type="pct"/>
          </w:tcPr>
          <w:p w:rsidR="005E4AB2" w:rsidRPr="0065581A" w:rsidRDefault="005E4AB2" w:rsidP="00EC53C0">
            <w:pPr>
              <w:rPr>
                <w:sz w:val="22"/>
                <w:szCs w:val="22"/>
                <w:lang w:val="sk-SK"/>
              </w:rPr>
            </w:pPr>
            <w:r w:rsidRPr="0065581A">
              <w:rPr>
                <w:sz w:val="22"/>
                <w:szCs w:val="22"/>
                <w:lang w:val="sk-SK"/>
              </w:rPr>
              <w:t>Meškanie menštruácie viac ako 7 dní**</w:t>
            </w:r>
          </w:p>
          <w:p w:rsidR="005E4AB2" w:rsidRPr="0065581A" w:rsidRDefault="005E4AB2" w:rsidP="00EC53C0">
            <w:pPr>
              <w:rPr>
                <w:sz w:val="22"/>
                <w:szCs w:val="22"/>
                <w:lang w:val="sk-SK"/>
              </w:rPr>
            </w:pPr>
            <w:r w:rsidRPr="0065581A">
              <w:rPr>
                <w:sz w:val="22"/>
                <w:szCs w:val="22"/>
                <w:lang w:val="sk-SK"/>
              </w:rPr>
              <w:t>Nepravidelná menštruácia</w:t>
            </w:r>
          </w:p>
          <w:p w:rsidR="005E4AB2" w:rsidRPr="0065581A" w:rsidRDefault="005E4AB2" w:rsidP="00EC53C0">
            <w:pPr>
              <w:rPr>
                <w:sz w:val="22"/>
                <w:szCs w:val="22"/>
                <w:lang w:val="sk-SK"/>
              </w:rPr>
            </w:pPr>
            <w:r w:rsidRPr="0065581A">
              <w:rPr>
                <w:sz w:val="22"/>
                <w:szCs w:val="22"/>
                <w:lang w:val="sk-SK"/>
              </w:rPr>
              <w:t xml:space="preserve">Napätie v prsníkoch </w:t>
            </w:r>
          </w:p>
        </w:tc>
      </w:tr>
      <w:tr w:rsidR="005E4AB2" w:rsidRPr="0065581A" w:rsidTr="00EC53C0">
        <w:tc>
          <w:tcPr>
            <w:tcW w:w="1806" w:type="pct"/>
          </w:tcPr>
          <w:p w:rsidR="005E4AB2" w:rsidRPr="0065581A" w:rsidRDefault="005E4AB2" w:rsidP="004E1928">
            <w:pPr>
              <w:rPr>
                <w:b/>
                <w:sz w:val="22"/>
                <w:szCs w:val="22"/>
                <w:lang w:val="sk-SK"/>
              </w:rPr>
            </w:pPr>
            <w:r w:rsidRPr="0065581A">
              <w:rPr>
                <w:b/>
                <w:sz w:val="22"/>
                <w:szCs w:val="22"/>
                <w:lang w:val="sk-SK"/>
              </w:rPr>
              <w:t xml:space="preserve">Celkové </w:t>
            </w:r>
            <w:r w:rsidR="004E1928">
              <w:rPr>
                <w:b/>
                <w:sz w:val="22"/>
                <w:szCs w:val="22"/>
                <w:lang w:val="sk-SK"/>
              </w:rPr>
              <w:t>poruchy</w:t>
            </w:r>
            <w:r w:rsidR="004E1928" w:rsidRPr="0065581A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65581A">
              <w:rPr>
                <w:b/>
                <w:sz w:val="22"/>
                <w:szCs w:val="22"/>
                <w:lang w:val="sk-SK"/>
              </w:rPr>
              <w:t>a reakcie v mieste podania</w:t>
            </w:r>
          </w:p>
        </w:tc>
        <w:tc>
          <w:tcPr>
            <w:tcW w:w="1597" w:type="pct"/>
          </w:tcPr>
          <w:p w:rsidR="005E4AB2" w:rsidRPr="0065581A" w:rsidRDefault="005E4AB2" w:rsidP="00057BB2">
            <w:pPr>
              <w:rPr>
                <w:b/>
                <w:sz w:val="22"/>
                <w:szCs w:val="22"/>
                <w:lang w:val="sk-SK"/>
              </w:rPr>
            </w:pPr>
            <w:r w:rsidRPr="0065581A">
              <w:rPr>
                <w:sz w:val="22"/>
                <w:szCs w:val="22"/>
                <w:lang w:val="sk-SK"/>
              </w:rPr>
              <w:t>Únava</w:t>
            </w:r>
          </w:p>
        </w:tc>
        <w:tc>
          <w:tcPr>
            <w:tcW w:w="1597" w:type="pct"/>
          </w:tcPr>
          <w:p w:rsidR="005E4AB2" w:rsidRPr="0065581A" w:rsidRDefault="005E4AB2" w:rsidP="00EC53C0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 xml:space="preserve">*Charakter krvácania sa môže dočasne narušiť, ale väčšina žien bude mať nasledujúcu menštruáciu v rozmedzí 5-7 dní od očakávaného času. 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 xml:space="preserve">**Ak sa oneskorí nástup </w:t>
      </w:r>
      <w:r w:rsidR="00BF5191">
        <w:rPr>
          <w:sz w:val="22"/>
          <w:szCs w:val="22"/>
          <w:lang w:val="sk-SK"/>
        </w:rPr>
        <w:t xml:space="preserve">nasledujúcej </w:t>
      </w:r>
      <w:r w:rsidRPr="0065581A">
        <w:rPr>
          <w:sz w:val="22"/>
          <w:szCs w:val="22"/>
          <w:lang w:val="sk-SK"/>
        </w:rPr>
        <w:t>menštruácie o viac ako 5 dní, má sa vylúčiť možná gravidita.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840F41">
      <w:pPr>
        <w:rPr>
          <w:i/>
          <w:sz w:val="22"/>
          <w:szCs w:val="22"/>
          <w:lang w:val="sk-SK"/>
        </w:rPr>
      </w:pPr>
      <w:r w:rsidRPr="0065581A">
        <w:rPr>
          <w:i/>
          <w:sz w:val="22"/>
          <w:szCs w:val="22"/>
          <w:lang w:val="sk-SK"/>
        </w:rPr>
        <w:t xml:space="preserve">Okrem toho z postmarketingového sledovania boli hlásené tieto nežiaduce </w:t>
      </w:r>
      <w:r w:rsidR="00BF5191">
        <w:rPr>
          <w:i/>
          <w:sz w:val="22"/>
          <w:szCs w:val="22"/>
          <w:lang w:val="sk-SK"/>
        </w:rPr>
        <w:t>udalosti</w:t>
      </w:r>
      <w:r w:rsidRPr="0065581A">
        <w:rPr>
          <w:i/>
          <w:sz w:val="22"/>
          <w:szCs w:val="22"/>
          <w:lang w:val="sk-SK"/>
        </w:rPr>
        <w:t>:</w:t>
      </w:r>
    </w:p>
    <w:p w:rsidR="005E4AB2" w:rsidRPr="0065581A" w:rsidRDefault="005E4AB2" w:rsidP="00840F41">
      <w:pPr>
        <w:rPr>
          <w:i/>
          <w:sz w:val="22"/>
          <w:szCs w:val="22"/>
          <w:lang w:val="sk-SK"/>
        </w:rPr>
      </w:pPr>
      <w:r w:rsidRPr="0065581A">
        <w:rPr>
          <w:i/>
          <w:sz w:val="22"/>
          <w:szCs w:val="22"/>
          <w:lang w:val="sk-SK"/>
        </w:rPr>
        <w:t>Poruchy gastrointestinálneho traktu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Veľmi zriedkavé (&lt; 1/10</w:t>
      </w:r>
      <w:r w:rsidR="00344743">
        <w:rPr>
          <w:sz w:val="22"/>
          <w:szCs w:val="22"/>
          <w:lang w:val="sk-SK"/>
        </w:rPr>
        <w:t> </w:t>
      </w:r>
      <w:r w:rsidRPr="0065581A">
        <w:rPr>
          <w:sz w:val="22"/>
          <w:szCs w:val="22"/>
          <w:lang w:val="sk-SK"/>
        </w:rPr>
        <w:t>000): abdominálna bolesť</w:t>
      </w:r>
    </w:p>
    <w:p w:rsidR="005E4AB2" w:rsidRPr="0065581A" w:rsidRDefault="005E4AB2" w:rsidP="00840F41">
      <w:pPr>
        <w:rPr>
          <w:i/>
          <w:sz w:val="22"/>
          <w:szCs w:val="22"/>
          <w:lang w:val="sk-SK"/>
        </w:rPr>
      </w:pPr>
      <w:r w:rsidRPr="0065581A">
        <w:rPr>
          <w:i/>
          <w:sz w:val="22"/>
          <w:szCs w:val="22"/>
          <w:lang w:val="sk-SK"/>
        </w:rPr>
        <w:t>Poruchy kože a podkožného tkaniva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Veľmi zriedkavé (&lt; 1/10</w:t>
      </w:r>
      <w:r w:rsidR="00344743">
        <w:rPr>
          <w:sz w:val="22"/>
          <w:szCs w:val="22"/>
          <w:lang w:val="sk-SK"/>
        </w:rPr>
        <w:t> </w:t>
      </w:r>
      <w:r w:rsidRPr="0065581A">
        <w:rPr>
          <w:sz w:val="22"/>
          <w:szCs w:val="22"/>
          <w:lang w:val="sk-SK"/>
        </w:rPr>
        <w:t>000): vyrážka, žihľavka,</w:t>
      </w:r>
      <w:r w:rsidR="008A3928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svrbenie</w:t>
      </w:r>
    </w:p>
    <w:p w:rsidR="005E4AB2" w:rsidRPr="0065581A" w:rsidRDefault="005E4AB2" w:rsidP="00840F41">
      <w:pPr>
        <w:rPr>
          <w:i/>
          <w:sz w:val="22"/>
          <w:szCs w:val="22"/>
          <w:lang w:val="sk-SK"/>
        </w:rPr>
      </w:pPr>
      <w:r w:rsidRPr="0065581A">
        <w:rPr>
          <w:i/>
          <w:sz w:val="22"/>
          <w:szCs w:val="22"/>
          <w:lang w:val="sk-SK"/>
        </w:rPr>
        <w:t>Poruchy</w:t>
      </w:r>
      <w:r w:rsidR="006A136B">
        <w:rPr>
          <w:i/>
          <w:sz w:val="22"/>
          <w:szCs w:val="22"/>
          <w:lang w:val="sk-SK"/>
        </w:rPr>
        <w:t xml:space="preserve"> </w:t>
      </w:r>
      <w:r w:rsidRPr="0065581A">
        <w:rPr>
          <w:i/>
          <w:sz w:val="22"/>
          <w:szCs w:val="22"/>
          <w:lang w:val="sk-SK"/>
        </w:rPr>
        <w:t>reprodukčného</w:t>
      </w:r>
      <w:r w:rsidR="006A136B">
        <w:rPr>
          <w:i/>
          <w:sz w:val="22"/>
          <w:szCs w:val="22"/>
          <w:lang w:val="sk-SK"/>
        </w:rPr>
        <w:t xml:space="preserve"> </w:t>
      </w:r>
      <w:r w:rsidRPr="0065581A">
        <w:rPr>
          <w:i/>
          <w:sz w:val="22"/>
          <w:szCs w:val="22"/>
          <w:lang w:val="sk-SK"/>
        </w:rPr>
        <w:t>systému</w:t>
      </w:r>
      <w:r w:rsidR="006A136B">
        <w:rPr>
          <w:i/>
          <w:sz w:val="22"/>
          <w:szCs w:val="22"/>
          <w:lang w:val="sk-SK"/>
        </w:rPr>
        <w:t xml:space="preserve"> </w:t>
      </w:r>
      <w:r w:rsidRPr="0065581A">
        <w:rPr>
          <w:i/>
          <w:sz w:val="22"/>
          <w:szCs w:val="22"/>
          <w:lang w:val="sk-SK"/>
        </w:rPr>
        <w:t>a</w:t>
      </w:r>
      <w:r w:rsidR="006A136B">
        <w:rPr>
          <w:i/>
          <w:sz w:val="22"/>
          <w:szCs w:val="22"/>
          <w:lang w:val="sk-SK"/>
        </w:rPr>
        <w:t xml:space="preserve"> </w:t>
      </w:r>
      <w:r w:rsidRPr="0065581A">
        <w:rPr>
          <w:i/>
          <w:sz w:val="22"/>
          <w:szCs w:val="22"/>
          <w:lang w:val="sk-SK"/>
        </w:rPr>
        <w:t>prsníkov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Veľmi</w:t>
      </w:r>
      <w:r w:rsidR="006A136B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zriedkavé (&lt;1/10</w:t>
      </w:r>
      <w:r w:rsidR="00344743">
        <w:rPr>
          <w:sz w:val="22"/>
          <w:szCs w:val="22"/>
          <w:lang w:val="sk-SK"/>
        </w:rPr>
        <w:t> </w:t>
      </w:r>
      <w:r w:rsidRPr="0065581A">
        <w:rPr>
          <w:sz w:val="22"/>
          <w:szCs w:val="22"/>
          <w:lang w:val="sk-SK"/>
        </w:rPr>
        <w:t>000): panvová bolesť,</w:t>
      </w:r>
      <w:r w:rsidR="006A136B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dysmenorea</w:t>
      </w:r>
    </w:p>
    <w:p w:rsidR="005E4AB2" w:rsidRPr="0065581A" w:rsidRDefault="005E4AB2" w:rsidP="00840F41">
      <w:pPr>
        <w:rPr>
          <w:i/>
          <w:sz w:val="22"/>
          <w:szCs w:val="22"/>
          <w:lang w:val="sk-SK"/>
        </w:rPr>
      </w:pPr>
      <w:r w:rsidRPr="0065581A">
        <w:rPr>
          <w:i/>
          <w:sz w:val="22"/>
          <w:szCs w:val="22"/>
          <w:lang w:val="sk-SK"/>
        </w:rPr>
        <w:t>Celkové</w:t>
      </w:r>
      <w:r w:rsidR="006A136B">
        <w:rPr>
          <w:i/>
          <w:sz w:val="22"/>
          <w:szCs w:val="22"/>
          <w:lang w:val="sk-SK"/>
        </w:rPr>
        <w:t xml:space="preserve"> </w:t>
      </w:r>
      <w:r w:rsidRPr="0065581A">
        <w:rPr>
          <w:i/>
          <w:sz w:val="22"/>
          <w:szCs w:val="22"/>
          <w:lang w:val="sk-SK"/>
        </w:rPr>
        <w:t>poruchy a</w:t>
      </w:r>
      <w:r w:rsidR="006A136B">
        <w:rPr>
          <w:i/>
          <w:sz w:val="22"/>
          <w:szCs w:val="22"/>
          <w:lang w:val="sk-SK"/>
        </w:rPr>
        <w:t xml:space="preserve"> </w:t>
      </w:r>
      <w:r w:rsidRPr="0065581A">
        <w:rPr>
          <w:i/>
          <w:sz w:val="22"/>
          <w:szCs w:val="22"/>
          <w:lang w:val="sk-SK"/>
        </w:rPr>
        <w:t>reakcie v</w:t>
      </w:r>
      <w:r w:rsidR="00344743">
        <w:rPr>
          <w:i/>
          <w:sz w:val="22"/>
          <w:szCs w:val="22"/>
          <w:lang w:val="sk-SK"/>
        </w:rPr>
        <w:t xml:space="preserve"> </w:t>
      </w:r>
      <w:r w:rsidRPr="0065581A">
        <w:rPr>
          <w:i/>
          <w:sz w:val="22"/>
          <w:szCs w:val="22"/>
          <w:lang w:val="sk-SK"/>
        </w:rPr>
        <w:t>mieste podania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Veľmi</w:t>
      </w:r>
      <w:r w:rsidR="006A136B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zriedkavé (&lt;1/10</w:t>
      </w:r>
      <w:r w:rsidR="00344743">
        <w:rPr>
          <w:sz w:val="22"/>
          <w:szCs w:val="22"/>
          <w:lang w:val="sk-SK"/>
        </w:rPr>
        <w:t> </w:t>
      </w:r>
      <w:r w:rsidRPr="0065581A">
        <w:rPr>
          <w:sz w:val="22"/>
          <w:szCs w:val="22"/>
          <w:lang w:val="sk-SK"/>
        </w:rPr>
        <w:t>000):opuch</w:t>
      </w:r>
      <w:r w:rsidR="006A136B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tváre</w:t>
      </w:r>
    </w:p>
    <w:p w:rsidR="005E4AB2" w:rsidRPr="00CB7B73" w:rsidRDefault="005E4AB2" w:rsidP="00840F41">
      <w:pPr>
        <w:rPr>
          <w:sz w:val="22"/>
          <w:lang w:val="sk-SK"/>
        </w:rPr>
      </w:pPr>
    </w:p>
    <w:p w:rsidR="0080300E" w:rsidRPr="00CB7B73" w:rsidRDefault="0080300E" w:rsidP="0080300E">
      <w:pPr>
        <w:suppressLineNumbers/>
        <w:autoSpaceDE w:val="0"/>
        <w:autoSpaceDN w:val="0"/>
        <w:adjustRightInd w:val="0"/>
        <w:rPr>
          <w:sz w:val="22"/>
          <w:u w:val="single"/>
          <w:lang w:val="sk-SK"/>
        </w:rPr>
      </w:pPr>
      <w:r w:rsidRPr="00CB7B73">
        <w:rPr>
          <w:sz w:val="22"/>
          <w:u w:val="single"/>
          <w:lang w:val="sk-SK"/>
        </w:rPr>
        <w:t>Hlásenie podozrení na nežiaduce reakcie</w:t>
      </w:r>
    </w:p>
    <w:p w:rsidR="0080300E" w:rsidRPr="00CB7B73" w:rsidRDefault="0080300E" w:rsidP="0080300E">
      <w:pPr>
        <w:suppressLineNumbers/>
        <w:autoSpaceDE w:val="0"/>
        <w:autoSpaceDN w:val="0"/>
        <w:adjustRightInd w:val="0"/>
        <w:rPr>
          <w:sz w:val="22"/>
          <w:lang w:val="pl-PL"/>
        </w:rPr>
      </w:pPr>
      <w:r w:rsidRPr="00CB7B73">
        <w:rPr>
          <w:sz w:val="22"/>
          <w:lang w:val="pl-PL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CB7B73">
        <w:rPr>
          <w:sz w:val="22"/>
          <w:highlight w:val="lightGray"/>
          <w:lang w:val="pl-PL"/>
        </w:rPr>
        <w:t>národné centrum hlásenia uvedené</w:t>
      </w:r>
      <w:r w:rsidRPr="004A6946">
        <w:rPr>
          <w:sz w:val="22"/>
          <w:highlight w:val="lightGray"/>
          <w:lang w:val="sk-SK"/>
        </w:rPr>
        <w:t xml:space="preserve"> v </w:t>
      </w:r>
      <w:hyperlink r:id="rId15" w:history="1">
        <w:r w:rsidRPr="004A6946">
          <w:rPr>
            <w:rStyle w:val="Hypertextovprepojenie"/>
            <w:sz w:val="22"/>
            <w:highlight w:val="lightGray"/>
            <w:lang w:val="sk-SK"/>
          </w:rPr>
          <w:t>Prílohe V</w:t>
        </w:r>
      </w:hyperlink>
      <w:r w:rsidRPr="004A6946">
        <w:rPr>
          <w:sz w:val="22"/>
          <w:lang w:val="sk-SK"/>
        </w:rPr>
        <w:t>.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9F596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4.9</w:t>
      </w:r>
      <w:r w:rsidRPr="0065581A">
        <w:rPr>
          <w:b/>
          <w:sz w:val="22"/>
          <w:szCs w:val="22"/>
          <w:lang w:val="sk-SK"/>
        </w:rPr>
        <w:tab/>
        <w:t>Predávkovanie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 xml:space="preserve">Po akútnom </w:t>
      </w:r>
      <w:r w:rsidR="000828EC">
        <w:rPr>
          <w:sz w:val="22"/>
          <w:szCs w:val="22"/>
          <w:lang w:val="sk-SK"/>
        </w:rPr>
        <w:t>u</w:t>
      </w:r>
      <w:r w:rsidR="000828EC" w:rsidRPr="0065581A">
        <w:rPr>
          <w:sz w:val="22"/>
          <w:szCs w:val="22"/>
          <w:lang w:val="sk-SK"/>
        </w:rPr>
        <w:t xml:space="preserve">žití </w:t>
      </w:r>
      <w:r w:rsidRPr="0065581A">
        <w:rPr>
          <w:sz w:val="22"/>
          <w:szCs w:val="22"/>
          <w:lang w:val="sk-SK"/>
        </w:rPr>
        <w:t>veľkých dávok peroráln</w:t>
      </w:r>
      <w:r w:rsidR="001359D4">
        <w:rPr>
          <w:sz w:val="22"/>
          <w:szCs w:val="22"/>
          <w:lang w:val="sk-SK"/>
        </w:rPr>
        <w:t>ej antikoncepcie</w:t>
      </w:r>
      <w:r w:rsidRPr="0065581A">
        <w:rPr>
          <w:sz w:val="22"/>
          <w:szCs w:val="22"/>
          <w:lang w:val="sk-SK"/>
        </w:rPr>
        <w:t xml:space="preserve"> neboli hlásené závažné nežiaduce účinky. Predávkovanie môže zapríčiniť nauzeu a môže sa objaviť krvácanie z </w:t>
      </w:r>
      <w:r w:rsidR="000828EC">
        <w:rPr>
          <w:sz w:val="22"/>
          <w:szCs w:val="22"/>
          <w:lang w:val="sk-SK"/>
        </w:rPr>
        <w:t>vysadenia</w:t>
      </w:r>
      <w:r w:rsidRPr="0065581A">
        <w:rPr>
          <w:sz w:val="22"/>
          <w:szCs w:val="22"/>
          <w:lang w:val="sk-SK"/>
        </w:rPr>
        <w:t>. Neexistuje špecifické antidotum a liečba má byť symptomatická.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3A7D01">
      <w:pPr>
        <w:pStyle w:val="ListParagraph1"/>
        <w:numPr>
          <w:ilvl w:val="0"/>
          <w:numId w:val="2"/>
        </w:numPr>
        <w:tabs>
          <w:tab w:val="left" w:pos="567"/>
          <w:tab w:val="num" w:pos="855"/>
        </w:tabs>
        <w:ind w:left="567" w:hanging="567"/>
        <w:rPr>
          <w:b/>
          <w:bCs/>
          <w:caps/>
          <w:snapToGrid w:val="0"/>
          <w:sz w:val="22"/>
          <w:szCs w:val="22"/>
          <w:lang w:val="sk-SK" w:eastAsia="en-US"/>
        </w:rPr>
      </w:pPr>
      <w:r w:rsidRPr="0065581A">
        <w:rPr>
          <w:b/>
          <w:bCs/>
          <w:caps/>
          <w:snapToGrid w:val="0"/>
          <w:sz w:val="22"/>
          <w:szCs w:val="22"/>
          <w:lang w:val="sk-SK" w:eastAsia="en-US"/>
        </w:rPr>
        <w:t>Farmakologické vlastnosti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9F596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5.1</w:t>
      </w:r>
      <w:r w:rsidRPr="0065581A">
        <w:rPr>
          <w:b/>
          <w:sz w:val="22"/>
          <w:szCs w:val="22"/>
          <w:lang w:val="sk-SK"/>
        </w:rPr>
        <w:tab/>
        <w:t>Farmakodynamické vlastnosti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8A3928">
        <w:rPr>
          <w:sz w:val="22"/>
          <w:szCs w:val="22"/>
          <w:lang w:val="sk-SK"/>
        </w:rPr>
        <w:t xml:space="preserve">Farmakoterapeutická skupina: Pohlavné hormóny a modulátory genitálneho systému, </w:t>
      </w:r>
      <w:r w:rsidR="00344743">
        <w:rPr>
          <w:sz w:val="22"/>
          <w:szCs w:val="22"/>
          <w:lang w:val="sk-SK"/>
        </w:rPr>
        <w:t>urgentné</w:t>
      </w:r>
      <w:r w:rsidR="00344743" w:rsidRPr="008A3928">
        <w:rPr>
          <w:sz w:val="22"/>
          <w:szCs w:val="22"/>
          <w:lang w:val="sk-SK"/>
        </w:rPr>
        <w:t xml:space="preserve"> </w:t>
      </w:r>
      <w:r w:rsidRPr="008A3928">
        <w:rPr>
          <w:sz w:val="22"/>
          <w:szCs w:val="22"/>
          <w:lang w:val="sk-SK"/>
        </w:rPr>
        <w:t>kontraceptíva, ATC kód: G03AD01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311B7F" w:rsidRPr="004A6946" w:rsidRDefault="00311B7F" w:rsidP="00311B7F">
      <w:pPr>
        <w:rPr>
          <w:sz w:val="22"/>
          <w:szCs w:val="22"/>
          <w:u w:val="single"/>
          <w:lang w:val="sk-SK"/>
        </w:rPr>
      </w:pPr>
      <w:r w:rsidRPr="004A6946">
        <w:rPr>
          <w:sz w:val="22"/>
          <w:szCs w:val="22"/>
          <w:u w:val="single"/>
          <w:lang w:val="sk-SK"/>
        </w:rPr>
        <w:t>Mechanizmus účinku</w:t>
      </w:r>
    </w:p>
    <w:p w:rsidR="00344743" w:rsidRPr="004A6946" w:rsidRDefault="00344743" w:rsidP="00311B7F">
      <w:pPr>
        <w:rPr>
          <w:sz w:val="22"/>
          <w:szCs w:val="22"/>
          <w:u w:val="single"/>
          <w:lang w:val="sk-SK"/>
        </w:rPr>
      </w:pPr>
    </w:p>
    <w:p w:rsidR="005E4AB2" w:rsidRPr="004A6946" w:rsidRDefault="005E4AB2" w:rsidP="00840F41">
      <w:pPr>
        <w:rPr>
          <w:sz w:val="22"/>
          <w:szCs w:val="22"/>
          <w:lang w:val="sk-SK"/>
        </w:rPr>
      </w:pPr>
      <w:r w:rsidRPr="004A6946">
        <w:rPr>
          <w:sz w:val="22"/>
          <w:szCs w:val="22"/>
          <w:lang w:val="sk-SK"/>
        </w:rPr>
        <w:t xml:space="preserve">Presný spôsob účinku </w:t>
      </w:r>
      <w:proofErr w:type="spellStart"/>
      <w:r w:rsidRPr="004A6946">
        <w:rPr>
          <w:sz w:val="22"/>
          <w:szCs w:val="22"/>
          <w:lang w:val="sk-SK"/>
        </w:rPr>
        <w:t>levonorgestrelu</w:t>
      </w:r>
      <w:proofErr w:type="spellEnd"/>
      <w:r w:rsidRPr="004A6946">
        <w:rPr>
          <w:sz w:val="22"/>
          <w:szCs w:val="22"/>
          <w:lang w:val="sk-SK"/>
        </w:rPr>
        <w:t xml:space="preserve"> ako </w:t>
      </w:r>
      <w:proofErr w:type="spellStart"/>
      <w:r w:rsidRPr="004A6946">
        <w:rPr>
          <w:sz w:val="22"/>
          <w:szCs w:val="22"/>
          <w:lang w:val="sk-SK"/>
        </w:rPr>
        <w:t>postkoitálne</w:t>
      </w:r>
      <w:r w:rsidR="00974A7C">
        <w:rPr>
          <w:sz w:val="22"/>
          <w:szCs w:val="22"/>
          <w:lang w:val="sk-SK"/>
        </w:rPr>
        <w:t>j</w:t>
      </w:r>
      <w:proofErr w:type="spellEnd"/>
      <w:r w:rsidR="00974A7C">
        <w:rPr>
          <w:sz w:val="22"/>
          <w:szCs w:val="22"/>
          <w:lang w:val="sk-SK"/>
        </w:rPr>
        <w:t xml:space="preserve"> antikoncepcie</w:t>
      </w:r>
      <w:r w:rsidRPr="004A6946">
        <w:rPr>
          <w:sz w:val="22"/>
          <w:szCs w:val="22"/>
          <w:lang w:val="sk-SK"/>
        </w:rPr>
        <w:t xml:space="preserve"> nie je známy.</w:t>
      </w:r>
    </w:p>
    <w:p w:rsidR="005E4AB2" w:rsidRPr="004A6946" w:rsidRDefault="005E4AB2" w:rsidP="00840F41">
      <w:pPr>
        <w:rPr>
          <w:sz w:val="22"/>
          <w:szCs w:val="22"/>
          <w:lang w:val="sk-SK"/>
        </w:rPr>
      </w:pPr>
      <w:r w:rsidRPr="004A6946">
        <w:rPr>
          <w:sz w:val="22"/>
          <w:szCs w:val="22"/>
          <w:lang w:val="sk-SK"/>
        </w:rPr>
        <w:t>Pri odporúčanom dávkovaní sa predpokladá, že levonorgestrel pôsobí hlavne prostredníctvom zabránenia ovulácie a oplodnenia, ak sa pohlavný styk uskutočnil v predovulačnej fáze, kedy je pravdepodobnosť oplodnenia najvyššia. Levonorgestrel nie je účinný, pokiaľ sa proces implantácie už začal.</w:t>
      </w:r>
    </w:p>
    <w:p w:rsidR="009820F8" w:rsidRPr="004A6946" w:rsidRDefault="009820F8" w:rsidP="00840F41">
      <w:pPr>
        <w:rPr>
          <w:sz w:val="22"/>
          <w:szCs w:val="22"/>
          <w:lang w:val="sk-SK"/>
        </w:rPr>
      </w:pPr>
    </w:p>
    <w:p w:rsidR="005E4AB2" w:rsidRPr="0065581A" w:rsidRDefault="00311B7F" w:rsidP="00840F41">
      <w:pPr>
        <w:rPr>
          <w:i/>
          <w:sz w:val="22"/>
          <w:szCs w:val="22"/>
          <w:lang w:val="sk-SK"/>
        </w:rPr>
      </w:pPr>
      <w:r w:rsidRPr="004A6946">
        <w:rPr>
          <w:sz w:val="22"/>
          <w:szCs w:val="22"/>
          <w:u w:val="single"/>
          <w:lang w:val="sk-SK"/>
        </w:rPr>
        <w:t>Klinická ú</w:t>
      </w:r>
      <w:r w:rsidR="005E4AB2" w:rsidRPr="004A6946">
        <w:rPr>
          <w:sz w:val="22"/>
          <w:szCs w:val="22"/>
          <w:u w:val="single"/>
          <w:lang w:val="sk-SK"/>
        </w:rPr>
        <w:t>činnosť</w:t>
      </w:r>
      <w:r w:rsidRPr="004A6946">
        <w:rPr>
          <w:sz w:val="22"/>
          <w:szCs w:val="22"/>
          <w:u w:val="single"/>
          <w:lang w:val="sk-SK"/>
        </w:rPr>
        <w:t xml:space="preserve"> a bezpečnosť</w:t>
      </w:r>
      <w:r w:rsidR="005E4AB2" w:rsidRPr="0065581A">
        <w:rPr>
          <w:i/>
          <w:sz w:val="22"/>
          <w:szCs w:val="22"/>
          <w:lang w:val="sk-SK"/>
        </w:rPr>
        <w:t xml:space="preserve"> 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E86086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lastRenderedPageBreak/>
        <w:t>Výsledky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randomizovanej,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dvojito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zaslepenej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klinickej štúdie uskutočnenej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v</w:t>
      </w:r>
      <w:r w:rsidR="009E4D80">
        <w:rPr>
          <w:sz w:val="22"/>
          <w:szCs w:val="22"/>
          <w:lang w:val="sk-SK"/>
        </w:rPr>
        <w:t> </w:t>
      </w:r>
      <w:r w:rsidRPr="0065581A">
        <w:rPr>
          <w:sz w:val="22"/>
          <w:szCs w:val="22"/>
          <w:lang w:val="sk-SK"/>
        </w:rPr>
        <w:t>roku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2001</w:t>
      </w:r>
      <w:r w:rsidR="009B70A3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(Lancet</w:t>
      </w:r>
      <w:r w:rsidR="00B6030C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2002;</w:t>
      </w:r>
      <w:r w:rsidR="00B6030C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360:</w:t>
      </w:r>
      <w:r w:rsidR="00B6030C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1803-1810)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ukázali,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že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jednotlivá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dávka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levonorgestrelu 1</w:t>
      </w:r>
      <w:r w:rsidR="00B6030C">
        <w:rPr>
          <w:sz w:val="22"/>
          <w:szCs w:val="22"/>
          <w:lang w:val="sk-SK"/>
        </w:rPr>
        <w:t> </w:t>
      </w:r>
      <w:r w:rsidRPr="0065581A">
        <w:rPr>
          <w:sz w:val="22"/>
          <w:szCs w:val="22"/>
          <w:lang w:val="sk-SK"/>
        </w:rPr>
        <w:t xml:space="preserve">500 </w:t>
      </w:r>
      <w:r w:rsidR="009E4D80">
        <w:rPr>
          <w:sz w:val="22"/>
          <w:szCs w:val="22"/>
          <w:lang w:val="sk-SK"/>
        </w:rPr>
        <w:t>mikrogramov</w:t>
      </w:r>
      <w:r w:rsidRPr="0065581A">
        <w:rPr>
          <w:sz w:val="22"/>
          <w:szCs w:val="22"/>
          <w:lang w:val="sk-SK"/>
        </w:rPr>
        <w:t xml:space="preserve"> (užitá v</w:t>
      </w:r>
      <w:r w:rsidR="009E4D80">
        <w:rPr>
          <w:sz w:val="22"/>
          <w:szCs w:val="22"/>
          <w:lang w:val="sk-SK"/>
        </w:rPr>
        <w:t> </w:t>
      </w:r>
      <w:r w:rsidRPr="0065581A">
        <w:rPr>
          <w:sz w:val="22"/>
          <w:szCs w:val="22"/>
          <w:lang w:val="sk-SK"/>
        </w:rPr>
        <w:t>priebehu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72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hodín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po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nechránenom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pohlavnom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styku)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zabránila 84</w:t>
      </w:r>
      <w:r w:rsidR="00B6030C">
        <w:rPr>
          <w:sz w:val="22"/>
          <w:szCs w:val="22"/>
          <w:lang w:val="sk-SK"/>
        </w:rPr>
        <w:t> </w:t>
      </w:r>
      <w:r w:rsidRPr="0065581A">
        <w:rPr>
          <w:sz w:val="22"/>
          <w:szCs w:val="22"/>
          <w:lang w:val="sk-SK"/>
        </w:rPr>
        <w:t>%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očakávaných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tehotenstiev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(v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porovnaní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s</w:t>
      </w:r>
      <w:r w:rsidR="009E4D80">
        <w:rPr>
          <w:sz w:val="22"/>
          <w:szCs w:val="22"/>
          <w:lang w:val="sk-SK"/>
        </w:rPr>
        <w:t> </w:t>
      </w:r>
      <w:r w:rsidRPr="0065581A">
        <w:rPr>
          <w:sz w:val="22"/>
          <w:szCs w:val="22"/>
          <w:lang w:val="sk-SK"/>
        </w:rPr>
        <w:t>79</w:t>
      </w:r>
      <w:r w:rsidR="00B6030C">
        <w:rPr>
          <w:sz w:val="22"/>
          <w:szCs w:val="22"/>
          <w:lang w:val="sk-SK"/>
        </w:rPr>
        <w:t> </w:t>
      </w:r>
      <w:r w:rsidRPr="0065581A">
        <w:rPr>
          <w:sz w:val="22"/>
          <w:szCs w:val="22"/>
          <w:lang w:val="sk-SK"/>
        </w:rPr>
        <w:t>%,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keď sa užili dve</w:t>
      </w:r>
      <w:r w:rsidR="00BE3872">
        <w:rPr>
          <w:sz w:val="22"/>
          <w:szCs w:val="22"/>
          <w:lang w:val="sk-SK"/>
        </w:rPr>
        <w:t xml:space="preserve"> </w:t>
      </w:r>
      <w:r w:rsidR="00BE3872" w:rsidRPr="0065581A">
        <w:rPr>
          <w:sz w:val="22"/>
          <w:szCs w:val="22"/>
          <w:lang w:val="sk-SK"/>
        </w:rPr>
        <w:t xml:space="preserve">750 </w:t>
      </w:r>
      <w:r w:rsidR="00BE3872">
        <w:rPr>
          <w:sz w:val="22"/>
          <w:szCs w:val="22"/>
          <w:lang w:val="sk-SK"/>
        </w:rPr>
        <w:t>mikrogramové</w:t>
      </w:r>
      <w:r w:rsidR="009E4D80">
        <w:rPr>
          <w:sz w:val="22"/>
          <w:szCs w:val="22"/>
          <w:lang w:val="sk-SK"/>
        </w:rPr>
        <w:t xml:space="preserve"> tablety </w:t>
      </w:r>
      <w:r w:rsidR="00BE3872">
        <w:rPr>
          <w:sz w:val="22"/>
          <w:szCs w:val="22"/>
          <w:lang w:val="sk-SK"/>
        </w:rPr>
        <w:t>s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12</w:t>
      </w:r>
      <w:r w:rsidR="009E4D80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hodin</w:t>
      </w:r>
      <w:r w:rsidR="00BE3872">
        <w:rPr>
          <w:sz w:val="22"/>
          <w:szCs w:val="22"/>
          <w:lang w:val="sk-SK"/>
        </w:rPr>
        <w:t>ovým odstupom</w:t>
      </w:r>
      <w:r w:rsidRPr="00E86086">
        <w:rPr>
          <w:sz w:val="22"/>
          <w:szCs w:val="22"/>
          <w:lang w:val="sk-SK"/>
        </w:rPr>
        <w:t>).</w:t>
      </w:r>
      <w:r w:rsidR="00E86086">
        <w:rPr>
          <w:sz w:val="22"/>
          <w:szCs w:val="22"/>
          <w:lang w:val="sk-SK"/>
        </w:rPr>
        <w:t xml:space="preserve"> </w:t>
      </w:r>
      <w:r w:rsidRPr="00E86086">
        <w:rPr>
          <w:sz w:val="22"/>
          <w:szCs w:val="22"/>
          <w:lang w:val="sk-SK"/>
        </w:rPr>
        <w:t>Rozdiel v množstve gravidít</w:t>
      </w:r>
      <w:r w:rsidR="009E4D80" w:rsidRPr="00E86086">
        <w:rPr>
          <w:sz w:val="22"/>
          <w:szCs w:val="22"/>
          <w:lang w:val="sk-SK"/>
        </w:rPr>
        <w:t xml:space="preserve"> </w:t>
      </w:r>
      <w:r w:rsidRPr="00E86086">
        <w:rPr>
          <w:sz w:val="22"/>
          <w:szCs w:val="22"/>
          <w:lang w:val="sk-SK"/>
        </w:rPr>
        <w:t>u</w:t>
      </w:r>
      <w:r w:rsidR="009E4D80" w:rsidRPr="00E86086">
        <w:rPr>
          <w:sz w:val="22"/>
          <w:szCs w:val="22"/>
          <w:lang w:val="sk-SK"/>
        </w:rPr>
        <w:t xml:space="preserve"> </w:t>
      </w:r>
      <w:r w:rsidRPr="00E86086">
        <w:rPr>
          <w:sz w:val="22"/>
          <w:szCs w:val="22"/>
          <w:lang w:val="sk-SK"/>
        </w:rPr>
        <w:t>žien,</w:t>
      </w:r>
      <w:r w:rsidR="009E4D80" w:rsidRPr="00E86086">
        <w:rPr>
          <w:sz w:val="22"/>
          <w:szCs w:val="22"/>
          <w:lang w:val="sk-SK"/>
        </w:rPr>
        <w:t xml:space="preserve"> </w:t>
      </w:r>
      <w:r w:rsidRPr="00E86086">
        <w:rPr>
          <w:sz w:val="22"/>
          <w:szCs w:val="22"/>
          <w:lang w:val="sk-SK"/>
        </w:rPr>
        <w:t>ktoré</w:t>
      </w:r>
      <w:r w:rsidR="009E4D80" w:rsidRPr="00E86086">
        <w:rPr>
          <w:sz w:val="22"/>
          <w:szCs w:val="22"/>
          <w:lang w:val="sk-SK"/>
        </w:rPr>
        <w:t xml:space="preserve"> </w:t>
      </w:r>
      <w:r w:rsidRPr="00E86086">
        <w:rPr>
          <w:sz w:val="22"/>
          <w:szCs w:val="22"/>
          <w:lang w:val="sk-SK"/>
        </w:rPr>
        <w:t>boli po nechránenom pohlavnom styku liečené</w:t>
      </w:r>
      <w:r w:rsidR="009E4D80" w:rsidRPr="00E86086">
        <w:rPr>
          <w:sz w:val="22"/>
          <w:szCs w:val="22"/>
          <w:lang w:val="sk-SK"/>
        </w:rPr>
        <w:t xml:space="preserve"> </w:t>
      </w:r>
      <w:r w:rsidRPr="00E86086">
        <w:rPr>
          <w:sz w:val="22"/>
          <w:szCs w:val="22"/>
          <w:lang w:val="sk-SK"/>
        </w:rPr>
        <w:t>na</w:t>
      </w:r>
      <w:r w:rsidR="009E4D80" w:rsidRPr="00E86086">
        <w:rPr>
          <w:sz w:val="22"/>
          <w:szCs w:val="22"/>
          <w:lang w:val="sk-SK"/>
        </w:rPr>
        <w:t xml:space="preserve"> </w:t>
      </w:r>
      <w:r w:rsidRPr="00E86086">
        <w:rPr>
          <w:sz w:val="22"/>
          <w:szCs w:val="22"/>
          <w:lang w:val="sk-SK"/>
        </w:rPr>
        <w:t>tretí</w:t>
      </w:r>
      <w:r w:rsidR="009E4D80" w:rsidRPr="00E86086">
        <w:rPr>
          <w:sz w:val="22"/>
          <w:szCs w:val="22"/>
          <w:lang w:val="sk-SK"/>
        </w:rPr>
        <w:t xml:space="preserve"> </w:t>
      </w:r>
      <w:r w:rsidRPr="00E86086">
        <w:rPr>
          <w:sz w:val="22"/>
          <w:szCs w:val="22"/>
          <w:lang w:val="sk-SK"/>
        </w:rPr>
        <w:t>alebo</w:t>
      </w:r>
      <w:r w:rsidR="009E4D80" w:rsidRPr="00E86086">
        <w:rPr>
          <w:sz w:val="22"/>
          <w:szCs w:val="22"/>
          <w:lang w:val="sk-SK"/>
        </w:rPr>
        <w:t xml:space="preserve"> </w:t>
      </w:r>
      <w:r w:rsidRPr="00E86086">
        <w:rPr>
          <w:sz w:val="22"/>
          <w:szCs w:val="22"/>
          <w:lang w:val="sk-SK"/>
        </w:rPr>
        <w:t>štvrtý</w:t>
      </w:r>
      <w:r w:rsidR="009E4D80" w:rsidRPr="00E86086">
        <w:rPr>
          <w:sz w:val="22"/>
          <w:szCs w:val="22"/>
          <w:lang w:val="sk-SK"/>
        </w:rPr>
        <w:t xml:space="preserve"> </w:t>
      </w:r>
      <w:r w:rsidRPr="00E86086">
        <w:rPr>
          <w:sz w:val="22"/>
          <w:szCs w:val="22"/>
          <w:lang w:val="sk-SK"/>
        </w:rPr>
        <w:t>deň, nebol žiaden (p&gt;0,2).</w:t>
      </w:r>
    </w:p>
    <w:p w:rsidR="005E4AB2" w:rsidRDefault="005E4AB2" w:rsidP="005D45C0">
      <w:pPr>
        <w:rPr>
          <w:sz w:val="22"/>
          <w:szCs w:val="22"/>
          <w:lang w:val="sk-SK"/>
        </w:rPr>
      </w:pPr>
    </w:p>
    <w:p w:rsidR="00D86959" w:rsidRPr="00D86959" w:rsidRDefault="00D86959" w:rsidP="00D86959">
      <w:pPr>
        <w:rPr>
          <w:bCs/>
          <w:iCs/>
          <w:sz w:val="22"/>
          <w:szCs w:val="22"/>
          <w:lang w:val="sk-SK"/>
        </w:rPr>
      </w:pPr>
      <w:r w:rsidRPr="00D86959">
        <w:rPr>
          <w:bCs/>
          <w:iCs/>
          <w:sz w:val="22"/>
          <w:szCs w:val="22"/>
          <w:lang w:val="sk-SK"/>
        </w:rPr>
        <w:t xml:space="preserve">Existujú obmedzené a nepresvedčivé údaje o účinku </w:t>
      </w:r>
      <w:r w:rsidR="00EA333E">
        <w:rPr>
          <w:bCs/>
          <w:iCs/>
          <w:sz w:val="22"/>
          <w:szCs w:val="22"/>
          <w:lang w:val="sk-SK"/>
        </w:rPr>
        <w:t>vysokej</w:t>
      </w:r>
      <w:r w:rsidR="00EA333E" w:rsidRPr="00D86959">
        <w:rPr>
          <w:bCs/>
          <w:iCs/>
          <w:sz w:val="22"/>
          <w:szCs w:val="22"/>
          <w:lang w:val="sk-SK"/>
        </w:rPr>
        <w:t xml:space="preserve"> </w:t>
      </w:r>
      <w:r w:rsidRPr="00D86959">
        <w:rPr>
          <w:bCs/>
          <w:iCs/>
          <w:sz w:val="22"/>
          <w:szCs w:val="22"/>
          <w:lang w:val="sk-SK"/>
        </w:rPr>
        <w:t>telesnej hmotnosti/vysokého BMI na účinnosť antikoncepcie. V troch štúdiách WHO sa nepozorovala žiadna tendencia k zníženiu účinnosti so stúpajúcou telesnou hmotnosťou/BMI (</w:t>
      </w:r>
      <w:r w:rsidR="00EA333E">
        <w:rPr>
          <w:bCs/>
          <w:iCs/>
          <w:sz w:val="22"/>
          <w:szCs w:val="22"/>
          <w:lang w:val="sk-SK"/>
        </w:rPr>
        <w:t>t</w:t>
      </w:r>
      <w:r w:rsidRPr="00D86959">
        <w:rPr>
          <w:bCs/>
          <w:iCs/>
          <w:sz w:val="22"/>
          <w:szCs w:val="22"/>
          <w:lang w:val="sk-SK"/>
        </w:rPr>
        <w:t>abuľka 1), pokým v dvoch iných štúdiách (</w:t>
      </w:r>
      <w:proofErr w:type="spellStart"/>
      <w:r w:rsidRPr="00D86959">
        <w:rPr>
          <w:bCs/>
          <w:iCs/>
          <w:sz w:val="22"/>
          <w:szCs w:val="22"/>
          <w:lang w:val="sk-SK"/>
        </w:rPr>
        <w:t>Creinin</w:t>
      </w:r>
      <w:proofErr w:type="spellEnd"/>
      <w:r w:rsidRPr="00D86959">
        <w:rPr>
          <w:bCs/>
          <w:iCs/>
          <w:sz w:val="22"/>
          <w:szCs w:val="22"/>
          <w:lang w:val="sk-SK"/>
        </w:rPr>
        <w:t xml:space="preserve"> a </w:t>
      </w:r>
      <w:r w:rsidR="00EA333E">
        <w:rPr>
          <w:bCs/>
          <w:iCs/>
          <w:sz w:val="22"/>
          <w:szCs w:val="22"/>
          <w:lang w:val="sk-SK"/>
        </w:rPr>
        <w:t>kol</w:t>
      </w:r>
      <w:r w:rsidRPr="00D86959">
        <w:rPr>
          <w:bCs/>
          <w:iCs/>
          <w:sz w:val="22"/>
          <w:szCs w:val="22"/>
          <w:lang w:val="sk-SK"/>
        </w:rPr>
        <w:t xml:space="preserve">., 2006 a </w:t>
      </w:r>
      <w:proofErr w:type="spellStart"/>
      <w:r w:rsidRPr="00D86959">
        <w:rPr>
          <w:bCs/>
          <w:iCs/>
          <w:sz w:val="22"/>
          <w:szCs w:val="22"/>
          <w:lang w:val="sk-SK"/>
        </w:rPr>
        <w:t>Glasier</w:t>
      </w:r>
      <w:proofErr w:type="spellEnd"/>
      <w:r w:rsidRPr="00D86959">
        <w:rPr>
          <w:bCs/>
          <w:iCs/>
          <w:sz w:val="22"/>
          <w:szCs w:val="22"/>
          <w:lang w:val="sk-SK"/>
        </w:rPr>
        <w:t xml:space="preserve"> a </w:t>
      </w:r>
      <w:r w:rsidR="00EA333E">
        <w:rPr>
          <w:bCs/>
          <w:iCs/>
          <w:sz w:val="22"/>
          <w:szCs w:val="22"/>
          <w:lang w:val="sk-SK"/>
        </w:rPr>
        <w:t>kol</w:t>
      </w:r>
      <w:r w:rsidRPr="00D86959">
        <w:rPr>
          <w:bCs/>
          <w:iCs/>
          <w:sz w:val="22"/>
          <w:szCs w:val="22"/>
          <w:lang w:val="sk-SK"/>
        </w:rPr>
        <w:t xml:space="preserve">., 2010) </w:t>
      </w:r>
      <w:r w:rsidR="00EA333E" w:rsidRPr="00D86959">
        <w:rPr>
          <w:bCs/>
          <w:iCs/>
          <w:sz w:val="22"/>
          <w:szCs w:val="22"/>
          <w:lang w:val="sk-SK"/>
        </w:rPr>
        <w:t xml:space="preserve">sa </w:t>
      </w:r>
      <w:r w:rsidRPr="00D86959">
        <w:rPr>
          <w:bCs/>
          <w:iCs/>
          <w:sz w:val="22"/>
          <w:szCs w:val="22"/>
          <w:lang w:val="sk-SK"/>
        </w:rPr>
        <w:t>so zvyšujúcou sa telesnou hmotnosťou alebo BMI pozorovala znížená antikoncepčná účinnosť (</w:t>
      </w:r>
      <w:r w:rsidR="00EA333E">
        <w:rPr>
          <w:bCs/>
          <w:iCs/>
          <w:sz w:val="22"/>
          <w:szCs w:val="22"/>
          <w:lang w:val="sk-SK"/>
        </w:rPr>
        <w:t>t</w:t>
      </w:r>
      <w:r w:rsidRPr="00D86959">
        <w:rPr>
          <w:bCs/>
          <w:iCs/>
          <w:sz w:val="22"/>
          <w:szCs w:val="22"/>
          <w:lang w:val="sk-SK"/>
        </w:rPr>
        <w:t>abuľka 2). Obidve meta-analýzy vylúčili požitie antikoncepcie neskôr ako v priebehu 72 hodín po nechránenom pohlavnom styku (napr. použitie levonorgestrelu mimo schválenej indikácie), ako aj ženy, ktoré mali opakovaný pohlavný styk</w:t>
      </w:r>
      <w:r w:rsidR="007B5710">
        <w:rPr>
          <w:bCs/>
          <w:iCs/>
          <w:sz w:val="22"/>
          <w:szCs w:val="22"/>
          <w:lang w:val="sk-SK"/>
        </w:rPr>
        <w:t xml:space="preserve"> (pre </w:t>
      </w:r>
      <w:proofErr w:type="spellStart"/>
      <w:r w:rsidR="007B5710">
        <w:rPr>
          <w:bCs/>
          <w:iCs/>
          <w:sz w:val="22"/>
          <w:szCs w:val="22"/>
          <w:lang w:val="sk-SK"/>
        </w:rPr>
        <w:t>farmakokinetické</w:t>
      </w:r>
      <w:proofErr w:type="spellEnd"/>
      <w:r w:rsidR="007B5710">
        <w:rPr>
          <w:bCs/>
          <w:iCs/>
          <w:sz w:val="22"/>
          <w:szCs w:val="22"/>
          <w:lang w:val="sk-SK"/>
        </w:rPr>
        <w:t xml:space="preserve"> štúdie u obéznych žien pozri časť 5.2)</w:t>
      </w:r>
      <w:r w:rsidRPr="00D86959">
        <w:rPr>
          <w:bCs/>
          <w:iCs/>
          <w:sz w:val="22"/>
          <w:szCs w:val="22"/>
          <w:lang w:val="sk-SK"/>
        </w:rPr>
        <w:t>.</w:t>
      </w:r>
    </w:p>
    <w:p w:rsidR="00D86959" w:rsidRPr="00D86959" w:rsidRDefault="00D86959" w:rsidP="00D86959">
      <w:pPr>
        <w:rPr>
          <w:sz w:val="22"/>
          <w:szCs w:val="22"/>
          <w:lang w:val="sk-SK"/>
        </w:rPr>
      </w:pPr>
    </w:p>
    <w:p w:rsidR="00D86959" w:rsidRPr="00D86959" w:rsidRDefault="00D86959" w:rsidP="00D86959">
      <w:pPr>
        <w:rPr>
          <w:sz w:val="22"/>
          <w:szCs w:val="22"/>
          <w:lang w:val="sk-SK"/>
        </w:rPr>
      </w:pPr>
      <w:r w:rsidRPr="00D86959">
        <w:rPr>
          <w:sz w:val="22"/>
          <w:szCs w:val="22"/>
          <w:lang w:val="sk-SK"/>
        </w:rPr>
        <w:t xml:space="preserve">Tabuľka 1: Meta-analýza troch štúdií WHO (Von </w:t>
      </w:r>
      <w:proofErr w:type="spellStart"/>
      <w:r w:rsidRPr="00D86959">
        <w:rPr>
          <w:sz w:val="22"/>
          <w:szCs w:val="22"/>
          <w:lang w:val="sk-SK"/>
        </w:rPr>
        <w:t>Hertzen</w:t>
      </w:r>
      <w:proofErr w:type="spellEnd"/>
      <w:r w:rsidRPr="00D86959">
        <w:rPr>
          <w:sz w:val="22"/>
          <w:szCs w:val="22"/>
          <w:lang w:val="sk-SK"/>
        </w:rPr>
        <w:t xml:space="preserve"> a </w:t>
      </w:r>
      <w:r w:rsidR="00EA333E">
        <w:rPr>
          <w:sz w:val="22"/>
          <w:szCs w:val="22"/>
          <w:lang w:val="sk-SK"/>
        </w:rPr>
        <w:t>kol</w:t>
      </w:r>
      <w:r w:rsidRPr="00D86959">
        <w:rPr>
          <w:sz w:val="22"/>
          <w:szCs w:val="22"/>
          <w:lang w:val="sk-SK"/>
        </w:rPr>
        <w:t xml:space="preserve">., 1998 a 2002; </w:t>
      </w:r>
      <w:proofErr w:type="spellStart"/>
      <w:r w:rsidRPr="00D86959">
        <w:rPr>
          <w:sz w:val="22"/>
          <w:szCs w:val="22"/>
          <w:lang w:val="sk-SK"/>
        </w:rPr>
        <w:t>Dada</w:t>
      </w:r>
      <w:proofErr w:type="spellEnd"/>
      <w:r w:rsidRPr="00D86959">
        <w:rPr>
          <w:sz w:val="22"/>
          <w:szCs w:val="22"/>
          <w:lang w:val="sk-SK"/>
        </w:rPr>
        <w:t xml:space="preserve"> a </w:t>
      </w:r>
      <w:r w:rsidR="00EA333E">
        <w:rPr>
          <w:sz w:val="22"/>
          <w:szCs w:val="22"/>
          <w:lang w:val="sk-SK"/>
        </w:rPr>
        <w:t>kol</w:t>
      </w:r>
      <w:r w:rsidRPr="00D86959">
        <w:rPr>
          <w:sz w:val="22"/>
          <w:szCs w:val="22"/>
          <w:lang w:val="sk-SK"/>
        </w:rPr>
        <w:t>., 2010)</w:t>
      </w:r>
    </w:p>
    <w:p w:rsidR="00D86959" w:rsidRPr="00D86959" w:rsidRDefault="00D86959" w:rsidP="00D86959">
      <w:pPr>
        <w:rPr>
          <w:sz w:val="22"/>
          <w:szCs w:val="22"/>
          <w:lang w:val="sk-SK"/>
        </w:rPr>
      </w:pPr>
    </w:p>
    <w:tbl>
      <w:tblPr>
        <w:tblW w:w="0" w:type="auto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547"/>
        <w:gridCol w:w="1426"/>
        <w:gridCol w:w="1427"/>
        <w:gridCol w:w="1427"/>
        <w:gridCol w:w="1427"/>
      </w:tblGrid>
      <w:tr w:rsidR="00D86959" w:rsidRPr="00D86959" w:rsidTr="00B1791E">
        <w:trPr>
          <w:cantSplit/>
          <w:tblHeader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BMI (kg/m</w:t>
            </w:r>
            <w:r w:rsidRPr="00CB7B73">
              <w:rPr>
                <w:b/>
                <w:bCs/>
                <w:sz w:val="22"/>
                <w:szCs w:val="22"/>
                <w:vertAlign w:val="superscript"/>
                <w:lang w:val="sk-SK"/>
              </w:rPr>
              <w:t>2</w:t>
            </w:r>
            <w:r w:rsidRPr="00D86959">
              <w:rPr>
                <w:b/>
                <w:bCs/>
                <w:sz w:val="22"/>
                <w:szCs w:val="22"/>
                <w:lang w:val="sk-SK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Podváha</w:t>
            </w:r>
          </w:p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 xml:space="preserve">0 </w:t>
            </w:r>
            <w:r w:rsidR="008D1FC3">
              <w:rPr>
                <w:b/>
                <w:bCs/>
                <w:sz w:val="22"/>
                <w:szCs w:val="22"/>
                <w:lang w:val="sk-SK"/>
              </w:rPr>
              <w:t>–</w:t>
            </w:r>
            <w:r w:rsidRPr="00D86959">
              <w:rPr>
                <w:b/>
                <w:bCs/>
                <w:sz w:val="22"/>
                <w:szCs w:val="22"/>
                <w:lang w:val="sk-SK"/>
              </w:rPr>
              <w:t xml:space="preserve"> 18</w:t>
            </w:r>
            <w:r w:rsidR="008D1FC3">
              <w:rPr>
                <w:b/>
                <w:bCs/>
                <w:sz w:val="22"/>
                <w:szCs w:val="22"/>
                <w:lang w:val="sk-SK"/>
              </w:rPr>
              <w:t>,</w:t>
            </w:r>
            <w:r w:rsidRPr="00D86959">
              <w:rPr>
                <w:b/>
                <w:bCs/>
                <w:sz w:val="22"/>
                <w:szCs w:val="22"/>
                <w:lang w:val="sk-SK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Normálna hmotnosť</w:t>
            </w:r>
          </w:p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18</w:t>
            </w:r>
            <w:r w:rsidR="008D1FC3">
              <w:rPr>
                <w:b/>
                <w:bCs/>
                <w:sz w:val="22"/>
                <w:szCs w:val="22"/>
                <w:lang w:val="sk-SK"/>
              </w:rPr>
              <w:t>,</w:t>
            </w:r>
            <w:r w:rsidRPr="00D86959">
              <w:rPr>
                <w:b/>
                <w:bCs/>
                <w:sz w:val="22"/>
                <w:szCs w:val="22"/>
                <w:lang w:val="sk-SK"/>
              </w:rPr>
              <w:t>5-25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Nadváha</w:t>
            </w:r>
          </w:p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25-30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Obezita</w:t>
            </w:r>
          </w:p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≥ 30</w:t>
            </w:r>
          </w:p>
        </w:tc>
      </w:tr>
      <w:tr w:rsidR="00D86959" w:rsidRPr="00D86959" w:rsidTr="00B1791E">
        <w:trPr>
          <w:cantSplit/>
        </w:trPr>
        <w:tc>
          <w:tcPr>
            <w:tcW w:w="154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N celkom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600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3</w:t>
            </w:r>
            <w:r w:rsidR="00EA333E">
              <w:rPr>
                <w:sz w:val="22"/>
                <w:szCs w:val="22"/>
                <w:lang w:val="sk-SK"/>
              </w:rPr>
              <w:t> </w:t>
            </w:r>
            <w:r w:rsidRPr="00D86959">
              <w:rPr>
                <w:sz w:val="22"/>
                <w:szCs w:val="22"/>
                <w:lang w:val="sk-SK"/>
              </w:rPr>
              <w:t>952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1</w:t>
            </w:r>
            <w:r w:rsidR="00EA333E">
              <w:rPr>
                <w:sz w:val="22"/>
                <w:szCs w:val="22"/>
                <w:lang w:val="sk-SK"/>
              </w:rPr>
              <w:t> </w:t>
            </w:r>
            <w:r w:rsidRPr="00D86959">
              <w:rPr>
                <w:sz w:val="22"/>
                <w:szCs w:val="22"/>
                <w:lang w:val="sk-SK"/>
              </w:rPr>
              <w:t>051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256</w:t>
            </w:r>
          </w:p>
        </w:tc>
      </w:tr>
      <w:tr w:rsidR="00D86959" w:rsidRPr="00D86959" w:rsidTr="00B1791E">
        <w:trPr>
          <w:cantSplit/>
        </w:trPr>
        <w:tc>
          <w:tcPr>
            <w:tcW w:w="154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N gravidity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11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39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6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3</w:t>
            </w:r>
          </w:p>
        </w:tc>
      </w:tr>
      <w:tr w:rsidR="00D86959" w:rsidRPr="00D86959" w:rsidTr="00B1791E">
        <w:trPr>
          <w:cantSplit/>
        </w:trPr>
        <w:tc>
          <w:tcPr>
            <w:tcW w:w="154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Pomer výskytu gravidít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EA333E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1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83</w:t>
            </w:r>
            <w:r w:rsidR="00EA333E">
              <w:rPr>
                <w:b/>
                <w:sz w:val="22"/>
                <w:szCs w:val="22"/>
                <w:lang w:val="sk-SK"/>
              </w:rPr>
              <w:t> </w:t>
            </w:r>
            <w:r w:rsidRPr="00D86959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EA333E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0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99</w:t>
            </w:r>
            <w:r w:rsidR="00EA333E">
              <w:rPr>
                <w:sz w:val="22"/>
                <w:szCs w:val="22"/>
                <w:lang w:val="sk-SK"/>
              </w:rPr>
              <w:t> </w:t>
            </w:r>
            <w:r w:rsidRPr="00D86959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EA333E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0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57</w:t>
            </w:r>
            <w:r w:rsidR="00EA333E">
              <w:rPr>
                <w:sz w:val="22"/>
                <w:szCs w:val="22"/>
                <w:lang w:val="sk-SK"/>
              </w:rPr>
              <w:t> </w:t>
            </w:r>
            <w:r w:rsidRPr="00D86959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1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17</w:t>
            </w:r>
            <w:r w:rsidR="00EA333E">
              <w:rPr>
                <w:sz w:val="22"/>
                <w:szCs w:val="22"/>
                <w:lang w:val="sk-SK"/>
              </w:rPr>
              <w:t> </w:t>
            </w:r>
            <w:r w:rsidRPr="00D86959">
              <w:rPr>
                <w:sz w:val="22"/>
                <w:szCs w:val="22"/>
                <w:lang w:val="sk-SK"/>
              </w:rPr>
              <w:t>%</w:t>
            </w:r>
          </w:p>
        </w:tc>
      </w:tr>
      <w:tr w:rsidR="00D86959" w:rsidRPr="00D86959" w:rsidTr="00B1791E">
        <w:trPr>
          <w:cantSplit/>
        </w:trPr>
        <w:tc>
          <w:tcPr>
            <w:tcW w:w="15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Interval spoľahlivosti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0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92 – 3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26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0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70 – 1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35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0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21 – 1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24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0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24 – 3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39</w:t>
            </w:r>
          </w:p>
        </w:tc>
      </w:tr>
    </w:tbl>
    <w:p w:rsidR="00D86959" w:rsidRPr="00D86959" w:rsidRDefault="00D86959" w:rsidP="00D86959">
      <w:pPr>
        <w:rPr>
          <w:b/>
          <w:bCs/>
          <w:i/>
          <w:iCs/>
          <w:sz w:val="22"/>
          <w:szCs w:val="22"/>
          <w:lang w:val="sk-SK"/>
        </w:rPr>
      </w:pPr>
    </w:p>
    <w:p w:rsidR="00D86959" w:rsidRPr="00D86959" w:rsidRDefault="00D86959" w:rsidP="00D86959">
      <w:pPr>
        <w:rPr>
          <w:sz w:val="22"/>
          <w:szCs w:val="22"/>
          <w:lang w:val="sk-SK"/>
        </w:rPr>
      </w:pPr>
      <w:r w:rsidRPr="00D86959">
        <w:rPr>
          <w:sz w:val="22"/>
          <w:szCs w:val="22"/>
          <w:lang w:val="sk-SK"/>
        </w:rPr>
        <w:t xml:space="preserve">Tabuľka 2: Meta-analýza štúdií </w:t>
      </w:r>
      <w:proofErr w:type="spellStart"/>
      <w:r w:rsidRPr="00D86959">
        <w:rPr>
          <w:sz w:val="22"/>
          <w:szCs w:val="22"/>
          <w:lang w:val="sk-SK"/>
        </w:rPr>
        <w:t>Creinin</w:t>
      </w:r>
      <w:proofErr w:type="spellEnd"/>
      <w:r w:rsidRPr="00D86959">
        <w:rPr>
          <w:sz w:val="22"/>
          <w:szCs w:val="22"/>
          <w:lang w:val="sk-SK"/>
        </w:rPr>
        <w:t xml:space="preserve"> a </w:t>
      </w:r>
      <w:r w:rsidR="00EA333E">
        <w:rPr>
          <w:sz w:val="22"/>
          <w:szCs w:val="22"/>
          <w:lang w:val="sk-SK"/>
        </w:rPr>
        <w:t>kol</w:t>
      </w:r>
      <w:r w:rsidRPr="00D86959">
        <w:rPr>
          <w:sz w:val="22"/>
          <w:szCs w:val="22"/>
          <w:lang w:val="sk-SK"/>
        </w:rPr>
        <w:t xml:space="preserve">., 2006 a </w:t>
      </w:r>
      <w:proofErr w:type="spellStart"/>
      <w:r w:rsidRPr="00D86959">
        <w:rPr>
          <w:sz w:val="22"/>
          <w:szCs w:val="22"/>
          <w:lang w:val="sk-SK"/>
        </w:rPr>
        <w:t>Glasier</w:t>
      </w:r>
      <w:proofErr w:type="spellEnd"/>
      <w:r w:rsidRPr="00D86959">
        <w:rPr>
          <w:sz w:val="22"/>
          <w:szCs w:val="22"/>
          <w:lang w:val="sk-SK"/>
        </w:rPr>
        <w:t xml:space="preserve"> a </w:t>
      </w:r>
      <w:r w:rsidR="00EA333E">
        <w:rPr>
          <w:sz w:val="22"/>
          <w:szCs w:val="22"/>
          <w:lang w:val="sk-SK"/>
        </w:rPr>
        <w:t>kol</w:t>
      </w:r>
      <w:r w:rsidRPr="00D86959">
        <w:rPr>
          <w:sz w:val="22"/>
          <w:szCs w:val="22"/>
          <w:lang w:val="sk-SK"/>
        </w:rPr>
        <w:t>., 2010</w:t>
      </w:r>
    </w:p>
    <w:p w:rsidR="00D86959" w:rsidRPr="00D86959" w:rsidRDefault="00D86959" w:rsidP="00D86959">
      <w:pPr>
        <w:rPr>
          <w:sz w:val="22"/>
          <w:szCs w:val="22"/>
          <w:lang w:val="sk-SK"/>
        </w:rPr>
      </w:pPr>
    </w:p>
    <w:tbl>
      <w:tblPr>
        <w:tblW w:w="0" w:type="auto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547"/>
        <w:gridCol w:w="1426"/>
        <w:gridCol w:w="1427"/>
        <w:gridCol w:w="1427"/>
        <w:gridCol w:w="1427"/>
      </w:tblGrid>
      <w:tr w:rsidR="00D86959" w:rsidRPr="00D86959" w:rsidTr="00B1791E">
        <w:trPr>
          <w:cantSplit/>
          <w:tblHeader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BMI (kg/m</w:t>
            </w:r>
            <w:r w:rsidRPr="00CB7B73">
              <w:rPr>
                <w:b/>
                <w:bCs/>
                <w:sz w:val="22"/>
                <w:szCs w:val="22"/>
                <w:vertAlign w:val="superscript"/>
                <w:lang w:val="sk-SK"/>
              </w:rPr>
              <w:t>2</w:t>
            </w:r>
            <w:r w:rsidRPr="00D86959">
              <w:rPr>
                <w:b/>
                <w:bCs/>
                <w:sz w:val="22"/>
                <w:szCs w:val="22"/>
                <w:lang w:val="sk-SK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Podváha</w:t>
            </w:r>
          </w:p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 xml:space="preserve">0 </w:t>
            </w:r>
            <w:r w:rsidR="008D1FC3">
              <w:rPr>
                <w:b/>
                <w:bCs/>
                <w:sz w:val="22"/>
                <w:szCs w:val="22"/>
                <w:lang w:val="sk-SK"/>
              </w:rPr>
              <w:t>–</w:t>
            </w:r>
            <w:r w:rsidRPr="00D86959">
              <w:rPr>
                <w:b/>
                <w:bCs/>
                <w:sz w:val="22"/>
                <w:szCs w:val="22"/>
                <w:lang w:val="sk-SK"/>
              </w:rPr>
              <w:t xml:space="preserve"> 18</w:t>
            </w:r>
            <w:r w:rsidR="008D1FC3">
              <w:rPr>
                <w:b/>
                <w:bCs/>
                <w:sz w:val="22"/>
                <w:szCs w:val="22"/>
                <w:lang w:val="sk-SK"/>
              </w:rPr>
              <w:t>,</w:t>
            </w:r>
            <w:r w:rsidRPr="00D86959">
              <w:rPr>
                <w:b/>
                <w:bCs/>
                <w:sz w:val="22"/>
                <w:szCs w:val="22"/>
                <w:lang w:val="sk-SK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Normálna hmotnosť</w:t>
            </w:r>
          </w:p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18</w:t>
            </w:r>
            <w:r w:rsidR="008D1FC3">
              <w:rPr>
                <w:b/>
                <w:bCs/>
                <w:sz w:val="22"/>
                <w:szCs w:val="22"/>
                <w:lang w:val="sk-SK"/>
              </w:rPr>
              <w:t>,</w:t>
            </w:r>
            <w:r w:rsidRPr="00D86959">
              <w:rPr>
                <w:b/>
                <w:bCs/>
                <w:sz w:val="22"/>
                <w:szCs w:val="22"/>
                <w:lang w:val="sk-SK"/>
              </w:rPr>
              <w:t>5-25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Nadváha</w:t>
            </w:r>
          </w:p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25-30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Obezita</w:t>
            </w:r>
          </w:p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≥ 30</w:t>
            </w:r>
          </w:p>
        </w:tc>
      </w:tr>
      <w:tr w:rsidR="00D86959" w:rsidRPr="00D86959" w:rsidTr="00B1791E">
        <w:trPr>
          <w:cantSplit/>
        </w:trPr>
        <w:tc>
          <w:tcPr>
            <w:tcW w:w="154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N celkom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64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933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339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212</w:t>
            </w:r>
          </w:p>
        </w:tc>
      </w:tr>
      <w:tr w:rsidR="00D86959" w:rsidRPr="00D86959" w:rsidTr="00B1791E">
        <w:trPr>
          <w:cantSplit/>
        </w:trPr>
        <w:tc>
          <w:tcPr>
            <w:tcW w:w="154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N gravidity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9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8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11</w:t>
            </w:r>
          </w:p>
        </w:tc>
      </w:tr>
      <w:tr w:rsidR="00D86959" w:rsidRPr="00D86959" w:rsidTr="00B1791E">
        <w:trPr>
          <w:cantSplit/>
        </w:trPr>
        <w:tc>
          <w:tcPr>
            <w:tcW w:w="154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 xml:space="preserve">Pomer výskytu gravidít 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1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56</w:t>
            </w:r>
            <w:r w:rsidR="00EA333E">
              <w:rPr>
                <w:sz w:val="22"/>
                <w:szCs w:val="22"/>
                <w:lang w:val="sk-SK"/>
              </w:rPr>
              <w:t> </w:t>
            </w:r>
            <w:r w:rsidRPr="00D86959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0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96</w:t>
            </w:r>
            <w:r w:rsidR="00EA333E">
              <w:rPr>
                <w:sz w:val="22"/>
                <w:szCs w:val="22"/>
                <w:lang w:val="sk-SK"/>
              </w:rPr>
              <w:t> </w:t>
            </w:r>
            <w:r w:rsidRPr="00D86959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2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36</w:t>
            </w:r>
            <w:r w:rsidR="00EA333E">
              <w:rPr>
                <w:sz w:val="22"/>
                <w:szCs w:val="22"/>
                <w:lang w:val="sk-SK"/>
              </w:rPr>
              <w:t> </w:t>
            </w:r>
            <w:r w:rsidRPr="00D86959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959" w:rsidRPr="00D86959" w:rsidRDefault="00D86959" w:rsidP="00EA333E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5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19</w:t>
            </w:r>
            <w:r w:rsidR="00EA333E">
              <w:rPr>
                <w:sz w:val="22"/>
                <w:szCs w:val="22"/>
                <w:lang w:val="sk-SK"/>
              </w:rPr>
              <w:t> </w:t>
            </w:r>
            <w:r w:rsidRPr="00D86959">
              <w:rPr>
                <w:sz w:val="22"/>
                <w:szCs w:val="22"/>
                <w:lang w:val="sk-SK"/>
              </w:rPr>
              <w:t>%</w:t>
            </w:r>
          </w:p>
        </w:tc>
      </w:tr>
      <w:tr w:rsidR="00D86959" w:rsidRPr="00D86959" w:rsidTr="00B1791E">
        <w:trPr>
          <w:cantSplit/>
        </w:trPr>
        <w:tc>
          <w:tcPr>
            <w:tcW w:w="15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vAlign w:val="center"/>
          </w:tcPr>
          <w:p w:rsidR="00D86959" w:rsidRPr="00D86959" w:rsidRDefault="00D86959" w:rsidP="00D8695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86959">
              <w:rPr>
                <w:b/>
                <w:bCs/>
                <w:sz w:val="22"/>
                <w:szCs w:val="22"/>
                <w:lang w:val="sk-SK"/>
              </w:rPr>
              <w:t>Interval spoľahlivosti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0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04 – 8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40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0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44 – 1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82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1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02 – 4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60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86959" w:rsidRPr="00D86959" w:rsidRDefault="00D86959" w:rsidP="00D86959">
            <w:pPr>
              <w:rPr>
                <w:sz w:val="22"/>
                <w:szCs w:val="22"/>
                <w:lang w:val="sk-SK"/>
              </w:rPr>
            </w:pPr>
            <w:r w:rsidRPr="00D86959">
              <w:rPr>
                <w:sz w:val="22"/>
                <w:szCs w:val="22"/>
                <w:lang w:val="sk-SK"/>
              </w:rPr>
              <w:t>2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62 – 9</w:t>
            </w:r>
            <w:r w:rsidR="008D1FC3">
              <w:rPr>
                <w:sz w:val="22"/>
                <w:szCs w:val="22"/>
                <w:lang w:val="sk-SK"/>
              </w:rPr>
              <w:t>,</w:t>
            </w:r>
            <w:r w:rsidRPr="00D86959">
              <w:rPr>
                <w:sz w:val="22"/>
                <w:szCs w:val="22"/>
                <w:lang w:val="sk-SK"/>
              </w:rPr>
              <w:t>09</w:t>
            </w:r>
          </w:p>
        </w:tc>
      </w:tr>
    </w:tbl>
    <w:p w:rsidR="00D86959" w:rsidRPr="0065581A" w:rsidRDefault="00D86959" w:rsidP="005D45C0">
      <w:pPr>
        <w:rPr>
          <w:sz w:val="22"/>
          <w:szCs w:val="22"/>
          <w:lang w:val="sk-SK"/>
        </w:rPr>
      </w:pPr>
    </w:p>
    <w:p w:rsidR="005E4AB2" w:rsidRPr="0065581A" w:rsidRDefault="005E4AB2" w:rsidP="005D45C0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Predpokladá sa, že pri odporúčanom dávkovaní levonorgestrel nevyvoláva významné zmeny faktorov krvnej zrážanlivosti, ani zmeny v lipidovom a uhľohydrátovom metabolizme.</w:t>
      </w:r>
    </w:p>
    <w:p w:rsidR="00E84DF9" w:rsidRDefault="00E84DF9" w:rsidP="00E84DF9">
      <w:pPr>
        <w:widowControl w:val="0"/>
        <w:suppressAutoHyphens/>
        <w:rPr>
          <w:iCs/>
          <w:sz w:val="22"/>
          <w:szCs w:val="22"/>
          <w:u w:val="single"/>
          <w:lang w:val="sk-SK"/>
        </w:rPr>
      </w:pPr>
    </w:p>
    <w:p w:rsidR="00E84DF9" w:rsidRPr="00A35387" w:rsidRDefault="00E84DF9" w:rsidP="00E84DF9">
      <w:pPr>
        <w:widowControl w:val="0"/>
        <w:suppressAutoHyphens/>
        <w:rPr>
          <w:sz w:val="22"/>
          <w:szCs w:val="22"/>
          <w:u w:val="single"/>
          <w:lang w:val="sk-SK"/>
        </w:rPr>
      </w:pPr>
      <w:r w:rsidRPr="00A35387">
        <w:rPr>
          <w:iCs/>
          <w:sz w:val="22"/>
          <w:szCs w:val="22"/>
          <w:u w:val="single"/>
          <w:lang w:val="sk-SK"/>
        </w:rPr>
        <w:t>Pediatrická populácia</w:t>
      </w:r>
    </w:p>
    <w:p w:rsidR="00E84DF9" w:rsidRPr="00A35387" w:rsidRDefault="00E84DF9" w:rsidP="00E84DF9">
      <w:pPr>
        <w:widowControl w:val="0"/>
        <w:suppressAutoHyphens/>
        <w:rPr>
          <w:sz w:val="22"/>
          <w:szCs w:val="22"/>
          <w:lang w:val="sk-SK"/>
        </w:rPr>
      </w:pPr>
      <w:r w:rsidRPr="00A35387">
        <w:rPr>
          <w:sz w:val="22"/>
          <w:szCs w:val="22"/>
          <w:lang w:val="sk-SK"/>
        </w:rPr>
        <w:t>Prospektívna observačná štúdia ukázala, že z 305 žien, ktoré užili núdzovú antikoncepciu vo forme tabliet s levonorgestrelom, sedem žien otehotnelo, čo predstavuje celkový pomer zl</w:t>
      </w:r>
      <w:r>
        <w:rPr>
          <w:sz w:val="22"/>
          <w:szCs w:val="22"/>
          <w:lang w:val="sk-SK"/>
        </w:rPr>
        <w:t>y</w:t>
      </w:r>
      <w:r w:rsidRPr="00A35387">
        <w:rPr>
          <w:sz w:val="22"/>
          <w:szCs w:val="22"/>
          <w:lang w:val="sk-SK"/>
        </w:rPr>
        <w:t>hania 2,3</w:t>
      </w:r>
      <w:r w:rsidR="00890162">
        <w:rPr>
          <w:sz w:val="22"/>
          <w:szCs w:val="22"/>
          <w:lang w:val="sk-SK"/>
        </w:rPr>
        <w:t> </w:t>
      </w:r>
      <w:r w:rsidRPr="00A35387">
        <w:rPr>
          <w:sz w:val="22"/>
          <w:szCs w:val="22"/>
          <w:lang w:val="sk-SK"/>
        </w:rPr>
        <w:t>%. Pomer zlyhania u žien do 18 rokov (2,6</w:t>
      </w:r>
      <w:r w:rsidR="00890162">
        <w:rPr>
          <w:sz w:val="22"/>
          <w:szCs w:val="22"/>
          <w:lang w:val="sk-SK"/>
        </w:rPr>
        <w:t> </w:t>
      </w:r>
      <w:r w:rsidRPr="00A35387">
        <w:rPr>
          <w:sz w:val="22"/>
          <w:szCs w:val="22"/>
          <w:lang w:val="sk-SK"/>
        </w:rPr>
        <w:t>% alebo 4/153) bol porovnateľný s pomerom zlyhania u 18-ročných žien a starších (2,0</w:t>
      </w:r>
      <w:r w:rsidR="00890162">
        <w:rPr>
          <w:sz w:val="22"/>
          <w:szCs w:val="22"/>
          <w:lang w:val="sk-SK"/>
        </w:rPr>
        <w:t> </w:t>
      </w:r>
      <w:r w:rsidRPr="00A35387">
        <w:rPr>
          <w:sz w:val="22"/>
          <w:szCs w:val="22"/>
          <w:lang w:val="sk-SK"/>
        </w:rPr>
        <w:t>% alebo 3/152).</w:t>
      </w:r>
    </w:p>
    <w:p w:rsidR="008D1FC3" w:rsidRPr="004A6946" w:rsidRDefault="008D1FC3" w:rsidP="004A6946">
      <w:pPr>
        <w:tabs>
          <w:tab w:val="left" w:pos="567"/>
        </w:tabs>
        <w:rPr>
          <w:sz w:val="22"/>
          <w:lang w:val="sk-SK"/>
        </w:rPr>
      </w:pPr>
    </w:p>
    <w:p w:rsidR="005E4AB2" w:rsidRPr="0065581A" w:rsidRDefault="005E4AB2" w:rsidP="009F596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5.2</w:t>
      </w:r>
      <w:r w:rsidRPr="0065581A">
        <w:rPr>
          <w:b/>
          <w:sz w:val="22"/>
          <w:szCs w:val="22"/>
          <w:lang w:val="sk-SK"/>
        </w:rPr>
        <w:tab/>
        <w:t>Farmakokinetické vlastnosti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BB0917" w:rsidRPr="004A6946" w:rsidRDefault="00BB0917" w:rsidP="00840F41">
      <w:pPr>
        <w:pStyle w:val="Zkladntext"/>
        <w:rPr>
          <w:sz w:val="22"/>
          <w:szCs w:val="22"/>
          <w:u w:val="single"/>
          <w:lang w:val="sk-SK"/>
        </w:rPr>
      </w:pPr>
      <w:r w:rsidRPr="004A6946">
        <w:rPr>
          <w:sz w:val="22"/>
          <w:szCs w:val="22"/>
          <w:u w:val="single"/>
          <w:lang w:val="sk-SK"/>
        </w:rPr>
        <w:t>Absorpcia</w:t>
      </w:r>
    </w:p>
    <w:p w:rsidR="005E4AB2" w:rsidRPr="004A6946" w:rsidRDefault="005E4AB2" w:rsidP="00840F41">
      <w:pPr>
        <w:pStyle w:val="Zkladntext"/>
        <w:rPr>
          <w:sz w:val="22"/>
          <w:szCs w:val="22"/>
          <w:lang w:val="sk-SK"/>
        </w:rPr>
      </w:pPr>
      <w:r w:rsidRPr="004A6946">
        <w:rPr>
          <w:sz w:val="22"/>
          <w:szCs w:val="22"/>
          <w:lang w:val="sk-SK"/>
        </w:rPr>
        <w:t xml:space="preserve">Perorálne podaný levonorgestrel sa rýchlo a skoro úplne absorbuje. </w:t>
      </w:r>
    </w:p>
    <w:p w:rsidR="00BB0917" w:rsidRPr="004A6946" w:rsidRDefault="00BB0917" w:rsidP="00840F41">
      <w:pPr>
        <w:pStyle w:val="Zkladntext"/>
        <w:rPr>
          <w:sz w:val="22"/>
          <w:szCs w:val="22"/>
          <w:lang w:val="sk-SK"/>
        </w:rPr>
      </w:pPr>
    </w:p>
    <w:p w:rsidR="00BB0917" w:rsidRDefault="00BB0917" w:rsidP="00840F41">
      <w:pPr>
        <w:pStyle w:val="Zkladntext"/>
        <w:rPr>
          <w:sz w:val="22"/>
          <w:szCs w:val="22"/>
          <w:u w:val="single"/>
          <w:lang w:val="sk-SK"/>
        </w:rPr>
      </w:pPr>
      <w:r w:rsidRPr="004A6946">
        <w:rPr>
          <w:sz w:val="22"/>
          <w:szCs w:val="22"/>
          <w:u w:val="single"/>
          <w:lang w:val="sk-SK"/>
        </w:rPr>
        <w:t>Distribúcia</w:t>
      </w:r>
    </w:p>
    <w:p w:rsidR="005E4AB2" w:rsidRPr="0065581A" w:rsidRDefault="005E4AB2" w:rsidP="00840F41">
      <w:pPr>
        <w:pStyle w:val="Zkladntext"/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lastRenderedPageBreak/>
        <w:t xml:space="preserve">Výsledky farmakokinetickej štúdie vykonanej u 16 zdravých žien ukázali, že najvyššie sérové koncentrácie </w:t>
      </w:r>
      <w:r w:rsidR="002F1E18">
        <w:rPr>
          <w:sz w:val="22"/>
          <w:szCs w:val="22"/>
          <w:lang w:val="sk-SK"/>
        </w:rPr>
        <w:t xml:space="preserve">liečiva </w:t>
      </w:r>
      <w:r w:rsidRPr="0065581A">
        <w:rPr>
          <w:sz w:val="22"/>
          <w:szCs w:val="22"/>
          <w:lang w:val="sk-SK"/>
        </w:rPr>
        <w:t xml:space="preserve">18,5 ng/ml sa zistili o 2 hodiny po užití jednej dávky </w:t>
      </w:r>
      <w:proofErr w:type="spellStart"/>
      <w:r w:rsidRPr="0065581A">
        <w:rPr>
          <w:sz w:val="22"/>
          <w:szCs w:val="22"/>
          <w:lang w:val="sk-SK"/>
        </w:rPr>
        <w:t>levonorgestrelu</w:t>
      </w:r>
      <w:proofErr w:type="spellEnd"/>
      <w:r w:rsidRPr="0065581A">
        <w:rPr>
          <w:sz w:val="22"/>
          <w:szCs w:val="22"/>
          <w:lang w:val="sk-SK"/>
        </w:rPr>
        <w:t xml:space="preserve"> 1,5</w:t>
      </w:r>
      <w:r w:rsidR="00890162">
        <w:rPr>
          <w:sz w:val="22"/>
          <w:szCs w:val="22"/>
          <w:lang w:val="sk-SK"/>
        </w:rPr>
        <w:t> </w:t>
      </w:r>
      <w:r w:rsidRPr="0065581A">
        <w:rPr>
          <w:sz w:val="22"/>
          <w:szCs w:val="22"/>
          <w:lang w:val="sk-SK"/>
        </w:rPr>
        <w:t>mg.</w:t>
      </w:r>
    </w:p>
    <w:p w:rsidR="005E4AB2" w:rsidRPr="0065581A" w:rsidRDefault="005E4AB2" w:rsidP="00840F41">
      <w:pPr>
        <w:pStyle w:val="Zkladntext"/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Po dosiahnutí maximálnych sérových hladín klesala koncentrácia levonorgestrelu s priemerným polčasom vylučovania asi 26 hodín.</w:t>
      </w:r>
    </w:p>
    <w:p w:rsidR="00BB0917" w:rsidRDefault="00BB0917" w:rsidP="00840F41">
      <w:pPr>
        <w:rPr>
          <w:sz w:val="22"/>
          <w:szCs w:val="22"/>
          <w:lang w:val="sk-SK"/>
        </w:rPr>
      </w:pPr>
    </w:p>
    <w:p w:rsidR="00BB0917" w:rsidRPr="004A6946" w:rsidRDefault="00BB0917" w:rsidP="00BB0917">
      <w:pPr>
        <w:rPr>
          <w:sz w:val="22"/>
          <w:lang w:val="sk-SK"/>
        </w:rPr>
      </w:pPr>
      <w:r w:rsidRPr="004A6946">
        <w:rPr>
          <w:sz w:val="22"/>
          <w:lang w:val="sk-SK"/>
        </w:rPr>
        <w:t>Levonorgestrel sa viaže na sérový albumín a pohlavné hormóny viažuci globulín (</w:t>
      </w:r>
      <w:r w:rsidR="009F1568">
        <w:rPr>
          <w:sz w:val="22"/>
          <w:lang w:val="sk-SK"/>
        </w:rPr>
        <w:t xml:space="preserve">sex hormone binding globulin, </w:t>
      </w:r>
      <w:r w:rsidRPr="004A6946">
        <w:rPr>
          <w:sz w:val="22"/>
          <w:lang w:val="sk-SK"/>
        </w:rPr>
        <w:t xml:space="preserve">SHBG). V sére sa nachádza vo forme voľného </w:t>
      </w:r>
      <w:proofErr w:type="spellStart"/>
      <w:r w:rsidRPr="004A6946">
        <w:rPr>
          <w:sz w:val="22"/>
          <w:lang w:val="sk-SK"/>
        </w:rPr>
        <w:t>steroidu</w:t>
      </w:r>
      <w:proofErr w:type="spellEnd"/>
      <w:r w:rsidRPr="004A6946">
        <w:rPr>
          <w:sz w:val="22"/>
          <w:lang w:val="sk-SK"/>
        </w:rPr>
        <w:t xml:space="preserve"> iba okolo 1,5</w:t>
      </w:r>
      <w:r w:rsidR="00562DCD">
        <w:rPr>
          <w:sz w:val="22"/>
          <w:lang w:val="sk-SK"/>
        </w:rPr>
        <w:t> </w:t>
      </w:r>
      <w:r w:rsidRPr="004A6946">
        <w:rPr>
          <w:sz w:val="22"/>
          <w:lang w:val="sk-SK"/>
        </w:rPr>
        <w:t xml:space="preserve">% celkového </w:t>
      </w:r>
      <w:proofErr w:type="spellStart"/>
      <w:r w:rsidRPr="004A6946">
        <w:rPr>
          <w:sz w:val="22"/>
          <w:lang w:val="sk-SK"/>
        </w:rPr>
        <w:t>levonorgestrelu</w:t>
      </w:r>
      <w:proofErr w:type="spellEnd"/>
      <w:r w:rsidRPr="004A6946">
        <w:rPr>
          <w:sz w:val="22"/>
          <w:lang w:val="sk-SK"/>
        </w:rPr>
        <w:t>, ale 65</w:t>
      </w:r>
      <w:r w:rsidR="00562DCD">
        <w:rPr>
          <w:sz w:val="22"/>
          <w:lang w:val="sk-SK"/>
        </w:rPr>
        <w:t> </w:t>
      </w:r>
      <w:r w:rsidRPr="004A6946">
        <w:rPr>
          <w:sz w:val="22"/>
          <w:lang w:val="sk-SK"/>
        </w:rPr>
        <w:t xml:space="preserve">% sa špecificky viaže na SHBG. </w:t>
      </w:r>
    </w:p>
    <w:p w:rsidR="00BB0917" w:rsidRDefault="00BB0917" w:rsidP="00BB0917">
      <w:pPr>
        <w:rPr>
          <w:sz w:val="22"/>
          <w:lang w:val="sk-SK"/>
        </w:rPr>
      </w:pPr>
      <w:r w:rsidRPr="004A6946">
        <w:rPr>
          <w:sz w:val="22"/>
          <w:lang w:val="sk-SK"/>
        </w:rPr>
        <w:t xml:space="preserve">Absolútna biologická dostupnosť </w:t>
      </w:r>
      <w:proofErr w:type="spellStart"/>
      <w:r w:rsidRPr="004A6946">
        <w:rPr>
          <w:sz w:val="22"/>
          <w:lang w:val="sk-SK"/>
        </w:rPr>
        <w:t>levonorgestrelu</w:t>
      </w:r>
      <w:proofErr w:type="spellEnd"/>
      <w:r w:rsidRPr="004A6946">
        <w:rPr>
          <w:sz w:val="22"/>
          <w:lang w:val="sk-SK"/>
        </w:rPr>
        <w:t xml:space="preserve"> je skoro 100</w:t>
      </w:r>
      <w:r w:rsidR="00562DCD">
        <w:rPr>
          <w:sz w:val="22"/>
          <w:lang w:val="sk-SK"/>
        </w:rPr>
        <w:t> </w:t>
      </w:r>
      <w:r w:rsidRPr="004A6946">
        <w:rPr>
          <w:sz w:val="22"/>
          <w:lang w:val="sk-SK"/>
        </w:rPr>
        <w:t>% podanej dávky.</w:t>
      </w:r>
    </w:p>
    <w:p w:rsidR="00562DCD" w:rsidRPr="004A6946" w:rsidRDefault="00562DCD" w:rsidP="00BB0917">
      <w:pPr>
        <w:rPr>
          <w:sz w:val="22"/>
          <w:lang w:val="sk-SK"/>
        </w:rPr>
      </w:pPr>
    </w:p>
    <w:p w:rsidR="00BB0917" w:rsidRPr="0065581A" w:rsidRDefault="00BB0917" w:rsidP="00BB0917">
      <w:pPr>
        <w:rPr>
          <w:sz w:val="22"/>
          <w:szCs w:val="22"/>
          <w:lang w:val="sk-SK"/>
        </w:rPr>
      </w:pPr>
      <w:r w:rsidRPr="004A6946">
        <w:rPr>
          <w:sz w:val="22"/>
          <w:lang w:val="sk-SK"/>
        </w:rPr>
        <w:t>Asi 0,1</w:t>
      </w:r>
      <w:r w:rsidR="00562DCD">
        <w:rPr>
          <w:sz w:val="22"/>
          <w:lang w:val="sk-SK"/>
        </w:rPr>
        <w:t> </w:t>
      </w:r>
      <w:r w:rsidRPr="004A6946">
        <w:rPr>
          <w:sz w:val="22"/>
          <w:lang w:val="sk-SK"/>
        </w:rPr>
        <w:t>% podanej dávky sa môže mliekom preniesť do organizmu dojčeného dieťaťa.</w:t>
      </w:r>
    </w:p>
    <w:p w:rsidR="00463F51" w:rsidRDefault="00463F51" w:rsidP="00840F41">
      <w:pPr>
        <w:rPr>
          <w:sz w:val="22"/>
          <w:highlight w:val="yellow"/>
          <w:lang w:val="sk-SK"/>
        </w:rPr>
      </w:pPr>
    </w:p>
    <w:p w:rsidR="008354B2" w:rsidRPr="004A6946" w:rsidRDefault="008354B2" w:rsidP="00840F41">
      <w:pPr>
        <w:rPr>
          <w:sz w:val="22"/>
          <w:szCs w:val="22"/>
          <w:lang w:val="sk-SK"/>
        </w:rPr>
      </w:pPr>
      <w:r w:rsidRPr="004A6946">
        <w:rPr>
          <w:sz w:val="22"/>
          <w:u w:val="single"/>
          <w:lang w:val="sk-SK"/>
        </w:rPr>
        <w:t>Biotransformácia</w:t>
      </w:r>
    </w:p>
    <w:p w:rsidR="00562DCD" w:rsidRPr="004A6946" w:rsidRDefault="005E4AB2" w:rsidP="00562DCD">
      <w:pPr>
        <w:rPr>
          <w:sz w:val="22"/>
          <w:szCs w:val="22"/>
          <w:lang w:val="sk-SK"/>
        </w:rPr>
      </w:pPr>
      <w:r w:rsidRPr="004A6946">
        <w:rPr>
          <w:sz w:val="22"/>
          <w:szCs w:val="22"/>
          <w:lang w:val="sk-SK"/>
        </w:rPr>
        <w:t xml:space="preserve">Biotransformácia prebieha známymi metabolickými cestami steroidov, levonorgestrel sa hydrolyzuje </w:t>
      </w:r>
      <w:r w:rsidR="008354B2" w:rsidRPr="004A6946">
        <w:rPr>
          <w:sz w:val="22"/>
          <w:lang w:val="sk-SK"/>
        </w:rPr>
        <w:t>pečeňovými enzýmami, hlavne CYP3A4</w:t>
      </w:r>
      <w:r w:rsidR="00DD0AA9" w:rsidRPr="004A6946">
        <w:rPr>
          <w:sz w:val="22"/>
          <w:lang w:val="sk-SK"/>
        </w:rPr>
        <w:t>,</w:t>
      </w:r>
      <w:r w:rsidR="008354B2" w:rsidRPr="004A6946">
        <w:rPr>
          <w:sz w:val="22"/>
          <w:lang w:val="sk-SK"/>
        </w:rPr>
        <w:t xml:space="preserve"> a jeho metabolity sa vylučujú po glukuronidácii pečeňovými </w:t>
      </w:r>
      <w:proofErr w:type="spellStart"/>
      <w:r w:rsidR="008354B2" w:rsidRPr="004A6946">
        <w:rPr>
          <w:sz w:val="22"/>
          <w:lang w:val="sk-SK"/>
        </w:rPr>
        <w:t>glukuronidázovými</w:t>
      </w:r>
      <w:proofErr w:type="spellEnd"/>
      <w:r w:rsidR="008354B2" w:rsidRPr="004A6946">
        <w:rPr>
          <w:sz w:val="22"/>
          <w:lang w:val="sk-SK"/>
        </w:rPr>
        <w:t xml:space="preserve"> enzýmami (</w:t>
      </w:r>
      <w:r w:rsidR="00562DCD">
        <w:rPr>
          <w:sz w:val="22"/>
          <w:lang w:val="sk-SK"/>
        </w:rPr>
        <w:t>p</w:t>
      </w:r>
      <w:r w:rsidR="008354B2" w:rsidRPr="004A6946">
        <w:rPr>
          <w:sz w:val="22"/>
          <w:lang w:val="sk-SK"/>
        </w:rPr>
        <w:t>ozri časť 4.5).</w:t>
      </w:r>
      <w:r w:rsidRPr="004A6946">
        <w:rPr>
          <w:sz w:val="22"/>
          <w:szCs w:val="22"/>
          <w:lang w:val="sk-SK"/>
        </w:rPr>
        <w:t xml:space="preserve"> </w:t>
      </w:r>
      <w:r w:rsidR="00562DCD" w:rsidRPr="004A6946">
        <w:rPr>
          <w:sz w:val="22"/>
          <w:szCs w:val="22"/>
          <w:lang w:val="sk-SK"/>
        </w:rPr>
        <w:t>Nie sú známe žiadne farmakologicky aktívne metabolity.</w:t>
      </w:r>
    </w:p>
    <w:p w:rsidR="00A442B4" w:rsidRPr="004A6946" w:rsidRDefault="00A442B4" w:rsidP="00840F41">
      <w:pPr>
        <w:rPr>
          <w:sz w:val="22"/>
          <w:szCs w:val="22"/>
          <w:lang w:val="sk-SK"/>
        </w:rPr>
      </w:pPr>
    </w:p>
    <w:p w:rsidR="00A442B4" w:rsidRPr="004A6946" w:rsidRDefault="00A442B4" w:rsidP="00A442B4">
      <w:pPr>
        <w:rPr>
          <w:sz w:val="22"/>
          <w:szCs w:val="22"/>
          <w:u w:val="single"/>
          <w:lang w:val="sk-SK"/>
        </w:rPr>
      </w:pPr>
      <w:r w:rsidRPr="004A6946">
        <w:rPr>
          <w:sz w:val="22"/>
          <w:szCs w:val="22"/>
          <w:u w:val="single"/>
          <w:lang w:val="sk-SK"/>
        </w:rPr>
        <w:t>Eliminácia</w:t>
      </w:r>
    </w:p>
    <w:p w:rsidR="008354B2" w:rsidRDefault="008354B2" w:rsidP="008354B2">
      <w:pPr>
        <w:rPr>
          <w:sz w:val="22"/>
          <w:szCs w:val="22"/>
          <w:lang w:val="sk-SK"/>
        </w:rPr>
      </w:pPr>
      <w:proofErr w:type="spellStart"/>
      <w:r w:rsidRPr="004A6946">
        <w:rPr>
          <w:sz w:val="22"/>
          <w:szCs w:val="22"/>
          <w:lang w:val="sk-SK"/>
        </w:rPr>
        <w:t>Levonorgestrel</w:t>
      </w:r>
      <w:proofErr w:type="spellEnd"/>
      <w:r w:rsidRPr="004A6946">
        <w:rPr>
          <w:sz w:val="22"/>
          <w:szCs w:val="22"/>
          <w:lang w:val="sk-SK"/>
        </w:rPr>
        <w:t xml:space="preserve"> sa nevylučuje v nezmenenej forme, ale vo forme metabolitov. Metabolity levonorgestrelu sa vylučujú v približne rovnakom pomere močom a stolicou.</w:t>
      </w:r>
      <w:r w:rsidRPr="0065581A">
        <w:rPr>
          <w:sz w:val="22"/>
          <w:szCs w:val="22"/>
          <w:lang w:val="sk-SK"/>
        </w:rPr>
        <w:t xml:space="preserve"> </w:t>
      </w:r>
    </w:p>
    <w:p w:rsidR="005E4AB2" w:rsidRDefault="005E4AB2" w:rsidP="00840F41">
      <w:pPr>
        <w:rPr>
          <w:sz w:val="22"/>
          <w:szCs w:val="22"/>
          <w:lang w:val="sk-SK"/>
        </w:rPr>
      </w:pPr>
    </w:p>
    <w:p w:rsidR="00CC14C8" w:rsidRPr="004B0FDB" w:rsidRDefault="00CC14C8" w:rsidP="00CC14C8">
      <w:pPr>
        <w:rPr>
          <w:sz w:val="22"/>
          <w:szCs w:val="22"/>
          <w:u w:val="single"/>
          <w:lang w:val="sk-SK"/>
        </w:rPr>
      </w:pPr>
      <w:r w:rsidRPr="004B0FDB">
        <w:rPr>
          <w:sz w:val="22"/>
          <w:szCs w:val="22"/>
          <w:u w:val="single"/>
          <w:lang w:val="sk-SK"/>
        </w:rPr>
        <w:t>Farmakokinetika u obéznych žien</w:t>
      </w:r>
    </w:p>
    <w:p w:rsidR="00CC14C8" w:rsidRPr="00C92C3E" w:rsidRDefault="00CC14C8" w:rsidP="00CC14C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Farmakokinetická štúdia preukázala, že koncentrácie levonorgestrelu sú znížené u obéznych žien (</w:t>
      </w:r>
      <w:r w:rsidRPr="00090BD3">
        <w:rPr>
          <w:sz w:val="22"/>
          <w:szCs w:val="22"/>
          <w:lang w:val="sk-SK"/>
        </w:rPr>
        <w:t>BMI ≥ 30 kg/m²</w:t>
      </w:r>
      <w:r>
        <w:rPr>
          <w:sz w:val="22"/>
          <w:szCs w:val="22"/>
          <w:lang w:val="sk-SK"/>
        </w:rPr>
        <w:t>) (zníženie C</w:t>
      </w:r>
      <w:r w:rsidRPr="009408D7">
        <w:rPr>
          <w:sz w:val="22"/>
          <w:szCs w:val="22"/>
          <w:vertAlign w:val="subscript"/>
          <w:lang w:val="sk-SK"/>
        </w:rPr>
        <w:t>max</w:t>
      </w:r>
      <w:r>
        <w:rPr>
          <w:sz w:val="22"/>
          <w:szCs w:val="22"/>
          <w:vertAlign w:val="subscript"/>
          <w:lang w:val="sk-SK"/>
        </w:rPr>
        <w:t xml:space="preserve"> </w:t>
      </w:r>
      <w:r>
        <w:rPr>
          <w:sz w:val="22"/>
          <w:szCs w:val="22"/>
          <w:lang w:val="sk-SK"/>
        </w:rPr>
        <w:t>a AUC</w:t>
      </w:r>
      <w:r>
        <w:rPr>
          <w:sz w:val="22"/>
          <w:szCs w:val="22"/>
          <w:vertAlign w:val="subscript"/>
          <w:lang w:val="sk-SK"/>
        </w:rPr>
        <w:t>0-24</w:t>
      </w:r>
      <w:r>
        <w:rPr>
          <w:sz w:val="22"/>
          <w:szCs w:val="22"/>
          <w:lang w:val="sk-SK"/>
        </w:rPr>
        <w:t xml:space="preserve"> o približne </w:t>
      </w:r>
      <w:r w:rsidRPr="005226F5">
        <w:rPr>
          <w:sz w:val="22"/>
          <w:szCs w:val="22"/>
          <w:lang w:val="sk-SK"/>
        </w:rPr>
        <w:t>50</w:t>
      </w:r>
      <w:r>
        <w:rPr>
          <w:sz w:val="22"/>
          <w:szCs w:val="22"/>
          <w:lang w:val="sk-SK"/>
        </w:rPr>
        <w:t> </w:t>
      </w:r>
      <w:r w:rsidRPr="005226F5">
        <w:rPr>
          <w:sz w:val="22"/>
          <w:szCs w:val="22"/>
          <w:lang w:val="sk-SK"/>
        </w:rPr>
        <w:t>%</w:t>
      </w:r>
      <w:r>
        <w:rPr>
          <w:sz w:val="22"/>
          <w:szCs w:val="22"/>
          <w:lang w:val="sk-SK"/>
        </w:rPr>
        <w:t>) v porovnaní so ženami s normálnym BMI (</w:t>
      </w:r>
      <w:r w:rsidRPr="00090BD3">
        <w:rPr>
          <w:sz w:val="22"/>
          <w:szCs w:val="22"/>
          <w:lang w:val="sk-SK"/>
        </w:rPr>
        <w:t xml:space="preserve">&lt; 25 kg/m²) </w:t>
      </w:r>
      <w:r>
        <w:rPr>
          <w:sz w:val="22"/>
          <w:szCs w:val="22"/>
          <w:lang w:val="sk-SK"/>
        </w:rPr>
        <w:t>(</w:t>
      </w:r>
      <w:proofErr w:type="spellStart"/>
      <w:r>
        <w:rPr>
          <w:sz w:val="22"/>
          <w:szCs w:val="22"/>
          <w:lang w:val="sk-SK"/>
        </w:rPr>
        <w:t>Pradi</w:t>
      </w:r>
      <w:r w:rsidR="004F08B1">
        <w:rPr>
          <w:sz w:val="22"/>
          <w:szCs w:val="22"/>
          <w:lang w:val="sk-SK"/>
        </w:rPr>
        <w:t>t</w:t>
      </w:r>
      <w:r>
        <w:rPr>
          <w:sz w:val="22"/>
          <w:szCs w:val="22"/>
          <w:lang w:val="sk-SK"/>
        </w:rPr>
        <w:t>pan</w:t>
      </w:r>
      <w:proofErr w:type="spellEnd"/>
      <w:r>
        <w:rPr>
          <w:sz w:val="22"/>
          <w:szCs w:val="22"/>
          <w:lang w:val="sk-SK"/>
        </w:rPr>
        <w:t xml:space="preserve"> a </w:t>
      </w:r>
      <w:r w:rsidR="004F08B1">
        <w:rPr>
          <w:sz w:val="22"/>
          <w:szCs w:val="22"/>
          <w:lang w:val="sk-SK"/>
        </w:rPr>
        <w:t>kol</w:t>
      </w:r>
      <w:r>
        <w:rPr>
          <w:sz w:val="22"/>
          <w:szCs w:val="22"/>
          <w:lang w:val="sk-SK"/>
        </w:rPr>
        <w:t xml:space="preserve">., 2017). V ďalšej štúdii bolo </w:t>
      </w:r>
      <w:r w:rsidR="004F08B1">
        <w:rPr>
          <w:sz w:val="22"/>
          <w:szCs w:val="22"/>
          <w:lang w:val="sk-SK"/>
        </w:rPr>
        <w:t xml:space="preserve">tiež </w:t>
      </w:r>
      <w:r>
        <w:rPr>
          <w:sz w:val="22"/>
          <w:szCs w:val="22"/>
          <w:lang w:val="sk-SK"/>
        </w:rPr>
        <w:t>hlásené zníženie</w:t>
      </w:r>
      <w:r w:rsidRPr="006840A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C</w:t>
      </w:r>
      <w:r w:rsidRPr="009408D7">
        <w:rPr>
          <w:sz w:val="22"/>
          <w:szCs w:val="22"/>
          <w:vertAlign w:val="subscript"/>
          <w:lang w:val="sk-SK"/>
        </w:rPr>
        <w:t>max</w:t>
      </w:r>
      <w:r>
        <w:rPr>
          <w:sz w:val="22"/>
          <w:szCs w:val="22"/>
          <w:vertAlign w:val="subscript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levonorgestrelu o približne </w:t>
      </w:r>
      <w:r w:rsidRPr="005226F5">
        <w:rPr>
          <w:sz w:val="22"/>
          <w:szCs w:val="22"/>
          <w:lang w:val="sk-SK"/>
        </w:rPr>
        <w:t>50</w:t>
      </w:r>
      <w:r>
        <w:rPr>
          <w:sz w:val="22"/>
          <w:szCs w:val="22"/>
          <w:lang w:val="sk-SK"/>
        </w:rPr>
        <w:t> </w:t>
      </w:r>
      <w:r w:rsidRPr="005226F5">
        <w:rPr>
          <w:sz w:val="22"/>
          <w:szCs w:val="22"/>
          <w:lang w:val="sk-SK"/>
        </w:rPr>
        <w:t>%</w:t>
      </w:r>
      <w:r>
        <w:rPr>
          <w:sz w:val="22"/>
          <w:szCs w:val="22"/>
          <w:lang w:val="sk-SK"/>
        </w:rPr>
        <w:t xml:space="preserve"> pri porovnaní obéznych žien a žien s normálnym BMI, pričom sa javilo, že zdvojnásobenie dávky (3</w:t>
      </w:r>
      <w:r w:rsidR="004F08B1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mg) u obéznych žien poskytlo úrovne plazmatickej koncentrácie podobné tým, ktoré boli pozorované u žien s normálnym BMI pri dávke 1,5</w:t>
      </w:r>
      <w:r w:rsidR="004F08B1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mg </w:t>
      </w:r>
      <w:proofErr w:type="spellStart"/>
      <w:r>
        <w:rPr>
          <w:sz w:val="22"/>
          <w:szCs w:val="22"/>
          <w:lang w:val="sk-SK"/>
        </w:rPr>
        <w:t>levonorgestrelu</w:t>
      </w:r>
      <w:proofErr w:type="spellEnd"/>
      <w:r>
        <w:rPr>
          <w:sz w:val="22"/>
          <w:szCs w:val="22"/>
          <w:lang w:val="sk-SK"/>
        </w:rPr>
        <w:t xml:space="preserve"> (</w:t>
      </w:r>
      <w:proofErr w:type="spellStart"/>
      <w:r>
        <w:rPr>
          <w:sz w:val="22"/>
          <w:szCs w:val="22"/>
          <w:lang w:val="sk-SK"/>
        </w:rPr>
        <w:t>Edelman</w:t>
      </w:r>
      <w:proofErr w:type="spellEnd"/>
      <w:r>
        <w:rPr>
          <w:sz w:val="22"/>
          <w:szCs w:val="22"/>
          <w:lang w:val="sk-SK"/>
        </w:rPr>
        <w:t xml:space="preserve"> a </w:t>
      </w:r>
      <w:r w:rsidR="004F08B1">
        <w:rPr>
          <w:sz w:val="22"/>
          <w:szCs w:val="22"/>
          <w:lang w:val="sk-SK"/>
        </w:rPr>
        <w:t>kol</w:t>
      </w:r>
      <w:r>
        <w:rPr>
          <w:sz w:val="22"/>
          <w:szCs w:val="22"/>
          <w:lang w:val="sk-SK"/>
        </w:rPr>
        <w:t>., 2016). Klinický význam týchto údajov je nejasný.</w:t>
      </w:r>
    </w:p>
    <w:p w:rsidR="00CC14C8" w:rsidRPr="0065581A" w:rsidRDefault="00CC14C8" w:rsidP="00840F41">
      <w:pPr>
        <w:rPr>
          <w:sz w:val="22"/>
          <w:szCs w:val="22"/>
          <w:lang w:val="sk-SK"/>
        </w:rPr>
      </w:pPr>
    </w:p>
    <w:p w:rsidR="005E4AB2" w:rsidRPr="0065581A" w:rsidRDefault="005E4AB2" w:rsidP="009F596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5.3</w:t>
      </w:r>
      <w:r w:rsidRPr="0065581A">
        <w:rPr>
          <w:b/>
          <w:sz w:val="22"/>
          <w:szCs w:val="22"/>
          <w:lang w:val="sk-SK"/>
        </w:rPr>
        <w:tab/>
        <w:t>Predklinické údaje o bezpečnosti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Pokusy s levonorgestrelom na zvieratách preukázali pri vysokých dávkach virilizáciu samičích plodov.</w:t>
      </w:r>
    </w:p>
    <w:p w:rsidR="005E4AB2" w:rsidRPr="0065581A" w:rsidRDefault="005E4AB2" w:rsidP="008B118E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 xml:space="preserve">Neklinické údaje neodhalili žiadne osobitné riziko pre ľudí na základe konvenčných </w:t>
      </w:r>
      <w:r w:rsidR="00C54B32">
        <w:rPr>
          <w:sz w:val="22"/>
          <w:szCs w:val="22"/>
          <w:lang w:val="sk-SK"/>
        </w:rPr>
        <w:t xml:space="preserve">farmakologických </w:t>
      </w:r>
      <w:r w:rsidRPr="0065581A">
        <w:rPr>
          <w:sz w:val="22"/>
          <w:szCs w:val="22"/>
          <w:lang w:val="sk-SK"/>
        </w:rPr>
        <w:t xml:space="preserve">štúdií bezpečnosti, toxicity </w:t>
      </w:r>
      <w:r w:rsidR="009F1568">
        <w:rPr>
          <w:sz w:val="22"/>
          <w:szCs w:val="22"/>
          <w:lang w:val="sk-SK"/>
        </w:rPr>
        <w:t>po opakovanom podávaní</w:t>
      </w:r>
      <w:r w:rsidRPr="0065581A">
        <w:rPr>
          <w:sz w:val="22"/>
          <w:szCs w:val="22"/>
          <w:lang w:val="sk-SK"/>
        </w:rPr>
        <w:t xml:space="preserve">, </w:t>
      </w:r>
      <w:proofErr w:type="spellStart"/>
      <w:r w:rsidRPr="0065581A">
        <w:rPr>
          <w:sz w:val="22"/>
          <w:szCs w:val="22"/>
          <w:lang w:val="sk-SK"/>
        </w:rPr>
        <w:t>genotoxicity</w:t>
      </w:r>
      <w:proofErr w:type="spellEnd"/>
      <w:r w:rsidRPr="0065581A">
        <w:rPr>
          <w:sz w:val="22"/>
          <w:szCs w:val="22"/>
          <w:lang w:val="sk-SK"/>
        </w:rPr>
        <w:t>, karcinog</w:t>
      </w:r>
      <w:r w:rsidR="004F08B1">
        <w:rPr>
          <w:sz w:val="22"/>
          <w:szCs w:val="22"/>
          <w:lang w:val="sk-SK"/>
        </w:rPr>
        <w:t>énneho</w:t>
      </w:r>
      <w:r w:rsidRPr="0065581A">
        <w:rPr>
          <w:sz w:val="22"/>
          <w:szCs w:val="22"/>
          <w:lang w:val="sk-SK"/>
        </w:rPr>
        <w:t xml:space="preserve"> </w:t>
      </w:r>
      <w:r w:rsidR="004F08B1">
        <w:rPr>
          <w:sz w:val="22"/>
          <w:szCs w:val="22"/>
          <w:lang w:val="sk-SK"/>
        </w:rPr>
        <w:t xml:space="preserve">potenciálu </w:t>
      </w:r>
      <w:r w:rsidRPr="0065581A">
        <w:rPr>
          <w:sz w:val="22"/>
          <w:szCs w:val="22"/>
          <w:lang w:val="sk-SK"/>
        </w:rPr>
        <w:t xml:space="preserve">okrem informácií uvedených v ostatných častiach súhrnu charakteristických vlastností lieku. </w:t>
      </w:r>
    </w:p>
    <w:p w:rsidR="005E4AB2" w:rsidRDefault="005E4AB2" w:rsidP="00840F41">
      <w:pPr>
        <w:rPr>
          <w:sz w:val="22"/>
          <w:szCs w:val="22"/>
          <w:lang w:val="sk-SK"/>
        </w:rPr>
      </w:pPr>
    </w:p>
    <w:p w:rsidR="00F14E13" w:rsidRPr="0065581A" w:rsidRDefault="00F14E13" w:rsidP="00840F41">
      <w:pPr>
        <w:rPr>
          <w:sz w:val="22"/>
          <w:szCs w:val="22"/>
          <w:lang w:val="sk-SK"/>
        </w:rPr>
      </w:pPr>
    </w:p>
    <w:p w:rsidR="005E4AB2" w:rsidRPr="0065581A" w:rsidRDefault="005E4AB2" w:rsidP="003A7D01">
      <w:pPr>
        <w:pStyle w:val="ListParagraph1"/>
        <w:numPr>
          <w:ilvl w:val="0"/>
          <w:numId w:val="2"/>
        </w:numPr>
        <w:tabs>
          <w:tab w:val="left" w:pos="567"/>
          <w:tab w:val="num" w:pos="855"/>
        </w:tabs>
        <w:ind w:left="567" w:hanging="567"/>
        <w:rPr>
          <w:b/>
          <w:bCs/>
          <w:caps/>
          <w:snapToGrid w:val="0"/>
          <w:sz w:val="22"/>
          <w:szCs w:val="22"/>
          <w:lang w:val="sk-SK" w:eastAsia="en-US"/>
        </w:rPr>
      </w:pPr>
      <w:r w:rsidRPr="0065581A">
        <w:rPr>
          <w:b/>
          <w:bCs/>
          <w:caps/>
          <w:snapToGrid w:val="0"/>
          <w:sz w:val="22"/>
          <w:szCs w:val="22"/>
          <w:lang w:val="sk-SK" w:eastAsia="en-US"/>
        </w:rPr>
        <w:t>Farmaceutické informácie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077E6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6.1</w:t>
      </w:r>
      <w:r w:rsidRPr="0065581A">
        <w:rPr>
          <w:b/>
          <w:sz w:val="22"/>
          <w:szCs w:val="22"/>
          <w:lang w:val="sk-SK"/>
        </w:rPr>
        <w:tab/>
        <w:t>Zoznam pomocných látok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zemiakový škrob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kukuričný škrob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koloidný oxid kremičitý bezvodý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magnéziumstearát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mastenec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monohydrát laktózy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077E6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6.2</w:t>
      </w:r>
      <w:r w:rsidRPr="0065581A">
        <w:rPr>
          <w:b/>
          <w:sz w:val="22"/>
          <w:szCs w:val="22"/>
          <w:lang w:val="sk-SK"/>
        </w:rPr>
        <w:tab/>
        <w:t>Inkompatibility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Neaplikovateľné.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077E6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6.3</w:t>
      </w:r>
      <w:r w:rsidRPr="0065581A">
        <w:rPr>
          <w:b/>
          <w:sz w:val="22"/>
          <w:szCs w:val="22"/>
          <w:lang w:val="sk-SK"/>
        </w:rPr>
        <w:tab/>
        <w:t>Čas použiteľnosti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5 rokov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077E6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6.4</w:t>
      </w:r>
      <w:r w:rsidRPr="0065581A">
        <w:rPr>
          <w:b/>
          <w:sz w:val="22"/>
          <w:szCs w:val="22"/>
          <w:lang w:val="sk-SK"/>
        </w:rPr>
        <w:tab/>
        <w:t>Špeciálne upozornenia na uchovávanie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Uchovávajte v pôvodnom obale na ochranu pred svetlom.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077E6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6.5</w:t>
      </w:r>
      <w:r w:rsidRPr="0065581A">
        <w:rPr>
          <w:b/>
          <w:sz w:val="22"/>
          <w:szCs w:val="22"/>
          <w:lang w:val="sk-SK"/>
        </w:rPr>
        <w:tab/>
        <w:t>Druh obalu a obsah balenia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Jedna tableta v PVC/Al blistri a</w:t>
      </w:r>
      <w:r w:rsidR="00CF59E1">
        <w:rPr>
          <w:sz w:val="22"/>
          <w:szCs w:val="22"/>
          <w:lang w:val="sk-SK"/>
        </w:rPr>
        <w:t> </w:t>
      </w:r>
      <w:r w:rsidRPr="0065581A">
        <w:rPr>
          <w:sz w:val="22"/>
          <w:szCs w:val="22"/>
          <w:lang w:val="sk-SK"/>
        </w:rPr>
        <w:t>papierovej</w:t>
      </w:r>
      <w:r w:rsidR="00CF59E1">
        <w:rPr>
          <w:sz w:val="22"/>
          <w:szCs w:val="22"/>
          <w:lang w:val="sk-SK"/>
        </w:rPr>
        <w:t xml:space="preserve"> </w:t>
      </w:r>
      <w:r w:rsidRPr="0065581A">
        <w:rPr>
          <w:sz w:val="22"/>
          <w:szCs w:val="22"/>
          <w:lang w:val="sk-SK"/>
        </w:rPr>
        <w:t>škatuľke.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077E69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5581A">
        <w:rPr>
          <w:b/>
          <w:sz w:val="22"/>
          <w:szCs w:val="22"/>
          <w:lang w:val="sk-SK"/>
        </w:rPr>
        <w:t>6.6</w:t>
      </w:r>
      <w:r w:rsidRPr="0065581A">
        <w:rPr>
          <w:b/>
          <w:sz w:val="22"/>
          <w:szCs w:val="22"/>
          <w:lang w:val="sk-SK"/>
        </w:rPr>
        <w:tab/>
        <w:t>Špeciálne opatrenia na likvidáciu a iné zaobchádzanie s liekom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  <w:r w:rsidRPr="0065581A">
        <w:rPr>
          <w:sz w:val="22"/>
          <w:szCs w:val="22"/>
          <w:lang w:val="sk-SK"/>
        </w:rPr>
        <w:t>Žiadne zvláštne požiadavky.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3A7D01">
      <w:pPr>
        <w:pStyle w:val="ListParagraph1"/>
        <w:numPr>
          <w:ilvl w:val="0"/>
          <w:numId w:val="2"/>
        </w:numPr>
        <w:tabs>
          <w:tab w:val="left" w:pos="567"/>
          <w:tab w:val="num" w:pos="855"/>
        </w:tabs>
        <w:ind w:left="567" w:hanging="567"/>
        <w:rPr>
          <w:b/>
          <w:bCs/>
          <w:caps/>
          <w:snapToGrid w:val="0"/>
          <w:sz w:val="22"/>
          <w:szCs w:val="22"/>
          <w:lang w:val="sk-SK" w:eastAsia="en-US"/>
        </w:rPr>
      </w:pPr>
      <w:r w:rsidRPr="0065581A">
        <w:rPr>
          <w:b/>
          <w:bCs/>
          <w:caps/>
          <w:snapToGrid w:val="0"/>
          <w:sz w:val="22"/>
          <w:szCs w:val="22"/>
          <w:lang w:val="sk-SK" w:eastAsia="en-US"/>
        </w:rPr>
        <w:t>Držiteľ rozhodnutia o registrácii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3A7D01">
      <w:pPr>
        <w:rPr>
          <w:bCs/>
          <w:sz w:val="22"/>
          <w:szCs w:val="22"/>
          <w:lang w:val="sk-SK"/>
        </w:rPr>
      </w:pPr>
      <w:smartTag w:uri="urn:schemas-microsoft-com:office:smarttags" w:element="PersonName">
        <w:smartTagPr>
          <w:attr w:name="ProductID" w:val="Gedeon Richter"/>
        </w:smartTagPr>
        <w:r w:rsidRPr="0065581A">
          <w:rPr>
            <w:bCs/>
            <w:sz w:val="22"/>
            <w:szCs w:val="22"/>
            <w:lang w:val="sk-SK"/>
          </w:rPr>
          <w:t>Gedeon Richter</w:t>
        </w:r>
      </w:smartTag>
      <w:r w:rsidRPr="0065581A">
        <w:rPr>
          <w:bCs/>
          <w:sz w:val="22"/>
          <w:szCs w:val="22"/>
          <w:lang w:val="sk-SK"/>
        </w:rPr>
        <w:t xml:space="preserve"> Plc.</w:t>
      </w:r>
    </w:p>
    <w:p w:rsidR="005E4AB2" w:rsidRDefault="005E4AB2" w:rsidP="003A7D01">
      <w:pPr>
        <w:rPr>
          <w:color w:val="000000"/>
          <w:sz w:val="22"/>
          <w:szCs w:val="22"/>
          <w:lang w:val="sk-SK"/>
        </w:rPr>
      </w:pPr>
      <w:r w:rsidRPr="0065581A">
        <w:rPr>
          <w:color w:val="000000"/>
          <w:sz w:val="22"/>
          <w:szCs w:val="22"/>
          <w:lang w:val="sk-SK"/>
        </w:rPr>
        <w:t>Gyömrői út 19-21</w:t>
      </w:r>
    </w:p>
    <w:p w:rsidR="00576D86" w:rsidRPr="0065581A" w:rsidRDefault="00576D86" w:rsidP="00576D86">
      <w:pPr>
        <w:rPr>
          <w:bCs/>
          <w:sz w:val="22"/>
          <w:szCs w:val="22"/>
          <w:lang w:val="sk-SK"/>
        </w:rPr>
      </w:pPr>
      <w:r w:rsidRPr="0065581A">
        <w:rPr>
          <w:bCs/>
          <w:sz w:val="22"/>
          <w:szCs w:val="22"/>
          <w:lang w:val="sk-SK"/>
        </w:rPr>
        <w:t xml:space="preserve">1103 Budapešť </w:t>
      </w:r>
    </w:p>
    <w:p w:rsidR="005E4AB2" w:rsidRPr="0065581A" w:rsidRDefault="005E4AB2" w:rsidP="003A7D01">
      <w:pPr>
        <w:rPr>
          <w:bCs/>
          <w:sz w:val="22"/>
          <w:szCs w:val="22"/>
          <w:lang w:val="sk-SK"/>
        </w:rPr>
      </w:pPr>
      <w:r w:rsidRPr="0065581A">
        <w:rPr>
          <w:bCs/>
          <w:sz w:val="22"/>
          <w:szCs w:val="22"/>
          <w:lang w:val="sk-SK"/>
        </w:rPr>
        <w:t>Maďarsko</w:t>
      </w: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840F41">
      <w:pPr>
        <w:rPr>
          <w:sz w:val="22"/>
          <w:szCs w:val="22"/>
          <w:lang w:val="sk-SK"/>
        </w:rPr>
      </w:pPr>
    </w:p>
    <w:p w:rsidR="005E4AB2" w:rsidRPr="0065581A" w:rsidRDefault="005E4AB2" w:rsidP="003A7D01">
      <w:pPr>
        <w:pStyle w:val="ListParagraph1"/>
        <w:numPr>
          <w:ilvl w:val="0"/>
          <w:numId w:val="2"/>
        </w:numPr>
        <w:tabs>
          <w:tab w:val="left" w:pos="567"/>
          <w:tab w:val="num" w:pos="855"/>
        </w:tabs>
        <w:ind w:left="567" w:hanging="567"/>
        <w:rPr>
          <w:b/>
          <w:bCs/>
          <w:caps/>
          <w:snapToGrid w:val="0"/>
          <w:sz w:val="22"/>
          <w:szCs w:val="22"/>
          <w:lang w:val="sk-SK" w:eastAsia="en-US"/>
        </w:rPr>
      </w:pPr>
      <w:r w:rsidRPr="0065581A">
        <w:rPr>
          <w:b/>
          <w:bCs/>
          <w:caps/>
          <w:snapToGrid w:val="0"/>
          <w:sz w:val="22"/>
          <w:szCs w:val="22"/>
          <w:lang w:val="sk-SK" w:eastAsia="en-US"/>
        </w:rPr>
        <w:t>Registračné číslo</w:t>
      </w:r>
    </w:p>
    <w:p w:rsidR="005E4AB2" w:rsidRPr="0065581A" w:rsidRDefault="005E4AB2" w:rsidP="003A7D01">
      <w:pPr>
        <w:tabs>
          <w:tab w:val="left" w:pos="567"/>
        </w:tabs>
        <w:rPr>
          <w:b/>
          <w:bCs/>
          <w:caps/>
          <w:snapToGrid w:val="0"/>
          <w:sz w:val="22"/>
          <w:szCs w:val="22"/>
          <w:lang w:val="sk-SK" w:eastAsia="en-US"/>
        </w:rPr>
      </w:pPr>
    </w:p>
    <w:p w:rsidR="005E4AB2" w:rsidRPr="004A6946" w:rsidRDefault="00576D86" w:rsidP="00840F41">
      <w:pPr>
        <w:rPr>
          <w:sz w:val="22"/>
          <w:lang w:val="sk-SK"/>
        </w:rPr>
      </w:pPr>
      <w:r w:rsidRPr="004A6946">
        <w:rPr>
          <w:sz w:val="22"/>
          <w:lang w:val="sk-SK"/>
        </w:rPr>
        <w:t>Reg.</w:t>
      </w:r>
      <w:r w:rsidR="004F08B1">
        <w:rPr>
          <w:sz w:val="22"/>
          <w:lang w:val="sk-SK"/>
        </w:rPr>
        <w:t xml:space="preserve"> </w:t>
      </w:r>
      <w:r w:rsidRPr="004A6946">
        <w:rPr>
          <w:sz w:val="22"/>
          <w:lang w:val="sk-SK"/>
        </w:rPr>
        <w:t xml:space="preserve">č. </w:t>
      </w:r>
      <w:r w:rsidR="00E02312" w:rsidRPr="004A6946">
        <w:rPr>
          <w:sz w:val="22"/>
          <w:lang w:val="sk-SK"/>
        </w:rPr>
        <w:t>56/0201/12-S</w:t>
      </w:r>
    </w:p>
    <w:p w:rsidR="005E4AB2" w:rsidRDefault="005E4AB2" w:rsidP="00840F41">
      <w:pPr>
        <w:rPr>
          <w:b/>
          <w:sz w:val="22"/>
          <w:szCs w:val="22"/>
          <w:lang w:val="sk-SK"/>
        </w:rPr>
      </w:pPr>
    </w:p>
    <w:p w:rsidR="00E02312" w:rsidRPr="0065581A" w:rsidRDefault="00E0231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3A7D01">
      <w:pPr>
        <w:pStyle w:val="ListParagraph1"/>
        <w:numPr>
          <w:ilvl w:val="0"/>
          <w:numId w:val="2"/>
        </w:numPr>
        <w:tabs>
          <w:tab w:val="left" w:pos="567"/>
          <w:tab w:val="num" w:pos="855"/>
        </w:tabs>
        <w:ind w:left="567" w:hanging="567"/>
        <w:rPr>
          <w:b/>
          <w:bCs/>
          <w:caps/>
          <w:snapToGrid w:val="0"/>
          <w:sz w:val="22"/>
          <w:szCs w:val="22"/>
          <w:lang w:val="sk-SK" w:eastAsia="en-US"/>
        </w:rPr>
      </w:pPr>
      <w:r w:rsidRPr="0065581A">
        <w:rPr>
          <w:b/>
          <w:bCs/>
          <w:caps/>
          <w:snapToGrid w:val="0"/>
          <w:sz w:val="22"/>
          <w:szCs w:val="22"/>
          <w:lang w:val="sk-SK" w:eastAsia="en-US"/>
        </w:rPr>
        <w:t>Dátum prvej registrácie/PREDĹŽENIA REGISTRÁCIE</w:t>
      </w: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Default="009163DB" w:rsidP="003A7D01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Dátum prvej registrácie:</w:t>
      </w:r>
      <w:r w:rsidR="00C54B32">
        <w:rPr>
          <w:bCs/>
          <w:sz w:val="22"/>
          <w:szCs w:val="22"/>
          <w:lang w:val="sk-SK"/>
        </w:rPr>
        <w:t xml:space="preserve"> 16. jún</w:t>
      </w:r>
      <w:r w:rsidR="004F08B1">
        <w:rPr>
          <w:bCs/>
          <w:sz w:val="22"/>
          <w:szCs w:val="22"/>
          <w:lang w:val="sk-SK"/>
        </w:rPr>
        <w:t>a</w:t>
      </w:r>
      <w:r w:rsidR="00C54B32">
        <w:rPr>
          <w:bCs/>
          <w:sz w:val="22"/>
          <w:szCs w:val="22"/>
          <w:lang w:val="sk-SK"/>
        </w:rPr>
        <w:t xml:space="preserve"> 201</w:t>
      </w:r>
      <w:r w:rsidR="004F08B1">
        <w:rPr>
          <w:bCs/>
          <w:sz w:val="22"/>
          <w:szCs w:val="22"/>
          <w:lang w:val="sk-SK"/>
        </w:rPr>
        <w:t>2</w:t>
      </w:r>
    </w:p>
    <w:p w:rsidR="005E4AB2" w:rsidRPr="00CB7B73" w:rsidRDefault="004F08B1" w:rsidP="00840F41">
      <w:pPr>
        <w:rPr>
          <w:sz w:val="22"/>
          <w:szCs w:val="22"/>
          <w:lang w:val="sk-SK"/>
        </w:rPr>
      </w:pPr>
      <w:r w:rsidRPr="00CB7B73">
        <w:rPr>
          <w:sz w:val="22"/>
          <w:szCs w:val="22"/>
          <w:lang w:val="sk-SK"/>
        </w:rPr>
        <w:t>Dátum posledného predĺženia registrácie:</w:t>
      </w:r>
    </w:p>
    <w:p w:rsidR="004F08B1" w:rsidRPr="0065581A" w:rsidRDefault="004F08B1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840F41">
      <w:pPr>
        <w:rPr>
          <w:b/>
          <w:sz w:val="22"/>
          <w:szCs w:val="22"/>
          <w:lang w:val="sk-SK"/>
        </w:rPr>
      </w:pPr>
    </w:p>
    <w:p w:rsidR="005E4AB2" w:rsidRPr="0065581A" w:rsidRDefault="005E4AB2" w:rsidP="003A7D01">
      <w:pPr>
        <w:pStyle w:val="ListParagraph1"/>
        <w:numPr>
          <w:ilvl w:val="0"/>
          <w:numId w:val="2"/>
        </w:numPr>
        <w:tabs>
          <w:tab w:val="left" w:pos="567"/>
          <w:tab w:val="num" w:pos="855"/>
        </w:tabs>
        <w:ind w:left="567" w:hanging="567"/>
        <w:rPr>
          <w:b/>
          <w:bCs/>
          <w:caps/>
          <w:snapToGrid w:val="0"/>
          <w:sz w:val="22"/>
          <w:szCs w:val="22"/>
          <w:lang w:val="sk-SK" w:eastAsia="en-US"/>
        </w:rPr>
      </w:pPr>
      <w:r w:rsidRPr="0065581A">
        <w:rPr>
          <w:b/>
          <w:bCs/>
          <w:caps/>
          <w:snapToGrid w:val="0"/>
          <w:sz w:val="22"/>
          <w:szCs w:val="22"/>
          <w:lang w:val="sk-SK" w:eastAsia="en-US"/>
        </w:rPr>
        <w:t>Dátum revízie textu</w:t>
      </w:r>
    </w:p>
    <w:p w:rsidR="005E4AB2" w:rsidRPr="0065581A" w:rsidRDefault="005E4AB2" w:rsidP="00840F41">
      <w:pPr>
        <w:rPr>
          <w:b/>
          <w:bCs/>
          <w:sz w:val="22"/>
          <w:szCs w:val="22"/>
          <w:lang w:val="sk-SK"/>
        </w:rPr>
      </w:pPr>
    </w:p>
    <w:p w:rsidR="005E4AB2" w:rsidRPr="0065581A" w:rsidRDefault="004F08B1" w:rsidP="00754BE4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11/2019</w:t>
      </w:r>
    </w:p>
    <w:sectPr w:rsidR="005E4AB2" w:rsidRPr="0065581A" w:rsidSect="00CB7B73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5D8" w:rsidRDefault="00BA35D8" w:rsidP="00840F41">
      <w:r>
        <w:separator/>
      </w:r>
    </w:p>
  </w:endnote>
  <w:endnote w:type="continuationSeparator" w:id="0">
    <w:p w:rsidR="00BA35D8" w:rsidRDefault="00BA35D8" w:rsidP="00840F41">
      <w:r>
        <w:continuationSeparator/>
      </w:r>
    </w:p>
  </w:endnote>
  <w:endnote w:type="continuationNotice" w:id="1">
    <w:p w:rsidR="00BA35D8" w:rsidRDefault="00BA3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68" w:rsidRPr="004A6946" w:rsidRDefault="009F1568">
    <w:pPr>
      <w:pStyle w:val="Pta"/>
      <w:jc w:val="center"/>
      <w:rPr>
        <w:sz w:val="18"/>
        <w:szCs w:val="18"/>
      </w:rPr>
    </w:pPr>
    <w:r w:rsidRPr="004A6946">
      <w:rPr>
        <w:sz w:val="18"/>
        <w:szCs w:val="18"/>
      </w:rPr>
      <w:fldChar w:fldCharType="begin"/>
    </w:r>
    <w:r w:rsidRPr="004A6946">
      <w:rPr>
        <w:sz w:val="18"/>
        <w:szCs w:val="18"/>
      </w:rPr>
      <w:instrText>PAGE   \* MERGEFORMAT</w:instrText>
    </w:r>
    <w:r w:rsidRPr="004A6946">
      <w:rPr>
        <w:sz w:val="18"/>
        <w:szCs w:val="18"/>
      </w:rPr>
      <w:fldChar w:fldCharType="separate"/>
    </w:r>
    <w:r w:rsidR="00CB7B73" w:rsidRPr="00CB7B73">
      <w:rPr>
        <w:noProof/>
        <w:sz w:val="18"/>
        <w:szCs w:val="18"/>
        <w:lang w:val="sk-SK"/>
      </w:rPr>
      <w:t>7</w:t>
    </w:r>
    <w:r w:rsidRPr="004A6946">
      <w:rPr>
        <w:sz w:val="18"/>
        <w:szCs w:val="18"/>
      </w:rPr>
      <w:fldChar w:fldCharType="end"/>
    </w:r>
  </w:p>
  <w:p w:rsidR="009F1568" w:rsidRDefault="009F156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68" w:rsidRPr="004A6946" w:rsidRDefault="009F1568">
    <w:pPr>
      <w:pStyle w:val="Pta"/>
      <w:jc w:val="center"/>
      <w:rPr>
        <w:sz w:val="18"/>
        <w:szCs w:val="18"/>
      </w:rPr>
    </w:pPr>
    <w:r w:rsidRPr="004A6946">
      <w:rPr>
        <w:sz w:val="18"/>
        <w:szCs w:val="18"/>
      </w:rPr>
      <w:fldChar w:fldCharType="begin"/>
    </w:r>
    <w:r w:rsidRPr="004A6946">
      <w:rPr>
        <w:sz w:val="18"/>
        <w:szCs w:val="18"/>
      </w:rPr>
      <w:instrText>PAGE   \* MERGEFORMAT</w:instrText>
    </w:r>
    <w:r w:rsidRPr="004A6946">
      <w:rPr>
        <w:sz w:val="18"/>
        <w:szCs w:val="18"/>
      </w:rPr>
      <w:fldChar w:fldCharType="separate"/>
    </w:r>
    <w:r w:rsidR="00736E2F" w:rsidRPr="00736E2F">
      <w:rPr>
        <w:noProof/>
        <w:sz w:val="18"/>
        <w:szCs w:val="18"/>
        <w:lang w:val="sk-SK"/>
      </w:rPr>
      <w:t>1</w:t>
    </w:r>
    <w:r w:rsidRPr="004A6946">
      <w:rPr>
        <w:sz w:val="18"/>
        <w:szCs w:val="18"/>
      </w:rPr>
      <w:fldChar w:fldCharType="end"/>
    </w:r>
  </w:p>
  <w:p w:rsidR="009F1568" w:rsidRDefault="009F156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5D8" w:rsidRDefault="00BA35D8" w:rsidP="00840F41">
      <w:r>
        <w:separator/>
      </w:r>
    </w:p>
  </w:footnote>
  <w:footnote w:type="continuationSeparator" w:id="0">
    <w:p w:rsidR="00BA35D8" w:rsidRDefault="00BA35D8" w:rsidP="00840F41">
      <w:r>
        <w:continuationSeparator/>
      </w:r>
    </w:p>
  </w:footnote>
  <w:footnote w:type="continuationNotice" w:id="1">
    <w:p w:rsidR="00BA35D8" w:rsidRDefault="00BA35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E2F" w:rsidRDefault="00736E2F" w:rsidP="00736E2F">
    <w:pPr>
      <w:pStyle w:val="Hlavika"/>
      <w:rPr>
        <w:sz w:val="18"/>
        <w:szCs w:val="18"/>
        <w:lang w:val="sk-SK"/>
      </w:rPr>
    </w:pPr>
    <w:r w:rsidRPr="00CB7B73">
      <w:rPr>
        <w:noProof/>
        <w:sz w:val="18"/>
        <w:szCs w:val="18"/>
        <w:lang w:val="sk-SK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9B106E2" wp14:editId="0761D40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1905" b="0"/>
              <wp:wrapNone/>
              <wp:docPr id="1" name="Blok textu 1" descr="{&quot;HashCode&quot;:889943143,&quot;Height&quot;:842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E2F" w:rsidRPr="007B5710" w:rsidRDefault="00736E2F" w:rsidP="00736E2F">
                          <w:pPr>
                            <w:rPr>
                              <w:rFonts w:ascii="Calibri" w:hAnsi="Calibri" w:cs="Calibri"/>
                              <w:color w:val="3171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lok textu 1" o:spid="_x0000_s1026" type="#_x0000_t202" alt="{&quot;HashCode&quot;:889943143,&quot;Height&quot;:842.0,&quot;Width&quot;:595.0,&quot;Placement&quot;:&quot;Header&quot;,&quot;Index&quot;:&quot;FirstPage&quot;,&quot;Section&quot;:1,&quot;Top&quot;:0.0,&quot;Left&quot;:0.0}" style="position:absolute;margin-left:0;margin-top:15pt;width:595.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" o:allowincell="f" filled="f" stroked="f">
              <v:textbox inset="20pt,0,,0">
                <w:txbxContent>
                  <w:p w:rsidR="00736E2F" w:rsidRPr="007B5710" w:rsidRDefault="00736E2F" w:rsidP="00736E2F">
                    <w:pPr>
                      <w:rPr>
                        <w:rFonts w:ascii="Calibri" w:hAnsi="Calibri" w:cs="Calibri"/>
                        <w:color w:val="3171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8"/>
        <w:szCs w:val="18"/>
        <w:lang w:val="sk-SK"/>
      </w:rPr>
      <w:t>Schválený text k rozhodnutiu o predĺžení, ev. č.: 2016/02029-PRE</w:t>
    </w:r>
  </w:p>
  <w:p w:rsidR="007B5710" w:rsidRPr="00CB7B73" w:rsidRDefault="00736E2F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zmene, ev. č.: 2018/00697-ZME</w:t>
    </w:r>
    <w:r w:rsidR="00CB7B7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df604db182d23ba1f9e949bc" o:spid="_x0000_s2049" type="#_x0000_t202" alt="{&quot;HashCode&quot;:889943143,&quot;Height&quot;:842.0,&quot;Width&quot;:595.0,&quot;Placement&quot;:&quot;Header&quot;,&quot;Index&quot;:&quot;Primary&quot;,&quot;Section&quot;:1,&quot;Top&quot;:0.0,&quot;Left&quot;:0.0}" style="position:absolute;margin-left:0;margin-top:15pt;width:595.35pt;height:21pt;z-index:251657216;mso-position-horizontal-relative:page;mso-position-vertical-relative:page" o:allowincell="f" filled="f" stroked="f">
          <v:textbox inset="20pt,0,,0">
            <w:txbxContent>
              <w:p w:rsidR="007B5710" w:rsidRPr="007B5710" w:rsidRDefault="007B5710" w:rsidP="007B5710">
                <w:pPr>
                  <w:rPr>
                    <w:rFonts w:ascii="Calibri" w:hAnsi="Calibri" w:cs="Calibri"/>
                    <w:color w:val="317100"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E2F" w:rsidRDefault="00CB7B73">
    <w:pPr>
      <w:pStyle w:val="Hlavika"/>
      <w:rPr>
        <w:sz w:val="18"/>
        <w:szCs w:val="18"/>
        <w:lang w:val="sk-SK"/>
      </w:rPr>
    </w:pPr>
    <w:r>
      <w:rPr>
        <w:noProof/>
        <w:sz w:val="18"/>
        <w:szCs w:val="18"/>
        <w:lang w:val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24a244afb8eec12a135979ff" o:spid="_x0000_s2050" type="#_x0000_t202" alt="{&quot;HashCode&quot;:889943143,&quot;Height&quot;:842.0,&quot;Width&quot;:595.0,&quot;Placement&quot;:&quot;Header&quot;,&quot;Index&quot;:&quot;FirstPage&quot;,&quot;Section&quot;:1,&quot;Top&quot;:0.0,&quot;Left&quot;:0.0}" style="position:absolute;margin-left:0;margin-top:15pt;width:595.35pt;height:21pt;z-index:251658240;mso-position-horizontal-relative:page;mso-position-vertical-relative:page" o:allowincell="f" filled="f" stroked="f">
          <v:textbox inset="20pt,0,,0">
            <w:txbxContent>
              <w:p w:rsidR="007B5710" w:rsidRPr="007B5710" w:rsidRDefault="007B5710" w:rsidP="007B5710">
                <w:pPr>
                  <w:rPr>
                    <w:rFonts w:ascii="Calibri" w:hAnsi="Calibri" w:cs="Calibri"/>
                    <w:color w:val="3171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736E2F">
      <w:rPr>
        <w:sz w:val="18"/>
        <w:szCs w:val="18"/>
        <w:lang w:val="sk-SK"/>
      </w:rPr>
      <w:t>Schválený text k rozhodnutiu o predĺžení, ev. č.: 2016/02029-PRE</w:t>
    </w:r>
  </w:p>
  <w:p w:rsidR="009F1568" w:rsidRPr="004A6946" w:rsidRDefault="00736E2F" w:rsidP="00736E2F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zmene, ev. č.: 2018/00697-ZME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0703"/>
    <w:multiLevelType w:val="hybridMultilevel"/>
    <w:tmpl w:val="685C11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F92065"/>
    <w:multiLevelType w:val="hybridMultilevel"/>
    <w:tmpl w:val="475CF1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F41"/>
    <w:rsid w:val="00001555"/>
    <w:rsid w:val="00013E1A"/>
    <w:rsid w:val="000201AF"/>
    <w:rsid w:val="00023198"/>
    <w:rsid w:val="000247EA"/>
    <w:rsid w:val="0005641F"/>
    <w:rsid w:val="00057BB2"/>
    <w:rsid w:val="00061E54"/>
    <w:rsid w:val="00077613"/>
    <w:rsid w:val="00077E69"/>
    <w:rsid w:val="000800E3"/>
    <w:rsid w:val="000828EC"/>
    <w:rsid w:val="000953FF"/>
    <w:rsid w:val="000B1090"/>
    <w:rsid w:val="000B4B9E"/>
    <w:rsid w:val="000B4FBD"/>
    <w:rsid w:val="000C0B9B"/>
    <w:rsid w:val="000E465A"/>
    <w:rsid w:val="000F29A0"/>
    <w:rsid w:val="000F5F19"/>
    <w:rsid w:val="000F6549"/>
    <w:rsid w:val="00132E20"/>
    <w:rsid w:val="00133CA3"/>
    <w:rsid w:val="001359D4"/>
    <w:rsid w:val="00136C1F"/>
    <w:rsid w:val="00157CC1"/>
    <w:rsid w:val="001664D2"/>
    <w:rsid w:val="00196BC7"/>
    <w:rsid w:val="001A12E3"/>
    <w:rsid w:val="001A601A"/>
    <w:rsid w:val="001E5A67"/>
    <w:rsid w:val="001F1DF9"/>
    <w:rsid w:val="002033AE"/>
    <w:rsid w:val="00220CCE"/>
    <w:rsid w:val="00233B1C"/>
    <w:rsid w:val="002357BF"/>
    <w:rsid w:val="00242857"/>
    <w:rsid w:val="00247617"/>
    <w:rsid w:val="00251C84"/>
    <w:rsid w:val="00251EDA"/>
    <w:rsid w:val="002D3670"/>
    <w:rsid w:val="002E0B47"/>
    <w:rsid w:val="002E5F24"/>
    <w:rsid w:val="002E66B3"/>
    <w:rsid w:val="002F1E18"/>
    <w:rsid w:val="002F753B"/>
    <w:rsid w:val="00311B7F"/>
    <w:rsid w:val="0032685D"/>
    <w:rsid w:val="00344743"/>
    <w:rsid w:val="003449EB"/>
    <w:rsid w:val="003860B2"/>
    <w:rsid w:val="003A7D01"/>
    <w:rsid w:val="003C62B2"/>
    <w:rsid w:val="00405D9C"/>
    <w:rsid w:val="00424708"/>
    <w:rsid w:val="004266A1"/>
    <w:rsid w:val="004364A8"/>
    <w:rsid w:val="00442992"/>
    <w:rsid w:val="00452F8B"/>
    <w:rsid w:val="00463F51"/>
    <w:rsid w:val="004903C5"/>
    <w:rsid w:val="004946CC"/>
    <w:rsid w:val="004A6946"/>
    <w:rsid w:val="004D5C5D"/>
    <w:rsid w:val="004E1928"/>
    <w:rsid w:val="004F08B1"/>
    <w:rsid w:val="004F40E7"/>
    <w:rsid w:val="0051006A"/>
    <w:rsid w:val="005209C2"/>
    <w:rsid w:val="00562DCD"/>
    <w:rsid w:val="00575D4C"/>
    <w:rsid w:val="00576D86"/>
    <w:rsid w:val="00586AA0"/>
    <w:rsid w:val="005D45C0"/>
    <w:rsid w:val="005E4AB2"/>
    <w:rsid w:val="00615BE2"/>
    <w:rsid w:val="00652A73"/>
    <w:rsid w:val="0065581A"/>
    <w:rsid w:val="006906BC"/>
    <w:rsid w:val="006A136B"/>
    <w:rsid w:val="006B17DC"/>
    <w:rsid w:val="006C19AD"/>
    <w:rsid w:val="006D5CE6"/>
    <w:rsid w:val="006F219F"/>
    <w:rsid w:val="00707ADA"/>
    <w:rsid w:val="00710D8D"/>
    <w:rsid w:val="0071320A"/>
    <w:rsid w:val="00717CE5"/>
    <w:rsid w:val="00720244"/>
    <w:rsid w:val="00736E2F"/>
    <w:rsid w:val="00741DEB"/>
    <w:rsid w:val="00754BE4"/>
    <w:rsid w:val="00770C33"/>
    <w:rsid w:val="0077414E"/>
    <w:rsid w:val="007929F5"/>
    <w:rsid w:val="007A35CE"/>
    <w:rsid w:val="007B3DA5"/>
    <w:rsid w:val="007B5710"/>
    <w:rsid w:val="007C76D6"/>
    <w:rsid w:val="007D7FE1"/>
    <w:rsid w:val="007F797E"/>
    <w:rsid w:val="0080300E"/>
    <w:rsid w:val="008354B2"/>
    <w:rsid w:val="00835C2A"/>
    <w:rsid w:val="0084041A"/>
    <w:rsid w:val="00840F41"/>
    <w:rsid w:val="00856E08"/>
    <w:rsid w:val="00887306"/>
    <w:rsid w:val="00890162"/>
    <w:rsid w:val="0089156C"/>
    <w:rsid w:val="008A1D78"/>
    <w:rsid w:val="008A3928"/>
    <w:rsid w:val="008B118E"/>
    <w:rsid w:val="008B4035"/>
    <w:rsid w:val="008C7024"/>
    <w:rsid w:val="008D1FC3"/>
    <w:rsid w:val="009163DB"/>
    <w:rsid w:val="009210C0"/>
    <w:rsid w:val="00932DEF"/>
    <w:rsid w:val="00942832"/>
    <w:rsid w:val="0096279C"/>
    <w:rsid w:val="00970D2E"/>
    <w:rsid w:val="00974A7C"/>
    <w:rsid w:val="009820F8"/>
    <w:rsid w:val="009B70A3"/>
    <w:rsid w:val="009C1E16"/>
    <w:rsid w:val="009C5F9A"/>
    <w:rsid w:val="009D7502"/>
    <w:rsid w:val="009E1E5A"/>
    <w:rsid w:val="009E4D80"/>
    <w:rsid w:val="009E5256"/>
    <w:rsid w:val="009F097F"/>
    <w:rsid w:val="009F1568"/>
    <w:rsid w:val="009F5962"/>
    <w:rsid w:val="00A05BBF"/>
    <w:rsid w:val="00A102DC"/>
    <w:rsid w:val="00A226AD"/>
    <w:rsid w:val="00A34877"/>
    <w:rsid w:val="00A4108D"/>
    <w:rsid w:val="00A442B4"/>
    <w:rsid w:val="00A63874"/>
    <w:rsid w:val="00AA0568"/>
    <w:rsid w:val="00AA1BDE"/>
    <w:rsid w:val="00AD3B1C"/>
    <w:rsid w:val="00AE38AF"/>
    <w:rsid w:val="00AE7FFC"/>
    <w:rsid w:val="00B1791E"/>
    <w:rsid w:val="00B22C43"/>
    <w:rsid w:val="00B274EF"/>
    <w:rsid w:val="00B5341B"/>
    <w:rsid w:val="00B56C47"/>
    <w:rsid w:val="00B6030C"/>
    <w:rsid w:val="00B9491E"/>
    <w:rsid w:val="00BA1DF0"/>
    <w:rsid w:val="00BA35D8"/>
    <w:rsid w:val="00BA694C"/>
    <w:rsid w:val="00BB0917"/>
    <w:rsid w:val="00BB0FF3"/>
    <w:rsid w:val="00BB305C"/>
    <w:rsid w:val="00BB5576"/>
    <w:rsid w:val="00BC4952"/>
    <w:rsid w:val="00BE3872"/>
    <w:rsid w:val="00BF5191"/>
    <w:rsid w:val="00C2628F"/>
    <w:rsid w:val="00C425F8"/>
    <w:rsid w:val="00C54B32"/>
    <w:rsid w:val="00C65504"/>
    <w:rsid w:val="00C749C8"/>
    <w:rsid w:val="00C75072"/>
    <w:rsid w:val="00C944C0"/>
    <w:rsid w:val="00CA2D8C"/>
    <w:rsid w:val="00CA4299"/>
    <w:rsid w:val="00CB214D"/>
    <w:rsid w:val="00CB7B73"/>
    <w:rsid w:val="00CC14C8"/>
    <w:rsid w:val="00CF59E1"/>
    <w:rsid w:val="00D07629"/>
    <w:rsid w:val="00D86959"/>
    <w:rsid w:val="00DA2180"/>
    <w:rsid w:val="00DC66F0"/>
    <w:rsid w:val="00DD0AA9"/>
    <w:rsid w:val="00E02312"/>
    <w:rsid w:val="00E03A94"/>
    <w:rsid w:val="00E15115"/>
    <w:rsid w:val="00E5001C"/>
    <w:rsid w:val="00E7187A"/>
    <w:rsid w:val="00E84979"/>
    <w:rsid w:val="00E84DF9"/>
    <w:rsid w:val="00E86086"/>
    <w:rsid w:val="00E86758"/>
    <w:rsid w:val="00E91AD6"/>
    <w:rsid w:val="00EA333E"/>
    <w:rsid w:val="00EB1070"/>
    <w:rsid w:val="00EC53C0"/>
    <w:rsid w:val="00EF61CD"/>
    <w:rsid w:val="00F106CB"/>
    <w:rsid w:val="00F14E13"/>
    <w:rsid w:val="00F1688C"/>
    <w:rsid w:val="00F17397"/>
    <w:rsid w:val="00F177B3"/>
    <w:rsid w:val="00F23599"/>
    <w:rsid w:val="00F42F82"/>
    <w:rsid w:val="00F75799"/>
    <w:rsid w:val="00F97323"/>
    <w:rsid w:val="00FA6B3B"/>
    <w:rsid w:val="00FB0BA8"/>
    <w:rsid w:val="00FC32CC"/>
    <w:rsid w:val="00FE5CE5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40F41"/>
    <w:rPr>
      <w:rFonts w:ascii="Times New Roman" w:hAnsi="Times New Roman"/>
      <w:lang w:val="en-GB"/>
    </w:rPr>
  </w:style>
  <w:style w:type="paragraph" w:styleId="Nadpis2">
    <w:name w:val="heading 2"/>
    <w:basedOn w:val="Normlny"/>
    <w:next w:val="Normlny"/>
    <w:link w:val="Nadpis2Char"/>
    <w:qFormat/>
    <w:rsid w:val="00840F41"/>
    <w:pPr>
      <w:keepNext/>
      <w:outlineLvl w:val="1"/>
    </w:pPr>
    <w:rPr>
      <w:lang w:val="x-none"/>
    </w:rPr>
  </w:style>
  <w:style w:type="paragraph" w:styleId="Nadpis3">
    <w:name w:val="heading 3"/>
    <w:basedOn w:val="Normlny"/>
    <w:next w:val="Normlny"/>
    <w:link w:val="Nadpis3Char"/>
    <w:qFormat/>
    <w:rsid w:val="00840F41"/>
    <w:pPr>
      <w:keepNext/>
      <w:outlineLvl w:val="2"/>
    </w:pPr>
    <w:rPr>
      <w:rFonts w:ascii="Tahoma" w:hAnsi="Tahoma"/>
      <w:u w:val="single"/>
      <w:lang w:val="x-none"/>
    </w:rPr>
  </w:style>
  <w:style w:type="paragraph" w:styleId="Nadpis4">
    <w:name w:val="heading 4"/>
    <w:basedOn w:val="Normlny"/>
    <w:next w:val="Normlny"/>
    <w:link w:val="Nadpis4Char"/>
    <w:qFormat/>
    <w:rsid w:val="00840F41"/>
    <w:pPr>
      <w:keepNext/>
      <w:outlineLvl w:val="3"/>
    </w:pPr>
    <w:rPr>
      <w:rFonts w:ascii="Tahoma" w:hAnsi="Tahoma"/>
      <w:b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840F41"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Nadpis3Char">
    <w:name w:val="Nadpis 3 Char"/>
    <w:link w:val="Nadpis3"/>
    <w:locked/>
    <w:rsid w:val="00840F41"/>
    <w:rPr>
      <w:rFonts w:ascii="Tahoma" w:hAnsi="Tahoma" w:cs="Times New Roman"/>
      <w:sz w:val="20"/>
      <w:szCs w:val="20"/>
      <w:u w:val="single"/>
      <w:lang w:val="x-none" w:eastAsia="sk-SK"/>
    </w:rPr>
  </w:style>
  <w:style w:type="character" w:customStyle="1" w:styleId="Nadpis4Char">
    <w:name w:val="Nadpis 4 Char"/>
    <w:link w:val="Nadpis4"/>
    <w:locked/>
    <w:rsid w:val="00840F41"/>
    <w:rPr>
      <w:rFonts w:ascii="Tahoma" w:hAnsi="Tahoma" w:cs="Times New Roman"/>
      <w:b/>
      <w:sz w:val="20"/>
      <w:szCs w:val="20"/>
      <w:lang w:val="x-none" w:eastAsia="sk-SK"/>
    </w:rPr>
  </w:style>
  <w:style w:type="paragraph" w:styleId="Zkladntext">
    <w:name w:val="Body Text"/>
    <w:basedOn w:val="Normlny"/>
    <w:link w:val="ZkladntextChar"/>
    <w:rsid w:val="00840F41"/>
    <w:rPr>
      <w:lang w:val="sl-SI"/>
    </w:rPr>
  </w:style>
  <w:style w:type="character" w:customStyle="1" w:styleId="ZkladntextChar">
    <w:name w:val="Základný text Char"/>
    <w:link w:val="Zkladntext"/>
    <w:locked/>
    <w:rsid w:val="00840F41"/>
    <w:rPr>
      <w:rFonts w:ascii="Times New Roman" w:hAnsi="Times New Roman" w:cs="Times New Roman"/>
      <w:sz w:val="20"/>
      <w:szCs w:val="20"/>
      <w:lang w:val="sl-SI" w:eastAsia="sk-SK"/>
    </w:rPr>
  </w:style>
  <w:style w:type="paragraph" w:styleId="Hlavika">
    <w:name w:val="header"/>
    <w:basedOn w:val="Normlny"/>
    <w:link w:val="HlavikaChar"/>
    <w:rsid w:val="00840F41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locked/>
    <w:rsid w:val="00840F41"/>
    <w:rPr>
      <w:rFonts w:ascii="Times New Roman" w:hAnsi="Times New Roman" w:cs="Times New Roman"/>
      <w:sz w:val="20"/>
      <w:szCs w:val="20"/>
      <w:lang w:val="en-GB" w:eastAsia="sk-SK"/>
    </w:rPr>
  </w:style>
  <w:style w:type="paragraph" w:styleId="Pta">
    <w:name w:val="footer"/>
    <w:basedOn w:val="Normlny"/>
    <w:link w:val="PtaChar"/>
    <w:uiPriority w:val="99"/>
    <w:rsid w:val="00840F41"/>
    <w:pPr>
      <w:tabs>
        <w:tab w:val="center" w:pos="4320"/>
        <w:tab w:val="right" w:pos="8640"/>
      </w:tabs>
    </w:pPr>
  </w:style>
  <w:style w:type="character" w:customStyle="1" w:styleId="PtaChar">
    <w:name w:val="Päta Char"/>
    <w:link w:val="Pta"/>
    <w:uiPriority w:val="99"/>
    <w:locked/>
    <w:rsid w:val="00840F41"/>
    <w:rPr>
      <w:rFonts w:ascii="Times New Roman" w:hAnsi="Times New Roman" w:cs="Times New Roman"/>
      <w:sz w:val="20"/>
      <w:szCs w:val="20"/>
      <w:lang w:val="en-GB" w:eastAsia="sk-SK"/>
    </w:rPr>
  </w:style>
  <w:style w:type="paragraph" w:customStyle="1" w:styleId="ListParagraph1">
    <w:name w:val="List Paragraph1"/>
    <w:basedOn w:val="Normlny"/>
    <w:rsid w:val="003A7D01"/>
    <w:pPr>
      <w:ind w:left="720"/>
      <w:contextualSpacing/>
    </w:pPr>
  </w:style>
  <w:style w:type="character" w:customStyle="1" w:styleId="apple-converted-space">
    <w:name w:val="apple-converted-space"/>
    <w:rsid w:val="003A7D01"/>
    <w:rPr>
      <w:rFonts w:cs="Times New Roman"/>
    </w:rPr>
  </w:style>
  <w:style w:type="character" w:customStyle="1" w:styleId="hps">
    <w:name w:val="hps"/>
    <w:rsid w:val="00FC32CC"/>
    <w:rPr>
      <w:rFonts w:cs="Times New Roman"/>
    </w:rPr>
  </w:style>
  <w:style w:type="character" w:customStyle="1" w:styleId="atn">
    <w:name w:val="atn"/>
    <w:rsid w:val="0032685D"/>
    <w:rPr>
      <w:rFonts w:cs="Times New Roman"/>
    </w:rPr>
  </w:style>
  <w:style w:type="character" w:styleId="Odkaznakomentr">
    <w:name w:val="annotation reference"/>
    <w:semiHidden/>
    <w:rsid w:val="007C76D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C76D6"/>
  </w:style>
  <w:style w:type="character" w:customStyle="1" w:styleId="TextkomentraChar">
    <w:name w:val="Text komentára Char"/>
    <w:link w:val="Textkomentra"/>
    <w:semiHidden/>
    <w:locked/>
    <w:rsid w:val="007C76D6"/>
    <w:rPr>
      <w:rFonts w:ascii="Times New Roman" w:hAnsi="Times New Roman" w:cs="Times New Roman"/>
      <w:sz w:val="20"/>
      <w:szCs w:val="20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C76D6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7C76D6"/>
    <w:rPr>
      <w:rFonts w:ascii="Times New Roman" w:hAnsi="Times New Roman" w:cs="Times New Roman"/>
      <w:b/>
      <w:bCs/>
      <w:sz w:val="20"/>
      <w:szCs w:val="20"/>
      <w:lang w:val="en-GB" w:eastAsia="sk-SK"/>
    </w:rPr>
  </w:style>
  <w:style w:type="paragraph" w:styleId="Textbubliny">
    <w:name w:val="Balloon Text"/>
    <w:basedOn w:val="Normlny"/>
    <w:link w:val="TextbublinyChar"/>
    <w:semiHidden/>
    <w:rsid w:val="007C76D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7C76D6"/>
    <w:rPr>
      <w:rFonts w:ascii="Tahoma" w:hAnsi="Tahoma" w:cs="Tahoma"/>
      <w:sz w:val="16"/>
      <w:szCs w:val="16"/>
      <w:lang w:val="en-GB" w:eastAsia="sk-SK"/>
    </w:rPr>
  </w:style>
  <w:style w:type="paragraph" w:styleId="truktradokumentu">
    <w:name w:val="Document Map"/>
    <w:basedOn w:val="Normlny"/>
    <w:semiHidden/>
    <w:rsid w:val="00652A73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E15115"/>
    <w:rPr>
      <w:color w:val="0000FF"/>
      <w:u w:val="single"/>
    </w:rPr>
  </w:style>
  <w:style w:type="paragraph" w:styleId="Revzia">
    <w:name w:val="Revision"/>
    <w:hidden/>
    <w:uiPriority w:val="99"/>
    <w:semiHidden/>
    <w:rsid w:val="002F1E18"/>
    <w:rPr>
      <w:rFonts w:ascii="Times New Roman" w:hAnsi="Times New Roman"/>
      <w:lang w:val="en-GB"/>
    </w:rPr>
  </w:style>
  <w:style w:type="character" w:styleId="PouitHypertextovPrepojenie">
    <w:name w:val="FollowedHyperlink"/>
    <w:rsid w:val="00013E1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40F41"/>
    <w:rPr>
      <w:rFonts w:ascii="Times New Roman" w:hAnsi="Times New Roman"/>
      <w:lang w:val="en-GB"/>
    </w:rPr>
  </w:style>
  <w:style w:type="paragraph" w:styleId="Nadpis2">
    <w:name w:val="heading 2"/>
    <w:basedOn w:val="Normlny"/>
    <w:next w:val="Normlny"/>
    <w:link w:val="Nadpis2Char"/>
    <w:qFormat/>
    <w:rsid w:val="00840F41"/>
    <w:pPr>
      <w:keepNext/>
      <w:outlineLvl w:val="1"/>
    </w:pPr>
    <w:rPr>
      <w:lang w:val="x-none"/>
    </w:rPr>
  </w:style>
  <w:style w:type="paragraph" w:styleId="Nadpis3">
    <w:name w:val="heading 3"/>
    <w:basedOn w:val="Normlny"/>
    <w:next w:val="Normlny"/>
    <w:link w:val="Nadpis3Char"/>
    <w:qFormat/>
    <w:rsid w:val="00840F41"/>
    <w:pPr>
      <w:keepNext/>
      <w:outlineLvl w:val="2"/>
    </w:pPr>
    <w:rPr>
      <w:rFonts w:ascii="Tahoma" w:hAnsi="Tahoma"/>
      <w:u w:val="single"/>
      <w:lang w:val="x-none"/>
    </w:rPr>
  </w:style>
  <w:style w:type="paragraph" w:styleId="Nadpis4">
    <w:name w:val="heading 4"/>
    <w:basedOn w:val="Normlny"/>
    <w:next w:val="Normlny"/>
    <w:link w:val="Nadpis4Char"/>
    <w:qFormat/>
    <w:rsid w:val="00840F41"/>
    <w:pPr>
      <w:keepNext/>
      <w:outlineLvl w:val="3"/>
    </w:pPr>
    <w:rPr>
      <w:rFonts w:ascii="Tahoma" w:hAnsi="Tahoma"/>
      <w:b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840F41"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Nadpis3Char">
    <w:name w:val="Nadpis 3 Char"/>
    <w:link w:val="Nadpis3"/>
    <w:locked/>
    <w:rsid w:val="00840F41"/>
    <w:rPr>
      <w:rFonts w:ascii="Tahoma" w:hAnsi="Tahoma" w:cs="Times New Roman"/>
      <w:sz w:val="20"/>
      <w:szCs w:val="20"/>
      <w:u w:val="single"/>
      <w:lang w:val="x-none" w:eastAsia="sk-SK"/>
    </w:rPr>
  </w:style>
  <w:style w:type="character" w:customStyle="1" w:styleId="Nadpis4Char">
    <w:name w:val="Nadpis 4 Char"/>
    <w:link w:val="Nadpis4"/>
    <w:locked/>
    <w:rsid w:val="00840F41"/>
    <w:rPr>
      <w:rFonts w:ascii="Tahoma" w:hAnsi="Tahoma" w:cs="Times New Roman"/>
      <w:b/>
      <w:sz w:val="20"/>
      <w:szCs w:val="20"/>
      <w:lang w:val="x-none" w:eastAsia="sk-SK"/>
    </w:rPr>
  </w:style>
  <w:style w:type="paragraph" w:styleId="Zkladntext">
    <w:name w:val="Body Text"/>
    <w:basedOn w:val="Normlny"/>
    <w:link w:val="ZkladntextChar"/>
    <w:rsid w:val="00840F41"/>
    <w:rPr>
      <w:lang w:val="sl-SI"/>
    </w:rPr>
  </w:style>
  <w:style w:type="character" w:customStyle="1" w:styleId="ZkladntextChar">
    <w:name w:val="Základný text Char"/>
    <w:link w:val="Zkladntext"/>
    <w:locked/>
    <w:rsid w:val="00840F41"/>
    <w:rPr>
      <w:rFonts w:ascii="Times New Roman" w:hAnsi="Times New Roman" w:cs="Times New Roman"/>
      <w:sz w:val="20"/>
      <w:szCs w:val="20"/>
      <w:lang w:val="sl-SI" w:eastAsia="sk-SK"/>
    </w:rPr>
  </w:style>
  <w:style w:type="paragraph" w:styleId="Hlavika">
    <w:name w:val="header"/>
    <w:basedOn w:val="Normlny"/>
    <w:link w:val="HlavikaChar"/>
    <w:rsid w:val="00840F41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locked/>
    <w:rsid w:val="00840F41"/>
    <w:rPr>
      <w:rFonts w:ascii="Times New Roman" w:hAnsi="Times New Roman" w:cs="Times New Roman"/>
      <w:sz w:val="20"/>
      <w:szCs w:val="20"/>
      <w:lang w:val="en-GB" w:eastAsia="sk-SK"/>
    </w:rPr>
  </w:style>
  <w:style w:type="paragraph" w:styleId="Pta">
    <w:name w:val="footer"/>
    <w:basedOn w:val="Normlny"/>
    <w:link w:val="PtaChar"/>
    <w:uiPriority w:val="99"/>
    <w:rsid w:val="00840F41"/>
    <w:pPr>
      <w:tabs>
        <w:tab w:val="center" w:pos="4320"/>
        <w:tab w:val="right" w:pos="8640"/>
      </w:tabs>
    </w:pPr>
  </w:style>
  <w:style w:type="character" w:customStyle="1" w:styleId="PtaChar">
    <w:name w:val="Päta Char"/>
    <w:link w:val="Pta"/>
    <w:uiPriority w:val="99"/>
    <w:locked/>
    <w:rsid w:val="00840F41"/>
    <w:rPr>
      <w:rFonts w:ascii="Times New Roman" w:hAnsi="Times New Roman" w:cs="Times New Roman"/>
      <w:sz w:val="20"/>
      <w:szCs w:val="20"/>
      <w:lang w:val="en-GB" w:eastAsia="sk-SK"/>
    </w:rPr>
  </w:style>
  <w:style w:type="paragraph" w:customStyle="1" w:styleId="ListParagraph1">
    <w:name w:val="List Paragraph1"/>
    <w:basedOn w:val="Normlny"/>
    <w:rsid w:val="003A7D01"/>
    <w:pPr>
      <w:ind w:left="720"/>
      <w:contextualSpacing/>
    </w:pPr>
  </w:style>
  <w:style w:type="character" w:customStyle="1" w:styleId="apple-converted-space">
    <w:name w:val="apple-converted-space"/>
    <w:rsid w:val="003A7D01"/>
    <w:rPr>
      <w:rFonts w:cs="Times New Roman"/>
    </w:rPr>
  </w:style>
  <w:style w:type="character" w:customStyle="1" w:styleId="hps">
    <w:name w:val="hps"/>
    <w:rsid w:val="00FC32CC"/>
    <w:rPr>
      <w:rFonts w:cs="Times New Roman"/>
    </w:rPr>
  </w:style>
  <w:style w:type="character" w:customStyle="1" w:styleId="atn">
    <w:name w:val="atn"/>
    <w:rsid w:val="0032685D"/>
    <w:rPr>
      <w:rFonts w:cs="Times New Roman"/>
    </w:rPr>
  </w:style>
  <w:style w:type="character" w:styleId="Odkaznakomentr">
    <w:name w:val="annotation reference"/>
    <w:semiHidden/>
    <w:rsid w:val="007C76D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C76D6"/>
  </w:style>
  <w:style w:type="character" w:customStyle="1" w:styleId="TextkomentraChar">
    <w:name w:val="Text komentára Char"/>
    <w:link w:val="Textkomentra"/>
    <w:semiHidden/>
    <w:locked/>
    <w:rsid w:val="007C76D6"/>
    <w:rPr>
      <w:rFonts w:ascii="Times New Roman" w:hAnsi="Times New Roman" w:cs="Times New Roman"/>
      <w:sz w:val="20"/>
      <w:szCs w:val="20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C76D6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7C76D6"/>
    <w:rPr>
      <w:rFonts w:ascii="Times New Roman" w:hAnsi="Times New Roman" w:cs="Times New Roman"/>
      <w:b/>
      <w:bCs/>
      <w:sz w:val="20"/>
      <w:szCs w:val="20"/>
      <w:lang w:val="en-GB" w:eastAsia="sk-SK"/>
    </w:rPr>
  </w:style>
  <w:style w:type="paragraph" w:styleId="Textbubliny">
    <w:name w:val="Balloon Text"/>
    <w:basedOn w:val="Normlny"/>
    <w:link w:val="TextbublinyChar"/>
    <w:semiHidden/>
    <w:rsid w:val="007C76D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7C76D6"/>
    <w:rPr>
      <w:rFonts w:ascii="Tahoma" w:hAnsi="Tahoma" w:cs="Tahoma"/>
      <w:sz w:val="16"/>
      <w:szCs w:val="16"/>
      <w:lang w:val="en-GB" w:eastAsia="sk-SK"/>
    </w:rPr>
  </w:style>
  <w:style w:type="paragraph" w:styleId="truktradokumentu">
    <w:name w:val="Document Map"/>
    <w:basedOn w:val="Normlny"/>
    <w:semiHidden/>
    <w:rsid w:val="00652A73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E15115"/>
    <w:rPr>
      <w:color w:val="0000FF"/>
      <w:u w:val="single"/>
    </w:rPr>
  </w:style>
  <w:style w:type="paragraph" w:styleId="Revzia">
    <w:name w:val="Revision"/>
    <w:hidden/>
    <w:uiPriority w:val="99"/>
    <w:semiHidden/>
    <w:rsid w:val="002F1E18"/>
    <w:rPr>
      <w:rFonts w:ascii="Times New Roman" w:hAnsi="Times New Roman"/>
      <w:lang w:val="en-GB"/>
    </w:rPr>
  </w:style>
  <w:style w:type="character" w:styleId="PouitHypertextovPrepojenie">
    <w:name w:val="FollowedHyperlink"/>
    <w:rsid w:val="00013E1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ma.europa.eu/docs/en_GB/document_library/Template_or_form/2013/03/WC500139752.doc" TargetMode="External"/><Relationship Id="rId10" Type="http://schemas.microsoft.com/office/2007/relationships/stylesWithEffects" Target="stylesWithEffect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4C868-CA05-4867-A305-2D211300EBEF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28C49A0-6E6E-4460-80CC-501B9B4B4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9F7323-9C6B-4B96-B955-66FC9FA59E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8C0403-C120-4D8C-8B67-4B871E0EBC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82DC51-89A0-4BBC-A668-8A330D5615E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4E7E0C0-B7C9-4B57-A76B-67CD6AECF4D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E721CCF-EAD0-43CB-BCFC-D3503BA8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2046</Words>
  <Characters>13334</Characters>
  <Application>Microsoft Office Word</Application>
  <DocSecurity>0</DocSecurity>
  <Lines>111</Lines>
  <Paragraphs>30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Hewlett-Packard Company</Company>
  <LinksUpToDate>false</LinksUpToDate>
  <CharactersWithSpaces>15350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Ľubica</dc:creator>
  <cp:lastModifiedBy>Miroslava Slahúčková</cp:lastModifiedBy>
  <cp:revision>2</cp:revision>
  <dcterms:created xsi:type="dcterms:W3CDTF">2019-11-26T13:10:00Z</dcterms:created>
  <dcterms:modified xsi:type="dcterms:W3CDTF">2019-11-26T13:10:00Z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9024d8-71be-4df9-881b-e6b6684ad7ad_Enabled">
    <vt:lpwstr>True</vt:lpwstr>
  </property>
  <property fmtid="{D5CDD505-2E9C-101B-9397-08002B2CF9AE}" pid="3" name="MSIP_Label_df9024d8-71be-4df9-881b-e6b6684ad7ad_SiteId">
    <vt:lpwstr>d6f6af94-f516-4217-a014-f61ce26f86db</vt:lpwstr>
  </property>
  <property fmtid="{D5CDD505-2E9C-101B-9397-08002B2CF9AE}" pid="4" name="MSIP_Label_df9024d8-71be-4df9-881b-e6b6684ad7ad_Owner">
    <vt:lpwstr>ladislav.zahumensky@TAQA.COM.SA</vt:lpwstr>
  </property>
  <property fmtid="{D5CDD505-2E9C-101B-9397-08002B2CF9AE}" pid="5" name="MSIP_Label_df9024d8-71be-4df9-881b-e6b6684ad7ad_SetDate">
    <vt:lpwstr>2018-11-23T06:42:00.7054149Z</vt:lpwstr>
  </property>
  <property fmtid="{D5CDD505-2E9C-101B-9397-08002B2CF9AE}" pid="6" name="MSIP_Label_df9024d8-71be-4df9-881b-e6b6684ad7ad_Name">
    <vt:lpwstr>PERSONAL</vt:lpwstr>
  </property>
  <property fmtid="{D5CDD505-2E9C-101B-9397-08002B2CF9AE}" pid="7" name="MSIP_Label_df9024d8-71be-4df9-881b-e6b6684ad7ad_Application">
    <vt:lpwstr>Microsoft Azure Information Protection</vt:lpwstr>
  </property>
  <property fmtid="{D5CDD505-2E9C-101B-9397-08002B2CF9AE}" pid="8" name="MSIP_Label_df9024d8-71be-4df9-881b-e6b6684ad7ad_Extended_MSFT_Method">
    <vt:lpwstr>Manual</vt:lpwstr>
  </property>
  <property fmtid="{D5CDD505-2E9C-101B-9397-08002B2CF9AE}" pid="9" name="Sensitivity">
    <vt:lpwstr>PERSONAL</vt:lpwstr>
  </property>
</Properties>
</file>