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9F3E7B" w14:textId="77777777" w:rsidR="00F77CF2" w:rsidRPr="00F77CF2" w:rsidRDefault="00F77CF2" w:rsidP="00B52FD1">
      <w:pPr>
        <w:widowControl/>
        <w:autoSpaceDE/>
        <w:autoSpaceDN/>
        <w:jc w:val="center"/>
        <w:rPr>
          <w:b/>
          <w:lang w:val="sk-SK" w:eastAsia="sk-SK"/>
        </w:rPr>
      </w:pPr>
      <w:r w:rsidRPr="00F77CF2">
        <w:rPr>
          <w:b/>
          <w:lang w:val="sk-SK" w:eastAsia="sk-SK"/>
        </w:rPr>
        <w:t>SÚHRN CHARAKTERISTICKÝCH VLAST</w:t>
      </w:r>
      <w:smartTag w:uri="urn:schemas-microsoft-com:office:smarttags" w:element="PersonName">
        <w:r w:rsidRPr="00F77CF2">
          <w:rPr>
            <w:b/>
            <w:lang w:val="sk-SK" w:eastAsia="sk-SK"/>
          </w:rPr>
          <w:t>NO</w:t>
        </w:r>
      </w:smartTag>
      <w:r w:rsidRPr="00F77CF2">
        <w:rPr>
          <w:b/>
          <w:lang w:val="sk-SK" w:eastAsia="sk-SK"/>
        </w:rPr>
        <w:t>STÍ LIEKU</w:t>
      </w:r>
    </w:p>
    <w:p w14:paraId="4B2CEB85" w14:textId="77777777" w:rsidR="00F77CF2" w:rsidRDefault="00F77CF2" w:rsidP="00235C1B">
      <w:pPr>
        <w:rPr>
          <w:b/>
          <w:lang w:val="sk-SK"/>
        </w:rPr>
      </w:pPr>
    </w:p>
    <w:p w14:paraId="15542A75" w14:textId="77777777" w:rsidR="00F77CF2" w:rsidRPr="001346AB" w:rsidRDefault="00F77CF2" w:rsidP="00235C1B">
      <w:pPr>
        <w:rPr>
          <w:b/>
          <w:lang w:val="sk-SK"/>
        </w:rPr>
      </w:pPr>
    </w:p>
    <w:p w14:paraId="58ED7583" w14:textId="77777777" w:rsidR="00D318E7" w:rsidRPr="001346AB" w:rsidRDefault="00D318E7" w:rsidP="00235C1B">
      <w:pPr>
        <w:pStyle w:val="Odsekzoznamu"/>
        <w:numPr>
          <w:ilvl w:val="0"/>
          <w:numId w:val="3"/>
        </w:numPr>
        <w:tabs>
          <w:tab w:val="left" w:pos="684"/>
          <w:tab w:val="left" w:pos="685"/>
        </w:tabs>
        <w:ind w:left="0" w:firstLine="0"/>
        <w:rPr>
          <w:b/>
          <w:lang w:val="sk-SK"/>
        </w:rPr>
      </w:pPr>
      <w:r w:rsidRPr="001346AB">
        <w:rPr>
          <w:b/>
          <w:lang w:val="sk-SK"/>
        </w:rPr>
        <w:t>NÁZOV</w:t>
      </w:r>
      <w:r w:rsidRPr="002A352D">
        <w:rPr>
          <w:b/>
          <w:spacing w:val="-1"/>
          <w:lang w:val="sk-SK"/>
        </w:rPr>
        <w:t xml:space="preserve"> </w:t>
      </w:r>
      <w:r w:rsidRPr="002A352D">
        <w:rPr>
          <w:b/>
          <w:lang w:val="sk-SK"/>
        </w:rPr>
        <w:t>LIEKU</w:t>
      </w:r>
    </w:p>
    <w:p w14:paraId="28C20679" w14:textId="77777777" w:rsidR="00D318E7" w:rsidRPr="00235C1B" w:rsidRDefault="00D318E7" w:rsidP="00235C1B">
      <w:pPr>
        <w:pStyle w:val="Zkladntext"/>
        <w:rPr>
          <w:b/>
          <w:lang w:val="sk-SK"/>
        </w:rPr>
      </w:pPr>
    </w:p>
    <w:p w14:paraId="25A4FF22" w14:textId="560D8BB5" w:rsidR="001A60F7" w:rsidRPr="002225AE" w:rsidRDefault="001A60F7" w:rsidP="001A60F7">
      <w:pPr>
        <w:rPr>
          <w:color w:val="000000"/>
          <w:lang w:val="sk-SK"/>
        </w:rPr>
      </w:pPr>
      <w:r>
        <w:rPr>
          <w:color w:val="000000"/>
          <w:lang w:val="sk-SK"/>
        </w:rPr>
        <w:t>Dailiport 0,5 mg</w:t>
      </w:r>
    </w:p>
    <w:p w14:paraId="45DC78A5" w14:textId="079ED7E4" w:rsidR="001A60F7" w:rsidRPr="002225AE" w:rsidRDefault="001A60F7" w:rsidP="001A60F7">
      <w:pPr>
        <w:shd w:val="clear" w:color="auto" w:fill="F2F2F2"/>
        <w:rPr>
          <w:color w:val="000000"/>
          <w:lang w:val="sk-SK"/>
        </w:rPr>
      </w:pPr>
      <w:r>
        <w:rPr>
          <w:color w:val="000000"/>
          <w:lang w:val="sk-SK"/>
        </w:rPr>
        <w:t xml:space="preserve">Dailiport 1 mg </w:t>
      </w:r>
    </w:p>
    <w:p w14:paraId="360D1BBF" w14:textId="717FE7FC" w:rsidR="001A60F7" w:rsidRPr="002225AE" w:rsidRDefault="001A60F7" w:rsidP="001A60F7">
      <w:pPr>
        <w:shd w:val="clear" w:color="auto" w:fill="BFBFBF"/>
        <w:rPr>
          <w:color w:val="000000"/>
          <w:lang w:val="sk-SK"/>
        </w:rPr>
      </w:pPr>
      <w:r>
        <w:rPr>
          <w:color w:val="000000"/>
          <w:lang w:val="sk-SK"/>
        </w:rPr>
        <w:t xml:space="preserve">Dailiport 3 mg </w:t>
      </w:r>
    </w:p>
    <w:p w14:paraId="2FEE4501" w14:textId="5842530E" w:rsidR="001A60F7" w:rsidRPr="002225AE" w:rsidRDefault="001A60F7" w:rsidP="001A60F7">
      <w:pPr>
        <w:shd w:val="clear" w:color="auto" w:fill="A6A6A6"/>
        <w:rPr>
          <w:color w:val="000000"/>
          <w:lang w:val="sk-SK"/>
        </w:rPr>
      </w:pPr>
      <w:r>
        <w:rPr>
          <w:color w:val="000000"/>
          <w:lang w:val="sk-SK"/>
        </w:rPr>
        <w:t xml:space="preserve">Dailiport 5 mg </w:t>
      </w:r>
    </w:p>
    <w:p w14:paraId="749E744D" w14:textId="24941F66" w:rsidR="00B50891" w:rsidRPr="001346AB" w:rsidRDefault="00B50891" w:rsidP="00235C1B">
      <w:pPr>
        <w:pStyle w:val="Zkladntext"/>
        <w:rPr>
          <w:lang w:val="sk-SK"/>
        </w:rPr>
      </w:pPr>
      <w:r w:rsidRPr="001346AB">
        <w:rPr>
          <w:lang w:val="sk-SK"/>
        </w:rPr>
        <w:t>tvrdé kapsuly</w:t>
      </w:r>
      <w:r w:rsidR="001346AB" w:rsidRPr="001346AB">
        <w:rPr>
          <w:lang w:val="sk-SK"/>
        </w:rPr>
        <w:t xml:space="preserve"> s predĺženým uvoľň</w:t>
      </w:r>
      <w:r w:rsidRPr="001346AB">
        <w:rPr>
          <w:lang w:val="sk-SK"/>
        </w:rPr>
        <w:t>ovaním</w:t>
      </w:r>
    </w:p>
    <w:p w14:paraId="2DF46696" w14:textId="77777777" w:rsidR="00D318E7" w:rsidRPr="00235C1B" w:rsidRDefault="00D318E7" w:rsidP="00B52FD1">
      <w:pPr>
        <w:pStyle w:val="Zkladntext"/>
        <w:rPr>
          <w:lang w:val="sk-SK"/>
        </w:rPr>
      </w:pPr>
    </w:p>
    <w:p w14:paraId="141065A2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5417A2DC" w14:textId="77777777" w:rsidR="00D318E7" w:rsidRPr="00C90CED" w:rsidRDefault="00D318E7" w:rsidP="00B52FD1">
      <w:pPr>
        <w:pStyle w:val="Nadpis1"/>
        <w:numPr>
          <w:ilvl w:val="0"/>
          <w:numId w:val="3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KVALITATÍVNE A KVANTITATÍVNE</w:t>
      </w:r>
      <w:r w:rsidRPr="00C90CED">
        <w:rPr>
          <w:spacing w:val="-17"/>
          <w:lang w:val="sk-SK"/>
        </w:rPr>
        <w:t xml:space="preserve"> </w:t>
      </w:r>
      <w:r w:rsidRPr="00C90CED">
        <w:rPr>
          <w:lang w:val="sk-SK"/>
        </w:rPr>
        <w:t>ZLOŽENIE</w:t>
      </w:r>
    </w:p>
    <w:p w14:paraId="29CFB5CE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207E582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Každá tvrdá kapsula s predĺženým uvoľňovaním obsahuje 0,5 mg takrolimu (ako monohydrát).</w:t>
      </w:r>
    </w:p>
    <w:p w14:paraId="2A09CD54" w14:textId="77777777" w:rsidR="00750EB7" w:rsidRPr="00CC5F68" w:rsidRDefault="00750EB7" w:rsidP="00B52FD1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lang w:val="sk-SK"/>
        </w:rPr>
      </w:pPr>
      <w:r w:rsidRPr="00CC5F68">
        <w:rPr>
          <w:sz w:val="22"/>
          <w:szCs w:val="22"/>
          <w:lang w:val="sk-SK"/>
        </w:rPr>
        <w:t>Každá tvrdá kapsula s predĺženým uvoľňovaním obsahuje 1 mg takrolimu (ako monohydrát).</w:t>
      </w:r>
    </w:p>
    <w:p w14:paraId="5516E994" w14:textId="77777777" w:rsidR="00750EB7" w:rsidRPr="00CC5F68" w:rsidRDefault="00750EB7" w:rsidP="00C61A46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lang w:val="sk-SK"/>
        </w:rPr>
      </w:pPr>
      <w:r w:rsidRPr="00CC5F68">
        <w:rPr>
          <w:sz w:val="22"/>
          <w:szCs w:val="22"/>
          <w:lang w:val="sk-SK"/>
        </w:rPr>
        <w:t>Každá tvrdá kapsula s predĺženým uvoľňovaním obsahuje 3 mg takrolimu (ako monohydrát).</w:t>
      </w:r>
    </w:p>
    <w:p w14:paraId="6B0BB957" w14:textId="77777777" w:rsidR="00750EB7" w:rsidRPr="00CC5F68" w:rsidRDefault="00750EB7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lang w:val="sk-SK"/>
        </w:rPr>
      </w:pPr>
      <w:r w:rsidRPr="00CC5F68">
        <w:rPr>
          <w:sz w:val="22"/>
          <w:szCs w:val="22"/>
          <w:lang w:val="sk-SK"/>
        </w:rPr>
        <w:t>Každá tvrdá kapsula s predĺženým uvoľňovaním obsahuje 5 mg takrolimu (ako monohydrát).</w:t>
      </w:r>
    </w:p>
    <w:p w14:paraId="3BD231FF" w14:textId="77777777" w:rsidR="00D318E7" w:rsidRPr="00C90CED" w:rsidRDefault="00D318E7">
      <w:pPr>
        <w:pStyle w:val="Zkladntext"/>
        <w:rPr>
          <w:lang w:val="sk-SK"/>
        </w:rPr>
      </w:pPr>
    </w:p>
    <w:p w14:paraId="09D4D2FD" w14:textId="77777777" w:rsidR="008E0FDE" w:rsidRPr="008E0FDE" w:rsidRDefault="00D318E7" w:rsidP="00235C1B">
      <w:pPr>
        <w:pStyle w:val="Zkladntext"/>
        <w:rPr>
          <w:u w:val="single"/>
          <w:lang w:val="sk-SK"/>
        </w:rPr>
      </w:pPr>
      <w:r w:rsidRPr="008E0FDE">
        <w:rPr>
          <w:u w:val="single"/>
          <w:lang w:val="sk-SK"/>
        </w:rPr>
        <w:t>P</w:t>
      </w:r>
      <w:r w:rsidR="008E0FDE" w:rsidRPr="008E0FDE">
        <w:rPr>
          <w:u w:val="single"/>
          <w:lang w:val="sk-SK"/>
        </w:rPr>
        <w:t>omocné látky so známym účinkom</w:t>
      </w:r>
    </w:p>
    <w:p w14:paraId="44AEF519" w14:textId="77777777" w:rsidR="008E0FDE" w:rsidRDefault="008E0FDE" w:rsidP="00235C1B">
      <w:pPr>
        <w:pStyle w:val="Zkladntext"/>
        <w:rPr>
          <w:lang w:val="sk-SK"/>
        </w:rPr>
      </w:pPr>
      <w:r>
        <w:rPr>
          <w:lang w:val="sk-SK"/>
        </w:rPr>
        <w:t>Dailiport 0,5 mg tvrdé kapsuly s predĺženým uvoľňovaním</w:t>
      </w:r>
    </w:p>
    <w:p w14:paraId="06FD9AF9" w14:textId="77777777" w:rsidR="00D318E7" w:rsidRPr="00C90CED" w:rsidRDefault="008E0FDE" w:rsidP="00235C1B">
      <w:pPr>
        <w:pStyle w:val="Zkladntext"/>
        <w:rPr>
          <w:lang w:val="sk-SK"/>
        </w:rPr>
      </w:pPr>
      <w:r>
        <w:rPr>
          <w:lang w:val="sk-SK"/>
        </w:rPr>
        <w:t>Každá kapsula obsahuje 54</w:t>
      </w:r>
      <w:r w:rsidR="00D318E7" w:rsidRPr="00C90CED">
        <w:rPr>
          <w:lang w:val="sk-SK"/>
        </w:rPr>
        <w:t xml:space="preserve"> mg </w:t>
      </w:r>
      <w:r>
        <w:rPr>
          <w:lang w:val="sk-SK"/>
        </w:rPr>
        <w:t xml:space="preserve">monohydrátu </w:t>
      </w:r>
      <w:r w:rsidR="00D318E7" w:rsidRPr="00C90CED">
        <w:rPr>
          <w:lang w:val="sk-SK"/>
        </w:rPr>
        <w:t>laktózy.</w:t>
      </w:r>
    </w:p>
    <w:p w14:paraId="4A2F0298" w14:textId="3E54843C" w:rsidR="008E0FDE" w:rsidRPr="00FE10E6" w:rsidRDefault="008E0FDE" w:rsidP="00235C1B">
      <w:pPr>
        <w:pStyle w:val="Zkladntext"/>
        <w:rPr>
          <w:lang w:val="sk-SK"/>
        </w:rPr>
      </w:pPr>
      <w:r>
        <w:rPr>
          <w:lang w:val="sk-SK"/>
        </w:rPr>
        <w:t>Každá kapsula obsahuje 5,4</w:t>
      </w:r>
      <w:r w:rsidRPr="00C90CED">
        <w:rPr>
          <w:lang w:val="sk-SK"/>
        </w:rPr>
        <w:t xml:space="preserve"> m</w:t>
      </w:r>
      <w:r w:rsidR="0076419D">
        <w:rPr>
          <w:lang w:val="sk-SK"/>
        </w:rPr>
        <w:t>ikrogramov</w:t>
      </w:r>
      <w:r w:rsidRPr="00C90CED">
        <w:rPr>
          <w:lang w:val="sk-SK"/>
        </w:rPr>
        <w:t xml:space="preserve"> </w:t>
      </w:r>
      <w:r w:rsidR="00FB5A31" w:rsidRPr="00FE10E6">
        <w:rPr>
          <w:lang w:val="sk-SK"/>
        </w:rPr>
        <w:t>žlt</w:t>
      </w:r>
      <w:r w:rsidR="004C61A7" w:rsidRPr="00FE10E6">
        <w:rPr>
          <w:lang w:val="sk-SK"/>
        </w:rPr>
        <w:t>e</w:t>
      </w:r>
      <w:r w:rsidR="00B36BFF" w:rsidRPr="00235C1B">
        <w:rPr>
          <w:lang w:val="sk-SK"/>
        </w:rPr>
        <w:t>j</w:t>
      </w:r>
      <w:r w:rsidRPr="00FE10E6">
        <w:rPr>
          <w:lang w:val="sk-SK"/>
        </w:rPr>
        <w:t xml:space="preserve"> FCF (E110).</w:t>
      </w:r>
    </w:p>
    <w:p w14:paraId="08836DA5" w14:textId="03D086BE" w:rsidR="008E0FDE" w:rsidRPr="00C90CED" w:rsidRDefault="008E0FDE" w:rsidP="00235C1B">
      <w:pPr>
        <w:pStyle w:val="Zkladntext"/>
        <w:rPr>
          <w:lang w:val="sk-SK"/>
        </w:rPr>
      </w:pPr>
      <w:r w:rsidRPr="00FE10E6">
        <w:rPr>
          <w:lang w:val="sk-SK"/>
        </w:rPr>
        <w:t>Každá kapsula obsahuje 0,4 m</w:t>
      </w:r>
      <w:r w:rsidR="0076419D" w:rsidRPr="00FE10E6">
        <w:rPr>
          <w:lang w:val="sk-SK"/>
        </w:rPr>
        <w:t>ikrogramov</w:t>
      </w:r>
      <w:r w:rsidRPr="00FE10E6">
        <w:rPr>
          <w:lang w:val="sk-SK"/>
        </w:rPr>
        <w:t xml:space="preserve"> al</w:t>
      </w:r>
      <w:r w:rsidR="00B36BFF" w:rsidRPr="00235C1B">
        <w:rPr>
          <w:lang w:val="sk-SK"/>
        </w:rPr>
        <w:t>lury</w:t>
      </w:r>
      <w:r w:rsidRPr="00FE10E6">
        <w:rPr>
          <w:lang w:val="sk-SK"/>
        </w:rPr>
        <w:t xml:space="preserve"> červenej </w:t>
      </w:r>
      <w:r w:rsidR="003E7D00" w:rsidRPr="00FE10E6">
        <w:rPr>
          <w:lang w:val="sk-SK"/>
        </w:rPr>
        <w:t>AC</w:t>
      </w:r>
      <w:r w:rsidR="003E7D00">
        <w:rPr>
          <w:lang w:val="sk-SK"/>
        </w:rPr>
        <w:t xml:space="preserve"> </w:t>
      </w:r>
      <w:r>
        <w:rPr>
          <w:lang w:val="sk-SK"/>
        </w:rPr>
        <w:t>(E129)</w:t>
      </w:r>
      <w:r w:rsidRPr="00C90CED">
        <w:rPr>
          <w:lang w:val="sk-SK"/>
        </w:rPr>
        <w:t>.</w:t>
      </w:r>
    </w:p>
    <w:p w14:paraId="3512000D" w14:textId="7FE2A213" w:rsidR="008E0FDE" w:rsidRPr="00C90CED" w:rsidRDefault="008E0FDE" w:rsidP="00235C1B">
      <w:pPr>
        <w:pStyle w:val="Zkladntext"/>
        <w:rPr>
          <w:lang w:val="sk-SK"/>
        </w:rPr>
      </w:pPr>
      <w:r>
        <w:rPr>
          <w:lang w:val="sk-SK"/>
        </w:rPr>
        <w:t>Každá kapsula obsahuje 3,4</w:t>
      </w:r>
      <w:r w:rsidRPr="00C90CED">
        <w:rPr>
          <w:lang w:val="sk-SK"/>
        </w:rPr>
        <w:t xml:space="preserve"> m</w:t>
      </w:r>
      <w:r w:rsidR="0076419D">
        <w:rPr>
          <w:lang w:val="sk-SK"/>
        </w:rPr>
        <w:t>ikrogramov</w:t>
      </w:r>
      <w:r w:rsidRPr="00C90CED">
        <w:rPr>
          <w:lang w:val="sk-SK"/>
        </w:rPr>
        <w:t xml:space="preserve"> </w:t>
      </w:r>
      <w:r>
        <w:rPr>
          <w:lang w:val="sk-SK"/>
        </w:rPr>
        <w:t>tartrazínu (E102)</w:t>
      </w:r>
      <w:r w:rsidRPr="00C90CED">
        <w:rPr>
          <w:lang w:val="sk-SK"/>
        </w:rPr>
        <w:t>.</w:t>
      </w:r>
    </w:p>
    <w:p w14:paraId="0E98B38A" w14:textId="77777777" w:rsidR="00D318E7" w:rsidRPr="00750EB7" w:rsidRDefault="00D318E7" w:rsidP="00235C1B">
      <w:pPr>
        <w:pStyle w:val="Zkladntext"/>
        <w:rPr>
          <w:lang w:val="sk-SK"/>
        </w:rPr>
      </w:pPr>
    </w:p>
    <w:p w14:paraId="132C6D2F" w14:textId="77777777" w:rsidR="008E0FDE" w:rsidRPr="00CC5F68" w:rsidRDefault="008E0FDE" w:rsidP="00B52FD1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u w:val="single"/>
          <w:lang w:val="sk-SK"/>
        </w:rPr>
      </w:pPr>
      <w:r w:rsidRPr="00CC5F68">
        <w:rPr>
          <w:sz w:val="22"/>
          <w:szCs w:val="22"/>
          <w:u w:val="single"/>
          <w:lang w:val="sk-SK"/>
        </w:rPr>
        <w:t>Pomocné látky so známym účinkom</w:t>
      </w:r>
    </w:p>
    <w:p w14:paraId="2A655275" w14:textId="77777777" w:rsidR="008E0FDE" w:rsidRPr="008D5C24" w:rsidRDefault="00475B62" w:rsidP="00C61A46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Dailiport 1</w:t>
      </w:r>
      <w:r w:rsidR="008E0FDE" w:rsidRPr="008D5C24">
        <w:rPr>
          <w:sz w:val="22"/>
          <w:szCs w:val="22"/>
          <w:lang w:val="sk-SK"/>
        </w:rPr>
        <w:t xml:space="preserve"> mg tvrdé kapsuly s predĺženým uvoľňovaním</w:t>
      </w:r>
    </w:p>
    <w:p w14:paraId="0C1916B1" w14:textId="77777777" w:rsidR="008E0FDE" w:rsidRPr="008D5C24" w:rsidRDefault="008E0FDE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</w:t>
      </w:r>
      <w:r w:rsidR="00475B62" w:rsidRPr="008D5C24">
        <w:rPr>
          <w:sz w:val="22"/>
          <w:szCs w:val="22"/>
          <w:lang w:val="sk-SK"/>
        </w:rPr>
        <w:t>bsahuje 107</w:t>
      </w:r>
      <w:r w:rsidRPr="008D5C24">
        <w:rPr>
          <w:sz w:val="22"/>
          <w:szCs w:val="22"/>
          <w:lang w:val="sk-SK"/>
        </w:rPr>
        <w:t xml:space="preserve"> mg monohydrátu laktózy.</w:t>
      </w:r>
    </w:p>
    <w:p w14:paraId="39884304" w14:textId="63BED71B" w:rsidR="008E0FDE" w:rsidRPr="008D5C24" w:rsidRDefault="00475B62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7</w:t>
      </w:r>
      <w:r w:rsidR="00FB5A31">
        <w:rPr>
          <w:sz w:val="22"/>
          <w:szCs w:val="22"/>
          <w:lang w:val="sk-SK"/>
        </w:rPr>
        <w:t>,4 m</w:t>
      </w:r>
      <w:r w:rsidR="00B36BFF">
        <w:rPr>
          <w:sz w:val="22"/>
          <w:szCs w:val="22"/>
          <w:lang w:val="sk-SK"/>
        </w:rPr>
        <w:t>ikrogramov</w:t>
      </w:r>
      <w:r w:rsidR="00FB5A31">
        <w:rPr>
          <w:sz w:val="22"/>
          <w:szCs w:val="22"/>
          <w:lang w:val="sk-SK"/>
        </w:rPr>
        <w:t xml:space="preserve"> žlte</w:t>
      </w:r>
      <w:r w:rsidR="00B36BFF">
        <w:rPr>
          <w:sz w:val="22"/>
          <w:szCs w:val="22"/>
          <w:lang w:val="sk-SK"/>
        </w:rPr>
        <w:t>j</w:t>
      </w:r>
      <w:r w:rsidR="008E0FDE" w:rsidRPr="008D5C24">
        <w:rPr>
          <w:sz w:val="22"/>
          <w:szCs w:val="22"/>
          <w:lang w:val="sk-SK"/>
        </w:rPr>
        <w:t xml:space="preserve"> FCF (E110).</w:t>
      </w:r>
    </w:p>
    <w:p w14:paraId="3B7FCB91" w14:textId="10D5D21C" w:rsidR="008E0FDE" w:rsidRPr="008D5C24" w:rsidRDefault="00475B62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0,6</w:t>
      </w:r>
      <w:r w:rsidR="008E0FDE" w:rsidRPr="008D5C24">
        <w:rPr>
          <w:sz w:val="22"/>
          <w:szCs w:val="22"/>
          <w:lang w:val="sk-SK"/>
        </w:rPr>
        <w:t xml:space="preserve"> </w:t>
      </w:r>
      <w:r w:rsidR="00B36BFF">
        <w:rPr>
          <w:sz w:val="22"/>
          <w:szCs w:val="22"/>
          <w:lang w:val="sk-SK"/>
        </w:rPr>
        <w:t>mikrogramov</w:t>
      </w:r>
      <w:r w:rsidR="008E0FDE" w:rsidRPr="008D5C24">
        <w:rPr>
          <w:sz w:val="22"/>
          <w:szCs w:val="22"/>
          <w:lang w:val="sk-SK"/>
        </w:rPr>
        <w:t xml:space="preserve"> al</w:t>
      </w:r>
      <w:r w:rsidR="00B36BFF">
        <w:rPr>
          <w:sz w:val="22"/>
          <w:szCs w:val="22"/>
          <w:lang w:val="sk-SK"/>
        </w:rPr>
        <w:t>lury</w:t>
      </w:r>
      <w:r w:rsidR="008E0FDE" w:rsidRPr="008D5C24">
        <w:rPr>
          <w:sz w:val="22"/>
          <w:szCs w:val="22"/>
          <w:lang w:val="sk-SK"/>
        </w:rPr>
        <w:t xml:space="preserve"> červenej </w:t>
      </w:r>
      <w:r w:rsidR="003E7D00">
        <w:rPr>
          <w:sz w:val="22"/>
          <w:szCs w:val="22"/>
          <w:lang w:val="sk-SK"/>
        </w:rPr>
        <w:t xml:space="preserve">AC </w:t>
      </w:r>
      <w:r w:rsidR="008E0FDE" w:rsidRPr="008D5C24">
        <w:rPr>
          <w:sz w:val="22"/>
          <w:szCs w:val="22"/>
          <w:lang w:val="sk-SK"/>
        </w:rPr>
        <w:t>(E129)</w:t>
      </w:r>
      <w:r w:rsidRPr="008D5C24">
        <w:rPr>
          <w:sz w:val="22"/>
          <w:szCs w:val="22"/>
          <w:lang w:val="sk-SK"/>
        </w:rPr>
        <w:t>.</w:t>
      </w:r>
    </w:p>
    <w:p w14:paraId="30B14EB8" w14:textId="77777777" w:rsidR="00D318E7" w:rsidRPr="00750EB7" w:rsidRDefault="00D318E7" w:rsidP="00235C1B">
      <w:pPr>
        <w:pStyle w:val="Zkladntext"/>
        <w:rPr>
          <w:lang w:val="sk-SK"/>
        </w:rPr>
      </w:pPr>
    </w:p>
    <w:p w14:paraId="1D25C8E7" w14:textId="77777777" w:rsidR="008E0FDE" w:rsidRPr="00CC5F68" w:rsidRDefault="008E0FDE" w:rsidP="00B52FD1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u w:val="single"/>
          <w:lang w:val="sk-SK"/>
        </w:rPr>
      </w:pPr>
      <w:r w:rsidRPr="00CC5F68">
        <w:rPr>
          <w:sz w:val="22"/>
          <w:szCs w:val="22"/>
          <w:u w:val="single"/>
          <w:lang w:val="sk-SK"/>
        </w:rPr>
        <w:t>Pomocné látky so známym účinkom</w:t>
      </w:r>
    </w:p>
    <w:p w14:paraId="4D991A83" w14:textId="77777777" w:rsidR="008E0FDE" w:rsidRPr="008D5C24" w:rsidRDefault="00475B62" w:rsidP="00C61A46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Dailiport 3</w:t>
      </w:r>
      <w:r w:rsidR="008E0FDE" w:rsidRPr="008D5C24">
        <w:rPr>
          <w:sz w:val="22"/>
          <w:szCs w:val="22"/>
          <w:lang w:val="sk-SK"/>
        </w:rPr>
        <w:t xml:space="preserve"> mg tvrdé kapsuly s predĺženým uvoľňovaním</w:t>
      </w:r>
    </w:p>
    <w:p w14:paraId="059AF035" w14:textId="77777777" w:rsidR="008E0FDE" w:rsidRPr="008D5C24" w:rsidRDefault="00475B62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322</w:t>
      </w:r>
      <w:r w:rsidR="008E0FDE" w:rsidRPr="008D5C24">
        <w:rPr>
          <w:sz w:val="22"/>
          <w:szCs w:val="22"/>
          <w:lang w:val="sk-SK"/>
        </w:rPr>
        <w:t xml:space="preserve"> mg monohydrátu laktózy.</w:t>
      </w:r>
    </w:p>
    <w:p w14:paraId="23FDC1DA" w14:textId="34BF9EA4" w:rsidR="008E0FDE" w:rsidRPr="008D5C24" w:rsidRDefault="008E0FDE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5</w:t>
      </w:r>
      <w:r w:rsidR="00475B62" w:rsidRPr="008D5C24">
        <w:rPr>
          <w:sz w:val="22"/>
          <w:szCs w:val="22"/>
          <w:lang w:val="sk-SK"/>
        </w:rPr>
        <w:t>1,9</w:t>
      </w:r>
      <w:r w:rsidR="00FB5A31">
        <w:rPr>
          <w:sz w:val="22"/>
          <w:szCs w:val="22"/>
          <w:lang w:val="sk-SK"/>
        </w:rPr>
        <w:t xml:space="preserve"> </w:t>
      </w:r>
      <w:r w:rsidR="00B36BFF">
        <w:rPr>
          <w:sz w:val="22"/>
          <w:szCs w:val="22"/>
          <w:lang w:val="sk-SK"/>
        </w:rPr>
        <w:t>mikrogramov</w:t>
      </w:r>
      <w:r w:rsidR="00FB5A31">
        <w:rPr>
          <w:sz w:val="22"/>
          <w:szCs w:val="22"/>
          <w:lang w:val="sk-SK"/>
        </w:rPr>
        <w:t xml:space="preserve"> žlte</w:t>
      </w:r>
      <w:r w:rsidR="00B36BFF">
        <w:rPr>
          <w:sz w:val="22"/>
          <w:szCs w:val="22"/>
          <w:lang w:val="sk-SK"/>
        </w:rPr>
        <w:t>j</w:t>
      </w:r>
      <w:r w:rsidRPr="008D5C24">
        <w:rPr>
          <w:sz w:val="22"/>
          <w:szCs w:val="22"/>
          <w:lang w:val="sk-SK"/>
        </w:rPr>
        <w:t xml:space="preserve"> FCF (E110).</w:t>
      </w:r>
    </w:p>
    <w:p w14:paraId="59027C32" w14:textId="486A13A6" w:rsidR="008E0FDE" w:rsidRPr="008D5C24" w:rsidRDefault="00475B62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1,0</w:t>
      </w:r>
      <w:r w:rsidR="008E0FDE" w:rsidRPr="008D5C24">
        <w:rPr>
          <w:sz w:val="22"/>
          <w:szCs w:val="22"/>
          <w:lang w:val="sk-SK"/>
        </w:rPr>
        <w:t xml:space="preserve"> m</w:t>
      </w:r>
      <w:r w:rsidR="00B36BFF">
        <w:rPr>
          <w:sz w:val="22"/>
          <w:szCs w:val="22"/>
          <w:lang w:val="sk-SK"/>
        </w:rPr>
        <w:t>ikrogram</w:t>
      </w:r>
      <w:r w:rsidR="008E0FDE" w:rsidRPr="008D5C24">
        <w:rPr>
          <w:sz w:val="22"/>
          <w:szCs w:val="22"/>
          <w:lang w:val="sk-SK"/>
        </w:rPr>
        <w:t xml:space="preserve"> al</w:t>
      </w:r>
      <w:r w:rsidR="00B36BFF">
        <w:rPr>
          <w:sz w:val="22"/>
          <w:szCs w:val="22"/>
          <w:lang w:val="sk-SK"/>
        </w:rPr>
        <w:t>lury</w:t>
      </w:r>
      <w:r w:rsidR="008E0FDE" w:rsidRPr="008D5C24">
        <w:rPr>
          <w:sz w:val="22"/>
          <w:szCs w:val="22"/>
          <w:lang w:val="sk-SK"/>
        </w:rPr>
        <w:t xml:space="preserve"> červenej </w:t>
      </w:r>
      <w:r w:rsidR="00846D03">
        <w:rPr>
          <w:sz w:val="22"/>
          <w:szCs w:val="22"/>
          <w:lang w:val="sk-SK"/>
        </w:rPr>
        <w:t xml:space="preserve">AC </w:t>
      </w:r>
      <w:r w:rsidR="008E0FDE" w:rsidRPr="008D5C24">
        <w:rPr>
          <w:sz w:val="22"/>
          <w:szCs w:val="22"/>
          <w:lang w:val="sk-SK"/>
        </w:rPr>
        <w:t>(E129).</w:t>
      </w:r>
    </w:p>
    <w:p w14:paraId="4F636640" w14:textId="77777777" w:rsidR="00D318E7" w:rsidRPr="00C90CED" w:rsidRDefault="00D318E7" w:rsidP="00235C1B">
      <w:pPr>
        <w:pStyle w:val="Zkladntext"/>
        <w:rPr>
          <w:lang w:val="sk-SK"/>
        </w:rPr>
      </w:pPr>
    </w:p>
    <w:p w14:paraId="33568828" w14:textId="77777777" w:rsidR="008E0FDE" w:rsidRPr="00CC5F68" w:rsidRDefault="008E0FDE" w:rsidP="00B52FD1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u w:val="single"/>
          <w:lang w:val="sk-SK"/>
        </w:rPr>
      </w:pPr>
      <w:r w:rsidRPr="00CC5F68">
        <w:rPr>
          <w:sz w:val="22"/>
          <w:szCs w:val="22"/>
          <w:u w:val="single"/>
          <w:lang w:val="sk-SK"/>
        </w:rPr>
        <w:t>Pomocné látky so známym účinkom</w:t>
      </w:r>
    </w:p>
    <w:p w14:paraId="19B23762" w14:textId="77777777" w:rsidR="008E0FDE" w:rsidRPr="008D5C24" w:rsidRDefault="00475B62" w:rsidP="00C61A46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Dailiport 5</w:t>
      </w:r>
      <w:r w:rsidR="008E0FDE" w:rsidRPr="008D5C24">
        <w:rPr>
          <w:sz w:val="22"/>
          <w:szCs w:val="22"/>
          <w:lang w:val="sk-SK"/>
        </w:rPr>
        <w:t xml:space="preserve"> mg tvrdé kapsuly s predĺženým uvoľňovaním</w:t>
      </w:r>
    </w:p>
    <w:p w14:paraId="65035DB3" w14:textId="77777777" w:rsidR="008E0FDE" w:rsidRPr="008D5C24" w:rsidRDefault="00475B62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537</w:t>
      </w:r>
      <w:r w:rsidR="008E0FDE" w:rsidRPr="008D5C24">
        <w:rPr>
          <w:sz w:val="22"/>
          <w:szCs w:val="22"/>
          <w:lang w:val="sk-SK"/>
        </w:rPr>
        <w:t xml:space="preserve"> mg monohydrátu laktózy.</w:t>
      </w:r>
    </w:p>
    <w:p w14:paraId="4D2E9795" w14:textId="15402E66" w:rsidR="008E0FDE" w:rsidRPr="008D5C24" w:rsidRDefault="00475B62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18,6</w:t>
      </w:r>
      <w:r w:rsidR="00FB5A31">
        <w:rPr>
          <w:sz w:val="22"/>
          <w:szCs w:val="22"/>
          <w:lang w:val="sk-SK"/>
        </w:rPr>
        <w:t xml:space="preserve"> </w:t>
      </w:r>
      <w:r w:rsidR="00B36BFF">
        <w:rPr>
          <w:sz w:val="22"/>
          <w:szCs w:val="22"/>
          <w:lang w:val="sk-SK"/>
        </w:rPr>
        <w:t>mikrogramov</w:t>
      </w:r>
      <w:r w:rsidR="00FB5A31">
        <w:rPr>
          <w:sz w:val="22"/>
          <w:szCs w:val="22"/>
          <w:lang w:val="sk-SK"/>
        </w:rPr>
        <w:t xml:space="preserve"> žlt</w:t>
      </w:r>
      <w:r w:rsidR="00B36BFF">
        <w:rPr>
          <w:sz w:val="22"/>
          <w:szCs w:val="22"/>
          <w:lang w:val="sk-SK"/>
        </w:rPr>
        <w:t>ej</w:t>
      </w:r>
      <w:r w:rsidR="008E0FDE" w:rsidRPr="008D5C24">
        <w:rPr>
          <w:sz w:val="22"/>
          <w:szCs w:val="22"/>
          <w:lang w:val="sk-SK"/>
        </w:rPr>
        <w:t xml:space="preserve"> FCF (E110).</w:t>
      </w:r>
    </w:p>
    <w:p w14:paraId="0F7A1D20" w14:textId="7E198811" w:rsidR="00D318E7" w:rsidRPr="008D5C24" w:rsidRDefault="00475B62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lang w:val="sk-SK"/>
        </w:rPr>
      </w:pPr>
      <w:r w:rsidRPr="008D5C24">
        <w:rPr>
          <w:sz w:val="22"/>
          <w:szCs w:val="22"/>
          <w:lang w:val="sk-SK"/>
        </w:rPr>
        <w:t>Každá kapsula obsahuje 1,5</w:t>
      </w:r>
      <w:r w:rsidR="008E0FDE" w:rsidRPr="008D5C24">
        <w:rPr>
          <w:sz w:val="22"/>
          <w:szCs w:val="22"/>
          <w:lang w:val="sk-SK"/>
        </w:rPr>
        <w:t xml:space="preserve"> </w:t>
      </w:r>
      <w:r w:rsidR="00B36BFF">
        <w:rPr>
          <w:sz w:val="22"/>
          <w:szCs w:val="22"/>
          <w:lang w:val="sk-SK"/>
        </w:rPr>
        <w:t>mikrogramov</w:t>
      </w:r>
      <w:r w:rsidR="008E0FDE" w:rsidRPr="008D5C24">
        <w:rPr>
          <w:sz w:val="22"/>
          <w:szCs w:val="22"/>
          <w:lang w:val="sk-SK"/>
        </w:rPr>
        <w:t xml:space="preserve"> al</w:t>
      </w:r>
      <w:r w:rsidR="00B36BFF">
        <w:rPr>
          <w:sz w:val="22"/>
          <w:szCs w:val="22"/>
          <w:lang w:val="sk-SK"/>
        </w:rPr>
        <w:t>lury</w:t>
      </w:r>
      <w:r w:rsidR="008E0FDE" w:rsidRPr="008D5C24">
        <w:rPr>
          <w:sz w:val="22"/>
          <w:szCs w:val="22"/>
          <w:lang w:val="sk-SK"/>
        </w:rPr>
        <w:t xml:space="preserve"> červenej </w:t>
      </w:r>
      <w:r w:rsidR="00846D03">
        <w:rPr>
          <w:sz w:val="22"/>
          <w:szCs w:val="22"/>
          <w:lang w:val="sk-SK"/>
        </w:rPr>
        <w:t xml:space="preserve">AC </w:t>
      </w:r>
      <w:r w:rsidR="008E0FDE" w:rsidRPr="008D5C24">
        <w:rPr>
          <w:sz w:val="22"/>
          <w:szCs w:val="22"/>
          <w:lang w:val="sk-SK"/>
        </w:rPr>
        <w:t>(E129)</w:t>
      </w:r>
      <w:r w:rsidRPr="008D5C24">
        <w:rPr>
          <w:sz w:val="22"/>
          <w:szCs w:val="22"/>
          <w:lang w:val="sk-SK"/>
        </w:rPr>
        <w:t>.</w:t>
      </w:r>
    </w:p>
    <w:p w14:paraId="5ABC20FA" w14:textId="77777777" w:rsidR="00475B62" w:rsidRPr="00475B62" w:rsidRDefault="00475B62" w:rsidP="00235C1B">
      <w:pPr>
        <w:pStyle w:val="Zkladntext"/>
        <w:rPr>
          <w:lang w:val="sk-SK"/>
        </w:rPr>
      </w:pPr>
    </w:p>
    <w:p w14:paraId="7E49F42D" w14:textId="77777777" w:rsidR="009D6F61" w:rsidRPr="009D6F61" w:rsidRDefault="009D6F61" w:rsidP="00235C1B">
      <w:pPr>
        <w:pStyle w:val="Zkladntext"/>
        <w:rPr>
          <w:lang w:val="sk-SK"/>
        </w:rPr>
      </w:pPr>
      <w:r w:rsidRPr="009D6F61">
        <w:rPr>
          <w:lang w:val="sk-SK"/>
        </w:rPr>
        <w:t>Potlačová farba</w:t>
      </w:r>
      <w:r>
        <w:rPr>
          <w:lang w:val="sk-SK"/>
        </w:rPr>
        <w:t xml:space="preserve"> použitá na označenie kapsúl obsahuje stopové množstvá:</w:t>
      </w:r>
    </w:p>
    <w:p w14:paraId="76296EFC" w14:textId="7893455C" w:rsidR="009D6F61" w:rsidRDefault="009D6F61" w:rsidP="00235C1B">
      <w:pPr>
        <w:pStyle w:val="Zkladntext"/>
        <w:numPr>
          <w:ilvl w:val="0"/>
          <w:numId w:val="4"/>
        </w:numPr>
        <w:ind w:left="709" w:hanging="709"/>
        <w:rPr>
          <w:lang w:val="sk-SK"/>
        </w:rPr>
      </w:pPr>
      <w:r w:rsidRPr="009D6F61">
        <w:rPr>
          <w:lang w:val="sk-SK"/>
        </w:rPr>
        <w:t>al</w:t>
      </w:r>
      <w:r w:rsidR="00722F7A">
        <w:rPr>
          <w:lang w:val="sk-SK"/>
        </w:rPr>
        <w:t>lury</w:t>
      </w:r>
      <w:r w:rsidRPr="009D6F61">
        <w:rPr>
          <w:lang w:val="sk-SK"/>
        </w:rPr>
        <w:t xml:space="preserve"> červen</w:t>
      </w:r>
      <w:r w:rsidR="00722F7A">
        <w:rPr>
          <w:lang w:val="sk-SK"/>
        </w:rPr>
        <w:t>ej</w:t>
      </w:r>
      <w:r w:rsidRPr="009D6F61">
        <w:rPr>
          <w:lang w:val="sk-SK"/>
        </w:rPr>
        <w:t xml:space="preserve"> AC</w:t>
      </w:r>
      <w:r w:rsidR="0043657C">
        <w:rPr>
          <w:lang w:val="sk-SK"/>
        </w:rPr>
        <w:t>,</w:t>
      </w:r>
      <w:r w:rsidRPr="009D6F61">
        <w:rPr>
          <w:lang w:val="sk-SK"/>
        </w:rPr>
        <w:t xml:space="preserve"> </w:t>
      </w:r>
      <w:r w:rsidR="00722F7A" w:rsidRPr="00235C1B">
        <w:rPr>
          <w:lang w:val="sk-SK"/>
        </w:rPr>
        <w:t>hliníkový lak</w:t>
      </w:r>
      <w:r>
        <w:rPr>
          <w:lang w:val="sk-SK"/>
        </w:rPr>
        <w:t xml:space="preserve"> (E129) (14% </w:t>
      </w:r>
      <w:r w:rsidR="003F4244" w:rsidRPr="00C05A2C">
        <w:rPr>
          <w:lang w:val="sk-SK"/>
        </w:rPr>
        <w:t>hm./hm</w:t>
      </w:r>
      <w:r w:rsidR="003F4244">
        <w:rPr>
          <w:lang w:val="sk-SK"/>
        </w:rPr>
        <w:t>.</w:t>
      </w:r>
      <w:r>
        <w:rPr>
          <w:lang w:val="sk-SK"/>
        </w:rPr>
        <w:t xml:space="preserve"> </w:t>
      </w:r>
      <w:r w:rsidR="003F4244">
        <w:rPr>
          <w:lang w:val="sk-SK"/>
        </w:rPr>
        <w:t xml:space="preserve">z </w:t>
      </w:r>
      <w:r>
        <w:rPr>
          <w:lang w:val="sk-SK"/>
        </w:rPr>
        <w:t>celkového zloženia potlačovej farby)</w:t>
      </w:r>
      <w:r w:rsidR="00513968">
        <w:rPr>
          <w:lang w:val="sk-SK"/>
        </w:rPr>
        <w:t>;</w:t>
      </w:r>
    </w:p>
    <w:p w14:paraId="2E93B781" w14:textId="2813E908" w:rsidR="00513968" w:rsidRDefault="00FB5A31" w:rsidP="00235C1B">
      <w:pPr>
        <w:pStyle w:val="Zkladntext"/>
        <w:numPr>
          <w:ilvl w:val="0"/>
          <w:numId w:val="4"/>
        </w:numPr>
        <w:ind w:left="0" w:firstLine="0"/>
        <w:rPr>
          <w:lang w:val="sk-SK"/>
        </w:rPr>
      </w:pPr>
      <w:r>
        <w:rPr>
          <w:lang w:val="sk-SK"/>
        </w:rPr>
        <w:t>žl</w:t>
      </w:r>
      <w:r w:rsidR="00292F16">
        <w:rPr>
          <w:lang w:val="sk-SK"/>
        </w:rPr>
        <w:t>tej</w:t>
      </w:r>
      <w:r w:rsidR="009D6F61" w:rsidRPr="009D6F61">
        <w:rPr>
          <w:lang w:val="sk-SK"/>
        </w:rPr>
        <w:t xml:space="preserve"> FCF</w:t>
      </w:r>
      <w:r w:rsidR="0043657C">
        <w:rPr>
          <w:lang w:val="sk-SK"/>
        </w:rPr>
        <w:t>,</w:t>
      </w:r>
      <w:r w:rsidR="00292F16">
        <w:rPr>
          <w:lang w:val="sk-SK"/>
        </w:rPr>
        <w:t xml:space="preserve"> hliníkový lak</w:t>
      </w:r>
      <w:r w:rsidR="003F4244">
        <w:rPr>
          <w:lang w:val="sk-SK"/>
        </w:rPr>
        <w:t xml:space="preserve"> (E110) (3% hm./hm.</w:t>
      </w:r>
      <w:r w:rsidR="00513968">
        <w:rPr>
          <w:lang w:val="sk-SK"/>
        </w:rPr>
        <w:t xml:space="preserve"> </w:t>
      </w:r>
      <w:r w:rsidR="003F4244">
        <w:rPr>
          <w:lang w:val="sk-SK"/>
        </w:rPr>
        <w:t xml:space="preserve">z </w:t>
      </w:r>
      <w:r w:rsidR="00513968">
        <w:rPr>
          <w:lang w:val="sk-SK"/>
        </w:rPr>
        <w:t>celkového zloženia potlačovej farby);</w:t>
      </w:r>
    </w:p>
    <w:p w14:paraId="73F39060" w14:textId="77777777" w:rsidR="009D6F61" w:rsidRPr="009D6F61" w:rsidRDefault="009D6F61" w:rsidP="00235C1B">
      <w:pPr>
        <w:pStyle w:val="Zkladntext"/>
        <w:numPr>
          <w:ilvl w:val="0"/>
          <w:numId w:val="4"/>
        </w:numPr>
        <w:ind w:left="0" w:firstLine="0"/>
        <w:rPr>
          <w:lang w:val="sk-SK"/>
        </w:rPr>
      </w:pPr>
      <w:r w:rsidRPr="009D6F61">
        <w:rPr>
          <w:lang w:val="sk-SK"/>
        </w:rPr>
        <w:t>lecitín (sója</w:t>
      </w:r>
      <w:r w:rsidR="00513968">
        <w:rPr>
          <w:lang w:val="sk-SK"/>
        </w:rPr>
        <w:t>) (0,99%</w:t>
      </w:r>
      <w:r w:rsidR="003F4244">
        <w:rPr>
          <w:lang w:val="sk-SK"/>
        </w:rPr>
        <w:t xml:space="preserve"> hm./hm.</w:t>
      </w:r>
      <w:r w:rsidR="00513968">
        <w:rPr>
          <w:lang w:val="sk-SK"/>
        </w:rPr>
        <w:t xml:space="preserve"> </w:t>
      </w:r>
      <w:r w:rsidR="003F4244">
        <w:rPr>
          <w:lang w:val="sk-SK"/>
        </w:rPr>
        <w:t xml:space="preserve">z </w:t>
      </w:r>
      <w:r w:rsidR="00513968">
        <w:rPr>
          <w:lang w:val="sk-SK"/>
        </w:rPr>
        <w:t>celkového zloženia potl</w:t>
      </w:r>
      <w:r w:rsidR="003F4244">
        <w:rPr>
          <w:lang w:val="sk-SK"/>
        </w:rPr>
        <w:t>a</w:t>
      </w:r>
      <w:r w:rsidR="00513968">
        <w:rPr>
          <w:lang w:val="sk-SK"/>
        </w:rPr>
        <w:t>čovej farby)</w:t>
      </w:r>
    </w:p>
    <w:p w14:paraId="61F69BC6" w14:textId="77777777" w:rsidR="009D6F61" w:rsidRDefault="009D6F61" w:rsidP="00B52FD1">
      <w:pPr>
        <w:pStyle w:val="Zkladntext"/>
        <w:rPr>
          <w:lang w:val="sk-SK"/>
        </w:rPr>
      </w:pPr>
    </w:p>
    <w:p w14:paraId="4CC2E028" w14:textId="77777777" w:rsidR="00D318E7" w:rsidRPr="00C90CED" w:rsidRDefault="00D318E7" w:rsidP="00C61A46">
      <w:pPr>
        <w:pStyle w:val="Zkladntext"/>
        <w:rPr>
          <w:lang w:val="sk-SK"/>
        </w:rPr>
      </w:pPr>
      <w:r w:rsidRPr="00C90CED">
        <w:rPr>
          <w:lang w:val="sk-SK"/>
        </w:rPr>
        <w:t>Úplný zoznam pomocných látok, pozri časť 6.1.</w:t>
      </w:r>
    </w:p>
    <w:p w14:paraId="6B1E4794" w14:textId="77777777" w:rsidR="00D318E7" w:rsidRPr="00C90CED" w:rsidRDefault="00D318E7" w:rsidP="00C61A46">
      <w:pPr>
        <w:pStyle w:val="Zkladntext"/>
        <w:rPr>
          <w:sz w:val="24"/>
          <w:lang w:val="sk-SK"/>
        </w:rPr>
      </w:pPr>
    </w:p>
    <w:p w14:paraId="03ACEBEF" w14:textId="77777777" w:rsidR="00D318E7" w:rsidRPr="00C90CED" w:rsidRDefault="00D318E7" w:rsidP="00235C1B">
      <w:pPr>
        <w:pStyle w:val="Zkladntext"/>
        <w:rPr>
          <w:sz w:val="25"/>
          <w:lang w:val="sk-SK"/>
        </w:rPr>
      </w:pPr>
    </w:p>
    <w:p w14:paraId="1BE3EA59" w14:textId="77777777" w:rsidR="00D318E7" w:rsidRPr="00C90CED" w:rsidRDefault="00D318E7" w:rsidP="00B52FD1">
      <w:pPr>
        <w:pStyle w:val="Nadpis1"/>
        <w:numPr>
          <w:ilvl w:val="0"/>
          <w:numId w:val="3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LIEKOVÁ</w:t>
      </w:r>
      <w:r w:rsidRPr="00C90CED">
        <w:rPr>
          <w:spacing w:val="-2"/>
          <w:lang w:val="sk-SK"/>
        </w:rPr>
        <w:t xml:space="preserve"> </w:t>
      </w:r>
      <w:r w:rsidRPr="00C90CED">
        <w:rPr>
          <w:lang w:val="sk-SK"/>
        </w:rPr>
        <w:t>FORMA</w:t>
      </w:r>
    </w:p>
    <w:p w14:paraId="11A2067E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FDFBF0E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Tvrdé kapsuly s predĺženým uvoľňovaním.</w:t>
      </w:r>
    </w:p>
    <w:p w14:paraId="15B1472B" w14:textId="77777777" w:rsidR="00D318E7" w:rsidRPr="00C90CED" w:rsidRDefault="00D318E7" w:rsidP="00B52FD1">
      <w:pPr>
        <w:pStyle w:val="Zkladntext"/>
        <w:rPr>
          <w:lang w:val="sk-SK"/>
        </w:rPr>
      </w:pPr>
    </w:p>
    <w:p w14:paraId="4D03F03F" w14:textId="260195A6" w:rsidR="008D5C24" w:rsidRPr="002608F4" w:rsidRDefault="008D5C24" w:rsidP="00B52FD1">
      <w:pPr>
        <w:pStyle w:val="Default"/>
        <w:widowControl w:val="0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lastRenderedPageBreak/>
        <w:t>Želatínová kapsula veľkosti</w:t>
      </w:r>
      <w:r w:rsidRPr="002608F4">
        <w:rPr>
          <w:sz w:val="22"/>
          <w:szCs w:val="22"/>
          <w:lang w:val="sk-SK"/>
        </w:rPr>
        <w:t xml:space="preserve"> 5 </w:t>
      </w:r>
      <w:r>
        <w:rPr>
          <w:sz w:val="22"/>
          <w:szCs w:val="22"/>
          <w:lang w:val="sk-SK"/>
        </w:rPr>
        <w:t>so svetlohnedým telom a svetložltým viečkom, potlačen</w:t>
      </w:r>
      <w:r w:rsidR="00A6690A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čiernou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farbou s “0,5</w:t>
      </w:r>
      <w:r w:rsidR="00985726">
        <w:rPr>
          <w:sz w:val="22"/>
          <w:szCs w:val="22"/>
          <w:lang w:val="sk-SK"/>
        </w:rPr>
        <w:t xml:space="preserve"> mg”, obsahujúca biely až </w:t>
      </w:r>
      <w:r>
        <w:rPr>
          <w:sz w:val="22"/>
          <w:szCs w:val="22"/>
          <w:lang w:val="sk-SK"/>
        </w:rPr>
        <w:t>žlt</w:t>
      </w:r>
      <w:r w:rsidR="00985726">
        <w:rPr>
          <w:sz w:val="22"/>
          <w:szCs w:val="22"/>
          <w:lang w:val="sk-SK"/>
        </w:rPr>
        <w:t>kast</w:t>
      </w:r>
      <w:r>
        <w:rPr>
          <w:sz w:val="22"/>
          <w:szCs w:val="22"/>
          <w:lang w:val="sk-SK"/>
        </w:rPr>
        <w:t>ý prášok alebo</w:t>
      </w:r>
      <w:r w:rsidRPr="002608F4">
        <w:rPr>
          <w:sz w:val="22"/>
          <w:szCs w:val="22"/>
          <w:lang w:val="sk-SK"/>
        </w:rPr>
        <w:t xml:space="preserve"> </w:t>
      </w:r>
      <w:r w:rsidR="002860E5">
        <w:rPr>
          <w:sz w:val="22"/>
          <w:szCs w:val="22"/>
          <w:lang w:val="sk-SK"/>
        </w:rPr>
        <w:t>kompaktný</w:t>
      </w:r>
      <w:r>
        <w:rPr>
          <w:sz w:val="22"/>
          <w:szCs w:val="22"/>
          <w:lang w:val="sk-SK"/>
        </w:rPr>
        <w:t xml:space="preserve"> prášok (dĺžka 10,7 – 11,</w:t>
      </w:r>
      <w:r w:rsidRPr="002608F4">
        <w:rPr>
          <w:sz w:val="22"/>
          <w:szCs w:val="22"/>
          <w:lang w:val="sk-SK"/>
        </w:rPr>
        <w:t>5 mm).</w:t>
      </w:r>
    </w:p>
    <w:p w14:paraId="2B24807F" w14:textId="3C0CC9DC" w:rsidR="008D5C24" w:rsidRPr="002608F4" w:rsidRDefault="008D5C24" w:rsidP="00B52FD1">
      <w:pPr>
        <w:pStyle w:val="Default"/>
        <w:widowControl w:val="0"/>
        <w:shd w:val="clear" w:color="auto" w:fill="F2F2F2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Želatínová kapsula veľkosti 4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 sv</w:t>
      </w:r>
      <w:r w:rsidR="001B75F7">
        <w:rPr>
          <w:sz w:val="22"/>
          <w:szCs w:val="22"/>
          <w:lang w:val="sk-SK"/>
        </w:rPr>
        <w:t>etlohnedým telom a bielym</w:t>
      </w:r>
      <w:r>
        <w:rPr>
          <w:sz w:val="22"/>
          <w:szCs w:val="22"/>
          <w:lang w:val="sk-SK"/>
        </w:rPr>
        <w:t xml:space="preserve"> viečkom, potlačen</w:t>
      </w:r>
      <w:r w:rsidR="00A6690A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čiernou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farbou s “1</w:t>
      </w:r>
      <w:r w:rsidR="00985726">
        <w:rPr>
          <w:sz w:val="22"/>
          <w:szCs w:val="22"/>
          <w:lang w:val="sk-SK"/>
        </w:rPr>
        <w:t xml:space="preserve"> mg”, obsahujúca biely až </w:t>
      </w:r>
      <w:r>
        <w:rPr>
          <w:sz w:val="22"/>
          <w:szCs w:val="22"/>
          <w:lang w:val="sk-SK"/>
        </w:rPr>
        <w:t>žlt</w:t>
      </w:r>
      <w:r w:rsidR="00985726">
        <w:rPr>
          <w:sz w:val="22"/>
          <w:szCs w:val="22"/>
          <w:lang w:val="sk-SK"/>
        </w:rPr>
        <w:t>kast</w:t>
      </w:r>
      <w:r>
        <w:rPr>
          <w:sz w:val="22"/>
          <w:szCs w:val="22"/>
          <w:lang w:val="sk-SK"/>
        </w:rPr>
        <w:t>ý prášok alebo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zhutnený prášok (dĺžka 14,0 – 14,6</w:t>
      </w:r>
      <w:r w:rsidRPr="002608F4">
        <w:rPr>
          <w:sz w:val="22"/>
          <w:szCs w:val="22"/>
          <w:lang w:val="sk-SK"/>
        </w:rPr>
        <w:t xml:space="preserve"> mm).</w:t>
      </w:r>
    </w:p>
    <w:p w14:paraId="32625949" w14:textId="3170DB56" w:rsidR="008D5C24" w:rsidRPr="002608F4" w:rsidRDefault="008D5C24" w:rsidP="00B52FD1">
      <w:pPr>
        <w:pStyle w:val="Default"/>
        <w:widowControl w:val="0"/>
        <w:shd w:val="clear" w:color="auto" w:fill="BFBFBF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Želatínová kapsula veľkosti 2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 svetlohnedým telom a svetlooranžovým viečkom, potlačen</w:t>
      </w:r>
      <w:r w:rsidR="00A6690A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čiernou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farbou s “3</w:t>
      </w:r>
      <w:r w:rsidR="00985726">
        <w:rPr>
          <w:sz w:val="22"/>
          <w:szCs w:val="22"/>
          <w:lang w:val="sk-SK"/>
        </w:rPr>
        <w:t xml:space="preserve"> mg”, obsahujúca biely až </w:t>
      </w:r>
      <w:r>
        <w:rPr>
          <w:sz w:val="22"/>
          <w:szCs w:val="22"/>
          <w:lang w:val="sk-SK"/>
        </w:rPr>
        <w:t>žl</w:t>
      </w:r>
      <w:r w:rsidR="00B5231E">
        <w:rPr>
          <w:sz w:val="22"/>
          <w:szCs w:val="22"/>
          <w:lang w:val="sk-SK"/>
        </w:rPr>
        <w:t>t</w:t>
      </w:r>
      <w:r w:rsidR="00985726">
        <w:rPr>
          <w:sz w:val="22"/>
          <w:szCs w:val="22"/>
          <w:lang w:val="sk-SK"/>
        </w:rPr>
        <w:t>kast</w:t>
      </w:r>
      <w:r>
        <w:rPr>
          <w:sz w:val="22"/>
          <w:szCs w:val="22"/>
          <w:lang w:val="sk-SK"/>
        </w:rPr>
        <w:t>ý prášok alebo</w:t>
      </w:r>
      <w:r w:rsidRPr="002608F4">
        <w:rPr>
          <w:sz w:val="22"/>
          <w:szCs w:val="22"/>
          <w:lang w:val="sk-SK"/>
        </w:rPr>
        <w:t xml:space="preserve"> </w:t>
      </w:r>
      <w:r w:rsidR="002860E5">
        <w:rPr>
          <w:sz w:val="22"/>
          <w:szCs w:val="22"/>
          <w:lang w:val="sk-SK"/>
        </w:rPr>
        <w:t>kompaktný</w:t>
      </w:r>
      <w:r>
        <w:rPr>
          <w:sz w:val="22"/>
          <w:szCs w:val="22"/>
          <w:lang w:val="sk-SK"/>
        </w:rPr>
        <w:t xml:space="preserve"> prášok (dĺžka 17,7 – 18,3</w:t>
      </w:r>
      <w:r w:rsidRPr="002608F4">
        <w:rPr>
          <w:sz w:val="22"/>
          <w:szCs w:val="22"/>
          <w:lang w:val="sk-SK"/>
        </w:rPr>
        <w:t xml:space="preserve"> mm).</w:t>
      </w:r>
    </w:p>
    <w:p w14:paraId="02081480" w14:textId="74490249" w:rsidR="008D5C24" w:rsidRPr="002608F4" w:rsidRDefault="008D5C24" w:rsidP="00922093">
      <w:pPr>
        <w:pStyle w:val="Default"/>
        <w:widowControl w:val="0"/>
        <w:shd w:val="clear" w:color="auto" w:fill="A6A6A6"/>
        <w:textAlignment w:val="baseline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Želatínová kapsula veľkosti 0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so svetlohnedým telom a ružovým viečkom, potlačen</w:t>
      </w:r>
      <w:r w:rsidR="00A6690A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čiernou</w:t>
      </w:r>
      <w:r w:rsidRPr="002608F4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farbou s “5 mg”, obsahujúc</w:t>
      </w:r>
      <w:r w:rsidR="00985726">
        <w:rPr>
          <w:sz w:val="22"/>
          <w:szCs w:val="22"/>
          <w:lang w:val="sk-SK"/>
        </w:rPr>
        <w:t xml:space="preserve">a biely až </w:t>
      </w:r>
      <w:r>
        <w:rPr>
          <w:sz w:val="22"/>
          <w:szCs w:val="22"/>
          <w:lang w:val="sk-SK"/>
        </w:rPr>
        <w:t>žlt</w:t>
      </w:r>
      <w:r w:rsidR="00985726">
        <w:rPr>
          <w:sz w:val="22"/>
          <w:szCs w:val="22"/>
          <w:lang w:val="sk-SK"/>
        </w:rPr>
        <w:t>kast</w:t>
      </w:r>
      <w:r>
        <w:rPr>
          <w:sz w:val="22"/>
          <w:szCs w:val="22"/>
          <w:lang w:val="sk-SK"/>
        </w:rPr>
        <w:t>ý prášok alebo</w:t>
      </w:r>
      <w:r w:rsidRPr="002608F4">
        <w:rPr>
          <w:sz w:val="22"/>
          <w:szCs w:val="22"/>
          <w:lang w:val="sk-SK"/>
        </w:rPr>
        <w:t xml:space="preserve"> </w:t>
      </w:r>
      <w:r w:rsidR="002860E5">
        <w:rPr>
          <w:sz w:val="22"/>
          <w:szCs w:val="22"/>
          <w:lang w:val="sk-SK"/>
        </w:rPr>
        <w:t>kompaktný</w:t>
      </w:r>
      <w:r>
        <w:rPr>
          <w:sz w:val="22"/>
          <w:szCs w:val="22"/>
          <w:lang w:val="sk-SK"/>
        </w:rPr>
        <w:t xml:space="preserve"> prášok (dĺžka 21,4 – 22,0</w:t>
      </w:r>
      <w:r w:rsidRPr="002608F4">
        <w:rPr>
          <w:sz w:val="22"/>
          <w:szCs w:val="22"/>
          <w:lang w:val="sk-SK"/>
        </w:rPr>
        <w:t xml:space="preserve"> mm).</w:t>
      </w:r>
    </w:p>
    <w:p w14:paraId="0B0710D9" w14:textId="77777777" w:rsidR="00D318E7" w:rsidRPr="00235C1B" w:rsidRDefault="00D318E7" w:rsidP="00922093">
      <w:pPr>
        <w:pStyle w:val="Zkladntext"/>
        <w:rPr>
          <w:lang w:val="sk-SK"/>
        </w:rPr>
      </w:pPr>
    </w:p>
    <w:p w14:paraId="291E1DF7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037061FE" w14:textId="77777777" w:rsidR="00D318E7" w:rsidRPr="00C90CED" w:rsidRDefault="00D318E7" w:rsidP="00235C1B">
      <w:pPr>
        <w:pStyle w:val="Nadpis1"/>
        <w:numPr>
          <w:ilvl w:val="0"/>
          <w:numId w:val="3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KLINICKÉ</w:t>
      </w:r>
      <w:r w:rsidRPr="00C90CED">
        <w:rPr>
          <w:spacing w:val="-4"/>
          <w:lang w:val="sk-SK"/>
        </w:rPr>
        <w:t xml:space="preserve"> </w:t>
      </w:r>
      <w:r w:rsidRPr="00C90CED">
        <w:rPr>
          <w:lang w:val="sk-SK"/>
        </w:rPr>
        <w:t>ÚDAJE</w:t>
      </w:r>
    </w:p>
    <w:p w14:paraId="096C0CA1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112D32ED" w14:textId="77777777" w:rsidR="00D318E7" w:rsidRPr="00C90CED" w:rsidRDefault="00D318E7" w:rsidP="00B52FD1">
      <w:pPr>
        <w:pStyle w:val="Odsekzoznamu"/>
        <w:numPr>
          <w:ilvl w:val="1"/>
          <w:numId w:val="3"/>
        </w:numPr>
        <w:tabs>
          <w:tab w:val="left" w:pos="684"/>
          <w:tab w:val="left" w:pos="685"/>
        </w:tabs>
        <w:ind w:left="0" w:firstLine="0"/>
        <w:rPr>
          <w:b/>
          <w:lang w:val="sk-SK"/>
        </w:rPr>
      </w:pPr>
      <w:r w:rsidRPr="00C90CED">
        <w:rPr>
          <w:b/>
          <w:lang w:val="sk-SK"/>
        </w:rPr>
        <w:t>Terapeutické</w:t>
      </w:r>
      <w:r w:rsidRPr="00C90CED">
        <w:rPr>
          <w:b/>
          <w:spacing w:val="-4"/>
          <w:lang w:val="sk-SK"/>
        </w:rPr>
        <w:t xml:space="preserve"> </w:t>
      </w:r>
      <w:r w:rsidRPr="00C90CED">
        <w:rPr>
          <w:b/>
          <w:lang w:val="sk-SK"/>
        </w:rPr>
        <w:t>indikácie</w:t>
      </w:r>
    </w:p>
    <w:p w14:paraId="0E07734C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4EDEE77D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Profylaxia rejekcie transplantátu u dospelých príjemcov štepu pečene alebo obličiek.</w:t>
      </w:r>
    </w:p>
    <w:p w14:paraId="5863836F" w14:textId="77777777" w:rsidR="00D318E7" w:rsidRPr="00C90CED" w:rsidRDefault="00D318E7">
      <w:pPr>
        <w:pStyle w:val="Zkladntext"/>
        <w:rPr>
          <w:lang w:val="sk-SK"/>
        </w:rPr>
      </w:pPr>
    </w:p>
    <w:p w14:paraId="7CB61362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Liečba rejekcie štepu rezistentného na liečbu inými imunosupresívnymi liekmi u dospelých pacientov.</w:t>
      </w:r>
    </w:p>
    <w:p w14:paraId="7012A38A" w14:textId="77777777" w:rsidR="00D318E7" w:rsidRPr="00C90CED" w:rsidRDefault="00D318E7" w:rsidP="00235C1B">
      <w:pPr>
        <w:pStyle w:val="Zkladntext"/>
        <w:rPr>
          <w:lang w:val="sk-SK"/>
        </w:rPr>
      </w:pPr>
    </w:p>
    <w:p w14:paraId="1618D89A" w14:textId="77777777" w:rsidR="00D318E7" w:rsidRPr="00C90CED" w:rsidRDefault="00D318E7" w:rsidP="00B52FD1">
      <w:pPr>
        <w:pStyle w:val="Nadpis1"/>
        <w:numPr>
          <w:ilvl w:val="1"/>
          <w:numId w:val="3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Dávkovanie a spôsob</w:t>
      </w:r>
      <w:r w:rsidRPr="00C90CED">
        <w:rPr>
          <w:spacing w:val="-4"/>
          <w:lang w:val="sk-SK"/>
        </w:rPr>
        <w:t xml:space="preserve"> </w:t>
      </w:r>
      <w:r w:rsidRPr="00C90CED">
        <w:rPr>
          <w:lang w:val="sk-SK"/>
        </w:rPr>
        <w:t>podávania</w:t>
      </w:r>
    </w:p>
    <w:p w14:paraId="523A3BF9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312A6F62" w14:textId="41C6A8A8" w:rsidR="00D318E7" w:rsidRPr="00C90CED" w:rsidRDefault="005508C6" w:rsidP="00235C1B">
      <w:pPr>
        <w:pStyle w:val="Zkladntext"/>
        <w:rPr>
          <w:lang w:val="sk-SK"/>
        </w:rPr>
      </w:pPr>
      <w:r>
        <w:rPr>
          <w:lang w:val="sk-SK"/>
        </w:rPr>
        <w:t>Dailiport</w:t>
      </w:r>
      <w:r w:rsidR="00D318E7" w:rsidRPr="00C90CED">
        <w:rPr>
          <w:lang w:val="sk-SK"/>
        </w:rPr>
        <w:t xml:space="preserve"> je </w:t>
      </w:r>
      <w:r w:rsidR="00B5231E">
        <w:rPr>
          <w:lang w:val="sk-SK"/>
        </w:rPr>
        <w:t xml:space="preserve">perorálna lieková </w:t>
      </w:r>
      <w:r w:rsidR="00D318E7" w:rsidRPr="00C90CED">
        <w:rPr>
          <w:lang w:val="sk-SK"/>
        </w:rPr>
        <w:t xml:space="preserve">forma takrolimu, ktorá sa užíva </w:t>
      </w:r>
      <w:r w:rsidR="00BC4BDE">
        <w:rPr>
          <w:lang w:val="sk-SK"/>
        </w:rPr>
        <w:t xml:space="preserve">raz denne. Liečba </w:t>
      </w:r>
      <w:r>
        <w:rPr>
          <w:lang w:val="sk-SK"/>
        </w:rPr>
        <w:t>Dailiport</w:t>
      </w:r>
      <w:r w:rsidR="00BC4BDE">
        <w:rPr>
          <w:lang w:val="sk-SK"/>
        </w:rPr>
        <w:t>om</w:t>
      </w:r>
      <w:r w:rsidR="00D318E7" w:rsidRPr="00C90CED">
        <w:rPr>
          <w:lang w:val="sk-SK"/>
        </w:rPr>
        <w:t xml:space="preserve"> si vyžaduje starostlivé sledovanie primerane kvalifikovaným a vybaveným personálom. Predpísať tento liek</w:t>
      </w:r>
      <w:r w:rsidR="00B5231E">
        <w:rPr>
          <w:lang w:val="sk-SK"/>
        </w:rPr>
        <w:t xml:space="preserve"> </w:t>
      </w:r>
      <w:r w:rsidR="00D318E7" w:rsidRPr="00C90CED">
        <w:rPr>
          <w:lang w:val="sk-SK"/>
        </w:rPr>
        <w:t>a meniť už začatú imunosupresívnu liečbu majú iba lekári so skúsenosťami s</w:t>
      </w:r>
      <w:r w:rsidR="00B5231E">
        <w:rPr>
          <w:lang w:val="sk-SK"/>
        </w:rPr>
        <w:t> </w:t>
      </w:r>
      <w:r w:rsidR="00D318E7" w:rsidRPr="00C90CED">
        <w:rPr>
          <w:lang w:val="sk-SK"/>
        </w:rPr>
        <w:t>imunosupresívnou</w:t>
      </w:r>
      <w:r w:rsidR="00B5231E">
        <w:rPr>
          <w:lang w:val="sk-SK"/>
        </w:rPr>
        <w:t xml:space="preserve"> </w:t>
      </w:r>
      <w:r w:rsidR="00D318E7" w:rsidRPr="00C90CED">
        <w:rPr>
          <w:lang w:val="sk-SK"/>
        </w:rPr>
        <w:t>liečbou a manažmentom pacientov po transplantácii.</w:t>
      </w:r>
    </w:p>
    <w:p w14:paraId="43FFD6E6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48E40D4C" w14:textId="03A23DF1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Náhodná, neúmyselná alebo nekontrolovaná zámena medzi </w:t>
      </w:r>
      <w:r w:rsidR="00B5231E">
        <w:rPr>
          <w:lang w:val="sk-SK"/>
        </w:rPr>
        <w:t xml:space="preserve">liekovou </w:t>
      </w:r>
      <w:r w:rsidRPr="00C90CED">
        <w:rPr>
          <w:lang w:val="sk-SK"/>
        </w:rPr>
        <w:t xml:space="preserve">formou takrolimu s okamžitým uvoľňovaním alebo </w:t>
      </w:r>
      <w:r w:rsidR="0021683C">
        <w:rPr>
          <w:lang w:val="sk-SK"/>
        </w:rPr>
        <w:t xml:space="preserve">liekovou </w:t>
      </w:r>
      <w:r w:rsidRPr="00C90CED">
        <w:rPr>
          <w:lang w:val="sk-SK"/>
        </w:rPr>
        <w:t>formou takrolimu s predĺženým uvoľňovaním je nebezpečná. Môže viesť k rejekcii štepu alebo k zvýšenému výskytu nežiaducich reakcií, vrátane nedostačujúcej alebo</w:t>
      </w:r>
    </w:p>
    <w:p w14:paraId="6FDEEAFB" w14:textId="7D411888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nadmernej imunosupresie z dôvodu klinicky závažných rozdielov v systémovej expozícii takrolimu. Pacient</w:t>
      </w:r>
      <w:r w:rsidR="00321AB4">
        <w:rPr>
          <w:lang w:val="sk-SK"/>
        </w:rPr>
        <w:t>i majú</w:t>
      </w:r>
      <w:r w:rsidRPr="00C90CED">
        <w:rPr>
          <w:lang w:val="sk-SK"/>
        </w:rPr>
        <w:t xml:space="preserve"> pokračovať v užívaní jednej </w:t>
      </w:r>
      <w:r w:rsidR="0021683C">
        <w:rPr>
          <w:lang w:val="sk-SK"/>
        </w:rPr>
        <w:t xml:space="preserve">liekovej </w:t>
      </w:r>
      <w:r w:rsidRPr="00C90CED">
        <w:rPr>
          <w:lang w:val="sk-SK"/>
        </w:rPr>
        <w:t xml:space="preserve">formy takrolimu s príslušným denným dávkovacím režimom; zmeny </w:t>
      </w:r>
      <w:r w:rsidR="0021683C">
        <w:rPr>
          <w:lang w:val="sk-SK"/>
        </w:rPr>
        <w:t xml:space="preserve">liekových </w:t>
      </w:r>
      <w:r w:rsidRPr="00C90CED">
        <w:rPr>
          <w:lang w:val="sk-SK"/>
        </w:rPr>
        <w:t xml:space="preserve">foriem a režimov sa majú robiť len pod </w:t>
      </w:r>
      <w:r w:rsidR="00604407">
        <w:rPr>
          <w:lang w:val="sk-SK"/>
        </w:rPr>
        <w:t xml:space="preserve">starostlivým </w:t>
      </w:r>
      <w:r w:rsidRPr="00C90CED">
        <w:rPr>
          <w:lang w:val="sk-SK"/>
        </w:rPr>
        <w:t>dohľadom špecialistu n</w:t>
      </w:r>
      <w:r w:rsidR="00321AB4">
        <w:rPr>
          <w:lang w:val="sk-SK"/>
        </w:rPr>
        <w:t xml:space="preserve">a transplantológiu (pozri časti </w:t>
      </w:r>
      <w:r w:rsidRPr="00C90CED">
        <w:rPr>
          <w:lang w:val="sk-SK"/>
        </w:rPr>
        <w:t xml:space="preserve">4.4 a 4.8). Po konverzii na ktorúkoľvek alternatívnu </w:t>
      </w:r>
      <w:r w:rsidR="00604407">
        <w:rPr>
          <w:lang w:val="sk-SK"/>
        </w:rPr>
        <w:t xml:space="preserve">liekovú </w:t>
      </w:r>
      <w:r w:rsidRPr="00C90CED">
        <w:rPr>
          <w:lang w:val="sk-SK"/>
        </w:rPr>
        <w:t xml:space="preserve">formu sa musí vykonať monitorovanie </w:t>
      </w:r>
      <w:r w:rsidR="008605FE">
        <w:rPr>
          <w:lang w:val="sk-SK"/>
        </w:rPr>
        <w:t xml:space="preserve">terapeutických </w:t>
      </w:r>
      <w:r w:rsidRPr="00C90CED">
        <w:rPr>
          <w:lang w:val="sk-SK"/>
        </w:rPr>
        <w:t>koncentrácií liečiva a urobiť úprava dávkovania na udržanie rovnakej systémovej expozície takrolimu.</w:t>
      </w:r>
    </w:p>
    <w:p w14:paraId="55E99F3C" w14:textId="77777777" w:rsidR="00D318E7" w:rsidRPr="00C90CED" w:rsidRDefault="00D318E7" w:rsidP="00235C1B">
      <w:pPr>
        <w:pStyle w:val="Zkladntext"/>
        <w:rPr>
          <w:lang w:val="sk-SK"/>
        </w:rPr>
      </w:pPr>
    </w:p>
    <w:p w14:paraId="7E8EAAF7" w14:textId="77777777" w:rsidR="00D318E7" w:rsidRPr="00C90CED" w:rsidRDefault="00D318E7" w:rsidP="00235C1B">
      <w:pPr>
        <w:pStyle w:val="Zkladntext"/>
        <w:rPr>
          <w:lang w:val="sk-SK"/>
        </w:rPr>
      </w:pPr>
      <w:r w:rsidRPr="00C95133">
        <w:rPr>
          <w:u w:val="single"/>
          <w:lang w:val="sk-SK"/>
        </w:rPr>
        <w:t>Dávko</w:t>
      </w:r>
      <w:r w:rsidRPr="00C90CED">
        <w:rPr>
          <w:u w:val="single"/>
          <w:lang w:val="sk-SK"/>
        </w:rPr>
        <w:t>vanie</w:t>
      </w:r>
    </w:p>
    <w:p w14:paraId="72897A04" w14:textId="45572200" w:rsidR="00D318E7" w:rsidRPr="00C90CED" w:rsidRDefault="00D318E7" w:rsidP="00235C1B">
      <w:pPr>
        <w:pStyle w:val="Zkladntext"/>
        <w:jc w:val="both"/>
        <w:rPr>
          <w:lang w:val="sk-SK"/>
        </w:rPr>
      </w:pPr>
      <w:r w:rsidRPr="00C90CED">
        <w:rPr>
          <w:lang w:val="sk-SK"/>
        </w:rPr>
        <w:t xml:space="preserve">Odporúčané počiatočné dávky, uvedené nižšie, slúžia len ako návod. Počas počiatočnej pooperačnej fázy sa </w:t>
      </w:r>
      <w:r w:rsidR="005508C6">
        <w:rPr>
          <w:lang w:val="sk-SK"/>
        </w:rPr>
        <w:t>Dailiport</w:t>
      </w:r>
      <w:r w:rsidRPr="00C90CED">
        <w:rPr>
          <w:lang w:val="sk-SK"/>
        </w:rPr>
        <w:t xml:space="preserve"> zvyčajne podáva v kombinácii s inými imunosupresívnymi liekmi. Dávka sa môže meniť v závislosti od zvoleného imunosupres</w:t>
      </w:r>
      <w:r w:rsidR="00750A73">
        <w:rPr>
          <w:lang w:val="sk-SK"/>
        </w:rPr>
        <w:t xml:space="preserve">ívneho režimu. Dávkovanie </w:t>
      </w:r>
      <w:r w:rsidR="005508C6">
        <w:rPr>
          <w:lang w:val="sk-SK"/>
        </w:rPr>
        <w:t>Dailiport</w:t>
      </w:r>
      <w:r w:rsidR="00750A73">
        <w:rPr>
          <w:lang w:val="sk-SK"/>
        </w:rPr>
        <w:t>u</w:t>
      </w:r>
      <w:r w:rsidRPr="00C90CED">
        <w:rPr>
          <w:lang w:val="sk-SK"/>
        </w:rPr>
        <w:t xml:space="preserve"> má byť</w:t>
      </w:r>
      <w:r w:rsidR="00483DF5">
        <w:rPr>
          <w:lang w:val="sk-SK"/>
        </w:rPr>
        <w:t xml:space="preserve"> </w:t>
      </w:r>
      <w:r w:rsidRPr="00C90CED">
        <w:rPr>
          <w:lang w:val="sk-SK"/>
        </w:rPr>
        <w:t xml:space="preserve">v prvom rade založené na klinickom posúdení rejekcie a znášanlivosti u každého pacienta individuálne a podporené monitorovaním hladiny lieku v krvi (pozri nižšie „Monitorovanie </w:t>
      </w:r>
      <w:r w:rsidR="00483DF5">
        <w:rPr>
          <w:lang w:val="sk-SK"/>
        </w:rPr>
        <w:t xml:space="preserve">terapeutickej </w:t>
      </w:r>
      <w:r w:rsidRPr="00C90CED">
        <w:rPr>
          <w:lang w:val="sk-SK"/>
        </w:rPr>
        <w:t>koncentrácie li</w:t>
      </w:r>
      <w:r w:rsidR="00A1519D">
        <w:rPr>
          <w:lang w:val="sk-SK"/>
        </w:rPr>
        <w:t>ečiva“). Ak sú klinické prejavy</w:t>
      </w:r>
      <w:r w:rsidRPr="00C90CED">
        <w:rPr>
          <w:lang w:val="sk-SK"/>
        </w:rPr>
        <w:t xml:space="preserve"> rejekcie zjavné, má sa uvažovať o zmene imunosupresívneho režimu.</w:t>
      </w:r>
    </w:p>
    <w:p w14:paraId="1F1AE4FD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4C4C079E" w14:textId="1408F45D" w:rsidR="00D318E7" w:rsidRPr="00C90CED" w:rsidRDefault="00D318E7" w:rsidP="00235C1B">
      <w:pPr>
        <w:pStyle w:val="Zkladntext"/>
        <w:rPr>
          <w:lang w:val="sk-SK"/>
        </w:rPr>
      </w:pPr>
      <w:r w:rsidRPr="00235C1B">
        <w:rPr>
          <w:lang w:val="sk-SK"/>
        </w:rPr>
        <w:t xml:space="preserve">1. deň bola AUC0-24 takrolimu pre </w:t>
      </w:r>
      <w:r w:rsidR="00D71EEB" w:rsidRPr="00235C1B">
        <w:rPr>
          <w:lang w:val="sk-SK"/>
        </w:rPr>
        <w:t xml:space="preserve">takrolimus s predĺženým uvoľňovaním </w:t>
      </w:r>
      <w:r w:rsidRPr="00235C1B">
        <w:rPr>
          <w:lang w:val="sk-SK"/>
        </w:rPr>
        <w:t xml:space="preserve">u pacientov s </w:t>
      </w:r>
      <w:r w:rsidRPr="00235C1B">
        <w:rPr>
          <w:i/>
          <w:lang w:val="sk-SK"/>
        </w:rPr>
        <w:t>de novo</w:t>
      </w:r>
      <w:r w:rsidRPr="00235C1B">
        <w:rPr>
          <w:lang w:val="sk-SK"/>
        </w:rPr>
        <w:t xml:space="preserve"> transplantovanou obličkou o 30 % </w:t>
      </w:r>
      <w:r w:rsidRPr="00C90CED">
        <w:rPr>
          <w:lang w:val="sk-SK"/>
        </w:rPr>
        <w:t xml:space="preserve">nižšia a u pacientov s </w:t>
      </w:r>
      <w:r w:rsidR="00B95BBE" w:rsidRPr="00235C1B">
        <w:rPr>
          <w:i/>
          <w:lang w:val="sk-SK"/>
        </w:rPr>
        <w:t>de novo</w:t>
      </w:r>
      <w:r w:rsidR="00B95BBE" w:rsidRPr="00235C1B">
        <w:rPr>
          <w:lang w:val="sk-SK"/>
        </w:rPr>
        <w:t xml:space="preserve"> </w:t>
      </w:r>
      <w:r w:rsidRPr="00C90CED">
        <w:rPr>
          <w:lang w:val="sk-SK"/>
        </w:rPr>
        <w:t>transplantovanou pečeňou o 50 % nižšia v porovnaní s ekvivalentnou dávkou kapsúl s</w:t>
      </w:r>
      <w:r w:rsidR="00CD50EE">
        <w:rPr>
          <w:lang w:val="sk-SK"/>
        </w:rPr>
        <w:t xml:space="preserve"> okamžitým uvoľňovaním</w:t>
      </w:r>
      <w:r w:rsidRPr="00C90CED">
        <w:rPr>
          <w:lang w:val="sk-SK"/>
        </w:rPr>
        <w:t xml:space="preserve">. Do 4. dňa bola systémová expozícia, zmeraná pomocou </w:t>
      </w:r>
      <w:r w:rsidR="009A052D">
        <w:rPr>
          <w:lang w:val="sk-SK"/>
        </w:rPr>
        <w:t>minimálnych</w:t>
      </w:r>
      <w:r w:rsidR="00B95BBE">
        <w:rPr>
          <w:lang w:val="sk-SK"/>
        </w:rPr>
        <w:t xml:space="preserve"> </w:t>
      </w:r>
      <w:r w:rsidRPr="00C90CED">
        <w:rPr>
          <w:lang w:val="sk-SK"/>
        </w:rPr>
        <w:t>hladín podobná u pacien</w:t>
      </w:r>
      <w:r w:rsidR="00D71EEB">
        <w:rPr>
          <w:lang w:val="sk-SK"/>
        </w:rPr>
        <w:t>tov s transplantovanou obličkou a</w:t>
      </w:r>
      <w:r w:rsidRPr="00C90CED">
        <w:rPr>
          <w:lang w:val="sk-SK"/>
        </w:rPr>
        <w:t xml:space="preserve"> transplantovanou pečeň</w:t>
      </w:r>
      <w:r w:rsidR="00434D50">
        <w:rPr>
          <w:lang w:val="sk-SK"/>
        </w:rPr>
        <w:t xml:space="preserve">ou pri oboch </w:t>
      </w:r>
      <w:r w:rsidR="00B95BBE">
        <w:rPr>
          <w:lang w:val="sk-SK"/>
        </w:rPr>
        <w:t xml:space="preserve">liekových </w:t>
      </w:r>
      <w:r w:rsidR="00434D50">
        <w:rPr>
          <w:lang w:val="sk-SK"/>
        </w:rPr>
        <w:t xml:space="preserve">formách. Pri </w:t>
      </w:r>
      <w:r w:rsidR="005508C6">
        <w:rPr>
          <w:lang w:val="sk-SK"/>
        </w:rPr>
        <w:t>Dailiport</w:t>
      </w:r>
      <w:r w:rsidR="00434D50">
        <w:rPr>
          <w:lang w:val="sk-SK"/>
        </w:rPr>
        <w:t>e</w:t>
      </w:r>
      <w:r w:rsidRPr="00C90CED">
        <w:rPr>
          <w:lang w:val="sk-SK"/>
        </w:rPr>
        <w:t xml:space="preserve"> sa odporúča dôkladné a časté</w:t>
      </w:r>
      <w:r w:rsidR="00B95BBE">
        <w:rPr>
          <w:lang w:val="sk-SK"/>
        </w:rPr>
        <w:t xml:space="preserve"> </w:t>
      </w:r>
      <w:r w:rsidRPr="00C90CED">
        <w:rPr>
          <w:lang w:val="sk-SK"/>
        </w:rPr>
        <w:t xml:space="preserve">sledovanie </w:t>
      </w:r>
      <w:r w:rsidR="009A052D">
        <w:rPr>
          <w:lang w:val="sk-SK"/>
        </w:rPr>
        <w:t>minimálnych</w:t>
      </w:r>
      <w:r w:rsidR="006A2E5A">
        <w:rPr>
          <w:lang w:val="sk-SK"/>
        </w:rPr>
        <w:t xml:space="preserve"> </w:t>
      </w:r>
      <w:r w:rsidRPr="00C90CED">
        <w:rPr>
          <w:lang w:val="sk-SK"/>
        </w:rPr>
        <w:t>hlad</w:t>
      </w:r>
      <w:r w:rsidR="009A052D">
        <w:rPr>
          <w:lang w:val="sk-SK"/>
        </w:rPr>
        <w:t>ín</w:t>
      </w:r>
      <w:r w:rsidRPr="00C90CED">
        <w:rPr>
          <w:lang w:val="sk-SK"/>
        </w:rPr>
        <w:t xml:space="preserve"> takrolimu počas prvých dvoch týždňov po transplantácii, aby sa zabezpečil</w:t>
      </w:r>
      <w:r w:rsidR="009A052D">
        <w:rPr>
          <w:lang w:val="sk-SK"/>
        </w:rPr>
        <w:t>a</w:t>
      </w:r>
      <w:r w:rsidRPr="00C90CED">
        <w:rPr>
          <w:lang w:val="sk-SK"/>
        </w:rPr>
        <w:t xml:space="preserve"> adekvátn</w:t>
      </w:r>
      <w:r w:rsidR="009A052D">
        <w:rPr>
          <w:lang w:val="sk-SK"/>
        </w:rPr>
        <w:t>a expozícia</w:t>
      </w:r>
      <w:r w:rsidRPr="00C90CED">
        <w:rPr>
          <w:lang w:val="sk-SK"/>
        </w:rPr>
        <w:t xml:space="preserve"> lieku v období bezprostredne</w:t>
      </w:r>
      <w:r w:rsidR="00B95BBE">
        <w:rPr>
          <w:lang w:val="sk-SK"/>
        </w:rPr>
        <w:t xml:space="preserve"> </w:t>
      </w:r>
      <w:r w:rsidRPr="00C90CED">
        <w:rPr>
          <w:lang w:val="sk-SK"/>
        </w:rPr>
        <w:t>po transplantácii. Pretože takrolimus je liečivo s nízkym klíre</w:t>
      </w:r>
      <w:r w:rsidR="00434D50">
        <w:rPr>
          <w:lang w:val="sk-SK"/>
        </w:rPr>
        <w:t xml:space="preserve">nsom, </w:t>
      </w:r>
      <w:r w:rsidR="009A052D">
        <w:rPr>
          <w:lang w:val="sk-SK"/>
        </w:rPr>
        <w:t xml:space="preserve">po </w:t>
      </w:r>
      <w:r w:rsidR="00434D50">
        <w:rPr>
          <w:lang w:val="sk-SK"/>
        </w:rPr>
        <w:t>úprav</w:t>
      </w:r>
      <w:r w:rsidR="009A052D">
        <w:rPr>
          <w:lang w:val="sk-SK"/>
        </w:rPr>
        <w:t>e</w:t>
      </w:r>
      <w:r w:rsidR="00434D50">
        <w:rPr>
          <w:lang w:val="sk-SK"/>
        </w:rPr>
        <w:t xml:space="preserve"> režimu dávk</w:t>
      </w:r>
      <w:r w:rsidR="009A052D">
        <w:rPr>
          <w:lang w:val="sk-SK"/>
        </w:rPr>
        <w:t>ovania</w:t>
      </w:r>
      <w:r w:rsidR="00434D50">
        <w:rPr>
          <w:lang w:val="sk-SK"/>
        </w:rPr>
        <w:t xml:space="preserve"> </w:t>
      </w:r>
      <w:r w:rsidR="005508C6">
        <w:rPr>
          <w:lang w:val="sk-SK"/>
        </w:rPr>
        <w:t>Dailiport</w:t>
      </w:r>
      <w:r w:rsidR="00434D50">
        <w:rPr>
          <w:lang w:val="sk-SK"/>
        </w:rPr>
        <w:t>u</w:t>
      </w:r>
      <w:r w:rsidRPr="00C90CED">
        <w:rPr>
          <w:lang w:val="sk-SK"/>
        </w:rPr>
        <w:t xml:space="preserve"> môž</w:t>
      </w:r>
      <w:r w:rsidR="009A052D">
        <w:rPr>
          <w:lang w:val="sk-SK"/>
        </w:rPr>
        <w:t>e</w:t>
      </w:r>
      <w:r w:rsidRPr="00C90CED">
        <w:rPr>
          <w:lang w:val="sk-SK"/>
        </w:rPr>
        <w:t xml:space="preserve"> trvať niekoľko dní, kým sa dosiahne rovnovážny stav.</w:t>
      </w:r>
    </w:p>
    <w:p w14:paraId="1BCD0B6C" w14:textId="77777777" w:rsidR="00D318E7" w:rsidRPr="00C90CED" w:rsidRDefault="00D318E7" w:rsidP="00B52FD1">
      <w:pPr>
        <w:pStyle w:val="Zkladntext"/>
        <w:rPr>
          <w:lang w:val="sk-SK"/>
        </w:rPr>
      </w:pPr>
    </w:p>
    <w:p w14:paraId="243BEB9A" w14:textId="369355F3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Aby sa potlačila rejekcia štepu, </w:t>
      </w:r>
      <w:r w:rsidR="009A052D">
        <w:rPr>
          <w:lang w:val="sk-SK"/>
        </w:rPr>
        <w:t xml:space="preserve">musí sa udržať </w:t>
      </w:r>
      <w:r w:rsidRPr="00C90CED">
        <w:rPr>
          <w:lang w:val="sk-SK"/>
        </w:rPr>
        <w:t>imunosupresia. Z tohto dôvodu je perorálna liečba časovo neobmedzená.</w:t>
      </w:r>
    </w:p>
    <w:p w14:paraId="29CA43B8" w14:textId="77777777" w:rsidR="00D318E7" w:rsidRPr="00C90CED" w:rsidRDefault="00D318E7" w:rsidP="00C61A46">
      <w:pPr>
        <w:pStyle w:val="Zkladntext"/>
        <w:rPr>
          <w:lang w:val="sk-SK"/>
        </w:rPr>
      </w:pPr>
    </w:p>
    <w:p w14:paraId="4F94BC57" w14:textId="77777777" w:rsidR="00D318E7" w:rsidRPr="00C90CED" w:rsidRDefault="00D318E7" w:rsidP="00C61A46">
      <w:pPr>
        <w:rPr>
          <w:i/>
          <w:lang w:val="sk-SK"/>
        </w:rPr>
      </w:pPr>
      <w:r w:rsidRPr="00C90CED">
        <w:rPr>
          <w:i/>
          <w:u w:val="single"/>
          <w:lang w:val="sk-SK"/>
        </w:rPr>
        <w:t>Profylaxia rejekcie obličkového transplantátu</w:t>
      </w:r>
    </w:p>
    <w:p w14:paraId="180A2EEC" w14:textId="5D605FA6" w:rsidR="00D318E7" w:rsidRPr="00C90CED" w:rsidRDefault="009A052D" w:rsidP="00235C1B">
      <w:pPr>
        <w:pStyle w:val="Zkladntext"/>
        <w:rPr>
          <w:lang w:val="sk-SK"/>
        </w:rPr>
      </w:pPr>
      <w:r>
        <w:rPr>
          <w:lang w:val="sk-SK"/>
        </w:rPr>
        <w:lastRenderedPageBreak/>
        <w:t>Liečba</w:t>
      </w:r>
      <w:r w:rsidR="000A53FE">
        <w:rPr>
          <w:lang w:val="sk-SK"/>
        </w:rPr>
        <w:t xml:space="preserve"> </w:t>
      </w:r>
      <w:r w:rsidR="005508C6">
        <w:rPr>
          <w:lang w:val="sk-SK"/>
        </w:rPr>
        <w:t>Dailiport</w:t>
      </w:r>
      <w:r w:rsidR="000A53FE">
        <w:rPr>
          <w:lang w:val="sk-SK"/>
        </w:rPr>
        <w:t>om</w:t>
      </w:r>
      <w:r w:rsidR="00D318E7" w:rsidRPr="00C90CED">
        <w:rPr>
          <w:lang w:val="sk-SK"/>
        </w:rPr>
        <w:t xml:space="preserve"> sa má začať dávkou 0,20 – 0,30 mg/kg/deň, ktorá sa užíva raz denne ráno. </w:t>
      </w:r>
      <w:r>
        <w:rPr>
          <w:lang w:val="sk-SK"/>
        </w:rPr>
        <w:t>Podávanie</w:t>
      </w:r>
      <w:r w:rsidR="00D318E7" w:rsidRPr="00C90CED">
        <w:rPr>
          <w:lang w:val="sk-SK"/>
        </w:rPr>
        <w:t xml:space="preserve"> sa má začať do 24 hodín po ukončení operácie.</w:t>
      </w:r>
    </w:p>
    <w:p w14:paraId="59B6DAFD" w14:textId="77777777" w:rsidR="00D71EEB" w:rsidRDefault="00D71EEB" w:rsidP="00235C1B">
      <w:pPr>
        <w:pStyle w:val="Zkladntext"/>
        <w:rPr>
          <w:lang w:val="sk-SK"/>
        </w:rPr>
      </w:pPr>
    </w:p>
    <w:p w14:paraId="02960530" w14:textId="4FCD8C10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Počas potranspla</w:t>
      </w:r>
      <w:r w:rsidR="000A53FE">
        <w:rPr>
          <w:lang w:val="sk-SK"/>
        </w:rPr>
        <w:t xml:space="preserve">ntačného obdobia sa dávky </w:t>
      </w:r>
      <w:r w:rsidR="005508C6">
        <w:rPr>
          <w:lang w:val="sk-SK"/>
        </w:rPr>
        <w:t>Dailiport</w:t>
      </w:r>
      <w:r w:rsidR="000A53FE">
        <w:rPr>
          <w:lang w:val="sk-SK"/>
        </w:rPr>
        <w:t>u</w:t>
      </w:r>
      <w:r w:rsidRPr="00C90CED">
        <w:rPr>
          <w:lang w:val="sk-SK"/>
        </w:rPr>
        <w:t xml:space="preserve"> zvyčajne znížia. V niektorých prípadoch</w:t>
      </w:r>
      <w:r w:rsidR="00CE3506">
        <w:rPr>
          <w:lang w:val="sk-SK"/>
        </w:rPr>
        <w:t xml:space="preserve"> </w:t>
      </w:r>
      <w:r w:rsidRPr="00C90CED">
        <w:rPr>
          <w:lang w:val="sk-SK"/>
        </w:rPr>
        <w:t xml:space="preserve">je možné ukončiť súbežnú imunosupresívnu </w:t>
      </w:r>
      <w:r w:rsidR="000A53FE">
        <w:rPr>
          <w:lang w:val="sk-SK"/>
        </w:rPr>
        <w:t xml:space="preserve">liečbu a prejsť na monoterapiu </w:t>
      </w:r>
      <w:r w:rsidR="005508C6">
        <w:rPr>
          <w:lang w:val="sk-SK"/>
        </w:rPr>
        <w:t>Dailiport</w:t>
      </w:r>
      <w:r w:rsidR="000A53FE">
        <w:rPr>
          <w:lang w:val="sk-SK"/>
        </w:rPr>
        <w:t>om</w:t>
      </w:r>
      <w:r w:rsidRPr="00C90CED">
        <w:rPr>
          <w:lang w:val="sk-SK"/>
        </w:rPr>
        <w:t>.</w:t>
      </w:r>
      <w:r w:rsidR="007D71F1">
        <w:rPr>
          <w:lang w:val="sk-SK"/>
        </w:rPr>
        <w:t xml:space="preserve"> </w:t>
      </w:r>
      <w:r w:rsidR="00CE3506">
        <w:rPr>
          <w:lang w:val="sk-SK"/>
        </w:rPr>
        <w:t>Pot</w:t>
      </w:r>
      <w:r w:rsidRPr="00C90CED">
        <w:rPr>
          <w:lang w:val="sk-SK"/>
        </w:rPr>
        <w:t>ransplantačné zmeny stavu pacienta môžu zmeniť farmakokinetiku takrolimu a vyžadovať si ďalšie</w:t>
      </w:r>
      <w:r w:rsidR="00CE3506">
        <w:rPr>
          <w:lang w:val="sk-SK"/>
        </w:rPr>
        <w:t xml:space="preserve"> </w:t>
      </w:r>
      <w:r w:rsidRPr="00C90CED">
        <w:rPr>
          <w:lang w:val="sk-SK"/>
        </w:rPr>
        <w:t>úpravy dávky.</w:t>
      </w:r>
    </w:p>
    <w:p w14:paraId="5051C533" w14:textId="77777777" w:rsidR="00D318E7" w:rsidRPr="00C90CED" w:rsidRDefault="00D318E7" w:rsidP="00B52FD1">
      <w:pPr>
        <w:pStyle w:val="Zkladntext"/>
        <w:rPr>
          <w:lang w:val="sk-SK"/>
        </w:rPr>
      </w:pPr>
    </w:p>
    <w:p w14:paraId="6C07094C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u w:val="single"/>
          <w:lang w:val="sk-SK"/>
        </w:rPr>
        <w:t>Profylaxia rejekcie pečeňového transplantátu</w:t>
      </w:r>
    </w:p>
    <w:p w14:paraId="4A04FAD5" w14:textId="7B740296" w:rsidR="00D318E7" w:rsidRPr="00C90CED" w:rsidRDefault="00CE3506" w:rsidP="00235C1B">
      <w:pPr>
        <w:pStyle w:val="Zkladntext"/>
        <w:rPr>
          <w:lang w:val="sk-SK"/>
        </w:rPr>
      </w:pPr>
      <w:r>
        <w:rPr>
          <w:lang w:val="sk-SK"/>
        </w:rPr>
        <w:t xml:space="preserve">Liečba </w:t>
      </w:r>
      <w:r w:rsidR="005508C6">
        <w:rPr>
          <w:lang w:val="sk-SK"/>
        </w:rPr>
        <w:t>Dailiport</w:t>
      </w:r>
      <w:r>
        <w:rPr>
          <w:lang w:val="sk-SK"/>
        </w:rPr>
        <w:t>om</w:t>
      </w:r>
      <w:r w:rsidR="00D318E7" w:rsidRPr="00C90CED">
        <w:rPr>
          <w:lang w:val="sk-SK"/>
        </w:rPr>
        <w:t xml:space="preserve"> sa má začať dávkou 0,10 – 0,20 mg/kg/deň, ktorá sa užíva raz denne ráno. </w:t>
      </w:r>
      <w:r>
        <w:rPr>
          <w:lang w:val="sk-SK"/>
        </w:rPr>
        <w:t>Podávanie</w:t>
      </w:r>
      <w:r w:rsidR="00D318E7" w:rsidRPr="00C90CED">
        <w:rPr>
          <w:lang w:val="sk-SK"/>
        </w:rPr>
        <w:t xml:space="preserve"> sa má začať približne 12-18 hodín po ukončení operácie.</w:t>
      </w:r>
      <w:r w:rsidR="00D871A2">
        <w:rPr>
          <w:lang w:val="sk-SK"/>
        </w:rPr>
        <w:t xml:space="preserve"> Počas </w:t>
      </w:r>
      <w:r w:rsidR="00D318E7" w:rsidRPr="00C90CED">
        <w:rPr>
          <w:lang w:val="sk-SK"/>
        </w:rPr>
        <w:t xml:space="preserve">potransplantačného obdobia sa dávky </w:t>
      </w:r>
      <w:r w:rsidR="005508C6">
        <w:rPr>
          <w:lang w:val="sk-SK"/>
        </w:rPr>
        <w:t>Dailiport</w:t>
      </w:r>
      <w:r>
        <w:rPr>
          <w:lang w:val="sk-SK"/>
        </w:rPr>
        <w:t>u</w:t>
      </w:r>
      <w:r w:rsidR="00D318E7" w:rsidRPr="00C90CED">
        <w:rPr>
          <w:lang w:val="sk-SK"/>
        </w:rPr>
        <w:t xml:space="preserve"> zvyčajne znížia. V niektorých prípadoch</w:t>
      </w:r>
      <w:r>
        <w:rPr>
          <w:lang w:val="sk-SK"/>
        </w:rPr>
        <w:t xml:space="preserve"> </w:t>
      </w:r>
      <w:r w:rsidR="00D318E7" w:rsidRPr="00C90CED">
        <w:rPr>
          <w:lang w:val="sk-SK"/>
        </w:rPr>
        <w:t>je možné ukončiť súbežnú imunosupresívnu liečbu</w:t>
      </w:r>
      <w:r w:rsidR="00D63AEE">
        <w:rPr>
          <w:lang w:val="sk-SK"/>
        </w:rPr>
        <w:t xml:space="preserve"> a prejsť na monoterapiu </w:t>
      </w:r>
      <w:r w:rsidR="005508C6">
        <w:rPr>
          <w:lang w:val="sk-SK"/>
        </w:rPr>
        <w:t>Dailiport</w:t>
      </w:r>
      <w:r w:rsidR="00D63AEE">
        <w:rPr>
          <w:lang w:val="sk-SK"/>
        </w:rPr>
        <w:t>om</w:t>
      </w:r>
      <w:r w:rsidR="00D318E7" w:rsidRPr="00C90CED">
        <w:rPr>
          <w:lang w:val="sk-SK"/>
        </w:rPr>
        <w:t>. Potransplantačné zlepšenie stavu pacienta môže zmeniť farmakokinetiku takrolimu a vyžadovať si ďalšie úpravy dávky.</w:t>
      </w:r>
    </w:p>
    <w:p w14:paraId="3C179472" w14:textId="77777777" w:rsidR="00D318E7" w:rsidRPr="00C90CED" w:rsidRDefault="00D318E7" w:rsidP="00235C1B">
      <w:pPr>
        <w:pStyle w:val="Zkladntext"/>
        <w:rPr>
          <w:lang w:val="sk-SK"/>
        </w:rPr>
      </w:pPr>
    </w:p>
    <w:p w14:paraId="6FA6B5CC" w14:textId="77777777" w:rsidR="00D318E7" w:rsidRPr="005F336C" w:rsidRDefault="00D318E7" w:rsidP="00235C1B">
      <w:pPr>
        <w:rPr>
          <w:i/>
          <w:lang w:val="sk-SK"/>
        </w:rPr>
      </w:pPr>
      <w:r w:rsidRPr="005F336C">
        <w:rPr>
          <w:i/>
          <w:u w:val="single"/>
          <w:lang w:val="sk-SK"/>
        </w:rPr>
        <w:t xml:space="preserve">Prechod na </w:t>
      </w:r>
      <w:r w:rsidR="005508C6" w:rsidRPr="005F336C">
        <w:rPr>
          <w:i/>
          <w:u w:val="single"/>
          <w:lang w:val="sk-SK"/>
        </w:rPr>
        <w:t>Dailiport</w:t>
      </w:r>
      <w:r w:rsidRPr="005F336C">
        <w:rPr>
          <w:i/>
          <w:u w:val="single"/>
          <w:lang w:val="sk-SK"/>
        </w:rPr>
        <w:t xml:space="preserve"> u pa</w:t>
      </w:r>
      <w:r w:rsidR="004114B6">
        <w:rPr>
          <w:i/>
          <w:u w:val="single"/>
          <w:lang w:val="sk-SK"/>
        </w:rPr>
        <w:t>cientov liečených takrolimom</w:t>
      </w:r>
      <w:r w:rsidR="005F336C" w:rsidRPr="005F336C">
        <w:rPr>
          <w:i/>
          <w:u w:val="single"/>
          <w:lang w:val="sk-SK"/>
        </w:rPr>
        <w:t xml:space="preserve"> s okamžitým uvoľňovaním</w:t>
      </w:r>
    </w:p>
    <w:p w14:paraId="699951E3" w14:textId="110D0D87" w:rsidR="00A655CE" w:rsidRPr="00A655CE" w:rsidRDefault="00A655CE" w:rsidP="00B52FD1">
      <w:pPr>
        <w:pStyle w:val="Zkladntext"/>
        <w:rPr>
          <w:lang w:val="sk-SK"/>
        </w:rPr>
      </w:pPr>
      <w:r w:rsidRPr="00A655CE">
        <w:rPr>
          <w:lang w:val="sk-SK"/>
        </w:rPr>
        <w:t xml:space="preserve">Pacienti s transplantovaným aloštepom </w:t>
      </w:r>
      <w:r w:rsidR="004114B6">
        <w:rPr>
          <w:lang w:val="sk-SK"/>
        </w:rPr>
        <w:t>s udržiavacou liečbou takrolim</w:t>
      </w:r>
      <w:r w:rsidR="004956A2">
        <w:rPr>
          <w:lang w:val="sk-SK"/>
        </w:rPr>
        <w:t>om</w:t>
      </w:r>
      <w:r w:rsidR="004114B6">
        <w:rPr>
          <w:lang w:val="sk-SK"/>
        </w:rPr>
        <w:t xml:space="preserve"> </w:t>
      </w:r>
      <w:r w:rsidRPr="00A655CE">
        <w:rPr>
          <w:lang w:val="sk-SK"/>
        </w:rPr>
        <w:t>s okamžitým uvoľňovaním, ktoré sa užívajú dvakrát denne, vy</w:t>
      </w:r>
      <w:r w:rsidR="004114B6">
        <w:rPr>
          <w:lang w:val="sk-SK"/>
        </w:rPr>
        <w:t>žadujúci si prechod na Dailiport</w:t>
      </w:r>
      <w:r w:rsidRPr="00A655CE">
        <w:rPr>
          <w:lang w:val="sk-SK"/>
        </w:rPr>
        <w:t>, ktorý sa užíva raz denne, m</w:t>
      </w:r>
      <w:r w:rsidR="000F0332">
        <w:rPr>
          <w:lang w:val="sk-SK"/>
        </w:rPr>
        <w:t>á byť prechod v pomere</w:t>
      </w:r>
      <w:r w:rsidR="00D63AEE">
        <w:rPr>
          <w:lang w:val="sk-SK"/>
        </w:rPr>
        <w:t xml:space="preserve"> 1 : 1 (mg:</w:t>
      </w:r>
      <w:r w:rsidRPr="00A655CE">
        <w:rPr>
          <w:lang w:val="sk-SK"/>
        </w:rPr>
        <w:t>mg)</w:t>
      </w:r>
      <w:r w:rsidR="000F0332">
        <w:rPr>
          <w:lang w:val="sk-SK"/>
        </w:rPr>
        <w:t xml:space="preserve"> celkovej dennej dávky</w:t>
      </w:r>
      <w:r w:rsidRPr="00A655CE">
        <w:rPr>
          <w:lang w:val="sk-SK"/>
        </w:rPr>
        <w:t xml:space="preserve">. </w:t>
      </w:r>
      <w:r w:rsidR="004114B6">
        <w:rPr>
          <w:lang w:val="sk-SK"/>
        </w:rPr>
        <w:t xml:space="preserve">Dailiport </w:t>
      </w:r>
      <w:r w:rsidRPr="00A655CE">
        <w:rPr>
          <w:lang w:val="sk-SK"/>
        </w:rPr>
        <w:t>sa má podávať ráno.</w:t>
      </w:r>
    </w:p>
    <w:p w14:paraId="39E75831" w14:textId="77777777" w:rsidR="00A655CE" w:rsidRPr="00A655CE" w:rsidRDefault="00A655CE">
      <w:pPr>
        <w:pStyle w:val="Zkladntext"/>
        <w:rPr>
          <w:lang w:val="sk-SK"/>
        </w:rPr>
      </w:pPr>
    </w:p>
    <w:p w14:paraId="7B2F2AC3" w14:textId="1A123505" w:rsidR="00A655CE" w:rsidRPr="00A655CE" w:rsidRDefault="00A655CE">
      <w:pPr>
        <w:pStyle w:val="Zkladntext"/>
        <w:rPr>
          <w:lang w:val="sk-SK"/>
        </w:rPr>
      </w:pPr>
      <w:r w:rsidRPr="00A655CE">
        <w:rPr>
          <w:lang w:val="sk-SK"/>
        </w:rPr>
        <w:t>U stabilizovaných p</w:t>
      </w:r>
      <w:r w:rsidR="004114B6">
        <w:rPr>
          <w:lang w:val="sk-SK"/>
        </w:rPr>
        <w:t xml:space="preserve">acientov, ktorí prešli z </w:t>
      </w:r>
      <w:r w:rsidRPr="00A655CE">
        <w:rPr>
          <w:lang w:val="sk-SK"/>
        </w:rPr>
        <w:t>takrolimu s okamžitým uvoľňovaním (dvakrát denne) na takrolimus s predĺženým uvoľňovaním (</w:t>
      </w:r>
      <w:r w:rsidR="00235DAF">
        <w:rPr>
          <w:lang w:val="sk-SK"/>
        </w:rPr>
        <w:t>raz denne) v pomere 1 : 1 (mg:</w:t>
      </w:r>
      <w:r w:rsidRPr="00A655CE">
        <w:rPr>
          <w:lang w:val="sk-SK"/>
        </w:rPr>
        <w:t>mg) celkovej dennej dávky, bola systémová expozícia takrolimu (AUC</w:t>
      </w:r>
      <w:r w:rsidRPr="004114B6">
        <w:rPr>
          <w:vertAlign w:val="subscript"/>
          <w:lang w:val="sk-SK"/>
        </w:rPr>
        <w:t>0-24</w:t>
      </w:r>
      <w:r w:rsidR="00AE7CF1">
        <w:rPr>
          <w:lang w:val="sk-SK"/>
        </w:rPr>
        <w:t xml:space="preserve">) </w:t>
      </w:r>
      <w:r w:rsidRPr="00A655CE">
        <w:rPr>
          <w:lang w:val="sk-SK"/>
        </w:rPr>
        <w:t>s predĺženým uvoľňovaním približn</w:t>
      </w:r>
      <w:r w:rsidR="00AE7CF1">
        <w:rPr>
          <w:lang w:val="sk-SK"/>
        </w:rPr>
        <w:t xml:space="preserve">e o 10 % nižšia ako </w:t>
      </w:r>
      <w:r w:rsidR="000F0332">
        <w:rPr>
          <w:lang w:val="sk-SK"/>
        </w:rPr>
        <w:t xml:space="preserve">takrolimu </w:t>
      </w:r>
      <w:r w:rsidRPr="00A655CE">
        <w:rPr>
          <w:lang w:val="sk-SK"/>
        </w:rPr>
        <w:t xml:space="preserve">s okamžitým uvoľňovaním. Vzťah medzi </w:t>
      </w:r>
      <w:r w:rsidR="000F0332">
        <w:rPr>
          <w:lang w:val="sk-SK"/>
        </w:rPr>
        <w:t xml:space="preserve">minimálnymi </w:t>
      </w:r>
      <w:r w:rsidRPr="00A655CE">
        <w:rPr>
          <w:lang w:val="sk-SK"/>
        </w:rPr>
        <w:t>hladinami takrolimu (C</w:t>
      </w:r>
      <w:r w:rsidRPr="004114B6">
        <w:rPr>
          <w:vertAlign w:val="subscript"/>
          <w:lang w:val="sk-SK"/>
        </w:rPr>
        <w:t>24</w:t>
      </w:r>
      <w:r w:rsidRPr="00A655CE">
        <w:rPr>
          <w:lang w:val="sk-SK"/>
        </w:rPr>
        <w:t>) a systémovou expozíciou (AUC</w:t>
      </w:r>
      <w:r w:rsidRPr="004114B6">
        <w:rPr>
          <w:vertAlign w:val="subscript"/>
          <w:lang w:val="sk-SK"/>
        </w:rPr>
        <w:t>0-24</w:t>
      </w:r>
      <w:r w:rsidR="00AE7CF1">
        <w:rPr>
          <w:lang w:val="sk-SK"/>
        </w:rPr>
        <w:t xml:space="preserve">) </w:t>
      </w:r>
      <w:r w:rsidR="000F0332">
        <w:rPr>
          <w:lang w:val="sk-SK"/>
        </w:rPr>
        <w:t xml:space="preserve">je </w:t>
      </w:r>
      <w:r w:rsidR="00AE7CF1">
        <w:rPr>
          <w:lang w:val="sk-SK"/>
        </w:rPr>
        <w:t xml:space="preserve">pre takrolimus </w:t>
      </w:r>
      <w:r w:rsidRPr="00A655CE">
        <w:rPr>
          <w:lang w:val="sk-SK"/>
        </w:rPr>
        <w:t>s predĺženým uvoľ</w:t>
      </w:r>
      <w:r w:rsidR="00AE7CF1">
        <w:rPr>
          <w:lang w:val="sk-SK"/>
        </w:rPr>
        <w:t xml:space="preserve">ňovaním podobný ako pre takrolimus </w:t>
      </w:r>
      <w:r w:rsidRPr="00A655CE">
        <w:rPr>
          <w:lang w:val="sk-SK"/>
        </w:rPr>
        <w:t>s okamžitým uvo</w:t>
      </w:r>
      <w:r w:rsidR="00AE7CF1">
        <w:rPr>
          <w:lang w:val="sk-SK"/>
        </w:rPr>
        <w:t xml:space="preserve">ľňovaním. Pri prechode z </w:t>
      </w:r>
      <w:r w:rsidRPr="00A655CE">
        <w:rPr>
          <w:lang w:val="sk-SK"/>
        </w:rPr>
        <w:t xml:space="preserve">takrolimu s okamžitým </w:t>
      </w:r>
      <w:r w:rsidR="00AE7CF1">
        <w:rPr>
          <w:lang w:val="sk-SK"/>
        </w:rPr>
        <w:t>uvoľňovaním na Dailiport</w:t>
      </w:r>
      <w:r w:rsidR="006F261C">
        <w:rPr>
          <w:lang w:val="sk-SK"/>
        </w:rPr>
        <w:t xml:space="preserve"> </w:t>
      </w:r>
      <w:r w:rsidRPr="00A655CE">
        <w:rPr>
          <w:lang w:val="sk-SK"/>
        </w:rPr>
        <w:t xml:space="preserve">sa majú </w:t>
      </w:r>
      <w:r w:rsidR="000F04DD">
        <w:rPr>
          <w:lang w:val="sk-SK"/>
        </w:rPr>
        <w:t xml:space="preserve">minimálne </w:t>
      </w:r>
      <w:r w:rsidRPr="00A655CE">
        <w:rPr>
          <w:lang w:val="sk-SK"/>
        </w:rPr>
        <w:t>hladiny takrolimu zmerať pred prechodom a počas dvoch týždňov</w:t>
      </w:r>
      <w:r>
        <w:rPr>
          <w:lang w:val="sk-SK"/>
        </w:rPr>
        <w:t xml:space="preserve"> </w:t>
      </w:r>
      <w:r w:rsidRPr="00A655CE">
        <w:rPr>
          <w:lang w:val="sk-SK"/>
        </w:rPr>
        <w:t xml:space="preserve">po prechode. Po prechode sa majú monitorovať </w:t>
      </w:r>
      <w:r w:rsidR="000F04DD">
        <w:rPr>
          <w:lang w:val="sk-SK"/>
        </w:rPr>
        <w:t xml:space="preserve">minimálne </w:t>
      </w:r>
      <w:r w:rsidRPr="00A655CE">
        <w:rPr>
          <w:lang w:val="sk-SK"/>
        </w:rPr>
        <w:t>hladiny takrolimu</w:t>
      </w:r>
      <w:r w:rsidR="006F261C">
        <w:rPr>
          <w:lang w:val="sk-SK"/>
        </w:rPr>
        <w:t xml:space="preserve"> </w:t>
      </w:r>
      <w:r w:rsidRPr="00A655CE">
        <w:rPr>
          <w:lang w:val="sk-SK"/>
        </w:rPr>
        <w:t>a ak je to potrebné, majú sa upraviť dávky tak, aby sa udržala podobná systémová expozícia. Majú sa urobiť úpravy dávky, aby sa zabezpečilo zachovanie podobnej systémovej expozície.</w:t>
      </w:r>
    </w:p>
    <w:p w14:paraId="5B88684F" w14:textId="77777777" w:rsidR="00D318E7" w:rsidRPr="00C90CED" w:rsidRDefault="00D318E7" w:rsidP="00235C1B">
      <w:pPr>
        <w:pStyle w:val="Zkladntext"/>
        <w:rPr>
          <w:lang w:val="sk-SK"/>
        </w:rPr>
      </w:pPr>
    </w:p>
    <w:p w14:paraId="1B168714" w14:textId="77777777" w:rsidR="00D318E7" w:rsidRPr="00235C1B" w:rsidRDefault="00D318E7" w:rsidP="00B52FD1">
      <w:pPr>
        <w:rPr>
          <w:i/>
          <w:u w:val="single"/>
          <w:lang w:val="sk-SK"/>
        </w:rPr>
      </w:pPr>
      <w:r w:rsidRPr="00235C1B">
        <w:rPr>
          <w:i/>
          <w:u w:val="single"/>
          <w:lang w:val="sk-SK"/>
        </w:rPr>
        <w:t>Prechod z cyklosporínu na takrolimus</w:t>
      </w:r>
    </w:p>
    <w:p w14:paraId="4A48BEB7" w14:textId="4788C24E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Opatrnosť je potrebná u pacientov, ktorým sa mení liečba založená na cyklosporíne na liečbu založenú na takrolime (pozri časti 4.4 a 4.5). Neodporúča sa kombinované podávanie cyklospor</w:t>
      </w:r>
      <w:r w:rsidR="00A7706A">
        <w:rPr>
          <w:lang w:val="sk-SK"/>
        </w:rPr>
        <w:t xml:space="preserve">ínu a takrolimu. </w:t>
      </w:r>
      <w:r w:rsidR="000F04DD">
        <w:rPr>
          <w:lang w:val="sk-SK"/>
        </w:rPr>
        <w:t>Liečba</w:t>
      </w:r>
      <w:r w:rsidR="00A7706A">
        <w:rPr>
          <w:lang w:val="sk-SK"/>
        </w:rPr>
        <w:t xml:space="preserve"> </w:t>
      </w:r>
      <w:r w:rsidR="005508C6">
        <w:rPr>
          <w:lang w:val="sk-SK"/>
        </w:rPr>
        <w:t>Dailiport</w:t>
      </w:r>
      <w:r w:rsidR="00A7706A">
        <w:rPr>
          <w:lang w:val="sk-SK"/>
        </w:rPr>
        <w:t>om</w:t>
      </w:r>
      <w:r w:rsidRPr="00C90CED">
        <w:rPr>
          <w:lang w:val="sk-SK"/>
        </w:rPr>
        <w:t xml:space="preserve"> sa má začať po zhodnotení koncentrácií cyklosporínu v krvi a klinického stavu pacienta. Podávanie sa má odložiť v prípade zvýšených hladín cyklosporínu v krvi. Liečba takrolimom obvykle začína 12 - 24 hodín po prerušení liečby cyklosporínom. Po zmene liečby sa má pokračovať v sledovaní hladiny cyklosporínu v krvi, pretože by mohlo dôjsť k ovplyvneniu klírensu cyklosporínu.</w:t>
      </w:r>
    </w:p>
    <w:p w14:paraId="63C95203" w14:textId="77777777" w:rsidR="00D318E7" w:rsidRPr="00C90CED" w:rsidRDefault="00D318E7" w:rsidP="00B52FD1">
      <w:pPr>
        <w:pStyle w:val="Zkladntext"/>
        <w:rPr>
          <w:lang w:val="sk-SK"/>
        </w:rPr>
      </w:pPr>
    </w:p>
    <w:p w14:paraId="3D5C2DA2" w14:textId="389D1738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u w:val="single"/>
          <w:lang w:val="sk-SK"/>
        </w:rPr>
        <w:t xml:space="preserve">Liečba rejekcie </w:t>
      </w:r>
      <w:r w:rsidR="000F04DD">
        <w:rPr>
          <w:i/>
          <w:u w:val="single"/>
          <w:lang w:val="sk-SK"/>
        </w:rPr>
        <w:t>alo</w:t>
      </w:r>
      <w:r w:rsidRPr="00C90CED">
        <w:rPr>
          <w:i/>
          <w:u w:val="single"/>
          <w:lang w:val="sk-SK"/>
        </w:rPr>
        <w:t>štepu</w:t>
      </w:r>
    </w:p>
    <w:p w14:paraId="144F72F3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Na zvládnutie rejekčných epizód sa používajú zvýšené dávky takrolimu, doplnková liečba kortikosteroidmi a zavedenie krátkodobého podávania mono/polyklonálnych protil</w:t>
      </w:r>
      <w:r w:rsidR="00D027CC">
        <w:rPr>
          <w:lang w:val="sk-SK"/>
        </w:rPr>
        <w:t>átok. Ak sa zaznamenajú prejavy</w:t>
      </w:r>
      <w:r w:rsidRPr="00C90CED">
        <w:rPr>
          <w:lang w:val="sk-SK"/>
        </w:rPr>
        <w:t xml:space="preserve"> toxicity, v podobe závažných nežiaducich účinkov (pozri časť 4.8)</w:t>
      </w:r>
      <w:r w:rsidR="00AE7CF1">
        <w:rPr>
          <w:lang w:val="sk-SK"/>
        </w:rPr>
        <w:t xml:space="preserve">, môže byť potrebné dávku </w:t>
      </w:r>
      <w:r w:rsidR="005508C6">
        <w:rPr>
          <w:lang w:val="sk-SK"/>
        </w:rPr>
        <w:t>Dailiport</w:t>
      </w:r>
      <w:r w:rsidR="00AE7CF1">
        <w:rPr>
          <w:lang w:val="sk-SK"/>
        </w:rPr>
        <w:t>u</w:t>
      </w:r>
      <w:r w:rsidRPr="00C90CED">
        <w:rPr>
          <w:lang w:val="sk-SK"/>
        </w:rPr>
        <w:t xml:space="preserve"> znížiť.</w:t>
      </w:r>
    </w:p>
    <w:p w14:paraId="46F9989D" w14:textId="77777777" w:rsidR="00D318E7" w:rsidRPr="00C90CED" w:rsidRDefault="00D318E7">
      <w:pPr>
        <w:pStyle w:val="Zkladntext"/>
        <w:rPr>
          <w:lang w:val="sk-SK"/>
        </w:rPr>
      </w:pPr>
    </w:p>
    <w:p w14:paraId="70608BAF" w14:textId="77777777" w:rsidR="00D318E7" w:rsidRPr="00C90CED" w:rsidRDefault="00D318E7">
      <w:pPr>
        <w:rPr>
          <w:i/>
          <w:lang w:val="sk-SK"/>
        </w:rPr>
      </w:pPr>
      <w:r w:rsidRPr="00C90CED">
        <w:rPr>
          <w:i/>
          <w:lang w:val="sk-SK"/>
        </w:rPr>
        <w:t>Liečba rejekcie štepu po transplantácii obličiek alebo pečene</w:t>
      </w:r>
    </w:p>
    <w:p w14:paraId="42DBB1CF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Pri prechode z iného imunosupresíva na </w:t>
      </w:r>
      <w:r w:rsidR="005508C6">
        <w:rPr>
          <w:lang w:val="sk-SK"/>
        </w:rPr>
        <w:t>Dailiport</w:t>
      </w:r>
      <w:r w:rsidRPr="00C90CED">
        <w:rPr>
          <w:lang w:val="sk-SK"/>
        </w:rPr>
        <w:t>, ktorý sa užíva raz denne, sa má liečba začať počiatočnou perorálnou dávkou odporúčanou pri transplantácii obličky, respektíve pečene</w:t>
      </w:r>
    </w:p>
    <w:p w14:paraId="01412825" w14:textId="6492FABB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na profylaxiu rejekcie</w:t>
      </w:r>
      <w:r w:rsidR="00D16313">
        <w:rPr>
          <w:lang w:val="sk-SK"/>
        </w:rPr>
        <w:t xml:space="preserve"> transplantátu</w:t>
      </w:r>
      <w:r w:rsidRPr="00C90CED">
        <w:rPr>
          <w:lang w:val="sk-SK"/>
        </w:rPr>
        <w:t>.</w:t>
      </w:r>
    </w:p>
    <w:p w14:paraId="3BADD408" w14:textId="77777777" w:rsidR="00D318E7" w:rsidRPr="00C90CED" w:rsidRDefault="00D318E7" w:rsidP="00235C1B">
      <w:pPr>
        <w:pStyle w:val="Zkladntext"/>
        <w:rPr>
          <w:lang w:val="sk-SK"/>
        </w:rPr>
      </w:pPr>
    </w:p>
    <w:p w14:paraId="16AC006A" w14:textId="54BCF200" w:rsidR="00D318E7" w:rsidRPr="00C90CED" w:rsidRDefault="00D318E7" w:rsidP="00B52FD1">
      <w:pPr>
        <w:rPr>
          <w:i/>
          <w:lang w:val="sk-SK"/>
        </w:rPr>
      </w:pPr>
      <w:r w:rsidRPr="00C90CED">
        <w:rPr>
          <w:i/>
          <w:lang w:val="sk-SK"/>
        </w:rPr>
        <w:t xml:space="preserve">Liečba rejekcie </w:t>
      </w:r>
      <w:r w:rsidR="00D16313">
        <w:rPr>
          <w:i/>
          <w:lang w:val="sk-SK"/>
        </w:rPr>
        <w:t>alo</w:t>
      </w:r>
      <w:r w:rsidRPr="00C90CED">
        <w:rPr>
          <w:i/>
          <w:lang w:val="sk-SK"/>
        </w:rPr>
        <w:t>štepu po transplantácii srdca</w:t>
      </w:r>
    </w:p>
    <w:p w14:paraId="5F98A8B7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U dospelých pacientov má byť pri prechode na </w:t>
      </w:r>
      <w:r w:rsidR="005508C6">
        <w:rPr>
          <w:lang w:val="sk-SK"/>
        </w:rPr>
        <w:t>Dailiport</w:t>
      </w:r>
      <w:r w:rsidRPr="00C90CED">
        <w:rPr>
          <w:lang w:val="sk-SK"/>
        </w:rPr>
        <w:t xml:space="preserve"> podaná počiatočná perorálna dávka</w:t>
      </w:r>
    </w:p>
    <w:p w14:paraId="7E8D55E2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0,15 mg/kg/deň raz denne ráno.</w:t>
      </w:r>
    </w:p>
    <w:p w14:paraId="0F24C467" w14:textId="77777777" w:rsidR="00D318E7" w:rsidRPr="00C90CED" w:rsidRDefault="00D318E7" w:rsidP="00B52FD1">
      <w:pPr>
        <w:pStyle w:val="Zkladntext"/>
        <w:rPr>
          <w:lang w:val="sk-SK"/>
        </w:rPr>
      </w:pPr>
    </w:p>
    <w:p w14:paraId="108F5C4B" w14:textId="6E1189C1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 xml:space="preserve">Liečba rejekcie </w:t>
      </w:r>
      <w:r w:rsidR="00D16313">
        <w:rPr>
          <w:i/>
          <w:lang w:val="sk-SK"/>
        </w:rPr>
        <w:t>alo</w:t>
      </w:r>
      <w:r w:rsidRPr="00C90CED">
        <w:rPr>
          <w:i/>
          <w:lang w:val="sk-SK"/>
        </w:rPr>
        <w:t xml:space="preserve">štepu po transplantáciách iných </w:t>
      </w:r>
      <w:r w:rsidR="00D16313">
        <w:rPr>
          <w:i/>
          <w:lang w:val="sk-SK"/>
        </w:rPr>
        <w:t>alo</w:t>
      </w:r>
      <w:r w:rsidRPr="00C90CED">
        <w:rPr>
          <w:i/>
          <w:lang w:val="sk-SK"/>
        </w:rPr>
        <w:t>štepov</w:t>
      </w:r>
    </w:p>
    <w:p w14:paraId="66D4578D" w14:textId="77777777" w:rsidR="007D71F1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Ho</w:t>
      </w:r>
      <w:r w:rsidR="00E072B1">
        <w:rPr>
          <w:lang w:val="sk-SK"/>
        </w:rPr>
        <w:t>ci nie sú klinické skúsenosti s takrolimom s predĺženým uvoľňovaním</w:t>
      </w:r>
      <w:r w:rsidRPr="00C90CED">
        <w:rPr>
          <w:lang w:val="sk-SK"/>
        </w:rPr>
        <w:t xml:space="preserve"> u pacient</w:t>
      </w:r>
      <w:r w:rsidR="00E072B1">
        <w:rPr>
          <w:lang w:val="sk-SK"/>
        </w:rPr>
        <w:t xml:space="preserve">ov s transplantovanými pľúcami, </w:t>
      </w:r>
      <w:r w:rsidRPr="00C90CED">
        <w:rPr>
          <w:lang w:val="sk-SK"/>
        </w:rPr>
        <w:t xml:space="preserve">transplantovaným pankreasom alebo transplantáciou čriev, </w:t>
      </w:r>
      <w:r w:rsidR="00E072B1">
        <w:rPr>
          <w:lang w:val="sk-SK"/>
        </w:rPr>
        <w:t xml:space="preserve">takrolimus </w:t>
      </w:r>
      <w:r w:rsidR="00E072B1">
        <w:rPr>
          <w:lang w:val="sk-SK"/>
        </w:rPr>
        <w:lastRenderedPageBreak/>
        <w:t xml:space="preserve">s okamžitým uvoľňovaním bol použitý u pacientov </w:t>
      </w:r>
      <w:r w:rsidRPr="00C90CED">
        <w:rPr>
          <w:lang w:val="sk-SK"/>
        </w:rPr>
        <w:t>s transplantovanými pľúcami v počiatočnej perorálnej dávke 0,10 - 0,15 mg/kg/deň, u pacientov s transplantovaným pankreasom v počiatočnej perorálnej dávke 0,2 mg/kg/deň a pri intestinálnej transplantácii v počiatočnej perorálnej dávke 0,3 mg/kg/deň.</w:t>
      </w:r>
    </w:p>
    <w:p w14:paraId="7B2F9FCD" w14:textId="77777777" w:rsidR="007D71F1" w:rsidRDefault="007D71F1" w:rsidP="00B52FD1">
      <w:pPr>
        <w:pStyle w:val="Zkladntext"/>
        <w:jc w:val="both"/>
        <w:rPr>
          <w:lang w:val="sk-SK"/>
        </w:rPr>
      </w:pPr>
    </w:p>
    <w:p w14:paraId="6D1264AB" w14:textId="0EC36B64" w:rsidR="00D318E7" w:rsidRPr="00C90CED" w:rsidRDefault="00D318E7">
      <w:pPr>
        <w:pStyle w:val="Zkladntext"/>
        <w:jc w:val="both"/>
        <w:rPr>
          <w:lang w:val="sk-SK"/>
        </w:rPr>
      </w:pPr>
      <w:r w:rsidRPr="00C90CED">
        <w:rPr>
          <w:u w:val="single"/>
          <w:lang w:val="sk-SK"/>
        </w:rPr>
        <w:t xml:space="preserve">Monitorovanie </w:t>
      </w:r>
      <w:r w:rsidR="007F5EA8">
        <w:rPr>
          <w:u w:val="single"/>
          <w:lang w:val="sk-SK"/>
        </w:rPr>
        <w:t xml:space="preserve">terapeutickej </w:t>
      </w:r>
      <w:r w:rsidRPr="00C90CED">
        <w:rPr>
          <w:u w:val="single"/>
          <w:lang w:val="sk-SK"/>
        </w:rPr>
        <w:t>koncentrácie liečiva</w:t>
      </w:r>
    </w:p>
    <w:p w14:paraId="75ACF538" w14:textId="15D6FF02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Dávkovanie má byť primárne založené na klinickom hodnotení rejekcie a tolerancie u každého jednotlivého pacienta za pomoci monitorovania </w:t>
      </w:r>
      <w:r w:rsidR="007F5EA8">
        <w:rPr>
          <w:lang w:val="sk-SK"/>
        </w:rPr>
        <w:t>minimálnych hladín</w:t>
      </w:r>
      <w:r w:rsidRPr="00C90CED">
        <w:rPr>
          <w:lang w:val="sk-SK"/>
        </w:rPr>
        <w:t xml:space="preserve"> takrolimu</w:t>
      </w:r>
      <w:r w:rsidR="007F5EA8">
        <w:rPr>
          <w:lang w:val="sk-SK"/>
        </w:rPr>
        <w:t xml:space="preserve"> </w:t>
      </w:r>
      <w:r w:rsidRPr="00C90CED">
        <w:rPr>
          <w:lang w:val="sk-SK"/>
        </w:rPr>
        <w:t xml:space="preserve">v </w:t>
      </w:r>
      <w:r w:rsidR="007F5EA8">
        <w:rPr>
          <w:lang w:val="sk-SK"/>
        </w:rPr>
        <w:t>celej</w:t>
      </w:r>
      <w:r w:rsidRPr="00C90CED">
        <w:rPr>
          <w:lang w:val="sk-SK"/>
        </w:rPr>
        <w:t xml:space="preserve"> krvi.</w:t>
      </w:r>
    </w:p>
    <w:p w14:paraId="0748645A" w14:textId="77777777" w:rsidR="00D318E7" w:rsidRPr="00C90CED" w:rsidRDefault="00D318E7" w:rsidP="00B52FD1">
      <w:pPr>
        <w:pStyle w:val="Zkladntext"/>
        <w:rPr>
          <w:lang w:val="sk-SK"/>
        </w:rPr>
      </w:pPr>
    </w:p>
    <w:p w14:paraId="7F3E7FAC" w14:textId="7401B1CF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Na optimalizovanie dávkovania je dostupných niekoľko imuno</w:t>
      </w:r>
      <w:r w:rsidR="007F5EA8">
        <w:rPr>
          <w:lang w:val="sk-SK"/>
        </w:rPr>
        <w:t xml:space="preserve">logických </w:t>
      </w:r>
      <w:r w:rsidRPr="00C90CED">
        <w:rPr>
          <w:lang w:val="sk-SK"/>
        </w:rPr>
        <w:t xml:space="preserve">metód, pomocou ktorých možno stanoviť koncentrácie takrolimu v </w:t>
      </w:r>
      <w:r w:rsidR="007F5EA8">
        <w:rPr>
          <w:lang w:val="sk-SK"/>
        </w:rPr>
        <w:t>celej</w:t>
      </w:r>
      <w:r w:rsidRPr="00C90CED">
        <w:rPr>
          <w:lang w:val="sk-SK"/>
        </w:rPr>
        <w:t xml:space="preserve"> krvi. Porovnania koncentrácií v publikovanej literatúre</w:t>
      </w:r>
    </w:p>
    <w:p w14:paraId="1BB4E56B" w14:textId="58B6030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s individuálnymi hodnotami v klinickej praxi sa majú vyhodnocovať </w:t>
      </w:r>
      <w:r w:rsidR="007F5EA8">
        <w:rPr>
          <w:lang w:val="sk-SK"/>
        </w:rPr>
        <w:t xml:space="preserve">s </w:t>
      </w:r>
      <w:r w:rsidRPr="00C90CED">
        <w:rPr>
          <w:lang w:val="sk-SK"/>
        </w:rPr>
        <w:t>opatrn</w:t>
      </w:r>
      <w:r w:rsidR="007F5EA8">
        <w:rPr>
          <w:lang w:val="sk-SK"/>
        </w:rPr>
        <w:t>osťou</w:t>
      </w:r>
      <w:r w:rsidRPr="00C90CED">
        <w:rPr>
          <w:lang w:val="sk-SK"/>
        </w:rPr>
        <w:t xml:space="preserve"> a na základe znalosti použitých metód. V súčasnej klinickej praxi sa hladiny v </w:t>
      </w:r>
      <w:r w:rsidR="007F5EA8">
        <w:rPr>
          <w:lang w:val="sk-SK"/>
        </w:rPr>
        <w:t>celej</w:t>
      </w:r>
      <w:r w:rsidRPr="00C90CED">
        <w:rPr>
          <w:lang w:val="sk-SK"/>
        </w:rPr>
        <w:t xml:space="preserve"> krvi monitorujú pomocou imuno</w:t>
      </w:r>
      <w:r w:rsidR="00AE59E4">
        <w:rPr>
          <w:lang w:val="sk-SK"/>
        </w:rPr>
        <w:t xml:space="preserve">logických </w:t>
      </w:r>
      <w:r w:rsidRPr="00C90CED">
        <w:rPr>
          <w:lang w:val="sk-SK"/>
        </w:rPr>
        <w:t xml:space="preserve">metód. </w:t>
      </w:r>
      <w:r w:rsidRPr="00C90CED">
        <w:rPr>
          <w:position w:val="2"/>
          <w:lang w:val="sk-SK"/>
        </w:rPr>
        <w:t xml:space="preserve">Vzťah medzi </w:t>
      </w:r>
      <w:r w:rsidR="007F5EA8">
        <w:rPr>
          <w:position w:val="2"/>
          <w:lang w:val="sk-SK"/>
        </w:rPr>
        <w:t>minimálnymi hladinami</w:t>
      </w:r>
      <w:r w:rsidRPr="00C90CED">
        <w:rPr>
          <w:position w:val="2"/>
          <w:lang w:val="sk-SK"/>
        </w:rPr>
        <w:t xml:space="preserve"> (C</w:t>
      </w:r>
      <w:r w:rsidRPr="00C90CED">
        <w:rPr>
          <w:sz w:val="14"/>
          <w:lang w:val="sk-SK"/>
        </w:rPr>
        <w:t>24</w:t>
      </w:r>
      <w:r w:rsidRPr="00C90CED">
        <w:rPr>
          <w:position w:val="2"/>
          <w:lang w:val="sk-SK"/>
        </w:rPr>
        <w:t>) a systémovou expozíciou (AUC</w:t>
      </w:r>
      <w:r w:rsidRPr="00C90CED">
        <w:rPr>
          <w:sz w:val="14"/>
          <w:lang w:val="sk-SK"/>
        </w:rPr>
        <w:t>0-24</w:t>
      </w:r>
      <w:r w:rsidRPr="00C90CED">
        <w:rPr>
          <w:position w:val="2"/>
          <w:lang w:val="sk-SK"/>
        </w:rPr>
        <w:t xml:space="preserve">) </w:t>
      </w:r>
      <w:r w:rsidRPr="00C90CED">
        <w:rPr>
          <w:lang w:val="sk-SK"/>
        </w:rPr>
        <w:t xml:space="preserve">takrolimu je </w:t>
      </w:r>
      <w:r w:rsidR="00DE74C6">
        <w:rPr>
          <w:lang w:val="sk-SK"/>
        </w:rPr>
        <w:t>podobný pri takrolime s predĺženým uvoľňovaním a takrolime s okamžitým uvoľňovaním</w:t>
      </w:r>
      <w:r w:rsidRPr="00C90CED">
        <w:rPr>
          <w:lang w:val="sk-SK"/>
        </w:rPr>
        <w:t>.</w:t>
      </w:r>
    </w:p>
    <w:p w14:paraId="05D1FE22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33E64443" w14:textId="018BC3F9" w:rsidR="00D318E7" w:rsidRPr="00C90CED" w:rsidRDefault="007F5EA8" w:rsidP="00B52FD1">
      <w:pPr>
        <w:pStyle w:val="Zkladntext"/>
        <w:rPr>
          <w:lang w:val="sk-SK"/>
        </w:rPr>
      </w:pPr>
      <w:r>
        <w:rPr>
          <w:lang w:val="sk-SK"/>
        </w:rPr>
        <w:t>Minimálne hladiny takrolimu</w:t>
      </w:r>
      <w:r w:rsidR="00D318E7" w:rsidRPr="00C90CED">
        <w:rPr>
          <w:lang w:val="sk-SK"/>
        </w:rPr>
        <w:t xml:space="preserve"> sa majú sledovať počas celého potransplantačného obdobia. </w:t>
      </w:r>
      <w:r w:rsidR="00AE59E4">
        <w:rPr>
          <w:lang w:val="sk-SK"/>
        </w:rPr>
        <w:t>Minimálne h</w:t>
      </w:r>
      <w:r w:rsidR="00D318E7" w:rsidRPr="00C90CED">
        <w:rPr>
          <w:lang w:val="sk-SK"/>
        </w:rPr>
        <w:t>ladiny takrolimu v krvi sa majú stanoviť pr</w:t>
      </w:r>
      <w:r w:rsidR="00DE74C6">
        <w:rPr>
          <w:lang w:val="sk-SK"/>
        </w:rPr>
        <w:t xml:space="preserve">ibližne 24 hodín po užití </w:t>
      </w:r>
      <w:r w:rsidR="005508C6">
        <w:rPr>
          <w:lang w:val="sk-SK"/>
        </w:rPr>
        <w:t>Dailiport</w:t>
      </w:r>
      <w:r w:rsidR="00DE74C6">
        <w:rPr>
          <w:lang w:val="sk-SK"/>
        </w:rPr>
        <w:t>u</w:t>
      </w:r>
      <w:r w:rsidR="00D318E7" w:rsidRPr="00C90CED">
        <w:rPr>
          <w:lang w:val="sk-SK"/>
        </w:rPr>
        <w:t xml:space="preserve">, teda tesne pred ďalšou dávkou. Odporúča sa časté monitorovanie </w:t>
      </w:r>
      <w:r w:rsidR="00AE59E4">
        <w:rPr>
          <w:lang w:val="sk-SK"/>
        </w:rPr>
        <w:t>minimálnych hladín</w:t>
      </w:r>
      <w:r w:rsidR="00D318E7" w:rsidRPr="00C90CED">
        <w:rPr>
          <w:lang w:val="sk-SK"/>
        </w:rPr>
        <w:t xml:space="preserve"> počas </w:t>
      </w:r>
      <w:r w:rsidR="00AE59E4">
        <w:rPr>
          <w:lang w:val="sk-SK"/>
        </w:rPr>
        <w:t>prvých</w:t>
      </w:r>
      <w:r w:rsidR="00D318E7" w:rsidRPr="00C90CED">
        <w:rPr>
          <w:lang w:val="sk-SK"/>
        </w:rPr>
        <w:t xml:space="preserve"> dvoch týždňov</w:t>
      </w:r>
      <w:r>
        <w:rPr>
          <w:lang w:val="sk-SK"/>
        </w:rPr>
        <w:t xml:space="preserve"> </w:t>
      </w:r>
      <w:r w:rsidR="00D318E7" w:rsidRPr="00C90CED">
        <w:rPr>
          <w:lang w:val="sk-SK"/>
        </w:rPr>
        <w:t xml:space="preserve">po transplantácii a pravidelné monitorovanie počas udržiavacej liečby. </w:t>
      </w:r>
      <w:r w:rsidR="00AE59E4">
        <w:rPr>
          <w:lang w:val="sk-SK"/>
        </w:rPr>
        <w:t>Minimálne hladiny</w:t>
      </w:r>
      <w:r w:rsidR="00D318E7" w:rsidRPr="00C90CED">
        <w:rPr>
          <w:lang w:val="sk-SK"/>
        </w:rPr>
        <w:t xml:space="preserve"> takrolimu v krvi sa m</w:t>
      </w:r>
      <w:r w:rsidR="00AE59E4">
        <w:rPr>
          <w:lang w:val="sk-SK"/>
        </w:rPr>
        <w:t>ajú</w:t>
      </w:r>
      <w:r w:rsidR="00D318E7" w:rsidRPr="00C90CED">
        <w:rPr>
          <w:lang w:val="sk-SK"/>
        </w:rPr>
        <w:t xml:space="preserve"> dôkladne monitorova</w:t>
      </w:r>
      <w:r w:rsidR="00DE74C6">
        <w:rPr>
          <w:lang w:val="sk-SK"/>
        </w:rPr>
        <w:t xml:space="preserve">ť aj po prechode z takrolimu s okamžitým uvoľňovaním </w:t>
      </w:r>
      <w:r w:rsidR="00D318E7" w:rsidRPr="00C90CED">
        <w:rPr>
          <w:lang w:val="sk-SK"/>
        </w:rPr>
        <w:t xml:space="preserve">na </w:t>
      </w:r>
      <w:r w:rsidR="005508C6">
        <w:rPr>
          <w:lang w:val="sk-SK"/>
        </w:rPr>
        <w:t>Dailiport</w:t>
      </w:r>
      <w:r w:rsidR="00D318E7" w:rsidRPr="00C90CED">
        <w:rPr>
          <w:lang w:val="sk-SK"/>
        </w:rPr>
        <w:t>, po úprave dávky, zmenách v imunosupresívnom r</w:t>
      </w:r>
      <w:r w:rsidR="00DE74C6">
        <w:rPr>
          <w:lang w:val="sk-SK"/>
        </w:rPr>
        <w:t xml:space="preserve">ežime alebo pri súbežnej liečbe </w:t>
      </w:r>
      <w:r w:rsidR="00D318E7" w:rsidRPr="00C90CED">
        <w:rPr>
          <w:lang w:val="sk-SK"/>
        </w:rPr>
        <w:t xml:space="preserve">s liečivami, ktoré môžu meniť koncentráciu takrolimu v </w:t>
      </w:r>
      <w:r w:rsidR="00AE59E4">
        <w:rPr>
          <w:lang w:val="sk-SK"/>
        </w:rPr>
        <w:t>celej</w:t>
      </w:r>
      <w:r w:rsidR="00D318E7" w:rsidRPr="00C90CED">
        <w:rPr>
          <w:lang w:val="sk-SK"/>
        </w:rPr>
        <w:t xml:space="preserve"> krvi (pozri časť 4.5). Frekvencia monitorovania </w:t>
      </w:r>
      <w:r w:rsidR="00AE59E4">
        <w:rPr>
          <w:lang w:val="sk-SK"/>
        </w:rPr>
        <w:t xml:space="preserve">hladín v </w:t>
      </w:r>
      <w:r w:rsidR="00D318E7" w:rsidRPr="00C90CED">
        <w:rPr>
          <w:lang w:val="sk-SK"/>
        </w:rPr>
        <w:t>krvi má byť založená na klinických potrebách. Vzhľadom na to, že takrolimus je látka s nízkym klírensom, po</w:t>
      </w:r>
      <w:r w:rsidR="00DE74C6">
        <w:rPr>
          <w:lang w:val="sk-SK"/>
        </w:rPr>
        <w:t xml:space="preserve"> úprave režimu dávkovania </w:t>
      </w:r>
      <w:r w:rsidR="005508C6">
        <w:rPr>
          <w:lang w:val="sk-SK"/>
        </w:rPr>
        <w:t>Dailiport</w:t>
      </w:r>
      <w:r w:rsidR="00DE74C6">
        <w:rPr>
          <w:lang w:val="sk-SK"/>
        </w:rPr>
        <w:t>u</w:t>
      </w:r>
      <w:r w:rsidR="00D318E7" w:rsidRPr="00C90CED">
        <w:rPr>
          <w:lang w:val="sk-SK"/>
        </w:rPr>
        <w:t xml:space="preserve"> môže trvať niekoľko dní, kým sa dosiahne požadovaný rovnovážny stav.</w:t>
      </w:r>
    </w:p>
    <w:p w14:paraId="23D593C3" w14:textId="77777777" w:rsidR="00D318E7" w:rsidRPr="00C90CED" w:rsidRDefault="00D318E7">
      <w:pPr>
        <w:pStyle w:val="Zkladntext"/>
        <w:rPr>
          <w:lang w:val="sk-SK"/>
        </w:rPr>
      </w:pPr>
    </w:p>
    <w:p w14:paraId="379E6B7C" w14:textId="6EB5DD3B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Údaje z klinických štúdií naznačujú, že väčšinu pacientov je možné úspešne liečiť, ak sa </w:t>
      </w:r>
      <w:r w:rsidR="0001650E">
        <w:rPr>
          <w:lang w:val="sk-SK"/>
        </w:rPr>
        <w:t>minimálne hladiny</w:t>
      </w:r>
      <w:r w:rsidRPr="00C90CED">
        <w:rPr>
          <w:lang w:val="sk-SK"/>
        </w:rPr>
        <w:t xml:space="preserve"> takrolimu v krvi udržiava</w:t>
      </w:r>
      <w:r w:rsidR="0001650E">
        <w:rPr>
          <w:lang w:val="sk-SK"/>
        </w:rPr>
        <w:t>jú</w:t>
      </w:r>
      <w:r w:rsidRPr="00C90CED">
        <w:rPr>
          <w:lang w:val="sk-SK"/>
        </w:rPr>
        <w:t xml:space="preserve"> na hodnotách pod 20 ng/ml.</w:t>
      </w:r>
      <w:r w:rsidR="0001650E" w:rsidRPr="00C90CED" w:rsidDel="0001650E">
        <w:rPr>
          <w:lang w:val="sk-SK"/>
        </w:rPr>
        <w:t xml:space="preserve"> </w:t>
      </w:r>
      <w:r w:rsidRPr="00C90CED">
        <w:rPr>
          <w:lang w:val="sk-SK"/>
        </w:rPr>
        <w:t xml:space="preserve">Pri interpretácii hladín v </w:t>
      </w:r>
      <w:r w:rsidR="0001650E">
        <w:rPr>
          <w:lang w:val="sk-SK"/>
        </w:rPr>
        <w:t>celej</w:t>
      </w:r>
      <w:r w:rsidRPr="00C90CED">
        <w:rPr>
          <w:lang w:val="sk-SK"/>
        </w:rPr>
        <w:t xml:space="preserve"> krvi je potrebné vziať do úvahy klinický stav pacienta. V klinickej praxi bývajú </w:t>
      </w:r>
      <w:r w:rsidR="0001650E">
        <w:rPr>
          <w:lang w:val="sk-SK"/>
        </w:rPr>
        <w:t xml:space="preserve">minimálne </w:t>
      </w:r>
      <w:r w:rsidRPr="00C90CED">
        <w:rPr>
          <w:lang w:val="sk-SK"/>
        </w:rPr>
        <w:t xml:space="preserve">hladiny takrolimu v </w:t>
      </w:r>
      <w:r w:rsidR="0001650E">
        <w:rPr>
          <w:lang w:val="sk-SK"/>
        </w:rPr>
        <w:t>celej</w:t>
      </w:r>
      <w:r w:rsidRPr="00C90CED">
        <w:rPr>
          <w:lang w:val="sk-SK"/>
        </w:rPr>
        <w:t xml:space="preserve"> krvi</w:t>
      </w:r>
      <w:r w:rsidR="0001650E">
        <w:rPr>
          <w:lang w:val="sk-SK"/>
        </w:rPr>
        <w:t xml:space="preserve"> </w:t>
      </w:r>
      <w:r w:rsidRPr="00C90CED">
        <w:rPr>
          <w:lang w:val="sk-SK"/>
        </w:rPr>
        <w:t>v ranom potransplantačnom období obvykle v rozsahu 5 – 20 ng /ml u recipientov transplantátu pečene a 10 – 20 ng/ml</w:t>
      </w:r>
      <w:r w:rsidR="0001650E">
        <w:rPr>
          <w:lang w:val="sk-SK"/>
        </w:rPr>
        <w:t xml:space="preserve"> </w:t>
      </w:r>
      <w:r w:rsidRPr="00C90CED">
        <w:rPr>
          <w:lang w:val="sk-SK"/>
        </w:rPr>
        <w:t>u pacientov s transplantovanou obličkou a srdcom. Počas následnej udržiavacej liečby bývajú</w:t>
      </w:r>
      <w:r w:rsidR="0001650E">
        <w:rPr>
          <w:lang w:val="sk-SK"/>
        </w:rPr>
        <w:t xml:space="preserve"> </w:t>
      </w:r>
      <w:r w:rsidRPr="00C90CED">
        <w:rPr>
          <w:lang w:val="sk-SK"/>
        </w:rPr>
        <w:t>koncentrácie v krvi v rozmedzí 5 – 15 ng/ml u recipientov transplantátu pečene, obličiek a srdca.</w:t>
      </w:r>
    </w:p>
    <w:p w14:paraId="538E341C" w14:textId="77777777" w:rsidR="00D318E7" w:rsidRPr="00C90CED" w:rsidRDefault="00D318E7" w:rsidP="00235C1B">
      <w:pPr>
        <w:pStyle w:val="Zkladntext"/>
        <w:rPr>
          <w:lang w:val="sk-SK"/>
        </w:rPr>
      </w:pPr>
    </w:p>
    <w:p w14:paraId="1171FBA1" w14:textId="77777777" w:rsidR="00D318E7" w:rsidRPr="00DE74C6" w:rsidRDefault="00D318E7" w:rsidP="00235C1B">
      <w:pPr>
        <w:pStyle w:val="Zkladntext"/>
        <w:rPr>
          <w:i/>
          <w:lang w:val="sk-SK"/>
        </w:rPr>
      </w:pPr>
      <w:r w:rsidRPr="00DE74C6">
        <w:rPr>
          <w:i/>
          <w:u w:val="single"/>
          <w:lang w:val="sk-SK"/>
        </w:rPr>
        <w:t>Osobitné skupiny pacientov</w:t>
      </w:r>
    </w:p>
    <w:p w14:paraId="5CCF00B7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Porucha funkcie pečene</w:t>
      </w:r>
    </w:p>
    <w:p w14:paraId="2696D317" w14:textId="4242B25C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U pacientov so závažnou poruchou funkcie pečene môže byť potrebné zníženie dávky, aby sa udržali</w:t>
      </w:r>
      <w:r w:rsidR="00DC4432">
        <w:rPr>
          <w:lang w:val="sk-SK"/>
        </w:rPr>
        <w:t xml:space="preserve"> minimálne </w:t>
      </w:r>
      <w:r w:rsidRPr="00C90CED">
        <w:rPr>
          <w:lang w:val="sk-SK"/>
        </w:rPr>
        <w:t>hladiny takrolimu v krvi v odporúčanom cieľovom rozmedzí.</w:t>
      </w:r>
    </w:p>
    <w:p w14:paraId="032CDC58" w14:textId="77777777" w:rsidR="00D318E7" w:rsidRPr="00C90CED" w:rsidRDefault="00D318E7" w:rsidP="00B52FD1">
      <w:pPr>
        <w:pStyle w:val="Zkladntext"/>
        <w:rPr>
          <w:lang w:val="sk-SK"/>
        </w:rPr>
      </w:pPr>
    </w:p>
    <w:p w14:paraId="6B0DDE47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Porucha funkcie obličiek</w:t>
      </w:r>
    </w:p>
    <w:p w14:paraId="0E15407C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Keďže farmakokinetika takrolimu nie je ovplyvnená funkciou obličiek (pozri časť 5.2), nevyžaduje sa úprava dávkovania. Takrolimus však má nefrotoxický potenciál, preto sa odporúča pozorné monitorovanie renálnej funkcie (vrátane koncentrácie kreatinínu v sére, výpočtu klírensu kreatinínu</w:t>
      </w:r>
    </w:p>
    <w:p w14:paraId="605794C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a sledovania množstva moču).</w:t>
      </w:r>
    </w:p>
    <w:p w14:paraId="1AF4B925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396F8227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Rasa</w:t>
      </w:r>
    </w:p>
    <w:p w14:paraId="05E0F77A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V porovnaní s belošskou populáciou, pacienti černošskej populácie môžu vyžadovať vyššie dávky</w:t>
      </w:r>
    </w:p>
    <w:p w14:paraId="2282A69D" w14:textId="7B5EA242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takrolimu na dosiahnutie </w:t>
      </w:r>
      <w:r w:rsidR="000C7875">
        <w:rPr>
          <w:lang w:val="sk-SK"/>
        </w:rPr>
        <w:t>minimálnych</w:t>
      </w:r>
      <w:r w:rsidRPr="00C90CED">
        <w:rPr>
          <w:lang w:val="sk-SK"/>
        </w:rPr>
        <w:t xml:space="preserve"> hladín.</w:t>
      </w:r>
    </w:p>
    <w:p w14:paraId="093E9DB8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423556AA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Pohlavie</w:t>
      </w:r>
    </w:p>
    <w:p w14:paraId="134A81CA" w14:textId="7883A79F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Nie je dôkaz o tom, že by pacienti mužského a ženského pohlavia vyžadovali rozdielne dávky na dosiahnutie rovnakých </w:t>
      </w:r>
      <w:r w:rsidR="000C7875">
        <w:rPr>
          <w:lang w:val="sk-SK"/>
        </w:rPr>
        <w:t xml:space="preserve">minimálnych </w:t>
      </w:r>
      <w:r w:rsidRPr="00C90CED">
        <w:rPr>
          <w:lang w:val="sk-SK"/>
        </w:rPr>
        <w:t>hladín.</w:t>
      </w:r>
    </w:p>
    <w:p w14:paraId="2C61E78B" w14:textId="77777777" w:rsidR="00D318E7" w:rsidRPr="00C90CED" w:rsidRDefault="00D318E7" w:rsidP="00235C1B">
      <w:pPr>
        <w:pStyle w:val="Zkladntext"/>
        <w:rPr>
          <w:lang w:val="sk-SK"/>
        </w:rPr>
      </w:pPr>
    </w:p>
    <w:p w14:paraId="42FC8C13" w14:textId="77777777" w:rsidR="00D318E7" w:rsidRPr="00C90CED" w:rsidRDefault="00D318E7" w:rsidP="00B52FD1">
      <w:pPr>
        <w:rPr>
          <w:i/>
          <w:lang w:val="sk-SK"/>
        </w:rPr>
      </w:pPr>
      <w:r w:rsidRPr="00C90CED">
        <w:rPr>
          <w:i/>
          <w:lang w:val="sk-SK"/>
        </w:rPr>
        <w:t>Starší ľudia</w:t>
      </w:r>
    </w:p>
    <w:p w14:paraId="6D9680CD" w14:textId="5A3A13B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Z doposiaľ </w:t>
      </w:r>
      <w:r w:rsidR="00EA70CA">
        <w:rPr>
          <w:lang w:val="sk-SK"/>
        </w:rPr>
        <w:t>dostupných</w:t>
      </w:r>
      <w:r w:rsidRPr="00C90CED">
        <w:rPr>
          <w:lang w:val="sk-SK"/>
        </w:rPr>
        <w:t xml:space="preserve"> údajov nevyplýva, že je potrebné upraviť dávkovanie u starších ľudí.</w:t>
      </w:r>
    </w:p>
    <w:p w14:paraId="41D838C0" w14:textId="77777777" w:rsidR="00C1708B" w:rsidRDefault="00C1708B" w:rsidP="00235C1B">
      <w:pPr>
        <w:rPr>
          <w:lang w:val="sk-SK"/>
        </w:rPr>
      </w:pPr>
    </w:p>
    <w:p w14:paraId="1F05F664" w14:textId="77777777" w:rsidR="00D318E7" w:rsidRPr="00C90CED" w:rsidRDefault="00D318E7" w:rsidP="00B52FD1">
      <w:pPr>
        <w:rPr>
          <w:i/>
          <w:lang w:val="sk-SK"/>
        </w:rPr>
      </w:pPr>
      <w:r w:rsidRPr="00C90CED">
        <w:rPr>
          <w:i/>
          <w:lang w:val="sk-SK"/>
        </w:rPr>
        <w:t>Pediatrická populácia</w:t>
      </w:r>
    </w:p>
    <w:p w14:paraId="42CA2F99" w14:textId="77777777" w:rsidR="00DC4548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Bezpečnosť a účinnosť </w:t>
      </w:r>
      <w:r w:rsidR="005508C6">
        <w:rPr>
          <w:lang w:val="sk-SK"/>
        </w:rPr>
        <w:t>Dailiport</w:t>
      </w:r>
      <w:r w:rsidRPr="00C90CED">
        <w:rPr>
          <w:lang w:val="sk-SK"/>
        </w:rPr>
        <w:t xml:space="preserve">u u detí do 18 rokov nebola stanovená. </w:t>
      </w:r>
    </w:p>
    <w:p w14:paraId="6190CF2E" w14:textId="77777777" w:rsidR="00DC4548" w:rsidRDefault="00DC4548" w:rsidP="00235C1B">
      <w:pPr>
        <w:pStyle w:val="Zkladntext"/>
        <w:rPr>
          <w:lang w:val="sk-SK"/>
        </w:rPr>
      </w:pPr>
    </w:p>
    <w:p w14:paraId="0B69064F" w14:textId="77777777" w:rsidR="00C1708B" w:rsidRDefault="00DC4548" w:rsidP="00235C1B">
      <w:pPr>
        <w:pStyle w:val="Zkladntext"/>
        <w:rPr>
          <w:lang w:val="sk-SK"/>
        </w:rPr>
      </w:pPr>
      <w:r>
        <w:rPr>
          <w:lang w:val="sk-SK"/>
        </w:rPr>
        <w:t xml:space="preserve">Sú k dispozícii obmedzené </w:t>
      </w:r>
      <w:r w:rsidR="00D318E7" w:rsidRPr="00C90CED">
        <w:rPr>
          <w:lang w:val="sk-SK"/>
        </w:rPr>
        <w:t>údaje, ale neumožňujú uviesť odporúčania pre dávkovanie.</w:t>
      </w:r>
    </w:p>
    <w:p w14:paraId="5723BC12" w14:textId="77777777" w:rsidR="00C1708B" w:rsidRDefault="00C1708B" w:rsidP="00235C1B">
      <w:pPr>
        <w:pStyle w:val="Zkladntext"/>
        <w:rPr>
          <w:i/>
          <w:u w:val="single"/>
          <w:lang w:val="sk-SK"/>
        </w:rPr>
      </w:pPr>
    </w:p>
    <w:p w14:paraId="10F2E14C" w14:textId="77777777" w:rsidR="00D318E7" w:rsidRPr="00235C1B" w:rsidRDefault="00D318E7" w:rsidP="00235C1B">
      <w:pPr>
        <w:pStyle w:val="Zkladntext"/>
        <w:rPr>
          <w:lang w:val="sk-SK"/>
        </w:rPr>
      </w:pPr>
      <w:r w:rsidRPr="00235C1B">
        <w:rPr>
          <w:u w:val="single"/>
          <w:lang w:val="sk-SK"/>
        </w:rPr>
        <w:t>Spôsob podávania</w:t>
      </w:r>
    </w:p>
    <w:p w14:paraId="50B9E385" w14:textId="76AA75A7" w:rsidR="00DC4548" w:rsidRDefault="005508C6" w:rsidP="00B52FD1">
      <w:pPr>
        <w:pStyle w:val="Zkladntext"/>
        <w:rPr>
          <w:lang w:val="sk-SK"/>
        </w:rPr>
      </w:pPr>
      <w:r>
        <w:rPr>
          <w:lang w:val="sk-SK"/>
        </w:rPr>
        <w:t>Dailiport</w:t>
      </w:r>
      <w:r w:rsidR="00D318E7" w:rsidRPr="00C90CED">
        <w:rPr>
          <w:lang w:val="sk-SK"/>
        </w:rPr>
        <w:t xml:space="preserve"> je perorálna </w:t>
      </w:r>
      <w:r w:rsidR="00EA70CA">
        <w:rPr>
          <w:lang w:val="sk-SK"/>
        </w:rPr>
        <w:t xml:space="preserve">lieková </w:t>
      </w:r>
      <w:r w:rsidR="00D318E7" w:rsidRPr="00C90CED">
        <w:rPr>
          <w:lang w:val="sk-SK"/>
        </w:rPr>
        <w:t>forma takrolimu, ktorá sa užíva raz den</w:t>
      </w:r>
      <w:r w:rsidR="0099790D">
        <w:rPr>
          <w:lang w:val="sk-SK"/>
        </w:rPr>
        <w:t xml:space="preserve">ne. Perorálnu dennú dávku </w:t>
      </w:r>
      <w:r>
        <w:rPr>
          <w:lang w:val="sk-SK"/>
        </w:rPr>
        <w:t>Dailiport</w:t>
      </w:r>
      <w:r w:rsidR="0099790D">
        <w:rPr>
          <w:lang w:val="sk-SK"/>
        </w:rPr>
        <w:t>u</w:t>
      </w:r>
      <w:r w:rsidR="00D318E7" w:rsidRPr="00C90CED">
        <w:rPr>
          <w:lang w:val="sk-SK"/>
        </w:rPr>
        <w:t xml:space="preserve"> sa odporúča podávať raz denne ráno. </w:t>
      </w:r>
    </w:p>
    <w:p w14:paraId="065A4707" w14:textId="77777777" w:rsidR="00DC4548" w:rsidRDefault="00DC4548">
      <w:pPr>
        <w:pStyle w:val="Zkladntext"/>
        <w:rPr>
          <w:lang w:val="sk-SK"/>
        </w:rPr>
      </w:pPr>
    </w:p>
    <w:p w14:paraId="150A19CD" w14:textId="5BEBC45A" w:rsidR="00D318E7" w:rsidRPr="00C90CED" w:rsidRDefault="005508C6" w:rsidP="00235C1B">
      <w:pPr>
        <w:pStyle w:val="Zkladntext"/>
        <w:rPr>
          <w:lang w:val="sk-SK"/>
        </w:rPr>
      </w:pPr>
      <w:r>
        <w:rPr>
          <w:lang w:val="sk-SK"/>
        </w:rPr>
        <w:t>Dailiport</w:t>
      </w:r>
      <w:r w:rsidR="00D318E7" w:rsidRPr="00C90CED">
        <w:rPr>
          <w:lang w:val="sk-SK"/>
        </w:rPr>
        <w:t xml:space="preserve"> tvrdé kapsuly s predĺženým uvoľňovaním sa majú užiť ihneď po vybratí z blistra. Je potrebné poučiť pacientov, aby neprehltli vy</w:t>
      </w:r>
      <w:r w:rsidR="00EA70CA">
        <w:rPr>
          <w:lang w:val="sk-SK"/>
        </w:rPr>
        <w:t>súšadlo</w:t>
      </w:r>
      <w:r w:rsidR="00D318E7" w:rsidRPr="00C90CED">
        <w:rPr>
          <w:lang w:val="sk-SK"/>
        </w:rPr>
        <w:t>.</w:t>
      </w:r>
      <w:r w:rsidR="00EA70CA" w:rsidRPr="00C90CED" w:rsidDel="00EA70CA">
        <w:rPr>
          <w:lang w:val="sk-SK"/>
        </w:rPr>
        <w:t xml:space="preserve"> </w:t>
      </w:r>
      <w:r w:rsidR="00D318E7" w:rsidRPr="00C90CED">
        <w:rPr>
          <w:lang w:val="sk-SK"/>
        </w:rPr>
        <w:t xml:space="preserve">Kapsuly sa majú prehltnúť </w:t>
      </w:r>
      <w:r w:rsidR="00D318E7" w:rsidRPr="00235C1B">
        <w:rPr>
          <w:b/>
          <w:i/>
          <w:lang w:val="sk-SK"/>
        </w:rPr>
        <w:t>celé</w:t>
      </w:r>
      <w:r w:rsidR="00D318E7" w:rsidRPr="00C90CED">
        <w:rPr>
          <w:b/>
          <w:lang w:val="sk-SK"/>
        </w:rPr>
        <w:t xml:space="preserve"> </w:t>
      </w:r>
      <w:r w:rsidR="00D318E7" w:rsidRPr="00C90CED">
        <w:rPr>
          <w:lang w:val="sk-SK"/>
        </w:rPr>
        <w:t xml:space="preserve">s tekutinou (najlepšie s vodou). </w:t>
      </w:r>
      <w:r>
        <w:rPr>
          <w:lang w:val="sk-SK"/>
        </w:rPr>
        <w:t>Dailiport</w:t>
      </w:r>
      <w:r w:rsidR="00D318E7" w:rsidRPr="00C90CED">
        <w:rPr>
          <w:lang w:val="sk-SK"/>
        </w:rPr>
        <w:t xml:space="preserve"> sa má obvykle užívať nalačno alebo najmenej 1 hodinu pred, alebo 2 až 3 hodiny po jedle, aby sa dosiahla maximálna absorpcia (pozri časť 5.2). Vynechaná ranná dávka sa má užiť čo možno najskôr v ten istý deň. Nemá sa užiť dvojitá dávka nasledujúce ráno.</w:t>
      </w:r>
    </w:p>
    <w:p w14:paraId="3F8C9CAC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10634C1A" w14:textId="7ED88B95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U pacientov, ktorí počas počiatočnej po</w:t>
      </w:r>
      <w:r w:rsidR="00600FC1">
        <w:rPr>
          <w:lang w:val="sk-SK"/>
        </w:rPr>
        <w:t>transplantačnej</w:t>
      </w:r>
      <w:r w:rsidRPr="00C90CED">
        <w:rPr>
          <w:lang w:val="sk-SK"/>
        </w:rPr>
        <w:t xml:space="preserve"> fázy nemôžu užívať lieky perorálne, sa liečba takrolimom môže začať intravenóz</w:t>
      </w:r>
      <w:r w:rsidR="00DC4548">
        <w:rPr>
          <w:lang w:val="sk-SK"/>
        </w:rPr>
        <w:t xml:space="preserve">ne </w:t>
      </w:r>
      <w:r w:rsidRPr="00C90CED">
        <w:rPr>
          <w:lang w:val="sk-SK"/>
        </w:rPr>
        <w:t>s dávkou predstavujúcou jednu pätinu odporúčanej perorálnej dávky pre danú indikáciu.</w:t>
      </w:r>
      <w:r w:rsidR="0099790D">
        <w:rPr>
          <w:lang w:val="sk-SK"/>
        </w:rPr>
        <w:t xml:space="preserve"> </w:t>
      </w:r>
      <w:r w:rsidR="008948DB">
        <w:rPr>
          <w:lang w:val="sk-SK"/>
        </w:rPr>
        <w:t xml:space="preserve">Preto sú i.v. formy takrolimu </w:t>
      </w:r>
      <w:r w:rsidR="0099790D">
        <w:rPr>
          <w:lang w:val="sk-SK"/>
        </w:rPr>
        <w:t>k dispozícii.</w:t>
      </w:r>
    </w:p>
    <w:p w14:paraId="4C6B3E36" w14:textId="77777777" w:rsidR="00D318E7" w:rsidRPr="00C90CED" w:rsidRDefault="00D318E7" w:rsidP="00235C1B">
      <w:pPr>
        <w:pStyle w:val="Zkladntext"/>
        <w:rPr>
          <w:lang w:val="sk-SK"/>
        </w:rPr>
      </w:pPr>
    </w:p>
    <w:p w14:paraId="493E835F" w14:textId="77777777" w:rsidR="00D318E7" w:rsidRPr="00C90CED" w:rsidRDefault="00D318E7" w:rsidP="00235C1B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Kontraindikácie</w:t>
      </w:r>
    </w:p>
    <w:p w14:paraId="7E42A09C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5D187D5A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Precitlivenosť na takrolimus alebo na ktorúkoľvek z pomocných látok uvedených v časti 6.1.</w:t>
      </w:r>
    </w:p>
    <w:p w14:paraId="0F8DC921" w14:textId="77777777" w:rsidR="00D318E7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Precitlivenosť na iné makrolidy.</w:t>
      </w:r>
    </w:p>
    <w:p w14:paraId="4D69ABE3" w14:textId="546FC518" w:rsidR="00DC4548" w:rsidRPr="00C90CED" w:rsidRDefault="00600FC1" w:rsidP="00235C1B">
      <w:pPr>
        <w:pStyle w:val="Zkladntext"/>
        <w:rPr>
          <w:lang w:val="sk-SK"/>
        </w:rPr>
      </w:pPr>
      <w:r>
        <w:rPr>
          <w:lang w:val="sk-SK"/>
        </w:rPr>
        <w:t>Alergia</w:t>
      </w:r>
      <w:r w:rsidR="00DC4548">
        <w:rPr>
          <w:lang w:val="sk-SK"/>
        </w:rPr>
        <w:t xml:space="preserve"> na arašidy a sóju.</w:t>
      </w:r>
    </w:p>
    <w:p w14:paraId="69F40671" w14:textId="77777777" w:rsidR="00D318E7" w:rsidRPr="00C90CED" w:rsidRDefault="00D318E7" w:rsidP="00235C1B">
      <w:pPr>
        <w:pStyle w:val="Zkladntext"/>
        <w:rPr>
          <w:lang w:val="sk-SK"/>
        </w:rPr>
      </w:pPr>
    </w:p>
    <w:p w14:paraId="51A81B3B" w14:textId="77777777" w:rsidR="00D318E7" w:rsidRPr="00C90CED" w:rsidRDefault="00D318E7" w:rsidP="00B52FD1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Osobitné upozornenia a opatrenia pri</w:t>
      </w:r>
      <w:r w:rsidRPr="00C90CED">
        <w:rPr>
          <w:spacing w:val="-11"/>
          <w:lang w:val="sk-SK"/>
        </w:rPr>
        <w:t xml:space="preserve"> </w:t>
      </w:r>
      <w:r w:rsidRPr="00C90CED">
        <w:rPr>
          <w:lang w:val="sk-SK"/>
        </w:rPr>
        <w:t>používaní</w:t>
      </w:r>
    </w:p>
    <w:p w14:paraId="39297BC7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77E56DD" w14:textId="71975DD8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Vyskytli sa prípady chybnej medikácie, vrátane náhodnej, neúmyselnej alebo nekontrolovanej zámeny medzi </w:t>
      </w:r>
      <w:r w:rsidR="00600FC1">
        <w:rPr>
          <w:lang w:val="sk-SK"/>
        </w:rPr>
        <w:t xml:space="preserve">liekovou </w:t>
      </w:r>
      <w:r w:rsidRPr="00C90CED">
        <w:rPr>
          <w:lang w:val="sk-SK"/>
        </w:rPr>
        <w:t xml:space="preserve">formou takrolimu s okamžitým uvoľňovaním alebo </w:t>
      </w:r>
      <w:r w:rsidR="00600FC1">
        <w:rPr>
          <w:lang w:val="sk-SK"/>
        </w:rPr>
        <w:t xml:space="preserve">liekovou </w:t>
      </w:r>
      <w:r w:rsidRPr="00C90CED">
        <w:rPr>
          <w:lang w:val="sk-SK"/>
        </w:rPr>
        <w:t xml:space="preserve">formou takrolimu s predĺženým uvoľňovaním. To viedlo k závažným nežiaducim reakciám, vrátane rejekcie štepu, alebo k iným nežiaducim účinkom, ktoré mohli vzniknúť dôsledkom nedostačujúcej alebo nadmernej expozície takrolimu. Pacient má pokračovať v užívaní jednej </w:t>
      </w:r>
      <w:r w:rsidR="00600FC1">
        <w:rPr>
          <w:lang w:val="sk-SK"/>
        </w:rPr>
        <w:t xml:space="preserve">liekovej </w:t>
      </w:r>
      <w:r w:rsidRPr="00C90CED">
        <w:rPr>
          <w:lang w:val="sk-SK"/>
        </w:rPr>
        <w:t xml:space="preserve">formy takrolimu s príslušným denným dávkovacím režimom; zmeny </w:t>
      </w:r>
      <w:r w:rsidR="00600FC1">
        <w:rPr>
          <w:lang w:val="sk-SK"/>
        </w:rPr>
        <w:t xml:space="preserve">liekových </w:t>
      </w:r>
      <w:r w:rsidRPr="00C90CED">
        <w:rPr>
          <w:lang w:val="sk-SK"/>
        </w:rPr>
        <w:t xml:space="preserve">foriem a režimov sa majú robiť len pod </w:t>
      </w:r>
      <w:r w:rsidR="00600FC1">
        <w:rPr>
          <w:lang w:val="sk-SK"/>
        </w:rPr>
        <w:t xml:space="preserve">dôkladným </w:t>
      </w:r>
      <w:r w:rsidRPr="00C90CED">
        <w:rPr>
          <w:lang w:val="sk-SK"/>
        </w:rPr>
        <w:t>dohľadom špecialistu na transplantológiu (pozri časti 4.2 a 4.8).</w:t>
      </w:r>
    </w:p>
    <w:p w14:paraId="14D72066" w14:textId="77777777" w:rsidR="00D318E7" w:rsidRPr="00C90CED" w:rsidRDefault="00D318E7">
      <w:pPr>
        <w:pStyle w:val="Zkladntext"/>
        <w:rPr>
          <w:lang w:val="sk-SK"/>
        </w:rPr>
      </w:pPr>
    </w:p>
    <w:p w14:paraId="1C02A0CE" w14:textId="7260A1D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Doposiaľ nie sú dostupné klinické údaje pre </w:t>
      </w:r>
      <w:r w:rsidR="005C35FD">
        <w:rPr>
          <w:lang w:val="sk-SK"/>
        </w:rPr>
        <w:t xml:space="preserve">liekovú </w:t>
      </w:r>
      <w:r w:rsidRPr="00C90CED">
        <w:rPr>
          <w:lang w:val="sk-SK"/>
        </w:rPr>
        <w:t xml:space="preserve">formu </w:t>
      </w:r>
      <w:r w:rsidR="00E330A6">
        <w:rPr>
          <w:lang w:val="sk-SK"/>
        </w:rPr>
        <w:t xml:space="preserve">takrolimu </w:t>
      </w:r>
      <w:r w:rsidRPr="00C90CED">
        <w:rPr>
          <w:lang w:val="sk-SK"/>
        </w:rPr>
        <w:t xml:space="preserve">s predĺženým uvoľňovaním pri liečbe rejekcie </w:t>
      </w:r>
      <w:r w:rsidR="005C35FD">
        <w:rPr>
          <w:lang w:val="sk-SK"/>
        </w:rPr>
        <w:t>alo</w:t>
      </w:r>
      <w:r w:rsidRPr="00C90CED">
        <w:rPr>
          <w:lang w:val="sk-SK"/>
        </w:rPr>
        <w:t>štepu rezistentného voči liečbe inými imunosupresívami u dospelých pacientov.</w:t>
      </w:r>
    </w:p>
    <w:p w14:paraId="2BDFB7B5" w14:textId="77777777" w:rsidR="00D318E7" w:rsidRPr="00C90CED" w:rsidRDefault="00D318E7">
      <w:pPr>
        <w:pStyle w:val="Zkladntext"/>
        <w:rPr>
          <w:lang w:val="sk-SK"/>
        </w:rPr>
      </w:pPr>
    </w:p>
    <w:p w14:paraId="40976F6C" w14:textId="3079FC43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Doposiaľ nie sú do</w:t>
      </w:r>
      <w:r w:rsidR="007E2F38">
        <w:rPr>
          <w:lang w:val="sk-SK"/>
        </w:rPr>
        <w:t xml:space="preserve">stupné klinické údaje pre </w:t>
      </w:r>
      <w:r w:rsidR="005C35FD">
        <w:rPr>
          <w:lang w:val="sk-SK"/>
        </w:rPr>
        <w:t xml:space="preserve">liekovú </w:t>
      </w:r>
      <w:r w:rsidR="007E2F38">
        <w:rPr>
          <w:lang w:val="sk-SK"/>
        </w:rPr>
        <w:t xml:space="preserve">formu takrolimu </w:t>
      </w:r>
      <w:r w:rsidRPr="00C90CED">
        <w:rPr>
          <w:lang w:val="sk-SK"/>
        </w:rPr>
        <w:t xml:space="preserve">s predĺženým uvoľňovaním pri profylaxii rejekcie transplantátu u dospelých príjemcov </w:t>
      </w:r>
      <w:r w:rsidR="00C30183">
        <w:rPr>
          <w:lang w:val="sk-SK"/>
        </w:rPr>
        <w:t>alo</w:t>
      </w:r>
      <w:r w:rsidRPr="00C90CED">
        <w:rPr>
          <w:lang w:val="sk-SK"/>
        </w:rPr>
        <w:t>štepu srdca.</w:t>
      </w:r>
    </w:p>
    <w:p w14:paraId="0C9A65D1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1A40C5C4" w14:textId="0028A7A1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Počas počiatočného potransplantačného obdobia sa majú pravidelne sledovať nasledovné parametre: krvný tlak, EKG, neurologické a zrakové funkcie, hladina </w:t>
      </w:r>
      <w:r w:rsidR="00C30183">
        <w:rPr>
          <w:lang w:val="sk-SK"/>
        </w:rPr>
        <w:t xml:space="preserve">cukru v </w:t>
      </w:r>
      <w:r w:rsidRPr="00C90CED">
        <w:rPr>
          <w:lang w:val="sk-SK"/>
        </w:rPr>
        <w:t>krv</w:t>
      </w:r>
      <w:r w:rsidR="00C30183">
        <w:rPr>
          <w:lang w:val="sk-SK"/>
        </w:rPr>
        <w:t>i</w:t>
      </w:r>
      <w:r w:rsidRPr="00C90CED">
        <w:rPr>
          <w:lang w:val="sk-SK"/>
        </w:rPr>
        <w:t xml:space="preserve"> nalačno, elektrolyty (hlavne draslík), funkčné testy pečene a obličiek, hematologické a koagulačné parametre, </w:t>
      </w:r>
      <w:r w:rsidR="00C30183">
        <w:rPr>
          <w:lang w:val="sk-SK"/>
        </w:rPr>
        <w:t xml:space="preserve">a </w:t>
      </w:r>
      <w:r w:rsidRPr="00C90CED">
        <w:rPr>
          <w:lang w:val="sk-SK"/>
        </w:rPr>
        <w:t xml:space="preserve">proteíny v plazme. Pokiaľ sa zistia klinicky </w:t>
      </w:r>
      <w:r w:rsidR="00C30183">
        <w:rPr>
          <w:lang w:val="sk-SK"/>
        </w:rPr>
        <w:t>významné</w:t>
      </w:r>
      <w:r w:rsidRPr="00C90CED">
        <w:rPr>
          <w:lang w:val="sk-SK"/>
        </w:rPr>
        <w:t xml:space="preserve"> zmeny, majú sa zvážiť úpravy imunosupresívneho režimu.</w:t>
      </w:r>
    </w:p>
    <w:p w14:paraId="41EFA494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21899A55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Ak sa látky s potenciálom interakcie (pozri časť 4.5) – najmä silné inhibítory CYP3A4 (ako telaprevir, boceprevir, ritonavir, ketokonazol, vorikonazol, itrakonazol, telitromycín alebo klaritromycín) alebo induktory CYP3A4 (ako rifampicín, rifabutín) - kombinujú s takrolimom, majú sa sledovať hladiny takrolimu v krvi na úpravu dávky takrolimu tak, aby sa udržala rovnaká expozícia takrolimu.</w:t>
      </w:r>
    </w:p>
    <w:p w14:paraId="36F27D2E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0FB9206F" w14:textId="58A3125A" w:rsidR="00D318E7" w:rsidRPr="00C90CED" w:rsidRDefault="00505230" w:rsidP="00B52FD1">
      <w:pPr>
        <w:pStyle w:val="Zkladntext"/>
        <w:rPr>
          <w:lang w:val="sk-SK"/>
        </w:rPr>
      </w:pPr>
      <w:r>
        <w:rPr>
          <w:lang w:val="sk-SK"/>
        </w:rPr>
        <w:t xml:space="preserve">Pri užívaní </w:t>
      </w:r>
      <w:r w:rsidR="005508C6">
        <w:rPr>
          <w:lang w:val="sk-SK"/>
        </w:rPr>
        <w:t>Dailiport</w:t>
      </w:r>
      <w:r>
        <w:rPr>
          <w:lang w:val="sk-SK"/>
        </w:rPr>
        <w:t>u</w:t>
      </w:r>
      <w:r w:rsidR="00D318E7" w:rsidRPr="00C90CED">
        <w:rPr>
          <w:lang w:val="sk-SK"/>
        </w:rPr>
        <w:t xml:space="preserve"> je potrebné sa vyhnúť použitiu rastlinných prípravkov obsahujúcich ľubovník bodkovaný (</w:t>
      </w:r>
      <w:r w:rsidR="00D318E7" w:rsidRPr="00C90CED">
        <w:rPr>
          <w:i/>
          <w:lang w:val="sk-SK"/>
        </w:rPr>
        <w:t>Hypericum perforatum</w:t>
      </w:r>
      <w:r w:rsidR="00D318E7" w:rsidRPr="00C90CED">
        <w:rPr>
          <w:lang w:val="sk-SK"/>
        </w:rPr>
        <w:t xml:space="preserve">) alebo použitiu iných </w:t>
      </w:r>
      <w:r w:rsidR="00C30183">
        <w:rPr>
          <w:lang w:val="sk-SK"/>
        </w:rPr>
        <w:t xml:space="preserve">rastlinných </w:t>
      </w:r>
      <w:r w:rsidR="00D318E7" w:rsidRPr="00C90CED">
        <w:rPr>
          <w:lang w:val="sk-SK"/>
        </w:rPr>
        <w:t>prípravkov pre riziko interakcií vedúcich buď k poklesu koncentrácií takrolimu v krvi a k zníženiu klinického účinku takrolimu, alebo k zvýšeniu koncentrácií takrolimu v krvi a riziku toxicity takrolimu (pozri časť 4.5).</w:t>
      </w:r>
    </w:p>
    <w:p w14:paraId="4C1E0A2E" w14:textId="77777777" w:rsidR="00D318E7" w:rsidRPr="00C90CED" w:rsidRDefault="00D318E7" w:rsidP="00235C1B">
      <w:pPr>
        <w:pStyle w:val="Zkladntext"/>
        <w:rPr>
          <w:lang w:val="sk-SK"/>
        </w:rPr>
      </w:pPr>
    </w:p>
    <w:p w14:paraId="377967F8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lastRenderedPageBreak/>
        <w:t>Cyklosporín a takrolimus sa nemajú podávať súbežne a pri podávaní takrolimu pacientom, ktorí</w:t>
      </w:r>
    </w:p>
    <w:p w14:paraId="47966617" w14:textId="77777777" w:rsidR="00505230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predtým užívali cyklosporín, sa má postupovať opatrne (pozri časti 4.2 a 4.5).</w:t>
      </w:r>
      <w:r w:rsidR="007D71F1">
        <w:rPr>
          <w:lang w:val="sk-SK"/>
        </w:rPr>
        <w:t xml:space="preserve"> </w:t>
      </w:r>
    </w:p>
    <w:p w14:paraId="6FD767C1" w14:textId="77777777" w:rsidR="00505230" w:rsidRDefault="00505230" w:rsidP="00235C1B">
      <w:pPr>
        <w:pStyle w:val="Zkladntext"/>
        <w:rPr>
          <w:lang w:val="sk-SK"/>
        </w:rPr>
      </w:pPr>
    </w:p>
    <w:p w14:paraId="35B44A6E" w14:textId="1127EF3A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Je potrebné </w:t>
      </w:r>
      <w:r w:rsidR="00C30183">
        <w:rPr>
          <w:lang w:val="sk-SK"/>
        </w:rPr>
        <w:t>vyhnúť sa</w:t>
      </w:r>
      <w:r w:rsidRPr="00C90CED">
        <w:rPr>
          <w:lang w:val="sk-SK"/>
        </w:rPr>
        <w:t xml:space="preserve"> zvýšen</w:t>
      </w:r>
      <w:r w:rsidR="00C30183">
        <w:rPr>
          <w:lang w:val="sk-SK"/>
        </w:rPr>
        <w:t>ému</w:t>
      </w:r>
      <w:r w:rsidRPr="00C90CED">
        <w:rPr>
          <w:lang w:val="sk-SK"/>
        </w:rPr>
        <w:t xml:space="preserve"> príj</w:t>
      </w:r>
      <w:r w:rsidR="00C30183">
        <w:rPr>
          <w:lang w:val="sk-SK"/>
        </w:rPr>
        <w:t>mu</w:t>
      </w:r>
      <w:r w:rsidRPr="00C90CED">
        <w:rPr>
          <w:lang w:val="sk-SK"/>
        </w:rPr>
        <w:t xml:space="preserve"> draslíka alebo draslík šetriac</w:t>
      </w:r>
      <w:r w:rsidR="00C30183">
        <w:rPr>
          <w:lang w:val="sk-SK"/>
        </w:rPr>
        <w:t>im</w:t>
      </w:r>
      <w:r w:rsidRPr="00C90CED">
        <w:rPr>
          <w:lang w:val="sk-SK"/>
        </w:rPr>
        <w:t xml:space="preserve"> diuret</w:t>
      </w:r>
      <w:r w:rsidR="00C30183">
        <w:rPr>
          <w:lang w:val="sk-SK"/>
        </w:rPr>
        <w:t>ikám</w:t>
      </w:r>
      <w:r w:rsidRPr="00C90CED">
        <w:rPr>
          <w:lang w:val="sk-SK"/>
        </w:rPr>
        <w:t xml:space="preserve"> (pozri časť 4.5).</w:t>
      </w:r>
    </w:p>
    <w:p w14:paraId="6098266A" w14:textId="77777777" w:rsidR="00D318E7" w:rsidRPr="00C90CED" w:rsidRDefault="00D318E7" w:rsidP="00B52FD1">
      <w:pPr>
        <w:pStyle w:val="Zkladntext"/>
        <w:rPr>
          <w:lang w:val="sk-SK"/>
        </w:rPr>
      </w:pPr>
    </w:p>
    <w:p w14:paraId="4806A326" w14:textId="44114795" w:rsidR="007D71F1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Niektoré kombinácie takrolimu s liekmi, o ktorých je známe, že majú nefrotoxické a neurotoxické </w:t>
      </w:r>
      <w:r w:rsidR="00C30183">
        <w:rPr>
          <w:lang w:val="sk-SK"/>
        </w:rPr>
        <w:t>účinky</w:t>
      </w:r>
      <w:r w:rsidRPr="00C90CED">
        <w:rPr>
          <w:lang w:val="sk-SK"/>
        </w:rPr>
        <w:t>, môžu zvyšovať riziko týchto účinkov (pozri časť 4.5).</w:t>
      </w:r>
    </w:p>
    <w:p w14:paraId="41ADBF32" w14:textId="77777777" w:rsidR="00505230" w:rsidRDefault="00505230">
      <w:pPr>
        <w:pStyle w:val="Zkladntext"/>
        <w:rPr>
          <w:lang w:val="sk-SK"/>
        </w:rPr>
      </w:pPr>
    </w:p>
    <w:p w14:paraId="418CCB90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Imunosupresíva môžu ovplyvniť odpoveď na očkovanie a očkovanie počas liečby takrolimom môže byť menej účinné. Živé atenuované vakcíny sa nemajú používať.</w:t>
      </w:r>
    </w:p>
    <w:p w14:paraId="516A2A74" w14:textId="77777777" w:rsidR="00D318E7" w:rsidRPr="00C90CED" w:rsidRDefault="00D318E7">
      <w:pPr>
        <w:pStyle w:val="Zkladntext"/>
        <w:rPr>
          <w:lang w:val="sk-SK"/>
        </w:rPr>
      </w:pPr>
    </w:p>
    <w:p w14:paraId="70EB877E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Gastrointestinálne poruchy</w:t>
      </w:r>
    </w:p>
    <w:p w14:paraId="16B9E76F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U pacientov liečených takrolimom bola hlásená gastrointestinálna perforácia. Vzhľadom na to, že gastrointestinálna perforácia je medicínsky závažná udalosť, ktorá môže viesť k život ohrozujúcemu alebo závažnému zdravotnému stavu, má sa zvážiť primeraná liečba bezprostredne po výskyte podozrivých prejavov alebo príznakov.</w:t>
      </w:r>
    </w:p>
    <w:p w14:paraId="74F04E22" w14:textId="77777777" w:rsidR="00D318E7" w:rsidRPr="00C90CED" w:rsidRDefault="00D318E7" w:rsidP="00235C1B">
      <w:pPr>
        <w:pStyle w:val="Zkladntext"/>
        <w:rPr>
          <w:lang w:val="sk-SK"/>
        </w:rPr>
      </w:pPr>
    </w:p>
    <w:p w14:paraId="41F27320" w14:textId="65F3EBDA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Keďže sa hladiny takrolimu v krvi môžu výrazne zmeniť počas </w:t>
      </w:r>
      <w:r w:rsidR="00866B02">
        <w:rPr>
          <w:lang w:val="sk-SK"/>
        </w:rPr>
        <w:t xml:space="preserve">epizód </w:t>
      </w:r>
      <w:r w:rsidRPr="00C90CED">
        <w:rPr>
          <w:lang w:val="sk-SK"/>
        </w:rPr>
        <w:t xml:space="preserve">hnačky, odporúča sa dodatočné sledovanie koncentrácií takrolimu počas </w:t>
      </w:r>
      <w:r w:rsidR="00866B02">
        <w:rPr>
          <w:lang w:val="sk-SK"/>
        </w:rPr>
        <w:t>epizód</w:t>
      </w:r>
      <w:r w:rsidRPr="00C90CED">
        <w:rPr>
          <w:lang w:val="sk-SK"/>
        </w:rPr>
        <w:t xml:space="preserve"> hnačky.</w:t>
      </w:r>
    </w:p>
    <w:p w14:paraId="0D37675F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21856BB3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Poruchy srdca</w:t>
      </w:r>
    </w:p>
    <w:p w14:paraId="168170BF" w14:textId="3817BCBA" w:rsidR="00AA47D9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U pa</w:t>
      </w:r>
      <w:r w:rsidR="00505230">
        <w:rPr>
          <w:lang w:val="sk-SK"/>
        </w:rPr>
        <w:t xml:space="preserve">cientov liečených takrolimom s okamžitým uvoľňovaním </w:t>
      </w:r>
      <w:r w:rsidRPr="00C90CED">
        <w:rPr>
          <w:lang w:val="sk-SK"/>
        </w:rPr>
        <w:t>boli v zriedkavých prípadoch pozorované hypertrofia komory alebo hypertrofia septa, opísané ako kardiomyopatie, ktoré</w:t>
      </w:r>
      <w:r w:rsidR="00505230">
        <w:rPr>
          <w:lang w:val="sk-SK"/>
        </w:rPr>
        <w:t xml:space="preserve"> sa môžu vyskytnúť aj pri </w:t>
      </w:r>
      <w:r w:rsidR="005508C6">
        <w:rPr>
          <w:lang w:val="sk-SK"/>
        </w:rPr>
        <w:t>Dailiport</w:t>
      </w:r>
      <w:r w:rsidR="00505230">
        <w:rPr>
          <w:lang w:val="sk-SK"/>
        </w:rPr>
        <w:t>e</w:t>
      </w:r>
      <w:r w:rsidRPr="00C90CED">
        <w:rPr>
          <w:lang w:val="sk-SK"/>
        </w:rPr>
        <w:t xml:space="preserve">. Väčšina týchto prípadov býva reverzibilná, pričom sa vyskytovali pri </w:t>
      </w:r>
      <w:r w:rsidR="00301C96">
        <w:rPr>
          <w:lang w:val="sk-SK"/>
        </w:rPr>
        <w:t xml:space="preserve">minimálnej </w:t>
      </w:r>
      <w:r w:rsidRPr="00C90CED">
        <w:rPr>
          <w:lang w:val="sk-SK"/>
        </w:rPr>
        <w:t>koncentrácii takrolimu podstatne vyššej, ako sú odporúčané maximá</w:t>
      </w:r>
      <w:r w:rsidR="00505230">
        <w:rPr>
          <w:lang w:val="sk-SK"/>
        </w:rPr>
        <w:t xml:space="preserve">lne hladiny. K ďalším faktorom, </w:t>
      </w:r>
      <w:r w:rsidRPr="00C90CED">
        <w:rPr>
          <w:lang w:val="sk-SK"/>
        </w:rPr>
        <w:t xml:space="preserve">u ktorých sa pozorovalo zvýšené riziko týchto klinických stavov, patria už existujúce ochorenie srdca, používanie kortikosteroidov, hypertenzia, renálna a hepatálna dysfunkcia, infekcie, </w:t>
      </w:r>
      <w:r w:rsidR="00301C96">
        <w:rPr>
          <w:lang w:val="sk-SK"/>
        </w:rPr>
        <w:t>retencia tekutín</w:t>
      </w:r>
      <w:r w:rsidRPr="00C90CED">
        <w:rPr>
          <w:lang w:val="sk-SK"/>
        </w:rPr>
        <w:t xml:space="preserve"> a edém. Z tohto dôvodu majú byť vysoko rizikoví pacienti dostávajúci vysoké dávky imunosupresív monitorovaní s využitím postupov ako echokardiografia aleb</w:t>
      </w:r>
      <w:r w:rsidR="00505230">
        <w:rPr>
          <w:lang w:val="sk-SK"/>
        </w:rPr>
        <w:t xml:space="preserve">o EKG, a to pred aj </w:t>
      </w:r>
      <w:r w:rsidRPr="00C90CED">
        <w:rPr>
          <w:lang w:val="sk-SK"/>
        </w:rPr>
        <w:t>po transplantácii (napr. na začiatku po troch mesiacoch, neskôr po 9 – 12 mesiacoch). Pokiaľ by sa vyskytli abnormality, m</w:t>
      </w:r>
      <w:r w:rsidR="00AA47D9">
        <w:rPr>
          <w:lang w:val="sk-SK"/>
        </w:rPr>
        <w:t xml:space="preserve">á sa zvážiť zníženie dávky </w:t>
      </w:r>
      <w:r w:rsidR="005508C6">
        <w:rPr>
          <w:lang w:val="sk-SK"/>
        </w:rPr>
        <w:t>Dailiport</w:t>
      </w:r>
      <w:r w:rsidR="00AA47D9">
        <w:rPr>
          <w:lang w:val="sk-SK"/>
        </w:rPr>
        <w:t>u</w:t>
      </w:r>
      <w:r w:rsidRPr="00C90CED">
        <w:rPr>
          <w:lang w:val="sk-SK"/>
        </w:rPr>
        <w:t xml:space="preserve"> alebo zmena liečby na iné imunosupresívum. </w:t>
      </w:r>
    </w:p>
    <w:p w14:paraId="7ECF0422" w14:textId="77777777" w:rsidR="00AA47D9" w:rsidRDefault="00AA47D9" w:rsidP="00235C1B">
      <w:pPr>
        <w:pStyle w:val="Zkladntext"/>
        <w:rPr>
          <w:lang w:val="sk-SK"/>
        </w:rPr>
      </w:pPr>
    </w:p>
    <w:p w14:paraId="66DE87C2" w14:textId="30989470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Takrolimus môže predĺžiť QT interval a môže spôsobiť </w:t>
      </w:r>
      <w:r w:rsidRPr="00C90CED">
        <w:rPr>
          <w:i/>
          <w:lang w:val="sk-SK"/>
        </w:rPr>
        <w:t>Torsades de Pointes</w:t>
      </w:r>
      <w:r w:rsidRPr="00C90CED">
        <w:rPr>
          <w:color w:val="1F497D"/>
          <w:lang w:val="sk-SK"/>
        </w:rPr>
        <w:t>.</w:t>
      </w:r>
      <w:r w:rsidR="00505230">
        <w:rPr>
          <w:lang w:val="sk-SK"/>
        </w:rPr>
        <w:t xml:space="preserve"> </w:t>
      </w:r>
      <w:r w:rsidRPr="00C90CED">
        <w:rPr>
          <w:lang w:val="sk-SK"/>
        </w:rPr>
        <w:t>Opatrnosť je potrebná u pacientov s faktormi, ktoré zvyšujú riziko predĺženia QT intervalu, vrátane pacientov s osobnou alebo rodinnou anamnézou predĺženého QT intervalu, kongestívnym srdcovým zlyhaním, bradyarytmiou a abnormalitami elektrolytov. Opatrn</w:t>
      </w:r>
      <w:r w:rsidR="00505230">
        <w:rPr>
          <w:lang w:val="sk-SK"/>
        </w:rPr>
        <w:t xml:space="preserve">osť je tiež potrebná u pacientov </w:t>
      </w:r>
      <w:r w:rsidRPr="00C90CED">
        <w:rPr>
          <w:lang w:val="sk-SK"/>
        </w:rPr>
        <w:t xml:space="preserve">s diagnózou alebo s podozrením na </w:t>
      </w:r>
      <w:r w:rsidR="000B2513">
        <w:rPr>
          <w:lang w:val="sk-SK"/>
        </w:rPr>
        <w:t xml:space="preserve">syndróm </w:t>
      </w:r>
      <w:r w:rsidRPr="00C90CED">
        <w:rPr>
          <w:lang w:val="sk-SK"/>
        </w:rPr>
        <w:t>vrodené</w:t>
      </w:r>
      <w:r w:rsidR="000B2513">
        <w:rPr>
          <w:lang w:val="sk-SK"/>
        </w:rPr>
        <w:t>ho</w:t>
      </w:r>
      <w:r w:rsidRPr="00C90CED">
        <w:rPr>
          <w:lang w:val="sk-SK"/>
        </w:rPr>
        <w:t xml:space="preserve"> </w:t>
      </w:r>
      <w:r w:rsidR="00475255">
        <w:rPr>
          <w:lang w:val="sk-SK"/>
        </w:rPr>
        <w:t>dlhého</w:t>
      </w:r>
      <w:r w:rsidRPr="00C90CED">
        <w:rPr>
          <w:lang w:val="sk-SK"/>
        </w:rPr>
        <w:t xml:space="preserve"> QT intervalu alebo získan</w:t>
      </w:r>
      <w:r w:rsidR="000B2513">
        <w:rPr>
          <w:lang w:val="sk-SK"/>
        </w:rPr>
        <w:t>ým</w:t>
      </w:r>
      <w:r w:rsidRPr="00C90CED">
        <w:rPr>
          <w:lang w:val="sk-SK"/>
        </w:rPr>
        <w:t xml:space="preserve"> predĺžen</w:t>
      </w:r>
      <w:r w:rsidR="000B2513">
        <w:rPr>
          <w:lang w:val="sk-SK"/>
        </w:rPr>
        <w:t>ím</w:t>
      </w:r>
      <w:r w:rsidRPr="00C90CED">
        <w:rPr>
          <w:lang w:val="sk-SK"/>
        </w:rPr>
        <w:t xml:space="preserve"> QT intervalu alebo u pacientov ktorí súbežne užívajú lieky, o ktorých je známe, že predlžujú QT interval, vyvolávajú abnormality elektrolytov alebo je o nich známe, že zvyšujú expozíciu takrolimu (pozri časť 4.5).</w:t>
      </w:r>
    </w:p>
    <w:p w14:paraId="020AFD9D" w14:textId="77777777" w:rsidR="00D318E7" w:rsidRPr="00C90CED" w:rsidRDefault="00D318E7" w:rsidP="00235C1B">
      <w:pPr>
        <w:pStyle w:val="Zkladntext"/>
        <w:rPr>
          <w:lang w:val="sk-SK"/>
        </w:rPr>
      </w:pPr>
    </w:p>
    <w:p w14:paraId="7AB0253B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Lymfoproliferatívne ochorenia a malígne nádory</w:t>
      </w:r>
    </w:p>
    <w:p w14:paraId="5291474A" w14:textId="67FD8CD2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U pacientov liečených takrolimom bol hlásený výskyt </w:t>
      </w:r>
      <w:r w:rsidR="00475255" w:rsidRPr="00475255">
        <w:rPr>
          <w:lang w:val="sk-SK"/>
        </w:rPr>
        <w:t xml:space="preserve">lymfoproliferatívnych ochorení </w:t>
      </w:r>
      <w:r w:rsidR="00475255">
        <w:rPr>
          <w:lang w:val="sk-SK"/>
        </w:rPr>
        <w:t xml:space="preserve">súvisiacich s </w:t>
      </w:r>
      <w:r w:rsidRPr="00C90CED">
        <w:rPr>
          <w:lang w:val="sk-SK"/>
        </w:rPr>
        <w:t>vírusom Epsteina-Barrovej (EBV)</w:t>
      </w:r>
      <w:r w:rsidR="00475255">
        <w:rPr>
          <w:lang w:val="sk-SK"/>
        </w:rPr>
        <w:t xml:space="preserve"> </w:t>
      </w:r>
      <w:r w:rsidRPr="00C90CED">
        <w:rPr>
          <w:lang w:val="sk-SK"/>
        </w:rPr>
        <w:t xml:space="preserve">(pozri časť 4.8). Kombinácia imunosupresív, akými sú antilymfocytové protilátky (napr. baziliximab, daklizumab), podávaná súbežne zvyšuje riziko </w:t>
      </w:r>
      <w:r w:rsidR="00475255" w:rsidRPr="00475255">
        <w:rPr>
          <w:lang w:val="sk-SK"/>
        </w:rPr>
        <w:t xml:space="preserve">lymfoproliferatívnych ochorení </w:t>
      </w:r>
      <w:r w:rsidR="00475255">
        <w:rPr>
          <w:lang w:val="sk-SK"/>
        </w:rPr>
        <w:t xml:space="preserve">súvisiacich s </w:t>
      </w:r>
      <w:r w:rsidRPr="00C90CED">
        <w:rPr>
          <w:lang w:val="sk-SK"/>
        </w:rPr>
        <w:t xml:space="preserve">EBV. Uvádza sa, že u pacientov s negatívnym EBV- vírusovým kapsidovým antigénom (VCA) dochádza k zvýšeniu rizika vzniku lymfoproliferatívnych ochorení. Preto sa má u tejto skupiny pacientov zistiť EBV-VCA sérológia ešte pred začiatkom liečby </w:t>
      </w:r>
      <w:r w:rsidR="005508C6">
        <w:rPr>
          <w:lang w:val="sk-SK"/>
        </w:rPr>
        <w:t>Dailiport</w:t>
      </w:r>
      <w:r w:rsidR="00442D61">
        <w:rPr>
          <w:lang w:val="sk-SK"/>
        </w:rPr>
        <w:t>om</w:t>
      </w:r>
      <w:r w:rsidRPr="00C90CED">
        <w:rPr>
          <w:lang w:val="sk-SK"/>
        </w:rPr>
        <w:t>. Počas liečby sa odporúča dôkladné monitorovanie s EBV-PCR. Pozitívne EBV- PCR môže pretrvávať mesiace a ako také nie je indikátorom lymfoproliferatívneho ochorenia alebo lymfómu.</w:t>
      </w:r>
    </w:p>
    <w:p w14:paraId="2A68C038" w14:textId="77777777" w:rsidR="00D318E7" w:rsidRPr="00C90CED" w:rsidRDefault="00D318E7" w:rsidP="00B52FD1">
      <w:pPr>
        <w:pStyle w:val="Zkladntext"/>
        <w:rPr>
          <w:lang w:val="sk-SK"/>
        </w:rPr>
      </w:pPr>
    </w:p>
    <w:p w14:paraId="0FA2F21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Tak, ako pri iných vysoko účinných imunosupresívach, nie je známe riziko sekundárnych karcinómov</w:t>
      </w:r>
    </w:p>
    <w:p w14:paraId="792F5790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(pozri časť 4.8).</w:t>
      </w:r>
    </w:p>
    <w:p w14:paraId="283F3A62" w14:textId="77777777" w:rsidR="00D318E7" w:rsidRPr="00C90CED" w:rsidRDefault="00D318E7" w:rsidP="00B52FD1">
      <w:pPr>
        <w:pStyle w:val="Zkladntext"/>
        <w:rPr>
          <w:lang w:val="sk-SK"/>
        </w:rPr>
      </w:pPr>
    </w:p>
    <w:p w14:paraId="1CAF79E0" w14:textId="77777777" w:rsidR="007D71F1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Tak, ako pri iných imunosupresívach, pre potenciálne riziko vzniku malígnych zmien kože sa má obmedziť vystavovanie kože slnečnému a ultrafialovému žiareniu nosením ochranného oblečenia a </w:t>
      </w:r>
      <w:r w:rsidRPr="00C90CED">
        <w:rPr>
          <w:lang w:val="sk-SK"/>
        </w:rPr>
        <w:lastRenderedPageBreak/>
        <w:t>používaním krému s vysokým ochranným faktorom.</w:t>
      </w:r>
    </w:p>
    <w:p w14:paraId="12E349AA" w14:textId="77777777" w:rsidR="007D71F1" w:rsidRDefault="007D71F1" w:rsidP="00B52FD1">
      <w:pPr>
        <w:pStyle w:val="Zkladntext"/>
        <w:jc w:val="both"/>
        <w:rPr>
          <w:lang w:val="sk-SK"/>
        </w:rPr>
      </w:pPr>
    </w:p>
    <w:p w14:paraId="348DB695" w14:textId="77777777" w:rsidR="00D318E7" w:rsidRPr="00C90CED" w:rsidRDefault="00D318E7" w:rsidP="00B52FD1">
      <w:pPr>
        <w:pStyle w:val="Zkladntext"/>
        <w:jc w:val="both"/>
        <w:rPr>
          <w:lang w:val="sk-SK"/>
        </w:rPr>
      </w:pPr>
      <w:r w:rsidRPr="00C90CED">
        <w:rPr>
          <w:u w:val="single"/>
          <w:lang w:val="sk-SK"/>
        </w:rPr>
        <w:t>Infekcie vrátane oportúnnych infekcií</w:t>
      </w:r>
    </w:p>
    <w:p w14:paraId="3BA231F8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U pacientov liečených </w:t>
      </w:r>
      <w:r w:rsidR="006C1807">
        <w:rPr>
          <w:lang w:val="sk-SK"/>
        </w:rPr>
        <w:t xml:space="preserve">imunosupresívami, vrátane </w:t>
      </w:r>
      <w:r w:rsidR="005508C6">
        <w:rPr>
          <w:lang w:val="sk-SK"/>
        </w:rPr>
        <w:t>Dailiport</w:t>
      </w:r>
      <w:r w:rsidR="006C1807">
        <w:rPr>
          <w:lang w:val="sk-SK"/>
        </w:rPr>
        <w:t>u</w:t>
      </w:r>
      <w:r w:rsidRPr="00C90CED">
        <w:rPr>
          <w:lang w:val="sk-SK"/>
        </w:rPr>
        <w:t xml:space="preserve">, je zvýšené riziko infekcií vrátane oportúnnych infekcií (bakteriálnych, mykotických, vírusových a protozoálnych) napr. nefropatia súvisiaca s BK vírusom a progresívna multifokálna leukoencefalopatia (PML) súvisiaca s JC vírusom. Pacienti sú tiež vystavení zvýšenému riziku vzniku infekcií vírusovej hepatitídy (napr. reaktivácia hepatitídy B a C a infekcia </w:t>
      </w:r>
      <w:r w:rsidRPr="00235C1B">
        <w:rPr>
          <w:i/>
          <w:lang w:val="sk-SK"/>
        </w:rPr>
        <w:t>de novo</w:t>
      </w:r>
      <w:r w:rsidRPr="00C90CED">
        <w:rPr>
          <w:lang w:val="sk-SK"/>
        </w:rPr>
        <w:t>, ako aj hepatitída E, ktorá môže prejsť do chronickej formy). Tieto infekcie často súvisia s vysokou celkovou imunosupresívnou záťažou a môžu viesť k závažným až fatálnym stavom, ktoré majú lekári zvážiť pri diferenciálnej diagnostike u imunosuprimovaných pacientov so zhoršujúcou sa funkciou pečene a obličiek alebo neurologickými príznakmi. Prevencia a liečba má prebiehať v súlade s príslušnými klinickými usmerneniami.</w:t>
      </w:r>
    </w:p>
    <w:p w14:paraId="5863C7A4" w14:textId="77777777" w:rsidR="00D318E7" w:rsidRPr="00C90CED" w:rsidRDefault="00D318E7" w:rsidP="00B52FD1">
      <w:pPr>
        <w:pStyle w:val="Zkladntext"/>
        <w:rPr>
          <w:lang w:val="sk-SK"/>
        </w:rPr>
      </w:pPr>
    </w:p>
    <w:p w14:paraId="06EEC289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Syndróm reverzibilnej posteriórnej encefalopatie (posterior reversible encephalopathy syndrome, PRES)</w:t>
      </w:r>
    </w:p>
    <w:p w14:paraId="10A9C116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U pacientov, liečených takrolimom, bol hlásený vznik syndrómu reverzibilnej posteriórnej encefalopatie (PRES). Ak sa u pacientov, ktorí užívajú takrolimus, vyskytnú niektoré z príznakov PRES, ako je bolesť hlavy, zmenené mentálne funkcie, záchvaty alebo poruchy videnia, má sa vykonať rádiologické vyšetrenie (napr. MRI). V prípade, ak sa stanoví diagnóza PRES, odporúča sa adekvátna kontrola krvného tlaku a záchvatov a okamžité ukončenie liečby systémovým takrolimom. Väčšina pacientov sa úplne uzdraví po prijatí náležitých opatrení.</w:t>
      </w:r>
    </w:p>
    <w:p w14:paraId="5B612F20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3A59B910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Poruchy oka</w:t>
      </w:r>
    </w:p>
    <w:p w14:paraId="1F1D7DDF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U pacientov liečených takrolimom boli hlásené poruchy oka, niekedy progredujúce až do straty zraku. V niektorých prípadoch bolo hlásené odstránenie poruchy prechodom na alternatívnu imunosupresívnu liečbu. Pacienti majú byť poučení, aby hlásili zmeny v zrakovej ostrosti, zmeny</w:t>
      </w:r>
    </w:p>
    <w:p w14:paraId="49728C6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vo farebnom videní, rozmazané videnie alebo poruchy zorného poľa, a v takých prípadoch sa</w:t>
      </w:r>
    </w:p>
    <w:p w14:paraId="4A824F8C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odporúča rýchle vyhodnotenie stavu s prípadným odporúčaním návštevy oftalmológa.</w:t>
      </w:r>
    </w:p>
    <w:p w14:paraId="043283CE" w14:textId="77777777" w:rsidR="00D318E7" w:rsidRPr="00C90CED" w:rsidRDefault="00D318E7" w:rsidP="00B52FD1">
      <w:pPr>
        <w:pStyle w:val="Zkladntext"/>
        <w:rPr>
          <w:lang w:val="sk-SK"/>
        </w:rPr>
      </w:pPr>
    </w:p>
    <w:p w14:paraId="20F7366D" w14:textId="05103EC4" w:rsidR="00D318E7" w:rsidRPr="00C90CED" w:rsidRDefault="00D318E7" w:rsidP="00235C1B">
      <w:pPr>
        <w:pStyle w:val="Zkladntext"/>
        <w:rPr>
          <w:lang w:val="sk-SK"/>
        </w:rPr>
      </w:pPr>
      <w:r w:rsidRPr="00235C1B">
        <w:rPr>
          <w:caps/>
          <w:u w:val="single"/>
          <w:lang w:val="sk-SK"/>
        </w:rPr>
        <w:t>č</w:t>
      </w:r>
      <w:r w:rsidRPr="00C90CED">
        <w:rPr>
          <w:u w:val="single"/>
          <w:lang w:val="sk-SK"/>
        </w:rPr>
        <w:t>istá aplázia červených krviniek</w:t>
      </w:r>
    </w:p>
    <w:p w14:paraId="46EFBD1A" w14:textId="5B449CF3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U pacientov liečených takrolimom boli hlásené prípady čistej aplázie červených krviniek (PRCA). Všetci pacienti uvádzali rizikové faktory PRCA, ako sú infekcia spôsobená parvovírusom B19, chronické ochorenie alebo súbežná liečba spojená s PRCA.</w:t>
      </w:r>
    </w:p>
    <w:p w14:paraId="76366F8D" w14:textId="77777777" w:rsidR="00D318E7" w:rsidRPr="00C90CED" w:rsidRDefault="00D318E7" w:rsidP="00235C1B">
      <w:pPr>
        <w:pStyle w:val="Zkladntext"/>
        <w:rPr>
          <w:lang w:val="sk-SK"/>
        </w:rPr>
      </w:pPr>
    </w:p>
    <w:p w14:paraId="21625DA6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Osobitné skupiny pacientov</w:t>
      </w:r>
    </w:p>
    <w:p w14:paraId="55AF72A9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Sú len obmedzené skúsenosti u pacientov nebelošskej populácie a u pacientov so zvýšeným imunologickým rizikom (napr. retransplantácia, dôkaz panelovo reaktívnych protilátok, PRA).</w:t>
      </w:r>
    </w:p>
    <w:p w14:paraId="46CE9091" w14:textId="77777777" w:rsidR="00D318E7" w:rsidRPr="00C90CED" w:rsidRDefault="00D318E7" w:rsidP="00235C1B">
      <w:pPr>
        <w:pStyle w:val="Zkladntext"/>
        <w:rPr>
          <w:lang w:val="sk-SK"/>
        </w:rPr>
      </w:pPr>
    </w:p>
    <w:p w14:paraId="7D8CD5FA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U pacientov so závažnou poruchou funkcie pečene môže byť potrebné zníženie dávky (pozri časť 4.2).</w:t>
      </w:r>
    </w:p>
    <w:p w14:paraId="1EF9C6B7" w14:textId="77777777" w:rsidR="00D318E7" w:rsidRPr="00C90CED" w:rsidRDefault="00D318E7" w:rsidP="00B52FD1">
      <w:pPr>
        <w:pStyle w:val="Zkladntext"/>
        <w:rPr>
          <w:lang w:val="sk-SK"/>
        </w:rPr>
      </w:pPr>
    </w:p>
    <w:p w14:paraId="6F492DB9" w14:textId="77777777" w:rsidR="008E7DD2" w:rsidRPr="008E7DD2" w:rsidRDefault="008E7DD2" w:rsidP="00235C1B">
      <w:pPr>
        <w:pStyle w:val="Zkladntext"/>
        <w:rPr>
          <w:u w:val="single"/>
          <w:lang w:val="sk-SK"/>
        </w:rPr>
      </w:pPr>
      <w:r w:rsidRPr="008E7DD2">
        <w:rPr>
          <w:u w:val="single"/>
          <w:lang w:val="sk-SK"/>
        </w:rPr>
        <w:t>Pediatrická populácia</w:t>
      </w:r>
    </w:p>
    <w:p w14:paraId="656C0AD7" w14:textId="3225C507" w:rsidR="006C1807" w:rsidRPr="004A713A" w:rsidRDefault="006C1807" w:rsidP="00235C1B">
      <w:pPr>
        <w:pStyle w:val="Zkladntext"/>
        <w:rPr>
          <w:lang w:val="sk-SK"/>
        </w:rPr>
      </w:pPr>
      <w:r w:rsidRPr="004A713A">
        <w:rPr>
          <w:lang w:val="sk-SK"/>
        </w:rPr>
        <w:t>Dailiport sa neodporúča p</w:t>
      </w:r>
      <w:r w:rsidR="008E7DD2">
        <w:rPr>
          <w:lang w:val="sk-SK"/>
        </w:rPr>
        <w:t xml:space="preserve">oužívať u detí </w:t>
      </w:r>
      <w:r w:rsidRPr="004A713A">
        <w:rPr>
          <w:lang w:val="sk-SK"/>
        </w:rPr>
        <w:t>mladších ako 18 rokov</w:t>
      </w:r>
      <w:r w:rsidR="008E7DD2">
        <w:rPr>
          <w:lang w:val="sk-SK"/>
        </w:rPr>
        <w:t xml:space="preserve"> z dôvodu obmedzených údajov o bezpečnosti a</w:t>
      </w:r>
      <w:r w:rsidR="00E20D34">
        <w:rPr>
          <w:lang w:val="sk-SK"/>
        </w:rPr>
        <w:t>/alebo</w:t>
      </w:r>
      <w:r w:rsidR="008E7DD2">
        <w:rPr>
          <w:lang w:val="sk-SK"/>
        </w:rPr>
        <w:t xml:space="preserve"> účinnosti</w:t>
      </w:r>
      <w:r w:rsidRPr="004A713A">
        <w:rPr>
          <w:lang w:val="sk-SK"/>
        </w:rPr>
        <w:t>.</w:t>
      </w:r>
      <w:r w:rsidR="008E7DD2">
        <w:rPr>
          <w:lang w:val="sk-SK"/>
        </w:rPr>
        <w:t xml:space="preserve"> </w:t>
      </w:r>
    </w:p>
    <w:p w14:paraId="7CE8C506" w14:textId="77777777" w:rsidR="006C1807" w:rsidRDefault="006C1807" w:rsidP="00235C1B">
      <w:pPr>
        <w:pStyle w:val="Zkladntext"/>
        <w:rPr>
          <w:u w:val="single"/>
          <w:lang w:val="sk-SK"/>
        </w:rPr>
      </w:pPr>
    </w:p>
    <w:p w14:paraId="08DB7F1A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Pomocné látky</w:t>
      </w:r>
    </w:p>
    <w:p w14:paraId="67A7CF1A" w14:textId="77777777" w:rsidR="002C679C" w:rsidRPr="002C67E3" w:rsidRDefault="002C679C" w:rsidP="00B52FD1">
      <w:pPr>
        <w:rPr>
          <w:lang w:val="sk-SK"/>
        </w:rPr>
      </w:pPr>
      <w:r w:rsidRPr="002C67E3">
        <w:rPr>
          <w:rFonts w:eastAsia="MS Mincho"/>
          <w:lang w:val="sk-SK"/>
        </w:rPr>
        <w:t>Dailiport</w:t>
      </w:r>
      <w:r w:rsidRPr="002C67E3">
        <w:rPr>
          <w:lang w:val="sk-SK" w:eastAsia="de-DE"/>
        </w:rPr>
        <w:t xml:space="preserve"> </w:t>
      </w:r>
      <w:r w:rsidRPr="002C67E3">
        <w:rPr>
          <w:lang w:val="sk-SK"/>
        </w:rPr>
        <w:t>obsahuje laktózu</w:t>
      </w:r>
      <w:r w:rsidR="002C67E3" w:rsidRPr="002C67E3">
        <w:rPr>
          <w:lang w:val="sk-SK"/>
        </w:rPr>
        <w:t>. Pacienti so zriedkavými dedičnými problémami galaktózovej intolerancie, celkovým deficitom laktázy alebo glukózo-galaktózovou malabsorpciou nesmú užívať tento liek.</w:t>
      </w:r>
    </w:p>
    <w:p w14:paraId="2BC0FD4D" w14:textId="77777777" w:rsidR="002C679C" w:rsidRDefault="002C679C" w:rsidP="00B52FD1">
      <w:pPr>
        <w:rPr>
          <w:lang w:val="en-GB"/>
        </w:rPr>
      </w:pPr>
    </w:p>
    <w:p w14:paraId="25C2392F" w14:textId="7245F582" w:rsidR="00A86098" w:rsidRPr="00A86098" w:rsidRDefault="00A86098">
      <w:pPr>
        <w:pStyle w:val="Default"/>
        <w:rPr>
          <w:rFonts w:eastAsia="MS Mincho"/>
          <w:i/>
          <w:color w:val="auto"/>
          <w:sz w:val="22"/>
          <w:szCs w:val="22"/>
          <w:lang w:val="sk-SK"/>
        </w:rPr>
      </w:pPr>
      <w:r w:rsidRPr="00A86098">
        <w:rPr>
          <w:rFonts w:eastAsia="MS Mincho"/>
          <w:i/>
          <w:color w:val="auto"/>
          <w:sz w:val="22"/>
          <w:szCs w:val="22"/>
          <w:lang w:val="sk-SK"/>
        </w:rPr>
        <w:t>Dailiport 0,5 mg</w:t>
      </w:r>
    </w:p>
    <w:p w14:paraId="27187B1F" w14:textId="4329F343" w:rsidR="002C679C" w:rsidRPr="00A86098" w:rsidRDefault="00A86098">
      <w:pPr>
        <w:pStyle w:val="Default"/>
        <w:rPr>
          <w:rFonts w:eastAsia="MS Mincho"/>
          <w:sz w:val="22"/>
          <w:szCs w:val="22"/>
          <w:lang w:val="sk-SK"/>
        </w:rPr>
      </w:pPr>
      <w:r w:rsidRPr="00A86098">
        <w:rPr>
          <w:rFonts w:eastAsia="MS Mincho"/>
          <w:sz w:val="22"/>
          <w:szCs w:val="22"/>
          <w:lang w:val="sk-SK"/>
        </w:rPr>
        <w:t>Dailiport obsahuje</w:t>
      </w:r>
      <w:r w:rsidR="002C679C" w:rsidRPr="00A86098">
        <w:rPr>
          <w:rFonts w:eastAsia="MS Mincho"/>
          <w:sz w:val="22"/>
          <w:szCs w:val="22"/>
          <w:lang w:val="sk-SK"/>
        </w:rPr>
        <w:t xml:space="preserve"> </w:t>
      </w:r>
      <w:r w:rsidR="00C30144">
        <w:rPr>
          <w:color w:val="auto"/>
          <w:sz w:val="22"/>
          <w:szCs w:val="22"/>
          <w:lang w:val="sk-SK"/>
        </w:rPr>
        <w:t>žl</w:t>
      </w:r>
      <w:r w:rsidR="00E20D34">
        <w:rPr>
          <w:color w:val="auto"/>
          <w:sz w:val="22"/>
          <w:szCs w:val="22"/>
          <w:lang w:val="sk-SK"/>
        </w:rPr>
        <w:t>tú</w:t>
      </w:r>
      <w:r w:rsidRPr="00A86098">
        <w:rPr>
          <w:color w:val="auto"/>
          <w:sz w:val="22"/>
          <w:szCs w:val="22"/>
          <w:lang w:val="sk-SK"/>
        </w:rPr>
        <w:t xml:space="preserve"> </w:t>
      </w:r>
      <w:r w:rsidR="002C679C" w:rsidRPr="00A86098">
        <w:rPr>
          <w:color w:val="auto"/>
          <w:sz w:val="22"/>
          <w:szCs w:val="22"/>
          <w:lang w:val="sk-SK"/>
        </w:rPr>
        <w:t xml:space="preserve">FCF (E110), </w:t>
      </w:r>
      <w:r w:rsidRPr="00A86098">
        <w:rPr>
          <w:color w:val="auto"/>
          <w:sz w:val="22"/>
          <w:szCs w:val="22"/>
          <w:lang w:val="sk-SK"/>
        </w:rPr>
        <w:t>al</w:t>
      </w:r>
      <w:r w:rsidR="00E20D34">
        <w:rPr>
          <w:color w:val="auto"/>
          <w:sz w:val="22"/>
          <w:szCs w:val="22"/>
          <w:lang w:val="sk-SK"/>
        </w:rPr>
        <w:t>luru</w:t>
      </w:r>
      <w:r w:rsidRPr="00A86098">
        <w:rPr>
          <w:color w:val="auto"/>
          <w:sz w:val="22"/>
          <w:szCs w:val="22"/>
          <w:lang w:val="sk-SK"/>
        </w:rPr>
        <w:t xml:space="preserve"> červenú</w:t>
      </w:r>
      <w:r w:rsidR="002C679C" w:rsidRPr="00A86098">
        <w:rPr>
          <w:color w:val="auto"/>
          <w:sz w:val="22"/>
          <w:szCs w:val="22"/>
          <w:lang w:val="sk-SK"/>
        </w:rPr>
        <w:t xml:space="preserve"> AC (E129)</w:t>
      </w:r>
      <w:r w:rsidRPr="00A86098">
        <w:rPr>
          <w:color w:val="auto"/>
          <w:sz w:val="22"/>
          <w:szCs w:val="22"/>
          <w:lang w:val="sk-SK"/>
        </w:rPr>
        <w:t xml:space="preserve"> a</w:t>
      </w:r>
      <w:r w:rsidR="002C679C" w:rsidRPr="00A86098">
        <w:rPr>
          <w:color w:val="auto"/>
          <w:sz w:val="22"/>
          <w:szCs w:val="22"/>
          <w:lang w:val="sk-SK"/>
        </w:rPr>
        <w:t xml:space="preserve"> t</w:t>
      </w:r>
      <w:r w:rsidRPr="00A86098">
        <w:rPr>
          <w:color w:val="auto"/>
          <w:sz w:val="22"/>
          <w:szCs w:val="22"/>
          <w:lang w:val="sk-SK"/>
        </w:rPr>
        <w:t>artrazín</w:t>
      </w:r>
      <w:r w:rsidR="002C679C" w:rsidRPr="00A86098">
        <w:rPr>
          <w:color w:val="auto"/>
          <w:sz w:val="22"/>
          <w:szCs w:val="22"/>
          <w:lang w:val="sk-SK"/>
        </w:rPr>
        <w:t xml:space="preserve"> (E102)</w:t>
      </w:r>
      <w:r w:rsidRPr="00A86098">
        <w:rPr>
          <w:color w:val="auto"/>
          <w:sz w:val="22"/>
          <w:szCs w:val="22"/>
          <w:lang w:val="sk-SK"/>
        </w:rPr>
        <w:t xml:space="preserve">, ktoré môžu </w:t>
      </w:r>
      <w:r w:rsidR="00E20D34">
        <w:rPr>
          <w:color w:val="auto"/>
          <w:sz w:val="22"/>
          <w:szCs w:val="22"/>
          <w:lang w:val="sk-SK"/>
        </w:rPr>
        <w:t>vyvolať</w:t>
      </w:r>
      <w:r w:rsidRPr="00A86098">
        <w:rPr>
          <w:color w:val="auto"/>
          <w:sz w:val="22"/>
          <w:szCs w:val="22"/>
          <w:lang w:val="sk-SK"/>
        </w:rPr>
        <w:t xml:space="preserve"> alergick</w:t>
      </w:r>
      <w:r w:rsidR="00E20D34">
        <w:rPr>
          <w:color w:val="auto"/>
          <w:sz w:val="22"/>
          <w:szCs w:val="22"/>
          <w:lang w:val="sk-SK"/>
        </w:rPr>
        <w:t>é</w:t>
      </w:r>
      <w:r w:rsidRPr="00A86098">
        <w:rPr>
          <w:color w:val="auto"/>
          <w:sz w:val="22"/>
          <w:szCs w:val="22"/>
          <w:lang w:val="sk-SK"/>
        </w:rPr>
        <w:t xml:space="preserve"> reakci</w:t>
      </w:r>
      <w:r w:rsidR="00E20D34">
        <w:rPr>
          <w:color w:val="auto"/>
          <w:sz w:val="22"/>
          <w:szCs w:val="22"/>
          <w:lang w:val="sk-SK"/>
        </w:rPr>
        <w:t>e</w:t>
      </w:r>
      <w:r w:rsidRPr="00A86098">
        <w:rPr>
          <w:color w:val="auto"/>
          <w:sz w:val="22"/>
          <w:szCs w:val="22"/>
          <w:lang w:val="sk-SK"/>
        </w:rPr>
        <w:t>.</w:t>
      </w:r>
    </w:p>
    <w:p w14:paraId="71380CD4" w14:textId="77777777" w:rsidR="002C679C" w:rsidRPr="00D042AC" w:rsidRDefault="002C679C">
      <w:pPr>
        <w:rPr>
          <w:u w:val="single"/>
          <w:lang w:eastAsia="de-DE"/>
        </w:rPr>
      </w:pPr>
    </w:p>
    <w:p w14:paraId="0E51268B" w14:textId="2C1BEFE0" w:rsidR="00A86098" w:rsidRPr="00A86098" w:rsidRDefault="00A86098">
      <w:pPr>
        <w:pStyle w:val="Default"/>
        <w:shd w:val="clear" w:color="auto" w:fill="F2F2F2"/>
        <w:rPr>
          <w:i/>
          <w:sz w:val="22"/>
          <w:szCs w:val="22"/>
        </w:rPr>
      </w:pPr>
      <w:r w:rsidRPr="00A86098">
        <w:rPr>
          <w:i/>
          <w:sz w:val="22"/>
          <w:szCs w:val="22"/>
        </w:rPr>
        <w:t>Dailiport</w:t>
      </w:r>
      <w:r>
        <w:rPr>
          <w:i/>
          <w:sz w:val="22"/>
          <w:szCs w:val="22"/>
        </w:rPr>
        <w:t xml:space="preserve"> 1</w:t>
      </w:r>
      <w:r w:rsidRPr="00A86098">
        <w:rPr>
          <w:i/>
          <w:sz w:val="22"/>
          <w:szCs w:val="22"/>
        </w:rPr>
        <w:t xml:space="preserve"> mg </w:t>
      </w:r>
    </w:p>
    <w:p w14:paraId="5A4049FB" w14:textId="3C763FF3" w:rsidR="00A86098" w:rsidRPr="00A86098" w:rsidRDefault="00C30144">
      <w:pPr>
        <w:pStyle w:val="Default"/>
        <w:shd w:val="clear" w:color="auto" w:fill="F2F2F2"/>
        <w:rPr>
          <w:sz w:val="22"/>
          <w:szCs w:val="22"/>
        </w:rPr>
      </w:pPr>
      <w:r>
        <w:rPr>
          <w:sz w:val="22"/>
          <w:szCs w:val="22"/>
        </w:rPr>
        <w:t>Dailiport obsahuje žl</w:t>
      </w:r>
      <w:r w:rsidR="00A3233E">
        <w:rPr>
          <w:sz w:val="22"/>
          <w:szCs w:val="22"/>
        </w:rPr>
        <w:t>tú</w:t>
      </w:r>
      <w:r w:rsidR="00A86098" w:rsidRPr="00A86098">
        <w:rPr>
          <w:sz w:val="22"/>
          <w:szCs w:val="22"/>
        </w:rPr>
        <w:t xml:space="preserve"> FCF (E110), al</w:t>
      </w:r>
      <w:r w:rsidR="00A3233E">
        <w:rPr>
          <w:sz w:val="22"/>
          <w:szCs w:val="22"/>
        </w:rPr>
        <w:t>luru</w:t>
      </w:r>
      <w:r w:rsidR="00A86098" w:rsidRPr="00A86098">
        <w:rPr>
          <w:sz w:val="22"/>
          <w:szCs w:val="22"/>
        </w:rPr>
        <w:t xml:space="preserve"> červenú AC (E129), ktoré môžu </w:t>
      </w:r>
      <w:r w:rsidR="00A3233E">
        <w:rPr>
          <w:sz w:val="22"/>
          <w:szCs w:val="22"/>
        </w:rPr>
        <w:t>vyvolať</w:t>
      </w:r>
      <w:r w:rsidR="00A86098" w:rsidRPr="00A86098">
        <w:rPr>
          <w:sz w:val="22"/>
          <w:szCs w:val="22"/>
        </w:rPr>
        <w:t xml:space="preserve"> alergick</w:t>
      </w:r>
      <w:r w:rsidR="00A3233E">
        <w:rPr>
          <w:sz w:val="22"/>
          <w:szCs w:val="22"/>
        </w:rPr>
        <w:t>é</w:t>
      </w:r>
      <w:r w:rsidR="00A86098" w:rsidRPr="00A86098">
        <w:rPr>
          <w:sz w:val="22"/>
          <w:szCs w:val="22"/>
        </w:rPr>
        <w:t xml:space="preserve"> reakci</w:t>
      </w:r>
      <w:r w:rsidR="00A3233E">
        <w:rPr>
          <w:sz w:val="22"/>
          <w:szCs w:val="22"/>
        </w:rPr>
        <w:t>e</w:t>
      </w:r>
      <w:r w:rsidR="00A86098" w:rsidRPr="00A86098">
        <w:rPr>
          <w:sz w:val="22"/>
          <w:szCs w:val="22"/>
        </w:rPr>
        <w:t>.</w:t>
      </w:r>
    </w:p>
    <w:p w14:paraId="6F6317D2" w14:textId="77777777" w:rsidR="002C679C" w:rsidRDefault="002C679C">
      <w:pPr>
        <w:pStyle w:val="Default"/>
        <w:rPr>
          <w:rFonts w:eastAsia="MS Mincho"/>
          <w:sz w:val="22"/>
          <w:szCs w:val="22"/>
        </w:rPr>
      </w:pPr>
    </w:p>
    <w:p w14:paraId="4795B3DF" w14:textId="10E28D29" w:rsidR="00A86098" w:rsidRPr="00A86098" w:rsidRDefault="00A86098">
      <w:pPr>
        <w:shd w:val="clear" w:color="auto" w:fill="BFBFBF"/>
        <w:rPr>
          <w:i/>
          <w:color w:val="000000"/>
          <w:lang w:val="en-GB"/>
        </w:rPr>
      </w:pPr>
      <w:r w:rsidRPr="00A86098">
        <w:rPr>
          <w:i/>
          <w:color w:val="000000"/>
          <w:lang w:val="en-GB"/>
        </w:rPr>
        <w:t xml:space="preserve">Dailiport 3 mg </w:t>
      </w:r>
    </w:p>
    <w:p w14:paraId="55225118" w14:textId="66783137" w:rsidR="00A86098" w:rsidRPr="00A86098" w:rsidRDefault="00C30144">
      <w:pPr>
        <w:shd w:val="clear" w:color="auto" w:fill="BFBFBF"/>
        <w:rPr>
          <w:color w:val="000000"/>
          <w:lang w:val="en-GB"/>
        </w:rPr>
      </w:pPr>
      <w:r>
        <w:rPr>
          <w:color w:val="000000"/>
          <w:lang w:val="en-GB"/>
        </w:rPr>
        <w:t>Dailiport obsahuje žl</w:t>
      </w:r>
      <w:r w:rsidR="00A3233E">
        <w:rPr>
          <w:color w:val="000000"/>
          <w:lang w:val="en-GB"/>
        </w:rPr>
        <w:t>tú</w:t>
      </w:r>
      <w:r w:rsidR="00A86098" w:rsidRPr="00A86098">
        <w:rPr>
          <w:color w:val="000000"/>
          <w:lang w:val="en-GB"/>
        </w:rPr>
        <w:t xml:space="preserve"> FCF (E110), al</w:t>
      </w:r>
      <w:r w:rsidR="00A3233E">
        <w:rPr>
          <w:color w:val="000000"/>
          <w:lang w:val="en-GB"/>
        </w:rPr>
        <w:t>luru</w:t>
      </w:r>
      <w:r w:rsidR="00A86098" w:rsidRPr="00A86098">
        <w:rPr>
          <w:color w:val="000000"/>
          <w:lang w:val="en-GB"/>
        </w:rPr>
        <w:t xml:space="preserve"> červenú AC (E129), ktoré môžu </w:t>
      </w:r>
      <w:r w:rsidR="00A3233E">
        <w:rPr>
          <w:color w:val="000000"/>
          <w:lang w:val="en-GB"/>
        </w:rPr>
        <w:t>vyvolať</w:t>
      </w:r>
      <w:r w:rsidR="00A86098" w:rsidRPr="00A86098">
        <w:rPr>
          <w:color w:val="000000"/>
          <w:lang w:val="en-GB"/>
        </w:rPr>
        <w:t xml:space="preserve"> alergick</w:t>
      </w:r>
      <w:r w:rsidR="00A3233E">
        <w:rPr>
          <w:color w:val="000000"/>
          <w:lang w:val="en-GB"/>
        </w:rPr>
        <w:t>é</w:t>
      </w:r>
      <w:r w:rsidR="00A86098" w:rsidRPr="00A86098">
        <w:rPr>
          <w:color w:val="000000"/>
          <w:lang w:val="en-GB"/>
        </w:rPr>
        <w:t xml:space="preserve"> reakci</w:t>
      </w:r>
      <w:r w:rsidR="00A3233E">
        <w:rPr>
          <w:color w:val="000000"/>
          <w:lang w:val="en-GB"/>
        </w:rPr>
        <w:t>e</w:t>
      </w:r>
      <w:r w:rsidR="00A86098" w:rsidRPr="00A86098">
        <w:rPr>
          <w:color w:val="000000"/>
          <w:lang w:val="en-GB"/>
        </w:rPr>
        <w:t>.</w:t>
      </w:r>
    </w:p>
    <w:p w14:paraId="208DF2D1" w14:textId="77777777" w:rsidR="002C679C" w:rsidRDefault="002C679C">
      <w:pPr>
        <w:rPr>
          <w:lang w:val="en-GB"/>
        </w:rPr>
      </w:pPr>
    </w:p>
    <w:p w14:paraId="00A90163" w14:textId="2C04E9FE" w:rsidR="00A86098" w:rsidRPr="00A86098" w:rsidRDefault="00A86098">
      <w:pPr>
        <w:shd w:val="clear" w:color="auto" w:fill="A6A6A6"/>
        <w:rPr>
          <w:i/>
          <w:color w:val="000000"/>
          <w:lang w:val="en-GB"/>
        </w:rPr>
      </w:pPr>
      <w:r w:rsidRPr="00A86098">
        <w:rPr>
          <w:i/>
          <w:color w:val="000000"/>
          <w:lang w:val="en-GB"/>
        </w:rPr>
        <w:t>Dailiport</w:t>
      </w:r>
      <w:r>
        <w:rPr>
          <w:i/>
          <w:color w:val="000000"/>
          <w:lang w:val="en-GB"/>
        </w:rPr>
        <w:t xml:space="preserve"> </w:t>
      </w:r>
      <w:r w:rsidRPr="00A86098">
        <w:rPr>
          <w:i/>
          <w:color w:val="000000"/>
          <w:lang w:val="en-GB"/>
        </w:rPr>
        <w:t xml:space="preserve">5 mg </w:t>
      </w:r>
    </w:p>
    <w:p w14:paraId="6EA6F50D" w14:textId="57E9CB69" w:rsidR="00A86098" w:rsidRPr="00235C1B" w:rsidRDefault="00A86098">
      <w:pPr>
        <w:shd w:val="clear" w:color="auto" w:fill="A6A6A6"/>
        <w:rPr>
          <w:color w:val="000000"/>
          <w:lang w:val="en-GB"/>
        </w:rPr>
      </w:pPr>
      <w:r w:rsidRPr="00235C1B">
        <w:rPr>
          <w:color w:val="000000"/>
          <w:lang w:val="en-GB"/>
        </w:rPr>
        <w:t xml:space="preserve">Dailiport obsahuje </w:t>
      </w:r>
      <w:r w:rsidR="00C30144" w:rsidRPr="00235C1B">
        <w:rPr>
          <w:color w:val="000000"/>
          <w:lang w:val="en-GB"/>
        </w:rPr>
        <w:t>žl</w:t>
      </w:r>
      <w:r w:rsidR="00A3233E" w:rsidRPr="00235C1B">
        <w:rPr>
          <w:color w:val="000000"/>
          <w:lang w:val="en-GB"/>
        </w:rPr>
        <w:t>tú</w:t>
      </w:r>
      <w:r w:rsidRPr="00235C1B">
        <w:rPr>
          <w:color w:val="000000"/>
          <w:lang w:val="en-GB"/>
        </w:rPr>
        <w:t xml:space="preserve"> FCF (E110), al</w:t>
      </w:r>
      <w:r w:rsidR="00A3233E" w:rsidRPr="00235C1B">
        <w:rPr>
          <w:color w:val="000000"/>
          <w:lang w:val="en-GB"/>
        </w:rPr>
        <w:t>luru</w:t>
      </w:r>
      <w:r w:rsidRPr="00235C1B">
        <w:rPr>
          <w:color w:val="000000"/>
          <w:lang w:val="en-GB"/>
        </w:rPr>
        <w:t xml:space="preserve"> červenú AC (E129), ktoré môžu </w:t>
      </w:r>
      <w:r w:rsidR="00A3233E" w:rsidRPr="00235C1B">
        <w:rPr>
          <w:color w:val="000000"/>
          <w:lang w:val="en-GB"/>
        </w:rPr>
        <w:t>vyvolať</w:t>
      </w:r>
      <w:r w:rsidRPr="00235C1B">
        <w:rPr>
          <w:color w:val="000000"/>
          <w:lang w:val="en-GB"/>
        </w:rPr>
        <w:t xml:space="preserve"> alergick</w:t>
      </w:r>
      <w:r w:rsidR="00A3233E" w:rsidRPr="00235C1B">
        <w:rPr>
          <w:color w:val="000000"/>
          <w:lang w:val="en-GB"/>
        </w:rPr>
        <w:t>é</w:t>
      </w:r>
      <w:r w:rsidRPr="00235C1B">
        <w:rPr>
          <w:color w:val="000000"/>
          <w:lang w:val="en-GB"/>
        </w:rPr>
        <w:t xml:space="preserve"> reakci</w:t>
      </w:r>
      <w:r w:rsidR="00A3233E" w:rsidRPr="00235C1B">
        <w:rPr>
          <w:color w:val="000000"/>
          <w:lang w:val="en-GB"/>
        </w:rPr>
        <w:t>e</w:t>
      </w:r>
      <w:r w:rsidRPr="00235C1B">
        <w:rPr>
          <w:color w:val="000000"/>
          <w:lang w:val="en-GB"/>
        </w:rPr>
        <w:t>.</w:t>
      </w:r>
    </w:p>
    <w:p w14:paraId="1613D582" w14:textId="77777777" w:rsidR="002C679C" w:rsidRDefault="002C679C">
      <w:pPr>
        <w:rPr>
          <w:lang w:val="en-GB"/>
        </w:rPr>
      </w:pPr>
    </w:p>
    <w:p w14:paraId="11F29CE5" w14:textId="77777777" w:rsidR="005916BE" w:rsidRPr="005916BE" w:rsidRDefault="005916BE" w:rsidP="00235C1B">
      <w:pPr>
        <w:pStyle w:val="Zkladntext"/>
        <w:rPr>
          <w:lang w:val="sk-SK"/>
        </w:rPr>
      </w:pPr>
      <w:r>
        <w:rPr>
          <w:lang w:val="sk-SK"/>
        </w:rPr>
        <w:t xml:space="preserve">Potlačová </w:t>
      </w:r>
      <w:r w:rsidRPr="005916BE">
        <w:rPr>
          <w:lang w:val="sk-SK"/>
        </w:rPr>
        <w:t>farba použitá na označenie kapsú</w:t>
      </w:r>
      <w:r>
        <w:rPr>
          <w:lang w:val="sk-SK"/>
        </w:rPr>
        <w:t xml:space="preserve">l Dailiportu </w:t>
      </w:r>
      <w:r w:rsidRPr="005916BE">
        <w:rPr>
          <w:lang w:val="sk-SK"/>
        </w:rPr>
        <w:t>obsahuje sójový lecitín. U pacientov, ktorí sú precitl</w:t>
      </w:r>
      <w:r>
        <w:rPr>
          <w:lang w:val="sk-SK"/>
        </w:rPr>
        <w:t xml:space="preserve">ivení na arašidy alebo sóju, sa </w:t>
      </w:r>
      <w:r w:rsidRPr="005916BE">
        <w:rPr>
          <w:lang w:val="sk-SK"/>
        </w:rPr>
        <w:t xml:space="preserve">riziko </w:t>
      </w:r>
      <w:r>
        <w:rPr>
          <w:lang w:val="sk-SK"/>
        </w:rPr>
        <w:t>a závažnosť precitlivenosti majú</w:t>
      </w:r>
      <w:r w:rsidRPr="005916BE">
        <w:rPr>
          <w:lang w:val="sk-SK"/>
        </w:rPr>
        <w:t xml:space="preserve"> zvážiť oproti pros</w:t>
      </w:r>
      <w:r>
        <w:rPr>
          <w:lang w:val="sk-SK"/>
        </w:rPr>
        <w:t>pechu z používania Dailiportu</w:t>
      </w:r>
      <w:r w:rsidRPr="005916BE">
        <w:rPr>
          <w:lang w:val="sk-SK"/>
        </w:rPr>
        <w:t>.</w:t>
      </w:r>
    </w:p>
    <w:p w14:paraId="2379A74E" w14:textId="77777777" w:rsidR="005916BE" w:rsidRPr="00C90CED" w:rsidRDefault="005916BE" w:rsidP="00235C1B">
      <w:pPr>
        <w:pStyle w:val="Zkladntext"/>
        <w:rPr>
          <w:lang w:val="sk-SK"/>
        </w:rPr>
      </w:pPr>
    </w:p>
    <w:p w14:paraId="0D1411F6" w14:textId="77777777" w:rsidR="00D318E7" w:rsidRPr="00C90CED" w:rsidRDefault="00D318E7" w:rsidP="00B52FD1">
      <w:pPr>
        <w:pStyle w:val="Nadpis1"/>
        <w:numPr>
          <w:ilvl w:val="1"/>
          <w:numId w:val="2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C90CED">
        <w:rPr>
          <w:lang w:val="sk-SK"/>
        </w:rPr>
        <w:t>Liekové a iné</w:t>
      </w:r>
      <w:r w:rsidRPr="00C90CED">
        <w:rPr>
          <w:spacing w:val="-5"/>
          <w:lang w:val="sk-SK"/>
        </w:rPr>
        <w:t xml:space="preserve"> </w:t>
      </w:r>
      <w:r w:rsidRPr="00C90CED">
        <w:rPr>
          <w:lang w:val="sk-SK"/>
        </w:rPr>
        <w:t>interakcie</w:t>
      </w:r>
    </w:p>
    <w:p w14:paraId="5601CDCD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1E411D99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Systémovo dostupný takrolimus sa metabolizuje pečeňovým CYP3A4. Existuje aj dôkaz</w:t>
      </w:r>
    </w:p>
    <w:p w14:paraId="43192E2E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o gastrointestinálnom metabolizme pomocou CYP3A4 v črevnej stene. Súbežné užívanie látok,</w:t>
      </w:r>
    </w:p>
    <w:p w14:paraId="380D6C02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o ktorých je známe, že inhibujú alebo indukujú CYP3A4, môže ovplyvniť metabolizmus takrolimu,</w:t>
      </w:r>
    </w:p>
    <w:p w14:paraId="75F565A2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a tak znížiť alebo zvýšiť jeho hladinu v krvi.</w:t>
      </w:r>
    </w:p>
    <w:p w14:paraId="6249010B" w14:textId="77777777" w:rsidR="00887F2E" w:rsidRDefault="00887F2E" w:rsidP="00235C1B">
      <w:pPr>
        <w:pStyle w:val="Zkladntext"/>
        <w:rPr>
          <w:lang w:val="sk-SK"/>
        </w:rPr>
      </w:pPr>
    </w:p>
    <w:p w14:paraId="25B9F351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Pri súbežnom používaní akýchkoľvek látok, ktoré by mohli meniť metabolizmus CYP3A4 alebo inak</w:t>
      </w:r>
    </w:p>
    <w:p w14:paraId="69B8289D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ovplyvňovať hladiny takrolimu v krvi, sa dôrazne odporúča dôkladne sledovať hladiny takrolimu</w:t>
      </w:r>
    </w:p>
    <w:p w14:paraId="58FB0618" w14:textId="4A3BCC8B" w:rsidR="007D71F1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v krvi, rovnako ako aj predĺženie QT intervalu (na EKG), funkciu obličiek a ďalšie nežiaduce účinky, a prerušiť podávanie alebo </w:t>
      </w:r>
      <w:r w:rsidR="007F411C">
        <w:rPr>
          <w:lang w:val="sk-SK"/>
        </w:rPr>
        <w:t>upraviť</w:t>
      </w:r>
      <w:r w:rsidRPr="00C90CED">
        <w:rPr>
          <w:lang w:val="sk-SK"/>
        </w:rPr>
        <w:t xml:space="preserve"> dávku takrolimu </w:t>
      </w:r>
      <w:r w:rsidR="007F411C">
        <w:rPr>
          <w:lang w:val="sk-SK"/>
        </w:rPr>
        <w:t xml:space="preserve">podľa potreby </w:t>
      </w:r>
      <w:r w:rsidRPr="00C90CED">
        <w:rPr>
          <w:lang w:val="sk-SK"/>
        </w:rPr>
        <w:t>na udržanie podobnej expozície takrolimu (pozri časti 4.2 a 4.4).</w:t>
      </w:r>
    </w:p>
    <w:p w14:paraId="3125B89C" w14:textId="77777777" w:rsidR="007D71F1" w:rsidRDefault="007D71F1">
      <w:pPr>
        <w:pStyle w:val="Zkladntext"/>
        <w:rPr>
          <w:lang w:val="sk-SK"/>
        </w:rPr>
      </w:pPr>
    </w:p>
    <w:p w14:paraId="0F28161C" w14:textId="77777777" w:rsidR="00D318E7" w:rsidRPr="00C90CED" w:rsidRDefault="00D318E7">
      <w:pPr>
        <w:pStyle w:val="Zkladntext"/>
        <w:rPr>
          <w:i/>
          <w:lang w:val="sk-SK"/>
        </w:rPr>
      </w:pPr>
      <w:r w:rsidRPr="00C90CED">
        <w:rPr>
          <w:i/>
          <w:lang w:val="sk-SK"/>
        </w:rPr>
        <w:t>CYP3A4 inhibítory, ktoré potenciálne zvyšujú hladiny takrolimu v krvi</w:t>
      </w:r>
    </w:p>
    <w:p w14:paraId="0FE4F70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U nasledujúcich liečiv bolo klinicky dokázané, že zvyšujú hladinu takrolimu v krvi:</w:t>
      </w:r>
    </w:p>
    <w:p w14:paraId="74B3F9E3" w14:textId="1B5F7865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Silné interakcie boli pozorované s antimykotikami ako ketokonazol, flukonazol, itrakonazol, vorikonazol a isavukonazol, s makrolidovým antibiotikom erytromycínom, s inhibítormi HIV proteázy (napr. ritonavir, nelfinavir, sakvinavir), alebo s inhibítormi HCV proteázy (napr. telaprevir, boceprevir a kombinácia ombitasviru a paritapreviru s ritonavirom, keď sa používa s dasabuvirom alebo bez neho), s</w:t>
      </w:r>
      <w:r w:rsidR="00B52FD1">
        <w:rPr>
          <w:lang w:val="sk-SK"/>
        </w:rPr>
        <w:t>o zosilňovačom</w:t>
      </w:r>
      <w:r w:rsidRPr="00C90CED">
        <w:rPr>
          <w:lang w:val="sk-SK"/>
        </w:rPr>
        <w:t xml:space="preserve"> </w:t>
      </w:r>
      <w:r w:rsidRPr="00BC55D2">
        <w:rPr>
          <w:lang w:val="sk-SK"/>
        </w:rPr>
        <w:t>farmakokinetický</w:t>
      </w:r>
      <w:r w:rsidR="00B52FD1" w:rsidRPr="00235C1B">
        <w:rPr>
          <w:lang w:val="sk-SK"/>
        </w:rPr>
        <w:t>ch vlastností</w:t>
      </w:r>
      <w:r w:rsidRPr="00C90CED">
        <w:rPr>
          <w:lang w:val="sk-SK"/>
        </w:rPr>
        <w:t xml:space="preserve"> kobicistátom a inhibítormi tyrozínkinázy nilotinibom a imatinibom. Súbežné užívanie týchto liečiv si môže vyžadovať zníženie dávok takrolimu u takmer všetkých pacientov. Farmakokinetické štúdie naznačujú, že zvýšenie hladiny v krvi je predovšetkým následok zvýšenia perorálnej bio</w:t>
      </w:r>
      <w:r w:rsidR="00F50E36">
        <w:rPr>
          <w:lang w:val="sk-SK"/>
        </w:rPr>
        <w:t xml:space="preserve">logickej </w:t>
      </w:r>
      <w:r w:rsidRPr="00C90CED">
        <w:rPr>
          <w:lang w:val="sk-SK"/>
        </w:rPr>
        <w:t>dostupnosti takrolimu inhibíciou gastrointestinálneho metabolizmu.</w:t>
      </w:r>
      <w:r w:rsidR="00F50E36">
        <w:rPr>
          <w:lang w:val="sk-SK"/>
        </w:rPr>
        <w:t xml:space="preserve"> </w:t>
      </w:r>
      <w:r w:rsidRPr="00C90CED">
        <w:rPr>
          <w:lang w:val="sk-SK"/>
        </w:rPr>
        <w:t>Vplyv na hepatálny klírens je menej výrazný.</w:t>
      </w:r>
    </w:p>
    <w:p w14:paraId="3786825C" w14:textId="77777777" w:rsidR="00887F2E" w:rsidRDefault="00887F2E" w:rsidP="00B52FD1">
      <w:pPr>
        <w:pStyle w:val="Zkladntext"/>
        <w:rPr>
          <w:lang w:val="sk-SK"/>
        </w:rPr>
      </w:pPr>
    </w:p>
    <w:p w14:paraId="3E43D7DE" w14:textId="1B300EE0" w:rsidR="00D318E7" w:rsidRPr="00C90CED" w:rsidRDefault="00D318E7">
      <w:pPr>
        <w:pStyle w:val="Zkladntext"/>
        <w:rPr>
          <w:i/>
          <w:lang w:val="sk-SK"/>
        </w:rPr>
      </w:pPr>
      <w:r w:rsidRPr="00C90CED">
        <w:rPr>
          <w:lang w:val="sk-SK"/>
        </w:rPr>
        <w:t>Slabšie interakcie boli pozorované pri klotrimazole, klaritromycíne, josamycíne, nifedipíne, nikardipíne, diltiazeme, verapamile, amiodaróne, danazole, etinylestradiole, omeprazole, nefazod</w:t>
      </w:r>
      <w:r w:rsidR="00F50E36">
        <w:rPr>
          <w:lang w:val="sk-SK"/>
        </w:rPr>
        <w:t>ó</w:t>
      </w:r>
      <w:r w:rsidRPr="00C90CED">
        <w:rPr>
          <w:lang w:val="sk-SK"/>
        </w:rPr>
        <w:t xml:space="preserve">ne a (čínskych) rastlinných </w:t>
      </w:r>
      <w:r w:rsidR="00F50E36">
        <w:rPr>
          <w:lang w:val="sk-SK"/>
        </w:rPr>
        <w:t>prípravkov</w:t>
      </w:r>
      <w:r w:rsidRPr="00C90CED">
        <w:rPr>
          <w:lang w:val="sk-SK"/>
        </w:rPr>
        <w:t xml:space="preserve"> obsahujúcich extrakty z rastliny </w:t>
      </w:r>
      <w:r w:rsidRPr="00C90CED">
        <w:rPr>
          <w:i/>
          <w:lang w:val="sk-SK"/>
        </w:rPr>
        <w:t>Schisandra sphenanthera.</w:t>
      </w:r>
    </w:p>
    <w:p w14:paraId="4BBD2E53" w14:textId="77777777" w:rsidR="00D318E7" w:rsidRPr="00C90CED" w:rsidRDefault="00D318E7">
      <w:pPr>
        <w:pStyle w:val="Zkladntext"/>
        <w:rPr>
          <w:i/>
          <w:lang w:val="sk-SK"/>
        </w:rPr>
      </w:pPr>
    </w:p>
    <w:p w14:paraId="33A6F55A" w14:textId="63A6A39B" w:rsidR="00D318E7" w:rsidRPr="00C90CED" w:rsidRDefault="00F50E36" w:rsidP="00235C1B">
      <w:pPr>
        <w:pStyle w:val="Zkladntext"/>
        <w:rPr>
          <w:lang w:val="sk-SK"/>
        </w:rPr>
      </w:pPr>
      <w:r>
        <w:rPr>
          <w:lang w:val="sk-SK"/>
        </w:rPr>
        <w:t>B</w:t>
      </w:r>
      <w:r w:rsidR="00D318E7" w:rsidRPr="00C90CED">
        <w:rPr>
          <w:lang w:val="sk-SK"/>
        </w:rPr>
        <w:t xml:space="preserve">olo dokázané, že potenciálne inhibítory metabolizmu takrolimu </w:t>
      </w:r>
      <w:r w:rsidRPr="00235C1B">
        <w:rPr>
          <w:i/>
          <w:lang w:val="sk-SK"/>
        </w:rPr>
        <w:t>in vitro</w:t>
      </w:r>
      <w:r>
        <w:rPr>
          <w:lang w:val="sk-SK"/>
        </w:rPr>
        <w:t xml:space="preserve"> </w:t>
      </w:r>
      <w:r w:rsidR="00D318E7" w:rsidRPr="00C90CED">
        <w:rPr>
          <w:lang w:val="sk-SK"/>
        </w:rPr>
        <w:t>s</w:t>
      </w:r>
      <w:r>
        <w:rPr>
          <w:lang w:val="sk-SK"/>
        </w:rPr>
        <w:t>ú nasledujúce látky</w:t>
      </w:r>
      <w:r w:rsidR="00D318E7" w:rsidRPr="00C90CED">
        <w:rPr>
          <w:lang w:val="sk-SK"/>
        </w:rPr>
        <w:t>: bromkriptín, kortizón, dapsón, ergotamín, gestodén, lidokaín, mefenytoín, mikonazol, midazolam, nilvadipín, noreti</w:t>
      </w:r>
      <w:r>
        <w:rPr>
          <w:lang w:val="sk-SK"/>
        </w:rPr>
        <w:t>sterón</w:t>
      </w:r>
      <w:r w:rsidR="00D318E7" w:rsidRPr="00C90CED">
        <w:rPr>
          <w:lang w:val="sk-SK"/>
        </w:rPr>
        <w:t>, chinidín, tamoxif</w:t>
      </w:r>
      <w:r w:rsidR="008A4CC8">
        <w:rPr>
          <w:lang w:val="sk-SK"/>
        </w:rPr>
        <w:t>é</w:t>
      </w:r>
      <w:r w:rsidR="00D318E7" w:rsidRPr="00C90CED">
        <w:rPr>
          <w:lang w:val="sk-SK"/>
        </w:rPr>
        <w:t>n, triacetyloleandomycín.</w:t>
      </w:r>
    </w:p>
    <w:p w14:paraId="35244CF6" w14:textId="77777777" w:rsidR="008A4CC8" w:rsidRDefault="008A4CC8" w:rsidP="00235C1B">
      <w:pPr>
        <w:pStyle w:val="Zkladntext"/>
        <w:rPr>
          <w:lang w:val="sk-SK"/>
        </w:rPr>
      </w:pPr>
    </w:p>
    <w:p w14:paraId="271F5750" w14:textId="7EB49F52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Bolo hlásené, že grapefruitová šťava zvyšuje hladinu takrolimu v krvi, a preto sa jej treba vyhnúť. Lan</w:t>
      </w:r>
      <w:r w:rsidR="008A4CC8">
        <w:rPr>
          <w:lang w:val="sk-SK"/>
        </w:rPr>
        <w:t>z</w:t>
      </w:r>
      <w:r w:rsidRPr="00C90CED">
        <w:rPr>
          <w:lang w:val="sk-SK"/>
        </w:rPr>
        <w:t>oprazol a cyklosporín môžu potenciálne inhibovať CYP3A4-sprostredkova</w:t>
      </w:r>
      <w:r w:rsidR="008A4CC8">
        <w:rPr>
          <w:lang w:val="sk-SK"/>
        </w:rPr>
        <w:t>ný</w:t>
      </w:r>
      <w:r w:rsidRPr="00C90CED">
        <w:rPr>
          <w:lang w:val="sk-SK"/>
        </w:rPr>
        <w:t xml:space="preserve"> metabolizmu</w:t>
      </w:r>
      <w:r w:rsidR="008A4CC8">
        <w:rPr>
          <w:lang w:val="sk-SK"/>
        </w:rPr>
        <w:t>s</w:t>
      </w:r>
      <w:r w:rsidRPr="00C90CED">
        <w:rPr>
          <w:lang w:val="sk-SK"/>
        </w:rPr>
        <w:t xml:space="preserve"> takrolimu, dôsledkom čoho sa zvýši koncentrácia takrolimu v</w:t>
      </w:r>
      <w:r w:rsidR="008A4CC8">
        <w:rPr>
          <w:lang w:val="sk-SK"/>
        </w:rPr>
        <w:t xml:space="preserve"> celej </w:t>
      </w:r>
      <w:r w:rsidRPr="00C90CED">
        <w:rPr>
          <w:lang w:val="sk-SK"/>
        </w:rPr>
        <w:t>krvi.</w:t>
      </w:r>
    </w:p>
    <w:p w14:paraId="786554D4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62742EC4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Iné interakcie, ktoré potenciálne zvyšujú hladiny takrolimu v krvi</w:t>
      </w:r>
    </w:p>
    <w:p w14:paraId="1E3308D2" w14:textId="2A3E401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Takrolimus sa vo veľkej miere viaže na plazmatické bielkoviny. Majú sa zvážiť možné interakcie s inými liečivami, o ktorých je známe, že vykazujú vysokú väzbu na plazmatické bielkoviny (napr. nestero</w:t>
      </w:r>
      <w:r w:rsidR="000134E4">
        <w:rPr>
          <w:lang w:val="sk-SK"/>
        </w:rPr>
        <w:t>id</w:t>
      </w:r>
      <w:r w:rsidR="008A4CC8">
        <w:rPr>
          <w:lang w:val="sk-SK"/>
        </w:rPr>
        <w:t>ov</w:t>
      </w:r>
      <w:r w:rsidR="000134E4">
        <w:rPr>
          <w:lang w:val="sk-SK"/>
        </w:rPr>
        <w:t>é protizápalové lieky (NSAID</w:t>
      </w:r>
      <w:r w:rsidRPr="00C90CED">
        <w:rPr>
          <w:lang w:val="sk-SK"/>
        </w:rPr>
        <w:t>), perorálne podávané antikoagulanciá alebo perorálne podávané</w:t>
      </w:r>
      <w:r w:rsidRPr="00C90CED">
        <w:rPr>
          <w:spacing w:val="-10"/>
          <w:lang w:val="sk-SK"/>
        </w:rPr>
        <w:t xml:space="preserve"> </w:t>
      </w:r>
      <w:r w:rsidRPr="00C90CED">
        <w:rPr>
          <w:lang w:val="sk-SK"/>
        </w:rPr>
        <w:t>antidiabetiká).</w:t>
      </w:r>
    </w:p>
    <w:p w14:paraId="26E61E2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Iné potenciálne interakcie, ktoré môžu zvyšovať systémovú expozíciu takrolimu zahŕňajú prokinetiká,</w:t>
      </w:r>
    </w:p>
    <w:p w14:paraId="6520A5E6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(ako napríklad metoklopramid a cisaprid), cimetidín a hydroxid horečnato-hlinitý.</w:t>
      </w:r>
    </w:p>
    <w:p w14:paraId="30894491" w14:textId="77777777" w:rsidR="00D318E7" w:rsidRPr="00C90CED" w:rsidRDefault="00D318E7" w:rsidP="00B52FD1">
      <w:pPr>
        <w:pStyle w:val="Zkladntext"/>
        <w:rPr>
          <w:lang w:val="sk-SK"/>
        </w:rPr>
      </w:pPr>
    </w:p>
    <w:p w14:paraId="1D184A9E" w14:textId="77777777" w:rsidR="00D318E7" w:rsidRPr="00015B67" w:rsidRDefault="00D318E7" w:rsidP="00235C1B">
      <w:pPr>
        <w:rPr>
          <w:i/>
          <w:lang w:val="sk-SK"/>
        </w:rPr>
      </w:pPr>
      <w:r w:rsidRPr="00015B67">
        <w:rPr>
          <w:i/>
          <w:lang w:val="sk-SK"/>
        </w:rPr>
        <w:t>CYP3A4 induktory, ktoré potenciálne znižujú hladiny takrolimu v krvi</w:t>
      </w:r>
    </w:p>
    <w:p w14:paraId="47F33E01" w14:textId="77777777" w:rsidR="00D318E7" w:rsidRPr="00C90CED" w:rsidRDefault="00D318E7" w:rsidP="00235C1B">
      <w:pPr>
        <w:pStyle w:val="Zkladntext"/>
        <w:rPr>
          <w:lang w:val="sk-SK"/>
        </w:rPr>
      </w:pPr>
      <w:r w:rsidRPr="00015B67">
        <w:rPr>
          <w:lang w:val="sk-SK"/>
        </w:rPr>
        <w:t>U nasledujúcich</w:t>
      </w:r>
      <w:r w:rsidRPr="00C90CED">
        <w:rPr>
          <w:lang w:val="sk-SK"/>
        </w:rPr>
        <w:t xml:space="preserve"> liečiv bolo klinicky dokázané, že znižujú hladiny takrolimu v krvi:</w:t>
      </w:r>
    </w:p>
    <w:p w14:paraId="599E8574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Silné interakcie boli pozorované s rifampicínom, fenytoínom, ľubovníkom bodkovaným (</w:t>
      </w:r>
      <w:r w:rsidRPr="00C90CED">
        <w:rPr>
          <w:i/>
          <w:lang w:val="sk-SK"/>
        </w:rPr>
        <w:t>Hypericum perforatum</w:t>
      </w:r>
      <w:r w:rsidRPr="00C90CED">
        <w:rPr>
          <w:lang w:val="sk-SK"/>
        </w:rPr>
        <w:t xml:space="preserve">), čo si môže vyžadovať zvýšenie dávok takrolimu skoro u všetkých pacientov. Boli </w:t>
      </w:r>
      <w:r w:rsidRPr="00C90CED">
        <w:rPr>
          <w:lang w:val="sk-SK"/>
        </w:rPr>
        <w:lastRenderedPageBreak/>
        <w:t>pozorované klinicky významné interakcie s fenobarbitalom. Preukázalo sa, že udržiavacie dávky kortikosteroidov znižujú hladiny takrolimu v krvi.</w:t>
      </w:r>
    </w:p>
    <w:p w14:paraId="31728BDB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126C2CCC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Vysoké dávky prednizolónu alebo metylprednizolónu podávané pri liečbe akútnej rejekcie majú potenciál zvýšiť alebo znížiť hladiny takrolimu v krvi.</w:t>
      </w:r>
    </w:p>
    <w:p w14:paraId="5AFF5896" w14:textId="77777777" w:rsidR="00C32457" w:rsidRDefault="00C32457" w:rsidP="00235C1B">
      <w:pPr>
        <w:pStyle w:val="Zkladntext"/>
        <w:rPr>
          <w:lang w:val="sk-SK"/>
        </w:rPr>
      </w:pPr>
    </w:p>
    <w:p w14:paraId="10F66177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Karbamazepín, metamizol a izoniazid majú potenciál znížiť koncentrácie takrolimu.</w:t>
      </w:r>
    </w:p>
    <w:p w14:paraId="5705C614" w14:textId="77777777" w:rsidR="00D318E7" w:rsidRPr="00C90CED" w:rsidRDefault="00D318E7" w:rsidP="00235C1B">
      <w:pPr>
        <w:pStyle w:val="Zkladntext"/>
        <w:rPr>
          <w:lang w:val="sk-SK"/>
        </w:rPr>
      </w:pPr>
    </w:p>
    <w:p w14:paraId="138CE1C8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Účinok takrolimu na metabolizmus iných liekov</w:t>
      </w:r>
    </w:p>
    <w:p w14:paraId="1EBE7A71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Takrolimus je známy CYP3A4 inhibítor, a preto súbežné užívanie takrolimu s liekmi, o ktorých je známe, že sú metabolizované cez CYP3A4, môže ovplyvniť metabolizmus týchto liekov.</w:t>
      </w:r>
    </w:p>
    <w:p w14:paraId="0C6C1127" w14:textId="77777777" w:rsidR="00C32457" w:rsidRDefault="00C32457">
      <w:pPr>
        <w:pStyle w:val="Zkladntext"/>
        <w:rPr>
          <w:lang w:val="sk-SK"/>
        </w:rPr>
      </w:pPr>
    </w:p>
    <w:p w14:paraId="28DABF50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Polčas cyklosporínu sa predlžuje, ak je súbežne podávaný takrolimus. Navyše sa môžu objaviť synergicko/aditívne nefrotoxické účinky. Z týchto dôvodov sa neodporúča kombinované podávanie cyklosporínu a takrolimu a má sa postupovať obozretne pri podávaní takrolimu pacientom, ktorým bol predtým podávaný cyklosporín (pozri časti 4.2 a 4.4).</w:t>
      </w:r>
    </w:p>
    <w:p w14:paraId="6AEA381A" w14:textId="77777777" w:rsidR="00C32457" w:rsidRDefault="00C32457" w:rsidP="00235C1B">
      <w:pPr>
        <w:pStyle w:val="Zkladntext"/>
        <w:rPr>
          <w:lang w:val="sk-SK"/>
        </w:rPr>
      </w:pPr>
    </w:p>
    <w:p w14:paraId="367727B2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Dokázalo sa, že takrolimus zvyšuje hladinu fenytoínu v krvi.</w:t>
      </w:r>
    </w:p>
    <w:p w14:paraId="143AA106" w14:textId="77777777" w:rsidR="00C32457" w:rsidRDefault="00C32457" w:rsidP="00B52FD1">
      <w:pPr>
        <w:pStyle w:val="Zkladntext"/>
        <w:rPr>
          <w:lang w:val="sk-SK"/>
        </w:rPr>
      </w:pPr>
    </w:p>
    <w:p w14:paraId="28400FFD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Vzhľadom na to, že takrolimus môže znížiť klírens kontraceptív na báze steroidov, čím dochádza k zvýšenej expozícii hormónom, zvláštna pozornosť sa má venovať rozhodovaniu o metódach antikoncepcie.</w:t>
      </w:r>
    </w:p>
    <w:p w14:paraId="3CB22837" w14:textId="77777777" w:rsidR="00C32457" w:rsidRDefault="00C32457" w:rsidP="00235C1B">
      <w:pPr>
        <w:pStyle w:val="Zkladntext"/>
        <w:rPr>
          <w:lang w:val="sk-SK"/>
        </w:rPr>
      </w:pPr>
    </w:p>
    <w:p w14:paraId="19BD8E84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K dispozícii sú len obmedzené vedomosti o interakciách medzi takrolimom a statínmi. Klinické údaje</w:t>
      </w:r>
    </w:p>
    <w:p w14:paraId="18110AD7" w14:textId="3AC73314" w:rsidR="00C32457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naznačujú, že farmakokinetika statínov sa </w:t>
      </w:r>
      <w:r w:rsidR="00593F8C">
        <w:rPr>
          <w:lang w:val="sk-SK"/>
        </w:rPr>
        <w:t xml:space="preserve">výrazne </w:t>
      </w:r>
      <w:r w:rsidRPr="00C90CED">
        <w:rPr>
          <w:lang w:val="sk-SK"/>
        </w:rPr>
        <w:t xml:space="preserve">nemení pri súbežnom podaní s takrolimom. </w:t>
      </w:r>
    </w:p>
    <w:p w14:paraId="60D98603" w14:textId="77777777" w:rsidR="00C32457" w:rsidRDefault="00C32457">
      <w:pPr>
        <w:pStyle w:val="Zkladntext"/>
        <w:rPr>
          <w:lang w:val="sk-SK"/>
        </w:rPr>
      </w:pPr>
    </w:p>
    <w:p w14:paraId="13F70BDE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Údaje získané na zvieratách ukázali, že takrolimus má potenciál znížiť klírens a zvýšiť polčas pentobarbitalu a fenazónu.</w:t>
      </w:r>
    </w:p>
    <w:p w14:paraId="078EF0E9" w14:textId="77777777" w:rsidR="007D71F1" w:rsidRDefault="007D71F1" w:rsidP="00235C1B">
      <w:pPr>
        <w:pStyle w:val="Zkladntext"/>
        <w:rPr>
          <w:u w:val="single"/>
          <w:lang w:val="sk-SK"/>
        </w:rPr>
      </w:pPr>
    </w:p>
    <w:p w14:paraId="11BCC309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Kyselina mykofenolová</w:t>
      </w:r>
    </w:p>
    <w:p w14:paraId="1F541C33" w14:textId="208807A2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S opatrnosťou treba postupovať pri zmene kombinovanej liečby z cyklosporínu, ktorý narúša enterohepatálnu recirkuláciu kyseliny mykofenolovej, na takrolimus, ktorý takýto účinok nemá, </w:t>
      </w:r>
      <w:r w:rsidR="00593F8C">
        <w:rPr>
          <w:lang w:val="sk-SK"/>
        </w:rPr>
        <w:t>keďže</w:t>
      </w:r>
      <w:r w:rsidRPr="00C90CED">
        <w:rPr>
          <w:lang w:val="sk-SK"/>
        </w:rPr>
        <w:t xml:space="preserve"> to môže viesť k zmenám v expozícii kyselin</w:t>
      </w:r>
      <w:r w:rsidR="003B6E9D">
        <w:rPr>
          <w:lang w:val="sk-SK"/>
        </w:rPr>
        <w:t>y</w:t>
      </w:r>
      <w:r w:rsidRPr="00C90CED">
        <w:rPr>
          <w:lang w:val="sk-SK"/>
        </w:rPr>
        <w:t xml:space="preserve"> mykofenolovej. Lieky, ktoré narúšajú enterohepatálny obeh kyseliny mykofenolovej môžu znižovať jej plazmatickú hladinu</w:t>
      </w:r>
      <w:r w:rsidR="00593F8C">
        <w:rPr>
          <w:lang w:val="sk-SK"/>
        </w:rPr>
        <w:t xml:space="preserve"> </w:t>
      </w:r>
      <w:r w:rsidRPr="00C90CED">
        <w:rPr>
          <w:lang w:val="sk-SK"/>
        </w:rPr>
        <w:t xml:space="preserve">a jej účinnosť. Pri prechode z cyklosporínu na takrolimus alebo naopak, môže byť vhodné monitorovanie </w:t>
      </w:r>
      <w:r w:rsidR="00593F8C">
        <w:rPr>
          <w:lang w:val="sk-SK"/>
        </w:rPr>
        <w:t xml:space="preserve">terapeutických hladín </w:t>
      </w:r>
      <w:r w:rsidRPr="00C90CED">
        <w:rPr>
          <w:lang w:val="sk-SK"/>
        </w:rPr>
        <w:t>kyseliny mykofenolovej.</w:t>
      </w:r>
    </w:p>
    <w:p w14:paraId="78CA8C64" w14:textId="77777777" w:rsidR="00D318E7" w:rsidRPr="00C90CED" w:rsidRDefault="00D318E7" w:rsidP="00B52FD1">
      <w:pPr>
        <w:pStyle w:val="Zkladntext"/>
        <w:rPr>
          <w:lang w:val="sk-SK"/>
        </w:rPr>
      </w:pPr>
    </w:p>
    <w:p w14:paraId="0D78DD8E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Iné interakcie, ktoré vedú ku klinicky škodlivým účinkom</w:t>
      </w:r>
    </w:p>
    <w:p w14:paraId="70D8428F" w14:textId="77777777" w:rsidR="00D318E7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Súbežné použitie takrolimu s liekmi, o ktorých je známe, že majú nefrotoxické alebo neurotoxické účinky, môže tieto účinky zvýšiť (napr. aminoglykozidy, inhibítory gyrázy, vankomycín, kotrimoxaz</w:t>
      </w:r>
      <w:r w:rsidR="007E4FC0">
        <w:rPr>
          <w:lang w:val="sk-SK"/>
        </w:rPr>
        <w:t>ol, NSAID</w:t>
      </w:r>
      <w:r w:rsidRPr="00C90CED">
        <w:rPr>
          <w:lang w:val="sk-SK"/>
        </w:rPr>
        <w:t>, ganciklovir alebo aciklovir).</w:t>
      </w:r>
    </w:p>
    <w:p w14:paraId="337E6E12" w14:textId="77777777" w:rsidR="007E4FC0" w:rsidRPr="00C90CED" w:rsidRDefault="007E4FC0">
      <w:pPr>
        <w:pStyle w:val="Zkladntext"/>
        <w:rPr>
          <w:lang w:val="sk-SK"/>
        </w:rPr>
      </w:pPr>
    </w:p>
    <w:p w14:paraId="145187C7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Zvýšená nefrotoxicita bola pozorovaná po podaní amfotericínu B a ibuprofénu v spojení s takrolimom.</w:t>
      </w:r>
    </w:p>
    <w:p w14:paraId="16D28B9A" w14:textId="1014A111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Keďže liečba takrolimom môže byť spojená s hyperkaliémiou alebo môže zvýšiť už existujúcu hyperkaliémiu, </w:t>
      </w:r>
      <w:r w:rsidR="00593F8C">
        <w:rPr>
          <w:lang w:val="sk-SK"/>
        </w:rPr>
        <w:t>je potrebné</w:t>
      </w:r>
      <w:r w:rsidRPr="00C90CED">
        <w:rPr>
          <w:lang w:val="sk-SK"/>
        </w:rPr>
        <w:t xml:space="preserve"> </w:t>
      </w:r>
      <w:r w:rsidR="00593F8C">
        <w:rPr>
          <w:lang w:val="sk-SK"/>
        </w:rPr>
        <w:t>vyhnúť</w:t>
      </w:r>
      <w:r w:rsidRPr="00C90CED">
        <w:rPr>
          <w:lang w:val="sk-SK"/>
        </w:rPr>
        <w:t xml:space="preserve"> </w:t>
      </w:r>
      <w:r w:rsidR="00593F8C">
        <w:rPr>
          <w:lang w:val="sk-SK"/>
        </w:rPr>
        <w:t xml:space="preserve">sa </w:t>
      </w:r>
      <w:r w:rsidRPr="00C90CED">
        <w:rPr>
          <w:lang w:val="sk-SK"/>
        </w:rPr>
        <w:t>vysok</w:t>
      </w:r>
      <w:r w:rsidR="00593F8C">
        <w:rPr>
          <w:lang w:val="sk-SK"/>
        </w:rPr>
        <w:t>ému</w:t>
      </w:r>
      <w:r w:rsidRPr="00C90CED">
        <w:rPr>
          <w:lang w:val="sk-SK"/>
        </w:rPr>
        <w:t xml:space="preserve"> príj</w:t>
      </w:r>
      <w:r w:rsidR="00593F8C">
        <w:rPr>
          <w:lang w:val="sk-SK"/>
        </w:rPr>
        <w:t>mu</w:t>
      </w:r>
      <w:r w:rsidRPr="00C90CED">
        <w:rPr>
          <w:lang w:val="sk-SK"/>
        </w:rPr>
        <w:t xml:space="preserve"> draslíka alebo draslík šetriaci</w:t>
      </w:r>
      <w:r w:rsidR="00593F8C">
        <w:rPr>
          <w:lang w:val="sk-SK"/>
        </w:rPr>
        <w:t>m</w:t>
      </w:r>
      <w:r w:rsidRPr="00C90CED">
        <w:rPr>
          <w:lang w:val="sk-SK"/>
        </w:rPr>
        <w:t xml:space="preserve"> diuret</w:t>
      </w:r>
      <w:r w:rsidR="00593F8C">
        <w:rPr>
          <w:lang w:val="sk-SK"/>
        </w:rPr>
        <w:t>ikám</w:t>
      </w:r>
      <w:r w:rsidRPr="00C90CED">
        <w:rPr>
          <w:lang w:val="sk-SK"/>
        </w:rPr>
        <w:t xml:space="preserve"> (napr. amilorid, triamterén alebo spironolaktón) (pozri časť 4.4).</w:t>
      </w:r>
    </w:p>
    <w:p w14:paraId="2642502A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590A1E18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Imunosupresíva môžu ovplyvniť odpoveď na očkovanie a očkovanie počas liečby takrolimom môže byť menej účinné. Živé atenuované vakcíny sa nemajú používať (pozri časť 4.4).</w:t>
      </w:r>
    </w:p>
    <w:p w14:paraId="74315974" w14:textId="77777777" w:rsidR="00D318E7" w:rsidRPr="00C90CED" w:rsidRDefault="00D318E7" w:rsidP="00235C1B">
      <w:pPr>
        <w:pStyle w:val="Zkladntext"/>
        <w:rPr>
          <w:lang w:val="sk-SK"/>
        </w:rPr>
      </w:pPr>
    </w:p>
    <w:p w14:paraId="2441B612" w14:textId="77777777" w:rsidR="00D318E7" w:rsidRPr="00C90CED" w:rsidRDefault="00D318E7" w:rsidP="00235C1B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Fertilita, gravidita a</w:t>
      </w:r>
      <w:r w:rsidRPr="00C90CED">
        <w:rPr>
          <w:spacing w:val="-8"/>
          <w:lang w:val="sk-SK"/>
        </w:rPr>
        <w:t xml:space="preserve"> </w:t>
      </w:r>
      <w:r w:rsidRPr="00C90CED">
        <w:rPr>
          <w:lang w:val="sk-SK"/>
        </w:rPr>
        <w:t>laktácia</w:t>
      </w:r>
    </w:p>
    <w:p w14:paraId="07F29EFE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1CA3092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Gravidita</w:t>
      </w:r>
    </w:p>
    <w:p w14:paraId="44B610A7" w14:textId="00E4BF13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Údaje získané </w:t>
      </w:r>
      <w:r w:rsidR="00593F8C">
        <w:rPr>
          <w:lang w:val="sk-SK"/>
        </w:rPr>
        <w:t>u</w:t>
      </w:r>
      <w:r w:rsidRPr="00C90CED">
        <w:rPr>
          <w:lang w:val="sk-SK"/>
        </w:rPr>
        <w:t xml:space="preserve"> ľu</w:t>
      </w:r>
      <w:r w:rsidR="00593F8C">
        <w:rPr>
          <w:lang w:val="sk-SK"/>
        </w:rPr>
        <w:t>dí</w:t>
      </w:r>
      <w:r w:rsidRPr="00C90CED">
        <w:rPr>
          <w:lang w:val="sk-SK"/>
        </w:rPr>
        <w:t xml:space="preserve"> ukazujú, že takrolimus prechádza cez placentu. Obmedzené údaje, získané od príjemcov transplantovaných orgánov nepreukazujú zvýšené riziko nežiaducich udalostí na priebeh a ukončenie gravidity pri liečbe takrolimom v porovnaní s inými imunosupresívnymi liekmi. Boli ale hlásené prípady spontánneho potratu. V súčasnosti nie sú dostupné žiadne ďalšie významné </w:t>
      </w:r>
      <w:r w:rsidRPr="00C90CED">
        <w:rPr>
          <w:lang w:val="sk-SK"/>
        </w:rPr>
        <w:lastRenderedPageBreak/>
        <w:t xml:space="preserve">epidemiologické údaje. Takrolimus môže byť podaný gravidnej žene, ak neexistuje žiadna bezpečnejšia alternatíva, a ak očakávaný prospech vyváži potenciálne riziko pre plod. V prípade expozície </w:t>
      </w:r>
      <w:r w:rsidRPr="00C90CED">
        <w:rPr>
          <w:i/>
          <w:lang w:val="sk-SK"/>
        </w:rPr>
        <w:t xml:space="preserve">in utero </w:t>
      </w:r>
      <w:r w:rsidRPr="00C90CED">
        <w:rPr>
          <w:lang w:val="sk-SK"/>
        </w:rPr>
        <w:t xml:space="preserve">sa odporúča sledovanie novorodenca pre prípad </w:t>
      </w:r>
      <w:r w:rsidR="006A7A9A">
        <w:rPr>
          <w:lang w:val="sk-SK"/>
        </w:rPr>
        <w:t>potenciálnych</w:t>
      </w:r>
      <w:r w:rsidRPr="00C90CED">
        <w:rPr>
          <w:lang w:val="sk-SK"/>
        </w:rPr>
        <w:t xml:space="preserve"> nežiaducich udalostí takrolimu (obzvlášť účinky na obličky). Existuje riziko predčasného pôrodu (&lt; 37. týždeň) (výskyt</w:t>
      </w:r>
    </w:p>
    <w:p w14:paraId="17A9B8AE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u 66 zo 123 novorodencov, čo je 53,7 %, údaje však ukazujú, že väčšina z novorodencov mala na svoj gestačný vek normálnu pôrodnú hmotnosť), rovnako ako riziko hyperkaliémie u novorodencov (výskyt u 8 zo 111 novorodencov, čo je 7,2%), hoci táto sa normalizuje spontánne.</w:t>
      </w:r>
    </w:p>
    <w:p w14:paraId="651EA5CE" w14:textId="77777777" w:rsidR="0023208E" w:rsidRDefault="0023208E" w:rsidP="00235C1B">
      <w:pPr>
        <w:pStyle w:val="Zkladntext"/>
        <w:rPr>
          <w:lang w:val="sk-SK"/>
        </w:rPr>
      </w:pPr>
    </w:p>
    <w:p w14:paraId="63CBAB52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U potkanov a králikov spôsobil takrolimus embryofetálnu toxicitu pri dávkach, ktoré predstavovali</w:t>
      </w:r>
    </w:p>
    <w:p w14:paraId="177860AD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toxicitu aj pre matku (pozri časť 5.3).</w:t>
      </w:r>
    </w:p>
    <w:p w14:paraId="0021984E" w14:textId="77777777" w:rsidR="00D318E7" w:rsidRPr="00C90CED" w:rsidRDefault="00D318E7" w:rsidP="00235C1B">
      <w:pPr>
        <w:pStyle w:val="Zkladntext"/>
        <w:rPr>
          <w:lang w:val="sk-SK"/>
        </w:rPr>
      </w:pPr>
    </w:p>
    <w:p w14:paraId="23DC9871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Dojčenie</w:t>
      </w:r>
    </w:p>
    <w:p w14:paraId="60D0F20E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Údaje získané na ľuďoch dokazujú, že takrolimus prechádza do materského mlieka. Keďže sa nedá vylúčiť škodlivý vplyv na novorodenca, ženy nemajú dojčiť, pokiaľ užívajú </w:t>
      </w:r>
      <w:r w:rsidR="005508C6">
        <w:rPr>
          <w:lang w:val="sk-SK"/>
        </w:rPr>
        <w:t>Dailiport</w:t>
      </w:r>
      <w:r w:rsidRPr="00C90CED">
        <w:rPr>
          <w:lang w:val="sk-SK"/>
        </w:rPr>
        <w:t>.</w:t>
      </w:r>
    </w:p>
    <w:p w14:paraId="4AE2E47E" w14:textId="77777777" w:rsidR="00D318E7" w:rsidRPr="00C90CED" w:rsidRDefault="00D318E7" w:rsidP="00235C1B">
      <w:pPr>
        <w:pStyle w:val="Zkladntext"/>
        <w:rPr>
          <w:lang w:val="sk-SK"/>
        </w:rPr>
      </w:pPr>
    </w:p>
    <w:p w14:paraId="7D6494B4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Fertilita</w:t>
      </w:r>
    </w:p>
    <w:p w14:paraId="16A9C2EA" w14:textId="6282F512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Bol pozorovaný negatívny </w:t>
      </w:r>
      <w:r w:rsidR="00014B8F">
        <w:rPr>
          <w:lang w:val="sk-SK"/>
        </w:rPr>
        <w:t>vplyv</w:t>
      </w:r>
      <w:r w:rsidRPr="00C90CED">
        <w:rPr>
          <w:lang w:val="sk-SK"/>
        </w:rPr>
        <w:t xml:space="preserve"> takrolimu na fertilitu samcov vo forme zníženého počtu spermií a zníženej pohyblivosti spermií (pozri časť 5.3).</w:t>
      </w:r>
    </w:p>
    <w:p w14:paraId="09A758DD" w14:textId="77777777" w:rsidR="00D318E7" w:rsidRPr="00C90CED" w:rsidRDefault="00D318E7" w:rsidP="00235C1B">
      <w:pPr>
        <w:pStyle w:val="Zkladntext"/>
        <w:rPr>
          <w:lang w:val="sk-SK"/>
        </w:rPr>
      </w:pPr>
    </w:p>
    <w:p w14:paraId="7408BF31" w14:textId="77777777" w:rsidR="00D318E7" w:rsidRPr="00C90CED" w:rsidRDefault="00D318E7" w:rsidP="00B52FD1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Ovplyvnenie schopnosti viesť vozidlá a obsluhovať</w:t>
      </w:r>
      <w:r w:rsidRPr="00C90CED">
        <w:rPr>
          <w:spacing w:val="-18"/>
          <w:lang w:val="sk-SK"/>
        </w:rPr>
        <w:t xml:space="preserve"> </w:t>
      </w:r>
      <w:r w:rsidRPr="00C90CED">
        <w:rPr>
          <w:lang w:val="sk-SK"/>
        </w:rPr>
        <w:t>stroje</w:t>
      </w:r>
    </w:p>
    <w:p w14:paraId="0E9BC1C0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8649B79" w14:textId="33DF215A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Takrolimus môže spôsobiť poruchy videnia a neurologické poruchy. Uvedený vplyv môže byť</w:t>
      </w:r>
    </w:p>
    <w:p w14:paraId="16AD37B1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zosilnený, ak sa takrolimus užíva v spojení s alkoholom.</w:t>
      </w:r>
    </w:p>
    <w:p w14:paraId="0E3E46C3" w14:textId="77777777" w:rsidR="00D318E7" w:rsidRPr="00C90CED" w:rsidRDefault="00D318E7" w:rsidP="00B52FD1">
      <w:pPr>
        <w:pStyle w:val="Zkladntext"/>
        <w:rPr>
          <w:lang w:val="sk-SK"/>
        </w:rPr>
      </w:pPr>
    </w:p>
    <w:p w14:paraId="062D68EE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Neuskutočnili sa žiad</w:t>
      </w:r>
      <w:r w:rsidR="0023208E">
        <w:rPr>
          <w:lang w:val="sk-SK"/>
        </w:rPr>
        <w:t xml:space="preserve">ne štúdie o účinkoch takrolimu na schopnosť viesť vozidlá </w:t>
      </w:r>
      <w:r w:rsidRPr="00C90CED">
        <w:rPr>
          <w:lang w:val="sk-SK"/>
        </w:rPr>
        <w:t>a obsluhovať stroje.</w:t>
      </w:r>
    </w:p>
    <w:p w14:paraId="171F2DE2" w14:textId="77777777" w:rsidR="00D318E7" w:rsidRPr="00C90CED" w:rsidRDefault="00D318E7" w:rsidP="00235C1B">
      <w:pPr>
        <w:pStyle w:val="Zkladntext"/>
        <w:rPr>
          <w:lang w:val="sk-SK"/>
        </w:rPr>
      </w:pPr>
    </w:p>
    <w:p w14:paraId="222FEC27" w14:textId="77777777" w:rsidR="00D318E7" w:rsidRPr="00C90CED" w:rsidRDefault="00D318E7" w:rsidP="00B52FD1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Nežiaduce</w:t>
      </w:r>
      <w:r w:rsidRPr="00C90CED">
        <w:rPr>
          <w:spacing w:val="-6"/>
          <w:lang w:val="sk-SK"/>
        </w:rPr>
        <w:t xml:space="preserve"> </w:t>
      </w:r>
      <w:r w:rsidRPr="00C90CED">
        <w:rPr>
          <w:lang w:val="sk-SK"/>
        </w:rPr>
        <w:t>účinky</w:t>
      </w:r>
    </w:p>
    <w:p w14:paraId="23835EB9" w14:textId="77777777" w:rsidR="00F13C9B" w:rsidRDefault="00F13C9B" w:rsidP="00235C1B">
      <w:pPr>
        <w:pStyle w:val="Zkladntext"/>
        <w:rPr>
          <w:lang w:val="sk-SK"/>
        </w:rPr>
      </w:pPr>
    </w:p>
    <w:p w14:paraId="01D5AEC9" w14:textId="77777777" w:rsidR="00F13C9B" w:rsidRPr="00F13C9B" w:rsidRDefault="00F13C9B" w:rsidP="00235C1B">
      <w:pPr>
        <w:pStyle w:val="Zkladntext"/>
        <w:rPr>
          <w:u w:val="single"/>
          <w:lang w:val="sk-SK"/>
        </w:rPr>
      </w:pPr>
      <w:r>
        <w:rPr>
          <w:u w:val="single"/>
          <w:lang w:val="sk-SK"/>
        </w:rPr>
        <w:t>Súhrn bezpečnostné</w:t>
      </w:r>
      <w:r w:rsidRPr="00F13C9B">
        <w:rPr>
          <w:u w:val="single"/>
          <w:lang w:val="sk-SK"/>
        </w:rPr>
        <w:t>ho profilu</w:t>
      </w:r>
    </w:p>
    <w:p w14:paraId="58860847" w14:textId="044499B9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Profil nežiaducich účinkov spojených s imunosupresívnymi liečivami je často ťažké stanoviť</w:t>
      </w:r>
      <w:r w:rsidR="00B52FD1">
        <w:rPr>
          <w:lang w:val="sk-SK"/>
        </w:rPr>
        <w:t xml:space="preserve"> kvôli</w:t>
      </w:r>
      <w:r w:rsidRPr="00C90CED">
        <w:rPr>
          <w:lang w:val="sk-SK"/>
        </w:rPr>
        <w:t xml:space="preserve"> základné</w:t>
      </w:r>
      <w:r w:rsidR="00B52FD1">
        <w:rPr>
          <w:lang w:val="sk-SK"/>
        </w:rPr>
        <w:t>mu</w:t>
      </w:r>
      <w:r w:rsidRPr="00C90CED">
        <w:rPr>
          <w:lang w:val="sk-SK"/>
        </w:rPr>
        <w:t xml:space="preserve"> ochoreni</w:t>
      </w:r>
      <w:r w:rsidR="00B52FD1">
        <w:rPr>
          <w:lang w:val="sk-SK"/>
        </w:rPr>
        <w:t>u</w:t>
      </w:r>
      <w:r w:rsidRPr="00C90CED">
        <w:rPr>
          <w:lang w:val="sk-SK"/>
        </w:rPr>
        <w:t xml:space="preserve"> a súbežn</w:t>
      </w:r>
      <w:r w:rsidR="00B52FD1">
        <w:rPr>
          <w:lang w:val="sk-SK"/>
        </w:rPr>
        <w:t>ému</w:t>
      </w:r>
      <w:r w:rsidRPr="00C90CED">
        <w:rPr>
          <w:lang w:val="sk-SK"/>
        </w:rPr>
        <w:t xml:space="preserve"> užívani</w:t>
      </w:r>
      <w:r w:rsidR="00B52FD1">
        <w:rPr>
          <w:lang w:val="sk-SK"/>
        </w:rPr>
        <w:t>u</w:t>
      </w:r>
      <w:r w:rsidRPr="00C90CED">
        <w:rPr>
          <w:lang w:val="sk-SK"/>
        </w:rPr>
        <w:t xml:space="preserve"> viacerých liekov.</w:t>
      </w:r>
    </w:p>
    <w:p w14:paraId="28F86423" w14:textId="77777777" w:rsidR="00D318E7" w:rsidRPr="00C90CED" w:rsidRDefault="00D318E7" w:rsidP="00B52FD1">
      <w:pPr>
        <w:pStyle w:val="Zkladntext"/>
        <w:rPr>
          <w:lang w:val="sk-SK"/>
        </w:rPr>
      </w:pPr>
    </w:p>
    <w:p w14:paraId="4442AD42" w14:textId="1DD21235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Najčastejšie hlásené nežiaduce účinky (vyskytujúce sa u &gt; 10 % pacientov) sú tremor, </w:t>
      </w:r>
      <w:r w:rsidR="00B52FD1">
        <w:rPr>
          <w:lang w:val="sk-SK"/>
        </w:rPr>
        <w:t xml:space="preserve">porucha funkcie </w:t>
      </w:r>
      <w:r w:rsidRPr="00C90CED">
        <w:rPr>
          <w:lang w:val="sk-SK"/>
        </w:rPr>
        <w:t>obličiek, hyperglykemické stavy, diabetes mellitus, hyperkaliémia, infekcie, hypertenzia a insomnia.</w:t>
      </w:r>
    </w:p>
    <w:p w14:paraId="4CFD83B5" w14:textId="77777777" w:rsidR="00D318E7" w:rsidRPr="00C90CED" w:rsidRDefault="00D318E7" w:rsidP="00B52FD1">
      <w:pPr>
        <w:pStyle w:val="Zkladntext"/>
        <w:rPr>
          <w:lang w:val="sk-SK"/>
        </w:rPr>
      </w:pPr>
    </w:p>
    <w:p w14:paraId="34B2A294" w14:textId="77777777" w:rsidR="00F13C9B" w:rsidRPr="00F13C9B" w:rsidRDefault="00F13C9B" w:rsidP="00724361">
      <w:pPr>
        <w:pStyle w:val="Zkladntext"/>
        <w:rPr>
          <w:u w:val="single"/>
          <w:lang w:val="sk-SK"/>
        </w:rPr>
      </w:pPr>
      <w:r w:rsidRPr="00F13C9B">
        <w:rPr>
          <w:u w:val="single"/>
          <w:lang w:val="sk-SK"/>
        </w:rPr>
        <w:t>Zoznam nežiaducich účinkov</w:t>
      </w:r>
    </w:p>
    <w:p w14:paraId="4413C9DA" w14:textId="77777777" w:rsidR="00D318E7" w:rsidRPr="00C90CED" w:rsidRDefault="00D318E7" w:rsidP="00922093">
      <w:pPr>
        <w:pStyle w:val="Zkladntext"/>
        <w:rPr>
          <w:lang w:val="sk-SK"/>
        </w:rPr>
      </w:pPr>
      <w:r w:rsidRPr="00C90CED">
        <w:rPr>
          <w:lang w:val="sk-SK"/>
        </w:rPr>
        <w:t>Frekvencia výskytu nežiaducich účinkov je definovaná nasledovne: veľmi časté (≥1/10); časté (≥1/100 až &lt;1/10); menej časté (≥1/1 000 až &lt;1/100); zriedkavé (≥1/10 000 až &lt;1/1 000); veľmi zriedkavé (&lt;1/10 000), neznáme (z dostupných údajov). V rámci jednotlivých skupín frekvencie výskytu sú nežiaduce účinky usporiadané v poradí klesajúcej závažnosti.</w:t>
      </w:r>
    </w:p>
    <w:p w14:paraId="463391FA" w14:textId="77777777" w:rsidR="00D318E7" w:rsidRPr="00C90CED" w:rsidRDefault="00D318E7">
      <w:pPr>
        <w:pStyle w:val="Zkladntext"/>
        <w:rPr>
          <w:lang w:val="sk-SK"/>
        </w:rPr>
      </w:pPr>
    </w:p>
    <w:p w14:paraId="4373FF3C" w14:textId="77777777" w:rsidR="00D318E7" w:rsidRPr="00F13C9B" w:rsidRDefault="00D318E7" w:rsidP="00235C1B">
      <w:pPr>
        <w:pStyle w:val="Zkladntext"/>
        <w:rPr>
          <w:i/>
          <w:lang w:val="sk-SK"/>
        </w:rPr>
      </w:pPr>
      <w:r w:rsidRPr="00F13C9B">
        <w:rPr>
          <w:i/>
          <w:u w:val="single"/>
          <w:lang w:val="sk-SK"/>
        </w:rPr>
        <w:t>Infekcie a nákazy</w:t>
      </w:r>
    </w:p>
    <w:p w14:paraId="080A2B46" w14:textId="1F1138B3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Ako je známe aj u iných </w:t>
      </w:r>
      <w:r w:rsidR="00B52FD1">
        <w:rPr>
          <w:lang w:val="sk-SK"/>
        </w:rPr>
        <w:t xml:space="preserve">vysoko účinných </w:t>
      </w:r>
      <w:r w:rsidRPr="00C90CED">
        <w:rPr>
          <w:lang w:val="sk-SK"/>
        </w:rPr>
        <w:t>imunosupresívnych liečiv, pacienti, ktorým je podávaný takrolimus, sú často</w:t>
      </w:r>
      <w:r w:rsidR="00B52FD1">
        <w:rPr>
          <w:lang w:val="sk-SK"/>
        </w:rPr>
        <w:t xml:space="preserve"> </w:t>
      </w:r>
      <w:r w:rsidRPr="00C90CED">
        <w:rPr>
          <w:lang w:val="sk-SK"/>
        </w:rPr>
        <w:t>vystavení zvýšenému riziku infekcií (vírusových, bakteriálnych, mykotických, protozoálnych). Priebeh už existujúcich infekcií sa môže zhoršiť. Môžu sa vyskytnúť generalizované i lokálne infekcie.</w:t>
      </w:r>
    </w:p>
    <w:p w14:paraId="092ACC2A" w14:textId="77777777" w:rsidR="00F13C9B" w:rsidRDefault="00F13C9B" w:rsidP="00B52FD1">
      <w:pPr>
        <w:pStyle w:val="Zkladntext"/>
        <w:rPr>
          <w:lang w:val="sk-SK"/>
        </w:rPr>
      </w:pPr>
    </w:p>
    <w:p w14:paraId="49E70F6B" w14:textId="77777777" w:rsidR="00D318E7" w:rsidRPr="00C90CED" w:rsidRDefault="00D318E7" w:rsidP="00724361">
      <w:pPr>
        <w:pStyle w:val="Zkladntext"/>
        <w:rPr>
          <w:lang w:val="sk-SK"/>
        </w:rPr>
      </w:pPr>
      <w:r w:rsidRPr="00C90CED">
        <w:rPr>
          <w:lang w:val="sk-SK"/>
        </w:rPr>
        <w:t xml:space="preserve">Prípady nefropatie spojenej s BK vírusmi, rovnako ako prípady progresívnej multifokálnej leukoencefalopatie (PML) spojenej s JC vírusmi, boli hlásené u pacientov liečených </w:t>
      </w:r>
      <w:r w:rsidR="004110ED">
        <w:rPr>
          <w:lang w:val="sk-SK"/>
        </w:rPr>
        <w:t>imunosupresívami, vrátane takrolimu</w:t>
      </w:r>
      <w:r w:rsidRPr="00C90CED">
        <w:rPr>
          <w:lang w:val="sk-SK"/>
        </w:rPr>
        <w:t>.</w:t>
      </w:r>
    </w:p>
    <w:p w14:paraId="4047637F" w14:textId="77777777" w:rsidR="00D318E7" w:rsidRPr="00C90CED" w:rsidRDefault="00D318E7" w:rsidP="00235C1B">
      <w:pPr>
        <w:pStyle w:val="Zkladntext"/>
        <w:rPr>
          <w:lang w:val="sk-SK"/>
        </w:rPr>
      </w:pPr>
    </w:p>
    <w:p w14:paraId="0DC0E0FF" w14:textId="72B8DC67" w:rsidR="00D318E7" w:rsidRPr="004110ED" w:rsidRDefault="00D318E7" w:rsidP="00235C1B">
      <w:pPr>
        <w:pStyle w:val="Zkladntext"/>
        <w:rPr>
          <w:i/>
          <w:lang w:val="sk-SK"/>
        </w:rPr>
      </w:pPr>
      <w:r w:rsidRPr="004110ED">
        <w:rPr>
          <w:i/>
          <w:u w:val="single"/>
          <w:lang w:val="sk-SK"/>
        </w:rPr>
        <w:t>Benígne a malígne nádory, vrátane nešpecifikovaných novotvarov</w:t>
      </w:r>
    </w:p>
    <w:p w14:paraId="3B8452A8" w14:textId="6DFFFD74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U pacientov, ktorým je podávaná imunosupresívna liečba, je zvýšené riziko vzniku malignít. V</w:t>
      </w:r>
      <w:r w:rsidR="009D2A39">
        <w:rPr>
          <w:lang w:val="sk-SK"/>
        </w:rPr>
        <w:t> súvislosti s</w:t>
      </w:r>
      <w:r w:rsidRPr="00C90CED">
        <w:rPr>
          <w:lang w:val="sk-SK"/>
        </w:rPr>
        <w:t xml:space="preserve"> liečb</w:t>
      </w:r>
      <w:r w:rsidR="009D2A39">
        <w:rPr>
          <w:lang w:val="sk-SK"/>
        </w:rPr>
        <w:t>ou</w:t>
      </w:r>
      <w:r w:rsidRPr="00C90CED">
        <w:rPr>
          <w:lang w:val="sk-SK"/>
        </w:rPr>
        <w:t xml:space="preserve"> takrolimom boli hlásené benígne ako aj malígne novotvary, vrátane lymfoproliferatívnych porúch </w:t>
      </w:r>
      <w:r w:rsidR="009D2A39">
        <w:rPr>
          <w:lang w:val="sk-SK"/>
        </w:rPr>
        <w:t xml:space="preserve">súvisiacich s EBV </w:t>
      </w:r>
      <w:r w:rsidRPr="00C90CED">
        <w:rPr>
          <w:lang w:val="sk-SK"/>
        </w:rPr>
        <w:t>a malignít kože.</w:t>
      </w:r>
    </w:p>
    <w:p w14:paraId="5E63BD76" w14:textId="77777777" w:rsidR="00D318E7" w:rsidRPr="00C90CED" w:rsidRDefault="00D318E7" w:rsidP="00235C1B">
      <w:pPr>
        <w:pStyle w:val="Zkladntext"/>
        <w:rPr>
          <w:lang w:val="sk-SK"/>
        </w:rPr>
      </w:pPr>
    </w:p>
    <w:p w14:paraId="33684E2E" w14:textId="77777777" w:rsidR="0092448E" w:rsidRPr="0092448E" w:rsidRDefault="0092448E" w:rsidP="00B52FD1">
      <w:pPr>
        <w:pStyle w:val="Zkladntext"/>
        <w:rPr>
          <w:i/>
          <w:lang w:val="sk-SK"/>
        </w:rPr>
      </w:pPr>
      <w:r w:rsidRPr="0092448E">
        <w:rPr>
          <w:i/>
          <w:lang w:val="sk-SK"/>
        </w:rPr>
        <w:t>Poruchy imunitného systému</w:t>
      </w:r>
    </w:p>
    <w:p w14:paraId="438C0D48" w14:textId="77777777" w:rsidR="0092448E" w:rsidRPr="0092448E" w:rsidRDefault="0092448E">
      <w:pPr>
        <w:pStyle w:val="Zkladntext"/>
        <w:rPr>
          <w:lang w:val="sk-SK"/>
        </w:rPr>
      </w:pPr>
      <w:r w:rsidRPr="0092448E">
        <w:rPr>
          <w:lang w:val="sk-SK"/>
        </w:rPr>
        <w:lastRenderedPageBreak/>
        <w:t>U pacientov užívajúcich takrolimus sa pozorovali alergické a anafylaktoidné reakcie (pozri časť 4.4).</w:t>
      </w:r>
    </w:p>
    <w:p w14:paraId="6EE66370" w14:textId="77777777" w:rsidR="00D81B22" w:rsidRDefault="00D81B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1"/>
        <w:gridCol w:w="2996"/>
        <w:gridCol w:w="3034"/>
      </w:tblGrid>
      <w:tr w:rsidR="00B715A4" w:rsidRPr="00CC670E" w14:paraId="1B392D9E" w14:textId="77777777" w:rsidTr="00F412E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1A930" w14:textId="77777777" w:rsidR="00B715A4" w:rsidRPr="00B715A4" w:rsidRDefault="00B715A4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Nežiaduce účinky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466AF" w14:textId="77777777" w:rsidR="00B715A4" w:rsidRPr="00B715A4" w:rsidRDefault="00B715A4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43605" w14:textId="77777777" w:rsidR="00B715A4" w:rsidRPr="00B715A4" w:rsidRDefault="00B715A4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</w:tr>
      <w:tr w:rsidR="00D81B22" w:rsidRPr="00CC670E" w14:paraId="70417B47" w14:textId="77777777" w:rsidTr="00F412E8">
        <w:trPr>
          <w:trHeight w:val="476"/>
        </w:trPr>
        <w:tc>
          <w:tcPr>
            <w:tcW w:w="3070" w:type="dxa"/>
            <w:tcBorders>
              <w:top w:val="single" w:sz="4" w:space="0" w:color="auto"/>
              <w:bottom w:val="single" w:sz="4" w:space="0" w:color="auto"/>
            </w:tcBorders>
          </w:tcPr>
          <w:p w14:paraId="7B97CB0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Triedy orgánových systémov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0954DA6F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Frekvencie</w:t>
            </w:r>
          </w:p>
        </w:tc>
        <w:tc>
          <w:tcPr>
            <w:tcW w:w="3071" w:type="dxa"/>
            <w:tcBorders>
              <w:top w:val="single" w:sz="4" w:space="0" w:color="auto"/>
              <w:bottom w:val="single" w:sz="4" w:space="0" w:color="auto"/>
            </w:tcBorders>
          </w:tcPr>
          <w:p w14:paraId="174C96CA" w14:textId="77777777" w:rsidR="00D81B22" w:rsidRPr="00B715A4" w:rsidRDefault="00D81B22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Nežiaduci účinok</w:t>
            </w:r>
          </w:p>
        </w:tc>
      </w:tr>
      <w:tr w:rsidR="00D81B22" w:rsidRPr="00CC670E" w14:paraId="7B70E8F7" w14:textId="77777777" w:rsidTr="00F412E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33FF7" w14:textId="77777777" w:rsidR="00D81B22" w:rsidRPr="00B715A4" w:rsidRDefault="00D81B22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krvi a lymfatického systému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59B33C" w14:textId="77777777" w:rsidR="00D81B22" w:rsidRPr="00B715A4" w:rsidRDefault="00D81B22" w:rsidP="009D2A39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3DC9BB" w14:textId="77777777" w:rsidR="00D81B22" w:rsidRPr="00B715A4" w:rsidRDefault="009023D0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 xml:space="preserve">anémia, </w:t>
            </w:r>
            <w:r w:rsidR="00D81B22" w:rsidRPr="00B715A4">
              <w:rPr>
                <w:lang w:val="sk-SK"/>
              </w:rPr>
              <w:t xml:space="preserve">trombocytopénia, </w:t>
            </w:r>
            <w:r w:rsidRPr="00B715A4">
              <w:rPr>
                <w:lang w:val="sk-SK"/>
              </w:rPr>
              <w:t>leukopénia, abnormálne výsledky vyšetrení červených krviniek</w:t>
            </w:r>
            <w:r>
              <w:rPr>
                <w:lang w:val="sk-SK"/>
              </w:rPr>
              <w:t xml:space="preserve">, </w:t>
            </w:r>
            <w:r w:rsidR="005D4776">
              <w:rPr>
                <w:lang w:val="sk-SK"/>
              </w:rPr>
              <w:t>leukocytóza</w:t>
            </w:r>
          </w:p>
        </w:tc>
      </w:tr>
      <w:tr w:rsidR="00D81B22" w:rsidRPr="00CC670E" w14:paraId="2F06AECB" w14:textId="77777777" w:rsidTr="00F412E8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64A5C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F845D" w14:textId="77777777" w:rsidR="00D81B22" w:rsidRPr="00B715A4" w:rsidRDefault="00D81B22" w:rsidP="00724361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5AE91" w14:textId="10AB3D42" w:rsidR="00D81B22" w:rsidRPr="00B715A4" w:rsidRDefault="00D81B22" w:rsidP="00724361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koagulopati</w:t>
            </w:r>
            <w:r w:rsidR="009D2A39">
              <w:rPr>
                <w:lang w:val="sk-SK"/>
              </w:rPr>
              <w:t>e</w:t>
            </w:r>
            <w:r w:rsidRPr="00B715A4">
              <w:rPr>
                <w:lang w:val="sk-SK"/>
              </w:rPr>
              <w:t xml:space="preserve">, </w:t>
            </w:r>
            <w:r w:rsidR="005D4776" w:rsidRPr="00B715A4">
              <w:rPr>
                <w:lang w:val="sk-SK"/>
              </w:rPr>
              <w:t>pancytopénia, neutropénia</w:t>
            </w:r>
            <w:r w:rsidR="005D4776">
              <w:rPr>
                <w:lang w:val="sk-SK"/>
              </w:rPr>
              <w:t xml:space="preserve">, </w:t>
            </w:r>
            <w:r w:rsidRPr="00B715A4">
              <w:rPr>
                <w:lang w:val="sk-SK"/>
              </w:rPr>
              <w:t>abnormálne výsledky vyš</w:t>
            </w:r>
            <w:r w:rsidR="005D4776">
              <w:rPr>
                <w:lang w:val="sk-SK"/>
              </w:rPr>
              <w:t>etrení koagulácie a krvácania</w:t>
            </w:r>
          </w:p>
        </w:tc>
      </w:tr>
      <w:tr w:rsidR="00D81B22" w:rsidRPr="00CC670E" w14:paraId="5CD4765E" w14:textId="77777777" w:rsidTr="00F412E8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C6B7B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40DFA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8DD73" w14:textId="77777777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trombotická trombocytopenická purpura, hypoprotrombinémia</w:t>
            </w:r>
            <w:r w:rsidR="005D4776">
              <w:rPr>
                <w:lang w:val="sk-SK"/>
              </w:rPr>
              <w:t>, trombotická mikroangiopatia</w:t>
            </w:r>
          </w:p>
        </w:tc>
      </w:tr>
      <w:tr w:rsidR="00D81B22" w:rsidRPr="00CC670E" w14:paraId="03B1CFAA" w14:textId="77777777" w:rsidTr="00F412E8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DC13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C45" w14:textId="77777777" w:rsidR="00D81B22" w:rsidRPr="00B715A4" w:rsidRDefault="00D81B22" w:rsidP="00724361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Neznáme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D4F7" w14:textId="1459D908" w:rsidR="00D81B22" w:rsidRPr="00B715A4" w:rsidRDefault="00D81B22" w:rsidP="00724361">
            <w:pPr>
              <w:adjustRightInd w:val="0"/>
              <w:rPr>
                <w:rFonts w:eastAsia="QJSBGJ+TimesNewRoman"/>
                <w:lang w:val="sk-SK"/>
              </w:rPr>
            </w:pPr>
            <w:r w:rsidRPr="00922093">
              <w:rPr>
                <w:lang w:val="sk-SK"/>
              </w:rPr>
              <w:t>čis</w:t>
            </w:r>
            <w:r w:rsidRPr="00B715A4">
              <w:rPr>
                <w:lang w:val="sk-SK"/>
              </w:rPr>
              <w:t>tá aplázia červen</w:t>
            </w:r>
            <w:r w:rsidR="00922093">
              <w:rPr>
                <w:lang w:val="sk-SK"/>
              </w:rPr>
              <w:t>ých krviniek</w:t>
            </w:r>
            <w:r w:rsidRPr="00B715A4">
              <w:rPr>
                <w:lang w:val="sk-SK"/>
              </w:rPr>
              <w:t>, agranulocytóza, hemolytická anémia</w:t>
            </w:r>
          </w:p>
        </w:tc>
      </w:tr>
      <w:tr w:rsidR="00D81B22" w:rsidRPr="00CC670E" w14:paraId="316623B4" w14:textId="77777777" w:rsidTr="00F412E8">
        <w:tc>
          <w:tcPr>
            <w:tcW w:w="3070" w:type="dxa"/>
            <w:tcBorders>
              <w:bottom w:val="single" w:sz="4" w:space="0" w:color="auto"/>
            </w:tcBorders>
          </w:tcPr>
          <w:p w14:paraId="57786E9E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Endokrinné poruchy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4" w:space="0" w:color="auto"/>
            </w:tcBorders>
          </w:tcPr>
          <w:p w14:paraId="423896A3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2FE" w14:textId="77777777" w:rsidR="00D81B22" w:rsidRPr="00B715A4" w:rsidRDefault="00D81B22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hirzutizmus</w:t>
            </w:r>
          </w:p>
        </w:tc>
      </w:tr>
      <w:tr w:rsidR="00D81B22" w:rsidRPr="00CC670E" w14:paraId="32444791" w14:textId="77777777" w:rsidTr="00F412E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748A88" w14:textId="77777777" w:rsidR="00D81B22" w:rsidRPr="00B715A4" w:rsidRDefault="00D81B22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metabolizmu a výživy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F34A97" w14:textId="77777777" w:rsidR="00D81B22" w:rsidRPr="00B715A4" w:rsidRDefault="00D81B22" w:rsidP="00724361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814BC3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diabetes m</w:t>
            </w:r>
            <w:r w:rsidR="005D4776">
              <w:rPr>
                <w:lang w:val="sk-SK"/>
              </w:rPr>
              <w:t xml:space="preserve">ellitus, hyperglykemické stavy, </w:t>
            </w:r>
            <w:r w:rsidRPr="00B715A4">
              <w:rPr>
                <w:lang w:val="sk-SK"/>
              </w:rPr>
              <w:t>hyperkaliémia</w:t>
            </w:r>
          </w:p>
        </w:tc>
      </w:tr>
      <w:tr w:rsidR="00D81B22" w:rsidRPr="00CC670E" w14:paraId="04E6788E" w14:textId="77777777" w:rsidTr="00F412E8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7A435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64D40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E78A0" w14:textId="3825F817" w:rsidR="00D81B22" w:rsidRPr="00B715A4" w:rsidRDefault="00E91FEE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 xml:space="preserve">metabolické acidózy, iné abnormality elektrolytov, hyponatriémia, </w:t>
            </w:r>
            <w:r w:rsidR="001677DE">
              <w:rPr>
                <w:lang w:val="sk-SK"/>
              </w:rPr>
              <w:t>retencia tekutín</w:t>
            </w:r>
            <w:r>
              <w:rPr>
                <w:lang w:val="sk-SK"/>
              </w:rPr>
              <w:t xml:space="preserve">, hyperurikémia, </w:t>
            </w:r>
            <w:r w:rsidR="00D81B22" w:rsidRPr="00B715A4">
              <w:rPr>
                <w:lang w:val="sk-SK"/>
              </w:rPr>
              <w:t>hypomagnezémia,</w:t>
            </w:r>
            <w:r>
              <w:rPr>
                <w:lang w:val="sk-SK"/>
              </w:rPr>
              <w:t xml:space="preserve"> </w:t>
            </w:r>
            <w:r w:rsidRPr="00B715A4">
              <w:rPr>
                <w:lang w:val="sk-SK"/>
              </w:rPr>
              <w:t>hypokaliémia,</w:t>
            </w:r>
            <w:r w:rsidR="00440020">
              <w:rPr>
                <w:lang w:val="sk-SK"/>
              </w:rPr>
              <w:t xml:space="preserve"> </w:t>
            </w:r>
            <w:r w:rsidR="00A574F2">
              <w:rPr>
                <w:lang w:val="sk-SK"/>
              </w:rPr>
              <w:t xml:space="preserve">hypokalciémia, znížená chuť do jedla, </w:t>
            </w:r>
            <w:r w:rsidR="00D81B22" w:rsidRPr="00B715A4">
              <w:rPr>
                <w:lang w:val="sk-SK"/>
              </w:rPr>
              <w:t>hypercholesterolémia,</w:t>
            </w:r>
            <w:r w:rsidR="00440020">
              <w:rPr>
                <w:lang w:val="sk-SK"/>
              </w:rPr>
              <w:t xml:space="preserve"> hyperlipidémia,</w:t>
            </w:r>
            <w:r w:rsidR="00D81B22" w:rsidRPr="00B715A4">
              <w:rPr>
                <w:lang w:val="sk-SK"/>
              </w:rPr>
              <w:t xml:space="preserve"> hypertriglyceridémia,</w:t>
            </w:r>
            <w:r w:rsidR="00440020">
              <w:rPr>
                <w:lang w:val="sk-SK"/>
              </w:rPr>
              <w:t xml:space="preserve"> </w:t>
            </w:r>
            <w:r w:rsidR="00A574F2">
              <w:rPr>
                <w:lang w:val="sk-SK"/>
              </w:rPr>
              <w:t>hypo</w:t>
            </w:r>
            <w:r w:rsidR="00440020">
              <w:rPr>
                <w:lang w:val="sk-SK"/>
              </w:rPr>
              <w:t>fo</w:t>
            </w:r>
            <w:r w:rsidR="00A574F2">
              <w:rPr>
                <w:lang w:val="sk-SK"/>
              </w:rPr>
              <w:t>s</w:t>
            </w:r>
            <w:r w:rsidR="00440020">
              <w:rPr>
                <w:lang w:val="sk-SK"/>
              </w:rPr>
              <w:t>fatémia,</w:t>
            </w:r>
            <w:r w:rsidR="00D81B22" w:rsidRPr="00B715A4">
              <w:rPr>
                <w:lang w:val="sk-SK"/>
              </w:rPr>
              <w:t xml:space="preserve"> </w:t>
            </w:r>
          </w:p>
        </w:tc>
      </w:tr>
      <w:tr w:rsidR="00D81B22" w:rsidRPr="00CC670E" w14:paraId="551C7A8B" w14:textId="77777777" w:rsidTr="00F412E8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9EC1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0A50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B62" w14:textId="77777777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dehydratácia, </w:t>
            </w:r>
            <w:r w:rsidR="005D4776" w:rsidRPr="00B715A4">
              <w:rPr>
                <w:lang w:val="sk-SK"/>
              </w:rPr>
              <w:t xml:space="preserve">hypoglykémia </w:t>
            </w:r>
            <w:r w:rsidR="005D4776">
              <w:rPr>
                <w:lang w:val="sk-SK"/>
              </w:rPr>
              <w:t>hypoproteinémia, hyperfosfatémia</w:t>
            </w:r>
          </w:p>
        </w:tc>
      </w:tr>
      <w:tr w:rsidR="00F412E8" w:rsidRPr="00CC670E" w14:paraId="27F28DB9" w14:textId="77777777" w:rsidTr="00F412E8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960C53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Psychické poruchy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63A039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067CE8" w14:textId="77777777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nespavosť</w:t>
            </w:r>
          </w:p>
        </w:tc>
      </w:tr>
      <w:tr w:rsidR="00F412E8" w:rsidRPr="00CC670E" w14:paraId="4B24D228" w14:textId="77777777" w:rsidTr="00696E6E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3C9F3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D73DA8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65095B" w14:textId="009D0A70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zmätenosť a dezorientácia, depresia, </w:t>
            </w:r>
            <w:r w:rsidR="001677DE">
              <w:rPr>
                <w:lang w:val="sk-SK"/>
              </w:rPr>
              <w:t>príznaky</w:t>
            </w:r>
            <w:r w:rsidR="00010A17">
              <w:rPr>
                <w:lang w:val="sk-SK"/>
              </w:rPr>
              <w:t xml:space="preserve"> úzkosti, </w:t>
            </w:r>
            <w:r w:rsidR="008656C1" w:rsidRPr="00B715A4">
              <w:rPr>
                <w:lang w:val="sk-SK"/>
              </w:rPr>
              <w:t xml:space="preserve">halucinácie, duševné poruchy </w:t>
            </w:r>
            <w:r w:rsidRPr="00B715A4">
              <w:rPr>
                <w:lang w:val="sk-SK"/>
              </w:rPr>
              <w:t xml:space="preserve">depresívna nálada, poruchy nálady a </w:t>
            </w:r>
            <w:r w:rsidR="001677DE">
              <w:rPr>
                <w:lang w:val="sk-SK"/>
              </w:rPr>
              <w:t>nepokoj</w:t>
            </w:r>
            <w:r w:rsidRPr="00B715A4">
              <w:rPr>
                <w:lang w:val="sk-SK"/>
              </w:rPr>
              <w:t>, nočné mo</w:t>
            </w:r>
            <w:r w:rsidR="008656C1">
              <w:rPr>
                <w:lang w:val="sk-SK"/>
              </w:rPr>
              <w:t>ry</w:t>
            </w:r>
          </w:p>
        </w:tc>
      </w:tr>
      <w:tr w:rsidR="00D81B22" w:rsidRPr="00CC670E" w14:paraId="2170B48C" w14:textId="77777777" w:rsidTr="007662F9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F2A2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5ABC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2B117" w14:textId="77777777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psychotické poruchy</w:t>
            </w:r>
          </w:p>
        </w:tc>
      </w:tr>
      <w:tr w:rsidR="00D81B22" w:rsidRPr="00CC670E" w14:paraId="1D7D4FF2" w14:textId="77777777" w:rsidTr="00080F7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CB15A1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nervového systému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09B939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3A3BC" w14:textId="77777777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bolesti hlavy, triaška</w:t>
            </w:r>
          </w:p>
        </w:tc>
      </w:tr>
      <w:tr w:rsidR="00D81B22" w:rsidRPr="00CC670E" w14:paraId="14BF76E5" w14:textId="77777777" w:rsidTr="00080F73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70B8EC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7336E9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0E682F" w14:textId="548D897B" w:rsidR="00D81B22" w:rsidRPr="00B715A4" w:rsidRDefault="00A574F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poruchy nervového systému</w:t>
            </w:r>
            <w:r w:rsidR="004968E9">
              <w:rPr>
                <w:lang w:val="sk-SK"/>
              </w:rPr>
              <w:t>,</w:t>
            </w:r>
            <w:r w:rsidRPr="00B715A4">
              <w:rPr>
                <w:lang w:val="sk-SK"/>
              </w:rPr>
              <w:t xml:space="preserve"> </w:t>
            </w:r>
            <w:r w:rsidR="00D81B22" w:rsidRPr="00B715A4">
              <w:rPr>
                <w:lang w:val="sk-SK"/>
              </w:rPr>
              <w:t xml:space="preserve">záchvaty, </w:t>
            </w:r>
            <w:r w:rsidR="00CD3D8A" w:rsidRPr="00B715A4">
              <w:rPr>
                <w:lang w:val="sk-SK"/>
              </w:rPr>
              <w:t>poruchy vedomia</w:t>
            </w:r>
            <w:r w:rsidR="00CD3D8A">
              <w:rPr>
                <w:lang w:val="sk-SK"/>
              </w:rPr>
              <w:t xml:space="preserve">, </w:t>
            </w:r>
            <w:r w:rsidR="00010A17">
              <w:rPr>
                <w:lang w:val="sk-SK"/>
              </w:rPr>
              <w:t xml:space="preserve">periférna </w:t>
            </w:r>
            <w:r w:rsidR="00CD3D8A">
              <w:rPr>
                <w:lang w:val="sk-SK"/>
              </w:rPr>
              <w:t xml:space="preserve">neuropatia, </w:t>
            </w:r>
            <w:r w:rsidR="000367E2">
              <w:rPr>
                <w:lang w:val="sk-SK"/>
              </w:rPr>
              <w:t>závraty</w:t>
            </w:r>
            <w:r w:rsidR="00CD3D8A">
              <w:rPr>
                <w:lang w:val="sk-SK"/>
              </w:rPr>
              <w:t xml:space="preserve">, </w:t>
            </w:r>
            <w:r w:rsidR="00D81B22" w:rsidRPr="00B715A4">
              <w:rPr>
                <w:lang w:val="sk-SK"/>
              </w:rPr>
              <w:t xml:space="preserve">parestézia a dyzestézia, </w:t>
            </w:r>
            <w:r w:rsidRPr="00BC55D2">
              <w:rPr>
                <w:lang w:val="sk-SK"/>
              </w:rPr>
              <w:t xml:space="preserve">zhoršenie </w:t>
            </w:r>
            <w:r w:rsidR="00BC55D2">
              <w:rPr>
                <w:lang w:val="sk-SK"/>
              </w:rPr>
              <w:t xml:space="preserve">schopnosti </w:t>
            </w:r>
            <w:r w:rsidRPr="00BC55D2">
              <w:rPr>
                <w:lang w:val="sk-SK"/>
              </w:rPr>
              <w:t>písania</w:t>
            </w:r>
          </w:p>
        </w:tc>
      </w:tr>
      <w:tr w:rsidR="00D81B22" w:rsidRPr="00CC670E" w14:paraId="06A40EB2" w14:textId="77777777" w:rsidTr="007662F9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40DBED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41D76F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289FA" w14:textId="77777777" w:rsidR="00D81B22" w:rsidRPr="00B715A4" w:rsidRDefault="00CD3D8A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 xml:space="preserve">encefalopatia, </w:t>
            </w:r>
            <w:r w:rsidR="00D81B22" w:rsidRPr="00B715A4">
              <w:rPr>
                <w:lang w:val="sk-SK"/>
              </w:rPr>
              <w:t>hemorágia centrálneho nervového systému a cerebrovaskulárne príhody,</w:t>
            </w:r>
            <w:r w:rsidR="00A574F2">
              <w:rPr>
                <w:lang w:val="sk-SK"/>
              </w:rPr>
              <w:t xml:space="preserve"> kóma, </w:t>
            </w:r>
            <w:r w:rsidR="00D81B22" w:rsidRPr="00B715A4">
              <w:rPr>
                <w:lang w:val="sk-SK"/>
              </w:rPr>
              <w:t>abnormality v </w:t>
            </w:r>
            <w:r>
              <w:rPr>
                <w:lang w:val="sk-SK"/>
              </w:rPr>
              <w:t xml:space="preserve">používaní reči a jazyka, </w:t>
            </w:r>
            <w:r w:rsidR="00A574F2" w:rsidRPr="00B715A4">
              <w:rPr>
                <w:lang w:val="sk-SK"/>
              </w:rPr>
              <w:t>paralýza a paréza,</w:t>
            </w:r>
            <w:r>
              <w:rPr>
                <w:lang w:val="sk-SK"/>
              </w:rPr>
              <w:t xml:space="preserve"> amnézia</w:t>
            </w:r>
          </w:p>
        </w:tc>
      </w:tr>
      <w:tr w:rsidR="00D81B22" w:rsidRPr="00CC670E" w14:paraId="0A32BF5C" w14:textId="77777777" w:rsidTr="007662F9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D4721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9DBB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DF8D0B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hypertónia</w:t>
            </w:r>
          </w:p>
        </w:tc>
      </w:tr>
      <w:tr w:rsidR="00D81B22" w:rsidRPr="00CC670E" w14:paraId="32848083" w14:textId="77777777" w:rsidTr="00E12263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02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762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496C" w14:textId="77777777" w:rsidR="00D81B22" w:rsidRPr="00B715A4" w:rsidRDefault="00CD3D8A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m</w:t>
            </w:r>
            <w:r w:rsidR="00D81B22" w:rsidRPr="00B715A4">
              <w:rPr>
                <w:rFonts w:eastAsia="QJSBGJ+TimesNewRoman"/>
                <w:lang w:val="sk-SK"/>
              </w:rPr>
              <w:t>yasténia</w:t>
            </w:r>
          </w:p>
        </w:tc>
      </w:tr>
      <w:tr w:rsidR="00D81B22" w:rsidRPr="00CC670E" w14:paraId="17DDAB6D" w14:textId="77777777" w:rsidTr="000367E2">
        <w:trPr>
          <w:trHeight w:val="339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42F7FC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oka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304295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772546" w14:textId="77777777" w:rsidR="00D81B22" w:rsidRPr="00B715A4" w:rsidRDefault="000367E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poruchy oka</w:t>
            </w:r>
            <w:r>
              <w:rPr>
                <w:lang w:val="sk-SK"/>
              </w:rPr>
              <w:t xml:space="preserve">, </w:t>
            </w:r>
            <w:r w:rsidR="00D81B22" w:rsidRPr="00B715A4">
              <w:rPr>
                <w:lang w:val="sk-SK"/>
              </w:rPr>
              <w:t>rozmaza</w:t>
            </w:r>
            <w:r>
              <w:rPr>
                <w:lang w:val="sk-SK"/>
              </w:rPr>
              <w:t>né videnie, fotofóbia</w:t>
            </w:r>
          </w:p>
        </w:tc>
      </w:tr>
      <w:tr w:rsidR="00D81B22" w:rsidRPr="00CC670E" w14:paraId="0334ACF8" w14:textId="77777777" w:rsidTr="00E12263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06228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677C25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26EE1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katarakta</w:t>
            </w:r>
          </w:p>
        </w:tc>
      </w:tr>
      <w:tr w:rsidR="00D81B22" w:rsidRPr="00CC670E" w14:paraId="67F74105" w14:textId="77777777" w:rsidTr="00E12263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69E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AB86" w14:textId="77777777" w:rsidR="00D81B22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  <w:p w14:paraId="0CDBEDAD" w14:textId="77777777" w:rsidR="006940AC" w:rsidRPr="00B715A4" w:rsidRDefault="006940AC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Neznáme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CFF3" w14:textId="77777777" w:rsidR="00D81B22" w:rsidRDefault="003A7959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s</w:t>
            </w:r>
            <w:r w:rsidR="00D81B22" w:rsidRPr="00B715A4">
              <w:rPr>
                <w:rFonts w:eastAsia="QJSBGJ+TimesNewRoman"/>
                <w:lang w:val="sk-SK"/>
              </w:rPr>
              <w:t>lepota</w:t>
            </w:r>
          </w:p>
          <w:p w14:paraId="00EB8FC6" w14:textId="77777777" w:rsidR="006940AC" w:rsidRPr="00B715A4" w:rsidRDefault="006940AC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optická neuropatia</w:t>
            </w:r>
          </w:p>
        </w:tc>
      </w:tr>
      <w:tr w:rsidR="00D81B22" w:rsidRPr="00CC670E" w14:paraId="2AB88945" w14:textId="77777777" w:rsidTr="00E12263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64F76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ucha a labyrintu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A31D5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A34CD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tinitus</w:t>
            </w:r>
          </w:p>
        </w:tc>
      </w:tr>
      <w:tr w:rsidR="00D81B22" w:rsidRPr="00CC670E" w14:paraId="377BEE5E" w14:textId="77777777" w:rsidTr="00E12263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6EC05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92806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14E76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hypoakúzia</w:t>
            </w:r>
          </w:p>
        </w:tc>
      </w:tr>
      <w:tr w:rsidR="00D81B22" w:rsidRPr="00CC670E" w14:paraId="557FC796" w14:textId="77777777" w:rsidTr="00E12263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45C66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97D24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27783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neurosenzorická hluchota</w:t>
            </w:r>
          </w:p>
        </w:tc>
      </w:tr>
      <w:tr w:rsidR="00D81B22" w:rsidRPr="00CC670E" w14:paraId="129F2801" w14:textId="77777777" w:rsidTr="00B4661B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AE05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B834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7A2F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poruchy sluchu</w:t>
            </w:r>
          </w:p>
        </w:tc>
      </w:tr>
      <w:tr w:rsidR="00D81B22" w:rsidRPr="00CC670E" w14:paraId="7EA69F0B" w14:textId="77777777" w:rsidTr="00B4661B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CE7A69" w14:textId="77777777" w:rsidR="00D81B22" w:rsidRPr="00B715A4" w:rsidRDefault="00D81B22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srdca a srdcovej činnosti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B1C5C" w14:textId="77777777" w:rsidR="00D81B22" w:rsidRPr="00B715A4" w:rsidRDefault="00D81B22" w:rsidP="00161C2C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BBC5F8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ischemické poruchy koronárnej artérie, tachykardia</w:t>
            </w:r>
          </w:p>
        </w:tc>
      </w:tr>
      <w:tr w:rsidR="00D81B22" w:rsidRPr="00CC670E" w14:paraId="76B80B85" w14:textId="77777777" w:rsidTr="00B4661B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0750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6C6D7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70784" w14:textId="23A609B6" w:rsidR="00D81B22" w:rsidRPr="00B715A4" w:rsidRDefault="00C20534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 xml:space="preserve">srdcové zlyhávanie, </w:t>
            </w:r>
            <w:r w:rsidR="00D81B22" w:rsidRPr="00B715A4">
              <w:rPr>
                <w:lang w:val="sk-SK"/>
              </w:rPr>
              <w:t>ventrik</w:t>
            </w:r>
            <w:r>
              <w:rPr>
                <w:lang w:val="sk-SK"/>
              </w:rPr>
              <w:t>ulárne arytmie a zástava srdca</w:t>
            </w:r>
            <w:r w:rsidR="00D81B22" w:rsidRPr="00B715A4">
              <w:rPr>
                <w:lang w:val="sk-SK"/>
              </w:rPr>
              <w:t xml:space="preserve">, </w:t>
            </w:r>
            <w:r w:rsidRPr="00B715A4">
              <w:rPr>
                <w:lang w:val="sk-SK"/>
              </w:rPr>
              <w:t>supraventrikulárne arytmie</w:t>
            </w:r>
            <w:r>
              <w:rPr>
                <w:lang w:val="sk-SK"/>
              </w:rPr>
              <w:t xml:space="preserve">, </w:t>
            </w:r>
            <w:r w:rsidR="00D81B22" w:rsidRPr="00B715A4">
              <w:rPr>
                <w:lang w:val="sk-SK"/>
              </w:rPr>
              <w:t>kardiomyopati</w:t>
            </w:r>
            <w:r w:rsidR="00161C2C">
              <w:rPr>
                <w:lang w:val="sk-SK"/>
              </w:rPr>
              <w:t>e</w:t>
            </w:r>
            <w:r w:rsidR="00D81B22" w:rsidRPr="00B715A4">
              <w:rPr>
                <w:lang w:val="sk-SK"/>
              </w:rPr>
              <w:t>, ventrikulárna hypertrofia, palpitácie</w:t>
            </w:r>
          </w:p>
        </w:tc>
      </w:tr>
      <w:tr w:rsidR="00D81B22" w:rsidRPr="00CC670E" w14:paraId="0B2DD961" w14:textId="77777777" w:rsidTr="00B4661B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9EF2D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6EFF5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C05947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perikardiálna efúzia</w:t>
            </w:r>
          </w:p>
        </w:tc>
      </w:tr>
      <w:tr w:rsidR="00D81B22" w:rsidRPr="00CC670E" w14:paraId="5A4B0A09" w14:textId="77777777" w:rsidTr="00FD2B31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16E2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FC23C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1B17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i/>
                <w:lang w:val="sk-SK" w:eastAsia="nl-NL"/>
              </w:rPr>
              <w:t xml:space="preserve">Torsades de Pointes </w:t>
            </w:r>
          </w:p>
        </w:tc>
      </w:tr>
      <w:tr w:rsidR="00D81B22" w:rsidRPr="00CC670E" w14:paraId="50F5F904" w14:textId="77777777" w:rsidTr="00FD2B3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CCDC74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ciev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32182B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D61525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hypertenzia</w:t>
            </w:r>
          </w:p>
        </w:tc>
      </w:tr>
      <w:tr w:rsidR="00D81B22" w:rsidRPr="00CC670E" w14:paraId="4D817F2B" w14:textId="77777777" w:rsidTr="00FD2B31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5F00B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B6CC2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8271D" w14:textId="110F153A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trombo</w:t>
            </w:r>
            <w:r w:rsidR="0088294B">
              <w:rPr>
                <w:lang w:val="sk-SK"/>
              </w:rPr>
              <w:t xml:space="preserve">embolické a ischemické príhody, </w:t>
            </w:r>
            <w:r w:rsidR="0088294B" w:rsidRPr="00B715A4">
              <w:rPr>
                <w:lang w:val="sk-SK"/>
              </w:rPr>
              <w:t>hypotenzné cievne poruchy</w:t>
            </w:r>
            <w:r w:rsidR="0088294B">
              <w:rPr>
                <w:lang w:val="sk-SK"/>
              </w:rPr>
              <w:t xml:space="preserve">, </w:t>
            </w:r>
            <w:r w:rsidR="00161C2C">
              <w:rPr>
                <w:lang w:val="sk-SK"/>
              </w:rPr>
              <w:t xml:space="preserve">hemorágie, </w:t>
            </w:r>
            <w:r w:rsidR="0088294B">
              <w:rPr>
                <w:lang w:val="sk-SK"/>
              </w:rPr>
              <w:t>periférne cievne poruchy</w:t>
            </w:r>
          </w:p>
        </w:tc>
      </w:tr>
      <w:tr w:rsidR="00D81B22" w:rsidRPr="00CC670E" w14:paraId="7CDE957D" w14:textId="77777777" w:rsidTr="00FD2B31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633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49F1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59ED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trombóza hĺbkových žíl končatín, šok</w:t>
            </w:r>
            <w:r w:rsidR="0088294B">
              <w:rPr>
                <w:lang w:val="sk-SK"/>
              </w:rPr>
              <w:t>, infarkt</w:t>
            </w:r>
          </w:p>
        </w:tc>
      </w:tr>
      <w:tr w:rsidR="00D81B22" w:rsidRPr="00CC670E" w14:paraId="6367E58A" w14:textId="77777777" w:rsidTr="00FD2B31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19DCB1" w14:textId="77777777" w:rsidR="00D81B22" w:rsidRPr="00B715A4" w:rsidRDefault="00D81B22" w:rsidP="00B52FD1">
            <w:pPr>
              <w:rPr>
                <w:b/>
                <w:lang w:val="sk-SK"/>
              </w:rPr>
            </w:pPr>
            <w:r w:rsidRPr="00B715A4">
              <w:rPr>
                <w:b/>
                <w:lang w:val="sk-SK"/>
              </w:rPr>
              <w:t>Poruchy dýchacej sústavy, hrudníka a mediastína</w:t>
            </w:r>
          </w:p>
          <w:p w14:paraId="35342494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C170A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BC99DF" w14:textId="77777777" w:rsidR="00D81B22" w:rsidRPr="00B715A4" w:rsidRDefault="00C743BC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poruchy pľúcneho parenchýmu,</w:t>
            </w:r>
            <w:r>
              <w:rPr>
                <w:lang w:val="sk-SK"/>
              </w:rPr>
              <w:t xml:space="preserve"> dyspnoe, </w:t>
            </w:r>
            <w:r w:rsidR="00D81B22" w:rsidRPr="00B715A4">
              <w:rPr>
                <w:lang w:val="sk-SK"/>
              </w:rPr>
              <w:t xml:space="preserve">pleurálna efúzia, </w:t>
            </w:r>
            <w:r>
              <w:rPr>
                <w:lang w:val="sk-SK"/>
              </w:rPr>
              <w:t xml:space="preserve">kašeľ, faryngitída, </w:t>
            </w:r>
            <w:r w:rsidR="00D81B22" w:rsidRPr="00B715A4">
              <w:rPr>
                <w:lang w:val="sk-SK"/>
              </w:rPr>
              <w:t>prekrvenie nosa a zápaly</w:t>
            </w:r>
          </w:p>
        </w:tc>
      </w:tr>
      <w:tr w:rsidR="00D81B22" w:rsidRPr="00CC670E" w14:paraId="33071D3D" w14:textId="77777777" w:rsidTr="00FD2B31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DBDB2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311FC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5AC7E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respiračné zlyhanie, poruchy dýchacej sústavy, astma</w:t>
            </w:r>
          </w:p>
        </w:tc>
      </w:tr>
      <w:tr w:rsidR="00D81B22" w:rsidRPr="00CC670E" w14:paraId="0D90BEFE" w14:textId="77777777" w:rsidTr="00AC759A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813B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86A2" w14:textId="77777777" w:rsidR="00D81B22" w:rsidRPr="00B715A4" w:rsidRDefault="00D81B22" w:rsidP="00161C2C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B24B" w14:textId="31C65D34" w:rsidR="00D81B22" w:rsidRPr="00B715A4" w:rsidRDefault="00161C2C" w:rsidP="00161C2C">
            <w:pPr>
              <w:adjustRightInd w:val="0"/>
              <w:rPr>
                <w:rFonts w:eastAsia="QJSBGJ+TimesNewRoman"/>
                <w:lang w:val="sk-SK"/>
              </w:rPr>
            </w:pPr>
            <w:r w:rsidRPr="00161C2C">
              <w:rPr>
                <w:lang w:val="sk-SK"/>
              </w:rPr>
              <w:t>syndróm akútnej respiračnej tiesne</w:t>
            </w:r>
            <w:r w:rsidRPr="00161C2C" w:rsidDel="00161C2C">
              <w:rPr>
                <w:lang w:val="sk-SK"/>
              </w:rPr>
              <w:t xml:space="preserve"> </w:t>
            </w:r>
          </w:p>
        </w:tc>
      </w:tr>
      <w:tr w:rsidR="00D81B22" w:rsidRPr="00CC670E" w14:paraId="755A3D53" w14:textId="77777777" w:rsidTr="00AC759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BBE4A" w14:textId="77777777" w:rsidR="00D81B22" w:rsidRPr="00B715A4" w:rsidRDefault="00D81B22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gastrointestinálneho traktu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BFD035" w14:textId="77777777" w:rsidR="00D81B22" w:rsidRPr="00B715A4" w:rsidRDefault="00D81B22" w:rsidP="00161C2C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36B5B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hnačka, nauzea</w:t>
            </w:r>
          </w:p>
        </w:tc>
      </w:tr>
      <w:tr w:rsidR="00D81B22" w:rsidRPr="00CC670E" w14:paraId="52C74E26" w14:textId="77777777" w:rsidTr="00AC759A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EF8CFF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00CA9B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699072" w14:textId="77777777" w:rsidR="000C166D" w:rsidRDefault="00324043" w:rsidP="006E73D4">
            <w:pPr>
              <w:adjustRightInd w:val="0"/>
              <w:rPr>
                <w:lang w:val="sk-SK"/>
              </w:rPr>
            </w:pPr>
            <w:r>
              <w:rPr>
                <w:lang w:val="sk-SK"/>
              </w:rPr>
              <w:t>gastrointestinálne prejavy</w:t>
            </w:r>
            <w:r w:rsidR="00766329" w:rsidRPr="00B715A4">
              <w:rPr>
                <w:lang w:val="sk-SK"/>
              </w:rPr>
              <w:t xml:space="preserve"> a</w:t>
            </w:r>
            <w:r w:rsidR="00766329">
              <w:rPr>
                <w:lang w:val="sk-SK"/>
              </w:rPr>
              <w:t> </w:t>
            </w:r>
            <w:r>
              <w:rPr>
                <w:lang w:val="sk-SK"/>
              </w:rPr>
              <w:t>príznaky</w:t>
            </w:r>
            <w:r w:rsidR="00766329">
              <w:rPr>
                <w:lang w:val="sk-SK"/>
              </w:rPr>
              <w:t xml:space="preserve">, </w:t>
            </w:r>
            <w:r w:rsidR="00766329" w:rsidRPr="00B715A4">
              <w:rPr>
                <w:lang w:val="sk-SK"/>
              </w:rPr>
              <w:t>vracanie,</w:t>
            </w:r>
            <w:r w:rsidR="00766329">
              <w:rPr>
                <w:lang w:val="sk-SK"/>
              </w:rPr>
              <w:t xml:space="preserve"> </w:t>
            </w:r>
            <w:r w:rsidR="005768F7">
              <w:rPr>
                <w:lang w:val="sk-SK"/>
              </w:rPr>
              <w:t xml:space="preserve">bolesti gastrointestinálneho </w:t>
            </w:r>
            <w:r w:rsidR="00766329" w:rsidRPr="00B715A4">
              <w:rPr>
                <w:lang w:val="sk-SK"/>
              </w:rPr>
              <w:t>traktu a brušnej dutiny</w:t>
            </w:r>
            <w:r w:rsidR="000C166D">
              <w:rPr>
                <w:lang w:val="sk-SK"/>
              </w:rPr>
              <w:t xml:space="preserve">, </w:t>
            </w:r>
            <w:r w:rsidR="00D81B22" w:rsidRPr="00B715A4">
              <w:rPr>
                <w:lang w:val="sk-SK"/>
              </w:rPr>
              <w:t xml:space="preserve">zápaly gastrointestinálneho traktu, </w:t>
            </w:r>
            <w:r w:rsidR="000C166D" w:rsidRPr="00B715A4">
              <w:rPr>
                <w:lang w:val="sk-SK"/>
              </w:rPr>
              <w:t xml:space="preserve">krvácania do gastrointestinálneho traktu </w:t>
            </w:r>
            <w:r w:rsidR="00D81B22" w:rsidRPr="00B715A4">
              <w:rPr>
                <w:lang w:val="sk-SK"/>
              </w:rPr>
              <w:t xml:space="preserve">vredy a perforácie gastrointestinálneho traktu, stomatitída a ulcerácia, </w:t>
            </w:r>
            <w:r w:rsidR="000C166D">
              <w:rPr>
                <w:lang w:val="sk-SK"/>
              </w:rPr>
              <w:t>zápcha, dyspeptické prejavy a príznaky,</w:t>
            </w:r>
          </w:p>
          <w:p w14:paraId="0FD7543C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plynatosť, meteorizmus a distenzia, riedka stolica, </w:t>
            </w:r>
          </w:p>
        </w:tc>
      </w:tr>
      <w:tr w:rsidR="00D81B22" w:rsidRPr="00CC670E" w14:paraId="4FBD455A" w14:textId="77777777" w:rsidTr="00AC759A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DE52A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D628A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59F94A" w14:textId="7BB0535B" w:rsidR="00D81B22" w:rsidRPr="00B715A4" w:rsidRDefault="000C166D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akútna a chronická pankreatitída, </w:t>
            </w:r>
            <w:r w:rsidR="00D81B22" w:rsidRPr="00B715A4">
              <w:rPr>
                <w:lang w:val="sk-SK"/>
              </w:rPr>
              <w:t>paralytický ileus,  gastroezof</w:t>
            </w:r>
            <w:r w:rsidR="006E73D4">
              <w:rPr>
                <w:lang w:val="sk-SK"/>
              </w:rPr>
              <w:t>ágová</w:t>
            </w:r>
            <w:r w:rsidR="00D81B22" w:rsidRPr="00B715A4">
              <w:rPr>
                <w:lang w:val="sk-SK"/>
              </w:rPr>
              <w:t xml:space="preserve"> refl</w:t>
            </w:r>
            <w:r w:rsidR="006E73D4">
              <w:rPr>
                <w:lang w:val="sk-SK"/>
              </w:rPr>
              <w:t>uxová choroba</w:t>
            </w:r>
            <w:r w:rsidR="00D81B22" w:rsidRPr="00B715A4">
              <w:rPr>
                <w:lang w:val="sk-SK"/>
              </w:rPr>
              <w:t>, poruchy vyprázdňovania žalúdka</w:t>
            </w:r>
          </w:p>
        </w:tc>
      </w:tr>
      <w:tr w:rsidR="00D81B22" w:rsidRPr="00CC670E" w14:paraId="2A165A54" w14:textId="77777777" w:rsidTr="004C437A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3C0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4F5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689E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pankreatické pseudocysty</w:t>
            </w:r>
            <w:r w:rsidR="000C166D">
              <w:rPr>
                <w:lang w:val="sk-SK"/>
              </w:rPr>
              <w:t xml:space="preserve">, </w:t>
            </w:r>
            <w:r w:rsidR="003A7959">
              <w:rPr>
                <w:lang w:val="sk-SK"/>
              </w:rPr>
              <w:t>neúplný ileus</w:t>
            </w:r>
          </w:p>
        </w:tc>
      </w:tr>
      <w:tr w:rsidR="00D81B22" w:rsidRPr="00CC670E" w14:paraId="57126C10" w14:textId="77777777" w:rsidTr="004C437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415B1" w14:textId="77777777" w:rsidR="00D81B22" w:rsidRPr="00B715A4" w:rsidRDefault="00D81B22" w:rsidP="00B52FD1">
            <w:pPr>
              <w:rPr>
                <w:b/>
                <w:lang w:val="sk-SK"/>
              </w:rPr>
            </w:pPr>
            <w:r w:rsidRPr="00B715A4">
              <w:rPr>
                <w:b/>
                <w:lang w:val="sk-SK"/>
              </w:rPr>
              <w:t>Poruchy pečene a žlčových ciest</w:t>
            </w:r>
          </w:p>
          <w:p w14:paraId="6A110496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E9CDC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890D1D" w14:textId="77777777" w:rsidR="00190C64" w:rsidRDefault="00190C64" w:rsidP="006E73D4">
            <w:pPr>
              <w:adjustRightInd w:val="0"/>
              <w:rPr>
                <w:lang w:val="sk-SK"/>
              </w:rPr>
            </w:pPr>
            <w:r>
              <w:rPr>
                <w:lang w:val="sk-SK"/>
              </w:rPr>
              <w:t>poruchy žlčových ciest,</w:t>
            </w:r>
          </w:p>
          <w:p w14:paraId="69C8CAA1" w14:textId="77777777" w:rsidR="00D81B22" w:rsidRPr="00B715A4" w:rsidRDefault="00D81B22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poškod</w:t>
            </w:r>
            <w:r w:rsidR="00190C64">
              <w:rPr>
                <w:lang w:val="sk-SK"/>
              </w:rPr>
              <w:t>enie pečeňových buniek a hepatitída</w:t>
            </w:r>
            <w:r w:rsidRPr="00B715A4">
              <w:rPr>
                <w:lang w:val="sk-SK"/>
              </w:rPr>
              <w:t>,</w:t>
            </w:r>
            <w:r w:rsidR="00190C64">
              <w:rPr>
                <w:lang w:val="sk-SK"/>
              </w:rPr>
              <w:t xml:space="preserve"> cholestáza a žltačka</w:t>
            </w:r>
          </w:p>
        </w:tc>
      </w:tr>
      <w:tr w:rsidR="00D81B22" w:rsidRPr="00CC670E" w14:paraId="1DEB06A3" w14:textId="77777777" w:rsidTr="004C437A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87907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7EBDE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073E6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venookluzívne ochorenie pečene</w:t>
            </w:r>
            <w:r w:rsidR="00190C64">
              <w:rPr>
                <w:lang w:val="sk-SK"/>
              </w:rPr>
              <w:t xml:space="preserve">, </w:t>
            </w:r>
            <w:r w:rsidR="00190C64" w:rsidRPr="00B715A4">
              <w:rPr>
                <w:lang w:val="sk-SK"/>
              </w:rPr>
              <w:t>trombóza artérie pečene,</w:t>
            </w:r>
          </w:p>
        </w:tc>
      </w:tr>
      <w:tr w:rsidR="00D81B22" w:rsidRPr="00CC670E" w14:paraId="384C79C7" w14:textId="77777777" w:rsidTr="00F9069C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6B03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3D16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5D84" w14:textId="77777777" w:rsidR="00D81B22" w:rsidRPr="00B715A4" w:rsidRDefault="00190C64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>zlyhanie pečene</w:t>
            </w:r>
          </w:p>
        </w:tc>
      </w:tr>
      <w:tr w:rsidR="00D81B22" w:rsidRPr="00CC670E" w14:paraId="4A376D3A" w14:textId="77777777" w:rsidTr="00F9069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E8A58D" w14:textId="77777777" w:rsidR="00D81B22" w:rsidRPr="00B715A4" w:rsidRDefault="00D81B22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Poruchy kože a podkožného tkaniva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3FF65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09921E" w14:textId="77777777" w:rsidR="00D81B22" w:rsidRPr="00B715A4" w:rsidRDefault="00AA7F58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>v</w:t>
            </w:r>
            <w:r w:rsidR="00D60EF0">
              <w:rPr>
                <w:lang w:val="sk-SK"/>
              </w:rPr>
              <w:t xml:space="preserve">yrážka, pruritus, </w:t>
            </w:r>
            <w:r w:rsidR="00D81B22" w:rsidRPr="00B715A4">
              <w:rPr>
                <w:lang w:val="sk-SK"/>
              </w:rPr>
              <w:t>alopécia, akné, zvýšené potenie</w:t>
            </w:r>
          </w:p>
        </w:tc>
      </w:tr>
      <w:tr w:rsidR="00D81B22" w:rsidRPr="00CC670E" w14:paraId="0E5BBDA9" w14:textId="77777777" w:rsidTr="00F9069C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62C3A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BB84F6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E8ADAE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dermatitída, fotosenzitivita</w:t>
            </w:r>
          </w:p>
        </w:tc>
      </w:tr>
      <w:tr w:rsidR="00D81B22" w:rsidRPr="00CC670E" w14:paraId="5FB4E0DA" w14:textId="77777777" w:rsidTr="00F9069C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87C0E0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FF5254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062B38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toxická epidermálna nekrolýza (Lyellov syndróm)</w:t>
            </w:r>
          </w:p>
        </w:tc>
      </w:tr>
      <w:tr w:rsidR="00A574F2" w:rsidRPr="00CC670E" w14:paraId="72240426" w14:textId="77777777" w:rsidTr="002328CC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FF6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2E6C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9F75" w14:textId="55F3CFBB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Stevens</w:t>
            </w:r>
            <w:r w:rsidR="00CF5CAE">
              <w:rPr>
                <w:rFonts w:eastAsia="QJSBGJ+TimesNewRoman"/>
                <w:lang w:val="sk-SK"/>
              </w:rPr>
              <w:t>ov</w:t>
            </w:r>
            <w:r w:rsidRPr="00B715A4">
              <w:rPr>
                <w:rFonts w:eastAsia="QJSBGJ+TimesNewRoman"/>
                <w:lang w:val="sk-SK"/>
              </w:rPr>
              <w:t>-Johnsonov syndróm</w:t>
            </w:r>
          </w:p>
        </w:tc>
      </w:tr>
      <w:tr w:rsidR="00D81B22" w:rsidRPr="00CC670E" w14:paraId="67CEECF7" w14:textId="77777777" w:rsidTr="002328C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C00BEE" w14:textId="77777777" w:rsidR="00D81B22" w:rsidRPr="00B715A4" w:rsidRDefault="00D81B22" w:rsidP="00B52FD1">
            <w:pPr>
              <w:rPr>
                <w:b/>
                <w:lang w:val="sk-SK"/>
              </w:rPr>
            </w:pPr>
            <w:r w:rsidRPr="00B715A4">
              <w:rPr>
                <w:b/>
                <w:lang w:val="sk-SK"/>
              </w:rPr>
              <w:t>Poruchy kostrovej a svalovej sústavy a spojivového tkaniva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96997A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8ACC5E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artralgia, </w:t>
            </w:r>
            <w:r w:rsidR="009A3DF9" w:rsidRPr="00B715A4">
              <w:rPr>
                <w:lang w:val="sk-SK"/>
              </w:rPr>
              <w:t>bolesti chrbta</w:t>
            </w:r>
            <w:r w:rsidR="009A3DF9">
              <w:rPr>
                <w:lang w:val="sk-SK"/>
              </w:rPr>
              <w:t>, svalové kŕče, bolesti končatín</w:t>
            </w:r>
          </w:p>
        </w:tc>
      </w:tr>
      <w:tr w:rsidR="00D81B22" w:rsidRPr="00CC670E" w14:paraId="1448E1C2" w14:textId="77777777" w:rsidTr="002328CC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5B021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28C40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6B37D0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poruchy kĺbov</w:t>
            </w:r>
          </w:p>
        </w:tc>
      </w:tr>
      <w:tr w:rsidR="00D81B22" w:rsidRPr="00CC670E" w14:paraId="607EFDDE" w14:textId="77777777" w:rsidTr="002369BA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95FC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B77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92AF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znížená pohyblivosť</w:t>
            </w:r>
          </w:p>
        </w:tc>
      </w:tr>
      <w:tr w:rsidR="00D81B22" w:rsidRPr="00CC670E" w14:paraId="78AEE0E4" w14:textId="77777777" w:rsidTr="002369BA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DE13A1" w14:textId="77777777" w:rsidR="00D81B22" w:rsidRPr="00B715A4" w:rsidRDefault="00D81B22" w:rsidP="00B52FD1">
            <w:pPr>
              <w:rPr>
                <w:b/>
                <w:lang w:val="sk-SK"/>
              </w:rPr>
            </w:pPr>
            <w:r w:rsidRPr="00B715A4">
              <w:rPr>
                <w:b/>
                <w:lang w:val="sk-SK"/>
              </w:rPr>
              <w:t>Poruchy obličiek a močových ciest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A3C322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81B94F" w14:textId="367AC2EB" w:rsidR="00D81B22" w:rsidRPr="00B715A4" w:rsidRDefault="00CF5CAE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>porucha funkcie</w:t>
            </w:r>
            <w:r w:rsidR="00D81B22" w:rsidRPr="00B715A4">
              <w:rPr>
                <w:lang w:val="sk-SK"/>
              </w:rPr>
              <w:t xml:space="preserve"> obličiek</w:t>
            </w:r>
          </w:p>
        </w:tc>
      </w:tr>
      <w:tr w:rsidR="00D81B22" w:rsidRPr="00CC670E" w14:paraId="50C411A2" w14:textId="77777777" w:rsidTr="002369BA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678D2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860300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E1ABA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zlyhanie obličiek, akútne zlyhanie obličiek, </w:t>
            </w:r>
            <w:r w:rsidR="00097CD3" w:rsidRPr="00B715A4">
              <w:rPr>
                <w:lang w:val="sk-SK"/>
              </w:rPr>
              <w:t>toxická nefropatia, tubulárna nekróza obličiek, abnormality močových ciest,</w:t>
            </w:r>
            <w:r w:rsidR="00097CD3">
              <w:rPr>
                <w:lang w:val="sk-SK"/>
              </w:rPr>
              <w:t xml:space="preserve"> oligúria, </w:t>
            </w:r>
            <w:r w:rsidRPr="00B715A4">
              <w:rPr>
                <w:lang w:val="sk-SK"/>
              </w:rPr>
              <w:t>príznaky ochorenia močového mechúra a močovodu</w:t>
            </w:r>
          </w:p>
        </w:tc>
      </w:tr>
      <w:tr w:rsidR="00D81B22" w:rsidRPr="00CC670E" w14:paraId="0F71977D" w14:textId="77777777" w:rsidTr="002369BA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5594F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FDCE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B56E6" w14:textId="77777777" w:rsidR="00D81B22" w:rsidRPr="00B715A4" w:rsidRDefault="00097CD3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hemolytický uremický syndróm</w:t>
            </w:r>
            <w:r>
              <w:rPr>
                <w:lang w:val="sk-SK"/>
              </w:rPr>
              <w:t>,</w:t>
            </w:r>
            <w:r w:rsidRPr="00B715A4">
              <w:rPr>
                <w:lang w:val="sk-SK"/>
              </w:rPr>
              <w:t xml:space="preserve"> </w:t>
            </w:r>
            <w:r>
              <w:rPr>
                <w:lang w:val="sk-SK"/>
              </w:rPr>
              <w:t>anúria</w:t>
            </w:r>
          </w:p>
        </w:tc>
      </w:tr>
      <w:tr w:rsidR="00D81B22" w:rsidRPr="00CC670E" w14:paraId="53032F35" w14:textId="77777777" w:rsidTr="00FE257C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5979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403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05D" w14:textId="77777777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nefropatia, hemoragická cystitída</w:t>
            </w:r>
          </w:p>
        </w:tc>
      </w:tr>
      <w:tr w:rsidR="00D81B22" w:rsidRPr="00CC670E" w14:paraId="1CD0CA09" w14:textId="77777777" w:rsidTr="00FE25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F2C6" w14:textId="77777777" w:rsidR="00D81B22" w:rsidRPr="00B715A4" w:rsidRDefault="00B715A4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 xml:space="preserve">Poruchy </w:t>
            </w:r>
            <w:r w:rsidR="00D81B22" w:rsidRPr="00B715A4">
              <w:rPr>
                <w:rFonts w:eastAsia="QJSBGJ+TimesNewRoman"/>
                <w:b/>
                <w:lang w:val="sk-SK"/>
              </w:rPr>
              <w:t>reprodukčného systému a prsníkov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6CB3" w14:textId="77777777" w:rsidR="00D81B22" w:rsidRPr="00B715A4" w:rsidRDefault="003D467E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CF8B" w14:textId="77777777" w:rsidR="00D81B22" w:rsidRPr="00B715A4" w:rsidRDefault="00D81B22" w:rsidP="006E73D4">
            <w:pPr>
              <w:rPr>
                <w:lang w:val="sk-SK"/>
              </w:rPr>
            </w:pPr>
            <w:r w:rsidRPr="00B715A4">
              <w:rPr>
                <w:lang w:val="sk-SK"/>
              </w:rPr>
              <w:t>bolestivá menštruácia a krvácanie z uteru</w:t>
            </w:r>
          </w:p>
        </w:tc>
      </w:tr>
      <w:tr w:rsidR="00D81B22" w:rsidRPr="00CC670E" w14:paraId="09E03C28" w14:textId="77777777" w:rsidTr="00FE257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E37A23" w14:textId="77777777" w:rsidR="00D81B22" w:rsidRPr="00B715A4" w:rsidRDefault="00D81B22" w:rsidP="00235C1B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rFonts w:eastAsia="QJSBGJ+TimesNewRoman"/>
                <w:b/>
                <w:lang w:val="sk-SK"/>
              </w:rPr>
              <w:t>Celkové poruchy a reakcie v mieste podania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D15368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796338" w14:textId="1E948AC3" w:rsidR="00D81B22" w:rsidRPr="00B715A4" w:rsidRDefault="00C433DC" w:rsidP="006E73D4">
            <w:pPr>
              <w:adjustRightInd w:val="0"/>
              <w:rPr>
                <w:rFonts w:eastAsia="QJSBGJ+TimesNewRoman"/>
                <w:lang w:val="sk-SK"/>
              </w:rPr>
            </w:pPr>
            <w:r>
              <w:rPr>
                <w:lang w:val="sk-SK"/>
              </w:rPr>
              <w:t xml:space="preserve">horúčkovité stavy, </w:t>
            </w:r>
            <w:r w:rsidRPr="00B715A4">
              <w:rPr>
                <w:lang w:val="sk-SK"/>
              </w:rPr>
              <w:t xml:space="preserve">bolesť a pocit nepohodlia, astenické stavy, </w:t>
            </w:r>
            <w:r>
              <w:rPr>
                <w:lang w:val="sk-SK"/>
              </w:rPr>
              <w:t xml:space="preserve">edém, </w:t>
            </w:r>
            <w:r w:rsidR="00D81B22" w:rsidRPr="00B715A4">
              <w:rPr>
                <w:lang w:val="sk-SK"/>
              </w:rPr>
              <w:t>narušené vnímanie telesnej teploty</w:t>
            </w:r>
          </w:p>
        </w:tc>
      </w:tr>
      <w:tr w:rsidR="00D81B22" w:rsidRPr="00CC670E" w14:paraId="681AEE81" w14:textId="77777777" w:rsidTr="000C3F4E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088B8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39F1E8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021CE3" w14:textId="58E03CED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ochorenie podobné chrípke, </w:t>
            </w:r>
            <w:r w:rsidR="00EB2C1A" w:rsidRPr="00B715A4">
              <w:rPr>
                <w:lang w:val="sk-SK"/>
              </w:rPr>
              <w:t>pocit nervozity, neobvyklé pocity, multiorgánové zlyhanie,</w:t>
            </w:r>
            <w:r w:rsidR="00AE667E">
              <w:rPr>
                <w:lang w:val="sk-SK"/>
              </w:rPr>
              <w:t xml:space="preserve"> </w:t>
            </w:r>
            <w:r w:rsidR="00AE667E" w:rsidRPr="00AE667E">
              <w:rPr>
                <w:lang w:val="sk-SK"/>
              </w:rPr>
              <w:t>pocit tlaku na hrudi</w:t>
            </w:r>
            <w:r w:rsidR="00AE667E">
              <w:rPr>
                <w:lang w:val="sk-SK"/>
              </w:rPr>
              <w:t>,</w:t>
            </w:r>
            <w:r w:rsidR="00AE667E" w:rsidRPr="00AE667E">
              <w:rPr>
                <w:lang w:val="sk-SK"/>
              </w:rPr>
              <w:t xml:space="preserve"> </w:t>
            </w:r>
            <w:r w:rsidRPr="00B715A4">
              <w:rPr>
                <w:lang w:val="sk-SK"/>
              </w:rPr>
              <w:t>teplotná neznášanlivosť</w:t>
            </w:r>
          </w:p>
        </w:tc>
      </w:tr>
      <w:tr w:rsidR="00D81B22" w:rsidRPr="00CC670E" w14:paraId="253ABC4C" w14:textId="77777777" w:rsidTr="000C3F4E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CB3FC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D1C4A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73240C" w14:textId="2D8E4271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pády, </w:t>
            </w:r>
            <w:r w:rsidR="00D21877">
              <w:rPr>
                <w:lang w:val="sk-SK"/>
              </w:rPr>
              <w:t>vredy, zvieranie hrudníka, smäd</w:t>
            </w:r>
          </w:p>
        </w:tc>
      </w:tr>
      <w:tr w:rsidR="00D81B22" w:rsidRPr="00CC670E" w14:paraId="07A865AC" w14:textId="77777777" w:rsidTr="000C3F4E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8494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FADA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7C46" w14:textId="4597A392" w:rsidR="00D81B22" w:rsidRPr="00B715A4" w:rsidRDefault="00D81B22" w:rsidP="006E73D4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>zv</w:t>
            </w:r>
            <w:r w:rsidR="00AE667E">
              <w:rPr>
                <w:lang w:val="sk-SK"/>
              </w:rPr>
              <w:t>äčšenie</w:t>
            </w:r>
            <w:r w:rsidRPr="00B715A4">
              <w:rPr>
                <w:lang w:val="sk-SK"/>
              </w:rPr>
              <w:t xml:space="preserve"> objemu tukového tkaniva</w:t>
            </w:r>
          </w:p>
        </w:tc>
      </w:tr>
      <w:tr w:rsidR="00D81B22" w:rsidRPr="00CC670E" w14:paraId="0492E6B1" w14:textId="77777777" w:rsidTr="000C3F4E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511B99" w14:textId="77777777" w:rsidR="00D81B22" w:rsidRPr="00B715A4" w:rsidRDefault="00D81B22" w:rsidP="00B52FD1">
            <w:pPr>
              <w:adjustRightInd w:val="0"/>
              <w:rPr>
                <w:b/>
                <w:lang w:val="sk-SK"/>
              </w:rPr>
            </w:pPr>
            <w:r w:rsidRPr="00B715A4">
              <w:rPr>
                <w:b/>
                <w:lang w:val="sk-SK"/>
              </w:rPr>
              <w:t>Laboratórne a funkčné</w:t>
            </w:r>
          </w:p>
          <w:p w14:paraId="5C9CAB8D" w14:textId="77777777" w:rsidR="00D81B22" w:rsidRPr="00B715A4" w:rsidRDefault="00D81B22" w:rsidP="006E73D4">
            <w:pPr>
              <w:adjustRightInd w:val="0"/>
              <w:rPr>
                <w:rFonts w:eastAsia="QJSBGJ+TimesNewRoman"/>
                <w:b/>
                <w:lang w:val="sk-SK"/>
              </w:rPr>
            </w:pPr>
            <w:r w:rsidRPr="00B715A4">
              <w:rPr>
                <w:b/>
                <w:lang w:val="sk-SK"/>
              </w:rPr>
              <w:t>vyšetrenia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6E1A71" w14:textId="77777777" w:rsidR="00D81B22" w:rsidRDefault="003D467E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Veľmi č</w:t>
            </w:r>
            <w:r w:rsidR="00D81B22" w:rsidRPr="00B715A4">
              <w:rPr>
                <w:rFonts w:eastAsia="QJSBGJ+TimesNewRoman"/>
                <w:lang w:val="sk-SK"/>
              </w:rPr>
              <w:t>asté</w:t>
            </w:r>
          </w:p>
          <w:p w14:paraId="77F908D6" w14:textId="77777777" w:rsidR="003D467E" w:rsidRDefault="003D467E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</w:p>
          <w:p w14:paraId="27D4E4E5" w14:textId="77777777" w:rsidR="003D467E" w:rsidRPr="00B715A4" w:rsidRDefault="003D467E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38D186" w14:textId="5201FF97" w:rsidR="00AE667E" w:rsidRDefault="00D81B22">
            <w:pPr>
              <w:adjustRightInd w:val="0"/>
              <w:rPr>
                <w:lang w:val="sk-SK"/>
              </w:rPr>
            </w:pPr>
            <w:r w:rsidRPr="00B715A4">
              <w:rPr>
                <w:lang w:val="sk-SK"/>
              </w:rPr>
              <w:t xml:space="preserve">abnormálne výsledky testov </w:t>
            </w:r>
            <w:r w:rsidR="00AE667E">
              <w:rPr>
                <w:lang w:val="sk-SK"/>
              </w:rPr>
              <w:t xml:space="preserve">funkcie </w:t>
            </w:r>
            <w:r w:rsidRPr="00B715A4">
              <w:rPr>
                <w:lang w:val="sk-SK"/>
              </w:rPr>
              <w:t>peče</w:t>
            </w:r>
            <w:r w:rsidR="00AE667E">
              <w:rPr>
                <w:lang w:val="sk-SK"/>
              </w:rPr>
              <w:t>ne</w:t>
            </w:r>
          </w:p>
          <w:p w14:paraId="2D5DDA78" w14:textId="31B7354C" w:rsidR="00D81B22" w:rsidRPr="00B715A4" w:rsidRDefault="00D81B22">
            <w:pPr>
              <w:adjustRightInd w:val="0"/>
              <w:rPr>
                <w:lang w:val="sk-SK"/>
              </w:rPr>
            </w:pPr>
            <w:r w:rsidRPr="00B715A4">
              <w:rPr>
                <w:lang w:val="sk-SK"/>
              </w:rPr>
              <w:t>zvýšená alkalická fosfatáza v krvi, nárast hmotnosti</w:t>
            </w:r>
          </w:p>
        </w:tc>
      </w:tr>
      <w:tr w:rsidR="00D81B22" w:rsidRPr="00CC670E" w14:paraId="412B6525" w14:textId="77777777" w:rsidTr="000C3F4E">
        <w:tc>
          <w:tcPr>
            <w:tcW w:w="3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8D784" w14:textId="77777777" w:rsidR="00D81B22" w:rsidRPr="00B715A4" w:rsidRDefault="00D81B22" w:rsidP="00B52FD1">
            <w:pPr>
              <w:adjustRightInd w:val="0"/>
              <w:jc w:val="both"/>
              <w:rPr>
                <w:rFonts w:eastAsia="QJSBGJ+TimesNewRoman"/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93CE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Menej časté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33028" w14:textId="77777777" w:rsidR="00D81B22" w:rsidRPr="00B715A4" w:rsidRDefault="00D81B22" w:rsidP="006E73D4">
            <w:pPr>
              <w:adjustRightInd w:val="0"/>
              <w:rPr>
                <w:lang w:val="sk-SK"/>
              </w:rPr>
            </w:pPr>
            <w:r w:rsidRPr="00B715A4">
              <w:rPr>
                <w:lang w:val="sk-SK"/>
              </w:rPr>
              <w:t xml:space="preserve">zvýšená amyláza v krvi, abnormálne výsledky vyšetrenia EKG, abnormálne výsledky vyšetrenia srdcového </w:t>
            </w:r>
            <w:r w:rsidRPr="00B715A4">
              <w:rPr>
                <w:lang w:val="sk-SK"/>
              </w:rPr>
              <w:lastRenderedPageBreak/>
              <w:t>rytmu a tepu, zníženie hmotnosti, zvýšenie laktátdehydrogenázy v krvi</w:t>
            </w:r>
          </w:p>
        </w:tc>
      </w:tr>
      <w:tr w:rsidR="00D81B22" w:rsidRPr="00CC670E" w14:paraId="56B7FB27" w14:textId="77777777" w:rsidTr="000C3F4E">
        <w:tc>
          <w:tcPr>
            <w:tcW w:w="3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0499" w14:textId="77777777" w:rsidR="00D81B22" w:rsidRPr="00B715A4" w:rsidRDefault="00D81B22" w:rsidP="00B52FD1">
            <w:pPr>
              <w:rPr>
                <w:b/>
                <w:lang w:val="sk-SK"/>
              </w:rPr>
            </w:pP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385A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Veľmi zriedkavé</w:t>
            </w:r>
          </w:p>
        </w:tc>
        <w:tc>
          <w:tcPr>
            <w:tcW w:w="3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9535" w14:textId="77777777" w:rsidR="00D81B22" w:rsidRPr="00B715A4" w:rsidRDefault="00D81B22">
            <w:pPr>
              <w:adjustRightInd w:val="0"/>
              <w:rPr>
                <w:lang w:val="sk-SK"/>
              </w:rPr>
            </w:pPr>
            <w:r w:rsidRPr="00B715A4">
              <w:rPr>
                <w:lang w:val="sk-SK"/>
              </w:rPr>
              <w:t>abnormálny echokardiogram, predĺženie QT intervalu na elektrokardiograme</w:t>
            </w:r>
          </w:p>
        </w:tc>
      </w:tr>
      <w:tr w:rsidR="00D81B22" w:rsidRPr="00CC670E" w14:paraId="6FC88F33" w14:textId="77777777" w:rsidTr="000C3F4E">
        <w:tc>
          <w:tcPr>
            <w:tcW w:w="3070" w:type="dxa"/>
            <w:tcBorders>
              <w:top w:val="single" w:sz="4" w:space="0" w:color="auto"/>
            </w:tcBorders>
          </w:tcPr>
          <w:p w14:paraId="6B2AEC65" w14:textId="77777777" w:rsidR="00D81B22" w:rsidRPr="00B715A4" w:rsidRDefault="00D81B22" w:rsidP="00B52FD1">
            <w:pPr>
              <w:rPr>
                <w:b/>
                <w:lang w:val="sk-SK"/>
              </w:rPr>
            </w:pPr>
            <w:r w:rsidRPr="00B715A4">
              <w:rPr>
                <w:b/>
                <w:lang w:val="sk-SK"/>
              </w:rPr>
              <w:t>Úrazy, otravy a komplikácie liečebného postupu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68BBC7BD" w14:textId="77777777" w:rsidR="00D81B22" w:rsidRPr="00B715A4" w:rsidRDefault="00D81B22" w:rsidP="006E73D4">
            <w:pPr>
              <w:adjustRightInd w:val="0"/>
              <w:jc w:val="both"/>
              <w:rPr>
                <w:rFonts w:eastAsia="QJSBGJ+TimesNewRoman"/>
                <w:lang w:val="sk-SK"/>
              </w:rPr>
            </w:pPr>
            <w:r w:rsidRPr="00B715A4">
              <w:rPr>
                <w:rFonts w:eastAsia="QJSBGJ+TimesNewRoman"/>
                <w:lang w:val="sk-SK"/>
              </w:rPr>
              <w:t>Časté</w:t>
            </w:r>
          </w:p>
        </w:tc>
        <w:tc>
          <w:tcPr>
            <w:tcW w:w="3071" w:type="dxa"/>
            <w:tcBorders>
              <w:top w:val="single" w:sz="4" w:space="0" w:color="auto"/>
            </w:tcBorders>
          </w:tcPr>
          <w:p w14:paraId="06EA90FB" w14:textId="5C847E99" w:rsidR="00D81B22" w:rsidRPr="00B715A4" w:rsidRDefault="00D81B22" w:rsidP="00AE667E">
            <w:pPr>
              <w:adjustRightInd w:val="0"/>
              <w:rPr>
                <w:rFonts w:eastAsia="QJSBGJ+TimesNewRoman"/>
                <w:lang w:val="sk-SK"/>
              </w:rPr>
            </w:pPr>
            <w:r w:rsidRPr="00B715A4">
              <w:rPr>
                <w:lang w:val="sk-SK"/>
              </w:rPr>
              <w:t xml:space="preserve">primárna dysfunkcia štepu. </w:t>
            </w:r>
          </w:p>
        </w:tc>
      </w:tr>
    </w:tbl>
    <w:p w14:paraId="7C2A8332" w14:textId="77777777" w:rsidR="00D318E7" w:rsidRPr="00C90CED" w:rsidRDefault="00D318E7" w:rsidP="00235C1B">
      <w:pPr>
        <w:pStyle w:val="Zkladntext"/>
        <w:rPr>
          <w:lang w:val="sk-SK"/>
        </w:rPr>
      </w:pPr>
    </w:p>
    <w:p w14:paraId="05F8161F" w14:textId="0E7363B0" w:rsidR="00D9252A" w:rsidRPr="00D9252A" w:rsidRDefault="00D9252A" w:rsidP="00B52FD1">
      <w:pPr>
        <w:pStyle w:val="Zkladntext"/>
        <w:rPr>
          <w:color w:val="1C1C1C"/>
          <w:lang w:val="sk-SK"/>
        </w:rPr>
      </w:pPr>
      <w:r w:rsidRPr="00D9252A">
        <w:rPr>
          <w:color w:val="1C1C1C"/>
          <w:lang w:val="sk-SK"/>
        </w:rPr>
        <w:t>Boli pozorované medikačné chyby, v</w:t>
      </w:r>
      <w:r>
        <w:rPr>
          <w:color w:val="1C1C1C"/>
          <w:lang w:val="sk-SK"/>
        </w:rPr>
        <w:t xml:space="preserve">rátane </w:t>
      </w:r>
      <w:r w:rsidR="00C61A46">
        <w:rPr>
          <w:color w:val="1C1C1C"/>
          <w:lang w:val="sk-SK"/>
        </w:rPr>
        <w:t>náhodnej</w:t>
      </w:r>
      <w:r>
        <w:rPr>
          <w:color w:val="1C1C1C"/>
          <w:lang w:val="sk-SK"/>
        </w:rPr>
        <w:t xml:space="preserve">, </w:t>
      </w:r>
      <w:r w:rsidR="00C61A46">
        <w:rPr>
          <w:color w:val="1C1C1C"/>
          <w:lang w:val="sk-SK"/>
        </w:rPr>
        <w:t>neúmyselnej</w:t>
      </w:r>
      <w:r>
        <w:rPr>
          <w:color w:val="1C1C1C"/>
          <w:lang w:val="sk-SK"/>
        </w:rPr>
        <w:t xml:space="preserve"> </w:t>
      </w:r>
      <w:r w:rsidRPr="00D9252A">
        <w:rPr>
          <w:color w:val="1C1C1C"/>
          <w:lang w:val="sk-SK"/>
        </w:rPr>
        <w:t xml:space="preserve">alebo </w:t>
      </w:r>
      <w:r w:rsidR="00C61A46">
        <w:rPr>
          <w:color w:val="1C1C1C"/>
          <w:lang w:val="sk-SK"/>
        </w:rPr>
        <w:t>nekontrolovanej</w:t>
      </w:r>
      <w:r w:rsidRPr="00D9252A">
        <w:rPr>
          <w:color w:val="1C1C1C"/>
          <w:lang w:val="sk-SK"/>
        </w:rPr>
        <w:t xml:space="preserve"> substitúcie </w:t>
      </w:r>
      <w:r w:rsidR="00C543B6">
        <w:rPr>
          <w:color w:val="1C1C1C"/>
          <w:lang w:val="sk-SK"/>
        </w:rPr>
        <w:t>liekových foriem</w:t>
      </w:r>
      <w:r w:rsidRPr="00D9252A">
        <w:rPr>
          <w:color w:val="1C1C1C"/>
          <w:lang w:val="sk-SK"/>
        </w:rPr>
        <w:t xml:space="preserve"> takrolimu s okamžitým alebo predĺženým uvoľňovaním. Bolo hlásených niekoľko súvisiacich prípadov odmietnutia transplantátu (z dostupných údajov nie je možné odhadnúť frekvenciu).</w:t>
      </w:r>
    </w:p>
    <w:p w14:paraId="1975479B" w14:textId="77777777" w:rsidR="00D9252A" w:rsidRDefault="00D9252A" w:rsidP="00235C1B">
      <w:pPr>
        <w:pStyle w:val="Zkladntext"/>
        <w:rPr>
          <w:color w:val="222222"/>
          <w:lang w:val="sk-SK"/>
        </w:rPr>
      </w:pPr>
    </w:p>
    <w:p w14:paraId="4348BC75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color w:val="1C1C1C"/>
          <w:u w:val="single" w:color="1C1C1C"/>
          <w:lang w:val="sk-SK"/>
        </w:rPr>
        <w:t>Opis vybraných nežiaducich reakcií</w:t>
      </w:r>
    </w:p>
    <w:p w14:paraId="5872A25A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color w:val="1C1C1C"/>
          <w:lang w:val="sk-SK"/>
        </w:rPr>
        <w:t>Bolesť v končatinách bola popísaná v mnohých publikovaných kazuistikách ako súčasť syndrómu bolesti vyvolanej inhibítorom kalcineurínu (</w:t>
      </w:r>
      <w:r w:rsidRPr="00C90CED">
        <w:rPr>
          <w:lang w:val="sk-SK"/>
        </w:rPr>
        <w:t xml:space="preserve">calcineurin-inhibitor induced pain syndrome, </w:t>
      </w:r>
      <w:r w:rsidRPr="00C90CED">
        <w:rPr>
          <w:color w:val="1C1C1C"/>
          <w:lang w:val="sk-SK"/>
        </w:rPr>
        <w:t>CIPS). Typicky sa prejavuje ako bilaterálna a symetrická, silná, vzostupná bolesť v dolných končatinách a môže súvisieť s hladinami takrolimu vyššími ako sú terapeutické hladiny. Tento syndróm môže</w:t>
      </w:r>
    </w:p>
    <w:p w14:paraId="40CB4C55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color w:val="1C1C1C"/>
          <w:lang w:val="sk-SK"/>
        </w:rPr>
        <w:t>reagovať na zníženie dávky takrolimu. V niektorých prípadoch bolo potrebné prejsť na alternatívnu imunosupresiu.</w:t>
      </w:r>
    </w:p>
    <w:p w14:paraId="523C3976" w14:textId="77777777" w:rsidR="00D318E7" w:rsidRPr="00C90CED" w:rsidRDefault="00D318E7">
      <w:pPr>
        <w:pStyle w:val="Zkladntext"/>
        <w:rPr>
          <w:lang w:val="sk-SK"/>
        </w:rPr>
      </w:pPr>
    </w:p>
    <w:p w14:paraId="6B7542E0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Hlásenie podozrení na nežiaduce reakcie</w:t>
      </w:r>
    </w:p>
    <w:p w14:paraId="0C937181" w14:textId="7BC41E5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50A0CB" wp14:editId="6E356C53">
                <wp:simplePos x="0" y="0"/>
                <wp:positionH relativeFrom="page">
                  <wp:posOffset>5623560</wp:posOffset>
                </wp:positionH>
                <wp:positionV relativeFrom="paragraph">
                  <wp:posOffset>471170</wp:posOffset>
                </wp:positionV>
                <wp:extent cx="542290" cy="0"/>
                <wp:effectExtent l="13335" t="10795" r="6350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290" cy="0"/>
                        </a:xfrm>
                        <a:prstGeom prst="line">
                          <a:avLst/>
                        </a:prstGeom>
                        <a:noFill/>
                        <a:ln w="6109">
                          <a:solidFill>
                            <a:srgbClr val="0000F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878A1F4" id="Straight Connector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8pt,37.1pt" to="485.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" strokecolor="blue" strokeweight=".16969mm">
                <w10:wrap anchorx="page"/>
              </v:line>
            </w:pict>
          </mc:Fallback>
        </mc:AlternateContent>
      </w:r>
      <w:r w:rsidRPr="00C90CED">
        <w:rPr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na </w:t>
      </w:r>
      <w:r w:rsidRPr="00C90CED">
        <w:rPr>
          <w:shd w:val="clear" w:color="auto" w:fill="D4D4D4"/>
          <w:lang w:val="sk-SK"/>
        </w:rPr>
        <w:t xml:space="preserve">národné centrum hlásenia uvedené v </w:t>
      </w:r>
      <w:hyperlink r:id="rId8" w:history="1">
        <w:r w:rsidR="00BF2FE2" w:rsidRPr="00BF2FE2">
          <w:rPr>
            <w:color w:val="0000FF"/>
            <w:highlight w:val="lightGray"/>
            <w:u w:val="single"/>
            <w:lang w:val="sk-SK" w:eastAsia="sk-SK"/>
          </w:rPr>
          <w:t>Prílohe V</w:t>
        </w:r>
      </w:hyperlink>
      <w:r w:rsidRPr="00C90CED">
        <w:rPr>
          <w:lang w:val="sk-SK"/>
        </w:rPr>
        <w:t>.</w:t>
      </w:r>
    </w:p>
    <w:p w14:paraId="0F762B85" w14:textId="77777777" w:rsidR="00D318E7" w:rsidRPr="00235C1B" w:rsidRDefault="00D318E7" w:rsidP="00235C1B">
      <w:pPr>
        <w:pStyle w:val="Zkladntext"/>
        <w:rPr>
          <w:lang w:val="sk-SK"/>
        </w:rPr>
      </w:pPr>
    </w:p>
    <w:p w14:paraId="437055FF" w14:textId="77777777" w:rsidR="00D318E7" w:rsidRDefault="007D71F1" w:rsidP="00235C1B">
      <w:pPr>
        <w:pStyle w:val="Nadpis1"/>
        <w:numPr>
          <w:ilvl w:val="1"/>
          <w:numId w:val="2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>
        <w:rPr>
          <w:lang w:val="sk-SK"/>
        </w:rPr>
        <w:t>Predávkovanie</w:t>
      </w:r>
    </w:p>
    <w:p w14:paraId="22986C17" w14:textId="77777777" w:rsidR="00BF2FE2" w:rsidRDefault="00BF2FE2" w:rsidP="00235C1B">
      <w:pPr>
        <w:pStyle w:val="Zkladntext"/>
        <w:rPr>
          <w:lang w:val="sk-SK"/>
        </w:rPr>
      </w:pPr>
    </w:p>
    <w:p w14:paraId="479FF8D2" w14:textId="63CD959B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Skúsenosti s predávkovaním sú obmedzené. Popísaných je niekoľko prípadov náhodného predávkovania takrolimom s príznakmi, ktoré zahŕňajú tras, bolesť hlavy, nauze</w:t>
      </w:r>
      <w:r w:rsidR="00BF2FE2">
        <w:rPr>
          <w:lang w:val="sk-SK"/>
        </w:rPr>
        <w:t>u</w:t>
      </w:r>
      <w:r w:rsidRPr="00C90CED">
        <w:rPr>
          <w:lang w:val="sk-SK"/>
        </w:rPr>
        <w:t xml:space="preserve"> a vracanie, infekcie, žihľavk</w:t>
      </w:r>
      <w:r w:rsidR="00BF2FE2">
        <w:rPr>
          <w:lang w:val="sk-SK"/>
        </w:rPr>
        <w:t>u</w:t>
      </w:r>
      <w:r w:rsidRPr="00C90CED">
        <w:rPr>
          <w:lang w:val="sk-SK"/>
        </w:rPr>
        <w:t>, letargi</w:t>
      </w:r>
      <w:r w:rsidR="00BF2FE2">
        <w:rPr>
          <w:lang w:val="sk-SK"/>
        </w:rPr>
        <w:t>u</w:t>
      </w:r>
      <w:r w:rsidRPr="00C90CED">
        <w:rPr>
          <w:lang w:val="sk-SK"/>
        </w:rPr>
        <w:t xml:space="preserve"> a zvýšené hladiny močovinového dusíka v krvi, kreatinínu v sére</w:t>
      </w:r>
    </w:p>
    <w:p w14:paraId="33B8F6DB" w14:textId="727F874F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a alanínaminotransferázy.</w:t>
      </w:r>
      <w:r w:rsidR="00BF2FE2" w:rsidRPr="00C90CED" w:rsidDel="00BF2FE2">
        <w:rPr>
          <w:lang w:val="sk-SK"/>
        </w:rPr>
        <w:t xml:space="preserve"> </w:t>
      </w:r>
      <w:r w:rsidRPr="00C90CED">
        <w:rPr>
          <w:lang w:val="sk-SK"/>
        </w:rPr>
        <w:t>Špecifické antidotum</w:t>
      </w:r>
      <w:r w:rsidR="00BF2FE2">
        <w:rPr>
          <w:lang w:val="sk-SK"/>
        </w:rPr>
        <w:t xml:space="preserve"> proti</w:t>
      </w:r>
      <w:r w:rsidRPr="00C90CED">
        <w:rPr>
          <w:lang w:val="sk-SK"/>
        </w:rPr>
        <w:t xml:space="preserve"> takrolimu nie je dostupné. Pokiaľ by došlo k predávkovaniu, musia sa </w:t>
      </w:r>
      <w:r w:rsidR="00BC55D2">
        <w:rPr>
          <w:lang w:val="sk-SK"/>
        </w:rPr>
        <w:t>vykonať</w:t>
      </w:r>
      <w:r w:rsidR="00BF2FE2">
        <w:rPr>
          <w:lang w:val="sk-SK"/>
        </w:rPr>
        <w:t xml:space="preserve"> </w:t>
      </w:r>
      <w:r w:rsidRPr="00C90CED">
        <w:rPr>
          <w:lang w:val="sk-SK"/>
        </w:rPr>
        <w:t>všeobecné podporné opatrenia a symptomatická liečba.</w:t>
      </w:r>
    </w:p>
    <w:p w14:paraId="59E2FB76" w14:textId="77777777" w:rsidR="00A81437" w:rsidRDefault="00A81437" w:rsidP="00B52FD1">
      <w:pPr>
        <w:pStyle w:val="Zkladntext"/>
        <w:rPr>
          <w:lang w:val="sk-SK"/>
        </w:rPr>
      </w:pPr>
    </w:p>
    <w:p w14:paraId="73D5B7C7" w14:textId="6638A9F2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Na základe vysokej molekulárnej hmotnosti, zlej rozpustnosti vo vode a rozsiahlej väzby na proteíny plazmy a erytrocyty sa dá očakávať, že takrolimus nebude dialyzovateľný. U jednotlivých pacientov s veľmi vysokou plazmatickou hladinou </w:t>
      </w:r>
      <w:r w:rsidR="00BF2FE2">
        <w:rPr>
          <w:lang w:val="sk-SK"/>
        </w:rPr>
        <w:t>bola na</w:t>
      </w:r>
      <w:r w:rsidRPr="00C90CED">
        <w:rPr>
          <w:lang w:val="sk-SK"/>
        </w:rPr>
        <w:t xml:space="preserve"> zníženie toxických koncentrácií účinná hemofiltrácia alebo diafiltrácia. V prípadoch perorálnej intoxikácie môže byť prospešný výplach žalúdka a/alebo použitie adsorbentov (ako je aktívne uhlie), ak sa použijú krátko po užití.</w:t>
      </w:r>
    </w:p>
    <w:p w14:paraId="68F84C4B" w14:textId="77777777" w:rsidR="00D318E7" w:rsidRPr="00C90CED" w:rsidRDefault="00D318E7">
      <w:pPr>
        <w:pStyle w:val="Zkladntext"/>
        <w:rPr>
          <w:sz w:val="24"/>
          <w:lang w:val="sk-SK"/>
        </w:rPr>
      </w:pPr>
    </w:p>
    <w:p w14:paraId="1893D4F5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7A5D6A35" w14:textId="77777777" w:rsidR="00D318E7" w:rsidRPr="00C90CED" w:rsidRDefault="00D318E7" w:rsidP="00B52FD1">
      <w:pPr>
        <w:pStyle w:val="Nadpis1"/>
        <w:numPr>
          <w:ilvl w:val="0"/>
          <w:numId w:val="1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C90CED">
        <w:rPr>
          <w:lang w:val="sk-SK"/>
        </w:rPr>
        <w:t>F</w:t>
      </w:r>
      <w:r w:rsidRPr="00DB7ECF">
        <w:rPr>
          <w:lang w:val="sk-SK"/>
        </w:rPr>
        <w:t>ARMAKOLOG</w:t>
      </w:r>
      <w:r w:rsidRPr="00C90CED">
        <w:rPr>
          <w:lang w:val="sk-SK"/>
        </w:rPr>
        <w:t>ICKÉ</w:t>
      </w:r>
      <w:r w:rsidRPr="00C90CED">
        <w:rPr>
          <w:spacing w:val="-12"/>
          <w:lang w:val="sk-SK"/>
        </w:rPr>
        <w:t xml:space="preserve"> </w:t>
      </w:r>
      <w:r w:rsidRPr="00C90CED">
        <w:rPr>
          <w:lang w:val="sk-SK"/>
        </w:rPr>
        <w:t>VLASTNOSTI</w:t>
      </w:r>
    </w:p>
    <w:p w14:paraId="6CC05DB9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2AD886C2" w14:textId="77777777" w:rsidR="00D318E7" w:rsidRPr="00C90CED" w:rsidRDefault="00D318E7" w:rsidP="00B52FD1">
      <w:pPr>
        <w:pStyle w:val="Odsekzoznamu"/>
        <w:numPr>
          <w:ilvl w:val="1"/>
          <w:numId w:val="1"/>
        </w:numPr>
        <w:tabs>
          <w:tab w:val="left" w:pos="685"/>
          <w:tab w:val="left" w:pos="686"/>
        </w:tabs>
        <w:ind w:left="0" w:firstLine="0"/>
        <w:rPr>
          <w:b/>
          <w:lang w:val="sk-SK"/>
        </w:rPr>
      </w:pPr>
      <w:r w:rsidRPr="00C90CED">
        <w:rPr>
          <w:b/>
          <w:lang w:val="sk-SK"/>
        </w:rPr>
        <w:t>Farmakodynamické</w:t>
      </w:r>
      <w:r w:rsidRPr="00C90CED">
        <w:rPr>
          <w:b/>
          <w:spacing w:val="-8"/>
          <w:lang w:val="sk-SK"/>
        </w:rPr>
        <w:t xml:space="preserve"> </w:t>
      </w:r>
      <w:r w:rsidRPr="00C90CED">
        <w:rPr>
          <w:b/>
          <w:lang w:val="sk-SK"/>
        </w:rPr>
        <w:t>vlastnosti</w:t>
      </w:r>
    </w:p>
    <w:p w14:paraId="4FB68064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276853D9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>Farmakoterapeutická skupina: imunosupresíva, inhibítory kalcineurínu, ATC kód: L04AD02</w:t>
      </w:r>
    </w:p>
    <w:p w14:paraId="6865654D" w14:textId="77777777" w:rsidR="00D318E7" w:rsidRPr="00C90CED" w:rsidRDefault="00D318E7" w:rsidP="00235C1B">
      <w:pPr>
        <w:pStyle w:val="Zkladntext"/>
        <w:rPr>
          <w:lang w:val="sk-SK"/>
        </w:rPr>
      </w:pPr>
    </w:p>
    <w:p w14:paraId="14EC2107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Mechanizmus účinku</w:t>
      </w:r>
    </w:p>
    <w:p w14:paraId="5C93E05D" w14:textId="76B5FF15" w:rsidR="00D318E7" w:rsidRPr="00C90CED" w:rsidRDefault="000851C1" w:rsidP="00235C1B">
      <w:pPr>
        <w:pStyle w:val="Zkladntext"/>
        <w:rPr>
          <w:lang w:val="sk-SK"/>
        </w:rPr>
      </w:pPr>
      <w:r>
        <w:rPr>
          <w:lang w:val="sk-SK"/>
        </w:rPr>
        <w:t>Predpokladá sa, že n</w:t>
      </w:r>
      <w:r w:rsidR="00D318E7" w:rsidRPr="00C90CED">
        <w:rPr>
          <w:lang w:val="sk-SK"/>
        </w:rPr>
        <w:t>a molekulovej úrovni sprostredkuje účinok takrolimu väzba na cytozolový proteín (FKBP12), ktorý je zodpovedný za vnútrobunkovú akumuláciu zlúčeniny. Komplex FKBP12-takrolimus sa špecificky a kompetitívne viaže na kalcineurín a inhibuje ho, čo vedie k inhibícii od vápnika závislých transdukčných signálnych dráh T-buniek, čím sa zabráni transkripcii určitej skupiny génov</w:t>
      </w:r>
      <w:r>
        <w:rPr>
          <w:lang w:val="sk-SK"/>
        </w:rPr>
        <w:t xml:space="preserve"> </w:t>
      </w:r>
      <w:r w:rsidR="00D318E7" w:rsidRPr="00C90CED">
        <w:rPr>
          <w:lang w:val="sk-SK"/>
        </w:rPr>
        <w:t>pre cytokíny.</w:t>
      </w:r>
    </w:p>
    <w:p w14:paraId="301334B7" w14:textId="77777777" w:rsidR="00C07FD5" w:rsidRDefault="00C07FD5" w:rsidP="00235C1B">
      <w:pPr>
        <w:pStyle w:val="Zkladntext"/>
        <w:rPr>
          <w:lang w:val="sk-SK"/>
        </w:rPr>
      </w:pPr>
    </w:p>
    <w:p w14:paraId="6BDA1DA7" w14:textId="77777777" w:rsidR="00C07FD5" w:rsidRPr="00C07FD5" w:rsidRDefault="00C07FD5" w:rsidP="00235C1B">
      <w:pPr>
        <w:pStyle w:val="Zkladntext"/>
        <w:rPr>
          <w:u w:val="single"/>
          <w:lang w:val="sk-SK"/>
        </w:rPr>
      </w:pPr>
      <w:r w:rsidRPr="00C07FD5">
        <w:rPr>
          <w:u w:val="single"/>
          <w:lang w:val="sk-SK"/>
        </w:rPr>
        <w:t>Farmakodynamické účinky</w:t>
      </w:r>
    </w:p>
    <w:p w14:paraId="29B09352" w14:textId="77777777" w:rsidR="00D318E7" w:rsidRPr="00C90CED" w:rsidRDefault="00D318E7" w:rsidP="00235C1B">
      <w:pPr>
        <w:pStyle w:val="Zkladntext"/>
        <w:rPr>
          <w:i/>
          <w:lang w:val="sk-SK"/>
        </w:rPr>
      </w:pPr>
      <w:r w:rsidRPr="00C90CED">
        <w:rPr>
          <w:lang w:val="sk-SK"/>
        </w:rPr>
        <w:t xml:space="preserve">Takrolimus je silne účinné imunosupresívum, jeho aktivita bola dokázaná </w:t>
      </w:r>
      <w:r w:rsidRPr="00C90CED">
        <w:rPr>
          <w:i/>
          <w:lang w:val="sk-SK"/>
        </w:rPr>
        <w:t xml:space="preserve">in vitro </w:t>
      </w:r>
      <w:r w:rsidRPr="00C90CED">
        <w:rPr>
          <w:lang w:val="sk-SK"/>
        </w:rPr>
        <w:t xml:space="preserve">aj </w:t>
      </w:r>
      <w:r w:rsidRPr="00C90CED">
        <w:rPr>
          <w:i/>
          <w:lang w:val="sk-SK"/>
        </w:rPr>
        <w:t>in vivo</w:t>
      </w:r>
    </w:p>
    <w:p w14:paraId="761069CE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lastRenderedPageBreak/>
        <w:t>experimentmi.</w:t>
      </w:r>
    </w:p>
    <w:p w14:paraId="6EB80CCD" w14:textId="77777777" w:rsidR="00C07FD5" w:rsidRDefault="00C07FD5" w:rsidP="00B52FD1">
      <w:pPr>
        <w:pStyle w:val="Zkladntext"/>
        <w:rPr>
          <w:lang w:val="sk-SK"/>
        </w:rPr>
      </w:pPr>
    </w:p>
    <w:p w14:paraId="25D0162D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Takrolimus inhibuje predovšetkým tvorbu cytotoxických lymfocytov, ktoré sú hlavne zodpovedné za rejekciu štepu. Takrolimus potláča aktiváciu T-buniek a proliferáciu B-buniek závislú na T- pomocných bunkách, ako aj tvorbu lymfokínov (ako sú interleukíny-2, -3 a γ-interferón) a expresiu receptoru interleukínu-2.</w:t>
      </w:r>
    </w:p>
    <w:p w14:paraId="3AEF8002" w14:textId="77777777" w:rsidR="00D318E7" w:rsidRPr="00C90CED" w:rsidRDefault="00D318E7" w:rsidP="00235C1B">
      <w:pPr>
        <w:pStyle w:val="Zkladntext"/>
        <w:rPr>
          <w:lang w:val="sk-SK"/>
        </w:rPr>
      </w:pPr>
    </w:p>
    <w:p w14:paraId="7A3878EC" w14:textId="77777777" w:rsidR="00C07FD5" w:rsidRDefault="00C07FD5" w:rsidP="00235C1B">
      <w:pPr>
        <w:pStyle w:val="Zkladntext"/>
        <w:rPr>
          <w:u w:val="single"/>
          <w:lang w:val="sk-SK"/>
        </w:rPr>
      </w:pPr>
      <w:r>
        <w:rPr>
          <w:u w:val="single"/>
          <w:lang w:val="sk-SK"/>
        </w:rPr>
        <w:t>Klinická účinnosť a bezpečnosť</w:t>
      </w:r>
    </w:p>
    <w:p w14:paraId="6383EE84" w14:textId="77777777" w:rsidR="00C07FD5" w:rsidRDefault="00C07FD5" w:rsidP="00235C1B">
      <w:pPr>
        <w:pStyle w:val="Zkladntext"/>
        <w:rPr>
          <w:u w:val="single"/>
          <w:lang w:val="sk-SK"/>
        </w:rPr>
      </w:pPr>
    </w:p>
    <w:p w14:paraId="576236A9" w14:textId="77777777" w:rsidR="00D318E7" w:rsidRPr="00C07FD5" w:rsidRDefault="00D318E7" w:rsidP="00235C1B">
      <w:pPr>
        <w:pStyle w:val="Zkladntext"/>
        <w:rPr>
          <w:i/>
          <w:u w:val="single"/>
          <w:lang w:val="sk-SK"/>
        </w:rPr>
      </w:pPr>
      <w:r w:rsidRPr="00C07FD5">
        <w:rPr>
          <w:i/>
          <w:u w:val="single"/>
          <w:lang w:val="sk-SK"/>
        </w:rPr>
        <w:t>Výsledk</w:t>
      </w:r>
      <w:r w:rsidR="00C07FD5" w:rsidRPr="00C07FD5">
        <w:rPr>
          <w:i/>
          <w:u w:val="single"/>
          <w:lang w:val="sk-SK"/>
        </w:rPr>
        <w:t xml:space="preserve">y z klinických skúšaní s </w:t>
      </w:r>
      <w:r w:rsidRPr="00C07FD5">
        <w:rPr>
          <w:i/>
          <w:u w:val="single"/>
          <w:lang w:val="sk-SK"/>
        </w:rPr>
        <w:t>t</w:t>
      </w:r>
      <w:r w:rsidR="00C07FD5" w:rsidRPr="00C07FD5">
        <w:rPr>
          <w:i/>
          <w:u w:val="single"/>
          <w:lang w:val="sk-SK"/>
        </w:rPr>
        <w:t>akrolimom</w:t>
      </w:r>
      <w:r w:rsidRPr="00C07FD5">
        <w:rPr>
          <w:i/>
          <w:u w:val="single"/>
          <w:lang w:val="sk-SK"/>
        </w:rPr>
        <w:t xml:space="preserve"> užívaným raz denne</w:t>
      </w:r>
    </w:p>
    <w:p w14:paraId="6DD7E322" w14:textId="77777777" w:rsidR="00C07FD5" w:rsidRPr="00C90CED" w:rsidRDefault="00C07FD5" w:rsidP="00235C1B">
      <w:pPr>
        <w:pStyle w:val="Zkladntext"/>
        <w:rPr>
          <w:lang w:val="sk-SK"/>
        </w:rPr>
      </w:pPr>
    </w:p>
    <w:p w14:paraId="0E318538" w14:textId="77777777" w:rsidR="00D318E7" w:rsidRPr="00946402" w:rsidRDefault="00D318E7" w:rsidP="00235C1B">
      <w:pPr>
        <w:pStyle w:val="Zkladntext"/>
        <w:rPr>
          <w:i/>
          <w:lang w:val="sk-SK"/>
        </w:rPr>
      </w:pPr>
      <w:r w:rsidRPr="00946402">
        <w:rPr>
          <w:i/>
          <w:lang w:val="sk-SK"/>
        </w:rPr>
        <w:t>Transplantácia pečene</w:t>
      </w:r>
    </w:p>
    <w:p w14:paraId="1CD05E2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Porovnávala </w:t>
      </w:r>
      <w:r w:rsidR="00C23FFD">
        <w:rPr>
          <w:lang w:val="sk-SK"/>
        </w:rPr>
        <w:t xml:space="preserve">sa účinnosť a bezpečnosť takrolimu s predĺženým uvoľňovaním a takrolimu s okamžitým uvoľňovaním, obidva v kombinácii </w:t>
      </w:r>
      <w:r w:rsidRPr="00C90CED">
        <w:rPr>
          <w:lang w:val="sk-SK"/>
        </w:rPr>
        <w:t xml:space="preserve">s kortikosteroidmi, u 471 príjemcov transplantovanej pečene </w:t>
      </w:r>
      <w:r w:rsidRPr="00C90CED">
        <w:rPr>
          <w:i/>
          <w:lang w:val="sk-SK"/>
        </w:rPr>
        <w:t>de novo</w:t>
      </w:r>
      <w:r w:rsidRPr="00C90CED">
        <w:rPr>
          <w:lang w:val="sk-SK"/>
        </w:rPr>
        <w:t>. Počet prípadov biopsiou potvrdenej akútnej rejekcie počas prvých 24 týždňov po transplantácii bol 3</w:t>
      </w:r>
      <w:r w:rsidR="00C23FFD">
        <w:rPr>
          <w:lang w:val="sk-SK"/>
        </w:rPr>
        <w:t>2,6 % v skupine užívajúcej takrolimus s predĺženým uvoľňovaním</w:t>
      </w:r>
      <w:r w:rsidRPr="00C90CED">
        <w:rPr>
          <w:lang w:val="sk-SK"/>
        </w:rPr>
        <w:t xml:space="preserve"> (N=237) a 29,3 % v</w:t>
      </w:r>
      <w:r w:rsidR="00C23FFD">
        <w:rPr>
          <w:lang w:val="sk-SK"/>
        </w:rPr>
        <w:t xml:space="preserve"> skupine užívajúcej takrolimus s okamžitým uvoľňovaním</w:t>
      </w:r>
      <w:r w:rsidRPr="00C90CED">
        <w:rPr>
          <w:lang w:val="sk-SK"/>
        </w:rPr>
        <w:t xml:space="preserve"> (N=234). Rozdiel v účinnosti liečby (</w:t>
      </w:r>
      <w:r w:rsidR="00C23FFD">
        <w:rPr>
          <w:lang w:val="sk-SK"/>
        </w:rPr>
        <w:t>predĺžené uvoľňovanie – okamžité uvoľňovanie</w:t>
      </w:r>
      <w:r w:rsidRPr="00C90CED">
        <w:rPr>
          <w:lang w:val="sk-SK"/>
        </w:rPr>
        <w:t xml:space="preserve">) bol 3,3 % (95 % interval spoľahlivosti [-5,7 %, 12,3 %]). Podiel prežívajúcich pacientov po 12 mesiacoch bol 89,2 % pre </w:t>
      </w:r>
      <w:r w:rsidR="00C23FFD">
        <w:rPr>
          <w:lang w:val="sk-SK"/>
        </w:rPr>
        <w:t>takrolimus s predĺženým uvoľňovaním a 90,8 % pre takrolimus s okamžitým uvoľňovaním; v ramene s takrolimom s predĺženým uvoľňovaním</w:t>
      </w:r>
      <w:r w:rsidRPr="00C90CED">
        <w:rPr>
          <w:lang w:val="sk-SK"/>
        </w:rPr>
        <w:t xml:space="preserve"> zomrelo 25 pacientov (14 žien, 11 mu</w:t>
      </w:r>
      <w:r w:rsidR="00C23FFD">
        <w:rPr>
          <w:lang w:val="sk-SK"/>
        </w:rPr>
        <w:t>žov) a v ramene s takrolimom s okamžitým uvoľňovaním</w:t>
      </w:r>
      <w:r w:rsidRPr="00C90CED">
        <w:rPr>
          <w:lang w:val="sk-SK"/>
        </w:rPr>
        <w:t xml:space="preserve"> umrelo 24 pacientov (5 žien, 19 mužov). 12-mesačné prežívanie štepu bolo 85,3 % pre </w:t>
      </w:r>
      <w:r w:rsidR="00C23FFD">
        <w:rPr>
          <w:lang w:val="sk-SK"/>
        </w:rPr>
        <w:t>takrolimus s predĺženým uvoľňovaním a 85,6 % pre takrolimus s okamžitým uvoľňovaním</w:t>
      </w:r>
      <w:r w:rsidRPr="00C90CED">
        <w:rPr>
          <w:lang w:val="sk-SK"/>
        </w:rPr>
        <w:t>.</w:t>
      </w:r>
    </w:p>
    <w:p w14:paraId="00B9E454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76792748" w14:textId="77777777" w:rsidR="00D318E7" w:rsidRPr="00946402" w:rsidRDefault="00D318E7" w:rsidP="00B52FD1">
      <w:pPr>
        <w:pStyle w:val="Zkladntext"/>
        <w:rPr>
          <w:i/>
          <w:lang w:val="sk-SK"/>
        </w:rPr>
      </w:pPr>
      <w:r w:rsidRPr="00946402">
        <w:rPr>
          <w:i/>
          <w:lang w:val="sk-SK"/>
        </w:rPr>
        <w:t>Transplantácia obličky</w:t>
      </w:r>
    </w:p>
    <w:p w14:paraId="20E4DAEA" w14:textId="6E744B30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Porovnávala </w:t>
      </w:r>
      <w:r w:rsidR="00854DD2">
        <w:rPr>
          <w:lang w:val="sk-SK"/>
        </w:rPr>
        <w:t xml:space="preserve">sa účinnosť a bezpečnosť takrolimu s predĺženým uvoľňovaním a takrolimu s okamžitým uvoľňovaním, obidva v kombinácii </w:t>
      </w:r>
      <w:r w:rsidRPr="00C90CED">
        <w:rPr>
          <w:lang w:val="sk-SK"/>
        </w:rPr>
        <w:t xml:space="preserve">s </w:t>
      </w:r>
      <w:r w:rsidR="0016207B">
        <w:rPr>
          <w:lang w:val="sk-SK"/>
        </w:rPr>
        <w:t>m</w:t>
      </w:r>
      <w:r w:rsidR="0016207B" w:rsidRPr="0016207B">
        <w:rPr>
          <w:lang w:val="sk-SK"/>
        </w:rPr>
        <w:t>ykofenolát</w:t>
      </w:r>
      <w:r w:rsidR="0016207B">
        <w:rPr>
          <w:lang w:val="sk-SK"/>
        </w:rPr>
        <w:t>om</w:t>
      </w:r>
      <w:r w:rsidR="0016207B" w:rsidRPr="0016207B">
        <w:rPr>
          <w:lang w:val="sk-SK"/>
        </w:rPr>
        <w:t xml:space="preserve"> mofetilu</w:t>
      </w:r>
      <w:r w:rsidRPr="00C90CED">
        <w:rPr>
          <w:lang w:val="sk-SK"/>
        </w:rPr>
        <w:t xml:space="preserve"> (MMF) a kortikosteroidmi, u 667 príjemcov transplantovanej obličky </w:t>
      </w:r>
      <w:r w:rsidRPr="00C90CED">
        <w:rPr>
          <w:i/>
          <w:lang w:val="sk-SK"/>
        </w:rPr>
        <w:t>de novo</w:t>
      </w:r>
      <w:r w:rsidRPr="00C90CED">
        <w:rPr>
          <w:lang w:val="sk-SK"/>
        </w:rPr>
        <w:t>. Počet prípadov biopsiou potvrdenej akútnej rejekcie počas prvých 24 týždňov po transplantácii bol 1</w:t>
      </w:r>
      <w:r w:rsidR="00854DD2">
        <w:rPr>
          <w:lang w:val="sk-SK"/>
        </w:rPr>
        <w:t>8,6 % v skupine užívajúcej takrolimus s predĺženým uvoľňovaním</w:t>
      </w:r>
      <w:r w:rsidRPr="00C90CED">
        <w:rPr>
          <w:lang w:val="sk-SK"/>
        </w:rPr>
        <w:t xml:space="preserve"> (N=331) a 14,9 % v</w:t>
      </w:r>
      <w:r w:rsidR="00854DD2">
        <w:rPr>
          <w:lang w:val="sk-SK"/>
        </w:rPr>
        <w:t xml:space="preserve"> skupine užívajúcej takrolimus s okamžitým uvoľňovaním</w:t>
      </w:r>
      <w:r w:rsidRPr="00C90CED">
        <w:rPr>
          <w:lang w:val="sk-SK"/>
        </w:rPr>
        <w:t xml:space="preserve"> (N=336). Rozdiel v účinnosti liečby (</w:t>
      </w:r>
      <w:r w:rsidR="00854DD2">
        <w:rPr>
          <w:lang w:val="sk-SK"/>
        </w:rPr>
        <w:t>predĺžen</w:t>
      </w:r>
      <w:r w:rsidR="0016207B">
        <w:rPr>
          <w:lang w:val="sk-SK"/>
        </w:rPr>
        <w:t>é</w:t>
      </w:r>
      <w:r w:rsidR="00854DD2">
        <w:rPr>
          <w:lang w:val="sk-SK"/>
        </w:rPr>
        <w:t xml:space="preserve"> uvoľňovan</w:t>
      </w:r>
      <w:r w:rsidR="0016207B">
        <w:rPr>
          <w:lang w:val="sk-SK"/>
        </w:rPr>
        <w:t>ie</w:t>
      </w:r>
      <w:r w:rsidR="00854DD2">
        <w:rPr>
          <w:lang w:val="sk-SK"/>
        </w:rPr>
        <w:t xml:space="preserve"> – okamžit</w:t>
      </w:r>
      <w:r w:rsidR="0016207B">
        <w:rPr>
          <w:lang w:val="sk-SK"/>
        </w:rPr>
        <w:t>é</w:t>
      </w:r>
      <w:r w:rsidR="00854DD2">
        <w:rPr>
          <w:lang w:val="sk-SK"/>
        </w:rPr>
        <w:t xml:space="preserve"> uvoľňovan</w:t>
      </w:r>
      <w:r w:rsidR="0016207B">
        <w:rPr>
          <w:lang w:val="sk-SK"/>
        </w:rPr>
        <w:t>ie</w:t>
      </w:r>
      <w:r w:rsidRPr="00C90CED">
        <w:rPr>
          <w:lang w:val="sk-SK"/>
        </w:rPr>
        <w:t>) bol 3,8</w:t>
      </w:r>
      <w:r w:rsidR="00854DD2">
        <w:rPr>
          <w:lang w:val="sk-SK"/>
        </w:rPr>
        <w:t xml:space="preserve"> % (95 % interval spoľahlivosti </w:t>
      </w:r>
      <w:r w:rsidRPr="00C90CED">
        <w:rPr>
          <w:lang w:val="sk-SK"/>
        </w:rPr>
        <w:t xml:space="preserve">[-2,1 %, 9,6 %]). Podiel prežívajúcich pacientov po 12 mesiacoch bol 96,9 % pre </w:t>
      </w:r>
      <w:r w:rsidR="00854DD2">
        <w:rPr>
          <w:lang w:val="sk-SK"/>
        </w:rPr>
        <w:t>takrolimus s predĺženým uvoľňovaním a 97,5 % pre takrolimus s okamžitým uvoľňovaním; v ramene s takrolimom s predĺženým uvoľňovaním</w:t>
      </w:r>
      <w:r w:rsidRPr="00C90CED">
        <w:rPr>
          <w:lang w:val="sk-SK"/>
        </w:rPr>
        <w:t xml:space="preserve"> umrelo 10 pacientov (3 ženy, 7 mu</w:t>
      </w:r>
      <w:r w:rsidR="00854DD2">
        <w:rPr>
          <w:lang w:val="sk-SK"/>
        </w:rPr>
        <w:t>žov) a v ramene s takrolimom</w:t>
      </w:r>
      <w:r w:rsidRPr="00C90CED">
        <w:rPr>
          <w:lang w:val="sk-SK"/>
        </w:rPr>
        <w:t xml:space="preserve"> zomrelo 8 pacientov (3 ženy, 5 mužov). 12-mesač</w:t>
      </w:r>
      <w:r w:rsidR="00854DD2">
        <w:rPr>
          <w:lang w:val="sk-SK"/>
        </w:rPr>
        <w:t xml:space="preserve">né prežívanie štepu bolo 91,5 % </w:t>
      </w:r>
      <w:r w:rsidRPr="00C90CED">
        <w:rPr>
          <w:lang w:val="sk-SK"/>
        </w:rPr>
        <w:t xml:space="preserve">pre </w:t>
      </w:r>
      <w:r w:rsidR="00854DD2">
        <w:rPr>
          <w:lang w:val="sk-SK"/>
        </w:rPr>
        <w:t>takrolimus s predĺženým uvoľňovaním a 92,8 % pre takrolimus s okamžitým uvoľňovaním</w:t>
      </w:r>
      <w:r w:rsidRPr="00C90CED">
        <w:rPr>
          <w:lang w:val="sk-SK"/>
        </w:rPr>
        <w:t>.</w:t>
      </w:r>
    </w:p>
    <w:p w14:paraId="06AEF54A" w14:textId="77777777" w:rsidR="00D318E7" w:rsidRPr="00C90CED" w:rsidRDefault="00D318E7" w:rsidP="00235C1B">
      <w:pPr>
        <w:pStyle w:val="Zkladntext"/>
        <w:rPr>
          <w:lang w:val="sk-SK"/>
        </w:rPr>
      </w:pPr>
    </w:p>
    <w:p w14:paraId="0104C6CB" w14:textId="7619873E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Porovnávala sa úči</w:t>
      </w:r>
      <w:r w:rsidR="00854DD2">
        <w:rPr>
          <w:lang w:val="sk-SK"/>
        </w:rPr>
        <w:t xml:space="preserve">nnosť a bezpečnosť takrolimu s okamžitým uvoľňovaním, cyklosporínu a takrolimu s predĺženým uvoľňovaním, všetky </w:t>
      </w:r>
      <w:r w:rsidRPr="00C90CED">
        <w:rPr>
          <w:lang w:val="sk-SK"/>
        </w:rPr>
        <w:t>v kombinácii s protilátkovou indukciou basiliximabom, MMF a kortikosteroidmi, u 638 príjemcov</w:t>
      </w:r>
      <w:r w:rsidR="00854DD2">
        <w:rPr>
          <w:lang w:val="sk-SK"/>
        </w:rPr>
        <w:t xml:space="preserve"> </w:t>
      </w:r>
      <w:r w:rsidRPr="00C90CED">
        <w:rPr>
          <w:lang w:val="sk-SK"/>
        </w:rPr>
        <w:t xml:space="preserve">transplantovanej obličky </w:t>
      </w:r>
      <w:r w:rsidRPr="00C90CED">
        <w:rPr>
          <w:i/>
          <w:lang w:val="sk-SK"/>
        </w:rPr>
        <w:t>de novo</w:t>
      </w:r>
      <w:r w:rsidRPr="00C90CED">
        <w:rPr>
          <w:lang w:val="sk-SK"/>
        </w:rPr>
        <w:t>. Výskyt zlyhania účinnosti po 12 mesiacoch (definovaný ako úmrtie, strata štepu, biopsiou potvrdená akútna rejekcia alebo nemožnosť ďalšieho sledovanie pacienta) bol 14,0 % v skupine užívajúcej</w:t>
      </w:r>
      <w:r w:rsidR="00854DD2">
        <w:rPr>
          <w:lang w:val="sk-SK"/>
        </w:rPr>
        <w:t xml:space="preserve"> takrolimus s predĺženým uvoľňovaním</w:t>
      </w:r>
      <w:r w:rsidRPr="00C90CED">
        <w:rPr>
          <w:lang w:val="sk-SK"/>
        </w:rPr>
        <w:t xml:space="preserve"> (N=214), 15,1 % v</w:t>
      </w:r>
      <w:r w:rsidR="00854DD2">
        <w:rPr>
          <w:lang w:val="sk-SK"/>
        </w:rPr>
        <w:t xml:space="preserve"> skupine užívajúcej takrolimus s okamžitým uvoľňovaním</w:t>
      </w:r>
      <w:r w:rsidRPr="00C90CED">
        <w:rPr>
          <w:lang w:val="sk-SK"/>
        </w:rPr>
        <w:t xml:space="preserve"> (N=212) a 17,0 % v cyklosporínovej skupine (N=212). Rozdiel v</w:t>
      </w:r>
      <w:r w:rsidR="0016207B">
        <w:rPr>
          <w:lang w:val="sk-SK"/>
        </w:rPr>
        <w:t xml:space="preserve"> účinnosti </w:t>
      </w:r>
      <w:r w:rsidRPr="00C90CED">
        <w:rPr>
          <w:lang w:val="sk-SK"/>
        </w:rPr>
        <w:t>liečb</w:t>
      </w:r>
      <w:r w:rsidR="0016207B">
        <w:rPr>
          <w:lang w:val="sk-SK"/>
        </w:rPr>
        <w:t>y</w:t>
      </w:r>
      <w:r w:rsidRPr="00C90CED">
        <w:rPr>
          <w:lang w:val="sk-SK"/>
        </w:rPr>
        <w:t xml:space="preserve"> bol -3,0 % (</w:t>
      </w:r>
      <w:r w:rsidR="00854DD2">
        <w:rPr>
          <w:lang w:val="sk-SK"/>
        </w:rPr>
        <w:t>takrolimus s predĺženým uvoľňovaním</w:t>
      </w:r>
      <w:r w:rsidRPr="00C90CED">
        <w:rPr>
          <w:lang w:val="sk-SK"/>
        </w:rPr>
        <w:t xml:space="preserve"> - cyklosporín) (95,2 % interval spoľahlivosti [-9,9 %, 4,0 %]) pre </w:t>
      </w:r>
      <w:r w:rsidR="00854DD2">
        <w:rPr>
          <w:lang w:val="sk-SK"/>
        </w:rPr>
        <w:t>takrolimus s predĺženým uvoľňovaním</w:t>
      </w:r>
      <w:r w:rsidRPr="00C90CED">
        <w:rPr>
          <w:lang w:val="sk-SK"/>
        </w:rPr>
        <w:t xml:space="preserve"> verzus cyklosporín a -</w:t>
      </w:r>
      <w:r w:rsidR="00854DD2">
        <w:rPr>
          <w:lang w:val="sk-SK"/>
        </w:rPr>
        <w:t>1,9 % (takrolimus s okamžitým uvoľňovaním</w:t>
      </w:r>
      <w:r w:rsidRPr="00C90CED">
        <w:rPr>
          <w:lang w:val="sk-SK"/>
        </w:rPr>
        <w:t xml:space="preserve"> - cyklosporín) (95,2 % interval spoľahlivo</w:t>
      </w:r>
      <w:r w:rsidR="00854DD2">
        <w:rPr>
          <w:lang w:val="sk-SK"/>
        </w:rPr>
        <w:t>sti [-8,9 %, 5,2 %]) pre takrolimus s okamžitým uvoľňovaním</w:t>
      </w:r>
      <w:r w:rsidRPr="00C90CED">
        <w:rPr>
          <w:lang w:val="sk-SK"/>
        </w:rPr>
        <w:t xml:space="preserve"> verzus</w:t>
      </w:r>
      <w:r w:rsidRPr="00C90CED">
        <w:rPr>
          <w:spacing w:val="-27"/>
          <w:lang w:val="sk-SK"/>
        </w:rPr>
        <w:t xml:space="preserve"> </w:t>
      </w:r>
      <w:r w:rsidRPr="00C90CED">
        <w:rPr>
          <w:lang w:val="sk-SK"/>
        </w:rPr>
        <w:t>cyklosporín.</w:t>
      </w:r>
    </w:p>
    <w:p w14:paraId="2F4B01FC" w14:textId="4C6647CA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Podiel prežívajúcich pacientov po 12 mesiacoch bol 98,6 % pre </w:t>
      </w:r>
      <w:r w:rsidR="00854DD2">
        <w:rPr>
          <w:lang w:val="sk-SK"/>
        </w:rPr>
        <w:t xml:space="preserve">takrolimus s predĺženým uvoľňovaním, 95,7 % pre takrolimus s okamžitým uvoľňovaním </w:t>
      </w:r>
      <w:r w:rsidRPr="00C90CED">
        <w:rPr>
          <w:lang w:val="sk-SK"/>
        </w:rPr>
        <w:t xml:space="preserve">a 97,6 % pre </w:t>
      </w:r>
      <w:r w:rsidR="00854DD2">
        <w:rPr>
          <w:lang w:val="sk-SK"/>
        </w:rPr>
        <w:t>cyklosporín; v ramene s takrolimom s predĺženým uvoľňovaním</w:t>
      </w:r>
      <w:r w:rsidRPr="00C90CED">
        <w:rPr>
          <w:lang w:val="sk-SK"/>
        </w:rPr>
        <w:t xml:space="preserve"> umreli 3 pacienti (všetko </w:t>
      </w:r>
      <w:r w:rsidR="00854DD2">
        <w:rPr>
          <w:lang w:val="sk-SK"/>
        </w:rPr>
        <w:t>muži), v ramene s takrolimom s okamžitým uvoľňovaním</w:t>
      </w:r>
      <w:r w:rsidRPr="00C90CED">
        <w:rPr>
          <w:lang w:val="sk-SK"/>
        </w:rPr>
        <w:t xml:space="preserve"> umrelo 10 pacientov (3 ženy, 7 mužov) a </w:t>
      </w:r>
      <w:r w:rsidR="00854DD2">
        <w:rPr>
          <w:lang w:val="sk-SK"/>
        </w:rPr>
        <w:t xml:space="preserve">v cyklosporínovom ramene umrelo </w:t>
      </w:r>
      <w:r w:rsidRPr="00C90CED">
        <w:rPr>
          <w:lang w:val="sk-SK"/>
        </w:rPr>
        <w:t xml:space="preserve">6 pacientov (3 ženy, 3 muži). 12-mesačné prežívanie štepu bolo 96,7 % pre </w:t>
      </w:r>
      <w:r w:rsidR="00854DD2">
        <w:rPr>
          <w:lang w:val="sk-SK"/>
        </w:rPr>
        <w:t>takrolimus s predĺženým uvoľňovaním, 92,9 % pre takrolimus s okamžitým uvoľňovaním</w:t>
      </w:r>
      <w:r w:rsidRPr="00C90CED">
        <w:rPr>
          <w:lang w:val="sk-SK"/>
        </w:rPr>
        <w:t xml:space="preserve"> a 95,7 % pre cyklosporín.</w:t>
      </w:r>
    </w:p>
    <w:p w14:paraId="6B97E8C7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3DCA0388" w14:textId="58181E1E" w:rsidR="00D318E7" w:rsidRPr="006A6DFE" w:rsidRDefault="00D318E7" w:rsidP="00B52FD1">
      <w:pPr>
        <w:pStyle w:val="Zkladntext"/>
        <w:rPr>
          <w:i/>
          <w:u w:val="single"/>
          <w:lang w:val="sk-SK"/>
        </w:rPr>
      </w:pPr>
      <w:r w:rsidRPr="006A6DFE">
        <w:rPr>
          <w:i/>
          <w:u w:val="single"/>
          <w:lang w:val="sk-SK"/>
        </w:rPr>
        <w:t>Klinická účin</w:t>
      </w:r>
      <w:r w:rsidR="00854DD2" w:rsidRPr="006A6DFE">
        <w:rPr>
          <w:i/>
          <w:u w:val="single"/>
          <w:lang w:val="sk-SK"/>
        </w:rPr>
        <w:t>nosť a bezpečnosť takrolimu s okamžitým uvoľňovaním, podávaný</w:t>
      </w:r>
      <w:r w:rsidR="00A65B14">
        <w:rPr>
          <w:i/>
          <w:u w:val="single"/>
          <w:lang w:val="sk-SK"/>
        </w:rPr>
        <w:t>m</w:t>
      </w:r>
      <w:r w:rsidR="00854DD2" w:rsidRPr="006A6DFE">
        <w:rPr>
          <w:i/>
          <w:u w:val="single"/>
          <w:lang w:val="sk-SK"/>
        </w:rPr>
        <w:t xml:space="preserve"> </w:t>
      </w:r>
      <w:r w:rsidRPr="006A6DFE">
        <w:rPr>
          <w:i/>
          <w:u w:val="single"/>
          <w:lang w:val="sk-SK"/>
        </w:rPr>
        <w:t xml:space="preserve">dvakrát denne </w:t>
      </w:r>
      <w:r w:rsidR="00A65B14">
        <w:rPr>
          <w:i/>
          <w:u w:val="single"/>
          <w:lang w:val="sk-SK"/>
        </w:rPr>
        <w:t>pri</w:t>
      </w:r>
      <w:r w:rsidRPr="006A6DFE">
        <w:rPr>
          <w:i/>
          <w:u w:val="single"/>
          <w:lang w:val="sk-SK"/>
        </w:rPr>
        <w:t xml:space="preserve"> </w:t>
      </w:r>
      <w:r w:rsidRPr="006A6DFE">
        <w:rPr>
          <w:i/>
          <w:u w:val="single"/>
          <w:lang w:val="sk-SK"/>
        </w:rPr>
        <w:lastRenderedPageBreak/>
        <w:t>primárnych transplantáciách orgánov</w:t>
      </w:r>
    </w:p>
    <w:p w14:paraId="478AA5E8" w14:textId="4B7AB81F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V prospektívnych št</w:t>
      </w:r>
      <w:r w:rsidR="00297615">
        <w:rPr>
          <w:lang w:val="sk-SK"/>
        </w:rPr>
        <w:t>údiách sa takrolimus s okamžitým uvoľňovaním</w:t>
      </w:r>
      <w:r w:rsidRPr="00C90CED">
        <w:rPr>
          <w:lang w:val="sk-SK"/>
        </w:rPr>
        <w:t xml:space="preserve"> sledoval ako primárne imunosupresívum približne u 175 pacientov po transplantácii pľúc, u 475 pacientov po transplantácii pankreasu a u 630 pacientov po transplantácii čreva. Celkovo bol bezpečnostný</w:t>
      </w:r>
      <w:r w:rsidR="00297615">
        <w:rPr>
          <w:lang w:val="sk-SK"/>
        </w:rPr>
        <w:t xml:space="preserve"> profil takrolimu s okamžitým uvoľňovaním</w:t>
      </w:r>
      <w:r w:rsidRPr="00C90CED">
        <w:rPr>
          <w:lang w:val="sk-SK"/>
        </w:rPr>
        <w:t xml:space="preserve"> v týchto publikovaných štúdiách podobný tomu, aký zaznamenali v</w:t>
      </w:r>
      <w:r w:rsidR="00A65B14">
        <w:rPr>
          <w:lang w:val="sk-SK"/>
        </w:rPr>
        <w:t xml:space="preserve"> rozsiahlych</w:t>
      </w:r>
      <w:r w:rsidR="00297615">
        <w:rPr>
          <w:lang w:val="sk-SK"/>
        </w:rPr>
        <w:t xml:space="preserve"> štúdiách, kde sa takrolimus s okamžitým uvoľňovaním</w:t>
      </w:r>
      <w:r w:rsidRPr="00C90CED">
        <w:rPr>
          <w:lang w:val="sk-SK"/>
        </w:rPr>
        <w:t xml:space="preserve"> použil v primárnej liečbe po transplantácii pečene, obličiek a srdca. Výsledky účinnosti najväčších</w:t>
      </w:r>
      <w:r w:rsidRPr="00C90CED">
        <w:rPr>
          <w:spacing w:val="-28"/>
          <w:lang w:val="sk-SK"/>
        </w:rPr>
        <w:t xml:space="preserve"> </w:t>
      </w:r>
      <w:r w:rsidRPr="00C90CED">
        <w:rPr>
          <w:lang w:val="sk-SK"/>
        </w:rPr>
        <w:t>štúdií</w:t>
      </w:r>
      <w:r w:rsidR="00A65B14">
        <w:rPr>
          <w:lang w:val="sk-SK"/>
        </w:rPr>
        <w:t xml:space="preserve"> </w:t>
      </w:r>
      <w:r w:rsidRPr="00C90CED">
        <w:rPr>
          <w:lang w:val="sk-SK"/>
        </w:rPr>
        <w:t>v každej indikácii sú sumarizované nižšie.</w:t>
      </w:r>
    </w:p>
    <w:p w14:paraId="2D0B90C5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2FBDA717" w14:textId="77777777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Transplantácia pľúc</w:t>
      </w:r>
    </w:p>
    <w:p w14:paraId="725323AA" w14:textId="22D2293B" w:rsidR="00D33673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Predbežná analýza nedávnej multicentrickej štúdie</w:t>
      </w:r>
      <w:r w:rsidR="00A65B14">
        <w:rPr>
          <w:lang w:val="sk-SK"/>
        </w:rPr>
        <w:t xml:space="preserve">, v ktorej sa užíval takrolimus s okamžitým uvoľňovaním, </w:t>
      </w:r>
      <w:r w:rsidRPr="00C90CED">
        <w:rPr>
          <w:lang w:val="sk-SK"/>
        </w:rPr>
        <w:t xml:space="preserve"> sa zaoberala 110 pacientmi, ktorí boli randomizovaní 1:1 buď na takrolimus alebo cyklosporín. Terapia takrolimom sa začala ako kontinuálna intravenózna infúzia v dávke 0,01 až 0,03 mg/kg/deň, perorálne sa takrolimus podával</w:t>
      </w:r>
      <w:r w:rsidR="00A65B14">
        <w:rPr>
          <w:lang w:val="sk-SK"/>
        </w:rPr>
        <w:t xml:space="preserve"> </w:t>
      </w:r>
      <w:r w:rsidRPr="00C90CED">
        <w:rPr>
          <w:lang w:val="sk-SK"/>
        </w:rPr>
        <w:t xml:space="preserve">v dávke 0,05 až 0,3 mg/kg/deň. V prvom roku po transplantácii sa zaznamenal nižší výskyt akútnych rejekčných epizód u pacientov liečených takrolimom voči pacientom liečeným cyklosporínom (11,5 % verzus 22,6 %) a nižší výskyt chronickej rejekcie, syndrómu </w:t>
      </w:r>
      <w:r w:rsidR="00C7734D">
        <w:rPr>
          <w:lang w:val="sk-SK"/>
        </w:rPr>
        <w:t>obliterujúcej bronchiolitídy</w:t>
      </w:r>
      <w:r w:rsidRPr="00C90CED">
        <w:rPr>
          <w:lang w:val="sk-SK"/>
        </w:rPr>
        <w:t xml:space="preserve"> (2,86 % verzus 8,57 %). Miera prežitia po jednom roku bola 80,8 % v takrolimovej a 83 % v cyklosporínovej skupine.</w:t>
      </w:r>
    </w:p>
    <w:p w14:paraId="7A8C221F" w14:textId="77777777" w:rsidR="00D33673" w:rsidRDefault="00D33673" w:rsidP="00235C1B">
      <w:pPr>
        <w:pStyle w:val="Zkladntext"/>
        <w:rPr>
          <w:lang w:val="sk-SK"/>
        </w:rPr>
      </w:pPr>
    </w:p>
    <w:p w14:paraId="6D05F8B8" w14:textId="77777777" w:rsidR="007D71F1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V inej randomizovanej štúdii bolo 66 pacientov liečených takrolimom voči 67 pacientom liečených</w:t>
      </w:r>
    </w:p>
    <w:p w14:paraId="1923959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cyklosporínom. Takrolimus sa začal podávať ako kontinuálna intravenózna infúzia v dávke</w:t>
      </w:r>
    </w:p>
    <w:p w14:paraId="23607C2B" w14:textId="4C28F253" w:rsidR="00D318E7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0,025 mg/kg/deň a perorálne sa takrolimus podával v dávke 0,15 mg/kg/deň s následným </w:t>
      </w:r>
      <w:r w:rsidR="00C7734D">
        <w:rPr>
          <w:lang w:val="sk-SK"/>
        </w:rPr>
        <w:t>upravením</w:t>
      </w:r>
      <w:r w:rsidRPr="00C90CED">
        <w:rPr>
          <w:lang w:val="sk-SK"/>
        </w:rPr>
        <w:t xml:space="preserve"> dávky na cieľovú </w:t>
      </w:r>
      <w:r w:rsidR="00C7734D">
        <w:rPr>
          <w:lang w:val="sk-SK"/>
        </w:rPr>
        <w:t xml:space="preserve">minimálnu </w:t>
      </w:r>
      <w:r w:rsidRPr="00C90CED">
        <w:rPr>
          <w:lang w:val="sk-SK"/>
        </w:rPr>
        <w:t xml:space="preserve">hladinu 10 až 20 ng/ml. Po jednom roku prežívalo 83 % pacientov v takrolimovej a 71 % pacientov v cyklosporínovej skupine, po dvoch rokoch bol tento pomer 76 % voči 66 %. </w:t>
      </w:r>
      <w:r w:rsidR="00C7734D">
        <w:rPr>
          <w:lang w:val="sk-SK"/>
        </w:rPr>
        <w:t>E</w:t>
      </w:r>
      <w:r w:rsidRPr="00C90CED">
        <w:rPr>
          <w:lang w:val="sk-SK"/>
        </w:rPr>
        <w:t xml:space="preserve">pizód </w:t>
      </w:r>
      <w:r w:rsidR="00C7734D">
        <w:rPr>
          <w:lang w:val="sk-SK"/>
        </w:rPr>
        <w:t xml:space="preserve">akútnej rejekcie </w:t>
      </w:r>
      <w:r w:rsidRPr="00C90CED">
        <w:rPr>
          <w:lang w:val="sk-SK"/>
        </w:rPr>
        <w:t xml:space="preserve">na 100 paciento-dní bolo numericky menej v takrolimovej </w:t>
      </w:r>
      <w:r w:rsidR="00C7734D">
        <w:rPr>
          <w:lang w:val="sk-SK"/>
        </w:rPr>
        <w:t xml:space="preserve">skupine </w:t>
      </w:r>
      <w:r w:rsidRPr="00C90CED">
        <w:rPr>
          <w:lang w:val="sk-SK"/>
        </w:rPr>
        <w:t>(0,85 epizód) ako v cyklosporínovej skupine (1,09 epizód). Obliter</w:t>
      </w:r>
      <w:r w:rsidR="00C7734D">
        <w:rPr>
          <w:lang w:val="sk-SK"/>
        </w:rPr>
        <w:t>ujúca</w:t>
      </w:r>
      <w:r w:rsidRPr="00C90CED">
        <w:rPr>
          <w:lang w:val="sk-SK"/>
        </w:rPr>
        <w:t xml:space="preserve"> bronchiolitída sa vyvinula u 21,7</w:t>
      </w:r>
      <w:r w:rsidR="00C7734D">
        <w:rPr>
          <w:lang w:val="sk-SK"/>
        </w:rPr>
        <w:t> </w:t>
      </w:r>
      <w:r w:rsidRPr="00C90CED">
        <w:rPr>
          <w:lang w:val="sk-SK"/>
        </w:rPr>
        <w:t>% pacientov v takrolimovej skupine v porovnaní s 38,0 %</w:t>
      </w:r>
      <w:r w:rsidRPr="00C90CED">
        <w:rPr>
          <w:spacing w:val="-13"/>
          <w:lang w:val="sk-SK"/>
        </w:rPr>
        <w:t xml:space="preserve"> </w:t>
      </w:r>
      <w:r w:rsidRPr="00C90CED">
        <w:rPr>
          <w:lang w:val="sk-SK"/>
        </w:rPr>
        <w:t>pacientov</w:t>
      </w:r>
      <w:r w:rsidR="00C7734D">
        <w:rPr>
          <w:lang w:val="sk-SK"/>
        </w:rPr>
        <w:t xml:space="preserve"> </w:t>
      </w:r>
      <w:r w:rsidRPr="00C90CED">
        <w:rPr>
          <w:lang w:val="sk-SK"/>
        </w:rPr>
        <w:t>v cyklosporínovej skupine (p = 0,025). Signifikantne viac pacientov liečených cyklosporínom (n =13) vyžadovalo prechod na takrolimus ako pacientov liečených takrolimom na cyklosporín (n = 2) (p</w:t>
      </w:r>
      <w:r w:rsidR="00C7734D">
        <w:rPr>
          <w:lang w:val="sk-SK"/>
        </w:rPr>
        <w:t xml:space="preserve"> </w:t>
      </w:r>
      <w:r w:rsidRPr="00C90CED">
        <w:rPr>
          <w:lang w:val="sk-SK"/>
        </w:rPr>
        <w:t>= 0,02) (Keenan et al., Ann Thoracic Surg 1995; 60:580).</w:t>
      </w:r>
    </w:p>
    <w:p w14:paraId="47883764" w14:textId="77777777" w:rsidR="00D33673" w:rsidRPr="00C90CED" w:rsidRDefault="00D33673" w:rsidP="00235C1B">
      <w:pPr>
        <w:pStyle w:val="Zkladntext"/>
        <w:rPr>
          <w:lang w:val="sk-SK"/>
        </w:rPr>
      </w:pPr>
    </w:p>
    <w:p w14:paraId="4FC1D2E4" w14:textId="474DBCDD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V ďalšej štúdii v dvoch centrách bolo randomizovaných 26 pacientov </w:t>
      </w:r>
      <w:r w:rsidR="00485EDB">
        <w:rPr>
          <w:lang w:val="sk-SK"/>
        </w:rPr>
        <w:t>do</w:t>
      </w:r>
      <w:r w:rsidRPr="00C90CED">
        <w:rPr>
          <w:lang w:val="sk-SK"/>
        </w:rPr>
        <w:t xml:space="preserve"> takrolimovej </w:t>
      </w:r>
      <w:r w:rsidR="00485EDB">
        <w:rPr>
          <w:lang w:val="sk-SK"/>
        </w:rPr>
        <w:t xml:space="preserve"> skupiny a</w:t>
      </w:r>
    </w:p>
    <w:p w14:paraId="59C44D51" w14:textId="0E5D643E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24 paciento</w:t>
      </w:r>
      <w:r w:rsidR="00485EDB">
        <w:rPr>
          <w:lang w:val="sk-SK"/>
        </w:rPr>
        <w:t>v</w:t>
      </w:r>
      <w:r w:rsidRPr="00C90CED">
        <w:rPr>
          <w:lang w:val="sk-SK"/>
        </w:rPr>
        <w:t xml:space="preserve"> </w:t>
      </w:r>
      <w:r w:rsidR="00485EDB">
        <w:rPr>
          <w:lang w:val="sk-SK"/>
        </w:rPr>
        <w:t>do</w:t>
      </w:r>
      <w:r w:rsidRPr="00C90CED">
        <w:rPr>
          <w:lang w:val="sk-SK"/>
        </w:rPr>
        <w:t xml:space="preserve"> cyklosporínovej skupin</w:t>
      </w:r>
      <w:r w:rsidR="00485EDB">
        <w:rPr>
          <w:lang w:val="sk-SK"/>
        </w:rPr>
        <w:t>y</w:t>
      </w:r>
      <w:r w:rsidRPr="00C90CED">
        <w:rPr>
          <w:lang w:val="sk-SK"/>
        </w:rPr>
        <w:t>. Takrolimus sa začal podávať ako kontinuálna intravenózna</w:t>
      </w:r>
    </w:p>
    <w:p w14:paraId="5AD70A1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infúzia v dávke 0,05 mg/kg/deň, perorálne sa takrolimus podával v dávke 0,1 až 0,3 mg/kg/deň</w:t>
      </w:r>
    </w:p>
    <w:p w14:paraId="20D030AA" w14:textId="259EA65C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s následným </w:t>
      </w:r>
      <w:r w:rsidR="00485EDB">
        <w:rPr>
          <w:lang w:val="sk-SK"/>
        </w:rPr>
        <w:t>upravením dávky</w:t>
      </w:r>
      <w:r w:rsidRPr="00C90CED">
        <w:rPr>
          <w:lang w:val="sk-SK"/>
        </w:rPr>
        <w:t xml:space="preserve"> na cieľovú </w:t>
      </w:r>
      <w:r w:rsidR="00485EDB">
        <w:rPr>
          <w:lang w:val="sk-SK"/>
        </w:rPr>
        <w:t xml:space="preserve">minimálnu </w:t>
      </w:r>
      <w:r w:rsidRPr="00C90CED">
        <w:rPr>
          <w:lang w:val="sk-SK"/>
        </w:rPr>
        <w:t>hladinu 12 až 15 ng/ml.</w:t>
      </w:r>
      <w:r w:rsidR="00485EDB" w:rsidRPr="00C90CED" w:rsidDel="00485EDB">
        <w:rPr>
          <w:lang w:val="sk-SK"/>
        </w:rPr>
        <w:t xml:space="preserve"> </w:t>
      </w:r>
      <w:r w:rsidRPr="00C90CED">
        <w:rPr>
          <w:lang w:val="sk-SK"/>
        </w:rPr>
        <w:t>Po jednom roku prežívalo 73,1 % v takrolimovej skupine voči 79,2 % v cyklosporínovej skupine. Bez akútnej rejekcie bolo viac pacientov v takrolimovej skupine po 6 mesiacoch (57,7 % verzus 45,8 %) a po jednom roku po transplantácii pľúc (50 % verzus 33,3 %).</w:t>
      </w:r>
      <w:r w:rsidR="00485EDB">
        <w:rPr>
          <w:lang w:val="sk-SK"/>
        </w:rPr>
        <w:t xml:space="preserve"> </w:t>
      </w:r>
      <w:r w:rsidRPr="00C90CED">
        <w:rPr>
          <w:lang w:val="sk-SK"/>
        </w:rPr>
        <w:t xml:space="preserve">Tieto tri štúdie preukázali podobnú mieru prežívania. Výskyt akútnej rejekcie bol numericky nižší u takrolimu vo všetkých troch štúdiách a v jednej z nich zaznamenali signifikantne nižší výskyt syndrómu </w:t>
      </w:r>
      <w:r w:rsidR="00485EDB" w:rsidRPr="00485EDB">
        <w:rPr>
          <w:lang w:val="sk-SK"/>
        </w:rPr>
        <w:t xml:space="preserve">obliterujúcej bronchiolitídy </w:t>
      </w:r>
      <w:r w:rsidR="00485EDB">
        <w:rPr>
          <w:lang w:val="sk-SK"/>
        </w:rPr>
        <w:t>pri liečbe</w:t>
      </w:r>
      <w:r w:rsidRPr="00C90CED">
        <w:rPr>
          <w:lang w:val="sk-SK"/>
        </w:rPr>
        <w:t xml:space="preserve"> takrolimom.</w:t>
      </w:r>
    </w:p>
    <w:p w14:paraId="6DE7A8FF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6B4B242A" w14:textId="77777777" w:rsidR="00D318E7" w:rsidRPr="00C90CED" w:rsidRDefault="00D318E7" w:rsidP="00B52FD1">
      <w:pPr>
        <w:rPr>
          <w:i/>
          <w:lang w:val="sk-SK"/>
        </w:rPr>
      </w:pPr>
      <w:r w:rsidRPr="00C90CED">
        <w:rPr>
          <w:i/>
          <w:lang w:val="sk-SK"/>
        </w:rPr>
        <w:t>Transplantácia pankreasu</w:t>
      </w:r>
    </w:p>
    <w:p w14:paraId="5CCE3D8D" w14:textId="49093D1C" w:rsidR="00D318E7" w:rsidRPr="00C90CED" w:rsidRDefault="00485EDB" w:rsidP="00B52FD1">
      <w:pPr>
        <w:pStyle w:val="Zkladntext"/>
        <w:rPr>
          <w:lang w:val="sk-SK"/>
        </w:rPr>
      </w:pPr>
      <w:r>
        <w:rPr>
          <w:lang w:val="sk-SK"/>
        </w:rPr>
        <w:t>Do</w:t>
      </w:r>
      <w:r w:rsidR="00D318E7" w:rsidRPr="00C90CED">
        <w:rPr>
          <w:lang w:val="sk-SK"/>
        </w:rPr>
        <w:t xml:space="preserve"> multicentrickej štúdi</w:t>
      </w:r>
      <w:r>
        <w:rPr>
          <w:lang w:val="sk-SK"/>
        </w:rPr>
        <w:t>e</w:t>
      </w:r>
      <w:r w:rsidR="00D318E7" w:rsidRPr="00C90CED">
        <w:rPr>
          <w:lang w:val="sk-SK"/>
        </w:rPr>
        <w:t xml:space="preserve">, v ktorej sa užíval </w:t>
      </w:r>
      <w:r>
        <w:rPr>
          <w:lang w:val="sk-SK"/>
        </w:rPr>
        <w:t>takrolimus s okamžitým uvoľňovaním</w:t>
      </w:r>
      <w:r w:rsidR="00D318E7" w:rsidRPr="00C90CED">
        <w:rPr>
          <w:lang w:val="sk-SK"/>
        </w:rPr>
        <w:t xml:space="preserve">, </w:t>
      </w:r>
      <w:r>
        <w:rPr>
          <w:lang w:val="sk-SK"/>
        </w:rPr>
        <w:t>bolo zaradených</w:t>
      </w:r>
      <w:r w:rsidR="00D318E7" w:rsidRPr="00C90CED">
        <w:rPr>
          <w:lang w:val="sk-SK"/>
        </w:rPr>
        <w:t xml:space="preserve"> 205 pacientov, ktorým bol simultánne transplantovaný pankreas a oblička, a ktorí boli randomizovaní na takrolimus (n = 103) alebo na cyklosporín (n = 102). Počiatočná perorálna dávka takrolimu podľa protokolu bola</w:t>
      </w:r>
      <w:r>
        <w:rPr>
          <w:lang w:val="sk-SK"/>
        </w:rPr>
        <w:t xml:space="preserve"> </w:t>
      </w:r>
      <w:r w:rsidR="00D318E7" w:rsidRPr="00C90CED">
        <w:rPr>
          <w:lang w:val="sk-SK"/>
        </w:rPr>
        <w:t xml:space="preserve">0,2 mg/kg/deň s následným </w:t>
      </w:r>
      <w:r>
        <w:rPr>
          <w:lang w:val="sk-SK"/>
        </w:rPr>
        <w:t>upravením</w:t>
      </w:r>
      <w:r w:rsidR="00D318E7" w:rsidRPr="00C90CED">
        <w:rPr>
          <w:lang w:val="sk-SK"/>
        </w:rPr>
        <w:t xml:space="preserve"> dávky na cieľové </w:t>
      </w:r>
      <w:r>
        <w:rPr>
          <w:lang w:val="sk-SK"/>
        </w:rPr>
        <w:t xml:space="preserve">minimálne </w:t>
      </w:r>
      <w:r w:rsidR="00D318E7" w:rsidRPr="00C90CED">
        <w:rPr>
          <w:lang w:val="sk-SK"/>
        </w:rPr>
        <w:t>hladiny 8 až 15 ng/ml do piateho dňa a 5 až 10 ng/ml po šiestom mesiaci. Miera prežitia pankreasu bola</w:t>
      </w:r>
      <w:r w:rsidR="007D71F1">
        <w:rPr>
          <w:lang w:val="sk-SK"/>
        </w:rPr>
        <w:t xml:space="preserve"> </w:t>
      </w:r>
      <w:r w:rsidR="00D318E7" w:rsidRPr="00C90CED">
        <w:rPr>
          <w:lang w:val="sk-SK"/>
        </w:rPr>
        <w:t xml:space="preserve">signifikantne vyššia s takrolimom: 91,3 % verzus 74,5 % s cyklosporínom (p &lt; 0,0005), zatiaľ čo miera prežitia obličkového štepu bola v obidvoch skupinách podobná. Celkovo bola liečba zmenená z cyklosporínu na takrolimus u 34 pacientov, zatiaľ čo alternatívnu liečbu si vyžadovalo len 6 </w:t>
      </w:r>
      <w:r w:rsidR="0018413F">
        <w:rPr>
          <w:lang w:val="sk-SK"/>
        </w:rPr>
        <w:t xml:space="preserve">pacientov liečených </w:t>
      </w:r>
      <w:r w:rsidR="00D318E7" w:rsidRPr="00C90CED">
        <w:rPr>
          <w:lang w:val="sk-SK"/>
        </w:rPr>
        <w:t>takrolimo</w:t>
      </w:r>
      <w:r w:rsidR="0018413F">
        <w:rPr>
          <w:lang w:val="sk-SK"/>
        </w:rPr>
        <w:t>m</w:t>
      </w:r>
      <w:r w:rsidR="00D318E7" w:rsidRPr="00C90CED">
        <w:rPr>
          <w:lang w:val="sk-SK"/>
        </w:rPr>
        <w:t>.</w:t>
      </w:r>
    </w:p>
    <w:p w14:paraId="6F1C2F60" w14:textId="77777777" w:rsidR="00D318E7" w:rsidRPr="00C90CED" w:rsidRDefault="00D318E7" w:rsidP="00B52FD1">
      <w:pPr>
        <w:pStyle w:val="Zkladntext"/>
        <w:rPr>
          <w:lang w:val="sk-SK"/>
        </w:rPr>
      </w:pPr>
    </w:p>
    <w:p w14:paraId="275257F5" w14:textId="027A26DB" w:rsidR="00D318E7" w:rsidRPr="00C90CED" w:rsidRDefault="00D318E7" w:rsidP="00235C1B">
      <w:pPr>
        <w:rPr>
          <w:i/>
          <w:lang w:val="sk-SK"/>
        </w:rPr>
      </w:pPr>
      <w:r w:rsidRPr="00C90CED">
        <w:rPr>
          <w:i/>
          <w:lang w:val="sk-SK"/>
        </w:rPr>
        <w:t>Transplantácia čr</w:t>
      </w:r>
      <w:r w:rsidR="0018413F">
        <w:rPr>
          <w:i/>
          <w:lang w:val="sk-SK"/>
        </w:rPr>
        <w:t>eva</w:t>
      </w:r>
    </w:p>
    <w:p w14:paraId="691C9E66" w14:textId="160CDB81" w:rsidR="00D318E7" w:rsidRPr="00C90CED" w:rsidRDefault="00D318E7" w:rsidP="0018413F">
      <w:pPr>
        <w:pStyle w:val="Zkladntext"/>
        <w:rPr>
          <w:lang w:val="sk-SK"/>
        </w:rPr>
      </w:pPr>
      <w:r w:rsidRPr="00C90CED">
        <w:rPr>
          <w:lang w:val="sk-SK"/>
        </w:rPr>
        <w:t xml:space="preserve">Publikované klinické údaje z jedného centra, týkajúce sa používania </w:t>
      </w:r>
      <w:r w:rsidR="0018413F">
        <w:rPr>
          <w:lang w:val="sk-SK"/>
        </w:rPr>
        <w:t>takrolimu</w:t>
      </w:r>
      <w:r w:rsidR="0018413F" w:rsidRPr="0018413F">
        <w:rPr>
          <w:lang w:val="sk-SK"/>
        </w:rPr>
        <w:t xml:space="preserve"> s okamžitým uvoľňovaním</w:t>
      </w:r>
      <w:r w:rsidRPr="00C90CED">
        <w:rPr>
          <w:lang w:val="sk-SK"/>
        </w:rPr>
        <w:t xml:space="preserve"> na primárnu liečbu po transplantácii čriev ukázali, že </w:t>
      </w:r>
      <w:r w:rsidR="0018413F">
        <w:rPr>
          <w:lang w:val="sk-SK"/>
        </w:rPr>
        <w:t>vypočítaná miera prežitia u</w:t>
      </w:r>
      <w:r w:rsidRPr="00C90CED">
        <w:rPr>
          <w:lang w:val="sk-SK"/>
        </w:rPr>
        <w:t xml:space="preserve"> 155 pacientov (65 </w:t>
      </w:r>
      <w:r w:rsidR="0018413F">
        <w:rPr>
          <w:lang w:val="sk-SK"/>
        </w:rPr>
        <w:t xml:space="preserve">len transplantácia </w:t>
      </w:r>
      <w:r w:rsidRPr="00C90CED">
        <w:rPr>
          <w:lang w:val="sk-SK"/>
        </w:rPr>
        <w:t>črev</w:t>
      </w:r>
      <w:r w:rsidR="0018413F">
        <w:rPr>
          <w:lang w:val="sk-SK"/>
        </w:rPr>
        <w:t>a</w:t>
      </w:r>
      <w:r w:rsidRPr="00C90CED">
        <w:rPr>
          <w:lang w:val="sk-SK"/>
        </w:rPr>
        <w:t>, 75 pečeň a črev</w:t>
      </w:r>
      <w:r w:rsidR="0018413F">
        <w:rPr>
          <w:lang w:val="sk-SK"/>
        </w:rPr>
        <w:t>o</w:t>
      </w:r>
      <w:r w:rsidRPr="00C90CED">
        <w:rPr>
          <w:lang w:val="sk-SK"/>
        </w:rPr>
        <w:t xml:space="preserve"> a 25 multivisceráln</w:t>
      </w:r>
      <w:r w:rsidR="0018413F">
        <w:rPr>
          <w:lang w:val="sk-SK"/>
        </w:rPr>
        <w:t>a transplantácia</w:t>
      </w:r>
      <w:r w:rsidRPr="00C90CED">
        <w:rPr>
          <w:lang w:val="sk-SK"/>
        </w:rPr>
        <w:t xml:space="preserve">), ktorí dostávali takrolimus a prednizón, </w:t>
      </w:r>
      <w:r w:rsidR="0018413F">
        <w:rPr>
          <w:lang w:val="sk-SK"/>
        </w:rPr>
        <w:t>bola</w:t>
      </w:r>
      <w:r w:rsidRPr="00C90CED">
        <w:rPr>
          <w:lang w:val="sk-SK"/>
        </w:rPr>
        <w:t xml:space="preserve"> 75 % po 1 roku, 54</w:t>
      </w:r>
      <w:r w:rsidRPr="00C90CED">
        <w:rPr>
          <w:spacing w:val="-28"/>
          <w:lang w:val="sk-SK"/>
        </w:rPr>
        <w:t xml:space="preserve"> </w:t>
      </w:r>
      <w:r w:rsidRPr="00C90CED">
        <w:rPr>
          <w:lang w:val="sk-SK"/>
        </w:rPr>
        <w:t>%</w:t>
      </w:r>
      <w:r w:rsidR="0018413F">
        <w:rPr>
          <w:lang w:val="sk-SK"/>
        </w:rPr>
        <w:t xml:space="preserve"> </w:t>
      </w:r>
      <w:r w:rsidRPr="00C90CED">
        <w:rPr>
          <w:lang w:val="sk-SK"/>
        </w:rPr>
        <w:t xml:space="preserve">po 5 rokoch a 42 % po 10 rokoch. V </w:t>
      </w:r>
      <w:r w:rsidRPr="00C90CED">
        <w:rPr>
          <w:lang w:val="sk-SK"/>
        </w:rPr>
        <w:lastRenderedPageBreak/>
        <w:t xml:space="preserve">prvých rokoch po transplantácii bola počiatočná perorálna dávka takrolimu 0,3 mg/kg/deň. Výsledky sa kontinuálne zlepšovali s narastajúcimi skúsenosťami počas obdobia 11 rokov. Predpokladá sa, že rôzne inovácie, napr. techniky na skorú detekciu infekcií vírusom Epsteina-Barrovej (EBV) a CMV, posilnenie kostnej drene, doplnkové používanie antagonistu </w:t>
      </w:r>
      <w:r w:rsidR="0018413F">
        <w:rPr>
          <w:lang w:val="sk-SK"/>
        </w:rPr>
        <w:t xml:space="preserve">interleukínu-2 </w:t>
      </w:r>
      <w:r w:rsidRPr="00C90CED">
        <w:rPr>
          <w:lang w:val="sk-SK"/>
        </w:rPr>
        <w:t xml:space="preserve">daklizumabu, nižšie počiatočné dávky takrolimu s cieľovými </w:t>
      </w:r>
      <w:r w:rsidR="0018413F">
        <w:rPr>
          <w:lang w:val="sk-SK"/>
        </w:rPr>
        <w:t xml:space="preserve">minimálnymi </w:t>
      </w:r>
      <w:r w:rsidRPr="00C90CED">
        <w:rPr>
          <w:lang w:val="sk-SK"/>
        </w:rPr>
        <w:t xml:space="preserve">hladinami 10 až 15 ng/ml a najnovšie ožarovanie </w:t>
      </w:r>
      <w:r w:rsidR="0018413F">
        <w:rPr>
          <w:lang w:val="sk-SK"/>
        </w:rPr>
        <w:t>alo</w:t>
      </w:r>
      <w:r w:rsidRPr="00C90CED">
        <w:rPr>
          <w:lang w:val="sk-SK"/>
        </w:rPr>
        <w:t>štepu, prispieva v priebehu času k zlepšeniu výsledkov v tejto indikácii.</w:t>
      </w:r>
    </w:p>
    <w:p w14:paraId="09F5A25F" w14:textId="77777777" w:rsidR="00D318E7" w:rsidRPr="00C90CED" w:rsidRDefault="00D318E7" w:rsidP="00235C1B">
      <w:pPr>
        <w:pStyle w:val="Zkladntext"/>
        <w:rPr>
          <w:lang w:val="sk-SK"/>
        </w:rPr>
      </w:pPr>
    </w:p>
    <w:p w14:paraId="2F62DEE5" w14:textId="77777777" w:rsidR="00D318E7" w:rsidRPr="00C90CED" w:rsidRDefault="00D318E7" w:rsidP="00B52FD1">
      <w:pPr>
        <w:pStyle w:val="Nadpis1"/>
        <w:numPr>
          <w:ilvl w:val="1"/>
          <w:numId w:val="1"/>
        </w:numPr>
        <w:tabs>
          <w:tab w:val="left" w:pos="685"/>
          <w:tab w:val="left" w:pos="686"/>
        </w:tabs>
        <w:ind w:left="0" w:firstLine="0"/>
        <w:rPr>
          <w:lang w:val="sk-SK"/>
        </w:rPr>
      </w:pPr>
      <w:r w:rsidRPr="00C90CED">
        <w:rPr>
          <w:lang w:val="sk-SK"/>
        </w:rPr>
        <w:t>Farmakokinetické</w:t>
      </w:r>
      <w:r w:rsidRPr="00C90CED">
        <w:rPr>
          <w:spacing w:val="-9"/>
          <w:lang w:val="sk-SK"/>
        </w:rPr>
        <w:t xml:space="preserve"> </w:t>
      </w:r>
      <w:r w:rsidRPr="00C90CED">
        <w:rPr>
          <w:lang w:val="sk-SK"/>
        </w:rPr>
        <w:t>vlastnosti</w:t>
      </w:r>
    </w:p>
    <w:p w14:paraId="7F0DBC7F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4D055503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Absorpcia</w:t>
      </w:r>
    </w:p>
    <w:p w14:paraId="609B3E1D" w14:textId="3BABA9C1" w:rsidR="000367EF" w:rsidRPr="000367EF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U ľudí sa preukázala schopnosť absorbovať takrolimus cez gastrointestinálny trakt. </w:t>
      </w:r>
      <w:r w:rsidRPr="002445FD">
        <w:rPr>
          <w:lang w:val="sk-SK"/>
        </w:rPr>
        <w:t>Voľný</w:t>
      </w:r>
      <w:r w:rsidRPr="00C90CED">
        <w:rPr>
          <w:lang w:val="sk-SK"/>
        </w:rPr>
        <w:t xml:space="preserve"> takrolimus sa zvyčajne rýchlo absorbuje. </w:t>
      </w:r>
      <w:r w:rsidR="005508C6">
        <w:rPr>
          <w:lang w:val="sk-SK"/>
        </w:rPr>
        <w:t>Dailiport</w:t>
      </w:r>
      <w:r w:rsidRPr="00C90CED">
        <w:rPr>
          <w:lang w:val="sk-SK"/>
        </w:rPr>
        <w:t xml:space="preserve"> je lieková forma s predĺženým uvoľňovaním takrolimu, výsledkom čoho je predĺžený absorpčný profil po perorálnom podaní s priemerným časom dosiahnutia </w:t>
      </w:r>
      <w:r w:rsidRPr="000367EF">
        <w:rPr>
          <w:lang w:val="sk-SK"/>
        </w:rPr>
        <w:t>maximálnej koncentrácie v krvi (C</w:t>
      </w:r>
      <w:r w:rsidRPr="000367EF">
        <w:rPr>
          <w:vertAlign w:val="subscript"/>
          <w:lang w:val="sk-SK"/>
        </w:rPr>
        <w:t>max</w:t>
      </w:r>
      <w:r w:rsidRPr="000367EF">
        <w:rPr>
          <w:lang w:val="sk-SK"/>
        </w:rPr>
        <w:t>) približne 2 hodiny (t</w:t>
      </w:r>
      <w:r w:rsidRPr="000367EF">
        <w:rPr>
          <w:vertAlign w:val="subscript"/>
          <w:lang w:val="sk-SK"/>
        </w:rPr>
        <w:t>max</w:t>
      </w:r>
      <w:r w:rsidRPr="000367EF">
        <w:rPr>
          <w:lang w:val="sk-SK"/>
        </w:rPr>
        <w:t>).</w:t>
      </w:r>
      <w:r w:rsidR="007D71F1" w:rsidRPr="000367EF">
        <w:rPr>
          <w:lang w:val="sk-SK"/>
        </w:rPr>
        <w:t xml:space="preserve"> </w:t>
      </w:r>
    </w:p>
    <w:p w14:paraId="3EAAB933" w14:textId="77777777" w:rsidR="000367EF" w:rsidRDefault="000367EF" w:rsidP="00235C1B">
      <w:pPr>
        <w:pStyle w:val="Zkladntext"/>
        <w:rPr>
          <w:position w:val="2"/>
          <w:lang w:val="sk-SK"/>
        </w:rPr>
      </w:pPr>
    </w:p>
    <w:p w14:paraId="368FAB20" w14:textId="064DA820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Absorpcia je rôzna a</w:t>
      </w:r>
      <w:r w:rsidR="000367EF">
        <w:rPr>
          <w:lang w:val="sk-SK"/>
        </w:rPr>
        <w:t> </w:t>
      </w:r>
      <w:r w:rsidRPr="00C90CED">
        <w:rPr>
          <w:lang w:val="sk-SK"/>
        </w:rPr>
        <w:t>priemerná</w:t>
      </w:r>
      <w:r w:rsidR="000367EF">
        <w:rPr>
          <w:lang w:val="sk-SK"/>
        </w:rPr>
        <w:t xml:space="preserve"> </w:t>
      </w:r>
      <w:r w:rsidRPr="00C90CED">
        <w:rPr>
          <w:lang w:val="sk-SK"/>
        </w:rPr>
        <w:t>bio</w:t>
      </w:r>
      <w:r w:rsidR="00B76549">
        <w:rPr>
          <w:lang w:val="sk-SK"/>
        </w:rPr>
        <w:t xml:space="preserve">logická </w:t>
      </w:r>
      <w:r w:rsidRPr="00C90CED">
        <w:rPr>
          <w:lang w:val="sk-SK"/>
        </w:rPr>
        <w:t>dostupnosť takrolimu</w:t>
      </w:r>
      <w:r w:rsidR="000367EF">
        <w:rPr>
          <w:lang w:val="sk-SK"/>
        </w:rPr>
        <w:t xml:space="preserve"> (skúmané </w:t>
      </w:r>
      <w:r w:rsidR="00B76549">
        <w:rPr>
          <w:lang w:val="sk-SK"/>
        </w:rPr>
        <w:t>pri liekovej</w:t>
      </w:r>
      <w:r w:rsidR="000367EF">
        <w:rPr>
          <w:lang w:val="sk-SK"/>
        </w:rPr>
        <w:t xml:space="preserve"> forme takrolimu s okamžitým uvoľňovaním</w:t>
      </w:r>
      <w:r w:rsidRPr="00C90CED">
        <w:rPr>
          <w:lang w:val="sk-SK"/>
        </w:rPr>
        <w:t xml:space="preserve">) podávaného perorálne je v rozpätí 20 % - 25 % (individuálny rozsah </w:t>
      </w:r>
      <w:r w:rsidR="000367EF">
        <w:rPr>
          <w:lang w:val="sk-SK"/>
        </w:rPr>
        <w:t xml:space="preserve">u dospelého pacienta 6 %-43 %). </w:t>
      </w:r>
      <w:r w:rsidRPr="00C90CED">
        <w:rPr>
          <w:lang w:val="sk-SK"/>
        </w:rPr>
        <w:t>Bio</w:t>
      </w:r>
      <w:r w:rsidR="00B76549">
        <w:rPr>
          <w:lang w:val="sk-SK"/>
        </w:rPr>
        <w:t xml:space="preserve">logická </w:t>
      </w:r>
      <w:r w:rsidRPr="00C90CED">
        <w:rPr>
          <w:lang w:val="sk-SK"/>
        </w:rPr>
        <w:t>d</w:t>
      </w:r>
      <w:r w:rsidR="000367EF">
        <w:rPr>
          <w:lang w:val="sk-SK"/>
        </w:rPr>
        <w:t>ostupnosť takrolimu s predĺženým uvoľňovaním</w:t>
      </w:r>
      <w:r w:rsidRPr="00C90CED">
        <w:rPr>
          <w:lang w:val="sk-SK"/>
        </w:rPr>
        <w:t xml:space="preserve">, podávaného perorálne, sa znížila, </w:t>
      </w:r>
      <w:r w:rsidR="000367EF">
        <w:rPr>
          <w:lang w:val="sk-SK"/>
        </w:rPr>
        <w:t>ak bol užitý po jedle. Rýchlosť i rozsah absorpcie takrolimu s predĺženým uvoľňovaním</w:t>
      </w:r>
      <w:r w:rsidRPr="00C90CED">
        <w:rPr>
          <w:lang w:val="sk-SK"/>
        </w:rPr>
        <w:t xml:space="preserve"> sa znížila pri užívaní s jedlom.</w:t>
      </w:r>
    </w:p>
    <w:p w14:paraId="40A4BD0C" w14:textId="77777777" w:rsidR="000367EF" w:rsidRDefault="000367EF" w:rsidP="00235C1B">
      <w:pPr>
        <w:pStyle w:val="Zkladntext"/>
        <w:rPr>
          <w:lang w:val="sk-SK"/>
        </w:rPr>
      </w:pPr>
    </w:p>
    <w:p w14:paraId="7ECCB621" w14:textId="6C37994E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Vylučovanie žlče neovplyvňuje absorpciu takr</w:t>
      </w:r>
      <w:r w:rsidR="000367EF">
        <w:rPr>
          <w:lang w:val="sk-SK"/>
        </w:rPr>
        <w:t xml:space="preserve">olimu, a preto sa liečba </w:t>
      </w:r>
      <w:r w:rsidR="005508C6">
        <w:rPr>
          <w:lang w:val="sk-SK"/>
        </w:rPr>
        <w:t>Dailiport</w:t>
      </w:r>
      <w:r w:rsidR="000367EF">
        <w:rPr>
          <w:lang w:val="sk-SK"/>
        </w:rPr>
        <w:t>om</w:t>
      </w:r>
      <w:r w:rsidRPr="00C90CED">
        <w:rPr>
          <w:lang w:val="sk-SK"/>
        </w:rPr>
        <w:t xml:space="preserve"> môže začať</w:t>
      </w:r>
      <w:r w:rsidR="002445FD">
        <w:rPr>
          <w:lang w:val="sk-SK"/>
        </w:rPr>
        <w:t xml:space="preserve"> </w:t>
      </w:r>
      <w:r w:rsidRPr="00C90CED">
        <w:rPr>
          <w:lang w:val="sk-SK"/>
        </w:rPr>
        <w:t>perorálne.</w:t>
      </w:r>
    </w:p>
    <w:p w14:paraId="0E7405DB" w14:textId="77777777" w:rsidR="00A0088E" w:rsidRDefault="00A0088E" w:rsidP="00235C1B">
      <w:pPr>
        <w:pStyle w:val="Zkladntext"/>
        <w:rPr>
          <w:lang w:val="sk-SK"/>
        </w:rPr>
      </w:pPr>
    </w:p>
    <w:p w14:paraId="14114B66" w14:textId="7E04F28A" w:rsidR="00D318E7" w:rsidRPr="00C90CED" w:rsidRDefault="000367EF" w:rsidP="00235C1B">
      <w:pPr>
        <w:pStyle w:val="Zkladntext"/>
        <w:rPr>
          <w:lang w:val="sk-SK"/>
        </w:rPr>
      </w:pPr>
      <w:r>
        <w:rPr>
          <w:lang w:val="sk-SK"/>
        </w:rPr>
        <w:t>U takrolimu s predĺženým uvoľňovaním</w:t>
      </w:r>
      <w:r w:rsidR="00D318E7" w:rsidRPr="00C90CED">
        <w:rPr>
          <w:lang w:val="sk-SK"/>
        </w:rPr>
        <w:t xml:space="preserve"> je výrazná korelácia medzi AUC a</w:t>
      </w:r>
      <w:r w:rsidR="00D2715A">
        <w:rPr>
          <w:lang w:val="sk-SK"/>
        </w:rPr>
        <w:t xml:space="preserve"> minimálnymi </w:t>
      </w:r>
      <w:r w:rsidR="00D318E7" w:rsidRPr="00C90CED">
        <w:rPr>
          <w:lang w:val="sk-SK"/>
        </w:rPr>
        <w:t xml:space="preserve">hladinami v </w:t>
      </w:r>
      <w:r w:rsidR="00D2715A">
        <w:rPr>
          <w:lang w:val="sk-SK"/>
        </w:rPr>
        <w:t>celej</w:t>
      </w:r>
      <w:r w:rsidR="00D318E7" w:rsidRPr="00C90CED">
        <w:rPr>
          <w:lang w:val="sk-SK"/>
        </w:rPr>
        <w:t xml:space="preserve"> krvi</w:t>
      </w:r>
      <w:r w:rsidR="00D2715A">
        <w:rPr>
          <w:lang w:val="sk-SK"/>
        </w:rPr>
        <w:t xml:space="preserve"> v rovnovážnom stave</w:t>
      </w:r>
      <w:r w:rsidR="00D318E7" w:rsidRPr="00C90CED">
        <w:rPr>
          <w:lang w:val="sk-SK"/>
        </w:rPr>
        <w:t xml:space="preserve">. Monitorovanie </w:t>
      </w:r>
      <w:r w:rsidR="00D2715A">
        <w:rPr>
          <w:lang w:val="sk-SK"/>
        </w:rPr>
        <w:t xml:space="preserve">minimálnych </w:t>
      </w:r>
      <w:r w:rsidR="00D318E7" w:rsidRPr="00C90CED">
        <w:rPr>
          <w:lang w:val="sk-SK"/>
        </w:rPr>
        <w:t xml:space="preserve">hladín v </w:t>
      </w:r>
      <w:r w:rsidR="00D2715A">
        <w:rPr>
          <w:lang w:val="sk-SK"/>
        </w:rPr>
        <w:t>celej</w:t>
      </w:r>
      <w:r w:rsidR="00D318E7" w:rsidRPr="00C90CED">
        <w:rPr>
          <w:lang w:val="sk-SK"/>
        </w:rPr>
        <w:t xml:space="preserve"> krvi preto poskytuje dobrý odhad systémovej expozície.</w:t>
      </w:r>
    </w:p>
    <w:p w14:paraId="76863B4D" w14:textId="77777777" w:rsidR="00D318E7" w:rsidRPr="00C90CED" w:rsidRDefault="00D318E7" w:rsidP="00235C1B">
      <w:pPr>
        <w:pStyle w:val="Zkladntext"/>
        <w:rPr>
          <w:sz w:val="21"/>
          <w:lang w:val="sk-SK"/>
        </w:rPr>
      </w:pPr>
    </w:p>
    <w:p w14:paraId="169E0278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Distribúcia</w:t>
      </w:r>
    </w:p>
    <w:p w14:paraId="46D1750F" w14:textId="1ED996B0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U ľudí sa distribúcia takrolimu po intravenóznej infúzii môže hodnotiť ako dvojfázová. V systémovej cirkulácii sa takrolimus silne viaže na erytrocyty v distribučnom pomere </w:t>
      </w:r>
      <w:r w:rsidR="00D2715A">
        <w:rPr>
          <w:lang w:val="sk-SK"/>
        </w:rPr>
        <w:t>celá</w:t>
      </w:r>
      <w:r w:rsidRPr="00C90CED">
        <w:rPr>
          <w:lang w:val="sk-SK"/>
        </w:rPr>
        <w:t xml:space="preserve"> krv/plazmatická koncentrácia približne 20:1. V plazme sa takrolimus značne viaže (&gt; 98.8 %) na plazmatické proteíny, hlavne na sérový albumín a α-1-kyslý glykoproteín.</w:t>
      </w:r>
    </w:p>
    <w:p w14:paraId="6C849484" w14:textId="77777777" w:rsidR="00D627D6" w:rsidRDefault="00D627D6" w:rsidP="00235C1B">
      <w:pPr>
        <w:pStyle w:val="Zkladntext"/>
        <w:rPr>
          <w:lang w:val="sk-SK"/>
        </w:rPr>
      </w:pPr>
    </w:p>
    <w:p w14:paraId="53E27978" w14:textId="2C09EAB6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Takrolimus sa vo veľkej miere distribuuje v tele. </w:t>
      </w:r>
      <w:r w:rsidR="00D2715A">
        <w:rPr>
          <w:lang w:val="sk-SK"/>
        </w:rPr>
        <w:t>D</w:t>
      </w:r>
      <w:r w:rsidRPr="00C90CED">
        <w:rPr>
          <w:lang w:val="sk-SK"/>
        </w:rPr>
        <w:t xml:space="preserve">istribučný objem </w:t>
      </w:r>
      <w:r w:rsidR="00D2715A">
        <w:rPr>
          <w:lang w:val="sk-SK"/>
        </w:rPr>
        <w:t xml:space="preserve">v rovnovážnom stave </w:t>
      </w:r>
      <w:r w:rsidRPr="00C90CED">
        <w:rPr>
          <w:lang w:val="sk-SK"/>
        </w:rPr>
        <w:t>založený</w:t>
      </w:r>
      <w:r w:rsidR="00D2715A">
        <w:rPr>
          <w:lang w:val="sk-SK"/>
        </w:rPr>
        <w:t xml:space="preserve"> </w:t>
      </w:r>
      <w:r w:rsidRPr="00C90CED">
        <w:rPr>
          <w:lang w:val="sk-SK"/>
        </w:rPr>
        <w:t xml:space="preserve">na plazmatických koncentráciách je približne 1 300 l (zdraví jedinci). Zodpovedajúce údaje založené na </w:t>
      </w:r>
      <w:r w:rsidR="00D2715A">
        <w:rPr>
          <w:lang w:val="sk-SK"/>
        </w:rPr>
        <w:t>celej</w:t>
      </w:r>
      <w:r w:rsidRPr="00C90CED">
        <w:rPr>
          <w:lang w:val="sk-SK"/>
        </w:rPr>
        <w:t xml:space="preserve"> krvi sú v priemere 47,6 l.</w:t>
      </w:r>
    </w:p>
    <w:p w14:paraId="325ACF4E" w14:textId="77777777" w:rsidR="00D318E7" w:rsidRPr="00C90CED" w:rsidRDefault="00D318E7" w:rsidP="00B52FD1">
      <w:pPr>
        <w:pStyle w:val="Zkladntext"/>
        <w:rPr>
          <w:lang w:val="sk-SK"/>
        </w:rPr>
      </w:pPr>
    </w:p>
    <w:p w14:paraId="60CFAD97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Biotransformácia</w:t>
      </w:r>
    </w:p>
    <w:p w14:paraId="1A4353EC" w14:textId="77777777" w:rsidR="00D318E7" w:rsidRPr="00C90CED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Takrolimus sa metabolizuje najmä v pečeni, hlavne cytochrómom P450-3A4. Takrolimus sa taktiež značne metabolizuje v stene čreva. Je identifikovaných viacero metabolitov. Len u jediného z nich sa preukázala </w:t>
      </w:r>
      <w:r w:rsidRPr="00C90CED">
        <w:rPr>
          <w:i/>
          <w:lang w:val="sk-SK"/>
        </w:rPr>
        <w:t xml:space="preserve">in vitro </w:t>
      </w:r>
      <w:r w:rsidRPr="00C90CED">
        <w:rPr>
          <w:lang w:val="sk-SK"/>
        </w:rPr>
        <w:t>imunosupresívna aktivita podobná ako u takrolimu. Ďalšie metabolity majú len slabú alebo žiadnu imunosupresívnu aktivitu. Len jeden z inaktívnych metabolitov je prítomný</w:t>
      </w:r>
    </w:p>
    <w:p w14:paraId="23F744F3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v nízkej koncentrácii v systémovej cirkulácii. Preto sa metabolity nepodieľajú na farmakologickej aktivite takrolimu.</w:t>
      </w:r>
    </w:p>
    <w:p w14:paraId="601CEB4D" w14:textId="77777777" w:rsidR="00D318E7" w:rsidRPr="00C90CED" w:rsidRDefault="00D318E7">
      <w:pPr>
        <w:pStyle w:val="Zkladntext"/>
        <w:rPr>
          <w:lang w:val="sk-SK"/>
        </w:rPr>
      </w:pPr>
    </w:p>
    <w:p w14:paraId="507BDEAF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u w:val="single"/>
          <w:lang w:val="sk-SK"/>
        </w:rPr>
        <w:t>Eliminácia</w:t>
      </w:r>
    </w:p>
    <w:p w14:paraId="3B1AC720" w14:textId="66F83C0C" w:rsidR="00972994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Takrolimus je látka s nízkym klírensom. U zdravých jedincov bol priemerný </w:t>
      </w:r>
      <w:r w:rsidR="00D2715A">
        <w:rPr>
          <w:lang w:val="sk-SK"/>
        </w:rPr>
        <w:t xml:space="preserve">celkový </w:t>
      </w:r>
      <w:r w:rsidRPr="00C90CED">
        <w:rPr>
          <w:lang w:val="sk-SK"/>
        </w:rPr>
        <w:t xml:space="preserve">telesný klírens stanovený z koncentrácií v </w:t>
      </w:r>
      <w:r w:rsidR="00D2715A">
        <w:rPr>
          <w:lang w:val="sk-SK"/>
        </w:rPr>
        <w:t>celej</w:t>
      </w:r>
      <w:r w:rsidRPr="00C90CED">
        <w:rPr>
          <w:lang w:val="sk-SK"/>
        </w:rPr>
        <w:t xml:space="preserve"> krvi 2,25 l/h. U dospelých pacientov s transplantovanou pečeňou, </w:t>
      </w:r>
      <w:r w:rsidR="00B85B4F">
        <w:rPr>
          <w:lang w:val="sk-SK"/>
        </w:rPr>
        <w:t xml:space="preserve">obličkou </w:t>
      </w:r>
      <w:r w:rsidRPr="00C90CED">
        <w:rPr>
          <w:lang w:val="sk-SK"/>
        </w:rPr>
        <w:t>a srdcom sa zistili h</w:t>
      </w:r>
      <w:r w:rsidR="003979EC">
        <w:rPr>
          <w:lang w:val="sk-SK"/>
        </w:rPr>
        <w:t>odnoty</w:t>
      </w:r>
      <w:r w:rsidRPr="00C90CED">
        <w:rPr>
          <w:lang w:val="sk-SK"/>
        </w:rPr>
        <w:t xml:space="preserve"> 4,1 l/h, 6,7 l/h a 3,9 l/h, podľa uvedeného poradia. Nízky hematokrit a nízka hladina proteínov, ktorých dôsledkom je zvýšenie neviazanej frakcie t</w:t>
      </w:r>
      <w:r w:rsidR="00B85B4F">
        <w:rPr>
          <w:lang w:val="sk-SK"/>
        </w:rPr>
        <w:t xml:space="preserve">akrolimu alebo kortikosteroidmi </w:t>
      </w:r>
      <w:r w:rsidRPr="00C90CED">
        <w:rPr>
          <w:lang w:val="sk-SK"/>
        </w:rPr>
        <w:t>indukované zvýšenie metabolizmu, sa považujú za faktory zodpovedné za vyšší klíren</w:t>
      </w:r>
      <w:r w:rsidR="00B85B4F">
        <w:rPr>
          <w:lang w:val="sk-SK"/>
        </w:rPr>
        <w:t xml:space="preserve">s pozorovaný po transplantácii. </w:t>
      </w:r>
    </w:p>
    <w:p w14:paraId="0D55F184" w14:textId="5C248827" w:rsidR="00D318E7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Polčas takrolimu je dlhý a premenlivý. U zdravých jedincov je priemerný polčas v </w:t>
      </w:r>
      <w:r w:rsidR="003979EC">
        <w:rPr>
          <w:lang w:val="sk-SK"/>
        </w:rPr>
        <w:t>celej</w:t>
      </w:r>
      <w:r w:rsidRPr="00C90CED">
        <w:rPr>
          <w:lang w:val="sk-SK"/>
        </w:rPr>
        <w:t xml:space="preserve"> krvi približne 43 hodín.</w:t>
      </w:r>
    </w:p>
    <w:p w14:paraId="351F1518" w14:textId="77777777" w:rsidR="00B85B4F" w:rsidRPr="00C90CED" w:rsidRDefault="00B85B4F">
      <w:pPr>
        <w:pStyle w:val="Zkladntext"/>
        <w:rPr>
          <w:lang w:val="sk-SK"/>
        </w:rPr>
      </w:pPr>
    </w:p>
    <w:p w14:paraId="0478FFC8" w14:textId="00881A50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Po intravenóznom a perorálnom podaní </w:t>
      </w:r>
      <w:r w:rsidRPr="00972994">
        <w:rPr>
          <w:vertAlign w:val="superscript"/>
          <w:lang w:val="sk-SK"/>
        </w:rPr>
        <w:t>14</w:t>
      </w:r>
      <w:r w:rsidRPr="00C90CED">
        <w:rPr>
          <w:lang w:val="sk-SK"/>
        </w:rPr>
        <w:t xml:space="preserve">C-značeného takrolimu sa väčšina rádioaktivity eliminovala </w:t>
      </w:r>
      <w:r w:rsidRPr="00C90CED">
        <w:rPr>
          <w:lang w:val="sk-SK"/>
        </w:rPr>
        <w:lastRenderedPageBreak/>
        <w:t xml:space="preserve">stolicou. Približne 2 % rádioaktivity sa eliminovalo močom. Menej ako 1 % nezmeneného takrolimu sa detegovalo v moči a stolici, čo </w:t>
      </w:r>
      <w:r w:rsidR="003979EC">
        <w:rPr>
          <w:lang w:val="sk-SK"/>
        </w:rPr>
        <w:t>naznačuje</w:t>
      </w:r>
      <w:r w:rsidRPr="00C90CED">
        <w:rPr>
          <w:lang w:val="sk-SK"/>
        </w:rPr>
        <w:t>, že takrolimus sa pred elimináciou takmer úplne metabolizuje: žlč je hlavnou cestou vylučovania.</w:t>
      </w:r>
    </w:p>
    <w:p w14:paraId="30F948C4" w14:textId="77777777" w:rsidR="00D318E7" w:rsidRPr="00C90CED" w:rsidRDefault="00D318E7" w:rsidP="00235C1B">
      <w:pPr>
        <w:pStyle w:val="Zkladntext"/>
        <w:rPr>
          <w:lang w:val="sk-SK"/>
        </w:rPr>
      </w:pPr>
    </w:p>
    <w:p w14:paraId="66694804" w14:textId="77777777" w:rsidR="00D318E7" w:rsidRPr="00C90CED" w:rsidRDefault="00D318E7" w:rsidP="00B52FD1">
      <w:pPr>
        <w:pStyle w:val="Nadpis1"/>
        <w:numPr>
          <w:ilvl w:val="1"/>
          <w:numId w:val="1"/>
        </w:numPr>
        <w:tabs>
          <w:tab w:val="left" w:pos="689"/>
          <w:tab w:val="left" w:pos="690"/>
        </w:tabs>
        <w:ind w:left="0" w:firstLine="0"/>
        <w:rPr>
          <w:lang w:val="sk-SK"/>
        </w:rPr>
      </w:pPr>
      <w:r w:rsidRPr="00C90CED">
        <w:rPr>
          <w:lang w:val="sk-SK"/>
        </w:rPr>
        <w:t>Predklinické údaje o</w:t>
      </w:r>
      <w:r w:rsidRPr="00C90CED">
        <w:rPr>
          <w:spacing w:val="-13"/>
          <w:lang w:val="sk-SK"/>
        </w:rPr>
        <w:t xml:space="preserve"> </w:t>
      </w:r>
      <w:r w:rsidRPr="00C90CED">
        <w:rPr>
          <w:lang w:val="sk-SK"/>
        </w:rPr>
        <w:t>bezpečnosti</w:t>
      </w:r>
    </w:p>
    <w:p w14:paraId="6FFC9FDC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498DB607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Pri štúdiách toxicity vykonaných na potkanoch a paviánoch boli postihnuté hlavne obličky a pankreas. U potkanov mal takrolimus toxické účinky na nervový systém a oči. Reverzibilné kardiotoxické účinky boli pozorované u králikov po intravenóznom podaní takrolimu.</w:t>
      </w:r>
    </w:p>
    <w:p w14:paraId="5C8D152A" w14:textId="3B9F3D6C" w:rsidR="00D318E7" w:rsidRDefault="00D318E7" w:rsidP="00B52FD1">
      <w:pPr>
        <w:pStyle w:val="Zkladntext"/>
        <w:rPr>
          <w:lang w:val="sk-SK"/>
        </w:rPr>
      </w:pPr>
      <w:r w:rsidRPr="00C90CED">
        <w:rPr>
          <w:lang w:val="sk-SK"/>
        </w:rPr>
        <w:t xml:space="preserve">U niektorých druhov zvierat bolo pozorované predĺženie QTc, keď bol takrolimus podaný intravenózne formou rýchlej infúzie/ bolusovej injekcie v dávke od 0,1 do 1,0 mg/kg. Maximálne koncentrácie v krvi </w:t>
      </w:r>
      <w:r w:rsidR="00293A47">
        <w:rPr>
          <w:lang w:val="sk-SK"/>
        </w:rPr>
        <w:t>dosiahnuté</w:t>
      </w:r>
      <w:r w:rsidRPr="00C90CED">
        <w:rPr>
          <w:lang w:val="sk-SK"/>
        </w:rPr>
        <w:t xml:space="preserve"> pri </w:t>
      </w:r>
      <w:r w:rsidR="00293A47">
        <w:rPr>
          <w:lang w:val="sk-SK"/>
        </w:rPr>
        <w:t xml:space="preserve">týchto </w:t>
      </w:r>
      <w:r w:rsidRPr="00C90CED">
        <w:rPr>
          <w:lang w:val="sk-SK"/>
        </w:rPr>
        <w:t xml:space="preserve">dávkach, boli vyššie ako 150 ng/ml, čo zodpovedá 6-násobku priemerných </w:t>
      </w:r>
      <w:r w:rsidR="00293A47">
        <w:rPr>
          <w:lang w:val="sk-SK"/>
        </w:rPr>
        <w:t>maximálnych</w:t>
      </w:r>
      <w:r w:rsidRPr="00C90CED">
        <w:rPr>
          <w:lang w:val="sk-SK"/>
        </w:rPr>
        <w:t xml:space="preserve"> koncentrácií pozorovaných v klinickom použití pri transplantáciách</w:t>
      </w:r>
      <w:r w:rsidR="007D71F1">
        <w:rPr>
          <w:lang w:val="sk-SK"/>
        </w:rPr>
        <w:t xml:space="preserve"> </w:t>
      </w:r>
      <w:r w:rsidRPr="00C90CED">
        <w:rPr>
          <w:lang w:val="sk-SK"/>
        </w:rPr>
        <w:t>s</w:t>
      </w:r>
      <w:r w:rsidR="00C1498B">
        <w:rPr>
          <w:lang w:val="sk-SK"/>
        </w:rPr>
        <w:t xml:space="preserve"> použitím </w:t>
      </w:r>
      <w:r w:rsidR="008E4D83">
        <w:rPr>
          <w:lang w:val="sk-SK"/>
        </w:rPr>
        <w:t>takrolim</w:t>
      </w:r>
      <w:r w:rsidR="00C1498B">
        <w:rPr>
          <w:lang w:val="sk-SK"/>
        </w:rPr>
        <w:t>u</w:t>
      </w:r>
      <w:r w:rsidR="008E4D83">
        <w:rPr>
          <w:lang w:val="sk-SK"/>
        </w:rPr>
        <w:t xml:space="preserve"> s predĺženým uvoľňovaním</w:t>
      </w:r>
      <w:r w:rsidRPr="00C90CED">
        <w:rPr>
          <w:lang w:val="sk-SK"/>
        </w:rPr>
        <w:t>.</w:t>
      </w:r>
    </w:p>
    <w:p w14:paraId="2B71D84E" w14:textId="77777777" w:rsidR="008E4D83" w:rsidRPr="00C90CED" w:rsidRDefault="008E4D83">
      <w:pPr>
        <w:pStyle w:val="Zkladntext"/>
        <w:rPr>
          <w:lang w:val="sk-SK"/>
        </w:rPr>
      </w:pPr>
    </w:p>
    <w:p w14:paraId="4983FF54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Embryofetálna toxicita bola pozorovaná u potkanov a králikov a bola limitovaná dávkami, ktoré mali signifikantnú toxicitu pre matku. U potkanov boli pri toxických dávkach narušené reprodukčné funkcie samíc, vrátane pôrodu, a potomstvo malo nižšiu pôrodnú hmotnosť, životaschopnosť a rast.</w:t>
      </w:r>
    </w:p>
    <w:p w14:paraId="67E70EEF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Bol pozorovaný negatívny efekt takrolimu na fertilitu </w:t>
      </w:r>
      <w:r w:rsidR="008E4D83">
        <w:rPr>
          <w:lang w:val="sk-SK"/>
        </w:rPr>
        <w:t xml:space="preserve">samcov vo forme zníženého počtu </w:t>
      </w:r>
      <w:r w:rsidRPr="00C90CED">
        <w:rPr>
          <w:lang w:val="sk-SK"/>
        </w:rPr>
        <w:t>a pohyblivosti spermií.</w:t>
      </w:r>
    </w:p>
    <w:p w14:paraId="2634C35D" w14:textId="77777777" w:rsidR="00D318E7" w:rsidRPr="00C90CED" w:rsidRDefault="00D318E7" w:rsidP="00B52FD1">
      <w:pPr>
        <w:pStyle w:val="Zkladntext"/>
        <w:rPr>
          <w:sz w:val="24"/>
          <w:lang w:val="sk-SK"/>
        </w:rPr>
      </w:pPr>
    </w:p>
    <w:p w14:paraId="513786C6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5A3A386A" w14:textId="77777777" w:rsidR="00D318E7" w:rsidRPr="00C90CED" w:rsidRDefault="00D318E7" w:rsidP="00B52FD1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FARMACEUTICKÉ</w:t>
      </w:r>
      <w:r w:rsidRPr="00C90CED">
        <w:rPr>
          <w:spacing w:val="-11"/>
          <w:lang w:val="sk-SK"/>
        </w:rPr>
        <w:t xml:space="preserve"> </w:t>
      </w:r>
      <w:r w:rsidRPr="00C90CED">
        <w:rPr>
          <w:lang w:val="sk-SK"/>
        </w:rPr>
        <w:t>INFORMÁCIE</w:t>
      </w:r>
    </w:p>
    <w:p w14:paraId="06931639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53C848C5" w14:textId="77777777" w:rsidR="00D318E7" w:rsidRPr="00C90CED" w:rsidRDefault="00D318E7" w:rsidP="00B52FD1">
      <w:pPr>
        <w:pStyle w:val="Odsekzoznamu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rPr>
          <w:b/>
          <w:lang w:val="sk-SK"/>
        </w:rPr>
      </w:pPr>
      <w:r w:rsidRPr="00C90CED">
        <w:rPr>
          <w:b/>
          <w:lang w:val="sk-SK"/>
        </w:rPr>
        <w:t>Zoznam pomocných</w:t>
      </w:r>
      <w:r w:rsidRPr="00C90CED">
        <w:rPr>
          <w:b/>
          <w:spacing w:val="-3"/>
          <w:lang w:val="sk-SK"/>
        </w:rPr>
        <w:t xml:space="preserve"> </w:t>
      </w:r>
      <w:r w:rsidRPr="00C90CED">
        <w:rPr>
          <w:b/>
          <w:lang w:val="sk-SK"/>
        </w:rPr>
        <w:t>látok</w:t>
      </w:r>
    </w:p>
    <w:p w14:paraId="459C9305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22C0FE69" w14:textId="77777777" w:rsidR="001C327A" w:rsidRDefault="00D318E7" w:rsidP="00B52FD1">
      <w:pPr>
        <w:pStyle w:val="Zkladntext"/>
        <w:rPr>
          <w:lang w:val="sk-SK"/>
        </w:rPr>
      </w:pPr>
      <w:r w:rsidRPr="001C327A">
        <w:rPr>
          <w:i/>
          <w:lang w:val="sk-SK"/>
        </w:rPr>
        <w:t>Obsah kapsuly:</w:t>
      </w:r>
      <w:r w:rsidRPr="00C90CED">
        <w:rPr>
          <w:u w:val="single"/>
          <w:lang w:val="sk-SK"/>
        </w:rPr>
        <w:t xml:space="preserve"> </w:t>
      </w:r>
    </w:p>
    <w:p w14:paraId="63886A7C" w14:textId="77777777" w:rsidR="00C1498B" w:rsidRDefault="00D318E7">
      <w:pPr>
        <w:pStyle w:val="Zkladntext"/>
        <w:rPr>
          <w:lang w:val="sk-SK"/>
        </w:rPr>
      </w:pPr>
      <w:r w:rsidRPr="00C90CED">
        <w:rPr>
          <w:lang w:val="sk-SK"/>
        </w:rPr>
        <w:t xml:space="preserve">etylcelulóza </w:t>
      </w:r>
    </w:p>
    <w:p w14:paraId="60ECC295" w14:textId="0369F862" w:rsidR="001C327A" w:rsidRDefault="001C327A">
      <w:pPr>
        <w:pStyle w:val="Zkladntext"/>
        <w:rPr>
          <w:lang w:val="sk-SK"/>
        </w:rPr>
      </w:pPr>
      <w:r>
        <w:rPr>
          <w:lang w:val="sk-SK"/>
        </w:rPr>
        <w:t>hypromelóza</w:t>
      </w:r>
    </w:p>
    <w:p w14:paraId="136A7935" w14:textId="77777777" w:rsidR="00C1498B" w:rsidRDefault="00D318E7">
      <w:pPr>
        <w:pStyle w:val="Zkladntext"/>
        <w:rPr>
          <w:lang w:val="sk-SK"/>
        </w:rPr>
      </w:pPr>
      <w:r w:rsidRPr="00C90CED">
        <w:rPr>
          <w:lang w:val="sk-SK"/>
        </w:rPr>
        <w:t>monoh</w:t>
      </w:r>
      <w:r w:rsidR="001C327A">
        <w:rPr>
          <w:lang w:val="sk-SK"/>
        </w:rPr>
        <w:t xml:space="preserve">ydrát laktózy </w:t>
      </w:r>
    </w:p>
    <w:p w14:paraId="75F1B00F" w14:textId="76B8A32B" w:rsidR="00D318E7" w:rsidRPr="00C90CED" w:rsidRDefault="001C327A">
      <w:pPr>
        <w:pStyle w:val="Zkladntext"/>
        <w:rPr>
          <w:lang w:val="sk-SK"/>
        </w:rPr>
      </w:pPr>
      <w:r>
        <w:rPr>
          <w:lang w:val="sk-SK"/>
        </w:rPr>
        <w:t>stearan horečnatý</w:t>
      </w:r>
    </w:p>
    <w:p w14:paraId="53FC18CC" w14:textId="77777777" w:rsidR="00D318E7" w:rsidRPr="00C90CED" w:rsidRDefault="00D318E7">
      <w:pPr>
        <w:pStyle w:val="Zkladntext"/>
        <w:rPr>
          <w:lang w:val="sk-SK"/>
        </w:rPr>
      </w:pPr>
    </w:p>
    <w:p w14:paraId="095032F0" w14:textId="77777777" w:rsidR="00D318E7" w:rsidRPr="001C327A" w:rsidRDefault="001C327A">
      <w:pPr>
        <w:pStyle w:val="Zkladntext"/>
        <w:rPr>
          <w:i/>
          <w:lang w:val="sk-SK"/>
        </w:rPr>
      </w:pPr>
      <w:r w:rsidRPr="001C327A">
        <w:rPr>
          <w:i/>
          <w:lang w:val="sk-SK"/>
        </w:rPr>
        <w:t>Obal</w:t>
      </w:r>
      <w:r w:rsidR="00D318E7" w:rsidRPr="001C327A">
        <w:rPr>
          <w:i/>
          <w:lang w:val="sk-SK"/>
        </w:rPr>
        <w:t xml:space="preserve"> kapsuly:</w:t>
      </w:r>
    </w:p>
    <w:p w14:paraId="64BED915" w14:textId="67043A8A" w:rsidR="001C327A" w:rsidRPr="001C327A" w:rsidRDefault="001C327A">
      <w:pPr>
        <w:pStyle w:val="Zkladntext"/>
        <w:rPr>
          <w:i/>
          <w:lang w:val="sk-SK"/>
        </w:rPr>
      </w:pPr>
      <w:r w:rsidRPr="001C327A">
        <w:rPr>
          <w:i/>
          <w:lang w:val="sk-SK"/>
        </w:rPr>
        <w:t>Dailiport 0,5 mg</w:t>
      </w:r>
    </w:p>
    <w:p w14:paraId="089AE7CE" w14:textId="77777777" w:rsidR="001C327A" w:rsidRDefault="001C327A">
      <w:pPr>
        <w:pStyle w:val="Zkladntext"/>
        <w:rPr>
          <w:lang w:val="sk-SK"/>
        </w:rPr>
      </w:pPr>
      <w:r>
        <w:rPr>
          <w:lang w:val="sk-SK"/>
        </w:rPr>
        <w:t>b</w:t>
      </w:r>
      <w:r w:rsidRPr="001C327A">
        <w:rPr>
          <w:lang w:val="sk-SK"/>
        </w:rPr>
        <w:t>rilantná modrá</w:t>
      </w:r>
      <w:r>
        <w:rPr>
          <w:lang w:val="sk-SK"/>
        </w:rPr>
        <w:t xml:space="preserve"> FCF (E133)</w:t>
      </w:r>
    </w:p>
    <w:p w14:paraId="39BB6FE6" w14:textId="2846A5F6" w:rsidR="001C327A" w:rsidRDefault="001C327A">
      <w:pPr>
        <w:pStyle w:val="Zkladntext"/>
        <w:rPr>
          <w:lang w:val="sk-SK"/>
        </w:rPr>
      </w:pPr>
      <w:r>
        <w:rPr>
          <w:lang w:val="sk-SK"/>
        </w:rPr>
        <w:t>al</w:t>
      </w:r>
      <w:r w:rsidR="00733725">
        <w:rPr>
          <w:lang w:val="sk-SK"/>
        </w:rPr>
        <w:t>lura</w:t>
      </w:r>
      <w:r>
        <w:rPr>
          <w:lang w:val="sk-SK"/>
        </w:rPr>
        <w:t xml:space="preserve"> červená AC (E129)</w:t>
      </w:r>
    </w:p>
    <w:p w14:paraId="66C0AEE2" w14:textId="77777777" w:rsidR="001C327A" w:rsidRDefault="001C327A">
      <w:pPr>
        <w:pStyle w:val="Zkladntext"/>
        <w:rPr>
          <w:lang w:val="sk-SK"/>
        </w:rPr>
      </w:pPr>
      <w:r w:rsidRPr="001C327A">
        <w:rPr>
          <w:lang w:val="sk-SK"/>
        </w:rPr>
        <w:t xml:space="preserve">oxid </w:t>
      </w:r>
      <w:r>
        <w:rPr>
          <w:lang w:val="sk-SK"/>
        </w:rPr>
        <w:t>titaničitý (E171)</w:t>
      </w:r>
    </w:p>
    <w:p w14:paraId="0901F643" w14:textId="3EB974E2" w:rsidR="001C327A" w:rsidRDefault="00BF4B7B">
      <w:pPr>
        <w:pStyle w:val="Zkladntext"/>
        <w:rPr>
          <w:lang w:val="sk-SK"/>
        </w:rPr>
      </w:pPr>
      <w:r>
        <w:rPr>
          <w:lang w:val="sk-SK"/>
        </w:rPr>
        <w:t>žl</w:t>
      </w:r>
      <w:r w:rsidR="00733725">
        <w:rPr>
          <w:lang w:val="sk-SK"/>
        </w:rPr>
        <w:t>tá</w:t>
      </w:r>
      <w:r w:rsidR="001C327A" w:rsidRPr="001C327A">
        <w:rPr>
          <w:lang w:val="sk-SK"/>
        </w:rPr>
        <w:t xml:space="preserve"> FCF (E110), </w:t>
      </w:r>
    </w:p>
    <w:p w14:paraId="2B5119DE" w14:textId="77777777" w:rsidR="001C327A" w:rsidRDefault="001C327A">
      <w:pPr>
        <w:pStyle w:val="Zkladntext"/>
        <w:rPr>
          <w:lang w:val="sk-SK"/>
        </w:rPr>
      </w:pPr>
      <w:r>
        <w:rPr>
          <w:lang w:val="sk-SK"/>
        </w:rPr>
        <w:t>želatína</w:t>
      </w:r>
    </w:p>
    <w:p w14:paraId="615A35F5" w14:textId="77777777" w:rsidR="001C327A" w:rsidRPr="001C327A" w:rsidRDefault="001C327A">
      <w:pPr>
        <w:pStyle w:val="Zkladntext"/>
        <w:rPr>
          <w:lang w:val="sk-SK"/>
        </w:rPr>
      </w:pPr>
      <w:r w:rsidRPr="001C327A">
        <w:rPr>
          <w:lang w:val="sk-SK"/>
        </w:rPr>
        <w:t>tartrazín (E102)</w:t>
      </w:r>
    </w:p>
    <w:p w14:paraId="5CD4EFD0" w14:textId="77777777" w:rsidR="001C327A" w:rsidRPr="001C327A" w:rsidRDefault="001C327A">
      <w:pPr>
        <w:pStyle w:val="Zkladntext"/>
        <w:rPr>
          <w:lang w:val="sk-SK"/>
        </w:rPr>
      </w:pPr>
    </w:p>
    <w:p w14:paraId="7000E968" w14:textId="6BC5E5E7" w:rsidR="001C327A" w:rsidRPr="00BF4B7B" w:rsidRDefault="001C327A">
      <w:pPr>
        <w:shd w:val="clear" w:color="auto" w:fill="F2F2F2"/>
        <w:autoSpaceDE/>
        <w:autoSpaceDN/>
        <w:adjustRightInd w:val="0"/>
        <w:jc w:val="both"/>
        <w:textAlignment w:val="baseline"/>
        <w:rPr>
          <w:i/>
          <w:lang w:val="sk-SK"/>
        </w:rPr>
      </w:pPr>
      <w:r w:rsidRPr="00BF4B7B">
        <w:rPr>
          <w:i/>
          <w:lang w:val="sk-SK"/>
        </w:rPr>
        <w:t>Dailiport 1 mg</w:t>
      </w:r>
    </w:p>
    <w:p w14:paraId="6E073BBB" w14:textId="77777777" w:rsidR="001C327A" w:rsidRPr="00BF4B7B" w:rsidRDefault="001C327A">
      <w:pPr>
        <w:shd w:val="clear" w:color="auto" w:fill="F2F2F2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brilantná modrá FCF (E133)</w:t>
      </w:r>
    </w:p>
    <w:p w14:paraId="268B6601" w14:textId="2211CD06" w:rsidR="001C327A" w:rsidRPr="00BF4B7B" w:rsidRDefault="001C327A">
      <w:pPr>
        <w:shd w:val="clear" w:color="auto" w:fill="F2F2F2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al</w:t>
      </w:r>
      <w:r w:rsidR="00733725">
        <w:rPr>
          <w:lang w:val="sk-SK"/>
        </w:rPr>
        <w:t>lura</w:t>
      </w:r>
      <w:r w:rsidRPr="00BF4B7B">
        <w:rPr>
          <w:lang w:val="sk-SK"/>
        </w:rPr>
        <w:t xml:space="preserve"> červená AC (E129)</w:t>
      </w:r>
    </w:p>
    <w:p w14:paraId="4CD4EB96" w14:textId="77777777" w:rsidR="001C327A" w:rsidRPr="00BF4B7B" w:rsidRDefault="001C327A">
      <w:pPr>
        <w:shd w:val="clear" w:color="auto" w:fill="F2F2F2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oxid titaničitý (E171)</w:t>
      </w:r>
    </w:p>
    <w:p w14:paraId="1F5EAE50" w14:textId="4F2A5A25" w:rsidR="001C327A" w:rsidRPr="00BF4B7B" w:rsidRDefault="00BF4B7B">
      <w:pPr>
        <w:shd w:val="clear" w:color="auto" w:fill="F2F2F2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žl</w:t>
      </w:r>
      <w:r w:rsidR="00733725">
        <w:rPr>
          <w:lang w:val="sk-SK"/>
        </w:rPr>
        <w:t>tá</w:t>
      </w:r>
      <w:r w:rsidR="001C327A" w:rsidRPr="00BF4B7B">
        <w:rPr>
          <w:lang w:val="sk-SK"/>
        </w:rPr>
        <w:t xml:space="preserve"> FCF (E110)</w:t>
      </w:r>
    </w:p>
    <w:p w14:paraId="0E51FE38" w14:textId="77777777" w:rsidR="001C327A" w:rsidRPr="00BF4B7B" w:rsidRDefault="001C327A">
      <w:pPr>
        <w:shd w:val="clear" w:color="auto" w:fill="F2F2F2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želatína</w:t>
      </w:r>
    </w:p>
    <w:p w14:paraId="7A9264EF" w14:textId="77777777" w:rsidR="001C327A" w:rsidRPr="00BF4B7B" w:rsidRDefault="001C327A">
      <w:pPr>
        <w:pStyle w:val="Zkladntext"/>
        <w:rPr>
          <w:lang w:val="sk-SK"/>
        </w:rPr>
      </w:pPr>
    </w:p>
    <w:p w14:paraId="5D3726AC" w14:textId="26D1236C" w:rsidR="001C327A" w:rsidRPr="00BF4B7B" w:rsidRDefault="001C327A">
      <w:pPr>
        <w:shd w:val="clear" w:color="auto" w:fill="BFBFBF"/>
        <w:autoSpaceDE/>
        <w:autoSpaceDN/>
        <w:adjustRightInd w:val="0"/>
        <w:jc w:val="both"/>
        <w:textAlignment w:val="baseline"/>
        <w:rPr>
          <w:i/>
          <w:lang w:val="sk-SK"/>
        </w:rPr>
      </w:pPr>
      <w:r w:rsidRPr="00BF4B7B">
        <w:rPr>
          <w:i/>
          <w:lang w:val="sk-SK"/>
        </w:rPr>
        <w:t>Dailiport 3 mg</w:t>
      </w:r>
    </w:p>
    <w:p w14:paraId="27D38C72" w14:textId="77777777" w:rsidR="001C327A" w:rsidRPr="00BF4B7B" w:rsidRDefault="001C327A">
      <w:pPr>
        <w:shd w:val="clear" w:color="auto" w:fill="BFBFBF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brilantná modrá FCF (E133)</w:t>
      </w:r>
    </w:p>
    <w:p w14:paraId="79BFC3D5" w14:textId="4048A1E1" w:rsidR="001C327A" w:rsidRPr="00BF4B7B" w:rsidRDefault="001C327A">
      <w:pPr>
        <w:shd w:val="clear" w:color="auto" w:fill="BFBFBF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al</w:t>
      </w:r>
      <w:r w:rsidR="00733725">
        <w:rPr>
          <w:lang w:val="sk-SK"/>
        </w:rPr>
        <w:t>lura</w:t>
      </w:r>
      <w:r w:rsidRPr="00BF4B7B">
        <w:rPr>
          <w:lang w:val="sk-SK"/>
        </w:rPr>
        <w:t xml:space="preserve"> červená AC (E129)</w:t>
      </w:r>
    </w:p>
    <w:p w14:paraId="4CC8BB17" w14:textId="77777777" w:rsidR="001C327A" w:rsidRPr="00BF4B7B" w:rsidRDefault="001C327A">
      <w:pPr>
        <w:shd w:val="clear" w:color="auto" w:fill="BFBFBF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oxid titaničitý (E171)</w:t>
      </w:r>
    </w:p>
    <w:p w14:paraId="4BBE2CCF" w14:textId="1915B0DB" w:rsidR="001C327A" w:rsidRPr="00BF4B7B" w:rsidRDefault="00BF4B7B">
      <w:pPr>
        <w:shd w:val="clear" w:color="auto" w:fill="BFBFBF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žl</w:t>
      </w:r>
      <w:r w:rsidR="00733725">
        <w:rPr>
          <w:lang w:val="sk-SK"/>
        </w:rPr>
        <w:t>tá</w:t>
      </w:r>
      <w:r w:rsidR="001C327A" w:rsidRPr="00BF4B7B">
        <w:rPr>
          <w:lang w:val="sk-SK"/>
        </w:rPr>
        <w:t xml:space="preserve"> FCF (E110)</w:t>
      </w:r>
    </w:p>
    <w:p w14:paraId="59C9D7AA" w14:textId="77777777" w:rsidR="001C327A" w:rsidRPr="00BF4B7B" w:rsidRDefault="001C327A">
      <w:pPr>
        <w:shd w:val="clear" w:color="auto" w:fill="BFBFBF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želatína</w:t>
      </w:r>
    </w:p>
    <w:p w14:paraId="2F638620" w14:textId="77777777" w:rsidR="001C327A" w:rsidRPr="00BF4B7B" w:rsidRDefault="001C327A">
      <w:pPr>
        <w:pStyle w:val="Zkladntext"/>
        <w:rPr>
          <w:lang w:val="sk-SK"/>
        </w:rPr>
      </w:pPr>
    </w:p>
    <w:p w14:paraId="181D4CA6" w14:textId="702E9241" w:rsidR="001C327A" w:rsidRPr="00BF4B7B" w:rsidRDefault="001C327A">
      <w:pPr>
        <w:shd w:val="clear" w:color="auto" w:fill="A6A6A6"/>
        <w:autoSpaceDE/>
        <w:autoSpaceDN/>
        <w:adjustRightInd w:val="0"/>
        <w:jc w:val="both"/>
        <w:textAlignment w:val="baseline"/>
        <w:rPr>
          <w:i/>
          <w:lang w:val="sk-SK"/>
        </w:rPr>
      </w:pPr>
      <w:r w:rsidRPr="00BF4B7B">
        <w:rPr>
          <w:i/>
          <w:lang w:val="sk-SK"/>
        </w:rPr>
        <w:t>Dailiport 5 mg</w:t>
      </w:r>
    </w:p>
    <w:p w14:paraId="371239AC" w14:textId="77777777" w:rsidR="001C327A" w:rsidRPr="00BF4B7B" w:rsidRDefault="001C327A">
      <w:pPr>
        <w:shd w:val="clear" w:color="auto" w:fill="A6A6A6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brilantná modrá FCF (E133)</w:t>
      </w:r>
    </w:p>
    <w:p w14:paraId="513B4C42" w14:textId="45ADB981" w:rsidR="001C327A" w:rsidRPr="00BF4B7B" w:rsidRDefault="001C327A">
      <w:pPr>
        <w:shd w:val="clear" w:color="auto" w:fill="A6A6A6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lastRenderedPageBreak/>
        <w:t>al</w:t>
      </w:r>
      <w:r w:rsidR="0082230E">
        <w:rPr>
          <w:lang w:val="sk-SK"/>
        </w:rPr>
        <w:t>lura</w:t>
      </w:r>
      <w:r w:rsidRPr="00BF4B7B">
        <w:rPr>
          <w:lang w:val="sk-SK"/>
        </w:rPr>
        <w:t xml:space="preserve"> červená AC (E129)</w:t>
      </w:r>
    </w:p>
    <w:p w14:paraId="6AE95278" w14:textId="77777777" w:rsidR="001C327A" w:rsidRPr="00BF4B7B" w:rsidRDefault="001C327A">
      <w:pPr>
        <w:shd w:val="clear" w:color="auto" w:fill="A6A6A6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oxid titaničitý (E171)</w:t>
      </w:r>
    </w:p>
    <w:p w14:paraId="140DC546" w14:textId="3B31BBDB" w:rsidR="001C327A" w:rsidRPr="00BF4B7B" w:rsidRDefault="00BF4B7B">
      <w:pPr>
        <w:shd w:val="clear" w:color="auto" w:fill="A6A6A6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žl</w:t>
      </w:r>
      <w:r w:rsidR="0082230E">
        <w:rPr>
          <w:lang w:val="sk-SK"/>
        </w:rPr>
        <w:t>tá</w:t>
      </w:r>
      <w:r w:rsidR="001C327A" w:rsidRPr="00BF4B7B">
        <w:rPr>
          <w:lang w:val="sk-SK"/>
        </w:rPr>
        <w:t xml:space="preserve"> FCF (E110)</w:t>
      </w:r>
    </w:p>
    <w:p w14:paraId="6F55D5AF" w14:textId="77777777" w:rsidR="001C327A" w:rsidRPr="00BF4B7B" w:rsidRDefault="001C327A">
      <w:pPr>
        <w:shd w:val="clear" w:color="auto" w:fill="A6A6A6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želatína</w:t>
      </w:r>
    </w:p>
    <w:p w14:paraId="4AF390D0" w14:textId="77777777" w:rsidR="001C327A" w:rsidRPr="00BF4B7B" w:rsidRDefault="001C327A">
      <w:pPr>
        <w:shd w:val="clear" w:color="auto" w:fill="A6A6A6"/>
        <w:autoSpaceDE/>
        <w:autoSpaceDN/>
        <w:adjustRightInd w:val="0"/>
        <w:jc w:val="both"/>
        <w:textAlignment w:val="baseline"/>
        <w:rPr>
          <w:lang w:val="sk-SK"/>
        </w:rPr>
      </w:pPr>
      <w:r w:rsidRPr="00BF4B7B">
        <w:rPr>
          <w:lang w:val="sk-SK"/>
        </w:rPr>
        <w:t>erytrozín (E127)</w:t>
      </w:r>
    </w:p>
    <w:p w14:paraId="7D074750" w14:textId="77777777" w:rsidR="00D318E7" w:rsidRPr="00BF4B7B" w:rsidRDefault="00D318E7" w:rsidP="00235C1B">
      <w:pPr>
        <w:pStyle w:val="Zkladntext"/>
        <w:rPr>
          <w:lang w:val="sk-SK"/>
        </w:rPr>
      </w:pPr>
    </w:p>
    <w:p w14:paraId="1B47BA68" w14:textId="77777777" w:rsidR="006A6929" w:rsidRPr="00BF4B7B" w:rsidRDefault="00D9796E" w:rsidP="00B52FD1">
      <w:pPr>
        <w:rPr>
          <w:i/>
          <w:lang w:val="sk-SK"/>
        </w:rPr>
      </w:pPr>
      <w:r w:rsidRPr="00BF4B7B">
        <w:rPr>
          <w:i/>
          <w:lang w:val="sk-SK"/>
        </w:rPr>
        <w:t>Potlačová farba</w:t>
      </w:r>
    </w:p>
    <w:p w14:paraId="29C6E274" w14:textId="7E0093F3" w:rsidR="006A6929" w:rsidRPr="00BF4B7B" w:rsidRDefault="00A84337">
      <w:pPr>
        <w:rPr>
          <w:lang w:val="sk-SK"/>
        </w:rPr>
      </w:pPr>
      <w:r w:rsidRPr="00235C1B">
        <w:rPr>
          <w:lang w:val="sk-SK"/>
        </w:rPr>
        <w:t>šelak</w:t>
      </w:r>
      <w:bookmarkStart w:id="0" w:name="_GoBack"/>
      <w:bookmarkEnd w:id="0"/>
    </w:p>
    <w:p w14:paraId="4DEA383C" w14:textId="333EFE3B" w:rsidR="006A6929" w:rsidRPr="00BF4B7B" w:rsidRDefault="00D9796E">
      <w:pPr>
        <w:rPr>
          <w:lang w:val="sk-SK"/>
        </w:rPr>
      </w:pPr>
      <w:r w:rsidRPr="00BF4B7B">
        <w:rPr>
          <w:lang w:val="sk-SK"/>
        </w:rPr>
        <w:t>al</w:t>
      </w:r>
      <w:r w:rsidR="000B6650">
        <w:rPr>
          <w:lang w:val="sk-SK"/>
        </w:rPr>
        <w:t>lura</w:t>
      </w:r>
      <w:r w:rsidRPr="00BF4B7B">
        <w:rPr>
          <w:lang w:val="sk-SK"/>
        </w:rPr>
        <w:t xml:space="preserve"> červená </w:t>
      </w:r>
      <w:r w:rsidR="006A6929" w:rsidRPr="00BF4B7B">
        <w:rPr>
          <w:lang w:val="sk-SK"/>
        </w:rPr>
        <w:t>AC</w:t>
      </w:r>
      <w:r w:rsidR="000B6650">
        <w:rPr>
          <w:lang w:val="sk-SK"/>
        </w:rPr>
        <w:t>, hliníkový lak</w:t>
      </w:r>
      <w:r w:rsidR="006A6929" w:rsidRPr="00BF4B7B">
        <w:rPr>
          <w:lang w:val="sk-SK"/>
        </w:rPr>
        <w:t xml:space="preserve"> (E129) </w:t>
      </w:r>
    </w:p>
    <w:p w14:paraId="2D7C2333" w14:textId="688DBD5E" w:rsidR="006A6929" w:rsidRPr="000B6650" w:rsidRDefault="00D9796E">
      <w:pPr>
        <w:rPr>
          <w:lang w:val="sk-SK"/>
        </w:rPr>
      </w:pPr>
      <w:r w:rsidRPr="00BF4B7B">
        <w:rPr>
          <w:lang w:val="sk-SK"/>
        </w:rPr>
        <w:t>brilantná modrá</w:t>
      </w:r>
      <w:r w:rsidR="006A6929" w:rsidRPr="00BF4B7B">
        <w:rPr>
          <w:lang w:val="sk-SK"/>
        </w:rPr>
        <w:t xml:space="preserve"> FCF</w:t>
      </w:r>
      <w:r w:rsidR="000B6650">
        <w:rPr>
          <w:lang w:val="sk-SK"/>
        </w:rPr>
        <w:t xml:space="preserve">, </w:t>
      </w:r>
      <w:r w:rsidR="000B6650" w:rsidRPr="00235C1B">
        <w:rPr>
          <w:lang w:val="sk-SK"/>
        </w:rPr>
        <w:t>hliníkový lak</w:t>
      </w:r>
      <w:r w:rsidR="006A6929" w:rsidRPr="000B6650">
        <w:rPr>
          <w:lang w:val="sk-SK"/>
        </w:rPr>
        <w:t xml:space="preserve"> (E133) </w:t>
      </w:r>
    </w:p>
    <w:p w14:paraId="0E5F275C" w14:textId="243657C0" w:rsidR="006A6929" w:rsidRPr="00BF4B7B" w:rsidRDefault="00BF4B7B">
      <w:pPr>
        <w:rPr>
          <w:lang w:val="sk-SK"/>
        </w:rPr>
      </w:pPr>
      <w:r w:rsidRPr="000B6650">
        <w:rPr>
          <w:lang w:val="sk-SK"/>
        </w:rPr>
        <w:t>žl</w:t>
      </w:r>
      <w:r w:rsidR="0082230E" w:rsidRPr="000B6650">
        <w:rPr>
          <w:lang w:val="sk-SK"/>
        </w:rPr>
        <w:t>tá</w:t>
      </w:r>
      <w:r w:rsidR="00D9796E" w:rsidRPr="000B6650">
        <w:rPr>
          <w:lang w:val="sk-SK"/>
        </w:rPr>
        <w:t xml:space="preserve"> </w:t>
      </w:r>
      <w:r w:rsidR="006A6929" w:rsidRPr="000B6650">
        <w:rPr>
          <w:lang w:val="sk-SK"/>
        </w:rPr>
        <w:t>FCF</w:t>
      </w:r>
      <w:r w:rsidR="000B6650">
        <w:rPr>
          <w:lang w:val="sk-SK"/>
        </w:rPr>
        <w:t xml:space="preserve">, </w:t>
      </w:r>
      <w:r w:rsidR="000B6650" w:rsidRPr="00235C1B">
        <w:rPr>
          <w:lang w:val="sk-SK"/>
        </w:rPr>
        <w:t>hliníkový lak</w:t>
      </w:r>
      <w:r w:rsidR="006A6929" w:rsidRPr="00BF4B7B">
        <w:rPr>
          <w:lang w:val="sk-SK"/>
        </w:rPr>
        <w:t xml:space="preserve"> (E110) </w:t>
      </w:r>
    </w:p>
    <w:p w14:paraId="7375A100" w14:textId="77777777" w:rsidR="006A6929" w:rsidRPr="00BF4B7B" w:rsidRDefault="00D9796E">
      <w:pPr>
        <w:rPr>
          <w:lang w:val="sk-SK"/>
        </w:rPr>
      </w:pPr>
      <w:r w:rsidRPr="00BF4B7B">
        <w:rPr>
          <w:lang w:val="sk-SK"/>
        </w:rPr>
        <w:t xml:space="preserve">propylénglykol </w:t>
      </w:r>
      <w:r w:rsidR="006A6929" w:rsidRPr="00BF4B7B">
        <w:rPr>
          <w:lang w:val="sk-SK"/>
        </w:rPr>
        <w:t xml:space="preserve">(E1520) </w:t>
      </w:r>
    </w:p>
    <w:p w14:paraId="02AE8021" w14:textId="77777777" w:rsidR="006A6929" w:rsidRPr="00BF4B7B" w:rsidRDefault="00D9796E">
      <w:pPr>
        <w:rPr>
          <w:lang w:val="sk-SK"/>
        </w:rPr>
      </w:pPr>
      <w:r w:rsidRPr="00BF4B7B">
        <w:rPr>
          <w:lang w:val="sk-SK"/>
        </w:rPr>
        <w:t>lecitín (sója</w:t>
      </w:r>
      <w:r w:rsidR="006A6929" w:rsidRPr="00BF4B7B">
        <w:rPr>
          <w:lang w:val="sk-SK"/>
        </w:rPr>
        <w:t xml:space="preserve">) </w:t>
      </w:r>
    </w:p>
    <w:p w14:paraId="7B7620AA" w14:textId="77777777" w:rsidR="006A6929" w:rsidRPr="00BF4B7B" w:rsidRDefault="00D9796E">
      <w:pPr>
        <w:rPr>
          <w:lang w:val="sk-SK"/>
        </w:rPr>
      </w:pPr>
      <w:r w:rsidRPr="00BF4B7B">
        <w:rPr>
          <w:lang w:val="sk-SK"/>
        </w:rPr>
        <w:t>simetikón</w:t>
      </w:r>
    </w:p>
    <w:p w14:paraId="7DD0202E" w14:textId="77777777" w:rsidR="006A6929" w:rsidRPr="00C90CED" w:rsidRDefault="006A6929" w:rsidP="00235C1B">
      <w:pPr>
        <w:pStyle w:val="Zkladntext"/>
        <w:rPr>
          <w:lang w:val="sk-SK"/>
        </w:rPr>
      </w:pPr>
    </w:p>
    <w:p w14:paraId="346F7062" w14:textId="77777777" w:rsidR="00D318E7" w:rsidRPr="00C90CED" w:rsidRDefault="00D318E7" w:rsidP="00B52FD1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Inkompatibility</w:t>
      </w:r>
    </w:p>
    <w:p w14:paraId="32373A31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BC0346F" w14:textId="29B3977F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>Takrolimus nie je kompatibilný s PVC (polyvinylchlorid). Hadičky, injekčné striekačky a iné pomôcky pou</w:t>
      </w:r>
      <w:r w:rsidR="009858FC">
        <w:rPr>
          <w:lang w:val="sk-SK"/>
        </w:rPr>
        <w:t xml:space="preserve">žívané pri príprave </w:t>
      </w:r>
      <w:r w:rsidR="000B6650">
        <w:rPr>
          <w:lang w:val="sk-SK"/>
        </w:rPr>
        <w:t xml:space="preserve">alebo podávaní </w:t>
      </w:r>
      <w:r w:rsidR="009858FC">
        <w:rPr>
          <w:lang w:val="sk-SK"/>
        </w:rPr>
        <w:t xml:space="preserve">suspenzie </w:t>
      </w:r>
      <w:r w:rsidR="000B6650">
        <w:rPr>
          <w:lang w:val="sk-SK"/>
        </w:rPr>
        <w:t xml:space="preserve">obsahu </w:t>
      </w:r>
      <w:r w:rsidRPr="00C90CED">
        <w:rPr>
          <w:lang w:val="sk-SK"/>
        </w:rPr>
        <w:t xml:space="preserve">kapsúl </w:t>
      </w:r>
      <w:r w:rsidR="009858FC">
        <w:rPr>
          <w:lang w:val="sk-SK"/>
        </w:rPr>
        <w:t>takrolimu</w:t>
      </w:r>
      <w:r w:rsidRPr="00C90CED">
        <w:rPr>
          <w:lang w:val="sk-SK"/>
        </w:rPr>
        <w:t xml:space="preserve"> nesmú obsahovať PVC.</w:t>
      </w:r>
    </w:p>
    <w:p w14:paraId="67A83680" w14:textId="77777777" w:rsidR="00D318E7" w:rsidRPr="00C90CED" w:rsidRDefault="00D318E7" w:rsidP="00235C1B">
      <w:pPr>
        <w:pStyle w:val="Zkladntext"/>
        <w:rPr>
          <w:lang w:val="sk-SK"/>
        </w:rPr>
      </w:pPr>
    </w:p>
    <w:p w14:paraId="3B3FC4D6" w14:textId="77777777" w:rsidR="00A8534B" w:rsidRDefault="00D318E7" w:rsidP="00B52FD1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7D71F1">
        <w:rPr>
          <w:lang w:val="sk-SK"/>
        </w:rPr>
        <w:t>Čas</w:t>
      </w:r>
      <w:r w:rsidRPr="00A8534B">
        <w:rPr>
          <w:lang w:val="sk-SK"/>
        </w:rPr>
        <w:t xml:space="preserve"> </w:t>
      </w:r>
      <w:r w:rsidRPr="007D71F1">
        <w:rPr>
          <w:lang w:val="sk-SK"/>
        </w:rPr>
        <w:t>použiteľnosti</w:t>
      </w:r>
    </w:p>
    <w:p w14:paraId="186F14A5" w14:textId="77777777" w:rsidR="00A8534B" w:rsidRDefault="00A8534B">
      <w:pPr>
        <w:pStyle w:val="Nadpis1"/>
        <w:tabs>
          <w:tab w:val="left" w:pos="684"/>
          <w:tab w:val="left" w:pos="685"/>
        </w:tabs>
        <w:ind w:left="0"/>
        <w:rPr>
          <w:lang w:val="sk-SK"/>
        </w:rPr>
      </w:pPr>
    </w:p>
    <w:p w14:paraId="7877BBAE" w14:textId="77777777" w:rsidR="00D318E7" w:rsidRPr="00A8534B" w:rsidRDefault="009858FC">
      <w:pPr>
        <w:pStyle w:val="Nadpis1"/>
        <w:tabs>
          <w:tab w:val="left" w:pos="684"/>
          <w:tab w:val="left" w:pos="685"/>
        </w:tabs>
        <w:ind w:left="0"/>
        <w:rPr>
          <w:b w:val="0"/>
          <w:lang w:val="sk-SK"/>
        </w:rPr>
      </w:pPr>
      <w:r>
        <w:rPr>
          <w:b w:val="0"/>
          <w:lang w:val="sk-SK"/>
        </w:rPr>
        <w:t>2</w:t>
      </w:r>
      <w:r w:rsidR="00D318E7" w:rsidRPr="00A8534B">
        <w:rPr>
          <w:b w:val="0"/>
          <w:lang w:val="sk-SK"/>
        </w:rPr>
        <w:t xml:space="preserve"> roky</w:t>
      </w:r>
    </w:p>
    <w:p w14:paraId="2467F5D4" w14:textId="77777777" w:rsidR="00D318E7" w:rsidRPr="00C90CED" w:rsidRDefault="00D318E7">
      <w:pPr>
        <w:pStyle w:val="Zkladntext"/>
        <w:rPr>
          <w:lang w:val="sk-SK"/>
        </w:rPr>
      </w:pPr>
    </w:p>
    <w:p w14:paraId="434E83FB" w14:textId="77777777" w:rsidR="00D318E7" w:rsidRPr="00C90CED" w:rsidRDefault="009858FC">
      <w:pPr>
        <w:pStyle w:val="Zkladntext"/>
        <w:rPr>
          <w:lang w:val="sk-SK"/>
        </w:rPr>
      </w:pPr>
      <w:r>
        <w:rPr>
          <w:lang w:val="sk-SK"/>
        </w:rPr>
        <w:t>Po otvorení vrecka</w:t>
      </w:r>
      <w:r w:rsidR="00D318E7" w:rsidRPr="00C90CED">
        <w:rPr>
          <w:lang w:val="sk-SK"/>
        </w:rPr>
        <w:t>: 1 rok.</w:t>
      </w:r>
    </w:p>
    <w:p w14:paraId="362A1657" w14:textId="77777777" w:rsidR="00D318E7" w:rsidRPr="00C90CED" w:rsidRDefault="00D318E7" w:rsidP="00235C1B">
      <w:pPr>
        <w:pStyle w:val="Zkladntext"/>
        <w:rPr>
          <w:lang w:val="sk-SK"/>
        </w:rPr>
      </w:pPr>
    </w:p>
    <w:p w14:paraId="07A7DF80" w14:textId="77777777" w:rsidR="00D318E7" w:rsidRPr="00C90CED" w:rsidRDefault="00D318E7" w:rsidP="00B52FD1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Špeciálne upozornenia na</w:t>
      </w:r>
      <w:r w:rsidRPr="00C90CED">
        <w:rPr>
          <w:spacing w:val="-9"/>
          <w:lang w:val="sk-SK"/>
        </w:rPr>
        <w:t xml:space="preserve"> </w:t>
      </w:r>
      <w:r w:rsidRPr="00C90CED">
        <w:rPr>
          <w:lang w:val="sk-SK"/>
        </w:rPr>
        <w:t>uchovávanie</w:t>
      </w:r>
    </w:p>
    <w:p w14:paraId="4E35E773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4FCF83A" w14:textId="77777777" w:rsidR="00D318E7" w:rsidRPr="00C90CED" w:rsidRDefault="00D318E7" w:rsidP="00235C1B">
      <w:pPr>
        <w:pStyle w:val="Zkladntext"/>
        <w:rPr>
          <w:lang w:val="sk-SK"/>
        </w:rPr>
      </w:pPr>
      <w:r w:rsidRPr="00C90CED">
        <w:rPr>
          <w:lang w:val="sk-SK"/>
        </w:rPr>
        <w:t xml:space="preserve">Uchovávajte v pôvodnom obale </w:t>
      </w:r>
      <w:r w:rsidR="009858FC">
        <w:rPr>
          <w:lang w:val="sk-SK"/>
        </w:rPr>
        <w:t>(hliníkové vrecko) na ochranu pred svetlom a vlhkosťou.</w:t>
      </w:r>
    </w:p>
    <w:p w14:paraId="77CB8D8D" w14:textId="77777777" w:rsidR="00D318E7" w:rsidRPr="00C90CED" w:rsidRDefault="00D318E7" w:rsidP="00235C1B">
      <w:pPr>
        <w:pStyle w:val="Zkladntext"/>
        <w:rPr>
          <w:lang w:val="sk-SK"/>
        </w:rPr>
      </w:pPr>
    </w:p>
    <w:p w14:paraId="57025B2C" w14:textId="77777777" w:rsidR="00D318E7" w:rsidRPr="00C90CED" w:rsidRDefault="00D318E7" w:rsidP="00B52FD1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Druh obalu a obsah</w:t>
      </w:r>
      <w:r w:rsidRPr="00C90CED">
        <w:rPr>
          <w:spacing w:val="-6"/>
          <w:lang w:val="sk-SK"/>
        </w:rPr>
        <w:t xml:space="preserve"> </w:t>
      </w:r>
      <w:r w:rsidRPr="00C90CED">
        <w:rPr>
          <w:lang w:val="sk-SK"/>
        </w:rPr>
        <w:t>balenia</w:t>
      </w:r>
    </w:p>
    <w:p w14:paraId="1070980E" w14:textId="77777777" w:rsidR="002A22A0" w:rsidRDefault="002A22A0">
      <w:pPr>
        <w:adjustRightInd w:val="0"/>
        <w:jc w:val="both"/>
        <w:rPr>
          <w:lang w:val="sk-SK"/>
        </w:rPr>
      </w:pPr>
    </w:p>
    <w:p w14:paraId="4A86083C" w14:textId="53D13711" w:rsidR="002A22A0" w:rsidRDefault="002A22A0" w:rsidP="00235C1B">
      <w:pPr>
        <w:pStyle w:val="Zkladntext"/>
        <w:rPr>
          <w:lang w:val="sk-SK"/>
        </w:rPr>
      </w:pPr>
      <w:r w:rsidRPr="002A22A0">
        <w:rPr>
          <w:lang w:val="sk-SK"/>
        </w:rPr>
        <w:t xml:space="preserve">PVC/PVDC//AL blister s </w:t>
      </w:r>
      <w:r w:rsidR="000B6650" w:rsidRPr="002A22A0">
        <w:rPr>
          <w:lang w:val="sk-SK"/>
        </w:rPr>
        <w:t>vysúšadlom</w:t>
      </w:r>
      <w:r w:rsidRPr="002A22A0">
        <w:rPr>
          <w:lang w:val="sk-SK"/>
        </w:rPr>
        <w:t xml:space="preserve"> uzatvorený v hliníkovom vrecku. </w:t>
      </w:r>
    </w:p>
    <w:p w14:paraId="12F6B3A7" w14:textId="77777777" w:rsidR="002A22A0" w:rsidRPr="002A22A0" w:rsidRDefault="002A22A0" w:rsidP="00235C1B">
      <w:pPr>
        <w:pStyle w:val="Zkladntext"/>
        <w:rPr>
          <w:lang w:val="sk-SK"/>
        </w:rPr>
      </w:pPr>
    </w:p>
    <w:p w14:paraId="1D56B695" w14:textId="77777777" w:rsidR="002A22A0" w:rsidRPr="002A22A0" w:rsidRDefault="002A22A0" w:rsidP="00B52FD1">
      <w:pPr>
        <w:pStyle w:val="Zkladntext"/>
        <w:rPr>
          <w:lang w:val="sk-SK"/>
        </w:rPr>
      </w:pPr>
      <w:r w:rsidRPr="002A22A0">
        <w:rPr>
          <w:lang w:val="sk-SK"/>
        </w:rPr>
        <w:t xml:space="preserve">Veľkosti balenia: 30, 50, 60 a 100 kapsúl v blistri a 30x1, 50x1, 60x1 a 100x1 kapsúl </w:t>
      </w:r>
      <w:r w:rsidR="00204E09">
        <w:rPr>
          <w:lang w:val="sk-SK"/>
        </w:rPr>
        <w:t xml:space="preserve">v </w:t>
      </w:r>
      <w:r w:rsidRPr="002A22A0">
        <w:rPr>
          <w:lang w:val="sk-SK"/>
        </w:rPr>
        <w:t>perforovaných blistroch s jednotlivými dávkami.</w:t>
      </w:r>
    </w:p>
    <w:p w14:paraId="22A72C5A" w14:textId="77777777" w:rsidR="002A22A0" w:rsidRPr="002A22A0" w:rsidRDefault="002A22A0" w:rsidP="00235C1B">
      <w:pPr>
        <w:pStyle w:val="Zkladntext"/>
        <w:rPr>
          <w:lang w:val="sk-SK"/>
        </w:rPr>
      </w:pPr>
    </w:p>
    <w:p w14:paraId="025D3158" w14:textId="77777777" w:rsidR="002A22A0" w:rsidRPr="002A22A0" w:rsidRDefault="002A22A0" w:rsidP="00235C1B">
      <w:pPr>
        <w:pStyle w:val="Zkladntext"/>
        <w:rPr>
          <w:lang w:val="sk-SK"/>
        </w:rPr>
      </w:pPr>
      <w:r w:rsidRPr="002A22A0">
        <w:rPr>
          <w:lang w:val="sk-SK"/>
        </w:rPr>
        <w:t>Počet kapsúl v hliníkovom vrecku:</w:t>
      </w:r>
    </w:p>
    <w:p w14:paraId="4C3ABCBB" w14:textId="77777777" w:rsidR="002A22A0" w:rsidRPr="002A22A0" w:rsidRDefault="002A22A0" w:rsidP="00235C1B">
      <w:pPr>
        <w:pStyle w:val="Zkladntext"/>
        <w:rPr>
          <w:lang w:val="sk-SK"/>
        </w:rPr>
      </w:pPr>
      <w:r w:rsidRPr="002A22A0">
        <w:rPr>
          <w:lang w:val="sk-SK"/>
        </w:rPr>
        <w:t>30 kapsúl v 1 vrecku</w:t>
      </w:r>
    </w:p>
    <w:p w14:paraId="046741E2" w14:textId="77777777" w:rsidR="002A22A0" w:rsidRPr="002A22A0" w:rsidRDefault="002A22A0" w:rsidP="00235C1B">
      <w:pPr>
        <w:pStyle w:val="Zkladntext"/>
        <w:rPr>
          <w:lang w:val="sk-SK"/>
        </w:rPr>
      </w:pPr>
      <w:r w:rsidRPr="002A22A0">
        <w:rPr>
          <w:lang w:val="sk-SK"/>
        </w:rPr>
        <w:t>50 kapsúl v 1 vrecku</w:t>
      </w:r>
    </w:p>
    <w:p w14:paraId="08572D75" w14:textId="77777777" w:rsidR="002A22A0" w:rsidRPr="002A22A0" w:rsidRDefault="002A22A0" w:rsidP="00235C1B">
      <w:pPr>
        <w:pStyle w:val="Zkladntext"/>
        <w:rPr>
          <w:lang w:val="sk-SK"/>
        </w:rPr>
      </w:pPr>
      <w:r w:rsidRPr="002A22A0">
        <w:rPr>
          <w:lang w:val="sk-SK"/>
        </w:rPr>
        <w:t>60 kapsúl v 2 vreckách (2x30 kapsúl)</w:t>
      </w:r>
    </w:p>
    <w:p w14:paraId="13779761" w14:textId="77777777" w:rsidR="007D71F1" w:rsidRDefault="002A22A0" w:rsidP="00235C1B">
      <w:pPr>
        <w:pStyle w:val="Zkladntext"/>
        <w:rPr>
          <w:lang w:val="sk-SK"/>
        </w:rPr>
      </w:pPr>
      <w:r w:rsidRPr="002A22A0">
        <w:rPr>
          <w:lang w:val="sk-SK"/>
        </w:rPr>
        <w:t>100 kapsúl v 2 vreckách (2x50 kapsúl)</w:t>
      </w:r>
    </w:p>
    <w:p w14:paraId="6DF72EB7" w14:textId="77777777" w:rsidR="00D318E7" w:rsidRPr="00C90CED" w:rsidRDefault="00D318E7" w:rsidP="00B52FD1">
      <w:pPr>
        <w:pStyle w:val="Zkladntext"/>
        <w:rPr>
          <w:lang w:val="sk-SK"/>
        </w:rPr>
      </w:pPr>
    </w:p>
    <w:p w14:paraId="3EC81173" w14:textId="77777777" w:rsidR="00D318E7" w:rsidRPr="00C90CED" w:rsidRDefault="00D318E7">
      <w:pPr>
        <w:pStyle w:val="Zkladntext"/>
        <w:rPr>
          <w:lang w:val="sk-SK"/>
        </w:rPr>
      </w:pPr>
      <w:r w:rsidRPr="00C90CED">
        <w:rPr>
          <w:lang w:val="sk-SK"/>
        </w:rPr>
        <w:t>Na trh nemusia byť uvedené všetky veľkosti balenia.</w:t>
      </w:r>
    </w:p>
    <w:p w14:paraId="1C524312" w14:textId="77777777" w:rsidR="00D318E7" w:rsidRPr="00C90CED" w:rsidRDefault="00D318E7" w:rsidP="00235C1B">
      <w:pPr>
        <w:pStyle w:val="Zkladntext"/>
        <w:rPr>
          <w:lang w:val="sk-SK"/>
        </w:rPr>
      </w:pPr>
    </w:p>
    <w:p w14:paraId="1AE3B84C" w14:textId="53425201" w:rsidR="00D318E7" w:rsidRPr="00C90CED" w:rsidRDefault="00D318E7" w:rsidP="00B52FD1">
      <w:pPr>
        <w:pStyle w:val="Nadpis1"/>
        <w:numPr>
          <w:ilvl w:val="1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Špeciálne opatrenia na</w:t>
      </w:r>
      <w:r w:rsidRPr="00C90CED">
        <w:rPr>
          <w:spacing w:val="-7"/>
          <w:lang w:val="sk-SK"/>
        </w:rPr>
        <w:t xml:space="preserve"> </w:t>
      </w:r>
      <w:r w:rsidRPr="00C90CED">
        <w:rPr>
          <w:lang w:val="sk-SK"/>
        </w:rPr>
        <w:t>likvidáciu</w:t>
      </w:r>
      <w:r w:rsidR="005179EF">
        <w:rPr>
          <w:lang w:val="sk-SK"/>
        </w:rPr>
        <w:t xml:space="preserve"> a iné </w:t>
      </w:r>
      <w:r w:rsidR="00476F9E">
        <w:rPr>
          <w:lang w:val="sk-SK"/>
        </w:rPr>
        <w:t>zaobchádzanie</w:t>
      </w:r>
      <w:r w:rsidR="005179EF">
        <w:rPr>
          <w:lang w:val="sk-SK"/>
        </w:rPr>
        <w:t xml:space="preserve"> s liekom</w:t>
      </w:r>
    </w:p>
    <w:p w14:paraId="2D21FC46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BD7D9E8" w14:textId="77777777" w:rsidR="00D318E7" w:rsidRPr="00C617C0" w:rsidRDefault="002A22A0" w:rsidP="00B52FD1">
      <w:pPr>
        <w:pStyle w:val="Zkladntext"/>
        <w:rPr>
          <w:lang w:val="sk-SK"/>
        </w:rPr>
      </w:pPr>
      <w:r w:rsidRPr="00C617C0">
        <w:rPr>
          <w:lang w:val="sk-SK"/>
        </w:rPr>
        <w:t>Všetok nepoužitý liek alebo odpad z lieku sa má zlikvidovať v súlade s národnými požiadavkami.</w:t>
      </w:r>
    </w:p>
    <w:p w14:paraId="72CF4FE7" w14:textId="77777777" w:rsidR="002A22A0" w:rsidRPr="00C90CED" w:rsidRDefault="002A22A0" w:rsidP="00B52FD1">
      <w:pPr>
        <w:pStyle w:val="Zkladntext"/>
        <w:rPr>
          <w:sz w:val="24"/>
          <w:lang w:val="sk-SK"/>
        </w:rPr>
      </w:pPr>
    </w:p>
    <w:p w14:paraId="16393AB8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2C8E6A9A" w14:textId="77777777" w:rsidR="00D318E7" w:rsidRPr="00C90CED" w:rsidRDefault="00D318E7" w:rsidP="00B52FD1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DRŽITEĽ ROZHODNUTIA O</w:t>
      </w:r>
      <w:r w:rsidRPr="00C90CED">
        <w:rPr>
          <w:spacing w:val="-16"/>
          <w:lang w:val="sk-SK"/>
        </w:rPr>
        <w:t xml:space="preserve"> </w:t>
      </w:r>
      <w:r w:rsidRPr="00C90CED">
        <w:rPr>
          <w:lang w:val="sk-SK"/>
        </w:rPr>
        <w:t>REGISTRÁCII</w:t>
      </w:r>
    </w:p>
    <w:p w14:paraId="6E9C73E7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3175C95" w14:textId="77777777" w:rsidR="00D318E7" w:rsidRPr="005179EF" w:rsidRDefault="00452504" w:rsidP="00B52FD1">
      <w:pPr>
        <w:pStyle w:val="Zkladntext"/>
        <w:rPr>
          <w:lang w:val="sk-SK"/>
        </w:rPr>
      </w:pPr>
      <w:r w:rsidRPr="005179EF">
        <w:rPr>
          <w:lang w:val="sk-SK"/>
        </w:rPr>
        <w:t>Sandoz Pharmaceuticlals d.d.</w:t>
      </w:r>
    </w:p>
    <w:p w14:paraId="324776C1" w14:textId="77777777" w:rsidR="00452504" w:rsidRPr="005179EF" w:rsidRDefault="00452504" w:rsidP="001677DE">
      <w:pPr>
        <w:pStyle w:val="Zkladntext"/>
        <w:tabs>
          <w:tab w:val="left" w:pos="8240"/>
        </w:tabs>
        <w:rPr>
          <w:lang w:val="sk-SK"/>
        </w:rPr>
      </w:pPr>
      <w:r w:rsidRPr="005179EF">
        <w:rPr>
          <w:lang w:val="sk-SK"/>
        </w:rPr>
        <w:t>Verovškova 57</w:t>
      </w:r>
      <w:r w:rsidR="00C617C0" w:rsidRPr="005179EF">
        <w:rPr>
          <w:lang w:val="sk-SK"/>
        </w:rPr>
        <w:tab/>
      </w:r>
    </w:p>
    <w:p w14:paraId="7AA38D8C" w14:textId="77777777" w:rsidR="00452504" w:rsidRPr="005179EF" w:rsidRDefault="00452504" w:rsidP="00161C2C">
      <w:pPr>
        <w:pStyle w:val="Zkladntext"/>
        <w:rPr>
          <w:lang w:val="sk-SK"/>
        </w:rPr>
      </w:pPr>
      <w:r w:rsidRPr="005179EF">
        <w:rPr>
          <w:lang w:val="sk-SK"/>
        </w:rPr>
        <w:t>1000 Ľubľana</w:t>
      </w:r>
    </w:p>
    <w:p w14:paraId="6F7A36FB" w14:textId="77777777" w:rsidR="00452504" w:rsidRPr="00235C1B" w:rsidRDefault="00A83AF9" w:rsidP="00AE667E">
      <w:pPr>
        <w:pStyle w:val="Zkladntext"/>
        <w:rPr>
          <w:lang w:val="sk-SK"/>
        </w:rPr>
      </w:pPr>
      <w:r w:rsidRPr="00235C1B">
        <w:rPr>
          <w:lang w:val="sk-SK"/>
        </w:rPr>
        <w:t>Slovinsko</w:t>
      </w:r>
    </w:p>
    <w:p w14:paraId="3E9C3697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09E71EFE" w14:textId="77777777" w:rsidR="00D318E7" w:rsidRPr="00C90CED" w:rsidRDefault="00D318E7" w:rsidP="00B52FD1">
      <w:pPr>
        <w:pStyle w:val="Nadpis1"/>
        <w:numPr>
          <w:ilvl w:val="0"/>
          <w:numId w:val="1"/>
        </w:numPr>
        <w:tabs>
          <w:tab w:val="left" w:pos="684"/>
          <w:tab w:val="left" w:pos="685"/>
        </w:tabs>
        <w:ind w:left="0" w:firstLine="0"/>
        <w:rPr>
          <w:lang w:val="sk-SK"/>
        </w:rPr>
      </w:pPr>
      <w:r w:rsidRPr="00C90CED">
        <w:rPr>
          <w:lang w:val="sk-SK"/>
        </w:rPr>
        <w:t>REGISTRAČNÉ</w:t>
      </w:r>
      <w:r w:rsidRPr="00C90CED">
        <w:rPr>
          <w:spacing w:val="-10"/>
          <w:lang w:val="sk-SK"/>
        </w:rPr>
        <w:t xml:space="preserve"> </w:t>
      </w:r>
      <w:r w:rsidRPr="00C90CED">
        <w:rPr>
          <w:lang w:val="sk-SK"/>
        </w:rPr>
        <w:t>ČÍSLA</w:t>
      </w:r>
    </w:p>
    <w:p w14:paraId="029CAB7A" w14:textId="77777777" w:rsidR="00D318E7" w:rsidRPr="00235C1B" w:rsidRDefault="00D318E7" w:rsidP="00235C1B">
      <w:pPr>
        <w:pStyle w:val="Zkladntext"/>
        <w:rPr>
          <w:lang w:val="sk-SK"/>
        </w:rPr>
      </w:pPr>
    </w:p>
    <w:p w14:paraId="08F626E0" w14:textId="7EFC6621" w:rsidR="00235C1B" w:rsidRPr="00235C1B" w:rsidRDefault="00235C1B" w:rsidP="00235C1B">
      <w:pPr>
        <w:pStyle w:val="Zkladntext"/>
        <w:rPr>
          <w:lang w:val="sk-SK"/>
        </w:rPr>
      </w:pPr>
      <w:r w:rsidRPr="00235C1B">
        <w:rPr>
          <w:lang w:val="sk-SK"/>
        </w:rPr>
        <w:t>Dailiport 0,5 mg</w:t>
      </w:r>
      <w:r>
        <w:rPr>
          <w:lang w:val="sk-SK"/>
        </w:rPr>
        <w:t xml:space="preserve">: </w:t>
      </w:r>
      <w:r w:rsidRPr="00235C1B">
        <w:rPr>
          <w:lang w:val="sk-SK"/>
        </w:rPr>
        <w:t>59/0377/19-S</w:t>
      </w:r>
    </w:p>
    <w:p w14:paraId="663E1638" w14:textId="331501D3" w:rsidR="00235C1B" w:rsidRPr="00235C1B" w:rsidRDefault="00235C1B" w:rsidP="00235C1B">
      <w:pPr>
        <w:pStyle w:val="Zkladntext"/>
        <w:rPr>
          <w:lang w:val="sk-SK"/>
        </w:rPr>
      </w:pPr>
      <w:r>
        <w:rPr>
          <w:lang w:val="sk-SK"/>
        </w:rPr>
        <w:t>Dailiport 1 mg: 59/0378</w:t>
      </w:r>
      <w:r w:rsidRPr="00235C1B">
        <w:rPr>
          <w:lang w:val="sk-SK"/>
        </w:rPr>
        <w:t>/19-S</w:t>
      </w:r>
    </w:p>
    <w:p w14:paraId="76E7610B" w14:textId="55EF32B3" w:rsidR="00235C1B" w:rsidRPr="00235C1B" w:rsidRDefault="00235C1B" w:rsidP="00235C1B">
      <w:pPr>
        <w:pStyle w:val="Zkladntext"/>
        <w:rPr>
          <w:lang w:val="sk-SK"/>
        </w:rPr>
      </w:pPr>
      <w:r>
        <w:rPr>
          <w:lang w:val="sk-SK"/>
        </w:rPr>
        <w:t>Dailiport 3 mg: 59/0379</w:t>
      </w:r>
      <w:r w:rsidRPr="00235C1B">
        <w:rPr>
          <w:lang w:val="sk-SK"/>
        </w:rPr>
        <w:t>/19-S</w:t>
      </w:r>
    </w:p>
    <w:p w14:paraId="4F6B1972" w14:textId="35F365E5" w:rsidR="00D318E7" w:rsidRDefault="00235C1B" w:rsidP="00235C1B">
      <w:pPr>
        <w:pStyle w:val="Zkladntext"/>
        <w:rPr>
          <w:lang w:val="sk-SK"/>
        </w:rPr>
      </w:pPr>
      <w:r w:rsidRPr="00235C1B">
        <w:rPr>
          <w:lang w:val="sk-SK"/>
        </w:rPr>
        <w:t>Dailiport 5 mg</w:t>
      </w:r>
      <w:r>
        <w:rPr>
          <w:lang w:val="sk-SK"/>
        </w:rPr>
        <w:t>: 59/0380</w:t>
      </w:r>
      <w:r w:rsidRPr="00235C1B">
        <w:rPr>
          <w:lang w:val="sk-SK"/>
        </w:rPr>
        <w:t>/19-S</w:t>
      </w:r>
    </w:p>
    <w:p w14:paraId="562DE421" w14:textId="77777777" w:rsidR="00235C1B" w:rsidRPr="00235C1B" w:rsidRDefault="00235C1B" w:rsidP="00235C1B">
      <w:pPr>
        <w:pStyle w:val="Zkladntext"/>
        <w:rPr>
          <w:lang w:val="sk-SK"/>
        </w:rPr>
      </w:pPr>
    </w:p>
    <w:p w14:paraId="5ABC181C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7CF5D803" w14:textId="77777777" w:rsidR="00D318E7" w:rsidRPr="00C90CED" w:rsidRDefault="00D318E7" w:rsidP="00235C1B">
      <w:pPr>
        <w:pStyle w:val="Nadpis1"/>
        <w:numPr>
          <w:ilvl w:val="0"/>
          <w:numId w:val="1"/>
        </w:numPr>
        <w:tabs>
          <w:tab w:val="left" w:pos="685"/>
        </w:tabs>
        <w:ind w:left="0" w:firstLine="0"/>
        <w:jc w:val="both"/>
        <w:rPr>
          <w:lang w:val="sk-SK"/>
        </w:rPr>
      </w:pPr>
      <w:r w:rsidRPr="00C90CED">
        <w:rPr>
          <w:lang w:val="sk-SK"/>
        </w:rPr>
        <w:t>DÁTUM PRVEJ REGISTRÁCIE/ PREDĹŽENIA</w:t>
      </w:r>
      <w:r w:rsidRPr="00C90CED">
        <w:rPr>
          <w:spacing w:val="-27"/>
          <w:lang w:val="sk-SK"/>
        </w:rPr>
        <w:t xml:space="preserve"> </w:t>
      </w:r>
      <w:r w:rsidRPr="00C90CED">
        <w:rPr>
          <w:lang w:val="sk-SK"/>
        </w:rPr>
        <w:t>REGISTRÁCIE</w:t>
      </w:r>
    </w:p>
    <w:p w14:paraId="7E6CF63A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352F1B1D" w14:textId="77777777" w:rsidR="00D318E7" w:rsidRPr="00C90CED" w:rsidRDefault="00D318E7" w:rsidP="00235C1B">
      <w:pPr>
        <w:pStyle w:val="Zkladntext"/>
        <w:jc w:val="both"/>
        <w:rPr>
          <w:lang w:val="sk-SK"/>
        </w:rPr>
      </w:pPr>
      <w:r w:rsidRPr="00C90CED">
        <w:rPr>
          <w:lang w:val="sk-SK"/>
        </w:rPr>
        <w:t xml:space="preserve">Dátum prvej registrácie: </w:t>
      </w:r>
    </w:p>
    <w:p w14:paraId="6B2FEDBE" w14:textId="77777777" w:rsidR="00D318E7" w:rsidRPr="00235C1B" w:rsidRDefault="00D318E7" w:rsidP="00B52FD1">
      <w:pPr>
        <w:pStyle w:val="Zkladntext"/>
        <w:rPr>
          <w:lang w:val="sk-SK"/>
        </w:rPr>
      </w:pPr>
    </w:p>
    <w:p w14:paraId="28C0736F" w14:textId="77777777" w:rsidR="00D318E7" w:rsidRPr="00C90CED" w:rsidRDefault="00D318E7" w:rsidP="00235C1B">
      <w:pPr>
        <w:pStyle w:val="Zkladntext"/>
        <w:rPr>
          <w:sz w:val="20"/>
          <w:lang w:val="sk-SK"/>
        </w:rPr>
      </w:pPr>
    </w:p>
    <w:p w14:paraId="7A1921E4" w14:textId="77777777" w:rsidR="00D318E7" w:rsidRPr="00C90CED" w:rsidRDefault="00D318E7" w:rsidP="00B52FD1">
      <w:pPr>
        <w:pStyle w:val="Nadpis1"/>
        <w:numPr>
          <w:ilvl w:val="0"/>
          <w:numId w:val="1"/>
        </w:numPr>
        <w:tabs>
          <w:tab w:val="left" w:pos="685"/>
        </w:tabs>
        <w:ind w:left="0" w:firstLine="0"/>
        <w:jc w:val="both"/>
        <w:rPr>
          <w:lang w:val="sk-SK"/>
        </w:rPr>
      </w:pPr>
      <w:r w:rsidRPr="00C90CED">
        <w:rPr>
          <w:lang w:val="sk-SK"/>
        </w:rPr>
        <w:t>DÁTUM REVÍZIE</w:t>
      </w:r>
      <w:r w:rsidRPr="00C90CED">
        <w:rPr>
          <w:spacing w:val="-6"/>
          <w:lang w:val="sk-SK"/>
        </w:rPr>
        <w:t xml:space="preserve"> </w:t>
      </w:r>
      <w:r w:rsidRPr="00C90CED">
        <w:rPr>
          <w:lang w:val="sk-SK"/>
        </w:rPr>
        <w:t>TEXTU</w:t>
      </w:r>
    </w:p>
    <w:p w14:paraId="31362D5A" w14:textId="77777777" w:rsidR="00D318E7" w:rsidRPr="00C90CED" w:rsidRDefault="00D318E7" w:rsidP="00235C1B">
      <w:pPr>
        <w:pStyle w:val="Zkladntext"/>
        <w:rPr>
          <w:b/>
          <w:sz w:val="21"/>
          <w:lang w:val="sk-SK"/>
        </w:rPr>
      </w:pPr>
    </w:p>
    <w:p w14:paraId="0676A38D" w14:textId="1C3A6A9C" w:rsidR="00FF5FC9" w:rsidRPr="00C90CED" w:rsidRDefault="00235C1B" w:rsidP="00B52FD1">
      <w:pPr>
        <w:rPr>
          <w:lang w:val="sk-SK"/>
        </w:rPr>
      </w:pPr>
      <w:r>
        <w:rPr>
          <w:lang w:val="sk-SK"/>
        </w:rPr>
        <w:t>12</w:t>
      </w:r>
      <w:r w:rsidR="006E24B7">
        <w:rPr>
          <w:lang w:val="sk-SK"/>
        </w:rPr>
        <w:t>/2019</w:t>
      </w:r>
    </w:p>
    <w:sectPr w:rsidR="00FF5FC9" w:rsidRPr="00C90CED" w:rsidSect="00235C1B">
      <w:headerReference w:type="default" r:id="rId9"/>
      <w:footerReference w:type="default" r:id="rId10"/>
      <w:pgSz w:w="11907" w:h="16839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2D97CB" w14:textId="77777777" w:rsidR="00235C1B" w:rsidRDefault="00235C1B" w:rsidP="007D71F1">
      <w:r>
        <w:separator/>
      </w:r>
    </w:p>
  </w:endnote>
  <w:endnote w:type="continuationSeparator" w:id="0">
    <w:p w14:paraId="41B9E1B5" w14:textId="77777777" w:rsidR="00235C1B" w:rsidRDefault="00235C1B" w:rsidP="007D7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QJSBGJ+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C56F3" w14:textId="05C69C2F" w:rsidR="00235C1B" w:rsidRPr="007D71F1" w:rsidRDefault="00235C1B">
    <w:pPr>
      <w:pStyle w:val="Pta"/>
      <w:tabs>
        <w:tab w:val="clear" w:pos="4703"/>
      </w:tabs>
      <w:jc w:val="center"/>
      <w:rPr>
        <w:caps/>
        <w:noProof/>
        <w:sz w:val="18"/>
        <w:szCs w:val="18"/>
      </w:rPr>
    </w:pPr>
    <w:r w:rsidRPr="007D71F1">
      <w:rPr>
        <w:caps/>
        <w:sz w:val="18"/>
        <w:szCs w:val="18"/>
      </w:rPr>
      <w:fldChar w:fldCharType="begin"/>
    </w:r>
    <w:r w:rsidRPr="007D71F1">
      <w:rPr>
        <w:caps/>
        <w:sz w:val="18"/>
        <w:szCs w:val="18"/>
      </w:rPr>
      <w:instrText xml:space="preserve"> PAGE   \* MERGEFORMAT </w:instrText>
    </w:r>
    <w:r w:rsidRPr="007D71F1">
      <w:rPr>
        <w:caps/>
        <w:sz w:val="18"/>
        <w:szCs w:val="18"/>
      </w:rPr>
      <w:fldChar w:fldCharType="separate"/>
    </w:r>
    <w:r w:rsidR="00F2798A">
      <w:rPr>
        <w:caps/>
        <w:noProof/>
        <w:sz w:val="18"/>
        <w:szCs w:val="18"/>
      </w:rPr>
      <w:t>20</w:t>
    </w:r>
    <w:r w:rsidRPr="007D71F1">
      <w:rPr>
        <w:caps/>
        <w:noProof/>
        <w:sz w:val="18"/>
        <w:szCs w:val="18"/>
      </w:rPr>
      <w:fldChar w:fldCharType="end"/>
    </w:r>
  </w:p>
  <w:p w14:paraId="62B07D9E" w14:textId="77777777" w:rsidR="00235C1B" w:rsidRDefault="00235C1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0B99C8" w14:textId="77777777" w:rsidR="00235C1B" w:rsidRDefault="00235C1B" w:rsidP="007D71F1">
      <w:r>
        <w:separator/>
      </w:r>
    </w:p>
  </w:footnote>
  <w:footnote w:type="continuationSeparator" w:id="0">
    <w:p w14:paraId="314CAE74" w14:textId="77777777" w:rsidR="00235C1B" w:rsidRDefault="00235C1B" w:rsidP="007D7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945A96" w14:textId="77777777" w:rsidR="00235C1B" w:rsidRPr="006F0423" w:rsidRDefault="00235C1B">
    <w:pPr>
      <w:pStyle w:val="Hlavika"/>
      <w:rPr>
        <w:sz w:val="18"/>
        <w:szCs w:val="18"/>
        <w:lang w:val="sk-SK"/>
      </w:rPr>
    </w:pPr>
    <w:r w:rsidRPr="006F0423">
      <w:rPr>
        <w:sz w:val="18"/>
        <w:szCs w:val="18"/>
        <w:lang w:val="sk-SK"/>
      </w:rPr>
      <w:t>Schválený text k rozhodnutiu o registrácii, ev.</w:t>
    </w:r>
    <w:r>
      <w:rPr>
        <w:sz w:val="18"/>
        <w:szCs w:val="18"/>
        <w:lang w:val="sk-SK"/>
      </w:rPr>
      <w:t xml:space="preserve"> </w:t>
    </w:r>
    <w:r w:rsidRPr="006F0423">
      <w:rPr>
        <w:sz w:val="18"/>
        <w:szCs w:val="18"/>
        <w:lang w:val="sk-SK"/>
      </w:rPr>
      <w:t>č.: 2018/04998-REG, 2018/04999-REG, 2018/05000-REG, 2018/05001-REG</w:t>
    </w:r>
  </w:p>
  <w:p w14:paraId="6B63F864" w14:textId="77777777" w:rsidR="00235C1B" w:rsidRDefault="00235C1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9612A"/>
    <w:multiLevelType w:val="hybridMultilevel"/>
    <w:tmpl w:val="99887AC6"/>
    <w:lvl w:ilvl="0" w:tplc="CB26EE96">
      <w:numFmt w:val="bullet"/>
      <w:lvlText w:val="-"/>
      <w:lvlJc w:val="left"/>
      <w:pPr>
        <w:ind w:left="191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8" w:hanging="360"/>
      </w:pPr>
      <w:rPr>
        <w:rFonts w:ascii="Wingdings" w:hAnsi="Wingdings" w:hint="default"/>
      </w:rPr>
    </w:lvl>
  </w:abstractNum>
  <w:abstractNum w:abstractNumId="1" w15:restartNumberingAfterBreak="0">
    <w:nsid w:val="05985280"/>
    <w:multiLevelType w:val="multilevel"/>
    <w:tmpl w:val="F6222B3E"/>
    <w:lvl w:ilvl="0">
      <w:start w:val="1"/>
      <w:numFmt w:val="decimal"/>
      <w:lvlText w:val="%1.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73" w:hanging="567"/>
      </w:pPr>
      <w:rPr>
        <w:rFonts w:hint="default"/>
      </w:rPr>
    </w:lvl>
    <w:lvl w:ilvl="3">
      <w:numFmt w:val="bullet"/>
      <w:lvlText w:val="•"/>
      <w:lvlJc w:val="left"/>
      <w:pPr>
        <w:ind w:left="3219" w:hanging="567"/>
      </w:pPr>
      <w:rPr>
        <w:rFonts w:hint="default"/>
      </w:rPr>
    </w:lvl>
    <w:lvl w:ilvl="4">
      <w:numFmt w:val="bullet"/>
      <w:lvlText w:val="•"/>
      <w:lvlJc w:val="left"/>
      <w:pPr>
        <w:ind w:left="4066" w:hanging="567"/>
      </w:pPr>
      <w:rPr>
        <w:rFonts w:hint="default"/>
      </w:rPr>
    </w:lvl>
    <w:lvl w:ilvl="5">
      <w:numFmt w:val="bullet"/>
      <w:lvlText w:val="•"/>
      <w:lvlJc w:val="left"/>
      <w:pPr>
        <w:ind w:left="4913" w:hanging="567"/>
      </w:pPr>
      <w:rPr>
        <w:rFonts w:hint="default"/>
      </w:rPr>
    </w:lvl>
    <w:lvl w:ilvl="6">
      <w:numFmt w:val="bullet"/>
      <w:lvlText w:val="•"/>
      <w:lvlJc w:val="left"/>
      <w:pPr>
        <w:ind w:left="5759" w:hanging="567"/>
      </w:pPr>
      <w:rPr>
        <w:rFonts w:hint="default"/>
      </w:rPr>
    </w:lvl>
    <w:lvl w:ilvl="7">
      <w:numFmt w:val="bullet"/>
      <w:lvlText w:val="•"/>
      <w:lvlJc w:val="left"/>
      <w:pPr>
        <w:ind w:left="6606" w:hanging="567"/>
      </w:pPr>
      <w:rPr>
        <w:rFonts w:hint="default"/>
      </w:rPr>
    </w:lvl>
    <w:lvl w:ilvl="8">
      <w:numFmt w:val="bullet"/>
      <w:lvlText w:val="•"/>
      <w:lvlJc w:val="left"/>
      <w:pPr>
        <w:ind w:left="7453" w:hanging="567"/>
      </w:pPr>
      <w:rPr>
        <w:rFonts w:hint="default"/>
      </w:rPr>
    </w:lvl>
  </w:abstractNum>
  <w:abstractNum w:abstractNumId="2" w15:restartNumberingAfterBreak="0">
    <w:nsid w:val="181C27C7"/>
    <w:multiLevelType w:val="multilevel"/>
    <w:tmpl w:val="5262094E"/>
    <w:lvl w:ilvl="0">
      <w:start w:val="4"/>
      <w:numFmt w:val="decimal"/>
      <w:lvlText w:val="%1"/>
      <w:lvlJc w:val="left"/>
      <w:pPr>
        <w:ind w:left="684" w:hanging="567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4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401" w:hanging="567"/>
      </w:pPr>
      <w:rPr>
        <w:rFonts w:hint="default"/>
      </w:rPr>
    </w:lvl>
    <w:lvl w:ilvl="3">
      <w:numFmt w:val="bullet"/>
      <w:lvlText w:val="•"/>
      <w:lvlJc w:val="left"/>
      <w:pPr>
        <w:ind w:left="3261" w:hanging="567"/>
      </w:pPr>
      <w:rPr>
        <w:rFonts w:hint="default"/>
      </w:rPr>
    </w:lvl>
    <w:lvl w:ilvl="4">
      <w:numFmt w:val="bullet"/>
      <w:lvlText w:val="•"/>
      <w:lvlJc w:val="left"/>
      <w:pPr>
        <w:ind w:left="4122" w:hanging="567"/>
      </w:pPr>
      <w:rPr>
        <w:rFonts w:hint="default"/>
      </w:rPr>
    </w:lvl>
    <w:lvl w:ilvl="5">
      <w:numFmt w:val="bullet"/>
      <w:lvlText w:val="•"/>
      <w:lvlJc w:val="left"/>
      <w:pPr>
        <w:ind w:left="4983" w:hanging="567"/>
      </w:pPr>
      <w:rPr>
        <w:rFonts w:hint="default"/>
      </w:rPr>
    </w:lvl>
    <w:lvl w:ilvl="6">
      <w:numFmt w:val="bullet"/>
      <w:lvlText w:val="•"/>
      <w:lvlJc w:val="left"/>
      <w:pPr>
        <w:ind w:left="5843" w:hanging="567"/>
      </w:pPr>
      <w:rPr>
        <w:rFonts w:hint="default"/>
      </w:rPr>
    </w:lvl>
    <w:lvl w:ilvl="7">
      <w:numFmt w:val="bullet"/>
      <w:lvlText w:val="•"/>
      <w:lvlJc w:val="left"/>
      <w:pPr>
        <w:ind w:left="6704" w:hanging="567"/>
      </w:pPr>
      <w:rPr>
        <w:rFonts w:hint="default"/>
      </w:rPr>
    </w:lvl>
    <w:lvl w:ilvl="8">
      <w:numFmt w:val="bullet"/>
      <w:lvlText w:val="•"/>
      <w:lvlJc w:val="left"/>
      <w:pPr>
        <w:ind w:left="7565" w:hanging="567"/>
      </w:pPr>
      <w:rPr>
        <w:rFonts w:hint="default"/>
      </w:rPr>
    </w:lvl>
  </w:abstractNum>
  <w:abstractNum w:abstractNumId="3" w15:restartNumberingAfterBreak="0">
    <w:nsid w:val="34392E62"/>
    <w:multiLevelType w:val="multilevel"/>
    <w:tmpl w:val="693CC4DC"/>
    <w:lvl w:ilvl="0">
      <w:start w:val="5"/>
      <w:numFmt w:val="decimal"/>
      <w:lvlText w:val="%1.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685" w:hanging="56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93" w:hanging="567"/>
      </w:pPr>
      <w:rPr>
        <w:rFonts w:hint="default"/>
      </w:rPr>
    </w:lvl>
    <w:lvl w:ilvl="3">
      <w:numFmt w:val="bullet"/>
      <w:lvlText w:val="•"/>
      <w:lvlJc w:val="left"/>
      <w:pPr>
        <w:ind w:left="3249" w:hanging="567"/>
      </w:pPr>
      <w:rPr>
        <w:rFonts w:hint="default"/>
      </w:rPr>
    </w:lvl>
    <w:lvl w:ilvl="4">
      <w:numFmt w:val="bullet"/>
      <w:lvlText w:val="•"/>
      <w:lvlJc w:val="left"/>
      <w:pPr>
        <w:ind w:left="4106" w:hanging="567"/>
      </w:pPr>
      <w:rPr>
        <w:rFonts w:hint="default"/>
      </w:rPr>
    </w:lvl>
    <w:lvl w:ilvl="5">
      <w:numFmt w:val="bullet"/>
      <w:lvlText w:val="•"/>
      <w:lvlJc w:val="left"/>
      <w:pPr>
        <w:ind w:left="4963" w:hanging="567"/>
      </w:pPr>
      <w:rPr>
        <w:rFonts w:hint="default"/>
      </w:rPr>
    </w:lvl>
    <w:lvl w:ilvl="6">
      <w:numFmt w:val="bullet"/>
      <w:lvlText w:val="•"/>
      <w:lvlJc w:val="left"/>
      <w:pPr>
        <w:ind w:left="5819" w:hanging="567"/>
      </w:pPr>
      <w:rPr>
        <w:rFonts w:hint="default"/>
      </w:rPr>
    </w:lvl>
    <w:lvl w:ilvl="7">
      <w:numFmt w:val="bullet"/>
      <w:lvlText w:val="•"/>
      <w:lvlJc w:val="left"/>
      <w:pPr>
        <w:ind w:left="6676" w:hanging="567"/>
      </w:pPr>
      <w:rPr>
        <w:rFonts w:hint="default"/>
      </w:rPr>
    </w:lvl>
    <w:lvl w:ilvl="8">
      <w:numFmt w:val="bullet"/>
      <w:lvlText w:val="•"/>
      <w:lvlJc w:val="left"/>
      <w:pPr>
        <w:ind w:left="7533" w:hanging="56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E7"/>
    <w:rsid w:val="00010A17"/>
    <w:rsid w:val="000134E4"/>
    <w:rsid w:val="00014B8F"/>
    <w:rsid w:val="00015B67"/>
    <w:rsid w:val="0001650E"/>
    <w:rsid w:val="000367E2"/>
    <w:rsid w:val="000367EF"/>
    <w:rsid w:val="0005577C"/>
    <w:rsid w:val="0007508F"/>
    <w:rsid w:val="00080F73"/>
    <w:rsid w:val="000851C1"/>
    <w:rsid w:val="00085F2A"/>
    <w:rsid w:val="00097CD3"/>
    <w:rsid w:val="000A53FE"/>
    <w:rsid w:val="000B2513"/>
    <w:rsid w:val="000B6650"/>
    <w:rsid w:val="000C166D"/>
    <w:rsid w:val="000C3F4E"/>
    <w:rsid w:val="000C7875"/>
    <w:rsid w:val="000E68C6"/>
    <w:rsid w:val="000F0332"/>
    <w:rsid w:val="000F04DD"/>
    <w:rsid w:val="00121BF0"/>
    <w:rsid w:val="001346AB"/>
    <w:rsid w:val="00137CE2"/>
    <w:rsid w:val="00161C2C"/>
    <w:rsid w:val="0016207B"/>
    <w:rsid w:val="001677DE"/>
    <w:rsid w:val="0018327B"/>
    <w:rsid w:val="0018413F"/>
    <w:rsid w:val="00190C64"/>
    <w:rsid w:val="001A60F7"/>
    <w:rsid w:val="001B75F7"/>
    <w:rsid w:val="001C327A"/>
    <w:rsid w:val="001E7E7B"/>
    <w:rsid w:val="002018B5"/>
    <w:rsid w:val="00204E09"/>
    <w:rsid w:val="00210B6E"/>
    <w:rsid w:val="0021683C"/>
    <w:rsid w:val="0023208E"/>
    <w:rsid w:val="002327F4"/>
    <w:rsid w:val="002328CC"/>
    <w:rsid w:val="00235C1B"/>
    <w:rsid w:val="00235DAF"/>
    <w:rsid w:val="002369BA"/>
    <w:rsid w:val="0024396C"/>
    <w:rsid w:val="002445FD"/>
    <w:rsid w:val="00283084"/>
    <w:rsid w:val="002860E5"/>
    <w:rsid w:val="00292F16"/>
    <w:rsid w:val="00293A47"/>
    <w:rsid w:val="00297615"/>
    <w:rsid w:val="002A22A0"/>
    <w:rsid w:val="002A352D"/>
    <w:rsid w:val="002B6FFE"/>
    <w:rsid w:val="002B7479"/>
    <w:rsid w:val="002C679C"/>
    <w:rsid w:val="002C67E3"/>
    <w:rsid w:val="002D1ECF"/>
    <w:rsid w:val="00301C96"/>
    <w:rsid w:val="00320142"/>
    <w:rsid w:val="00321AB4"/>
    <w:rsid w:val="00324043"/>
    <w:rsid w:val="00340107"/>
    <w:rsid w:val="00367E28"/>
    <w:rsid w:val="003979EC"/>
    <w:rsid w:val="003A7959"/>
    <w:rsid w:val="003B576E"/>
    <w:rsid w:val="003B6E9D"/>
    <w:rsid w:val="003C35CA"/>
    <w:rsid w:val="003D467E"/>
    <w:rsid w:val="003E17A3"/>
    <w:rsid w:val="003E7D00"/>
    <w:rsid w:val="003F4244"/>
    <w:rsid w:val="004110ED"/>
    <w:rsid w:val="004114B6"/>
    <w:rsid w:val="0041168D"/>
    <w:rsid w:val="004238FA"/>
    <w:rsid w:val="00434D50"/>
    <w:rsid w:val="0043657C"/>
    <w:rsid w:val="00440020"/>
    <w:rsid w:val="00442D61"/>
    <w:rsid w:val="00452504"/>
    <w:rsid w:val="00453098"/>
    <w:rsid w:val="00475255"/>
    <w:rsid w:val="00475B62"/>
    <w:rsid w:val="00476F9E"/>
    <w:rsid w:val="00483DF5"/>
    <w:rsid w:val="00485EDB"/>
    <w:rsid w:val="004956A2"/>
    <w:rsid w:val="004968E9"/>
    <w:rsid w:val="004C437A"/>
    <w:rsid w:val="004C61A7"/>
    <w:rsid w:val="004D0E76"/>
    <w:rsid w:val="004D4D15"/>
    <w:rsid w:val="004E2F18"/>
    <w:rsid w:val="004F6092"/>
    <w:rsid w:val="00505230"/>
    <w:rsid w:val="00505D80"/>
    <w:rsid w:val="005062DB"/>
    <w:rsid w:val="00513968"/>
    <w:rsid w:val="005179EF"/>
    <w:rsid w:val="0053304D"/>
    <w:rsid w:val="0055016D"/>
    <w:rsid w:val="005508C6"/>
    <w:rsid w:val="005611FF"/>
    <w:rsid w:val="005768F7"/>
    <w:rsid w:val="00580FE8"/>
    <w:rsid w:val="00587C02"/>
    <w:rsid w:val="00590778"/>
    <w:rsid w:val="005916BE"/>
    <w:rsid w:val="00592ECA"/>
    <w:rsid w:val="00593F8C"/>
    <w:rsid w:val="005C2519"/>
    <w:rsid w:val="005C35FD"/>
    <w:rsid w:val="005D4776"/>
    <w:rsid w:val="005E0EDA"/>
    <w:rsid w:val="005E0EED"/>
    <w:rsid w:val="005F336C"/>
    <w:rsid w:val="00600FC1"/>
    <w:rsid w:val="00604407"/>
    <w:rsid w:val="00610165"/>
    <w:rsid w:val="0061256C"/>
    <w:rsid w:val="00621F27"/>
    <w:rsid w:val="0063034E"/>
    <w:rsid w:val="00631438"/>
    <w:rsid w:val="006444C3"/>
    <w:rsid w:val="00646253"/>
    <w:rsid w:val="00681A1E"/>
    <w:rsid w:val="006940AC"/>
    <w:rsid w:val="00696E6E"/>
    <w:rsid w:val="006A2E5A"/>
    <w:rsid w:val="006A6929"/>
    <w:rsid w:val="006A6DFE"/>
    <w:rsid w:val="006A7A9A"/>
    <w:rsid w:val="006C1807"/>
    <w:rsid w:val="006C3871"/>
    <w:rsid w:val="006E24B7"/>
    <w:rsid w:val="006E6E11"/>
    <w:rsid w:val="006E73D4"/>
    <w:rsid w:val="006F0423"/>
    <w:rsid w:val="006F261C"/>
    <w:rsid w:val="007125D9"/>
    <w:rsid w:val="00720D85"/>
    <w:rsid w:val="00722F7A"/>
    <w:rsid w:val="00724361"/>
    <w:rsid w:val="00733725"/>
    <w:rsid w:val="00734D5E"/>
    <w:rsid w:val="00750A73"/>
    <w:rsid w:val="00750EB7"/>
    <w:rsid w:val="0076419D"/>
    <w:rsid w:val="007662F9"/>
    <w:rsid w:val="00766329"/>
    <w:rsid w:val="007D71F1"/>
    <w:rsid w:val="007E1BD4"/>
    <w:rsid w:val="007E2F38"/>
    <w:rsid w:val="007E4FC0"/>
    <w:rsid w:val="007F411C"/>
    <w:rsid w:val="007F5EA8"/>
    <w:rsid w:val="0082018C"/>
    <w:rsid w:val="0082230E"/>
    <w:rsid w:val="00846D03"/>
    <w:rsid w:val="00854DD2"/>
    <w:rsid w:val="008605FE"/>
    <w:rsid w:val="008656C1"/>
    <w:rsid w:val="00865746"/>
    <w:rsid w:val="00866B02"/>
    <w:rsid w:val="00877F07"/>
    <w:rsid w:val="0088294B"/>
    <w:rsid w:val="00887F2E"/>
    <w:rsid w:val="008948DB"/>
    <w:rsid w:val="008960CF"/>
    <w:rsid w:val="008A4CC8"/>
    <w:rsid w:val="008D5C24"/>
    <w:rsid w:val="008E0FDE"/>
    <w:rsid w:val="008E211C"/>
    <w:rsid w:val="008E4D83"/>
    <w:rsid w:val="008E7A8B"/>
    <w:rsid w:val="008E7DD2"/>
    <w:rsid w:val="009023D0"/>
    <w:rsid w:val="00920D35"/>
    <w:rsid w:val="00922093"/>
    <w:rsid w:val="0092448E"/>
    <w:rsid w:val="00945F80"/>
    <w:rsid w:val="00946402"/>
    <w:rsid w:val="00956802"/>
    <w:rsid w:val="009634AF"/>
    <w:rsid w:val="00972994"/>
    <w:rsid w:val="0097470A"/>
    <w:rsid w:val="00985726"/>
    <w:rsid w:val="009858FC"/>
    <w:rsid w:val="0099790D"/>
    <w:rsid w:val="009A052D"/>
    <w:rsid w:val="009A3DF9"/>
    <w:rsid w:val="009C7645"/>
    <w:rsid w:val="009D2A39"/>
    <w:rsid w:val="009D6F61"/>
    <w:rsid w:val="009F77D8"/>
    <w:rsid w:val="00A0088E"/>
    <w:rsid w:val="00A1519D"/>
    <w:rsid w:val="00A17C84"/>
    <w:rsid w:val="00A3233E"/>
    <w:rsid w:val="00A5519D"/>
    <w:rsid w:val="00A574F2"/>
    <w:rsid w:val="00A655CE"/>
    <w:rsid w:val="00A65B14"/>
    <w:rsid w:val="00A66711"/>
    <w:rsid w:val="00A6690A"/>
    <w:rsid w:val="00A7706A"/>
    <w:rsid w:val="00A81437"/>
    <w:rsid w:val="00A83AF9"/>
    <w:rsid w:val="00A84337"/>
    <w:rsid w:val="00A8534B"/>
    <w:rsid w:val="00A86098"/>
    <w:rsid w:val="00AA47D9"/>
    <w:rsid w:val="00AA7F58"/>
    <w:rsid w:val="00AC3661"/>
    <w:rsid w:val="00AC759A"/>
    <w:rsid w:val="00AE59E4"/>
    <w:rsid w:val="00AE667E"/>
    <w:rsid w:val="00AE7CF1"/>
    <w:rsid w:val="00AF1B7D"/>
    <w:rsid w:val="00B17B0D"/>
    <w:rsid w:val="00B22287"/>
    <w:rsid w:val="00B36BFF"/>
    <w:rsid w:val="00B4661B"/>
    <w:rsid w:val="00B50891"/>
    <w:rsid w:val="00B5231E"/>
    <w:rsid w:val="00B52FD1"/>
    <w:rsid w:val="00B61A6C"/>
    <w:rsid w:val="00B715A4"/>
    <w:rsid w:val="00B76549"/>
    <w:rsid w:val="00B772BE"/>
    <w:rsid w:val="00B859F7"/>
    <w:rsid w:val="00B85B4F"/>
    <w:rsid w:val="00B91302"/>
    <w:rsid w:val="00B91E45"/>
    <w:rsid w:val="00B95BBE"/>
    <w:rsid w:val="00BA03AF"/>
    <w:rsid w:val="00BC4BDE"/>
    <w:rsid w:val="00BC55D2"/>
    <w:rsid w:val="00BE1FC0"/>
    <w:rsid w:val="00BF2FE2"/>
    <w:rsid w:val="00BF4B7B"/>
    <w:rsid w:val="00BF77BE"/>
    <w:rsid w:val="00C05A2C"/>
    <w:rsid w:val="00C07FD5"/>
    <w:rsid w:val="00C1498B"/>
    <w:rsid w:val="00C1708B"/>
    <w:rsid w:val="00C20534"/>
    <w:rsid w:val="00C23FFD"/>
    <w:rsid w:val="00C30144"/>
    <w:rsid w:val="00C30183"/>
    <w:rsid w:val="00C30895"/>
    <w:rsid w:val="00C32457"/>
    <w:rsid w:val="00C4310D"/>
    <w:rsid w:val="00C433DC"/>
    <w:rsid w:val="00C543B6"/>
    <w:rsid w:val="00C57FF5"/>
    <w:rsid w:val="00C617C0"/>
    <w:rsid w:val="00C61A46"/>
    <w:rsid w:val="00C743BC"/>
    <w:rsid w:val="00C7734D"/>
    <w:rsid w:val="00C90CED"/>
    <w:rsid w:val="00C95133"/>
    <w:rsid w:val="00CC5F68"/>
    <w:rsid w:val="00CD3D8A"/>
    <w:rsid w:val="00CD50EE"/>
    <w:rsid w:val="00CE3506"/>
    <w:rsid w:val="00CF044C"/>
    <w:rsid w:val="00CF5CAE"/>
    <w:rsid w:val="00D027CC"/>
    <w:rsid w:val="00D16313"/>
    <w:rsid w:val="00D21877"/>
    <w:rsid w:val="00D2715A"/>
    <w:rsid w:val="00D318E7"/>
    <w:rsid w:val="00D32210"/>
    <w:rsid w:val="00D33673"/>
    <w:rsid w:val="00D60EF0"/>
    <w:rsid w:val="00D627D6"/>
    <w:rsid w:val="00D63AEE"/>
    <w:rsid w:val="00D71EEB"/>
    <w:rsid w:val="00D76994"/>
    <w:rsid w:val="00D8130A"/>
    <w:rsid w:val="00D81B22"/>
    <w:rsid w:val="00D871A2"/>
    <w:rsid w:val="00D9252A"/>
    <w:rsid w:val="00D9796E"/>
    <w:rsid w:val="00DB7ECF"/>
    <w:rsid w:val="00DC4432"/>
    <w:rsid w:val="00DC4548"/>
    <w:rsid w:val="00DD61F3"/>
    <w:rsid w:val="00DE32BE"/>
    <w:rsid w:val="00DE74C6"/>
    <w:rsid w:val="00E072B1"/>
    <w:rsid w:val="00E12263"/>
    <w:rsid w:val="00E20D34"/>
    <w:rsid w:val="00E330A6"/>
    <w:rsid w:val="00E60034"/>
    <w:rsid w:val="00E763CC"/>
    <w:rsid w:val="00E82F30"/>
    <w:rsid w:val="00E91FEE"/>
    <w:rsid w:val="00EA3BF3"/>
    <w:rsid w:val="00EA485B"/>
    <w:rsid w:val="00EA70CA"/>
    <w:rsid w:val="00EB1572"/>
    <w:rsid w:val="00EB2C1A"/>
    <w:rsid w:val="00F0049D"/>
    <w:rsid w:val="00F01634"/>
    <w:rsid w:val="00F05697"/>
    <w:rsid w:val="00F13C9B"/>
    <w:rsid w:val="00F2798A"/>
    <w:rsid w:val="00F31F85"/>
    <w:rsid w:val="00F412E8"/>
    <w:rsid w:val="00F50E36"/>
    <w:rsid w:val="00F77CF2"/>
    <w:rsid w:val="00F801DB"/>
    <w:rsid w:val="00F9069C"/>
    <w:rsid w:val="00F93628"/>
    <w:rsid w:val="00FB5A31"/>
    <w:rsid w:val="00FC48B2"/>
    <w:rsid w:val="00FD2B31"/>
    <w:rsid w:val="00FE10E6"/>
    <w:rsid w:val="00FE257C"/>
    <w:rsid w:val="00FF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BD6210D"/>
  <w15:chartTrackingRefBased/>
  <w15:docId w15:val="{B9F49188-DFC0-4886-86A4-3CBA0244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D31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styleId="Nadpis1">
    <w:name w:val="heading 1"/>
    <w:basedOn w:val="Normlny"/>
    <w:link w:val="Nadpis1Char"/>
    <w:uiPriority w:val="1"/>
    <w:qFormat/>
    <w:rsid w:val="00D318E7"/>
    <w:pPr>
      <w:ind w:left="103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D318E7"/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Zkladntext">
    <w:name w:val="Body Text"/>
    <w:basedOn w:val="Normlny"/>
    <w:link w:val="ZkladntextChar"/>
    <w:uiPriority w:val="1"/>
    <w:qFormat/>
    <w:rsid w:val="00D318E7"/>
  </w:style>
  <w:style w:type="character" w:customStyle="1" w:styleId="ZkladntextChar">
    <w:name w:val="Základný text Char"/>
    <w:basedOn w:val="Predvolenpsmoodseku"/>
    <w:link w:val="Zkladntext"/>
    <w:uiPriority w:val="1"/>
    <w:rsid w:val="00D318E7"/>
    <w:rPr>
      <w:rFonts w:ascii="Times New Roman" w:eastAsia="Times New Roman" w:hAnsi="Times New Roman" w:cs="Times New Roman"/>
      <w:sz w:val="22"/>
      <w:szCs w:val="22"/>
    </w:rPr>
  </w:style>
  <w:style w:type="paragraph" w:styleId="Odsekzoznamu">
    <w:name w:val="List Paragraph"/>
    <w:basedOn w:val="Normlny"/>
    <w:uiPriority w:val="1"/>
    <w:qFormat/>
    <w:rsid w:val="00D318E7"/>
    <w:pPr>
      <w:ind w:left="684" w:hanging="566"/>
    </w:pPr>
  </w:style>
  <w:style w:type="paragraph" w:styleId="Hlavika">
    <w:name w:val="header"/>
    <w:basedOn w:val="Normlny"/>
    <w:link w:val="HlavikaChar"/>
    <w:uiPriority w:val="99"/>
    <w:unhideWhenUsed/>
    <w:rsid w:val="007D71F1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D71F1"/>
    <w:rPr>
      <w:rFonts w:ascii="Times New Roman" w:eastAsia="Times New Roman" w:hAnsi="Times New Roman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7D71F1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7D71F1"/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8D5C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5916B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5916BE"/>
    <w:rPr>
      <w:rFonts w:ascii="Courier New" w:eastAsia="Times New Roman" w:hAnsi="Courier New" w:cs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7C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7CF2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B5089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089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0891"/>
    <w:rPr>
      <w:rFonts w:ascii="Times New Roman" w:eastAsia="Times New Roman" w:hAnsi="Times New Roman" w:cs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089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0891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6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0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9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39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826136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56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75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771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194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889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149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967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9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143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704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244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4491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8225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22209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317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4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76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3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80626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318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95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73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05813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468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93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9416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231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7915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356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6382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6720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162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731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CF741-65DA-42C2-B91B-86D2AA1D5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20</Pages>
  <Words>8683</Words>
  <Characters>49494</Characters>
  <Application>Microsoft Office Word</Application>
  <DocSecurity>0</DocSecurity>
  <Lines>412</Lines>
  <Paragraphs>116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Novartis</Company>
  <LinksUpToDate>false</LinksUpToDate>
  <CharactersWithSpaces>58061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Zemberova, Dominika</dc:creator>
  <cp:keywords/>
  <dc:description/>
  <cp:lastModifiedBy>Lacková, Beáta</cp:lastModifiedBy>
  <cp:revision>237</cp:revision>
  <dcterms:created xsi:type="dcterms:W3CDTF">2019-09-23T14:13:00Z</dcterms:created>
  <dcterms:modified xsi:type="dcterms:W3CDTF">2019-11-28T09:30:00Z</dcterms:modified>
</cp:coreProperties>
</file>