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61B05F2" w14:textId="77777777" w:rsidR="00661D85" w:rsidRPr="0046669C" w:rsidRDefault="00C92F28">
      <w:pPr>
        <w:jc w:val="center"/>
        <w:rPr>
          <w:b/>
          <w:sz w:val="22"/>
          <w:szCs w:val="22"/>
          <w:lang w:val="sk-SK"/>
        </w:rPr>
      </w:pPr>
      <w:r w:rsidRPr="0046669C">
        <w:rPr>
          <w:b/>
          <w:sz w:val="22"/>
          <w:szCs w:val="22"/>
          <w:lang w:val="sk-SK"/>
        </w:rPr>
        <w:t xml:space="preserve">SÚHRN CHARAKTERSITICKÝCH VLASTNOSTÍ LIEKU </w:t>
      </w:r>
    </w:p>
    <w:p w14:paraId="05C01AE4" w14:textId="77777777" w:rsidR="00C92F28" w:rsidRPr="0046669C" w:rsidRDefault="00C92F28">
      <w:pPr>
        <w:jc w:val="center"/>
        <w:rPr>
          <w:b/>
          <w:sz w:val="22"/>
          <w:szCs w:val="22"/>
          <w:lang w:val="sk-SK"/>
        </w:rPr>
      </w:pPr>
    </w:p>
    <w:p w14:paraId="35D4479D" w14:textId="77777777" w:rsidR="00C92F28" w:rsidRPr="0046669C" w:rsidRDefault="00C92F28">
      <w:pPr>
        <w:jc w:val="center"/>
        <w:rPr>
          <w:b/>
          <w:sz w:val="22"/>
          <w:szCs w:val="22"/>
          <w:lang w:val="sk-SK"/>
        </w:rPr>
      </w:pPr>
    </w:p>
    <w:p w14:paraId="511B34CC" w14:textId="77777777" w:rsidR="00E57A33" w:rsidRPr="0046669C" w:rsidRDefault="00E57A33" w:rsidP="00E57A33">
      <w:pPr>
        <w:numPr>
          <w:ilvl w:val="12"/>
          <w:numId w:val="0"/>
        </w:numPr>
        <w:rPr>
          <w:sz w:val="22"/>
          <w:szCs w:val="22"/>
          <w:lang w:val="sk-SK"/>
        </w:rPr>
      </w:pPr>
    </w:p>
    <w:p w14:paraId="1BC5659B" w14:textId="77777777" w:rsidR="00E57A33" w:rsidRPr="0046669C" w:rsidRDefault="00E57A33" w:rsidP="00E57A33">
      <w:pPr>
        <w:rPr>
          <w:noProof/>
          <w:szCs w:val="22"/>
          <w:lang w:val="sk-SK"/>
        </w:rPr>
      </w:pPr>
      <w:r w:rsidRPr="0046669C">
        <w:rPr>
          <w:b/>
          <w:noProof/>
          <w:szCs w:val="22"/>
          <w:lang w:val="sk-SK"/>
        </w:rPr>
        <w:t>1.</w:t>
      </w:r>
      <w:r w:rsidRPr="0046669C">
        <w:rPr>
          <w:b/>
          <w:noProof/>
          <w:szCs w:val="22"/>
          <w:lang w:val="sk-SK"/>
        </w:rPr>
        <w:tab/>
        <w:t>NÁZOV LIEKU</w:t>
      </w:r>
    </w:p>
    <w:p w14:paraId="7ED7A992" w14:textId="77777777" w:rsidR="00E57A33" w:rsidRPr="0046669C" w:rsidRDefault="00E57A33">
      <w:pPr>
        <w:numPr>
          <w:ilvl w:val="12"/>
          <w:numId w:val="0"/>
        </w:numPr>
        <w:ind w:left="283" w:hanging="283"/>
        <w:rPr>
          <w:sz w:val="22"/>
          <w:szCs w:val="22"/>
          <w:lang w:val="sk-SK"/>
        </w:rPr>
      </w:pPr>
    </w:p>
    <w:p w14:paraId="32914412" w14:textId="77777777" w:rsidR="00661D85" w:rsidRPr="0046669C" w:rsidRDefault="00C92F28">
      <w:pPr>
        <w:numPr>
          <w:ilvl w:val="12"/>
          <w:numId w:val="0"/>
        </w:numPr>
        <w:ind w:left="283" w:hanging="283"/>
        <w:rPr>
          <w:sz w:val="22"/>
          <w:szCs w:val="22"/>
          <w:lang w:val="sk-SK"/>
        </w:rPr>
      </w:pPr>
      <w:r w:rsidRPr="0046669C">
        <w:rPr>
          <w:sz w:val="22"/>
          <w:szCs w:val="22"/>
          <w:lang w:val="sk-SK"/>
        </w:rPr>
        <w:t>Propycil</w:t>
      </w:r>
      <w:r w:rsidR="00661D85" w:rsidRPr="0046669C">
        <w:rPr>
          <w:sz w:val="22"/>
          <w:szCs w:val="22"/>
          <w:lang w:val="sk-SK"/>
        </w:rPr>
        <w:t xml:space="preserve"> 50</w:t>
      </w:r>
    </w:p>
    <w:p w14:paraId="3B1DBDA8" w14:textId="77777777" w:rsidR="00EF64EE" w:rsidRPr="0046669C" w:rsidRDefault="00EF64EE">
      <w:pPr>
        <w:numPr>
          <w:ilvl w:val="12"/>
          <w:numId w:val="0"/>
        </w:numPr>
        <w:ind w:left="283" w:hanging="283"/>
        <w:rPr>
          <w:sz w:val="22"/>
          <w:szCs w:val="22"/>
          <w:lang w:val="sk-SK"/>
        </w:rPr>
      </w:pPr>
    </w:p>
    <w:p w14:paraId="09ED2E19" w14:textId="27AEA5D4" w:rsidR="00C92F28" w:rsidRPr="0046669C" w:rsidRDefault="00EF64EE">
      <w:pPr>
        <w:numPr>
          <w:ilvl w:val="12"/>
          <w:numId w:val="0"/>
        </w:numPr>
        <w:ind w:left="283" w:hanging="283"/>
        <w:rPr>
          <w:sz w:val="22"/>
          <w:szCs w:val="22"/>
          <w:lang w:val="sk-SK"/>
        </w:rPr>
      </w:pPr>
      <w:r w:rsidRPr="0046669C">
        <w:rPr>
          <w:sz w:val="22"/>
          <w:szCs w:val="22"/>
          <w:lang w:val="sk-SK"/>
        </w:rPr>
        <w:t>50</w:t>
      </w:r>
      <w:r w:rsidR="0085628F" w:rsidRPr="0046669C">
        <w:rPr>
          <w:sz w:val="22"/>
          <w:szCs w:val="22"/>
          <w:lang w:val="sk-SK"/>
        </w:rPr>
        <w:t xml:space="preserve"> </w:t>
      </w:r>
      <w:r w:rsidRPr="0046669C">
        <w:rPr>
          <w:sz w:val="22"/>
          <w:szCs w:val="22"/>
          <w:lang w:val="sk-SK"/>
        </w:rPr>
        <w:t xml:space="preserve">mg </w:t>
      </w:r>
      <w:r w:rsidR="00C92F28" w:rsidRPr="0046669C">
        <w:rPr>
          <w:sz w:val="22"/>
          <w:szCs w:val="22"/>
          <w:lang w:val="sk-SK"/>
        </w:rPr>
        <w:t>tablety</w:t>
      </w:r>
    </w:p>
    <w:p w14:paraId="6B0E3A77" w14:textId="77777777" w:rsidR="00E57A33" w:rsidRPr="0046669C" w:rsidRDefault="00E57A33">
      <w:pPr>
        <w:numPr>
          <w:ilvl w:val="12"/>
          <w:numId w:val="0"/>
        </w:numPr>
        <w:rPr>
          <w:sz w:val="22"/>
          <w:szCs w:val="22"/>
          <w:lang w:val="sk-SK"/>
        </w:rPr>
      </w:pPr>
    </w:p>
    <w:p w14:paraId="5C4D0DCB" w14:textId="77777777" w:rsidR="00923211" w:rsidRPr="0046669C" w:rsidRDefault="00923211">
      <w:pPr>
        <w:numPr>
          <w:ilvl w:val="12"/>
          <w:numId w:val="0"/>
        </w:numPr>
        <w:rPr>
          <w:sz w:val="22"/>
          <w:szCs w:val="22"/>
          <w:lang w:val="sk-SK"/>
        </w:rPr>
      </w:pPr>
    </w:p>
    <w:p w14:paraId="1BE5C8B7" w14:textId="77777777" w:rsidR="00E57A33" w:rsidRPr="0046669C" w:rsidRDefault="00E57A33" w:rsidP="00E57A33">
      <w:pPr>
        <w:rPr>
          <w:noProof/>
          <w:szCs w:val="22"/>
          <w:lang w:val="sk-SK"/>
        </w:rPr>
      </w:pPr>
      <w:r w:rsidRPr="0046669C">
        <w:rPr>
          <w:b/>
          <w:noProof/>
          <w:szCs w:val="22"/>
          <w:lang w:val="sk-SK"/>
        </w:rPr>
        <w:t>2.</w:t>
      </w:r>
      <w:r w:rsidRPr="0046669C">
        <w:rPr>
          <w:b/>
          <w:noProof/>
          <w:szCs w:val="22"/>
          <w:lang w:val="sk-SK"/>
        </w:rPr>
        <w:tab/>
        <w:t>KVALITATÍVNE A KVANTITATÍVNE ZLOŽENIE</w:t>
      </w:r>
    </w:p>
    <w:p w14:paraId="5951D418" w14:textId="77777777" w:rsidR="00E57A33" w:rsidRPr="0046669C" w:rsidRDefault="00E57A33">
      <w:pPr>
        <w:numPr>
          <w:ilvl w:val="12"/>
          <w:numId w:val="0"/>
        </w:numPr>
        <w:rPr>
          <w:sz w:val="22"/>
          <w:szCs w:val="22"/>
          <w:lang w:val="sk-SK"/>
        </w:rPr>
      </w:pPr>
    </w:p>
    <w:p w14:paraId="77296ACD" w14:textId="721C88E2" w:rsidR="0083489B" w:rsidRPr="0046669C" w:rsidRDefault="00C92F28" w:rsidP="002F48BE">
      <w:pPr>
        <w:numPr>
          <w:ilvl w:val="12"/>
          <w:numId w:val="0"/>
        </w:numPr>
        <w:rPr>
          <w:sz w:val="22"/>
          <w:szCs w:val="22"/>
          <w:lang w:val="sk-SK"/>
        </w:rPr>
      </w:pPr>
      <w:r w:rsidRPr="0046669C">
        <w:rPr>
          <w:sz w:val="22"/>
          <w:szCs w:val="22"/>
          <w:lang w:val="sk-SK"/>
        </w:rPr>
        <w:t xml:space="preserve">Každá tableta </w:t>
      </w:r>
      <w:r w:rsidR="00661D85" w:rsidRPr="0046669C">
        <w:rPr>
          <w:sz w:val="22"/>
          <w:szCs w:val="22"/>
          <w:lang w:val="sk-SK"/>
        </w:rPr>
        <w:t>obsahuje 50 mg propy</w:t>
      </w:r>
      <w:r w:rsidR="00695C74" w:rsidRPr="0046669C">
        <w:rPr>
          <w:sz w:val="22"/>
          <w:szCs w:val="22"/>
          <w:lang w:val="sk-SK"/>
        </w:rPr>
        <w:t>l</w:t>
      </w:r>
      <w:r w:rsidR="00661D85" w:rsidRPr="0046669C">
        <w:rPr>
          <w:sz w:val="22"/>
          <w:szCs w:val="22"/>
          <w:lang w:val="sk-SK"/>
        </w:rPr>
        <w:t>tiouracilu</w:t>
      </w:r>
    </w:p>
    <w:p w14:paraId="09497235" w14:textId="77777777" w:rsidR="0083489B" w:rsidRPr="0046669C" w:rsidRDefault="0083489B">
      <w:pPr>
        <w:numPr>
          <w:ilvl w:val="12"/>
          <w:numId w:val="0"/>
        </w:numPr>
        <w:rPr>
          <w:sz w:val="22"/>
          <w:szCs w:val="22"/>
          <w:lang w:val="sk-SK"/>
        </w:rPr>
      </w:pPr>
    </w:p>
    <w:p w14:paraId="1A836905" w14:textId="1371F8A8" w:rsidR="0099698D" w:rsidRDefault="0083489B" w:rsidP="002F48BE">
      <w:pPr>
        <w:numPr>
          <w:ilvl w:val="12"/>
          <w:numId w:val="0"/>
        </w:numPr>
        <w:rPr>
          <w:sz w:val="22"/>
          <w:szCs w:val="22"/>
          <w:highlight w:val="green"/>
          <w:lang w:val="sk-SK"/>
        </w:rPr>
      </w:pPr>
      <w:r w:rsidRPr="0046669C">
        <w:rPr>
          <w:sz w:val="22"/>
          <w:szCs w:val="22"/>
          <w:u w:val="single"/>
          <w:lang w:val="sk-SK"/>
        </w:rPr>
        <w:t>Pomocná látka so známym účinkom</w:t>
      </w:r>
      <w:r w:rsidRPr="008B3F88">
        <w:rPr>
          <w:sz w:val="22"/>
          <w:szCs w:val="22"/>
          <w:lang w:val="sk-SK"/>
        </w:rPr>
        <w:t xml:space="preserve">: </w:t>
      </w:r>
    </w:p>
    <w:p w14:paraId="3696542F" w14:textId="51E045FE" w:rsidR="0061789F" w:rsidRDefault="00AD4653" w:rsidP="002F48BE">
      <w:pPr>
        <w:numPr>
          <w:ilvl w:val="12"/>
          <w:numId w:val="0"/>
        </w:numPr>
        <w:rPr>
          <w:sz w:val="22"/>
          <w:szCs w:val="22"/>
          <w:lang w:val="sk-SK"/>
        </w:rPr>
      </w:pPr>
      <w:r w:rsidRPr="008B3F88">
        <w:rPr>
          <w:sz w:val="22"/>
          <w:szCs w:val="22"/>
          <w:lang w:val="sk-SK"/>
        </w:rPr>
        <w:t>Každá</w:t>
      </w:r>
      <w:r w:rsidR="0061789F" w:rsidRPr="008B3F88">
        <w:rPr>
          <w:sz w:val="22"/>
          <w:szCs w:val="22"/>
          <w:lang w:val="sk-SK"/>
        </w:rPr>
        <w:t xml:space="preserve"> tableta obsahuje 73,9 mg monohydrátu laktózy.</w:t>
      </w:r>
      <w:r w:rsidR="0061789F">
        <w:rPr>
          <w:sz w:val="22"/>
          <w:szCs w:val="22"/>
          <w:lang w:val="sk-SK"/>
        </w:rPr>
        <w:t xml:space="preserve"> </w:t>
      </w:r>
    </w:p>
    <w:p w14:paraId="4ED027D1" w14:textId="7559FF51" w:rsidR="002F48BE" w:rsidRPr="0046669C" w:rsidRDefault="002F48BE" w:rsidP="002F48BE">
      <w:pPr>
        <w:numPr>
          <w:ilvl w:val="12"/>
          <w:numId w:val="0"/>
        </w:numPr>
        <w:rPr>
          <w:sz w:val="22"/>
          <w:szCs w:val="22"/>
          <w:lang w:val="sk-SK"/>
        </w:rPr>
      </w:pPr>
    </w:p>
    <w:p w14:paraId="19046F87" w14:textId="77777777" w:rsidR="00661D85" w:rsidRPr="0046669C" w:rsidRDefault="00C92F28">
      <w:pPr>
        <w:numPr>
          <w:ilvl w:val="12"/>
          <w:numId w:val="0"/>
        </w:numPr>
        <w:rPr>
          <w:sz w:val="22"/>
          <w:szCs w:val="22"/>
          <w:lang w:val="sk-SK"/>
        </w:rPr>
      </w:pPr>
      <w:r w:rsidRPr="0046669C">
        <w:rPr>
          <w:sz w:val="22"/>
          <w:szCs w:val="22"/>
          <w:lang w:val="sk-SK"/>
        </w:rPr>
        <w:t>Úplný zoznam p</w:t>
      </w:r>
      <w:r w:rsidR="00661D85" w:rsidRPr="0046669C">
        <w:rPr>
          <w:sz w:val="22"/>
          <w:szCs w:val="22"/>
          <w:lang w:val="sk-SK"/>
        </w:rPr>
        <w:t>omocn</w:t>
      </w:r>
      <w:r w:rsidRPr="0046669C">
        <w:rPr>
          <w:sz w:val="22"/>
          <w:szCs w:val="22"/>
          <w:lang w:val="sk-SK"/>
        </w:rPr>
        <w:t>ých</w:t>
      </w:r>
      <w:r w:rsidR="00661D85" w:rsidRPr="0046669C">
        <w:rPr>
          <w:sz w:val="22"/>
          <w:szCs w:val="22"/>
          <w:lang w:val="sk-SK"/>
        </w:rPr>
        <w:t xml:space="preserve"> lát</w:t>
      </w:r>
      <w:r w:rsidRPr="0046669C">
        <w:rPr>
          <w:sz w:val="22"/>
          <w:szCs w:val="22"/>
          <w:lang w:val="sk-SK"/>
        </w:rPr>
        <w:t>o</w:t>
      </w:r>
      <w:r w:rsidR="00661D85" w:rsidRPr="0046669C">
        <w:rPr>
          <w:sz w:val="22"/>
          <w:szCs w:val="22"/>
          <w:lang w:val="sk-SK"/>
        </w:rPr>
        <w:t>k, pozri časť 6.1.</w:t>
      </w:r>
    </w:p>
    <w:p w14:paraId="63B346C8" w14:textId="77777777" w:rsidR="00923211" w:rsidRPr="0046669C" w:rsidRDefault="00923211">
      <w:pPr>
        <w:numPr>
          <w:ilvl w:val="12"/>
          <w:numId w:val="0"/>
        </w:numPr>
        <w:rPr>
          <w:sz w:val="22"/>
          <w:szCs w:val="22"/>
          <w:lang w:val="sk-SK"/>
        </w:rPr>
      </w:pPr>
    </w:p>
    <w:p w14:paraId="2459A8F2" w14:textId="77777777" w:rsidR="00B539A1" w:rsidRPr="0046669C" w:rsidRDefault="00B539A1">
      <w:pPr>
        <w:numPr>
          <w:ilvl w:val="12"/>
          <w:numId w:val="0"/>
        </w:numPr>
        <w:rPr>
          <w:sz w:val="22"/>
          <w:szCs w:val="22"/>
          <w:lang w:val="sk-SK"/>
        </w:rPr>
      </w:pPr>
    </w:p>
    <w:p w14:paraId="16746A7F" w14:textId="77777777" w:rsidR="00E57A33" w:rsidRPr="0046669C" w:rsidRDefault="00E57A33" w:rsidP="00E57A33">
      <w:pPr>
        <w:rPr>
          <w:b/>
          <w:noProof/>
          <w:szCs w:val="22"/>
          <w:lang w:val="sk-SK"/>
        </w:rPr>
      </w:pPr>
      <w:r w:rsidRPr="0046669C">
        <w:rPr>
          <w:b/>
          <w:noProof/>
          <w:szCs w:val="22"/>
          <w:lang w:val="sk-SK"/>
        </w:rPr>
        <w:t>3.</w:t>
      </w:r>
      <w:r w:rsidRPr="0046669C">
        <w:rPr>
          <w:b/>
          <w:noProof/>
          <w:szCs w:val="22"/>
          <w:lang w:val="sk-SK"/>
        </w:rPr>
        <w:tab/>
        <w:t>LIEKOVÁ FORMA</w:t>
      </w:r>
    </w:p>
    <w:p w14:paraId="3A12447D" w14:textId="77777777" w:rsidR="00627216" w:rsidRPr="0046669C" w:rsidRDefault="00627216" w:rsidP="00E57A33">
      <w:pPr>
        <w:rPr>
          <w:b/>
          <w:noProof/>
          <w:szCs w:val="22"/>
          <w:lang w:val="sk-SK"/>
        </w:rPr>
      </w:pPr>
    </w:p>
    <w:p w14:paraId="69B5543F" w14:textId="07DB48FD" w:rsidR="00627216" w:rsidRPr="0046669C" w:rsidRDefault="00627216" w:rsidP="00E57A33">
      <w:pPr>
        <w:rPr>
          <w:noProof/>
          <w:sz w:val="22"/>
          <w:szCs w:val="22"/>
          <w:lang w:val="sk-SK"/>
        </w:rPr>
      </w:pPr>
      <w:r w:rsidRPr="0046669C">
        <w:rPr>
          <w:noProof/>
          <w:sz w:val="22"/>
          <w:szCs w:val="22"/>
          <w:lang w:val="sk-SK"/>
        </w:rPr>
        <w:t>Tableta</w:t>
      </w:r>
    </w:p>
    <w:p w14:paraId="58F91320" w14:textId="77777777" w:rsidR="0083489B" w:rsidRPr="0046669C" w:rsidRDefault="0083489B" w:rsidP="00E57A33">
      <w:pPr>
        <w:rPr>
          <w:noProof/>
          <w:sz w:val="22"/>
          <w:szCs w:val="22"/>
          <w:lang w:val="sk-SK"/>
        </w:rPr>
      </w:pPr>
    </w:p>
    <w:p w14:paraId="6D7FAF4C" w14:textId="02F4F0CB" w:rsidR="007362A1" w:rsidRPr="0046669C" w:rsidRDefault="007362A1">
      <w:pPr>
        <w:rPr>
          <w:strike/>
          <w:sz w:val="22"/>
          <w:szCs w:val="22"/>
          <w:lang w:val="sk-SK"/>
        </w:rPr>
      </w:pPr>
      <w:r w:rsidRPr="0046669C">
        <w:rPr>
          <w:sz w:val="22"/>
          <w:szCs w:val="22"/>
          <w:lang w:val="sk-SK"/>
        </w:rPr>
        <w:t>Biele okrúhle bikonvexné tablety s deliacou ryhou.</w:t>
      </w:r>
      <w:r w:rsidR="002B7898" w:rsidRPr="0046669C">
        <w:rPr>
          <w:sz w:val="22"/>
          <w:szCs w:val="22"/>
          <w:lang w:val="sk-SK"/>
        </w:rPr>
        <w:t xml:space="preserve"> </w:t>
      </w:r>
    </w:p>
    <w:p w14:paraId="21C59D0C" w14:textId="77777777" w:rsidR="00C92F28" w:rsidRPr="0046669C" w:rsidRDefault="00C92F28" w:rsidP="00C92F28">
      <w:pPr>
        <w:rPr>
          <w:b/>
          <w:sz w:val="22"/>
          <w:szCs w:val="22"/>
          <w:lang w:val="sk-SK"/>
        </w:rPr>
      </w:pPr>
    </w:p>
    <w:p w14:paraId="3526A8C1" w14:textId="77777777" w:rsidR="00E57A33" w:rsidRPr="0046669C" w:rsidRDefault="00E57A33" w:rsidP="00C92F28">
      <w:pPr>
        <w:rPr>
          <w:b/>
          <w:sz w:val="22"/>
          <w:szCs w:val="22"/>
          <w:lang w:val="sk-SK"/>
        </w:rPr>
      </w:pPr>
    </w:p>
    <w:p w14:paraId="2724D453" w14:textId="77777777" w:rsidR="00E57A33" w:rsidRPr="0046669C" w:rsidRDefault="00E57A33" w:rsidP="00E57A33">
      <w:pPr>
        <w:rPr>
          <w:caps/>
          <w:noProof/>
          <w:szCs w:val="22"/>
          <w:lang w:val="sk-SK"/>
        </w:rPr>
      </w:pPr>
      <w:r w:rsidRPr="0046669C">
        <w:rPr>
          <w:b/>
          <w:caps/>
          <w:noProof/>
          <w:szCs w:val="22"/>
          <w:lang w:val="sk-SK"/>
        </w:rPr>
        <w:t>4.</w:t>
      </w:r>
      <w:r w:rsidRPr="0046669C">
        <w:rPr>
          <w:b/>
          <w:caps/>
          <w:noProof/>
          <w:szCs w:val="22"/>
          <w:lang w:val="sk-SK"/>
        </w:rPr>
        <w:tab/>
        <w:t>KLINICKÉ ÚDAJE</w:t>
      </w:r>
    </w:p>
    <w:p w14:paraId="4AF23052" w14:textId="77777777" w:rsidR="00E57A33" w:rsidRPr="0046669C" w:rsidRDefault="00E57A33" w:rsidP="00E57A33">
      <w:pPr>
        <w:rPr>
          <w:noProof/>
          <w:szCs w:val="22"/>
          <w:lang w:val="sk-SK"/>
        </w:rPr>
      </w:pPr>
    </w:p>
    <w:p w14:paraId="48348E28" w14:textId="77777777" w:rsidR="00763E3B" w:rsidRPr="0046669C" w:rsidRDefault="00E57A33" w:rsidP="00E57A33">
      <w:pPr>
        <w:rPr>
          <w:noProof/>
          <w:szCs w:val="22"/>
          <w:lang w:val="sk-SK"/>
        </w:rPr>
      </w:pPr>
      <w:r w:rsidRPr="0046669C">
        <w:rPr>
          <w:b/>
          <w:noProof/>
          <w:szCs w:val="22"/>
          <w:lang w:val="sk-SK"/>
        </w:rPr>
        <w:t>4.1</w:t>
      </w:r>
      <w:r w:rsidRPr="0046669C">
        <w:rPr>
          <w:b/>
          <w:noProof/>
          <w:szCs w:val="22"/>
          <w:lang w:val="sk-SK"/>
        </w:rPr>
        <w:tab/>
        <w:t>Terapeutické indikácie</w:t>
      </w:r>
    </w:p>
    <w:p w14:paraId="48288BA9" w14:textId="603B9D8E" w:rsidR="00AD427D" w:rsidRPr="0046669C" w:rsidRDefault="00AD427D" w:rsidP="00B539A1">
      <w:pPr>
        <w:rPr>
          <w:noProof/>
          <w:szCs w:val="22"/>
          <w:lang w:val="sk-SK"/>
        </w:rPr>
      </w:pPr>
    </w:p>
    <w:p w14:paraId="47D31B51" w14:textId="776632E0" w:rsidR="00265351" w:rsidRPr="0046669C" w:rsidRDefault="00C92F28" w:rsidP="00E67D7D">
      <w:pPr>
        <w:tabs>
          <w:tab w:val="left" w:pos="0"/>
          <w:tab w:val="left" w:pos="3802"/>
          <w:tab w:val="left" w:pos="5816"/>
          <w:tab w:val="left" w:pos="7858"/>
        </w:tabs>
        <w:suppressAutoHyphens/>
        <w:ind w:hanging="431"/>
        <w:rPr>
          <w:sz w:val="22"/>
          <w:szCs w:val="22"/>
          <w:lang w:val="sk-SK"/>
        </w:rPr>
      </w:pPr>
      <w:r w:rsidRPr="0046669C">
        <w:rPr>
          <w:sz w:val="22"/>
          <w:szCs w:val="22"/>
          <w:lang w:val="sk-SK"/>
        </w:rPr>
        <w:tab/>
      </w:r>
      <w:r w:rsidR="00265351" w:rsidRPr="0046669C">
        <w:rPr>
          <w:sz w:val="22"/>
          <w:szCs w:val="22"/>
          <w:lang w:val="sk-SK"/>
        </w:rPr>
        <w:t xml:space="preserve">- </w:t>
      </w:r>
      <w:r w:rsidR="00265351" w:rsidRPr="008B3F88">
        <w:rPr>
          <w:sz w:val="22"/>
          <w:szCs w:val="22"/>
          <w:lang w:val="sk-SK"/>
        </w:rPr>
        <w:t>H</w:t>
      </w:r>
      <w:r w:rsidRPr="008B3F88">
        <w:rPr>
          <w:sz w:val="22"/>
          <w:szCs w:val="22"/>
          <w:lang w:val="sk-SK"/>
        </w:rPr>
        <w:t>ypertyr</w:t>
      </w:r>
      <w:r w:rsidR="00763E3B" w:rsidRPr="008B3F88">
        <w:rPr>
          <w:sz w:val="22"/>
          <w:szCs w:val="22"/>
          <w:lang w:val="sk-SK"/>
        </w:rPr>
        <w:t>e</w:t>
      </w:r>
      <w:r w:rsidR="00885003" w:rsidRPr="008B3F88">
        <w:rPr>
          <w:sz w:val="22"/>
          <w:szCs w:val="22"/>
          <w:lang w:val="sk-SK"/>
        </w:rPr>
        <w:t>óza</w:t>
      </w:r>
      <w:r w:rsidRPr="0046669C">
        <w:rPr>
          <w:sz w:val="22"/>
          <w:szCs w:val="22"/>
          <w:lang w:val="sk-SK"/>
        </w:rPr>
        <w:t xml:space="preserve"> u pacientov s</w:t>
      </w:r>
      <w:r w:rsidR="00E67D7D" w:rsidRPr="0046669C">
        <w:rPr>
          <w:sz w:val="22"/>
          <w:szCs w:val="22"/>
          <w:lang w:val="sk-SK"/>
        </w:rPr>
        <w:t> Basedowovou chorobou (Gravesovou chorobou) a autonómnym</w:t>
      </w:r>
      <w:r w:rsidRPr="0046669C">
        <w:rPr>
          <w:sz w:val="22"/>
          <w:szCs w:val="22"/>
          <w:lang w:val="sk-SK"/>
        </w:rPr>
        <w:t xml:space="preserve"> </w:t>
      </w:r>
    </w:p>
    <w:p w14:paraId="30252144" w14:textId="16DAA663" w:rsidR="00C92F28" w:rsidRPr="0046669C" w:rsidRDefault="00265351" w:rsidP="00E67D7D">
      <w:pPr>
        <w:tabs>
          <w:tab w:val="left" w:pos="0"/>
          <w:tab w:val="left" w:pos="3802"/>
          <w:tab w:val="left" w:pos="5816"/>
          <w:tab w:val="left" w:pos="7858"/>
        </w:tabs>
        <w:suppressAutoHyphens/>
        <w:ind w:hanging="431"/>
        <w:rPr>
          <w:sz w:val="22"/>
          <w:szCs w:val="22"/>
          <w:lang w:val="sk-SK"/>
        </w:rPr>
      </w:pPr>
      <w:r w:rsidRPr="0046669C">
        <w:rPr>
          <w:sz w:val="22"/>
          <w:szCs w:val="22"/>
          <w:lang w:val="sk-SK"/>
        </w:rPr>
        <w:t xml:space="preserve">          </w:t>
      </w:r>
      <w:r w:rsidR="00C92F28" w:rsidRPr="0046669C">
        <w:rPr>
          <w:sz w:val="22"/>
          <w:szCs w:val="22"/>
          <w:lang w:val="sk-SK"/>
        </w:rPr>
        <w:t>toxickým adenómom štítnej žľazy</w:t>
      </w:r>
      <w:r w:rsidRPr="0046669C">
        <w:rPr>
          <w:sz w:val="22"/>
          <w:szCs w:val="22"/>
          <w:lang w:val="sk-SK"/>
        </w:rPr>
        <w:t>.</w:t>
      </w:r>
    </w:p>
    <w:p w14:paraId="1B7A06F2" w14:textId="26BAA2B4" w:rsidR="00C92F28" w:rsidRPr="0046669C" w:rsidRDefault="00C92F28" w:rsidP="00763E3B">
      <w:pPr>
        <w:tabs>
          <w:tab w:val="left" w:pos="0"/>
          <w:tab w:val="left" w:pos="3802"/>
          <w:tab w:val="left" w:pos="5816"/>
          <w:tab w:val="left" w:pos="7858"/>
        </w:tabs>
        <w:suppressAutoHyphens/>
        <w:ind w:hanging="431"/>
        <w:rPr>
          <w:sz w:val="22"/>
          <w:szCs w:val="22"/>
          <w:lang w:val="sk-SK"/>
        </w:rPr>
      </w:pPr>
      <w:r w:rsidRPr="0046669C">
        <w:rPr>
          <w:sz w:val="22"/>
          <w:szCs w:val="22"/>
          <w:lang w:val="sk-SK"/>
        </w:rPr>
        <w:tab/>
        <w:t xml:space="preserve">- </w:t>
      </w:r>
      <w:r w:rsidR="00265351" w:rsidRPr="0046669C">
        <w:rPr>
          <w:sz w:val="22"/>
          <w:szCs w:val="22"/>
          <w:lang w:val="sk-SK"/>
        </w:rPr>
        <w:t>P</w:t>
      </w:r>
      <w:r w:rsidRPr="0046669C">
        <w:rPr>
          <w:sz w:val="22"/>
          <w:szCs w:val="22"/>
          <w:lang w:val="sk-SK"/>
        </w:rPr>
        <w:t>ríprava na tyr</w:t>
      </w:r>
      <w:r w:rsidR="00763E3B" w:rsidRPr="0046669C">
        <w:rPr>
          <w:sz w:val="22"/>
          <w:szCs w:val="22"/>
          <w:lang w:val="sk-SK"/>
        </w:rPr>
        <w:t>e</w:t>
      </w:r>
      <w:r w:rsidRPr="0046669C">
        <w:rPr>
          <w:sz w:val="22"/>
          <w:szCs w:val="22"/>
          <w:lang w:val="sk-SK"/>
        </w:rPr>
        <w:t xml:space="preserve">oidektómiu alebo liečbu </w:t>
      </w:r>
      <w:r w:rsidRPr="008B3F88">
        <w:rPr>
          <w:sz w:val="22"/>
          <w:szCs w:val="22"/>
          <w:lang w:val="sk-SK"/>
        </w:rPr>
        <w:t>hypertyre</w:t>
      </w:r>
      <w:r w:rsidR="00885003" w:rsidRPr="008B3F88">
        <w:rPr>
          <w:sz w:val="22"/>
          <w:szCs w:val="22"/>
          <w:lang w:val="sk-SK"/>
        </w:rPr>
        <w:t>ózy</w:t>
      </w:r>
      <w:r w:rsidRPr="0046669C">
        <w:rPr>
          <w:sz w:val="22"/>
          <w:szCs w:val="22"/>
          <w:lang w:val="sk-SK"/>
        </w:rPr>
        <w:t xml:space="preserve"> rádioaktívnym jódom</w:t>
      </w:r>
      <w:r w:rsidR="00265351" w:rsidRPr="0046669C">
        <w:rPr>
          <w:sz w:val="22"/>
          <w:szCs w:val="22"/>
          <w:lang w:val="sk-SK"/>
        </w:rPr>
        <w:t>.</w:t>
      </w:r>
      <w:r w:rsidRPr="0046669C">
        <w:rPr>
          <w:sz w:val="22"/>
          <w:szCs w:val="22"/>
          <w:lang w:val="sk-SK"/>
        </w:rPr>
        <w:t xml:space="preserve"> </w:t>
      </w:r>
    </w:p>
    <w:p w14:paraId="33693234" w14:textId="77777777" w:rsidR="00661D85" w:rsidRPr="0046669C" w:rsidRDefault="00661D85">
      <w:pPr>
        <w:rPr>
          <w:sz w:val="22"/>
          <w:szCs w:val="22"/>
          <w:lang w:val="sk-SK"/>
        </w:rPr>
      </w:pPr>
    </w:p>
    <w:p w14:paraId="1B3BD2F9" w14:textId="22C9DBC2" w:rsidR="00265351" w:rsidRPr="008B3F88" w:rsidRDefault="00265351" w:rsidP="00265351">
      <w:pPr>
        <w:rPr>
          <w:sz w:val="22"/>
          <w:szCs w:val="22"/>
          <w:lang w:val="sk-SK"/>
        </w:rPr>
      </w:pPr>
      <w:r w:rsidRPr="008B3F88">
        <w:rPr>
          <w:sz w:val="22"/>
          <w:szCs w:val="22"/>
          <w:lang w:val="sk-SK"/>
        </w:rPr>
        <w:t xml:space="preserve">Propycil je indikovaný dospelým, dospievajúcim a deťom vo veku 6 až 10 rokov. </w:t>
      </w:r>
    </w:p>
    <w:p w14:paraId="7264AC88" w14:textId="77777777" w:rsidR="00265351" w:rsidRPr="0046669C" w:rsidRDefault="00265351">
      <w:pPr>
        <w:rPr>
          <w:sz w:val="22"/>
          <w:szCs w:val="22"/>
          <w:lang w:val="sk-SK"/>
        </w:rPr>
      </w:pPr>
    </w:p>
    <w:p w14:paraId="2AEE3C7B" w14:textId="77777777" w:rsidR="0064747F" w:rsidRPr="0046669C" w:rsidRDefault="0064747F">
      <w:pPr>
        <w:rPr>
          <w:sz w:val="22"/>
          <w:szCs w:val="22"/>
          <w:lang w:val="sk-SK"/>
        </w:rPr>
      </w:pPr>
    </w:p>
    <w:p w14:paraId="56A277B1" w14:textId="78D96CA3" w:rsidR="00E57A33" w:rsidRPr="0046669C" w:rsidRDefault="00E57A33" w:rsidP="003F43AD">
      <w:pPr>
        <w:rPr>
          <w:sz w:val="22"/>
          <w:szCs w:val="22"/>
          <w:lang w:val="sk-SK"/>
        </w:rPr>
      </w:pPr>
      <w:r w:rsidRPr="0046669C">
        <w:rPr>
          <w:b/>
          <w:noProof/>
          <w:szCs w:val="22"/>
          <w:lang w:val="sk-SK"/>
        </w:rPr>
        <w:t>4.2</w:t>
      </w:r>
      <w:r w:rsidRPr="0046669C">
        <w:rPr>
          <w:b/>
          <w:noProof/>
          <w:szCs w:val="22"/>
          <w:lang w:val="sk-SK"/>
        </w:rPr>
        <w:tab/>
        <w:t>Dávkovanie a spôsob podávania</w:t>
      </w:r>
    </w:p>
    <w:p w14:paraId="712F2979" w14:textId="77777777" w:rsidR="00AD427D" w:rsidRPr="0046669C" w:rsidRDefault="00AD427D">
      <w:pPr>
        <w:jc w:val="both"/>
        <w:rPr>
          <w:sz w:val="22"/>
          <w:szCs w:val="22"/>
          <w:lang w:val="sk-SK"/>
        </w:rPr>
      </w:pPr>
    </w:p>
    <w:p w14:paraId="31D6A93A" w14:textId="77777777" w:rsidR="00661D85" w:rsidRPr="0046669C" w:rsidRDefault="00C92F28">
      <w:pPr>
        <w:jc w:val="both"/>
        <w:rPr>
          <w:sz w:val="22"/>
          <w:szCs w:val="22"/>
          <w:lang w:val="sk-SK"/>
        </w:rPr>
      </w:pPr>
      <w:r w:rsidRPr="0046669C">
        <w:rPr>
          <w:sz w:val="22"/>
          <w:szCs w:val="22"/>
          <w:lang w:val="sk-SK"/>
        </w:rPr>
        <w:t>P</w:t>
      </w:r>
      <w:r w:rsidR="00661D85" w:rsidRPr="0046669C">
        <w:rPr>
          <w:sz w:val="22"/>
          <w:szCs w:val="22"/>
          <w:lang w:val="sk-SK"/>
        </w:rPr>
        <w:t xml:space="preserve">ropyltiouracil </w:t>
      </w:r>
      <w:r w:rsidRPr="0046669C">
        <w:rPr>
          <w:sz w:val="22"/>
          <w:szCs w:val="22"/>
          <w:lang w:val="sk-SK"/>
        </w:rPr>
        <w:t xml:space="preserve">sa zvyčajne </w:t>
      </w:r>
      <w:r w:rsidR="00661D85" w:rsidRPr="0046669C">
        <w:rPr>
          <w:sz w:val="22"/>
          <w:szCs w:val="22"/>
          <w:lang w:val="sk-SK"/>
        </w:rPr>
        <w:t>podáva každých 6</w:t>
      </w:r>
      <w:r w:rsidRPr="0046669C">
        <w:rPr>
          <w:sz w:val="22"/>
          <w:szCs w:val="22"/>
          <w:lang w:val="sk-SK"/>
        </w:rPr>
        <w:t xml:space="preserve"> až </w:t>
      </w:r>
      <w:r w:rsidR="00661D85" w:rsidRPr="0046669C">
        <w:rPr>
          <w:sz w:val="22"/>
          <w:szCs w:val="22"/>
          <w:lang w:val="sk-SK"/>
        </w:rPr>
        <w:t xml:space="preserve">8 hodín. </w:t>
      </w:r>
    </w:p>
    <w:p w14:paraId="43CC6048" w14:textId="77777777" w:rsidR="00C576E2" w:rsidRPr="0046669C" w:rsidRDefault="00C576E2" w:rsidP="007052A2">
      <w:pPr>
        <w:tabs>
          <w:tab w:val="left" w:pos="3802"/>
          <w:tab w:val="left" w:pos="5816"/>
          <w:tab w:val="left" w:pos="7858"/>
        </w:tabs>
        <w:suppressAutoHyphens/>
        <w:rPr>
          <w:sz w:val="22"/>
          <w:szCs w:val="22"/>
          <w:lang w:val="sk-SK"/>
        </w:rPr>
      </w:pPr>
    </w:p>
    <w:p w14:paraId="0C4BA223" w14:textId="39BA5375" w:rsidR="00C92F28" w:rsidRPr="0046669C" w:rsidRDefault="00661D85">
      <w:pPr>
        <w:jc w:val="both"/>
        <w:rPr>
          <w:b/>
          <w:sz w:val="22"/>
          <w:szCs w:val="22"/>
          <w:lang w:val="sk-SK"/>
        </w:rPr>
      </w:pPr>
      <w:r w:rsidRPr="0046669C">
        <w:rPr>
          <w:b/>
          <w:sz w:val="22"/>
          <w:szCs w:val="22"/>
          <w:lang w:val="sk-SK"/>
        </w:rPr>
        <w:t>Dospel</w:t>
      </w:r>
      <w:r w:rsidR="00C92F28" w:rsidRPr="0046669C">
        <w:rPr>
          <w:b/>
          <w:sz w:val="22"/>
          <w:szCs w:val="22"/>
          <w:lang w:val="sk-SK"/>
        </w:rPr>
        <w:t xml:space="preserve">í, dospievajúci </w:t>
      </w:r>
      <w:r w:rsidRPr="0046669C">
        <w:rPr>
          <w:b/>
          <w:sz w:val="22"/>
          <w:szCs w:val="22"/>
          <w:lang w:val="sk-SK"/>
        </w:rPr>
        <w:t>a</w:t>
      </w:r>
      <w:r w:rsidR="00C92F28" w:rsidRPr="0046669C">
        <w:rPr>
          <w:b/>
          <w:sz w:val="22"/>
          <w:szCs w:val="22"/>
          <w:lang w:val="sk-SK"/>
        </w:rPr>
        <w:t> </w:t>
      </w:r>
      <w:r w:rsidRPr="0046669C">
        <w:rPr>
          <w:b/>
          <w:sz w:val="22"/>
          <w:szCs w:val="22"/>
          <w:lang w:val="sk-SK"/>
        </w:rPr>
        <w:t>de</w:t>
      </w:r>
      <w:r w:rsidR="00C92F28" w:rsidRPr="0046669C">
        <w:rPr>
          <w:b/>
          <w:sz w:val="22"/>
          <w:szCs w:val="22"/>
          <w:lang w:val="sk-SK"/>
        </w:rPr>
        <w:t>ti staršie ako</w:t>
      </w:r>
      <w:r w:rsidRPr="0046669C">
        <w:rPr>
          <w:b/>
          <w:sz w:val="22"/>
          <w:szCs w:val="22"/>
          <w:lang w:val="sk-SK"/>
        </w:rPr>
        <w:t xml:space="preserve"> 10 rokov</w:t>
      </w:r>
    </w:p>
    <w:p w14:paraId="1796F209" w14:textId="3C20782F" w:rsidR="003874F7" w:rsidRPr="0046669C" w:rsidRDefault="00AD427D" w:rsidP="003874F7">
      <w:pPr>
        <w:tabs>
          <w:tab w:val="left" w:pos="0"/>
          <w:tab w:val="left" w:pos="3802"/>
          <w:tab w:val="left" w:pos="5816"/>
          <w:tab w:val="left" w:pos="7858"/>
        </w:tabs>
        <w:suppressAutoHyphens/>
        <w:rPr>
          <w:sz w:val="22"/>
          <w:szCs w:val="22"/>
          <w:lang w:val="sk-SK"/>
        </w:rPr>
      </w:pPr>
      <w:r w:rsidRPr="0046669C">
        <w:rPr>
          <w:sz w:val="22"/>
          <w:szCs w:val="22"/>
          <w:lang w:val="sk-SK"/>
        </w:rPr>
        <w:t>Počiatočná dávka u mierne</w:t>
      </w:r>
      <w:r w:rsidR="00932D34" w:rsidRPr="0046669C">
        <w:rPr>
          <w:sz w:val="22"/>
          <w:szCs w:val="22"/>
          <w:lang w:val="sk-SK"/>
        </w:rPr>
        <w:t>j</w:t>
      </w:r>
      <w:r w:rsidRPr="0046669C">
        <w:rPr>
          <w:sz w:val="22"/>
          <w:szCs w:val="22"/>
          <w:lang w:val="sk-SK"/>
        </w:rPr>
        <w:t xml:space="preserve"> hypertyr</w:t>
      </w:r>
      <w:r w:rsidR="002435FB" w:rsidRPr="0046669C">
        <w:rPr>
          <w:sz w:val="22"/>
          <w:szCs w:val="22"/>
          <w:lang w:val="sk-SK"/>
        </w:rPr>
        <w:t>e</w:t>
      </w:r>
      <w:r w:rsidR="002435FB" w:rsidRPr="008B3F88">
        <w:rPr>
          <w:sz w:val="22"/>
          <w:szCs w:val="22"/>
          <w:lang w:val="sk-SK"/>
        </w:rPr>
        <w:t>ózy</w:t>
      </w:r>
      <w:r w:rsidR="002435FB" w:rsidRPr="0046669C">
        <w:rPr>
          <w:sz w:val="22"/>
          <w:szCs w:val="22"/>
          <w:lang w:val="sk-SK"/>
        </w:rPr>
        <w:t xml:space="preserve"> </w:t>
      </w:r>
      <w:r w:rsidRPr="0046669C">
        <w:rPr>
          <w:sz w:val="22"/>
          <w:szCs w:val="22"/>
          <w:lang w:val="sk-SK"/>
        </w:rPr>
        <w:t xml:space="preserve">je 100 – 300 mg </w:t>
      </w:r>
      <w:r w:rsidRPr="008B3F88">
        <w:rPr>
          <w:sz w:val="22"/>
          <w:szCs w:val="22"/>
          <w:lang w:val="sk-SK"/>
        </w:rPr>
        <w:t>propylti</w:t>
      </w:r>
      <w:r w:rsidR="005318E2" w:rsidRPr="008B3F88">
        <w:rPr>
          <w:sz w:val="22"/>
          <w:szCs w:val="22"/>
          <w:lang w:val="sk-SK"/>
        </w:rPr>
        <w:t>o</w:t>
      </w:r>
      <w:r w:rsidRPr="008B3F88">
        <w:rPr>
          <w:sz w:val="22"/>
          <w:szCs w:val="22"/>
          <w:lang w:val="sk-SK"/>
        </w:rPr>
        <w:t>uracilu</w:t>
      </w:r>
      <w:r w:rsidRPr="0046669C">
        <w:rPr>
          <w:sz w:val="22"/>
          <w:szCs w:val="22"/>
          <w:lang w:val="sk-SK"/>
        </w:rPr>
        <w:t xml:space="preserve"> (PTU)</w:t>
      </w:r>
      <w:r w:rsidR="00FC424F" w:rsidRPr="0046669C">
        <w:rPr>
          <w:sz w:val="22"/>
          <w:szCs w:val="22"/>
          <w:lang w:val="sk-SK"/>
        </w:rPr>
        <w:t xml:space="preserve"> </w:t>
      </w:r>
      <w:r w:rsidRPr="0046669C">
        <w:rPr>
          <w:sz w:val="22"/>
          <w:szCs w:val="22"/>
          <w:lang w:val="sk-SK"/>
        </w:rPr>
        <w:t xml:space="preserve">denne v 2-3 rozdelených </w:t>
      </w:r>
      <w:r w:rsidR="002435FB" w:rsidRPr="0046669C">
        <w:rPr>
          <w:sz w:val="22"/>
          <w:szCs w:val="22"/>
          <w:lang w:val="sk-SK"/>
        </w:rPr>
        <w:t>dávkach po</w:t>
      </w:r>
      <w:r w:rsidR="00932D34" w:rsidRPr="0046669C">
        <w:rPr>
          <w:sz w:val="22"/>
          <w:szCs w:val="22"/>
          <w:lang w:val="sk-SK"/>
        </w:rPr>
        <w:t xml:space="preserve"> </w:t>
      </w:r>
      <w:r w:rsidRPr="0046669C">
        <w:rPr>
          <w:sz w:val="22"/>
          <w:szCs w:val="22"/>
          <w:lang w:val="sk-SK"/>
        </w:rPr>
        <w:t>50-100 mg (1-2 tablety). Udržiavacia dávka je 50 až 150 mg PTU (1 až 3 tablety denne).</w:t>
      </w:r>
      <w:r w:rsidR="003874F7" w:rsidRPr="0046669C">
        <w:rPr>
          <w:sz w:val="22"/>
          <w:szCs w:val="22"/>
          <w:lang w:val="sk-SK"/>
        </w:rPr>
        <w:t xml:space="preserve"> V závažných prípadoch a po kontaminácii jódom sa odporú</w:t>
      </w:r>
      <w:r w:rsidR="002435FB" w:rsidRPr="0046669C">
        <w:rPr>
          <w:sz w:val="22"/>
          <w:szCs w:val="22"/>
          <w:lang w:val="sk-SK"/>
        </w:rPr>
        <w:t xml:space="preserve">čajú vyššie počiatočné </w:t>
      </w:r>
      <w:r w:rsidR="002435FB" w:rsidRPr="008B3F88">
        <w:rPr>
          <w:sz w:val="22"/>
          <w:szCs w:val="22"/>
          <w:lang w:val="sk-SK"/>
        </w:rPr>
        <w:t xml:space="preserve">dávky od </w:t>
      </w:r>
      <w:r w:rsidR="003874F7" w:rsidRPr="008B3F88">
        <w:rPr>
          <w:sz w:val="22"/>
          <w:szCs w:val="22"/>
          <w:lang w:val="sk-SK"/>
        </w:rPr>
        <w:t xml:space="preserve">300 </w:t>
      </w:r>
      <w:r w:rsidR="008E6CEB" w:rsidRPr="008B3F88">
        <w:rPr>
          <w:sz w:val="22"/>
          <w:szCs w:val="22"/>
          <w:lang w:val="sk-SK"/>
        </w:rPr>
        <w:t>až</w:t>
      </w:r>
      <w:r w:rsidR="003874F7" w:rsidRPr="008B3F88">
        <w:rPr>
          <w:sz w:val="22"/>
          <w:szCs w:val="22"/>
          <w:lang w:val="sk-SK"/>
        </w:rPr>
        <w:t xml:space="preserve"> 600 </w:t>
      </w:r>
      <w:r w:rsidR="0015296F" w:rsidRPr="008B3F88">
        <w:rPr>
          <w:sz w:val="22"/>
          <w:szCs w:val="22"/>
          <w:lang w:val="sk-SK"/>
        </w:rPr>
        <w:t xml:space="preserve">mg </w:t>
      </w:r>
      <w:r w:rsidR="003874F7" w:rsidRPr="008B3F88">
        <w:rPr>
          <w:sz w:val="22"/>
          <w:szCs w:val="22"/>
          <w:lang w:val="sk-SK"/>
        </w:rPr>
        <w:t>PTU (6 -12 tabliet/deň rozdelených do 4 až 6 jednotlivých dávok).</w:t>
      </w:r>
      <w:r w:rsidR="003874F7" w:rsidRPr="0046669C">
        <w:rPr>
          <w:sz w:val="22"/>
          <w:szCs w:val="22"/>
          <w:lang w:val="sk-SK"/>
        </w:rPr>
        <w:t xml:space="preserve"> </w:t>
      </w:r>
    </w:p>
    <w:p w14:paraId="6E67B8A9" w14:textId="4C97C6CC" w:rsidR="00FA2C4E" w:rsidRPr="0046669C" w:rsidRDefault="00FA2C4E">
      <w:pPr>
        <w:jc w:val="both"/>
        <w:rPr>
          <w:sz w:val="22"/>
          <w:szCs w:val="22"/>
          <w:lang w:val="sk-SK"/>
        </w:rPr>
      </w:pPr>
    </w:p>
    <w:p w14:paraId="21A1D0FF" w14:textId="77777777" w:rsidR="00A37BB4" w:rsidRPr="0046669C" w:rsidRDefault="00A37BB4" w:rsidP="00A37BB4">
      <w:pPr>
        <w:keepNext/>
        <w:jc w:val="both"/>
        <w:rPr>
          <w:sz w:val="22"/>
          <w:szCs w:val="22"/>
          <w:lang w:val="sk-SK"/>
        </w:rPr>
      </w:pPr>
      <w:r w:rsidRPr="0046669C">
        <w:rPr>
          <w:b/>
          <w:bCs/>
          <w:sz w:val="22"/>
          <w:szCs w:val="22"/>
          <w:lang w:val="sk-SK"/>
        </w:rPr>
        <w:t>Deti vo veku 6 až 10 rokov</w:t>
      </w:r>
    </w:p>
    <w:p w14:paraId="57DB8580" w14:textId="1C71A202" w:rsidR="00A37BB4" w:rsidRPr="0046669C" w:rsidRDefault="00A37BB4" w:rsidP="00A37BB4">
      <w:pPr>
        <w:jc w:val="both"/>
        <w:rPr>
          <w:sz w:val="22"/>
          <w:szCs w:val="22"/>
          <w:lang w:val="sk-SK"/>
        </w:rPr>
      </w:pPr>
      <w:r w:rsidRPr="0046669C">
        <w:rPr>
          <w:sz w:val="22"/>
          <w:szCs w:val="22"/>
          <w:lang w:val="sk-SK"/>
        </w:rPr>
        <w:t>Počiatočná dávka je 50-150 mg (1-3 tablety) PTU denne a približne 25-50 mg PTU (</w:t>
      </w:r>
      <w:r w:rsidR="00265351" w:rsidRPr="0046669C">
        <w:rPr>
          <w:sz w:val="22"/>
          <w:szCs w:val="22"/>
          <w:lang w:val="sk-SK"/>
        </w:rPr>
        <w:t>1/2</w:t>
      </w:r>
      <w:r w:rsidRPr="0046669C">
        <w:rPr>
          <w:sz w:val="22"/>
          <w:szCs w:val="22"/>
          <w:lang w:val="sk-SK"/>
        </w:rPr>
        <w:t>-1 tableta) denne ako udržiavacia dávka.</w:t>
      </w:r>
    </w:p>
    <w:p w14:paraId="1B474320" w14:textId="77777777" w:rsidR="00A37BB4" w:rsidRPr="0046669C" w:rsidRDefault="00A37BB4" w:rsidP="00A37BB4">
      <w:pPr>
        <w:jc w:val="both"/>
        <w:rPr>
          <w:sz w:val="22"/>
          <w:szCs w:val="22"/>
          <w:lang w:val="sk-SK"/>
        </w:rPr>
      </w:pPr>
    </w:p>
    <w:p w14:paraId="1B9D688D" w14:textId="5AADE1E6" w:rsidR="00A37BB4" w:rsidRPr="0046669C" w:rsidRDefault="00A37BB4" w:rsidP="00A37BB4">
      <w:pPr>
        <w:jc w:val="both"/>
        <w:rPr>
          <w:sz w:val="22"/>
          <w:szCs w:val="22"/>
          <w:lang w:val="sk-SK"/>
        </w:rPr>
      </w:pPr>
      <w:r w:rsidRPr="0046669C">
        <w:rPr>
          <w:sz w:val="22"/>
          <w:szCs w:val="22"/>
          <w:lang w:val="sk-SK"/>
        </w:rPr>
        <w:t>Novorodencom s hypertyre</w:t>
      </w:r>
      <w:r w:rsidR="00BD593B" w:rsidRPr="0046669C">
        <w:rPr>
          <w:sz w:val="22"/>
          <w:szCs w:val="22"/>
          <w:lang w:val="sk-SK"/>
        </w:rPr>
        <w:t>óz</w:t>
      </w:r>
      <w:r w:rsidR="00FC424F" w:rsidRPr="0046669C">
        <w:rPr>
          <w:sz w:val="22"/>
          <w:szCs w:val="22"/>
          <w:lang w:val="sk-SK"/>
        </w:rPr>
        <w:t>ou</w:t>
      </w:r>
      <w:r w:rsidRPr="0046669C">
        <w:rPr>
          <w:sz w:val="22"/>
          <w:szCs w:val="22"/>
          <w:lang w:val="sk-SK"/>
        </w:rPr>
        <w:t xml:space="preserve"> sa podáva dávka 5-10 mg PTU/kg telesnej hmotnosti</w:t>
      </w:r>
      <w:r w:rsidRPr="008B3F88">
        <w:rPr>
          <w:sz w:val="22"/>
          <w:szCs w:val="22"/>
          <w:lang w:val="sk-SK"/>
        </w:rPr>
        <w:t xml:space="preserve"> denne</w:t>
      </w:r>
      <w:r w:rsidRPr="0046669C">
        <w:rPr>
          <w:sz w:val="22"/>
          <w:szCs w:val="22"/>
          <w:lang w:val="sk-SK"/>
        </w:rPr>
        <w:t xml:space="preserve">, rozdelená do troch jednotlivých dávok. Pri nedostatočnej odpovedi na liečbu sa odporúča dávku zvýšiť o 50-100 %. </w:t>
      </w:r>
    </w:p>
    <w:p w14:paraId="00C0B607" w14:textId="77777777" w:rsidR="00A37BB4" w:rsidRPr="0046669C" w:rsidRDefault="00A37BB4" w:rsidP="00A37BB4">
      <w:pPr>
        <w:tabs>
          <w:tab w:val="left" w:pos="3802"/>
          <w:tab w:val="left" w:pos="5816"/>
          <w:tab w:val="left" w:pos="7858"/>
        </w:tabs>
        <w:suppressAutoHyphens/>
        <w:rPr>
          <w:sz w:val="22"/>
          <w:szCs w:val="22"/>
          <w:lang w:val="sk-SK"/>
        </w:rPr>
      </w:pPr>
      <w:r w:rsidRPr="0046669C">
        <w:rPr>
          <w:sz w:val="22"/>
          <w:szCs w:val="22"/>
          <w:lang w:val="sk-SK"/>
        </w:rPr>
        <w:lastRenderedPageBreak/>
        <w:t xml:space="preserve">Odporúčaná udržiavacia dávka je 3-4 mg PTU/kg telesnej hmotnosti/deň. </w:t>
      </w:r>
    </w:p>
    <w:p w14:paraId="7C13E4FC" w14:textId="5BC00E8B" w:rsidR="00A37BB4" w:rsidRPr="0046669C" w:rsidRDefault="00A37BB4" w:rsidP="00A37BB4">
      <w:pPr>
        <w:tabs>
          <w:tab w:val="left" w:pos="3802"/>
          <w:tab w:val="left" w:pos="5816"/>
          <w:tab w:val="left" w:pos="7858"/>
        </w:tabs>
        <w:suppressAutoHyphens/>
        <w:rPr>
          <w:sz w:val="22"/>
          <w:szCs w:val="22"/>
          <w:lang w:val="sk-SK"/>
        </w:rPr>
      </w:pPr>
      <w:r w:rsidRPr="0046669C">
        <w:rPr>
          <w:sz w:val="22"/>
          <w:szCs w:val="22"/>
          <w:lang w:val="sk-SK"/>
        </w:rPr>
        <w:t>V súlade s</w:t>
      </w:r>
      <w:r w:rsidR="00265351" w:rsidRPr="0046669C">
        <w:rPr>
          <w:sz w:val="22"/>
          <w:szCs w:val="22"/>
          <w:lang w:val="sk-SK"/>
        </w:rPr>
        <w:t xml:space="preserve"> biologickým</w:t>
      </w:r>
      <w:r w:rsidRPr="0046669C">
        <w:rPr>
          <w:sz w:val="22"/>
          <w:szCs w:val="22"/>
          <w:lang w:val="sk-SK"/>
        </w:rPr>
        <w:t> polčasom materských imunoglobulínov sa dá spontánny ústup hypertyre</w:t>
      </w:r>
      <w:r w:rsidR="00D03D27" w:rsidRPr="0046669C">
        <w:rPr>
          <w:sz w:val="22"/>
          <w:szCs w:val="22"/>
          <w:lang w:val="sk-SK"/>
        </w:rPr>
        <w:t>óz</w:t>
      </w:r>
      <w:r w:rsidR="00D03D27" w:rsidRPr="008B3F88">
        <w:rPr>
          <w:sz w:val="22"/>
          <w:szCs w:val="22"/>
          <w:lang w:val="sk-SK"/>
        </w:rPr>
        <w:t>y</w:t>
      </w:r>
      <w:r w:rsidRPr="0046669C">
        <w:rPr>
          <w:sz w:val="22"/>
          <w:szCs w:val="22"/>
          <w:lang w:val="sk-SK"/>
        </w:rPr>
        <w:t xml:space="preserve"> očakávať po 2 až 3 mesiacoch.</w:t>
      </w:r>
    </w:p>
    <w:p w14:paraId="2FD4BEF9" w14:textId="1A15461F" w:rsidR="00A37BB4" w:rsidRPr="0046669C" w:rsidRDefault="005318E2" w:rsidP="00A37BB4">
      <w:pPr>
        <w:tabs>
          <w:tab w:val="left" w:pos="3802"/>
          <w:tab w:val="left" w:pos="5816"/>
          <w:tab w:val="left" w:pos="7858"/>
        </w:tabs>
        <w:suppressAutoHyphens/>
        <w:rPr>
          <w:sz w:val="22"/>
          <w:szCs w:val="22"/>
          <w:lang w:val="sk-SK"/>
        </w:rPr>
      </w:pPr>
      <w:r w:rsidRPr="0046669C">
        <w:rPr>
          <w:sz w:val="22"/>
          <w:szCs w:val="22"/>
          <w:lang w:val="sk-SK"/>
        </w:rPr>
        <w:t xml:space="preserve">Deťom vo veku 6 až 10 rokov sa </w:t>
      </w:r>
      <w:r w:rsidR="006447DF" w:rsidRPr="0046669C">
        <w:rPr>
          <w:sz w:val="22"/>
          <w:szCs w:val="22"/>
          <w:lang w:val="sk-SK"/>
        </w:rPr>
        <w:t xml:space="preserve">na základe </w:t>
      </w:r>
      <w:r w:rsidR="002273D1" w:rsidRPr="0046669C">
        <w:rPr>
          <w:sz w:val="22"/>
          <w:szCs w:val="22"/>
          <w:lang w:val="sk-SK"/>
        </w:rPr>
        <w:t xml:space="preserve">pozitívnej </w:t>
      </w:r>
      <w:r w:rsidR="006447DF" w:rsidRPr="0046669C">
        <w:rPr>
          <w:sz w:val="22"/>
          <w:szCs w:val="22"/>
          <w:lang w:val="sk-SK"/>
        </w:rPr>
        <w:t>reakcie</w:t>
      </w:r>
      <w:r w:rsidR="00047B0D" w:rsidRPr="0046669C">
        <w:rPr>
          <w:sz w:val="22"/>
          <w:szCs w:val="22"/>
          <w:lang w:val="sk-SK"/>
        </w:rPr>
        <w:t xml:space="preserve"> na liečbu</w:t>
      </w:r>
      <w:r w:rsidR="006447DF" w:rsidRPr="0046669C">
        <w:rPr>
          <w:sz w:val="22"/>
          <w:szCs w:val="22"/>
          <w:lang w:val="sk-SK"/>
        </w:rPr>
        <w:t xml:space="preserve"> </w:t>
      </w:r>
      <w:r w:rsidRPr="0046669C">
        <w:rPr>
          <w:sz w:val="22"/>
          <w:szCs w:val="22"/>
          <w:lang w:val="sk-SK"/>
        </w:rPr>
        <w:t>o</w:t>
      </w:r>
      <w:r w:rsidR="00A37BB4" w:rsidRPr="0046669C">
        <w:rPr>
          <w:sz w:val="22"/>
          <w:szCs w:val="22"/>
          <w:lang w:val="sk-SK"/>
        </w:rPr>
        <w:t>d</w:t>
      </w:r>
      <w:r w:rsidRPr="0046669C">
        <w:rPr>
          <w:sz w:val="22"/>
          <w:szCs w:val="22"/>
          <w:lang w:val="sk-SK"/>
        </w:rPr>
        <w:t>porúča</w:t>
      </w:r>
      <w:r w:rsidR="00A37BB4" w:rsidRPr="0046669C">
        <w:rPr>
          <w:sz w:val="22"/>
          <w:szCs w:val="22"/>
          <w:lang w:val="sk-SK"/>
        </w:rPr>
        <w:t xml:space="preserve"> nižšia dávka z </w:t>
      </w:r>
      <w:r w:rsidRPr="0046669C">
        <w:rPr>
          <w:sz w:val="22"/>
          <w:szCs w:val="22"/>
          <w:lang w:val="sk-SK"/>
        </w:rPr>
        <w:t>uveden</w:t>
      </w:r>
      <w:r w:rsidR="00A37BB4" w:rsidRPr="0046669C">
        <w:rPr>
          <w:sz w:val="22"/>
          <w:szCs w:val="22"/>
          <w:lang w:val="sk-SK"/>
        </w:rPr>
        <w:t xml:space="preserve">ého </w:t>
      </w:r>
      <w:r w:rsidR="00E15FAD" w:rsidRPr="0046669C">
        <w:rPr>
          <w:sz w:val="22"/>
          <w:szCs w:val="22"/>
          <w:lang w:val="sk-SK"/>
        </w:rPr>
        <w:t>rozsahu dávo</w:t>
      </w:r>
      <w:r w:rsidR="00A37BB4" w:rsidRPr="0046669C">
        <w:rPr>
          <w:sz w:val="22"/>
          <w:szCs w:val="22"/>
          <w:lang w:val="sk-SK"/>
        </w:rPr>
        <w:t>k.</w:t>
      </w:r>
    </w:p>
    <w:p w14:paraId="0873117D" w14:textId="1D35509F" w:rsidR="00BD593B" w:rsidRPr="0046669C" w:rsidRDefault="00BD593B" w:rsidP="00964E89">
      <w:pPr>
        <w:tabs>
          <w:tab w:val="left" w:pos="3802"/>
          <w:tab w:val="left" w:pos="5816"/>
          <w:tab w:val="left" w:pos="7858"/>
        </w:tabs>
        <w:suppressAutoHyphens/>
        <w:rPr>
          <w:sz w:val="22"/>
          <w:szCs w:val="22"/>
          <w:lang w:val="sk-SK"/>
        </w:rPr>
      </w:pPr>
    </w:p>
    <w:p w14:paraId="1C24235B" w14:textId="77777777" w:rsidR="00FA2C4E" w:rsidRPr="0046669C" w:rsidRDefault="00FA2C4E" w:rsidP="00FA2C4E">
      <w:pPr>
        <w:tabs>
          <w:tab w:val="left" w:pos="431"/>
          <w:tab w:val="left" w:pos="3802"/>
          <w:tab w:val="left" w:pos="5816"/>
          <w:tab w:val="left" w:pos="7858"/>
        </w:tabs>
        <w:suppressAutoHyphens/>
        <w:ind w:left="431" w:hanging="431"/>
        <w:rPr>
          <w:b/>
          <w:bCs/>
          <w:sz w:val="22"/>
          <w:szCs w:val="22"/>
          <w:lang w:val="sk-SK"/>
        </w:rPr>
      </w:pPr>
      <w:r w:rsidRPr="0046669C">
        <w:rPr>
          <w:b/>
          <w:bCs/>
          <w:sz w:val="22"/>
          <w:szCs w:val="22"/>
          <w:lang w:val="sk-SK"/>
        </w:rPr>
        <w:t>Starší pacienti</w:t>
      </w:r>
    </w:p>
    <w:p w14:paraId="316D2C8E" w14:textId="77777777" w:rsidR="00FA2C4E" w:rsidRPr="0046669C" w:rsidRDefault="00FA2C4E" w:rsidP="00FA2C4E">
      <w:pPr>
        <w:tabs>
          <w:tab w:val="left" w:pos="0"/>
          <w:tab w:val="left" w:pos="3802"/>
          <w:tab w:val="left" w:pos="5816"/>
          <w:tab w:val="left" w:pos="7858"/>
        </w:tabs>
        <w:suppressAutoHyphens/>
        <w:rPr>
          <w:sz w:val="22"/>
          <w:szCs w:val="22"/>
          <w:lang w:val="sk-SK"/>
        </w:rPr>
      </w:pPr>
      <w:r w:rsidRPr="0046669C">
        <w:rPr>
          <w:sz w:val="22"/>
          <w:szCs w:val="22"/>
          <w:lang w:val="sk-SK"/>
        </w:rPr>
        <w:t xml:space="preserve">Odporúča sa dávka na dolnej hranici normálneho rozsahu dávok. </w:t>
      </w:r>
    </w:p>
    <w:p w14:paraId="59107A1C" w14:textId="77777777" w:rsidR="008164D7" w:rsidRPr="0046669C" w:rsidRDefault="008164D7" w:rsidP="008B3F88">
      <w:pPr>
        <w:tabs>
          <w:tab w:val="left" w:pos="431"/>
          <w:tab w:val="left" w:pos="3802"/>
          <w:tab w:val="left" w:pos="5816"/>
          <w:tab w:val="left" w:pos="7858"/>
        </w:tabs>
        <w:suppressAutoHyphens/>
        <w:rPr>
          <w:sz w:val="22"/>
          <w:szCs w:val="22"/>
          <w:lang w:val="sk-SK"/>
        </w:rPr>
      </w:pPr>
    </w:p>
    <w:p w14:paraId="4388912D" w14:textId="77777777" w:rsidR="00FA2C4E" w:rsidRPr="0046669C" w:rsidRDefault="00FA2C4E" w:rsidP="00FA2C4E">
      <w:pPr>
        <w:pStyle w:val="Nadpis1"/>
        <w:ind w:hanging="5"/>
        <w:rPr>
          <w:sz w:val="22"/>
          <w:szCs w:val="22"/>
          <w:lang w:val="sk-SK"/>
        </w:rPr>
      </w:pPr>
      <w:r w:rsidRPr="0046669C">
        <w:rPr>
          <w:sz w:val="22"/>
          <w:szCs w:val="22"/>
          <w:lang w:val="sk-SK"/>
        </w:rPr>
        <w:t xml:space="preserve">Znížená funkcia obličiek </w:t>
      </w:r>
    </w:p>
    <w:p w14:paraId="69363B38" w14:textId="2D54AD19" w:rsidR="00FA2C4E" w:rsidRPr="0046669C" w:rsidRDefault="00FA2C4E" w:rsidP="0093375E">
      <w:pPr>
        <w:tabs>
          <w:tab w:val="left" w:pos="0"/>
          <w:tab w:val="left" w:pos="3802"/>
          <w:tab w:val="left" w:pos="5816"/>
          <w:tab w:val="left" w:pos="7858"/>
        </w:tabs>
        <w:suppressAutoHyphens/>
        <w:rPr>
          <w:sz w:val="22"/>
          <w:szCs w:val="22"/>
          <w:lang w:val="sk-SK"/>
        </w:rPr>
      </w:pPr>
      <w:r w:rsidRPr="0046669C">
        <w:rPr>
          <w:sz w:val="22"/>
          <w:szCs w:val="22"/>
          <w:lang w:val="sk-SK"/>
        </w:rPr>
        <w:t>U</w:t>
      </w:r>
      <w:r w:rsidR="00BF1012" w:rsidRPr="0046669C">
        <w:rPr>
          <w:sz w:val="22"/>
          <w:szCs w:val="22"/>
          <w:lang w:val="sk-SK"/>
        </w:rPr>
        <w:t xml:space="preserve"> mierne až stredne </w:t>
      </w:r>
      <w:r w:rsidRPr="0046669C">
        <w:rPr>
          <w:sz w:val="22"/>
          <w:szCs w:val="22"/>
          <w:lang w:val="sk-SK"/>
        </w:rPr>
        <w:t> </w:t>
      </w:r>
      <w:r w:rsidR="00740E8F" w:rsidRPr="0046669C">
        <w:rPr>
          <w:sz w:val="22"/>
          <w:szCs w:val="22"/>
          <w:lang w:val="sk-SK"/>
        </w:rPr>
        <w:t>poškodenej</w:t>
      </w:r>
      <w:r w:rsidRPr="0046669C">
        <w:rPr>
          <w:sz w:val="22"/>
          <w:szCs w:val="22"/>
          <w:lang w:val="sk-SK"/>
        </w:rPr>
        <w:t xml:space="preserve"> funkcii obličiek sa má dávka Propycil</w:t>
      </w:r>
      <w:r w:rsidR="008E6CEB" w:rsidRPr="0046669C">
        <w:rPr>
          <w:sz w:val="22"/>
          <w:szCs w:val="22"/>
          <w:lang w:val="sk-SK"/>
        </w:rPr>
        <w:t>u</w:t>
      </w:r>
      <w:r w:rsidRPr="0046669C">
        <w:rPr>
          <w:sz w:val="22"/>
          <w:szCs w:val="22"/>
          <w:lang w:val="sk-SK"/>
        </w:rPr>
        <w:t xml:space="preserve"> 50 znížiť o</w:t>
      </w:r>
      <w:r w:rsidR="00740E8F" w:rsidRPr="0046669C">
        <w:rPr>
          <w:sz w:val="22"/>
          <w:szCs w:val="22"/>
          <w:lang w:val="sk-SK"/>
        </w:rPr>
        <w:t> </w:t>
      </w:r>
      <w:r w:rsidRPr="0046669C">
        <w:rPr>
          <w:sz w:val="22"/>
          <w:szCs w:val="22"/>
          <w:lang w:val="sk-SK"/>
        </w:rPr>
        <w:t>25</w:t>
      </w:r>
      <w:r w:rsidR="00740E8F" w:rsidRPr="0046669C">
        <w:rPr>
          <w:sz w:val="22"/>
          <w:szCs w:val="22"/>
          <w:lang w:val="sk-SK"/>
        </w:rPr>
        <w:t xml:space="preserve"> </w:t>
      </w:r>
      <w:r w:rsidRPr="0046669C">
        <w:rPr>
          <w:sz w:val="22"/>
          <w:szCs w:val="22"/>
          <w:lang w:val="sk-SK"/>
        </w:rPr>
        <w:t xml:space="preserve">%, </w:t>
      </w:r>
      <w:r w:rsidR="00AD4D89" w:rsidRPr="0046669C">
        <w:rPr>
          <w:sz w:val="22"/>
          <w:szCs w:val="22"/>
          <w:lang w:val="sk-SK"/>
        </w:rPr>
        <w:t>keď je funkcia poškodená</w:t>
      </w:r>
      <w:r w:rsidRPr="0046669C">
        <w:rPr>
          <w:sz w:val="22"/>
          <w:szCs w:val="22"/>
          <w:lang w:val="sk-SK"/>
        </w:rPr>
        <w:t xml:space="preserve"> o</w:t>
      </w:r>
      <w:r w:rsidR="00740E8F" w:rsidRPr="0046669C">
        <w:rPr>
          <w:sz w:val="22"/>
          <w:szCs w:val="22"/>
          <w:lang w:val="sk-SK"/>
        </w:rPr>
        <w:t> </w:t>
      </w:r>
      <w:r w:rsidRPr="0046669C">
        <w:rPr>
          <w:sz w:val="22"/>
          <w:szCs w:val="22"/>
          <w:lang w:val="sk-SK"/>
        </w:rPr>
        <w:t>50</w:t>
      </w:r>
      <w:r w:rsidR="00740E8F" w:rsidRPr="0046669C">
        <w:rPr>
          <w:sz w:val="22"/>
          <w:szCs w:val="22"/>
          <w:lang w:val="sk-SK"/>
        </w:rPr>
        <w:t xml:space="preserve"> </w:t>
      </w:r>
      <w:r w:rsidRPr="0046669C">
        <w:rPr>
          <w:sz w:val="22"/>
          <w:szCs w:val="22"/>
          <w:lang w:val="sk-SK"/>
        </w:rPr>
        <w:t>%.</w:t>
      </w:r>
    </w:p>
    <w:p w14:paraId="608AC54F" w14:textId="77777777" w:rsidR="00FA2C4E" w:rsidRPr="0046669C" w:rsidRDefault="00FA2C4E" w:rsidP="00FA2C4E">
      <w:pPr>
        <w:tabs>
          <w:tab w:val="left" w:pos="431"/>
          <w:tab w:val="left" w:pos="3802"/>
          <w:tab w:val="left" w:pos="5816"/>
          <w:tab w:val="left" w:pos="7858"/>
        </w:tabs>
        <w:suppressAutoHyphens/>
        <w:ind w:left="431" w:hanging="431"/>
        <w:rPr>
          <w:sz w:val="22"/>
          <w:szCs w:val="22"/>
          <w:lang w:val="sk-SK"/>
        </w:rPr>
      </w:pPr>
    </w:p>
    <w:p w14:paraId="46C04C1A" w14:textId="77777777" w:rsidR="00FA2C4E" w:rsidRPr="0046669C" w:rsidRDefault="00FA2C4E" w:rsidP="00FA2C4E">
      <w:pPr>
        <w:tabs>
          <w:tab w:val="left" w:pos="431"/>
          <w:tab w:val="left" w:pos="3802"/>
          <w:tab w:val="left" w:pos="5816"/>
          <w:tab w:val="left" w:pos="7858"/>
        </w:tabs>
        <w:suppressAutoHyphens/>
        <w:ind w:left="431" w:hanging="431"/>
        <w:rPr>
          <w:b/>
          <w:bCs/>
          <w:sz w:val="22"/>
          <w:szCs w:val="22"/>
          <w:lang w:val="sk-SK"/>
        </w:rPr>
      </w:pPr>
      <w:r w:rsidRPr="0046669C">
        <w:rPr>
          <w:b/>
          <w:bCs/>
          <w:sz w:val="22"/>
          <w:szCs w:val="22"/>
          <w:lang w:val="sk-SK"/>
        </w:rPr>
        <w:t>Znížená funkcia pečene</w:t>
      </w:r>
    </w:p>
    <w:p w14:paraId="1CB0E93C" w14:textId="77777777" w:rsidR="0064747F" w:rsidRPr="0046669C" w:rsidRDefault="00FA2C4E" w:rsidP="003F43AD">
      <w:pPr>
        <w:pStyle w:val="Zarkazkladnhotextu3"/>
        <w:spacing w:after="0"/>
        <w:ind w:left="0"/>
        <w:rPr>
          <w:sz w:val="22"/>
          <w:szCs w:val="22"/>
          <w:lang w:val="sk-SK"/>
        </w:rPr>
      </w:pPr>
      <w:r w:rsidRPr="0046669C">
        <w:rPr>
          <w:sz w:val="22"/>
          <w:szCs w:val="22"/>
          <w:lang w:val="sk-SK"/>
        </w:rPr>
        <w:t>U pacientov s</w:t>
      </w:r>
      <w:r w:rsidR="00740E8F" w:rsidRPr="0046669C">
        <w:rPr>
          <w:sz w:val="22"/>
          <w:szCs w:val="22"/>
          <w:lang w:val="sk-SK"/>
        </w:rPr>
        <w:t xml:space="preserve"> poškodenou</w:t>
      </w:r>
      <w:r w:rsidRPr="0046669C">
        <w:rPr>
          <w:sz w:val="22"/>
          <w:szCs w:val="22"/>
          <w:lang w:val="sk-SK"/>
        </w:rPr>
        <w:t xml:space="preserve"> funkciou pečene je potrebné zvážiť zníženie dávky Propycil</w:t>
      </w:r>
      <w:r w:rsidR="008E6CEB" w:rsidRPr="0046669C">
        <w:rPr>
          <w:sz w:val="22"/>
          <w:szCs w:val="22"/>
          <w:lang w:val="sk-SK"/>
        </w:rPr>
        <w:t>u</w:t>
      </w:r>
      <w:r w:rsidRPr="0046669C">
        <w:rPr>
          <w:sz w:val="22"/>
          <w:szCs w:val="22"/>
          <w:lang w:val="sk-SK"/>
        </w:rPr>
        <w:t xml:space="preserve"> 50. Odporúča </w:t>
      </w:r>
    </w:p>
    <w:p w14:paraId="27E936D0" w14:textId="24817033" w:rsidR="00AD4D89" w:rsidRPr="0046669C" w:rsidRDefault="00FA2C4E" w:rsidP="003F43AD">
      <w:pPr>
        <w:pStyle w:val="Zarkazkladnhotextu3"/>
        <w:spacing w:after="0"/>
        <w:ind w:left="0"/>
        <w:rPr>
          <w:sz w:val="22"/>
          <w:szCs w:val="22"/>
          <w:lang w:val="sk-SK"/>
        </w:rPr>
      </w:pPr>
      <w:r w:rsidRPr="0046669C">
        <w:rPr>
          <w:sz w:val="22"/>
          <w:szCs w:val="22"/>
          <w:lang w:val="sk-SK"/>
        </w:rPr>
        <w:t>sa adekvátne vyšetriť funkciu obličiek a pečene pred začiatkom liečby Propycilom 50.</w:t>
      </w:r>
    </w:p>
    <w:p w14:paraId="24B766C4" w14:textId="77777777" w:rsidR="0064747F" w:rsidRPr="0046669C" w:rsidRDefault="0064747F" w:rsidP="003F43AD">
      <w:pPr>
        <w:pStyle w:val="Zarkazkladnhotextu3"/>
        <w:spacing w:after="0"/>
        <w:ind w:left="0"/>
        <w:rPr>
          <w:sz w:val="22"/>
          <w:szCs w:val="22"/>
          <w:lang w:val="sk-SK"/>
        </w:rPr>
      </w:pPr>
    </w:p>
    <w:p w14:paraId="38E87FE3" w14:textId="77777777" w:rsidR="00E57A33" w:rsidRPr="0046669C" w:rsidRDefault="00E57A33" w:rsidP="00E57A33">
      <w:pPr>
        <w:rPr>
          <w:noProof/>
          <w:szCs w:val="22"/>
          <w:lang w:val="sk-SK"/>
        </w:rPr>
      </w:pPr>
      <w:r w:rsidRPr="0046669C">
        <w:rPr>
          <w:b/>
          <w:noProof/>
          <w:szCs w:val="22"/>
          <w:lang w:val="sk-SK"/>
        </w:rPr>
        <w:t>4.3</w:t>
      </w:r>
      <w:r w:rsidRPr="0046669C">
        <w:rPr>
          <w:b/>
          <w:noProof/>
          <w:szCs w:val="22"/>
          <w:lang w:val="sk-SK"/>
        </w:rPr>
        <w:tab/>
        <w:t xml:space="preserve">Kontraindikácie </w:t>
      </w:r>
    </w:p>
    <w:p w14:paraId="0BA99300" w14:textId="58A16493" w:rsidR="00747A6B" w:rsidRPr="0046669C" w:rsidRDefault="00747A6B" w:rsidP="00747A6B">
      <w:pPr>
        <w:pStyle w:val="Zarkazkladnhotextu"/>
        <w:tabs>
          <w:tab w:val="left" w:pos="1860"/>
        </w:tabs>
        <w:ind w:left="0" w:firstLine="0"/>
        <w:rPr>
          <w:i w:val="0"/>
          <w:sz w:val="22"/>
          <w:szCs w:val="22"/>
          <w:lang w:val="sk-SK"/>
        </w:rPr>
      </w:pPr>
    </w:p>
    <w:p w14:paraId="0398D393" w14:textId="03790E1E" w:rsidR="00FA2C4E" w:rsidRPr="0046669C" w:rsidRDefault="00FA2C4E" w:rsidP="002C49C3">
      <w:pPr>
        <w:pStyle w:val="Zarkazkladnhotextu"/>
        <w:ind w:left="0" w:firstLine="0"/>
        <w:rPr>
          <w:i w:val="0"/>
          <w:color w:val="00B050"/>
          <w:sz w:val="22"/>
          <w:lang w:val="sk-SK"/>
        </w:rPr>
      </w:pPr>
      <w:r w:rsidRPr="0046669C">
        <w:rPr>
          <w:i w:val="0"/>
          <w:sz w:val="22"/>
          <w:szCs w:val="22"/>
          <w:lang w:val="sk-SK"/>
        </w:rPr>
        <w:t xml:space="preserve">Propycil je kontraindikovaný pri precitlivenosti (alergii) na liečivo alebo </w:t>
      </w:r>
      <w:r w:rsidR="00740E8F" w:rsidRPr="0046669C">
        <w:rPr>
          <w:i w:val="0"/>
          <w:sz w:val="22"/>
          <w:szCs w:val="22"/>
          <w:lang w:val="sk-SK"/>
        </w:rPr>
        <w:t xml:space="preserve">na ktorúkoľvek  </w:t>
      </w:r>
      <w:r w:rsidRPr="0046669C">
        <w:rPr>
          <w:i w:val="0"/>
          <w:sz w:val="22"/>
          <w:szCs w:val="22"/>
          <w:lang w:val="sk-SK"/>
        </w:rPr>
        <w:t>z</w:t>
      </w:r>
      <w:r w:rsidR="00740E8F" w:rsidRPr="0046669C">
        <w:rPr>
          <w:i w:val="0"/>
          <w:sz w:val="22"/>
          <w:szCs w:val="22"/>
          <w:lang w:val="sk-SK"/>
        </w:rPr>
        <w:t> </w:t>
      </w:r>
      <w:r w:rsidRPr="0046669C">
        <w:rPr>
          <w:i w:val="0"/>
          <w:sz w:val="22"/>
          <w:szCs w:val="22"/>
          <w:lang w:val="sk-SK"/>
        </w:rPr>
        <w:t>pomocných</w:t>
      </w:r>
      <w:r w:rsidR="00740E8F" w:rsidRPr="0046669C">
        <w:rPr>
          <w:i w:val="0"/>
          <w:sz w:val="22"/>
          <w:szCs w:val="22"/>
          <w:lang w:val="sk-SK"/>
        </w:rPr>
        <w:t xml:space="preserve"> </w:t>
      </w:r>
      <w:r w:rsidRPr="0046669C">
        <w:rPr>
          <w:i w:val="0"/>
          <w:sz w:val="22"/>
          <w:szCs w:val="22"/>
          <w:lang w:val="sk-SK"/>
        </w:rPr>
        <w:t>látok</w:t>
      </w:r>
      <w:r w:rsidR="00CB3711" w:rsidRPr="0046669C">
        <w:rPr>
          <w:i w:val="0"/>
          <w:sz w:val="22"/>
          <w:szCs w:val="22"/>
          <w:lang w:val="sk-SK"/>
        </w:rPr>
        <w:t xml:space="preserve"> uvedených v časti 6.1</w:t>
      </w:r>
      <w:r w:rsidRPr="0046669C">
        <w:rPr>
          <w:i w:val="0"/>
          <w:sz w:val="22"/>
          <w:lang w:val="sk-SK"/>
        </w:rPr>
        <w:t>.</w:t>
      </w:r>
    </w:p>
    <w:p w14:paraId="18F96481" w14:textId="77777777" w:rsidR="00FA2C4E" w:rsidRPr="0046669C" w:rsidRDefault="00FA2C4E" w:rsidP="00FA2C4E">
      <w:pPr>
        <w:tabs>
          <w:tab w:val="left" w:pos="431"/>
          <w:tab w:val="left" w:pos="3802"/>
          <w:tab w:val="left" w:pos="5816"/>
          <w:tab w:val="left" w:pos="7858"/>
        </w:tabs>
        <w:suppressAutoHyphens/>
        <w:ind w:left="431"/>
        <w:rPr>
          <w:sz w:val="22"/>
          <w:szCs w:val="22"/>
          <w:lang w:val="sk-SK"/>
        </w:rPr>
      </w:pPr>
    </w:p>
    <w:p w14:paraId="329161E3" w14:textId="4C8DC678" w:rsidR="00FA2C4E" w:rsidRPr="0046669C" w:rsidRDefault="00FA2C4E" w:rsidP="00FA2C4E">
      <w:pPr>
        <w:tabs>
          <w:tab w:val="left" w:pos="3802"/>
          <w:tab w:val="left" w:pos="5816"/>
          <w:tab w:val="left" w:pos="7858"/>
        </w:tabs>
        <w:suppressAutoHyphens/>
        <w:rPr>
          <w:sz w:val="22"/>
          <w:szCs w:val="22"/>
          <w:lang w:val="sk-SK"/>
        </w:rPr>
      </w:pPr>
      <w:r w:rsidRPr="0046669C">
        <w:rPr>
          <w:sz w:val="22"/>
          <w:szCs w:val="22"/>
          <w:lang w:val="sk-SK"/>
        </w:rPr>
        <w:t xml:space="preserve">Propycil 50 je kontraindikovaný pri závažných nežiaducich účinkoch vo vzťahu k liečbe </w:t>
      </w:r>
      <w:r w:rsidR="007659A5" w:rsidRPr="0046669C">
        <w:rPr>
          <w:sz w:val="22"/>
          <w:szCs w:val="22"/>
          <w:lang w:val="sk-SK"/>
        </w:rPr>
        <w:t>s</w:t>
      </w:r>
      <w:r w:rsidR="00AD4D89" w:rsidRPr="0046669C">
        <w:rPr>
          <w:sz w:val="22"/>
          <w:szCs w:val="22"/>
          <w:lang w:val="sk-SK"/>
        </w:rPr>
        <w:t> </w:t>
      </w:r>
      <w:r w:rsidRPr="0046669C">
        <w:rPr>
          <w:sz w:val="22"/>
          <w:szCs w:val="22"/>
          <w:lang w:val="sk-SK"/>
        </w:rPr>
        <w:t>PTU</w:t>
      </w:r>
      <w:r w:rsidR="00AD4D89" w:rsidRPr="0046669C">
        <w:rPr>
          <w:sz w:val="22"/>
          <w:szCs w:val="22"/>
          <w:lang w:val="sk-SK"/>
        </w:rPr>
        <w:t xml:space="preserve"> (</w:t>
      </w:r>
      <w:r w:rsidR="00627216" w:rsidRPr="0046669C">
        <w:rPr>
          <w:sz w:val="22"/>
          <w:szCs w:val="22"/>
          <w:lang w:val="sk-SK"/>
        </w:rPr>
        <w:t>p</w:t>
      </w:r>
      <w:r w:rsidR="00AD4D89" w:rsidRPr="0046669C">
        <w:rPr>
          <w:sz w:val="22"/>
          <w:szCs w:val="22"/>
          <w:lang w:val="sk-SK"/>
        </w:rPr>
        <w:t>ropyltiourac</w:t>
      </w:r>
      <w:r w:rsidR="00563743" w:rsidRPr="0046669C">
        <w:rPr>
          <w:sz w:val="22"/>
          <w:szCs w:val="22"/>
          <w:lang w:val="sk-SK"/>
        </w:rPr>
        <w:t>i</w:t>
      </w:r>
      <w:r w:rsidR="00AD4D89" w:rsidRPr="0046669C">
        <w:rPr>
          <w:sz w:val="22"/>
          <w:szCs w:val="22"/>
          <w:lang w:val="sk-SK"/>
        </w:rPr>
        <w:t>lom)</w:t>
      </w:r>
      <w:r w:rsidRPr="0046669C">
        <w:rPr>
          <w:sz w:val="22"/>
          <w:szCs w:val="22"/>
          <w:lang w:val="sk-SK"/>
        </w:rPr>
        <w:t xml:space="preserve">, </w:t>
      </w:r>
      <w:r w:rsidR="005E1707" w:rsidRPr="0046669C">
        <w:rPr>
          <w:sz w:val="22"/>
          <w:szCs w:val="22"/>
          <w:lang w:val="sk-SK"/>
        </w:rPr>
        <w:t>ak sú známe z</w:t>
      </w:r>
      <w:r w:rsidR="001139CA" w:rsidRPr="0046669C">
        <w:rPr>
          <w:sz w:val="22"/>
          <w:szCs w:val="22"/>
          <w:lang w:val="sk-SK"/>
        </w:rPr>
        <w:t xml:space="preserve"> </w:t>
      </w:r>
      <w:r w:rsidRPr="0046669C">
        <w:rPr>
          <w:sz w:val="22"/>
          <w:szCs w:val="22"/>
          <w:lang w:val="sk-SK"/>
        </w:rPr>
        <w:t>anamnézy (zvlášť po agranulocytóze a </w:t>
      </w:r>
      <w:r w:rsidR="00740E8F" w:rsidRPr="0046669C">
        <w:rPr>
          <w:sz w:val="22"/>
          <w:szCs w:val="22"/>
          <w:lang w:val="sk-SK"/>
        </w:rPr>
        <w:t xml:space="preserve">ťažkom </w:t>
      </w:r>
      <w:r w:rsidRPr="0046669C">
        <w:rPr>
          <w:sz w:val="22"/>
          <w:szCs w:val="22"/>
          <w:lang w:val="sk-SK"/>
        </w:rPr>
        <w:t xml:space="preserve">poškodení </w:t>
      </w:r>
      <w:r w:rsidR="00740E8F" w:rsidRPr="0046669C">
        <w:rPr>
          <w:sz w:val="22"/>
          <w:szCs w:val="22"/>
          <w:lang w:val="sk-SK"/>
        </w:rPr>
        <w:t xml:space="preserve">funkcie </w:t>
      </w:r>
      <w:r w:rsidRPr="0046669C">
        <w:rPr>
          <w:sz w:val="22"/>
          <w:szCs w:val="22"/>
          <w:lang w:val="sk-SK"/>
        </w:rPr>
        <w:t>pečene hepatitídou).</w:t>
      </w:r>
    </w:p>
    <w:p w14:paraId="0E64FDB6" w14:textId="77777777" w:rsidR="00FA2C4E" w:rsidRPr="0046669C" w:rsidRDefault="00FA2C4E" w:rsidP="00FA2C4E">
      <w:pPr>
        <w:tabs>
          <w:tab w:val="left" w:pos="431"/>
          <w:tab w:val="left" w:pos="3802"/>
          <w:tab w:val="left" w:pos="5816"/>
          <w:tab w:val="left" w:pos="7858"/>
        </w:tabs>
        <w:suppressAutoHyphens/>
        <w:ind w:left="431" w:hanging="431"/>
        <w:rPr>
          <w:sz w:val="22"/>
          <w:szCs w:val="22"/>
          <w:lang w:val="sk-SK"/>
        </w:rPr>
      </w:pPr>
    </w:p>
    <w:p w14:paraId="5365E417" w14:textId="77777777" w:rsidR="00FA2C4E" w:rsidRPr="0046669C" w:rsidRDefault="00FA2C4E" w:rsidP="00FA2C4E">
      <w:pPr>
        <w:tabs>
          <w:tab w:val="left" w:pos="0"/>
          <w:tab w:val="left" w:pos="3802"/>
          <w:tab w:val="left" w:pos="5816"/>
          <w:tab w:val="left" w:pos="7858"/>
        </w:tabs>
        <w:suppressAutoHyphens/>
        <w:rPr>
          <w:sz w:val="22"/>
          <w:szCs w:val="22"/>
          <w:lang w:val="sk-SK"/>
        </w:rPr>
      </w:pPr>
      <w:r w:rsidRPr="0046669C">
        <w:rPr>
          <w:sz w:val="22"/>
          <w:szCs w:val="22"/>
          <w:lang w:val="sk-SK"/>
        </w:rPr>
        <w:t xml:space="preserve">Propycil 50 sa musí podávať pod prísnym dohľadom lekára pri </w:t>
      </w:r>
      <w:r w:rsidR="00AD4D89" w:rsidRPr="0046669C">
        <w:rPr>
          <w:sz w:val="22"/>
          <w:szCs w:val="22"/>
          <w:lang w:val="sk-SK"/>
        </w:rPr>
        <w:t xml:space="preserve">už existujúcej </w:t>
      </w:r>
      <w:r w:rsidRPr="0046669C">
        <w:rPr>
          <w:sz w:val="22"/>
          <w:szCs w:val="22"/>
          <w:lang w:val="sk-SK"/>
        </w:rPr>
        <w:t>odchýlke v krvnom obraze a</w:t>
      </w:r>
      <w:r w:rsidR="00AD4D89" w:rsidRPr="0046669C">
        <w:rPr>
          <w:sz w:val="22"/>
          <w:szCs w:val="22"/>
          <w:lang w:val="sk-SK"/>
        </w:rPr>
        <w:t xml:space="preserve"> pri </w:t>
      </w:r>
      <w:r w:rsidRPr="0046669C">
        <w:rPr>
          <w:sz w:val="22"/>
          <w:szCs w:val="22"/>
          <w:lang w:val="sk-SK"/>
        </w:rPr>
        <w:t xml:space="preserve">zvýšení transamináz alebo enzýmov indikujúcich cholestázu.  </w:t>
      </w:r>
    </w:p>
    <w:p w14:paraId="5A12C232" w14:textId="77777777" w:rsidR="0064747F" w:rsidRPr="0046669C" w:rsidRDefault="0064747F">
      <w:pPr>
        <w:jc w:val="both"/>
        <w:rPr>
          <w:sz w:val="22"/>
          <w:szCs w:val="22"/>
          <w:lang w:val="sk-SK"/>
        </w:rPr>
      </w:pPr>
    </w:p>
    <w:p w14:paraId="356FACA0" w14:textId="77777777" w:rsidR="00E57A33" w:rsidRPr="0046669C" w:rsidRDefault="00E57A33" w:rsidP="00E57A33">
      <w:pPr>
        <w:rPr>
          <w:noProof/>
          <w:szCs w:val="22"/>
          <w:lang w:val="sk-SK"/>
        </w:rPr>
      </w:pPr>
      <w:r w:rsidRPr="0046669C">
        <w:rPr>
          <w:b/>
          <w:noProof/>
          <w:szCs w:val="22"/>
          <w:lang w:val="sk-SK"/>
        </w:rPr>
        <w:t>4.4</w:t>
      </w:r>
      <w:r w:rsidRPr="0046669C">
        <w:rPr>
          <w:b/>
          <w:noProof/>
          <w:szCs w:val="22"/>
          <w:lang w:val="sk-SK"/>
        </w:rPr>
        <w:tab/>
        <w:t>Osobitné upozornenia a opatrenia pri používaní</w:t>
      </w:r>
    </w:p>
    <w:p w14:paraId="183E482D" w14:textId="77777777" w:rsidR="00E57A33" w:rsidRPr="0046669C" w:rsidRDefault="00E57A33">
      <w:pPr>
        <w:jc w:val="both"/>
        <w:rPr>
          <w:sz w:val="22"/>
          <w:szCs w:val="22"/>
          <w:lang w:val="sk-SK"/>
        </w:rPr>
      </w:pPr>
    </w:p>
    <w:p w14:paraId="286395DB" w14:textId="453C7C10" w:rsidR="00FA2C4E" w:rsidRPr="0046669C" w:rsidRDefault="00FA2C4E" w:rsidP="00FA2C4E">
      <w:pPr>
        <w:jc w:val="both"/>
        <w:rPr>
          <w:sz w:val="22"/>
          <w:szCs w:val="22"/>
          <w:lang w:val="sk-SK"/>
        </w:rPr>
      </w:pPr>
      <w:r w:rsidRPr="0046669C">
        <w:rPr>
          <w:sz w:val="22"/>
          <w:szCs w:val="22"/>
          <w:lang w:val="sk-SK"/>
        </w:rPr>
        <w:t xml:space="preserve">Agranulocytóza sa môže vyvinúť počas niekoľkých hodín. Pretože vznik sa </w:t>
      </w:r>
      <w:r w:rsidR="007659A5" w:rsidRPr="0046669C">
        <w:rPr>
          <w:sz w:val="22"/>
          <w:szCs w:val="22"/>
          <w:lang w:val="sk-SK"/>
        </w:rPr>
        <w:t>zvyčajne</w:t>
      </w:r>
      <w:r w:rsidR="00627216" w:rsidRPr="0046669C">
        <w:rPr>
          <w:sz w:val="22"/>
          <w:szCs w:val="22"/>
          <w:lang w:val="sk-SK"/>
        </w:rPr>
        <w:t xml:space="preserve"> n</w:t>
      </w:r>
      <w:r w:rsidRPr="0046669C">
        <w:rPr>
          <w:sz w:val="22"/>
          <w:szCs w:val="22"/>
          <w:lang w:val="sk-SK"/>
        </w:rPr>
        <w:t xml:space="preserve">edá predpokladať </w:t>
      </w:r>
      <w:r w:rsidR="008E6CEB" w:rsidRPr="0046669C">
        <w:rPr>
          <w:sz w:val="22"/>
          <w:szCs w:val="22"/>
          <w:lang w:val="sk-SK"/>
        </w:rPr>
        <w:t xml:space="preserve">aj </w:t>
      </w:r>
      <w:r w:rsidRPr="0046669C">
        <w:rPr>
          <w:sz w:val="22"/>
          <w:szCs w:val="22"/>
          <w:lang w:val="sk-SK"/>
        </w:rPr>
        <w:t xml:space="preserve">napriek monitorovaniu krvného obrazu, je potrebné informovať pacienta o klinických príznakoch agranulocytózy (horúčka, nevoľnosť, </w:t>
      </w:r>
      <w:r w:rsidR="00877FFE" w:rsidRPr="0046669C">
        <w:rPr>
          <w:sz w:val="22"/>
          <w:szCs w:val="22"/>
          <w:lang w:val="sk-SK"/>
        </w:rPr>
        <w:t>tonzili</w:t>
      </w:r>
      <w:r w:rsidR="003D5437" w:rsidRPr="0046669C">
        <w:rPr>
          <w:sz w:val="22"/>
          <w:szCs w:val="22"/>
          <w:lang w:val="sk-SK"/>
        </w:rPr>
        <w:t>tída</w:t>
      </w:r>
      <w:r w:rsidR="00974C08" w:rsidRPr="0046669C">
        <w:rPr>
          <w:sz w:val="22"/>
          <w:szCs w:val="22"/>
          <w:lang w:val="sk-SK"/>
        </w:rPr>
        <w:t>,</w:t>
      </w:r>
      <w:r w:rsidR="00877FFE" w:rsidRPr="0046669C">
        <w:rPr>
          <w:sz w:val="22"/>
          <w:szCs w:val="22"/>
          <w:lang w:val="sk-SK"/>
        </w:rPr>
        <w:t xml:space="preserve"> </w:t>
      </w:r>
      <w:r w:rsidRPr="0046669C">
        <w:rPr>
          <w:color w:val="000000"/>
          <w:sz w:val="22"/>
          <w:szCs w:val="22"/>
          <w:lang w:val="sk-SK"/>
        </w:rPr>
        <w:t>ang</w:t>
      </w:r>
      <w:r w:rsidR="008E6CEB" w:rsidRPr="0046669C">
        <w:rPr>
          <w:color w:val="000000"/>
          <w:sz w:val="22"/>
          <w:szCs w:val="22"/>
          <w:lang w:val="sk-SK"/>
        </w:rPr>
        <w:t>í</w:t>
      </w:r>
      <w:r w:rsidRPr="0046669C">
        <w:rPr>
          <w:color w:val="000000"/>
          <w:sz w:val="22"/>
          <w:szCs w:val="22"/>
          <w:lang w:val="sk-SK"/>
        </w:rPr>
        <w:t>na</w:t>
      </w:r>
      <w:r w:rsidR="007659A5" w:rsidRPr="0046669C">
        <w:rPr>
          <w:color w:val="000000"/>
          <w:sz w:val="22"/>
          <w:szCs w:val="22"/>
          <w:lang w:val="sk-SK"/>
        </w:rPr>
        <w:t>,</w:t>
      </w:r>
      <w:r w:rsidRPr="0046669C">
        <w:rPr>
          <w:sz w:val="22"/>
          <w:szCs w:val="22"/>
          <w:lang w:val="sk-SK"/>
        </w:rPr>
        <w:t xml:space="preserve"> stomatitída) a aj o nutnosti urobiť aktuálny krvný obraz. </w:t>
      </w:r>
    </w:p>
    <w:p w14:paraId="0F78AC2F" w14:textId="77777777" w:rsidR="00FA2C4E" w:rsidRPr="0046669C" w:rsidRDefault="00FA2C4E" w:rsidP="00FA2C4E">
      <w:pPr>
        <w:tabs>
          <w:tab w:val="left" w:pos="0"/>
          <w:tab w:val="left" w:pos="3802"/>
          <w:tab w:val="left" w:pos="5816"/>
          <w:tab w:val="left" w:pos="7858"/>
        </w:tabs>
        <w:suppressAutoHyphens/>
        <w:rPr>
          <w:sz w:val="22"/>
          <w:szCs w:val="22"/>
          <w:lang w:val="sk-SK"/>
        </w:rPr>
      </w:pPr>
    </w:p>
    <w:p w14:paraId="23722E57" w14:textId="77777777" w:rsidR="00FA2C4E" w:rsidRPr="0046669C" w:rsidRDefault="00FA2C4E" w:rsidP="00FA2C4E">
      <w:pPr>
        <w:tabs>
          <w:tab w:val="left" w:pos="0"/>
          <w:tab w:val="left" w:pos="3802"/>
          <w:tab w:val="left" w:pos="5816"/>
          <w:tab w:val="left" w:pos="7858"/>
        </w:tabs>
        <w:suppressAutoHyphens/>
        <w:rPr>
          <w:sz w:val="22"/>
          <w:szCs w:val="22"/>
          <w:u w:val="single"/>
          <w:lang w:val="sk-SK"/>
        </w:rPr>
      </w:pPr>
      <w:r w:rsidRPr="0046669C">
        <w:rPr>
          <w:sz w:val="22"/>
          <w:szCs w:val="22"/>
          <w:lang w:val="sk-SK"/>
        </w:rPr>
        <w:t xml:space="preserve">Pred začatím liečby Propycilom sa musí vyšetriť kompletný krvný obraz. Počas liečby je </w:t>
      </w:r>
    </w:p>
    <w:p w14:paraId="614D968A" w14:textId="3F1B710D" w:rsidR="00FA2C4E" w:rsidRPr="0046669C" w:rsidRDefault="00FA2C4E" w:rsidP="000E6AD1">
      <w:pPr>
        <w:pStyle w:val="Nadpis1"/>
        <w:tabs>
          <w:tab w:val="left" w:pos="0"/>
        </w:tabs>
        <w:rPr>
          <w:b w:val="0"/>
          <w:lang w:val="sk-SK"/>
        </w:rPr>
      </w:pPr>
      <w:r w:rsidRPr="0046669C">
        <w:rPr>
          <w:b w:val="0"/>
          <w:sz w:val="22"/>
          <w:szCs w:val="22"/>
          <w:lang w:val="sk-SK"/>
        </w:rPr>
        <w:t>nutné krvný obraz monitorovať.</w:t>
      </w:r>
      <w:r w:rsidRPr="0046669C">
        <w:rPr>
          <w:sz w:val="22"/>
          <w:szCs w:val="22"/>
          <w:lang w:val="sk-SK"/>
        </w:rPr>
        <w:t xml:space="preserve"> </w:t>
      </w:r>
      <w:r w:rsidRPr="0046669C">
        <w:rPr>
          <w:b w:val="0"/>
          <w:sz w:val="22"/>
          <w:szCs w:val="22"/>
          <w:lang w:val="sk-SK"/>
        </w:rPr>
        <w:t>Pri podozrení na agranulocytózu sa podávanie Propycilu musí ihneď prerušiť. Ďalej po konzultácii s hematológom treba zvážiť aplikáciu faktor</w:t>
      </w:r>
      <w:r w:rsidR="008E6CEB" w:rsidRPr="0046669C">
        <w:rPr>
          <w:b w:val="0"/>
          <w:sz w:val="22"/>
          <w:szCs w:val="22"/>
          <w:lang w:val="sk-SK"/>
        </w:rPr>
        <w:t>u</w:t>
      </w:r>
      <w:r w:rsidRPr="0046669C">
        <w:rPr>
          <w:b w:val="0"/>
          <w:sz w:val="22"/>
          <w:szCs w:val="22"/>
          <w:lang w:val="sk-SK"/>
        </w:rPr>
        <w:t xml:space="preserve"> stimulujúc</w:t>
      </w:r>
      <w:r w:rsidR="008E6CEB" w:rsidRPr="0046669C">
        <w:rPr>
          <w:b w:val="0"/>
          <w:sz w:val="22"/>
          <w:szCs w:val="22"/>
          <w:lang w:val="sk-SK"/>
        </w:rPr>
        <w:t>eho</w:t>
      </w:r>
      <w:r w:rsidRPr="0046669C">
        <w:rPr>
          <w:b w:val="0"/>
          <w:sz w:val="22"/>
          <w:szCs w:val="22"/>
          <w:lang w:val="sk-SK"/>
        </w:rPr>
        <w:t xml:space="preserve"> granulocyt</w:t>
      </w:r>
      <w:r w:rsidR="008E6CEB" w:rsidRPr="0046669C">
        <w:rPr>
          <w:b w:val="0"/>
          <w:sz w:val="22"/>
          <w:szCs w:val="22"/>
          <w:lang w:val="sk-SK"/>
        </w:rPr>
        <w:t>y</w:t>
      </w:r>
      <w:r w:rsidRPr="0046669C">
        <w:rPr>
          <w:b w:val="0"/>
          <w:sz w:val="22"/>
          <w:szCs w:val="22"/>
          <w:lang w:val="sk-SK"/>
        </w:rPr>
        <w:t xml:space="preserve"> (G-CSF) (pozri časť 4.8.) </w:t>
      </w:r>
    </w:p>
    <w:p w14:paraId="391C3267" w14:textId="77777777" w:rsidR="00FA2C4E" w:rsidRPr="0046669C" w:rsidRDefault="00FA2C4E" w:rsidP="003F43AD">
      <w:pPr>
        <w:rPr>
          <w:lang w:val="sk-SK"/>
        </w:rPr>
      </w:pPr>
    </w:p>
    <w:p w14:paraId="09C67775" w14:textId="486D3C60" w:rsidR="003C4D04" w:rsidRPr="0046669C" w:rsidRDefault="003C4D04" w:rsidP="003C4D04">
      <w:pPr>
        <w:jc w:val="both"/>
        <w:rPr>
          <w:sz w:val="22"/>
          <w:szCs w:val="22"/>
          <w:lang w:val="sk-SK"/>
        </w:rPr>
      </w:pPr>
      <w:r w:rsidRPr="0046669C">
        <w:rPr>
          <w:sz w:val="22"/>
          <w:szCs w:val="22"/>
          <w:lang w:val="sk-SK"/>
        </w:rPr>
        <w:t>Tablety Propycil 50 obsahujú laktózu. Pacienti so zriedkav</w:t>
      </w:r>
      <w:r w:rsidR="0083489B" w:rsidRPr="0046669C">
        <w:rPr>
          <w:sz w:val="22"/>
          <w:szCs w:val="22"/>
          <w:lang w:val="sk-SK"/>
        </w:rPr>
        <w:t>ými</w:t>
      </w:r>
      <w:r w:rsidR="009C138E" w:rsidRPr="0046669C">
        <w:rPr>
          <w:sz w:val="22"/>
          <w:szCs w:val="22"/>
          <w:lang w:val="sk-SK"/>
        </w:rPr>
        <w:t xml:space="preserve"> </w:t>
      </w:r>
      <w:r w:rsidRPr="0046669C">
        <w:rPr>
          <w:sz w:val="22"/>
          <w:szCs w:val="22"/>
          <w:lang w:val="sk-SK"/>
        </w:rPr>
        <w:t>dedičn</w:t>
      </w:r>
      <w:r w:rsidR="0083489B" w:rsidRPr="0046669C">
        <w:rPr>
          <w:sz w:val="22"/>
          <w:szCs w:val="22"/>
          <w:lang w:val="sk-SK"/>
        </w:rPr>
        <w:t>ými problémami galaktózovej</w:t>
      </w:r>
      <w:r w:rsidR="009C138E" w:rsidRPr="0046669C">
        <w:rPr>
          <w:sz w:val="22"/>
          <w:szCs w:val="22"/>
          <w:lang w:val="sk-SK"/>
        </w:rPr>
        <w:t xml:space="preserve"> intoleranci</w:t>
      </w:r>
      <w:r w:rsidR="0083489B" w:rsidRPr="0046669C">
        <w:rPr>
          <w:sz w:val="22"/>
          <w:szCs w:val="22"/>
          <w:lang w:val="sk-SK"/>
        </w:rPr>
        <w:t>e</w:t>
      </w:r>
      <w:r w:rsidR="006A3968" w:rsidRPr="0046669C">
        <w:rPr>
          <w:sz w:val="22"/>
          <w:szCs w:val="22"/>
          <w:lang w:val="sk-SK"/>
        </w:rPr>
        <w:t>,</w:t>
      </w:r>
      <w:r w:rsidRPr="0046669C">
        <w:rPr>
          <w:sz w:val="22"/>
          <w:szCs w:val="22"/>
          <w:lang w:val="sk-SK"/>
        </w:rPr>
        <w:t xml:space="preserve"> </w:t>
      </w:r>
      <w:r w:rsidR="0083489B" w:rsidRPr="0046669C">
        <w:rPr>
          <w:sz w:val="22"/>
          <w:szCs w:val="22"/>
          <w:lang w:val="sk-SK"/>
        </w:rPr>
        <w:t xml:space="preserve">celkovým </w:t>
      </w:r>
      <w:r w:rsidRPr="0046669C">
        <w:rPr>
          <w:sz w:val="22"/>
          <w:szCs w:val="22"/>
          <w:lang w:val="sk-SK"/>
        </w:rPr>
        <w:t>deficit</w:t>
      </w:r>
      <w:r w:rsidR="006A3968" w:rsidRPr="0046669C">
        <w:rPr>
          <w:sz w:val="22"/>
          <w:szCs w:val="22"/>
          <w:lang w:val="sk-SK"/>
        </w:rPr>
        <w:t>om</w:t>
      </w:r>
      <w:r w:rsidRPr="0046669C">
        <w:rPr>
          <w:sz w:val="22"/>
          <w:szCs w:val="22"/>
          <w:lang w:val="sk-SK"/>
        </w:rPr>
        <w:t xml:space="preserve"> laktázy alebo glukózo-galaktózov</w:t>
      </w:r>
      <w:r w:rsidR="006A3968" w:rsidRPr="0046669C">
        <w:rPr>
          <w:sz w:val="22"/>
          <w:szCs w:val="22"/>
          <w:lang w:val="sk-SK"/>
        </w:rPr>
        <w:t>ou</w:t>
      </w:r>
      <w:r w:rsidRPr="0046669C">
        <w:rPr>
          <w:sz w:val="22"/>
          <w:szCs w:val="22"/>
          <w:lang w:val="sk-SK"/>
        </w:rPr>
        <w:t xml:space="preserve"> malabsorpci</w:t>
      </w:r>
      <w:r w:rsidR="006A3968" w:rsidRPr="0046669C">
        <w:rPr>
          <w:sz w:val="22"/>
          <w:szCs w:val="22"/>
          <w:lang w:val="sk-SK"/>
        </w:rPr>
        <w:t>ou</w:t>
      </w:r>
      <w:r w:rsidRPr="0046669C">
        <w:rPr>
          <w:sz w:val="22"/>
          <w:szCs w:val="22"/>
          <w:lang w:val="sk-SK"/>
        </w:rPr>
        <w:t xml:space="preserve"> nesmú užívať tento liek.</w:t>
      </w:r>
    </w:p>
    <w:p w14:paraId="6130973E" w14:textId="77777777" w:rsidR="007659A5" w:rsidRPr="0046669C" w:rsidRDefault="007659A5">
      <w:pPr>
        <w:jc w:val="both"/>
        <w:rPr>
          <w:sz w:val="22"/>
          <w:szCs w:val="22"/>
          <w:lang w:val="sk-SK"/>
        </w:rPr>
      </w:pPr>
    </w:p>
    <w:p w14:paraId="2027123F" w14:textId="563F7EC9" w:rsidR="0047213A" w:rsidRPr="0046669C" w:rsidRDefault="0047213A" w:rsidP="0047213A">
      <w:pPr>
        <w:jc w:val="both"/>
        <w:rPr>
          <w:sz w:val="22"/>
          <w:szCs w:val="22"/>
          <w:lang w:val="sk-SK"/>
        </w:rPr>
      </w:pPr>
      <w:r w:rsidRPr="0046669C">
        <w:rPr>
          <w:sz w:val="22"/>
          <w:szCs w:val="22"/>
          <w:lang w:val="sk-SK"/>
        </w:rPr>
        <w:t xml:space="preserve">V súvislosti s propyltiouracilom bolo hlásených niekoľko prípadov ťažkého poškodenia pečene </w:t>
      </w:r>
      <w:r w:rsidRPr="008B3F88">
        <w:rPr>
          <w:sz w:val="22"/>
          <w:szCs w:val="22"/>
          <w:lang w:val="sk-SK"/>
        </w:rPr>
        <w:t>u dospelých a detí, v</w:t>
      </w:r>
      <w:r w:rsidR="007E2B5F" w:rsidRPr="008B3F88">
        <w:rPr>
          <w:sz w:val="22"/>
          <w:szCs w:val="22"/>
          <w:lang w:val="sk-SK"/>
        </w:rPr>
        <w:t>rá</w:t>
      </w:r>
      <w:r w:rsidRPr="008B3F88">
        <w:rPr>
          <w:sz w:val="22"/>
          <w:szCs w:val="22"/>
          <w:lang w:val="sk-SK"/>
        </w:rPr>
        <w:t>tane smrteľných prípadov a prípadov vyžadujúcich transplantáciu pečene. Čas</w:t>
      </w:r>
      <w:r w:rsidRPr="0046669C">
        <w:rPr>
          <w:sz w:val="22"/>
          <w:szCs w:val="22"/>
          <w:lang w:val="sk-SK"/>
        </w:rPr>
        <w:t xml:space="preserve"> do vzniku týchto nežiaducich účinkov bol rôzny, vo väčšine prípadov došlo k poškodeniu pečene do 6 mesiacov. V prípade, že sa počas liečby propyltiouracilom vyskytnú významné abnormality pečeňových enzýmov, liečba </w:t>
      </w:r>
      <w:r w:rsidR="001139CA" w:rsidRPr="0046669C">
        <w:rPr>
          <w:sz w:val="22"/>
          <w:szCs w:val="22"/>
          <w:lang w:val="sk-SK"/>
        </w:rPr>
        <w:t xml:space="preserve">sa </w:t>
      </w:r>
      <w:r w:rsidRPr="0046669C">
        <w:rPr>
          <w:sz w:val="22"/>
          <w:szCs w:val="22"/>
          <w:lang w:val="sk-SK"/>
        </w:rPr>
        <w:t>má okamžite preruš</w:t>
      </w:r>
      <w:r w:rsidR="001139CA" w:rsidRPr="0046669C">
        <w:rPr>
          <w:sz w:val="22"/>
          <w:szCs w:val="22"/>
          <w:lang w:val="sk-SK"/>
        </w:rPr>
        <w:t>iť</w:t>
      </w:r>
      <w:r w:rsidRPr="0046669C">
        <w:rPr>
          <w:sz w:val="22"/>
          <w:szCs w:val="22"/>
          <w:lang w:val="sk-SK"/>
        </w:rPr>
        <w:t xml:space="preserve"> (pozri časť 4.8)</w:t>
      </w:r>
      <w:r w:rsidR="00BD593B" w:rsidRPr="0046669C">
        <w:rPr>
          <w:sz w:val="22"/>
          <w:szCs w:val="22"/>
          <w:lang w:val="sk-SK"/>
        </w:rPr>
        <w:t>.</w:t>
      </w:r>
    </w:p>
    <w:p w14:paraId="15F3C3DF" w14:textId="77777777" w:rsidR="0047213A" w:rsidRPr="0046669C" w:rsidRDefault="0047213A">
      <w:pPr>
        <w:jc w:val="both"/>
        <w:rPr>
          <w:sz w:val="22"/>
          <w:szCs w:val="22"/>
          <w:lang w:val="sk-SK"/>
        </w:rPr>
      </w:pPr>
    </w:p>
    <w:p w14:paraId="20389CCA" w14:textId="61907D43" w:rsidR="006C29A3" w:rsidRPr="0046669C" w:rsidRDefault="008473BB" w:rsidP="00835EE9">
      <w:pPr>
        <w:jc w:val="both"/>
        <w:rPr>
          <w:sz w:val="22"/>
          <w:szCs w:val="22"/>
          <w:lang w:val="sk-SK"/>
        </w:rPr>
      </w:pPr>
      <w:r w:rsidRPr="0046669C">
        <w:rPr>
          <w:sz w:val="22"/>
          <w:szCs w:val="22"/>
          <w:lang w:val="sk-SK"/>
        </w:rPr>
        <w:t>Počas liečby PTU sa môže vpl</w:t>
      </w:r>
      <w:r w:rsidR="00BD593B" w:rsidRPr="0046669C">
        <w:rPr>
          <w:sz w:val="22"/>
          <w:szCs w:val="22"/>
          <w:lang w:val="sk-SK"/>
        </w:rPr>
        <w:t>y</w:t>
      </w:r>
      <w:r w:rsidRPr="0046669C">
        <w:rPr>
          <w:sz w:val="22"/>
          <w:szCs w:val="22"/>
          <w:lang w:val="sk-SK"/>
        </w:rPr>
        <w:t>vom antineutrofilných cytoplazmatických protilátok vyvinúť klinicky závažná vaskulitída (ANCA, pozri aj časť 4.8 Poruchy imunitného systému)</w:t>
      </w:r>
      <w:r w:rsidR="00835EE9" w:rsidRPr="0046669C">
        <w:rPr>
          <w:sz w:val="22"/>
          <w:szCs w:val="22"/>
          <w:lang w:val="sk-SK"/>
        </w:rPr>
        <w:t xml:space="preserve">. Pacienta je potrebné </w:t>
      </w:r>
      <w:r w:rsidR="00CF7BC5" w:rsidRPr="0046669C">
        <w:rPr>
          <w:sz w:val="22"/>
          <w:szCs w:val="22"/>
          <w:lang w:val="sk-SK"/>
        </w:rPr>
        <w:t>pouči</w:t>
      </w:r>
      <w:r w:rsidR="00296F62" w:rsidRPr="0046669C">
        <w:rPr>
          <w:sz w:val="22"/>
          <w:szCs w:val="22"/>
          <w:lang w:val="sk-SK"/>
        </w:rPr>
        <w:t xml:space="preserve">ť, </w:t>
      </w:r>
      <w:r w:rsidR="00835EE9" w:rsidRPr="0046669C">
        <w:rPr>
          <w:sz w:val="22"/>
          <w:szCs w:val="22"/>
          <w:lang w:val="sk-SK"/>
        </w:rPr>
        <w:t>aby pri prvých klinic</w:t>
      </w:r>
      <w:r w:rsidR="00296F62" w:rsidRPr="0046669C">
        <w:rPr>
          <w:sz w:val="22"/>
          <w:szCs w:val="22"/>
          <w:lang w:val="sk-SK"/>
        </w:rPr>
        <w:t>k</w:t>
      </w:r>
      <w:r w:rsidR="00835EE9" w:rsidRPr="0046669C">
        <w:rPr>
          <w:sz w:val="22"/>
          <w:szCs w:val="22"/>
          <w:lang w:val="sk-SK"/>
        </w:rPr>
        <w:t xml:space="preserve">ých príznakoch </w:t>
      </w:r>
      <w:r w:rsidR="00885003" w:rsidRPr="0046669C">
        <w:rPr>
          <w:sz w:val="22"/>
          <w:szCs w:val="22"/>
          <w:lang w:val="sk-SK"/>
        </w:rPr>
        <w:t xml:space="preserve">vaskulitídy informoval lekára, </w:t>
      </w:r>
      <w:r w:rsidR="00DE5FAC" w:rsidRPr="0046669C">
        <w:rPr>
          <w:sz w:val="22"/>
          <w:szCs w:val="22"/>
          <w:lang w:val="sk-SK"/>
        </w:rPr>
        <w:t>ktorý rozhodne</w:t>
      </w:r>
      <w:r w:rsidR="00835EE9" w:rsidRPr="0046669C">
        <w:rPr>
          <w:sz w:val="22"/>
          <w:szCs w:val="22"/>
          <w:lang w:val="sk-SK"/>
        </w:rPr>
        <w:t>, či je pot</w:t>
      </w:r>
      <w:r w:rsidR="00CF7BC5" w:rsidRPr="0046669C">
        <w:rPr>
          <w:sz w:val="22"/>
          <w:szCs w:val="22"/>
          <w:lang w:val="sk-SK"/>
        </w:rPr>
        <w:t>r</w:t>
      </w:r>
      <w:r w:rsidR="00835EE9" w:rsidRPr="0046669C">
        <w:rPr>
          <w:sz w:val="22"/>
          <w:szCs w:val="22"/>
          <w:lang w:val="sk-SK"/>
        </w:rPr>
        <w:t xml:space="preserve">ebné okamžité prerušenie liečby PTU a je potrebné ďalšie diagnostikovanie zdravotného stavu. </w:t>
      </w:r>
    </w:p>
    <w:p w14:paraId="566EFB23" w14:textId="77777777" w:rsidR="006C29A3" w:rsidRPr="0046669C" w:rsidRDefault="006C29A3" w:rsidP="00835EE9">
      <w:pPr>
        <w:jc w:val="both"/>
        <w:rPr>
          <w:sz w:val="22"/>
          <w:szCs w:val="22"/>
          <w:lang w:val="sk-SK"/>
        </w:rPr>
      </w:pPr>
    </w:p>
    <w:p w14:paraId="37DE8687" w14:textId="34AF5B1C" w:rsidR="007C21D1" w:rsidRPr="0046669C" w:rsidRDefault="00835EE9" w:rsidP="00835EE9">
      <w:pPr>
        <w:jc w:val="both"/>
        <w:rPr>
          <w:sz w:val="22"/>
          <w:szCs w:val="22"/>
          <w:lang w:val="sk-SK"/>
        </w:rPr>
      </w:pPr>
      <w:r w:rsidRPr="0046669C">
        <w:rPr>
          <w:sz w:val="22"/>
          <w:szCs w:val="22"/>
          <w:lang w:val="sk-SK"/>
        </w:rPr>
        <w:lastRenderedPageBreak/>
        <w:t xml:space="preserve">U detí sa môže Propycil 50 môže použiť len </w:t>
      </w:r>
      <w:r w:rsidR="00104812" w:rsidRPr="008B3F88">
        <w:rPr>
          <w:sz w:val="22"/>
          <w:szCs w:val="22"/>
          <w:lang w:val="sk-SK"/>
        </w:rPr>
        <w:t>vtedy</w:t>
      </w:r>
      <w:r w:rsidR="00104812" w:rsidRPr="0046669C">
        <w:rPr>
          <w:sz w:val="22"/>
          <w:szCs w:val="22"/>
          <w:lang w:val="sk-SK"/>
        </w:rPr>
        <w:t xml:space="preserve">, </w:t>
      </w:r>
      <w:r w:rsidRPr="0046669C">
        <w:rPr>
          <w:sz w:val="22"/>
          <w:szCs w:val="22"/>
          <w:lang w:val="sk-SK"/>
        </w:rPr>
        <w:t xml:space="preserve">keď inými dostupnými postupmi </w:t>
      </w:r>
      <w:r w:rsidR="00E24705" w:rsidRPr="0046669C">
        <w:rPr>
          <w:sz w:val="22"/>
          <w:szCs w:val="22"/>
          <w:lang w:val="sk-SK"/>
        </w:rPr>
        <w:t xml:space="preserve">zlyhala kontrola funkcií štítnej žľazy. </w:t>
      </w:r>
      <w:r w:rsidRPr="0046669C">
        <w:rPr>
          <w:sz w:val="22"/>
          <w:szCs w:val="22"/>
          <w:lang w:val="sk-SK"/>
        </w:rPr>
        <w:t xml:space="preserve"> </w:t>
      </w:r>
    </w:p>
    <w:p w14:paraId="3D2E5B2F" w14:textId="7F224B4D" w:rsidR="00CF7BC5" w:rsidRPr="0046669C" w:rsidRDefault="00CF7BC5" w:rsidP="00835EE9">
      <w:pPr>
        <w:jc w:val="both"/>
        <w:rPr>
          <w:sz w:val="22"/>
          <w:szCs w:val="22"/>
          <w:lang w:val="sk-SK"/>
        </w:rPr>
      </w:pPr>
    </w:p>
    <w:p w14:paraId="005183F5" w14:textId="61AFD29D" w:rsidR="00E01FDD" w:rsidRPr="0046669C" w:rsidRDefault="00E57A33" w:rsidP="00296F62">
      <w:pPr>
        <w:rPr>
          <w:sz w:val="22"/>
          <w:szCs w:val="22"/>
          <w:lang w:val="sk-SK"/>
        </w:rPr>
      </w:pPr>
      <w:r w:rsidRPr="0046669C">
        <w:rPr>
          <w:b/>
          <w:noProof/>
          <w:szCs w:val="22"/>
          <w:lang w:val="sk-SK"/>
        </w:rPr>
        <w:t>4.5</w:t>
      </w:r>
      <w:r w:rsidRPr="0046669C">
        <w:rPr>
          <w:b/>
          <w:noProof/>
          <w:szCs w:val="22"/>
          <w:lang w:val="sk-SK"/>
        </w:rPr>
        <w:tab/>
        <w:t>Liekové a iné interakcie</w:t>
      </w:r>
    </w:p>
    <w:p w14:paraId="0A3BDD20" w14:textId="77777777" w:rsidR="00883395" w:rsidRPr="0046669C" w:rsidRDefault="00883395" w:rsidP="00E01FDD">
      <w:pPr>
        <w:tabs>
          <w:tab w:val="left" w:pos="431"/>
          <w:tab w:val="left" w:pos="3802"/>
          <w:tab w:val="left" w:pos="5816"/>
          <w:tab w:val="left" w:pos="7858"/>
        </w:tabs>
        <w:suppressAutoHyphens/>
        <w:ind w:left="431" w:hanging="431"/>
        <w:rPr>
          <w:b/>
          <w:bCs/>
          <w:sz w:val="22"/>
          <w:szCs w:val="22"/>
          <w:lang w:val="sk-SK"/>
        </w:rPr>
      </w:pPr>
    </w:p>
    <w:p w14:paraId="52400779" w14:textId="77777777" w:rsidR="00E01FDD" w:rsidRPr="0046669C" w:rsidRDefault="00E01FDD" w:rsidP="00E01FDD">
      <w:pPr>
        <w:tabs>
          <w:tab w:val="left" w:pos="431"/>
          <w:tab w:val="left" w:pos="3802"/>
          <w:tab w:val="left" w:pos="5816"/>
          <w:tab w:val="left" w:pos="7858"/>
        </w:tabs>
        <w:suppressAutoHyphens/>
        <w:ind w:left="431" w:hanging="431"/>
        <w:rPr>
          <w:b/>
          <w:bCs/>
          <w:sz w:val="22"/>
          <w:szCs w:val="22"/>
          <w:lang w:val="sk-SK"/>
        </w:rPr>
      </w:pPr>
      <w:r w:rsidRPr="0046669C">
        <w:rPr>
          <w:b/>
          <w:bCs/>
          <w:sz w:val="22"/>
          <w:szCs w:val="22"/>
          <w:lang w:val="sk-SK"/>
        </w:rPr>
        <w:t xml:space="preserve">Interakcie iných liekov s Propycilom 50 </w:t>
      </w:r>
    </w:p>
    <w:p w14:paraId="78F75277" w14:textId="3762053F" w:rsidR="00E01FDD" w:rsidRPr="0046669C" w:rsidRDefault="00E01FDD" w:rsidP="00E01FDD">
      <w:pPr>
        <w:tabs>
          <w:tab w:val="left" w:pos="0"/>
          <w:tab w:val="left" w:pos="3802"/>
          <w:tab w:val="left" w:pos="5816"/>
          <w:tab w:val="left" w:pos="7858"/>
        </w:tabs>
        <w:suppressAutoHyphens/>
        <w:rPr>
          <w:sz w:val="22"/>
          <w:szCs w:val="22"/>
          <w:lang w:val="sk-SK"/>
        </w:rPr>
      </w:pPr>
      <w:r w:rsidRPr="0046669C">
        <w:rPr>
          <w:sz w:val="22"/>
          <w:szCs w:val="22"/>
          <w:lang w:val="sk-SK"/>
        </w:rPr>
        <w:t xml:space="preserve">Podanie tyroxínu znižuje vychytávanie propyltiouracilu štítnou žľazou a okrem toho </w:t>
      </w:r>
      <w:r w:rsidR="002D77F2" w:rsidRPr="0046669C">
        <w:rPr>
          <w:sz w:val="22"/>
          <w:szCs w:val="22"/>
          <w:lang w:val="sk-SK"/>
        </w:rPr>
        <w:t xml:space="preserve">je potrebná </w:t>
      </w:r>
      <w:r w:rsidR="006A3968" w:rsidRPr="0046669C">
        <w:rPr>
          <w:sz w:val="22"/>
          <w:szCs w:val="22"/>
          <w:lang w:val="sk-SK"/>
        </w:rPr>
        <w:t xml:space="preserve"> </w:t>
      </w:r>
      <w:r w:rsidRPr="0046669C">
        <w:rPr>
          <w:sz w:val="22"/>
          <w:szCs w:val="22"/>
          <w:lang w:val="sk-SK"/>
        </w:rPr>
        <w:t>výraznejši</w:t>
      </w:r>
      <w:r w:rsidR="002D77F2" w:rsidRPr="0046669C">
        <w:rPr>
          <w:sz w:val="22"/>
          <w:szCs w:val="22"/>
          <w:lang w:val="sk-SK"/>
        </w:rPr>
        <w:t>a</w:t>
      </w:r>
      <w:r w:rsidRPr="0046669C">
        <w:rPr>
          <w:sz w:val="22"/>
          <w:szCs w:val="22"/>
          <w:lang w:val="sk-SK"/>
        </w:rPr>
        <w:t xml:space="preserve"> supresi</w:t>
      </w:r>
      <w:r w:rsidR="00A37BB4" w:rsidRPr="0046669C">
        <w:rPr>
          <w:sz w:val="22"/>
          <w:szCs w:val="22"/>
          <w:lang w:val="sk-SK"/>
        </w:rPr>
        <w:t>a</w:t>
      </w:r>
      <w:r w:rsidRPr="0046669C">
        <w:rPr>
          <w:sz w:val="22"/>
          <w:szCs w:val="22"/>
          <w:lang w:val="sk-SK"/>
        </w:rPr>
        <w:t xml:space="preserve"> tvorby vlastného hormónu, takže na docielenie porovnateľného tyreostatického účinku je potom potrebná vyššia dávka propyltiouracilu.</w:t>
      </w:r>
    </w:p>
    <w:p w14:paraId="43239983" w14:textId="77777777" w:rsidR="003C4D04" w:rsidRPr="0046669C" w:rsidRDefault="003C4D04" w:rsidP="00E01FDD">
      <w:pPr>
        <w:tabs>
          <w:tab w:val="left" w:pos="0"/>
          <w:tab w:val="left" w:pos="3802"/>
          <w:tab w:val="left" w:pos="5816"/>
          <w:tab w:val="left" w:pos="7858"/>
        </w:tabs>
        <w:suppressAutoHyphens/>
        <w:rPr>
          <w:sz w:val="22"/>
          <w:szCs w:val="22"/>
          <w:lang w:val="sk-SK"/>
        </w:rPr>
      </w:pPr>
    </w:p>
    <w:p w14:paraId="47C52136" w14:textId="77777777" w:rsidR="00E01FDD" w:rsidRPr="0046669C" w:rsidRDefault="00E01FDD" w:rsidP="00E01FDD">
      <w:pPr>
        <w:tabs>
          <w:tab w:val="left" w:pos="0"/>
        </w:tabs>
        <w:jc w:val="both"/>
        <w:rPr>
          <w:sz w:val="22"/>
          <w:szCs w:val="22"/>
          <w:lang w:val="sk-SK"/>
        </w:rPr>
      </w:pPr>
      <w:r w:rsidRPr="0046669C">
        <w:rPr>
          <w:sz w:val="22"/>
          <w:szCs w:val="22"/>
          <w:lang w:val="sk-SK"/>
        </w:rPr>
        <w:t>Pri súčasnom podaní jódu alebo po predchádzajúcom zaťažení organizmu látkami, obsahujúcimi jód alebo kontrastnými látkami pri RTG vyšetrení, sa môže antityreoidálny účinok Propycilu 50 znížiť a normalizácia funkcie štítnej žľazy zreteľne oneskoriť.</w:t>
      </w:r>
    </w:p>
    <w:p w14:paraId="709800A9" w14:textId="77777777" w:rsidR="00E01FDD" w:rsidRPr="0046669C" w:rsidRDefault="00E01FDD" w:rsidP="00E01FDD">
      <w:pPr>
        <w:tabs>
          <w:tab w:val="left" w:pos="0"/>
        </w:tabs>
        <w:jc w:val="both"/>
        <w:rPr>
          <w:sz w:val="22"/>
          <w:szCs w:val="22"/>
          <w:lang w:val="sk-SK"/>
        </w:rPr>
      </w:pPr>
    </w:p>
    <w:p w14:paraId="125E50C1" w14:textId="77777777" w:rsidR="00E01FDD" w:rsidRPr="0046669C" w:rsidRDefault="00E01FDD" w:rsidP="00E01FDD">
      <w:pPr>
        <w:tabs>
          <w:tab w:val="left" w:pos="0"/>
          <w:tab w:val="left" w:pos="3802"/>
          <w:tab w:val="left" w:pos="5816"/>
          <w:tab w:val="left" w:pos="7858"/>
        </w:tabs>
        <w:suppressAutoHyphens/>
        <w:rPr>
          <w:b/>
          <w:bCs/>
          <w:sz w:val="22"/>
          <w:szCs w:val="22"/>
          <w:lang w:val="sk-SK"/>
        </w:rPr>
      </w:pPr>
      <w:r w:rsidRPr="0046669C">
        <w:rPr>
          <w:b/>
          <w:bCs/>
          <w:sz w:val="22"/>
          <w:szCs w:val="22"/>
          <w:lang w:val="sk-SK"/>
        </w:rPr>
        <w:t>Interakcie Propycilu s inými liekmi</w:t>
      </w:r>
    </w:p>
    <w:p w14:paraId="474CAB3E" w14:textId="66B0B828" w:rsidR="00E01FDD" w:rsidRPr="0046669C" w:rsidRDefault="00E01FDD" w:rsidP="00E01FDD">
      <w:pPr>
        <w:tabs>
          <w:tab w:val="left" w:pos="0"/>
          <w:tab w:val="left" w:pos="3802"/>
          <w:tab w:val="left" w:pos="5816"/>
          <w:tab w:val="left" w:pos="7858"/>
        </w:tabs>
        <w:suppressAutoHyphens/>
        <w:rPr>
          <w:sz w:val="22"/>
          <w:szCs w:val="22"/>
          <w:lang w:val="sk-SK"/>
        </w:rPr>
      </w:pPr>
      <w:r w:rsidRPr="0046669C">
        <w:rPr>
          <w:sz w:val="22"/>
          <w:szCs w:val="22"/>
          <w:lang w:val="sk-SK"/>
        </w:rPr>
        <w:t>Liečba propyltiouracilom môže ovplyvniť neviazanú účinnú frakciu propranololu a derivátov kumarínu v takom rozsahu, že môže byť potrebné vytitrovať dávku</w:t>
      </w:r>
      <w:r w:rsidR="003C4D04" w:rsidRPr="0046669C">
        <w:rPr>
          <w:sz w:val="22"/>
          <w:szCs w:val="22"/>
          <w:lang w:val="sk-SK"/>
        </w:rPr>
        <w:t>.</w:t>
      </w:r>
      <w:r w:rsidR="00CD1DB7" w:rsidRPr="0046669C">
        <w:rPr>
          <w:sz w:val="22"/>
          <w:szCs w:val="22"/>
          <w:lang w:val="sk-SK"/>
        </w:rPr>
        <w:t xml:space="preserve"> </w:t>
      </w:r>
    </w:p>
    <w:p w14:paraId="0C5893E4" w14:textId="77777777" w:rsidR="00CF7BC5" w:rsidRPr="0046669C" w:rsidRDefault="00CF7BC5">
      <w:pPr>
        <w:tabs>
          <w:tab w:val="left" w:pos="8789"/>
        </w:tabs>
        <w:jc w:val="both"/>
        <w:rPr>
          <w:sz w:val="22"/>
          <w:szCs w:val="22"/>
          <w:lang w:val="sk-SK"/>
        </w:rPr>
      </w:pPr>
    </w:p>
    <w:p w14:paraId="6761E7C6" w14:textId="792D32B8" w:rsidR="00E57A33" w:rsidRPr="0046669C" w:rsidRDefault="00E57A33" w:rsidP="00E57A33">
      <w:pPr>
        <w:rPr>
          <w:noProof/>
          <w:szCs w:val="22"/>
          <w:lang w:val="sk-SK"/>
        </w:rPr>
      </w:pPr>
      <w:r w:rsidRPr="0046669C">
        <w:rPr>
          <w:b/>
          <w:noProof/>
          <w:szCs w:val="22"/>
          <w:lang w:val="sk-SK"/>
        </w:rPr>
        <w:t>4.6</w:t>
      </w:r>
      <w:r w:rsidRPr="0046669C">
        <w:rPr>
          <w:b/>
          <w:noProof/>
          <w:szCs w:val="22"/>
          <w:lang w:val="sk-SK"/>
        </w:rPr>
        <w:tab/>
      </w:r>
      <w:r w:rsidR="0057482E" w:rsidRPr="0046669C">
        <w:rPr>
          <w:b/>
          <w:noProof/>
          <w:szCs w:val="22"/>
          <w:lang w:val="sk-SK"/>
        </w:rPr>
        <w:t>Fertilita</w:t>
      </w:r>
      <w:r w:rsidR="00563743" w:rsidRPr="0046669C">
        <w:rPr>
          <w:b/>
          <w:noProof/>
          <w:szCs w:val="22"/>
          <w:lang w:val="sk-SK"/>
        </w:rPr>
        <w:t>,</w:t>
      </w:r>
      <w:r w:rsidR="0057482E" w:rsidRPr="0046669C">
        <w:rPr>
          <w:b/>
          <w:lang w:val="sk-SK"/>
        </w:rPr>
        <w:t xml:space="preserve"> </w:t>
      </w:r>
      <w:r w:rsidR="0057482E" w:rsidRPr="0046669C">
        <w:rPr>
          <w:b/>
          <w:color w:val="000000"/>
          <w:lang w:val="sk-SK"/>
        </w:rPr>
        <w:t>g</w:t>
      </w:r>
      <w:r w:rsidRPr="0046669C">
        <w:rPr>
          <w:b/>
          <w:noProof/>
          <w:szCs w:val="22"/>
          <w:lang w:val="sk-SK"/>
        </w:rPr>
        <w:t>ravidita a laktácia</w:t>
      </w:r>
    </w:p>
    <w:p w14:paraId="320575CA" w14:textId="77777777" w:rsidR="00E01FDD" w:rsidRPr="0046669C" w:rsidRDefault="00E01FDD" w:rsidP="00A75CC3">
      <w:pPr>
        <w:tabs>
          <w:tab w:val="left" w:pos="431"/>
          <w:tab w:val="left" w:pos="3051"/>
        </w:tabs>
        <w:suppressAutoHyphens/>
        <w:rPr>
          <w:b/>
          <w:sz w:val="22"/>
          <w:lang w:val="sk-SK"/>
        </w:rPr>
      </w:pPr>
    </w:p>
    <w:p w14:paraId="367C1C59" w14:textId="52584FCF" w:rsidR="00A33CF2" w:rsidRPr="0046669C" w:rsidRDefault="00A33CF2" w:rsidP="00D21B8E">
      <w:pPr>
        <w:tabs>
          <w:tab w:val="left" w:pos="431"/>
          <w:tab w:val="left" w:pos="3051"/>
        </w:tabs>
        <w:suppressAutoHyphens/>
        <w:ind w:left="431" w:hanging="431"/>
        <w:rPr>
          <w:bCs/>
          <w:sz w:val="22"/>
          <w:szCs w:val="22"/>
          <w:u w:val="single"/>
          <w:lang w:val="sk-SK"/>
        </w:rPr>
      </w:pPr>
      <w:r w:rsidRPr="0046669C">
        <w:rPr>
          <w:bCs/>
          <w:sz w:val="22"/>
          <w:szCs w:val="22"/>
          <w:u w:val="single"/>
          <w:lang w:val="sk-SK"/>
        </w:rPr>
        <w:t>Ženy vo fertilnom veku</w:t>
      </w:r>
    </w:p>
    <w:p w14:paraId="20FA8AFF" w14:textId="46701402" w:rsidR="00A33CF2" w:rsidRPr="0046669C" w:rsidRDefault="00A33CF2" w:rsidP="00A33CF2">
      <w:pPr>
        <w:tabs>
          <w:tab w:val="left" w:pos="0"/>
          <w:tab w:val="left" w:pos="3051"/>
        </w:tabs>
        <w:suppressAutoHyphens/>
        <w:rPr>
          <w:bCs/>
          <w:sz w:val="22"/>
          <w:szCs w:val="22"/>
          <w:lang w:val="sk-SK"/>
        </w:rPr>
      </w:pPr>
      <w:r w:rsidRPr="0046669C">
        <w:rPr>
          <w:bCs/>
          <w:sz w:val="22"/>
          <w:szCs w:val="22"/>
          <w:lang w:val="sk-SK"/>
        </w:rPr>
        <w:t>Ženy vo fertilnom veku je potrebné informovať o potenciálnych rizikách používania propyltiouracilu počas gravidity.</w:t>
      </w:r>
    </w:p>
    <w:p w14:paraId="3B9BF639" w14:textId="1462F0BB" w:rsidR="00700E22" w:rsidRPr="0046669C" w:rsidRDefault="00700E22" w:rsidP="00A33CF2">
      <w:pPr>
        <w:tabs>
          <w:tab w:val="left" w:pos="0"/>
          <w:tab w:val="left" w:pos="3051"/>
        </w:tabs>
        <w:suppressAutoHyphens/>
        <w:rPr>
          <w:bCs/>
          <w:sz w:val="22"/>
          <w:szCs w:val="22"/>
          <w:lang w:val="sk-SK"/>
        </w:rPr>
      </w:pPr>
      <w:r w:rsidRPr="008B3F88">
        <w:rPr>
          <w:bCs/>
          <w:sz w:val="22"/>
          <w:szCs w:val="22"/>
          <w:lang w:val="sk-SK"/>
        </w:rPr>
        <w:t>Neuskutočnili sa žiadne štúdie fertility.</w:t>
      </w:r>
    </w:p>
    <w:p w14:paraId="70CDBF74" w14:textId="77777777" w:rsidR="00A33CF2" w:rsidRPr="008B3F88" w:rsidRDefault="00A33CF2" w:rsidP="00A33CF2">
      <w:pPr>
        <w:tabs>
          <w:tab w:val="left" w:pos="0"/>
          <w:tab w:val="left" w:pos="3051"/>
        </w:tabs>
        <w:suppressAutoHyphens/>
        <w:rPr>
          <w:bCs/>
          <w:sz w:val="22"/>
          <w:szCs w:val="22"/>
          <w:lang w:val="sk-SK"/>
        </w:rPr>
      </w:pPr>
    </w:p>
    <w:p w14:paraId="16849E94" w14:textId="77777777" w:rsidR="00661D85" w:rsidRPr="0046669C" w:rsidRDefault="00E01FDD" w:rsidP="00D21B8E">
      <w:pPr>
        <w:tabs>
          <w:tab w:val="left" w:pos="431"/>
          <w:tab w:val="left" w:pos="3051"/>
        </w:tabs>
        <w:suppressAutoHyphens/>
        <w:ind w:left="431" w:hanging="431"/>
        <w:rPr>
          <w:bCs/>
          <w:sz w:val="22"/>
          <w:szCs w:val="22"/>
          <w:u w:val="single"/>
          <w:lang w:val="sk-SK"/>
        </w:rPr>
      </w:pPr>
      <w:r w:rsidRPr="0046669C">
        <w:rPr>
          <w:bCs/>
          <w:sz w:val="22"/>
          <w:szCs w:val="22"/>
          <w:u w:val="single"/>
          <w:lang w:val="sk-SK"/>
        </w:rPr>
        <w:t xml:space="preserve">Gravidita </w:t>
      </w:r>
    </w:p>
    <w:p w14:paraId="4E010EA4" w14:textId="0AA0D15A" w:rsidR="00A33CF2" w:rsidRPr="00AD4653" w:rsidRDefault="00661D85" w:rsidP="008B3F88">
      <w:pPr>
        <w:jc w:val="both"/>
        <w:rPr>
          <w:sz w:val="22"/>
          <w:szCs w:val="22"/>
        </w:rPr>
      </w:pPr>
      <w:r w:rsidRPr="008B3F88">
        <w:rPr>
          <w:sz w:val="22"/>
          <w:szCs w:val="22"/>
          <w:lang w:val="sk-SK"/>
        </w:rPr>
        <w:t>Hypertyre</w:t>
      </w:r>
      <w:r w:rsidR="00CD39E3" w:rsidRPr="008B3F88">
        <w:rPr>
          <w:sz w:val="22"/>
          <w:szCs w:val="22"/>
          <w:lang w:val="sk-SK"/>
        </w:rPr>
        <w:t>óza</w:t>
      </w:r>
      <w:r w:rsidRPr="008B3F88">
        <w:rPr>
          <w:sz w:val="22"/>
          <w:szCs w:val="22"/>
          <w:lang w:val="sk-SK"/>
        </w:rPr>
        <w:t xml:space="preserve"> u matky počas tehotenstva je spojen</w:t>
      </w:r>
      <w:r w:rsidR="00CD39E3" w:rsidRPr="008B3F88">
        <w:rPr>
          <w:sz w:val="22"/>
          <w:szCs w:val="22"/>
          <w:lang w:val="sk-SK"/>
        </w:rPr>
        <w:t>á</w:t>
      </w:r>
      <w:r w:rsidRPr="008B3F88">
        <w:rPr>
          <w:sz w:val="22"/>
          <w:szCs w:val="22"/>
          <w:lang w:val="sk-SK"/>
        </w:rPr>
        <w:t xml:space="preserve"> so zvýšeným počtom potratov, mŕtvo narodených plodov a malformácií. Hyp</w:t>
      </w:r>
      <w:r w:rsidR="00DB189B" w:rsidRPr="008B3F88">
        <w:rPr>
          <w:sz w:val="22"/>
          <w:szCs w:val="22"/>
          <w:lang w:val="sk-SK"/>
        </w:rPr>
        <w:t>o</w:t>
      </w:r>
      <w:r w:rsidRPr="008B3F88">
        <w:rPr>
          <w:sz w:val="22"/>
          <w:szCs w:val="22"/>
          <w:lang w:val="sk-SK"/>
        </w:rPr>
        <w:t>tyre</w:t>
      </w:r>
      <w:r w:rsidR="00CD39E3" w:rsidRPr="008B3F88">
        <w:rPr>
          <w:sz w:val="22"/>
          <w:szCs w:val="22"/>
          <w:lang w:val="sk-SK"/>
        </w:rPr>
        <w:t>óza</w:t>
      </w:r>
      <w:r w:rsidRPr="008B3F88">
        <w:rPr>
          <w:sz w:val="22"/>
          <w:szCs w:val="22"/>
          <w:lang w:val="sk-SK"/>
        </w:rPr>
        <w:t xml:space="preserve"> u matky zároveň súvisí so zvýšeným počtom potratov. </w:t>
      </w:r>
    </w:p>
    <w:p w14:paraId="0BB12D87" w14:textId="083B0E68" w:rsidR="00A33CF2" w:rsidRPr="00AD4653" w:rsidRDefault="00A33CF2" w:rsidP="008B3F88">
      <w:pPr>
        <w:jc w:val="both"/>
        <w:rPr>
          <w:sz w:val="22"/>
          <w:szCs w:val="22"/>
        </w:rPr>
      </w:pPr>
      <w:r w:rsidRPr="008B3F88">
        <w:rPr>
          <w:sz w:val="22"/>
          <w:szCs w:val="22"/>
          <w:lang w:val="sk-SK"/>
        </w:rPr>
        <w:t>Hypotyreóza u gravidných žien sa má primerane liečiť, aby sa predišlo závažným komplikáciám u matky a plodu.</w:t>
      </w:r>
    </w:p>
    <w:p w14:paraId="527FA219" w14:textId="77777777" w:rsidR="00773B90" w:rsidRPr="008B3F88" w:rsidRDefault="00773B90" w:rsidP="00773B90">
      <w:pPr>
        <w:jc w:val="both"/>
        <w:rPr>
          <w:sz w:val="22"/>
          <w:szCs w:val="22"/>
          <w:lang w:val="sk-SK"/>
        </w:rPr>
      </w:pPr>
      <w:r w:rsidRPr="008B3F88">
        <w:rPr>
          <w:sz w:val="22"/>
          <w:szCs w:val="22"/>
          <w:lang w:val="sk-SK"/>
        </w:rPr>
        <w:t>Tvorba hormónu plodom začína v 10. až 14. týždni gravidity. Dávka tyreostatík má byť čo najnižšia, aby sa predišlo potratu, hypotyreóze a strume u plodu. V poslednom trimestri často spontánne hypertyreóza vymizne. Miernu hypertyreózu znášajú tehotné ženy lepšie než samotnú hypotyreózu.</w:t>
      </w:r>
    </w:p>
    <w:p w14:paraId="2A154E34" w14:textId="568C208B" w:rsidR="00A33CF2" w:rsidRPr="00AD4653" w:rsidRDefault="00A33CF2" w:rsidP="008B3F88">
      <w:pPr>
        <w:jc w:val="both"/>
        <w:rPr>
          <w:sz w:val="22"/>
          <w:szCs w:val="22"/>
        </w:rPr>
      </w:pPr>
      <w:r w:rsidRPr="008B3F88">
        <w:rPr>
          <w:sz w:val="22"/>
          <w:szCs w:val="22"/>
          <w:lang w:val="sk-SK"/>
        </w:rPr>
        <w:t>Propyltiouracil prechádza cez ľudskú placentu.</w:t>
      </w:r>
    </w:p>
    <w:p w14:paraId="4F9B2398" w14:textId="58C94CD6" w:rsidR="00E8152B" w:rsidRPr="00AD4653" w:rsidRDefault="00E8152B" w:rsidP="008B3F88">
      <w:pPr>
        <w:jc w:val="both"/>
        <w:rPr>
          <w:sz w:val="22"/>
          <w:szCs w:val="22"/>
        </w:rPr>
      </w:pPr>
      <w:r w:rsidRPr="008B3F88">
        <w:rPr>
          <w:sz w:val="22"/>
          <w:szCs w:val="22"/>
          <w:lang w:val="sk-SK"/>
        </w:rPr>
        <w:t>Štúdie na zvieratách týkajúce sa reprodukčnej toxicity sú nedostatočné.</w:t>
      </w:r>
      <w:r w:rsidR="00DD5820" w:rsidRPr="008B3F88">
        <w:rPr>
          <w:sz w:val="22"/>
          <w:szCs w:val="22"/>
          <w:lang w:val="sk-SK"/>
        </w:rPr>
        <w:t xml:space="preserve"> </w:t>
      </w:r>
      <w:r w:rsidRPr="008B3F88">
        <w:rPr>
          <w:sz w:val="22"/>
          <w:szCs w:val="22"/>
          <w:lang w:val="sk-SK"/>
        </w:rPr>
        <w:t>Epidemi</w:t>
      </w:r>
      <w:r w:rsidR="00DD5820" w:rsidRPr="008B3F88">
        <w:rPr>
          <w:sz w:val="22"/>
          <w:szCs w:val="22"/>
          <w:lang w:val="sk-SK"/>
        </w:rPr>
        <w:t>o</w:t>
      </w:r>
      <w:r w:rsidRPr="008B3F88">
        <w:rPr>
          <w:sz w:val="22"/>
          <w:szCs w:val="22"/>
          <w:lang w:val="sk-SK"/>
        </w:rPr>
        <w:t>logické štúdie poskytujú protichodné výsledky, pokiaľ ide o riziko vrodených malformácií.</w:t>
      </w:r>
    </w:p>
    <w:p w14:paraId="143A590A" w14:textId="3D958D80" w:rsidR="00E8152B" w:rsidRPr="0046669C" w:rsidRDefault="00E8152B" w:rsidP="00E8152B">
      <w:pPr>
        <w:jc w:val="both"/>
        <w:rPr>
          <w:sz w:val="22"/>
          <w:szCs w:val="22"/>
          <w:lang w:val="sk-SK"/>
        </w:rPr>
      </w:pPr>
      <w:r w:rsidRPr="0046669C">
        <w:rPr>
          <w:sz w:val="22"/>
          <w:szCs w:val="22"/>
          <w:lang w:val="sk-SK"/>
        </w:rPr>
        <w:t xml:space="preserve">Pred liečbou propyltiouracilom počas gravidity je potrebné posúdiť individuálny pomer prínosu a rizika. </w:t>
      </w:r>
    </w:p>
    <w:p w14:paraId="3108CFB9" w14:textId="6FE3525C" w:rsidR="00E01FDD" w:rsidRPr="00AD4653" w:rsidRDefault="00E8152B" w:rsidP="008B3F88">
      <w:pPr>
        <w:jc w:val="both"/>
        <w:rPr>
          <w:sz w:val="22"/>
          <w:szCs w:val="22"/>
        </w:rPr>
      </w:pPr>
      <w:r w:rsidRPr="0061789F">
        <w:rPr>
          <w:sz w:val="22"/>
          <w:szCs w:val="22"/>
          <w:lang w:val="sk-SK"/>
        </w:rPr>
        <w:t xml:space="preserve">Propyliouracil sa má počas gravidity podávať v najnižšej účinnej dávke bez ďalšieho podávania hormónov štítnej žľazy. Ak sa propyltiouracil používa počas gravidity, odporúča sa pozorné </w:t>
      </w:r>
      <w:r w:rsidRPr="008B3F88">
        <w:rPr>
          <w:sz w:val="22"/>
          <w:szCs w:val="22"/>
          <w:lang w:val="sk-SK"/>
        </w:rPr>
        <w:t>sledovanie matky, plodu a novorodenca.</w:t>
      </w:r>
      <w:r w:rsidR="00773B90" w:rsidRPr="008B3F88">
        <w:rPr>
          <w:lang w:val="sk-SK"/>
        </w:rPr>
        <w:t xml:space="preserve"> </w:t>
      </w:r>
      <w:r w:rsidR="00773B90" w:rsidRPr="008B3F88">
        <w:rPr>
          <w:sz w:val="22"/>
          <w:szCs w:val="22"/>
          <w:lang w:val="sk-SK"/>
        </w:rPr>
        <w:t>Hodnoty voľných tyreoidálnych hormónov sa majú pohybovať v hornom rozmedzí referenčných hodnôt a hodnoty TSH majú byť nízke alebo nestanoviteľné.</w:t>
      </w:r>
      <w:r w:rsidR="00773B90" w:rsidRPr="0061789F">
        <w:rPr>
          <w:sz w:val="22"/>
          <w:szCs w:val="22"/>
          <w:lang w:val="sk-SK"/>
        </w:rPr>
        <w:t xml:space="preserve"> </w:t>
      </w:r>
    </w:p>
    <w:p w14:paraId="3A15CA9E" w14:textId="77777777" w:rsidR="00E01FDD" w:rsidRPr="0046669C" w:rsidRDefault="00E01FDD">
      <w:pPr>
        <w:pStyle w:val="Zkladntext2"/>
        <w:rPr>
          <w:rFonts w:ascii="Times New Roman" w:hAnsi="Times New Roman" w:cs="Times New Roman"/>
          <w:sz w:val="22"/>
          <w:szCs w:val="22"/>
        </w:rPr>
      </w:pPr>
    </w:p>
    <w:p w14:paraId="710AE424" w14:textId="711F25AC" w:rsidR="00E01FDD" w:rsidRPr="0046669C" w:rsidRDefault="00FA24BA">
      <w:pPr>
        <w:pStyle w:val="Zkladntext2"/>
        <w:rPr>
          <w:rFonts w:ascii="Times New Roman" w:hAnsi="Times New Roman" w:cs="Times New Roman"/>
          <w:sz w:val="22"/>
          <w:szCs w:val="22"/>
          <w:u w:val="single"/>
        </w:rPr>
      </w:pPr>
      <w:r w:rsidRPr="0046669C">
        <w:rPr>
          <w:rFonts w:ascii="Times New Roman" w:hAnsi="Times New Roman" w:cs="Times New Roman"/>
          <w:bCs/>
          <w:sz w:val="22"/>
          <w:szCs w:val="22"/>
          <w:u w:val="single"/>
        </w:rPr>
        <w:t>Dojčenie</w:t>
      </w:r>
    </w:p>
    <w:p w14:paraId="1719779E" w14:textId="68AA84CD" w:rsidR="00F03DD0" w:rsidRPr="0046669C" w:rsidRDefault="00661D85">
      <w:pPr>
        <w:pStyle w:val="Zkladntext2"/>
        <w:rPr>
          <w:rFonts w:ascii="Times New Roman" w:hAnsi="Times New Roman" w:cs="Times New Roman"/>
          <w:sz w:val="22"/>
          <w:szCs w:val="22"/>
        </w:rPr>
      </w:pPr>
      <w:r w:rsidRPr="0046669C">
        <w:rPr>
          <w:rFonts w:ascii="Times New Roman" w:hAnsi="Times New Roman" w:cs="Times New Roman"/>
          <w:sz w:val="22"/>
          <w:szCs w:val="22"/>
        </w:rPr>
        <w:t xml:space="preserve">Počas dojčenia je propyltiouracil považovaný za liek voľby, pretože jeho koncentrácia v materskom mlieku dosahuje len jednu desatinu hodnoty koncentrácie </w:t>
      </w:r>
      <w:r w:rsidR="00751F42" w:rsidRPr="0046669C">
        <w:rPr>
          <w:rFonts w:ascii="Times New Roman" w:hAnsi="Times New Roman" w:cs="Times New Roman"/>
          <w:sz w:val="22"/>
          <w:szCs w:val="22"/>
        </w:rPr>
        <w:t xml:space="preserve">v sére </w:t>
      </w:r>
      <w:r w:rsidRPr="0046669C">
        <w:rPr>
          <w:rFonts w:ascii="Times New Roman" w:hAnsi="Times New Roman" w:cs="Times New Roman"/>
          <w:sz w:val="22"/>
          <w:szCs w:val="22"/>
        </w:rPr>
        <w:t xml:space="preserve">matky. </w:t>
      </w:r>
      <w:r w:rsidR="00E01FDD" w:rsidRPr="0046669C">
        <w:rPr>
          <w:rFonts w:ascii="Times New Roman" w:hAnsi="Times New Roman" w:cs="Times New Roman"/>
          <w:sz w:val="22"/>
          <w:szCs w:val="22"/>
        </w:rPr>
        <w:t>P</w:t>
      </w:r>
      <w:r w:rsidRPr="0046669C">
        <w:rPr>
          <w:rFonts w:ascii="Times New Roman" w:hAnsi="Times New Roman" w:cs="Times New Roman"/>
          <w:sz w:val="22"/>
          <w:szCs w:val="22"/>
        </w:rPr>
        <w:t xml:space="preserve">otrebný </w:t>
      </w:r>
      <w:r w:rsidR="00E01FDD" w:rsidRPr="0046669C">
        <w:rPr>
          <w:rFonts w:ascii="Times New Roman" w:hAnsi="Times New Roman" w:cs="Times New Roman"/>
          <w:sz w:val="22"/>
          <w:szCs w:val="22"/>
        </w:rPr>
        <w:t xml:space="preserve">je </w:t>
      </w:r>
      <w:r w:rsidRPr="0046669C">
        <w:rPr>
          <w:rFonts w:ascii="Times New Roman" w:hAnsi="Times New Roman" w:cs="Times New Roman"/>
          <w:sz w:val="22"/>
          <w:szCs w:val="22"/>
        </w:rPr>
        <w:t xml:space="preserve">aj špeciálny monitoring novorodenca, lebo existujú </w:t>
      </w:r>
      <w:r w:rsidR="00160AC6" w:rsidRPr="0046669C">
        <w:rPr>
          <w:rFonts w:ascii="Times New Roman" w:hAnsi="Times New Roman" w:cs="Times New Roman"/>
          <w:sz w:val="22"/>
          <w:szCs w:val="22"/>
        </w:rPr>
        <w:t>o</w:t>
      </w:r>
      <w:r w:rsidR="00D21B8E" w:rsidRPr="0046669C">
        <w:rPr>
          <w:rFonts w:ascii="Times New Roman" w:hAnsi="Times New Roman" w:cs="Times New Roman"/>
          <w:sz w:val="22"/>
          <w:szCs w:val="22"/>
        </w:rPr>
        <w:t>jed</w:t>
      </w:r>
      <w:r w:rsidR="00160AC6" w:rsidRPr="0046669C">
        <w:rPr>
          <w:rFonts w:ascii="Times New Roman" w:hAnsi="Times New Roman" w:cs="Times New Roman"/>
          <w:sz w:val="22"/>
          <w:szCs w:val="22"/>
        </w:rPr>
        <w:t>inel</w:t>
      </w:r>
      <w:r w:rsidR="00D21B8E" w:rsidRPr="0046669C">
        <w:rPr>
          <w:rFonts w:ascii="Times New Roman" w:hAnsi="Times New Roman" w:cs="Times New Roman"/>
          <w:sz w:val="22"/>
          <w:szCs w:val="22"/>
        </w:rPr>
        <w:t xml:space="preserve">é </w:t>
      </w:r>
      <w:r w:rsidRPr="0046669C">
        <w:rPr>
          <w:rFonts w:ascii="Times New Roman" w:hAnsi="Times New Roman" w:cs="Times New Roman"/>
          <w:sz w:val="22"/>
          <w:szCs w:val="22"/>
        </w:rPr>
        <w:t xml:space="preserve">správy o hypotyreóze. </w:t>
      </w:r>
    </w:p>
    <w:p w14:paraId="49DF23A0" w14:textId="369FC890" w:rsidR="00661D85" w:rsidRPr="0046669C" w:rsidRDefault="00661D85">
      <w:pPr>
        <w:pStyle w:val="Zkladntext2"/>
        <w:rPr>
          <w:rFonts w:ascii="Times New Roman" w:hAnsi="Times New Roman" w:cs="Times New Roman"/>
          <w:sz w:val="22"/>
          <w:szCs w:val="22"/>
        </w:rPr>
      </w:pPr>
    </w:p>
    <w:p w14:paraId="2751771B" w14:textId="0D5A34DA" w:rsidR="00FA24BA" w:rsidRPr="0046669C" w:rsidRDefault="00FA24BA">
      <w:pPr>
        <w:pStyle w:val="Zkladntext2"/>
        <w:rPr>
          <w:rFonts w:ascii="Times New Roman" w:hAnsi="Times New Roman" w:cs="Times New Roman"/>
          <w:sz w:val="22"/>
          <w:szCs w:val="22"/>
        </w:rPr>
      </w:pPr>
    </w:p>
    <w:p w14:paraId="6607E330" w14:textId="05A53A07" w:rsidR="007F26C1" w:rsidRPr="0046669C" w:rsidRDefault="00E57A33" w:rsidP="00070628">
      <w:pPr>
        <w:rPr>
          <w:sz w:val="22"/>
          <w:szCs w:val="22"/>
          <w:lang w:val="sk-SK"/>
        </w:rPr>
      </w:pPr>
      <w:r w:rsidRPr="0046669C">
        <w:rPr>
          <w:b/>
          <w:noProof/>
          <w:szCs w:val="22"/>
          <w:lang w:val="sk-SK"/>
        </w:rPr>
        <w:t>4.7</w:t>
      </w:r>
      <w:r w:rsidRPr="0046669C">
        <w:rPr>
          <w:b/>
          <w:noProof/>
          <w:szCs w:val="22"/>
          <w:lang w:val="sk-SK"/>
        </w:rPr>
        <w:tab/>
        <w:t>Ovplyvnenie schopnosti viesť vozidlá a obsluhovať stroje</w:t>
      </w:r>
    </w:p>
    <w:p w14:paraId="6CC3FE14" w14:textId="77777777" w:rsidR="001C05D0" w:rsidRPr="0046669C" w:rsidRDefault="001C05D0" w:rsidP="00E01FDD">
      <w:pPr>
        <w:tabs>
          <w:tab w:val="left" w:pos="0"/>
          <w:tab w:val="left" w:pos="3802"/>
          <w:tab w:val="left" w:pos="5816"/>
          <w:tab w:val="left" w:pos="7858"/>
        </w:tabs>
        <w:suppressAutoHyphens/>
        <w:rPr>
          <w:sz w:val="22"/>
          <w:szCs w:val="22"/>
          <w:lang w:val="sk-SK"/>
        </w:rPr>
      </w:pPr>
    </w:p>
    <w:p w14:paraId="57A3893E" w14:textId="77777777" w:rsidR="00E01FDD" w:rsidRPr="0046669C" w:rsidRDefault="00E01FDD" w:rsidP="00E01FDD">
      <w:pPr>
        <w:tabs>
          <w:tab w:val="left" w:pos="0"/>
          <w:tab w:val="left" w:pos="3802"/>
          <w:tab w:val="left" w:pos="5816"/>
          <w:tab w:val="left" w:pos="7858"/>
        </w:tabs>
        <w:suppressAutoHyphens/>
        <w:rPr>
          <w:sz w:val="22"/>
          <w:szCs w:val="22"/>
          <w:lang w:val="sk-SK"/>
        </w:rPr>
      </w:pPr>
      <w:r w:rsidRPr="0046669C">
        <w:rPr>
          <w:sz w:val="22"/>
          <w:szCs w:val="22"/>
          <w:lang w:val="sk-SK"/>
        </w:rPr>
        <w:t xml:space="preserve">Štúdie zaoberajúce sa dôsledkami na schopnosť viesť vozidlá a obsluhovať stroje nie sú známe. Na základe farmakologických vlastností sa pre tieto aktivity nedá predpokladať žiadne riziko. Skôr ako pacient začne vykonávať tieto činnosti, treba posúdiť jeho klinický stav a potenciálne nežiaduce účinky. </w:t>
      </w:r>
    </w:p>
    <w:p w14:paraId="37D50370" w14:textId="77777777" w:rsidR="00661D85" w:rsidRPr="0046669C" w:rsidRDefault="00661D85">
      <w:pPr>
        <w:rPr>
          <w:sz w:val="22"/>
          <w:szCs w:val="22"/>
          <w:lang w:val="sk-SK"/>
        </w:rPr>
      </w:pPr>
    </w:p>
    <w:p w14:paraId="01F1B975" w14:textId="35F7470B" w:rsidR="00E57A33" w:rsidRPr="0046669C" w:rsidRDefault="00E57A33" w:rsidP="00E57A33">
      <w:pPr>
        <w:rPr>
          <w:b/>
          <w:noProof/>
          <w:szCs w:val="22"/>
          <w:lang w:val="sk-SK"/>
        </w:rPr>
      </w:pPr>
      <w:r w:rsidRPr="0046669C">
        <w:rPr>
          <w:b/>
          <w:noProof/>
          <w:szCs w:val="22"/>
          <w:lang w:val="sk-SK"/>
        </w:rPr>
        <w:lastRenderedPageBreak/>
        <w:t>4.8</w:t>
      </w:r>
      <w:r w:rsidRPr="0046669C">
        <w:rPr>
          <w:b/>
          <w:noProof/>
          <w:szCs w:val="22"/>
          <w:lang w:val="sk-SK"/>
        </w:rPr>
        <w:tab/>
        <w:t>Nežiaduce účinky</w:t>
      </w:r>
    </w:p>
    <w:p w14:paraId="316461D8" w14:textId="77777777" w:rsidR="004E5B55" w:rsidRPr="0046669C" w:rsidRDefault="004E5B55" w:rsidP="004E5B55">
      <w:pPr>
        <w:tabs>
          <w:tab w:val="left" w:pos="0"/>
          <w:tab w:val="left" w:pos="3802"/>
          <w:tab w:val="left" w:pos="5816"/>
          <w:tab w:val="left" w:pos="7858"/>
        </w:tabs>
        <w:suppressAutoHyphens/>
        <w:rPr>
          <w:sz w:val="22"/>
          <w:szCs w:val="22"/>
          <w:lang w:val="sk-SK"/>
        </w:rPr>
      </w:pPr>
    </w:p>
    <w:p w14:paraId="730A78FB" w14:textId="77777777" w:rsidR="004E5B55" w:rsidRPr="0046669C" w:rsidRDefault="004E5B55" w:rsidP="004E5B55">
      <w:pPr>
        <w:tabs>
          <w:tab w:val="left" w:pos="0"/>
          <w:tab w:val="left" w:pos="3802"/>
          <w:tab w:val="left" w:pos="5816"/>
          <w:tab w:val="left" w:pos="7858"/>
        </w:tabs>
        <w:suppressAutoHyphens/>
        <w:rPr>
          <w:sz w:val="22"/>
          <w:szCs w:val="22"/>
          <w:lang w:val="sk-SK"/>
        </w:rPr>
      </w:pPr>
      <w:r w:rsidRPr="0046669C">
        <w:rPr>
          <w:sz w:val="22"/>
          <w:szCs w:val="22"/>
          <w:lang w:val="sk-SK"/>
        </w:rPr>
        <w:t xml:space="preserve">Pre tento liek nie je k dispozícii moderná klinická dokumentácia, ktorá by sa dala použiť na presné stanovenie frekvencie nežiaducich účinkov. Frekvencia nežiaducich účinkov sa môže meniť v závislosti od indikácie, dávky a typu kombinácie s inými liekmi. </w:t>
      </w:r>
    </w:p>
    <w:p w14:paraId="12902C25" w14:textId="77777777" w:rsidR="00EF0F56" w:rsidRPr="0046669C" w:rsidRDefault="00EF0F56" w:rsidP="004E5B55">
      <w:pPr>
        <w:tabs>
          <w:tab w:val="left" w:pos="0"/>
          <w:tab w:val="left" w:pos="3802"/>
          <w:tab w:val="left" w:pos="5816"/>
          <w:tab w:val="left" w:pos="7858"/>
        </w:tabs>
        <w:suppressAutoHyphens/>
        <w:rPr>
          <w:sz w:val="22"/>
          <w:szCs w:val="22"/>
          <w:lang w:val="sk-SK"/>
        </w:rPr>
      </w:pPr>
    </w:p>
    <w:p w14:paraId="73D01A09" w14:textId="77777777" w:rsidR="004E5B55" w:rsidRPr="0046669C" w:rsidRDefault="004E5B55" w:rsidP="004E5B55">
      <w:pPr>
        <w:tabs>
          <w:tab w:val="left" w:pos="0"/>
          <w:tab w:val="left" w:pos="3802"/>
          <w:tab w:val="left" w:pos="5816"/>
          <w:tab w:val="left" w:pos="7858"/>
        </w:tabs>
        <w:suppressAutoHyphens/>
        <w:rPr>
          <w:sz w:val="22"/>
          <w:szCs w:val="22"/>
          <w:lang w:val="sk-SK"/>
        </w:rPr>
      </w:pPr>
      <w:r w:rsidRPr="0046669C">
        <w:rPr>
          <w:sz w:val="22"/>
          <w:szCs w:val="22"/>
          <w:lang w:val="sk-SK"/>
        </w:rPr>
        <w:t xml:space="preserve">Nežiaduce účinky s možnou klinickou závažnosťou sú uvedené podľa systémovej klasifikácie orgánových skupín. </w:t>
      </w:r>
    </w:p>
    <w:p w14:paraId="1183B7FE" w14:textId="51E3FB16"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sz w:val="22"/>
          <w:szCs w:val="22"/>
          <w:lang w:val="sk-SK"/>
        </w:rPr>
        <w:t xml:space="preserve">Definícia frekvencie je založená nasledovne: </w:t>
      </w:r>
      <w:r w:rsidRPr="0046669C">
        <w:rPr>
          <w:bCs/>
          <w:sz w:val="22"/>
          <w:szCs w:val="22"/>
          <w:lang w:val="sk-SK"/>
        </w:rPr>
        <w:t>veľmi časté (</w:t>
      </w:r>
      <w:r w:rsidRPr="0046669C">
        <w:rPr>
          <w:bCs/>
          <w:sz w:val="22"/>
          <w:szCs w:val="22"/>
          <w:lang w:val="sk-SK"/>
        </w:rPr>
        <w:sym w:font="Symbol" w:char="F0B3"/>
      </w:r>
      <w:r w:rsidRPr="0046669C">
        <w:rPr>
          <w:bCs/>
          <w:sz w:val="22"/>
          <w:szCs w:val="22"/>
          <w:lang w:val="sk-SK"/>
        </w:rPr>
        <w:t>1/10), časté (</w:t>
      </w:r>
      <w:r w:rsidRPr="0046669C">
        <w:rPr>
          <w:bCs/>
          <w:sz w:val="22"/>
          <w:szCs w:val="22"/>
          <w:lang w:val="sk-SK"/>
        </w:rPr>
        <w:sym w:font="Symbol" w:char="F0B3"/>
      </w:r>
      <w:r w:rsidRPr="0046669C">
        <w:rPr>
          <w:bCs/>
          <w:sz w:val="22"/>
          <w:szCs w:val="22"/>
          <w:lang w:val="sk-SK"/>
        </w:rPr>
        <w:t xml:space="preserve">1/100 </w:t>
      </w:r>
      <w:r w:rsidR="00463DF4" w:rsidRPr="0046669C">
        <w:rPr>
          <w:bCs/>
          <w:sz w:val="22"/>
          <w:szCs w:val="22"/>
          <w:lang w:val="sk-SK"/>
        </w:rPr>
        <w:t xml:space="preserve">až </w:t>
      </w:r>
      <w:r w:rsidRPr="0046669C">
        <w:rPr>
          <w:bCs/>
          <w:sz w:val="22"/>
          <w:szCs w:val="22"/>
          <w:lang w:val="sk-SK"/>
        </w:rPr>
        <w:t>&lt;1/10 ), menej časté (</w:t>
      </w:r>
      <w:r w:rsidRPr="0046669C">
        <w:rPr>
          <w:bCs/>
          <w:sz w:val="22"/>
          <w:szCs w:val="22"/>
          <w:lang w:val="sk-SK"/>
        </w:rPr>
        <w:sym w:font="Symbol" w:char="F0B3"/>
      </w:r>
      <w:r w:rsidRPr="0046669C">
        <w:rPr>
          <w:bCs/>
          <w:sz w:val="22"/>
          <w:szCs w:val="22"/>
          <w:lang w:val="sk-SK"/>
        </w:rPr>
        <w:t>1/1</w:t>
      </w:r>
      <w:r w:rsidR="007F26C1" w:rsidRPr="0046669C">
        <w:rPr>
          <w:bCs/>
          <w:sz w:val="22"/>
          <w:szCs w:val="22"/>
          <w:lang w:val="sk-SK"/>
        </w:rPr>
        <w:t xml:space="preserve"> </w:t>
      </w:r>
      <w:r w:rsidRPr="0046669C">
        <w:rPr>
          <w:bCs/>
          <w:sz w:val="22"/>
          <w:szCs w:val="22"/>
          <w:lang w:val="sk-SK"/>
        </w:rPr>
        <w:t xml:space="preserve">000 </w:t>
      </w:r>
      <w:r w:rsidR="00463DF4" w:rsidRPr="0046669C">
        <w:rPr>
          <w:bCs/>
          <w:sz w:val="22"/>
          <w:szCs w:val="22"/>
          <w:lang w:val="sk-SK"/>
        </w:rPr>
        <w:t xml:space="preserve">až </w:t>
      </w:r>
      <w:r w:rsidRPr="0046669C">
        <w:rPr>
          <w:bCs/>
          <w:sz w:val="22"/>
          <w:szCs w:val="22"/>
          <w:lang w:val="sk-SK"/>
        </w:rPr>
        <w:t>&lt; 1/100), zriedkavé (</w:t>
      </w:r>
      <w:r w:rsidRPr="0046669C">
        <w:rPr>
          <w:bCs/>
          <w:sz w:val="22"/>
          <w:szCs w:val="22"/>
          <w:lang w:val="sk-SK"/>
        </w:rPr>
        <w:sym w:font="Symbol" w:char="F0B3"/>
      </w:r>
      <w:r w:rsidRPr="0046669C">
        <w:rPr>
          <w:bCs/>
          <w:sz w:val="22"/>
          <w:szCs w:val="22"/>
          <w:lang w:val="sk-SK"/>
        </w:rPr>
        <w:t>1/10</w:t>
      </w:r>
      <w:r w:rsidR="007F26C1" w:rsidRPr="0046669C">
        <w:rPr>
          <w:bCs/>
          <w:sz w:val="22"/>
          <w:szCs w:val="22"/>
          <w:lang w:val="sk-SK"/>
        </w:rPr>
        <w:t xml:space="preserve"> </w:t>
      </w:r>
      <w:r w:rsidRPr="0046669C">
        <w:rPr>
          <w:bCs/>
          <w:sz w:val="22"/>
          <w:szCs w:val="22"/>
          <w:lang w:val="sk-SK"/>
        </w:rPr>
        <w:t>000</w:t>
      </w:r>
      <w:r w:rsidR="00463DF4" w:rsidRPr="0046669C">
        <w:rPr>
          <w:bCs/>
          <w:sz w:val="22"/>
          <w:szCs w:val="22"/>
          <w:lang w:val="sk-SK"/>
        </w:rPr>
        <w:t xml:space="preserve"> až</w:t>
      </w:r>
      <w:r w:rsidRPr="0046669C">
        <w:rPr>
          <w:bCs/>
          <w:sz w:val="22"/>
          <w:szCs w:val="22"/>
          <w:lang w:val="sk-SK"/>
        </w:rPr>
        <w:t xml:space="preserve"> &lt;1/1000), veľmi zriedkavé (&lt;1/10</w:t>
      </w:r>
      <w:r w:rsidR="007F26C1" w:rsidRPr="0046669C">
        <w:rPr>
          <w:bCs/>
          <w:sz w:val="22"/>
          <w:szCs w:val="22"/>
          <w:lang w:val="sk-SK"/>
        </w:rPr>
        <w:t xml:space="preserve"> </w:t>
      </w:r>
      <w:r w:rsidRPr="0046669C">
        <w:rPr>
          <w:bCs/>
          <w:sz w:val="22"/>
          <w:szCs w:val="22"/>
          <w:lang w:val="sk-SK"/>
        </w:rPr>
        <w:t xml:space="preserve">000) vrátane </w:t>
      </w:r>
      <w:r w:rsidRPr="008B3F88">
        <w:rPr>
          <w:bCs/>
          <w:sz w:val="22"/>
          <w:szCs w:val="22"/>
          <w:lang w:val="sk-SK"/>
        </w:rPr>
        <w:t>jednotlivých hlásení</w:t>
      </w:r>
      <w:r w:rsidR="006F0936" w:rsidRPr="008B3F88">
        <w:rPr>
          <w:bCs/>
          <w:sz w:val="22"/>
          <w:szCs w:val="22"/>
          <w:lang w:val="sk-SK"/>
        </w:rPr>
        <w:t xml:space="preserve">, </w:t>
      </w:r>
      <w:r w:rsidR="006F0936" w:rsidRPr="008B3F88">
        <w:rPr>
          <w:sz w:val="22"/>
          <w:szCs w:val="22"/>
          <w:lang w:val="pl-PL"/>
        </w:rPr>
        <w:t>neznáme (z dostupných údajov)</w:t>
      </w:r>
      <w:r w:rsidRPr="008B3F88">
        <w:rPr>
          <w:bCs/>
          <w:sz w:val="22"/>
          <w:szCs w:val="22"/>
          <w:lang w:val="sk-SK"/>
        </w:rPr>
        <w:t>.</w:t>
      </w:r>
      <w:r w:rsidRPr="0046669C">
        <w:rPr>
          <w:bCs/>
          <w:sz w:val="22"/>
          <w:szCs w:val="22"/>
          <w:lang w:val="sk-SK"/>
        </w:rPr>
        <w:t xml:space="preserve"> </w:t>
      </w:r>
    </w:p>
    <w:p w14:paraId="6258F87D" w14:textId="77777777" w:rsidR="0016451B" w:rsidRPr="0046669C" w:rsidRDefault="0016451B" w:rsidP="004E5B55">
      <w:pPr>
        <w:tabs>
          <w:tab w:val="left" w:pos="0"/>
          <w:tab w:val="left" w:pos="3802"/>
          <w:tab w:val="left" w:pos="5816"/>
          <w:tab w:val="left" w:pos="7858"/>
        </w:tabs>
        <w:suppressAutoHyphens/>
        <w:rPr>
          <w:bCs/>
          <w:sz w:val="22"/>
          <w:szCs w:val="22"/>
          <w:lang w:val="sk-SK"/>
        </w:rPr>
      </w:pPr>
    </w:p>
    <w:p w14:paraId="104DF82E" w14:textId="77777777" w:rsidR="004E5B55" w:rsidRPr="0046669C" w:rsidRDefault="007F26C1" w:rsidP="004E5B55">
      <w:pPr>
        <w:pStyle w:val="Nadpis2"/>
        <w:tabs>
          <w:tab w:val="left" w:pos="0"/>
        </w:tabs>
        <w:rPr>
          <w:sz w:val="22"/>
          <w:szCs w:val="22"/>
          <w:lang w:val="sk-SK"/>
        </w:rPr>
      </w:pPr>
      <w:r w:rsidRPr="0046669C">
        <w:rPr>
          <w:sz w:val="22"/>
          <w:szCs w:val="22"/>
          <w:lang w:val="sk-SK"/>
        </w:rPr>
        <w:t xml:space="preserve">Poruchy </w:t>
      </w:r>
      <w:r w:rsidR="004E5B55" w:rsidRPr="0046669C">
        <w:rPr>
          <w:sz w:val="22"/>
          <w:szCs w:val="22"/>
          <w:lang w:val="sk-SK"/>
        </w:rPr>
        <w:t xml:space="preserve">krvi a lymfatického systému </w:t>
      </w:r>
    </w:p>
    <w:p w14:paraId="1A36B223"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Časté</w:t>
      </w:r>
      <w:r w:rsidRPr="0046669C">
        <w:rPr>
          <w:bCs/>
          <w:sz w:val="22"/>
          <w:szCs w:val="22"/>
          <w:lang w:val="sk-SK"/>
        </w:rPr>
        <w:t xml:space="preserve">: neutropénia bez klinickej závažnosti </w:t>
      </w:r>
    </w:p>
    <w:p w14:paraId="3F5CAFBF"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Menej časté</w:t>
      </w:r>
      <w:r w:rsidRPr="0046669C">
        <w:rPr>
          <w:bCs/>
          <w:sz w:val="22"/>
          <w:szCs w:val="22"/>
          <w:lang w:val="sk-SK"/>
        </w:rPr>
        <w:t>: agranulocytóza</w:t>
      </w:r>
    </w:p>
    <w:p w14:paraId="61CF13B8" w14:textId="0E5089A1" w:rsidR="00CC7C19"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trombocytopénia, pancytopénia, porušená erytropoéza, hemolýza, pozitívny Coombsov test, lym</w:t>
      </w:r>
      <w:r w:rsidR="00F83E2D" w:rsidRPr="0046669C">
        <w:rPr>
          <w:bCs/>
          <w:sz w:val="22"/>
          <w:szCs w:val="22"/>
          <w:lang w:val="sk-SK"/>
        </w:rPr>
        <w:t>f</w:t>
      </w:r>
      <w:r w:rsidRPr="0046669C">
        <w:rPr>
          <w:bCs/>
          <w:sz w:val="22"/>
          <w:szCs w:val="22"/>
          <w:lang w:val="sk-SK"/>
        </w:rPr>
        <w:t xml:space="preserve">adenopatia. </w:t>
      </w:r>
    </w:p>
    <w:p w14:paraId="14343CDC" w14:textId="6B05BF67" w:rsidR="0055267F"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V</w:t>
      </w:r>
      <w:r w:rsidR="00CD1DB7" w:rsidRPr="0046669C">
        <w:rPr>
          <w:bCs/>
          <w:sz w:val="22"/>
          <w:szCs w:val="22"/>
          <w:lang w:val="sk-SK"/>
        </w:rPr>
        <w:t> </w:t>
      </w:r>
      <w:r w:rsidRPr="0046669C">
        <w:rPr>
          <w:bCs/>
          <w:sz w:val="22"/>
          <w:szCs w:val="22"/>
          <w:lang w:val="sk-SK"/>
        </w:rPr>
        <w:t>0</w:t>
      </w:r>
      <w:r w:rsidR="00CD1DB7" w:rsidRPr="0046669C">
        <w:rPr>
          <w:bCs/>
          <w:sz w:val="22"/>
          <w:szCs w:val="22"/>
          <w:lang w:val="sk-SK"/>
        </w:rPr>
        <w:t>,</w:t>
      </w:r>
      <w:r w:rsidRPr="0046669C">
        <w:rPr>
          <w:bCs/>
          <w:sz w:val="22"/>
          <w:szCs w:val="22"/>
          <w:lang w:val="sk-SK"/>
        </w:rPr>
        <w:t>3-0</w:t>
      </w:r>
      <w:r w:rsidR="00CD1DB7" w:rsidRPr="0046669C">
        <w:rPr>
          <w:bCs/>
          <w:sz w:val="22"/>
          <w:szCs w:val="22"/>
          <w:lang w:val="sk-SK"/>
        </w:rPr>
        <w:t>,</w:t>
      </w:r>
      <w:r w:rsidRPr="0046669C">
        <w:rPr>
          <w:bCs/>
          <w:sz w:val="22"/>
          <w:szCs w:val="22"/>
          <w:lang w:val="sk-SK"/>
        </w:rPr>
        <w:t>6 % prípadov vzniká agranulocytóza. Môže sa manifestovať po týždňoch až mesiacoch po začatí liečby, nutné je úplné vysadenie Propycilu</w:t>
      </w:r>
      <w:r w:rsidR="00463DF4" w:rsidRPr="0046669C">
        <w:rPr>
          <w:bCs/>
          <w:sz w:val="22"/>
          <w:szCs w:val="22"/>
          <w:lang w:val="sk-SK"/>
        </w:rPr>
        <w:t xml:space="preserve"> 50</w:t>
      </w:r>
      <w:r w:rsidRPr="0046669C">
        <w:rPr>
          <w:bCs/>
          <w:sz w:val="22"/>
          <w:szCs w:val="22"/>
          <w:lang w:val="sk-SK"/>
        </w:rPr>
        <w:t>. Vo väčšine prípadov po vysadení lieku agranulocytóza spontánne od</w:t>
      </w:r>
      <w:r w:rsidR="001756E1" w:rsidRPr="0046669C">
        <w:rPr>
          <w:bCs/>
          <w:sz w:val="22"/>
          <w:szCs w:val="22"/>
          <w:lang w:val="sk-SK"/>
        </w:rPr>
        <w:t>o</w:t>
      </w:r>
      <w:r w:rsidRPr="0046669C">
        <w:rPr>
          <w:bCs/>
          <w:sz w:val="22"/>
          <w:szCs w:val="22"/>
          <w:lang w:val="sk-SK"/>
        </w:rPr>
        <w:t>znie. Aplikáciu faktoru stimulujúceho kolónie granulocytov (G-CFS</w:t>
      </w:r>
      <w:r w:rsidR="002D77F2" w:rsidRPr="0046669C">
        <w:rPr>
          <w:bCs/>
          <w:sz w:val="22"/>
          <w:szCs w:val="22"/>
          <w:lang w:val="sk-SK"/>
        </w:rPr>
        <w:t>,</w:t>
      </w:r>
    </w:p>
    <w:p w14:paraId="603451CF" w14:textId="2E3A10B4"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filgrastim) je nutné zvážiť po konzultácii s</w:t>
      </w:r>
      <w:r w:rsidR="007F26C1" w:rsidRPr="0046669C">
        <w:rPr>
          <w:bCs/>
          <w:sz w:val="22"/>
          <w:szCs w:val="22"/>
          <w:lang w:val="sk-SK"/>
        </w:rPr>
        <w:t> </w:t>
      </w:r>
      <w:r w:rsidRPr="0046669C">
        <w:rPr>
          <w:bCs/>
          <w:sz w:val="22"/>
          <w:szCs w:val="22"/>
          <w:lang w:val="sk-SK"/>
        </w:rPr>
        <w:t>hematológom</w:t>
      </w:r>
      <w:r w:rsidR="007F26C1" w:rsidRPr="0046669C">
        <w:rPr>
          <w:bCs/>
          <w:sz w:val="22"/>
          <w:szCs w:val="22"/>
          <w:lang w:val="sk-SK"/>
        </w:rPr>
        <w:t>.</w:t>
      </w:r>
    </w:p>
    <w:p w14:paraId="5233557A"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16631D03" w14:textId="77777777" w:rsidR="004E5B55" w:rsidRPr="0046669C" w:rsidRDefault="004E5B55" w:rsidP="004E5B55">
      <w:pPr>
        <w:pStyle w:val="Nadpis2"/>
        <w:tabs>
          <w:tab w:val="left" w:pos="0"/>
        </w:tabs>
        <w:rPr>
          <w:sz w:val="22"/>
          <w:szCs w:val="22"/>
          <w:lang w:val="sk-SK"/>
        </w:rPr>
      </w:pPr>
      <w:r w:rsidRPr="0046669C">
        <w:rPr>
          <w:sz w:val="22"/>
          <w:szCs w:val="22"/>
          <w:lang w:val="sk-SK"/>
        </w:rPr>
        <w:t>Poruchy imunitného systému</w:t>
      </w:r>
    </w:p>
    <w:p w14:paraId="735CC0F2" w14:textId="46340A4A"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Časté</w:t>
      </w:r>
      <w:r w:rsidRPr="0046669C">
        <w:rPr>
          <w:bCs/>
          <w:sz w:val="22"/>
          <w:szCs w:val="22"/>
          <w:lang w:val="sk-SK"/>
        </w:rPr>
        <w:t xml:space="preserve">: reakcie precitlivenosti. Alergické vyrážky na koži (pruritus, exantém, žihľavka) </w:t>
      </w:r>
      <w:r w:rsidR="006734A7" w:rsidRPr="0046669C">
        <w:rPr>
          <w:bCs/>
          <w:sz w:val="22"/>
          <w:szCs w:val="22"/>
          <w:lang w:val="sk-SK"/>
        </w:rPr>
        <w:t>sa vyskytujú často. Z</w:t>
      </w:r>
      <w:r w:rsidRPr="0046669C">
        <w:rPr>
          <w:sz w:val="22"/>
          <w:lang w:val="sk-SK"/>
        </w:rPr>
        <w:t>vyčajne nemajú ťažký priebeh a s pokrač</w:t>
      </w:r>
      <w:r w:rsidR="0081620D" w:rsidRPr="0046669C">
        <w:rPr>
          <w:sz w:val="22"/>
          <w:lang w:val="sk-SK"/>
        </w:rPr>
        <w:t>ujúcou liečbou od</w:t>
      </w:r>
      <w:r w:rsidR="00CA7135" w:rsidRPr="0046669C">
        <w:rPr>
          <w:sz w:val="22"/>
          <w:lang w:val="sk-SK"/>
        </w:rPr>
        <w:t>o</w:t>
      </w:r>
      <w:r w:rsidR="0081620D" w:rsidRPr="0046669C">
        <w:rPr>
          <w:sz w:val="22"/>
          <w:lang w:val="sk-SK"/>
        </w:rPr>
        <w:t>znejú (pozri: P</w:t>
      </w:r>
      <w:r w:rsidRPr="0046669C">
        <w:rPr>
          <w:sz w:val="22"/>
          <w:lang w:val="sk-SK"/>
        </w:rPr>
        <w:t>oruchy kože a podkožného tkaniva)</w:t>
      </w:r>
      <w:r w:rsidRPr="0046669C">
        <w:rPr>
          <w:bCs/>
          <w:sz w:val="22"/>
          <w:szCs w:val="22"/>
          <w:lang w:val="sk-SK"/>
        </w:rPr>
        <w:t xml:space="preserve"> </w:t>
      </w:r>
    </w:p>
    <w:p w14:paraId="48630158" w14:textId="0917C376" w:rsidR="00F77659"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Zriedkavé</w:t>
      </w:r>
      <w:r w:rsidRPr="0046669C">
        <w:rPr>
          <w:bCs/>
          <w:sz w:val="22"/>
          <w:szCs w:val="22"/>
          <w:lang w:val="sk-SK"/>
        </w:rPr>
        <w:t xml:space="preserve">: lieková horúčka, poškodenie pečene (pozri: Ochorenia </w:t>
      </w:r>
      <w:r w:rsidR="0055267F" w:rsidRPr="0046669C">
        <w:rPr>
          <w:bCs/>
          <w:sz w:val="22"/>
          <w:szCs w:val="22"/>
          <w:lang w:val="sk-SK"/>
        </w:rPr>
        <w:t xml:space="preserve"> </w:t>
      </w:r>
      <w:r w:rsidRPr="0046669C">
        <w:rPr>
          <w:bCs/>
          <w:sz w:val="22"/>
          <w:szCs w:val="22"/>
          <w:lang w:val="sk-SK"/>
        </w:rPr>
        <w:t xml:space="preserve">pečene a žlčových ciest). </w:t>
      </w:r>
    </w:p>
    <w:p w14:paraId="19376982" w14:textId="03FA0625"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bolesť kĺbov (pozri: Poruchy kostrovej a svalovej sústavy a spojivového tkaniva).</w:t>
      </w:r>
    </w:p>
    <w:p w14:paraId="77992AA3" w14:textId="5E984974" w:rsidR="00FA24BA" w:rsidRPr="008B3F88" w:rsidRDefault="009C3969" w:rsidP="00A2430B">
      <w:pPr>
        <w:tabs>
          <w:tab w:val="left" w:pos="0"/>
          <w:tab w:val="left" w:pos="3802"/>
          <w:tab w:val="left" w:pos="5816"/>
          <w:tab w:val="left" w:pos="7858"/>
        </w:tabs>
        <w:suppressAutoHyphens/>
        <w:rPr>
          <w:bCs/>
          <w:sz w:val="22"/>
          <w:szCs w:val="22"/>
          <w:lang w:val="sk-SK"/>
        </w:rPr>
      </w:pPr>
      <w:r w:rsidRPr="0046669C">
        <w:rPr>
          <w:bCs/>
          <w:sz w:val="22"/>
          <w:szCs w:val="22"/>
          <w:lang w:val="sk-SK"/>
        </w:rPr>
        <w:t>U pacientov, ktorí užívajú propyltiouracil sa môžu vytvoriť antineutrofilné cytoplazmatické protilátky (ANCA)</w:t>
      </w:r>
      <w:r w:rsidR="00752888" w:rsidRPr="0046669C">
        <w:rPr>
          <w:bCs/>
          <w:sz w:val="22"/>
          <w:szCs w:val="22"/>
          <w:lang w:val="sk-SK"/>
        </w:rPr>
        <w:t xml:space="preserve">, ktorých </w:t>
      </w:r>
      <w:r w:rsidR="00DC6652" w:rsidRPr="0046669C">
        <w:rPr>
          <w:bCs/>
          <w:sz w:val="22"/>
          <w:szCs w:val="22"/>
          <w:lang w:val="sk-SK"/>
        </w:rPr>
        <w:t xml:space="preserve">aktivita </w:t>
      </w:r>
      <w:r w:rsidR="00752888" w:rsidRPr="0046669C">
        <w:rPr>
          <w:bCs/>
          <w:sz w:val="22"/>
          <w:szCs w:val="22"/>
          <w:lang w:val="sk-SK"/>
        </w:rPr>
        <w:t>je smerovaná väčšinou voči myeloperoxidáze (MPO – alebo p-ANCA)</w:t>
      </w:r>
      <w:r w:rsidR="0081620D" w:rsidRPr="0046669C">
        <w:rPr>
          <w:bCs/>
          <w:sz w:val="22"/>
          <w:szCs w:val="22"/>
          <w:lang w:val="sk-SK"/>
        </w:rPr>
        <w:t>,</w:t>
      </w:r>
      <w:r w:rsidR="00752888" w:rsidRPr="0046669C">
        <w:rPr>
          <w:bCs/>
          <w:sz w:val="22"/>
          <w:szCs w:val="22"/>
          <w:lang w:val="sk-SK"/>
        </w:rPr>
        <w:t xml:space="preserve"> menej často </w:t>
      </w:r>
      <w:r w:rsidR="000C789C" w:rsidRPr="0046669C">
        <w:rPr>
          <w:bCs/>
          <w:sz w:val="22"/>
          <w:szCs w:val="22"/>
          <w:lang w:val="sk-SK"/>
        </w:rPr>
        <w:t>voči proteináz</w:t>
      </w:r>
      <w:r w:rsidR="00372EAF" w:rsidRPr="0046669C">
        <w:rPr>
          <w:bCs/>
          <w:sz w:val="22"/>
          <w:szCs w:val="22"/>
          <w:lang w:val="sk-SK"/>
        </w:rPr>
        <w:t xml:space="preserve">e 3 (PR3 – alebo </w:t>
      </w:r>
      <w:r w:rsidR="006B4331" w:rsidRPr="0046669C">
        <w:rPr>
          <w:bCs/>
          <w:sz w:val="22"/>
          <w:szCs w:val="22"/>
          <w:lang w:val="sk-SK"/>
        </w:rPr>
        <w:t>c</w:t>
      </w:r>
      <w:r w:rsidR="00372EAF" w:rsidRPr="0046669C">
        <w:rPr>
          <w:bCs/>
          <w:sz w:val="22"/>
          <w:szCs w:val="22"/>
          <w:lang w:val="sk-SK"/>
        </w:rPr>
        <w:t>-ANCA) al</w:t>
      </w:r>
      <w:r w:rsidR="000C789C" w:rsidRPr="0046669C">
        <w:rPr>
          <w:bCs/>
          <w:sz w:val="22"/>
          <w:szCs w:val="22"/>
          <w:lang w:val="sk-SK"/>
        </w:rPr>
        <w:t>e</w:t>
      </w:r>
      <w:r w:rsidR="00372EAF" w:rsidRPr="0046669C">
        <w:rPr>
          <w:bCs/>
          <w:sz w:val="22"/>
          <w:szCs w:val="22"/>
          <w:lang w:val="sk-SK"/>
        </w:rPr>
        <w:t xml:space="preserve">bo iným antigénom. U časti pacientov sú tieto protilátky spojené s vaskulitídou, ktorá môže </w:t>
      </w:r>
      <w:r w:rsidR="00826D62" w:rsidRPr="0046669C">
        <w:rPr>
          <w:bCs/>
          <w:sz w:val="22"/>
          <w:szCs w:val="22"/>
          <w:lang w:val="sk-SK"/>
        </w:rPr>
        <w:t xml:space="preserve">ovplyvniť okrem </w:t>
      </w:r>
      <w:r w:rsidR="00CC2AD2" w:rsidRPr="0046669C">
        <w:rPr>
          <w:bCs/>
          <w:sz w:val="22"/>
          <w:szCs w:val="22"/>
          <w:lang w:val="sk-SK"/>
        </w:rPr>
        <w:t>artralgie</w:t>
      </w:r>
      <w:r w:rsidR="00826D62" w:rsidRPr="0046669C">
        <w:rPr>
          <w:bCs/>
          <w:sz w:val="22"/>
          <w:szCs w:val="22"/>
          <w:lang w:val="sk-SK"/>
        </w:rPr>
        <w:t>, myalgie a symptómov podobných chrípke nasledovné orgány: kožu (napr.: exantém, purpura, leukocytoklastická vaskulitída), kĺby (artralgia), obličky (napr.: gl</w:t>
      </w:r>
      <w:r w:rsidR="003C2AAC" w:rsidRPr="0046669C">
        <w:rPr>
          <w:bCs/>
          <w:sz w:val="22"/>
          <w:szCs w:val="22"/>
          <w:lang w:val="sk-SK"/>
        </w:rPr>
        <w:t>om</w:t>
      </w:r>
      <w:r w:rsidR="00826D62" w:rsidRPr="0046669C">
        <w:rPr>
          <w:bCs/>
          <w:sz w:val="22"/>
          <w:szCs w:val="22"/>
          <w:lang w:val="sk-SK"/>
        </w:rPr>
        <w:t>erulonefritída, v ojedinelých prípadoch akútne zlyhanie obličiek</w:t>
      </w:r>
      <w:r w:rsidR="00DE0B1B" w:rsidRPr="0046669C">
        <w:rPr>
          <w:bCs/>
          <w:sz w:val="22"/>
          <w:szCs w:val="22"/>
          <w:lang w:val="sk-SK"/>
        </w:rPr>
        <w:t xml:space="preserve">) a pľúca (napr.: intersticiálna pneumonitída, alveoalárne krvácanie) a iné. </w:t>
      </w:r>
      <w:r w:rsidR="001F5BB4" w:rsidRPr="0046669C">
        <w:rPr>
          <w:bCs/>
          <w:sz w:val="22"/>
          <w:szCs w:val="22"/>
          <w:lang w:val="sk-SK"/>
        </w:rPr>
        <w:t xml:space="preserve">Ak sa vyskytnú symptómy vaskulitídy, je potrebné urobiť imunologické testy a zvážiť ukončenie liečby Propycilom. Tieto </w:t>
      </w:r>
      <w:r w:rsidR="00DC6652" w:rsidRPr="0046669C">
        <w:rPr>
          <w:bCs/>
          <w:sz w:val="22"/>
          <w:szCs w:val="22"/>
          <w:lang w:val="sk-SK"/>
        </w:rPr>
        <w:t>symptómy</w:t>
      </w:r>
      <w:r w:rsidR="001F5BB4" w:rsidRPr="0046669C">
        <w:rPr>
          <w:bCs/>
          <w:sz w:val="22"/>
          <w:szCs w:val="22"/>
          <w:lang w:val="sk-SK"/>
        </w:rPr>
        <w:t xml:space="preserve"> sú po ukončení liečby </w:t>
      </w:r>
      <w:r w:rsidR="000C789C" w:rsidRPr="0046669C">
        <w:rPr>
          <w:bCs/>
          <w:sz w:val="22"/>
          <w:szCs w:val="22"/>
          <w:lang w:val="sk-SK"/>
        </w:rPr>
        <w:t xml:space="preserve">zvyčajne </w:t>
      </w:r>
      <w:r w:rsidR="001F5BB4" w:rsidRPr="0046669C">
        <w:rPr>
          <w:bCs/>
          <w:sz w:val="22"/>
          <w:szCs w:val="22"/>
          <w:lang w:val="sk-SK"/>
        </w:rPr>
        <w:t>reverzibilné</w:t>
      </w:r>
      <w:r w:rsidR="00BD593B" w:rsidRPr="0046669C">
        <w:rPr>
          <w:bCs/>
          <w:sz w:val="22"/>
          <w:szCs w:val="22"/>
          <w:lang w:val="sk-SK"/>
        </w:rPr>
        <w:t>.</w:t>
      </w:r>
      <w:r w:rsidR="001F5BB4" w:rsidRPr="0046669C">
        <w:rPr>
          <w:bCs/>
          <w:sz w:val="22"/>
          <w:szCs w:val="22"/>
          <w:lang w:val="sk-SK"/>
        </w:rPr>
        <w:t xml:space="preserve"> </w:t>
      </w:r>
      <w:r w:rsidR="00BD593B" w:rsidRPr="008B3F88">
        <w:rPr>
          <w:bCs/>
          <w:sz w:val="22"/>
          <w:szCs w:val="22"/>
          <w:lang w:val="sk-SK"/>
        </w:rPr>
        <w:t>Z</w:t>
      </w:r>
      <w:r w:rsidR="00A2430B" w:rsidRPr="008B3F88">
        <w:rPr>
          <w:bCs/>
          <w:sz w:val="22"/>
          <w:szCs w:val="22"/>
          <w:lang w:val="sk-SK"/>
        </w:rPr>
        <w:t xml:space="preserve">aznamenané </w:t>
      </w:r>
      <w:r w:rsidR="00E304B9" w:rsidRPr="008B3F88">
        <w:rPr>
          <w:bCs/>
          <w:sz w:val="22"/>
          <w:szCs w:val="22"/>
          <w:lang w:val="sk-SK"/>
        </w:rPr>
        <w:t xml:space="preserve">boli </w:t>
      </w:r>
      <w:r w:rsidR="00A2430B" w:rsidRPr="008B3F88">
        <w:rPr>
          <w:bCs/>
          <w:sz w:val="22"/>
          <w:szCs w:val="22"/>
          <w:lang w:val="sk-SK"/>
        </w:rPr>
        <w:t>ojedinelé fatálne prípady,</w:t>
      </w:r>
      <w:r w:rsidR="00BD593B" w:rsidRPr="008B3F88">
        <w:rPr>
          <w:bCs/>
          <w:sz w:val="22"/>
          <w:szCs w:val="22"/>
          <w:lang w:val="sk-SK"/>
        </w:rPr>
        <w:t xml:space="preserve"> pričom k tomu</w:t>
      </w:r>
      <w:r w:rsidR="00A2430B" w:rsidRPr="008B3F88">
        <w:rPr>
          <w:bCs/>
          <w:sz w:val="22"/>
          <w:szCs w:val="22"/>
          <w:lang w:val="sk-SK"/>
        </w:rPr>
        <w:t xml:space="preserve"> mohli prispieť </w:t>
      </w:r>
      <w:r w:rsidR="00643D77" w:rsidRPr="008B3F88">
        <w:rPr>
          <w:bCs/>
          <w:sz w:val="22"/>
          <w:szCs w:val="22"/>
          <w:lang w:val="sk-SK"/>
        </w:rPr>
        <w:t xml:space="preserve">aj </w:t>
      </w:r>
      <w:r w:rsidR="00A2430B" w:rsidRPr="008B3F88">
        <w:rPr>
          <w:bCs/>
          <w:sz w:val="22"/>
          <w:szCs w:val="22"/>
          <w:lang w:val="sk-SK"/>
        </w:rPr>
        <w:t>ďalšie komplikácie</w:t>
      </w:r>
      <w:r w:rsidR="00E304B9" w:rsidRPr="008B3F88">
        <w:rPr>
          <w:bCs/>
          <w:sz w:val="22"/>
          <w:szCs w:val="22"/>
          <w:lang w:val="sk-SK"/>
        </w:rPr>
        <w:t>.</w:t>
      </w:r>
    </w:p>
    <w:p w14:paraId="085407AC" w14:textId="77777777" w:rsidR="00E304B9" w:rsidRPr="0046669C" w:rsidRDefault="00E304B9" w:rsidP="004E5B55">
      <w:pPr>
        <w:tabs>
          <w:tab w:val="left" w:pos="0"/>
          <w:tab w:val="left" w:pos="3802"/>
          <w:tab w:val="left" w:pos="5816"/>
          <w:tab w:val="left" w:pos="7858"/>
        </w:tabs>
        <w:suppressAutoHyphens/>
        <w:rPr>
          <w:bCs/>
          <w:sz w:val="22"/>
          <w:szCs w:val="22"/>
          <w:lang w:val="sk-SK"/>
        </w:rPr>
      </w:pPr>
    </w:p>
    <w:p w14:paraId="18EDAFDA" w14:textId="77777777" w:rsidR="003C2AAC" w:rsidRPr="0046669C" w:rsidRDefault="003C2AAC" w:rsidP="003C2AAC">
      <w:pPr>
        <w:pStyle w:val="Nadpis2"/>
        <w:tabs>
          <w:tab w:val="left" w:pos="0"/>
        </w:tabs>
        <w:rPr>
          <w:sz w:val="22"/>
          <w:szCs w:val="22"/>
          <w:lang w:val="sk-SK"/>
        </w:rPr>
      </w:pPr>
      <w:r w:rsidRPr="0046669C">
        <w:rPr>
          <w:sz w:val="22"/>
          <w:szCs w:val="22"/>
          <w:lang w:val="sk-SK"/>
        </w:rPr>
        <w:t>Poruchy nervového systému</w:t>
      </w:r>
    </w:p>
    <w:p w14:paraId="717FF929" w14:textId="5938E604" w:rsidR="003C2AAC" w:rsidRPr="0046669C" w:rsidRDefault="003C2AAC"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Zriedkavé</w:t>
      </w:r>
      <w:r w:rsidRPr="0046669C">
        <w:rPr>
          <w:bCs/>
          <w:color w:val="000000"/>
          <w:sz w:val="22"/>
          <w:szCs w:val="22"/>
          <w:lang w:val="sk-SK"/>
        </w:rPr>
        <w:t>: závraty, neuromusku</w:t>
      </w:r>
      <w:r w:rsidR="007D036D" w:rsidRPr="0046669C">
        <w:rPr>
          <w:bCs/>
          <w:color w:val="000000"/>
          <w:sz w:val="22"/>
          <w:szCs w:val="22"/>
          <w:lang w:val="sk-SK"/>
        </w:rPr>
        <w:t>l</w:t>
      </w:r>
      <w:r w:rsidRPr="0046669C">
        <w:rPr>
          <w:bCs/>
          <w:color w:val="000000"/>
          <w:sz w:val="22"/>
          <w:szCs w:val="22"/>
          <w:lang w:val="sk-SK"/>
        </w:rPr>
        <w:t>árne poruchy</w:t>
      </w:r>
    </w:p>
    <w:p w14:paraId="4F701B46" w14:textId="453E3F9B" w:rsidR="00E304B9" w:rsidRPr="0046669C" w:rsidRDefault="00E304B9" w:rsidP="004E5B55">
      <w:pPr>
        <w:tabs>
          <w:tab w:val="left" w:pos="0"/>
          <w:tab w:val="left" w:pos="3802"/>
          <w:tab w:val="left" w:pos="5816"/>
          <w:tab w:val="left" w:pos="7858"/>
        </w:tabs>
        <w:suppressAutoHyphens/>
        <w:rPr>
          <w:bCs/>
          <w:sz w:val="22"/>
          <w:szCs w:val="22"/>
          <w:lang w:val="sk-SK"/>
        </w:rPr>
      </w:pPr>
    </w:p>
    <w:p w14:paraId="0D1467FB" w14:textId="77777777" w:rsidR="004E5B55" w:rsidRPr="0046669C" w:rsidRDefault="007F26C1" w:rsidP="004E5B55">
      <w:pPr>
        <w:pStyle w:val="Nadpis2"/>
        <w:tabs>
          <w:tab w:val="left" w:pos="0"/>
        </w:tabs>
        <w:rPr>
          <w:color w:val="7030A0"/>
          <w:sz w:val="22"/>
          <w:lang w:val="sk-SK"/>
        </w:rPr>
      </w:pPr>
      <w:r w:rsidRPr="0046669C">
        <w:rPr>
          <w:sz w:val="22"/>
          <w:szCs w:val="22"/>
          <w:lang w:val="sk-SK"/>
        </w:rPr>
        <w:t>Poruchy ciev</w:t>
      </w:r>
      <w:r w:rsidR="004E5B55" w:rsidRPr="0046669C">
        <w:rPr>
          <w:sz w:val="22"/>
          <w:szCs w:val="22"/>
          <w:lang w:val="sk-SK"/>
        </w:rPr>
        <w:t xml:space="preserve"> </w:t>
      </w:r>
    </w:p>
    <w:p w14:paraId="23BBC44A" w14:textId="1346BF69" w:rsidR="004E5B55" w:rsidRPr="0046669C" w:rsidRDefault="004E5B55" w:rsidP="002F48BE">
      <w:pPr>
        <w:tabs>
          <w:tab w:val="left" w:pos="0"/>
          <w:tab w:val="left" w:pos="3802"/>
          <w:tab w:val="left" w:pos="5816"/>
          <w:tab w:val="left" w:pos="7858"/>
        </w:tabs>
        <w:suppressAutoHyphens/>
        <w:rPr>
          <w:bCs/>
          <w:strike/>
          <w:sz w:val="22"/>
          <w:szCs w:val="22"/>
          <w:lang w:val="sk-SK"/>
        </w:rPr>
      </w:pPr>
      <w:r w:rsidRPr="0046669C">
        <w:rPr>
          <w:bCs/>
          <w:i/>
          <w:sz w:val="22"/>
          <w:szCs w:val="22"/>
          <w:lang w:val="sk-SK"/>
        </w:rPr>
        <w:t>Veľmi zriedkavé</w:t>
      </w:r>
      <w:r w:rsidRPr="0046669C">
        <w:rPr>
          <w:bCs/>
          <w:sz w:val="22"/>
          <w:szCs w:val="22"/>
          <w:lang w:val="sk-SK"/>
        </w:rPr>
        <w:t xml:space="preserve">: </w:t>
      </w:r>
      <w:r w:rsidR="001F5BB4" w:rsidRPr="0046669C">
        <w:rPr>
          <w:bCs/>
          <w:sz w:val="22"/>
          <w:szCs w:val="22"/>
          <w:lang w:val="sk-SK"/>
        </w:rPr>
        <w:t xml:space="preserve">vaskulitída (pozri aj </w:t>
      </w:r>
      <w:r w:rsidR="008563BA" w:rsidRPr="0046669C">
        <w:rPr>
          <w:bCs/>
          <w:sz w:val="22"/>
          <w:szCs w:val="22"/>
          <w:lang w:val="sk-SK"/>
        </w:rPr>
        <w:t>P</w:t>
      </w:r>
      <w:r w:rsidR="001F5BB4" w:rsidRPr="0046669C">
        <w:rPr>
          <w:bCs/>
          <w:sz w:val="22"/>
          <w:szCs w:val="22"/>
          <w:lang w:val="sk-SK"/>
        </w:rPr>
        <w:t>oruchy imunitného systému)</w:t>
      </w:r>
      <w:r w:rsidR="00DC6652" w:rsidRPr="0046669C">
        <w:rPr>
          <w:bCs/>
          <w:sz w:val="22"/>
          <w:szCs w:val="22"/>
          <w:lang w:val="sk-SK"/>
        </w:rPr>
        <w:t>,</w:t>
      </w:r>
      <w:r w:rsidR="001F5BB4" w:rsidRPr="0046669C">
        <w:rPr>
          <w:bCs/>
          <w:sz w:val="22"/>
          <w:szCs w:val="22"/>
          <w:lang w:val="sk-SK"/>
        </w:rPr>
        <w:t xml:space="preserve"> syndrómy podobné lupus</w:t>
      </w:r>
      <w:r w:rsidR="007D036D" w:rsidRPr="0046669C">
        <w:rPr>
          <w:bCs/>
          <w:sz w:val="22"/>
          <w:szCs w:val="22"/>
          <w:lang w:val="sk-SK"/>
        </w:rPr>
        <w:t xml:space="preserve"> erythematosus</w:t>
      </w:r>
      <w:r w:rsidR="001F5BB4" w:rsidRPr="0046669C">
        <w:rPr>
          <w:bCs/>
          <w:sz w:val="22"/>
          <w:szCs w:val="22"/>
          <w:lang w:val="sk-SK"/>
        </w:rPr>
        <w:t>, nodózna periartritída</w:t>
      </w:r>
      <w:r w:rsidR="00721C70" w:rsidRPr="0046669C">
        <w:rPr>
          <w:bCs/>
          <w:sz w:val="22"/>
          <w:szCs w:val="22"/>
          <w:lang w:val="sk-SK"/>
        </w:rPr>
        <w:t>,</w:t>
      </w:r>
      <w:r w:rsidR="001F5BB4" w:rsidRPr="0046669C">
        <w:rPr>
          <w:bCs/>
          <w:sz w:val="22"/>
          <w:szCs w:val="22"/>
          <w:lang w:val="sk-SK"/>
        </w:rPr>
        <w:t xml:space="preserve"> periférne edémy. </w:t>
      </w:r>
    </w:p>
    <w:p w14:paraId="2F1BD677" w14:textId="77777777" w:rsidR="00FA24BA" w:rsidRPr="0046669C" w:rsidRDefault="00FA24BA" w:rsidP="004E5B55">
      <w:pPr>
        <w:tabs>
          <w:tab w:val="left" w:pos="0"/>
          <w:tab w:val="left" w:pos="3802"/>
          <w:tab w:val="left" w:pos="5816"/>
          <w:tab w:val="left" w:pos="7858"/>
        </w:tabs>
        <w:suppressAutoHyphens/>
        <w:rPr>
          <w:bCs/>
          <w:strike/>
          <w:sz w:val="22"/>
          <w:szCs w:val="22"/>
          <w:lang w:val="sk-SK"/>
        </w:rPr>
      </w:pPr>
    </w:p>
    <w:p w14:paraId="72F9BCA5" w14:textId="77777777" w:rsidR="00C00CFE" w:rsidRPr="0046669C" w:rsidRDefault="00C00CFE" w:rsidP="00C00CFE">
      <w:pPr>
        <w:pStyle w:val="Nadpis2"/>
        <w:tabs>
          <w:tab w:val="left" w:pos="0"/>
        </w:tabs>
        <w:rPr>
          <w:sz w:val="22"/>
          <w:szCs w:val="22"/>
          <w:lang w:val="sk-SK"/>
        </w:rPr>
      </w:pPr>
      <w:r w:rsidRPr="0046669C">
        <w:rPr>
          <w:sz w:val="22"/>
          <w:szCs w:val="22"/>
          <w:lang w:val="sk-SK"/>
        </w:rPr>
        <w:t>Poruchy kože a podkožného tkaniva</w:t>
      </w:r>
    </w:p>
    <w:p w14:paraId="71C6F941" w14:textId="77777777" w:rsidR="00C00CFE" w:rsidRPr="0046669C" w:rsidRDefault="00C00CFE" w:rsidP="00C00CFE">
      <w:pPr>
        <w:tabs>
          <w:tab w:val="left" w:pos="0"/>
          <w:tab w:val="left" w:pos="3802"/>
          <w:tab w:val="left" w:pos="5816"/>
          <w:tab w:val="left" w:pos="7858"/>
        </w:tabs>
        <w:suppressAutoHyphens/>
        <w:rPr>
          <w:bCs/>
          <w:sz w:val="22"/>
          <w:szCs w:val="22"/>
          <w:lang w:val="sk-SK"/>
        </w:rPr>
      </w:pPr>
      <w:r w:rsidRPr="0046669C">
        <w:rPr>
          <w:bCs/>
          <w:i/>
          <w:sz w:val="22"/>
          <w:szCs w:val="22"/>
          <w:lang w:val="sk-SK"/>
        </w:rPr>
        <w:t>Časté</w:t>
      </w:r>
      <w:r w:rsidRPr="0046669C">
        <w:rPr>
          <w:bCs/>
          <w:sz w:val="22"/>
          <w:szCs w:val="22"/>
          <w:lang w:val="sk-SK"/>
        </w:rPr>
        <w:t>: svrbiaci exantém, žihľavka</w:t>
      </w:r>
    </w:p>
    <w:p w14:paraId="51F06BAD" w14:textId="1C29D193" w:rsidR="00C00CFE" w:rsidRPr="0046669C" w:rsidRDefault="00552833" w:rsidP="00C00CFE">
      <w:pPr>
        <w:tabs>
          <w:tab w:val="left" w:pos="0"/>
          <w:tab w:val="left" w:pos="3802"/>
          <w:tab w:val="left" w:pos="5816"/>
          <w:tab w:val="left" w:pos="7858"/>
        </w:tabs>
        <w:suppressAutoHyphens/>
        <w:rPr>
          <w:bCs/>
          <w:sz w:val="22"/>
          <w:szCs w:val="22"/>
          <w:lang w:val="sk-SK"/>
        </w:rPr>
      </w:pPr>
      <w:r w:rsidRPr="0046669C">
        <w:rPr>
          <w:bCs/>
          <w:i/>
          <w:sz w:val="22"/>
          <w:szCs w:val="22"/>
          <w:lang w:val="sk-SK"/>
        </w:rPr>
        <w:t>Veľmi z</w:t>
      </w:r>
      <w:r w:rsidR="00C00CFE" w:rsidRPr="0046669C">
        <w:rPr>
          <w:bCs/>
          <w:i/>
          <w:sz w:val="22"/>
          <w:szCs w:val="22"/>
          <w:lang w:val="sk-SK"/>
        </w:rPr>
        <w:t xml:space="preserve">riedkavé: </w:t>
      </w:r>
      <w:r w:rsidR="00C00CFE" w:rsidRPr="0046669C">
        <w:rPr>
          <w:bCs/>
          <w:sz w:val="22"/>
          <w:szCs w:val="22"/>
          <w:lang w:val="sk-SK"/>
        </w:rPr>
        <w:t xml:space="preserve">vaskulitída kože, ktorá sa prejavuje ako exantém, purpura a leukocytoklastická </w:t>
      </w:r>
      <w:r w:rsidR="00C00CFE" w:rsidRPr="008B3F88">
        <w:rPr>
          <w:bCs/>
          <w:sz w:val="22"/>
          <w:szCs w:val="22"/>
          <w:lang w:val="sk-SK"/>
        </w:rPr>
        <w:t>vaskulitída (pozri aj Poruchy imunitného systému)</w:t>
      </w:r>
      <w:r w:rsidR="008D16F6" w:rsidRPr="008B3F88">
        <w:rPr>
          <w:bCs/>
          <w:sz w:val="22"/>
          <w:szCs w:val="22"/>
          <w:lang w:val="sk-SK"/>
        </w:rPr>
        <w:t>,</w:t>
      </w:r>
      <w:r w:rsidR="00C00CFE" w:rsidRPr="008B3F88">
        <w:rPr>
          <w:bCs/>
          <w:sz w:val="22"/>
          <w:szCs w:val="22"/>
          <w:lang w:val="sk-SK"/>
        </w:rPr>
        <w:t xml:space="preserve"> </w:t>
      </w:r>
      <w:r w:rsidR="008D16F6" w:rsidRPr="008B3F88">
        <w:rPr>
          <w:bCs/>
          <w:sz w:val="22"/>
          <w:szCs w:val="22"/>
          <w:lang w:val="sk-SK"/>
        </w:rPr>
        <w:t>strata vlasov, periférny edém.</w:t>
      </w:r>
      <w:bookmarkStart w:id="0" w:name="_GoBack"/>
      <w:bookmarkEnd w:id="0"/>
    </w:p>
    <w:p w14:paraId="2853FE47" w14:textId="731E784B" w:rsidR="00E304B9" w:rsidRPr="0046669C" w:rsidRDefault="00E304B9" w:rsidP="004E5B55">
      <w:pPr>
        <w:tabs>
          <w:tab w:val="left" w:pos="0"/>
          <w:tab w:val="left" w:pos="3802"/>
          <w:tab w:val="left" w:pos="5816"/>
          <w:tab w:val="left" w:pos="7858"/>
        </w:tabs>
        <w:suppressAutoHyphens/>
        <w:rPr>
          <w:bCs/>
          <w:strike/>
          <w:sz w:val="22"/>
          <w:szCs w:val="22"/>
          <w:lang w:val="sk-SK"/>
        </w:rPr>
      </w:pPr>
    </w:p>
    <w:p w14:paraId="78219187" w14:textId="77777777" w:rsidR="00FA24BA" w:rsidRPr="0046669C" w:rsidRDefault="00FA24BA" w:rsidP="00FA24BA">
      <w:pPr>
        <w:pStyle w:val="Nadpis2"/>
        <w:tabs>
          <w:tab w:val="left" w:pos="0"/>
        </w:tabs>
        <w:rPr>
          <w:sz w:val="22"/>
          <w:szCs w:val="22"/>
          <w:lang w:val="sk-SK"/>
        </w:rPr>
      </w:pPr>
      <w:r w:rsidRPr="0046669C">
        <w:rPr>
          <w:bCs/>
          <w:sz w:val="22"/>
          <w:szCs w:val="22"/>
          <w:lang w:val="sk-SK"/>
        </w:rPr>
        <w:t>Poruchy dýchacej sústavy, hrudníka a mediastína</w:t>
      </w:r>
      <w:r w:rsidRPr="0046669C">
        <w:rPr>
          <w:b w:val="0"/>
          <w:bCs/>
          <w:lang w:val="sk-SK"/>
        </w:rPr>
        <w:t xml:space="preserve"> </w:t>
      </w:r>
    </w:p>
    <w:p w14:paraId="3AD8D66A" w14:textId="168D2175" w:rsidR="00FA24BA" w:rsidRPr="0046669C" w:rsidRDefault="00FA24BA" w:rsidP="00FA24BA">
      <w:pPr>
        <w:tabs>
          <w:tab w:val="left" w:pos="0"/>
          <w:tab w:val="left" w:pos="3802"/>
          <w:tab w:val="left" w:pos="5816"/>
          <w:tab w:val="left" w:pos="7858"/>
        </w:tabs>
        <w:suppressAutoHyphens/>
        <w:rPr>
          <w:bCs/>
          <w:sz w:val="22"/>
          <w:szCs w:val="22"/>
          <w:lang w:val="sk-SK"/>
        </w:rPr>
      </w:pPr>
      <w:r w:rsidRPr="0046669C">
        <w:rPr>
          <w:bCs/>
          <w:i/>
          <w:sz w:val="22"/>
          <w:szCs w:val="22"/>
          <w:lang w:val="sk-SK"/>
        </w:rPr>
        <w:t>Zriedkavé</w:t>
      </w:r>
      <w:r w:rsidRPr="0046669C">
        <w:rPr>
          <w:bCs/>
          <w:sz w:val="22"/>
          <w:szCs w:val="22"/>
          <w:lang w:val="sk-SK"/>
        </w:rPr>
        <w:t xml:space="preserve">: vaskulitída pľúc prejavujúca sa ako </w:t>
      </w:r>
      <w:r w:rsidR="00702108" w:rsidRPr="0046669C">
        <w:rPr>
          <w:bCs/>
          <w:sz w:val="22"/>
          <w:szCs w:val="22"/>
          <w:lang w:val="sk-SK"/>
        </w:rPr>
        <w:t>hemop</w:t>
      </w:r>
      <w:r w:rsidR="00C600FE" w:rsidRPr="0046669C">
        <w:rPr>
          <w:bCs/>
          <w:sz w:val="22"/>
          <w:szCs w:val="22"/>
          <w:lang w:val="sk-SK"/>
        </w:rPr>
        <w:t>týza</w:t>
      </w:r>
      <w:r w:rsidR="00702108" w:rsidRPr="0046669C">
        <w:rPr>
          <w:bCs/>
          <w:sz w:val="22"/>
          <w:szCs w:val="22"/>
          <w:lang w:val="sk-SK"/>
        </w:rPr>
        <w:t xml:space="preserve">, </w:t>
      </w:r>
      <w:r w:rsidRPr="0046669C">
        <w:rPr>
          <w:bCs/>
          <w:sz w:val="22"/>
          <w:szCs w:val="22"/>
          <w:lang w:val="sk-SK"/>
        </w:rPr>
        <w:t xml:space="preserve">intersticiálna pneumonitída a alevolárne krvácanie. </w:t>
      </w:r>
    </w:p>
    <w:p w14:paraId="2BA6696A" w14:textId="3F493D07" w:rsidR="00FA24BA" w:rsidRPr="0046669C" w:rsidRDefault="00FA24BA" w:rsidP="00FA24BA">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xml:space="preserve">: </w:t>
      </w:r>
      <w:r w:rsidR="00360F1C" w:rsidRPr="0046669C">
        <w:rPr>
          <w:bCs/>
          <w:sz w:val="22"/>
          <w:szCs w:val="22"/>
          <w:lang w:val="sk-SK"/>
        </w:rPr>
        <w:t>astma</w:t>
      </w:r>
      <w:r w:rsidR="00C600FE" w:rsidRPr="0046669C">
        <w:rPr>
          <w:bCs/>
          <w:sz w:val="22"/>
          <w:szCs w:val="22"/>
          <w:lang w:val="sk-SK"/>
        </w:rPr>
        <w:t xml:space="preserve">, (pozri aj </w:t>
      </w:r>
      <w:r w:rsidR="008563BA" w:rsidRPr="0046669C">
        <w:rPr>
          <w:bCs/>
          <w:sz w:val="22"/>
          <w:szCs w:val="22"/>
          <w:lang w:val="sk-SK"/>
        </w:rPr>
        <w:t>P</w:t>
      </w:r>
      <w:r w:rsidR="00C600FE" w:rsidRPr="0046669C">
        <w:rPr>
          <w:bCs/>
          <w:sz w:val="22"/>
          <w:szCs w:val="22"/>
          <w:lang w:val="sk-SK"/>
        </w:rPr>
        <w:t>oruchy imunitného systému).</w:t>
      </w:r>
      <w:r w:rsidRPr="0046669C">
        <w:rPr>
          <w:bCs/>
          <w:sz w:val="22"/>
          <w:szCs w:val="22"/>
          <w:lang w:val="sk-SK"/>
        </w:rPr>
        <w:t xml:space="preserve"> </w:t>
      </w:r>
    </w:p>
    <w:p w14:paraId="59008651" w14:textId="77777777" w:rsidR="00FA24BA" w:rsidRPr="0046669C" w:rsidRDefault="00FA24BA" w:rsidP="00FA24BA">
      <w:pPr>
        <w:tabs>
          <w:tab w:val="left" w:pos="0"/>
          <w:tab w:val="left" w:pos="3802"/>
          <w:tab w:val="left" w:pos="5816"/>
          <w:tab w:val="left" w:pos="7858"/>
        </w:tabs>
        <w:suppressAutoHyphens/>
        <w:rPr>
          <w:bCs/>
          <w:sz w:val="22"/>
          <w:szCs w:val="22"/>
          <w:lang w:val="sk-SK"/>
        </w:rPr>
      </w:pPr>
    </w:p>
    <w:p w14:paraId="042DC69E" w14:textId="77777777" w:rsidR="00FA24BA" w:rsidRPr="0046669C" w:rsidRDefault="00FA24BA" w:rsidP="00FA24BA">
      <w:pPr>
        <w:pStyle w:val="Nadpis2"/>
        <w:tabs>
          <w:tab w:val="left" w:pos="0"/>
        </w:tabs>
        <w:rPr>
          <w:sz w:val="22"/>
          <w:szCs w:val="22"/>
          <w:lang w:val="sk-SK"/>
        </w:rPr>
      </w:pPr>
      <w:r w:rsidRPr="0046669C">
        <w:rPr>
          <w:sz w:val="22"/>
          <w:szCs w:val="22"/>
          <w:lang w:val="sk-SK"/>
        </w:rPr>
        <w:t xml:space="preserve">Poruchy gastrointestinálneho traktu </w:t>
      </w:r>
    </w:p>
    <w:p w14:paraId="6B29522B" w14:textId="77777777" w:rsidR="00FA24BA" w:rsidRPr="0046669C" w:rsidRDefault="00FA24BA" w:rsidP="00FA24BA">
      <w:pPr>
        <w:tabs>
          <w:tab w:val="left" w:pos="0"/>
          <w:tab w:val="left" w:pos="3802"/>
          <w:tab w:val="left" w:pos="5816"/>
          <w:tab w:val="left" w:pos="7858"/>
        </w:tabs>
        <w:suppressAutoHyphens/>
        <w:rPr>
          <w:bCs/>
          <w:sz w:val="22"/>
          <w:szCs w:val="22"/>
          <w:lang w:val="sk-SK"/>
        </w:rPr>
      </w:pPr>
      <w:r w:rsidRPr="0046669C">
        <w:rPr>
          <w:bCs/>
          <w:i/>
          <w:sz w:val="22"/>
          <w:szCs w:val="22"/>
          <w:lang w:val="sk-SK"/>
        </w:rPr>
        <w:t>Časté</w:t>
      </w:r>
      <w:r w:rsidRPr="0046669C">
        <w:rPr>
          <w:bCs/>
          <w:sz w:val="22"/>
          <w:szCs w:val="22"/>
          <w:lang w:val="sk-SK"/>
        </w:rPr>
        <w:t xml:space="preserve">: gastrointestinálne poruchy, nauzea, vracanie </w:t>
      </w:r>
    </w:p>
    <w:p w14:paraId="2B42335C" w14:textId="77B6FFDE" w:rsidR="00FA24BA" w:rsidRPr="0046669C" w:rsidRDefault="00FA24BA" w:rsidP="00FA24BA">
      <w:pPr>
        <w:tabs>
          <w:tab w:val="left" w:pos="0"/>
          <w:tab w:val="left" w:pos="3802"/>
          <w:tab w:val="left" w:pos="5816"/>
          <w:tab w:val="left" w:pos="7858"/>
        </w:tabs>
        <w:suppressAutoHyphens/>
        <w:rPr>
          <w:bCs/>
          <w:sz w:val="22"/>
          <w:szCs w:val="22"/>
          <w:lang w:val="sk-SK"/>
        </w:rPr>
      </w:pPr>
      <w:r w:rsidRPr="0046669C">
        <w:rPr>
          <w:bCs/>
          <w:i/>
          <w:sz w:val="22"/>
          <w:szCs w:val="22"/>
          <w:lang w:val="sk-SK"/>
        </w:rPr>
        <w:t>Menej časté</w:t>
      </w:r>
      <w:r w:rsidRPr="0046669C">
        <w:rPr>
          <w:bCs/>
          <w:sz w:val="22"/>
          <w:szCs w:val="22"/>
          <w:lang w:val="sk-SK"/>
        </w:rPr>
        <w:t>: poruchy chuti a čuchu (dysge</w:t>
      </w:r>
      <w:r w:rsidR="00CA7135" w:rsidRPr="0046669C">
        <w:rPr>
          <w:bCs/>
          <w:sz w:val="22"/>
          <w:szCs w:val="22"/>
          <w:lang w:val="sk-SK"/>
        </w:rPr>
        <w:t>u</w:t>
      </w:r>
      <w:r w:rsidRPr="0046669C">
        <w:rPr>
          <w:bCs/>
          <w:sz w:val="22"/>
          <w:szCs w:val="22"/>
          <w:lang w:val="sk-SK"/>
        </w:rPr>
        <w:t>sia, ageusia), vymiznú po prerušení liečby, môže to trvať niekoľko týždňov.</w:t>
      </w:r>
    </w:p>
    <w:p w14:paraId="5A5D7698" w14:textId="77777777" w:rsidR="00FA24BA" w:rsidRPr="0046669C" w:rsidRDefault="00FA24BA" w:rsidP="00FA24BA">
      <w:pPr>
        <w:tabs>
          <w:tab w:val="left" w:pos="0"/>
          <w:tab w:val="left" w:pos="3802"/>
          <w:tab w:val="left" w:pos="5816"/>
          <w:tab w:val="left" w:pos="7858"/>
        </w:tabs>
        <w:suppressAutoHyphens/>
        <w:rPr>
          <w:bCs/>
          <w:sz w:val="22"/>
          <w:szCs w:val="22"/>
          <w:lang w:val="sk-SK"/>
        </w:rPr>
      </w:pPr>
    </w:p>
    <w:p w14:paraId="4E9B9E74" w14:textId="63358FC3" w:rsidR="00FA24BA" w:rsidRPr="0046669C" w:rsidRDefault="00FA24BA" w:rsidP="00FA24BA">
      <w:pPr>
        <w:pStyle w:val="Nadpis2"/>
        <w:tabs>
          <w:tab w:val="left" w:pos="0"/>
        </w:tabs>
        <w:jc w:val="left"/>
        <w:rPr>
          <w:b w:val="0"/>
          <w:bCs/>
          <w:sz w:val="22"/>
          <w:szCs w:val="22"/>
          <w:lang w:val="sk-SK"/>
        </w:rPr>
      </w:pPr>
      <w:r w:rsidRPr="0046669C">
        <w:rPr>
          <w:sz w:val="22"/>
          <w:szCs w:val="22"/>
          <w:lang w:val="sk-SK"/>
        </w:rPr>
        <w:t xml:space="preserve">Poruchy pečene a žlčových ciest                                                                                              </w:t>
      </w:r>
      <w:r w:rsidRPr="0046669C">
        <w:rPr>
          <w:b w:val="0"/>
          <w:bCs/>
          <w:i/>
          <w:color w:val="000000"/>
          <w:sz w:val="22"/>
          <w:szCs w:val="22"/>
          <w:lang w:val="sk-SK"/>
        </w:rPr>
        <w:t>Zriedkavé</w:t>
      </w:r>
      <w:r w:rsidRPr="0046669C">
        <w:rPr>
          <w:b w:val="0"/>
          <w:bCs/>
          <w:sz w:val="22"/>
          <w:szCs w:val="22"/>
          <w:lang w:val="sk-SK"/>
        </w:rPr>
        <w:t xml:space="preserve">: poruchy pečene sa vyskytli hlavne po vysokých dávkach. Popísané boli reakcie podobné hepatocelulárnej nekróze a prechodnej cholestáze. Príznaky vymiznú po ukončení liečby. Treba poznamenať, že samotná hypertyreóza môže vyvolať zvýšenie hladiny gama-glutamyltransferázy a alkalickej fosfatázy (izoenzýmy metabolizmu kostí), preto je potrebné zistiť ich hladiny pred začiatkom liečby Propycilom 50. </w:t>
      </w:r>
    </w:p>
    <w:p w14:paraId="431A9DEF" w14:textId="0F65500F" w:rsidR="00FA24BA" w:rsidRPr="0046669C" w:rsidRDefault="00FA24BA" w:rsidP="00FA24BA">
      <w:pPr>
        <w:tabs>
          <w:tab w:val="left" w:pos="0"/>
          <w:tab w:val="left" w:pos="3802"/>
          <w:tab w:val="left" w:pos="5816"/>
          <w:tab w:val="left" w:pos="7858"/>
        </w:tabs>
        <w:suppressAutoHyphens/>
        <w:rPr>
          <w:bCs/>
          <w:sz w:val="22"/>
          <w:szCs w:val="22"/>
          <w:lang w:val="sk-SK"/>
        </w:rPr>
      </w:pPr>
      <w:r w:rsidRPr="0046669C">
        <w:rPr>
          <w:bCs/>
          <w:i/>
          <w:sz w:val="22"/>
          <w:szCs w:val="22"/>
          <w:lang w:val="sk-SK"/>
        </w:rPr>
        <w:t>Frekvencia výskytu neznáma</w:t>
      </w:r>
      <w:r w:rsidRPr="0046669C">
        <w:rPr>
          <w:bCs/>
          <w:sz w:val="22"/>
          <w:szCs w:val="22"/>
          <w:lang w:val="sk-SK"/>
        </w:rPr>
        <w:t>: zlyhanie pečene, zápal pečene</w:t>
      </w:r>
    </w:p>
    <w:p w14:paraId="38B4DE48" w14:textId="77777777" w:rsidR="008E01A1" w:rsidRPr="0046669C" w:rsidRDefault="008E01A1" w:rsidP="004E5B55">
      <w:pPr>
        <w:tabs>
          <w:tab w:val="left" w:pos="0"/>
          <w:tab w:val="left" w:pos="3802"/>
          <w:tab w:val="left" w:pos="5816"/>
          <w:tab w:val="left" w:pos="7858"/>
        </w:tabs>
        <w:suppressAutoHyphens/>
        <w:rPr>
          <w:bCs/>
          <w:strike/>
          <w:sz w:val="22"/>
          <w:szCs w:val="22"/>
          <w:lang w:val="sk-SK"/>
        </w:rPr>
      </w:pPr>
    </w:p>
    <w:p w14:paraId="4DDBFFD0" w14:textId="77777777" w:rsidR="00AA59B3" w:rsidRPr="0046669C" w:rsidRDefault="00AA59B3" w:rsidP="00AA59B3">
      <w:pPr>
        <w:pStyle w:val="Nadpis2"/>
        <w:tabs>
          <w:tab w:val="left" w:pos="0"/>
        </w:tabs>
        <w:rPr>
          <w:bCs/>
          <w:sz w:val="22"/>
          <w:szCs w:val="22"/>
          <w:lang w:val="sk-SK"/>
        </w:rPr>
      </w:pPr>
      <w:r w:rsidRPr="0046669C">
        <w:rPr>
          <w:bCs/>
          <w:sz w:val="22"/>
          <w:szCs w:val="22"/>
          <w:lang w:val="sk-SK"/>
        </w:rPr>
        <w:t>Poruchy obličiek a močových ciest</w:t>
      </w:r>
    </w:p>
    <w:p w14:paraId="76D3F408" w14:textId="77777777" w:rsidR="005E701E" w:rsidRPr="0046669C" w:rsidRDefault="005E701E" w:rsidP="00AA59B3">
      <w:pPr>
        <w:pStyle w:val="Nadpis2"/>
        <w:tabs>
          <w:tab w:val="left" w:pos="0"/>
        </w:tabs>
        <w:rPr>
          <w:b w:val="0"/>
          <w:bCs/>
          <w:i/>
          <w:sz w:val="22"/>
          <w:szCs w:val="22"/>
          <w:lang w:val="sk-SK"/>
        </w:rPr>
      </w:pPr>
    </w:p>
    <w:p w14:paraId="0BF1B298" w14:textId="77777777" w:rsidR="00AA59B3" w:rsidRPr="0046669C" w:rsidRDefault="00AA59B3" w:rsidP="00AA59B3">
      <w:pPr>
        <w:pStyle w:val="Nadpis2"/>
        <w:tabs>
          <w:tab w:val="left" w:pos="0"/>
        </w:tabs>
        <w:rPr>
          <w:b w:val="0"/>
          <w:bCs/>
          <w:sz w:val="22"/>
          <w:szCs w:val="22"/>
          <w:lang w:val="sk-SK"/>
        </w:rPr>
      </w:pPr>
      <w:r w:rsidRPr="0046669C">
        <w:rPr>
          <w:b w:val="0"/>
          <w:bCs/>
          <w:i/>
          <w:sz w:val="22"/>
          <w:szCs w:val="22"/>
          <w:lang w:val="sk-SK"/>
        </w:rPr>
        <w:t>Veľmi zriedkavé</w:t>
      </w:r>
      <w:r w:rsidRPr="0046669C">
        <w:rPr>
          <w:b w:val="0"/>
          <w:bCs/>
          <w:sz w:val="22"/>
          <w:szCs w:val="22"/>
          <w:lang w:val="sk-SK"/>
        </w:rPr>
        <w:t xml:space="preserve">: vaskulitída (pozri aj Poruchy imunitného systému), ktorá sa prejavuje ako porucha funkcie obličiek, </w:t>
      </w:r>
      <w:r w:rsidRPr="0046669C">
        <w:rPr>
          <w:b w:val="0"/>
          <w:sz w:val="22"/>
          <w:lang w:val="sk-SK"/>
        </w:rPr>
        <w:t>glomerulonefritída</w:t>
      </w:r>
      <w:r w:rsidRPr="0046669C">
        <w:rPr>
          <w:b w:val="0"/>
          <w:bCs/>
          <w:sz w:val="22"/>
          <w:szCs w:val="22"/>
          <w:lang w:val="sk-SK"/>
        </w:rPr>
        <w:t xml:space="preserve"> a v ojedinelých prípadoch akútne zlyhanie obličiek. </w:t>
      </w:r>
    </w:p>
    <w:p w14:paraId="6FAFFF24" w14:textId="77777777" w:rsidR="00AA59B3" w:rsidRPr="0046669C" w:rsidRDefault="00AA59B3" w:rsidP="004E5B55">
      <w:pPr>
        <w:pStyle w:val="Nadpis2"/>
        <w:tabs>
          <w:tab w:val="left" w:pos="0"/>
        </w:tabs>
        <w:rPr>
          <w:sz w:val="22"/>
          <w:szCs w:val="22"/>
          <w:lang w:val="sk-SK"/>
        </w:rPr>
      </w:pPr>
    </w:p>
    <w:p w14:paraId="5E708B42" w14:textId="77777777" w:rsidR="00AA59B3" w:rsidRPr="0046669C" w:rsidRDefault="00AA59B3" w:rsidP="00AA59B3">
      <w:pPr>
        <w:pStyle w:val="Nadpis2"/>
        <w:tabs>
          <w:tab w:val="left" w:pos="0"/>
        </w:tabs>
        <w:rPr>
          <w:sz w:val="22"/>
          <w:szCs w:val="22"/>
          <w:lang w:val="sk-SK"/>
        </w:rPr>
      </w:pPr>
      <w:r w:rsidRPr="0046669C">
        <w:rPr>
          <w:bCs/>
          <w:sz w:val="22"/>
          <w:szCs w:val="22"/>
          <w:lang w:val="sk-SK"/>
        </w:rPr>
        <w:t>Poruchy kostrovej a svalovej sústavy a spojivového tkaniva</w:t>
      </w:r>
      <w:r w:rsidRPr="0046669C">
        <w:rPr>
          <w:b w:val="0"/>
          <w:bCs/>
          <w:lang w:val="sk-SK"/>
        </w:rPr>
        <w:t xml:space="preserve"> </w:t>
      </w:r>
    </w:p>
    <w:p w14:paraId="1E9B5851" w14:textId="77777777" w:rsidR="00AA59B3" w:rsidRPr="0046669C" w:rsidRDefault="00AA59B3" w:rsidP="00AA59B3">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xml:space="preserve">: artralgia bez príznakov zápalu </w:t>
      </w:r>
    </w:p>
    <w:p w14:paraId="109926C2" w14:textId="77777777" w:rsidR="00AA59B3" w:rsidRPr="0046669C" w:rsidRDefault="00AA59B3" w:rsidP="00C00BBD">
      <w:pPr>
        <w:rPr>
          <w:lang w:val="sk-SK"/>
        </w:rPr>
      </w:pPr>
    </w:p>
    <w:p w14:paraId="646B9F6F" w14:textId="77777777" w:rsidR="00AA59B3" w:rsidRPr="0046669C" w:rsidRDefault="00AA59B3" w:rsidP="004E5B55">
      <w:pPr>
        <w:tabs>
          <w:tab w:val="left" w:pos="0"/>
          <w:tab w:val="left" w:pos="3802"/>
          <w:tab w:val="left" w:pos="5816"/>
          <w:tab w:val="left" w:pos="7858"/>
        </w:tabs>
        <w:suppressAutoHyphens/>
        <w:rPr>
          <w:b/>
          <w:bCs/>
          <w:sz w:val="22"/>
          <w:szCs w:val="22"/>
          <w:lang w:val="sk-SK"/>
        </w:rPr>
      </w:pPr>
      <w:r w:rsidRPr="0046669C">
        <w:rPr>
          <w:b/>
          <w:sz w:val="22"/>
          <w:szCs w:val="22"/>
          <w:lang w:val="sk-SK"/>
        </w:rPr>
        <w:t xml:space="preserve">Poruchy endokrinného systému </w:t>
      </w:r>
    </w:p>
    <w:p w14:paraId="4777ED5D" w14:textId="4282EF0B" w:rsidR="00AA59B3" w:rsidRPr="0046669C" w:rsidRDefault="00AA59B3" w:rsidP="004E5B55">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xml:space="preserve">: v ojedinelých prípadoch struma </w:t>
      </w:r>
      <w:r w:rsidR="00CA7135" w:rsidRPr="0046669C">
        <w:rPr>
          <w:bCs/>
          <w:sz w:val="22"/>
          <w:szCs w:val="22"/>
          <w:lang w:val="sk-SK"/>
        </w:rPr>
        <w:t xml:space="preserve">u </w:t>
      </w:r>
      <w:r w:rsidRPr="0046669C">
        <w:rPr>
          <w:bCs/>
          <w:sz w:val="22"/>
          <w:szCs w:val="22"/>
          <w:lang w:val="sk-SK"/>
        </w:rPr>
        <w:t xml:space="preserve">novorodencov </w:t>
      </w:r>
    </w:p>
    <w:p w14:paraId="0BD45B21" w14:textId="77777777" w:rsidR="00AA59B3" w:rsidRPr="0046669C" w:rsidRDefault="00AA59B3" w:rsidP="004E5B55">
      <w:pPr>
        <w:tabs>
          <w:tab w:val="left" w:pos="0"/>
          <w:tab w:val="left" w:pos="3802"/>
          <w:tab w:val="left" w:pos="5816"/>
          <w:tab w:val="left" w:pos="7858"/>
        </w:tabs>
        <w:suppressAutoHyphens/>
        <w:rPr>
          <w:b/>
          <w:bCs/>
          <w:sz w:val="22"/>
          <w:szCs w:val="22"/>
          <w:lang w:val="sk-SK"/>
        </w:rPr>
      </w:pPr>
    </w:p>
    <w:p w14:paraId="6CB8B942" w14:textId="77777777" w:rsidR="00AA59B3" w:rsidRPr="0046669C" w:rsidRDefault="00AA59B3" w:rsidP="00AA59B3">
      <w:pPr>
        <w:pStyle w:val="Nadpis2"/>
        <w:tabs>
          <w:tab w:val="left" w:pos="0"/>
        </w:tabs>
        <w:rPr>
          <w:sz w:val="22"/>
          <w:szCs w:val="22"/>
          <w:lang w:val="sk-SK"/>
        </w:rPr>
      </w:pPr>
      <w:r w:rsidRPr="0046669C">
        <w:rPr>
          <w:sz w:val="22"/>
          <w:szCs w:val="22"/>
          <w:lang w:val="sk-SK"/>
        </w:rPr>
        <w:t xml:space="preserve">Poruchy </w:t>
      </w:r>
      <w:r w:rsidRPr="0046669C">
        <w:rPr>
          <w:bCs/>
          <w:sz w:val="22"/>
          <w:szCs w:val="22"/>
          <w:lang w:val="sk-SK"/>
        </w:rPr>
        <w:t>ucha a labyrintu</w:t>
      </w:r>
      <w:r w:rsidRPr="0046669C">
        <w:rPr>
          <w:b w:val="0"/>
          <w:bCs/>
          <w:lang w:val="sk-SK"/>
        </w:rPr>
        <w:t xml:space="preserve">  </w:t>
      </w:r>
    </w:p>
    <w:p w14:paraId="05A802A1" w14:textId="77777777" w:rsidR="00AA59B3" w:rsidRPr="0046669C" w:rsidRDefault="00AA59B3" w:rsidP="00AA59B3">
      <w:pPr>
        <w:tabs>
          <w:tab w:val="left" w:pos="0"/>
          <w:tab w:val="left" w:pos="3802"/>
          <w:tab w:val="left" w:pos="5816"/>
          <w:tab w:val="left" w:pos="7858"/>
        </w:tabs>
        <w:suppressAutoHyphens/>
        <w:rPr>
          <w:bCs/>
          <w:sz w:val="22"/>
          <w:szCs w:val="22"/>
          <w:lang w:val="sk-SK"/>
        </w:rPr>
      </w:pPr>
      <w:r w:rsidRPr="0046669C">
        <w:rPr>
          <w:bCs/>
          <w:i/>
          <w:sz w:val="22"/>
          <w:szCs w:val="22"/>
          <w:lang w:val="sk-SK"/>
        </w:rPr>
        <w:t>Veľmi zriedkavé</w:t>
      </w:r>
      <w:r w:rsidRPr="0046669C">
        <w:rPr>
          <w:bCs/>
          <w:sz w:val="22"/>
          <w:szCs w:val="22"/>
          <w:lang w:val="sk-SK"/>
        </w:rPr>
        <w:t xml:space="preserve">: strata sluchu v individuálnych prípadoch </w:t>
      </w:r>
    </w:p>
    <w:p w14:paraId="0B9834FD" w14:textId="77777777" w:rsidR="004E5B55" w:rsidRPr="0046669C" w:rsidRDefault="004E5B55" w:rsidP="004E5B55">
      <w:pPr>
        <w:tabs>
          <w:tab w:val="left" w:pos="0"/>
          <w:tab w:val="left" w:pos="3802"/>
          <w:tab w:val="left" w:pos="5816"/>
          <w:tab w:val="left" w:pos="7858"/>
        </w:tabs>
        <w:suppressAutoHyphens/>
        <w:rPr>
          <w:b/>
          <w:bCs/>
          <w:sz w:val="22"/>
          <w:szCs w:val="22"/>
          <w:lang w:val="sk-SK"/>
        </w:rPr>
      </w:pPr>
    </w:p>
    <w:p w14:paraId="6935935E" w14:textId="77777777" w:rsidR="001671DC" w:rsidRPr="0046669C" w:rsidRDefault="001671DC" w:rsidP="004E5B55">
      <w:pPr>
        <w:tabs>
          <w:tab w:val="left" w:pos="0"/>
          <w:tab w:val="left" w:pos="3802"/>
          <w:tab w:val="left" w:pos="5816"/>
          <w:tab w:val="left" w:pos="7858"/>
        </w:tabs>
        <w:suppressAutoHyphens/>
        <w:rPr>
          <w:b/>
          <w:sz w:val="22"/>
          <w:szCs w:val="22"/>
          <w:lang w:val="sk-SK"/>
        </w:rPr>
      </w:pPr>
      <w:r w:rsidRPr="0046669C">
        <w:rPr>
          <w:b/>
          <w:bCs/>
          <w:sz w:val="22"/>
          <w:szCs w:val="22"/>
          <w:lang w:val="sk-SK"/>
        </w:rPr>
        <w:t>Laboratórne a funkčné vyšetrenia</w:t>
      </w:r>
      <w:r w:rsidRPr="0046669C">
        <w:rPr>
          <w:b/>
          <w:sz w:val="22"/>
          <w:szCs w:val="22"/>
          <w:lang w:val="sk-SK"/>
        </w:rPr>
        <w:t xml:space="preserve"> </w:t>
      </w:r>
    </w:p>
    <w:p w14:paraId="2467355A" w14:textId="77777777" w:rsidR="00D01602" w:rsidRPr="0046669C" w:rsidRDefault="00D01602" w:rsidP="004E5B55">
      <w:pPr>
        <w:tabs>
          <w:tab w:val="left" w:pos="0"/>
          <w:tab w:val="left" w:pos="3802"/>
          <w:tab w:val="left" w:pos="5816"/>
          <w:tab w:val="left" w:pos="7858"/>
        </w:tabs>
        <w:suppressAutoHyphens/>
        <w:rPr>
          <w:b/>
          <w:sz w:val="22"/>
          <w:szCs w:val="22"/>
          <w:lang w:val="sk-SK"/>
        </w:rPr>
      </w:pPr>
    </w:p>
    <w:p w14:paraId="41D3F8E9" w14:textId="34195B87" w:rsidR="000172BB" w:rsidRPr="0046669C" w:rsidRDefault="004E5B55" w:rsidP="008B3F88">
      <w:pPr>
        <w:tabs>
          <w:tab w:val="left" w:pos="0"/>
          <w:tab w:val="left" w:pos="3802"/>
          <w:tab w:val="left" w:pos="5816"/>
          <w:tab w:val="left" w:pos="7858"/>
        </w:tabs>
        <w:suppressAutoHyphens/>
        <w:rPr>
          <w:bCs/>
          <w:sz w:val="22"/>
          <w:szCs w:val="22"/>
          <w:lang w:val="sk-SK"/>
        </w:rPr>
      </w:pPr>
      <w:r w:rsidRPr="0046669C">
        <w:rPr>
          <w:bCs/>
          <w:i/>
          <w:sz w:val="22"/>
          <w:szCs w:val="22"/>
          <w:lang w:val="sk-SK"/>
        </w:rPr>
        <w:t>Veľmi časté</w:t>
      </w:r>
      <w:r w:rsidRPr="0046669C">
        <w:rPr>
          <w:bCs/>
          <w:sz w:val="22"/>
          <w:szCs w:val="22"/>
          <w:lang w:val="sk-SK"/>
        </w:rPr>
        <w:t xml:space="preserve">: </w:t>
      </w:r>
      <w:r w:rsidR="00642C8A" w:rsidRPr="0046669C">
        <w:rPr>
          <w:bCs/>
          <w:sz w:val="22"/>
          <w:szCs w:val="22"/>
          <w:lang w:val="sk-SK"/>
        </w:rPr>
        <w:t xml:space="preserve">prechodné </w:t>
      </w:r>
      <w:r w:rsidRPr="0046669C">
        <w:rPr>
          <w:bCs/>
          <w:sz w:val="22"/>
          <w:szCs w:val="22"/>
          <w:lang w:val="sk-SK"/>
        </w:rPr>
        <w:t>zvýšenie trans</w:t>
      </w:r>
      <w:r w:rsidR="00CA7135" w:rsidRPr="0046669C">
        <w:rPr>
          <w:bCs/>
          <w:sz w:val="22"/>
          <w:szCs w:val="22"/>
          <w:lang w:val="sk-SK"/>
        </w:rPr>
        <w:t>a</w:t>
      </w:r>
      <w:r w:rsidRPr="0046669C">
        <w:rPr>
          <w:bCs/>
          <w:sz w:val="22"/>
          <w:szCs w:val="22"/>
          <w:lang w:val="sk-SK"/>
        </w:rPr>
        <w:t xml:space="preserve">mináz </w:t>
      </w:r>
    </w:p>
    <w:p w14:paraId="5113BFB4" w14:textId="77777777" w:rsidR="000172BB" w:rsidRPr="008B3F88" w:rsidRDefault="000172BB" w:rsidP="000172BB">
      <w:pPr>
        <w:suppressLineNumbers/>
        <w:autoSpaceDE w:val="0"/>
        <w:autoSpaceDN w:val="0"/>
        <w:adjustRightInd w:val="0"/>
        <w:rPr>
          <w:b/>
          <w:sz w:val="22"/>
          <w:szCs w:val="22"/>
          <w:u w:val="single"/>
          <w:lang w:val="sk-SK"/>
        </w:rPr>
      </w:pPr>
    </w:p>
    <w:p w14:paraId="7DAE388D" w14:textId="77777777" w:rsidR="000172BB" w:rsidRPr="008B3F88" w:rsidRDefault="000172BB" w:rsidP="000172BB">
      <w:pPr>
        <w:suppressLineNumbers/>
        <w:autoSpaceDE w:val="0"/>
        <w:autoSpaceDN w:val="0"/>
        <w:adjustRightInd w:val="0"/>
        <w:rPr>
          <w:sz w:val="22"/>
          <w:szCs w:val="22"/>
          <w:u w:val="single"/>
          <w:lang w:val="sk-SK"/>
        </w:rPr>
      </w:pPr>
      <w:r w:rsidRPr="008B3F88">
        <w:rPr>
          <w:noProof/>
          <w:sz w:val="22"/>
          <w:szCs w:val="22"/>
          <w:u w:val="single"/>
          <w:lang w:val="sk-SK"/>
        </w:rPr>
        <w:t>Hlásenie podozrení na nežiaduce reakcie</w:t>
      </w:r>
    </w:p>
    <w:p w14:paraId="1FBC6319" w14:textId="77777777" w:rsidR="000172BB" w:rsidRPr="008B3F88" w:rsidRDefault="000172BB" w:rsidP="000172BB">
      <w:pPr>
        <w:suppressLineNumbers/>
        <w:autoSpaceDE w:val="0"/>
        <w:autoSpaceDN w:val="0"/>
        <w:adjustRightInd w:val="0"/>
        <w:rPr>
          <w:noProof/>
          <w:sz w:val="22"/>
          <w:szCs w:val="22"/>
          <w:lang w:val="sk-SK"/>
        </w:rPr>
      </w:pPr>
      <w:r w:rsidRPr="008B3F88">
        <w:rPr>
          <w:noProof/>
          <w:sz w:val="22"/>
          <w:szCs w:val="22"/>
          <w:lang w:val="sk-SK"/>
        </w:rPr>
        <w:t>Hlásenie podozrení na nežiaduce reakcie po registrácii lieku je dôležité.</w:t>
      </w:r>
      <w:r w:rsidRPr="008B3F88">
        <w:rPr>
          <w:sz w:val="22"/>
          <w:szCs w:val="22"/>
          <w:lang w:val="sk-SK"/>
        </w:rPr>
        <w:t xml:space="preserve"> </w:t>
      </w:r>
      <w:r w:rsidRPr="008B3F88">
        <w:rPr>
          <w:noProof/>
          <w:sz w:val="22"/>
          <w:szCs w:val="22"/>
          <w:lang w:val="sk-SK"/>
        </w:rPr>
        <w:t>Umožňuje priebežné monitorovanie pomeru prínosu a rizika lieku.</w:t>
      </w:r>
      <w:r w:rsidRPr="008B3F88">
        <w:rPr>
          <w:sz w:val="22"/>
          <w:szCs w:val="22"/>
          <w:lang w:val="sk-SK"/>
        </w:rPr>
        <w:t xml:space="preserve"> Od </w:t>
      </w:r>
      <w:r w:rsidRPr="008B3F88">
        <w:rPr>
          <w:noProof/>
          <w:sz w:val="22"/>
          <w:szCs w:val="22"/>
          <w:lang w:val="sk-SK"/>
        </w:rPr>
        <w:t xml:space="preserve">zdravotníckych pracovníkov sa vyžaduje, aby hlásili akékoľvek podozrenia na nežiaduce reakcie na </w:t>
      </w:r>
      <w:r w:rsidRPr="008B3F88">
        <w:rPr>
          <w:noProof/>
          <w:sz w:val="22"/>
          <w:szCs w:val="22"/>
          <w:highlight w:val="lightGray"/>
          <w:lang w:val="sk-SK"/>
        </w:rPr>
        <w:t>národné centrum hlásenia uvedené v </w:t>
      </w:r>
      <w:hyperlink r:id="rId8" w:history="1">
        <w:r w:rsidRPr="008B3F88">
          <w:rPr>
            <w:rStyle w:val="Hypertextovprepojenie"/>
            <w:noProof/>
            <w:sz w:val="22"/>
            <w:szCs w:val="22"/>
            <w:highlight w:val="lightGray"/>
            <w:lang w:val="sk-SK"/>
          </w:rPr>
          <w:t>Prílohe V</w:t>
        </w:r>
      </w:hyperlink>
      <w:r w:rsidRPr="008B3F88">
        <w:rPr>
          <w:noProof/>
          <w:sz w:val="22"/>
          <w:szCs w:val="22"/>
          <w:lang w:val="sk-SK"/>
        </w:rPr>
        <w:t>.</w:t>
      </w:r>
    </w:p>
    <w:p w14:paraId="766D1858" w14:textId="77777777" w:rsidR="00E304B9" w:rsidRPr="008B3F88" w:rsidRDefault="00E304B9" w:rsidP="00D02F3E">
      <w:pPr>
        <w:rPr>
          <w:sz w:val="22"/>
          <w:szCs w:val="22"/>
          <w:lang w:val="sk-SK"/>
        </w:rPr>
      </w:pPr>
    </w:p>
    <w:p w14:paraId="11724B33" w14:textId="77777777" w:rsidR="004E5B55" w:rsidRPr="0046669C" w:rsidRDefault="004E5B55" w:rsidP="004E5B55">
      <w:pPr>
        <w:pStyle w:val="Nadpis2"/>
        <w:tabs>
          <w:tab w:val="left" w:pos="0"/>
        </w:tabs>
        <w:rPr>
          <w:sz w:val="22"/>
          <w:szCs w:val="22"/>
          <w:lang w:val="sk-SK"/>
        </w:rPr>
      </w:pPr>
      <w:r w:rsidRPr="0046669C">
        <w:rPr>
          <w:sz w:val="22"/>
          <w:szCs w:val="22"/>
          <w:lang w:val="sk-SK"/>
        </w:rPr>
        <w:t>Poznámky</w:t>
      </w:r>
    </w:p>
    <w:p w14:paraId="68BBAE14" w14:textId="5777BC1A"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Znížením abnormálneho zvýšenia spotreby energie u hypertyreózy môže dôjsť počas liečby Propycilom 50 k zvýšeniu telesnej hmotnosti. Pacientov je potrebné informovať, že so zlepšením ochorenia sa spotreba energie bude normalizovať. </w:t>
      </w:r>
    </w:p>
    <w:p w14:paraId="03122B35"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6B103FFB"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Počas tyreostatickej liečby sa musia pravidelne monitorovať funkcie štítnej žľazy, aby sa predišlo predávkovaniu.  </w:t>
      </w:r>
    </w:p>
    <w:p w14:paraId="69737512"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0D5F323F" w14:textId="4635A015"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Dôsledkom tyreostatickej liečby vysokými dávkami môže byť vznik strumy alebo zväčšenie už existujúcej strumy. Pri intratorakálnej strume je potrebné vziať do úvahy riziko rozšírenia do   tracheálnej bifurkácie. S liečbou vysokými dávkami je spojené aj riziko subklinickej alebo klinickej hypotyreózy. Dávky Propycilu 50 sa musia znížiť po dosiahnutí eutyreoidálneho statusu alebo je potrebné pridať levotyroxín. Liečba Propycilom 50 sa počas aplikácie tyroxínu nemá prerušiť. </w:t>
      </w:r>
    </w:p>
    <w:p w14:paraId="18175449"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52092D3D"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Rast strumy počas liečby Propycilom 50 pri zníženom TSH je dôsledkom celkového ochorenia, nedá sa mu predísť </w:t>
      </w:r>
      <w:r w:rsidR="00C80567" w:rsidRPr="0046669C">
        <w:rPr>
          <w:bCs/>
          <w:sz w:val="22"/>
          <w:szCs w:val="22"/>
          <w:lang w:val="sk-SK"/>
        </w:rPr>
        <w:t>p</w:t>
      </w:r>
      <w:r w:rsidRPr="0046669C">
        <w:rPr>
          <w:bCs/>
          <w:sz w:val="22"/>
          <w:szCs w:val="22"/>
          <w:lang w:val="sk-SK"/>
        </w:rPr>
        <w:t xml:space="preserve">odávaním tyreoidných hormónov. </w:t>
      </w:r>
    </w:p>
    <w:p w14:paraId="45196A41" w14:textId="706DEF59"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Incidencia alebo zvýšenie endokrinnej orbitopatie </w:t>
      </w:r>
      <w:r w:rsidR="00B51C81" w:rsidRPr="0046669C">
        <w:rPr>
          <w:bCs/>
          <w:sz w:val="22"/>
          <w:szCs w:val="22"/>
          <w:lang w:val="sk-SK"/>
        </w:rPr>
        <w:t>sú</w:t>
      </w:r>
      <w:r w:rsidRPr="0046669C">
        <w:rPr>
          <w:bCs/>
          <w:sz w:val="22"/>
          <w:szCs w:val="22"/>
          <w:lang w:val="sk-SK"/>
        </w:rPr>
        <w:t xml:space="preserve"> nezávislé od ochorenia štítnej žľazy. Takáto komplikácia</w:t>
      </w:r>
      <w:r w:rsidR="007114D2" w:rsidRPr="0046669C">
        <w:rPr>
          <w:bCs/>
          <w:sz w:val="22"/>
          <w:szCs w:val="22"/>
          <w:lang w:val="sk-SK"/>
        </w:rPr>
        <w:t xml:space="preserve"> </w:t>
      </w:r>
      <w:r w:rsidR="00894848" w:rsidRPr="0046669C">
        <w:rPr>
          <w:bCs/>
          <w:sz w:val="22"/>
          <w:szCs w:val="22"/>
          <w:lang w:val="sk-SK"/>
        </w:rPr>
        <w:t xml:space="preserve">nie </w:t>
      </w:r>
      <w:r w:rsidRPr="0046669C">
        <w:rPr>
          <w:bCs/>
          <w:sz w:val="22"/>
          <w:szCs w:val="22"/>
          <w:lang w:val="sk-SK"/>
        </w:rPr>
        <w:t xml:space="preserve">je dôvodom na </w:t>
      </w:r>
      <w:r w:rsidR="00894848" w:rsidRPr="0046669C">
        <w:rPr>
          <w:bCs/>
          <w:sz w:val="22"/>
          <w:szCs w:val="22"/>
          <w:lang w:val="sk-SK"/>
        </w:rPr>
        <w:t xml:space="preserve">zmenu koncepcie </w:t>
      </w:r>
      <w:r w:rsidRPr="0046669C">
        <w:rPr>
          <w:bCs/>
          <w:sz w:val="22"/>
          <w:szCs w:val="22"/>
          <w:lang w:val="sk-SK"/>
        </w:rPr>
        <w:t>liečby (</w:t>
      </w:r>
      <w:r w:rsidR="00894848" w:rsidRPr="0046669C">
        <w:rPr>
          <w:bCs/>
          <w:sz w:val="22"/>
          <w:szCs w:val="22"/>
          <w:lang w:val="sk-SK"/>
        </w:rPr>
        <w:t>tyreostatické lieky</w:t>
      </w:r>
      <w:r w:rsidRPr="0046669C">
        <w:rPr>
          <w:bCs/>
          <w:sz w:val="22"/>
          <w:szCs w:val="22"/>
          <w:lang w:val="sk-SK"/>
        </w:rPr>
        <w:t xml:space="preserve">, chirurgický zákrok, rádioaktívny jód) a nemá </w:t>
      </w:r>
      <w:r w:rsidR="00C80567" w:rsidRPr="0046669C">
        <w:rPr>
          <w:bCs/>
          <w:sz w:val="22"/>
          <w:szCs w:val="22"/>
          <w:lang w:val="sk-SK"/>
        </w:rPr>
        <w:t xml:space="preserve">sa </w:t>
      </w:r>
      <w:r w:rsidRPr="0046669C">
        <w:rPr>
          <w:bCs/>
          <w:sz w:val="22"/>
          <w:szCs w:val="22"/>
          <w:lang w:val="sk-SK"/>
        </w:rPr>
        <w:t>interpretovať ako nežiaduci účinok primeranej liečby.</w:t>
      </w:r>
    </w:p>
    <w:p w14:paraId="7B0E2B6F"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69A529C6"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 xml:space="preserve">Zriedkavo sa môže vyskytnúť „neskorá“ hypotyreóza. Tak isto sa nemá  interpretovať ako nežiaduci účinok liečby, skôr je to zápalový proces tkaniva štítnej žľazy. </w:t>
      </w:r>
    </w:p>
    <w:p w14:paraId="004072DD" w14:textId="77777777" w:rsidR="004E5B55" w:rsidRPr="0046669C" w:rsidRDefault="004E5B55" w:rsidP="004E5B55">
      <w:pPr>
        <w:tabs>
          <w:tab w:val="left" w:pos="0"/>
          <w:tab w:val="left" w:pos="3802"/>
          <w:tab w:val="left" w:pos="5816"/>
          <w:tab w:val="left" w:pos="7858"/>
        </w:tabs>
        <w:suppressAutoHyphens/>
        <w:rPr>
          <w:bCs/>
          <w:sz w:val="22"/>
          <w:szCs w:val="22"/>
          <w:lang w:val="sk-SK"/>
        </w:rPr>
      </w:pPr>
    </w:p>
    <w:p w14:paraId="43834B45" w14:textId="77777777" w:rsidR="004E5B55" w:rsidRPr="0046669C" w:rsidRDefault="004E5B55" w:rsidP="004E5B55">
      <w:pPr>
        <w:tabs>
          <w:tab w:val="left" w:pos="0"/>
          <w:tab w:val="left" w:pos="3802"/>
          <w:tab w:val="left" w:pos="5816"/>
          <w:tab w:val="left" w:pos="7858"/>
        </w:tabs>
        <w:suppressAutoHyphens/>
        <w:rPr>
          <w:bCs/>
          <w:sz w:val="22"/>
          <w:szCs w:val="22"/>
          <w:lang w:val="sk-SK"/>
        </w:rPr>
      </w:pPr>
      <w:r w:rsidRPr="0046669C">
        <w:rPr>
          <w:bCs/>
          <w:sz w:val="22"/>
          <w:szCs w:val="22"/>
          <w:lang w:val="sk-SK"/>
        </w:rPr>
        <w:t>Počas liečby propyltiouracilom sa odporúča kontinuálne monitorovanie krvného obrazu, transamináz a enzýmov indik</w:t>
      </w:r>
      <w:r w:rsidR="00C80567" w:rsidRPr="0046669C">
        <w:rPr>
          <w:bCs/>
          <w:sz w:val="22"/>
          <w:szCs w:val="22"/>
          <w:lang w:val="sk-SK"/>
        </w:rPr>
        <w:t>u</w:t>
      </w:r>
      <w:r w:rsidRPr="0046669C">
        <w:rPr>
          <w:bCs/>
          <w:sz w:val="22"/>
          <w:szCs w:val="22"/>
          <w:lang w:val="sk-SK"/>
        </w:rPr>
        <w:t xml:space="preserve">júcich cholestázu. </w:t>
      </w:r>
    </w:p>
    <w:p w14:paraId="1EEB7EBF" w14:textId="77777777" w:rsidR="00661D85" w:rsidRPr="0046669C" w:rsidRDefault="00661D85" w:rsidP="00033D3E">
      <w:pPr>
        <w:pStyle w:val="BodyTextIndent21"/>
        <w:ind w:left="0"/>
        <w:rPr>
          <w:sz w:val="22"/>
          <w:szCs w:val="22"/>
          <w:lang w:val="sk-SK"/>
        </w:rPr>
      </w:pPr>
    </w:p>
    <w:p w14:paraId="4B6A1DBC" w14:textId="77777777" w:rsidR="00E57A33" w:rsidRPr="0046669C" w:rsidRDefault="00E57A33" w:rsidP="00E57A33">
      <w:pPr>
        <w:rPr>
          <w:noProof/>
          <w:szCs w:val="22"/>
          <w:lang w:val="sk-SK"/>
        </w:rPr>
      </w:pPr>
      <w:r w:rsidRPr="0046669C">
        <w:rPr>
          <w:b/>
          <w:noProof/>
          <w:szCs w:val="22"/>
          <w:lang w:val="sk-SK"/>
        </w:rPr>
        <w:t>4.9</w:t>
      </w:r>
      <w:r w:rsidRPr="0046669C">
        <w:rPr>
          <w:b/>
          <w:noProof/>
          <w:szCs w:val="22"/>
          <w:lang w:val="sk-SK"/>
        </w:rPr>
        <w:tab/>
        <w:t>Predávkovanie</w:t>
      </w:r>
    </w:p>
    <w:p w14:paraId="41037F8D" w14:textId="77777777" w:rsidR="00344FE4" w:rsidRPr="0046669C" w:rsidRDefault="00344FE4">
      <w:pPr>
        <w:jc w:val="both"/>
        <w:rPr>
          <w:sz w:val="22"/>
          <w:szCs w:val="22"/>
          <w:lang w:val="sk-SK"/>
        </w:rPr>
      </w:pPr>
    </w:p>
    <w:p w14:paraId="3E411E49" w14:textId="77777777" w:rsidR="00066511" w:rsidRPr="0046669C" w:rsidRDefault="00661D85">
      <w:pPr>
        <w:jc w:val="both"/>
        <w:rPr>
          <w:sz w:val="22"/>
          <w:szCs w:val="22"/>
          <w:lang w:val="sk-SK"/>
        </w:rPr>
      </w:pPr>
      <w:r w:rsidRPr="0046669C">
        <w:rPr>
          <w:sz w:val="22"/>
          <w:szCs w:val="22"/>
          <w:lang w:val="sk-SK"/>
        </w:rPr>
        <w:t xml:space="preserve">Prípady akútnej intoxikácie s PTU </w:t>
      </w:r>
      <w:r w:rsidR="00066511" w:rsidRPr="0046669C">
        <w:rPr>
          <w:sz w:val="22"/>
          <w:szCs w:val="22"/>
          <w:lang w:val="sk-SK"/>
        </w:rPr>
        <w:t>sa nezaznamenali</w:t>
      </w:r>
      <w:r w:rsidRPr="0046669C">
        <w:rPr>
          <w:sz w:val="22"/>
          <w:szCs w:val="22"/>
          <w:lang w:val="sk-SK"/>
        </w:rPr>
        <w:t>.</w:t>
      </w:r>
      <w:r w:rsidR="00066511" w:rsidRPr="0046669C">
        <w:rPr>
          <w:sz w:val="22"/>
          <w:szCs w:val="22"/>
          <w:lang w:val="sk-SK"/>
        </w:rPr>
        <w:t xml:space="preserve"> </w:t>
      </w:r>
      <w:r w:rsidRPr="0046669C">
        <w:rPr>
          <w:sz w:val="22"/>
          <w:szCs w:val="22"/>
          <w:lang w:val="sk-SK"/>
        </w:rPr>
        <w:t>Špeci</w:t>
      </w:r>
      <w:r w:rsidR="00066511" w:rsidRPr="0046669C">
        <w:rPr>
          <w:sz w:val="22"/>
          <w:szCs w:val="22"/>
          <w:lang w:val="sk-SK"/>
        </w:rPr>
        <w:t>fické</w:t>
      </w:r>
      <w:r w:rsidRPr="0046669C">
        <w:rPr>
          <w:sz w:val="22"/>
          <w:szCs w:val="22"/>
          <w:lang w:val="sk-SK"/>
        </w:rPr>
        <w:t xml:space="preserve"> opatrenia nie sú známe. </w:t>
      </w:r>
    </w:p>
    <w:p w14:paraId="6333BD18" w14:textId="7EC1EB54" w:rsidR="00066511" w:rsidRPr="0046669C" w:rsidRDefault="00661D85">
      <w:pPr>
        <w:jc w:val="both"/>
        <w:rPr>
          <w:sz w:val="22"/>
          <w:szCs w:val="22"/>
          <w:lang w:val="sk-SK"/>
        </w:rPr>
      </w:pPr>
      <w:r w:rsidRPr="0046669C">
        <w:rPr>
          <w:sz w:val="22"/>
          <w:szCs w:val="22"/>
          <w:lang w:val="sk-SK"/>
        </w:rPr>
        <w:t xml:space="preserve">Vzhľadom </w:t>
      </w:r>
      <w:r w:rsidR="00066511" w:rsidRPr="0046669C">
        <w:rPr>
          <w:sz w:val="22"/>
          <w:szCs w:val="22"/>
          <w:lang w:val="sk-SK"/>
        </w:rPr>
        <w:t>na</w:t>
      </w:r>
      <w:r w:rsidRPr="0046669C">
        <w:rPr>
          <w:sz w:val="22"/>
          <w:szCs w:val="22"/>
          <w:lang w:val="sk-SK"/>
        </w:rPr>
        <w:t> rýchl</w:t>
      </w:r>
      <w:r w:rsidR="00066511" w:rsidRPr="0046669C">
        <w:rPr>
          <w:sz w:val="22"/>
          <w:szCs w:val="22"/>
          <w:lang w:val="sk-SK"/>
        </w:rPr>
        <w:t>u</w:t>
      </w:r>
      <w:r w:rsidRPr="0046669C">
        <w:rPr>
          <w:sz w:val="22"/>
          <w:szCs w:val="22"/>
          <w:lang w:val="sk-SK"/>
        </w:rPr>
        <w:t xml:space="preserve"> absor</w:t>
      </w:r>
      <w:r w:rsidR="00C80567" w:rsidRPr="0046669C">
        <w:rPr>
          <w:sz w:val="22"/>
          <w:szCs w:val="22"/>
          <w:lang w:val="sk-SK"/>
        </w:rPr>
        <w:t>p</w:t>
      </w:r>
      <w:r w:rsidRPr="0046669C">
        <w:rPr>
          <w:sz w:val="22"/>
          <w:szCs w:val="22"/>
          <w:lang w:val="sk-SK"/>
        </w:rPr>
        <w:t>ci</w:t>
      </w:r>
      <w:r w:rsidR="002027F9" w:rsidRPr="0046669C">
        <w:rPr>
          <w:color w:val="000000" w:themeColor="text1"/>
          <w:sz w:val="22"/>
          <w:szCs w:val="22"/>
          <w:lang w:val="sk-SK"/>
        </w:rPr>
        <w:t>u</w:t>
      </w:r>
      <w:r w:rsidRPr="0046669C">
        <w:rPr>
          <w:sz w:val="22"/>
          <w:szCs w:val="22"/>
          <w:lang w:val="sk-SK"/>
        </w:rPr>
        <w:t xml:space="preserve"> má výplach žalúdka a odstránenie zvyšných tabliet neistý význam. </w:t>
      </w:r>
    </w:p>
    <w:p w14:paraId="52EA351C" w14:textId="77777777" w:rsidR="00C65DBA" w:rsidRPr="0046669C" w:rsidRDefault="00066511" w:rsidP="00066511">
      <w:pPr>
        <w:rPr>
          <w:sz w:val="22"/>
          <w:szCs w:val="22"/>
          <w:lang w:val="sk-SK"/>
        </w:rPr>
      </w:pPr>
      <w:r w:rsidRPr="0046669C">
        <w:rPr>
          <w:sz w:val="22"/>
          <w:szCs w:val="22"/>
          <w:lang w:val="sk-SK"/>
        </w:rPr>
        <w:t xml:space="preserve">Ak je dôsledkom chronického predávkovania vznik </w:t>
      </w:r>
      <w:r w:rsidR="00661D85" w:rsidRPr="0046669C">
        <w:rPr>
          <w:sz w:val="22"/>
          <w:szCs w:val="22"/>
          <w:lang w:val="sk-SK"/>
        </w:rPr>
        <w:t>strumy a hypotyreózy (s príznakmi zodpovedajúcimi stupňu hypotyreózy) je potrebné podávanie Propycil</w:t>
      </w:r>
      <w:r w:rsidR="00C80567" w:rsidRPr="0046669C">
        <w:rPr>
          <w:sz w:val="22"/>
          <w:szCs w:val="22"/>
          <w:lang w:val="sk-SK"/>
        </w:rPr>
        <w:t>u</w:t>
      </w:r>
      <w:r w:rsidR="00661D85" w:rsidRPr="0046669C">
        <w:rPr>
          <w:sz w:val="22"/>
          <w:szCs w:val="22"/>
          <w:lang w:val="sk-SK"/>
        </w:rPr>
        <w:t xml:space="preserve"> 50 prerušiť. </w:t>
      </w:r>
    </w:p>
    <w:p w14:paraId="7E044284" w14:textId="02BCABBB" w:rsidR="00661D85" w:rsidRPr="0046669C" w:rsidRDefault="00661D85" w:rsidP="00066511">
      <w:pPr>
        <w:rPr>
          <w:sz w:val="22"/>
          <w:szCs w:val="22"/>
          <w:lang w:val="sk-SK"/>
        </w:rPr>
      </w:pPr>
      <w:r w:rsidRPr="0046669C">
        <w:rPr>
          <w:sz w:val="22"/>
          <w:szCs w:val="22"/>
          <w:lang w:val="sk-SK"/>
        </w:rPr>
        <w:t>Substitúci</w:t>
      </w:r>
      <w:r w:rsidR="00412DCE" w:rsidRPr="0046669C">
        <w:rPr>
          <w:sz w:val="22"/>
          <w:szCs w:val="22"/>
          <w:lang w:val="sk-SK"/>
        </w:rPr>
        <w:t>a</w:t>
      </w:r>
      <w:r w:rsidRPr="0046669C">
        <w:rPr>
          <w:sz w:val="22"/>
          <w:szCs w:val="22"/>
          <w:lang w:val="sk-SK"/>
        </w:rPr>
        <w:t xml:space="preserve"> tyroxínom </w:t>
      </w:r>
      <w:r w:rsidR="00C65DBA" w:rsidRPr="0046669C">
        <w:rPr>
          <w:sz w:val="22"/>
          <w:szCs w:val="22"/>
          <w:lang w:val="sk-SK"/>
        </w:rPr>
        <w:t>sa musí začať</w:t>
      </w:r>
      <w:r w:rsidR="00066511" w:rsidRPr="0046669C">
        <w:rPr>
          <w:sz w:val="22"/>
          <w:szCs w:val="22"/>
          <w:lang w:val="sk-SK"/>
        </w:rPr>
        <w:t xml:space="preserve"> vtedy</w:t>
      </w:r>
      <w:r w:rsidRPr="0046669C">
        <w:rPr>
          <w:sz w:val="22"/>
          <w:szCs w:val="22"/>
          <w:lang w:val="sk-SK"/>
        </w:rPr>
        <w:t xml:space="preserve">, </w:t>
      </w:r>
      <w:r w:rsidR="00066511" w:rsidRPr="0046669C">
        <w:rPr>
          <w:sz w:val="22"/>
          <w:szCs w:val="22"/>
          <w:lang w:val="sk-SK"/>
        </w:rPr>
        <w:t>keď</w:t>
      </w:r>
      <w:r w:rsidRPr="0046669C">
        <w:rPr>
          <w:sz w:val="22"/>
          <w:szCs w:val="22"/>
          <w:lang w:val="sk-SK"/>
        </w:rPr>
        <w:t xml:space="preserve"> stupeň závažnosti hypotyreózy alebo strumy si túto substitúciu vyžaduje. Vo všeobecnosti možno počkať na spontánnu úpravu činnosti štítnej žľazy po odbúraní propyltiouracilu.</w:t>
      </w:r>
    </w:p>
    <w:p w14:paraId="0478CFDF" w14:textId="77777777" w:rsidR="00661D85" w:rsidRPr="0046669C" w:rsidRDefault="00661D85">
      <w:pPr>
        <w:jc w:val="both"/>
        <w:rPr>
          <w:sz w:val="22"/>
          <w:szCs w:val="22"/>
          <w:lang w:val="sk-SK"/>
        </w:rPr>
      </w:pPr>
    </w:p>
    <w:p w14:paraId="29CB52B0" w14:textId="77777777" w:rsidR="00E57A33" w:rsidRPr="0046669C" w:rsidRDefault="00E57A33">
      <w:pPr>
        <w:jc w:val="both"/>
        <w:rPr>
          <w:sz w:val="22"/>
          <w:szCs w:val="22"/>
          <w:lang w:val="sk-SK"/>
        </w:rPr>
      </w:pPr>
    </w:p>
    <w:p w14:paraId="782FF802" w14:textId="77777777" w:rsidR="00E57A33" w:rsidRPr="0046669C" w:rsidRDefault="00E57A33" w:rsidP="00E57A33">
      <w:pPr>
        <w:rPr>
          <w:noProof/>
          <w:szCs w:val="22"/>
          <w:lang w:val="sk-SK"/>
        </w:rPr>
      </w:pPr>
      <w:r w:rsidRPr="0046669C">
        <w:rPr>
          <w:b/>
          <w:noProof/>
          <w:szCs w:val="22"/>
          <w:lang w:val="sk-SK"/>
        </w:rPr>
        <w:t>5.</w:t>
      </w:r>
      <w:r w:rsidRPr="0046669C">
        <w:rPr>
          <w:b/>
          <w:noProof/>
          <w:szCs w:val="22"/>
          <w:lang w:val="sk-SK"/>
        </w:rPr>
        <w:tab/>
        <w:t>FARMAKOLOGICKÉ VLASTNOSTI</w:t>
      </w:r>
    </w:p>
    <w:p w14:paraId="634A6F44" w14:textId="77777777" w:rsidR="00E57A33" w:rsidRPr="0046669C" w:rsidRDefault="00E57A33" w:rsidP="00E57A33">
      <w:pPr>
        <w:rPr>
          <w:bCs/>
          <w:noProof/>
          <w:szCs w:val="22"/>
          <w:lang w:val="sk-SK"/>
        </w:rPr>
      </w:pPr>
    </w:p>
    <w:p w14:paraId="399B7E5D" w14:textId="77777777" w:rsidR="00E57A33" w:rsidRPr="0046669C" w:rsidRDefault="00E57A33" w:rsidP="00E57A33">
      <w:pPr>
        <w:rPr>
          <w:noProof/>
          <w:szCs w:val="22"/>
          <w:lang w:val="sk-SK"/>
        </w:rPr>
      </w:pPr>
      <w:r w:rsidRPr="0046669C">
        <w:rPr>
          <w:b/>
          <w:noProof/>
          <w:szCs w:val="22"/>
          <w:lang w:val="sk-SK"/>
        </w:rPr>
        <w:t>5.1</w:t>
      </w:r>
      <w:r w:rsidRPr="0046669C">
        <w:rPr>
          <w:b/>
          <w:noProof/>
          <w:szCs w:val="22"/>
          <w:lang w:val="sk-SK"/>
        </w:rPr>
        <w:tab/>
        <w:t>Farmakodynamické vlastnosti</w:t>
      </w:r>
    </w:p>
    <w:p w14:paraId="1D4B7687" w14:textId="77777777" w:rsidR="00E57A33" w:rsidRPr="0046669C" w:rsidRDefault="00E57A33">
      <w:pPr>
        <w:jc w:val="both"/>
        <w:rPr>
          <w:sz w:val="22"/>
          <w:szCs w:val="22"/>
          <w:lang w:val="sk-SK"/>
        </w:rPr>
      </w:pPr>
    </w:p>
    <w:p w14:paraId="155E0A3A" w14:textId="6F254965" w:rsidR="0064747F" w:rsidRPr="0046669C" w:rsidRDefault="00066511" w:rsidP="00835E9C">
      <w:pPr>
        <w:rPr>
          <w:sz w:val="22"/>
          <w:szCs w:val="22"/>
          <w:lang w:val="sk-SK"/>
        </w:rPr>
      </w:pPr>
      <w:r w:rsidRPr="0046669C">
        <w:rPr>
          <w:sz w:val="22"/>
          <w:szCs w:val="22"/>
          <w:lang w:val="sk-SK"/>
        </w:rPr>
        <w:t>Farmakoterapeutická skupina:</w:t>
      </w:r>
      <w:r w:rsidR="00835E9C" w:rsidRPr="0046669C">
        <w:rPr>
          <w:sz w:val="22"/>
          <w:szCs w:val="22"/>
          <w:lang w:val="sk-SK"/>
        </w:rPr>
        <w:t xml:space="preserve"> Liečba štítnej žľazy, Tiouracily </w:t>
      </w:r>
    </w:p>
    <w:p w14:paraId="196CE021" w14:textId="1D200038" w:rsidR="00066511" w:rsidRPr="0046669C" w:rsidRDefault="00066511" w:rsidP="00066511">
      <w:pPr>
        <w:rPr>
          <w:sz w:val="22"/>
          <w:szCs w:val="22"/>
          <w:lang w:val="sk-SK"/>
        </w:rPr>
      </w:pPr>
      <w:r w:rsidRPr="0046669C">
        <w:rPr>
          <w:sz w:val="22"/>
          <w:szCs w:val="22"/>
          <w:lang w:val="sk-SK"/>
        </w:rPr>
        <w:t>ATC: H03</w:t>
      </w:r>
      <w:r w:rsidR="0064747F" w:rsidRPr="0046669C">
        <w:rPr>
          <w:sz w:val="22"/>
          <w:szCs w:val="22"/>
          <w:lang w:val="sk-SK"/>
        </w:rPr>
        <w:t xml:space="preserve"> </w:t>
      </w:r>
      <w:r w:rsidRPr="0046669C">
        <w:rPr>
          <w:sz w:val="22"/>
          <w:szCs w:val="22"/>
          <w:lang w:val="sk-SK"/>
        </w:rPr>
        <w:t>BA02</w:t>
      </w:r>
    </w:p>
    <w:p w14:paraId="7A9A6720" w14:textId="77777777" w:rsidR="001C05D0" w:rsidRPr="008B3F88" w:rsidRDefault="001C05D0" w:rsidP="001C05D0">
      <w:pPr>
        <w:autoSpaceDE w:val="0"/>
        <w:autoSpaceDN w:val="0"/>
        <w:adjustRightInd w:val="0"/>
        <w:rPr>
          <w:szCs w:val="22"/>
          <w:lang w:val="sk-SK"/>
        </w:rPr>
      </w:pPr>
    </w:p>
    <w:p w14:paraId="0959DB74" w14:textId="2A564195" w:rsidR="00603D03" w:rsidRPr="0046669C" w:rsidRDefault="00066511" w:rsidP="00C65DBA">
      <w:pPr>
        <w:rPr>
          <w:sz w:val="22"/>
          <w:szCs w:val="22"/>
          <w:lang w:val="sk-SK"/>
        </w:rPr>
      </w:pPr>
      <w:r w:rsidRPr="0046669C">
        <w:rPr>
          <w:sz w:val="22"/>
          <w:szCs w:val="22"/>
          <w:lang w:val="sk-SK"/>
        </w:rPr>
        <w:t>Propyltiouracil pôsobí ako antityr</w:t>
      </w:r>
      <w:r w:rsidR="00C80567" w:rsidRPr="0046669C">
        <w:rPr>
          <w:sz w:val="22"/>
          <w:szCs w:val="22"/>
          <w:lang w:val="sk-SK"/>
        </w:rPr>
        <w:t>e</w:t>
      </w:r>
      <w:r w:rsidRPr="0046669C">
        <w:rPr>
          <w:sz w:val="22"/>
          <w:szCs w:val="22"/>
          <w:lang w:val="sk-SK"/>
        </w:rPr>
        <w:t>oidálna látka inhibíciou intratyr</w:t>
      </w:r>
      <w:r w:rsidR="00C80567" w:rsidRPr="0046669C">
        <w:rPr>
          <w:sz w:val="22"/>
          <w:szCs w:val="22"/>
          <w:lang w:val="sk-SK"/>
        </w:rPr>
        <w:t>e</w:t>
      </w:r>
      <w:r w:rsidRPr="0046669C">
        <w:rPr>
          <w:sz w:val="22"/>
          <w:szCs w:val="22"/>
          <w:lang w:val="sk-SK"/>
        </w:rPr>
        <w:t xml:space="preserve">oidálneho peroxidázového systému. Redukuje inkorporáciu jódu do tyreoglobulínu a tým tlmí syntézu tyroxínu. </w:t>
      </w:r>
      <w:r w:rsidR="00661D85" w:rsidRPr="0046669C">
        <w:rPr>
          <w:sz w:val="22"/>
          <w:szCs w:val="22"/>
          <w:lang w:val="sk-SK"/>
        </w:rPr>
        <w:t>Zároveň dochádza k inhibícii tvorby jodtyronínu u už jodidovaných tyrozylových zvyško</w:t>
      </w:r>
      <w:r w:rsidR="00CA7135" w:rsidRPr="0046669C">
        <w:rPr>
          <w:sz w:val="22"/>
          <w:szCs w:val="22"/>
          <w:lang w:val="sk-SK"/>
        </w:rPr>
        <w:t>ch</w:t>
      </w:r>
      <w:r w:rsidR="00661D85" w:rsidRPr="0046669C">
        <w:rPr>
          <w:sz w:val="22"/>
          <w:szCs w:val="22"/>
          <w:lang w:val="sk-SK"/>
        </w:rPr>
        <w:t xml:space="preserve"> v tyreoglobulinových molekulách. </w:t>
      </w:r>
    </w:p>
    <w:p w14:paraId="0177470A" w14:textId="1547385A" w:rsidR="00E57A33" w:rsidRPr="0046669C" w:rsidRDefault="00661D85" w:rsidP="00E57A33">
      <w:pPr>
        <w:rPr>
          <w:b/>
          <w:noProof/>
          <w:szCs w:val="22"/>
          <w:lang w:val="sk-SK"/>
        </w:rPr>
      </w:pPr>
      <w:r w:rsidRPr="0046669C">
        <w:rPr>
          <w:sz w:val="22"/>
          <w:szCs w:val="22"/>
          <w:lang w:val="sk-SK"/>
        </w:rPr>
        <w:t xml:space="preserve">Propyltiouracil </w:t>
      </w:r>
      <w:r w:rsidR="00A613AE" w:rsidRPr="0046669C">
        <w:rPr>
          <w:sz w:val="22"/>
          <w:szCs w:val="22"/>
          <w:lang w:val="sk-SK"/>
        </w:rPr>
        <w:t xml:space="preserve">spôsobuje </w:t>
      </w:r>
      <w:r w:rsidRPr="0046669C">
        <w:rPr>
          <w:sz w:val="22"/>
          <w:szCs w:val="22"/>
          <w:lang w:val="sk-SK"/>
        </w:rPr>
        <w:t>depléciu jódu v š</w:t>
      </w:r>
      <w:r w:rsidR="00B27BD7" w:rsidRPr="0046669C">
        <w:rPr>
          <w:sz w:val="22"/>
          <w:szCs w:val="22"/>
          <w:lang w:val="sk-SK"/>
        </w:rPr>
        <w:t>títnej žľa</w:t>
      </w:r>
      <w:r w:rsidRPr="0046669C">
        <w:rPr>
          <w:sz w:val="22"/>
          <w:szCs w:val="22"/>
          <w:lang w:val="sk-SK"/>
        </w:rPr>
        <w:t xml:space="preserve">ze a redukuje </w:t>
      </w:r>
      <w:r w:rsidR="00870376" w:rsidRPr="0046669C">
        <w:rPr>
          <w:sz w:val="22"/>
          <w:szCs w:val="22"/>
          <w:lang w:val="sk-SK"/>
        </w:rPr>
        <w:t xml:space="preserve">aj </w:t>
      </w:r>
      <w:r w:rsidRPr="0046669C">
        <w:rPr>
          <w:sz w:val="22"/>
          <w:szCs w:val="22"/>
          <w:lang w:val="sk-SK"/>
        </w:rPr>
        <w:t>konverziu tyroxínu na trijódtyronín v periférnych tkanivách.</w:t>
      </w:r>
      <w:r w:rsidR="00603D03" w:rsidRPr="0046669C">
        <w:rPr>
          <w:b/>
          <w:sz w:val="22"/>
          <w:szCs w:val="22"/>
          <w:lang w:val="sk-SK"/>
        </w:rPr>
        <w:t xml:space="preserve"> </w:t>
      </w:r>
      <w:r w:rsidR="00B27BD7" w:rsidRPr="0046669C">
        <w:rPr>
          <w:sz w:val="22"/>
          <w:szCs w:val="22"/>
          <w:lang w:val="sk-SK"/>
        </w:rPr>
        <w:t xml:space="preserve">Tieto charakteristiky umožňujú symptomatickú liečbu hypertyreózy, nezávislú od etiológie. Propycil </w:t>
      </w:r>
      <w:r w:rsidR="0063066C" w:rsidRPr="0046669C">
        <w:rPr>
          <w:sz w:val="22"/>
          <w:szCs w:val="22"/>
          <w:lang w:val="sk-SK"/>
        </w:rPr>
        <w:t xml:space="preserve">50 </w:t>
      </w:r>
      <w:r w:rsidR="00B27BD7" w:rsidRPr="0046669C">
        <w:rPr>
          <w:sz w:val="22"/>
          <w:szCs w:val="22"/>
          <w:lang w:val="sk-SK"/>
        </w:rPr>
        <w:t xml:space="preserve">pravdepodobne neovplyvňuje prirodzený imunologický proces ochorenia. Hormóny štítnej žľazy, ktoré sú už zosyntetizované nie sú ovplyvnené. To vysvetľuje, prečo sa medzi jednotlivými pacientmi mení čas do objavenia klinických príznakov zlepšenia. Uvoľňovanie hormónov štítnej žľazy po deštrukcii tkaniva štítnej žľazy napríklad rádioterapiou propyltiouracil neovplyvňuje. </w:t>
      </w:r>
    </w:p>
    <w:p w14:paraId="68563E6F" w14:textId="77777777" w:rsidR="00545CFD" w:rsidRPr="0046669C" w:rsidRDefault="00545CFD" w:rsidP="00545CFD">
      <w:pPr>
        <w:rPr>
          <w:b/>
          <w:noProof/>
          <w:szCs w:val="22"/>
          <w:lang w:val="sk-SK"/>
        </w:rPr>
      </w:pPr>
    </w:p>
    <w:p w14:paraId="57ECF724" w14:textId="77777777" w:rsidR="00E57A33" w:rsidRPr="0046669C" w:rsidRDefault="00E57A33" w:rsidP="00E57A33">
      <w:pPr>
        <w:rPr>
          <w:noProof/>
          <w:szCs w:val="22"/>
          <w:lang w:val="sk-SK"/>
        </w:rPr>
      </w:pPr>
      <w:r w:rsidRPr="0046669C">
        <w:rPr>
          <w:b/>
          <w:noProof/>
          <w:szCs w:val="22"/>
          <w:lang w:val="sk-SK"/>
        </w:rPr>
        <w:t>5.2</w:t>
      </w:r>
      <w:r w:rsidRPr="0046669C">
        <w:rPr>
          <w:b/>
          <w:noProof/>
          <w:szCs w:val="22"/>
          <w:lang w:val="sk-SK"/>
        </w:rPr>
        <w:tab/>
        <w:t>Farmakokinetické vlastnosti</w:t>
      </w:r>
    </w:p>
    <w:p w14:paraId="38D1F5DF" w14:textId="77777777" w:rsidR="00B27BD7" w:rsidRPr="0046669C" w:rsidRDefault="00B27BD7">
      <w:pPr>
        <w:pStyle w:val="Zkladntext"/>
        <w:rPr>
          <w:sz w:val="22"/>
          <w:szCs w:val="22"/>
          <w:lang w:val="sk-SK"/>
        </w:rPr>
      </w:pPr>
    </w:p>
    <w:p w14:paraId="69D2507D" w14:textId="6849A11F" w:rsidR="00B27BD7" w:rsidRPr="0046669C" w:rsidRDefault="0063066C">
      <w:pPr>
        <w:pStyle w:val="Zkladntext"/>
        <w:rPr>
          <w:b/>
          <w:sz w:val="22"/>
          <w:szCs w:val="22"/>
          <w:lang w:val="sk-SK"/>
        </w:rPr>
      </w:pPr>
      <w:r w:rsidRPr="008B3F88">
        <w:rPr>
          <w:bCs/>
          <w:color w:val="000000"/>
          <w:sz w:val="22"/>
          <w:szCs w:val="22"/>
          <w:u w:val="single"/>
          <w:lang w:val="sk-SK"/>
        </w:rPr>
        <w:t>Absorpcia</w:t>
      </w:r>
      <w:r w:rsidR="006D7A84" w:rsidRPr="0046669C">
        <w:rPr>
          <w:b/>
          <w:bCs/>
          <w:color w:val="000000"/>
          <w:sz w:val="22"/>
          <w:szCs w:val="22"/>
          <w:lang w:val="sk-SK"/>
        </w:rPr>
        <w:t xml:space="preserve"> </w:t>
      </w:r>
    </w:p>
    <w:p w14:paraId="4466BB81" w14:textId="77777777" w:rsidR="002B5CAB" w:rsidRPr="0046669C" w:rsidRDefault="00661D85" w:rsidP="00ED6039">
      <w:pPr>
        <w:pStyle w:val="Zkladntext"/>
        <w:jc w:val="left"/>
        <w:rPr>
          <w:sz w:val="22"/>
          <w:szCs w:val="22"/>
          <w:lang w:val="sk-SK"/>
        </w:rPr>
      </w:pPr>
      <w:r w:rsidRPr="0046669C">
        <w:rPr>
          <w:sz w:val="22"/>
          <w:szCs w:val="22"/>
          <w:lang w:val="sk-SK"/>
        </w:rPr>
        <w:t xml:space="preserve">Propyltiouracil sa po perorálnom podaní dobre vstrebáva s maximom plazmatických hladín od 1 do 2 hodín od podania. </w:t>
      </w:r>
    </w:p>
    <w:p w14:paraId="34341383" w14:textId="6FC42D47" w:rsidR="00661D85" w:rsidRPr="0046669C" w:rsidRDefault="00661D85" w:rsidP="00ED6039">
      <w:pPr>
        <w:pStyle w:val="Zkladntext"/>
        <w:jc w:val="left"/>
        <w:rPr>
          <w:sz w:val="22"/>
          <w:szCs w:val="22"/>
          <w:lang w:val="sk-SK"/>
        </w:rPr>
      </w:pPr>
      <w:r w:rsidRPr="0046669C">
        <w:rPr>
          <w:sz w:val="22"/>
          <w:szCs w:val="22"/>
          <w:lang w:val="sk-SK"/>
        </w:rPr>
        <w:t>Antityreoidálne látky sa koncentrujú v štítnej žľaze mechanizmom aktívneho transportu. Napriek tomu, že po 8 hodinách po podaní nie je v sére detegovaný žiaden propyltiouracil, trvanie účinku vyššej jednotlivej dávky je okolo 6 až 8 hodín kvôli výraznému nahromadeniu v štítnej žľaze.</w:t>
      </w:r>
    </w:p>
    <w:p w14:paraId="4CDD65A6" w14:textId="77777777" w:rsidR="00661D85" w:rsidRPr="0046669C" w:rsidRDefault="00661D85">
      <w:pPr>
        <w:jc w:val="both"/>
        <w:rPr>
          <w:sz w:val="22"/>
          <w:szCs w:val="22"/>
          <w:lang w:val="sk-SK"/>
        </w:rPr>
      </w:pPr>
      <w:r w:rsidRPr="0046669C">
        <w:rPr>
          <w:sz w:val="22"/>
          <w:szCs w:val="22"/>
          <w:lang w:val="sk-SK"/>
        </w:rPr>
        <w:t>Biologická dostupnosť po perorálnom podaní je okolo 80 %.</w:t>
      </w:r>
    </w:p>
    <w:p w14:paraId="64918212" w14:textId="77777777" w:rsidR="00661D85" w:rsidRPr="0046669C" w:rsidRDefault="00661D85">
      <w:pPr>
        <w:pStyle w:val="Hlavika"/>
        <w:tabs>
          <w:tab w:val="clear" w:pos="4153"/>
          <w:tab w:val="clear" w:pos="8306"/>
        </w:tabs>
        <w:rPr>
          <w:sz w:val="22"/>
          <w:szCs w:val="22"/>
          <w:lang w:val="sk-SK"/>
        </w:rPr>
      </w:pPr>
    </w:p>
    <w:p w14:paraId="29C9B983" w14:textId="2CE9315E" w:rsidR="004E5F09" w:rsidRPr="0046669C" w:rsidRDefault="000172BB" w:rsidP="00B27BD7">
      <w:pPr>
        <w:tabs>
          <w:tab w:val="left" w:pos="431"/>
          <w:tab w:val="left" w:pos="3802"/>
          <w:tab w:val="left" w:pos="5816"/>
          <w:tab w:val="left" w:pos="7858"/>
        </w:tabs>
        <w:suppressAutoHyphens/>
        <w:rPr>
          <w:b/>
          <w:bCs/>
          <w:sz w:val="22"/>
          <w:szCs w:val="22"/>
          <w:lang w:val="sk-SK"/>
        </w:rPr>
      </w:pPr>
      <w:r w:rsidRPr="008B3F88">
        <w:rPr>
          <w:bCs/>
          <w:sz w:val="22"/>
          <w:szCs w:val="22"/>
          <w:u w:val="single"/>
          <w:lang w:val="sk-SK"/>
        </w:rPr>
        <w:t>Biotransformácia a eliminácia</w:t>
      </w:r>
    </w:p>
    <w:p w14:paraId="21E19078" w14:textId="77777777" w:rsidR="00B27BD7" w:rsidRPr="0046669C" w:rsidRDefault="00B27BD7" w:rsidP="00B27BD7">
      <w:pPr>
        <w:pStyle w:val="Zkladntext"/>
        <w:rPr>
          <w:color w:val="000000"/>
          <w:sz w:val="22"/>
          <w:szCs w:val="22"/>
          <w:lang w:val="sk-SK"/>
        </w:rPr>
      </w:pPr>
      <w:r w:rsidRPr="0046669C">
        <w:rPr>
          <w:sz w:val="22"/>
          <w:szCs w:val="22"/>
          <w:lang w:val="sk-SK"/>
        </w:rPr>
        <w:t>Polčas vylučovania propy</w:t>
      </w:r>
      <w:r w:rsidR="00344FE4" w:rsidRPr="0046669C">
        <w:rPr>
          <w:sz w:val="22"/>
          <w:szCs w:val="22"/>
          <w:lang w:val="sk-SK"/>
        </w:rPr>
        <w:t>l</w:t>
      </w:r>
      <w:r w:rsidRPr="0046669C">
        <w:rPr>
          <w:sz w:val="22"/>
          <w:szCs w:val="22"/>
          <w:lang w:val="sk-SK"/>
        </w:rPr>
        <w:t>tiouraci</w:t>
      </w:r>
      <w:r w:rsidRPr="0046669C">
        <w:rPr>
          <w:color w:val="000000"/>
          <w:sz w:val="22"/>
          <w:szCs w:val="22"/>
          <w:lang w:val="sk-SK"/>
        </w:rPr>
        <w:t>lu z plazmy je okolo 1-2 hodín. Propyltiouracil sa metabolizuje  pravdepodobne v pečeni a vylučuje sa močom, menej ako 2</w:t>
      </w:r>
      <w:r w:rsidR="002051FD" w:rsidRPr="0046669C">
        <w:rPr>
          <w:color w:val="000000"/>
          <w:sz w:val="22"/>
          <w:szCs w:val="22"/>
          <w:lang w:val="sk-SK"/>
        </w:rPr>
        <w:t xml:space="preserve"> </w:t>
      </w:r>
      <w:r w:rsidRPr="0046669C">
        <w:rPr>
          <w:color w:val="000000"/>
          <w:sz w:val="22"/>
          <w:szCs w:val="22"/>
          <w:lang w:val="sk-SK"/>
        </w:rPr>
        <w:t>% sa eliminuje v nezmenej forme a viac ako 50</w:t>
      </w:r>
      <w:r w:rsidR="00344FE4" w:rsidRPr="0046669C">
        <w:rPr>
          <w:color w:val="000000"/>
          <w:sz w:val="22"/>
          <w:szCs w:val="22"/>
          <w:lang w:val="sk-SK"/>
        </w:rPr>
        <w:t xml:space="preserve"> </w:t>
      </w:r>
      <w:r w:rsidRPr="0046669C">
        <w:rPr>
          <w:color w:val="000000"/>
          <w:sz w:val="22"/>
          <w:szCs w:val="22"/>
          <w:lang w:val="sk-SK"/>
        </w:rPr>
        <w:t xml:space="preserve">% vo forme konjugátov s kyselinou glukuronovou. </w:t>
      </w:r>
    </w:p>
    <w:p w14:paraId="6570195E" w14:textId="77777777" w:rsidR="00B27BD7" w:rsidRPr="0046669C" w:rsidRDefault="00B27BD7" w:rsidP="00B27BD7">
      <w:pPr>
        <w:pStyle w:val="Zkladntext"/>
        <w:rPr>
          <w:color w:val="000000"/>
          <w:sz w:val="22"/>
          <w:szCs w:val="22"/>
          <w:lang w:val="sk-SK"/>
        </w:rPr>
      </w:pPr>
    </w:p>
    <w:p w14:paraId="188A19D2" w14:textId="0917A863" w:rsidR="00B27BD7" w:rsidRPr="008B3F88" w:rsidRDefault="00B27BD7" w:rsidP="00B27BD7">
      <w:pPr>
        <w:tabs>
          <w:tab w:val="left" w:pos="431"/>
          <w:tab w:val="left" w:pos="3802"/>
          <w:tab w:val="left" w:pos="5816"/>
          <w:tab w:val="left" w:pos="7858"/>
        </w:tabs>
        <w:suppressAutoHyphens/>
        <w:rPr>
          <w:bCs/>
          <w:sz w:val="22"/>
          <w:szCs w:val="22"/>
          <w:u w:val="single"/>
          <w:lang w:val="sk-SK"/>
        </w:rPr>
      </w:pPr>
      <w:r w:rsidRPr="008B3F88">
        <w:rPr>
          <w:bCs/>
          <w:sz w:val="22"/>
          <w:szCs w:val="22"/>
          <w:u w:val="single"/>
          <w:lang w:val="sk-SK"/>
        </w:rPr>
        <w:t>Farmakokinetika u špeciálnych skupín</w:t>
      </w:r>
    </w:p>
    <w:p w14:paraId="050D4BA2" w14:textId="77777777" w:rsidR="00B27BD7" w:rsidRPr="0046669C" w:rsidRDefault="00B27BD7" w:rsidP="00B27BD7">
      <w:pPr>
        <w:tabs>
          <w:tab w:val="left" w:pos="431"/>
          <w:tab w:val="left" w:pos="3802"/>
          <w:tab w:val="left" w:pos="5816"/>
          <w:tab w:val="left" w:pos="7858"/>
        </w:tabs>
        <w:suppressAutoHyphens/>
        <w:rPr>
          <w:sz w:val="22"/>
          <w:szCs w:val="22"/>
          <w:lang w:val="sk-SK"/>
        </w:rPr>
      </w:pPr>
      <w:r w:rsidRPr="0046669C">
        <w:rPr>
          <w:i/>
          <w:sz w:val="22"/>
          <w:szCs w:val="22"/>
          <w:lang w:val="sk-SK"/>
        </w:rPr>
        <w:t>Starší pacienti</w:t>
      </w:r>
      <w:r w:rsidRPr="0046669C">
        <w:rPr>
          <w:sz w:val="22"/>
          <w:szCs w:val="22"/>
          <w:lang w:val="sk-SK"/>
        </w:rPr>
        <w:t>: Nie sú dostupné žiadne údaje o propyltiouracile.</w:t>
      </w:r>
    </w:p>
    <w:p w14:paraId="6A1B3E1F" w14:textId="46483EAC" w:rsidR="00B27BD7" w:rsidRPr="0046669C" w:rsidRDefault="00B27BD7" w:rsidP="00B27BD7">
      <w:pPr>
        <w:tabs>
          <w:tab w:val="left" w:pos="0"/>
          <w:tab w:val="left" w:pos="3802"/>
          <w:tab w:val="left" w:pos="5816"/>
          <w:tab w:val="left" w:pos="7858"/>
        </w:tabs>
        <w:suppressAutoHyphens/>
        <w:rPr>
          <w:sz w:val="22"/>
          <w:szCs w:val="22"/>
          <w:lang w:val="sk-SK"/>
        </w:rPr>
      </w:pPr>
      <w:r w:rsidRPr="0046669C">
        <w:rPr>
          <w:i/>
          <w:sz w:val="22"/>
          <w:szCs w:val="22"/>
          <w:lang w:val="sk-SK"/>
        </w:rPr>
        <w:t>Porušená funkcia obličiek</w:t>
      </w:r>
      <w:r w:rsidR="00A35CC2" w:rsidRPr="0046669C">
        <w:rPr>
          <w:sz w:val="22"/>
          <w:szCs w:val="22"/>
          <w:lang w:val="sk-SK"/>
        </w:rPr>
        <w:t>: P</w:t>
      </w:r>
      <w:r w:rsidRPr="0046669C">
        <w:rPr>
          <w:sz w:val="22"/>
          <w:szCs w:val="22"/>
          <w:lang w:val="sk-SK"/>
        </w:rPr>
        <w:t xml:space="preserve">ri renálnej insuficiencii sa môže eliminácia spomaliť, v takom prípade je potrebné aplikovať nízke dávky. </w:t>
      </w:r>
    </w:p>
    <w:p w14:paraId="322B14E9" w14:textId="77C68053" w:rsidR="00B27BD7" w:rsidRPr="0046669C" w:rsidRDefault="00B27BD7" w:rsidP="00B27BD7">
      <w:pPr>
        <w:tabs>
          <w:tab w:val="left" w:pos="0"/>
          <w:tab w:val="left" w:pos="3802"/>
          <w:tab w:val="left" w:pos="5816"/>
          <w:tab w:val="left" w:pos="7858"/>
        </w:tabs>
        <w:suppressAutoHyphens/>
        <w:rPr>
          <w:sz w:val="22"/>
          <w:szCs w:val="22"/>
          <w:lang w:val="sk-SK"/>
        </w:rPr>
      </w:pPr>
      <w:r w:rsidRPr="0046669C">
        <w:rPr>
          <w:i/>
          <w:sz w:val="22"/>
          <w:szCs w:val="22"/>
          <w:lang w:val="sk-SK"/>
        </w:rPr>
        <w:t>Porušená funkcia pečene</w:t>
      </w:r>
      <w:r w:rsidR="00A35CC2" w:rsidRPr="0046669C">
        <w:rPr>
          <w:sz w:val="22"/>
          <w:szCs w:val="22"/>
          <w:lang w:val="sk-SK"/>
        </w:rPr>
        <w:t>: P</w:t>
      </w:r>
      <w:r w:rsidRPr="0046669C">
        <w:rPr>
          <w:sz w:val="22"/>
          <w:szCs w:val="22"/>
          <w:lang w:val="sk-SK"/>
        </w:rPr>
        <w:t xml:space="preserve">ri hepatálnej </w:t>
      </w:r>
      <w:r w:rsidR="0063066C" w:rsidRPr="0046669C">
        <w:rPr>
          <w:sz w:val="22"/>
          <w:szCs w:val="22"/>
          <w:lang w:val="sk-SK"/>
        </w:rPr>
        <w:t>insu</w:t>
      </w:r>
      <w:r w:rsidRPr="0046669C">
        <w:rPr>
          <w:sz w:val="22"/>
          <w:szCs w:val="22"/>
          <w:lang w:val="sk-SK"/>
        </w:rPr>
        <w:t>ficiencii sa metabolizmus a vylučovanie môžu spomaliť, v takom prípade je potrebné aplikovať nízke dávky. (pozri časť 4.2</w:t>
      </w:r>
      <w:r w:rsidR="00A35CC2" w:rsidRPr="0046669C">
        <w:rPr>
          <w:sz w:val="22"/>
          <w:szCs w:val="22"/>
          <w:lang w:val="sk-SK"/>
        </w:rPr>
        <w:t xml:space="preserve"> </w:t>
      </w:r>
      <w:r w:rsidR="00A35CC2" w:rsidRPr="0046669C">
        <w:rPr>
          <w:noProof/>
          <w:sz w:val="22"/>
          <w:szCs w:val="22"/>
          <w:lang w:val="sk-SK"/>
        </w:rPr>
        <w:t>Dávkovanie a spôsob podávania</w:t>
      </w:r>
      <w:r w:rsidRPr="0046669C">
        <w:rPr>
          <w:sz w:val="22"/>
          <w:szCs w:val="22"/>
          <w:lang w:val="sk-SK"/>
        </w:rPr>
        <w:t xml:space="preserve">)  </w:t>
      </w:r>
    </w:p>
    <w:p w14:paraId="30CF0738" w14:textId="77777777" w:rsidR="00B27BD7" w:rsidRPr="0046669C" w:rsidRDefault="00B27BD7">
      <w:pPr>
        <w:pStyle w:val="Hlavika"/>
        <w:tabs>
          <w:tab w:val="clear" w:pos="4153"/>
          <w:tab w:val="clear" w:pos="8306"/>
        </w:tabs>
        <w:rPr>
          <w:sz w:val="22"/>
          <w:szCs w:val="22"/>
          <w:lang w:val="sk-SK"/>
        </w:rPr>
      </w:pPr>
    </w:p>
    <w:p w14:paraId="1154BFE5" w14:textId="77777777" w:rsidR="00E57A33" w:rsidRPr="0046669C" w:rsidRDefault="00E57A33" w:rsidP="00E57A33">
      <w:pPr>
        <w:rPr>
          <w:noProof/>
          <w:szCs w:val="22"/>
          <w:lang w:val="sk-SK"/>
        </w:rPr>
      </w:pPr>
      <w:r w:rsidRPr="0046669C">
        <w:rPr>
          <w:b/>
          <w:noProof/>
          <w:szCs w:val="22"/>
          <w:lang w:val="sk-SK"/>
        </w:rPr>
        <w:t>5.3</w:t>
      </w:r>
      <w:r w:rsidRPr="0046669C">
        <w:rPr>
          <w:b/>
          <w:noProof/>
          <w:szCs w:val="22"/>
          <w:lang w:val="sk-SK"/>
        </w:rPr>
        <w:tab/>
        <w:t>Predklinické údaje o bezpečnosti</w:t>
      </w:r>
    </w:p>
    <w:p w14:paraId="7B5271C7" w14:textId="77777777" w:rsidR="00E57A33" w:rsidRPr="0046669C" w:rsidRDefault="00E57A33">
      <w:pPr>
        <w:jc w:val="both"/>
        <w:rPr>
          <w:sz w:val="22"/>
          <w:szCs w:val="22"/>
          <w:u w:val="single"/>
          <w:lang w:val="sk-SK"/>
        </w:rPr>
      </w:pPr>
    </w:p>
    <w:p w14:paraId="24E3EB56" w14:textId="6BA38B25" w:rsidR="00B27BD7" w:rsidRPr="008B3F88" w:rsidRDefault="00661D85">
      <w:pPr>
        <w:jc w:val="both"/>
        <w:rPr>
          <w:color w:val="000000"/>
          <w:sz w:val="22"/>
          <w:szCs w:val="22"/>
          <w:u w:val="single"/>
          <w:lang w:val="sk-SK"/>
        </w:rPr>
      </w:pPr>
      <w:r w:rsidRPr="008B3F88">
        <w:rPr>
          <w:color w:val="000000"/>
          <w:sz w:val="22"/>
          <w:szCs w:val="22"/>
          <w:u w:val="single"/>
          <w:lang w:val="sk-SK"/>
        </w:rPr>
        <w:t>Akútna</w:t>
      </w:r>
      <w:r w:rsidRPr="0046669C">
        <w:rPr>
          <w:color w:val="000000"/>
          <w:sz w:val="22"/>
          <w:szCs w:val="22"/>
          <w:u w:val="single"/>
          <w:lang w:val="sk-SK"/>
        </w:rPr>
        <w:t xml:space="preserve"> </w:t>
      </w:r>
      <w:r w:rsidRPr="008B3F88">
        <w:rPr>
          <w:color w:val="000000"/>
          <w:sz w:val="22"/>
          <w:szCs w:val="22"/>
          <w:u w:val="single"/>
          <w:lang w:val="sk-SK"/>
        </w:rPr>
        <w:t>toxicita</w:t>
      </w:r>
    </w:p>
    <w:p w14:paraId="56C80873" w14:textId="77777777" w:rsidR="00B27BD7" w:rsidRPr="0046669C" w:rsidRDefault="00B27BD7" w:rsidP="00B27BD7">
      <w:pPr>
        <w:tabs>
          <w:tab w:val="left" w:pos="431"/>
          <w:tab w:val="left" w:pos="3802"/>
          <w:tab w:val="left" w:pos="5816"/>
          <w:tab w:val="left" w:pos="7858"/>
        </w:tabs>
        <w:suppressAutoHyphens/>
        <w:ind w:left="431" w:hanging="431"/>
        <w:rPr>
          <w:color w:val="000000"/>
          <w:sz w:val="22"/>
          <w:szCs w:val="22"/>
          <w:lang w:val="sk-SK"/>
        </w:rPr>
      </w:pPr>
      <w:r w:rsidRPr="0046669C">
        <w:rPr>
          <w:color w:val="000000"/>
          <w:sz w:val="22"/>
          <w:szCs w:val="22"/>
          <w:lang w:val="sk-SK"/>
        </w:rPr>
        <w:t>Akútna letálna dávka PTU je 4 g/kg telesnej hmotnosti</w:t>
      </w:r>
      <w:r w:rsidR="00932A99" w:rsidRPr="0046669C">
        <w:rPr>
          <w:color w:val="000000"/>
          <w:sz w:val="22"/>
          <w:szCs w:val="22"/>
          <w:lang w:val="sk-SK"/>
        </w:rPr>
        <w:t xml:space="preserve"> </w:t>
      </w:r>
      <w:r w:rsidR="00932A99" w:rsidRPr="0046669C">
        <w:rPr>
          <w:i/>
          <w:color w:val="000000"/>
          <w:sz w:val="22"/>
          <w:szCs w:val="22"/>
          <w:lang w:val="sk-SK"/>
        </w:rPr>
        <w:t>per os</w:t>
      </w:r>
      <w:r w:rsidRPr="0046669C">
        <w:rPr>
          <w:i/>
          <w:color w:val="000000"/>
          <w:sz w:val="22"/>
          <w:szCs w:val="22"/>
          <w:lang w:val="sk-SK"/>
        </w:rPr>
        <w:t>.</w:t>
      </w:r>
      <w:r w:rsidRPr="0046669C">
        <w:rPr>
          <w:color w:val="000000"/>
          <w:sz w:val="22"/>
          <w:szCs w:val="22"/>
          <w:lang w:val="sk-SK"/>
        </w:rPr>
        <w:t xml:space="preserve"> </w:t>
      </w:r>
    </w:p>
    <w:p w14:paraId="52F9052F" w14:textId="77777777" w:rsidR="00A35CC2" w:rsidRPr="0046669C" w:rsidRDefault="00A35CC2" w:rsidP="00B27BD7">
      <w:pPr>
        <w:tabs>
          <w:tab w:val="left" w:pos="431"/>
          <w:tab w:val="left" w:pos="3802"/>
          <w:tab w:val="left" w:pos="5816"/>
          <w:tab w:val="left" w:pos="7858"/>
        </w:tabs>
        <w:suppressAutoHyphens/>
        <w:ind w:left="431" w:hanging="431"/>
        <w:rPr>
          <w:color w:val="000000"/>
          <w:sz w:val="22"/>
          <w:szCs w:val="22"/>
          <w:lang w:val="sk-SK"/>
        </w:rPr>
      </w:pPr>
    </w:p>
    <w:p w14:paraId="3648BB02" w14:textId="7C1DF895" w:rsidR="00B27BD7" w:rsidRPr="008B3F88" w:rsidRDefault="00B27BD7" w:rsidP="00B27BD7">
      <w:pPr>
        <w:jc w:val="both"/>
        <w:rPr>
          <w:color w:val="000000"/>
          <w:sz w:val="22"/>
          <w:szCs w:val="22"/>
          <w:u w:val="single"/>
          <w:lang w:val="sk-SK"/>
        </w:rPr>
      </w:pPr>
      <w:r w:rsidRPr="008B3F88">
        <w:rPr>
          <w:color w:val="000000"/>
          <w:sz w:val="22"/>
          <w:szCs w:val="22"/>
          <w:u w:val="single"/>
          <w:lang w:val="sk-SK"/>
        </w:rPr>
        <w:t>Toxicita po opakovanej dávke</w:t>
      </w:r>
    </w:p>
    <w:p w14:paraId="1F3B1AE3" w14:textId="741A23EB" w:rsidR="00B27BD7" w:rsidRPr="0046669C" w:rsidRDefault="00661D85" w:rsidP="00B27BD7">
      <w:pPr>
        <w:jc w:val="both"/>
        <w:rPr>
          <w:color w:val="000000"/>
          <w:sz w:val="22"/>
          <w:szCs w:val="22"/>
          <w:lang w:val="sk-SK"/>
        </w:rPr>
      </w:pPr>
      <w:r w:rsidRPr="0046669C">
        <w:rPr>
          <w:color w:val="000000"/>
          <w:sz w:val="22"/>
          <w:szCs w:val="22"/>
          <w:lang w:val="sk-SK"/>
        </w:rPr>
        <w:t>Pri štúdiách subakútnej toxicity u </w:t>
      </w:r>
      <w:r w:rsidR="00B27BD7" w:rsidRPr="0046669C">
        <w:rPr>
          <w:color w:val="000000"/>
          <w:sz w:val="22"/>
          <w:szCs w:val="22"/>
          <w:lang w:val="sk-SK"/>
        </w:rPr>
        <w:t>potkanov</w:t>
      </w:r>
      <w:r w:rsidRPr="0046669C">
        <w:rPr>
          <w:color w:val="000000"/>
          <w:sz w:val="22"/>
          <w:szCs w:val="22"/>
          <w:lang w:val="sk-SK"/>
        </w:rPr>
        <w:t xml:space="preserve"> rôznymi metódami aplikácie </w:t>
      </w:r>
      <w:r w:rsidR="00B27BD7" w:rsidRPr="0046669C">
        <w:rPr>
          <w:color w:val="000000"/>
          <w:sz w:val="22"/>
          <w:szCs w:val="22"/>
          <w:lang w:val="sk-SK"/>
        </w:rPr>
        <w:t>sa preukázalo, že toxický účinok má vzťah k dávke, vrátane</w:t>
      </w:r>
      <w:r w:rsidR="004E5F09" w:rsidRPr="0046669C">
        <w:rPr>
          <w:color w:val="000000"/>
          <w:sz w:val="22"/>
          <w:szCs w:val="22"/>
          <w:lang w:val="sk-SK"/>
        </w:rPr>
        <w:t xml:space="preserve"> </w:t>
      </w:r>
      <w:r w:rsidR="00B27BD7" w:rsidRPr="0046669C">
        <w:rPr>
          <w:color w:val="000000"/>
          <w:sz w:val="22"/>
          <w:szCs w:val="22"/>
          <w:lang w:val="sk-SK"/>
        </w:rPr>
        <w:t>zníženia telesnej hmotnosti, hyperplázie štítnej žľazy, leukopénie a hepatomegálie.</w:t>
      </w:r>
    </w:p>
    <w:p w14:paraId="3983442B" w14:textId="77777777" w:rsidR="00344FE4" w:rsidRPr="0046669C" w:rsidRDefault="00344FE4">
      <w:pPr>
        <w:jc w:val="both"/>
        <w:rPr>
          <w:color w:val="000000"/>
          <w:sz w:val="22"/>
          <w:szCs w:val="22"/>
          <w:u w:val="single"/>
          <w:lang w:val="sk-SK"/>
        </w:rPr>
      </w:pPr>
    </w:p>
    <w:p w14:paraId="7BDAE6F5" w14:textId="24D66CEF" w:rsidR="00B27BD7" w:rsidRPr="0046669C" w:rsidRDefault="00A35CC2">
      <w:pPr>
        <w:jc w:val="both"/>
        <w:rPr>
          <w:color w:val="000000"/>
          <w:sz w:val="22"/>
          <w:szCs w:val="22"/>
          <w:u w:val="single"/>
          <w:lang w:val="sk-SK"/>
        </w:rPr>
      </w:pPr>
      <w:r w:rsidRPr="008B3F88">
        <w:rPr>
          <w:color w:val="000000"/>
          <w:sz w:val="22"/>
          <w:szCs w:val="22"/>
          <w:u w:val="single"/>
          <w:lang w:val="sk-SK"/>
        </w:rPr>
        <w:t>Mutagenita</w:t>
      </w:r>
      <w:r w:rsidRPr="0046669C">
        <w:rPr>
          <w:color w:val="000000"/>
          <w:sz w:val="22"/>
          <w:szCs w:val="22"/>
          <w:u w:val="single"/>
          <w:lang w:val="sk-SK"/>
        </w:rPr>
        <w:t xml:space="preserve">/ </w:t>
      </w:r>
      <w:r w:rsidRPr="008B3F88">
        <w:rPr>
          <w:color w:val="000000"/>
          <w:sz w:val="22"/>
          <w:szCs w:val="22"/>
          <w:u w:val="single"/>
          <w:lang w:val="sk-SK"/>
        </w:rPr>
        <w:t>karcinogenita</w:t>
      </w:r>
    </w:p>
    <w:p w14:paraId="17DB2DD5" w14:textId="77777777" w:rsidR="00A35CC2" w:rsidRPr="0046669C" w:rsidRDefault="00661D85" w:rsidP="00ED6039">
      <w:pPr>
        <w:rPr>
          <w:color w:val="000000"/>
          <w:sz w:val="22"/>
          <w:szCs w:val="22"/>
          <w:lang w:val="sk-SK"/>
        </w:rPr>
      </w:pPr>
      <w:r w:rsidRPr="0046669C">
        <w:rPr>
          <w:color w:val="000000"/>
          <w:sz w:val="22"/>
          <w:szCs w:val="22"/>
          <w:lang w:val="sk-SK"/>
        </w:rPr>
        <w:t xml:space="preserve">Mutagénne vlastnosti </w:t>
      </w:r>
      <w:r w:rsidR="00B27BD7" w:rsidRPr="0046669C">
        <w:rPr>
          <w:color w:val="000000"/>
          <w:sz w:val="22"/>
          <w:szCs w:val="22"/>
          <w:lang w:val="sk-SK"/>
        </w:rPr>
        <w:t xml:space="preserve">nie sú </w:t>
      </w:r>
      <w:r w:rsidRPr="0046669C">
        <w:rPr>
          <w:color w:val="000000"/>
          <w:sz w:val="22"/>
          <w:szCs w:val="22"/>
          <w:lang w:val="sk-SK"/>
        </w:rPr>
        <w:t xml:space="preserve">náležíte zhodnotené. </w:t>
      </w:r>
    </w:p>
    <w:p w14:paraId="4E79FC5A" w14:textId="77777777" w:rsidR="00ED6039" w:rsidRPr="0046669C" w:rsidRDefault="00661D85" w:rsidP="00ED6039">
      <w:pPr>
        <w:rPr>
          <w:color w:val="000000"/>
          <w:sz w:val="22"/>
          <w:szCs w:val="22"/>
          <w:lang w:val="sk-SK"/>
        </w:rPr>
      </w:pPr>
      <w:r w:rsidRPr="0046669C">
        <w:rPr>
          <w:color w:val="000000"/>
          <w:sz w:val="22"/>
          <w:szCs w:val="22"/>
          <w:lang w:val="sk-SK"/>
        </w:rPr>
        <w:t xml:space="preserve">V štúdiách na </w:t>
      </w:r>
      <w:r w:rsidR="0063066C" w:rsidRPr="0046669C">
        <w:rPr>
          <w:color w:val="000000"/>
          <w:sz w:val="22"/>
          <w:szCs w:val="22"/>
          <w:lang w:val="sk-SK"/>
        </w:rPr>
        <w:t>n</w:t>
      </w:r>
      <w:r w:rsidR="00ED6039" w:rsidRPr="0046669C">
        <w:rPr>
          <w:color w:val="000000"/>
          <w:sz w:val="22"/>
          <w:szCs w:val="22"/>
          <w:lang w:val="sk-SK"/>
        </w:rPr>
        <w:t>iekoľkých</w:t>
      </w:r>
      <w:r w:rsidRPr="0046669C">
        <w:rPr>
          <w:color w:val="000000"/>
          <w:sz w:val="22"/>
          <w:szCs w:val="22"/>
          <w:lang w:val="sk-SK"/>
        </w:rPr>
        <w:t xml:space="preserve"> druhoch </w:t>
      </w:r>
      <w:r w:rsidR="00B27BD7" w:rsidRPr="0046669C">
        <w:rPr>
          <w:color w:val="000000"/>
          <w:sz w:val="22"/>
          <w:szCs w:val="22"/>
          <w:lang w:val="sk-SK"/>
        </w:rPr>
        <w:t>zvierat</w:t>
      </w:r>
      <w:r w:rsidR="00ED6039" w:rsidRPr="0046669C">
        <w:rPr>
          <w:color w:val="000000"/>
          <w:sz w:val="22"/>
          <w:szCs w:val="22"/>
          <w:lang w:val="sk-SK"/>
        </w:rPr>
        <w:t xml:space="preserve"> sa preukázal</w:t>
      </w:r>
      <w:r w:rsidRPr="0046669C">
        <w:rPr>
          <w:color w:val="000000"/>
          <w:sz w:val="22"/>
          <w:szCs w:val="22"/>
          <w:lang w:val="sk-SK"/>
        </w:rPr>
        <w:t xml:space="preserve"> zvýšen</w:t>
      </w:r>
      <w:r w:rsidR="00ED6039" w:rsidRPr="0046669C">
        <w:rPr>
          <w:color w:val="000000"/>
          <w:sz w:val="22"/>
          <w:szCs w:val="22"/>
          <w:lang w:val="sk-SK"/>
        </w:rPr>
        <w:t>ý</w:t>
      </w:r>
      <w:r w:rsidRPr="0046669C">
        <w:rPr>
          <w:color w:val="000000"/>
          <w:sz w:val="22"/>
          <w:szCs w:val="22"/>
          <w:lang w:val="sk-SK"/>
        </w:rPr>
        <w:t xml:space="preserve"> </w:t>
      </w:r>
      <w:r w:rsidR="00ED6039" w:rsidRPr="0046669C">
        <w:rPr>
          <w:color w:val="000000"/>
          <w:sz w:val="22"/>
          <w:szCs w:val="22"/>
          <w:lang w:val="sk-SK"/>
        </w:rPr>
        <w:t xml:space="preserve">výskyt </w:t>
      </w:r>
      <w:r w:rsidRPr="0046669C">
        <w:rPr>
          <w:color w:val="000000"/>
          <w:sz w:val="22"/>
          <w:szCs w:val="22"/>
          <w:lang w:val="sk-SK"/>
        </w:rPr>
        <w:t>nádorov</w:t>
      </w:r>
      <w:r w:rsidR="00ED6039" w:rsidRPr="0046669C">
        <w:rPr>
          <w:color w:val="000000"/>
          <w:sz w:val="22"/>
          <w:szCs w:val="22"/>
          <w:lang w:val="sk-SK"/>
        </w:rPr>
        <w:t xml:space="preserve"> štítnej žľazy po perorálnej aplikácii</w:t>
      </w:r>
      <w:r w:rsidRPr="0046669C">
        <w:rPr>
          <w:color w:val="000000"/>
          <w:sz w:val="22"/>
          <w:szCs w:val="22"/>
          <w:lang w:val="sk-SK"/>
        </w:rPr>
        <w:t xml:space="preserve"> ako </w:t>
      </w:r>
      <w:r w:rsidR="00ED6039" w:rsidRPr="0046669C">
        <w:rPr>
          <w:color w:val="000000"/>
          <w:sz w:val="22"/>
          <w:szCs w:val="22"/>
          <w:lang w:val="sk-SK"/>
        </w:rPr>
        <w:t xml:space="preserve">aj </w:t>
      </w:r>
      <w:r w:rsidRPr="0046669C">
        <w:rPr>
          <w:color w:val="000000"/>
          <w:sz w:val="22"/>
          <w:szCs w:val="22"/>
          <w:lang w:val="sk-SK"/>
        </w:rPr>
        <w:t>hyp</w:t>
      </w:r>
      <w:r w:rsidR="00932A99" w:rsidRPr="0046669C">
        <w:rPr>
          <w:color w:val="000000"/>
          <w:sz w:val="22"/>
          <w:szCs w:val="22"/>
          <w:lang w:val="sk-SK"/>
        </w:rPr>
        <w:t>o</w:t>
      </w:r>
      <w:r w:rsidRPr="0046669C">
        <w:rPr>
          <w:color w:val="000000"/>
          <w:sz w:val="22"/>
          <w:szCs w:val="22"/>
          <w:lang w:val="sk-SK"/>
        </w:rPr>
        <w:t>t</w:t>
      </w:r>
      <w:r w:rsidR="00932A99" w:rsidRPr="0046669C">
        <w:rPr>
          <w:color w:val="000000"/>
          <w:sz w:val="22"/>
          <w:szCs w:val="22"/>
          <w:lang w:val="sk-SK"/>
        </w:rPr>
        <w:t>r</w:t>
      </w:r>
      <w:r w:rsidRPr="0046669C">
        <w:rPr>
          <w:color w:val="000000"/>
          <w:sz w:val="22"/>
          <w:szCs w:val="22"/>
          <w:lang w:val="sk-SK"/>
        </w:rPr>
        <w:t xml:space="preserve">ofia. </w:t>
      </w:r>
    </w:p>
    <w:p w14:paraId="38D2D679" w14:textId="77777777" w:rsidR="00ED6039" w:rsidRPr="0046669C" w:rsidRDefault="00ED6039" w:rsidP="00ED6039">
      <w:pPr>
        <w:tabs>
          <w:tab w:val="left" w:pos="142"/>
          <w:tab w:val="left" w:pos="3802"/>
          <w:tab w:val="left" w:pos="5816"/>
          <w:tab w:val="left" w:pos="7858"/>
        </w:tabs>
        <w:suppressAutoHyphens/>
        <w:rPr>
          <w:color w:val="000000"/>
          <w:sz w:val="22"/>
          <w:szCs w:val="22"/>
          <w:lang w:val="sk-SK"/>
        </w:rPr>
      </w:pPr>
      <w:r w:rsidRPr="0046669C">
        <w:rPr>
          <w:color w:val="000000"/>
          <w:sz w:val="22"/>
          <w:szCs w:val="22"/>
          <w:lang w:val="sk-SK"/>
        </w:rPr>
        <w:t>V</w:t>
      </w:r>
      <w:r w:rsidR="00661D85" w:rsidRPr="0046669C">
        <w:rPr>
          <w:color w:val="000000"/>
          <w:sz w:val="22"/>
          <w:szCs w:val="22"/>
          <w:lang w:val="sk-SK"/>
        </w:rPr>
        <w:t xml:space="preserve"> kombinácii so známymi kancerogénnymi látkami bol </w:t>
      </w:r>
      <w:r w:rsidRPr="0046669C">
        <w:rPr>
          <w:color w:val="000000"/>
          <w:sz w:val="22"/>
          <w:szCs w:val="22"/>
          <w:lang w:val="sk-SK"/>
        </w:rPr>
        <w:t>tento</w:t>
      </w:r>
      <w:r w:rsidR="00661D85" w:rsidRPr="0046669C">
        <w:rPr>
          <w:color w:val="000000"/>
          <w:sz w:val="22"/>
          <w:szCs w:val="22"/>
          <w:lang w:val="sk-SK"/>
        </w:rPr>
        <w:t xml:space="preserve"> účinok</w:t>
      </w:r>
      <w:r w:rsidRPr="0046669C">
        <w:rPr>
          <w:color w:val="000000"/>
          <w:sz w:val="22"/>
          <w:szCs w:val="22"/>
          <w:lang w:val="sk-SK"/>
        </w:rPr>
        <w:t xml:space="preserve"> výraznejší</w:t>
      </w:r>
      <w:r w:rsidR="00661D85" w:rsidRPr="0046669C">
        <w:rPr>
          <w:color w:val="000000"/>
          <w:sz w:val="22"/>
          <w:szCs w:val="22"/>
          <w:lang w:val="sk-SK"/>
        </w:rPr>
        <w:t xml:space="preserve">. </w:t>
      </w:r>
      <w:r w:rsidRPr="0046669C">
        <w:rPr>
          <w:color w:val="000000"/>
          <w:sz w:val="22"/>
          <w:szCs w:val="22"/>
          <w:lang w:val="sk-SK"/>
        </w:rPr>
        <w:t xml:space="preserve">Indukcia </w:t>
      </w:r>
      <w:r w:rsidR="00661D85" w:rsidRPr="0046669C">
        <w:rPr>
          <w:color w:val="000000"/>
          <w:sz w:val="22"/>
          <w:szCs w:val="22"/>
          <w:lang w:val="sk-SK"/>
        </w:rPr>
        <w:t>nádor</w:t>
      </w:r>
      <w:r w:rsidRPr="0046669C">
        <w:rPr>
          <w:color w:val="000000"/>
          <w:sz w:val="22"/>
          <w:szCs w:val="22"/>
          <w:lang w:val="sk-SK"/>
        </w:rPr>
        <w:t>u</w:t>
      </w:r>
      <w:r w:rsidR="00661D85" w:rsidRPr="0046669C">
        <w:rPr>
          <w:color w:val="000000"/>
          <w:sz w:val="22"/>
          <w:szCs w:val="22"/>
          <w:lang w:val="sk-SK"/>
        </w:rPr>
        <w:t xml:space="preserve"> po</w:t>
      </w:r>
      <w:r w:rsidRPr="0046669C">
        <w:rPr>
          <w:color w:val="000000"/>
          <w:sz w:val="22"/>
          <w:szCs w:val="22"/>
          <w:lang w:val="sk-SK"/>
        </w:rPr>
        <w:t xml:space="preserve"> </w:t>
      </w:r>
      <w:r w:rsidR="00661D85" w:rsidRPr="0046669C">
        <w:rPr>
          <w:color w:val="000000"/>
          <w:sz w:val="22"/>
          <w:szCs w:val="22"/>
          <w:lang w:val="sk-SK"/>
        </w:rPr>
        <w:t xml:space="preserve">antityreoidálnej </w:t>
      </w:r>
      <w:r w:rsidRPr="0046669C">
        <w:rPr>
          <w:color w:val="000000"/>
          <w:sz w:val="22"/>
          <w:szCs w:val="22"/>
          <w:lang w:val="sk-SK"/>
        </w:rPr>
        <w:t>liečbe</w:t>
      </w:r>
      <w:r w:rsidR="00661D85" w:rsidRPr="0046669C">
        <w:rPr>
          <w:color w:val="000000"/>
          <w:sz w:val="22"/>
          <w:szCs w:val="22"/>
          <w:lang w:val="sk-SK"/>
        </w:rPr>
        <w:t xml:space="preserve"> propyltiouracilom </w:t>
      </w:r>
      <w:r w:rsidRPr="0046669C">
        <w:rPr>
          <w:color w:val="000000"/>
          <w:sz w:val="22"/>
          <w:szCs w:val="22"/>
          <w:lang w:val="sk-SK"/>
        </w:rPr>
        <w:t xml:space="preserve">sa </w:t>
      </w:r>
      <w:r w:rsidR="00661D85" w:rsidRPr="0046669C">
        <w:rPr>
          <w:color w:val="000000"/>
          <w:sz w:val="22"/>
          <w:szCs w:val="22"/>
          <w:lang w:val="sk-SK"/>
        </w:rPr>
        <w:t>u </w:t>
      </w:r>
      <w:r w:rsidRPr="0046669C">
        <w:rPr>
          <w:color w:val="000000"/>
          <w:sz w:val="22"/>
          <w:szCs w:val="22"/>
          <w:lang w:val="sk-SK"/>
        </w:rPr>
        <w:t xml:space="preserve">ľudí spoľahlivo nedokázala. </w:t>
      </w:r>
    </w:p>
    <w:p w14:paraId="0B7AA844" w14:textId="77777777" w:rsidR="00661D85" w:rsidRPr="0046669C" w:rsidRDefault="00661D85" w:rsidP="00ED6039">
      <w:pPr>
        <w:rPr>
          <w:color w:val="000000"/>
          <w:sz w:val="22"/>
          <w:szCs w:val="22"/>
          <w:lang w:val="sk-SK"/>
        </w:rPr>
      </w:pPr>
    </w:p>
    <w:p w14:paraId="7B95F70A" w14:textId="511DC997" w:rsidR="00661D85" w:rsidRPr="008B3F88" w:rsidRDefault="00661D85">
      <w:pPr>
        <w:jc w:val="both"/>
        <w:rPr>
          <w:color w:val="000000"/>
          <w:sz w:val="22"/>
          <w:szCs w:val="22"/>
          <w:u w:val="single"/>
          <w:lang w:val="sk-SK"/>
        </w:rPr>
      </w:pPr>
      <w:r w:rsidRPr="008B3F88">
        <w:rPr>
          <w:color w:val="000000"/>
          <w:sz w:val="22"/>
          <w:szCs w:val="22"/>
          <w:u w:val="single"/>
          <w:lang w:val="sk-SK"/>
        </w:rPr>
        <w:t>Reprodukčná</w:t>
      </w:r>
      <w:r w:rsidRPr="0046669C">
        <w:rPr>
          <w:color w:val="000000"/>
          <w:sz w:val="22"/>
          <w:szCs w:val="22"/>
          <w:u w:val="single"/>
          <w:lang w:val="sk-SK"/>
        </w:rPr>
        <w:t xml:space="preserve"> </w:t>
      </w:r>
      <w:r w:rsidRPr="008B3F88">
        <w:rPr>
          <w:color w:val="000000"/>
          <w:sz w:val="22"/>
          <w:szCs w:val="22"/>
          <w:u w:val="single"/>
          <w:lang w:val="sk-SK"/>
        </w:rPr>
        <w:t>toxicita</w:t>
      </w:r>
    </w:p>
    <w:p w14:paraId="43333FA1" w14:textId="4F9C07F8" w:rsidR="00661D85" w:rsidRPr="0046669C" w:rsidRDefault="00ED6039" w:rsidP="00A35CC2">
      <w:pPr>
        <w:pStyle w:val="Zkladntext"/>
        <w:jc w:val="left"/>
        <w:rPr>
          <w:sz w:val="22"/>
          <w:szCs w:val="22"/>
          <w:lang w:val="sk-SK"/>
        </w:rPr>
      </w:pPr>
      <w:r w:rsidRPr="0046669C">
        <w:rPr>
          <w:sz w:val="22"/>
          <w:szCs w:val="22"/>
          <w:lang w:val="sk-SK"/>
        </w:rPr>
        <w:t>V</w:t>
      </w:r>
      <w:r w:rsidR="0063066C" w:rsidRPr="0046669C">
        <w:rPr>
          <w:sz w:val="22"/>
          <w:szCs w:val="22"/>
          <w:lang w:val="sk-SK"/>
        </w:rPr>
        <w:t xml:space="preserve"> </w:t>
      </w:r>
      <w:r w:rsidR="00661D85" w:rsidRPr="0046669C">
        <w:rPr>
          <w:sz w:val="22"/>
          <w:szCs w:val="22"/>
          <w:lang w:val="sk-SK"/>
        </w:rPr>
        <w:t xml:space="preserve">pokusoch na potkanoch </w:t>
      </w:r>
      <w:r w:rsidRPr="0046669C">
        <w:rPr>
          <w:sz w:val="22"/>
          <w:szCs w:val="22"/>
          <w:lang w:val="sk-SK"/>
        </w:rPr>
        <w:t xml:space="preserve">sa pozorovali </w:t>
      </w:r>
      <w:r w:rsidR="00661D85" w:rsidRPr="0046669C">
        <w:rPr>
          <w:sz w:val="22"/>
          <w:szCs w:val="22"/>
          <w:lang w:val="sk-SK"/>
        </w:rPr>
        <w:t xml:space="preserve">endokrinologické a neurologické abnormality </w:t>
      </w:r>
      <w:r w:rsidRPr="0046669C">
        <w:rPr>
          <w:sz w:val="22"/>
          <w:szCs w:val="22"/>
          <w:lang w:val="sk-SK"/>
        </w:rPr>
        <w:t>v </w:t>
      </w:r>
      <w:r w:rsidR="0063066C" w:rsidRPr="0046669C">
        <w:rPr>
          <w:sz w:val="22"/>
          <w:szCs w:val="22"/>
          <w:lang w:val="sk-SK"/>
        </w:rPr>
        <w:t>správ</w:t>
      </w:r>
      <w:r w:rsidRPr="0046669C">
        <w:rPr>
          <w:sz w:val="22"/>
          <w:szCs w:val="22"/>
          <w:lang w:val="sk-SK"/>
        </w:rPr>
        <w:t xml:space="preserve">aní potomstva spolu so zvýšenými </w:t>
      </w:r>
      <w:r w:rsidR="00661D85" w:rsidRPr="0046669C">
        <w:rPr>
          <w:sz w:val="22"/>
          <w:szCs w:val="22"/>
          <w:lang w:val="sk-SK"/>
        </w:rPr>
        <w:t>farmakodynamický</w:t>
      </w:r>
      <w:r w:rsidRPr="0046669C">
        <w:rPr>
          <w:sz w:val="22"/>
          <w:szCs w:val="22"/>
          <w:lang w:val="sk-SK"/>
        </w:rPr>
        <w:t>mi</w:t>
      </w:r>
      <w:r w:rsidR="00661D85" w:rsidRPr="0046669C">
        <w:rPr>
          <w:sz w:val="22"/>
          <w:szCs w:val="22"/>
          <w:lang w:val="sk-SK"/>
        </w:rPr>
        <w:t xml:space="preserve"> účink</w:t>
      </w:r>
      <w:r w:rsidRPr="0046669C">
        <w:rPr>
          <w:sz w:val="22"/>
          <w:szCs w:val="22"/>
          <w:lang w:val="sk-SK"/>
        </w:rPr>
        <w:t>ami</w:t>
      </w:r>
      <w:r w:rsidR="00661D85" w:rsidRPr="0046669C">
        <w:rPr>
          <w:sz w:val="22"/>
          <w:szCs w:val="22"/>
          <w:lang w:val="sk-SK"/>
        </w:rPr>
        <w:t xml:space="preserve"> (perinatálna hypotyreóza s normochromnou anémiou).</w:t>
      </w:r>
    </w:p>
    <w:p w14:paraId="201CED37" w14:textId="77777777" w:rsidR="00661D85" w:rsidRPr="0046669C" w:rsidRDefault="00661D85">
      <w:pPr>
        <w:jc w:val="both"/>
        <w:rPr>
          <w:sz w:val="22"/>
          <w:szCs w:val="22"/>
          <w:lang w:val="sk-SK"/>
        </w:rPr>
      </w:pPr>
    </w:p>
    <w:p w14:paraId="10C515C6" w14:textId="77777777" w:rsidR="00ED6039" w:rsidRPr="0046669C" w:rsidRDefault="00ED6039">
      <w:pPr>
        <w:jc w:val="both"/>
        <w:rPr>
          <w:sz w:val="22"/>
          <w:szCs w:val="22"/>
          <w:lang w:val="sk-SK"/>
        </w:rPr>
      </w:pPr>
    </w:p>
    <w:p w14:paraId="73E108A5" w14:textId="77777777" w:rsidR="00E57A33" w:rsidRPr="0046669C" w:rsidRDefault="00E57A33" w:rsidP="00E57A33">
      <w:pPr>
        <w:rPr>
          <w:b/>
          <w:noProof/>
          <w:szCs w:val="22"/>
          <w:lang w:val="sk-SK"/>
        </w:rPr>
      </w:pPr>
      <w:r w:rsidRPr="0046669C">
        <w:rPr>
          <w:b/>
          <w:noProof/>
          <w:szCs w:val="22"/>
          <w:lang w:val="sk-SK"/>
        </w:rPr>
        <w:t>6.</w:t>
      </w:r>
      <w:r w:rsidRPr="0046669C">
        <w:rPr>
          <w:b/>
          <w:noProof/>
          <w:szCs w:val="22"/>
          <w:lang w:val="sk-SK"/>
        </w:rPr>
        <w:tab/>
        <w:t>FARMACEUTICKÉ INFORMÁCIE</w:t>
      </w:r>
    </w:p>
    <w:p w14:paraId="1B15993B" w14:textId="77777777" w:rsidR="00E57A33" w:rsidRPr="0046669C" w:rsidRDefault="00E57A33" w:rsidP="00E57A33">
      <w:pPr>
        <w:rPr>
          <w:noProof/>
          <w:szCs w:val="22"/>
          <w:lang w:val="sk-SK"/>
        </w:rPr>
      </w:pPr>
    </w:p>
    <w:p w14:paraId="26A42681" w14:textId="77777777" w:rsidR="00E57A33" w:rsidRPr="0046669C" w:rsidRDefault="00E57A33" w:rsidP="00E57A33">
      <w:pPr>
        <w:rPr>
          <w:noProof/>
          <w:szCs w:val="22"/>
          <w:lang w:val="sk-SK"/>
        </w:rPr>
      </w:pPr>
      <w:r w:rsidRPr="0046669C">
        <w:rPr>
          <w:b/>
          <w:noProof/>
          <w:szCs w:val="22"/>
          <w:lang w:val="sk-SK"/>
        </w:rPr>
        <w:t>6.1</w:t>
      </w:r>
      <w:r w:rsidRPr="0046669C">
        <w:rPr>
          <w:b/>
          <w:noProof/>
          <w:szCs w:val="22"/>
          <w:lang w:val="sk-SK"/>
        </w:rPr>
        <w:tab/>
        <w:t>Zoznam pomocných látok</w:t>
      </w:r>
    </w:p>
    <w:p w14:paraId="0265F3F1" w14:textId="77777777" w:rsidR="00344FE4" w:rsidRPr="0046669C" w:rsidRDefault="00344FE4">
      <w:pPr>
        <w:jc w:val="both"/>
        <w:rPr>
          <w:sz w:val="22"/>
          <w:szCs w:val="22"/>
          <w:lang w:val="sk-SK"/>
        </w:rPr>
      </w:pPr>
    </w:p>
    <w:p w14:paraId="0C6691BE" w14:textId="61545D33" w:rsidR="00770F81" w:rsidRPr="008B3F88" w:rsidRDefault="00651039" w:rsidP="008B3F88">
      <w:pPr>
        <w:jc w:val="both"/>
        <w:rPr>
          <w:sz w:val="22"/>
          <w:szCs w:val="22"/>
          <w:lang w:val="sk-SK"/>
        </w:rPr>
      </w:pPr>
      <w:r w:rsidRPr="008B3F88">
        <w:rPr>
          <w:sz w:val="22"/>
          <w:szCs w:val="22"/>
          <w:lang w:val="sk-SK"/>
        </w:rPr>
        <w:t>monohydrát laktózy</w:t>
      </w:r>
    </w:p>
    <w:p w14:paraId="0557F1BE" w14:textId="3379DF4F" w:rsidR="00770F81" w:rsidRPr="008B3F88" w:rsidRDefault="0005450F" w:rsidP="008B3F88">
      <w:pPr>
        <w:jc w:val="both"/>
        <w:rPr>
          <w:sz w:val="22"/>
          <w:szCs w:val="22"/>
          <w:lang w:val="sk-SK"/>
        </w:rPr>
      </w:pPr>
      <w:r w:rsidRPr="008B3F88">
        <w:rPr>
          <w:sz w:val="22"/>
          <w:szCs w:val="22"/>
          <w:lang w:val="sk-SK"/>
        </w:rPr>
        <w:t>stearan horečnatý</w:t>
      </w:r>
    </w:p>
    <w:p w14:paraId="21F19FEA" w14:textId="00ACCEA7" w:rsidR="00C77712" w:rsidRPr="008B3F88" w:rsidRDefault="00651039" w:rsidP="008B3F88">
      <w:pPr>
        <w:jc w:val="both"/>
        <w:rPr>
          <w:sz w:val="22"/>
          <w:szCs w:val="22"/>
          <w:lang w:val="sk-SK"/>
        </w:rPr>
      </w:pPr>
      <w:r w:rsidRPr="008B3F88">
        <w:rPr>
          <w:sz w:val="22"/>
          <w:szCs w:val="22"/>
          <w:lang w:val="sk-SK"/>
        </w:rPr>
        <w:t>kukuričný škrob</w:t>
      </w:r>
      <w:r w:rsidR="00974FF8" w:rsidRPr="008B3F88">
        <w:rPr>
          <w:sz w:val="22"/>
          <w:szCs w:val="22"/>
          <w:lang w:val="sk-SK"/>
        </w:rPr>
        <w:t xml:space="preserve"> </w:t>
      </w:r>
    </w:p>
    <w:p w14:paraId="3F68B0D7" w14:textId="0080A068" w:rsidR="00C77712" w:rsidRPr="00D22EF7" w:rsidRDefault="00651039" w:rsidP="008B3F88">
      <w:pPr>
        <w:jc w:val="both"/>
        <w:rPr>
          <w:lang w:val="sk-SK"/>
        </w:rPr>
      </w:pPr>
      <w:r w:rsidRPr="00D22EF7">
        <w:rPr>
          <w:lang w:val="sk-SK"/>
        </w:rPr>
        <w:t>koloidný oxid kremičitý bezvodý</w:t>
      </w:r>
    </w:p>
    <w:p w14:paraId="6006CAC4" w14:textId="6196710D" w:rsidR="00C77712" w:rsidRPr="00D22EF7" w:rsidRDefault="00651039" w:rsidP="008B3F88">
      <w:pPr>
        <w:jc w:val="both"/>
        <w:rPr>
          <w:lang w:val="sk-SK"/>
        </w:rPr>
      </w:pPr>
      <w:r w:rsidRPr="00D22EF7">
        <w:rPr>
          <w:lang w:val="sk-SK"/>
        </w:rPr>
        <w:t>povidón</w:t>
      </w:r>
    </w:p>
    <w:p w14:paraId="1C4C0632" w14:textId="0F7BD10E" w:rsidR="00661D85" w:rsidRPr="00D22EF7" w:rsidRDefault="00651039" w:rsidP="008B3F88">
      <w:pPr>
        <w:jc w:val="both"/>
        <w:rPr>
          <w:lang w:val="sk-SK"/>
        </w:rPr>
      </w:pPr>
      <w:r w:rsidRPr="00D22EF7">
        <w:rPr>
          <w:lang w:val="sk-SK"/>
        </w:rPr>
        <w:t>predželatino</w:t>
      </w:r>
      <w:r w:rsidR="00562950" w:rsidRPr="00D22EF7">
        <w:rPr>
          <w:lang w:val="sk-SK"/>
        </w:rPr>
        <w:t>vaný škrob</w:t>
      </w:r>
      <w:r w:rsidR="00661D85" w:rsidRPr="00D22EF7">
        <w:rPr>
          <w:lang w:val="sk-SK"/>
        </w:rPr>
        <w:t xml:space="preserve"> </w:t>
      </w:r>
    </w:p>
    <w:p w14:paraId="2B967500" w14:textId="77777777" w:rsidR="00661D85" w:rsidRPr="0046669C" w:rsidRDefault="00661D85">
      <w:pPr>
        <w:numPr>
          <w:ilvl w:val="12"/>
          <w:numId w:val="0"/>
        </w:numPr>
        <w:rPr>
          <w:sz w:val="22"/>
          <w:szCs w:val="22"/>
          <w:lang w:val="sk-SK"/>
        </w:rPr>
      </w:pPr>
    </w:p>
    <w:p w14:paraId="46133A65" w14:textId="77777777" w:rsidR="00E57A33" w:rsidRPr="0046669C" w:rsidRDefault="00E57A33" w:rsidP="00E57A33">
      <w:pPr>
        <w:rPr>
          <w:noProof/>
          <w:szCs w:val="22"/>
          <w:lang w:val="sk-SK"/>
        </w:rPr>
      </w:pPr>
      <w:r w:rsidRPr="0046669C">
        <w:rPr>
          <w:b/>
          <w:noProof/>
          <w:szCs w:val="22"/>
          <w:lang w:val="sk-SK"/>
        </w:rPr>
        <w:t>6.2</w:t>
      </w:r>
      <w:r w:rsidRPr="0046669C">
        <w:rPr>
          <w:b/>
          <w:noProof/>
          <w:szCs w:val="22"/>
          <w:lang w:val="sk-SK"/>
        </w:rPr>
        <w:tab/>
        <w:t>Inkompatibility</w:t>
      </w:r>
    </w:p>
    <w:p w14:paraId="6AB413C6" w14:textId="77777777" w:rsidR="00344FE4" w:rsidRPr="0046669C" w:rsidRDefault="00344FE4" w:rsidP="00E57A33">
      <w:pPr>
        <w:tabs>
          <w:tab w:val="left" w:pos="431"/>
          <w:tab w:val="left" w:pos="3802"/>
          <w:tab w:val="left" w:pos="5816"/>
          <w:tab w:val="left" w:pos="7858"/>
        </w:tabs>
        <w:suppressAutoHyphens/>
        <w:rPr>
          <w:sz w:val="22"/>
          <w:szCs w:val="22"/>
          <w:lang w:val="sk-SK"/>
        </w:rPr>
      </w:pPr>
    </w:p>
    <w:p w14:paraId="19678007" w14:textId="77777777" w:rsidR="00731F07" w:rsidRPr="0046669C" w:rsidRDefault="00731F07" w:rsidP="00731F07">
      <w:pPr>
        <w:tabs>
          <w:tab w:val="left" w:pos="431"/>
          <w:tab w:val="left" w:pos="3802"/>
          <w:tab w:val="left" w:pos="5816"/>
          <w:tab w:val="left" w:pos="7858"/>
        </w:tabs>
        <w:suppressAutoHyphens/>
        <w:ind w:left="431" w:hanging="431"/>
        <w:rPr>
          <w:sz w:val="22"/>
          <w:szCs w:val="22"/>
          <w:lang w:val="sk-SK"/>
        </w:rPr>
      </w:pPr>
      <w:r w:rsidRPr="0046669C">
        <w:rPr>
          <w:sz w:val="22"/>
          <w:szCs w:val="22"/>
          <w:lang w:val="sk-SK"/>
        </w:rPr>
        <w:t>Neaplikovateľné</w:t>
      </w:r>
    </w:p>
    <w:p w14:paraId="32A75201" w14:textId="77777777" w:rsidR="00661D85" w:rsidRPr="0046669C" w:rsidRDefault="00661D85">
      <w:pPr>
        <w:numPr>
          <w:ilvl w:val="12"/>
          <w:numId w:val="0"/>
        </w:numPr>
        <w:rPr>
          <w:sz w:val="22"/>
          <w:szCs w:val="22"/>
          <w:lang w:val="sk-SK"/>
        </w:rPr>
      </w:pPr>
    </w:p>
    <w:p w14:paraId="5801B273" w14:textId="77777777" w:rsidR="00E57A33" w:rsidRPr="0046669C" w:rsidRDefault="00E57A33" w:rsidP="00E57A33">
      <w:pPr>
        <w:rPr>
          <w:noProof/>
          <w:szCs w:val="22"/>
          <w:lang w:val="sk-SK"/>
        </w:rPr>
      </w:pPr>
      <w:r w:rsidRPr="0046669C">
        <w:rPr>
          <w:b/>
          <w:noProof/>
          <w:szCs w:val="22"/>
          <w:lang w:val="sk-SK"/>
        </w:rPr>
        <w:t>6.3</w:t>
      </w:r>
      <w:r w:rsidRPr="0046669C">
        <w:rPr>
          <w:b/>
          <w:noProof/>
          <w:szCs w:val="22"/>
          <w:lang w:val="sk-SK"/>
        </w:rPr>
        <w:tab/>
        <w:t>Čas použiteľnosti</w:t>
      </w:r>
    </w:p>
    <w:p w14:paraId="5427C78F" w14:textId="77777777" w:rsidR="00E57A33" w:rsidRPr="0046669C" w:rsidRDefault="00E57A33">
      <w:pPr>
        <w:numPr>
          <w:ilvl w:val="12"/>
          <w:numId w:val="0"/>
        </w:numPr>
        <w:rPr>
          <w:sz w:val="22"/>
          <w:szCs w:val="22"/>
          <w:lang w:val="sk-SK"/>
        </w:rPr>
      </w:pPr>
    </w:p>
    <w:p w14:paraId="151F945D" w14:textId="2953C332" w:rsidR="00731F07" w:rsidRPr="0046669C" w:rsidRDefault="00204B3C">
      <w:pPr>
        <w:numPr>
          <w:ilvl w:val="12"/>
          <w:numId w:val="0"/>
        </w:numPr>
        <w:rPr>
          <w:sz w:val="22"/>
          <w:szCs w:val="22"/>
          <w:lang w:val="sk-SK"/>
        </w:rPr>
      </w:pPr>
      <w:r w:rsidRPr="0046669C">
        <w:rPr>
          <w:sz w:val="22"/>
          <w:szCs w:val="22"/>
          <w:lang w:val="sk-SK"/>
        </w:rPr>
        <w:t>5 rokov</w:t>
      </w:r>
    </w:p>
    <w:p w14:paraId="778B7E56" w14:textId="77777777" w:rsidR="00661D85" w:rsidRPr="0046669C" w:rsidRDefault="00661D85">
      <w:pPr>
        <w:numPr>
          <w:ilvl w:val="12"/>
          <w:numId w:val="0"/>
        </w:numPr>
        <w:rPr>
          <w:sz w:val="22"/>
          <w:szCs w:val="22"/>
          <w:lang w:val="sk-SK"/>
        </w:rPr>
      </w:pPr>
    </w:p>
    <w:p w14:paraId="3D7A9F2E" w14:textId="77777777" w:rsidR="00344FE4" w:rsidRPr="0046669C" w:rsidRDefault="00344FE4" w:rsidP="00344FE4">
      <w:pPr>
        <w:rPr>
          <w:noProof/>
          <w:szCs w:val="22"/>
          <w:lang w:val="sk-SK"/>
        </w:rPr>
      </w:pPr>
      <w:r w:rsidRPr="0046669C">
        <w:rPr>
          <w:b/>
          <w:noProof/>
          <w:szCs w:val="22"/>
          <w:lang w:val="sk-SK"/>
        </w:rPr>
        <w:t>6.4</w:t>
      </w:r>
      <w:r w:rsidRPr="0046669C">
        <w:rPr>
          <w:b/>
          <w:noProof/>
          <w:szCs w:val="22"/>
          <w:lang w:val="sk-SK"/>
        </w:rPr>
        <w:tab/>
        <w:t>Špeciálne upozornenia na uchovávanie</w:t>
      </w:r>
    </w:p>
    <w:p w14:paraId="24397DF5" w14:textId="77777777" w:rsidR="00344FE4" w:rsidRPr="0046669C" w:rsidRDefault="00344FE4" w:rsidP="00731F07">
      <w:pPr>
        <w:tabs>
          <w:tab w:val="left" w:pos="431"/>
          <w:tab w:val="left" w:pos="3802"/>
          <w:tab w:val="left" w:pos="5816"/>
          <w:tab w:val="left" w:pos="7858"/>
        </w:tabs>
        <w:suppressAutoHyphens/>
        <w:rPr>
          <w:sz w:val="22"/>
          <w:szCs w:val="22"/>
          <w:lang w:val="sk-SK"/>
        </w:rPr>
      </w:pPr>
    </w:p>
    <w:p w14:paraId="4CA1D61A" w14:textId="51A81199" w:rsidR="00BC1A2D" w:rsidRPr="0046669C" w:rsidRDefault="00204B3C" w:rsidP="00BC1A2D">
      <w:pPr>
        <w:rPr>
          <w:b/>
          <w:sz w:val="22"/>
          <w:szCs w:val="22"/>
          <w:lang w:val="sk-SK"/>
        </w:rPr>
      </w:pPr>
      <w:r w:rsidRPr="0046669C">
        <w:rPr>
          <w:sz w:val="22"/>
          <w:szCs w:val="22"/>
          <w:lang w:val="sk-SK"/>
        </w:rPr>
        <w:t>Uchovávajte pri teplote 15 - 25 º C. Uchovávajte v pôvodnom obale na ochranu pred vlhkosťou.</w:t>
      </w:r>
    </w:p>
    <w:p w14:paraId="779F82D3" w14:textId="77777777" w:rsidR="00661D85" w:rsidRPr="0046669C" w:rsidRDefault="00661D85">
      <w:pPr>
        <w:pStyle w:val="Zkladntext"/>
        <w:numPr>
          <w:ilvl w:val="12"/>
          <w:numId w:val="0"/>
        </w:numPr>
        <w:rPr>
          <w:sz w:val="22"/>
          <w:szCs w:val="22"/>
          <w:lang w:val="sk-SK"/>
        </w:rPr>
      </w:pPr>
    </w:p>
    <w:p w14:paraId="3D6AE19F" w14:textId="77777777" w:rsidR="00344FE4" w:rsidRPr="0046669C" w:rsidRDefault="00344FE4" w:rsidP="00344FE4">
      <w:pPr>
        <w:rPr>
          <w:noProof/>
          <w:szCs w:val="22"/>
          <w:lang w:val="sk-SK"/>
        </w:rPr>
      </w:pPr>
      <w:r w:rsidRPr="0046669C">
        <w:rPr>
          <w:b/>
          <w:noProof/>
          <w:szCs w:val="22"/>
          <w:lang w:val="sk-SK"/>
        </w:rPr>
        <w:t>6.5</w:t>
      </w:r>
      <w:r w:rsidRPr="0046669C">
        <w:rPr>
          <w:b/>
          <w:noProof/>
          <w:szCs w:val="22"/>
          <w:lang w:val="sk-SK"/>
        </w:rPr>
        <w:tab/>
        <w:t>Druh obalu a obsah balenia</w:t>
      </w:r>
      <w:r w:rsidRPr="0046669C">
        <w:rPr>
          <w:b/>
          <w:noProof/>
          <w:color w:val="0000FF"/>
          <w:szCs w:val="22"/>
          <w:lang w:val="sk-SK"/>
        </w:rPr>
        <w:t xml:space="preserve"> </w:t>
      </w:r>
    </w:p>
    <w:p w14:paraId="485E6C19" w14:textId="77777777" w:rsidR="00344FE4" w:rsidRPr="0046669C" w:rsidRDefault="00344FE4">
      <w:pPr>
        <w:rPr>
          <w:sz w:val="22"/>
          <w:szCs w:val="22"/>
          <w:lang w:val="sk-SK"/>
        </w:rPr>
      </w:pPr>
    </w:p>
    <w:p w14:paraId="6965E507" w14:textId="59F1605D" w:rsidR="00232500" w:rsidRPr="0046669C" w:rsidRDefault="00003F67">
      <w:pPr>
        <w:rPr>
          <w:sz w:val="22"/>
          <w:szCs w:val="22"/>
          <w:lang w:val="sk-SK"/>
        </w:rPr>
      </w:pPr>
      <w:r w:rsidRPr="0046669C">
        <w:rPr>
          <w:sz w:val="22"/>
          <w:szCs w:val="22"/>
          <w:lang w:val="sk-SK"/>
        </w:rPr>
        <w:t>S</w:t>
      </w:r>
      <w:r w:rsidR="00661D85" w:rsidRPr="0046669C">
        <w:rPr>
          <w:sz w:val="22"/>
          <w:szCs w:val="22"/>
          <w:lang w:val="sk-SK"/>
        </w:rPr>
        <w:t>klenen</w:t>
      </w:r>
      <w:r w:rsidRPr="0046669C">
        <w:rPr>
          <w:sz w:val="22"/>
          <w:szCs w:val="22"/>
          <w:lang w:val="sk-SK"/>
        </w:rPr>
        <w:t>á</w:t>
      </w:r>
      <w:r w:rsidR="00661D85" w:rsidRPr="0046669C">
        <w:rPr>
          <w:sz w:val="22"/>
          <w:szCs w:val="22"/>
          <w:lang w:val="sk-SK"/>
        </w:rPr>
        <w:t xml:space="preserve"> </w:t>
      </w:r>
      <w:r w:rsidR="00344FE4" w:rsidRPr="0046669C">
        <w:rPr>
          <w:sz w:val="22"/>
          <w:szCs w:val="22"/>
          <w:lang w:val="sk-SK"/>
        </w:rPr>
        <w:t>fľaš</w:t>
      </w:r>
      <w:r w:rsidRPr="0046669C">
        <w:rPr>
          <w:sz w:val="22"/>
          <w:szCs w:val="22"/>
          <w:lang w:val="sk-SK"/>
        </w:rPr>
        <w:t>a</w:t>
      </w:r>
      <w:r w:rsidR="00344FE4" w:rsidRPr="0046669C">
        <w:rPr>
          <w:sz w:val="22"/>
          <w:szCs w:val="22"/>
          <w:lang w:val="sk-SK"/>
        </w:rPr>
        <w:t xml:space="preserve"> </w:t>
      </w:r>
      <w:r w:rsidR="00731F07" w:rsidRPr="0046669C">
        <w:rPr>
          <w:sz w:val="22"/>
          <w:szCs w:val="22"/>
          <w:lang w:val="sk-SK"/>
        </w:rPr>
        <w:t>s plastovým uzáverom z vysoko denzitného polyetylénu</w:t>
      </w:r>
      <w:r w:rsidR="00661D85" w:rsidRPr="0046669C">
        <w:rPr>
          <w:sz w:val="22"/>
          <w:szCs w:val="22"/>
          <w:lang w:val="sk-SK"/>
        </w:rPr>
        <w:t xml:space="preserve">; písomná informácia pre </w:t>
      </w:r>
      <w:r w:rsidR="00521FE7" w:rsidRPr="0046669C">
        <w:rPr>
          <w:sz w:val="22"/>
          <w:szCs w:val="22"/>
          <w:lang w:val="sk-SK"/>
        </w:rPr>
        <w:t>používateľ</w:t>
      </w:r>
      <w:r w:rsidR="00562950" w:rsidRPr="0046669C">
        <w:rPr>
          <w:sz w:val="22"/>
          <w:szCs w:val="22"/>
          <w:lang w:val="sk-SK"/>
        </w:rPr>
        <w:t>a</w:t>
      </w:r>
      <w:r w:rsidR="00661D85" w:rsidRPr="0046669C">
        <w:rPr>
          <w:sz w:val="22"/>
          <w:szCs w:val="22"/>
          <w:lang w:val="sk-SK"/>
        </w:rPr>
        <w:t xml:space="preserve">; </w:t>
      </w:r>
      <w:r w:rsidR="009E20EB" w:rsidRPr="0046669C">
        <w:rPr>
          <w:sz w:val="22"/>
          <w:szCs w:val="22"/>
          <w:lang w:val="sk-SK"/>
        </w:rPr>
        <w:t>v</w:t>
      </w:r>
      <w:r w:rsidRPr="0046669C">
        <w:rPr>
          <w:sz w:val="22"/>
          <w:szCs w:val="22"/>
          <w:lang w:val="sk-SK"/>
        </w:rPr>
        <w:t>onkajší obal z tv</w:t>
      </w:r>
      <w:r w:rsidR="009E20EB" w:rsidRPr="0046669C">
        <w:rPr>
          <w:sz w:val="22"/>
          <w:szCs w:val="22"/>
          <w:lang w:val="sk-SK"/>
        </w:rPr>
        <w:t>r</w:t>
      </w:r>
      <w:r w:rsidRPr="0046669C">
        <w:rPr>
          <w:sz w:val="22"/>
          <w:szCs w:val="22"/>
          <w:lang w:val="sk-SK"/>
        </w:rPr>
        <w:t xml:space="preserve">dého kartónu </w:t>
      </w:r>
    </w:p>
    <w:p w14:paraId="17D23AA0" w14:textId="77777777" w:rsidR="00562950" w:rsidRPr="0046669C" w:rsidRDefault="00562950">
      <w:pPr>
        <w:rPr>
          <w:strike/>
          <w:sz w:val="22"/>
          <w:szCs w:val="22"/>
          <w:lang w:val="sk-SK"/>
        </w:rPr>
      </w:pPr>
    </w:p>
    <w:p w14:paraId="0510379B" w14:textId="37B80C06" w:rsidR="00003F67" w:rsidRPr="0046669C" w:rsidRDefault="00621A63">
      <w:pPr>
        <w:rPr>
          <w:sz w:val="22"/>
          <w:szCs w:val="22"/>
          <w:lang w:val="sk-SK"/>
        </w:rPr>
      </w:pPr>
      <w:r w:rsidRPr="0046669C">
        <w:rPr>
          <w:sz w:val="22"/>
          <w:szCs w:val="22"/>
          <w:lang w:val="sk-SK"/>
        </w:rPr>
        <w:t xml:space="preserve">Balenie  </w:t>
      </w:r>
      <w:r w:rsidR="00003F67" w:rsidRPr="0046669C">
        <w:rPr>
          <w:sz w:val="22"/>
          <w:szCs w:val="22"/>
          <w:lang w:val="sk-SK"/>
        </w:rPr>
        <w:t xml:space="preserve">20 tabliet   </w:t>
      </w:r>
      <w:r w:rsidR="00204B3C" w:rsidRPr="0046669C">
        <w:rPr>
          <w:sz w:val="22"/>
          <w:szCs w:val="22"/>
          <w:lang w:val="sk-SK"/>
        </w:rPr>
        <w:t xml:space="preserve">  </w:t>
      </w:r>
      <w:r w:rsidRPr="0046669C">
        <w:rPr>
          <w:sz w:val="22"/>
          <w:szCs w:val="22"/>
          <w:lang w:val="sk-SK"/>
        </w:rPr>
        <w:t xml:space="preserve"> </w:t>
      </w:r>
      <w:r w:rsidR="00003F67" w:rsidRPr="0046669C">
        <w:rPr>
          <w:sz w:val="22"/>
          <w:szCs w:val="22"/>
          <w:lang w:val="sk-SK"/>
        </w:rPr>
        <w:t xml:space="preserve"> </w:t>
      </w:r>
    </w:p>
    <w:p w14:paraId="5A31E4A9" w14:textId="2AB21C2C" w:rsidR="00003F67" w:rsidRPr="0046669C" w:rsidRDefault="00621A63">
      <w:pPr>
        <w:rPr>
          <w:sz w:val="22"/>
          <w:szCs w:val="22"/>
          <w:lang w:val="sk-SK"/>
        </w:rPr>
      </w:pPr>
      <w:r w:rsidRPr="0046669C">
        <w:rPr>
          <w:sz w:val="22"/>
          <w:szCs w:val="22"/>
          <w:lang w:val="sk-SK"/>
        </w:rPr>
        <w:t>Balenie</w:t>
      </w:r>
      <w:r w:rsidR="00204B3C" w:rsidRPr="0046669C">
        <w:rPr>
          <w:sz w:val="22"/>
          <w:szCs w:val="22"/>
          <w:lang w:val="sk-SK"/>
        </w:rPr>
        <w:t xml:space="preserve">  </w:t>
      </w:r>
      <w:r w:rsidR="00003F67" w:rsidRPr="0046669C">
        <w:rPr>
          <w:sz w:val="22"/>
          <w:szCs w:val="22"/>
          <w:lang w:val="sk-SK"/>
        </w:rPr>
        <w:t xml:space="preserve">100 tabliet   </w:t>
      </w:r>
    </w:p>
    <w:p w14:paraId="471E1FCE" w14:textId="77777777" w:rsidR="00344FE4" w:rsidRPr="0046669C" w:rsidRDefault="00344FE4">
      <w:pPr>
        <w:rPr>
          <w:sz w:val="22"/>
          <w:szCs w:val="22"/>
          <w:lang w:val="sk-SK"/>
        </w:rPr>
      </w:pPr>
    </w:p>
    <w:p w14:paraId="4AB14714" w14:textId="77777777" w:rsidR="00204B3C" w:rsidRPr="0046669C" w:rsidRDefault="00204B3C">
      <w:pPr>
        <w:rPr>
          <w:sz w:val="22"/>
          <w:szCs w:val="22"/>
          <w:lang w:val="sk-SK"/>
        </w:rPr>
      </w:pPr>
      <w:r w:rsidRPr="0046669C">
        <w:rPr>
          <w:sz w:val="22"/>
          <w:szCs w:val="22"/>
          <w:lang w:val="sk-SK"/>
        </w:rPr>
        <w:t>Na trh nemusia byť uvedené všetky veľkosti balenia.</w:t>
      </w:r>
    </w:p>
    <w:p w14:paraId="4E7F6899" w14:textId="77777777" w:rsidR="00562950" w:rsidRPr="0046669C" w:rsidRDefault="00562950">
      <w:pPr>
        <w:rPr>
          <w:sz w:val="22"/>
          <w:szCs w:val="22"/>
          <w:lang w:val="sk-SK"/>
        </w:rPr>
      </w:pPr>
    </w:p>
    <w:p w14:paraId="69B6F7B4" w14:textId="77777777" w:rsidR="00344FE4" w:rsidRPr="0046669C" w:rsidRDefault="00344FE4" w:rsidP="00344FE4">
      <w:pPr>
        <w:rPr>
          <w:b/>
          <w:bCs/>
          <w:noProof/>
          <w:lang w:val="sk-SK"/>
        </w:rPr>
      </w:pPr>
      <w:r w:rsidRPr="0046669C">
        <w:rPr>
          <w:b/>
          <w:noProof/>
          <w:szCs w:val="22"/>
          <w:lang w:val="sk-SK"/>
        </w:rPr>
        <w:t>6.6</w:t>
      </w:r>
      <w:r w:rsidRPr="0046669C">
        <w:rPr>
          <w:b/>
          <w:noProof/>
          <w:szCs w:val="22"/>
          <w:lang w:val="sk-SK"/>
        </w:rPr>
        <w:tab/>
      </w:r>
      <w:r w:rsidRPr="0046669C">
        <w:rPr>
          <w:b/>
          <w:bCs/>
          <w:noProof/>
          <w:lang w:val="sk-SK"/>
        </w:rPr>
        <w:t>Špeciálne opatrenia na likvidáciu a iné zaobchádzanie s liekom</w:t>
      </w:r>
    </w:p>
    <w:p w14:paraId="4510614B" w14:textId="77777777" w:rsidR="00562950" w:rsidRPr="0046669C" w:rsidRDefault="00562950">
      <w:pPr>
        <w:rPr>
          <w:sz w:val="22"/>
          <w:szCs w:val="22"/>
          <w:lang w:val="sk-SK"/>
        </w:rPr>
      </w:pPr>
    </w:p>
    <w:p w14:paraId="543D1DCD" w14:textId="12061773" w:rsidR="00866966" w:rsidRPr="0046669C" w:rsidRDefault="00866966" w:rsidP="00866966">
      <w:pPr>
        <w:rPr>
          <w:b/>
          <w:sz w:val="22"/>
          <w:szCs w:val="22"/>
          <w:lang w:val="sk-SK"/>
        </w:rPr>
      </w:pPr>
      <w:r w:rsidRPr="0046669C">
        <w:rPr>
          <w:noProof/>
          <w:sz w:val="22"/>
          <w:szCs w:val="22"/>
          <w:lang w:val="sk-SK"/>
        </w:rPr>
        <w:t>Všetok nepoužitý liek alebo odpad vzniknutý z lieku sa má zlikvidovať v súlade s národnými požiadavkami.</w:t>
      </w:r>
    </w:p>
    <w:p w14:paraId="3829B33C" w14:textId="77777777" w:rsidR="00661D85" w:rsidRPr="0046669C" w:rsidRDefault="00661D85">
      <w:pPr>
        <w:rPr>
          <w:sz w:val="22"/>
          <w:szCs w:val="22"/>
          <w:lang w:val="sk-SK"/>
        </w:rPr>
      </w:pPr>
    </w:p>
    <w:p w14:paraId="32CDCB61" w14:textId="77777777" w:rsidR="00E57A33" w:rsidRPr="0046669C" w:rsidRDefault="00E57A33">
      <w:pPr>
        <w:rPr>
          <w:sz w:val="22"/>
          <w:szCs w:val="22"/>
          <w:lang w:val="sk-SK"/>
        </w:rPr>
      </w:pPr>
    </w:p>
    <w:p w14:paraId="1C002620" w14:textId="77777777" w:rsidR="00E57A33" w:rsidRPr="0046669C" w:rsidRDefault="00E57A33" w:rsidP="00E57A33">
      <w:pPr>
        <w:rPr>
          <w:noProof/>
          <w:szCs w:val="22"/>
          <w:lang w:val="sk-SK"/>
        </w:rPr>
      </w:pPr>
      <w:r w:rsidRPr="0046669C">
        <w:rPr>
          <w:b/>
          <w:noProof/>
          <w:szCs w:val="22"/>
          <w:lang w:val="sk-SK"/>
        </w:rPr>
        <w:t>7.</w:t>
      </w:r>
      <w:r w:rsidRPr="0046669C">
        <w:rPr>
          <w:b/>
          <w:noProof/>
          <w:szCs w:val="22"/>
          <w:lang w:val="sk-SK"/>
        </w:rPr>
        <w:tab/>
        <w:t>DRŽITEĽ ROZHODNUTIA O REGISTRÁCII</w:t>
      </w:r>
    </w:p>
    <w:p w14:paraId="4CC363F4" w14:textId="77777777" w:rsidR="00E57A33" w:rsidRPr="0046669C" w:rsidRDefault="00E57A33">
      <w:pPr>
        <w:rPr>
          <w:sz w:val="22"/>
          <w:szCs w:val="22"/>
          <w:lang w:val="sk-SK"/>
        </w:rPr>
      </w:pPr>
    </w:p>
    <w:p w14:paraId="7EDE68AB" w14:textId="77777777" w:rsidR="00661D85" w:rsidRPr="0046669C" w:rsidRDefault="00661D85">
      <w:pPr>
        <w:pStyle w:val="Zkladntext"/>
        <w:spacing w:line="180" w:lineRule="exact"/>
        <w:rPr>
          <w:sz w:val="22"/>
          <w:szCs w:val="22"/>
          <w:lang w:val="sk-SK"/>
        </w:rPr>
      </w:pPr>
      <w:r w:rsidRPr="0046669C">
        <w:rPr>
          <w:sz w:val="22"/>
          <w:szCs w:val="22"/>
          <w:lang w:val="sk-SK"/>
        </w:rPr>
        <w:t>Admeda Arzneimittel GmbH</w:t>
      </w:r>
    </w:p>
    <w:p w14:paraId="356270F1" w14:textId="6D894F65" w:rsidR="0091600A" w:rsidRPr="0046669C" w:rsidRDefault="0091600A" w:rsidP="0091600A">
      <w:pPr>
        <w:pStyle w:val="Obyajntext"/>
        <w:rPr>
          <w:rFonts w:ascii="Times New Roman" w:hAnsi="Times New Roman"/>
          <w:sz w:val="22"/>
          <w:szCs w:val="22"/>
          <w:lang w:val="sk-SK"/>
        </w:rPr>
      </w:pPr>
      <w:r w:rsidRPr="0046669C">
        <w:rPr>
          <w:rFonts w:ascii="Times New Roman" w:hAnsi="Times New Roman"/>
          <w:sz w:val="22"/>
          <w:szCs w:val="22"/>
          <w:lang w:val="sk-SK"/>
        </w:rPr>
        <w:t>Trift 4</w:t>
      </w:r>
    </w:p>
    <w:p w14:paraId="25B82025" w14:textId="77777777" w:rsidR="00AC0BAF" w:rsidRPr="0046669C" w:rsidRDefault="00003F67" w:rsidP="0091600A">
      <w:pPr>
        <w:pStyle w:val="Obyajntext"/>
        <w:rPr>
          <w:rFonts w:ascii="Times New Roman" w:hAnsi="Times New Roman"/>
          <w:snapToGrid w:val="0"/>
          <w:sz w:val="22"/>
          <w:szCs w:val="22"/>
          <w:lang w:val="sk-SK"/>
        </w:rPr>
      </w:pPr>
      <w:r w:rsidRPr="0046669C">
        <w:rPr>
          <w:rFonts w:ascii="Times New Roman" w:hAnsi="Times New Roman"/>
          <w:sz w:val="22"/>
          <w:szCs w:val="22"/>
          <w:lang w:val="sk-SK"/>
        </w:rPr>
        <w:t xml:space="preserve">D-23863 </w:t>
      </w:r>
      <w:r w:rsidR="0091600A" w:rsidRPr="0046669C">
        <w:rPr>
          <w:rFonts w:ascii="Times New Roman" w:hAnsi="Times New Roman"/>
          <w:sz w:val="22"/>
          <w:szCs w:val="22"/>
          <w:lang w:val="sk-SK"/>
        </w:rPr>
        <w:t>Nienwohld</w:t>
      </w:r>
    </w:p>
    <w:p w14:paraId="1C939B1B" w14:textId="66D27A04" w:rsidR="00661D85" w:rsidRPr="0046669C" w:rsidRDefault="00661D85" w:rsidP="0091600A">
      <w:pPr>
        <w:pStyle w:val="Obyajntext"/>
        <w:rPr>
          <w:rFonts w:ascii="Times New Roman" w:hAnsi="Times New Roman"/>
          <w:sz w:val="22"/>
          <w:szCs w:val="22"/>
          <w:lang w:val="sk-SK"/>
        </w:rPr>
      </w:pPr>
      <w:r w:rsidRPr="0046669C">
        <w:rPr>
          <w:rFonts w:ascii="Times New Roman" w:hAnsi="Times New Roman"/>
          <w:snapToGrid w:val="0"/>
          <w:sz w:val="22"/>
          <w:szCs w:val="22"/>
          <w:lang w:val="sk-SK"/>
        </w:rPr>
        <w:t>Nemecko</w:t>
      </w:r>
      <w:r w:rsidRPr="0046669C">
        <w:rPr>
          <w:rFonts w:ascii="Times New Roman" w:hAnsi="Times New Roman"/>
          <w:sz w:val="22"/>
          <w:szCs w:val="22"/>
          <w:lang w:val="sk-SK"/>
        </w:rPr>
        <w:t xml:space="preserve"> </w:t>
      </w:r>
    </w:p>
    <w:p w14:paraId="65B20E35" w14:textId="77777777" w:rsidR="00003F67" w:rsidRPr="0046669C" w:rsidRDefault="00003F67" w:rsidP="0091600A">
      <w:pPr>
        <w:pStyle w:val="Obyajntext"/>
        <w:rPr>
          <w:rFonts w:ascii="Times New Roman" w:hAnsi="Times New Roman"/>
          <w:sz w:val="22"/>
          <w:szCs w:val="22"/>
          <w:lang w:val="sk-SK"/>
        </w:rPr>
      </w:pPr>
      <w:r w:rsidRPr="0046669C">
        <w:rPr>
          <w:rFonts w:ascii="Times New Roman" w:hAnsi="Times New Roman"/>
          <w:sz w:val="22"/>
          <w:szCs w:val="22"/>
          <w:lang w:val="sk-SK"/>
        </w:rPr>
        <w:t xml:space="preserve">Tel.:  </w:t>
      </w:r>
      <w:r w:rsidR="00AC5CC6" w:rsidRPr="0046669C">
        <w:rPr>
          <w:rFonts w:ascii="Times New Roman" w:hAnsi="Times New Roman"/>
          <w:sz w:val="22"/>
          <w:szCs w:val="22"/>
          <w:lang w:val="sk-SK"/>
        </w:rPr>
        <w:t>+</w:t>
      </w:r>
      <w:r w:rsidRPr="0046669C">
        <w:rPr>
          <w:rFonts w:ascii="Times New Roman" w:hAnsi="Times New Roman"/>
          <w:sz w:val="22"/>
          <w:szCs w:val="22"/>
          <w:lang w:val="sk-SK"/>
        </w:rPr>
        <w:t>49 4537 7070080</w:t>
      </w:r>
    </w:p>
    <w:p w14:paraId="7AD7F851" w14:textId="22D7BEA5" w:rsidR="00321E12" w:rsidRPr="0046669C" w:rsidRDefault="00003F67" w:rsidP="0091600A">
      <w:pPr>
        <w:pStyle w:val="Obyajntext"/>
        <w:rPr>
          <w:rFonts w:ascii="Times New Roman" w:hAnsi="Times New Roman"/>
          <w:sz w:val="22"/>
          <w:szCs w:val="22"/>
          <w:lang w:val="sk-SK"/>
        </w:rPr>
      </w:pPr>
      <w:r w:rsidRPr="0046669C">
        <w:rPr>
          <w:rFonts w:ascii="Times New Roman" w:hAnsi="Times New Roman"/>
          <w:sz w:val="22"/>
          <w:szCs w:val="22"/>
          <w:lang w:val="sk-SK"/>
        </w:rPr>
        <w:t xml:space="preserve">Fax:  </w:t>
      </w:r>
      <w:r w:rsidR="00AC5CC6" w:rsidRPr="0046669C">
        <w:rPr>
          <w:rFonts w:ascii="Times New Roman" w:hAnsi="Times New Roman"/>
          <w:sz w:val="22"/>
          <w:szCs w:val="22"/>
          <w:lang w:val="sk-SK"/>
        </w:rPr>
        <w:t>+</w:t>
      </w:r>
      <w:r w:rsidRPr="0046669C">
        <w:rPr>
          <w:rFonts w:ascii="Times New Roman" w:hAnsi="Times New Roman"/>
          <w:sz w:val="22"/>
          <w:szCs w:val="22"/>
          <w:lang w:val="sk-SK"/>
        </w:rPr>
        <w:t>49 4537 7070089</w:t>
      </w:r>
    </w:p>
    <w:p w14:paraId="4A5E3F4D" w14:textId="77777777" w:rsidR="00E57A33" w:rsidRPr="0046669C" w:rsidRDefault="00E57A33" w:rsidP="0091600A">
      <w:pPr>
        <w:pStyle w:val="Obyajntext"/>
        <w:rPr>
          <w:rFonts w:ascii="Times New Roman" w:hAnsi="Times New Roman"/>
          <w:color w:val="000000"/>
          <w:sz w:val="22"/>
          <w:szCs w:val="22"/>
          <w:lang w:val="sk-SK"/>
        </w:rPr>
      </w:pPr>
    </w:p>
    <w:p w14:paraId="1CAF3AD3" w14:textId="77777777" w:rsidR="00003F67" w:rsidRPr="0046669C" w:rsidRDefault="00003F67" w:rsidP="0091600A">
      <w:pPr>
        <w:pStyle w:val="Obyajntext"/>
        <w:rPr>
          <w:rFonts w:ascii="Times New Roman" w:hAnsi="Times New Roman"/>
          <w:color w:val="000000"/>
          <w:sz w:val="22"/>
          <w:szCs w:val="22"/>
          <w:lang w:val="sk-SK"/>
        </w:rPr>
      </w:pPr>
    </w:p>
    <w:p w14:paraId="09707FEE" w14:textId="77777777" w:rsidR="00E57A33" w:rsidRPr="0046669C" w:rsidRDefault="00E57A33" w:rsidP="00E57A33">
      <w:pPr>
        <w:rPr>
          <w:b/>
          <w:noProof/>
          <w:szCs w:val="22"/>
          <w:lang w:val="sk-SK"/>
        </w:rPr>
      </w:pPr>
      <w:r w:rsidRPr="0046669C">
        <w:rPr>
          <w:b/>
          <w:noProof/>
          <w:szCs w:val="22"/>
          <w:lang w:val="sk-SK"/>
        </w:rPr>
        <w:t>8.</w:t>
      </w:r>
      <w:r w:rsidRPr="0046669C">
        <w:rPr>
          <w:b/>
          <w:noProof/>
          <w:szCs w:val="22"/>
          <w:lang w:val="sk-SK"/>
        </w:rPr>
        <w:tab/>
        <w:t xml:space="preserve">REGISTRAČNÉ ČÍSLO </w:t>
      </w:r>
    </w:p>
    <w:p w14:paraId="3BE887AE" w14:textId="77777777" w:rsidR="00344FE4" w:rsidRPr="0046669C" w:rsidRDefault="00344FE4">
      <w:pPr>
        <w:pStyle w:val="Textpoznmkypodiarou"/>
        <w:numPr>
          <w:ilvl w:val="12"/>
          <w:numId w:val="0"/>
        </w:numPr>
        <w:rPr>
          <w:sz w:val="22"/>
          <w:szCs w:val="22"/>
          <w:lang w:val="sk-SK"/>
        </w:rPr>
      </w:pPr>
    </w:p>
    <w:p w14:paraId="62A9FD38" w14:textId="77777777" w:rsidR="00661D85" w:rsidRPr="0046669C" w:rsidRDefault="00661D85">
      <w:pPr>
        <w:pStyle w:val="Textpoznmkypodiarou"/>
        <w:numPr>
          <w:ilvl w:val="12"/>
          <w:numId w:val="0"/>
        </w:numPr>
        <w:rPr>
          <w:sz w:val="22"/>
          <w:szCs w:val="22"/>
          <w:lang w:val="sk-SK"/>
        </w:rPr>
      </w:pPr>
      <w:r w:rsidRPr="0046669C">
        <w:rPr>
          <w:sz w:val="22"/>
          <w:szCs w:val="22"/>
          <w:lang w:val="sk-SK"/>
        </w:rPr>
        <w:t>34/0363/03-S</w:t>
      </w:r>
    </w:p>
    <w:p w14:paraId="2E643379" w14:textId="77777777" w:rsidR="00661D85" w:rsidRPr="0046669C" w:rsidRDefault="00661D85">
      <w:pPr>
        <w:numPr>
          <w:ilvl w:val="12"/>
          <w:numId w:val="0"/>
        </w:numPr>
        <w:rPr>
          <w:b/>
          <w:sz w:val="22"/>
          <w:szCs w:val="22"/>
          <w:lang w:val="sk-SK"/>
        </w:rPr>
      </w:pPr>
    </w:p>
    <w:p w14:paraId="55177289" w14:textId="77777777" w:rsidR="00E57A33" w:rsidRPr="0046669C" w:rsidRDefault="00E57A33">
      <w:pPr>
        <w:numPr>
          <w:ilvl w:val="12"/>
          <w:numId w:val="0"/>
        </w:numPr>
        <w:rPr>
          <w:b/>
          <w:sz w:val="22"/>
          <w:szCs w:val="22"/>
          <w:lang w:val="sk-SK"/>
        </w:rPr>
      </w:pPr>
    </w:p>
    <w:p w14:paraId="7F91D9D7" w14:textId="77777777" w:rsidR="00E57A33" w:rsidRPr="0046669C" w:rsidRDefault="00E57A33" w:rsidP="00E57A33">
      <w:pPr>
        <w:rPr>
          <w:noProof/>
          <w:szCs w:val="22"/>
          <w:lang w:val="sk-SK"/>
        </w:rPr>
      </w:pPr>
      <w:r w:rsidRPr="0046669C">
        <w:rPr>
          <w:b/>
          <w:noProof/>
          <w:szCs w:val="22"/>
          <w:lang w:val="sk-SK"/>
        </w:rPr>
        <w:t>9.</w:t>
      </w:r>
      <w:r w:rsidRPr="0046669C">
        <w:rPr>
          <w:b/>
          <w:noProof/>
          <w:szCs w:val="22"/>
          <w:lang w:val="sk-SK"/>
        </w:rPr>
        <w:tab/>
        <w:t>DÁTUM PRVEJ REGISTRÁCIE/ PREDĹŽENIA REGISTRÁCIE</w:t>
      </w:r>
    </w:p>
    <w:p w14:paraId="195F18C6" w14:textId="77777777" w:rsidR="00344FE4" w:rsidRPr="0046669C" w:rsidRDefault="00344FE4" w:rsidP="00344FE4">
      <w:pPr>
        <w:numPr>
          <w:ilvl w:val="12"/>
          <w:numId w:val="0"/>
        </w:numPr>
        <w:rPr>
          <w:sz w:val="22"/>
          <w:szCs w:val="22"/>
          <w:lang w:val="sk-SK"/>
        </w:rPr>
      </w:pPr>
    </w:p>
    <w:p w14:paraId="26C35D36" w14:textId="64679411" w:rsidR="00CD790B" w:rsidRPr="0046669C" w:rsidRDefault="00CD790B" w:rsidP="00344FE4">
      <w:pPr>
        <w:numPr>
          <w:ilvl w:val="12"/>
          <w:numId w:val="0"/>
        </w:numPr>
        <w:rPr>
          <w:sz w:val="22"/>
          <w:szCs w:val="22"/>
          <w:lang w:val="sk-SK"/>
        </w:rPr>
      </w:pPr>
      <w:r w:rsidRPr="0046669C">
        <w:rPr>
          <w:sz w:val="22"/>
          <w:szCs w:val="22"/>
          <w:lang w:val="sk-SK"/>
        </w:rPr>
        <w:t xml:space="preserve">Dátum prvej registrácie: </w:t>
      </w:r>
      <w:r w:rsidR="0091600A" w:rsidRPr="0046669C">
        <w:rPr>
          <w:sz w:val="22"/>
          <w:szCs w:val="22"/>
          <w:lang w:val="sk-SK"/>
        </w:rPr>
        <w:t>19.</w:t>
      </w:r>
      <w:r w:rsidR="005E54C3" w:rsidRPr="0046669C">
        <w:rPr>
          <w:sz w:val="22"/>
          <w:szCs w:val="22"/>
          <w:lang w:val="sk-SK"/>
        </w:rPr>
        <w:t xml:space="preserve"> </w:t>
      </w:r>
      <w:r w:rsidRPr="0046669C">
        <w:rPr>
          <w:sz w:val="22"/>
          <w:szCs w:val="22"/>
          <w:lang w:val="sk-SK"/>
        </w:rPr>
        <w:t>decembr</w:t>
      </w:r>
      <w:r w:rsidR="00866966" w:rsidRPr="0046669C">
        <w:rPr>
          <w:sz w:val="22"/>
          <w:szCs w:val="22"/>
          <w:lang w:val="sk-SK"/>
        </w:rPr>
        <w:t>a</w:t>
      </w:r>
      <w:r w:rsidR="00AC0BAF" w:rsidRPr="0046669C">
        <w:rPr>
          <w:sz w:val="22"/>
          <w:szCs w:val="22"/>
          <w:lang w:val="sk-SK"/>
        </w:rPr>
        <w:t xml:space="preserve"> </w:t>
      </w:r>
      <w:r w:rsidR="0091600A" w:rsidRPr="0046669C">
        <w:rPr>
          <w:sz w:val="22"/>
          <w:szCs w:val="22"/>
          <w:lang w:val="sk-SK"/>
        </w:rPr>
        <w:t>2003</w:t>
      </w:r>
    </w:p>
    <w:p w14:paraId="70462D95" w14:textId="71EA567C" w:rsidR="00661D85" w:rsidRPr="0046669C" w:rsidRDefault="00CD790B" w:rsidP="00344FE4">
      <w:pPr>
        <w:numPr>
          <w:ilvl w:val="12"/>
          <w:numId w:val="0"/>
        </w:numPr>
        <w:rPr>
          <w:sz w:val="22"/>
          <w:szCs w:val="22"/>
          <w:lang w:val="sk-SK"/>
        </w:rPr>
      </w:pPr>
      <w:r w:rsidRPr="0046669C">
        <w:rPr>
          <w:sz w:val="22"/>
          <w:szCs w:val="22"/>
          <w:lang w:val="sk-SK"/>
        </w:rPr>
        <w:t>Dátum posledného predĺženia registrácie: 13. f</w:t>
      </w:r>
      <w:r w:rsidR="00431286" w:rsidRPr="0046669C">
        <w:rPr>
          <w:sz w:val="22"/>
          <w:szCs w:val="22"/>
          <w:lang w:val="sk-SK"/>
        </w:rPr>
        <w:t>ebruár</w:t>
      </w:r>
      <w:r w:rsidR="00866966" w:rsidRPr="0046669C">
        <w:rPr>
          <w:sz w:val="22"/>
          <w:szCs w:val="22"/>
          <w:lang w:val="sk-SK"/>
        </w:rPr>
        <w:t>a</w:t>
      </w:r>
      <w:r w:rsidR="00431286" w:rsidRPr="0046669C">
        <w:rPr>
          <w:sz w:val="22"/>
          <w:szCs w:val="22"/>
          <w:lang w:val="sk-SK"/>
        </w:rPr>
        <w:t xml:space="preserve"> 2009</w:t>
      </w:r>
    </w:p>
    <w:p w14:paraId="4F4F9C2C" w14:textId="40564BE2" w:rsidR="00661D85" w:rsidRPr="0046669C" w:rsidRDefault="00661D85">
      <w:pPr>
        <w:numPr>
          <w:ilvl w:val="12"/>
          <w:numId w:val="0"/>
        </w:numPr>
        <w:rPr>
          <w:sz w:val="22"/>
          <w:szCs w:val="22"/>
          <w:lang w:val="sk-SK"/>
        </w:rPr>
      </w:pPr>
    </w:p>
    <w:p w14:paraId="3C272551" w14:textId="4948BB36" w:rsidR="00E57A33" w:rsidRPr="0046669C" w:rsidRDefault="00E57A33">
      <w:pPr>
        <w:numPr>
          <w:ilvl w:val="12"/>
          <w:numId w:val="0"/>
        </w:numPr>
        <w:rPr>
          <w:sz w:val="22"/>
          <w:szCs w:val="22"/>
          <w:lang w:val="sk-SK"/>
        </w:rPr>
      </w:pPr>
    </w:p>
    <w:p w14:paraId="44CF6C64" w14:textId="186F6A15" w:rsidR="00E57A33" w:rsidRPr="0046669C" w:rsidRDefault="00E57A33" w:rsidP="00E57A33">
      <w:pPr>
        <w:rPr>
          <w:b/>
          <w:noProof/>
          <w:szCs w:val="22"/>
          <w:lang w:val="sk-SK"/>
        </w:rPr>
      </w:pPr>
      <w:r w:rsidRPr="0046669C">
        <w:rPr>
          <w:b/>
          <w:noProof/>
          <w:szCs w:val="22"/>
          <w:lang w:val="sk-SK"/>
        </w:rPr>
        <w:t>10.</w:t>
      </w:r>
      <w:r w:rsidRPr="0046669C">
        <w:rPr>
          <w:b/>
          <w:noProof/>
          <w:szCs w:val="22"/>
          <w:lang w:val="sk-SK"/>
        </w:rPr>
        <w:tab/>
        <w:t>DÁTUM REVÍZIE TEXTU</w:t>
      </w:r>
    </w:p>
    <w:p w14:paraId="647E1B9B" w14:textId="77777777" w:rsidR="00E57A33" w:rsidRPr="0046669C" w:rsidRDefault="00E57A33">
      <w:pPr>
        <w:numPr>
          <w:ilvl w:val="12"/>
          <w:numId w:val="0"/>
        </w:numPr>
        <w:rPr>
          <w:sz w:val="22"/>
          <w:szCs w:val="22"/>
          <w:lang w:val="sk-SK"/>
        </w:rPr>
      </w:pPr>
    </w:p>
    <w:p w14:paraId="17DE0331" w14:textId="3403A3DA" w:rsidR="00CE4EBB" w:rsidRPr="0046669C" w:rsidRDefault="00F05AC7">
      <w:pPr>
        <w:rPr>
          <w:sz w:val="22"/>
          <w:szCs w:val="22"/>
          <w:lang w:val="sk-SK"/>
        </w:rPr>
      </w:pPr>
      <w:r>
        <w:rPr>
          <w:sz w:val="22"/>
          <w:szCs w:val="22"/>
          <w:lang w:val="sk-SK"/>
        </w:rPr>
        <w:t>12</w:t>
      </w:r>
      <w:r w:rsidR="007519B3" w:rsidRPr="0046669C">
        <w:rPr>
          <w:sz w:val="22"/>
          <w:szCs w:val="22"/>
          <w:lang w:val="sk-SK"/>
        </w:rPr>
        <w:t>/2019</w:t>
      </w:r>
    </w:p>
    <w:p w14:paraId="3B2D2A5F" w14:textId="77777777" w:rsidR="00CE4EBB" w:rsidRPr="0046669C" w:rsidRDefault="00CE4EBB">
      <w:pPr>
        <w:rPr>
          <w:sz w:val="22"/>
          <w:szCs w:val="22"/>
          <w:lang w:val="sk-SK"/>
        </w:rPr>
      </w:pPr>
    </w:p>
    <w:p w14:paraId="4EBF417F" w14:textId="77777777" w:rsidR="00CE4EBB" w:rsidRPr="0046669C" w:rsidRDefault="00CE4EBB">
      <w:pPr>
        <w:rPr>
          <w:sz w:val="22"/>
          <w:szCs w:val="22"/>
          <w:lang w:val="sk-SK"/>
        </w:rPr>
      </w:pPr>
    </w:p>
    <w:sectPr w:rsidR="00CE4EBB" w:rsidRPr="0046669C" w:rsidSect="008B3F88">
      <w:headerReference w:type="default" r:id="rId9"/>
      <w:footerReference w:type="even" r:id="rId10"/>
      <w:footerReference w:type="default" r:id="rId11"/>
      <w:headerReference w:type="first" r:id="rId12"/>
      <w:footerReference w:type="first" r:id="rId13"/>
      <w:pgSz w:w="11907" w:h="16840" w:code="9"/>
      <w:pgMar w:top="1134" w:right="1418" w:bottom="1134" w:left="1418" w:header="0" w:footer="454"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32D3C8" w14:textId="77777777" w:rsidR="0001781A" w:rsidRDefault="0001781A">
      <w:r>
        <w:separator/>
      </w:r>
    </w:p>
  </w:endnote>
  <w:endnote w:type="continuationSeparator" w:id="0">
    <w:p w14:paraId="79D91FAD" w14:textId="77777777" w:rsidR="0001781A" w:rsidRDefault="0001781A">
      <w:r>
        <w:continuationSeparator/>
      </w:r>
    </w:p>
  </w:endnote>
  <w:endnote w:type="continuationNotice" w:id="1">
    <w:p w14:paraId="54677AF4" w14:textId="77777777" w:rsidR="0001781A" w:rsidRDefault="000178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1584A7" w14:textId="77777777" w:rsidR="0001781A" w:rsidRDefault="0001781A">
    <w:pPr>
      <w:pStyle w:val="Pta"/>
      <w:framePr w:wrap="around" w:vAnchor="text" w:hAnchor="margin" w:xAlign="center" w:y="1"/>
      <w:rPr>
        <w:rStyle w:val="slostrany"/>
      </w:rPr>
    </w:pPr>
    <w:r>
      <w:rPr>
        <w:rStyle w:val="slostrany"/>
      </w:rPr>
      <w:fldChar w:fldCharType="begin"/>
    </w:r>
    <w:r>
      <w:rPr>
        <w:rStyle w:val="slostrany"/>
      </w:rPr>
      <w:instrText xml:space="preserve">PAGE  </w:instrText>
    </w:r>
    <w:r>
      <w:rPr>
        <w:rStyle w:val="slostrany"/>
      </w:rPr>
      <w:fldChar w:fldCharType="end"/>
    </w:r>
  </w:p>
  <w:p w14:paraId="418ED269" w14:textId="77777777" w:rsidR="0001781A" w:rsidRDefault="0001781A">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7CC01" w14:textId="77777777" w:rsidR="0001781A" w:rsidRPr="00F034D4" w:rsidRDefault="0001781A">
    <w:pPr>
      <w:pStyle w:val="Pta"/>
      <w:framePr w:wrap="around" w:vAnchor="text" w:hAnchor="margin" w:xAlign="center" w:y="1"/>
      <w:rPr>
        <w:rStyle w:val="slostrany"/>
        <w:sz w:val="18"/>
        <w:szCs w:val="18"/>
      </w:rPr>
    </w:pPr>
    <w:r w:rsidRPr="00F034D4">
      <w:rPr>
        <w:rStyle w:val="slostrany"/>
        <w:sz w:val="18"/>
        <w:szCs w:val="18"/>
      </w:rPr>
      <w:fldChar w:fldCharType="begin"/>
    </w:r>
    <w:r w:rsidRPr="00F034D4">
      <w:rPr>
        <w:rStyle w:val="slostrany"/>
        <w:sz w:val="18"/>
        <w:szCs w:val="18"/>
      </w:rPr>
      <w:instrText xml:space="preserve">PAGE  </w:instrText>
    </w:r>
    <w:r w:rsidRPr="00F034D4">
      <w:rPr>
        <w:rStyle w:val="slostrany"/>
        <w:sz w:val="18"/>
        <w:szCs w:val="18"/>
      </w:rPr>
      <w:fldChar w:fldCharType="separate"/>
    </w:r>
    <w:r w:rsidR="008B3F88">
      <w:rPr>
        <w:rStyle w:val="slostrany"/>
        <w:noProof/>
        <w:sz w:val="18"/>
        <w:szCs w:val="18"/>
      </w:rPr>
      <w:t>2</w:t>
    </w:r>
    <w:r w:rsidRPr="00F034D4">
      <w:rPr>
        <w:rStyle w:val="slostrany"/>
        <w:sz w:val="18"/>
        <w:szCs w:val="18"/>
      </w:rPr>
      <w:fldChar w:fldCharType="end"/>
    </w:r>
  </w:p>
  <w:p w14:paraId="16CA2C77" w14:textId="77777777" w:rsidR="0001781A" w:rsidRDefault="0001781A">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766108678"/>
      <w:docPartObj>
        <w:docPartGallery w:val="Page Numbers (Bottom of Page)"/>
        <w:docPartUnique/>
      </w:docPartObj>
    </w:sdtPr>
    <w:sdtEndPr/>
    <w:sdtContent>
      <w:p w14:paraId="7F2A8888" w14:textId="214379C0" w:rsidR="0001781A" w:rsidRPr="00F034D4" w:rsidRDefault="0001781A">
        <w:pPr>
          <w:pStyle w:val="Pta"/>
          <w:jc w:val="center"/>
          <w:rPr>
            <w:sz w:val="18"/>
            <w:szCs w:val="18"/>
          </w:rPr>
        </w:pPr>
        <w:r w:rsidRPr="00F034D4">
          <w:rPr>
            <w:sz w:val="18"/>
            <w:szCs w:val="18"/>
          </w:rPr>
          <w:fldChar w:fldCharType="begin"/>
        </w:r>
        <w:r w:rsidRPr="00F034D4">
          <w:rPr>
            <w:sz w:val="18"/>
            <w:szCs w:val="18"/>
          </w:rPr>
          <w:instrText>PAGE   \* MERGEFORMAT</w:instrText>
        </w:r>
        <w:r w:rsidRPr="00F034D4">
          <w:rPr>
            <w:sz w:val="18"/>
            <w:szCs w:val="18"/>
          </w:rPr>
          <w:fldChar w:fldCharType="separate"/>
        </w:r>
        <w:r w:rsidRPr="0061789F">
          <w:rPr>
            <w:noProof/>
            <w:sz w:val="18"/>
            <w:szCs w:val="18"/>
            <w:lang w:val="sk-SK"/>
          </w:rPr>
          <w:t>1</w:t>
        </w:r>
        <w:r w:rsidRPr="00F034D4">
          <w:rPr>
            <w:sz w:val="18"/>
            <w:szCs w:val="18"/>
          </w:rPr>
          <w:fldChar w:fldCharType="end"/>
        </w:r>
      </w:p>
    </w:sdtContent>
  </w:sdt>
  <w:p w14:paraId="3D2EE356" w14:textId="77777777" w:rsidR="0001781A" w:rsidRDefault="0001781A">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26C43F" w14:textId="77777777" w:rsidR="0001781A" w:rsidRDefault="0001781A">
      <w:r>
        <w:separator/>
      </w:r>
    </w:p>
  </w:footnote>
  <w:footnote w:type="continuationSeparator" w:id="0">
    <w:p w14:paraId="40396490" w14:textId="77777777" w:rsidR="0001781A" w:rsidRDefault="0001781A">
      <w:r>
        <w:continuationSeparator/>
      </w:r>
    </w:p>
  </w:footnote>
  <w:footnote w:type="continuationNotice" w:id="1">
    <w:p w14:paraId="7B19C058" w14:textId="77777777" w:rsidR="0001781A" w:rsidRDefault="0001781A"/>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B90C1A" w14:textId="77777777" w:rsidR="0001781A" w:rsidRDefault="0001781A">
    <w:pPr>
      <w:pStyle w:val="Hlavika"/>
      <w:rPr>
        <w:lang w:val="sk-SK"/>
      </w:rPr>
    </w:pPr>
  </w:p>
  <w:p w14:paraId="46AFE017" w14:textId="77777777" w:rsidR="0001781A" w:rsidRDefault="0001781A" w:rsidP="00A32082">
    <w:pPr>
      <w:pStyle w:val="Hlavika"/>
      <w:rPr>
        <w:sz w:val="18"/>
        <w:szCs w:val="18"/>
        <w:lang w:val="sk-SK"/>
      </w:rPr>
    </w:pPr>
    <w:r>
      <w:rPr>
        <w:sz w:val="18"/>
        <w:szCs w:val="18"/>
        <w:lang w:val="sk-SK"/>
      </w:rPr>
      <w:t>Schválený text k rozhodnutiu o zmene, ev. č.: 2017/04118-ZME</w:t>
    </w:r>
  </w:p>
  <w:p w14:paraId="6434BF39" w14:textId="77777777" w:rsidR="0001781A" w:rsidRDefault="0001781A" w:rsidP="00A32082">
    <w:pPr>
      <w:pStyle w:val="Hlavika"/>
      <w:rPr>
        <w:sz w:val="18"/>
        <w:szCs w:val="18"/>
        <w:lang w:val="sk-SK"/>
      </w:rPr>
    </w:pPr>
    <w:r>
      <w:rPr>
        <w:sz w:val="18"/>
        <w:szCs w:val="18"/>
        <w:lang w:val="sk-SK"/>
      </w:rPr>
      <w:t xml:space="preserve">Príloha č.1 k notifikácii o zmene, ev. č.: 2019/06233-Z1A </w:t>
    </w:r>
  </w:p>
  <w:p w14:paraId="1AB9BEB7" w14:textId="6A3CF36C" w:rsidR="0001781A" w:rsidRPr="00F034D4" w:rsidRDefault="0001781A" w:rsidP="00A32082">
    <w:pPr>
      <w:pStyle w:val="Hlavika"/>
      <w:rPr>
        <w:sz w:val="18"/>
        <w:szCs w:val="18"/>
        <w:lang w:val="sk-SK"/>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5DEA0F" w14:textId="77777777" w:rsidR="0001781A" w:rsidRDefault="0001781A" w:rsidP="003C5E3C">
    <w:pPr>
      <w:pStyle w:val="Hlavika"/>
      <w:rPr>
        <w:sz w:val="18"/>
        <w:szCs w:val="18"/>
        <w:lang w:val="sk-SK"/>
      </w:rPr>
    </w:pPr>
  </w:p>
  <w:p w14:paraId="56E92507" w14:textId="77777777" w:rsidR="0001781A" w:rsidRDefault="0001781A" w:rsidP="003C5E3C">
    <w:pPr>
      <w:pStyle w:val="Hlavika"/>
      <w:rPr>
        <w:sz w:val="18"/>
        <w:szCs w:val="18"/>
        <w:lang w:val="sk-SK"/>
      </w:rPr>
    </w:pPr>
  </w:p>
  <w:p w14:paraId="30FEA9E8" w14:textId="5CCE54ED" w:rsidR="0001781A" w:rsidRDefault="0001781A" w:rsidP="003C5E3C">
    <w:pPr>
      <w:pStyle w:val="Hlavika"/>
      <w:rPr>
        <w:sz w:val="18"/>
        <w:szCs w:val="18"/>
        <w:lang w:val="sk-SK"/>
      </w:rPr>
    </w:pPr>
    <w:r>
      <w:rPr>
        <w:sz w:val="18"/>
        <w:szCs w:val="18"/>
        <w:lang w:val="sk-SK"/>
      </w:rPr>
      <w:t>Schválený text k rozhodnutiu o zmene, ev. č.: 2017/04118-ZME</w:t>
    </w:r>
  </w:p>
  <w:p w14:paraId="6AAAB352" w14:textId="7AB6D37A" w:rsidR="0001781A" w:rsidRDefault="0001781A" w:rsidP="003C5E3C">
    <w:pPr>
      <w:pStyle w:val="Hlavika"/>
      <w:rPr>
        <w:sz w:val="18"/>
        <w:szCs w:val="18"/>
        <w:lang w:val="sk-SK"/>
      </w:rPr>
    </w:pPr>
    <w:r>
      <w:rPr>
        <w:sz w:val="18"/>
        <w:szCs w:val="18"/>
        <w:lang w:val="sk-SK"/>
      </w:rPr>
      <w:t xml:space="preserve">Príloha č.1 k notifikácii o zmene, ev. č.: 2019/06233-Z1A </w:t>
    </w:r>
  </w:p>
  <w:p w14:paraId="0FF4CCB5" w14:textId="0AB1AE8D" w:rsidR="0001781A" w:rsidRPr="00D34931" w:rsidRDefault="0001781A" w:rsidP="003C5E3C">
    <w:pPr>
      <w:pStyle w:val="Hlavika"/>
      <w:rPr>
        <w:sz w:val="18"/>
        <w:szCs w:val="18"/>
        <w:lang w:val="sk-SK"/>
      </w:rPr>
    </w:pPr>
  </w:p>
  <w:p w14:paraId="305524A7" w14:textId="77777777" w:rsidR="0001781A" w:rsidRDefault="0001781A" w:rsidP="002F48BE">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62C6F"/>
    <w:multiLevelType w:val="singleLevel"/>
    <w:tmpl w:val="DE4A6AC0"/>
    <w:lvl w:ilvl="0">
      <w:start w:val="7"/>
      <w:numFmt w:val="decimal"/>
      <w:lvlText w:val="%1. "/>
      <w:legacy w:legacy="1" w:legacySpace="0" w:legacyIndent="283"/>
      <w:lvlJc w:val="left"/>
      <w:pPr>
        <w:ind w:left="283" w:hanging="283"/>
      </w:pPr>
      <w:rPr>
        <w:b/>
        <w:i w:val="0"/>
        <w:sz w:val="24"/>
      </w:rPr>
    </w:lvl>
  </w:abstractNum>
  <w:abstractNum w:abstractNumId="1" w15:restartNumberingAfterBreak="0">
    <w:nsid w:val="0EAC117F"/>
    <w:multiLevelType w:val="singleLevel"/>
    <w:tmpl w:val="9560FCBA"/>
    <w:lvl w:ilvl="0">
      <w:numFmt w:val="bullet"/>
      <w:lvlText w:val="-"/>
      <w:lvlJc w:val="left"/>
      <w:pPr>
        <w:tabs>
          <w:tab w:val="num" w:pos="360"/>
        </w:tabs>
        <w:ind w:left="360" w:hanging="360"/>
      </w:pPr>
      <w:rPr>
        <w:rFonts w:hint="default"/>
        <w:b/>
      </w:rPr>
    </w:lvl>
  </w:abstractNum>
  <w:abstractNum w:abstractNumId="2" w15:restartNumberingAfterBreak="0">
    <w:nsid w:val="11581088"/>
    <w:multiLevelType w:val="singleLevel"/>
    <w:tmpl w:val="7AC421B8"/>
    <w:lvl w:ilvl="0">
      <w:start w:val="4"/>
      <w:numFmt w:val="bullet"/>
      <w:lvlText w:val="-"/>
      <w:lvlJc w:val="left"/>
      <w:pPr>
        <w:tabs>
          <w:tab w:val="num" w:pos="360"/>
        </w:tabs>
        <w:ind w:left="360" w:hanging="360"/>
      </w:pPr>
      <w:rPr>
        <w:rFonts w:hint="default"/>
      </w:rPr>
    </w:lvl>
  </w:abstractNum>
  <w:abstractNum w:abstractNumId="3" w15:restartNumberingAfterBreak="0">
    <w:nsid w:val="129476ED"/>
    <w:multiLevelType w:val="singleLevel"/>
    <w:tmpl w:val="521EE1B0"/>
    <w:lvl w:ilvl="0">
      <w:start w:val="6"/>
      <w:numFmt w:val="decimal"/>
      <w:lvlText w:val="%1. "/>
      <w:legacy w:legacy="1" w:legacySpace="0" w:legacyIndent="283"/>
      <w:lvlJc w:val="left"/>
      <w:pPr>
        <w:ind w:left="283" w:hanging="283"/>
      </w:pPr>
      <w:rPr>
        <w:b/>
        <w:i w:val="0"/>
        <w:sz w:val="24"/>
      </w:rPr>
    </w:lvl>
  </w:abstractNum>
  <w:abstractNum w:abstractNumId="4" w15:restartNumberingAfterBreak="0">
    <w:nsid w:val="22A55626"/>
    <w:multiLevelType w:val="multilevel"/>
    <w:tmpl w:val="4B265CE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24E46944"/>
    <w:multiLevelType w:val="multilevel"/>
    <w:tmpl w:val="A834525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6" w15:restartNumberingAfterBreak="0">
    <w:nsid w:val="28207E0F"/>
    <w:multiLevelType w:val="singleLevel"/>
    <w:tmpl w:val="9560FCBA"/>
    <w:lvl w:ilvl="0">
      <w:numFmt w:val="bullet"/>
      <w:lvlText w:val="-"/>
      <w:lvlJc w:val="left"/>
      <w:pPr>
        <w:tabs>
          <w:tab w:val="num" w:pos="360"/>
        </w:tabs>
        <w:ind w:left="360" w:hanging="360"/>
      </w:pPr>
      <w:rPr>
        <w:rFonts w:hint="default"/>
        <w:b/>
      </w:rPr>
    </w:lvl>
  </w:abstractNum>
  <w:abstractNum w:abstractNumId="7" w15:restartNumberingAfterBreak="0">
    <w:nsid w:val="484714E4"/>
    <w:multiLevelType w:val="singleLevel"/>
    <w:tmpl w:val="2F86B0AA"/>
    <w:lvl w:ilvl="0">
      <w:start w:val="1"/>
      <w:numFmt w:val="decimal"/>
      <w:lvlText w:val="%1. "/>
      <w:legacy w:legacy="1" w:legacySpace="0" w:legacyIndent="283"/>
      <w:lvlJc w:val="left"/>
      <w:pPr>
        <w:ind w:left="283" w:hanging="283"/>
      </w:pPr>
      <w:rPr>
        <w:b/>
        <w:i w:val="0"/>
        <w:sz w:val="24"/>
      </w:rPr>
    </w:lvl>
  </w:abstractNum>
  <w:abstractNum w:abstractNumId="8" w15:restartNumberingAfterBreak="0">
    <w:nsid w:val="539551C7"/>
    <w:multiLevelType w:val="multilevel"/>
    <w:tmpl w:val="F2E28A7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F632691"/>
    <w:multiLevelType w:val="multilevel"/>
    <w:tmpl w:val="A8345254"/>
    <w:lvl w:ilvl="0">
      <w:start w:val="5"/>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0" w15:restartNumberingAfterBreak="0">
    <w:nsid w:val="5FE5318A"/>
    <w:multiLevelType w:val="multilevel"/>
    <w:tmpl w:val="6F7A023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6F096DD4"/>
    <w:multiLevelType w:val="singleLevel"/>
    <w:tmpl w:val="7AA6CC90"/>
    <w:lvl w:ilvl="0">
      <w:start w:val="1"/>
      <w:numFmt w:val="decimal"/>
      <w:lvlText w:val="5.%1. "/>
      <w:legacy w:legacy="1" w:legacySpace="0" w:legacyIndent="283"/>
      <w:lvlJc w:val="left"/>
      <w:pPr>
        <w:ind w:left="283" w:hanging="283"/>
      </w:pPr>
      <w:rPr>
        <w:b/>
        <w:i w:val="0"/>
        <w:sz w:val="24"/>
      </w:rPr>
    </w:lvl>
  </w:abstractNum>
  <w:abstractNum w:abstractNumId="12" w15:restartNumberingAfterBreak="0">
    <w:nsid w:val="70A65713"/>
    <w:multiLevelType w:val="singleLevel"/>
    <w:tmpl w:val="7408F380"/>
    <w:lvl w:ilvl="0">
      <w:start w:val="1"/>
      <w:numFmt w:val="decimal"/>
      <w:lvlText w:val="6.%1. "/>
      <w:legacy w:legacy="1" w:legacySpace="0" w:legacyIndent="283"/>
      <w:lvlJc w:val="left"/>
      <w:pPr>
        <w:ind w:left="283" w:hanging="283"/>
      </w:pPr>
      <w:rPr>
        <w:b/>
        <w:i w:val="0"/>
        <w:sz w:val="24"/>
      </w:rPr>
    </w:lvl>
  </w:abstractNum>
  <w:abstractNum w:abstractNumId="13" w15:restartNumberingAfterBreak="0">
    <w:nsid w:val="71476F68"/>
    <w:multiLevelType w:val="singleLevel"/>
    <w:tmpl w:val="7374A09E"/>
    <w:lvl w:ilvl="0">
      <w:start w:val="4"/>
      <w:numFmt w:val="bullet"/>
      <w:lvlText w:val="-"/>
      <w:lvlJc w:val="left"/>
      <w:pPr>
        <w:tabs>
          <w:tab w:val="num" w:pos="360"/>
        </w:tabs>
        <w:ind w:left="360" w:hanging="360"/>
      </w:pPr>
      <w:rPr>
        <w:rFonts w:hint="default"/>
      </w:rPr>
    </w:lvl>
  </w:abstractNum>
  <w:abstractNum w:abstractNumId="14" w15:restartNumberingAfterBreak="0">
    <w:nsid w:val="7C871836"/>
    <w:multiLevelType w:val="hybridMultilevel"/>
    <w:tmpl w:val="CE44C24E"/>
    <w:lvl w:ilvl="0" w:tplc="4D5C568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3"/>
  </w:num>
  <w:num w:numId="4">
    <w:abstractNumId w:val="12"/>
  </w:num>
  <w:num w:numId="5">
    <w:abstractNumId w:val="0"/>
  </w:num>
  <w:num w:numId="6">
    <w:abstractNumId w:val="0"/>
    <w:lvlOverride w:ilvl="0">
      <w:lvl w:ilvl="0">
        <w:start w:val="1"/>
        <w:numFmt w:val="decimal"/>
        <w:lvlText w:val="%1. "/>
        <w:legacy w:legacy="1" w:legacySpace="0" w:legacyIndent="283"/>
        <w:lvlJc w:val="left"/>
        <w:pPr>
          <w:ind w:left="283" w:hanging="283"/>
        </w:pPr>
        <w:rPr>
          <w:b/>
          <w:i w:val="0"/>
          <w:color w:val="000000"/>
          <w:sz w:val="24"/>
        </w:rPr>
      </w:lvl>
    </w:lvlOverride>
  </w:num>
  <w:num w:numId="7">
    <w:abstractNumId w:val="13"/>
  </w:num>
  <w:num w:numId="8">
    <w:abstractNumId w:val="10"/>
  </w:num>
  <w:num w:numId="9">
    <w:abstractNumId w:val="4"/>
  </w:num>
  <w:num w:numId="10">
    <w:abstractNumId w:val="6"/>
  </w:num>
  <w:num w:numId="11">
    <w:abstractNumId w:val="1"/>
  </w:num>
  <w:num w:numId="12">
    <w:abstractNumId w:val="2"/>
  </w:num>
  <w:num w:numId="13">
    <w:abstractNumId w:val="8"/>
  </w:num>
  <w:num w:numId="14">
    <w:abstractNumId w:val="9"/>
  </w:num>
  <w:num w:numId="15">
    <w:abstractNumId w:val="5"/>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9C7"/>
    <w:rsid w:val="00003F67"/>
    <w:rsid w:val="00016F9B"/>
    <w:rsid w:val="000172BB"/>
    <w:rsid w:val="0001781A"/>
    <w:rsid w:val="00020653"/>
    <w:rsid w:val="00033D3E"/>
    <w:rsid w:val="00044DDE"/>
    <w:rsid w:val="00045916"/>
    <w:rsid w:val="00047B0D"/>
    <w:rsid w:val="0005450F"/>
    <w:rsid w:val="00057B03"/>
    <w:rsid w:val="0006260F"/>
    <w:rsid w:val="00064463"/>
    <w:rsid w:val="00066511"/>
    <w:rsid w:val="00070628"/>
    <w:rsid w:val="00072EC7"/>
    <w:rsid w:val="00082603"/>
    <w:rsid w:val="00097BF6"/>
    <w:rsid w:val="000B2E95"/>
    <w:rsid w:val="000C5084"/>
    <w:rsid w:val="000C789C"/>
    <w:rsid w:val="000E0D2B"/>
    <w:rsid w:val="000E6AD1"/>
    <w:rsid w:val="000F038A"/>
    <w:rsid w:val="000F4D21"/>
    <w:rsid w:val="001016C4"/>
    <w:rsid w:val="00104812"/>
    <w:rsid w:val="00110A58"/>
    <w:rsid w:val="0011276F"/>
    <w:rsid w:val="001139CA"/>
    <w:rsid w:val="00114383"/>
    <w:rsid w:val="00115FF8"/>
    <w:rsid w:val="0011647F"/>
    <w:rsid w:val="001428B4"/>
    <w:rsid w:val="00144F4A"/>
    <w:rsid w:val="00146D07"/>
    <w:rsid w:val="0015296F"/>
    <w:rsid w:val="00160AC6"/>
    <w:rsid w:val="00162004"/>
    <w:rsid w:val="0016451B"/>
    <w:rsid w:val="0016545E"/>
    <w:rsid w:val="001671DC"/>
    <w:rsid w:val="001709FD"/>
    <w:rsid w:val="0017191F"/>
    <w:rsid w:val="00172926"/>
    <w:rsid w:val="001756E1"/>
    <w:rsid w:val="001A7B81"/>
    <w:rsid w:val="001C05D0"/>
    <w:rsid w:val="001C1F2B"/>
    <w:rsid w:val="001D3313"/>
    <w:rsid w:val="001D447E"/>
    <w:rsid w:val="001D5729"/>
    <w:rsid w:val="001E0900"/>
    <w:rsid w:val="001E2D0F"/>
    <w:rsid w:val="001F3B97"/>
    <w:rsid w:val="001F5BB4"/>
    <w:rsid w:val="002027F9"/>
    <w:rsid w:val="00203620"/>
    <w:rsid w:val="00204B3C"/>
    <w:rsid w:val="002051FD"/>
    <w:rsid w:val="00217A25"/>
    <w:rsid w:val="00225F83"/>
    <w:rsid w:val="002273D1"/>
    <w:rsid w:val="00227511"/>
    <w:rsid w:val="0022751C"/>
    <w:rsid w:val="00227BD7"/>
    <w:rsid w:val="00230880"/>
    <w:rsid w:val="00232500"/>
    <w:rsid w:val="0023592C"/>
    <w:rsid w:val="00241F04"/>
    <w:rsid w:val="002435FB"/>
    <w:rsid w:val="00265351"/>
    <w:rsid w:val="00270017"/>
    <w:rsid w:val="002701B4"/>
    <w:rsid w:val="00270323"/>
    <w:rsid w:val="002904F9"/>
    <w:rsid w:val="00296F62"/>
    <w:rsid w:val="002A3A93"/>
    <w:rsid w:val="002B5CAB"/>
    <w:rsid w:val="002B7898"/>
    <w:rsid w:val="002C33A0"/>
    <w:rsid w:val="002C49C3"/>
    <w:rsid w:val="002C7E1C"/>
    <w:rsid w:val="002D77F2"/>
    <w:rsid w:val="002E1BE5"/>
    <w:rsid w:val="002E58C7"/>
    <w:rsid w:val="002F10AA"/>
    <w:rsid w:val="002F263F"/>
    <w:rsid w:val="002F48BE"/>
    <w:rsid w:val="003007AE"/>
    <w:rsid w:val="00300811"/>
    <w:rsid w:val="003055C5"/>
    <w:rsid w:val="00314264"/>
    <w:rsid w:val="00321E12"/>
    <w:rsid w:val="00322CF5"/>
    <w:rsid w:val="003305D3"/>
    <w:rsid w:val="00334EF0"/>
    <w:rsid w:val="00335928"/>
    <w:rsid w:val="00344ACB"/>
    <w:rsid w:val="00344FE4"/>
    <w:rsid w:val="00351D90"/>
    <w:rsid w:val="00356194"/>
    <w:rsid w:val="00360F1C"/>
    <w:rsid w:val="003672C3"/>
    <w:rsid w:val="00372EAF"/>
    <w:rsid w:val="00373638"/>
    <w:rsid w:val="003772DB"/>
    <w:rsid w:val="00381E61"/>
    <w:rsid w:val="003874F7"/>
    <w:rsid w:val="00387583"/>
    <w:rsid w:val="003950D9"/>
    <w:rsid w:val="003A28CE"/>
    <w:rsid w:val="003A5B43"/>
    <w:rsid w:val="003B0191"/>
    <w:rsid w:val="003B5FC7"/>
    <w:rsid w:val="003B6A1F"/>
    <w:rsid w:val="003C2AAC"/>
    <w:rsid w:val="003C3207"/>
    <w:rsid w:val="003C3DDE"/>
    <w:rsid w:val="003C4D04"/>
    <w:rsid w:val="003C5E3C"/>
    <w:rsid w:val="003D5437"/>
    <w:rsid w:val="003F3A9B"/>
    <w:rsid w:val="003F43AD"/>
    <w:rsid w:val="00400116"/>
    <w:rsid w:val="004078BD"/>
    <w:rsid w:val="00412BE1"/>
    <w:rsid w:val="00412DCE"/>
    <w:rsid w:val="0042657B"/>
    <w:rsid w:val="00431286"/>
    <w:rsid w:val="00456BF7"/>
    <w:rsid w:val="00463DF4"/>
    <w:rsid w:val="0046669C"/>
    <w:rsid w:val="0047213A"/>
    <w:rsid w:val="004758D9"/>
    <w:rsid w:val="00476516"/>
    <w:rsid w:val="004909E1"/>
    <w:rsid w:val="00491FD8"/>
    <w:rsid w:val="00494967"/>
    <w:rsid w:val="00496A90"/>
    <w:rsid w:val="004A6F23"/>
    <w:rsid w:val="004B3C3A"/>
    <w:rsid w:val="004B5B96"/>
    <w:rsid w:val="004B6033"/>
    <w:rsid w:val="004B7F34"/>
    <w:rsid w:val="004D3302"/>
    <w:rsid w:val="004E5B55"/>
    <w:rsid w:val="004E5F09"/>
    <w:rsid w:val="004F7326"/>
    <w:rsid w:val="00516111"/>
    <w:rsid w:val="00516C6F"/>
    <w:rsid w:val="00521FE7"/>
    <w:rsid w:val="00522F07"/>
    <w:rsid w:val="00527E93"/>
    <w:rsid w:val="005318E2"/>
    <w:rsid w:val="00531B60"/>
    <w:rsid w:val="00545CFD"/>
    <w:rsid w:val="00545FB2"/>
    <w:rsid w:val="0054616C"/>
    <w:rsid w:val="0055267F"/>
    <w:rsid w:val="00552833"/>
    <w:rsid w:val="00562950"/>
    <w:rsid w:val="00562E39"/>
    <w:rsid w:val="005634CC"/>
    <w:rsid w:val="00563743"/>
    <w:rsid w:val="00574794"/>
    <w:rsid w:val="0057482E"/>
    <w:rsid w:val="0058380C"/>
    <w:rsid w:val="00586A83"/>
    <w:rsid w:val="00593971"/>
    <w:rsid w:val="005967EB"/>
    <w:rsid w:val="005A124F"/>
    <w:rsid w:val="005A1A5F"/>
    <w:rsid w:val="005A28CE"/>
    <w:rsid w:val="005B2814"/>
    <w:rsid w:val="005C0600"/>
    <w:rsid w:val="005C23A3"/>
    <w:rsid w:val="005D64A6"/>
    <w:rsid w:val="005E04D3"/>
    <w:rsid w:val="005E1707"/>
    <w:rsid w:val="005E2715"/>
    <w:rsid w:val="005E54C3"/>
    <w:rsid w:val="005E57DD"/>
    <w:rsid w:val="005E5F30"/>
    <w:rsid w:val="005E701E"/>
    <w:rsid w:val="005F6519"/>
    <w:rsid w:val="005F6F50"/>
    <w:rsid w:val="00603D03"/>
    <w:rsid w:val="00604283"/>
    <w:rsid w:val="0061789F"/>
    <w:rsid w:val="00621A63"/>
    <w:rsid w:val="00625B2F"/>
    <w:rsid w:val="00627216"/>
    <w:rsid w:val="0063066C"/>
    <w:rsid w:val="00633E4B"/>
    <w:rsid w:val="0063798F"/>
    <w:rsid w:val="00642C8A"/>
    <w:rsid w:val="00643D77"/>
    <w:rsid w:val="006447DF"/>
    <w:rsid w:val="00645F4C"/>
    <w:rsid w:val="0064747F"/>
    <w:rsid w:val="00651039"/>
    <w:rsid w:val="00651D8C"/>
    <w:rsid w:val="006544C8"/>
    <w:rsid w:val="00661D85"/>
    <w:rsid w:val="00671E7A"/>
    <w:rsid w:val="00672F62"/>
    <w:rsid w:val="006734A7"/>
    <w:rsid w:val="0068410D"/>
    <w:rsid w:val="00684438"/>
    <w:rsid w:val="006851EA"/>
    <w:rsid w:val="00692A22"/>
    <w:rsid w:val="00694247"/>
    <w:rsid w:val="00695C74"/>
    <w:rsid w:val="00696F74"/>
    <w:rsid w:val="006A3968"/>
    <w:rsid w:val="006B27FA"/>
    <w:rsid w:val="006B4331"/>
    <w:rsid w:val="006C29A3"/>
    <w:rsid w:val="006D7A84"/>
    <w:rsid w:val="006E4605"/>
    <w:rsid w:val="006F0936"/>
    <w:rsid w:val="006F3FB6"/>
    <w:rsid w:val="00700E22"/>
    <w:rsid w:val="00702108"/>
    <w:rsid w:val="007052A2"/>
    <w:rsid w:val="007074E7"/>
    <w:rsid w:val="00710C60"/>
    <w:rsid w:val="007114D2"/>
    <w:rsid w:val="00721C70"/>
    <w:rsid w:val="00731F07"/>
    <w:rsid w:val="007362A1"/>
    <w:rsid w:val="00740E8F"/>
    <w:rsid w:val="007419FE"/>
    <w:rsid w:val="00742CAD"/>
    <w:rsid w:val="00742D75"/>
    <w:rsid w:val="007454C7"/>
    <w:rsid w:val="00747A6B"/>
    <w:rsid w:val="00750BF8"/>
    <w:rsid w:val="007519B3"/>
    <w:rsid w:val="00751D15"/>
    <w:rsid w:val="00751F42"/>
    <w:rsid w:val="00752888"/>
    <w:rsid w:val="0075415A"/>
    <w:rsid w:val="007578B6"/>
    <w:rsid w:val="00763E3B"/>
    <w:rsid w:val="007659A5"/>
    <w:rsid w:val="00770F81"/>
    <w:rsid w:val="007730AB"/>
    <w:rsid w:val="00773B90"/>
    <w:rsid w:val="00775B20"/>
    <w:rsid w:val="007806F8"/>
    <w:rsid w:val="0078403E"/>
    <w:rsid w:val="007915C6"/>
    <w:rsid w:val="007A4AB5"/>
    <w:rsid w:val="007A741F"/>
    <w:rsid w:val="007C21D1"/>
    <w:rsid w:val="007C225C"/>
    <w:rsid w:val="007C7DAC"/>
    <w:rsid w:val="007D036D"/>
    <w:rsid w:val="007E2B5F"/>
    <w:rsid w:val="007F26C1"/>
    <w:rsid w:val="00800054"/>
    <w:rsid w:val="0080411A"/>
    <w:rsid w:val="008075B4"/>
    <w:rsid w:val="0081620D"/>
    <w:rsid w:val="00816226"/>
    <w:rsid w:val="008164D7"/>
    <w:rsid w:val="008218D2"/>
    <w:rsid w:val="00821D97"/>
    <w:rsid w:val="00826D62"/>
    <w:rsid w:val="0083279A"/>
    <w:rsid w:val="0083489B"/>
    <w:rsid w:val="00835E9C"/>
    <w:rsid w:val="00835EE9"/>
    <w:rsid w:val="008473BB"/>
    <w:rsid w:val="0085628F"/>
    <w:rsid w:val="008563BA"/>
    <w:rsid w:val="0086488C"/>
    <w:rsid w:val="00864E58"/>
    <w:rsid w:val="00866966"/>
    <w:rsid w:val="00870376"/>
    <w:rsid w:val="00877FFE"/>
    <w:rsid w:val="00883395"/>
    <w:rsid w:val="00885003"/>
    <w:rsid w:val="00886220"/>
    <w:rsid w:val="00894848"/>
    <w:rsid w:val="008A1DB5"/>
    <w:rsid w:val="008A36C4"/>
    <w:rsid w:val="008A65A0"/>
    <w:rsid w:val="008A6911"/>
    <w:rsid w:val="008B1230"/>
    <w:rsid w:val="008B3F88"/>
    <w:rsid w:val="008C1F52"/>
    <w:rsid w:val="008C310C"/>
    <w:rsid w:val="008C7CDB"/>
    <w:rsid w:val="008D16F6"/>
    <w:rsid w:val="008E01A1"/>
    <w:rsid w:val="008E0DC4"/>
    <w:rsid w:val="008E6CEB"/>
    <w:rsid w:val="00900284"/>
    <w:rsid w:val="009049FA"/>
    <w:rsid w:val="00907E0D"/>
    <w:rsid w:val="00915949"/>
    <w:rsid w:val="0091600A"/>
    <w:rsid w:val="00921F29"/>
    <w:rsid w:val="00922BD3"/>
    <w:rsid w:val="00923211"/>
    <w:rsid w:val="00927402"/>
    <w:rsid w:val="00930CAD"/>
    <w:rsid w:val="00931327"/>
    <w:rsid w:val="00932A99"/>
    <w:rsid w:val="00932D34"/>
    <w:rsid w:val="0093375E"/>
    <w:rsid w:val="00941E7C"/>
    <w:rsid w:val="00942416"/>
    <w:rsid w:val="00964E89"/>
    <w:rsid w:val="00974C08"/>
    <w:rsid w:val="00974FF8"/>
    <w:rsid w:val="009842F8"/>
    <w:rsid w:val="00985358"/>
    <w:rsid w:val="00991639"/>
    <w:rsid w:val="00994A98"/>
    <w:rsid w:val="0099698D"/>
    <w:rsid w:val="00996D01"/>
    <w:rsid w:val="009B0EFE"/>
    <w:rsid w:val="009B3C5D"/>
    <w:rsid w:val="009B4C8C"/>
    <w:rsid w:val="009C138E"/>
    <w:rsid w:val="009C3969"/>
    <w:rsid w:val="009E20EB"/>
    <w:rsid w:val="009E4C13"/>
    <w:rsid w:val="009F3441"/>
    <w:rsid w:val="009F346D"/>
    <w:rsid w:val="00A2430B"/>
    <w:rsid w:val="00A262EA"/>
    <w:rsid w:val="00A27133"/>
    <w:rsid w:val="00A27D4F"/>
    <w:rsid w:val="00A32082"/>
    <w:rsid w:val="00A32E96"/>
    <w:rsid w:val="00A33CF2"/>
    <w:rsid w:val="00A35CC2"/>
    <w:rsid w:val="00A37BB4"/>
    <w:rsid w:val="00A45A21"/>
    <w:rsid w:val="00A53E14"/>
    <w:rsid w:val="00A5691A"/>
    <w:rsid w:val="00A613AE"/>
    <w:rsid w:val="00A75CC3"/>
    <w:rsid w:val="00A7786F"/>
    <w:rsid w:val="00AA2AC5"/>
    <w:rsid w:val="00AA41B3"/>
    <w:rsid w:val="00AA59B3"/>
    <w:rsid w:val="00AB5556"/>
    <w:rsid w:val="00AB6A7C"/>
    <w:rsid w:val="00AC0BAF"/>
    <w:rsid w:val="00AC2E51"/>
    <w:rsid w:val="00AC5CC6"/>
    <w:rsid w:val="00AD427D"/>
    <w:rsid w:val="00AD4653"/>
    <w:rsid w:val="00AD4D89"/>
    <w:rsid w:val="00AD4E2D"/>
    <w:rsid w:val="00AD71E2"/>
    <w:rsid w:val="00AE2753"/>
    <w:rsid w:val="00AE52D7"/>
    <w:rsid w:val="00AE63E6"/>
    <w:rsid w:val="00B06DEA"/>
    <w:rsid w:val="00B06F62"/>
    <w:rsid w:val="00B231D4"/>
    <w:rsid w:val="00B27484"/>
    <w:rsid w:val="00B27BD7"/>
    <w:rsid w:val="00B45EA7"/>
    <w:rsid w:val="00B51C81"/>
    <w:rsid w:val="00B539A1"/>
    <w:rsid w:val="00B548BC"/>
    <w:rsid w:val="00B80893"/>
    <w:rsid w:val="00B87AC8"/>
    <w:rsid w:val="00BA50AC"/>
    <w:rsid w:val="00BC1A2D"/>
    <w:rsid w:val="00BC4FB1"/>
    <w:rsid w:val="00BD593B"/>
    <w:rsid w:val="00BE677A"/>
    <w:rsid w:val="00BF1012"/>
    <w:rsid w:val="00BF6788"/>
    <w:rsid w:val="00C00BBD"/>
    <w:rsid w:val="00C00CFE"/>
    <w:rsid w:val="00C04454"/>
    <w:rsid w:val="00C04CF7"/>
    <w:rsid w:val="00C263B1"/>
    <w:rsid w:val="00C33CAB"/>
    <w:rsid w:val="00C3656D"/>
    <w:rsid w:val="00C369C5"/>
    <w:rsid w:val="00C44F57"/>
    <w:rsid w:val="00C47596"/>
    <w:rsid w:val="00C51080"/>
    <w:rsid w:val="00C536C9"/>
    <w:rsid w:val="00C56312"/>
    <w:rsid w:val="00C576E2"/>
    <w:rsid w:val="00C600FE"/>
    <w:rsid w:val="00C614CA"/>
    <w:rsid w:val="00C63571"/>
    <w:rsid w:val="00C65DBA"/>
    <w:rsid w:val="00C76B51"/>
    <w:rsid w:val="00C77712"/>
    <w:rsid w:val="00C80567"/>
    <w:rsid w:val="00C843EC"/>
    <w:rsid w:val="00C9224E"/>
    <w:rsid w:val="00C92F28"/>
    <w:rsid w:val="00CA4A4E"/>
    <w:rsid w:val="00CA7135"/>
    <w:rsid w:val="00CB0051"/>
    <w:rsid w:val="00CB3095"/>
    <w:rsid w:val="00CB3711"/>
    <w:rsid w:val="00CC2AD2"/>
    <w:rsid w:val="00CC4E67"/>
    <w:rsid w:val="00CC7C19"/>
    <w:rsid w:val="00CD1DB7"/>
    <w:rsid w:val="00CD39E3"/>
    <w:rsid w:val="00CD402D"/>
    <w:rsid w:val="00CD790B"/>
    <w:rsid w:val="00CE19C7"/>
    <w:rsid w:val="00CE2B40"/>
    <w:rsid w:val="00CE4EBB"/>
    <w:rsid w:val="00CF331A"/>
    <w:rsid w:val="00CF39D9"/>
    <w:rsid w:val="00CF7BC5"/>
    <w:rsid w:val="00D01602"/>
    <w:rsid w:val="00D02F3E"/>
    <w:rsid w:val="00D03D27"/>
    <w:rsid w:val="00D06820"/>
    <w:rsid w:val="00D14C96"/>
    <w:rsid w:val="00D21B8E"/>
    <w:rsid w:val="00D22EF7"/>
    <w:rsid w:val="00D27644"/>
    <w:rsid w:val="00D27F36"/>
    <w:rsid w:val="00D337AB"/>
    <w:rsid w:val="00D6583F"/>
    <w:rsid w:val="00D65DAF"/>
    <w:rsid w:val="00D81258"/>
    <w:rsid w:val="00D877C4"/>
    <w:rsid w:val="00D90528"/>
    <w:rsid w:val="00D94A21"/>
    <w:rsid w:val="00DA6D3F"/>
    <w:rsid w:val="00DB189B"/>
    <w:rsid w:val="00DB7D38"/>
    <w:rsid w:val="00DC40AD"/>
    <w:rsid w:val="00DC5E07"/>
    <w:rsid w:val="00DC6652"/>
    <w:rsid w:val="00DC6F75"/>
    <w:rsid w:val="00DD5820"/>
    <w:rsid w:val="00DE0B1B"/>
    <w:rsid w:val="00DE1E54"/>
    <w:rsid w:val="00DE5FAC"/>
    <w:rsid w:val="00E01FDD"/>
    <w:rsid w:val="00E0742D"/>
    <w:rsid w:val="00E15FAD"/>
    <w:rsid w:val="00E1760C"/>
    <w:rsid w:val="00E24705"/>
    <w:rsid w:val="00E25040"/>
    <w:rsid w:val="00E304B9"/>
    <w:rsid w:val="00E30FB5"/>
    <w:rsid w:val="00E465EB"/>
    <w:rsid w:val="00E50B82"/>
    <w:rsid w:val="00E57A33"/>
    <w:rsid w:val="00E61FD7"/>
    <w:rsid w:val="00E622CC"/>
    <w:rsid w:val="00E67D7D"/>
    <w:rsid w:val="00E71933"/>
    <w:rsid w:val="00E731B6"/>
    <w:rsid w:val="00E8056E"/>
    <w:rsid w:val="00E80A80"/>
    <w:rsid w:val="00E8152B"/>
    <w:rsid w:val="00E85CC4"/>
    <w:rsid w:val="00E9244E"/>
    <w:rsid w:val="00E925C3"/>
    <w:rsid w:val="00E92D4B"/>
    <w:rsid w:val="00EB06D2"/>
    <w:rsid w:val="00EB2223"/>
    <w:rsid w:val="00EB2297"/>
    <w:rsid w:val="00EB41C9"/>
    <w:rsid w:val="00EC14FE"/>
    <w:rsid w:val="00EC310C"/>
    <w:rsid w:val="00ED6039"/>
    <w:rsid w:val="00EE1C5D"/>
    <w:rsid w:val="00EE7950"/>
    <w:rsid w:val="00EF0F56"/>
    <w:rsid w:val="00EF2EB8"/>
    <w:rsid w:val="00EF64EE"/>
    <w:rsid w:val="00F00712"/>
    <w:rsid w:val="00F034D4"/>
    <w:rsid w:val="00F03DD0"/>
    <w:rsid w:val="00F05AC7"/>
    <w:rsid w:val="00F14596"/>
    <w:rsid w:val="00F24B96"/>
    <w:rsid w:val="00F37D14"/>
    <w:rsid w:val="00F47BF4"/>
    <w:rsid w:val="00F62654"/>
    <w:rsid w:val="00F641AC"/>
    <w:rsid w:val="00F77659"/>
    <w:rsid w:val="00F777AE"/>
    <w:rsid w:val="00F802BD"/>
    <w:rsid w:val="00F816A3"/>
    <w:rsid w:val="00F83BF2"/>
    <w:rsid w:val="00F83E2D"/>
    <w:rsid w:val="00F92FD3"/>
    <w:rsid w:val="00F954AD"/>
    <w:rsid w:val="00FA24BA"/>
    <w:rsid w:val="00FA2C4E"/>
    <w:rsid w:val="00FB5E1D"/>
    <w:rsid w:val="00FC339C"/>
    <w:rsid w:val="00FC424F"/>
    <w:rsid w:val="00FC465E"/>
    <w:rsid w:val="00FD1937"/>
    <w:rsid w:val="00FD49DA"/>
    <w:rsid w:val="00FE0148"/>
  </w:rsids>
  <m:mathPr>
    <m:mathFont m:val="Cambria Math"/>
    <m:brkBin m:val="before"/>
    <m:brkBinSub m:val="--"/>
    <m:smallFrac m:val="0"/>
    <m:dispDef/>
    <m:lMargin m:val="0"/>
    <m:rMargin m:val="0"/>
    <m:defJc m:val="centerGroup"/>
    <m:wrapIndent m:val="1440"/>
    <m:intLim m:val="subSup"/>
    <m:naryLim m:val="undOvr"/>
  </m:mathPr>
  <w:themeFontLang w:val="sk-SK"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4B28D7D"/>
  <w15:docId w15:val="{93475087-9E92-42B2-847D-21E6DE303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lang w:val="en-GB"/>
    </w:rPr>
  </w:style>
  <w:style w:type="paragraph" w:styleId="Nadpis1">
    <w:name w:val="heading 1"/>
    <w:basedOn w:val="Normlny"/>
    <w:next w:val="Normlny"/>
    <w:qFormat/>
    <w:pPr>
      <w:keepNext/>
      <w:outlineLvl w:val="0"/>
    </w:pPr>
    <w:rPr>
      <w:b/>
    </w:rPr>
  </w:style>
  <w:style w:type="paragraph" w:styleId="Nadpis2">
    <w:name w:val="heading 2"/>
    <w:basedOn w:val="Normlny"/>
    <w:next w:val="Normlny"/>
    <w:link w:val="Nadpis2Char"/>
    <w:qFormat/>
    <w:pPr>
      <w:keepNext/>
      <w:jc w:val="both"/>
      <w:outlineLvl w:val="1"/>
    </w:pPr>
    <w:rPr>
      <w:b/>
    </w:rPr>
  </w:style>
  <w:style w:type="paragraph" w:styleId="Nadpis3">
    <w:name w:val="heading 3"/>
    <w:basedOn w:val="Normlny"/>
    <w:next w:val="Normlny"/>
    <w:qFormat/>
    <w:pPr>
      <w:keepNext/>
      <w:outlineLvl w:val="2"/>
    </w:pPr>
    <w:rPr>
      <w:sz w:val="28"/>
      <w:lang w:val="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Adresanaoblke">
    <w:name w:val="envelope address"/>
    <w:basedOn w:val="Normlny"/>
    <w:pPr>
      <w:framePr w:w="7920" w:h="1980" w:hRule="exact" w:hSpace="180" w:wrap="auto" w:hAnchor="page" w:xAlign="center" w:yAlign="bottom"/>
      <w:ind w:left="2880"/>
    </w:pPr>
    <w:rPr>
      <w:color w:val="000000"/>
    </w:rPr>
  </w:style>
  <w:style w:type="paragraph" w:styleId="Hlavika">
    <w:name w:val="header"/>
    <w:basedOn w:val="Normlny"/>
    <w:pPr>
      <w:tabs>
        <w:tab w:val="center" w:pos="4153"/>
        <w:tab w:val="right" w:pos="8306"/>
      </w:tabs>
    </w:pPr>
  </w:style>
  <w:style w:type="paragraph" w:styleId="Pta">
    <w:name w:val="footer"/>
    <w:basedOn w:val="Normlny"/>
    <w:link w:val="PtaChar"/>
    <w:uiPriority w:val="99"/>
    <w:pPr>
      <w:tabs>
        <w:tab w:val="center" w:pos="4153"/>
        <w:tab w:val="right" w:pos="8306"/>
      </w:tabs>
    </w:pPr>
  </w:style>
  <w:style w:type="paragraph" w:customStyle="1" w:styleId="BodyText21">
    <w:name w:val="Body Text 21"/>
    <w:basedOn w:val="Normlny"/>
    <w:pPr>
      <w:ind w:left="283" w:hanging="283"/>
      <w:jc w:val="both"/>
    </w:pPr>
  </w:style>
  <w:style w:type="paragraph" w:customStyle="1" w:styleId="BodyTextIndent21">
    <w:name w:val="Body Text Indent 21"/>
    <w:basedOn w:val="Normlny"/>
    <w:pPr>
      <w:ind w:left="283"/>
      <w:jc w:val="both"/>
    </w:pPr>
  </w:style>
  <w:style w:type="paragraph" w:styleId="Zkladntext">
    <w:name w:val="Body Text"/>
    <w:basedOn w:val="Normlny"/>
    <w:pPr>
      <w:jc w:val="both"/>
    </w:pPr>
  </w:style>
  <w:style w:type="character" w:styleId="slostrany">
    <w:name w:val="page number"/>
    <w:basedOn w:val="Predvolenpsmoodseku"/>
  </w:style>
  <w:style w:type="paragraph" w:styleId="Zarkazkladnhotextu">
    <w:name w:val="Body Text Indent"/>
    <w:basedOn w:val="Normlny"/>
    <w:pPr>
      <w:numPr>
        <w:ilvl w:val="12"/>
      </w:numPr>
      <w:ind w:left="283" w:hanging="283"/>
      <w:jc w:val="both"/>
    </w:pPr>
    <w:rPr>
      <w:i/>
    </w:rPr>
  </w:style>
  <w:style w:type="paragraph" w:styleId="truktradokumentu">
    <w:name w:val="Document Map"/>
    <w:basedOn w:val="Normlny"/>
    <w:semiHidden/>
    <w:pPr>
      <w:shd w:val="clear" w:color="auto" w:fill="000080"/>
    </w:pPr>
    <w:rPr>
      <w:rFonts w:ascii="Tahoma" w:hAnsi="Tahoma"/>
    </w:rPr>
  </w:style>
  <w:style w:type="paragraph" w:styleId="Textpoznmkypodiarou">
    <w:name w:val="footnote text"/>
    <w:basedOn w:val="Normlny"/>
    <w:semiHidden/>
    <w:rPr>
      <w:sz w:val="20"/>
    </w:rPr>
  </w:style>
  <w:style w:type="character" w:styleId="Odkaznapoznmkupodiarou">
    <w:name w:val="footnote reference"/>
    <w:semiHidden/>
    <w:rPr>
      <w:vertAlign w:val="superscript"/>
    </w:rPr>
  </w:style>
  <w:style w:type="paragraph" w:styleId="Zkladntext2">
    <w:name w:val="Body Text 2"/>
    <w:basedOn w:val="Normlny"/>
    <w:pPr>
      <w:jc w:val="both"/>
    </w:pPr>
    <w:rPr>
      <w:rFonts w:ascii="Arial" w:hAnsi="Arial" w:cs="Arial"/>
      <w:sz w:val="20"/>
      <w:lang w:val="sk-SK"/>
    </w:rPr>
  </w:style>
  <w:style w:type="paragraph" w:styleId="Obyajntext">
    <w:name w:val="Plain Text"/>
    <w:basedOn w:val="Normlny"/>
    <w:rsid w:val="0091600A"/>
    <w:rPr>
      <w:rFonts w:ascii="Courier New" w:hAnsi="Courier New"/>
      <w:sz w:val="20"/>
      <w:lang w:val="cs-CZ" w:eastAsia="en-US"/>
    </w:rPr>
  </w:style>
  <w:style w:type="character" w:customStyle="1" w:styleId="emailstyle18">
    <w:name w:val="emailstyle18"/>
    <w:semiHidden/>
    <w:rsid w:val="0091600A"/>
    <w:rPr>
      <w:rFonts w:ascii="Arial" w:hAnsi="Arial" w:cs="Arial" w:hint="default"/>
      <w:color w:val="0000FF"/>
      <w:sz w:val="22"/>
      <w:szCs w:val="22"/>
    </w:rPr>
  </w:style>
  <w:style w:type="paragraph" w:styleId="Textbubliny">
    <w:name w:val="Balloon Text"/>
    <w:basedOn w:val="Normlny"/>
    <w:semiHidden/>
    <w:rsid w:val="003772DB"/>
    <w:rPr>
      <w:rFonts w:ascii="Tahoma" w:hAnsi="Tahoma" w:cs="Tahoma"/>
      <w:sz w:val="16"/>
      <w:szCs w:val="16"/>
    </w:rPr>
  </w:style>
  <w:style w:type="paragraph" w:styleId="Zarkazkladnhotextu3">
    <w:name w:val="Body Text Indent 3"/>
    <w:basedOn w:val="Normlny"/>
    <w:rsid w:val="00FA2C4E"/>
    <w:pPr>
      <w:spacing w:after="120"/>
      <w:ind w:left="283"/>
    </w:pPr>
    <w:rPr>
      <w:sz w:val="16"/>
      <w:szCs w:val="16"/>
    </w:rPr>
  </w:style>
  <w:style w:type="character" w:styleId="Odkaznakomentr">
    <w:name w:val="annotation reference"/>
    <w:semiHidden/>
    <w:rsid w:val="00F47BF4"/>
    <w:rPr>
      <w:sz w:val="16"/>
      <w:szCs w:val="16"/>
    </w:rPr>
  </w:style>
  <w:style w:type="paragraph" w:styleId="Textkomentra">
    <w:name w:val="annotation text"/>
    <w:basedOn w:val="Normlny"/>
    <w:semiHidden/>
    <w:rsid w:val="00F47BF4"/>
    <w:rPr>
      <w:sz w:val="20"/>
    </w:rPr>
  </w:style>
  <w:style w:type="paragraph" w:styleId="Predmetkomentra">
    <w:name w:val="annotation subject"/>
    <w:basedOn w:val="Textkomentra"/>
    <w:next w:val="Textkomentra"/>
    <w:semiHidden/>
    <w:rsid w:val="00F47BF4"/>
    <w:rPr>
      <w:b/>
      <w:bCs/>
    </w:rPr>
  </w:style>
  <w:style w:type="character" w:customStyle="1" w:styleId="Nadpis2Char">
    <w:name w:val="Nadpis 2 Char"/>
    <w:link w:val="Nadpis2"/>
    <w:rsid w:val="00FC465E"/>
    <w:rPr>
      <w:b/>
      <w:sz w:val="24"/>
      <w:lang w:val="en-GB" w:eastAsia="sk-SK"/>
    </w:rPr>
  </w:style>
  <w:style w:type="character" w:styleId="Hypertextovprepojenie">
    <w:name w:val="Hyperlink"/>
    <w:uiPriority w:val="99"/>
    <w:unhideWhenUsed/>
    <w:rsid w:val="00FD1937"/>
    <w:rPr>
      <w:color w:val="0563C1"/>
      <w:u w:val="single"/>
    </w:rPr>
  </w:style>
  <w:style w:type="paragraph" w:styleId="Normlnywebov">
    <w:name w:val="Normal (Web)"/>
    <w:basedOn w:val="Normlny"/>
    <w:uiPriority w:val="99"/>
    <w:unhideWhenUsed/>
    <w:rsid w:val="00FD1937"/>
    <w:pPr>
      <w:spacing w:before="100" w:beforeAutospacing="1" w:after="100" w:afterAutospacing="1"/>
    </w:pPr>
    <w:rPr>
      <w:szCs w:val="24"/>
      <w:lang w:val="en-US" w:eastAsia="en-US"/>
    </w:rPr>
  </w:style>
  <w:style w:type="character" w:styleId="Siln">
    <w:name w:val="Strong"/>
    <w:uiPriority w:val="22"/>
    <w:qFormat/>
    <w:rsid w:val="00FD1937"/>
    <w:rPr>
      <w:b/>
      <w:bCs/>
    </w:rPr>
  </w:style>
  <w:style w:type="paragraph" w:styleId="Revzia">
    <w:name w:val="Revision"/>
    <w:hidden/>
    <w:uiPriority w:val="99"/>
    <w:semiHidden/>
    <w:rsid w:val="00651039"/>
    <w:rPr>
      <w:sz w:val="24"/>
      <w:lang w:val="en-GB"/>
    </w:rPr>
  </w:style>
  <w:style w:type="character" w:customStyle="1" w:styleId="PtaChar">
    <w:name w:val="Päta Char"/>
    <w:basedOn w:val="Predvolenpsmoodseku"/>
    <w:link w:val="Pta"/>
    <w:uiPriority w:val="99"/>
    <w:rsid w:val="00527E93"/>
    <w:rPr>
      <w:sz w:val="24"/>
      <w:lang w:val="en-GB"/>
    </w:rPr>
  </w:style>
  <w:style w:type="character" w:styleId="PouitHypertextovPrepojenie">
    <w:name w:val="FollowedHyperlink"/>
    <w:basedOn w:val="Predvolenpsmoodseku"/>
    <w:semiHidden/>
    <w:unhideWhenUsed/>
    <w:rsid w:val="0011276F"/>
    <w:rPr>
      <w:color w:val="800080" w:themeColor="followedHyperlink"/>
      <w:u w:val="single"/>
    </w:rPr>
  </w:style>
  <w:style w:type="paragraph" w:styleId="Odsekzoznamu">
    <w:name w:val="List Paragraph"/>
    <w:basedOn w:val="Normlny"/>
    <w:uiPriority w:val="34"/>
    <w:qFormat/>
    <w:rsid w:val="00C777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3165199">
      <w:bodyDiv w:val="1"/>
      <w:marLeft w:val="0"/>
      <w:marRight w:val="0"/>
      <w:marTop w:val="0"/>
      <w:marBottom w:val="0"/>
      <w:divBdr>
        <w:top w:val="none" w:sz="0" w:space="0" w:color="auto"/>
        <w:left w:val="none" w:sz="0" w:space="0" w:color="auto"/>
        <w:bottom w:val="none" w:sz="0" w:space="0" w:color="auto"/>
        <w:right w:val="none" w:sz="0" w:space="0" w:color="auto"/>
      </w:divBdr>
    </w:div>
    <w:div w:id="371659838">
      <w:bodyDiv w:val="1"/>
      <w:marLeft w:val="0"/>
      <w:marRight w:val="0"/>
      <w:marTop w:val="0"/>
      <w:marBottom w:val="0"/>
      <w:divBdr>
        <w:top w:val="none" w:sz="0" w:space="0" w:color="auto"/>
        <w:left w:val="none" w:sz="0" w:space="0" w:color="auto"/>
        <w:bottom w:val="none" w:sz="0" w:space="0" w:color="auto"/>
        <w:right w:val="none" w:sz="0" w:space="0" w:color="auto"/>
      </w:divBdr>
    </w:div>
    <w:div w:id="816922996">
      <w:bodyDiv w:val="1"/>
      <w:marLeft w:val="0"/>
      <w:marRight w:val="0"/>
      <w:marTop w:val="0"/>
      <w:marBottom w:val="0"/>
      <w:divBdr>
        <w:top w:val="none" w:sz="0" w:space="0" w:color="auto"/>
        <w:left w:val="none" w:sz="0" w:space="0" w:color="auto"/>
        <w:bottom w:val="none" w:sz="0" w:space="0" w:color="auto"/>
        <w:right w:val="none" w:sz="0" w:space="0" w:color="auto"/>
      </w:divBdr>
      <w:divsChild>
        <w:div w:id="108862593">
          <w:marLeft w:val="0"/>
          <w:marRight w:val="0"/>
          <w:marTop w:val="0"/>
          <w:marBottom w:val="0"/>
          <w:divBdr>
            <w:top w:val="none" w:sz="0" w:space="0" w:color="auto"/>
            <w:left w:val="none" w:sz="0" w:space="0" w:color="auto"/>
            <w:bottom w:val="none" w:sz="0" w:space="0" w:color="auto"/>
            <w:right w:val="none" w:sz="0" w:space="0" w:color="auto"/>
          </w:divBdr>
        </w:div>
        <w:div w:id="131212221">
          <w:marLeft w:val="0"/>
          <w:marRight w:val="0"/>
          <w:marTop w:val="0"/>
          <w:marBottom w:val="0"/>
          <w:divBdr>
            <w:top w:val="none" w:sz="0" w:space="0" w:color="auto"/>
            <w:left w:val="none" w:sz="0" w:space="0" w:color="auto"/>
            <w:bottom w:val="none" w:sz="0" w:space="0" w:color="auto"/>
            <w:right w:val="none" w:sz="0" w:space="0" w:color="auto"/>
          </w:divBdr>
        </w:div>
        <w:div w:id="227762089">
          <w:marLeft w:val="0"/>
          <w:marRight w:val="0"/>
          <w:marTop w:val="0"/>
          <w:marBottom w:val="0"/>
          <w:divBdr>
            <w:top w:val="none" w:sz="0" w:space="0" w:color="auto"/>
            <w:left w:val="none" w:sz="0" w:space="0" w:color="auto"/>
            <w:bottom w:val="none" w:sz="0" w:space="0" w:color="auto"/>
            <w:right w:val="none" w:sz="0" w:space="0" w:color="auto"/>
          </w:divBdr>
        </w:div>
        <w:div w:id="705911112">
          <w:marLeft w:val="0"/>
          <w:marRight w:val="0"/>
          <w:marTop w:val="0"/>
          <w:marBottom w:val="0"/>
          <w:divBdr>
            <w:top w:val="none" w:sz="0" w:space="0" w:color="auto"/>
            <w:left w:val="none" w:sz="0" w:space="0" w:color="auto"/>
            <w:bottom w:val="none" w:sz="0" w:space="0" w:color="auto"/>
            <w:right w:val="none" w:sz="0" w:space="0" w:color="auto"/>
          </w:divBdr>
        </w:div>
        <w:div w:id="1125733643">
          <w:marLeft w:val="0"/>
          <w:marRight w:val="0"/>
          <w:marTop w:val="0"/>
          <w:marBottom w:val="0"/>
          <w:divBdr>
            <w:top w:val="none" w:sz="0" w:space="0" w:color="auto"/>
            <w:left w:val="none" w:sz="0" w:space="0" w:color="auto"/>
            <w:bottom w:val="none" w:sz="0" w:space="0" w:color="auto"/>
            <w:right w:val="none" w:sz="0" w:space="0" w:color="auto"/>
          </w:divBdr>
        </w:div>
        <w:div w:id="1456219202">
          <w:marLeft w:val="0"/>
          <w:marRight w:val="0"/>
          <w:marTop w:val="0"/>
          <w:marBottom w:val="0"/>
          <w:divBdr>
            <w:top w:val="none" w:sz="0" w:space="0" w:color="auto"/>
            <w:left w:val="none" w:sz="0" w:space="0" w:color="auto"/>
            <w:bottom w:val="none" w:sz="0" w:space="0" w:color="auto"/>
            <w:right w:val="none" w:sz="0" w:space="0" w:color="auto"/>
          </w:divBdr>
        </w:div>
        <w:div w:id="1965308457">
          <w:marLeft w:val="0"/>
          <w:marRight w:val="0"/>
          <w:marTop w:val="0"/>
          <w:marBottom w:val="0"/>
          <w:divBdr>
            <w:top w:val="none" w:sz="0" w:space="0" w:color="auto"/>
            <w:left w:val="none" w:sz="0" w:space="0" w:color="auto"/>
            <w:bottom w:val="none" w:sz="0" w:space="0" w:color="auto"/>
            <w:right w:val="none" w:sz="0" w:space="0" w:color="auto"/>
          </w:divBdr>
        </w:div>
        <w:div w:id="2008167668">
          <w:marLeft w:val="0"/>
          <w:marRight w:val="0"/>
          <w:marTop w:val="0"/>
          <w:marBottom w:val="0"/>
          <w:divBdr>
            <w:top w:val="none" w:sz="0" w:space="0" w:color="auto"/>
            <w:left w:val="none" w:sz="0" w:space="0" w:color="auto"/>
            <w:bottom w:val="none" w:sz="0" w:space="0" w:color="auto"/>
            <w:right w:val="none" w:sz="0" w:space="0" w:color="auto"/>
          </w:divBdr>
        </w:div>
      </w:divsChild>
    </w:div>
    <w:div w:id="1542325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CC1930-5F3D-4939-A916-0785ADC085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2888</Words>
  <Characters>16464</Characters>
  <Application>Microsoft Office Word</Application>
  <DocSecurity>0</DocSecurity>
  <Lines>137</Lines>
  <Paragraphs>38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Terajší stav registrácie</vt:lpstr>
      <vt:lpstr>Terajší stav registrácie</vt:lpstr>
    </vt:vector>
  </TitlesOfParts>
  <Company/>
  <LinksUpToDate>false</LinksUpToDate>
  <CharactersWithSpaces>19314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Terajší stav registrácie</dc:title>
  <dc:creator>SOLVAY PHARMA</dc:creator>
  <cp:lastModifiedBy>Medvecká, Patrícia</cp:lastModifiedBy>
  <cp:revision>2</cp:revision>
  <cp:lastPrinted>2019-11-12T07:58:00Z</cp:lastPrinted>
  <dcterms:created xsi:type="dcterms:W3CDTF">2019-12-03T13:06:00Z</dcterms:created>
  <dcterms:modified xsi:type="dcterms:W3CDTF">2019-12-03T13:06:00Z</dcterms:modified>
</cp:coreProperties>
</file>