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0D" w:rsidRDefault="005F040D">
      <w:pPr>
        <w:pStyle w:val="Nadpis2"/>
      </w:pPr>
      <w:r>
        <w:t>SÚHRN CHARAKTERISTICKÝCH VLASTNOSTÍ LIEKU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1.</w:t>
      </w:r>
      <w:r>
        <w:rPr>
          <w:rFonts w:ascii="Times New Roman" w:hAnsi="Times New Roman"/>
          <w:b/>
          <w:noProof/>
          <w:sz w:val="22"/>
          <w:szCs w:val="22"/>
        </w:rPr>
        <w:tab/>
        <w:t>NÁZOV LIEKU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Pr="00036F94" w:rsidRDefault="005F040D">
      <w:pPr>
        <w:rPr>
          <w:rFonts w:ascii="Times New Roman" w:hAnsi="Times New Roman"/>
          <w:bCs/>
          <w:sz w:val="22"/>
          <w:szCs w:val="22"/>
        </w:rPr>
      </w:pPr>
      <w:r w:rsidRPr="00036F94">
        <w:rPr>
          <w:rFonts w:ascii="Times New Roman" w:hAnsi="Times New Roman"/>
          <w:bCs/>
          <w:sz w:val="22"/>
          <w:szCs w:val="22"/>
        </w:rPr>
        <w:t>Letrozol STADA 2,5 mg filmom obalené tablety</w:t>
      </w:r>
    </w:p>
    <w:p w:rsidR="005F040D" w:rsidRDefault="005F040D">
      <w:pPr>
        <w:pStyle w:val="Obsah4"/>
        <w:rPr>
          <w:szCs w:val="22"/>
          <w:lang w:val="sk-SK" w:eastAsia="en-US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2.</w:t>
      </w:r>
      <w:r>
        <w:rPr>
          <w:rFonts w:ascii="Times New Roman" w:hAnsi="Times New Roman"/>
          <w:b/>
          <w:noProof/>
          <w:sz w:val="22"/>
          <w:szCs w:val="22"/>
        </w:rPr>
        <w:tab/>
        <w:t>KVALITATÍVNE A KVANTITATÍVNE ZLOŽENIE</w:t>
      </w:r>
    </w:p>
    <w:p w:rsidR="005F040D" w:rsidRDefault="005F040D">
      <w:pPr>
        <w:rPr>
          <w:rFonts w:ascii="Times New Roman" w:hAnsi="Times New Roman"/>
          <w:i/>
          <w:sz w:val="22"/>
          <w:szCs w:val="22"/>
        </w:rPr>
      </w:pPr>
    </w:p>
    <w:p w:rsidR="005F040D" w:rsidRDefault="00AE475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</w:t>
      </w:r>
      <w:r w:rsidR="005F040D">
        <w:rPr>
          <w:rFonts w:ascii="Times New Roman" w:hAnsi="Times New Roman"/>
          <w:sz w:val="22"/>
          <w:szCs w:val="22"/>
        </w:rPr>
        <w:t>filmom obalená tableta obsahuje 2,5 mg letrozolu.</w:t>
      </w:r>
    </w:p>
    <w:p w:rsidR="00146DF4" w:rsidRDefault="00146DF4">
      <w:pPr>
        <w:rPr>
          <w:rFonts w:ascii="Times New Roman" w:hAnsi="Times New Roman"/>
          <w:sz w:val="22"/>
          <w:szCs w:val="22"/>
        </w:rPr>
      </w:pPr>
    </w:p>
    <w:p w:rsidR="00CD3444" w:rsidRPr="00036F94" w:rsidRDefault="005F040D">
      <w:pPr>
        <w:rPr>
          <w:rFonts w:ascii="Times New Roman" w:hAnsi="Times New Roman"/>
          <w:sz w:val="22"/>
          <w:szCs w:val="22"/>
          <w:u w:val="single"/>
        </w:rPr>
      </w:pPr>
      <w:r w:rsidRPr="00036F94">
        <w:rPr>
          <w:rFonts w:ascii="Times New Roman" w:hAnsi="Times New Roman"/>
          <w:sz w:val="22"/>
          <w:szCs w:val="22"/>
          <w:u w:val="single"/>
        </w:rPr>
        <w:t>Pomocn</w:t>
      </w:r>
      <w:r w:rsidR="00681C5A">
        <w:rPr>
          <w:rFonts w:ascii="Times New Roman" w:hAnsi="Times New Roman"/>
          <w:sz w:val="22"/>
          <w:szCs w:val="22"/>
          <w:u w:val="single"/>
        </w:rPr>
        <w:t>é</w:t>
      </w:r>
      <w:r w:rsidRPr="00036F94">
        <w:rPr>
          <w:rFonts w:ascii="Times New Roman" w:hAnsi="Times New Roman"/>
          <w:sz w:val="22"/>
          <w:szCs w:val="22"/>
          <w:u w:val="single"/>
        </w:rPr>
        <w:t xml:space="preserve"> látk</w:t>
      </w:r>
      <w:r w:rsidR="00681C5A">
        <w:rPr>
          <w:rFonts w:ascii="Times New Roman" w:hAnsi="Times New Roman"/>
          <w:sz w:val="22"/>
          <w:szCs w:val="22"/>
          <w:u w:val="single"/>
        </w:rPr>
        <w:t>y</w:t>
      </w:r>
      <w:r w:rsidR="00CD3444" w:rsidRPr="00036F94">
        <w:rPr>
          <w:rFonts w:ascii="Times New Roman" w:hAnsi="Times New Roman"/>
          <w:sz w:val="22"/>
          <w:szCs w:val="22"/>
          <w:u w:val="single"/>
        </w:rPr>
        <w:t xml:space="preserve"> so známym účinkom</w:t>
      </w:r>
      <w:r w:rsidRPr="00036F94">
        <w:rPr>
          <w:rFonts w:ascii="Times New Roman" w:hAnsi="Times New Roman"/>
          <w:sz w:val="22"/>
          <w:szCs w:val="22"/>
          <w:u w:val="single"/>
        </w:rPr>
        <w:t xml:space="preserve">: </w:t>
      </w:r>
    </w:p>
    <w:p w:rsidR="005F040D" w:rsidRDefault="008B601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</w:t>
      </w:r>
      <w:r w:rsidR="005F040D">
        <w:rPr>
          <w:rFonts w:ascii="Times New Roman" w:hAnsi="Times New Roman"/>
          <w:sz w:val="22"/>
          <w:szCs w:val="22"/>
        </w:rPr>
        <w:t xml:space="preserve"> filmom obalená tableta obsahuje 62,0 mg monohydrátu laktózy</w:t>
      </w:r>
      <w:r w:rsidR="00681C5A">
        <w:rPr>
          <w:rFonts w:ascii="Times New Roman" w:hAnsi="Times New Roman"/>
          <w:sz w:val="22"/>
          <w:szCs w:val="22"/>
        </w:rPr>
        <w:t xml:space="preserve"> a až 0,40 mg sodíka.</w:t>
      </w:r>
      <w:r w:rsidR="005F040D">
        <w:rPr>
          <w:rFonts w:ascii="Times New Roman" w:hAnsi="Times New Roman"/>
          <w:sz w:val="22"/>
          <w:szCs w:val="22"/>
        </w:rPr>
        <w:t xml:space="preserve">. </w:t>
      </w:r>
    </w:p>
    <w:p w:rsidR="005F040D" w:rsidRDefault="005F040D">
      <w:pPr>
        <w:outlineLvl w:val="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Úplný zoznam pomocných látok, pozri časť 6.1.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caps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3.</w:t>
      </w:r>
      <w:r>
        <w:rPr>
          <w:rFonts w:ascii="Times New Roman" w:hAnsi="Times New Roman"/>
          <w:b/>
          <w:noProof/>
          <w:sz w:val="22"/>
          <w:szCs w:val="22"/>
        </w:rPr>
        <w:tab/>
        <w:t>LIEKOVÁ FORMA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Filmom obalená tableta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Žltá, okrúhla, bikonvexná.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caps/>
          <w:noProof/>
          <w:sz w:val="22"/>
          <w:szCs w:val="22"/>
        </w:rPr>
      </w:pPr>
      <w:r>
        <w:rPr>
          <w:rFonts w:ascii="Times New Roman" w:hAnsi="Times New Roman"/>
          <w:b/>
          <w:caps/>
          <w:noProof/>
          <w:sz w:val="22"/>
          <w:szCs w:val="22"/>
        </w:rPr>
        <w:t>4.</w:t>
      </w:r>
      <w:r>
        <w:rPr>
          <w:rFonts w:ascii="Times New Roman" w:hAnsi="Times New Roman"/>
          <w:b/>
          <w:caps/>
          <w:noProof/>
          <w:sz w:val="22"/>
          <w:szCs w:val="22"/>
        </w:rPr>
        <w:tab/>
        <w:t>KLINICKÉ ÚDAJE</w:t>
      </w: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4.1</w:t>
      </w:r>
      <w:r>
        <w:rPr>
          <w:rFonts w:ascii="Times New Roman" w:hAnsi="Times New Roman"/>
          <w:b/>
          <w:noProof/>
          <w:sz w:val="22"/>
          <w:szCs w:val="22"/>
        </w:rPr>
        <w:tab/>
        <w:t>Terapeutické indikácie</w:t>
      </w:r>
    </w:p>
    <w:p w:rsidR="005F040D" w:rsidRDefault="005F040D">
      <w:pPr>
        <w:ind w:left="227"/>
        <w:rPr>
          <w:rFonts w:ascii="Times New Roman" w:hAnsi="Times New Roman"/>
          <w:sz w:val="22"/>
          <w:szCs w:val="22"/>
        </w:rPr>
      </w:pPr>
    </w:p>
    <w:p w:rsidR="00CD3444" w:rsidRPr="008F279E" w:rsidRDefault="00CD3444" w:rsidP="00CD3444">
      <w:pPr>
        <w:widowControl w:val="0"/>
        <w:numPr>
          <w:ilvl w:val="3"/>
          <w:numId w:val="18"/>
        </w:numPr>
        <w:tabs>
          <w:tab w:val="clear" w:pos="2880"/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8F279E">
        <w:rPr>
          <w:rFonts w:ascii="Times New Roman" w:hAnsi="Times New Roman"/>
          <w:sz w:val="22"/>
          <w:szCs w:val="22"/>
        </w:rPr>
        <w:t>Adjuvantná liečba postmenopauzálnych žien s invazívnym karcinómom prsníka s pozitivitou</w:t>
      </w:r>
      <w:r w:rsidRPr="009E27CE">
        <w:rPr>
          <w:rFonts w:ascii="Times New Roman" w:hAnsi="Times New Roman"/>
          <w:sz w:val="22"/>
          <w:szCs w:val="22"/>
        </w:rPr>
        <w:t xml:space="preserve"> hormonálnych receptorov </w:t>
      </w:r>
      <w:r w:rsidRPr="008F279E">
        <w:rPr>
          <w:rFonts w:ascii="Times New Roman" w:hAnsi="Times New Roman"/>
          <w:sz w:val="22"/>
          <w:szCs w:val="22"/>
        </w:rPr>
        <w:t>vo včasnom štádiu.</w:t>
      </w:r>
    </w:p>
    <w:p w:rsidR="00CD3444" w:rsidRPr="009E27CE" w:rsidRDefault="00CD3444" w:rsidP="00CD3444">
      <w:pPr>
        <w:numPr>
          <w:ilvl w:val="0"/>
          <w:numId w:val="12"/>
        </w:numPr>
        <w:tabs>
          <w:tab w:val="clear" w:pos="170"/>
          <w:tab w:val="num" w:pos="0"/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Dlhodobá adjuvantná liečba invazívneho karcinómu prsníka závislého od hormónov u postmenopauzálnych žien, ktoré predtým 5 rokov dostávali štandardnú adjuvantnú liečbu tamoxifénom.</w:t>
      </w:r>
    </w:p>
    <w:p w:rsidR="00CD3444" w:rsidRPr="009E27CE" w:rsidRDefault="00CD3444" w:rsidP="00CD3444">
      <w:pPr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Liečba prvej línie u postmenopauzálnych žien s pokročilým karcinómom prsníka závislým od hormónov.</w:t>
      </w:r>
    </w:p>
    <w:p w:rsidR="00CD3444" w:rsidRPr="009E27CE" w:rsidRDefault="00CD3444" w:rsidP="00CD3444">
      <w:pPr>
        <w:widowControl w:val="0"/>
        <w:numPr>
          <w:ilvl w:val="3"/>
          <w:numId w:val="18"/>
        </w:numPr>
        <w:tabs>
          <w:tab w:val="clear" w:pos="2880"/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Pokročilý karcinóm prsníka po recidíve alebo progresii choroby u žien v prirodzenom alebo umelo navodenom postmenopauzálnom endokrinnom stave, ktoré boli predtým liečené antiestrogénmi.</w:t>
      </w:r>
    </w:p>
    <w:p w:rsidR="00CD3444" w:rsidRPr="009E27CE" w:rsidRDefault="00CD3444" w:rsidP="00CD3444">
      <w:pPr>
        <w:widowControl w:val="0"/>
        <w:numPr>
          <w:ilvl w:val="3"/>
          <w:numId w:val="18"/>
        </w:numPr>
        <w:tabs>
          <w:tab w:val="clear" w:pos="2880"/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Neoadjuvantná liečba postmenopauzálnych žien s karcinómom prsníka s pozitivitou hormonálnych receptorov a negativitou HER-2, u ktorých nie je vhodná chemoterapia a nie je indikovaný okamžitý chirurgický zákrok.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Účinnosť </w:t>
      </w:r>
      <w:r w:rsidR="009741A6">
        <w:rPr>
          <w:bCs/>
          <w:szCs w:val="22"/>
        </w:rPr>
        <w:t>sa nepreukázala</w:t>
      </w:r>
      <w:r>
        <w:rPr>
          <w:bCs/>
          <w:szCs w:val="22"/>
        </w:rPr>
        <w:t xml:space="preserve"> u pacientok s karcinómom prsníka </w:t>
      </w:r>
      <w:r w:rsidR="00FB31F3" w:rsidRPr="009E27CE">
        <w:rPr>
          <w:szCs w:val="22"/>
        </w:rPr>
        <w:t>s negativitou hormonálnych receptorov</w:t>
      </w:r>
      <w:r>
        <w:rPr>
          <w:bCs/>
          <w:szCs w:val="22"/>
        </w:rPr>
        <w:t>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4.2</w:t>
      </w:r>
      <w:r>
        <w:rPr>
          <w:rFonts w:ascii="Times New Roman" w:hAnsi="Times New Roman"/>
          <w:b/>
          <w:noProof/>
          <w:sz w:val="22"/>
          <w:szCs w:val="22"/>
        </w:rPr>
        <w:tab/>
        <w:t>Dávkovanie a spôsob podávania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CD3444" w:rsidRDefault="00CD3444" w:rsidP="00CD3444">
      <w:pPr>
        <w:keepNext/>
        <w:rPr>
          <w:rFonts w:ascii="Times New Roman" w:hAnsi="Times New Roman"/>
          <w:sz w:val="22"/>
          <w:szCs w:val="22"/>
          <w:u w:val="single"/>
        </w:rPr>
      </w:pPr>
      <w:r w:rsidRPr="009E27CE">
        <w:rPr>
          <w:rFonts w:ascii="Times New Roman" w:hAnsi="Times New Roman"/>
          <w:sz w:val="22"/>
          <w:szCs w:val="22"/>
          <w:u w:val="single"/>
        </w:rPr>
        <w:t>Dávkovanie</w:t>
      </w:r>
    </w:p>
    <w:p w:rsidR="008D31DC" w:rsidRPr="009E27CE" w:rsidRDefault="008D31DC" w:rsidP="00CD3444">
      <w:pPr>
        <w:keepNext/>
        <w:rPr>
          <w:rFonts w:ascii="Times New Roman" w:hAnsi="Times New Roman"/>
          <w:sz w:val="22"/>
          <w:szCs w:val="22"/>
          <w:u w:val="single"/>
        </w:rPr>
      </w:pPr>
    </w:p>
    <w:p w:rsidR="00CD3444" w:rsidRDefault="00E5356C" w:rsidP="00CD3444">
      <w:pPr>
        <w:keepNext/>
        <w:rPr>
          <w:rFonts w:ascii="Times New Roman" w:hAnsi="Times New Roman"/>
          <w:i/>
          <w:sz w:val="22"/>
          <w:szCs w:val="22"/>
        </w:rPr>
      </w:pPr>
      <w:r w:rsidRPr="00186223">
        <w:rPr>
          <w:rFonts w:ascii="Times New Roman" w:hAnsi="Times New Roman"/>
          <w:i/>
          <w:sz w:val="22"/>
          <w:szCs w:val="22"/>
        </w:rPr>
        <w:t>Dospelé a staršie pacientky</w:t>
      </w:r>
    </w:p>
    <w:p w:rsidR="00993F5E" w:rsidRPr="009E27CE" w:rsidRDefault="00993F5E" w:rsidP="00CD3444">
      <w:pPr>
        <w:keepNext/>
        <w:rPr>
          <w:rFonts w:ascii="Times New Roman" w:hAnsi="Times New Roman"/>
          <w:i/>
          <w:sz w:val="22"/>
          <w:szCs w:val="22"/>
        </w:rPr>
      </w:pPr>
    </w:p>
    <w:p w:rsidR="00CD3444" w:rsidRDefault="00CD3444" w:rsidP="00CD344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Odporúčaná dávka Letrozolu STADA je 2,5 mg raz denne. </w:t>
      </w:r>
      <w:r w:rsidR="00E5356C" w:rsidRPr="009E27CE">
        <w:rPr>
          <w:rFonts w:ascii="Times New Roman" w:hAnsi="Times New Roman"/>
          <w:sz w:val="22"/>
          <w:szCs w:val="22"/>
        </w:rPr>
        <w:t xml:space="preserve">Nevyžaduje sa úprava dávky u </w:t>
      </w:r>
      <w:r w:rsidR="00E5356C" w:rsidRPr="00186223">
        <w:rPr>
          <w:rFonts w:ascii="Times New Roman" w:hAnsi="Times New Roman"/>
          <w:sz w:val="22"/>
          <w:szCs w:val="22"/>
        </w:rPr>
        <w:t>starších pacientok</w:t>
      </w:r>
      <w:r w:rsidR="00E5356C" w:rsidRPr="009E27CE">
        <w:rPr>
          <w:rFonts w:ascii="Times New Roman" w:hAnsi="Times New Roman"/>
          <w:sz w:val="22"/>
          <w:szCs w:val="22"/>
        </w:rPr>
        <w:t>.</w:t>
      </w: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>U pacientok s pokročilým alebo metast</w:t>
      </w:r>
      <w:r w:rsidR="00752859">
        <w:rPr>
          <w:sz w:val="22"/>
          <w:szCs w:val="22"/>
          <w:lang w:val="sk-SK"/>
        </w:rPr>
        <w:t>á</w:t>
      </w:r>
      <w:r w:rsidRPr="009E27CE">
        <w:rPr>
          <w:sz w:val="22"/>
          <w:szCs w:val="22"/>
          <w:lang w:val="sk-SK"/>
        </w:rPr>
        <w:t xml:space="preserve">zujúcim karcinómom prsníka sa má v liečbe </w:t>
      </w:r>
      <w:r>
        <w:rPr>
          <w:sz w:val="22"/>
          <w:szCs w:val="22"/>
          <w:lang w:val="sk-SK"/>
        </w:rPr>
        <w:t>Letrozolom STADA</w:t>
      </w:r>
      <w:r w:rsidRPr="009E27CE">
        <w:rPr>
          <w:sz w:val="22"/>
          <w:szCs w:val="22"/>
          <w:lang w:val="sk-SK"/>
        </w:rPr>
        <w:t xml:space="preserve"> pokračovať až do zjavnej progresie nádoru.</w:t>
      </w:r>
    </w:p>
    <w:p w:rsidR="00CD3444" w:rsidRPr="009E27CE" w:rsidRDefault="00CD3444" w:rsidP="00CD3444">
      <w:pPr>
        <w:widowControl w:val="0"/>
        <w:autoSpaceDE w:val="0"/>
        <w:autoSpaceDN w:val="0"/>
        <w:adjustRightInd w:val="0"/>
        <w:ind w:right="139"/>
        <w:rPr>
          <w:rFonts w:ascii="Times New Roman" w:hAnsi="Times New Roman"/>
          <w:sz w:val="22"/>
          <w:szCs w:val="22"/>
        </w:rPr>
      </w:pPr>
    </w:p>
    <w:p w:rsidR="00CD3444" w:rsidRPr="009E27CE" w:rsidRDefault="00CD3444" w:rsidP="00CD3444">
      <w:pPr>
        <w:widowControl w:val="0"/>
        <w:autoSpaceDE w:val="0"/>
        <w:autoSpaceDN w:val="0"/>
        <w:adjustRightInd w:val="0"/>
        <w:ind w:right="139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Pri adjuvantnom a dlhodobom adjuvantnom používaní sa má v liečbe </w:t>
      </w:r>
      <w:r w:rsidRPr="00036F94">
        <w:rPr>
          <w:rFonts w:ascii="Times New Roman" w:hAnsi="Times New Roman"/>
          <w:sz w:val="22"/>
          <w:szCs w:val="22"/>
        </w:rPr>
        <w:t>Letrozolom STADA</w:t>
      </w:r>
      <w:r w:rsidRPr="009E27CE">
        <w:rPr>
          <w:sz w:val="22"/>
          <w:szCs w:val="22"/>
        </w:rPr>
        <w:t xml:space="preserve"> </w:t>
      </w:r>
      <w:r w:rsidRPr="009E27CE">
        <w:rPr>
          <w:rFonts w:ascii="Times New Roman" w:hAnsi="Times New Roman"/>
          <w:sz w:val="22"/>
          <w:szCs w:val="22"/>
        </w:rPr>
        <w:lastRenderedPageBreak/>
        <w:t>pokračovať buď 5 rokov alebo do recidívy nádoru, podľa toho, čo nastane skôr.</w:t>
      </w:r>
    </w:p>
    <w:p w:rsidR="00CD3444" w:rsidRPr="009E27CE" w:rsidRDefault="00CD3444" w:rsidP="00CD3444">
      <w:pPr>
        <w:widowControl w:val="0"/>
        <w:autoSpaceDE w:val="0"/>
        <w:autoSpaceDN w:val="0"/>
        <w:adjustRightInd w:val="0"/>
        <w:ind w:right="139"/>
        <w:rPr>
          <w:rFonts w:ascii="Times New Roman" w:hAnsi="Times New Roman"/>
          <w:sz w:val="22"/>
          <w:szCs w:val="22"/>
        </w:rPr>
      </w:pP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Pri adjuvantnom používaní možno tiež zvážiť sekvenčný plán liečby (letrozol 2 roky, potom tamoxifén 3 roky) (pozri časti </w:t>
      </w:r>
      <w:smartTag w:uri="urn:schemas-microsoft-com:office:smarttags" w:element="metricconverter">
        <w:smartTagPr>
          <w:attr w:name="ProductID" w:val="4.4 a"/>
        </w:smartTagPr>
        <w:r w:rsidRPr="009E27CE">
          <w:rPr>
            <w:sz w:val="22"/>
            <w:szCs w:val="22"/>
            <w:lang w:val="sk-SK"/>
          </w:rPr>
          <w:t>4.4 a</w:t>
        </w:r>
      </w:smartTag>
      <w:r w:rsidRPr="009E27CE">
        <w:rPr>
          <w:sz w:val="22"/>
          <w:szCs w:val="22"/>
          <w:lang w:val="sk-SK"/>
        </w:rPr>
        <w:t xml:space="preserve"> 5.1).</w:t>
      </w: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trike/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Pri neoadjuvantnom používaní možno v liečbe </w:t>
      </w:r>
      <w:r w:rsidRPr="00CD3444">
        <w:rPr>
          <w:sz w:val="22"/>
          <w:szCs w:val="22"/>
          <w:lang w:val="sk-SK"/>
        </w:rPr>
        <w:t>Letrozolom STADA</w:t>
      </w:r>
      <w:r w:rsidRPr="009E27CE">
        <w:rPr>
          <w:sz w:val="22"/>
          <w:szCs w:val="22"/>
          <w:lang w:val="sk-SK"/>
        </w:rPr>
        <w:t xml:space="preserve"> pokračovať 4 až 8 mesiacov, aby sa dosiahlo optimálne zmenšenie nádoru. Ak odpoveď na liečbu nie je dostatočná, liečba </w:t>
      </w:r>
      <w:r w:rsidRPr="00CD3444">
        <w:rPr>
          <w:sz w:val="22"/>
          <w:szCs w:val="22"/>
          <w:lang w:val="sk-SK"/>
        </w:rPr>
        <w:t>Letrozolom STADA</w:t>
      </w:r>
      <w:r w:rsidRPr="009E27CE">
        <w:rPr>
          <w:sz w:val="22"/>
          <w:szCs w:val="22"/>
          <w:lang w:val="sk-SK"/>
        </w:rPr>
        <w:t xml:space="preserve"> sa má </w:t>
      </w:r>
      <w:r w:rsidRPr="00A70D65">
        <w:rPr>
          <w:sz w:val="22"/>
          <w:szCs w:val="22"/>
          <w:lang w:val="sk-SK"/>
        </w:rPr>
        <w:t>ukončiť</w:t>
      </w:r>
      <w:r w:rsidRPr="009E27CE">
        <w:rPr>
          <w:sz w:val="22"/>
          <w:szCs w:val="22"/>
          <w:lang w:val="sk-SK"/>
        </w:rPr>
        <w:t xml:space="preserve"> a má sa stanoviť termín operácie a/alebo prediskutovať s pacientkou ďalšie možnosti liečby.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993F5E" w:rsidRDefault="00CD3444">
      <w:pPr>
        <w:pStyle w:val="Nadpis5"/>
        <w:rPr>
          <w:b w:val="0"/>
          <w:u w:val="none"/>
        </w:rPr>
      </w:pPr>
      <w:r w:rsidRPr="00AB7030">
        <w:rPr>
          <w:b w:val="0"/>
          <w:u w:val="none"/>
        </w:rPr>
        <w:t>Pediatrická populácia</w:t>
      </w:r>
    </w:p>
    <w:p w:rsidR="00A032D2" w:rsidRPr="00036F94" w:rsidRDefault="00CD3444">
      <w:pPr>
        <w:pStyle w:val="Nadpis5"/>
        <w:rPr>
          <w:b w:val="0"/>
          <w:u w:val="none"/>
        </w:rPr>
      </w:pPr>
      <w:r w:rsidRPr="00AB7030">
        <w:rPr>
          <w:b w:val="0"/>
        </w:rPr>
        <w:t xml:space="preserve"> </w:t>
      </w: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823ED3">
        <w:rPr>
          <w:sz w:val="22"/>
          <w:szCs w:val="22"/>
          <w:lang w:val="sk-SK"/>
        </w:rPr>
        <w:t>Použitie Letrozolu STADA u detí a dospievajúcich sa neodporúča.</w:t>
      </w:r>
      <w:r w:rsidRPr="009E27CE">
        <w:rPr>
          <w:sz w:val="22"/>
          <w:szCs w:val="22"/>
          <w:lang w:val="sk-SK"/>
        </w:rPr>
        <w:t xml:space="preserve"> Bezpečnosť a účinnosť </w:t>
      </w:r>
      <w:r w:rsidR="008862B1">
        <w:rPr>
          <w:sz w:val="22"/>
          <w:szCs w:val="22"/>
          <w:lang w:val="sk-SK"/>
        </w:rPr>
        <w:t>letrozolu</w:t>
      </w:r>
      <w:r w:rsidRPr="009E27CE">
        <w:rPr>
          <w:sz w:val="22"/>
          <w:szCs w:val="22"/>
          <w:lang w:val="sk-SK"/>
        </w:rPr>
        <w:t xml:space="preserve"> u detí a dospievajúcich vo veku do 17 rokov </w:t>
      </w:r>
      <w:r w:rsidRPr="00265283">
        <w:rPr>
          <w:sz w:val="22"/>
          <w:szCs w:val="22"/>
          <w:lang w:val="sk-SK"/>
        </w:rPr>
        <w:t>neboli stanovené</w:t>
      </w:r>
      <w:r w:rsidRPr="009E27CE">
        <w:rPr>
          <w:sz w:val="22"/>
          <w:szCs w:val="22"/>
          <w:lang w:val="sk-SK"/>
        </w:rPr>
        <w:t xml:space="preserve">. Dostupné sú obmedzené údaje, ktoré neumožňujú uviesť odporúčania </w:t>
      </w:r>
      <w:r w:rsidRPr="009E27CE">
        <w:rPr>
          <w:noProof/>
          <w:sz w:val="22"/>
          <w:szCs w:val="22"/>
          <w:lang w:val="sk-SK"/>
        </w:rPr>
        <w:t>pre dávkovanie</w:t>
      </w:r>
      <w:r w:rsidRPr="009E27CE">
        <w:rPr>
          <w:sz w:val="22"/>
          <w:szCs w:val="22"/>
          <w:lang w:val="sk-SK"/>
        </w:rPr>
        <w:t>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CD3444" w:rsidRDefault="00CD3444" w:rsidP="00CD3444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i/>
          <w:sz w:val="22"/>
          <w:szCs w:val="22"/>
          <w:lang w:val="sk-SK"/>
        </w:rPr>
        <w:t>Porucha funkcie obličiek</w:t>
      </w:r>
    </w:p>
    <w:p w:rsidR="00993F5E" w:rsidRPr="009E27CE" w:rsidRDefault="00993F5E" w:rsidP="00CD3444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Nevyžaduje sa úprava dávkovania </w:t>
      </w:r>
      <w:r w:rsidRPr="00CD3444">
        <w:rPr>
          <w:sz w:val="22"/>
          <w:szCs w:val="22"/>
          <w:lang w:val="sk-SK"/>
        </w:rPr>
        <w:t>Letrozol</w:t>
      </w:r>
      <w:r>
        <w:rPr>
          <w:sz w:val="22"/>
          <w:szCs w:val="22"/>
          <w:lang w:val="sk-SK"/>
        </w:rPr>
        <w:t>u</w:t>
      </w:r>
      <w:r w:rsidRPr="00CD3444">
        <w:rPr>
          <w:sz w:val="22"/>
          <w:szCs w:val="22"/>
          <w:lang w:val="sk-SK"/>
        </w:rPr>
        <w:t xml:space="preserve"> STADA</w:t>
      </w:r>
      <w:r w:rsidRPr="009E27CE">
        <w:rPr>
          <w:sz w:val="22"/>
          <w:szCs w:val="22"/>
          <w:lang w:val="sk-SK"/>
        </w:rPr>
        <w:t xml:space="preserve"> u pacientok s insuficienciou obličiek s klírensom kreatinínu </w:t>
      </w:r>
      <w:r w:rsidRPr="009E27CE">
        <w:rPr>
          <w:sz w:val="22"/>
          <w:szCs w:val="22"/>
          <w:lang w:val="sk-SK"/>
        </w:rPr>
        <w:sym w:font="Symbol" w:char="F0B3"/>
      </w:r>
      <w:r w:rsidR="005F7451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 xml:space="preserve">10 ml/min. Nie sú dostupné postačujúce údaje v prípadoch insuficiencie obličiek s klírensom kreatinínu nižším ako 10 ml/min (pozri časti </w:t>
      </w:r>
      <w:smartTag w:uri="urn:schemas-microsoft-com:office:smarttags" w:element="metricconverter">
        <w:smartTagPr>
          <w:attr w:name="ProductID" w:val="4.4 a"/>
        </w:smartTagPr>
        <w:r w:rsidRPr="009E27CE">
          <w:rPr>
            <w:sz w:val="22"/>
            <w:szCs w:val="22"/>
            <w:lang w:val="sk-SK"/>
          </w:rPr>
          <w:t>4.4 a</w:t>
        </w:r>
      </w:smartTag>
      <w:r w:rsidRPr="009E27CE">
        <w:rPr>
          <w:sz w:val="22"/>
          <w:szCs w:val="22"/>
          <w:lang w:val="sk-SK"/>
        </w:rPr>
        <w:t xml:space="preserve"> 5.2).</w:t>
      </w: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993F5E" w:rsidRDefault="00CD3444" w:rsidP="00CD3444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i/>
          <w:sz w:val="22"/>
          <w:szCs w:val="22"/>
          <w:lang w:val="sk-SK"/>
        </w:rPr>
        <w:t>Porucha funkcie pečene</w:t>
      </w:r>
    </w:p>
    <w:p w:rsidR="00CD3444" w:rsidRPr="009E27CE" w:rsidRDefault="00CD3444" w:rsidP="00CD3444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 </w:t>
      </w: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Nevyžaduje sa úprava dávkovania </w:t>
      </w:r>
      <w:r w:rsidRPr="00CD3444">
        <w:rPr>
          <w:sz w:val="22"/>
          <w:szCs w:val="22"/>
          <w:lang w:val="sk-SK"/>
        </w:rPr>
        <w:t>Letrozol</w:t>
      </w:r>
      <w:r>
        <w:rPr>
          <w:sz w:val="22"/>
          <w:szCs w:val="22"/>
          <w:lang w:val="sk-SK"/>
        </w:rPr>
        <w:t>u</w:t>
      </w:r>
      <w:r w:rsidRPr="00CD3444">
        <w:rPr>
          <w:sz w:val="22"/>
          <w:szCs w:val="22"/>
          <w:lang w:val="sk-SK"/>
        </w:rPr>
        <w:t xml:space="preserve"> STADA</w:t>
      </w:r>
      <w:r w:rsidRPr="009E27CE">
        <w:rPr>
          <w:sz w:val="22"/>
          <w:szCs w:val="22"/>
          <w:lang w:val="sk-SK"/>
        </w:rPr>
        <w:t xml:space="preserve"> u pacientok s ľahkou až stredne ťažkou insuficienciou pečene (trieda A alebo B podľa Childa-Pugha). Nie sú dostupné postačujúce údaje v prípadoch ťažkej poruchy funkcie pečene. U pacientok s ťažkou poruchou funkcie pečene (trieda C podľa Childa-Pugha) je potrebný dôsledný dohľad (pozri časti </w:t>
      </w:r>
      <w:smartTag w:uri="urn:schemas-microsoft-com:office:smarttags" w:element="metricconverter">
        <w:smartTagPr>
          <w:attr w:name="ProductID" w:val="4.4 a"/>
        </w:smartTagPr>
        <w:r w:rsidRPr="009E27CE">
          <w:rPr>
            <w:sz w:val="22"/>
            <w:szCs w:val="22"/>
            <w:lang w:val="sk-SK"/>
          </w:rPr>
          <w:t>4.4 a</w:t>
        </w:r>
      </w:smartTag>
      <w:r w:rsidRPr="009E27CE">
        <w:rPr>
          <w:sz w:val="22"/>
          <w:szCs w:val="22"/>
          <w:lang w:val="sk-SK"/>
        </w:rPr>
        <w:t xml:space="preserve"> 5.2).</w:t>
      </w: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D3444" w:rsidRDefault="00CD3444" w:rsidP="00CD3444">
      <w:pPr>
        <w:keepNext/>
        <w:rPr>
          <w:rFonts w:ascii="Times New Roman" w:hAnsi="Times New Roman"/>
          <w:sz w:val="22"/>
          <w:szCs w:val="22"/>
          <w:u w:val="single"/>
        </w:rPr>
      </w:pPr>
      <w:r w:rsidRPr="009E27CE">
        <w:rPr>
          <w:rFonts w:ascii="Times New Roman" w:hAnsi="Times New Roman"/>
          <w:sz w:val="22"/>
          <w:szCs w:val="22"/>
          <w:u w:val="single"/>
        </w:rPr>
        <w:t>Spôsob pod</w:t>
      </w:r>
      <w:r w:rsidR="006E3AF5">
        <w:rPr>
          <w:rFonts w:ascii="Times New Roman" w:hAnsi="Times New Roman"/>
          <w:sz w:val="22"/>
          <w:szCs w:val="22"/>
          <w:u w:val="single"/>
        </w:rPr>
        <w:t>áv</w:t>
      </w:r>
      <w:r w:rsidRPr="009E27CE">
        <w:rPr>
          <w:rFonts w:ascii="Times New Roman" w:hAnsi="Times New Roman"/>
          <w:sz w:val="22"/>
          <w:szCs w:val="22"/>
          <w:u w:val="single"/>
        </w:rPr>
        <w:t>ania</w:t>
      </w:r>
    </w:p>
    <w:p w:rsidR="00B35D6B" w:rsidRPr="009E27CE" w:rsidRDefault="00B35D6B" w:rsidP="00CD3444">
      <w:pPr>
        <w:keepNext/>
        <w:rPr>
          <w:rFonts w:ascii="Times New Roman" w:hAnsi="Times New Roman"/>
          <w:sz w:val="22"/>
          <w:szCs w:val="22"/>
          <w:u w:val="single"/>
        </w:rPr>
      </w:pPr>
    </w:p>
    <w:p w:rsidR="00CD3444" w:rsidRPr="009E27CE" w:rsidRDefault="00CD3444" w:rsidP="00CD3444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CD3444">
        <w:rPr>
          <w:sz w:val="22"/>
          <w:szCs w:val="22"/>
          <w:lang w:val="sk-SK"/>
        </w:rPr>
        <w:t>Letrozol STADA</w:t>
      </w:r>
      <w:r w:rsidRPr="009E27CE">
        <w:rPr>
          <w:sz w:val="22"/>
          <w:szCs w:val="22"/>
          <w:lang w:val="sk-SK"/>
        </w:rPr>
        <w:t xml:space="preserve"> sa má užívať perorálne a možno </w:t>
      </w:r>
      <w:r>
        <w:rPr>
          <w:sz w:val="22"/>
          <w:szCs w:val="22"/>
          <w:lang w:val="sk-SK"/>
        </w:rPr>
        <w:t>ho</w:t>
      </w:r>
      <w:r w:rsidRPr="009E27CE">
        <w:rPr>
          <w:sz w:val="22"/>
          <w:szCs w:val="22"/>
          <w:lang w:val="sk-SK"/>
        </w:rPr>
        <w:t xml:space="preserve"> užívať s jedlom alebo bez jedla.</w:t>
      </w:r>
    </w:p>
    <w:p w:rsidR="00CD3444" w:rsidRDefault="00CD3444">
      <w:pPr>
        <w:rPr>
          <w:rFonts w:ascii="Times New Roman" w:hAnsi="Times New Roman"/>
          <w:b/>
          <w:sz w:val="22"/>
          <w:szCs w:val="22"/>
        </w:rPr>
      </w:pPr>
    </w:p>
    <w:p w:rsidR="00CD3444" w:rsidRPr="00036F94" w:rsidRDefault="00823ED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pacientka zabudne užiť dávku, má ju užiť hneď, ako si spomenie.</w:t>
      </w:r>
      <w:r w:rsidR="00CD3444" w:rsidRPr="00036F94">
        <w:rPr>
          <w:rFonts w:ascii="Times New Roman" w:hAnsi="Times New Roman"/>
          <w:sz w:val="22"/>
          <w:szCs w:val="22"/>
        </w:rPr>
        <w:t xml:space="preserve"> </w:t>
      </w:r>
      <w:r w:rsidR="00E1477F">
        <w:rPr>
          <w:rFonts w:ascii="Times New Roman" w:hAnsi="Times New Roman"/>
          <w:sz w:val="22"/>
          <w:szCs w:val="22"/>
        </w:rPr>
        <w:t>Ale ak je už takmer</w:t>
      </w:r>
      <w:r w:rsidR="00FD139E" w:rsidRPr="00036F94">
        <w:rPr>
          <w:rFonts w:ascii="Times New Roman" w:hAnsi="Times New Roman"/>
          <w:sz w:val="22"/>
          <w:szCs w:val="22"/>
        </w:rPr>
        <w:t xml:space="preserve"> čas na ďalšiu dávku (</w:t>
      </w:r>
      <w:r w:rsidR="0024292E">
        <w:rPr>
          <w:rFonts w:ascii="Times New Roman" w:hAnsi="Times New Roman"/>
          <w:sz w:val="22"/>
          <w:szCs w:val="22"/>
        </w:rPr>
        <w:t>z</w:t>
      </w:r>
      <w:r w:rsidR="007736F5">
        <w:rPr>
          <w:rFonts w:ascii="Times New Roman" w:hAnsi="Times New Roman"/>
          <w:sz w:val="22"/>
          <w:szCs w:val="22"/>
        </w:rPr>
        <w:t>a 2 alebo</w:t>
      </w:r>
      <w:r w:rsidR="0024292E">
        <w:rPr>
          <w:rFonts w:ascii="Times New Roman" w:hAnsi="Times New Roman"/>
          <w:sz w:val="22"/>
          <w:szCs w:val="22"/>
        </w:rPr>
        <w:t xml:space="preserve"> 3 hodiny</w:t>
      </w:r>
      <w:r w:rsidR="00FD139E" w:rsidRPr="00036F94">
        <w:rPr>
          <w:rFonts w:ascii="Times New Roman" w:hAnsi="Times New Roman"/>
          <w:sz w:val="22"/>
          <w:szCs w:val="22"/>
        </w:rPr>
        <w:t xml:space="preserve">), </w:t>
      </w:r>
      <w:r w:rsidR="008C6CCF">
        <w:rPr>
          <w:rFonts w:ascii="Times New Roman" w:hAnsi="Times New Roman"/>
          <w:sz w:val="22"/>
          <w:szCs w:val="22"/>
        </w:rPr>
        <w:t>zabudnutú dávku</w:t>
      </w:r>
      <w:r w:rsidR="00FD139E">
        <w:rPr>
          <w:rFonts w:ascii="Times New Roman" w:hAnsi="Times New Roman"/>
          <w:sz w:val="22"/>
          <w:szCs w:val="22"/>
        </w:rPr>
        <w:t xml:space="preserve"> má vynechať a</w:t>
      </w:r>
      <w:r w:rsidR="008C6CCF">
        <w:rPr>
          <w:rFonts w:ascii="Times New Roman" w:hAnsi="Times New Roman"/>
          <w:sz w:val="22"/>
          <w:szCs w:val="22"/>
        </w:rPr>
        <w:t xml:space="preserve"> má sa </w:t>
      </w:r>
      <w:r w:rsidR="00FD139E">
        <w:rPr>
          <w:rFonts w:ascii="Times New Roman" w:hAnsi="Times New Roman"/>
          <w:sz w:val="22"/>
          <w:szCs w:val="22"/>
        </w:rPr>
        <w:t>vrátiť k</w:t>
      </w:r>
      <w:r w:rsidR="008C6CCF">
        <w:rPr>
          <w:rFonts w:ascii="Times New Roman" w:hAnsi="Times New Roman"/>
          <w:sz w:val="22"/>
          <w:szCs w:val="22"/>
        </w:rPr>
        <w:t> </w:t>
      </w:r>
      <w:r w:rsidR="00FD139E">
        <w:rPr>
          <w:rFonts w:ascii="Times New Roman" w:hAnsi="Times New Roman"/>
          <w:sz w:val="22"/>
          <w:szCs w:val="22"/>
        </w:rPr>
        <w:t>svojmu</w:t>
      </w:r>
      <w:r w:rsidR="008C6CCF">
        <w:rPr>
          <w:rFonts w:ascii="Times New Roman" w:hAnsi="Times New Roman"/>
          <w:sz w:val="22"/>
          <w:szCs w:val="22"/>
        </w:rPr>
        <w:t xml:space="preserve"> pravidelnému</w:t>
      </w:r>
      <w:r w:rsidR="00FD139E">
        <w:rPr>
          <w:rFonts w:ascii="Times New Roman" w:hAnsi="Times New Roman"/>
          <w:sz w:val="22"/>
          <w:szCs w:val="22"/>
        </w:rPr>
        <w:t xml:space="preserve"> </w:t>
      </w:r>
      <w:r w:rsidR="00FD139E" w:rsidRPr="006E02E5">
        <w:rPr>
          <w:rFonts w:ascii="Times New Roman" w:hAnsi="Times New Roman"/>
          <w:sz w:val="22"/>
          <w:szCs w:val="22"/>
        </w:rPr>
        <w:t>dávkovaciemu režimu</w:t>
      </w:r>
      <w:r w:rsidR="00FD139E">
        <w:rPr>
          <w:rFonts w:ascii="Times New Roman" w:hAnsi="Times New Roman"/>
          <w:sz w:val="22"/>
          <w:szCs w:val="22"/>
        </w:rPr>
        <w:t xml:space="preserve">. Nemajú sa užívať dvojnásobné dávky, pretože pri dávkach nad odporúčanú dennú dávku 2,5 mg sa pozorovala </w:t>
      </w:r>
      <w:r w:rsidR="00FD139E" w:rsidRPr="003A7FD3">
        <w:rPr>
          <w:rFonts w:ascii="Times New Roman" w:hAnsi="Times New Roman"/>
          <w:sz w:val="22"/>
          <w:szCs w:val="22"/>
        </w:rPr>
        <w:t>nadmerná</w:t>
      </w:r>
      <w:r w:rsidR="00FD139E">
        <w:rPr>
          <w:rFonts w:ascii="Times New Roman" w:hAnsi="Times New Roman"/>
          <w:sz w:val="22"/>
          <w:szCs w:val="22"/>
        </w:rPr>
        <w:t xml:space="preserve"> systémová expozícia (pozri časť 5.2).</w:t>
      </w:r>
    </w:p>
    <w:p w:rsidR="005F040D" w:rsidRPr="00036F94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4.3</w:t>
      </w:r>
      <w:r>
        <w:rPr>
          <w:rFonts w:ascii="Times New Roman" w:hAnsi="Times New Roman"/>
          <w:b/>
          <w:noProof/>
          <w:sz w:val="22"/>
          <w:szCs w:val="22"/>
        </w:rPr>
        <w:tab/>
        <w:t xml:space="preserve">Kontraindikácie 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 w:rsidP="00036F9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Precitlivenosť na liečivo alebo na ktorúkoľvek z pomocných látok</w:t>
      </w:r>
      <w:r w:rsidR="00FD139E">
        <w:rPr>
          <w:rFonts w:ascii="Times New Roman" w:hAnsi="Times New Roman"/>
          <w:sz w:val="22"/>
          <w:szCs w:val="22"/>
        </w:rPr>
        <w:t xml:space="preserve"> uvedených v časti 6.1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FD139E" w:rsidRDefault="005F040D" w:rsidP="00036F94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Predmenopauzálny endokrinný stav</w:t>
      </w:r>
      <w:r w:rsidR="00FD139E">
        <w:rPr>
          <w:rFonts w:ascii="Times New Roman" w:hAnsi="Times New Roman"/>
          <w:sz w:val="22"/>
          <w:szCs w:val="22"/>
        </w:rPr>
        <w:t>.</w:t>
      </w:r>
    </w:p>
    <w:p w:rsidR="005F040D" w:rsidRDefault="00FD139E" w:rsidP="00036F94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</w:t>
      </w:r>
      <w:r w:rsidR="005F040D">
        <w:rPr>
          <w:rFonts w:ascii="Times New Roman" w:hAnsi="Times New Roman"/>
          <w:sz w:val="22"/>
          <w:szCs w:val="22"/>
        </w:rPr>
        <w:t>ravidita (pozri časti 4.6).</w:t>
      </w:r>
    </w:p>
    <w:p w:rsidR="00FD139E" w:rsidRDefault="00FD139E" w:rsidP="00036F9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Laktácia (pozri časť 4.6).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4.4</w:t>
      </w:r>
      <w:r>
        <w:rPr>
          <w:rFonts w:ascii="Times New Roman" w:hAnsi="Times New Roman"/>
          <w:b/>
          <w:noProof/>
          <w:sz w:val="22"/>
          <w:szCs w:val="22"/>
        </w:rPr>
        <w:tab/>
        <w:t>Osobitné upozornenia a opatrenia pri používaní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FD139E" w:rsidRPr="00D14692" w:rsidRDefault="00FD139E" w:rsidP="00FD139E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D14692">
        <w:rPr>
          <w:i/>
          <w:sz w:val="22"/>
          <w:szCs w:val="22"/>
          <w:lang w:val="sk-SK"/>
        </w:rPr>
        <w:t>Menopauzálny stav</w:t>
      </w:r>
    </w:p>
    <w:p w:rsidR="00D14692" w:rsidRPr="00D14692" w:rsidRDefault="00D14692" w:rsidP="00FD139E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</w:p>
    <w:p w:rsidR="00FD139E" w:rsidRPr="00FE017F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FE017F">
        <w:rPr>
          <w:sz w:val="22"/>
          <w:szCs w:val="22"/>
          <w:lang w:val="sk-SK"/>
        </w:rPr>
        <w:t>U pacientok s nejasným menopauzálnym stavom sa majú pred začatím liečby</w:t>
      </w:r>
      <w:r w:rsidRPr="00146D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letrozolom</w:t>
      </w:r>
      <w:r w:rsidRPr="00FE017F">
        <w:rPr>
          <w:sz w:val="22"/>
          <w:szCs w:val="22"/>
          <w:lang w:val="sk-SK"/>
        </w:rPr>
        <w:t xml:space="preserve"> stanoviť koncentrácie luteinizačného hormónu (LH), folikuly stimulujúceho hormónu (FSH) a/alebo estradiolu. </w:t>
      </w:r>
      <w:r>
        <w:rPr>
          <w:sz w:val="22"/>
          <w:szCs w:val="22"/>
          <w:lang w:val="sk-SK"/>
        </w:rPr>
        <w:t>Letrozol</w:t>
      </w:r>
      <w:r w:rsidRPr="00FE017F">
        <w:rPr>
          <w:sz w:val="22"/>
          <w:szCs w:val="22"/>
          <w:lang w:val="sk-SK"/>
        </w:rPr>
        <w:t xml:space="preserve"> majú dostať len ženy s postmenopauzálnym endokrinným stavom.</w:t>
      </w:r>
    </w:p>
    <w:p w:rsidR="00FD139E" w:rsidRPr="00FE017F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FD139E" w:rsidRDefault="00FD139E" w:rsidP="00FD139E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D14692">
        <w:rPr>
          <w:i/>
          <w:sz w:val="22"/>
          <w:szCs w:val="22"/>
          <w:lang w:val="sk-SK"/>
        </w:rPr>
        <w:t>Porucha funkcie obličiek</w:t>
      </w:r>
    </w:p>
    <w:p w:rsidR="00D14692" w:rsidRPr="00D14692" w:rsidRDefault="00D14692" w:rsidP="00FD139E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FD139E" w:rsidRPr="00FE017F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Letrozol</w:t>
      </w:r>
      <w:r w:rsidRPr="00FE017F">
        <w:rPr>
          <w:sz w:val="22"/>
          <w:szCs w:val="22"/>
          <w:lang w:val="sk-SK"/>
        </w:rPr>
        <w:t xml:space="preserve"> sa neskúšal u dostatočného počtu pacientok s klírensom kreatinínu nižším ako 10 ml/min. </w:t>
      </w:r>
      <w:r w:rsidRPr="00FE017F">
        <w:rPr>
          <w:sz w:val="22"/>
          <w:szCs w:val="22"/>
          <w:lang w:val="sk-SK"/>
        </w:rPr>
        <w:lastRenderedPageBreak/>
        <w:t xml:space="preserve">Možné riziko/prínos pre takéto pacientky sa má starostlivo zvážiť pred podaním </w:t>
      </w:r>
      <w:r>
        <w:rPr>
          <w:sz w:val="22"/>
          <w:szCs w:val="22"/>
          <w:lang w:val="sk-SK"/>
        </w:rPr>
        <w:t>letrozolu</w:t>
      </w:r>
      <w:r w:rsidRPr="00FE017F">
        <w:rPr>
          <w:sz w:val="22"/>
          <w:szCs w:val="22"/>
          <w:lang w:val="sk-SK"/>
        </w:rPr>
        <w:t>.</w:t>
      </w:r>
    </w:p>
    <w:p w:rsidR="00FD139E" w:rsidRPr="00FE017F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FD139E" w:rsidRDefault="00FD139E" w:rsidP="00FD139E">
      <w:pPr>
        <w:pStyle w:val="Text"/>
        <w:keepNext/>
        <w:spacing w:before="0"/>
        <w:jc w:val="left"/>
        <w:rPr>
          <w:i/>
          <w:sz w:val="22"/>
          <w:szCs w:val="22"/>
          <w:lang w:val="sk-SK"/>
        </w:rPr>
      </w:pPr>
      <w:r w:rsidRPr="00D14692">
        <w:rPr>
          <w:i/>
          <w:sz w:val="22"/>
          <w:szCs w:val="22"/>
          <w:lang w:val="sk-SK"/>
        </w:rPr>
        <w:t>Porucha funkcie pečene</w:t>
      </w:r>
    </w:p>
    <w:p w:rsidR="00D14692" w:rsidRPr="00D14692" w:rsidRDefault="00D14692" w:rsidP="00FD139E">
      <w:pPr>
        <w:pStyle w:val="Text"/>
        <w:keepNext/>
        <w:spacing w:before="0"/>
        <w:jc w:val="left"/>
        <w:rPr>
          <w:i/>
          <w:sz w:val="22"/>
          <w:szCs w:val="22"/>
          <w:lang w:val="sk-SK"/>
        </w:rPr>
      </w:pPr>
    </w:p>
    <w:p w:rsidR="00FD139E" w:rsidRPr="00146DF4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146DF4">
        <w:rPr>
          <w:sz w:val="22"/>
          <w:szCs w:val="22"/>
          <w:lang w:val="sk-SK"/>
        </w:rPr>
        <w:t>U pacientok s ťažkou poruchou funkcie pečene (trieda C podľa Childa-Pugha) sa systémová expozícia a konečný polčas približne zdvojnásobili v porovnaní so zdravými dobrovoľníčkami. Takéto pacientky majú byť preto pod dôsledným dohľadom (pozri časť 5.2).</w:t>
      </w:r>
    </w:p>
    <w:p w:rsidR="00FD139E" w:rsidRPr="00045C14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FD139E" w:rsidRDefault="00FD139E" w:rsidP="00FD139E">
      <w:pPr>
        <w:keepNext/>
        <w:rPr>
          <w:rFonts w:ascii="Times New Roman" w:hAnsi="Times New Roman"/>
          <w:i/>
          <w:sz w:val="22"/>
          <w:szCs w:val="22"/>
        </w:rPr>
      </w:pPr>
      <w:r w:rsidRPr="00D14692">
        <w:rPr>
          <w:rFonts w:ascii="Times New Roman" w:hAnsi="Times New Roman"/>
          <w:i/>
          <w:sz w:val="22"/>
          <w:szCs w:val="22"/>
        </w:rPr>
        <w:t>Účinky na kosti</w:t>
      </w:r>
    </w:p>
    <w:p w:rsidR="00D14692" w:rsidRPr="00D14692" w:rsidRDefault="00D14692" w:rsidP="00FD139E">
      <w:pPr>
        <w:keepNext/>
        <w:rPr>
          <w:rFonts w:ascii="Times New Roman" w:hAnsi="Times New Roman"/>
          <w:i/>
          <w:sz w:val="22"/>
          <w:szCs w:val="22"/>
        </w:rPr>
      </w:pPr>
    </w:p>
    <w:p w:rsidR="00FD139E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036F94">
        <w:rPr>
          <w:sz w:val="22"/>
          <w:szCs w:val="22"/>
          <w:lang w:val="sk-SK"/>
        </w:rPr>
        <w:t xml:space="preserve">Letrozol je látka so silným účinkom znižujúcim koncentrácie estrogénov. Ženám, ktoré majú v anamnéze osteoporózu a/alebo zlomeniny kostí, alebo u ktorých je zvýšené riziko osteoporózy, sa má pred začatím adjuvantnej a dlhodobej adjuvantnej liečby formálne stanoviť minerálna denzita kostí, ktorú je potrebné sledovať počas liečby letrozolom a po nej. Liečba alebo prevencia osteoporózy sa má začať podľa potreby a starostlivo sledovať. Pri adjuvantnom používaní možno tiež zvážiť sekvenčný plán liečby (letrozol 2 roky, potom tamoxifén 3 roky) v závislosti od profilu bezpečnosti pacientky (pozri časti 4.2, </w:t>
      </w:r>
      <w:smartTag w:uri="urn:schemas-microsoft-com:office:smarttags" w:element="metricconverter">
        <w:smartTagPr>
          <w:attr w:name="ProductID" w:val="4.8 a"/>
        </w:smartTagPr>
        <w:r w:rsidRPr="00036F94">
          <w:rPr>
            <w:sz w:val="22"/>
            <w:szCs w:val="22"/>
            <w:lang w:val="sk-SK"/>
          </w:rPr>
          <w:t>4.8 a</w:t>
        </w:r>
      </w:smartTag>
      <w:r w:rsidRPr="00036F94">
        <w:rPr>
          <w:sz w:val="22"/>
          <w:szCs w:val="22"/>
          <w:lang w:val="sk-SK"/>
        </w:rPr>
        <w:t xml:space="preserve"> 5.1).</w:t>
      </w:r>
    </w:p>
    <w:p w:rsidR="00DE7BB3" w:rsidRPr="00DE7BB3" w:rsidRDefault="00DE7BB3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DE7BB3" w:rsidRPr="00DE7BB3" w:rsidRDefault="00DE7BB3" w:rsidP="00DE7BB3">
      <w:p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2"/>
          <w:szCs w:val="22"/>
          <w:lang w:eastAsia="sk-SK"/>
        </w:rPr>
      </w:pPr>
      <w:r w:rsidRPr="00DE7BB3">
        <w:rPr>
          <w:rFonts w:ascii="Times New Roman" w:hAnsi="Times New Roman"/>
          <w:bCs/>
          <w:i/>
          <w:color w:val="000000"/>
          <w:sz w:val="22"/>
          <w:szCs w:val="22"/>
          <w:lang w:eastAsia="sk-SK"/>
        </w:rPr>
        <w:t xml:space="preserve">Tendinitída a pretrhnutie šľachy </w:t>
      </w:r>
    </w:p>
    <w:p w:rsidR="00DE7BB3" w:rsidRPr="00DE7BB3" w:rsidRDefault="00DE7BB3" w:rsidP="00DE7BB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DE7BB3" w:rsidRPr="00DE7BB3" w:rsidRDefault="00DE7BB3" w:rsidP="00DE7BB3">
      <w:pPr>
        <w:pStyle w:val="Text"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DE7BB3">
        <w:rPr>
          <w:bCs/>
          <w:color w:val="000000"/>
          <w:sz w:val="22"/>
          <w:szCs w:val="22"/>
          <w:lang w:val="sk-SK" w:eastAsia="sk-SK"/>
        </w:rPr>
        <w:t>Môže sa vyskytnúť tendinitída a (v zriedkavých prípadoch) pretrhnutie šľachy. Pacientov je potrebné pozorne sledovať a v prípade postihnutia šľachy je potrebné prijať primerané opatrenia (napr. šľachu imobilizovať) (pozri časť 4.8).</w:t>
      </w:r>
    </w:p>
    <w:p w:rsidR="00FD139E" w:rsidRPr="009E27CE" w:rsidRDefault="00FD139E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FD139E" w:rsidRDefault="00FD139E" w:rsidP="00FD139E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D14692">
        <w:rPr>
          <w:i/>
          <w:sz w:val="22"/>
          <w:szCs w:val="22"/>
          <w:lang w:val="sk-SK"/>
        </w:rPr>
        <w:t xml:space="preserve">Ďalšie </w:t>
      </w:r>
      <w:r w:rsidR="002B1121" w:rsidRPr="00D14692">
        <w:rPr>
          <w:i/>
          <w:sz w:val="22"/>
          <w:szCs w:val="22"/>
          <w:lang w:val="sk-SK"/>
        </w:rPr>
        <w:t>upozornenia</w:t>
      </w:r>
    </w:p>
    <w:p w:rsidR="00D14692" w:rsidRPr="00D14692" w:rsidRDefault="00D14692" w:rsidP="00FD139E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FD139E" w:rsidRPr="009E27CE" w:rsidRDefault="007A56FC" w:rsidP="00FD139E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potrebné vyhnúť sa s</w:t>
      </w:r>
      <w:r w:rsidR="00FD139E" w:rsidRPr="009E27CE">
        <w:rPr>
          <w:sz w:val="22"/>
          <w:szCs w:val="22"/>
          <w:lang w:val="sk-SK"/>
        </w:rPr>
        <w:t xml:space="preserve">úbežnému použitiu </w:t>
      </w:r>
      <w:r w:rsidR="00FD139E">
        <w:rPr>
          <w:sz w:val="22"/>
          <w:szCs w:val="22"/>
          <w:lang w:val="sk-SK"/>
        </w:rPr>
        <w:t>letrozolu</w:t>
      </w:r>
      <w:r w:rsidR="00FD139E" w:rsidRPr="009E27CE">
        <w:rPr>
          <w:sz w:val="22"/>
          <w:szCs w:val="22"/>
          <w:lang w:val="sk-SK"/>
        </w:rPr>
        <w:t xml:space="preserve"> s tamoxifénom, inými </w:t>
      </w:r>
      <w:r w:rsidR="00FD139E" w:rsidRPr="00527098">
        <w:rPr>
          <w:sz w:val="22"/>
          <w:szCs w:val="22"/>
          <w:lang w:val="sk-SK"/>
        </w:rPr>
        <w:t xml:space="preserve">antiestrogénnymi látkami alebo </w:t>
      </w:r>
      <w:r w:rsidR="00527098">
        <w:rPr>
          <w:sz w:val="22"/>
          <w:szCs w:val="22"/>
          <w:lang w:val="sk-SK"/>
        </w:rPr>
        <w:t>inou liečbou zahŕňajúcou</w:t>
      </w:r>
      <w:r w:rsidR="00FD139E" w:rsidRPr="00527098">
        <w:rPr>
          <w:sz w:val="22"/>
          <w:szCs w:val="22"/>
          <w:lang w:val="sk-SK"/>
        </w:rPr>
        <w:t xml:space="preserve"> estrogény</w:t>
      </w:r>
      <w:r w:rsidR="00FD139E" w:rsidRPr="009E27CE">
        <w:rPr>
          <w:sz w:val="22"/>
          <w:szCs w:val="22"/>
          <w:lang w:val="sk-SK"/>
        </w:rPr>
        <w:t>, pretože tieto látky môžu znížiť farmakologický účinok letrozolu (pozri časť 4.5).</w:t>
      </w:r>
    </w:p>
    <w:p w:rsidR="005F040D" w:rsidRDefault="005F040D" w:rsidP="00FD139E">
      <w:pPr>
        <w:rPr>
          <w:rFonts w:ascii="Times New Roman" w:hAnsi="Times New Roman"/>
          <w:sz w:val="22"/>
          <w:szCs w:val="22"/>
        </w:rPr>
      </w:pPr>
    </w:p>
    <w:p w:rsidR="00DE7BB3" w:rsidRPr="00DE7BB3" w:rsidRDefault="00DE7BB3" w:rsidP="00FD139E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Pomocné látky</w:t>
      </w:r>
    </w:p>
    <w:p w:rsidR="00DE7BB3" w:rsidRDefault="00DE7BB3">
      <w:pPr>
        <w:rPr>
          <w:rFonts w:ascii="Times New Roman" w:hAnsi="Times New Roman"/>
          <w:sz w:val="22"/>
          <w:szCs w:val="22"/>
        </w:rPr>
      </w:pPr>
    </w:p>
    <w:p w:rsidR="00DE7BB3" w:rsidRDefault="00DE7BB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Laktóza: </w:t>
      </w:r>
      <w:r>
        <w:rPr>
          <w:rFonts w:ascii="Times New Roman" w:hAnsi="Times New Roman"/>
          <w:sz w:val="22"/>
          <w:szCs w:val="22"/>
        </w:rPr>
        <w:tab/>
      </w:r>
      <w:r w:rsidR="00603A0F">
        <w:rPr>
          <w:rFonts w:ascii="Times New Roman" w:hAnsi="Times New Roman"/>
          <w:sz w:val="22"/>
          <w:szCs w:val="22"/>
        </w:rPr>
        <w:t>Pacientky</w:t>
      </w:r>
      <w:r w:rsidR="00FD139E" w:rsidRPr="00036F94">
        <w:rPr>
          <w:rFonts w:ascii="Times New Roman" w:hAnsi="Times New Roman"/>
          <w:sz w:val="22"/>
          <w:szCs w:val="22"/>
          <w:lang w:val="pt-PT"/>
        </w:rPr>
        <w:t xml:space="preserve"> so zriedkavými dedičnými problémami </w:t>
      </w:r>
      <w:r w:rsidR="00FD139E" w:rsidRPr="00036F94">
        <w:rPr>
          <w:rFonts w:ascii="Times New Roman" w:hAnsi="Times New Roman"/>
          <w:sz w:val="22"/>
          <w:szCs w:val="22"/>
        </w:rPr>
        <w:t xml:space="preserve">galaktózovej intolerancie, </w:t>
      </w:r>
    </w:p>
    <w:p w:rsidR="00DE7BB3" w:rsidRDefault="00DE7BB3">
      <w:pPr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celkovým </w:t>
      </w:r>
      <w:r w:rsidR="00FD139E" w:rsidRPr="00036F94">
        <w:rPr>
          <w:rFonts w:ascii="Times New Roman" w:hAnsi="Times New Roman"/>
          <w:sz w:val="22"/>
          <w:szCs w:val="22"/>
        </w:rPr>
        <w:t>deficit</w:t>
      </w:r>
      <w:r>
        <w:rPr>
          <w:rFonts w:ascii="Times New Roman" w:hAnsi="Times New Roman"/>
          <w:sz w:val="22"/>
          <w:szCs w:val="22"/>
        </w:rPr>
        <w:t>om</w:t>
      </w:r>
      <w:r w:rsidR="00FD139E" w:rsidRPr="00036F94">
        <w:rPr>
          <w:rFonts w:ascii="Times New Roman" w:hAnsi="Times New Roman"/>
          <w:sz w:val="22"/>
          <w:szCs w:val="22"/>
        </w:rPr>
        <w:t xml:space="preserve"> laktázy alebo glukózo-galaktózov</w:t>
      </w:r>
      <w:r>
        <w:rPr>
          <w:rFonts w:ascii="Times New Roman" w:hAnsi="Times New Roman"/>
          <w:sz w:val="22"/>
          <w:szCs w:val="22"/>
        </w:rPr>
        <w:t>ou</w:t>
      </w:r>
      <w:r w:rsidR="00FD139E" w:rsidRPr="00036F94">
        <w:rPr>
          <w:rFonts w:ascii="Times New Roman" w:hAnsi="Times New Roman"/>
          <w:sz w:val="22"/>
          <w:szCs w:val="22"/>
        </w:rPr>
        <w:t xml:space="preserve"> malabsorpci</w:t>
      </w:r>
      <w:r>
        <w:rPr>
          <w:rFonts w:ascii="Times New Roman" w:hAnsi="Times New Roman"/>
          <w:sz w:val="22"/>
          <w:szCs w:val="22"/>
        </w:rPr>
        <w:t>ou</w:t>
      </w:r>
      <w:r w:rsidR="00FD139E" w:rsidRPr="00036F94">
        <w:rPr>
          <w:rFonts w:ascii="Times New Roman" w:hAnsi="Times New Roman"/>
          <w:sz w:val="22"/>
          <w:szCs w:val="22"/>
        </w:rPr>
        <w:t xml:space="preserve"> nesmú</w:t>
      </w:r>
      <w:r w:rsidR="00FD139E" w:rsidRPr="00036F94">
        <w:rPr>
          <w:rFonts w:ascii="Times New Roman" w:hAnsi="Times New Roman"/>
          <w:sz w:val="22"/>
          <w:szCs w:val="22"/>
          <w:lang w:val="pt-PT"/>
        </w:rPr>
        <w:t xml:space="preserve"> </w:t>
      </w:r>
    </w:p>
    <w:p w:rsidR="00FD139E" w:rsidRDefault="00DE7BB3">
      <w:pPr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sz w:val="22"/>
          <w:szCs w:val="22"/>
          <w:lang w:val="pt-PT"/>
        </w:rPr>
        <w:tab/>
      </w:r>
      <w:r>
        <w:rPr>
          <w:rFonts w:ascii="Times New Roman" w:hAnsi="Times New Roman"/>
          <w:sz w:val="22"/>
          <w:szCs w:val="22"/>
          <w:lang w:val="pt-PT"/>
        </w:rPr>
        <w:tab/>
      </w:r>
      <w:r w:rsidR="00FD139E" w:rsidRPr="00036F94">
        <w:rPr>
          <w:rFonts w:ascii="Times New Roman" w:hAnsi="Times New Roman"/>
          <w:sz w:val="22"/>
          <w:szCs w:val="22"/>
          <w:lang w:val="pt-PT"/>
        </w:rPr>
        <w:t>užívať tento liek.</w:t>
      </w:r>
    </w:p>
    <w:p w:rsidR="00FD139E" w:rsidRPr="00DE7BB3" w:rsidRDefault="00FD139E">
      <w:pPr>
        <w:rPr>
          <w:rFonts w:ascii="Times New Roman" w:hAnsi="Times New Roman"/>
          <w:sz w:val="22"/>
          <w:szCs w:val="22"/>
        </w:rPr>
      </w:pPr>
    </w:p>
    <w:p w:rsidR="00DE7BB3" w:rsidRDefault="00DE7BB3" w:rsidP="00DE7BB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DE7BB3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Sodík: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ab/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ab/>
      </w:r>
      <w:r w:rsidRPr="00DE7BB3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Tento liek obsahuje menej ako 1 mmol sodíka (23 mg)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v tablete,</w:t>
      </w:r>
      <w:r w:rsidRPr="00DE7BB3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t.j. v podstate </w:t>
      </w:r>
    </w:p>
    <w:p w:rsidR="00DE7BB3" w:rsidRPr="00DE7BB3" w:rsidRDefault="00DE7BB3" w:rsidP="00DE7BB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ab/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ab/>
      </w:r>
      <w:r w:rsidRPr="00DE7BB3">
        <w:rPr>
          <w:rFonts w:ascii="Times New Roman" w:hAnsi="Times New Roman"/>
          <w:color w:val="000000"/>
          <w:sz w:val="22"/>
          <w:szCs w:val="22"/>
          <w:lang w:eastAsia="sk-SK"/>
        </w:rPr>
        <w:t>zanedbateľné množstvo sodíka.</w:t>
      </w:r>
    </w:p>
    <w:p w:rsidR="00DE7BB3" w:rsidRPr="00FE017F" w:rsidRDefault="00DE7BB3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4.5</w:t>
      </w:r>
      <w:r>
        <w:rPr>
          <w:rFonts w:ascii="Times New Roman" w:hAnsi="Times New Roman"/>
          <w:b/>
          <w:noProof/>
          <w:sz w:val="22"/>
          <w:szCs w:val="22"/>
        </w:rPr>
        <w:tab/>
        <w:t>Liekové a iné interakcie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>Metabolizmus letrozolu je čiastočne sprostredkovaný CYP2A6 a CYP3A4. Cimetidín, slabý nešpecifický inhibítor enzýmov CYP450, neovplyvnil koncentrácie letrozolu v plazme. Účinok silných inhibítorov CYP450 nie je známy.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Doteraz nie sú klinické skúsenosti s použitím </w:t>
      </w:r>
      <w:r>
        <w:rPr>
          <w:sz w:val="22"/>
          <w:szCs w:val="22"/>
          <w:lang w:val="sk-SK"/>
        </w:rPr>
        <w:t>letrozolu</w:t>
      </w:r>
      <w:r w:rsidRPr="009E27CE">
        <w:rPr>
          <w:sz w:val="22"/>
          <w:szCs w:val="22"/>
          <w:lang w:val="sk-SK"/>
        </w:rPr>
        <w:t xml:space="preserve"> v kombinácii </w:t>
      </w:r>
      <w:r>
        <w:rPr>
          <w:sz w:val="22"/>
          <w:szCs w:val="22"/>
          <w:lang w:val="sk-SK"/>
        </w:rPr>
        <w:t xml:space="preserve">s </w:t>
      </w:r>
      <w:r w:rsidRPr="009E27CE">
        <w:rPr>
          <w:sz w:val="22"/>
          <w:szCs w:val="22"/>
          <w:lang w:val="sk-SK"/>
        </w:rPr>
        <w:t xml:space="preserve">estrogénmi alebo inými </w:t>
      </w:r>
      <w:r w:rsidRPr="00B315D4">
        <w:rPr>
          <w:sz w:val="22"/>
          <w:szCs w:val="22"/>
          <w:lang w:val="sk-SK"/>
        </w:rPr>
        <w:t>antineoplastickými</w:t>
      </w:r>
      <w:r w:rsidRPr="009E27CE">
        <w:rPr>
          <w:sz w:val="22"/>
          <w:szCs w:val="22"/>
          <w:lang w:val="sk-SK"/>
        </w:rPr>
        <w:t xml:space="preserve"> látkami okrem tamoxifénu. Tamoxifén, iné antiestrogénne látky alebo liečba zahŕňajúca estrogény môžu znížiť farmakologický účinok letrozolu. Okrem toho sa preukázalo, že súbežné podávanie tamoxifénu s letrozolom podstatne znižuje koncentrácie letrozolu v plazme. Je potrebné sa vyhnúť súbežnému použitiu letrozolu s tamoxifénom, inými antiestrogénnymi látkami alebo estrogénmi.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widowControl w:val="0"/>
        <w:tabs>
          <w:tab w:val="left" w:pos="567"/>
        </w:tabs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Letrozol inhibuje </w:t>
      </w:r>
      <w:r w:rsidRPr="009E27CE">
        <w:rPr>
          <w:i/>
          <w:sz w:val="22"/>
          <w:szCs w:val="22"/>
          <w:lang w:val="sk-SK"/>
        </w:rPr>
        <w:t>in vitro</w:t>
      </w:r>
      <w:r w:rsidRPr="009E27CE">
        <w:rPr>
          <w:sz w:val="22"/>
          <w:szCs w:val="22"/>
          <w:lang w:val="sk-SK"/>
        </w:rPr>
        <w:t xml:space="preserve"> </w:t>
      </w:r>
      <w:r w:rsidRPr="00B315D4">
        <w:rPr>
          <w:sz w:val="22"/>
          <w:szCs w:val="22"/>
          <w:lang w:val="sk-SK"/>
        </w:rPr>
        <w:t xml:space="preserve">izoenzýmy </w:t>
      </w:r>
      <w:r w:rsidR="00B315D4" w:rsidRPr="00B315D4">
        <w:rPr>
          <w:sz w:val="22"/>
          <w:szCs w:val="22"/>
          <w:lang w:val="sk-SK"/>
        </w:rPr>
        <w:t>cytochrómu P450</w:t>
      </w:r>
      <w:r w:rsidR="00B315D4">
        <w:rPr>
          <w:sz w:val="22"/>
          <w:szCs w:val="22"/>
          <w:lang w:val="sk-SK"/>
        </w:rPr>
        <w:t xml:space="preserve">: </w:t>
      </w:r>
      <w:r w:rsidRPr="00B315D4">
        <w:rPr>
          <w:sz w:val="22"/>
          <w:szCs w:val="22"/>
          <w:lang w:val="sk-SK"/>
        </w:rPr>
        <w:t>2A6 a mierne 2C19</w:t>
      </w:r>
      <w:r w:rsidRPr="009E27CE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avšak</w:t>
      </w:r>
      <w:r w:rsidRPr="009E27CE">
        <w:rPr>
          <w:sz w:val="22"/>
          <w:szCs w:val="22"/>
          <w:lang w:val="sk-SK"/>
        </w:rPr>
        <w:t xml:space="preserve"> klinický význam nie je známy. Pri podávaní letrozolu súbežne s liekmi, ktorých eliminácia závisí hlavne od týchto izoenzýmov a ktoré majú úzky terapeutický index (napr. fenytoín, klopidogrel), je preto potrebná opatrnosť.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lastRenderedPageBreak/>
        <w:t>4.6</w:t>
      </w:r>
      <w:r>
        <w:rPr>
          <w:rFonts w:ascii="Times New Roman" w:hAnsi="Times New Roman"/>
          <w:b/>
          <w:noProof/>
          <w:sz w:val="22"/>
          <w:szCs w:val="22"/>
        </w:rPr>
        <w:tab/>
      </w:r>
      <w:r w:rsidR="00DE7BB3">
        <w:rPr>
          <w:rFonts w:ascii="Times New Roman" w:hAnsi="Times New Roman"/>
          <w:b/>
          <w:noProof/>
          <w:sz w:val="22"/>
          <w:szCs w:val="22"/>
        </w:rPr>
        <w:t>Fertilita, g</w:t>
      </w:r>
      <w:r>
        <w:rPr>
          <w:rFonts w:ascii="Times New Roman" w:hAnsi="Times New Roman"/>
          <w:b/>
          <w:noProof/>
          <w:sz w:val="22"/>
          <w:szCs w:val="22"/>
        </w:rPr>
        <w:t>ravidita a laktácia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3D6F8B" w:rsidRDefault="00123DD5" w:rsidP="00123DD5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  <w:r w:rsidRPr="009E27CE">
        <w:rPr>
          <w:sz w:val="22"/>
          <w:szCs w:val="22"/>
          <w:u w:val="single"/>
          <w:lang w:val="sk-SK"/>
        </w:rPr>
        <w:t xml:space="preserve">Ženy </w:t>
      </w:r>
      <w:r w:rsidR="00F85EF9" w:rsidRPr="00AC1DFE">
        <w:rPr>
          <w:sz w:val="22"/>
          <w:szCs w:val="22"/>
          <w:u w:val="single"/>
          <w:lang w:val="sk-SK"/>
        </w:rPr>
        <w:t>v</w:t>
      </w:r>
      <w:r w:rsidR="008C31CA" w:rsidRPr="00AC1DFE">
        <w:rPr>
          <w:sz w:val="22"/>
          <w:szCs w:val="22"/>
          <w:u w:val="single"/>
          <w:lang w:val="sk-SK"/>
        </w:rPr>
        <w:t> perimenopauzálnom stave</w:t>
      </w:r>
      <w:r w:rsidR="00185505">
        <w:rPr>
          <w:sz w:val="22"/>
          <w:szCs w:val="22"/>
          <w:u w:val="single"/>
          <w:lang w:val="sk-SK"/>
        </w:rPr>
        <w:t xml:space="preserve"> alebo fertilnom veku</w:t>
      </w:r>
    </w:p>
    <w:p w:rsidR="00123DD5" w:rsidRPr="009E27CE" w:rsidRDefault="00123DD5" w:rsidP="00123DD5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</w:p>
    <w:p w:rsidR="00123DD5" w:rsidRPr="009E27CE" w:rsidRDefault="00123DD5" w:rsidP="00123DD5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 sa má používať len u žien s jasne preukázaným postmenopauzálnym stavom (pozri časť 4.4). Keďže sú hlásenia o ženách, ktorým sa obnovila funkcia vaječníkov počas liečby </w:t>
      </w:r>
      <w:r>
        <w:rPr>
          <w:rFonts w:ascii="Times New Roman" w:hAnsi="Times New Roman"/>
          <w:sz w:val="22"/>
          <w:szCs w:val="22"/>
        </w:rPr>
        <w:t>letrozolom</w:t>
      </w:r>
      <w:r w:rsidRPr="009E27CE">
        <w:rPr>
          <w:rFonts w:ascii="Times New Roman" w:hAnsi="Times New Roman"/>
          <w:sz w:val="22"/>
          <w:szCs w:val="22"/>
        </w:rPr>
        <w:t xml:space="preserve"> napriek jasnému postmenopauzálnemu stavu na začiatku liečby, lekár má s pacientkou prediskutovať vhodnú antikoncepciu, keď je to potrebné.</w:t>
      </w:r>
    </w:p>
    <w:p w:rsidR="00123DD5" w:rsidRPr="009E27CE" w:rsidRDefault="00123DD5" w:rsidP="00123DD5">
      <w:pPr>
        <w:widowControl w:val="0"/>
        <w:rPr>
          <w:rFonts w:ascii="Times New Roman" w:hAnsi="Times New Roman"/>
          <w:sz w:val="22"/>
          <w:szCs w:val="22"/>
        </w:rPr>
      </w:pPr>
    </w:p>
    <w:p w:rsidR="00123DD5" w:rsidRDefault="00123DD5" w:rsidP="00123DD5">
      <w:pPr>
        <w:pStyle w:val="Text"/>
        <w:keepNext/>
        <w:spacing w:before="0"/>
        <w:jc w:val="left"/>
        <w:rPr>
          <w:noProof/>
          <w:sz w:val="22"/>
          <w:szCs w:val="22"/>
          <w:u w:val="single"/>
          <w:lang w:val="sk-SK"/>
        </w:rPr>
      </w:pPr>
      <w:r w:rsidRPr="009E27CE">
        <w:rPr>
          <w:noProof/>
          <w:sz w:val="22"/>
          <w:szCs w:val="22"/>
          <w:u w:val="single"/>
          <w:lang w:val="sk-SK"/>
        </w:rPr>
        <w:t>Gravidita</w:t>
      </w:r>
    </w:p>
    <w:p w:rsidR="003D6F8B" w:rsidRPr="009E27CE" w:rsidRDefault="003D6F8B" w:rsidP="00123DD5">
      <w:pPr>
        <w:pStyle w:val="Text"/>
        <w:keepNext/>
        <w:spacing w:before="0"/>
        <w:jc w:val="left"/>
        <w:rPr>
          <w:sz w:val="22"/>
          <w:szCs w:val="22"/>
          <w:u w:val="single"/>
          <w:lang w:val="sk-SK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Na základe skúseností u ľudí, </w:t>
      </w:r>
      <w:r w:rsidR="00C67401">
        <w:rPr>
          <w:sz w:val="22"/>
          <w:szCs w:val="22"/>
          <w:lang w:val="sk-SK"/>
        </w:rPr>
        <w:t>v rámci</w:t>
      </w:r>
      <w:r w:rsidRPr="009E27CE">
        <w:rPr>
          <w:sz w:val="22"/>
          <w:szCs w:val="22"/>
          <w:lang w:val="sk-SK"/>
        </w:rPr>
        <w:t xml:space="preserve"> ktorých sa vyskytli ojedinelé prípady vrodených chýb (</w:t>
      </w:r>
      <w:r w:rsidRPr="00BE5136">
        <w:rPr>
          <w:sz w:val="22"/>
          <w:szCs w:val="22"/>
          <w:lang w:val="sk-SK"/>
        </w:rPr>
        <w:t xml:space="preserve">fúzia labií, </w:t>
      </w:r>
      <w:bookmarkStart w:id="0" w:name="OLE_LINK2"/>
      <w:bookmarkStart w:id="1" w:name="OLE_LINK3"/>
      <w:r w:rsidRPr="00BE5136">
        <w:rPr>
          <w:sz w:val="22"/>
          <w:szCs w:val="22"/>
          <w:lang w:val="sk-SK"/>
        </w:rPr>
        <w:t>nejednoznačné</w:t>
      </w:r>
      <w:bookmarkEnd w:id="0"/>
      <w:bookmarkEnd w:id="1"/>
      <w:r w:rsidRPr="00BE5136">
        <w:rPr>
          <w:sz w:val="22"/>
          <w:szCs w:val="22"/>
          <w:lang w:val="sk-SK"/>
        </w:rPr>
        <w:t xml:space="preserve"> genitálie</w:t>
      </w:r>
      <w:r w:rsidRPr="009E27CE">
        <w:rPr>
          <w:sz w:val="22"/>
          <w:szCs w:val="22"/>
          <w:lang w:val="sk-SK"/>
        </w:rPr>
        <w:t xml:space="preserve">), môže </w:t>
      </w:r>
      <w:r w:rsidR="007366E5">
        <w:rPr>
          <w:sz w:val="22"/>
          <w:szCs w:val="22"/>
          <w:lang w:val="sk-SK"/>
        </w:rPr>
        <w:t xml:space="preserve">letrozol </w:t>
      </w:r>
      <w:r w:rsidRPr="009E27CE">
        <w:rPr>
          <w:sz w:val="22"/>
          <w:szCs w:val="22"/>
          <w:lang w:val="sk-SK"/>
        </w:rPr>
        <w:t xml:space="preserve">vyvolať vrodené malformácie, </w:t>
      </w:r>
      <w:r w:rsidR="00842500">
        <w:rPr>
          <w:sz w:val="22"/>
          <w:szCs w:val="22"/>
          <w:lang w:val="sk-SK"/>
        </w:rPr>
        <w:t>ak sa podáva</w:t>
      </w:r>
      <w:r w:rsidRPr="009E27CE">
        <w:rPr>
          <w:sz w:val="22"/>
          <w:szCs w:val="22"/>
          <w:lang w:val="sk-SK"/>
        </w:rPr>
        <w:t xml:space="preserve"> počas gravidity. Štúdie na zvieratách preukázali reprodukčnú toxicitu (pozri časť 5.3).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Letrozol</w:t>
      </w:r>
      <w:r w:rsidRPr="009E27CE">
        <w:rPr>
          <w:sz w:val="22"/>
          <w:szCs w:val="22"/>
          <w:lang w:val="sk-SK"/>
        </w:rPr>
        <w:t xml:space="preserve"> je kontraindikova</w:t>
      </w:r>
      <w:r>
        <w:rPr>
          <w:sz w:val="22"/>
          <w:szCs w:val="22"/>
          <w:lang w:val="sk-SK"/>
        </w:rPr>
        <w:t>ný</w:t>
      </w:r>
      <w:r w:rsidRPr="009E27CE">
        <w:rPr>
          <w:sz w:val="22"/>
          <w:szCs w:val="22"/>
          <w:lang w:val="sk-SK"/>
        </w:rPr>
        <w:t xml:space="preserve"> počas gravidity (pozri časti </w:t>
      </w:r>
      <w:smartTag w:uri="urn:schemas-microsoft-com:office:smarttags" w:element="metricconverter">
        <w:smartTagPr>
          <w:attr w:name="ProductID" w:val="4.3 a"/>
        </w:smartTagPr>
        <w:r w:rsidRPr="009E27CE">
          <w:rPr>
            <w:sz w:val="22"/>
            <w:szCs w:val="22"/>
            <w:lang w:val="sk-SK"/>
          </w:rPr>
          <w:t>4.3 a</w:t>
        </w:r>
      </w:smartTag>
      <w:r w:rsidRPr="009E27CE">
        <w:rPr>
          <w:sz w:val="22"/>
          <w:szCs w:val="22"/>
          <w:lang w:val="sk-SK"/>
        </w:rPr>
        <w:t xml:space="preserve"> 5.3).</w:t>
      </w:r>
    </w:p>
    <w:p w:rsidR="00123DD5" w:rsidRPr="009E27CE" w:rsidRDefault="00123DD5" w:rsidP="00123DD5">
      <w:pPr>
        <w:pStyle w:val="Text"/>
        <w:widowControl w:val="0"/>
        <w:spacing w:before="0"/>
        <w:rPr>
          <w:sz w:val="22"/>
          <w:szCs w:val="22"/>
          <w:lang w:val="sk-SK"/>
        </w:rPr>
      </w:pPr>
    </w:p>
    <w:p w:rsidR="00B729D6" w:rsidRPr="009E27CE" w:rsidRDefault="00DE7BB3" w:rsidP="00123DD5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  <w:r>
        <w:rPr>
          <w:noProof/>
          <w:sz w:val="22"/>
          <w:szCs w:val="22"/>
          <w:u w:val="single"/>
          <w:lang w:val="sk-SK"/>
        </w:rPr>
        <w:t>Dojčenie</w:t>
      </w:r>
    </w:p>
    <w:p w:rsidR="00123DD5" w:rsidRPr="009E27CE" w:rsidRDefault="00123DD5" w:rsidP="00123DD5">
      <w:pPr>
        <w:autoSpaceDE w:val="0"/>
        <w:autoSpaceDN w:val="0"/>
        <w:adjustRightInd w:val="0"/>
        <w:rPr>
          <w:rFonts w:ascii="Times New Roman" w:eastAsia="SimSun" w:hAnsi="Times New Roman"/>
          <w:color w:val="000000"/>
          <w:sz w:val="22"/>
          <w:szCs w:val="22"/>
          <w:lang w:eastAsia="zh-CN"/>
        </w:rPr>
      </w:pPr>
      <w:r w:rsidRPr="009E27CE">
        <w:rPr>
          <w:rFonts w:ascii="Times New Roman" w:hAnsi="Times New Roman"/>
          <w:sz w:val="22"/>
          <w:szCs w:val="22"/>
        </w:rPr>
        <w:t xml:space="preserve">Nie je známe, či sa letrozol a jeho metabolity vylučujú do ľudského mlieka. </w:t>
      </w:r>
      <w:r w:rsidRPr="009E27CE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Riziko u novorodencov/dojčiat 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>nemožno vylúčiť</w:t>
      </w:r>
      <w:r w:rsidRPr="009E27CE">
        <w:rPr>
          <w:rFonts w:ascii="Times New Roman" w:eastAsia="SimSun" w:hAnsi="Times New Roman"/>
          <w:color w:val="000000"/>
          <w:sz w:val="22"/>
          <w:szCs w:val="22"/>
          <w:lang w:eastAsia="zh-CN"/>
        </w:rPr>
        <w:t>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Letrozol</w:t>
      </w:r>
      <w:r w:rsidRPr="009E27CE">
        <w:rPr>
          <w:sz w:val="22"/>
          <w:szCs w:val="22"/>
          <w:lang w:val="sk-SK"/>
        </w:rPr>
        <w:t xml:space="preserve"> je kontraindikovan</w:t>
      </w:r>
      <w:r>
        <w:rPr>
          <w:sz w:val="22"/>
          <w:szCs w:val="22"/>
          <w:lang w:val="sk-SK"/>
        </w:rPr>
        <w:t>ý</w:t>
      </w:r>
      <w:r w:rsidRPr="009E27CE">
        <w:rPr>
          <w:sz w:val="22"/>
          <w:szCs w:val="22"/>
          <w:lang w:val="sk-SK"/>
        </w:rPr>
        <w:t xml:space="preserve"> počas laktácie (pozri časť 4.3).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  <w:r w:rsidRPr="009E27CE">
        <w:rPr>
          <w:sz w:val="22"/>
          <w:szCs w:val="22"/>
          <w:u w:val="single"/>
          <w:lang w:val="sk-SK"/>
        </w:rPr>
        <w:t>Fertilita</w:t>
      </w:r>
    </w:p>
    <w:p w:rsidR="00123DD5" w:rsidRPr="009E27CE" w:rsidRDefault="00123DD5" w:rsidP="00123DD5">
      <w:pPr>
        <w:widowControl w:val="0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Farmakologickým účinkom letrozolu je zníženie tvorby estrogénov inhibíciou aromatázy. U</w:t>
      </w:r>
      <w:r w:rsidR="00CD74FB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premenopauzálnych žien vyvoláva inhibícia syntézy estrogénov reaktívne zvýšenie koncentrácií gonadotropínov (LH, FSH). Zvýšené koncentrácie FSH potom stimulujú rast folikulov a môžu vyvolať ovuláciu.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4.7</w:t>
      </w:r>
      <w:r>
        <w:rPr>
          <w:rFonts w:ascii="Times New Roman" w:hAnsi="Times New Roman"/>
          <w:b/>
          <w:noProof/>
          <w:sz w:val="22"/>
          <w:szCs w:val="22"/>
        </w:rPr>
        <w:tab/>
        <w:t>Ovplyvnenie schopnosti viesť vozidlá a obsluhovať stroje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123DD5" w:rsidRPr="009E27CE" w:rsidRDefault="00123DD5" w:rsidP="00123DD5">
      <w:pPr>
        <w:pStyle w:val="Listlevel1"/>
        <w:widowControl w:val="0"/>
        <w:spacing w:before="0" w:after="0"/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Letrozol</w:t>
      </w:r>
      <w:r w:rsidRPr="009E27CE">
        <w:rPr>
          <w:sz w:val="22"/>
          <w:szCs w:val="22"/>
          <w:lang w:val="sk-SK"/>
        </w:rPr>
        <w:t xml:space="preserve"> má malý vplyv na schopnosť viesť vozidlá a obsluhovať stroje. </w:t>
      </w:r>
      <w:r>
        <w:rPr>
          <w:sz w:val="22"/>
          <w:szCs w:val="22"/>
          <w:lang w:val="sk-SK"/>
        </w:rPr>
        <w:t>Keď</w:t>
      </w:r>
      <w:r w:rsidRPr="009E27CE">
        <w:rPr>
          <w:sz w:val="22"/>
          <w:szCs w:val="22"/>
          <w:lang w:val="sk-SK"/>
        </w:rPr>
        <w:t xml:space="preserve">že sa pri používaní </w:t>
      </w:r>
      <w:r>
        <w:rPr>
          <w:sz w:val="22"/>
          <w:szCs w:val="22"/>
          <w:lang w:val="sk-SK"/>
        </w:rPr>
        <w:t>letrozolu</w:t>
      </w:r>
      <w:r w:rsidRPr="009E27CE">
        <w:rPr>
          <w:sz w:val="22"/>
          <w:szCs w:val="22"/>
          <w:lang w:val="sk-SK"/>
        </w:rPr>
        <w:t xml:space="preserve"> pozorovala únava a závrat a menej často sa zaznamenala somnolencia, pri vedení vozidiel alebo obsluhe strojov sa odporúča opatrnosť.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noProof/>
          <w:sz w:val="22"/>
          <w:szCs w:val="22"/>
        </w:rPr>
      </w:pPr>
      <w:r w:rsidRPr="00FA0C43">
        <w:rPr>
          <w:rFonts w:ascii="Times New Roman" w:hAnsi="Times New Roman"/>
          <w:b/>
          <w:noProof/>
          <w:sz w:val="22"/>
          <w:szCs w:val="22"/>
        </w:rPr>
        <w:t>4.8</w:t>
      </w:r>
      <w:r w:rsidRPr="00FA0C43">
        <w:rPr>
          <w:rFonts w:ascii="Times New Roman" w:hAnsi="Times New Roman"/>
          <w:b/>
          <w:noProof/>
          <w:sz w:val="22"/>
          <w:szCs w:val="22"/>
        </w:rPr>
        <w:tab/>
        <w:t>Nežiaduce účinky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123DD5" w:rsidRPr="009E27CE" w:rsidRDefault="00123DD5" w:rsidP="00123DD5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  <w:r w:rsidRPr="009E27CE">
        <w:rPr>
          <w:sz w:val="22"/>
          <w:szCs w:val="22"/>
          <w:u w:val="single"/>
          <w:lang w:val="sk-SK"/>
        </w:rPr>
        <w:t xml:space="preserve">Zhrnutie </w:t>
      </w:r>
      <w:r w:rsidRPr="00DC5C4E">
        <w:rPr>
          <w:sz w:val="22"/>
          <w:szCs w:val="22"/>
          <w:u w:val="single"/>
          <w:lang w:val="sk-SK"/>
        </w:rPr>
        <w:t>profilu bezpečnosti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Frekvencie nežiaducich reakcií na </w:t>
      </w:r>
      <w:r>
        <w:rPr>
          <w:sz w:val="22"/>
          <w:szCs w:val="22"/>
          <w:lang w:val="sk-SK"/>
        </w:rPr>
        <w:t>letrozol</w:t>
      </w:r>
      <w:r w:rsidRPr="009E27CE">
        <w:rPr>
          <w:sz w:val="22"/>
          <w:szCs w:val="22"/>
          <w:lang w:val="sk-SK"/>
        </w:rPr>
        <w:t xml:space="preserve"> sa zakladajú hlavne na údajoch získaných v </w:t>
      </w:r>
      <w:r w:rsidRPr="003A7FD3">
        <w:rPr>
          <w:sz w:val="22"/>
          <w:szCs w:val="22"/>
          <w:lang w:val="sk-SK"/>
        </w:rPr>
        <w:t>klinických skúšaniach.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Nežiaduce reakcie sa vyskytli približne u jednej tretiny pacientok liečených </w:t>
      </w:r>
      <w:r>
        <w:rPr>
          <w:sz w:val="22"/>
          <w:szCs w:val="22"/>
          <w:lang w:val="sk-SK"/>
        </w:rPr>
        <w:t>letrozolom</w:t>
      </w:r>
      <w:r w:rsidRPr="009E27CE">
        <w:rPr>
          <w:sz w:val="22"/>
          <w:szCs w:val="22"/>
          <w:lang w:val="sk-SK"/>
        </w:rPr>
        <w:t xml:space="preserve"> pri metast</w:t>
      </w:r>
      <w:r w:rsidR="006C6F6F">
        <w:rPr>
          <w:sz w:val="22"/>
          <w:szCs w:val="22"/>
          <w:lang w:val="sk-SK"/>
        </w:rPr>
        <w:t>á</w:t>
      </w:r>
      <w:r w:rsidRPr="009E27CE">
        <w:rPr>
          <w:sz w:val="22"/>
          <w:szCs w:val="22"/>
          <w:lang w:val="sk-SK"/>
        </w:rPr>
        <w:t>zujúcom ochorení a u približne 80 % pacientok pri adjuvantnej liečbe, ako aj pri dlhodobej adjuvantnej liečbe. Väčšina týchto nežiaducich reakcií sa vyskytla počas niekoľkých prvých týždňov liečby.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>Najčastejšie hlásené nežiaduce reakcie v </w:t>
      </w:r>
      <w:r w:rsidRPr="00E44FEC">
        <w:rPr>
          <w:sz w:val="22"/>
          <w:szCs w:val="22"/>
          <w:lang w:val="sk-SK"/>
        </w:rPr>
        <w:t xml:space="preserve">klinických </w:t>
      </w:r>
      <w:r w:rsidR="00E44FEC">
        <w:rPr>
          <w:sz w:val="22"/>
          <w:szCs w:val="22"/>
          <w:lang w:val="sk-SK"/>
        </w:rPr>
        <w:t>štúdiách</w:t>
      </w:r>
      <w:r w:rsidRPr="009E27CE">
        <w:rPr>
          <w:sz w:val="22"/>
          <w:szCs w:val="22"/>
          <w:lang w:val="sk-SK"/>
        </w:rPr>
        <w:t xml:space="preserve"> boli návaly tepla, hypercholesterolémia, artralgia, únava, zvýšené potenie a nauzea.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able"/>
        <w:rPr>
          <w:rFonts w:ascii="Times New Roman" w:hAnsi="Times New Roman"/>
          <w:sz w:val="22"/>
          <w:szCs w:val="22"/>
          <w:lang w:val="sk-SK"/>
        </w:rPr>
      </w:pPr>
      <w:r w:rsidRPr="009E27CE">
        <w:rPr>
          <w:rFonts w:ascii="Times New Roman" w:hAnsi="Times New Roman"/>
          <w:sz w:val="22"/>
          <w:szCs w:val="22"/>
          <w:lang w:val="sk-SK"/>
        </w:rPr>
        <w:t xml:space="preserve">Ďalšie dôležité nežiaduce reakcie, ktoré sa môžu vyskytnúť pri </w:t>
      </w:r>
      <w:r>
        <w:rPr>
          <w:rFonts w:ascii="Times New Roman" w:hAnsi="Times New Roman"/>
          <w:sz w:val="22"/>
          <w:szCs w:val="22"/>
          <w:lang w:val="sk-SK"/>
        </w:rPr>
        <w:t>letrozole</w:t>
      </w:r>
      <w:r w:rsidRPr="009E27CE">
        <w:rPr>
          <w:rFonts w:ascii="Times New Roman" w:hAnsi="Times New Roman"/>
          <w:sz w:val="22"/>
          <w:szCs w:val="22"/>
          <w:lang w:val="sk-SK"/>
        </w:rPr>
        <w:t xml:space="preserve">, sú: udalosti súvisiace s kostrou, napr. osteoporóza a/alebo zlomeniny kostí a kardiovaskulárne udalosti (vrátane cerebrovaskulárnych a trombembolických príhod). Kategórie frekvencií týchto nežiaducich reakcií sú uvedené v </w:t>
      </w:r>
      <w:r w:rsidR="00C513D2">
        <w:rPr>
          <w:rFonts w:ascii="Times New Roman" w:hAnsi="Times New Roman"/>
          <w:sz w:val="22"/>
          <w:szCs w:val="22"/>
          <w:lang w:val="sk-SK"/>
        </w:rPr>
        <w:t>t</w:t>
      </w:r>
      <w:r w:rsidRPr="009E27CE">
        <w:rPr>
          <w:rFonts w:ascii="Times New Roman" w:hAnsi="Times New Roman"/>
          <w:sz w:val="22"/>
          <w:szCs w:val="22"/>
          <w:lang w:val="sk-SK"/>
        </w:rPr>
        <w:t>abuľke 1.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123DD5" w:rsidRPr="009E27CE" w:rsidRDefault="00123DD5" w:rsidP="00123DD5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  <w:r w:rsidRPr="009E27CE">
        <w:rPr>
          <w:sz w:val="22"/>
          <w:szCs w:val="22"/>
          <w:u w:val="single"/>
          <w:lang w:val="sk-SK"/>
        </w:rPr>
        <w:t>Tabuľkový zoznam nežiaducich reakcií</w:t>
      </w:r>
    </w:p>
    <w:p w:rsidR="00123DD5" w:rsidRPr="009E27CE" w:rsidRDefault="00123DD5" w:rsidP="00123DD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Frekvencie nežiaducich reakcií na </w:t>
      </w:r>
      <w:r>
        <w:rPr>
          <w:sz w:val="22"/>
          <w:szCs w:val="22"/>
          <w:lang w:val="sk-SK"/>
        </w:rPr>
        <w:t>letrozol</w:t>
      </w:r>
      <w:r w:rsidRPr="009E27CE">
        <w:rPr>
          <w:sz w:val="22"/>
          <w:szCs w:val="22"/>
          <w:lang w:val="sk-SK"/>
        </w:rPr>
        <w:t xml:space="preserve"> sa zakladajú hlavne na údajoch získaných v </w:t>
      </w:r>
      <w:r w:rsidRPr="0042268A">
        <w:rPr>
          <w:sz w:val="22"/>
          <w:szCs w:val="22"/>
          <w:lang w:val="sk-SK"/>
        </w:rPr>
        <w:t xml:space="preserve">klinických </w:t>
      </w:r>
      <w:r w:rsidR="0042268A">
        <w:rPr>
          <w:sz w:val="22"/>
          <w:szCs w:val="22"/>
          <w:lang w:val="sk-SK"/>
        </w:rPr>
        <w:t>štúdiách</w:t>
      </w:r>
      <w:r w:rsidRPr="0042268A">
        <w:rPr>
          <w:sz w:val="22"/>
          <w:szCs w:val="22"/>
          <w:lang w:val="sk-SK"/>
        </w:rPr>
        <w:t>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 w:rsidRPr="006C1540">
        <w:rPr>
          <w:rFonts w:ascii="Times New Roman" w:hAnsi="Times New Roman"/>
          <w:sz w:val="22"/>
          <w:szCs w:val="22"/>
        </w:rPr>
        <w:t>Nasledujúce nežiaduce účinky súvisiace s užívaním letrozolu, uvedené v </w:t>
      </w:r>
      <w:r w:rsidR="00E412D6" w:rsidRPr="006C1540">
        <w:rPr>
          <w:rFonts w:ascii="Times New Roman" w:hAnsi="Times New Roman"/>
          <w:sz w:val="22"/>
          <w:szCs w:val="22"/>
        </w:rPr>
        <w:t>t</w:t>
      </w:r>
      <w:r w:rsidRPr="006C1540">
        <w:rPr>
          <w:rFonts w:ascii="Times New Roman" w:hAnsi="Times New Roman"/>
          <w:sz w:val="22"/>
          <w:szCs w:val="22"/>
        </w:rPr>
        <w:t xml:space="preserve">abuľke 1, boli hlásené </w:t>
      </w:r>
      <w:r w:rsidR="006C1540">
        <w:rPr>
          <w:rFonts w:ascii="Times New Roman" w:hAnsi="Times New Roman"/>
          <w:sz w:val="22"/>
          <w:szCs w:val="22"/>
        </w:rPr>
        <w:t>v rámci klinických</w:t>
      </w:r>
      <w:r w:rsidR="009D2BB6">
        <w:rPr>
          <w:rFonts w:ascii="Times New Roman" w:hAnsi="Times New Roman"/>
          <w:sz w:val="22"/>
          <w:szCs w:val="22"/>
        </w:rPr>
        <w:t xml:space="preserve"> </w:t>
      </w:r>
      <w:r w:rsidR="006C1540">
        <w:rPr>
          <w:rFonts w:ascii="Times New Roman" w:hAnsi="Times New Roman"/>
          <w:sz w:val="22"/>
          <w:szCs w:val="22"/>
        </w:rPr>
        <w:t>štúdií a po uvedení letrozolu na trh</w:t>
      </w:r>
      <w:r w:rsidRPr="006C1540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pStyle w:val="Text"/>
        <w:spacing w:before="0"/>
        <w:jc w:val="left"/>
        <w:rPr>
          <w:b/>
          <w:sz w:val="22"/>
          <w:szCs w:val="22"/>
          <w:lang w:val="sk-SK"/>
        </w:rPr>
      </w:pPr>
      <w:r w:rsidRPr="003A1123">
        <w:rPr>
          <w:b/>
          <w:sz w:val="22"/>
          <w:szCs w:val="22"/>
          <w:lang w:val="sk-SK"/>
        </w:rPr>
        <w:t>Tabuľka 1</w:t>
      </w:r>
    </w:p>
    <w:p w:rsidR="005F040D" w:rsidRDefault="005F040D">
      <w:pPr>
        <w:pStyle w:val="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</w:t>
      </w:r>
      <w:r w:rsidR="00E800D4">
        <w:rPr>
          <w:sz w:val="22"/>
          <w:szCs w:val="22"/>
          <w:lang w:val="sk-SK"/>
        </w:rPr>
        <w:t xml:space="preserve">reakcie </w:t>
      </w:r>
      <w:r>
        <w:rPr>
          <w:sz w:val="22"/>
          <w:szCs w:val="22"/>
          <w:lang w:val="sk-SK"/>
        </w:rPr>
        <w:t>sú zoradené</w:t>
      </w:r>
      <w:r w:rsidR="00007A4D">
        <w:rPr>
          <w:sz w:val="22"/>
          <w:szCs w:val="22"/>
          <w:lang w:val="sk-SK"/>
        </w:rPr>
        <w:t xml:space="preserve"> podľa </w:t>
      </w:r>
      <w:r>
        <w:rPr>
          <w:sz w:val="22"/>
          <w:szCs w:val="22"/>
          <w:lang w:val="sk-SK"/>
        </w:rPr>
        <w:t>frekvencie</w:t>
      </w:r>
      <w:r w:rsidR="00E34920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najčastejšie ako prvé</w:t>
      </w:r>
      <w:r w:rsidR="00E3492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, pričom sa použili nasledujúce </w:t>
      </w:r>
      <w:r w:rsidRPr="00297463">
        <w:rPr>
          <w:sz w:val="22"/>
          <w:szCs w:val="22"/>
          <w:lang w:val="sk-SK"/>
        </w:rPr>
        <w:t>dohodnuté kritériá</w:t>
      </w:r>
      <w:r>
        <w:rPr>
          <w:sz w:val="22"/>
          <w:szCs w:val="22"/>
          <w:lang w:val="sk-SK"/>
        </w:rPr>
        <w:t>: veľmi časté (≥</w:t>
      </w:r>
      <w:r w:rsidR="0077404C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1/10)</w:t>
      </w:r>
      <w:r w:rsidR="0077404C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 xml:space="preserve"> časté (≥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1/100 až  &lt;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1/10)</w:t>
      </w:r>
      <w:r w:rsidR="003D4D1B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menej časté (≥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1/1 000 až &lt;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1/100)</w:t>
      </w:r>
      <w:r w:rsidR="003D4D1B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zriedkavé (≥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1/10 000 až &lt;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1/1 000)</w:t>
      </w:r>
      <w:r w:rsidR="003D4D1B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veľmi zriedkavé (&lt;</w:t>
      </w:r>
      <w:r w:rsidR="003D4D1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1/10 000), neznáme (z dostupných údajov).</w:t>
      </w:r>
    </w:p>
    <w:p w:rsidR="005F040D" w:rsidRDefault="005F040D">
      <w:pPr>
        <w:pStyle w:val="Text"/>
        <w:spacing w:before="0"/>
        <w:jc w:val="left"/>
        <w:rPr>
          <w:sz w:val="22"/>
          <w:szCs w:val="22"/>
          <w:lang w:val="sk-SK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1704"/>
        <w:gridCol w:w="6422"/>
        <w:gridCol w:w="1228"/>
      </w:tblGrid>
      <w:tr w:rsidR="004C4969" w:rsidRPr="009E27CE" w:rsidTr="00D6045B">
        <w:trPr>
          <w:cantSplit/>
        </w:trPr>
        <w:tc>
          <w:tcPr>
            <w:tcW w:w="9747" w:type="dxa"/>
            <w:gridSpan w:val="4"/>
            <w:tcBorders>
              <w:top w:val="single" w:sz="4" w:space="0" w:color="auto"/>
              <w:bottom w:val="nil"/>
            </w:tcBorders>
          </w:tcPr>
          <w:p w:rsidR="004C4969" w:rsidRPr="009E27CE" w:rsidRDefault="004C4969" w:rsidP="00C465A9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Infekcie a nákazy</w:t>
            </w:r>
          </w:p>
        </w:tc>
      </w:tr>
      <w:tr w:rsidR="004C4969" w:rsidRPr="009E27CE" w:rsidTr="00392571">
        <w:tc>
          <w:tcPr>
            <w:tcW w:w="2097" w:type="dxa"/>
            <w:gridSpan w:val="2"/>
            <w:tcBorders>
              <w:top w:val="nil"/>
            </w:tcBorders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  <w:tcBorders>
              <w:top w:val="nil"/>
            </w:tcBorders>
          </w:tcPr>
          <w:p w:rsidR="004C4969" w:rsidRPr="009E27CE" w:rsidRDefault="009F648D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nfekcia močových ciest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Benígne a malígne nádory, vrátane nešpecifikovaných novotvarov (cysty a polypy)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4C4969" w:rsidRPr="009E27CE" w:rsidRDefault="009F648D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ádorová bolesť</w:t>
            </w:r>
            <w:r w:rsidR="004C4969" w:rsidRPr="009E27CE">
              <w:rPr>
                <w:rFonts w:ascii="Times New Roman" w:hAnsi="Times New Roman"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4C4969" w:rsidRPr="009E27CE" w:rsidRDefault="009F648D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eukopénia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</w:t>
            </w: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imunitného systému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7650" w:type="dxa"/>
            <w:gridSpan w:val="2"/>
          </w:tcPr>
          <w:p w:rsidR="004C4969" w:rsidRPr="009E27CE" w:rsidRDefault="009F24B4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nafylaktická reakcia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Veľmi časté:</w:t>
            </w:r>
          </w:p>
        </w:tc>
        <w:tc>
          <w:tcPr>
            <w:tcW w:w="7650" w:type="dxa"/>
            <w:gridSpan w:val="2"/>
          </w:tcPr>
          <w:p w:rsidR="004C4969" w:rsidRPr="009E27CE" w:rsidRDefault="009F24B4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ypercholesterolémia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 xml:space="preserve">Časté: </w:t>
            </w:r>
          </w:p>
        </w:tc>
        <w:tc>
          <w:tcPr>
            <w:tcW w:w="7650" w:type="dxa"/>
            <w:gridSpan w:val="2"/>
          </w:tcPr>
          <w:p w:rsidR="004C4969" w:rsidRPr="009E27CE" w:rsidRDefault="009F24B4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norexia, zvýšenie chuti do jedenia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Psychické poruchy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4C4969" w:rsidRPr="009E27CE" w:rsidRDefault="009F24B4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epresia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4C4969" w:rsidRPr="009E27CE" w:rsidRDefault="009F24B4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ú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zkosť (vrátane nervozity), podráždenosť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4C4969" w:rsidRPr="009E27CE" w:rsidRDefault="00E43AF7" w:rsidP="00036F94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b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olesť hlavy, závraty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C465A9" w:rsidRPr="009E27CE" w:rsidRDefault="00E43AF7" w:rsidP="00C465A9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omnolencia, nespavosť, zhoršenie pamäti, dyzestézia (vrátane parestézie, hypestézie), poruchy chuti, cerebrovaskulárna príhoda</w:t>
            </w:r>
            <w:r w:rsidR="00CE665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CE665D" w:rsidRPr="00C465A9">
              <w:rPr>
                <w:rFonts w:ascii="Times New Roman" w:hAnsi="Times New Roman"/>
                <w:sz w:val="22"/>
                <w:szCs w:val="22"/>
                <w:lang w:val="sk-SK"/>
              </w:rPr>
              <w:t>syndróm karpálneho tunela</w:t>
            </w:r>
          </w:p>
        </w:tc>
      </w:tr>
      <w:tr w:rsidR="00C465A9" w:rsidRPr="009E27CE" w:rsidTr="00A90801">
        <w:tc>
          <w:tcPr>
            <w:tcW w:w="9747" w:type="dxa"/>
            <w:gridSpan w:val="4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oka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atarakta, podráždenie očí, neostré videnie</w:t>
            </w:r>
          </w:p>
        </w:tc>
      </w:tr>
      <w:tr w:rsidR="00C465A9" w:rsidRPr="009E27CE" w:rsidTr="00A90801">
        <w:tc>
          <w:tcPr>
            <w:tcW w:w="9747" w:type="dxa"/>
            <w:gridSpan w:val="4"/>
          </w:tcPr>
          <w:p w:rsidR="00C465A9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</w:t>
            </w: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srdca a srdcovej činnosti</w:t>
            </w:r>
          </w:p>
          <w:p w:rsidR="006F1B53" w:rsidRPr="006F1B53" w:rsidRDefault="006F1B53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    </w:t>
            </w:r>
            <w:r w:rsidRPr="006F1B53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Časté</w:t>
            </w: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                     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alpitácie</w:t>
            </w: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6F1B53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tachykardia, ischemické srdcové príhody (vrátane novej alebo zhoršujúcej sa angin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pectoris, angina pectoris vyžadujúca chirurgický zákrok, infarkt myokardu a ischémia myokardu)</w:t>
            </w:r>
          </w:p>
        </w:tc>
      </w:tr>
      <w:tr w:rsidR="00C465A9" w:rsidRPr="009E27CE" w:rsidTr="00A90801">
        <w:tc>
          <w:tcPr>
            <w:tcW w:w="9747" w:type="dxa"/>
            <w:gridSpan w:val="4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ciev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Veľmi 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ávaly tepla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ypertenzia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romboflebitída (vrátane tromboflebitídy povrchových a hlbokých žíl)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Zriedkavé: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ľúcna embólia, arteriálna trombóza, cerebrovaskulárny infarkt</w:t>
            </w:r>
          </w:p>
        </w:tc>
      </w:tr>
      <w:tr w:rsidR="00C465A9" w:rsidRPr="009E27CE" w:rsidTr="00A90801">
        <w:tc>
          <w:tcPr>
            <w:tcW w:w="9747" w:type="dxa"/>
            <w:gridSpan w:val="4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dýchacej sústavy, hrudníka a mediastína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yspnoe, kašeľ</w:t>
            </w:r>
          </w:p>
        </w:tc>
      </w:tr>
      <w:tr w:rsidR="00C465A9" w:rsidRPr="009E27CE" w:rsidTr="00A90801">
        <w:tc>
          <w:tcPr>
            <w:tcW w:w="9747" w:type="dxa"/>
            <w:gridSpan w:val="4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auzea, dyspepsia</w:t>
            </w: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1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, zápcha, bolesť brucha, hnačka, vracanie</w:t>
            </w:r>
          </w:p>
        </w:tc>
      </w:tr>
      <w:tr w:rsidR="00C465A9" w:rsidRPr="009E27CE" w:rsidTr="00A90801">
        <w:tc>
          <w:tcPr>
            <w:tcW w:w="2097" w:type="dxa"/>
            <w:gridSpan w:val="2"/>
          </w:tcPr>
          <w:p w:rsidR="00C465A9" w:rsidRPr="009E27CE" w:rsidRDefault="00C465A9" w:rsidP="00A90801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C465A9" w:rsidRPr="009E27CE" w:rsidRDefault="00C465A9" w:rsidP="00A90801">
            <w:pPr>
              <w:pStyle w:val="Table"/>
              <w:keepNext/>
              <w:spacing w:before="0" w:after="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uchosť v ústach, stomatitída</w:t>
            </w: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C465A9" w:rsidRPr="009E27CE" w:rsidTr="00A90801">
        <w:tc>
          <w:tcPr>
            <w:tcW w:w="9747" w:type="dxa"/>
            <w:gridSpan w:val="4"/>
          </w:tcPr>
          <w:p w:rsidR="00C465A9" w:rsidRDefault="00C465A9" w:rsidP="00036F94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Poruchy</w:t>
            </w: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pečene a žlčových ciest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výšenie hodnôt pečeňových enzýmov</w:t>
            </w:r>
            <w:r w:rsidR="006F1B53">
              <w:rPr>
                <w:rFonts w:ascii="Times New Roman" w:hAnsi="Times New Roman"/>
                <w:sz w:val="22"/>
                <w:szCs w:val="22"/>
                <w:lang w:val="sk-SK"/>
              </w:rPr>
              <w:t>, hyperbilirubinémia, žltačka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Neznáme: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epatitída</w:t>
            </w:r>
          </w:p>
        </w:tc>
      </w:tr>
      <w:tr w:rsidR="004C4969" w:rsidRPr="009E27CE" w:rsidTr="00D6045B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Veľmi 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výšené potenie</w:t>
            </w:r>
          </w:p>
        </w:tc>
      </w:tr>
      <w:tr w:rsidR="004C4969" w:rsidRPr="009E27CE" w:rsidTr="00392571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lopécia, exantém (vrátane erytematózneho, makulopapulárneho, psoriatiformného a vezikulárneho exantému), suchosť kože</w:t>
            </w:r>
          </w:p>
        </w:tc>
      </w:tr>
      <w:tr w:rsidR="00D6045B" w:rsidRPr="009E27CE" w:rsidTr="00036F94">
        <w:tc>
          <w:tcPr>
            <w:tcW w:w="2097" w:type="dxa"/>
            <w:gridSpan w:val="2"/>
            <w:tcBorders>
              <w:left w:val="single" w:sz="4" w:space="0" w:color="auto"/>
              <w:bottom w:val="nil"/>
            </w:tcBorders>
          </w:tcPr>
          <w:p w:rsidR="00D6045B" w:rsidRPr="009E27CE" w:rsidRDefault="00D6045B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  <w:tcBorders>
              <w:bottom w:val="nil"/>
              <w:right w:val="single" w:sz="4" w:space="0" w:color="auto"/>
            </w:tcBorders>
          </w:tcPr>
          <w:p w:rsidR="00D6045B" w:rsidRPr="009E27CE" w:rsidRDefault="004102C1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D6045B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ruritus, urtikária</w:t>
            </w:r>
          </w:p>
        </w:tc>
      </w:tr>
      <w:tr w:rsidR="00D6045B" w:rsidRPr="009E27CE" w:rsidTr="00036F94"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6045B" w:rsidRPr="00823ED3" w:rsidRDefault="00D6045B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23ED3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Neznáme:</w:t>
            </w:r>
          </w:p>
        </w:tc>
        <w:tc>
          <w:tcPr>
            <w:tcW w:w="765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045B" w:rsidRPr="00823ED3" w:rsidRDefault="004102C1" w:rsidP="007D63FA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D6045B" w:rsidRPr="00823ED3">
              <w:rPr>
                <w:rFonts w:ascii="Times New Roman" w:hAnsi="Times New Roman"/>
                <w:sz w:val="22"/>
                <w:szCs w:val="22"/>
                <w:lang w:val="sk-SK"/>
              </w:rPr>
              <w:t>ngioedém, toxická epidermálna nekrolýza, multiformný erytém</w:t>
            </w:r>
          </w:p>
        </w:tc>
      </w:tr>
      <w:tr w:rsidR="00D6045B" w:rsidRPr="009E27CE" w:rsidTr="00D6045B">
        <w:trPr>
          <w:trHeight w:val="70"/>
        </w:trPr>
        <w:tc>
          <w:tcPr>
            <w:tcW w:w="9747" w:type="dxa"/>
            <w:gridSpan w:val="4"/>
          </w:tcPr>
          <w:p w:rsidR="00D6045B" w:rsidRPr="009E27CE" w:rsidRDefault="00D6045B" w:rsidP="007D63FA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D6045B" w:rsidRPr="009E27CE" w:rsidTr="00392571">
        <w:tc>
          <w:tcPr>
            <w:tcW w:w="2097" w:type="dxa"/>
            <w:gridSpan w:val="2"/>
          </w:tcPr>
          <w:p w:rsidR="00D6045B" w:rsidRPr="009E27CE" w:rsidRDefault="00D6045B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Veľmi časté:</w:t>
            </w:r>
          </w:p>
        </w:tc>
        <w:tc>
          <w:tcPr>
            <w:tcW w:w="7650" w:type="dxa"/>
            <w:gridSpan w:val="2"/>
          </w:tcPr>
          <w:p w:rsidR="00D6045B" w:rsidRPr="009E27CE" w:rsidRDefault="004102C1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D6045B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rtralgia</w:t>
            </w:r>
          </w:p>
        </w:tc>
      </w:tr>
      <w:tr w:rsidR="00D6045B" w:rsidRPr="009E27CE" w:rsidTr="00392571">
        <w:tc>
          <w:tcPr>
            <w:tcW w:w="2097" w:type="dxa"/>
            <w:gridSpan w:val="2"/>
          </w:tcPr>
          <w:p w:rsidR="00D6045B" w:rsidRPr="009E27CE" w:rsidRDefault="00D6045B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D6045B" w:rsidRPr="009E27CE" w:rsidRDefault="004102C1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r w:rsidR="00D6045B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yalgia, bolesť kostí</w:t>
            </w:r>
            <w:r w:rsidR="00D6045B" w:rsidRPr="009E27CE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1</w:t>
            </w:r>
            <w:r w:rsidR="00D6045B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, osteoporóza, zlomeniny kostí</w:t>
            </w:r>
            <w:r w:rsidR="006F1B53">
              <w:rPr>
                <w:rFonts w:ascii="Times New Roman" w:hAnsi="Times New Roman"/>
                <w:sz w:val="22"/>
                <w:szCs w:val="22"/>
                <w:lang w:val="sk-SK"/>
              </w:rPr>
              <w:t>, a</w:t>
            </w:r>
            <w:r w:rsidR="006F1B53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rtritída</w:t>
            </w:r>
          </w:p>
        </w:tc>
      </w:tr>
      <w:tr w:rsidR="00D6045B" w:rsidRPr="009E27CE" w:rsidTr="00392571">
        <w:tc>
          <w:tcPr>
            <w:tcW w:w="2097" w:type="dxa"/>
            <w:gridSpan w:val="2"/>
          </w:tcPr>
          <w:p w:rsidR="00D6045B" w:rsidRPr="009E27CE" w:rsidRDefault="00D6045B" w:rsidP="006F1B53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DE7BB3">
              <w:rPr>
                <w:rFonts w:ascii="Times New Roman" w:hAnsi="Times New Roman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7650" w:type="dxa"/>
            <w:gridSpan w:val="2"/>
          </w:tcPr>
          <w:p w:rsidR="00392571" w:rsidRPr="009E27CE" w:rsidRDefault="00DE7BB3" w:rsidP="007D63FA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tendinitída</w:t>
            </w:r>
          </w:p>
        </w:tc>
      </w:tr>
      <w:tr w:rsidR="00DE7BB3" w:rsidRPr="009E27CE" w:rsidTr="00392571">
        <w:tc>
          <w:tcPr>
            <w:tcW w:w="2097" w:type="dxa"/>
            <w:gridSpan w:val="2"/>
          </w:tcPr>
          <w:p w:rsidR="00DE7BB3" w:rsidRPr="009E27CE" w:rsidRDefault="00DE7BB3" w:rsidP="00DE7BB3">
            <w:pPr>
              <w:pStyle w:val="Table"/>
              <w:keepNext/>
              <w:tabs>
                <w:tab w:val="clear" w:pos="284"/>
                <w:tab w:val="left" w:pos="322"/>
              </w:tabs>
              <w:spacing w:before="0" w:after="0"/>
              <w:ind w:left="322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650" w:type="dxa"/>
            <w:gridSpan w:val="2"/>
          </w:tcPr>
          <w:p w:rsidR="00DE7BB3" w:rsidRDefault="00DE7BB3" w:rsidP="007D63FA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pretrhnutie šľachy</w:t>
            </w:r>
          </w:p>
        </w:tc>
      </w:tr>
      <w:tr w:rsidR="00392571" w:rsidRPr="009E27CE" w:rsidTr="00392571">
        <w:tc>
          <w:tcPr>
            <w:tcW w:w="2097" w:type="dxa"/>
            <w:gridSpan w:val="2"/>
          </w:tcPr>
          <w:p w:rsidR="00392571" w:rsidRPr="009E27CE" w:rsidRDefault="00392571" w:rsidP="00392571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Neznáme</w:t>
            </w: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</w:p>
        </w:tc>
        <w:tc>
          <w:tcPr>
            <w:tcW w:w="7650" w:type="dxa"/>
            <w:gridSpan w:val="2"/>
          </w:tcPr>
          <w:p w:rsidR="00392571" w:rsidRPr="009E27CE" w:rsidRDefault="004102C1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9478C"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055084" w:rsidRPr="00C9478C">
              <w:rPr>
                <w:rFonts w:ascii="Times New Roman" w:hAnsi="Times New Roman"/>
                <w:sz w:val="22"/>
                <w:szCs w:val="22"/>
                <w:lang w:val="sk-SK"/>
              </w:rPr>
              <w:t>kákavý prst</w:t>
            </w:r>
          </w:p>
        </w:tc>
      </w:tr>
      <w:tr w:rsidR="00D6045B" w:rsidRPr="009E27CE" w:rsidTr="00D97201">
        <w:tc>
          <w:tcPr>
            <w:tcW w:w="9747" w:type="dxa"/>
            <w:gridSpan w:val="4"/>
            <w:tcBorders>
              <w:bottom w:val="nil"/>
            </w:tcBorders>
          </w:tcPr>
          <w:p w:rsidR="00D6045B" w:rsidRPr="009E27CE" w:rsidRDefault="00D6045B" w:rsidP="007D63FA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D6045B" w:rsidRPr="009E27CE" w:rsidTr="00D97201"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45B" w:rsidRPr="009E27CE" w:rsidRDefault="00D6045B" w:rsidP="007D63FA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045B" w:rsidRPr="009E27CE" w:rsidRDefault="004102C1" w:rsidP="007D63FA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 w:rsidR="00D6045B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astejšie močenie</w:t>
            </w:r>
          </w:p>
        </w:tc>
      </w:tr>
      <w:tr w:rsidR="004C4969" w:rsidRPr="009E27CE" w:rsidTr="00D97201">
        <w:tc>
          <w:tcPr>
            <w:tcW w:w="97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4C4969" w:rsidRPr="009E27CE" w:rsidTr="00C465A9">
        <w:tc>
          <w:tcPr>
            <w:tcW w:w="2097" w:type="dxa"/>
            <w:gridSpan w:val="2"/>
            <w:tcBorders>
              <w:top w:val="nil"/>
            </w:tcBorders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  <w:tcBorders>
              <w:top w:val="nil"/>
            </w:tcBorders>
          </w:tcPr>
          <w:p w:rsidR="004C4969" w:rsidRPr="009E27CE" w:rsidRDefault="004102C1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aginálne krvácanie</w:t>
            </w:r>
          </w:p>
        </w:tc>
      </w:tr>
      <w:tr w:rsidR="004C4969" w:rsidRPr="009E27CE" w:rsidTr="00C465A9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aginálny výtok, suchosť pošvy, bolesť prsníkov</w:t>
            </w:r>
          </w:p>
        </w:tc>
      </w:tr>
      <w:tr w:rsidR="004C4969" w:rsidRPr="009E27CE" w:rsidTr="007D63FA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4C4969" w:rsidRPr="009E27CE" w:rsidTr="00C465A9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Veľmi 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ú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nava (vrátane slabosti, celkovej nevoľnosti)</w:t>
            </w:r>
          </w:p>
        </w:tc>
      </w:tr>
      <w:tr w:rsidR="004C4969" w:rsidRPr="009E27CE" w:rsidTr="00C465A9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eriférny edém</w:t>
            </w:r>
            <w:r w:rsidR="006F1B53">
              <w:rPr>
                <w:rFonts w:ascii="Times New Roman" w:hAnsi="Times New Roman"/>
                <w:sz w:val="22"/>
                <w:szCs w:val="22"/>
                <w:lang w:val="sk-SK"/>
              </w:rPr>
              <w:t>, bolesť v hrudníku</w:t>
            </w:r>
          </w:p>
        </w:tc>
      </w:tr>
      <w:tr w:rsidR="004C4969" w:rsidRPr="009E27CE" w:rsidTr="00C465A9">
        <w:tc>
          <w:tcPr>
            <w:tcW w:w="2097" w:type="dxa"/>
            <w:gridSpan w:val="2"/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</w:tcPr>
          <w:p w:rsidR="004C4969" w:rsidRPr="009E27CE" w:rsidRDefault="004102C1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g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eneralizovaný edém, suchosť slizníc, smäd, pyrexia</w:t>
            </w:r>
          </w:p>
        </w:tc>
      </w:tr>
      <w:tr w:rsidR="004C4969" w:rsidRPr="009E27CE" w:rsidTr="007D63FA">
        <w:tc>
          <w:tcPr>
            <w:tcW w:w="9747" w:type="dxa"/>
            <w:gridSpan w:val="4"/>
          </w:tcPr>
          <w:p w:rsidR="004C4969" w:rsidRPr="009E27CE" w:rsidRDefault="004C4969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Laboratórne a funkčné vyšetrenia</w:t>
            </w:r>
          </w:p>
        </w:tc>
      </w:tr>
      <w:tr w:rsidR="004C4969" w:rsidRPr="009E27CE" w:rsidTr="00C465A9">
        <w:tc>
          <w:tcPr>
            <w:tcW w:w="2097" w:type="dxa"/>
            <w:gridSpan w:val="2"/>
            <w:tcBorders>
              <w:bottom w:val="nil"/>
            </w:tcBorders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Časté:</w:t>
            </w:r>
          </w:p>
        </w:tc>
        <w:tc>
          <w:tcPr>
            <w:tcW w:w="7650" w:type="dxa"/>
            <w:gridSpan w:val="2"/>
            <w:tcBorders>
              <w:bottom w:val="nil"/>
            </w:tcBorders>
          </w:tcPr>
          <w:p w:rsidR="004C4969" w:rsidRPr="009E27CE" w:rsidRDefault="004102C1" w:rsidP="00036F94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výšenie telesnej hmotnosti</w:t>
            </w:r>
          </w:p>
        </w:tc>
      </w:tr>
      <w:tr w:rsidR="004C4969" w:rsidRPr="009E27CE" w:rsidTr="00C465A9">
        <w:tc>
          <w:tcPr>
            <w:tcW w:w="2097" w:type="dxa"/>
            <w:gridSpan w:val="2"/>
            <w:tcBorders>
              <w:top w:val="nil"/>
              <w:bottom w:val="single" w:sz="4" w:space="0" w:color="auto"/>
            </w:tcBorders>
          </w:tcPr>
          <w:p w:rsidR="004C4969" w:rsidRPr="009E27CE" w:rsidRDefault="004C4969" w:rsidP="00036F94">
            <w:pPr>
              <w:pStyle w:val="Table"/>
              <w:keepNext/>
              <w:tabs>
                <w:tab w:val="clear" w:pos="284"/>
                <w:tab w:val="left" w:pos="303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Menej časté:</w:t>
            </w:r>
          </w:p>
        </w:tc>
        <w:tc>
          <w:tcPr>
            <w:tcW w:w="7650" w:type="dxa"/>
            <w:gridSpan w:val="2"/>
            <w:tcBorders>
              <w:top w:val="nil"/>
              <w:bottom w:val="single" w:sz="4" w:space="0" w:color="auto"/>
            </w:tcBorders>
          </w:tcPr>
          <w:p w:rsidR="004C4969" w:rsidRPr="009E27CE" w:rsidRDefault="004102C1" w:rsidP="00036F94">
            <w:pPr>
              <w:pStyle w:val="Table"/>
              <w:keepNext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C4969" w:rsidRPr="009E27CE">
              <w:rPr>
                <w:rFonts w:ascii="Times New Roman" w:hAnsi="Times New Roman"/>
                <w:sz w:val="22"/>
                <w:szCs w:val="22"/>
                <w:lang w:val="sk-SK"/>
              </w:rPr>
              <w:t>níženie telesnej hmotnosti</w:t>
            </w:r>
          </w:p>
        </w:tc>
      </w:tr>
      <w:tr w:rsidR="004C4969" w:rsidRPr="009E27CE" w:rsidTr="00C46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393" w:type="dxa"/>
          <w:wAfter w:w="1228" w:type="dxa"/>
        </w:trPr>
        <w:tc>
          <w:tcPr>
            <w:tcW w:w="8126" w:type="dxa"/>
            <w:gridSpan w:val="2"/>
          </w:tcPr>
          <w:p w:rsidR="004C4969" w:rsidRPr="009E27CE" w:rsidRDefault="004C4969" w:rsidP="004102C1">
            <w:pPr>
              <w:ind w:left="-392" w:firstLine="392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 Nežiaduce reakcie na liek hlásené len pri metast</w:t>
            </w:r>
            <w:r w:rsidR="00874093">
              <w:rPr>
                <w:rFonts w:ascii="Times New Roman" w:hAnsi="Times New Roman"/>
                <w:sz w:val="22"/>
                <w:szCs w:val="22"/>
              </w:rPr>
              <w:t>á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zujúcom ochorení</w:t>
            </w:r>
            <w:r w:rsidR="00DA3FD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4C4969" w:rsidRPr="009E27CE" w:rsidRDefault="004C4969" w:rsidP="004C4969">
      <w:pPr>
        <w:pStyle w:val="Table"/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123DD5" w:rsidRDefault="004C4969" w:rsidP="004102C1">
      <w:pPr>
        <w:pStyle w:val="Text"/>
        <w:widowControl w:val="0"/>
        <w:spacing w:before="0"/>
        <w:jc w:val="left"/>
      </w:pPr>
      <w:r w:rsidRPr="009E27CE">
        <w:rPr>
          <w:sz w:val="22"/>
          <w:szCs w:val="22"/>
          <w:lang w:val="sk-SK"/>
        </w:rPr>
        <w:t xml:space="preserve">Niektoré nežiaduce reakcie </w:t>
      </w:r>
      <w:r w:rsidRPr="0034631B">
        <w:rPr>
          <w:sz w:val="22"/>
          <w:szCs w:val="22"/>
          <w:lang w:val="sk-SK"/>
        </w:rPr>
        <w:t xml:space="preserve">boli </w:t>
      </w:r>
      <w:r w:rsidR="000F146A" w:rsidRPr="0034631B">
        <w:rPr>
          <w:sz w:val="22"/>
          <w:szCs w:val="22"/>
          <w:lang w:val="sk-SK"/>
        </w:rPr>
        <w:t xml:space="preserve">pri adjuvantnej liečbe </w:t>
      </w:r>
      <w:r w:rsidRPr="0034631B">
        <w:rPr>
          <w:sz w:val="22"/>
          <w:szCs w:val="22"/>
          <w:lang w:val="sk-SK"/>
        </w:rPr>
        <w:t>hlásené s výrazne odlišnými frekvenciami</w:t>
      </w:r>
      <w:r w:rsidRPr="009E27CE">
        <w:rPr>
          <w:sz w:val="22"/>
          <w:szCs w:val="22"/>
          <w:lang w:val="sk-SK"/>
        </w:rPr>
        <w:t xml:space="preserve">. Nasledujúce tabuľky poskytujú údaje o významných rozdieloch pri </w:t>
      </w:r>
      <w:r w:rsidR="00AE405B">
        <w:rPr>
          <w:sz w:val="22"/>
          <w:szCs w:val="22"/>
          <w:lang w:val="sk-SK"/>
        </w:rPr>
        <w:t xml:space="preserve">monoterapii letrozolom </w:t>
      </w:r>
      <w:r w:rsidRPr="00AE405B">
        <w:rPr>
          <w:sz w:val="22"/>
          <w:szCs w:val="22"/>
          <w:lang w:val="sk-SK"/>
        </w:rPr>
        <w:t>oproti monoterapii tamoxifénom</w:t>
      </w:r>
      <w:r w:rsidRPr="009E27CE">
        <w:rPr>
          <w:sz w:val="22"/>
          <w:szCs w:val="22"/>
          <w:lang w:val="sk-SK"/>
        </w:rPr>
        <w:t xml:space="preserve"> a pri sekvenčnej liečbe </w:t>
      </w:r>
      <w:r w:rsidRPr="0034631B">
        <w:rPr>
          <w:sz w:val="22"/>
          <w:szCs w:val="22"/>
          <w:lang w:val="sk-SK"/>
        </w:rPr>
        <w:t>letrozol-tamoxifén</w:t>
      </w:r>
      <w:r w:rsidRPr="009E27CE">
        <w:rPr>
          <w:sz w:val="22"/>
          <w:szCs w:val="22"/>
          <w:lang w:val="sk-SK"/>
        </w:rPr>
        <w:t>:</w:t>
      </w:r>
    </w:p>
    <w:p w:rsidR="00D33A69" w:rsidRDefault="00D33A69" w:rsidP="00382925">
      <w:pPr>
        <w:keepNext/>
        <w:widowControl w:val="0"/>
        <w:ind w:left="1134" w:hanging="1134"/>
        <w:rPr>
          <w:rFonts w:ascii="Times New Roman" w:hAnsi="Times New Roman"/>
          <w:b/>
          <w:sz w:val="22"/>
          <w:szCs w:val="22"/>
        </w:rPr>
      </w:pPr>
    </w:p>
    <w:p w:rsidR="004C4969" w:rsidRPr="00FE017F" w:rsidRDefault="004C4969" w:rsidP="00382925">
      <w:pPr>
        <w:keepNext/>
        <w:widowControl w:val="0"/>
        <w:ind w:left="1134" w:hanging="1134"/>
        <w:rPr>
          <w:rFonts w:ascii="Times New Roman" w:hAnsi="Times New Roman"/>
          <w:b/>
          <w:sz w:val="22"/>
          <w:szCs w:val="22"/>
        </w:rPr>
      </w:pPr>
      <w:r w:rsidRPr="003A1123">
        <w:rPr>
          <w:rFonts w:ascii="Times New Roman" w:hAnsi="Times New Roman"/>
          <w:b/>
          <w:sz w:val="22"/>
          <w:szCs w:val="22"/>
        </w:rPr>
        <w:t>Tabuľka 2</w:t>
      </w:r>
      <w:r w:rsidRPr="003A1123">
        <w:rPr>
          <w:rFonts w:ascii="Times New Roman" w:hAnsi="Times New Roman"/>
          <w:b/>
          <w:sz w:val="22"/>
          <w:szCs w:val="22"/>
        </w:rPr>
        <w:tab/>
        <w:t>Adjuvantná monoterapia letrozolom oproti monoterapii tamoxifénom – nežiaduce udalosti s</w:t>
      </w:r>
      <w:r w:rsidR="000D4600">
        <w:rPr>
          <w:rFonts w:ascii="Times New Roman" w:hAnsi="Times New Roman"/>
          <w:b/>
          <w:sz w:val="22"/>
          <w:szCs w:val="22"/>
        </w:rPr>
        <w:t> </w:t>
      </w:r>
      <w:r w:rsidRPr="003A1123">
        <w:rPr>
          <w:rFonts w:ascii="Times New Roman" w:hAnsi="Times New Roman"/>
          <w:b/>
          <w:sz w:val="22"/>
          <w:szCs w:val="22"/>
        </w:rPr>
        <w:t>významnými rozdielmi</w:t>
      </w:r>
      <w:r w:rsidR="00086B78">
        <w:rPr>
          <w:rFonts w:ascii="Times New Roman" w:hAnsi="Times New Roman"/>
          <w:b/>
          <w:sz w:val="22"/>
          <w:szCs w:val="22"/>
        </w:rPr>
        <w:t>.</w:t>
      </w:r>
    </w:p>
    <w:tbl>
      <w:tblPr>
        <w:tblpPr w:leftFromText="180" w:rightFromText="180" w:vertAnchor="text" w:horzAnchor="margin" w:tblpY="182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666"/>
        <w:gridCol w:w="1984"/>
        <w:gridCol w:w="1701"/>
        <w:gridCol w:w="1701"/>
      </w:tblGrid>
      <w:tr w:rsidR="009805A4" w:rsidRPr="00A73C65" w:rsidTr="009805A4">
        <w:trPr>
          <w:trHeight w:val="147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62A5">
              <w:rPr>
                <w:rFonts w:ascii="Times New Roman" w:hAnsi="Times New Roman"/>
                <w:b/>
                <w:sz w:val="22"/>
                <w:szCs w:val="22"/>
              </w:rPr>
              <w:t>Incidencia</w:t>
            </w:r>
            <w:r w:rsidRPr="00660A98">
              <w:rPr>
                <w:rFonts w:ascii="Times New Roman" w:hAnsi="Times New Roman"/>
                <w:b/>
                <w:sz w:val="22"/>
                <w:szCs w:val="22"/>
              </w:rPr>
              <w:t xml:space="preserve"> pri letrozole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162A5">
              <w:rPr>
                <w:rFonts w:ascii="Times New Roman" w:hAnsi="Times New Roman"/>
                <w:b/>
                <w:sz w:val="22"/>
                <w:szCs w:val="22"/>
              </w:rPr>
              <w:t>Incidencia</w:t>
            </w:r>
            <w:r w:rsidRPr="00660A98">
              <w:rPr>
                <w:rFonts w:ascii="Times New Roman" w:hAnsi="Times New Roman"/>
                <w:b/>
                <w:sz w:val="22"/>
                <w:szCs w:val="22"/>
              </w:rPr>
              <w:t xml:space="preserve"> pri tamoxiféne</w:t>
            </w:r>
          </w:p>
        </w:tc>
      </w:tr>
      <w:tr w:rsidR="009805A4" w:rsidRPr="00A73C65" w:rsidTr="009805A4">
        <w:trPr>
          <w:trHeight w:val="147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= 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= 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447</w:t>
            </w:r>
          </w:p>
        </w:tc>
      </w:tr>
      <w:tr w:rsidR="009805A4" w:rsidRPr="00A73C65" w:rsidTr="009805A4">
        <w:trPr>
          <w:trHeight w:val="147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Počas liečby </w:t>
            </w:r>
          </w:p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>(medián 5 rokov)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60A98">
              <w:rPr>
                <w:rFonts w:ascii="Times New Roman" w:hAnsi="Times New Roman"/>
                <w:b/>
                <w:sz w:val="20"/>
              </w:rPr>
              <w:t>Kedykoľvek po randomizácii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</w:p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>(medián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>8</w:t>
            </w:r>
            <w:r w:rsidRPr="00B32090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>rokov)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>Počas liečby (medián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>5 rokov)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32090">
              <w:rPr>
                <w:rFonts w:ascii="Times New Roman" w:hAnsi="Times New Roman"/>
                <w:b/>
                <w:sz w:val="20"/>
              </w:rPr>
              <w:t>Kedykoľvek po randomizácii</w:t>
            </w:r>
            <w:r w:rsidRPr="00660A98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(medián 8 rokov)</w:t>
            </w:r>
          </w:p>
        </w:tc>
      </w:tr>
      <w:tr w:rsidR="009805A4" w:rsidRPr="00A73C65" w:rsidTr="009805A4">
        <w:trPr>
          <w:trHeight w:val="145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sz w:val="22"/>
                <w:szCs w:val="22"/>
              </w:rPr>
              <w:t>Zlomenina kosti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C947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345EE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2 %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345E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="00345EE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7 %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345E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345EE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2 %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345E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 w:rsidR="00345EE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4 %</w:t>
            </w:r>
          </w:p>
        </w:tc>
      </w:tr>
      <w:tr w:rsidR="009805A4" w:rsidRPr="00A73C65" w:rsidTr="009805A4">
        <w:trPr>
          <w:trHeight w:val="145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sz w:val="22"/>
                <w:szCs w:val="22"/>
              </w:rPr>
              <w:t>Osteoporóza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1 %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7 %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7 %</w:t>
            </w:r>
          </w:p>
        </w:tc>
      </w:tr>
      <w:tr w:rsidR="009805A4" w:rsidRPr="00A73C65" w:rsidTr="009805A4">
        <w:trPr>
          <w:trHeight w:val="145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sz w:val="22"/>
                <w:szCs w:val="22"/>
              </w:rPr>
              <w:t xml:space="preserve">Trombembolické </w:t>
            </w:r>
            <w:r w:rsidRPr="006162A5">
              <w:rPr>
                <w:rFonts w:ascii="Times New Roman" w:hAnsi="Times New Roman"/>
                <w:sz w:val="22"/>
                <w:szCs w:val="22"/>
              </w:rPr>
              <w:t>príhody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1 %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2 %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6 %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6 %</w:t>
            </w:r>
          </w:p>
        </w:tc>
      </w:tr>
      <w:tr w:rsidR="009805A4" w:rsidRPr="00A73C65" w:rsidTr="009805A4">
        <w:trPr>
          <w:trHeight w:val="145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sz w:val="22"/>
                <w:szCs w:val="22"/>
              </w:rPr>
              <w:t>Infarkt myokardu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0 %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7 %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5 %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1 %</w:t>
            </w:r>
          </w:p>
        </w:tc>
      </w:tr>
      <w:tr w:rsidR="009805A4" w:rsidRPr="00A73C65" w:rsidTr="009805A4">
        <w:trPr>
          <w:trHeight w:val="271"/>
        </w:trPr>
        <w:tc>
          <w:tcPr>
            <w:tcW w:w="2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sz w:val="22"/>
                <w:szCs w:val="22"/>
              </w:rPr>
              <w:t>Hyperplázia endometria / karcinóm endometria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2 %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4 %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345EE8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2,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3 %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60A98" w:rsidRDefault="009805A4" w:rsidP="00345E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345EE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>9 %</w:t>
            </w:r>
          </w:p>
        </w:tc>
      </w:tr>
      <w:tr w:rsidR="009805A4" w:rsidRPr="00A73C65" w:rsidTr="009805A4">
        <w:trPr>
          <w:trHeight w:val="526"/>
        </w:trPr>
        <w:tc>
          <w:tcPr>
            <w:tcW w:w="935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9805A4" w:rsidRPr="00660A98" w:rsidRDefault="00A70D65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Poznámka: „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Počas liečby” zahŕňa 30 dní po poslednej dávke. </w:t>
            </w:r>
            <w:r w:rsidR="00E27F90">
              <w:rPr>
                <w:rFonts w:ascii="Times New Roman" w:hAnsi="Times New Roman"/>
                <w:color w:val="000000"/>
                <w:sz w:val="22"/>
                <w:szCs w:val="22"/>
              </w:rPr>
              <w:t>„</w:t>
            </w:r>
            <w:r w:rsidR="009805A4"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Kedykoľvek” zahŕňa </w:t>
            </w:r>
            <w:r w:rsidR="009805A4" w:rsidRPr="007330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obdobie sledovania po dokončení liečby </w:t>
            </w:r>
            <w:r w:rsidR="00733021">
              <w:rPr>
                <w:rFonts w:ascii="Times New Roman" w:hAnsi="Times New Roman"/>
                <w:color w:val="000000"/>
                <w:sz w:val="22"/>
                <w:szCs w:val="22"/>
              </w:rPr>
              <w:t>v štúdii alebo po jej predčasnom ukončení</w:t>
            </w:r>
            <w:r w:rsidR="009805A4" w:rsidRPr="00733021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9805A4" w:rsidRPr="00660A98" w:rsidRDefault="009805A4" w:rsidP="009805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805A4" w:rsidRPr="00660A98" w:rsidRDefault="009805A4" w:rsidP="003762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Rozdiely </w:t>
            </w:r>
            <w:r w:rsidRPr="003762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 zakladali na </w:t>
            </w:r>
            <w:r w:rsidRPr="004B2AF9">
              <w:rPr>
                <w:rFonts w:ascii="Times New Roman" w:hAnsi="Times New Roman"/>
                <w:color w:val="000000"/>
                <w:sz w:val="22"/>
                <w:szCs w:val="22"/>
              </w:rPr>
              <w:t>pomeroch rizika</w:t>
            </w:r>
            <w:r w:rsidR="00870855" w:rsidRPr="004B2A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="00870855">
              <w:rPr>
                <w:rFonts w:ascii="Times New Roman" w:hAnsi="Times New Roman"/>
                <w:color w:val="000000"/>
                <w:sz w:val="22"/>
                <w:szCs w:val="22"/>
              </w:rPr>
              <w:t>risk ratios)</w:t>
            </w:r>
            <w:r w:rsidRPr="003762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 95 % </w:t>
            </w:r>
            <w:r w:rsidR="00376254">
              <w:rPr>
                <w:rFonts w:ascii="Times New Roman" w:hAnsi="Times New Roman"/>
                <w:color w:val="000000"/>
                <w:sz w:val="22"/>
                <w:szCs w:val="22"/>
              </w:rPr>
              <w:t>intervaloch spoľahlivosti</w:t>
            </w:r>
            <w:r w:rsidR="007F5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(confidence intervals, CI)</w:t>
            </w:r>
            <w:r w:rsidRPr="0037625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660A9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C4969" w:rsidRPr="00036F94" w:rsidRDefault="004C4969" w:rsidP="004C4969">
      <w:pPr>
        <w:rPr>
          <w:rFonts w:ascii="Arial" w:hAnsi="Arial" w:cs="Arial"/>
          <w:sz w:val="22"/>
          <w:szCs w:val="22"/>
        </w:rPr>
      </w:pPr>
    </w:p>
    <w:p w:rsidR="004C4969" w:rsidRPr="009E27CE" w:rsidRDefault="004C4969" w:rsidP="004C4969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4C4969" w:rsidRPr="009E27CE" w:rsidRDefault="004C4969" w:rsidP="00382925">
      <w:pPr>
        <w:keepNext/>
        <w:widowControl w:val="0"/>
        <w:ind w:left="1134" w:hanging="1134"/>
        <w:rPr>
          <w:rFonts w:ascii="Times New Roman" w:hAnsi="Times New Roman"/>
          <w:b/>
          <w:sz w:val="22"/>
          <w:szCs w:val="22"/>
        </w:rPr>
      </w:pPr>
      <w:r w:rsidRPr="009E27CE">
        <w:rPr>
          <w:rFonts w:ascii="Times New Roman" w:hAnsi="Times New Roman"/>
          <w:b/>
          <w:sz w:val="22"/>
          <w:szCs w:val="22"/>
        </w:rPr>
        <w:lastRenderedPageBreak/>
        <w:t>Tabuľka 3</w:t>
      </w:r>
      <w:r w:rsidRPr="009E27CE">
        <w:rPr>
          <w:rFonts w:ascii="Times New Roman" w:hAnsi="Times New Roman"/>
          <w:b/>
          <w:sz w:val="22"/>
          <w:szCs w:val="22"/>
        </w:rPr>
        <w:tab/>
        <w:t xml:space="preserve">Sekvenčná liečba oproti monoterapii </w:t>
      </w:r>
      <w:r w:rsidR="00D6045B">
        <w:rPr>
          <w:rFonts w:ascii="Times New Roman" w:hAnsi="Times New Roman"/>
          <w:b/>
          <w:sz w:val="22"/>
          <w:szCs w:val="22"/>
        </w:rPr>
        <w:t>letrozolom</w:t>
      </w:r>
      <w:r w:rsidRPr="009E27CE">
        <w:rPr>
          <w:rFonts w:ascii="Times New Roman" w:hAnsi="Times New Roman"/>
          <w:b/>
          <w:sz w:val="22"/>
          <w:szCs w:val="22"/>
        </w:rPr>
        <w:t xml:space="preserve"> – nežiaduce udalosti s významnými rozdielmi</w:t>
      </w:r>
      <w:r w:rsidR="00365E8A">
        <w:rPr>
          <w:rFonts w:ascii="Times New Roman" w:hAnsi="Times New Roman"/>
          <w:b/>
          <w:sz w:val="22"/>
          <w:szCs w:val="22"/>
        </w:rPr>
        <w:t>.</w:t>
      </w:r>
    </w:p>
    <w:tbl>
      <w:tblPr>
        <w:tblpPr w:leftFromText="180" w:rightFromText="180" w:vertAnchor="text" w:horzAnchor="margin" w:tblpY="62"/>
        <w:tblW w:w="9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4"/>
        <w:gridCol w:w="2410"/>
        <w:gridCol w:w="2589"/>
      </w:tblGrid>
      <w:tr w:rsidR="009805A4" w:rsidRPr="006E6AC3" w:rsidTr="009805A4">
        <w:trPr>
          <w:trHeight w:val="272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Default="009805A4" w:rsidP="009805A4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Monoterapia</w:t>
            </w:r>
          </w:p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letrozolom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b/>
                <w:bCs/>
                <w:sz w:val="22"/>
                <w:szCs w:val="22"/>
                <w:lang w:val="en-GB"/>
              </w:rPr>
              <w:t xml:space="preserve">Letrozol → tamoxifén 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b/>
                <w:bCs/>
                <w:sz w:val="22"/>
                <w:szCs w:val="22"/>
                <w:lang w:val="en-GB"/>
              </w:rPr>
              <w:t xml:space="preserve">Tamoxifén → letrozol </w:t>
            </w:r>
          </w:p>
        </w:tc>
      </w:tr>
      <w:tr w:rsidR="009805A4" w:rsidRPr="006E6AC3" w:rsidTr="009805A4">
        <w:trPr>
          <w:trHeight w:val="144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081A10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</w:t>
            </w:r>
            <w:r w:rsidRPr="006E6AC3">
              <w:rPr>
                <w:b/>
                <w:sz w:val="22"/>
                <w:szCs w:val="22"/>
                <w:lang w:val="en-GB"/>
              </w:rPr>
              <w:t xml:space="preserve"> = 1</w:t>
            </w:r>
            <w:r>
              <w:rPr>
                <w:b/>
                <w:sz w:val="22"/>
                <w:szCs w:val="22"/>
                <w:lang w:val="en-GB"/>
              </w:rPr>
              <w:t> </w:t>
            </w:r>
            <w:r w:rsidRPr="006E6AC3">
              <w:rPr>
                <w:b/>
                <w:sz w:val="22"/>
                <w:szCs w:val="22"/>
                <w:lang w:val="en-GB"/>
              </w:rPr>
              <w:t>535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</w:t>
            </w:r>
            <w:r w:rsidRPr="006E6AC3">
              <w:rPr>
                <w:b/>
                <w:sz w:val="22"/>
                <w:szCs w:val="22"/>
                <w:lang w:val="en-GB"/>
              </w:rPr>
              <w:t xml:space="preserve"> = 1</w:t>
            </w:r>
            <w:r>
              <w:rPr>
                <w:b/>
                <w:sz w:val="22"/>
                <w:szCs w:val="22"/>
                <w:lang w:val="en-GB"/>
              </w:rPr>
              <w:t> </w:t>
            </w:r>
            <w:r w:rsidRPr="006E6AC3">
              <w:rPr>
                <w:b/>
                <w:sz w:val="22"/>
                <w:szCs w:val="22"/>
                <w:lang w:val="en-GB"/>
              </w:rPr>
              <w:t>527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</w:t>
            </w:r>
            <w:r w:rsidRPr="006E6AC3">
              <w:rPr>
                <w:b/>
                <w:sz w:val="22"/>
                <w:szCs w:val="22"/>
                <w:lang w:val="en-GB"/>
              </w:rPr>
              <w:t xml:space="preserve"> = 1</w:t>
            </w:r>
            <w:r>
              <w:rPr>
                <w:b/>
                <w:sz w:val="22"/>
                <w:szCs w:val="22"/>
                <w:lang w:val="en-GB"/>
              </w:rPr>
              <w:t> </w:t>
            </w:r>
            <w:r w:rsidRPr="006E6AC3">
              <w:rPr>
                <w:b/>
                <w:sz w:val="22"/>
                <w:szCs w:val="22"/>
                <w:lang w:val="en-GB"/>
              </w:rPr>
              <w:t>541</w:t>
            </w:r>
          </w:p>
        </w:tc>
      </w:tr>
      <w:tr w:rsidR="009805A4" w:rsidRPr="006E6AC3" w:rsidTr="009805A4">
        <w:trPr>
          <w:trHeight w:val="144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6E6AC3">
              <w:rPr>
                <w:b/>
                <w:sz w:val="22"/>
                <w:szCs w:val="22"/>
                <w:lang w:val="en-GB"/>
              </w:rPr>
              <w:t>5 rokov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6E6AC3">
              <w:rPr>
                <w:b/>
                <w:sz w:val="22"/>
                <w:szCs w:val="22"/>
                <w:lang w:val="en-GB"/>
              </w:rPr>
              <w:t xml:space="preserve">2 roky </w:t>
            </w:r>
            <w:r w:rsidRPr="006E6AC3">
              <w:rPr>
                <w:b/>
                <w:bCs/>
                <w:sz w:val="22"/>
                <w:szCs w:val="22"/>
                <w:lang w:val="en-GB"/>
              </w:rPr>
              <w:t>→</w:t>
            </w:r>
            <w:r w:rsidRPr="006E6AC3">
              <w:rPr>
                <w:b/>
                <w:sz w:val="22"/>
                <w:szCs w:val="22"/>
                <w:lang w:val="en-GB"/>
              </w:rPr>
              <w:t xml:space="preserve"> 3 roky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6E6AC3">
              <w:rPr>
                <w:b/>
                <w:sz w:val="22"/>
                <w:szCs w:val="22"/>
                <w:lang w:val="en-GB"/>
              </w:rPr>
              <w:t xml:space="preserve">2 roky </w:t>
            </w:r>
            <w:r w:rsidRPr="006E6AC3">
              <w:rPr>
                <w:b/>
                <w:bCs/>
                <w:sz w:val="22"/>
                <w:szCs w:val="22"/>
                <w:lang w:val="en-GB"/>
              </w:rPr>
              <w:t>→</w:t>
            </w:r>
            <w:r w:rsidRPr="006E6AC3">
              <w:rPr>
                <w:b/>
                <w:sz w:val="22"/>
                <w:szCs w:val="22"/>
                <w:lang w:val="en-GB"/>
              </w:rPr>
              <w:t xml:space="preserve"> 3 roky</w:t>
            </w:r>
          </w:p>
        </w:tc>
      </w:tr>
      <w:tr w:rsidR="009805A4" w:rsidRPr="006E6AC3" w:rsidTr="009805A4">
        <w:trPr>
          <w:trHeight w:val="144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>Zlomeniny kostí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10.0 %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7.7 %* 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9.7 % </w:t>
            </w:r>
          </w:p>
        </w:tc>
      </w:tr>
      <w:tr w:rsidR="009805A4" w:rsidRPr="006E6AC3" w:rsidTr="009805A4">
        <w:trPr>
          <w:trHeight w:val="270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>Proliferatívne poruchy endometria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0.7 %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3.4 %** 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1.7 %** </w:t>
            </w:r>
          </w:p>
        </w:tc>
      </w:tr>
      <w:tr w:rsidR="009805A4" w:rsidRPr="006E6AC3" w:rsidTr="009805A4">
        <w:trPr>
          <w:trHeight w:val="144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>Hypercholesterolémia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52.5 %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44.2 %* 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40.8 %* </w:t>
            </w:r>
          </w:p>
        </w:tc>
      </w:tr>
      <w:tr w:rsidR="009805A4" w:rsidRPr="006E6AC3" w:rsidTr="009805A4">
        <w:trPr>
          <w:trHeight w:val="144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>Návaly tepla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37.6 %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41.7 %** 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43.9 %** </w:t>
            </w:r>
          </w:p>
        </w:tc>
      </w:tr>
      <w:tr w:rsidR="009805A4" w:rsidRPr="006E6AC3" w:rsidTr="009805A4">
        <w:trPr>
          <w:trHeight w:val="144"/>
        </w:trPr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>Vaginálne krvácanie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6.3 %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9.6 %** 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05A4" w:rsidRPr="006E6AC3" w:rsidRDefault="009805A4" w:rsidP="009805A4">
            <w:pPr>
              <w:pStyle w:val="Default"/>
              <w:rPr>
                <w:sz w:val="22"/>
                <w:szCs w:val="22"/>
                <w:lang w:val="en-GB"/>
              </w:rPr>
            </w:pPr>
            <w:r w:rsidRPr="006E6AC3">
              <w:rPr>
                <w:sz w:val="22"/>
                <w:szCs w:val="22"/>
                <w:lang w:val="en-GB"/>
              </w:rPr>
              <w:t xml:space="preserve">12.7 %** </w:t>
            </w:r>
          </w:p>
        </w:tc>
      </w:tr>
      <w:tr w:rsidR="009805A4" w:rsidRPr="006E6AC3" w:rsidTr="009805A4">
        <w:trPr>
          <w:trHeight w:val="397"/>
        </w:trPr>
        <w:tc>
          <w:tcPr>
            <w:tcW w:w="939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>* Významne menej než pri monoterapii letrozolom</w:t>
            </w:r>
            <w:r>
              <w:rPr>
                <w:sz w:val="22"/>
                <w:szCs w:val="22"/>
                <w:lang w:val="sk-SK"/>
              </w:rPr>
              <w:t>.</w:t>
            </w:r>
          </w:p>
          <w:p w:rsidR="009805A4" w:rsidRPr="0001292D" w:rsidRDefault="009805A4" w:rsidP="009805A4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 xml:space="preserve">** </w:t>
            </w:r>
            <w:r w:rsidRPr="006E6AC3">
              <w:rPr>
                <w:sz w:val="22"/>
                <w:szCs w:val="22"/>
                <w:lang w:val="sk-SK"/>
              </w:rPr>
              <w:t xml:space="preserve">Významne </w:t>
            </w:r>
            <w:r w:rsidR="008023F1">
              <w:rPr>
                <w:sz w:val="22"/>
                <w:szCs w:val="22"/>
                <w:lang w:val="sk-SK"/>
              </w:rPr>
              <w:t>viac</w:t>
            </w:r>
            <w:r w:rsidRPr="006E6AC3">
              <w:rPr>
                <w:sz w:val="22"/>
                <w:szCs w:val="22"/>
                <w:lang w:val="sk-SK"/>
              </w:rPr>
              <w:t xml:space="preserve"> než pri monoterapii letrozolom</w:t>
            </w:r>
            <w:r>
              <w:rPr>
                <w:sz w:val="22"/>
                <w:szCs w:val="22"/>
                <w:lang w:val="sk-SK"/>
              </w:rPr>
              <w:t>.</w:t>
            </w:r>
          </w:p>
          <w:p w:rsidR="009805A4" w:rsidRPr="0001292D" w:rsidRDefault="009805A4" w:rsidP="009E62D2">
            <w:pPr>
              <w:pStyle w:val="Default"/>
              <w:rPr>
                <w:sz w:val="22"/>
                <w:szCs w:val="22"/>
                <w:lang w:val="sk-SK"/>
              </w:rPr>
            </w:pPr>
            <w:r w:rsidRPr="0001292D">
              <w:rPr>
                <w:sz w:val="22"/>
                <w:szCs w:val="22"/>
                <w:lang w:val="sk-SK"/>
              </w:rPr>
              <w:t xml:space="preserve">Poznámka: </w:t>
            </w:r>
            <w:r w:rsidRPr="009E62D2">
              <w:rPr>
                <w:sz w:val="22"/>
                <w:szCs w:val="22"/>
                <w:lang w:val="sk-SK"/>
              </w:rPr>
              <w:t xml:space="preserve">Obdobie </w:t>
            </w:r>
            <w:r w:rsidR="009E62D2">
              <w:rPr>
                <w:sz w:val="22"/>
                <w:szCs w:val="22"/>
                <w:lang w:val="sk-SK"/>
              </w:rPr>
              <w:t>hlásenia</w:t>
            </w:r>
            <w:r w:rsidRPr="009E62D2">
              <w:rPr>
                <w:sz w:val="22"/>
                <w:szCs w:val="22"/>
                <w:lang w:val="sk-SK"/>
              </w:rPr>
              <w:t xml:space="preserve"> je</w:t>
            </w:r>
            <w:r w:rsidR="009E62D2">
              <w:rPr>
                <w:sz w:val="22"/>
                <w:szCs w:val="22"/>
                <w:lang w:val="sk-SK"/>
              </w:rPr>
              <w:t xml:space="preserve"> – </w:t>
            </w:r>
            <w:r w:rsidRPr="009E62D2">
              <w:rPr>
                <w:sz w:val="22"/>
                <w:szCs w:val="22"/>
                <w:lang w:val="sk-SK"/>
              </w:rPr>
              <w:t>počas liečby alebo počas 30 dní po ukončení liečby.</w:t>
            </w:r>
          </w:p>
        </w:tc>
      </w:tr>
    </w:tbl>
    <w:p w:rsidR="00C9478C" w:rsidRDefault="00C9478C" w:rsidP="004C4969">
      <w:pPr>
        <w:keepNext/>
        <w:widowControl w:val="0"/>
        <w:rPr>
          <w:rFonts w:ascii="Times New Roman" w:hAnsi="Times New Roman"/>
          <w:sz w:val="22"/>
          <w:szCs w:val="22"/>
          <w:u w:val="single"/>
        </w:rPr>
      </w:pPr>
    </w:p>
    <w:p w:rsidR="004C4969" w:rsidRDefault="00F266E0" w:rsidP="004C4969">
      <w:pPr>
        <w:keepNext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O</w:t>
      </w:r>
      <w:r w:rsidR="004C4969" w:rsidRPr="009E27CE">
        <w:rPr>
          <w:rFonts w:ascii="Times New Roman" w:hAnsi="Times New Roman"/>
          <w:sz w:val="22"/>
          <w:szCs w:val="22"/>
          <w:u w:val="single"/>
        </w:rPr>
        <w:t>pis vybraných nežiaducich reakcií</w:t>
      </w:r>
      <w:r w:rsidR="00903256">
        <w:rPr>
          <w:rFonts w:ascii="Times New Roman" w:hAnsi="Times New Roman"/>
          <w:sz w:val="22"/>
          <w:szCs w:val="22"/>
          <w:u w:val="single"/>
        </w:rPr>
        <w:t>:</w:t>
      </w:r>
    </w:p>
    <w:p w:rsidR="00FC36D9" w:rsidRPr="009E27CE" w:rsidRDefault="00FC36D9" w:rsidP="004C4969">
      <w:pPr>
        <w:keepNext/>
        <w:widowControl w:val="0"/>
        <w:rPr>
          <w:rFonts w:ascii="Times New Roman" w:hAnsi="Times New Roman"/>
          <w:sz w:val="22"/>
          <w:szCs w:val="22"/>
          <w:u w:val="single"/>
        </w:rPr>
      </w:pPr>
    </w:p>
    <w:p w:rsidR="00F266E0" w:rsidRDefault="00F266E0" w:rsidP="00F266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i/>
          <w:sz w:val="22"/>
          <w:szCs w:val="22"/>
          <w:lang w:val="sk-SK"/>
        </w:rPr>
        <w:t>Nežiaduce reakcie súvisiace so srdcom</w:t>
      </w:r>
    </w:p>
    <w:p w:rsidR="00903256" w:rsidRPr="009E27CE" w:rsidRDefault="00903256" w:rsidP="00F266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F266E0" w:rsidRPr="009E27CE" w:rsidRDefault="00F266E0" w:rsidP="00F266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Pri adjuvantnom použití sa popri údajoch uvedených v </w:t>
      </w:r>
      <w:r w:rsidR="00E154B4">
        <w:rPr>
          <w:sz w:val="22"/>
          <w:szCs w:val="22"/>
          <w:lang w:val="sk-SK"/>
        </w:rPr>
        <w:t>t</w:t>
      </w:r>
      <w:r w:rsidRPr="009E27CE">
        <w:rPr>
          <w:sz w:val="22"/>
          <w:szCs w:val="22"/>
          <w:lang w:val="sk-SK"/>
        </w:rPr>
        <w:t xml:space="preserve">abuľke 2 </w:t>
      </w:r>
      <w:r w:rsidR="005D7EEC">
        <w:rPr>
          <w:sz w:val="22"/>
          <w:szCs w:val="22"/>
          <w:lang w:val="sk-SK"/>
        </w:rPr>
        <w:t>pre letrozol a tamoxifén</w:t>
      </w:r>
      <w:r w:rsidR="005D7EEC" w:rsidRPr="009E27CE">
        <w:rPr>
          <w:sz w:val="22"/>
          <w:szCs w:val="22"/>
          <w:lang w:val="sk-SK"/>
        </w:rPr>
        <w:t xml:space="preserve"> </w:t>
      </w:r>
      <w:r w:rsidRPr="009E27CE">
        <w:rPr>
          <w:sz w:val="22"/>
          <w:szCs w:val="22"/>
          <w:lang w:val="sk-SK"/>
        </w:rPr>
        <w:t xml:space="preserve">zaznamenali nasledujúce nežiaduce udalosti (medián trvania liečby 60 mesiacov a 30 dní): angina pectoris vyžadujúca chirurgický zákrok (1,0 % oproti 1,0 %); </w:t>
      </w:r>
      <w:r w:rsidRPr="00601388">
        <w:rPr>
          <w:sz w:val="22"/>
          <w:szCs w:val="22"/>
          <w:lang w:val="sk-SK"/>
        </w:rPr>
        <w:t>zlyhávanie</w:t>
      </w:r>
      <w:r w:rsidRPr="009E27CE">
        <w:rPr>
          <w:sz w:val="22"/>
          <w:szCs w:val="22"/>
          <w:lang w:val="sk-SK"/>
        </w:rPr>
        <w:t xml:space="preserve"> srdca (1,1 % oproti 0,6 %); hypertenzia (5,6 % oproti 5,7 %); cerebrovaskulárna príhoda/tranzitórny ischemický atak (2,1 % oproti 1,9 %).</w:t>
      </w:r>
    </w:p>
    <w:p w:rsidR="00F266E0" w:rsidRPr="009E27CE" w:rsidRDefault="00F266E0" w:rsidP="00F266E0">
      <w:pPr>
        <w:pStyle w:val="Text"/>
        <w:widowControl w:val="0"/>
        <w:spacing w:before="0"/>
        <w:jc w:val="left"/>
        <w:rPr>
          <w:strike/>
          <w:sz w:val="22"/>
          <w:szCs w:val="22"/>
          <w:lang w:val="sk-SK"/>
        </w:rPr>
      </w:pPr>
    </w:p>
    <w:p w:rsidR="00F266E0" w:rsidRPr="009E27CE" w:rsidRDefault="00F266E0" w:rsidP="00F266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>Pri dlhodobom adjuvantnom použití sa</w:t>
      </w:r>
      <w:r w:rsidR="005D7EEC" w:rsidRPr="005D7EEC">
        <w:rPr>
          <w:sz w:val="22"/>
          <w:szCs w:val="22"/>
          <w:lang w:val="sk-SK"/>
        </w:rPr>
        <w:t xml:space="preserve"> </w:t>
      </w:r>
      <w:r w:rsidR="00DB23D8">
        <w:rPr>
          <w:sz w:val="22"/>
          <w:szCs w:val="22"/>
          <w:lang w:val="sk-SK"/>
        </w:rPr>
        <w:t>pre letrozol</w:t>
      </w:r>
      <w:r w:rsidR="005D7EEC" w:rsidRPr="009E27CE">
        <w:rPr>
          <w:sz w:val="22"/>
          <w:szCs w:val="22"/>
          <w:lang w:val="sk-SK"/>
        </w:rPr>
        <w:t xml:space="preserve"> (medián trvania liečby 5 rokov) a </w:t>
      </w:r>
      <w:r w:rsidR="00D91E35">
        <w:rPr>
          <w:sz w:val="22"/>
          <w:szCs w:val="22"/>
          <w:lang w:val="sk-SK"/>
        </w:rPr>
        <w:t>placebo</w:t>
      </w:r>
      <w:r w:rsidR="005D7EEC" w:rsidRPr="009E27CE">
        <w:rPr>
          <w:sz w:val="22"/>
          <w:szCs w:val="22"/>
          <w:lang w:val="sk-SK"/>
        </w:rPr>
        <w:t xml:space="preserve"> (medián trvania liečby 3 roky)</w:t>
      </w:r>
      <w:r w:rsidRPr="009E27CE">
        <w:rPr>
          <w:sz w:val="22"/>
          <w:szCs w:val="22"/>
          <w:lang w:val="sk-SK"/>
        </w:rPr>
        <w:t xml:space="preserve"> zaznamenali: angina pectoris vyžadujúca chirurgický zákrok (0,8 % oproti 0,6 %); nová alebo zhoršujúca sa angina pectoris (1,4 % oproti 1,0 %); infarkt myokardu (1,0 % oproti 0,7 %); trombembolická </w:t>
      </w:r>
      <w:r w:rsidRPr="00601388">
        <w:rPr>
          <w:sz w:val="22"/>
          <w:szCs w:val="22"/>
          <w:lang w:val="sk-SK"/>
        </w:rPr>
        <w:t>príhoda</w:t>
      </w:r>
      <w:r w:rsidRPr="0096408E">
        <w:rPr>
          <w:sz w:val="22"/>
          <w:szCs w:val="22"/>
          <w:vertAlign w:val="superscript"/>
          <w:lang w:val="sk-SK"/>
        </w:rPr>
        <w:t>*</w:t>
      </w:r>
      <w:r w:rsidRPr="009E27CE">
        <w:rPr>
          <w:sz w:val="22"/>
          <w:szCs w:val="22"/>
          <w:lang w:val="sk-SK"/>
        </w:rPr>
        <w:t xml:space="preserve"> (0,9 % oproti 0,3 %); cievna mozgová príhoda/tranzitórny ischemický atak</w:t>
      </w:r>
      <w:r w:rsidRPr="0096408E">
        <w:rPr>
          <w:sz w:val="22"/>
          <w:szCs w:val="22"/>
          <w:vertAlign w:val="superscript"/>
          <w:lang w:val="sk-SK"/>
        </w:rPr>
        <w:t>*</w:t>
      </w:r>
      <w:r w:rsidRPr="009E27CE">
        <w:rPr>
          <w:sz w:val="22"/>
          <w:szCs w:val="22"/>
          <w:lang w:val="sk-SK"/>
        </w:rPr>
        <w:t xml:space="preserve"> (1,5 % oproti 0,8 %).</w:t>
      </w:r>
    </w:p>
    <w:p w:rsidR="00F266E0" w:rsidRPr="009E27CE" w:rsidRDefault="00F266E0" w:rsidP="00F266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Pri udalostiach označených </w:t>
      </w:r>
      <w:r w:rsidRPr="0005484F">
        <w:rPr>
          <w:sz w:val="22"/>
          <w:szCs w:val="22"/>
          <w:vertAlign w:val="superscript"/>
          <w:lang w:val="sk-SK"/>
        </w:rPr>
        <w:t>*</w:t>
      </w:r>
      <w:r w:rsidRPr="009E27CE">
        <w:rPr>
          <w:sz w:val="22"/>
          <w:szCs w:val="22"/>
          <w:lang w:val="sk-SK"/>
        </w:rPr>
        <w:t xml:space="preserve"> boli </w:t>
      </w:r>
      <w:r w:rsidR="0005484F">
        <w:rPr>
          <w:sz w:val="22"/>
          <w:szCs w:val="22"/>
          <w:lang w:val="sk-SK"/>
        </w:rPr>
        <w:t>štatisticky významné</w:t>
      </w:r>
      <w:r w:rsidRPr="009E27CE">
        <w:rPr>
          <w:sz w:val="22"/>
          <w:szCs w:val="22"/>
          <w:lang w:val="sk-SK"/>
        </w:rPr>
        <w:t xml:space="preserve"> rozdiely medzi </w:t>
      </w:r>
      <w:r w:rsidR="00C357A4">
        <w:rPr>
          <w:sz w:val="22"/>
          <w:szCs w:val="22"/>
          <w:lang w:val="sk-SK"/>
        </w:rPr>
        <w:t>uvedenými</w:t>
      </w:r>
      <w:r w:rsidRPr="009E27CE">
        <w:rPr>
          <w:sz w:val="22"/>
          <w:szCs w:val="22"/>
          <w:lang w:val="sk-SK"/>
        </w:rPr>
        <w:t xml:space="preserve"> </w:t>
      </w:r>
      <w:r w:rsidR="002D6900">
        <w:rPr>
          <w:sz w:val="22"/>
          <w:szCs w:val="22"/>
          <w:lang w:val="sk-SK"/>
        </w:rPr>
        <w:t>liečebnými skupinami</w:t>
      </w:r>
      <w:r w:rsidRPr="009E27CE">
        <w:rPr>
          <w:sz w:val="22"/>
          <w:szCs w:val="22"/>
          <w:lang w:val="sk-SK"/>
        </w:rPr>
        <w:t>.</w:t>
      </w:r>
    </w:p>
    <w:p w:rsidR="00F266E0" w:rsidRPr="009E27CE" w:rsidRDefault="00F266E0" w:rsidP="00F266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F266E0" w:rsidRDefault="00F266E0" w:rsidP="00F266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i/>
          <w:sz w:val="22"/>
          <w:szCs w:val="22"/>
          <w:lang w:val="sk-SK"/>
        </w:rPr>
        <w:t xml:space="preserve">Nežiaduce reakcie </w:t>
      </w:r>
      <w:r w:rsidR="00A31578">
        <w:rPr>
          <w:i/>
          <w:sz w:val="22"/>
          <w:szCs w:val="22"/>
          <w:lang w:val="sk-SK"/>
        </w:rPr>
        <w:t>týkajúce sa skeletu</w:t>
      </w:r>
    </w:p>
    <w:p w:rsidR="00903256" w:rsidRPr="009E27CE" w:rsidRDefault="00903256" w:rsidP="00F266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F266E0" w:rsidRPr="009E27CE" w:rsidRDefault="00F266E0" w:rsidP="00F266E0">
      <w:pPr>
        <w:pStyle w:val="Text"/>
        <w:widowControl w:val="0"/>
        <w:spacing w:before="0"/>
        <w:jc w:val="left"/>
        <w:rPr>
          <w:strike/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>Údaje o</w:t>
      </w:r>
      <w:r w:rsidR="00CE7399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bezpečnosti</w:t>
      </w:r>
      <w:r w:rsidR="00CE7399">
        <w:rPr>
          <w:sz w:val="22"/>
          <w:szCs w:val="22"/>
          <w:lang w:val="sk-SK"/>
        </w:rPr>
        <w:t xml:space="preserve"> týkajúce sa </w:t>
      </w:r>
      <w:r w:rsidR="00CE7399" w:rsidRPr="00A31578">
        <w:rPr>
          <w:sz w:val="22"/>
          <w:szCs w:val="22"/>
          <w:lang w:val="sk-SK"/>
        </w:rPr>
        <w:t>skeletu</w:t>
      </w:r>
      <w:r w:rsidRPr="009E27CE">
        <w:rPr>
          <w:sz w:val="22"/>
          <w:szCs w:val="22"/>
          <w:lang w:val="sk-SK"/>
        </w:rPr>
        <w:t xml:space="preserve"> pri adjuvantnom použití, pozri </w:t>
      </w:r>
      <w:r w:rsidR="00F67538">
        <w:rPr>
          <w:sz w:val="22"/>
          <w:szCs w:val="22"/>
          <w:lang w:val="sk-SK"/>
        </w:rPr>
        <w:t>t</w:t>
      </w:r>
      <w:r w:rsidRPr="009E27CE">
        <w:rPr>
          <w:sz w:val="22"/>
          <w:szCs w:val="22"/>
          <w:lang w:val="sk-SK"/>
        </w:rPr>
        <w:t>abuľku 2.</w:t>
      </w:r>
    </w:p>
    <w:p w:rsidR="00F266E0" w:rsidRPr="009E27CE" w:rsidRDefault="00F266E0" w:rsidP="004B08CD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F266E0" w:rsidRPr="004B08CD" w:rsidRDefault="00F266E0" w:rsidP="004B08CD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Pri dlhodobom adjuvantnom použití sa u významne viac pacientok liečených </w:t>
      </w:r>
      <w:r>
        <w:rPr>
          <w:sz w:val="22"/>
          <w:szCs w:val="22"/>
          <w:lang w:val="sk-SK"/>
        </w:rPr>
        <w:t>letrozolom</w:t>
      </w:r>
      <w:r w:rsidRPr="009E27CE">
        <w:rPr>
          <w:sz w:val="22"/>
          <w:szCs w:val="22"/>
          <w:lang w:val="sk-SK"/>
        </w:rPr>
        <w:t xml:space="preserve"> vyskytli </w:t>
      </w:r>
      <w:r w:rsidRPr="004B08CD">
        <w:rPr>
          <w:sz w:val="22"/>
          <w:szCs w:val="22"/>
          <w:lang w:val="sk-SK"/>
        </w:rPr>
        <w:t xml:space="preserve">zlomeniny kostí alebo osteoporóza (zlomeniny kostí 10,4 % a osteoporóza 12,2 %) ako u pacientok v skupine </w:t>
      </w:r>
      <w:r w:rsidR="00210055" w:rsidRPr="004B08CD">
        <w:rPr>
          <w:sz w:val="22"/>
          <w:szCs w:val="22"/>
          <w:lang w:val="sk-SK"/>
        </w:rPr>
        <w:t>s placebom</w:t>
      </w:r>
      <w:r w:rsidRPr="004B08CD">
        <w:rPr>
          <w:sz w:val="22"/>
          <w:szCs w:val="22"/>
          <w:lang w:val="sk-SK"/>
        </w:rPr>
        <w:t xml:space="preserve"> (5,8 % a 6,4 %</w:t>
      </w:r>
      <w:r w:rsidR="00EF76D8" w:rsidRPr="004B08CD">
        <w:rPr>
          <w:sz w:val="22"/>
          <w:szCs w:val="22"/>
          <w:lang w:val="sk-SK"/>
        </w:rPr>
        <w:t xml:space="preserve"> v uvedenom poradí</w:t>
      </w:r>
      <w:r w:rsidRPr="004B08CD">
        <w:rPr>
          <w:sz w:val="22"/>
          <w:szCs w:val="22"/>
          <w:lang w:val="sk-SK"/>
        </w:rPr>
        <w:t xml:space="preserve">). Medián trvania liečby bol </w:t>
      </w:r>
      <w:r w:rsidR="00CE60A2" w:rsidRPr="004B08CD">
        <w:rPr>
          <w:sz w:val="22"/>
          <w:szCs w:val="22"/>
          <w:lang w:val="sk-SK"/>
        </w:rPr>
        <w:t>pre letrozol 5 rokov</w:t>
      </w:r>
      <w:r w:rsidR="007D7649" w:rsidRPr="004B08CD">
        <w:rPr>
          <w:sz w:val="22"/>
          <w:szCs w:val="22"/>
          <w:lang w:val="sk-SK"/>
        </w:rPr>
        <w:t>,</w:t>
      </w:r>
      <w:r w:rsidR="00CE60A2" w:rsidRPr="004B08CD">
        <w:rPr>
          <w:sz w:val="22"/>
          <w:szCs w:val="22"/>
          <w:lang w:val="sk-SK"/>
        </w:rPr>
        <w:t xml:space="preserve"> pre placebo 3 roky.</w:t>
      </w:r>
    </w:p>
    <w:p w:rsidR="00F266E0" w:rsidRPr="004B08CD" w:rsidRDefault="00F266E0" w:rsidP="004B08CD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4B08CD" w:rsidRPr="00DE7BB3" w:rsidRDefault="004B08CD" w:rsidP="004B08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/>
          <w:sz w:val="22"/>
          <w:u w:val="single"/>
        </w:rPr>
      </w:pPr>
      <w:r w:rsidRPr="00DE7BB3">
        <w:rPr>
          <w:rFonts w:ascii="Times New Roman" w:hAnsi="Times New Roman"/>
          <w:sz w:val="22"/>
          <w:u w:val="single"/>
        </w:rPr>
        <w:t>Hlásenie podozrení na nežiaduce reakcie</w:t>
      </w:r>
    </w:p>
    <w:p w:rsidR="00DE7BB3" w:rsidRPr="00DE7BB3" w:rsidRDefault="00DE7BB3" w:rsidP="00DE7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</w:rPr>
      </w:pPr>
      <w:r w:rsidRPr="00DE7BB3">
        <w:rPr>
          <w:rFonts w:ascii="Times New Roman" w:hAnsi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DE7BB3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8" w:history="1">
        <w:r w:rsidRPr="00DE7BB3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 V</w:t>
        </w:r>
      </w:hyperlink>
      <w:r w:rsidRPr="00DE7BB3">
        <w:rPr>
          <w:rStyle w:val="Hypertextovprepojenie"/>
          <w:rFonts w:ascii="Times New Roman" w:hAnsi="Times New Roman"/>
          <w:sz w:val="22"/>
        </w:rPr>
        <w:t>.</w:t>
      </w:r>
    </w:p>
    <w:p w:rsidR="004C4969" w:rsidRPr="004B08CD" w:rsidRDefault="004C4969" w:rsidP="004B08CD">
      <w:pPr>
        <w:rPr>
          <w:rFonts w:ascii="Times New Roman" w:hAnsi="Times New Roman"/>
          <w:sz w:val="22"/>
          <w:szCs w:val="22"/>
        </w:rPr>
      </w:pPr>
    </w:p>
    <w:p w:rsidR="005F040D" w:rsidRPr="004B08CD" w:rsidRDefault="005F040D" w:rsidP="004B08CD">
      <w:pPr>
        <w:rPr>
          <w:rFonts w:ascii="Times New Roman" w:hAnsi="Times New Roman"/>
          <w:sz w:val="22"/>
          <w:szCs w:val="22"/>
        </w:rPr>
      </w:pPr>
      <w:r w:rsidRPr="004B08CD">
        <w:rPr>
          <w:rFonts w:ascii="Times New Roman" w:hAnsi="Times New Roman"/>
          <w:b/>
          <w:sz w:val="22"/>
          <w:szCs w:val="22"/>
        </w:rPr>
        <w:t>4.9</w:t>
      </w:r>
      <w:r w:rsidRPr="004B08CD">
        <w:rPr>
          <w:rFonts w:ascii="Times New Roman" w:hAnsi="Times New Roman"/>
          <w:b/>
          <w:sz w:val="22"/>
          <w:szCs w:val="22"/>
        </w:rPr>
        <w:tab/>
        <w:t>Predávkovanie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Zaznamenali sa ojedinelé prípady predávkovania letrozolom.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je známa špecifická liečba predávkovania. Liečba má byť symptomatická a podporná. </w:t>
      </w: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5.</w:t>
      </w:r>
      <w:r>
        <w:rPr>
          <w:rFonts w:ascii="Times New Roman" w:hAnsi="Times New Roman"/>
          <w:b/>
          <w:noProof/>
          <w:sz w:val="22"/>
          <w:szCs w:val="22"/>
        </w:rPr>
        <w:tab/>
        <w:t>FARMAKOLOGICKÉ VLASTNOSTI</w:t>
      </w:r>
    </w:p>
    <w:p w:rsidR="005F040D" w:rsidRDefault="005F040D">
      <w:pPr>
        <w:rPr>
          <w:rFonts w:ascii="Times New Roman" w:hAnsi="Times New Roman"/>
          <w:bCs/>
          <w:noProof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lastRenderedPageBreak/>
        <w:t>5.1</w:t>
      </w:r>
      <w:r>
        <w:rPr>
          <w:rFonts w:ascii="Times New Roman" w:hAnsi="Times New Roman"/>
          <w:b/>
          <w:noProof/>
          <w:sz w:val="22"/>
          <w:szCs w:val="22"/>
        </w:rPr>
        <w:tab/>
        <w:t>Farmakodynamické vlastnosti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Farmakoterapeutická skupina:</w:t>
      </w:r>
      <w:r w:rsidR="00B5563C" w:rsidRPr="00B5563C">
        <w:rPr>
          <w:rFonts w:ascii="Times New Roman" w:hAnsi="Times New Roman"/>
          <w:sz w:val="22"/>
          <w:szCs w:val="22"/>
        </w:rPr>
        <w:t xml:space="preserve"> </w:t>
      </w:r>
      <w:r w:rsidR="00B5563C" w:rsidRPr="009E27CE">
        <w:rPr>
          <w:rFonts w:ascii="Times New Roman" w:hAnsi="Times New Roman"/>
          <w:sz w:val="22"/>
          <w:szCs w:val="22"/>
        </w:rPr>
        <w:t>E</w:t>
      </w:r>
      <w:r w:rsidR="00B5563C" w:rsidRPr="009E27CE">
        <w:rPr>
          <w:rFonts w:ascii="Times New Roman" w:hAnsi="Times New Roman"/>
          <w:sz w:val="22"/>
          <w:szCs w:val="22"/>
          <w:lang w:eastAsia="en-GB"/>
        </w:rPr>
        <w:t>ndokrinná liečba. Antagonisty hormónov a príbuzné liečivá: inhibítor aromatázy</w:t>
      </w:r>
      <w:r>
        <w:rPr>
          <w:rFonts w:ascii="Times New Roman" w:hAnsi="Times New Roman"/>
          <w:sz w:val="22"/>
          <w:szCs w:val="22"/>
        </w:rPr>
        <w:t>,  ATC kód: L02BG04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B5563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Farmakodynamické účinky</w:t>
      </w:r>
    </w:p>
    <w:p w:rsidR="00B5563C" w:rsidRPr="00036F94" w:rsidRDefault="00B5563C">
      <w:pPr>
        <w:rPr>
          <w:rFonts w:ascii="Times New Roman" w:hAnsi="Times New Roman"/>
          <w:sz w:val="22"/>
          <w:szCs w:val="22"/>
          <w:u w:val="single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Odstránenie </w:t>
      </w:r>
      <w:r w:rsidR="00263B1E">
        <w:rPr>
          <w:rFonts w:ascii="Times New Roman" w:hAnsi="Times New Roman"/>
          <w:sz w:val="22"/>
          <w:szCs w:val="22"/>
        </w:rPr>
        <w:t>stimulácie rastu sprostredkovanej estrogénmi</w:t>
      </w:r>
      <w:r>
        <w:rPr>
          <w:rFonts w:ascii="Times New Roman" w:hAnsi="Times New Roman"/>
          <w:sz w:val="22"/>
          <w:szCs w:val="22"/>
        </w:rPr>
        <w:t xml:space="preserve"> je predpokladom pre odpoveď nádoru v tých prípadoch, </w:t>
      </w:r>
      <w:r w:rsidR="00194C46">
        <w:rPr>
          <w:rFonts w:ascii="Times New Roman" w:hAnsi="Times New Roman"/>
          <w:sz w:val="22"/>
          <w:szCs w:val="22"/>
        </w:rPr>
        <w:t>keď rast nádorového tkaniva závisí</w:t>
      </w:r>
      <w:r>
        <w:rPr>
          <w:rFonts w:ascii="Times New Roman" w:hAnsi="Times New Roman"/>
          <w:sz w:val="22"/>
          <w:szCs w:val="22"/>
        </w:rPr>
        <w:t xml:space="preserve"> od prítomnosti estrogénov a</w:t>
      </w:r>
      <w:r w:rsidR="005D082C">
        <w:rPr>
          <w:rFonts w:ascii="Times New Roman" w:hAnsi="Times New Roman"/>
          <w:sz w:val="22"/>
          <w:szCs w:val="22"/>
        </w:rPr>
        <w:t> použije sa</w:t>
      </w:r>
      <w:r>
        <w:rPr>
          <w:rFonts w:ascii="Times New Roman" w:hAnsi="Times New Roman"/>
          <w:sz w:val="22"/>
          <w:szCs w:val="22"/>
        </w:rPr>
        <w:t xml:space="preserve"> endokrinná liečba. U postmenopauzálnych žien </w:t>
      </w:r>
      <w:r w:rsidR="00ED5FD2">
        <w:rPr>
          <w:rFonts w:ascii="Times New Roman" w:hAnsi="Times New Roman"/>
          <w:sz w:val="22"/>
          <w:szCs w:val="22"/>
        </w:rPr>
        <w:t xml:space="preserve">vznikajú </w:t>
      </w:r>
      <w:r>
        <w:rPr>
          <w:rFonts w:ascii="Times New Roman" w:hAnsi="Times New Roman"/>
          <w:sz w:val="22"/>
          <w:szCs w:val="22"/>
        </w:rPr>
        <w:t xml:space="preserve">estrogény hlavne pôsobením enzýmu aromatázy, ktorá premieňa nadobličkové androgény </w:t>
      </w:r>
      <w:r w:rsidR="00ED5FD2">
        <w:rPr>
          <w:rFonts w:ascii="Times New Roman" w:hAnsi="Times New Roman"/>
          <w:sz w:val="22"/>
          <w:szCs w:val="22"/>
        </w:rPr>
        <w:t>−</w:t>
      </w:r>
      <w:r>
        <w:rPr>
          <w:rFonts w:ascii="Times New Roman" w:hAnsi="Times New Roman"/>
          <w:sz w:val="22"/>
          <w:szCs w:val="22"/>
        </w:rPr>
        <w:t xml:space="preserve"> predovšetkým androstendión a testosterón </w:t>
      </w:r>
      <w:r w:rsidR="00ED5FD2">
        <w:rPr>
          <w:rFonts w:ascii="Times New Roman" w:hAnsi="Times New Roman"/>
          <w:sz w:val="22"/>
          <w:szCs w:val="22"/>
        </w:rPr>
        <w:t>−</w:t>
      </w:r>
      <w:r>
        <w:rPr>
          <w:rFonts w:ascii="Times New Roman" w:hAnsi="Times New Roman"/>
          <w:sz w:val="22"/>
          <w:szCs w:val="22"/>
        </w:rPr>
        <w:t xml:space="preserve"> na estrón a estradiol. </w:t>
      </w:r>
      <w:r w:rsidRPr="00F61E78">
        <w:rPr>
          <w:rFonts w:ascii="Times New Roman" w:hAnsi="Times New Roman"/>
          <w:sz w:val="22"/>
          <w:szCs w:val="22"/>
        </w:rPr>
        <w:t>Potlačenie</w:t>
      </w:r>
      <w:r>
        <w:rPr>
          <w:rFonts w:ascii="Times New Roman" w:hAnsi="Times New Roman"/>
          <w:sz w:val="22"/>
          <w:szCs w:val="22"/>
        </w:rPr>
        <w:t xml:space="preserve"> biosyntézy estrogénov v periférnych tkanivách a v samotnom rakovinovom tkanive sa preto môže dosiahnuť špecifickou inhibíciou enzýmu aromatázy.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Letrozol je </w:t>
      </w:r>
      <w:r w:rsidR="00F075A8">
        <w:rPr>
          <w:rFonts w:ascii="Times New Roman" w:hAnsi="Times New Roman"/>
          <w:sz w:val="22"/>
          <w:szCs w:val="22"/>
        </w:rPr>
        <w:t xml:space="preserve">nesteroidný </w:t>
      </w:r>
      <w:r>
        <w:rPr>
          <w:rFonts w:ascii="Times New Roman" w:hAnsi="Times New Roman"/>
          <w:sz w:val="22"/>
          <w:szCs w:val="22"/>
        </w:rPr>
        <w:t>inhibítor aromatázy. Inhibuje enzým aromatázu kompet</w:t>
      </w:r>
      <w:r w:rsidR="0042353D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tívnou väzbou na hém cytochrómu P450</w:t>
      </w:r>
      <w:r w:rsidR="00FB5664">
        <w:rPr>
          <w:rFonts w:ascii="Times New Roman" w:hAnsi="Times New Roman"/>
          <w:sz w:val="22"/>
          <w:szCs w:val="22"/>
        </w:rPr>
        <w:t xml:space="preserve"> </w:t>
      </w:r>
      <w:r w:rsidR="004318E7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aromatázy</w:t>
      </w:r>
      <w:r w:rsidR="004318E7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čo má za následok zníženie biosyntézy estrogénov vo všetkých tkanivách, kde sa nachádza.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zdravých postmenopauzálnych žien </w:t>
      </w:r>
      <w:r w:rsidRPr="00F61E78">
        <w:rPr>
          <w:rFonts w:ascii="Times New Roman" w:hAnsi="Times New Roman"/>
          <w:sz w:val="22"/>
          <w:szCs w:val="22"/>
        </w:rPr>
        <w:t>znížia</w:t>
      </w:r>
      <w:r>
        <w:rPr>
          <w:rFonts w:ascii="Times New Roman" w:hAnsi="Times New Roman"/>
          <w:sz w:val="22"/>
          <w:szCs w:val="22"/>
        </w:rPr>
        <w:t xml:space="preserve"> jednorazové dávky 0,1 mg, 0,5 mg a 2,5 mg letrozolu sérový estrón </w:t>
      </w:r>
      <w:r w:rsidR="00B65DE1">
        <w:rPr>
          <w:rFonts w:ascii="Times New Roman" w:hAnsi="Times New Roman"/>
          <w:sz w:val="22"/>
          <w:szCs w:val="22"/>
        </w:rPr>
        <w:t xml:space="preserve">a estradiol </w:t>
      </w:r>
      <w:r>
        <w:rPr>
          <w:rFonts w:ascii="Times New Roman" w:hAnsi="Times New Roman"/>
          <w:sz w:val="22"/>
          <w:szCs w:val="22"/>
        </w:rPr>
        <w:t>o</w:t>
      </w:r>
      <w:r w:rsidR="00B65DE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75</w:t>
      </w:r>
      <w:r w:rsidR="00B65DE1">
        <w:rPr>
          <w:rFonts w:ascii="Times New Roman" w:hAnsi="Times New Roman"/>
          <w:sz w:val="22"/>
          <w:szCs w:val="22"/>
        </w:rPr>
        <w:t> %,</w:t>
      </w:r>
      <w:r>
        <w:rPr>
          <w:rFonts w:ascii="Times New Roman" w:hAnsi="Times New Roman"/>
          <w:sz w:val="22"/>
          <w:szCs w:val="22"/>
        </w:rPr>
        <w:t> 78</w:t>
      </w:r>
      <w:r w:rsidR="00B65DE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% </w:t>
      </w:r>
      <w:r w:rsidR="00B65DE1">
        <w:rPr>
          <w:rFonts w:ascii="Times New Roman" w:hAnsi="Times New Roman"/>
          <w:sz w:val="22"/>
          <w:szCs w:val="22"/>
        </w:rPr>
        <w:t>a </w:t>
      </w:r>
      <w:r>
        <w:rPr>
          <w:rFonts w:ascii="Times New Roman" w:hAnsi="Times New Roman"/>
          <w:sz w:val="22"/>
          <w:szCs w:val="22"/>
        </w:rPr>
        <w:t>7</w:t>
      </w:r>
      <w:r w:rsidR="00B65DE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8% oproti východiskovým hodnotám</w:t>
      </w:r>
      <w:r w:rsidR="006C71DF">
        <w:rPr>
          <w:rFonts w:ascii="Times New Roman" w:hAnsi="Times New Roman"/>
          <w:sz w:val="22"/>
          <w:szCs w:val="22"/>
        </w:rPr>
        <w:t xml:space="preserve"> – v uvedenom poradí</w:t>
      </w:r>
      <w:r>
        <w:rPr>
          <w:rFonts w:ascii="Times New Roman" w:hAnsi="Times New Roman"/>
          <w:sz w:val="22"/>
          <w:szCs w:val="22"/>
        </w:rPr>
        <w:t xml:space="preserve">. Maximálne </w:t>
      </w:r>
      <w:r w:rsidRPr="005A5401">
        <w:rPr>
          <w:rFonts w:ascii="Times New Roman" w:hAnsi="Times New Roman"/>
          <w:sz w:val="22"/>
          <w:szCs w:val="22"/>
        </w:rPr>
        <w:t>zníženie</w:t>
      </w:r>
      <w:r>
        <w:rPr>
          <w:rFonts w:ascii="Times New Roman" w:hAnsi="Times New Roman"/>
          <w:sz w:val="22"/>
          <w:szCs w:val="22"/>
        </w:rPr>
        <w:t xml:space="preserve"> sa dosiahne za 48</w:t>
      </w:r>
      <w:r w:rsidR="00B50B2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78 hodín.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postmenopauzálnych pacientok s pokročilým karcinómom prsníka </w:t>
      </w:r>
      <w:r w:rsidRPr="009B3696">
        <w:rPr>
          <w:rFonts w:ascii="Times New Roman" w:hAnsi="Times New Roman"/>
          <w:sz w:val="22"/>
          <w:szCs w:val="22"/>
        </w:rPr>
        <w:t>zníži</w:t>
      </w:r>
      <w:r w:rsidR="00B5563C" w:rsidRPr="009B3696">
        <w:rPr>
          <w:rFonts w:ascii="Times New Roman" w:hAnsi="Times New Roman"/>
          <w:sz w:val="22"/>
          <w:szCs w:val="22"/>
        </w:rPr>
        <w:t>li</w:t>
      </w:r>
      <w:r>
        <w:rPr>
          <w:rFonts w:ascii="Times New Roman" w:hAnsi="Times New Roman"/>
          <w:sz w:val="22"/>
          <w:szCs w:val="22"/>
        </w:rPr>
        <w:t xml:space="preserve"> denné dávky  0,1</w:t>
      </w:r>
      <w:r w:rsidR="00960E67">
        <w:rPr>
          <w:rFonts w:ascii="Times New Roman" w:hAnsi="Times New Roman"/>
          <w:sz w:val="22"/>
          <w:szCs w:val="22"/>
        </w:rPr>
        <w:t> – </w:t>
      </w:r>
      <w:r>
        <w:rPr>
          <w:rFonts w:ascii="Times New Roman" w:hAnsi="Times New Roman"/>
          <w:sz w:val="22"/>
          <w:szCs w:val="22"/>
        </w:rPr>
        <w:t>5 mg plazmatick</w:t>
      </w:r>
      <w:r w:rsidR="00B5563C">
        <w:rPr>
          <w:rFonts w:ascii="Times New Roman" w:hAnsi="Times New Roman"/>
          <w:sz w:val="22"/>
          <w:szCs w:val="22"/>
        </w:rPr>
        <w:t>ú</w:t>
      </w:r>
      <w:r>
        <w:rPr>
          <w:rFonts w:ascii="Times New Roman" w:hAnsi="Times New Roman"/>
          <w:sz w:val="22"/>
          <w:szCs w:val="22"/>
        </w:rPr>
        <w:t xml:space="preserve"> koncentráci</w:t>
      </w:r>
      <w:r w:rsidR="00B5563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estradiolu, estrónu a estrónsulfátu o 75</w:t>
      </w:r>
      <w:r w:rsidR="002F6AEA">
        <w:rPr>
          <w:rFonts w:ascii="Times New Roman" w:hAnsi="Times New Roman"/>
          <w:sz w:val="22"/>
          <w:szCs w:val="22"/>
        </w:rPr>
        <w:t> – </w:t>
      </w:r>
      <w:r>
        <w:rPr>
          <w:rFonts w:ascii="Times New Roman" w:hAnsi="Times New Roman"/>
          <w:sz w:val="22"/>
          <w:szCs w:val="22"/>
        </w:rPr>
        <w:t>95</w:t>
      </w:r>
      <w:r w:rsidR="00744923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% oproti východiskovým hodnotám u všetkých liečených pacientok. Pri dávkach 0,5 mg a vyšších </w:t>
      </w:r>
      <w:r w:rsidR="002827DA">
        <w:rPr>
          <w:rFonts w:ascii="Times New Roman" w:hAnsi="Times New Roman"/>
          <w:sz w:val="22"/>
          <w:szCs w:val="22"/>
        </w:rPr>
        <w:t>bolo veľa hodnôt</w:t>
      </w:r>
      <w:r>
        <w:rPr>
          <w:rFonts w:ascii="Times New Roman" w:hAnsi="Times New Roman"/>
          <w:sz w:val="22"/>
          <w:szCs w:val="22"/>
        </w:rPr>
        <w:t xml:space="preserve"> estrónu a estrónsulfátu pod hranicou </w:t>
      </w:r>
      <w:r w:rsidR="002827DA">
        <w:rPr>
          <w:rFonts w:ascii="Times New Roman" w:hAnsi="Times New Roman"/>
          <w:sz w:val="22"/>
          <w:szCs w:val="22"/>
        </w:rPr>
        <w:t>detekcie</w:t>
      </w:r>
      <w:r>
        <w:rPr>
          <w:rFonts w:ascii="Times New Roman" w:hAnsi="Times New Roman"/>
          <w:sz w:val="22"/>
          <w:szCs w:val="22"/>
        </w:rPr>
        <w:t xml:space="preserve">, čo naznačuje, že týmito dávkami sa dosiahne väčší </w:t>
      </w:r>
      <w:r w:rsidRPr="009B3696">
        <w:rPr>
          <w:rFonts w:ascii="Times New Roman" w:hAnsi="Times New Roman"/>
          <w:sz w:val="22"/>
          <w:szCs w:val="22"/>
        </w:rPr>
        <w:t>útlm</w:t>
      </w:r>
      <w:r>
        <w:rPr>
          <w:rFonts w:ascii="Times New Roman" w:hAnsi="Times New Roman"/>
          <w:sz w:val="22"/>
          <w:szCs w:val="22"/>
        </w:rPr>
        <w:t xml:space="preserve"> estrogénov. </w:t>
      </w:r>
      <w:r w:rsidRPr="009B3696">
        <w:rPr>
          <w:rFonts w:ascii="Times New Roman" w:hAnsi="Times New Roman"/>
          <w:sz w:val="22"/>
          <w:szCs w:val="22"/>
        </w:rPr>
        <w:t>Útlm</w:t>
      </w:r>
      <w:r>
        <w:rPr>
          <w:rFonts w:ascii="Times New Roman" w:hAnsi="Times New Roman"/>
          <w:sz w:val="22"/>
          <w:szCs w:val="22"/>
        </w:rPr>
        <w:t xml:space="preserve"> estrogénov pretrvával počas celej liečby u všetkých týchto pacientok.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Letrozol je vysoko špecifický </w:t>
      </w:r>
      <w:r w:rsidRPr="00C26473">
        <w:rPr>
          <w:rFonts w:ascii="Times New Roman" w:hAnsi="Times New Roman"/>
          <w:sz w:val="22"/>
          <w:szCs w:val="22"/>
        </w:rPr>
        <w:t>v inhibovaní</w:t>
      </w:r>
      <w:r>
        <w:rPr>
          <w:rFonts w:ascii="Times New Roman" w:hAnsi="Times New Roman"/>
          <w:sz w:val="22"/>
          <w:szCs w:val="22"/>
        </w:rPr>
        <w:t xml:space="preserve"> aktivity aromatázy. Zníženie </w:t>
      </w:r>
      <w:r w:rsidR="006D4C88">
        <w:rPr>
          <w:rFonts w:ascii="Times New Roman" w:hAnsi="Times New Roman"/>
          <w:sz w:val="22"/>
          <w:szCs w:val="22"/>
        </w:rPr>
        <w:t xml:space="preserve">tvorby </w:t>
      </w:r>
      <w:r>
        <w:rPr>
          <w:rFonts w:ascii="Times New Roman" w:hAnsi="Times New Roman"/>
          <w:sz w:val="22"/>
          <w:szCs w:val="22"/>
        </w:rPr>
        <w:t xml:space="preserve">steroidov v nadobličkách sa nepozorovalo. </w:t>
      </w:r>
      <w:r w:rsidR="006779ED">
        <w:rPr>
          <w:rFonts w:ascii="Times New Roman" w:hAnsi="Times New Roman"/>
          <w:sz w:val="22"/>
          <w:szCs w:val="22"/>
        </w:rPr>
        <w:t>U postmenopauzálnych pacientok liečených dennými dávkami 0,1</w:t>
      </w:r>
      <w:r w:rsidR="00455A80">
        <w:rPr>
          <w:rFonts w:ascii="Times New Roman" w:hAnsi="Times New Roman"/>
          <w:sz w:val="22"/>
          <w:szCs w:val="22"/>
        </w:rPr>
        <w:t> − </w:t>
      </w:r>
      <w:r w:rsidR="006779ED">
        <w:rPr>
          <w:rFonts w:ascii="Times New Roman" w:hAnsi="Times New Roman"/>
          <w:sz w:val="22"/>
          <w:szCs w:val="22"/>
        </w:rPr>
        <w:t>5 mg letrozolu</w:t>
      </w:r>
      <w:r w:rsidR="001477F1">
        <w:rPr>
          <w:rFonts w:ascii="Times New Roman" w:hAnsi="Times New Roman"/>
          <w:sz w:val="22"/>
          <w:szCs w:val="22"/>
        </w:rPr>
        <w:t xml:space="preserve"> sa nezistili</w:t>
      </w:r>
      <w:r>
        <w:rPr>
          <w:rFonts w:ascii="Times New Roman" w:hAnsi="Times New Roman"/>
          <w:sz w:val="22"/>
          <w:szCs w:val="22"/>
        </w:rPr>
        <w:t xml:space="preserve"> žiadne klinicky významné zmeny plazmatických koncentrácií kortizolu, aldosterónu, 11-deoxykortizolu, 17-hydroxyprogesterónu a ACTH, alebo aktivity renínu v plazme. ACTH-stimulačný test vykonaný po 6 a 12 týždňoch liečby dennými dávkami 0,1 mg, 0,25 mg, 0,5 mg, 1 mg, 2,5 mg a 5 mg nenaznačil žiadny útlm tvorby aldosterónu alebo kortizolu. Suplementácia </w:t>
      </w:r>
      <w:r w:rsidRPr="00326782">
        <w:rPr>
          <w:rFonts w:ascii="Times New Roman" w:hAnsi="Times New Roman"/>
          <w:sz w:val="22"/>
          <w:szCs w:val="22"/>
        </w:rPr>
        <w:t>glukokortikoidov a mineralokortikoidov</w:t>
      </w:r>
      <w:r>
        <w:rPr>
          <w:rFonts w:ascii="Times New Roman" w:hAnsi="Times New Roman"/>
          <w:sz w:val="22"/>
          <w:szCs w:val="22"/>
        </w:rPr>
        <w:t xml:space="preserve"> preto nie je potrebná.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 w:rsidP="00C9478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Nezaznamenali sa žiadne zmeny plazmatických koncentrácií androgénov (androsténdiónu a testosterónu) u zdravých postmenopauzálnych žien po jednorazových dávkach 0,1 mg, 0,5 mg a 2,5 mg letrozolu</w:t>
      </w:r>
      <w:r w:rsidR="009E2288">
        <w:rPr>
          <w:rFonts w:ascii="Times New Roman" w:hAnsi="Times New Roman"/>
          <w:sz w:val="22"/>
          <w:szCs w:val="22"/>
        </w:rPr>
        <w:t xml:space="preserve"> ani</w:t>
      </w:r>
      <w:r>
        <w:rPr>
          <w:rFonts w:ascii="Times New Roman" w:hAnsi="Times New Roman"/>
          <w:sz w:val="22"/>
          <w:szCs w:val="22"/>
        </w:rPr>
        <w:t xml:space="preserve"> plazmatických koncentrácií androsténdiónu u postmenopauzálnych pacientok liečených dennými dávkami 0,1</w:t>
      </w:r>
      <w:r w:rsidR="00ED1016">
        <w:rPr>
          <w:rFonts w:ascii="Times New Roman" w:hAnsi="Times New Roman"/>
          <w:sz w:val="22"/>
          <w:szCs w:val="22"/>
        </w:rPr>
        <w:t> − </w:t>
      </w:r>
      <w:r>
        <w:rPr>
          <w:rFonts w:ascii="Times New Roman" w:hAnsi="Times New Roman"/>
          <w:sz w:val="22"/>
          <w:szCs w:val="22"/>
        </w:rPr>
        <w:t xml:space="preserve">5 mg, čo naznačuje, že blokáda biosyntézy estrogénov nevedie ku hromadeniu androgénnych prekurzorov. U pacientok </w:t>
      </w:r>
      <w:r w:rsidR="00165D2F">
        <w:rPr>
          <w:rFonts w:ascii="Times New Roman" w:hAnsi="Times New Roman"/>
          <w:sz w:val="22"/>
          <w:szCs w:val="22"/>
        </w:rPr>
        <w:t>sa testom vychytávania TSH, T</w:t>
      </w:r>
      <w:r w:rsidR="00165D2F" w:rsidRPr="00165D2F">
        <w:rPr>
          <w:rFonts w:ascii="Times New Roman" w:hAnsi="Times New Roman"/>
          <w:sz w:val="22"/>
          <w:szCs w:val="22"/>
          <w:vertAlign w:val="subscript"/>
        </w:rPr>
        <w:t>4</w:t>
      </w:r>
      <w:r w:rsidR="00165D2F">
        <w:rPr>
          <w:rFonts w:ascii="Times New Roman" w:hAnsi="Times New Roman"/>
          <w:sz w:val="22"/>
          <w:szCs w:val="22"/>
        </w:rPr>
        <w:t xml:space="preserve"> a T</w:t>
      </w:r>
      <w:r w:rsidR="00165D2F" w:rsidRPr="00165D2F">
        <w:rPr>
          <w:rFonts w:ascii="Times New Roman" w:hAnsi="Times New Roman"/>
          <w:sz w:val="22"/>
          <w:szCs w:val="22"/>
          <w:vertAlign w:val="subscript"/>
        </w:rPr>
        <w:t>3</w:t>
      </w:r>
      <w:r w:rsidR="00165D2F">
        <w:rPr>
          <w:rFonts w:ascii="Times New Roman" w:hAnsi="Times New Roman"/>
          <w:sz w:val="22"/>
          <w:szCs w:val="22"/>
        </w:rPr>
        <w:t xml:space="preserve"> zistilo, že letrozol neovplyvňuje plazmatické hladiny LH</w:t>
      </w:r>
      <w:r w:rsidR="007724DD">
        <w:rPr>
          <w:rFonts w:ascii="Times New Roman" w:hAnsi="Times New Roman"/>
          <w:sz w:val="22"/>
          <w:szCs w:val="22"/>
        </w:rPr>
        <w:t>,</w:t>
      </w:r>
      <w:r w:rsidR="00165D2F">
        <w:rPr>
          <w:rFonts w:ascii="Times New Roman" w:hAnsi="Times New Roman"/>
          <w:sz w:val="22"/>
          <w:szCs w:val="22"/>
        </w:rPr>
        <w:t> FSH ani č</w:t>
      </w:r>
      <w:r w:rsidR="007724DD">
        <w:rPr>
          <w:rFonts w:ascii="Times New Roman" w:hAnsi="Times New Roman"/>
          <w:sz w:val="22"/>
          <w:szCs w:val="22"/>
        </w:rPr>
        <w:t>i</w:t>
      </w:r>
      <w:r w:rsidR="00165D2F">
        <w:rPr>
          <w:rFonts w:ascii="Times New Roman" w:hAnsi="Times New Roman"/>
          <w:sz w:val="22"/>
          <w:szCs w:val="22"/>
        </w:rPr>
        <w:t>nnosť štítnej žľazy</w:t>
      </w:r>
      <w:r>
        <w:rPr>
          <w:rFonts w:ascii="Times New Roman" w:hAnsi="Times New Roman"/>
          <w:sz w:val="22"/>
          <w:szCs w:val="22"/>
        </w:rPr>
        <w:t>.</w:t>
      </w:r>
    </w:p>
    <w:p w:rsidR="00C9478C" w:rsidRDefault="00C9478C" w:rsidP="00C9478C">
      <w:pPr>
        <w:pStyle w:val="Nadpis3"/>
        <w:rPr>
          <w:b/>
          <w:i w:val="0"/>
        </w:rPr>
      </w:pPr>
    </w:p>
    <w:p w:rsidR="005F040D" w:rsidRDefault="005F040D" w:rsidP="00C9478C">
      <w:pPr>
        <w:pStyle w:val="Nadpis3"/>
        <w:rPr>
          <w:b/>
          <w:i w:val="0"/>
        </w:rPr>
      </w:pPr>
      <w:r w:rsidRPr="00E852B3">
        <w:rPr>
          <w:b/>
          <w:i w:val="0"/>
        </w:rPr>
        <w:t>Adjuvantná liečba</w:t>
      </w:r>
      <w:r w:rsidR="00C9478C">
        <w:rPr>
          <w:b/>
          <w:i w:val="0"/>
        </w:rPr>
        <w:t xml:space="preserve">                                         </w:t>
      </w:r>
    </w:p>
    <w:p w:rsidR="00B5563C" w:rsidRPr="009B3FAF" w:rsidRDefault="00A94A99" w:rsidP="00C9478C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Štúdia</w:t>
      </w:r>
      <w:r w:rsidR="00B5563C" w:rsidRPr="009B3FAF">
        <w:rPr>
          <w:i/>
          <w:sz w:val="22"/>
          <w:szCs w:val="22"/>
          <w:u w:val="single"/>
          <w:lang w:val="sk-SK"/>
        </w:rPr>
        <w:t xml:space="preserve"> BIG 1-98</w:t>
      </w:r>
    </w:p>
    <w:p w:rsidR="00982D27" w:rsidRPr="00982D27" w:rsidRDefault="00982D27" w:rsidP="00C9478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B83686" w:rsidRDefault="00B5563C" w:rsidP="00C9478C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BIG 1-98 </w:t>
      </w:r>
      <w:r w:rsidR="009A0E20">
        <w:rPr>
          <w:rFonts w:ascii="Times New Roman" w:hAnsi="Times New Roman"/>
          <w:sz w:val="22"/>
          <w:szCs w:val="22"/>
        </w:rPr>
        <w:t>bola multicentrická, dvojito zaslepená štú</w:t>
      </w:r>
      <w:r w:rsidR="000D135F">
        <w:rPr>
          <w:rFonts w:ascii="Times New Roman" w:hAnsi="Times New Roman"/>
          <w:sz w:val="22"/>
          <w:szCs w:val="22"/>
        </w:rPr>
        <w:t>di</w:t>
      </w:r>
      <w:r w:rsidR="009A0E20">
        <w:rPr>
          <w:rFonts w:ascii="Times New Roman" w:hAnsi="Times New Roman"/>
          <w:sz w:val="22"/>
          <w:szCs w:val="22"/>
        </w:rPr>
        <w:t xml:space="preserve">a, v ktorej bolo </w:t>
      </w:r>
      <w:r w:rsidRPr="009E27CE">
        <w:rPr>
          <w:rFonts w:ascii="Times New Roman" w:hAnsi="Times New Roman"/>
          <w:sz w:val="22"/>
          <w:szCs w:val="22"/>
        </w:rPr>
        <w:t>viac ako 8 000</w:t>
      </w:r>
      <w:r w:rsidR="009A0E20">
        <w:rPr>
          <w:rFonts w:ascii="Times New Roman" w:hAnsi="Times New Roman"/>
          <w:sz w:val="22"/>
          <w:szCs w:val="22"/>
        </w:rPr>
        <w:t xml:space="preserve"> </w:t>
      </w:r>
      <w:r w:rsidRPr="009E27CE">
        <w:rPr>
          <w:rFonts w:ascii="Times New Roman" w:hAnsi="Times New Roman"/>
          <w:sz w:val="22"/>
          <w:szCs w:val="22"/>
        </w:rPr>
        <w:t xml:space="preserve">postmenopauzálnych žien s karcinómom prsníka s pozitivitou hormonálnych receptorov </w:t>
      </w:r>
      <w:r w:rsidRPr="00B20709">
        <w:rPr>
          <w:rFonts w:ascii="Times New Roman" w:hAnsi="Times New Roman"/>
          <w:sz w:val="22"/>
          <w:szCs w:val="22"/>
        </w:rPr>
        <w:t>vo včasnom štádiu</w:t>
      </w:r>
      <w:r w:rsidRPr="009E27CE">
        <w:rPr>
          <w:rFonts w:ascii="Times New Roman" w:hAnsi="Times New Roman"/>
          <w:sz w:val="22"/>
          <w:szCs w:val="22"/>
        </w:rPr>
        <w:t xml:space="preserve"> randomizovaných na jeden z nasledujúcich druhov liečby: </w:t>
      </w:r>
    </w:p>
    <w:p w:rsidR="00B5563C" w:rsidRPr="009E27CE" w:rsidRDefault="00B5563C" w:rsidP="00C9478C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A: tamoxifén 5 rokov;</w:t>
      </w:r>
      <w:r w:rsidR="00B83686">
        <w:rPr>
          <w:rFonts w:ascii="Times New Roman" w:hAnsi="Times New Roman"/>
          <w:sz w:val="22"/>
          <w:szCs w:val="22"/>
        </w:rPr>
        <w:t xml:space="preserve"> </w:t>
      </w:r>
      <w:r w:rsidRPr="009E27CE">
        <w:rPr>
          <w:rFonts w:ascii="Times New Roman" w:hAnsi="Times New Roman"/>
          <w:sz w:val="22"/>
          <w:szCs w:val="22"/>
        </w:rPr>
        <w:t xml:space="preserve">B: </w:t>
      </w: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 5 rokov; C: tamoxifén 2 roky, potom </w:t>
      </w: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 3 roky; D: </w:t>
      </w: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 2 roky, potom tamoxifén 3 roky.</w:t>
      </w:r>
    </w:p>
    <w:p w:rsidR="00B5563C" w:rsidRPr="009E27CE" w:rsidRDefault="00B5563C" w:rsidP="00C9478C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B5563C" w:rsidRPr="009E27CE" w:rsidRDefault="00B5563C" w:rsidP="00C947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Primárnym </w:t>
      </w:r>
      <w:r w:rsidRPr="004414DE">
        <w:rPr>
          <w:rFonts w:ascii="Times New Roman" w:hAnsi="Times New Roman"/>
          <w:sz w:val="22"/>
          <w:szCs w:val="22"/>
        </w:rPr>
        <w:t>ukazovateľom</w:t>
      </w:r>
      <w:r w:rsidRPr="009E27CE">
        <w:rPr>
          <w:rFonts w:ascii="Times New Roman" w:hAnsi="Times New Roman"/>
          <w:sz w:val="22"/>
          <w:szCs w:val="22"/>
        </w:rPr>
        <w:t xml:space="preserve"> bolo prežívanie bez ochorenia (</w:t>
      </w:r>
      <w:r w:rsidR="009D739F">
        <w:rPr>
          <w:rFonts w:ascii="Times New Roman" w:hAnsi="Times New Roman"/>
          <w:sz w:val="22"/>
          <w:szCs w:val="22"/>
        </w:rPr>
        <w:t xml:space="preserve">disease-free survival, </w:t>
      </w:r>
      <w:smartTag w:uri="urn:schemas-microsoft-com:office:smarttags" w:element="stockticker">
        <w:r w:rsidRPr="009E27CE">
          <w:rPr>
            <w:rFonts w:ascii="Times New Roman" w:hAnsi="Times New Roman"/>
            <w:sz w:val="22"/>
            <w:szCs w:val="22"/>
          </w:rPr>
          <w:t>DFS</w:t>
        </w:r>
      </w:smartTag>
      <w:r w:rsidRPr="009E27CE">
        <w:rPr>
          <w:rFonts w:ascii="Times New Roman" w:hAnsi="Times New Roman"/>
          <w:sz w:val="22"/>
          <w:szCs w:val="22"/>
        </w:rPr>
        <w:t xml:space="preserve">); sekundárnymi </w:t>
      </w:r>
      <w:r w:rsidRPr="004414DE">
        <w:rPr>
          <w:rFonts w:ascii="Times New Roman" w:hAnsi="Times New Roman"/>
          <w:sz w:val="22"/>
          <w:szCs w:val="22"/>
        </w:rPr>
        <w:t>ukazovateľmi</w:t>
      </w:r>
      <w:r w:rsidRPr="009E27CE">
        <w:rPr>
          <w:rFonts w:ascii="Times New Roman" w:hAnsi="Times New Roman"/>
          <w:sz w:val="22"/>
          <w:szCs w:val="22"/>
        </w:rPr>
        <w:t xml:space="preserve"> účinnosti boli čas do vzdialenej metastázy (</w:t>
      </w:r>
      <w:r w:rsidR="009D739F">
        <w:rPr>
          <w:rFonts w:ascii="Times New Roman" w:hAnsi="Times New Roman"/>
          <w:sz w:val="22"/>
          <w:szCs w:val="22"/>
        </w:rPr>
        <w:t xml:space="preserve">time to distant metastasis, </w:t>
      </w:r>
      <w:r w:rsidRPr="009E27CE">
        <w:rPr>
          <w:rFonts w:ascii="Times New Roman" w:hAnsi="Times New Roman"/>
          <w:sz w:val="22"/>
          <w:szCs w:val="22"/>
        </w:rPr>
        <w:t>TDM), prežívanie bez vzdialeného ochorenia (</w:t>
      </w:r>
      <w:r w:rsidR="00081112">
        <w:rPr>
          <w:rFonts w:ascii="Times New Roman" w:hAnsi="Times New Roman"/>
          <w:sz w:val="22"/>
          <w:szCs w:val="22"/>
        </w:rPr>
        <w:t xml:space="preserve">distant disease-free survival, </w:t>
      </w:r>
      <w:r w:rsidRPr="009E27CE">
        <w:rPr>
          <w:rFonts w:ascii="Times New Roman" w:hAnsi="Times New Roman"/>
          <w:sz w:val="22"/>
          <w:szCs w:val="22"/>
        </w:rPr>
        <w:t>DDFS), celkové prežívanie (</w:t>
      </w:r>
      <w:r w:rsidR="00447C97">
        <w:rPr>
          <w:rFonts w:ascii="Times New Roman" w:hAnsi="Times New Roman"/>
          <w:sz w:val="22"/>
          <w:szCs w:val="22"/>
        </w:rPr>
        <w:t xml:space="preserve">overall survival, </w:t>
      </w:r>
      <w:r w:rsidRPr="009E27CE">
        <w:rPr>
          <w:rFonts w:ascii="Times New Roman" w:hAnsi="Times New Roman"/>
          <w:sz w:val="22"/>
          <w:szCs w:val="22"/>
        </w:rPr>
        <w:t>OS), prežívanie bez systémového ochorenia (</w:t>
      </w:r>
      <w:r w:rsidR="00F02583">
        <w:rPr>
          <w:rFonts w:ascii="Times New Roman" w:hAnsi="Times New Roman"/>
          <w:sz w:val="22"/>
          <w:szCs w:val="22"/>
        </w:rPr>
        <w:t xml:space="preserve">systemic disease-free survival, </w:t>
      </w:r>
      <w:r w:rsidRPr="009E27CE">
        <w:rPr>
          <w:rFonts w:ascii="Times New Roman" w:hAnsi="Times New Roman"/>
          <w:sz w:val="22"/>
          <w:szCs w:val="22"/>
        </w:rPr>
        <w:t>SDFS), invazívny kontralaterálny karcinóm prsníka a čas do recidívy karcinómu prsníka.</w:t>
      </w:r>
    </w:p>
    <w:p w:rsidR="00B5563C" w:rsidRPr="009E27CE" w:rsidRDefault="00B5563C" w:rsidP="00B5563C">
      <w:pPr>
        <w:widowControl w:val="0"/>
        <w:autoSpaceDE w:val="0"/>
        <w:autoSpaceDN w:val="0"/>
        <w:adjustRightInd w:val="0"/>
        <w:ind w:right="44"/>
        <w:rPr>
          <w:rFonts w:ascii="Times New Roman" w:hAnsi="Times New Roman"/>
          <w:sz w:val="22"/>
          <w:szCs w:val="22"/>
        </w:rPr>
      </w:pPr>
    </w:p>
    <w:p w:rsidR="00B5563C" w:rsidRDefault="00B5563C" w:rsidP="00B5563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i/>
          <w:sz w:val="22"/>
          <w:szCs w:val="22"/>
          <w:lang w:val="sk-SK"/>
        </w:rPr>
        <w:t xml:space="preserve">Výsledky účinnosti pri mediáne </w:t>
      </w:r>
      <w:r w:rsidRPr="00471DF9">
        <w:rPr>
          <w:i/>
          <w:sz w:val="22"/>
          <w:szCs w:val="22"/>
          <w:lang w:val="sk-SK"/>
        </w:rPr>
        <w:t xml:space="preserve">ďalšieho sledovania </w:t>
      </w:r>
      <w:smartTag w:uri="urn:schemas-microsoft-com:office:smarttags" w:element="metricconverter">
        <w:smartTagPr>
          <w:attr w:name="ProductID" w:val="26 a"/>
        </w:smartTagPr>
        <w:r w:rsidRPr="00471DF9">
          <w:rPr>
            <w:i/>
            <w:sz w:val="22"/>
            <w:szCs w:val="22"/>
            <w:lang w:val="sk-SK"/>
          </w:rPr>
          <w:t>26 a</w:t>
        </w:r>
      </w:smartTag>
      <w:r w:rsidRPr="00471DF9">
        <w:rPr>
          <w:i/>
          <w:sz w:val="22"/>
          <w:szCs w:val="22"/>
          <w:lang w:val="sk-SK"/>
        </w:rPr>
        <w:t xml:space="preserve"> 60 mesiacov</w:t>
      </w:r>
    </w:p>
    <w:p w:rsidR="00505691" w:rsidRPr="009E27CE" w:rsidRDefault="00505691" w:rsidP="00B5563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B5563C" w:rsidRPr="009E27CE" w:rsidRDefault="00B5563C" w:rsidP="00B5563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Údaje v </w:t>
      </w:r>
      <w:r w:rsidR="00BC2D64">
        <w:rPr>
          <w:rFonts w:ascii="Times New Roman" w:hAnsi="Times New Roman"/>
          <w:sz w:val="22"/>
          <w:szCs w:val="22"/>
        </w:rPr>
        <w:t>t</w:t>
      </w:r>
      <w:r w:rsidRPr="009E27CE">
        <w:rPr>
          <w:rFonts w:ascii="Times New Roman" w:hAnsi="Times New Roman"/>
          <w:sz w:val="22"/>
          <w:szCs w:val="22"/>
        </w:rPr>
        <w:t>abuľke 4 predstavujú výsledky primárnej základnej analýzy (</w:t>
      </w:r>
      <w:r w:rsidR="00C03357">
        <w:rPr>
          <w:rFonts w:ascii="Times New Roman" w:hAnsi="Times New Roman"/>
          <w:sz w:val="22"/>
          <w:szCs w:val="22"/>
        </w:rPr>
        <w:t xml:space="preserve">primary core analysis, </w:t>
      </w:r>
      <w:r w:rsidRPr="009E27CE">
        <w:rPr>
          <w:rFonts w:ascii="Times New Roman" w:hAnsi="Times New Roman"/>
          <w:sz w:val="22"/>
          <w:szCs w:val="22"/>
        </w:rPr>
        <w:t xml:space="preserve">PCA) vychádzajúcej z údajov v skupinách </w:t>
      </w:r>
      <w:r w:rsidR="001A2DF0">
        <w:rPr>
          <w:rFonts w:ascii="Times New Roman" w:hAnsi="Times New Roman"/>
          <w:sz w:val="22"/>
          <w:szCs w:val="22"/>
        </w:rPr>
        <w:t>s monoterapio</w:t>
      </w:r>
      <w:r w:rsidR="00297495">
        <w:rPr>
          <w:rFonts w:ascii="Times New Roman" w:hAnsi="Times New Roman"/>
          <w:sz w:val="22"/>
          <w:szCs w:val="22"/>
        </w:rPr>
        <w:t>u</w:t>
      </w:r>
      <w:r w:rsidRPr="009E27CE">
        <w:rPr>
          <w:rFonts w:ascii="Times New Roman" w:hAnsi="Times New Roman"/>
          <w:sz w:val="22"/>
          <w:szCs w:val="22"/>
        </w:rPr>
        <w:t xml:space="preserve"> (A a B) a v dvoch skupinách so zmenou liečby (C a D) pri mediáne trvania liečby 24 mesiacov a mediáne </w:t>
      </w:r>
      <w:r w:rsidRPr="00471DF9">
        <w:rPr>
          <w:rFonts w:ascii="Times New Roman" w:hAnsi="Times New Roman"/>
          <w:sz w:val="22"/>
          <w:szCs w:val="22"/>
        </w:rPr>
        <w:t>ďalšieho sledovania</w:t>
      </w:r>
      <w:r w:rsidRPr="009E27CE">
        <w:rPr>
          <w:rFonts w:ascii="Times New Roman" w:hAnsi="Times New Roman"/>
          <w:sz w:val="22"/>
          <w:szCs w:val="22"/>
        </w:rPr>
        <w:t xml:space="preserve"> 26 mesiacov, ako aj pri mediáne trvania liečby 32 mesiacov a mediáne </w:t>
      </w:r>
      <w:r w:rsidRPr="00471DF9">
        <w:rPr>
          <w:rFonts w:ascii="Times New Roman" w:hAnsi="Times New Roman"/>
          <w:sz w:val="22"/>
          <w:szCs w:val="22"/>
        </w:rPr>
        <w:t>ďalšieho sledovania</w:t>
      </w:r>
      <w:r w:rsidRPr="009E27CE">
        <w:rPr>
          <w:rFonts w:ascii="Times New Roman" w:hAnsi="Times New Roman"/>
          <w:sz w:val="22"/>
          <w:szCs w:val="22"/>
        </w:rPr>
        <w:t xml:space="preserve"> 60 mesiacov.</w:t>
      </w:r>
    </w:p>
    <w:p w:rsidR="00B5563C" w:rsidRPr="009E27CE" w:rsidRDefault="00B5563C" w:rsidP="00B5563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5563C" w:rsidRPr="009E27CE" w:rsidRDefault="00B5563C" w:rsidP="00B5563C">
      <w:pPr>
        <w:widowControl w:val="0"/>
        <w:tabs>
          <w:tab w:val="left" w:pos="530"/>
        </w:tabs>
        <w:autoSpaceDE w:val="0"/>
        <w:autoSpaceDN w:val="0"/>
        <w:adjustRightInd w:val="0"/>
        <w:ind w:right="44"/>
        <w:rPr>
          <w:rFonts w:ascii="Times New Roman" w:hAnsi="Times New Roman"/>
          <w:sz w:val="22"/>
          <w:szCs w:val="22"/>
        </w:rPr>
      </w:pPr>
      <w:r w:rsidRPr="002F0925">
        <w:rPr>
          <w:rFonts w:ascii="Times New Roman" w:hAnsi="Times New Roman"/>
          <w:sz w:val="22"/>
          <w:szCs w:val="22"/>
        </w:rPr>
        <w:t xml:space="preserve">Podiel </w:t>
      </w:r>
      <w:r w:rsidR="002F0925">
        <w:rPr>
          <w:rFonts w:ascii="Times New Roman" w:hAnsi="Times New Roman"/>
          <w:sz w:val="22"/>
          <w:szCs w:val="22"/>
        </w:rPr>
        <w:t>5-ročného DFS bol</w:t>
      </w:r>
      <w:r w:rsidRPr="009E27CE">
        <w:rPr>
          <w:rFonts w:ascii="Times New Roman" w:hAnsi="Times New Roman"/>
          <w:sz w:val="22"/>
          <w:szCs w:val="22"/>
        </w:rPr>
        <w:t xml:space="preserve"> 84 % </w:t>
      </w:r>
      <w:r w:rsidR="00DA3B77">
        <w:rPr>
          <w:rFonts w:ascii="Times New Roman" w:hAnsi="Times New Roman"/>
          <w:sz w:val="22"/>
          <w:szCs w:val="22"/>
        </w:rPr>
        <w:t>pre letrozol</w:t>
      </w:r>
      <w:r w:rsidRPr="009E27CE">
        <w:rPr>
          <w:rFonts w:ascii="Times New Roman" w:hAnsi="Times New Roman"/>
          <w:sz w:val="22"/>
          <w:szCs w:val="22"/>
        </w:rPr>
        <w:t xml:space="preserve"> a 81,4 % </w:t>
      </w:r>
      <w:r w:rsidR="00DA3B77">
        <w:rPr>
          <w:rFonts w:ascii="Times New Roman" w:hAnsi="Times New Roman"/>
          <w:sz w:val="22"/>
          <w:szCs w:val="22"/>
        </w:rPr>
        <w:t>pre tamoxifén</w:t>
      </w:r>
      <w:r w:rsidRPr="009E27CE">
        <w:rPr>
          <w:rFonts w:ascii="Times New Roman" w:hAnsi="Times New Roman"/>
          <w:sz w:val="22"/>
          <w:szCs w:val="22"/>
        </w:rPr>
        <w:t>.</w:t>
      </w:r>
    </w:p>
    <w:p w:rsidR="00B5563C" w:rsidRPr="009E27CE" w:rsidRDefault="00B5563C" w:rsidP="00B5563C">
      <w:pPr>
        <w:widowControl w:val="0"/>
        <w:autoSpaceDE w:val="0"/>
        <w:autoSpaceDN w:val="0"/>
        <w:adjustRightInd w:val="0"/>
        <w:ind w:right="44"/>
        <w:rPr>
          <w:rFonts w:ascii="Times New Roman" w:hAnsi="Times New Roman"/>
          <w:sz w:val="22"/>
          <w:szCs w:val="22"/>
        </w:rPr>
      </w:pPr>
    </w:p>
    <w:p w:rsidR="00B5563C" w:rsidRPr="009E27CE" w:rsidRDefault="00B5563C" w:rsidP="00B5563C">
      <w:pPr>
        <w:keepNext/>
        <w:widowControl w:val="0"/>
        <w:autoSpaceDE w:val="0"/>
        <w:autoSpaceDN w:val="0"/>
        <w:adjustRightInd w:val="0"/>
        <w:ind w:left="1134" w:right="-20" w:hanging="1134"/>
        <w:rPr>
          <w:rFonts w:ascii="Times New Roman" w:hAnsi="Times New Roman"/>
          <w:b/>
          <w:bCs/>
          <w:position w:val="-1"/>
          <w:sz w:val="22"/>
          <w:szCs w:val="22"/>
        </w:rPr>
      </w:pPr>
      <w:r w:rsidRPr="009E27CE">
        <w:rPr>
          <w:rFonts w:ascii="Times New Roman" w:hAnsi="Times New Roman"/>
          <w:b/>
          <w:sz w:val="22"/>
          <w:szCs w:val="22"/>
        </w:rPr>
        <w:t>Tabuľka 4</w:t>
      </w:r>
      <w:r w:rsidRPr="009E27CE">
        <w:rPr>
          <w:rFonts w:ascii="Times New Roman" w:hAnsi="Times New Roman"/>
          <w:b/>
          <w:sz w:val="22"/>
          <w:szCs w:val="22"/>
        </w:rPr>
        <w:tab/>
        <w:t xml:space="preserve">Primárna základná analýza: </w:t>
      </w:r>
      <w:r w:rsidR="00FF6703">
        <w:rPr>
          <w:rFonts w:ascii="Times New Roman" w:hAnsi="Times New Roman"/>
          <w:b/>
          <w:sz w:val="22"/>
          <w:szCs w:val="22"/>
        </w:rPr>
        <w:t>p</w:t>
      </w:r>
      <w:r w:rsidRPr="009E27CE">
        <w:rPr>
          <w:rFonts w:ascii="Times New Roman" w:hAnsi="Times New Roman"/>
          <w:b/>
          <w:sz w:val="22"/>
          <w:szCs w:val="22"/>
        </w:rPr>
        <w:t xml:space="preserve">režívanie bez ochorenia a celkové prežívanie </w:t>
      </w:r>
      <w:r w:rsidRPr="00471DF9">
        <w:rPr>
          <w:rFonts w:ascii="Times New Roman" w:hAnsi="Times New Roman"/>
          <w:b/>
          <w:sz w:val="22"/>
          <w:szCs w:val="22"/>
        </w:rPr>
        <w:t xml:space="preserve">pri mediáne ďalšieho sledovania </w:t>
      </w:r>
      <w:r w:rsidRPr="00471DF9">
        <w:rPr>
          <w:rFonts w:ascii="Times New Roman" w:hAnsi="Times New Roman"/>
          <w:b/>
          <w:bCs/>
          <w:sz w:val="22"/>
          <w:szCs w:val="22"/>
        </w:rPr>
        <w:t>26 </w:t>
      </w:r>
      <w:r w:rsidR="00471DF9">
        <w:rPr>
          <w:rFonts w:ascii="Times New Roman" w:hAnsi="Times New Roman"/>
          <w:b/>
          <w:bCs/>
          <w:position w:val="-1"/>
          <w:sz w:val="22"/>
          <w:szCs w:val="22"/>
        </w:rPr>
        <w:t>a</w:t>
      </w:r>
      <w:r w:rsidRPr="00471DF9">
        <w:rPr>
          <w:rFonts w:ascii="Times New Roman" w:hAnsi="Times New Roman"/>
          <w:b/>
          <w:sz w:val="22"/>
          <w:szCs w:val="22"/>
        </w:rPr>
        <w:t xml:space="preserve"> </w:t>
      </w:r>
      <w:r w:rsidRPr="00471DF9">
        <w:rPr>
          <w:rFonts w:ascii="Times New Roman" w:hAnsi="Times New Roman"/>
          <w:b/>
          <w:bCs/>
          <w:sz w:val="22"/>
          <w:szCs w:val="22"/>
        </w:rPr>
        <w:t>60 </w:t>
      </w:r>
      <w:r w:rsidRPr="00471DF9">
        <w:rPr>
          <w:rFonts w:ascii="Times New Roman" w:hAnsi="Times New Roman"/>
          <w:b/>
          <w:bCs/>
          <w:position w:val="-1"/>
          <w:sz w:val="22"/>
          <w:szCs w:val="22"/>
        </w:rPr>
        <w:t>mesiacov (</w:t>
      </w:r>
      <w:r w:rsidR="00D815CA">
        <w:rPr>
          <w:rFonts w:ascii="Times New Roman" w:hAnsi="Times New Roman"/>
          <w:b/>
          <w:bCs/>
          <w:position w:val="-1"/>
          <w:sz w:val="22"/>
          <w:szCs w:val="22"/>
        </w:rPr>
        <w:t>ITT-populácia</w:t>
      </w:r>
      <w:r w:rsidRPr="00471DF9">
        <w:rPr>
          <w:rFonts w:ascii="Times New Roman" w:hAnsi="Times New Roman"/>
          <w:b/>
          <w:bCs/>
          <w:position w:val="-1"/>
          <w:sz w:val="22"/>
          <w:szCs w:val="22"/>
        </w:rPr>
        <w:t>)</w:t>
      </w:r>
      <w:r w:rsidR="00144CD7" w:rsidRPr="00471DF9">
        <w:rPr>
          <w:rFonts w:ascii="Times New Roman" w:hAnsi="Times New Roman"/>
          <w:b/>
          <w:sz w:val="22"/>
          <w:szCs w:val="22"/>
        </w:rPr>
        <w:t>.</w:t>
      </w:r>
    </w:p>
    <w:p w:rsidR="00B5563C" w:rsidRPr="009E27CE" w:rsidRDefault="00B5563C" w:rsidP="00B5563C">
      <w:pPr>
        <w:keepNext/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bCs/>
          <w:position w:val="-1"/>
          <w:sz w:val="22"/>
          <w:szCs w:val="22"/>
        </w:rPr>
      </w:pPr>
    </w:p>
    <w:tbl>
      <w:tblPr>
        <w:tblW w:w="955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1275"/>
        <w:gridCol w:w="1276"/>
        <w:gridCol w:w="1276"/>
        <w:gridCol w:w="1134"/>
        <w:gridCol w:w="1135"/>
        <w:gridCol w:w="1275"/>
      </w:tblGrid>
      <w:tr w:rsidR="00B5563C" w:rsidRPr="00D32B8D" w:rsidTr="00036F94">
        <w:trPr>
          <w:tblHeader/>
        </w:trPr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Primárna základná analýza</w:t>
            </w:r>
          </w:p>
        </w:tc>
      </w:tr>
      <w:tr w:rsidR="00B5563C" w:rsidRPr="00D32B8D" w:rsidTr="00036F94">
        <w:trPr>
          <w:tblHeader/>
        </w:trPr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Medián </w:t>
            </w:r>
            <w:r w:rsidRPr="00FB33E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ďalšieho sledovania</w:t>
            </w:r>
            <w:r w:rsidRPr="00D32B8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D32B8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26 </w:t>
            </w:r>
            <w:r w:rsidRPr="00D32B8D">
              <w:rPr>
                <w:rFonts w:ascii="Times New Roman" w:hAnsi="Times New Roman"/>
                <w:b/>
                <w:bCs/>
                <w:position w:val="-1"/>
                <w:sz w:val="22"/>
                <w:szCs w:val="22"/>
                <w:lang w:val="sk-SK"/>
              </w:rPr>
              <w:t>mesiacov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Medián </w:t>
            </w:r>
            <w:r w:rsidRPr="00FB33E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ďalšieho sledovania</w:t>
            </w:r>
            <w:r w:rsidRPr="00D32B8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D32B8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60 </w:t>
            </w:r>
            <w:r w:rsidRPr="00D32B8D">
              <w:rPr>
                <w:rFonts w:ascii="Times New Roman" w:hAnsi="Times New Roman"/>
                <w:b/>
                <w:bCs/>
                <w:position w:val="-1"/>
                <w:sz w:val="22"/>
                <w:szCs w:val="22"/>
                <w:lang w:val="sk-SK"/>
              </w:rPr>
              <w:t>mesiacov</w:t>
            </w:r>
          </w:p>
        </w:tc>
      </w:tr>
      <w:tr w:rsidR="00B5563C" w:rsidRPr="00D32B8D" w:rsidTr="00036F94">
        <w:trPr>
          <w:trHeight w:val="1022"/>
          <w:tblHeader/>
        </w:trPr>
        <w:tc>
          <w:tcPr>
            <w:tcW w:w="2184" w:type="dxa"/>
            <w:tcBorders>
              <w:top w:val="single" w:sz="4" w:space="0" w:color="auto"/>
              <w:left w:val="nil"/>
              <w:right w:val="nil"/>
            </w:tcBorders>
          </w:tcPr>
          <w:p w:rsidR="00B5563C" w:rsidRPr="00D32B8D" w:rsidRDefault="00B5563C" w:rsidP="00B162C6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B5563C" w:rsidRPr="00D32B8D" w:rsidRDefault="00D32B8D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l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etrozol</w:t>
            </w:r>
          </w:p>
          <w:p w:rsidR="00B5563C" w:rsidRPr="00D32B8D" w:rsidRDefault="00FC186F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n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=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4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B5563C" w:rsidRPr="00D32B8D" w:rsidRDefault="00D32B8D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t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amoxifén</w:t>
            </w:r>
          </w:p>
          <w:p w:rsidR="00B5563C" w:rsidRPr="00D32B8D" w:rsidRDefault="00022657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n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=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4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B571D5" w:rsidRDefault="00B5563C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D32B8D">
              <w:rPr>
                <w:rFonts w:ascii="Times New Roman" w:hAnsi="Times New Roman"/>
                <w:b/>
                <w:lang w:val="sk-SK"/>
              </w:rPr>
              <w:t>HR</w:t>
            </w:r>
            <w:r w:rsidRPr="00D32B8D">
              <w:rPr>
                <w:rFonts w:ascii="Times New Roman" w:hAnsi="Times New Roman"/>
                <w:b/>
                <w:vertAlign w:val="superscript"/>
                <w:lang w:val="sk-SK"/>
              </w:rPr>
              <w:t>1</w:t>
            </w:r>
          </w:p>
          <w:p w:rsidR="00B5563C" w:rsidRPr="00D32B8D" w:rsidRDefault="00B5563C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D32B8D">
              <w:rPr>
                <w:rFonts w:ascii="Times New Roman" w:hAnsi="Times New Roman"/>
                <w:b/>
                <w:lang w:val="sk-SK"/>
              </w:rPr>
              <w:t xml:space="preserve">(95 % </w:t>
            </w:r>
            <w:r w:rsidRPr="005C727B">
              <w:rPr>
                <w:rFonts w:ascii="Times New Roman" w:hAnsi="Times New Roman"/>
                <w:b/>
                <w:lang w:val="sk-SK"/>
              </w:rPr>
              <w:t>CI</w:t>
            </w:r>
            <w:r w:rsidRPr="00D32B8D">
              <w:rPr>
                <w:rFonts w:ascii="Times New Roman" w:hAnsi="Times New Roman"/>
                <w:b/>
                <w:lang w:val="sk-SK"/>
              </w:rPr>
              <w:t>)</w:t>
            </w:r>
          </w:p>
          <w:p w:rsidR="00B5563C" w:rsidRPr="00F15CAB" w:rsidRDefault="00B5563C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i/>
                <w:lang w:val="sk-SK"/>
              </w:rPr>
            </w:pPr>
            <w:r w:rsidRPr="00F15CAB">
              <w:rPr>
                <w:rFonts w:ascii="Times New Roman" w:hAnsi="Times New Roman"/>
                <w:b/>
                <w:i/>
                <w:lang w:val="sk-SK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B5563C" w:rsidRPr="00D32B8D" w:rsidRDefault="00D32B8D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l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etrozol</w:t>
            </w:r>
          </w:p>
          <w:p w:rsidR="00B5563C" w:rsidRPr="00D32B8D" w:rsidRDefault="00170DA3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n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=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4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003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nil"/>
            </w:tcBorders>
          </w:tcPr>
          <w:p w:rsidR="00B5563C" w:rsidRPr="00D32B8D" w:rsidRDefault="00D32B8D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t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amoxifén</w:t>
            </w:r>
          </w:p>
          <w:p w:rsidR="00B5563C" w:rsidRPr="00D32B8D" w:rsidRDefault="00260E99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n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=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4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="00B5563C" w:rsidRPr="00D32B8D">
              <w:rPr>
                <w:rFonts w:ascii="Times New Roman" w:hAnsi="Times New Roman"/>
                <w:b/>
                <w:lang w:val="sk-SK"/>
              </w:rPr>
              <w:t>007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B571D5" w:rsidRDefault="00B5563C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D32B8D">
              <w:rPr>
                <w:rFonts w:ascii="Times New Roman" w:hAnsi="Times New Roman"/>
                <w:b/>
                <w:lang w:val="sk-SK"/>
              </w:rPr>
              <w:t>HR</w:t>
            </w:r>
            <w:r w:rsidRPr="00D32B8D">
              <w:rPr>
                <w:rFonts w:ascii="Times New Roman" w:hAnsi="Times New Roman"/>
                <w:b/>
                <w:vertAlign w:val="superscript"/>
                <w:lang w:val="sk-SK"/>
              </w:rPr>
              <w:t>1</w:t>
            </w:r>
          </w:p>
          <w:p w:rsidR="00B5563C" w:rsidRPr="00D32B8D" w:rsidRDefault="00B5563C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D32B8D">
              <w:rPr>
                <w:rFonts w:ascii="Times New Roman" w:hAnsi="Times New Roman"/>
                <w:b/>
                <w:lang w:val="sk-SK"/>
              </w:rPr>
              <w:t xml:space="preserve">(95 % </w:t>
            </w:r>
            <w:r w:rsidRPr="005C727B">
              <w:rPr>
                <w:rFonts w:ascii="Times New Roman" w:hAnsi="Times New Roman"/>
                <w:b/>
                <w:lang w:val="sk-SK"/>
              </w:rPr>
              <w:t>CI</w:t>
            </w:r>
            <w:r w:rsidRPr="00D32B8D">
              <w:rPr>
                <w:rFonts w:ascii="Times New Roman" w:hAnsi="Times New Roman"/>
                <w:b/>
                <w:lang w:val="sk-SK"/>
              </w:rPr>
              <w:t>)</w:t>
            </w:r>
          </w:p>
          <w:p w:rsidR="00B5563C" w:rsidRPr="00F15CAB" w:rsidRDefault="00B5563C" w:rsidP="00B162C6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i/>
                <w:lang w:val="sk-SK"/>
              </w:rPr>
            </w:pPr>
            <w:r w:rsidRPr="00F15CAB">
              <w:rPr>
                <w:rFonts w:ascii="Times New Roman" w:hAnsi="Times New Roman"/>
                <w:b/>
                <w:i/>
                <w:iCs/>
                <w:lang w:val="sk-SK"/>
              </w:rPr>
              <w:t>p</w:t>
            </w:r>
          </w:p>
        </w:tc>
      </w:tr>
      <w:tr w:rsidR="00B5563C" w:rsidRPr="00D32B8D" w:rsidTr="00036F9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D32B8D" w:rsidRDefault="00B5563C" w:rsidP="007D63F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D32B8D">
              <w:rPr>
                <w:rFonts w:ascii="Times New Roman" w:hAnsi="Times New Roman"/>
                <w:sz w:val="22"/>
                <w:szCs w:val="22"/>
              </w:rPr>
              <w:t>Prežívanie bez ochorenia (</w:t>
            </w:r>
            <w:r w:rsidRPr="00FB33E5">
              <w:rPr>
                <w:rFonts w:ascii="Times New Roman" w:hAnsi="Times New Roman"/>
                <w:sz w:val="22"/>
                <w:szCs w:val="22"/>
              </w:rPr>
              <w:t>primárne</w:t>
            </w:r>
            <w:r w:rsidRPr="00D32B8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B5563C" w:rsidRPr="00D32B8D" w:rsidRDefault="009418E2" w:rsidP="00056DA3">
            <w:pPr>
              <w:widowControl w:val="0"/>
              <w:tabs>
                <w:tab w:val="left" w:pos="180"/>
              </w:tabs>
              <w:spacing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 </w:t>
            </w:r>
            <w:r w:rsidR="00B5563C" w:rsidRPr="00D32B8D">
              <w:rPr>
                <w:rFonts w:ascii="Times New Roman" w:hAnsi="Times New Roman"/>
                <w:sz w:val="22"/>
                <w:szCs w:val="22"/>
              </w:rPr>
              <w:t>udalosti (definícia podľa protokolu</w:t>
            </w:r>
            <w:r w:rsidR="00B5563C" w:rsidRPr="00D32B8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B5563C" w:rsidRPr="00D32B8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0,81</w:t>
            </w:r>
          </w:p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(0,70; 0,93)</w:t>
            </w: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D30AAE">
            <w:pPr>
              <w:pStyle w:val="Table"/>
              <w:keepNext/>
              <w:widowControl w:val="0"/>
              <w:tabs>
                <w:tab w:val="clear" w:pos="284"/>
                <w:tab w:val="left" w:pos="85"/>
              </w:tabs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585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664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0,86</w:t>
            </w: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(0,77; 0,96)</w:t>
            </w: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0,008</w:t>
            </w:r>
          </w:p>
        </w:tc>
      </w:tr>
      <w:tr w:rsidR="00B5563C" w:rsidRPr="00D32B8D" w:rsidTr="00036F9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9957E9">
            <w:pPr>
              <w:widowControl w:val="0"/>
              <w:spacing w:before="240"/>
              <w:rPr>
                <w:rFonts w:ascii="Times New Roman" w:hAnsi="Times New Roman"/>
                <w:sz w:val="22"/>
                <w:szCs w:val="22"/>
              </w:rPr>
            </w:pPr>
            <w:r w:rsidRPr="00D32B8D">
              <w:rPr>
                <w:rFonts w:ascii="Times New Roman" w:hAnsi="Times New Roman"/>
                <w:sz w:val="22"/>
                <w:szCs w:val="22"/>
              </w:rPr>
              <w:t>Celkové prežívanie (</w:t>
            </w:r>
            <w:r w:rsidRPr="00C85AB1">
              <w:rPr>
                <w:rFonts w:ascii="Times New Roman" w:hAnsi="Times New Roman"/>
                <w:sz w:val="22"/>
                <w:szCs w:val="22"/>
              </w:rPr>
              <w:t>sekundárne</w:t>
            </w:r>
            <w:r w:rsidRPr="00D32B8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B5563C" w:rsidRPr="00D32B8D" w:rsidRDefault="00FD5252" w:rsidP="00FD525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 </w:t>
            </w:r>
            <w:r w:rsidR="006D4753">
              <w:rPr>
                <w:rFonts w:ascii="Times New Roman" w:hAnsi="Times New Roman"/>
                <w:sz w:val="22"/>
                <w:szCs w:val="22"/>
              </w:rPr>
              <w:t>p</w:t>
            </w:r>
            <w:r w:rsidR="00B5563C" w:rsidRPr="00D32B8D">
              <w:rPr>
                <w:rFonts w:ascii="Times New Roman" w:hAnsi="Times New Roman"/>
                <w:sz w:val="22"/>
                <w:szCs w:val="22"/>
              </w:rPr>
              <w:t>očet úmrtí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0,86</w:t>
            </w:r>
          </w:p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(0,70; 1,06)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330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0,87</w:t>
            </w:r>
          </w:p>
          <w:p w:rsidR="00B5563C" w:rsidRPr="00D32B8D" w:rsidRDefault="00B5563C" w:rsidP="007D63FA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(0,75; 1,01)</w:t>
            </w:r>
          </w:p>
        </w:tc>
      </w:tr>
      <w:tr w:rsidR="00B5563C" w:rsidRPr="00D32B8D" w:rsidTr="00036F94">
        <w:tc>
          <w:tcPr>
            <w:tcW w:w="9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D1C" w:rsidRDefault="00B5563C" w:rsidP="00373D1C">
            <w:pPr>
              <w:pStyle w:val="Table"/>
              <w:keepNext/>
              <w:widowControl w:val="0"/>
              <w:tabs>
                <w:tab w:val="clear" w:pos="284"/>
                <w:tab w:val="left" w:pos="567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HR</w:t>
            </w:r>
            <w:r w:rsidR="00373D1C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pomer rizika</w:t>
            </w:r>
          </w:p>
          <w:p w:rsidR="00B5563C" w:rsidRPr="00D32B8D" w:rsidRDefault="00B5563C" w:rsidP="00373D1C">
            <w:pPr>
              <w:pStyle w:val="Table"/>
              <w:keepNext/>
              <w:widowControl w:val="0"/>
              <w:tabs>
                <w:tab w:val="clear" w:pos="284"/>
                <w:tab w:val="left" w:pos="567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3F7C">
              <w:rPr>
                <w:rFonts w:ascii="Times New Roman" w:hAnsi="Times New Roman"/>
                <w:sz w:val="22"/>
                <w:szCs w:val="22"/>
                <w:lang w:val="sk-SK"/>
              </w:rPr>
              <w:t>CI</w:t>
            </w:r>
            <w:r w:rsidR="00373D1C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9C3F7C">
              <w:rPr>
                <w:rFonts w:ascii="Times New Roman" w:hAnsi="Times New Roman"/>
                <w:sz w:val="22"/>
                <w:szCs w:val="22"/>
                <w:lang w:val="sk-SK"/>
              </w:rPr>
              <w:t>interval spoľahlivosti</w:t>
            </w:r>
          </w:p>
          <w:p w:rsidR="00B5563C" w:rsidRPr="00D32B8D" w:rsidRDefault="00B5563C" w:rsidP="00373D1C">
            <w:pPr>
              <w:pStyle w:val="Table"/>
              <w:keepNext/>
              <w:widowControl w:val="0"/>
              <w:tabs>
                <w:tab w:val="clear" w:pos="284"/>
                <w:tab w:val="left" w:pos="567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1</w:t>
            </w:r>
            <w:r w:rsidRPr="00D32B8D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ab/>
            </w: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Log</w:t>
            </w:r>
            <w:r w:rsidR="00632C4C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32B8D">
              <w:rPr>
                <w:rFonts w:ascii="Times New Roman" w:hAnsi="Times New Roman"/>
                <w:sz w:val="22"/>
                <w:szCs w:val="22"/>
                <w:lang w:val="sk-SK"/>
              </w:rPr>
              <w:t>rank test stratifikovaný podľa zvolenej randomizácie a použitia chemoterapie (áno/nie)</w:t>
            </w:r>
            <w:r w:rsidR="001A1373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B5563C" w:rsidRPr="00D32B8D" w:rsidRDefault="00B5563C" w:rsidP="00373D1C">
            <w:pPr>
              <w:widowControl w:val="0"/>
              <w:autoSpaceDE w:val="0"/>
              <w:autoSpaceDN w:val="0"/>
              <w:adjustRightInd w:val="0"/>
              <w:ind w:left="567" w:right="-20" w:hanging="567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D32B8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32B8D">
              <w:rPr>
                <w:rFonts w:ascii="Times New Roman" w:hAnsi="Times New Roman"/>
                <w:sz w:val="22"/>
                <w:szCs w:val="22"/>
                <w:vertAlign w:val="superscript"/>
              </w:rPr>
              <w:tab/>
            </w:r>
            <w:r w:rsidRPr="00D32B8D">
              <w:rPr>
                <w:rFonts w:ascii="Times New Roman" w:hAnsi="Times New Roman"/>
                <w:sz w:val="22"/>
                <w:szCs w:val="22"/>
              </w:rPr>
              <w:t xml:space="preserve">Udalosti súvisiace s DFS: lokoregionálna </w:t>
            </w:r>
            <w:r w:rsidRPr="00A17F55">
              <w:rPr>
                <w:rFonts w:ascii="Times New Roman" w:hAnsi="Times New Roman"/>
                <w:sz w:val="22"/>
                <w:szCs w:val="22"/>
              </w:rPr>
              <w:t>recidíva</w:t>
            </w:r>
            <w:r w:rsidRPr="00D32B8D">
              <w:rPr>
                <w:rFonts w:ascii="Times New Roman" w:hAnsi="Times New Roman"/>
                <w:sz w:val="22"/>
                <w:szCs w:val="22"/>
              </w:rPr>
              <w:t xml:space="preserve">, vzdialená metastáza, invazívny kontralaterálny karcinóm prsníka, druhá primárna malignita (nie prsníka), smrť z akejkoľvek príčiny bez predchádzajúcej udalosti súvisiacej s </w:t>
            </w:r>
            <w:r w:rsidRPr="008C32A2">
              <w:rPr>
                <w:rFonts w:ascii="Times New Roman" w:hAnsi="Times New Roman"/>
                <w:sz w:val="22"/>
                <w:szCs w:val="22"/>
              </w:rPr>
              <w:t>malignitou</w:t>
            </w:r>
            <w:r w:rsidRPr="00D32B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B5563C" w:rsidRPr="009E27CE" w:rsidRDefault="00B5563C" w:rsidP="00B5563C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bCs/>
          <w:sz w:val="22"/>
          <w:szCs w:val="22"/>
        </w:rPr>
      </w:pPr>
    </w:p>
    <w:p w:rsidR="00B5563C" w:rsidRDefault="00B5563C" w:rsidP="00B5563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9E27CE">
        <w:rPr>
          <w:i/>
          <w:sz w:val="22"/>
          <w:szCs w:val="22"/>
          <w:lang w:val="sk-SK"/>
        </w:rPr>
        <w:t>Výsledky</w:t>
      </w:r>
      <w:r w:rsidR="00C9478C">
        <w:rPr>
          <w:i/>
          <w:sz w:val="22"/>
          <w:szCs w:val="22"/>
          <w:lang w:val="sk-SK"/>
        </w:rPr>
        <w:t xml:space="preserve"> </w:t>
      </w:r>
      <w:r w:rsidRPr="009E27CE">
        <w:rPr>
          <w:i/>
          <w:sz w:val="22"/>
          <w:szCs w:val="22"/>
          <w:lang w:val="sk-SK"/>
        </w:rPr>
        <w:t>p</w:t>
      </w:r>
      <w:r>
        <w:rPr>
          <w:i/>
          <w:sz w:val="22"/>
          <w:szCs w:val="22"/>
          <w:lang w:val="sk-SK"/>
        </w:rPr>
        <w:t xml:space="preserve">ri mediáne </w:t>
      </w:r>
      <w:r w:rsidR="0039016B">
        <w:rPr>
          <w:i/>
          <w:sz w:val="22"/>
          <w:szCs w:val="22"/>
          <w:lang w:val="sk-SK"/>
        </w:rPr>
        <w:t>ďalšieho</w:t>
      </w:r>
      <w:r w:rsidRPr="00FB33E5">
        <w:rPr>
          <w:i/>
          <w:sz w:val="22"/>
          <w:szCs w:val="22"/>
          <w:lang w:val="sk-SK"/>
        </w:rPr>
        <w:t xml:space="preserve"> sledovania</w:t>
      </w:r>
      <w:r>
        <w:rPr>
          <w:i/>
          <w:sz w:val="22"/>
          <w:szCs w:val="22"/>
          <w:lang w:val="sk-SK"/>
        </w:rPr>
        <w:t xml:space="preserve"> 96</w:t>
      </w:r>
      <w:r w:rsidRPr="009E27CE">
        <w:rPr>
          <w:i/>
          <w:sz w:val="22"/>
          <w:szCs w:val="22"/>
          <w:lang w:val="sk-SK"/>
        </w:rPr>
        <w:t xml:space="preserve"> mesiacov (len skupiny </w:t>
      </w:r>
      <w:r w:rsidR="002517EB">
        <w:rPr>
          <w:i/>
          <w:sz w:val="22"/>
          <w:szCs w:val="22"/>
          <w:lang w:val="sk-SK"/>
        </w:rPr>
        <w:t>s monoterapiou</w:t>
      </w:r>
      <w:r w:rsidRPr="009E27CE">
        <w:rPr>
          <w:i/>
          <w:sz w:val="22"/>
          <w:szCs w:val="22"/>
          <w:lang w:val="sk-SK"/>
        </w:rPr>
        <w:t>)</w:t>
      </w:r>
    </w:p>
    <w:p w:rsidR="00505691" w:rsidRPr="009E27CE" w:rsidRDefault="00505691" w:rsidP="00B5563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BA0DA5" w:rsidRDefault="00BA0DA5" w:rsidP="00B5563C">
      <w:pPr>
        <w:widowControl w:val="0"/>
        <w:autoSpaceDE w:val="0"/>
        <w:autoSpaceDN w:val="0"/>
        <w:adjustRightInd w:val="0"/>
        <w:ind w:right="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Výs</w:t>
      </w:r>
      <w:r w:rsidR="00C9478C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edky analýzy skupín s monoterapiou (monotherapy arms analysis, MAA) – dlhodobá aktualizácia účinnosti monoterapie letrozolom v porovna</w:t>
      </w:r>
      <w:r w:rsidR="00C9478C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í s monoterapiou tamoxifénom</w:t>
      </w:r>
      <w:r w:rsidR="00091434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medián trvania adjuvantnej liečby: 5 rokov</w:t>
      </w:r>
      <w:r w:rsidR="00091434">
        <w:rPr>
          <w:rFonts w:ascii="Times New Roman" w:hAnsi="Times New Roman"/>
          <w:sz w:val="22"/>
          <w:szCs w:val="22"/>
        </w:rPr>
        <w:t>)</w:t>
      </w:r>
      <w:r w:rsidR="005232B1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sú uvedené v tabuľke 5.</w:t>
      </w:r>
    </w:p>
    <w:p w:rsidR="00B5563C" w:rsidRDefault="00B5563C" w:rsidP="00036F94"/>
    <w:p w:rsidR="000D392C" w:rsidRPr="009E27CE" w:rsidRDefault="000D392C" w:rsidP="000D392C">
      <w:pPr>
        <w:keepNext/>
        <w:widowControl w:val="0"/>
        <w:autoSpaceDE w:val="0"/>
        <w:autoSpaceDN w:val="0"/>
        <w:adjustRightInd w:val="0"/>
        <w:ind w:left="1134" w:right="-20" w:hanging="1134"/>
        <w:rPr>
          <w:rFonts w:ascii="Times New Roman" w:hAnsi="Times New Roman"/>
          <w:b/>
          <w:bCs/>
          <w:position w:val="-1"/>
          <w:sz w:val="22"/>
          <w:szCs w:val="22"/>
        </w:rPr>
      </w:pPr>
      <w:r w:rsidRPr="009E27CE">
        <w:rPr>
          <w:rFonts w:ascii="Times New Roman" w:hAnsi="Times New Roman"/>
          <w:b/>
          <w:sz w:val="22"/>
          <w:szCs w:val="22"/>
        </w:rPr>
        <w:t>Tabuľka 5</w:t>
      </w:r>
      <w:r w:rsidRPr="009E27CE">
        <w:rPr>
          <w:rFonts w:ascii="Times New Roman" w:hAnsi="Times New Roman"/>
          <w:b/>
          <w:sz w:val="22"/>
          <w:szCs w:val="22"/>
        </w:rPr>
        <w:tab/>
      </w:r>
      <w:r w:rsidRPr="002E59C6">
        <w:rPr>
          <w:rFonts w:ascii="Times New Roman" w:hAnsi="Times New Roman"/>
          <w:b/>
          <w:sz w:val="22"/>
          <w:szCs w:val="22"/>
        </w:rPr>
        <w:t xml:space="preserve">Analýza skupín </w:t>
      </w:r>
      <w:r w:rsidR="009A1EA9">
        <w:rPr>
          <w:rFonts w:ascii="Times New Roman" w:hAnsi="Times New Roman"/>
          <w:b/>
          <w:sz w:val="22"/>
          <w:szCs w:val="22"/>
        </w:rPr>
        <w:t>s monoterapiou</w:t>
      </w:r>
      <w:r w:rsidRPr="009E27CE">
        <w:rPr>
          <w:rFonts w:ascii="Times New Roman" w:hAnsi="Times New Roman"/>
          <w:b/>
          <w:sz w:val="22"/>
          <w:szCs w:val="22"/>
        </w:rPr>
        <w:t xml:space="preserve">: </w:t>
      </w:r>
      <w:r w:rsidR="00271339">
        <w:rPr>
          <w:rFonts w:ascii="Times New Roman" w:hAnsi="Times New Roman"/>
          <w:b/>
          <w:bCs/>
          <w:color w:val="000000"/>
          <w:sz w:val="22"/>
          <w:szCs w:val="22"/>
        </w:rPr>
        <w:t>p</w:t>
      </w:r>
      <w:r w:rsidRPr="009E27CE">
        <w:rPr>
          <w:rFonts w:ascii="Times New Roman" w:hAnsi="Times New Roman"/>
          <w:b/>
          <w:bCs/>
          <w:color w:val="000000"/>
          <w:sz w:val="22"/>
          <w:szCs w:val="22"/>
        </w:rPr>
        <w:t xml:space="preserve">režívanie bez ochorenia a celkové </w:t>
      </w:r>
      <w:r w:rsidRPr="00FB33E5">
        <w:rPr>
          <w:rFonts w:ascii="Times New Roman" w:hAnsi="Times New Roman"/>
          <w:b/>
          <w:bCs/>
          <w:color w:val="000000"/>
          <w:sz w:val="22"/>
          <w:szCs w:val="22"/>
        </w:rPr>
        <w:t xml:space="preserve">prežívanie pri </w:t>
      </w:r>
      <w:r w:rsidRPr="00FB33E5">
        <w:rPr>
          <w:rFonts w:ascii="Times New Roman" w:hAnsi="Times New Roman"/>
          <w:b/>
          <w:bCs/>
          <w:position w:val="-1"/>
          <w:sz w:val="22"/>
          <w:szCs w:val="22"/>
        </w:rPr>
        <w:lastRenderedPageBreak/>
        <w:t xml:space="preserve">mediáne </w:t>
      </w:r>
      <w:r w:rsidRPr="00FB33E5">
        <w:rPr>
          <w:rFonts w:ascii="Times New Roman" w:hAnsi="Times New Roman"/>
          <w:b/>
          <w:sz w:val="22"/>
          <w:szCs w:val="22"/>
        </w:rPr>
        <w:t xml:space="preserve">ďalšieho sledovania </w:t>
      </w:r>
      <w:r w:rsidRPr="00FB33E5">
        <w:rPr>
          <w:rFonts w:ascii="Times New Roman" w:hAnsi="Times New Roman"/>
          <w:b/>
          <w:bCs/>
          <w:sz w:val="22"/>
          <w:szCs w:val="22"/>
        </w:rPr>
        <w:t>73 </w:t>
      </w:r>
      <w:r w:rsidRPr="00FB33E5">
        <w:rPr>
          <w:rFonts w:ascii="Times New Roman" w:hAnsi="Times New Roman"/>
          <w:b/>
          <w:bCs/>
          <w:position w:val="-1"/>
          <w:sz w:val="22"/>
          <w:szCs w:val="22"/>
        </w:rPr>
        <w:t>mesiacov (</w:t>
      </w:r>
      <w:r w:rsidR="00FB33E5">
        <w:rPr>
          <w:rFonts w:ascii="Times New Roman" w:hAnsi="Times New Roman"/>
          <w:b/>
          <w:bCs/>
          <w:position w:val="-1"/>
          <w:sz w:val="22"/>
          <w:szCs w:val="22"/>
        </w:rPr>
        <w:t>ITT-populácia</w:t>
      </w:r>
      <w:r w:rsidRPr="00FB33E5">
        <w:rPr>
          <w:rFonts w:ascii="Times New Roman" w:hAnsi="Times New Roman"/>
          <w:b/>
          <w:bCs/>
          <w:position w:val="-1"/>
          <w:sz w:val="22"/>
          <w:szCs w:val="22"/>
        </w:rPr>
        <w:t>)</w:t>
      </w:r>
      <w:r w:rsidR="002E59C6" w:rsidRPr="00FB33E5">
        <w:rPr>
          <w:rFonts w:ascii="Times New Roman" w:hAnsi="Times New Roman"/>
          <w:b/>
          <w:bCs/>
          <w:position w:val="-1"/>
          <w:sz w:val="22"/>
          <w:szCs w:val="22"/>
        </w:rPr>
        <w:t>.</w:t>
      </w:r>
    </w:p>
    <w:p w:rsidR="000D392C" w:rsidRPr="009E27CE" w:rsidRDefault="000D392C" w:rsidP="000D392C">
      <w:pPr>
        <w:keepNext/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bCs/>
          <w:sz w:val="22"/>
          <w:szCs w:val="22"/>
        </w:rPr>
      </w:pPr>
    </w:p>
    <w:tbl>
      <w:tblPr>
        <w:tblW w:w="9328" w:type="dxa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1260"/>
        <w:gridCol w:w="1440"/>
        <w:gridCol w:w="1694"/>
        <w:gridCol w:w="1276"/>
        <w:gridCol w:w="10"/>
      </w:tblGrid>
      <w:tr w:rsidR="000D392C" w:rsidRPr="00C8493A" w:rsidTr="006A22A4">
        <w:trPr>
          <w:trHeight w:hRule="exact" w:val="526"/>
        </w:trPr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92C" w:rsidRPr="00186223" w:rsidRDefault="000D392C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92C" w:rsidRPr="00E14C18" w:rsidRDefault="00EE2126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="000D392C" w:rsidRPr="00C8493A">
              <w:rPr>
                <w:rFonts w:ascii="Times New Roman" w:hAnsi="Times New Roman"/>
                <w:b/>
                <w:sz w:val="22"/>
                <w:szCs w:val="22"/>
              </w:rPr>
              <w:t>etrozol</w:t>
            </w:r>
          </w:p>
          <w:p w:rsidR="000D392C" w:rsidRPr="00E14C18" w:rsidRDefault="00EE2126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 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463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92C" w:rsidRPr="00E14C18" w:rsidRDefault="00EE2126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amoxifén</w:t>
            </w:r>
          </w:p>
          <w:p w:rsidR="000D392C" w:rsidRPr="00E14C18" w:rsidRDefault="00EE2126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 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</w:rPr>
              <w:t>459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92C" w:rsidRPr="00E14C18" w:rsidRDefault="00EE2126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HR</w:t>
            </w:r>
            <w:r w:rsidR="000D392C" w:rsidRPr="00E14C18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  <w:p w:rsidR="000D392C" w:rsidRPr="00EE2126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2126">
              <w:rPr>
                <w:rFonts w:ascii="Times New Roman" w:hAnsi="Times New Roman"/>
                <w:b/>
                <w:sz w:val="22"/>
                <w:szCs w:val="22"/>
              </w:rPr>
              <w:t>(95 % CI)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92C" w:rsidRPr="00553A6E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53A6E">
              <w:rPr>
                <w:rFonts w:ascii="Times New Roman" w:hAnsi="Times New Roman"/>
                <w:b/>
                <w:i/>
                <w:sz w:val="22"/>
                <w:szCs w:val="22"/>
              </w:rPr>
              <w:t>p</w:t>
            </w:r>
          </w:p>
        </w:tc>
      </w:tr>
      <w:tr w:rsidR="000D392C" w:rsidRPr="00C8493A" w:rsidTr="006A22A4">
        <w:trPr>
          <w:trHeight w:hRule="exact" w:val="583"/>
        </w:trPr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71E5" w:rsidRDefault="000D392C" w:rsidP="00C371E5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 xml:space="preserve">Prežívanie bez ochorenia </w:t>
            </w:r>
            <w:r w:rsidR="00C371E5" w:rsidRPr="00C371E5">
              <w:rPr>
                <w:rFonts w:ascii="Times New Roman" w:hAnsi="Times New Roman"/>
                <w:sz w:val="22"/>
                <w:szCs w:val="22"/>
              </w:rPr>
              <w:t>(primárne)</w:t>
            </w:r>
          </w:p>
          <w:p w:rsidR="000D392C" w:rsidRPr="00E14C18" w:rsidRDefault="00C371E5" w:rsidP="00C371E5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</w:t>
            </w:r>
            <w:r w:rsidR="000D392C" w:rsidRPr="00C371E5">
              <w:rPr>
                <w:rFonts w:ascii="Times New Roman" w:hAnsi="Times New Roman"/>
                <w:sz w:val="22"/>
                <w:szCs w:val="22"/>
              </w:rPr>
              <w:t xml:space="preserve"> udalosti </w:t>
            </w:r>
            <w:r w:rsidR="000D392C" w:rsidRPr="00C371E5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698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22A4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0,8</w:t>
            </w:r>
            <w:r w:rsidRPr="00C8493A">
              <w:rPr>
                <w:rFonts w:ascii="Times New Roman" w:hAnsi="Times New Roman"/>
                <w:sz w:val="22"/>
                <w:szCs w:val="22"/>
              </w:rPr>
              <w:t>7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(0,78; 0,9</w:t>
            </w:r>
            <w:r w:rsidRPr="00C8493A">
              <w:rPr>
                <w:rFonts w:ascii="Times New Roman" w:hAnsi="Times New Roman"/>
                <w:sz w:val="22"/>
                <w:szCs w:val="22"/>
              </w:rPr>
              <w:t>7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0,0</w:t>
            </w:r>
            <w:r w:rsidRPr="00C8493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0D392C" w:rsidRPr="00C8493A" w:rsidTr="006A22A4">
        <w:trPr>
          <w:trHeight w:hRule="exact" w:val="563"/>
        </w:trPr>
        <w:tc>
          <w:tcPr>
            <w:tcW w:w="3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E2126" w:rsidRDefault="000D392C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Čas do vzdialenej metastázy</w:t>
            </w:r>
            <w:r w:rsidR="002228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(sekundárne)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301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342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A22A4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0,8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6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(0,7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4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; 1,0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1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14C18" w:rsidRDefault="000D392C" w:rsidP="00146DF4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0,0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0D392C" w:rsidRPr="00C8493A" w:rsidTr="006A22A4">
        <w:trPr>
          <w:trHeight w:hRule="exact" w:val="557"/>
        </w:trPr>
        <w:tc>
          <w:tcPr>
            <w:tcW w:w="3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278A2" w:rsidRDefault="000D392C" w:rsidP="001278A2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Celkové prežívanie (sekundárne)</w:t>
            </w:r>
          </w:p>
          <w:p w:rsidR="000D392C" w:rsidRPr="00E14C18" w:rsidRDefault="001278A2" w:rsidP="00117033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 </w:t>
            </w:r>
            <w:r w:rsidR="00117033">
              <w:rPr>
                <w:rFonts w:ascii="Times New Roman" w:hAnsi="Times New Roman"/>
                <w:sz w:val="22"/>
                <w:szCs w:val="22"/>
              </w:rPr>
              <w:t>počet úmrtí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393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436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A22A4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0,8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 xml:space="preserve">9 </w:t>
            </w:r>
          </w:p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(0,7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7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; 1,02)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392C" w:rsidRPr="00EE2126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2126"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</w:tr>
      <w:tr w:rsidR="000D392C" w:rsidRPr="00C8493A" w:rsidTr="006A22A4">
        <w:trPr>
          <w:trHeight w:hRule="exact" w:val="611"/>
        </w:trPr>
        <w:tc>
          <w:tcPr>
            <w:tcW w:w="3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Cenz</w:t>
            </w:r>
            <w:r w:rsidRPr="000E73AC">
              <w:rPr>
                <w:rFonts w:ascii="Times New Roman" w:hAnsi="Times New Roman"/>
                <w:sz w:val="22"/>
                <w:szCs w:val="22"/>
              </w:rPr>
              <w:t>o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rovaná analýza DFS</w:t>
            </w:r>
            <w:r w:rsidRPr="00E14C1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626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679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2A4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0,8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3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(0,7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4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; 0,9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2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E2126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  <w:tr w:rsidR="000D392C" w:rsidRPr="00C8493A" w:rsidTr="006A22A4">
        <w:trPr>
          <w:trHeight w:hRule="exact" w:val="563"/>
        </w:trPr>
        <w:tc>
          <w:tcPr>
            <w:tcW w:w="3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Cenz</w:t>
            </w:r>
            <w:r w:rsidRPr="000E73AC">
              <w:rPr>
                <w:rFonts w:ascii="Times New Roman" w:hAnsi="Times New Roman"/>
                <w:sz w:val="22"/>
                <w:szCs w:val="22"/>
              </w:rPr>
              <w:t>oro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vaná analýza OS</w:t>
            </w:r>
            <w:r w:rsidRPr="00E14C1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3</w:t>
            </w:r>
            <w:r w:rsidRPr="00C8493A">
              <w:rPr>
                <w:rFonts w:ascii="Times New Roman" w:hAnsi="Times New Roman"/>
                <w:sz w:val="22"/>
                <w:szCs w:val="22"/>
              </w:rPr>
              <w:t>9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93A">
              <w:rPr>
                <w:rFonts w:ascii="Times New Roman" w:hAnsi="Times New Roman"/>
                <w:sz w:val="22"/>
                <w:szCs w:val="22"/>
              </w:rPr>
              <w:t>419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2A4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0,8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1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D392C" w:rsidRPr="00E14C18" w:rsidRDefault="000D392C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</w:rPr>
              <w:t>(0,70; 0,9</w:t>
            </w:r>
            <w:r w:rsidR="001A3CF0" w:rsidRPr="00C8493A">
              <w:rPr>
                <w:rFonts w:ascii="Times New Roman" w:hAnsi="Times New Roman"/>
                <w:sz w:val="22"/>
                <w:szCs w:val="22"/>
              </w:rPr>
              <w:t>3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2C" w:rsidRPr="00EE2126" w:rsidRDefault="000D392C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392C" w:rsidRPr="00C8493A" w:rsidTr="00222848">
        <w:trPr>
          <w:gridAfter w:val="1"/>
          <w:wAfter w:w="10" w:type="dxa"/>
          <w:trHeight w:val="910"/>
        </w:trPr>
        <w:tc>
          <w:tcPr>
            <w:tcW w:w="9318" w:type="dxa"/>
            <w:gridSpan w:val="5"/>
            <w:tcBorders>
              <w:top w:val="single" w:sz="4" w:space="0" w:color="auto"/>
              <w:right w:val="nil"/>
            </w:tcBorders>
          </w:tcPr>
          <w:p w:rsidR="000D392C" w:rsidRPr="00E14C18" w:rsidRDefault="000D392C" w:rsidP="007D63FA">
            <w:pPr>
              <w:keepNext/>
              <w:widowControl w:val="0"/>
              <w:tabs>
                <w:tab w:val="left" w:pos="567"/>
              </w:tabs>
              <w:ind w:left="529" w:hanging="529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ab/>
              <w:t>Log</w:t>
            </w:r>
            <w:r w:rsidR="00632C4C">
              <w:rPr>
                <w:rFonts w:ascii="Times New Roman" w:hAnsi="Times New Roman"/>
                <w:sz w:val="22"/>
                <w:szCs w:val="22"/>
              </w:rPr>
              <w:t>-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rank test stratifikovaný </w:t>
            </w:r>
            <w:r w:rsidRPr="009A092E">
              <w:rPr>
                <w:rFonts w:ascii="Times New Roman" w:hAnsi="Times New Roman"/>
                <w:sz w:val="22"/>
                <w:szCs w:val="22"/>
              </w:rPr>
              <w:t>podľa zvolenej randomizácie a použitia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chemoterapie (áno/nie)</w:t>
            </w:r>
            <w:r w:rsidR="009A092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D392C" w:rsidRPr="00E14C18" w:rsidRDefault="000D392C" w:rsidP="007D63FA">
            <w:pPr>
              <w:keepNext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527" w:right="-20" w:hanging="527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ab/>
              <w:t xml:space="preserve">Udalosti súvisiace s DFS: lokoregionálna recidíva, vzdialená metastáza, invazívny kontralaterálny karcinóm prsníka, druhá primárna malignita (nie prsníka), smrť z akejkoľvek príčiny bez predchádzajúcej udalosti súvisiacej s </w:t>
            </w:r>
            <w:r w:rsidRPr="00272588">
              <w:rPr>
                <w:rFonts w:ascii="Times New Roman" w:hAnsi="Times New Roman"/>
                <w:sz w:val="22"/>
                <w:szCs w:val="22"/>
              </w:rPr>
              <w:t>malignitou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D392C" w:rsidRPr="00E14C18" w:rsidRDefault="000D392C" w:rsidP="000A3B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529" w:right="-20" w:hanging="529"/>
              <w:rPr>
                <w:rFonts w:ascii="Times New Roman" w:hAnsi="Times New Roman"/>
                <w:sz w:val="22"/>
                <w:szCs w:val="22"/>
              </w:rPr>
            </w:pPr>
            <w:r w:rsidRPr="00E14C1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E14C18">
              <w:rPr>
                <w:rFonts w:ascii="Times New Roman" w:hAnsi="Times New Roman"/>
                <w:sz w:val="22"/>
                <w:szCs w:val="22"/>
                <w:vertAlign w:val="superscript"/>
              </w:rPr>
              <w:tab/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Pozorovania v skupine </w:t>
            </w:r>
            <w:r w:rsidR="00C94871">
              <w:rPr>
                <w:rFonts w:ascii="Times New Roman" w:hAnsi="Times New Roman"/>
                <w:sz w:val="22"/>
                <w:szCs w:val="22"/>
              </w:rPr>
              <w:t>s tamoxifénom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cenz</w:t>
            </w:r>
            <w:r w:rsidRPr="000E73AC">
              <w:rPr>
                <w:rFonts w:ascii="Times New Roman" w:hAnsi="Times New Roman"/>
                <w:sz w:val="22"/>
                <w:szCs w:val="22"/>
              </w:rPr>
              <w:t>or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ované </w:t>
            </w:r>
            <w:r w:rsidR="000A3BEE">
              <w:rPr>
                <w:rFonts w:ascii="Times New Roman" w:hAnsi="Times New Roman"/>
                <w:sz w:val="22"/>
                <w:szCs w:val="22"/>
              </w:rPr>
              <w:t>k dátumu</w:t>
            </w:r>
            <w:r w:rsidRPr="00205F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D49C5">
              <w:rPr>
                <w:rFonts w:ascii="Times New Roman" w:hAnsi="Times New Roman"/>
                <w:sz w:val="22"/>
                <w:szCs w:val="22"/>
              </w:rPr>
              <w:t>selektívnej zmeny liečby</w:t>
            </w:r>
            <w:r w:rsidRPr="00E14C18">
              <w:rPr>
                <w:rFonts w:ascii="Times New Roman" w:hAnsi="Times New Roman"/>
                <w:sz w:val="22"/>
                <w:szCs w:val="22"/>
              </w:rPr>
              <w:t xml:space="preserve"> na letrozol</w:t>
            </w:r>
            <w:r w:rsidR="00205F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0D392C" w:rsidRPr="009E27CE" w:rsidRDefault="000D392C" w:rsidP="000D392C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bCs/>
          <w:sz w:val="22"/>
          <w:szCs w:val="22"/>
        </w:rPr>
      </w:pPr>
    </w:p>
    <w:p w:rsidR="000D392C" w:rsidRDefault="000D392C" w:rsidP="000D392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3325C3">
        <w:rPr>
          <w:i/>
          <w:sz w:val="22"/>
          <w:szCs w:val="22"/>
          <w:lang w:val="sk-SK"/>
        </w:rPr>
        <w:t>Analýza sekvenčnej liečby (</w:t>
      </w:r>
      <w:r w:rsidR="00AF04C9">
        <w:rPr>
          <w:i/>
          <w:sz w:val="22"/>
          <w:szCs w:val="22"/>
          <w:lang w:val="sk-SK"/>
        </w:rPr>
        <w:t xml:space="preserve">sequential treatment analysis, </w:t>
      </w:r>
      <w:r w:rsidRPr="003325C3">
        <w:rPr>
          <w:i/>
          <w:sz w:val="22"/>
          <w:szCs w:val="22"/>
          <w:lang w:val="sk-SK"/>
        </w:rPr>
        <w:t>STA)</w:t>
      </w:r>
    </w:p>
    <w:p w:rsidR="003325C3" w:rsidRPr="003325C3" w:rsidRDefault="003325C3" w:rsidP="000D392C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</w:p>
    <w:p w:rsidR="000D392C" w:rsidRPr="009E27CE" w:rsidRDefault="000D392C" w:rsidP="000D392C">
      <w:pPr>
        <w:pStyle w:val="Text"/>
        <w:keepNext/>
        <w:widowControl w:val="0"/>
        <w:spacing w:before="0"/>
        <w:jc w:val="left"/>
        <w:rPr>
          <w:sz w:val="22"/>
          <w:szCs w:val="22"/>
          <w:lang w:val="sk-SK"/>
        </w:rPr>
      </w:pPr>
      <w:r w:rsidRPr="00F67FF6">
        <w:rPr>
          <w:sz w:val="22"/>
          <w:szCs w:val="22"/>
          <w:lang w:val="sk-SK"/>
        </w:rPr>
        <w:t>Analýza sekvenčnej liečby (STA)</w:t>
      </w:r>
      <w:r w:rsidRPr="009E27CE">
        <w:rPr>
          <w:sz w:val="22"/>
          <w:szCs w:val="22"/>
          <w:lang w:val="sk-SK"/>
        </w:rPr>
        <w:t xml:space="preserve"> sa zaoberá druhou primárnou otázkou BIG 1-98, a</w:t>
      </w:r>
      <w:r w:rsidR="00CF7466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to</w:t>
      </w:r>
      <w:r w:rsidR="00CF7466">
        <w:rPr>
          <w:sz w:val="22"/>
          <w:szCs w:val="22"/>
          <w:lang w:val="sk-SK"/>
        </w:rPr>
        <w:t>,</w:t>
      </w:r>
      <w:r w:rsidRPr="009E27CE">
        <w:rPr>
          <w:sz w:val="22"/>
          <w:szCs w:val="22"/>
          <w:lang w:val="sk-SK"/>
        </w:rPr>
        <w:t xml:space="preserve"> či sekvenčné použitie tamoxifénu a letrozolu je lepšie ako monoterapia. Pri </w:t>
      </w:r>
      <w:r w:rsidRPr="000D49C5">
        <w:rPr>
          <w:sz w:val="22"/>
          <w:szCs w:val="22"/>
          <w:lang w:val="sk-SK"/>
        </w:rPr>
        <w:t>zmene liečby</w:t>
      </w:r>
      <w:r w:rsidRPr="009E27CE">
        <w:rPr>
          <w:sz w:val="22"/>
          <w:szCs w:val="22"/>
          <w:lang w:val="sk-SK"/>
        </w:rPr>
        <w:t xml:space="preserve"> neboli významné rozdiely v </w:t>
      </w:r>
      <w:r w:rsidRPr="005900A1">
        <w:rPr>
          <w:sz w:val="22"/>
          <w:szCs w:val="22"/>
          <w:lang w:val="sk-SK"/>
        </w:rPr>
        <w:t>DFS, OS, SDFS alebo DDFS</w:t>
      </w:r>
      <w:r w:rsidRPr="009E27CE">
        <w:rPr>
          <w:sz w:val="22"/>
          <w:szCs w:val="22"/>
          <w:lang w:val="sk-SK"/>
        </w:rPr>
        <w:t xml:space="preserve"> vzhľadom na monoterapiu (</w:t>
      </w:r>
      <w:r w:rsidR="005954F0">
        <w:rPr>
          <w:sz w:val="22"/>
          <w:szCs w:val="22"/>
          <w:lang w:val="sk-SK"/>
        </w:rPr>
        <w:t>t</w:t>
      </w:r>
      <w:r w:rsidRPr="009E27CE">
        <w:rPr>
          <w:sz w:val="22"/>
          <w:szCs w:val="22"/>
          <w:lang w:val="sk-SK"/>
        </w:rPr>
        <w:t>abuľka 6).</w:t>
      </w:r>
    </w:p>
    <w:p w:rsidR="000D392C" w:rsidRPr="009E27CE" w:rsidRDefault="000D392C" w:rsidP="000D392C">
      <w:pPr>
        <w:pStyle w:val="Text"/>
        <w:keepNext/>
        <w:widowControl w:val="0"/>
        <w:spacing w:before="0"/>
        <w:jc w:val="left"/>
        <w:rPr>
          <w:sz w:val="22"/>
          <w:szCs w:val="22"/>
          <w:lang w:val="sk-SK"/>
        </w:rPr>
      </w:pPr>
    </w:p>
    <w:p w:rsidR="000D392C" w:rsidRPr="009E27CE" w:rsidRDefault="000D392C" w:rsidP="000D392C">
      <w:pPr>
        <w:keepNext/>
        <w:widowControl w:val="0"/>
        <w:ind w:left="1134" w:hanging="1134"/>
        <w:rPr>
          <w:rFonts w:ascii="Times New Roman" w:hAnsi="Times New Roman"/>
          <w:b/>
          <w:sz w:val="22"/>
          <w:szCs w:val="22"/>
        </w:rPr>
      </w:pPr>
      <w:r w:rsidRPr="009E27CE">
        <w:rPr>
          <w:rFonts w:ascii="Times New Roman" w:hAnsi="Times New Roman"/>
          <w:b/>
          <w:sz w:val="22"/>
          <w:szCs w:val="22"/>
        </w:rPr>
        <w:t>Tabuľka 6</w:t>
      </w:r>
      <w:r w:rsidRPr="009E27CE">
        <w:rPr>
          <w:rFonts w:ascii="Times New Roman" w:hAnsi="Times New Roman"/>
          <w:b/>
          <w:sz w:val="22"/>
          <w:szCs w:val="22"/>
        </w:rPr>
        <w:tab/>
      </w:r>
      <w:r w:rsidR="005900A1">
        <w:rPr>
          <w:rFonts w:ascii="Times New Roman" w:hAnsi="Times New Roman"/>
          <w:b/>
          <w:sz w:val="22"/>
          <w:szCs w:val="22"/>
        </w:rPr>
        <w:t xml:space="preserve">Analýza sekvenčnej liečby: prežívanie bez ochorenia pre letrozol ako začiatočnú </w:t>
      </w:r>
      <w:r w:rsidR="000A7AB1">
        <w:rPr>
          <w:rFonts w:ascii="Times New Roman" w:hAnsi="Times New Roman"/>
          <w:b/>
          <w:sz w:val="22"/>
          <w:szCs w:val="22"/>
        </w:rPr>
        <w:t>endokrinnú</w:t>
      </w:r>
      <w:r w:rsidR="005900A1">
        <w:rPr>
          <w:rFonts w:ascii="Times New Roman" w:hAnsi="Times New Roman"/>
          <w:b/>
          <w:sz w:val="22"/>
          <w:szCs w:val="22"/>
        </w:rPr>
        <w:t xml:space="preserve"> látku</w:t>
      </w:r>
      <w:r w:rsidRPr="005900A1">
        <w:rPr>
          <w:rFonts w:ascii="Times New Roman" w:hAnsi="Times New Roman"/>
          <w:b/>
          <w:sz w:val="22"/>
          <w:szCs w:val="22"/>
        </w:rPr>
        <w:t xml:space="preserve"> (</w:t>
      </w:r>
      <w:r w:rsidR="00DB3D30">
        <w:rPr>
          <w:rFonts w:ascii="Times New Roman" w:hAnsi="Times New Roman"/>
          <w:b/>
          <w:sz w:val="22"/>
          <w:szCs w:val="22"/>
        </w:rPr>
        <w:t>STA-populácia so zmenou liečby</w:t>
      </w:r>
      <w:r w:rsidRPr="005900A1">
        <w:rPr>
          <w:rFonts w:ascii="Times New Roman" w:hAnsi="Times New Roman"/>
          <w:b/>
          <w:sz w:val="22"/>
          <w:szCs w:val="22"/>
        </w:rPr>
        <w:t>)</w:t>
      </w:r>
      <w:r w:rsidR="00DB3D30">
        <w:rPr>
          <w:rFonts w:ascii="Times New Roman" w:hAnsi="Times New Roman"/>
          <w:b/>
          <w:sz w:val="22"/>
          <w:szCs w:val="22"/>
        </w:rPr>
        <w:t>.</w:t>
      </w:r>
    </w:p>
    <w:p w:rsidR="000D392C" w:rsidRPr="009E27CE" w:rsidRDefault="000D392C" w:rsidP="000D392C">
      <w:pPr>
        <w:keepNext/>
        <w:widowControl w:val="0"/>
        <w:ind w:left="1134" w:hanging="1134"/>
        <w:rPr>
          <w:rFonts w:ascii="Times New Roman" w:hAnsi="Times New Roman"/>
          <w:sz w:val="22"/>
          <w:szCs w:val="22"/>
        </w:rPr>
      </w:pPr>
    </w:p>
    <w:tbl>
      <w:tblPr>
        <w:tblW w:w="10131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0"/>
        <w:gridCol w:w="1374"/>
        <w:gridCol w:w="1320"/>
        <w:gridCol w:w="1218"/>
        <w:gridCol w:w="2264"/>
        <w:gridCol w:w="1295"/>
      </w:tblGrid>
      <w:tr w:rsidR="000D392C" w:rsidRPr="009E27CE" w:rsidTr="007D63FA">
        <w:trPr>
          <w:trHeight w:val="49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92C" w:rsidRPr="009E27CE" w:rsidRDefault="00207E3B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Počet udalostí</w:t>
            </w:r>
            <w:r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vertAlign w:val="superscript"/>
                <w:lang w:eastAsia="ja-JP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92C" w:rsidRPr="009E27CE" w:rsidRDefault="00AF5C5A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HR</w:t>
            </w:r>
            <w:r w:rsidR="000D392C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92C" w:rsidRPr="009E27CE" w:rsidRDefault="000D392C" w:rsidP="00B079F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 xml:space="preserve">97,5 % </w:t>
            </w:r>
            <w:r w:rsidR="00B079F4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CI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Coxov model</w:t>
            </w:r>
          </w:p>
          <w:p w:rsidR="000D392C" w:rsidRPr="00FA2EEB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i/>
                <w:sz w:val="22"/>
                <w:szCs w:val="22"/>
                <w:lang w:eastAsia="ja-JP"/>
              </w:rPr>
            </w:pPr>
            <w:r w:rsidRPr="00FA2EEB">
              <w:rPr>
                <w:rFonts w:ascii="Times New Roman" w:eastAsia="MS Mincho" w:hAnsi="Times New Roman"/>
                <w:b/>
                <w:bCs/>
                <w:i/>
                <w:sz w:val="22"/>
                <w:szCs w:val="22"/>
                <w:lang w:eastAsia="ja-JP"/>
              </w:rPr>
              <w:t>p</w:t>
            </w:r>
          </w:p>
        </w:tc>
      </w:tr>
      <w:tr w:rsidR="000D392C" w:rsidRPr="009E27CE" w:rsidTr="007D63F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0D392C" w:rsidRPr="009E27CE" w:rsidRDefault="00EB1E28" w:rsidP="00EB1E28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l</w:t>
            </w:r>
            <w:r w:rsidR="000D392C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etrozol</w:t>
            </w:r>
            <w:r w:rsidR="008542C0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 </w:t>
            </w:r>
            <w:r w:rsidR="000D392C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→</w:t>
            </w:r>
            <w:r w:rsidR="008542C0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 </w:t>
            </w: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t</w:t>
            </w:r>
            <w:r w:rsidR="000D392C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amoxifén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1</w:t>
            </w:r>
            <w:r w:rsidR="00FD5D84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460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D392C" w:rsidRPr="009E27CE" w:rsidRDefault="001A3CF0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254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0D392C" w:rsidRPr="009E27CE" w:rsidRDefault="001A3CF0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1,03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0D392C" w:rsidRPr="009E27CE" w:rsidRDefault="000D392C" w:rsidP="00FE017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(0,</w:t>
            </w:r>
            <w:r w:rsidR="001A3CF0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84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; 1,</w:t>
            </w:r>
            <w:r w:rsidR="001A3CF0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26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0D392C" w:rsidRPr="009E27CE" w:rsidRDefault="000D392C" w:rsidP="00FE017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0,</w:t>
            </w:r>
            <w:r w:rsidR="001A3CF0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7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</w:t>
            </w:r>
          </w:p>
        </w:tc>
      </w:tr>
      <w:tr w:rsidR="000D392C" w:rsidRPr="009E27CE" w:rsidTr="007D63FA">
        <w:trPr>
          <w:trHeight w:val="240"/>
        </w:trPr>
        <w:tc>
          <w:tcPr>
            <w:tcW w:w="2660" w:type="dxa"/>
            <w:tcBorders>
              <w:bottom w:val="single" w:sz="4" w:space="0" w:color="auto"/>
            </w:tcBorders>
          </w:tcPr>
          <w:p w:rsidR="000D392C" w:rsidRPr="009E27CE" w:rsidRDefault="00EB1E28" w:rsidP="007D63FA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l</w:t>
            </w:r>
            <w:r w:rsidR="000D392C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etrozol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392C" w:rsidRPr="009E27CE" w:rsidRDefault="000D392C" w:rsidP="00FE017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1</w:t>
            </w:r>
            <w:r w:rsidR="00FD5D84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 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46</w:t>
            </w:r>
            <w:r w:rsidR="001A3CF0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D392C" w:rsidRPr="009E27CE" w:rsidRDefault="001A3CF0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249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D392C" w:rsidRPr="009E27CE" w:rsidRDefault="000D392C" w:rsidP="007D63F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</w:tr>
      <w:tr w:rsidR="000D392C" w:rsidRPr="009E27CE" w:rsidTr="007D63FA">
        <w:trPr>
          <w:trHeight w:val="278"/>
        </w:trPr>
        <w:tc>
          <w:tcPr>
            <w:tcW w:w="10131" w:type="dxa"/>
            <w:gridSpan w:val="6"/>
            <w:tcBorders>
              <w:top w:val="single" w:sz="4" w:space="0" w:color="auto"/>
              <w:bottom w:val="nil"/>
            </w:tcBorders>
          </w:tcPr>
          <w:p w:rsidR="000D392C" w:rsidRPr="009E27CE" w:rsidRDefault="000D392C" w:rsidP="008C458C">
            <w:pPr>
              <w:keepNext/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1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ab/>
            </w:r>
            <w:r w:rsidR="00BB535F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Definícia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podľa protokolu, </w:t>
            </w:r>
            <w:r w:rsidR="008C719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zahŕňa</w:t>
            </w:r>
            <w:r w:rsidRPr="008C719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8C719C">
              <w:rPr>
                <w:rFonts w:ascii="Times New Roman" w:hAnsi="Times New Roman"/>
                <w:sz w:val="22"/>
                <w:szCs w:val="22"/>
              </w:rPr>
              <w:t xml:space="preserve">druhé primárne malignity </w:t>
            </w:r>
            <w:r w:rsidR="008C458C">
              <w:rPr>
                <w:rFonts w:ascii="Times New Roman" w:hAnsi="Times New Roman"/>
                <w:sz w:val="22"/>
                <w:szCs w:val="22"/>
              </w:rPr>
              <w:t>(nie prsníka)</w:t>
            </w:r>
            <w:r w:rsidRPr="008C719C">
              <w:rPr>
                <w:rFonts w:ascii="Times New Roman" w:hAnsi="Times New Roman"/>
                <w:sz w:val="22"/>
                <w:szCs w:val="22"/>
              </w:rPr>
              <w:t>, po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 zmene </w:t>
            </w:r>
            <w:r w:rsidRPr="000410FB">
              <w:rPr>
                <w:rFonts w:ascii="Times New Roman" w:hAnsi="Times New Roman"/>
                <w:sz w:val="22"/>
                <w:szCs w:val="22"/>
              </w:rPr>
              <w:t>liečby/po viac ako dvoch rokoch</w:t>
            </w:r>
            <w:r w:rsidR="00813AB5" w:rsidRPr="000410F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D392C" w:rsidRPr="009E27CE" w:rsidTr="007D63FA">
        <w:trPr>
          <w:trHeight w:val="250"/>
        </w:trPr>
        <w:tc>
          <w:tcPr>
            <w:tcW w:w="10131" w:type="dxa"/>
            <w:gridSpan w:val="6"/>
            <w:tcBorders>
              <w:top w:val="nil"/>
              <w:bottom w:val="nil"/>
            </w:tcBorders>
          </w:tcPr>
          <w:p w:rsidR="000D392C" w:rsidRPr="009E27CE" w:rsidRDefault="000D392C" w:rsidP="007D63FA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E27CE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2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ab/>
              <w:t xml:space="preserve">Upravené </w:t>
            </w:r>
            <w:r w:rsidRPr="00E577D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podľa použitia</w:t>
            </w:r>
            <w:r w:rsidRPr="009E27C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chemoterapie</w:t>
            </w:r>
            <w:r w:rsidR="00813AB5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.</w:t>
            </w:r>
          </w:p>
        </w:tc>
      </w:tr>
    </w:tbl>
    <w:p w:rsidR="000D392C" w:rsidRPr="009E27CE" w:rsidRDefault="000D392C" w:rsidP="000D392C">
      <w:pPr>
        <w:pStyle w:val="Text"/>
        <w:widowControl w:val="0"/>
        <w:spacing w:before="0"/>
        <w:rPr>
          <w:sz w:val="22"/>
          <w:szCs w:val="22"/>
          <w:lang w:val="sk-SK"/>
        </w:rPr>
      </w:pPr>
    </w:p>
    <w:p w:rsidR="007D63FA" w:rsidRPr="009E27CE" w:rsidRDefault="003F0E8F" w:rsidP="007D63FA">
      <w:pPr>
        <w:keepNext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 žiadnom z párových porovnaní analýz sekvenčnej liečby od randomizácie sa nezaznamenali </w:t>
      </w:r>
      <w:r w:rsidR="00C9478C">
        <w:rPr>
          <w:rFonts w:ascii="Times New Roman" w:hAnsi="Times New Roman"/>
          <w:sz w:val="22"/>
          <w:szCs w:val="22"/>
        </w:rPr>
        <w:t>v</w:t>
      </w:r>
      <w:r w:rsidR="007D63FA" w:rsidRPr="00C63299">
        <w:rPr>
          <w:rFonts w:ascii="Times New Roman" w:hAnsi="Times New Roman"/>
          <w:sz w:val="22"/>
          <w:szCs w:val="22"/>
        </w:rPr>
        <w:t xml:space="preserve">ýznamné rozdiely v DFS, OS, SDFS alebo DDFS </w:t>
      </w:r>
      <w:r w:rsidR="007D63FA" w:rsidRPr="009E27CE">
        <w:rPr>
          <w:rFonts w:ascii="Times New Roman" w:hAnsi="Times New Roman"/>
          <w:sz w:val="22"/>
          <w:szCs w:val="22"/>
        </w:rPr>
        <w:t>(</w:t>
      </w:r>
      <w:r w:rsidR="00D9508A">
        <w:rPr>
          <w:rFonts w:ascii="Times New Roman" w:hAnsi="Times New Roman"/>
          <w:sz w:val="22"/>
          <w:szCs w:val="22"/>
        </w:rPr>
        <w:t>t</w:t>
      </w:r>
      <w:r w:rsidR="007D63FA" w:rsidRPr="009E27CE">
        <w:rPr>
          <w:rFonts w:ascii="Times New Roman" w:hAnsi="Times New Roman"/>
          <w:sz w:val="22"/>
          <w:szCs w:val="22"/>
        </w:rPr>
        <w:t>abuľka 7).</w:t>
      </w:r>
    </w:p>
    <w:p w:rsidR="007D63FA" w:rsidRPr="009E27CE" w:rsidRDefault="007D63FA" w:rsidP="007D63FA">
      <w:pPr>
        <w:keepNext/>
        <w:widowControl w:val="0"/>
        <w:rPr>
          <w:rFonts w:ascii="Times New Roman" w:hAnsi="Times New Roman"/>
          <w:sz w:val="22"/>
          <w:szCs w:val="22"/>
        </w:rPr>
      </w:pPr>
    </w:p>
    <w:p w:rsidR="007D63FA" w:rsidRPr="009E27CE" w:rsidRDefault="007D63FA" w:rsidP="007D63FA">
      <w:pPr>
        <w:keepNext/>
        <w:widowControl w:val="0"/>
        <w:ind w:left="1134" w:hanging="1134"/>
        <w:rPr>
          <w:rFonts w:ascii="Times New Roman" w:hAnsi="Times New Roman"/>
          <w:b/>
          <w:sz w:val="22"/>
          <w:szCs w:val="22"/>
        </w:rPr>
      </w:pPr>
      <w:r w:rsidRPr="009E27CE">
        <w:rPr>
          <w:rFonts w:ascii="Times New Roman" w:hAnsi="Times New Roman"/>
          <w:b/>
          <w:sz w:val="22"/>
          <w:szCs w:val="22"/>
        </w:rPr>
        <w:t>Tabuľka 7</w:t>
      </w:r>
      <w:r w:rsidRPr="009E27CE">
        <w:rPr>
          <w:rFonts w:ascii="Times New Roman" w:hAnsi="Times New Roman"/>
          <w:b/>
          <w:sz w:val="22"/>
          <w:szCs w:val="22"/>
        </w:rPr>
        <w:tab/>
      </w:r>
      <w:r w:rsidR="006A775B">
        <w:rPr>
          <w:rFonts w:ascii="Times New Roman" w:hAnsi="Times New Roman"/>
          <w:b/>
          <w:sz w:val="22"/>
          <w:szCs w:val="22"/>
        </w:rPr>
        <w:t xml:space="preserve">Analýzy sekvenčnej liečby od randomizácie (sequential treatments analyses from </w:t>
      </w:r>
      <w:r w:rsidR="006A775B">
        <w:rPr>
          <w:rFonts w:ascii="Times New Roman" w:hAnsi="Times New Roman"/>
          <w:b/>
          <w:sz w:val="22"/>
          <w:szCs w:val="22"/>
        </w:rPr>
        <w:lastRenderedPageBreak/>
        <w:t>randomisation, STA-R</w:t>
      </w:r>
      <w:r w:rsidR="00BB4AB5">
        <w:rPr>
          <w:rFonts w:ascii="Times New Roman" w:hAnsi="Times New Roman"/>
          <w:b/>
          <w:sz w:val="22"/>
          <w:szCs w:val="22"/>
        </w:rPr>
        <w:t>)</w:t>
      </w:r>
      <w:r w:rsidR="006A775B">
        <w:rPr>
          <w:rFonts w:ascii="Times New Roman" w:hAnsi="Times New Roman"/>
          <w:b/>
          <w:sz w:val="22"/>
          <w:szCs w:val="22"/>
        </w:rPr>
        <w:t>: prežívanie bez ochorenia (ITT STA-R-populácia).</w:t>
      </w:r>
    </w:p>
    <w:p w:rsidR="007D63FA" w:rsidRPr="009E27CE" w:rsidRDefault="007D63FA" w:rsidP="007D63FA">
      <w:pPr>
        <w:keepNext/>
        <w:widowControl w:val="0"/>
        <w:ind w:left="1440" w:hanging="144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1869"/>
        <w:gridCol w:w="1878"/>
      </w:tblGrid>
      <w:tr w:rsidR="007D63FA" w:rsidRPr="009E27CE" w:rsidTr="007D63FA">
        <w:tc>
          <w:tcPr>
            <w:tcW w:w="59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7D63FA" w:rsidRPr="009E27CE" w:rsidRDefault="009776E4" w:rsidP="009776E4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 xml:space="preserve">etrozol </w:t>
            </w:r>
            <w:r w:rsidR="007D63FA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→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>amoxifén</w:t>
            </w:r>
          </w:p>
        </w:tc>
        <w:tc>
          <w:tcPr>
            <w:tcW w:w="197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63FA" w:rsidRPr="009E27CE" w:rsidRDefault="009776E4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>etrozol</w:t>
            </w:r>
          </w:p>
        </w:tc>
      </w:tr>
      <w:tr w:rsidR="007D63FA" w:rsidRPr="009E27CE" w:rsidTr="007D63FA">
        <w:tc>
          <w:tcPr>
            <w:tcW w:w="5912" w:type="dxa"/>
            <w:tcBorders>
              <w:left w:val="nil"/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Počet pacientok</w:t>
            </w: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1</w:t>
            </w:r>
            <w:r w:rsidR="0081335D">
              <w:rPr>
                <w:rFonts w:ascii="Times New Roman" w:hAnsi="Times New Roman"/>
                <w:sz w:val="22"/>
                <w:szCs w:val="22"/>
              </w:rPr>
              <w:t> 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540</w:t>
            </w:r>
          </w:p>
        </w:tc>
        <w:tc>
          <w:tcPr>
            <w:tcW w:w="1971" w:type="dxa"/>
            <w:tcBorders>
              <w:bottom w:val="nil"/>
              <w:right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1</w:t>
            </w:r>
            <w:r w:rsidR="0081335D">
              <w:rPr>
                <w:rFonts w:ascii="Times New Roman" w:hAnsi="Times New Roman"/>
                <w:sz w:val="22"/>
                <w:szCs w:val="22"/>
              </w:rPr>
              <w:t> 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546</w:t>
            </w:r>
          </w:p>
        </w:tc>
      </w:tr>
      <w:tr w:rsidR="007D63FA" w:rsidRPr="009E27CE" w:rsidTr="007D63FA">
        <w:tc>
          <w:tcPr>
            <w:tcW w:w="5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 xml:space="preserve">Počet pacientok </w:t>
            </w:r>
            <w:r w:rsidRPr="007A7865">
              <w:rPr>
                <w:rFonts w:ascii="Times New Roman" w:hAnsi="Times New Roman"/>
                <w:sz w:val="22"/>
                <w:szCs w:val="22"/>
              </w:rPr>
              <w:t>s udalosťami súvisiacimi s DFS (definícia podľa protokolu)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330</w:t>
            </w:r>
          </w:p>
        </w:tc>
        <w:tc>
          <w:tcPr>
            <w:tcW w:w="1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319</w:t>
            </w:r>
          </w:p>
        </w:tc>
      </w:tr>
      <w:tr w:rsidR="007D63FA" w:rsidRPr="009E27CE" w:rsidTr="007D63FA">
        <w:tc>
          <w:tcPr>
            <w:tcW w:w="5912" w:type="dxa"/>
            <w:tcBorders>
              <w:top w:val="nil"/>
              <w:left w:val="nil"/>
            </w:tcBorders>
            <w:shd w:val="clear" w:color="auto" w:fill="auto"/>
          </w:tcPr>
          <w:p w:rsidR="007D63FA" w:rsidRPr="009E27CE" w:rsidRDefault="00CC1D58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</w:t>
            </w:r>
            <w:r w:rsidR="007D63FA"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="007D63FA" w:rsidRPr="009E27CE">
              <w:rPr>
                <w:rFonts w:ascii="Times New Roman" w:hAnsi="Times New Roman"/>
                <w:sz w:val="22"/>
                <w:szCs w:val="22"/>
              </w:rPr>
              <w:t xml:space="preserve"> (99 % CI)</w:t>
            </w:r>
          </w:p>
        </w:tc>
        <w:tc>
          <w:tcPr>
            <w:tcW w:w="3942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D63FA" w:rsidRPr="009E27CE" w:rsidRDefault="007D63FA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1,04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 (0,</w:t>
            </w:r>
            <w:r>
              <w:rPr>
                <w:rFonts w:ascii="Times New Roman" w:hAnsi="Times New Roman"/>
                <w:sz w:val="22"/>
                <w:szCs w:val="22"/>
              </w:rPr>
              <w:t>85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; 1,2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7D63FA" w:rsidRPr="009E27CE" w:rsidTr="007D63FA">
        <w:tc>
          <w:tcPr>
            <w:tcW w:w="59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7D63FA" w:rsidRPr="009E27CE" w:rsidRDefault="001828F9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 xml:space="preserve">etrozol </w:t>
            </w:r>
            <w:r w:rsidR="007D63FA" w:rsidRPr="009E27CE"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  <w:t>→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>amoxifén</w:t>
            </w:r>
          </w:p>
        </w:tc>
        <w:tc>
          <w:tcPr>
            <w:tcW w:w="197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63FA" w:rsidRPr="009E27CE" w:rsidRDefault="001828F9" w:rsidP="007D63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</w:rPr>
              <w:t>amoxifén</w:t>
            </w:r>
            <w:r w:rsidR="007D63FA" w:rsidRPr="009E27CE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7D63FA" w:rsidRPr="009E27CE" w:rsidTr="007D63FA">
        <w:tc>
          <w:tcPr>
            <w:tcW w:w="5912" w:type="dxa"/>
            <w:tcBorders>
              <w:left w:val="nil"/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Počet pacientok</w:t>
            </w: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1540</w:t>
            </w:r>
          </w:p>
        </w:tc>
        <w:tc>
          <w:tcPr>
            <w:tcW w:w="1971" w:type="dxa"/>
            <w:tcBorders>
              <w:bottom w:val="nil"/>
              <w:right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1548</w:t>
            </w:r>
          </w:p>
        </w:tc>
      </w:tr>
      <w:tr w:rsidR="007D63FA" w:rsidRPr="009E27CE" w:rsidTr="007D63FA">
        <w:tc>
          <w:tcPr>
            <w:tcW w:w="5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 xml:space="preserve">Počet </w:t>
            </w:r>
            <w:r w:rsidRPr="00276AA9">
              <w:rPr>
                <w:rFonts w:ascii="Times New Roman" w:hAnsi="Times New Roman"/>
                <w:sz w:val="22"/>
                <w:szCs w:val="22"/>
              </w:rPr>
              <w:t>pacientok s udalosťami súvisiacimi s DFS (definícia podľa protokolu)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330</w:t>
            </w:r>
          </w:p>
        </w:tc>
        <w:tc>
          <w:tcPr>
            <w:tcW w:w="1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</w:t>
            </w:r>
          </w:p>
        </w:tc>
      </w:tr>
      <w:tr w:rsidR="007D63FA" w:rsidRPr="009E27CE" w:rsidTr="007D63FA">
        <w:tc>
          <w:tcPr>
            <w:tcW w:w="5912" w:type="dxa"/>
            <w:tcBorders>
              <w:top w:val="nil"/>
              <w:left w:val="nil"/>
            </w:tcBorders>
            <w:shd w:val="clear" w:color="auto" w:fill="auto"/>
          </w:tcPr>
          <w:p w:rsidR="007D63FA" w:rsidRPr="009E27CE" w:rsidRDefault="00BB454A" w:rsidP="007D63FA">
            <w:pPr>
              <w:keepNext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</w:t>
            </w:r>
            <w:r w:rsidR="007D63FA"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="007D63FA" w:rsidRPr="009E27CE">
              <w:rPr>
                <w:rFonts w:ascii="Times New Roman" w:hAnsi="Times New Roman"/>
                <w:sz w:val="22"/>
                <w:szCs w:val="22"/>
              </w:rPr>
              <w:t xml:space="preserve"> (99 % CI)</w:t>
            </w:r>
          </w:p>
        </w:tc>
        <w:tc>
          <w:tcPr>
            <w:tcW w:w="3942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D63FA" w:rsidRPr="009E27CE" w:rsidRDefault="007D63FA" w:rsidP="00FE017F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/>
                <w:sz w:val="22"/>
                <w:szCs w:val="22"/>
              </w:rPr>
              <w:t>92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 (0,</w:t>
            </w:r>
            <w:r>
              <w:rPr>
                <w:rFonts w:ascii="Times New Roman" w:hAnsi="Times New Roman"/>
                <w:sz w:val="22"/>
                <w:szCs w:val="22"/>
              </w:rPr>
              <w:t>75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; 1,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7D63FA" w:rsidRPr="009E27CE" w:rsidTr="007D63FA">
        <w:tc>
          <w:tcPr>
            <w:tcW w:w="985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63FA" w:rsidRPr="009E27CE" w:rsidRDefault="007D63FA" w:rsidP="007D63FA">
            <w:pPr>
              <w:keepNext/>
              <w:widowControl w:val="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ab/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Upravené </w:t>
            </w:r>
            <w:r w:rsidRPr="0054678D">
              <w:rPr>
                <w:rFonts w:ascii="Times New Roman" w:hAnsi="Times New Roman"/>
                <w:sz w:val="22"/>
                <w:szCs w:val="22"/>
              </w:rPr>
              <w:t>podľa použitia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 chemoterapie (áno/nie)</w:t>
            </w:r>
            <w:r w:rsidR="002A05E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D63FA" w:rsidRPr="009E27CE" w:rsidRDefault="007D63FA" w:rsidP="00140472">
            <w:pPr>
              <w:widowControl w:val="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E27CE">
              <w:rPr>
                <w:rFonts w:ascii="Times New Roman" w:hAnsi="Times New Roman"/>
                <w:sz w:val="22"/>
                <w:szCs w:val="22"/>
                <w:vertAlign w:val="superscript"/>
              </w:rPr>
              <w:tab/>
            </w:r>
            <w:r w:rsidRPr="009E27CE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DD78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(40 %) pacientok </w:t>
            </w:r>
            <w:r w:rsidR="00140472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140472" w:rsidRPr="009E27CE">
              <w:rPr>
                <w:rFonts w:ascii="Times New Roman" w:hAnsi="Times New Roman"/>
                <w:sz w:val="22"/>
                <w:szCs w:val="22"/>
              </w:rPr>
              <w:t>r. 2005</w:t>
            </w:r>
            <w:r w:rsidR="001404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6F8B">
              <w:rPr>
                <w:rFonts w:ascii="Times New Roman" w:hAnsi="Times New Roman"/>
                <w:sz w:val="22"/>
                <w:szCs w:val="22"/>
              </w:rPr>
              <w:t xml:space="preserve">selektívne 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prešlo</w:t>
            </w:r>
            <w:r w:rsidRPr="00B96F8B">
              <w:rPr>
                <w:rFonts w:ascii="Times New Roman" w:hAnsi="Times New Roman"/>
                <w:sz w:val="22"/>
                <w:szCs w:val="22"/>
              </w:rPr>
              <w:t xml:space="preserve"> na letrozol po odslepení</w:t>
            </w:r>
            <w:r w:rsidRPr="009E27CE">
              <w:rPr>
                <w:rFonts w:ascii="Times New Roman" w:hAnsi="Times New Roman"/>
                <w:sz w:val="22"/>
                <w:szCs w:val="22"/>
              </w:rPr>
              <w:t xml:space="preserve"> skupiny </w:t>
            </w:r>
            <w:r w:rsidR="00074EFF">
              <w:rPr>
                <w:rFonts w:ascii="Times New Roman" w:hAnsi="Times New Roman"/>
                <w:sz w:val="22"/>
                <w:szCs w:val="22"/>
              </w:rPr>
              <w:t>s tamoxifénom</w:t>
            </w:r>
            <w:r w:rsidR="001404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7D63FA" w:rsidRDefault="007D63FA" w:rsidP="007D63F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7D63FA" w:rsidRDefault="00B96F8B" w:rsidP="007D63FA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Štúdia</w:t>
      </w:r>
      <w:r w:rsidR="007D63FA" w:rsidRPr="00B96F8B">
        <w:rPr>
          <w:i/>
          <w:sz w:val="22"/>
          <w:szCs w:val="22"/>
          <w:u w:val="single"/>
          <w:lang w:val="sk-SK"/>
        </w:rPr>
        <w:t xml:space="preserve"> D2407</w:t>
      </w:r>
    </w:p>
    <w:p w:rsidR="00184391" w:rsidRPr="009E27CE" w:rsidRDefault="00184391" w:rsidP="007D63FA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</w:p>
    <w:p w:rsidR="007D63FA" w:rsidRPr="009E27CE" w:rsidRDefault="004C691F" w:rsidP="007D63FA">
      <w:pPr>
        <w:widowControl w:val="0"/>
        <w:autoSpaceDE w:val="0"/>
        <w:autoSpaceDN w:val="0"/>
        <w:adjustRightInd w:val="0"/>
        <w:ind w:right="6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Štúdia</w:t>
      </w:r>
      <w:r w:rsidR="007D63FA" w:rsidRPr="009E27CE">
        <w:rPr>
          <w:rFonts w:ascii="Times New Roman" w:hAnsi="Times New Roman"/>
          <w:sz w:val="22"/>
          <w:szCs w:val="22"/>
        </w:rPr>
        <w:t xml:space="preserve"> D2407 je </w:t>
      </w:r>
      <w:r w:rsidR="0030010D">
        <w:rPr>
          <w:rFonts w:ascii="Times New Roman" w:hAnsi="Times New Roman"/>
          <w:sz w:val="22"/>
          <w:szCs w:val="22"/>
        </w:rPr>
        <w:t xml:space="preserve">otvorená, randomizovaná, multicentrická štúdia bezpečnosti po registrácii lieku, navrhnutá </w:t>
      </w:r>
      <w:r w:rsidR="007D63FA" w:rsidRPr="009E27CE">
        <w:rPr>
          <w:rFonts w:ascii="Times New Roman" w:hAnsi="Times New Roman"/>
          <w:sz w:val="22"/>
          <w:szCs w:val="22"/>
        </w:rPr>
        <w:t xml:space="preserve">na porovnanie účinkov adjuvantnej liečby letrozolom a tamoxifénom na </w:t>
      </w:r>
      <w:r w:rsidR="007D63FA" w:rsidRPr="00F95636">
        <w:rPr>
          <w:rFonts w:ascii="Times New Roman" w:hAnsi="Times New Roman"/>
          <w:sz w:val="22"/>
          <w:szCs w:val="22"/>
        </w:rPr>
        <w:t>minerálnu denzitu kostí (</w:t>
      </w:r>
      <w:r w:rsidR="00F95636">
        <w:rPr>
          <w:rFonts w:ascii="Times New Roman" w:hAnsi="Times New Roman"/>
          <w:sz w:val="22"/>
          <w:szCs w:val="22"/>
        </w:rPr>
        <w:t xml:space="preserve">bone mineral density, </w:t>
      </w:r>
      <w:r w:rsidR="007D63FA" w:rsidRPr="00F95636">
        <w:rPr>
          <w:rFonts w:ascii="Times New Roman" w:hAnsi="Times New Roman"/>
          <w:sz w:val="22"/>
          <w:szCs w:val="22"/>
        </w:rPr>
        <w:t>BMD)</w:t>
      </w:r>
      <w:r w:rsidR="007D63FA" w:rsidRPr="009E27CE">
        <w:rPr>
          <w:rFonts w:ascii="Times New Roman" w:hAnsi="Times New Roman"/>
          <w:sz w:val="22"/>
          <w:szCs w:val="22"/>
        </w:rPr>
        <w:t xml:space="preserve"> a profily sérových lipidov. Celkovo 262 pacientok </w:t>
      </w:r>
      <w:r w:rsidR="00213062">
        <w:rPr>
          <w:rFonts w:ascii="Times New Roman" w:hAnsi="Times New Roman"/>
          <w:sz w:val="22"/>
          <w:szCs w:val="22"/>
        </w:rPr>
        <w:t xml:space="preserve">bolo priradených </w:t>
      </w:r>
      <w:r w:rsidR="001A325D">
        <w:rPr>
          <w:rFonts w:ascii="Times New Roman" w:hAnsi="Times New Roman"/>
          <w:sz w:val="22"/>
          <w:szCs w:val="22"/>
        </w:rPr>
        <w:t xml:space="preserve">buď </w:t>
      </w:r>
      <w:r w:rsidR="00213062">
        <w:rPr>
          <w:rFonts w:ascii="Times New Roman" w:hAnsi="Times New Roman"/>
          <w:sz w:val="22"/>
          <w:szCs w:val="22"/>
        </w:rPr>
        <w:t>na liečbu letrozolom počas 5 rokov alebo na liečbu tamoxifénom počas 2 rokov, po ktorom nasledoval letrozol počas 3 rokov</w:t>
      </w:r>
      <w:r w:rsidR="007D63FA" w:rsidRPr="009E27CE">
        <w:rPr>
          <w:rFonts w:ascii="Times New Roman" w:hAnsi="Times New Roman"/>
          <w:sz w:val="22"/>
          <w:szCs w:val="22"/>
        </w:rPr>
        <w:t>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64"/>
        <w:rPr>
          <w:rFonts w:ascii="Times New Roman" w:hAnsi="Times New Roman"/>
          <w:sz w:val="22"/>
          <w:szCs w:val="22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64"/>
        <w:rPr>
          <w:rFonts w:ascii="Times New Roman" w:hAnsi="Times New Roman"/>
          <w:sz w:val="22"/>
          <w:szCs w:val="22"/>
        </w:rPr>
      </w:pPr>
      <w:r w:rsidRPr="000B5E13">
        <w:rPr>
          <w:rFonts w:ascii="Times New Roman" w:hAnsi="Times New Roman"/>
          <w:sz w:val="22"/>
          <w:szCs w:val="22"/>
        </w:rPr>
        <w:t>Po 2</w:t>
      </w:r>
      <w:r w:rsidRPr="009E27CE">
        <w:rPr>
          <w:rFonts w:ascii="Times New Roman" w:hAnsi="Times New Roman"/>
          <w:sz w:val="22"/>
          <w:szCs w:val="22"/>
        </w:rPr>
        <w:t>4 </w:t>
      </w:r>
      <w:r w:rsidRPr="000B5E13">
        <w:rPr>
          <w:rFonts w:ascii="Times New Roman" w:hAnsi="Times New Roman"/>
          <w:sz w:val="22"/>
          <w:szCs w:val="22"/>
        </w:rPr>
        <w:t>mesiacoch bol štatisticky významný rozdiel v primárnom ukazovateli; BMD lumbálnej chrbtice (L2</w:t>
      </w:r>
      <w:r w:rsidR="00EE54AD" w:rsidRPr="000B5E13">
        <w:rPr>
          <w:rFonts w:ascii="Times New Roman" w:hAnsi="Times New Roman"/>
          <w:sz w:val="22"/>
          <w:szCs w:val="22"/>
        </w:rPr>
        <w:t> − </w:t>
      </w:r>
      <w:r w:rsidRPr="000B5E13">
        <w:rPr>
          <w:rFonts w:ascii="Times New Roman" w:hAnsi="Times New Roman"/>
          <w:sz w:val="22"/>
          <w:szCs w:val="22"/>
        </w:rPr>
        <w:t>L4) vykazovala medián poklesu 4,1 % pri letrozole v porovnaní s mediánom zvýšenia 0,3 % pri tamoxiféne.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71"/>
        <w:rPr>
          <w:rFonts w:ascii="Times New Roman" w:hAnsi="Times New Roman"/>
          <w:sz w:val="22"/>
          <w:szCs w:val="22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71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U žiadnej pacientky s normálnou východiskovou BMD nevznikla počas 2 rokov liečby </w:t>
      </w:r>
      <w:r w:rsidR="00ED4E9F" w:rsidRPr="009E27CE">
        <w:rPr>
          <w:rFonts w:ascii="Times New Roman" w:hAnsi="Times New Roman"/>
          <w:sz w:val="22"/>
          <w:szCs w:val="22"/>
        </w:rPr>
        <w:t>osteoporóza</w:t>
      </w:r>
      <w:r w:rsidR="00F813D6">
        <w:rPr>
          <w:rFonts w:ascii="Times New Roman" w:hAnsi="Times New Roman"/>
          <w:sz w:val="22"/>
          <w:szCs w:val="22"/>
        </w:rPr>
        <w:t>. L</w:t>
      </w:r>
      <w:r w:rsidRPr="009E27CE">
        <w:rPr>
          <w:rFonts w:ascii="Times New Roman" w:hAnsi="Times New Roman"/>
          <w:sz w:val="22"/>
          <w:szCs w:val="22"/>
        </w:rPr>
        <w:t>en u 1 pacientky s východiskovou osteopéniou (</w:t>
      </w:r>
      <w:r w:rsidR="00ED4E9F">
        <w:rPr>
          <w:rFonts w:ascii="Times New Roman" w:hAnsi="Times New Roman"/>
          <w:sz w:val="22"/>
          <w:szCs w:val="22"/>
        </w:rPr>
        <w:t xml:space="preserve">T-skóre: </w:t>
      </w:r>
      <w:r w:rsidRPr="009E27CE">
        <w:rPr>
          <w:rFonts w:ascii="Times New Roman" w:hAnsi="Times New Roman"/>
          <w:sz w:val="22"/>
          <w:szCs w:val="22"/>
        </w:rPr>
        <w:noBreakHyphen/>
        <w:t xml:space="preserve">1,9) sa osteoporóza vyvinula </w:t>
      </w:r>
      <w:r w:rsidR="00D71032">
        <w:rPr>
          <w:rFonts w:ascii="Times New Roman" w:hAnsi="Times New Roman"/>
          <w:sz w:val="22"/>
          <w:szCs w:val="22"/>
        </w:rPr>
        <w:t>počas</w:t>
      </w:r>
      <w:r w:rsidRPr="009E27CE">
        <w:rPr>
          <w:rFonts w:ascii="Times New Roman" w:hAnsi="Times New Roman"/>
          <w:sz w:val="22"/>
          <w:szCs w:val="22"/>
        </w:rPr>
        <w:t xml:space="preserve"> liečby (</w:t>
      </w:r>
      <w:r w:rsidRPr="000B5E13">
        <w:rPr>
          <w:rFonts w:ascii="Times New Roman" w:hAnsi="Times New Roman"/>
          <w:sz w:val="22"/>
          <w:szCs w:val="22"/>
        </w:rPr>
        <w:t>stanovená pri centrálnom vyhodnotení</w:t>
      </w:r>
      <w:r w:rsidRPr="009E27CE">
        <w:rPr>
          <w:rFonts w:ascii="Times New Roman" w:hAnsi="Times New Roman"/>
          <w:sz w:val="22"/>
          <w:szCs w:val="22"/>
        </w:rPr>
        <w:t>).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71"/>
        <w:rPr>
          <w:rFonts w:ascii="Times New Roman" w:hAnsi="Times New Roman"/>
          <w:sz w:val="22"/>
          <w:szCs w:val="22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71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Výsledky BMD pre celý bedrový kĺb boli podobné ako pri lumbálnej chrbtici, ale menej výrazné.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71"/>
        <w:rPr>
          <w:rFonts w:ascii="Times New Roman" w:hAnsi="Times New Roman"/>
          <w:sz w:val="22"/>
          <w:szCs w:val="22"/>
        </w:rPr>
      </w:pPr>
    </w:p>
    <w:p w:rsidR="007D63FA" w:rsidRPr="009E27CE" w:rsidRDefault="00953FBF" w:rsidP="007D63FA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Čo sa týka výskytu zlomenín, medzi liečbami nebol významný rozdiel</w:t>
      </w:r>
      <w:r w:rsidR="007D63FA" w:rsidRPr="009E27CE">
        <w:rPr>
          <w:rFonts w:ascii="Times New Roman" w:hAnsi="Times New Roman"/>
          <w:sz w:val="22"/>
          <w:szCs w:val="22"/>
        </w:rPr>
        <w:t xml:space="preserve"> – 15 % v skupine </w:t>
      </w:r>
      <w:r w:rsidR="007A0D34">
        <w:rPr>
          <w:rFonts w:ascii="Times New Roman" w:hAnsi="Times New Roman"/>
          <w:sz w:val="22"/>
          <w:szCs w:val="22"/>
        </w:rPr>
        <w:t>s letrozolom</w:t>
      </w:r>
      <w:r w:rsidR="007D63FA" w:rsidRPr="009E27CE">
        <w:rPr>
          <w:rFonts w:ascii="Times New Roman" w:hAnsi="Times New Roman"/>
          <w:sz w:val="22"/>
          <w:szCs w:val="22"/>
        </w:rPr>
        <w:t xml:space="preserve"> a 17 % v skupine </w:t>
      </w:r>
      <w:r w:rsidR="00462200">
        <w:rPr>
          <w:rFonts w:ascii="Times New Roman" w:hAnsi="Times New Roman"/>
          <w:sz w:val="22"/>
          <w:szCs w:val="22"/>
        </w:rPr>
        <w:t>s tamoxifénom</w:t>
      </w:r>
      <w:r w:rsidR="007D63FA" w:rsidRPr="009E27CE">
        <w:rPr>
          <w:rFonts w:ascii="Times New Roman" w:hAnsi="Times New Roman"/>
          <w:sz w:val="22"/>
          <w:szCs w:val="22"/>
        </w:rPr>
        <w:t>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sz w:val="22"/>
          <w:szCs w:val="22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Medián </w:t>
      </w:r>
      <w:r w:rsidRPr="006B4A2A">
        <w:rPr>
          <w:rFonts w:ascii="Times New Roman" w:hAnsi="Times New Roman"/>
          <w:sz w:val="22"/>
          <w:szCs w:val="22"/>
        </w:rPr>
        <w:t>koncentrácií</w:t>
      </w:r>
      <w:r w:rsidRPr="009E27CE">
        <w:rPr>
          <w:rFonts w:ascii="Times New Roman" w:hAnsi="Times New Roman"/>
          <w:sz w:val="22"/>
          <w:szCs w:val="22"/>
        </w:rPr>
        <w:t xml:space="preserve"> celkového cholesterolu v skupine </w:t>
      </w:r>
      <w:r w:rsidR="00361126">
        <w:rPr>
          <w:rFonts w:ascii="Times New Roman" w:hAnsi="Times New Roman"/>
          <w:sz w:val="22"/>
          <w:szCs w:val="22"/>
        </w:rPr>
        <w:t>s tamoxifénom</w:t>
      </w:r>
      <w:r w:rsidRPr="009E27CE">
        <w:rPr>
          <w:rFonts w:ascii="Times New Roman" w:hAnsi="Times New Roman"/>
          <w:sz w:val="22"/>
          <w:szCs w:val="22"/>
        </w:rPr>
        <w:t xml:space="preserve"> sa znížil </w:t>
      </w:r>
      <w:r w:rsidR="000B6A20" w:rsidRPr="009E27CE">
        <w:rPr>
          <w:rFonts w:ascii="Times New Roman" w:hAnsi="Times New Roman"/>
          <w:sz w:val="22"/>
          <w:szCs w:val="22"/>
        </w:rPr>
        <w:t xml:space="preserve">po 6 mesiacoch </w:t>
      </w:r>
      <w:r w:rsidRPr="009E27CE">
        <w:rPr>
          <w:rFonts w:ascii="Times New Roman" w:hAnsi="Times New Roman"/>
          <w:sz w:val="22"/>
          <w:szCs w:val="22"/>
        </w:rPr>
        <w:t xml:space="preserve">o 16 % v porovnaní s východiskovou hodnotou a tento pokles </w:t>
      </w:r>
      <w:r w:rsidR="000B6A20">
        <w:rPr>
          <w:rFonts w:ascii="Times New Roman" w:hAnsi="Times New Roman"/>
          <w:sz w:val="22"/>
          <w:szCs w:val="22"/>
        </w:rPr>
        <w:t>pretrvával</w:t>
      </w:r>
      <w:r w:rsidRPr="006B4A2A">
        <w:rPr>
          <w:rFonts w:ascii="Times New Roman" w:hAnsi="Times New Roman"/>
          <w:sz w:val="22"/>
          <w:szCs w:val="22"/>
        </w:rPr>
        <w:t xml:space="preserve"> pri </w:t>
      </w:r>
      <w:r w:rsidR="006B4A2A">
        <w:rPr>
          <w:rFonts w:ascii="Times New Roman" w:hAnsi="Times New Roman"/>
          <w:sz w:val="22"/>
          <w:szCs w:val="22"/>
        </w:rPr>
        <w:t>nasledujúcich</w:t>
      </w:r>
      <w:r w:rsidRPr="006B4A2A">
        <w:rPr>
          <w:rFonts w:ascii="Times New Roman" w:hAnsi="Times New Roman"/>
          <w:sz w:val="22"/>
          <w:szCs w:val="22"/>
        </w:rPr>
        <w:t xml:space="preserve"> návštevách do</w:t>
      </w:r>
      <w:r w:rsidRPr="009E27CE">
        <w:rPr>
          <w:rFonts w:ascii="Times New Roman" w:hAnsi="Times New Roman"/>
          <w:sz w:val="22"/>
          <w:szCs w:val="22"/>
        </w:rPr>
        <w:t xml:space="preserve"> 24 mesiacov. V skupine </w:t>
      </w:r>
      <w:r w:rsidR="00F306B2">
        <w:rPr>
          <w:rFonts w:ascii="Times New Roman" w:hAnsi="Times New Roman"/>
          <w:sz w:val="22"/>
          <w:szCs w:val="22"/>
        </w:rPr>
        <w:t>s letrozolom</w:t>
      </w:r>
      <w:r w:rsidRPr="009E27CE">
        <w:rPr>
          <w:rFonts w:ascii="Times New Roman" w:hAnsi="Times New Roman"/>
          <w:sz w:val="22"/>
          <w:szCs w:val="22"/>
        </w:rPr>
        <w:t xml:space="preserve"> boli </w:t>
      </w:r>
      <w:r w:rsidRPr="00001876">
        <w:rPr>
          <w:rFonts w:ascii="Times New Roman" w:hAnsi="Times New Roman"/>
          <w:sz w:val="22"/>
          <w:szCs w:val="22"/>
        </w:rPr>
        <w:t>koncentrácie</w:t>
      </w:r>
      <w:r w:rsidRPr="009E27CE">
        <w:rPr>
          <w:rFonts w:ascii="Times New Roman" w:hAnsi="Times New Roman"/>
          <w:sz w:val="22"/>
          <w:szCs w:val="22"/>
        </w:rPr>
        <w:t xml:space="preserve"> celkového cholesterolu </w:t>
      </w:r>
      <w:r w:rsidR="00001876">
        <w:rPr>
          <w:rFonts w:ascii="Times New Roman" w:hAnsi="Times New Roman"/>
          <w:sz w:val="22"/>
          <w:szCs w:val="22"/>
        </w:rPr>
        <w:t>počas sledovania</w:t>
      </w:r>
      <w:r w:rsidRPr="009E27CE">
        <w:rPr>
          <w:rFonts w:ascii="Times New Roman" w:hAnsi="Times New Roman"/>
          <w:sz w:val="22"/>
          <w:szCs w:val="22"/>
        </w:rPr>
        <w:t xml:space="preserve"> pomerne stabilné, pričom v každom časovom bode vykazovali štatisticky významný rozdiel v prospech tamoxifénu.</w:t>
      </w:r>
    </w:p>
    <w:p w:rsidR="007D63FA" w:rsidRDefault="007D63FA" w:rsidP="007D63FA">
      <w:pPr>
        <w:pStyle w:val="Text"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</w:p>
    <w:p w:rsidR="007D63FA" w:rsidRPr="008222CC" w:rsidRDefault="007D63FA" w:rsidP="007D63FA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  <w:r w:rsidRPr="002755AD">
        <w:rPr>
          <w:i/>
          <w:sz w:val="22"/>
          <w:szCs w:val="22"/>
          <w:u w:val="single"/>
          <w:lang w:val="sk-SK"/>
        </w:rPr>
        <w:t>Dlhodobá</w:t>
      </w:r>
      <w:r w:rsidRPr="008222CC">
        <w:rPr>
          <w:i/>
          <w:sz w:val="22"/>
          <w:szCs w:val="22"/>
          <w:u w:val="single"/>
          <w:lang w:val="sk-SK"/>
        </w:rPr>
        <w:t xml:space="preserve"> adjuvantná liečba (MA-17)</w:t>
      </w:r>
    </w:p>
    <w:p w:rsidR="008222CC" w:rsidRPr="00036F94" w:rsidRDefault="008222CC" w:rsidP="007D63FA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</w:p>
    <w:p w:rsidR="007D63FA" w:rsidRPr="00036F94" w:rsidRDefault="00EC7DFD" w:rsidP="007D63FA">
      <w:pPr>
        <w:pStyle w:val="Nadpis1"/>
        <w:rPr>
          <w:b w:val="0"/>
          <w:i w:val="0"/>
          <w:szCs w:val="22"/>
        </w:rPr>
      </w:pPr>
      <w:r>
        <w:rPr>
          <w:b w:val="0"/>
          <w:i w:val="0"/>
          <w:szCs w:val="22"/>
        </w:rPr>
        <w:t xml:space="preserve">V dlhodobej, dvojito zaslepenej, randomizovanej placebom kontrolovanej štúdie </w:t>
      </w:r>
      <w:r w:rsidR="007D63FA" w:rsidRPr="00036F94">
        <w:rPr>
          <w:b w:val="0"/>
          <w:i w:val="0"/>
          <w:szCs w:val="22"/>
        </w:rPr>
        <w:t xml:space="preserve">(MA-17) bolo viac ako 5 100 postmenopauzálnych žien </w:t>
      </w:r>
      <w:r>
        <w:rPr>
          <w:b w:val="0"/>
          <w:i w:val="0"/>
          <w:szCs w:val="22"/>
        </w:rPr>
        <w:t>s primárnym karcinómom prsníka s pozitivitou hormonálnych receptorov alebo s ich neznámym stavom</w:t>
      </w:r>
      <w:r w:rsidR="007D63FA" w:rsidRPr="00036F94">
        <w:rPr>
          <w:b w:val="0"/>
          <w:i w:val="0"/>
          <w:szCs w:val="22"/>
        </w:rPr>
        <w:t>, ktoré ukončili adjuvantnú liečbu tamoxifénom (4,5</w:t>
      </w:r>
      <w:r>
        <w:rPr>
          <w:b w:val="0"/>
          <w:i w:val="0"/>
          <w:szCs w:val="22"/>
        </w:rPr>
        <w:t> − </w:t>
      </w:r>
      <w:r w:rsidR="007D63FA" w:rsidRPr="00036F94">
        <w:rPr>
          <w:b w:val="0"/>
          <w:i w:val="0"/>
          <w:szCs w:val="22"/>
        </w:rPr>
        <w:t>6 rokov), randomizovaných buď na letrozol alebo placebo počas 5 rokov.</w:t>
      </w:r>
    </w:p>
    <w:p w:rsidR="007D63FA" w:rsidRPr="009E27CE" w:rsidRDefault="007D63FA" w:rsidP="007D63FA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Primárnym ukazovateľom bolo prežívanie bez ochorenia definované ako interval medzi randomizáciou a najskorším výskytom lokoregionálnej recidívy, </w:t>
      </w:r>
      <w:r w:rsidR="009E7C64">
        <w:rPr>
          <w:rFonts w:ascii="Times New Roman" w:hAnsi="Times New Roman"/>
          <w:sz w:val="22"/>
          <w:szCs w:val="22"/>
        </w:rPr>
        <w:t>vzdialenej metastázy alebo kontralatelárneho karcinómu prsníka</w:t>
      </w:r>
      <w:r w:rsidRPr="009E27CE">
        <w:rPr>
          <w:rFonts w:ascii="Times New Roman" w:hAnsi="Times New Roman"/>
          <w:sz w:val="22"/>
          <w:szCs w:val="22"/>
        </w:rPr>
        <w:t>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trike/>
          <w:sz w:val="22"/>
          <w:szCs w:val="22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Prvá plánovaná </w:t>
      </w:r>
      <w:r w:rsidRPr="00580FE2">
        <w:rPr>
          <w:rFonts w:ascii="Times New Roman" w:hAnsi="Times New Roman"/>
          <w:sz w:val="22"/>
          <w:szCs w:val="22"/>
        </w:rPr>
        <w:t>predbežná</w:t>
      </w:r>
      <w:r w:rsidRPr="009E27CE">
        <w:rPr>
          <w:rFonts w:ascii="Times New Roman" w:hAnsi="Times New Roman"/>
          <w:sz w:val="22"/>
          <w:szCs w:val="22"/>
        </w:rPr>
        <w:t xml:space="preserve"> </w:t>
      </w:r>
      <w:r w:rsidRPr="002755AD">
        <w:rPr>
          <w:rFonts w:ascii="Times New Roman" w:hAnsi="Times New Roman"/>
          <w:sz w:val="22"/>
          <w:szCs w:val="22"/>
        </w:rPr>
        <w:t>analýza pri mediáne ďalšieho sledovania približne 28 mesiacov (25 %</w:t>
      </w:r>
      <w:r w:rsidRPr="009E27CE">
        <w:rPr>
          <w:rFonts w:ascii="Times New Roman" w:hAnsi="Times New Roman"/>
          <w:sz w:val="22"/>
          <w:szCs w:val="22"/>
        </w:rPr>
        <w:t xml:space="preserve"> </w:t>
      </w:r>
      <w:r w:rsidRPr="009E27CE">
        <w:rPr>
          <w:rFonts w:ascii="Times New Roman" w:hAnsi="Times New Roman"/>
          <w:sz w:val="22"/>
          <w:szCs w:val="22"/>
        </w:rPr>
        <w:lastRenderedPageBreak/>
        <w:t xml:space="preserve">pacientok </w:t>
      </w:r>
      <w:r w:rsidRPr="008C1649">
        <w:rPr>
          <w:rFonts w:ascii="Times New Roman" w:hAnsi="Times New Roman"/>
          <w:sz w:val="22"/>
          <w:szCs w:val="22"/>
        </w:rPr>
        <w:t>bolo sledovaných</w:t>
      </w:r>
      <w:r w:rsidRPr="009E27CE">
        <w:rPr>
          <w:rFonts w:ascii="Times New Roman" w:hAnsi="Times New Roman"/>
          <w:sz w:val="22"/>
          <w:szCs w:val="22"/>
        </w:rPr>
        <w:t xml:space="preserve"> najmenej 38 mesiacov) ukázala, že </w:t>
      </w:r>
      <w:r>
        <w:rPr>
          <w:rFonts w:ascii="Times New Roman" w:hAnsi="Times New Roman"/>
          <w:sz w:val="22"/>
          <w:szCs w:val="22"/>
        </w:rPr>
        <w:t xml:space="preserve">letrozol </w:t>
      </w:r>
      <w:r w:rsidRPr="008C1649">
        <w:rPr>
          <w:rFonts w:ascii="Times New Roman" w:hAnsi="Times New Roman"/>
          <w:sz w:val="22"/>
          <w:szCs w:val="22"/>
        </w:rPr>
        <w:t>významne</w:t>
      </w:r>
      <w:r>
        <w:rPr>
          <w:rFonts w:ascii="Times New Roman" w:hAnsi="Times New Roman"/>
          <w:sz w:val="22"/>
          <w:szCs w:val="22"/>
        </w:rPr>
        <w:t xml:space="preserve"> znížil</w:t>
      </w:r>
      <w:r w:rsidRPr="009E27CE">
        <w:rPr>
          <w:rFonts w:ascii="Times New Roman" w:hAnsi="Times New Roman"/>
          <w:sz w:val="22"/>
          <w:szCs w:val="22"/>
        </w:rPr>
        <w:t xml:space="preserve"> riziko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27CE">
        <w:rPr>
          <w:rFonts w:ascii="Times New Roman" w:hAnsi="Times New Roman"/>
          <w:sz w:val="22"/>
          <w:szCs w:val="22"/>
        </w:rPr>
        <w:t>recidívy karcinómu prsníka o 42 % v porovnaní s placebom (HR 0,58; 95 % CI 0,45; 0,76; p</w:t>
      </w:r>
      <w:r w:rsidR="003A2EAA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=</w:t>
      </w:r>
      <w:r w:rsidR="00271874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 xml:space="preserve">0,00003). Prínos v prospech letrozolu sa pozoroval bez ohľadu na </w:t>
      </w:r>
      <w:r w:rsidRPr="008C1649">
        <w:rPr>
          <w:rFonts w:ascii="Times New Roman" w:hAnsi="Times New Roman"/>
          <w:sz w:val="22"/>
          <w:szCs w:val="22"/>
        </w:rPr>
        <w:t>status</w:t>
      </w:r>
      <w:r w:rsidRPr="009E27CE">
        <w:rPr>
          <w:rFonts w:ascii="Times New Roman" w:hAnsi="Times New Roman"/>
          <w:sz w:val="22"/>
          <w:szCs w:val="22"/>
        </w:rPr>
        <w:t xml:space="preserve"> lymfatických uzlín. V celkovom prežívaní nebol </w:t>
      </w:r>
      <w:r w:rsidRPr="008C1649">
        <w:rPr>
          <w:rFonts w:ascii="Times New Roman" w:hAnsi="Times New Roman"/>
          <w:sz w:val="22"/>
          <w:szCs w:val="22"/>
        </w:rPr>
        <w:t>významný</w:t>
      </w:r>
      <w:r w:rsidRPr="009E27CE">
        <w:rPr>
          <w:rFonts w:ascii="Times New Roman" w:hAnsi="Times New Roman"/>
          <w:sz w:val="22"/>
          <w:szCs w:val="22"/>
        </w:rPr>
        <w:t xml:space="preserve"> rozdiel: (</w:t>
      </w: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 51 úmrtí; placebo 62; HR 0,82; 95 % CI 0,56; 1,19).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z w:val="22"/>
          <w:szCs w:val="22"/>
        </w:rPr>
      </w:pP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V dôsledku toho bolo klinické skúšanie po prvej predbežnej analýze odslepené, pokračovalo s otvoreným usporiadaním a pacientky v skupine placeba mohli prejsť na liečbu </w:t>
      </w:r>
      <w:r>
        <w:rPr>
          <w:rFonts w:ascii="Times New Roman" w:hAnsi="Times New Roman"/>
          <w:sz w:val="22"/>
          <w:szCs w:val="22"/>
        </w:rPr>
        <w:t>letrozolom</w:t>
      </w:r>
      <w:r w:rsidRPr="009E27CE">
        <w:rPr>
          <w:rFonts w:ascii="Times New Roman" w:hAnsi="Times New Roman"/>
          <w:sz w:val="22"/>
          <w:szCs w:val="22"/>
        </w:rPr>
        <w:t xml:space="preserve"> počas 5 rokov. Viac ako 60 % vhodných pacientok (bez ochorenia pri odslepení) sa rozhodlo prejsť na </w:t>
      </w: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. Do konečnej analýzy bolo zahrnutých 1 551 žien, ktoré prešli z placeba na </w:t>
      </w:r>
      <w:r>
        <w:rPr>
          <w:rFonts w:ascii="Times New Roman" w:hAnsi="Times New Roman"/>
          <w:sz w:val="22"/>
          <w:szCs w:val="22"/>
        </w:rPr>
        <w:t>letrozol</w:t>
      </w:r>
      <w:r w:rsidRPr="009E27CE">
        <w:rPr>
          <w:rFonts w:ascii="Times New Roman" w:hAnsi="Times New Roman"/>
          <w:sz w:val="22"/>
          <w:szCs w:val="22"/>
        </w:rPr>
        <w:t xml:space="preserve"> s mediánom 31 mesiacov (rozmedzie 12 až 106 mesiacov) po ukončení aduvantnej liečby tamoxifénom. Medián trvania podávania </w:t>
      </w:r>
      <w:r>
        <w:rPr>
          <w:rFonts w:ascii="Times New Roman" w:hAnsi="Times New Roman"/>
          <w:sz w:val="22"/>
          <w:szCs w:val="22"/>
        </w:rPr>
        <w:t>letrozolu</w:t>
      </w:r>
      <w:r w:rsidRPr="009E27CE">
        <w:rPr>
          <w:rFonts w:ascii="Times New Roman" w:hAnsi="Times New Roman"/>
          <w:sz w:val="22"/>
          <w:szCs w:val="22"/>
        </w:rPr>
        <w:t xml:space="preserve"> po zmene liečby bol 40 mesiacov.</w:t>
      </w:r>
    </w:p>
    <w:p w:rsidR="007D63FA" w:rsidRPr="009E27CE" w:rsidRDefault="007D63FA" w:rsidP="007D63FA">
      <w:pPr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z w:val="22"/>
          <w:szCs w:val="22"/>
        </w:rPr>
      </w:pPr>
    </w:p>
    <w:p w:rsidR="007D63FA" w:rsidRPr="002755AD" w:rsidRDefault="007D63FA" w:rsidP="007D63FA">
      <w:pPr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z w:val="22"/>
          <w:szCs w:val="22"/>
        </w:rPr>
      </w:pPr>
      <w:r w:rsidRPr="00206ACD">
        <w:rPr>
          <w:rFonts w:ascii="Times New Roman" w:hAnsi="Times New Roman"/>
          <w:sz w:val="22"/>
          <w:szCs w:val="22"/>
        </w:rPr>
        <w:t>Konečná</w:t>
      </w:r>
      <w:r w:rsidRPr="009E27CE">
        <w:rPr>
          <w:rFonts w:ascii="Times New Roman" w:hAnsi="Times New Roman"/>
          <w:sz w:val="22"/>
          <w:szCs w:val="22"/>
        </w:rPr>
        <w:t xml:space="preserve"> analýza </w:t>
      </w:r>
      <w:r w:rsidRPr="002755AD">
        <w:rPr>
          <w:rFonts w:ascii="Times New Roman" w:hAnsi="Times New Roman"/>
          <w:sz w:val="22"/>
          <w:szCs w:val="22"/>
        </w:rPr>
        <w:t>uskutočnená pri mediáne ďalšieho sledovania 62 mesiacov potvrdila významné zníženie rizika recidívy karcinómu prsníka pri letrozole.</w:t>
      </w:r>
    </w:p>
    <w:p w:rsidR="007D63FA" w:rsidRPr="002755AD" w:rsidRDefault="007D63FA" w:rsidP="007D63FA">
      <w:pPr>
        <w:keepNext/>
        <w:widowControl w:val="0"/>
        <w:autoSpaceDE w:val="0"/>
        <w:autoSpaceDN w:val="0"/>
        <w:adjustRightInd w:val="0"/>
        <w:ind w:left="1134" w:right="-20" w:hanging="1134"/>
        <w:rPr>
          <w:rFonts w:ascii="Times New Roman" w:hAnsi="Times New Roman"/>
          <w:sz w:val="22"/>
          <w:szCs w:val="22"/>
        </w:rPr>
      </w:pPr>
      <w:r w:rsidRPr="002755AD">
        <w:rPr>
          <w:rFonts w:ascii="Times New Roman" w:hAnsi="Times New Roman"/>
          <w:b/>
          <w:bCs/>
          <w:sz w:val="22"/>
          <w:szCs w:val="22"/>
        </w:rPr>
        <w:t>Tabuľka 8</w:t>
      </w:r>
      <w:r w:rsidRPr="002755AD">
        <w:rPr>
          <w:rFonts w:ascii="Times New Roman" w:hAnsi="Times New Roman"/>
          <w:b/>
          <w:bCs/>
          <w:sz w:val="22"/>
          <w:szCs w:val="22"/>
        </w:rPr>
        <w:tab/>
      </w:r>
      <w:r w:rsidRPr="002755AD">
        <w:rPr>
          <w:rFonts w:ascii="Times New Roman" w:hAnsi="Times New Roman"/>
          <w:b/>
          <w:sz w:val="22"/>
          <w:szCs w:val="22"/>
        </w:rPr>
        <w:t xml:space="preserve">Prežívanie bez ochorenia </w:t>
      </w:r>
      <w:r w:rsidRPr="002755AD">
        <w:rPr>
          <w:rFonts w:ascii="Times New Roman" w:hAnsi="Times New Roman"/>
          <w:b/>
          <w:bCs/>
          <w:sz w:val="22"/>
          <w:szCs w:val="22"/>
        </w:rPr>
        <w:t xml:space="preserve">a celkové prežívanie (modifikovaná </w:t>
      </w:r>
      <w:r w:rsidR="00AE02FD" w:rsidRPr="002755AD">
        <w:rPr>
          <w:rFonts w:ascii="Times New Roman" w:hAnsi="Times New Roman"/>
          <w:b/>
          <w:sz w:val="22"/>
          <w:szCs w:val="22"/>
        </w:rPr>
        <w:t>ITT-</w:t>
      </w:r>
      <w:r w:rsidRPr="002755AD">
        <w:rPr>
          <w:rFonts w:ascii="Times New Roman" w:hAnsi="Times New Roman"/>
          <w:b/>
          <w:sz w:val="22"/>
          <w:szCs w:val="22"/>
        </w:rPr>
        <w:t>populácia)</w:t>
      </w:r>
      <w:r w:rsidR="00AE02FD" w:rsidRPr="002755AD">
        <w:rPr>
          <w:rFonts w:ascii="Times New Roman" w:hAnsi="Times New Roman"/>
          <w:b/>
          <w:sz w:val="22"/>
          <w:szCs w:val="22"/>
        </w:rPr>
        <w:t>.</w:t>
      </w:r>
    </w:p>
    <w:p w:rsidR="007D63FA" w:rsidRPr="002755AD" w:rsidRDefault="007D63FA" w:rsidP="007D63FA">
      <w:pPr>
        <w:keepNext/>
        <w:widowControl w:val="0"/>
        <w:autoSpaceDE w:val="0"/>
        <w:autoSpaceDN w:val="0"/>
        <w:adjustRightInd w:val="0"/>
        <w:ind w:right="152"/>
        <w:rPr>
          <w:rFonts w:ascii="Times New Roman" w:hAnsi="Times New Roman"/>
          <w:sz w:val="22"/>
          <w:szCs w:val="22"/>
        </w:rPr>
      </w:pPr>
    </w:p>
    <w:tbl>
      <w:tblPr>
        <w:tblW w:w="10350" w:type="dxa"/>
        <w:tblInd w:w="-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134"/>
        <w:gridCol w:w="1134"/>
        <w:gridCol w:w="1417"/>
        <w:gridCol w:w="77"/>
        <w:gridCol w:w="1057"/>
        <w:gridCol w:w="1134"/>
        <w:gridCol w:w="1844"/>
      </w:tblGrid>
      <w:tr w:rsidR="007D63FA" w:rsidRPr="002755AD" w:rsidTr="00B16F1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</w:tcPr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Medián ďalšieho sledovania 28 mesiacov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Medián ďalšieho sledovania 62 mesiacov</w:t>
            </w:r>
          </w:p>
        </w:tc>
      </w:tr>
      <w:tr w:rsidR="007D63FA" w:rsidRPr="00560F04" w:rsidTr="00B16F16">
        <w:trPr>
          <w:cantSplit/>
        </w:trPr>
        <w:tc>
          <w:tcPr>
            <w:tcW w:w="2553" w:type="dxa"/>
            <w:tcBorders>
              <w:bottom w:val="single" w:sz="4" w:space="0" w:color="auto"/>
            </w:tcBorders>
          </w:tcPr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560F04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l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etrozol</w:t>
            </w:r>
          </w:p>
          <w:p w:rsidR="007D63FA" w:rsidRPr="002755AD" w:rsidRDefault="00167BE4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n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=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2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A4567E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p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lacebo</w:t>
            </w:r>
          </w:p>
          <w:p w:rsidR="007D63FA" w:rsidRPr="002755AD" w:rsidRDefault="005D7BD3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n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=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2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586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HR</w:t>
            </w:r>
          </w:p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(95 % CI)</w:t>
            </w:r>
            <w:r w:rsidRPr="002755A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755AD">
              <w:rPr>
                <w:rFonts w:ascii="Times New Roman" w:hAnsi="Times New Roman"/>
                <w:i/>
                <w:sz w:val="22"/>
                <w:szCs w:val="22"/>
              </w:rPr>
              <w:t>p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A4567E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l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etrozol</w:t>
            </w:r>
          </w:p>
          <w:p w:rsidR="007D63FA" w:rsidRPr="002755AD" w:rsidRDefault="00AB0744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n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=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2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A4567E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p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lacebo</w:t>
            </w:r>
          </w:p>
          <w:p w:rsidR="007D63FA" w:rsidRPr="002755AD" w:rsidRDefault="00D53D8D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n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=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2</w:t>
            </w:r>
            <w:r w:rsidRPr="002755AD">
              <w:rPr>
                <w:rFonts w:ascii="Times New Roman" w:hAnsi="Times New Roman"/>
                <w:sz w:val="22"/>
                <w:szCs w:val="22"/>
              </w:rPr>
              <w:t> </w:t>
            </w:r>
            <w:r w:rsidR="007D63FA" w:rsidRPr="002755AD">
              <w:rPr>
                <w:rFonts w:ascii="Times New Roman" w:hAnsi="Times New Roman"/>
                <w:sz w:val="22"/>
                <w:szCs w:val="22"/>
              </w:rPr>
              <w:t>586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HR</w:t>
            </w:r>
          </w:p>
          <w:p w:rsidR="007D63FA" w:rsidRPr="002755A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5AD">
              <w:rPr>
                <w:rFonts w:ascii="Times New Roman" w:hAnsi="Times New Roman"/>
                <w:sz w:val="22"/>
                <w:szCs w:val="22"/>
              </w:rPr>
              <w:t>(95 % CI)</w:t>
            </w:r>
            <w:r w:rsidRPr="002755A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  <w:p w:rsidR="007D63FA" w:rsidRPr="00C01894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755AD">
              <w:rPr>
                <w:rFonts w:ascii="Times New Roman" w:hAnsi="Times New Roman"/>
                <w:i/>
                <w:sz w:val="22"/>
                <w:szCs w:val="22"/>
              </w:rPr>
              <w:t>p</w:t>
            </w:r>
          </w:p>
        </w:tc>
      </w:tr>
      <w:tr w:rsidR="00B16F16" w:rsidRPr="00560F04" w:rsidTr="00844CB4">
        <w:tc>
          <w:tcPr>
            <w:tcW w:w="10350" w:type="dxa"/>
            <w:gridSpan w:val="8"/>
            <w:tcBorders>
              <w:top w:val="single" w:sz="4" w:space="0" w:color="auto"/>
            </w:tcBorders>
          </w:tcPr>
          <w:p w:rsidR="00B16F16" w:rsidRPr="00092732" w:rsidRDefault="00B16F16" w:rsidP="00E414FF">
            <w:pPr>
              <w:keepNext/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b/>
                <w:sz w:val="22"/>
                <w:szCs w:val="22"/>
              </w:rPr>
              <w:t>Prežívanie bez ochorenia</w:t>
            </w:r>
            <w:r w:rsidR="00E414FF" w:rsidRPr="00E414FF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D63FA" w:rsidRPr="00560F04" w:rsidTr="00AF39BA">
        <w:tc>
          <w:tcPr>
            <w:tcW w:w="2553" w:type="dxa"/>
          </w:tcPr>
          <w:p w:rsidR="007D63FA" w:rsidRPr="00092732" w:rsidRDefault="006E21F5" w:rsidP="006E21F5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 u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>dalosti</w:t>
            </w:r>
          </w:p>
        </w:tc>
        <w:tc>
          <w:tcPr>
            <w:tcW w:w="1134" w:type="dxa"/>
          </w:tcPr>
          <w:p w:rsidR="006774B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92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(3,6 %)</w:t>
            </w:r>
          </w:p>
        </w:tc>
        <w:tc>
          <w:tcPr>
            <w:tcW w:w="1134" w:type="dxa"/>
          </w:tcPr>
          <w:p w:rsidR="006774B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155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(6,0 %)</w:t>
            </w:r>
          </w:p>
        </w:tc>
        <w:tc>
          <w:tcPr>
            <w:tcW w:w="1494" w:type="dxa"/>
            <w:gridSpan w:val="2"/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0,58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(0,45</w:t>
            </w:r>
            <w:r w:rsidR="006774B2">
              <w:rPr>
                <w:rFonts w:ascii="Times New Roman" w:hAnsi="Times New Roman"/>
                <w:sz w:val="22"/>
                <w:szCs w:val="22"/>
              </w:rPr>
              <w:t>;</w:t>
            </w:r>
            <w:r w:rsidRPr="00092732">
              <w:rPr>
                <w:rFonts w:ascii="Times New Roman" w:hAnsi="Times New Roman"/>
                <w:sz w:val="22"/>
                <w:szCs w:val="22"/>
              </w:rPr>
              <w:t xml:space="preserve"> 0,76)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0,00003</w:t>
            </w:r>
          </w:p>
        </w:tc>
        <w:tc>
          <w:tcPr>
            <w:tcW w:w="1057" w:type="dxa"/>
          </w:tcPr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209 (8,1 %)</w:t>
            </w:r>
          </w:p>
        </w:tc>
        <w:tc>
          <w:tcPr>
            <w:tcW w:w="1134" w:type="dxa"/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C4E">
              <w:rPr>
                <w:rFonts w:ascii="Times New Roman" w:hAnsi="Times New Roman"/>
                <w:sz w:val="22"/>
                <w:szCs w:val="22"/>
              </w:rPr>
              <w:t>286 (11,1 %)</w:t>
            </w:r>
          </w:p>
        </w:tc>
        <w:tc>
          <w:tcPr>
            <w:tcW w:w="1844" w:type="dxa"/>
          </w:tcPr>
          <w:p w:rsidR="007D63FA" w:rsidRPr="00376398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398">
              <w:rPr>
                <w:rFonts w:ascii="Times New Roman" w:hAnsi="Times New Roman"/>
                <w:sz w:val="22"/>
                <w:szCs w:val="22"/>
              </w:rPr>
              <w:t>0,75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9ED">
              <w:rPr>
                <w:rFonts w:ascii="Times New Roman" w:hAnsi="Times New Roman"/>
                <w:sz w:val="22"/>
                <w:szCs w:val="22"/>
              </w:rPr>
              <w:t>(0,63</w:t>
            </w:r>
            <w:r w:rsidR="006774B2">
              <w:rPr>
                <w:rFonts w:ascii="Times New Roman" w:hAnsi="Times New Roman"/>
                <w:sz w:val="22"/>
                <w:szCs w:val="22"/>
              </w:rPr>
              <w:t>;</w:t>
            </w:r>
            <w:r w:rsidRPr="00092732">
              <w:rPr>
                <w:rFonts w:ascii="Times New Roman" w:hAnsi="Times New Roman"/>
                <w:sz w:val="22"/>
                <w:szCs w:val="22"/>
              </w:rPr>
              <w:t xml:space="preserve"> 0,89)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63FA" w:rsidRPr="00560F04" w:rsidTr="00B16F16">
        <w:tc>
          <w:tcPr>
            <w:tcW w:w="2553" w:type="dxa"/>
            <w:tcBorders>
              <w:bottom w:val="single" w:sz="4" w:space="0" w:color="auto"/>
            </w:tcBorders>
          </w:tcPr>
          <w:p w:rsidR="007D63FA" w:rsidRPr="00092732" w:rsidRDefault="006E21F5" w:rsidP="006E21F5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 p</w:t>
            </w:r>
            <w:r w:rsidR="007D63FA" w:rsidRPr="000B500C">
              <w:rPr>
                <w:rFonts w:ascii="Times New Roman" w:hAnsi="Times New Roman"/>
                <w:sz w:val="22"/>
                <w:szCs w:val="22"/>
              </w:rPr>
              <w:t>odiel 4-</w:t>
            </w:r>
            <w:r w:rsidR="000B500C">
              <w:rPr>
                <w:rFonts w:ascii="Times New Roman" w:hAnsi="Times New Roman"/>
                <w:sz w:val="22"/>
                <w:szCs w:val="22"/>
              </w:rPr>
              <w:t>ročného</w:t>
            </w:r>
            <w:r w:rsidR="007D63FA" w:rsidRPr="000B500C">
              <w:rPr>
                <w:rFonts w:ascii="Times New Roman" w:hAnsi="Times New Roman"/>
                <w:sz w:val="22"/>
                <w:szCs w:val="22"/>
              </w:rPr>
              <w:t xml:space="preserve"> DFS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94,4 %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89,8 %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63FA" w:rsidRPr="00376398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398">
              <w:rPr>
                <w:rFonts w:ascii="Times New Roman" w:hAnsi="Times New Roman"/>
                <w:sz w:val="22"/>
                <w:szCs w:val="22"/>
              </w:rPr>
              <w:t>94,4 %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9F69E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9ED">
              <w:rPr>
                <w:rFonts w:ascii="Times New Roman" w:hAnsi="Times New Roman"/>
                <w:sz w:val="22"/>
                <w:szCs w:val="22"/>
              </w:rPr>
              <w:t>91,4 %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D63FA" w:rsidRPr="00107EA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63FA" w:rsidRPr="00560F04" w:rsidTr="00773DBA">
        <w:trPr>
          <w:trHeight w:val="225"/>
        </w:trPr>
        <w:tc>
          <w:tcPr>
            <w:tcW w:w="10350" w:type="dxa"/>
            <w:gridSpan w:val="8"/>
            <w:tcBorders>
              <w:top w:val="single" w:sz="4" w:space="0" w:color="auto"/>
            </w:tcBorders>
          </w:tcPr>
          <w:p w:rsidR="007D63FA" w:rsidRPr="00984C4E" w:rsidRDefault="007D63FA" w:rsidP="00E414FF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b/>
                <w:sz w:val="22"/>
                <w:szCs w:val="22"/>
              </w:rPr>
              <w:t>Prežívanie bez ochorenia</w:t>
            </w:r>
            <w:r w:rsidR="00E414FF" w:rsidRPr="00E414F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</w:t>
            </w:r>
            <w:r w:rsidRPr="0009273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vrátane úmrtí z ake</w:t>
            </w:r>
            <w:r w:rsidRPr="00EC4ABD">
              <w:rPr>
                <w:rFonts w:ascii="Times New Roman" w:hAnsi="Times New Roman"/>
                <w:b/>
                <w:bCs/>
                <w:sz w:val="22"/>
                <w:szCs w:val="22"/>
              </w:rPr>
              <w:t>jkoľvek príčiny</w:t>
            </w:r>
          </w:p>
        </w:tc>
      </w:tr>
      <w:tr w:rsidR="007D63FA" w:rsidRPr="00560F04" w:rsidTr="00B16F16">
        <w:tc>
          <w:tcPr>
            <w:tcW w:w="2553" w:type="dxa"/>
          </w:tcPr>
          <w:p w:rsidR="007D63FA" w:rsidRPr="00092732" w:rsidRDefault="00756E6E" w:rsidP="00756E6E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 u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>dalosti</w:t>
            </w:r>
          </w:p>
        </w:tc>
        <w:tc>
          <w:tcPr>
            <w:tcW w:w="1134" w:type="dxa"/>
          </w:tcPr>
          <w:p w:rsidR="00773DBA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122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(4,7 %)</w:t>
            </w:r>
          </w:p>
        </w:tc>
        <w:tc>
          <w:tcPr>
            <w:tcW w:w="1134" w:type="dxa"/>
          </w:tcPr>
          <w:p w:rsidR="00773DBA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193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 (7,5 %)</w:t>
            </w:r>
          </w:p>
        </w:tc>
        <w:tc>
          <w:tcPr>
            <w:tcW w:w="1494" w:type="dxa"/>
            <w:gridSpan w:val="2"/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0,62</w:t>
            </w:r>
          </w:p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(0,49; 0,78)</w:t>
            </w:r>
          </w:p>
        </w:tc>
        <w:tc>
          <w:tcPr>
            <w:tcW w:w="1057" w:type="dxa"/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C4E">
              <w:rPr>
                <w:rFonts w:ascii="Times New Roman" w:hAnsi="Times New Roman"/>
                <w:sz w:val="22"/>
                <w:szCs w:val="22"/>
              </w:rPr>
              <w:t>344 (13,3 %)</w:t>
            </w:r>
          </w:p>
        </w:tc>
        <w:tc>
          <w:tcPr>
            <w:tcW w:w="1134" w:type="dxa"/>
          </w:tcPr>
          <w:p w:rsidR="007D63FA" w:rsidRPr="00376398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398">
              <w:rPr>
                <w:rFonts w:ascii="Times New Roman" w:hAnsi="Times New Roman"/>
                <w:sz w:val="22"/>
                <w:szCs w:val="22"/>
              </w:rPr>
              <w:t>402 (15,5 %)</w:t>
            </w:r>
          </w:p>
        </w:tc>
        <w:tc>
          <w:tcPr>
            <w:tcW w:w="1844" w:type="dxa"/>
          </w:tcPr>
          <w:p w:rsidR="007D63FA" w:rsidRPr="009F69E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9ED">
              <w:rPr>
                <w:rFonts w:ascii="Times New Roman" w:hAnsi="Times New Roman"/>
                <w:sz w:val="22"/>
                <w:szCs w:val="22"/>
              </w:rPr>
              <w:t>0,89</w:t>
            </w:r>
          </w:p>
          <w:p w:rsidR="007D63FA" w:rsidRPr="00107EA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EAE">
              <w:rPr>
                <w:rFonts w:ascii="Times New Roman" w:hAnsi="Times New Roman"/>
                <w:sz w:val="22"/>
                <w:szCs w:val="22"/>
              </w:rPr>
              <w:t>(0,77; 1,03)</w:t>
            </w:r>
          </w:p>
        </w:tc>
      </w:tr>
      <w:tr w:rsidR="007D63FA" w:rsidRPr="00560F04" w:rsidTr="00B16F16">
        <w:tc>
          <w:tcPr>
            <w:tcW w:w="2553" w:type="dxa"/>
            <w:tcBorders>
              <w:bottom w:val="single" w:sz="4" w:space="0" w:color="auto"/>
            </w:tcBorders>
          </w:tcPr>
          <w:p w:rsidR="007D63FA" w:rsidRPr="00092732" w:rsidRDefault="00F469DB" w:rsidP="009F1113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− </w:t>
            </w:r>
            <w:r w:rsidR="009F1113">
              <w:rPr>
                <w:rFonts w:ascii="Times New Roman" w:hAnsi="Times New Roman"/>
                <w:sz w:val="22"/>
                <w:szCs w:val="22"/>
              </w:rPr>
              <w:t>p</w:t>
            </w:r>
            <w:r w:rsidR="007D63FA" w:rsidRPr="002465AA">
              <w:rPr>
                <w:rFonts w:ascii="Times New Roman" w:hAnsi="Times New Roman"/>
                <w:sz w:val="22"/>
                <w:szCs w:val="22"/>
              </w:rPr>
              <w:t>odiel 5-</w:t>
            </w:r>
            <w:r w:rsidR="002465AA">
              <w:rPr>
                <w:rFonts w:ascii="Times New Roman" w:hAnsi="Times New Roman"/>
                <w:sz w:val="22"/>
                <w:szCs w:val="22"/>
              </w:rPr>
              <w:t>ročného</w:t>
            </w:r>
            <w:r w:rsidR="007D63FA" w:rsidRPr="002465AA">
              <w:rPr>
                <w:rFonts w:ascii="Times New Roman" w:hAnsi="Times New Roman"/>
                <w:sz w:val="22"/>
                <w:szCs w:val="22"/>
              </w:rPr>
              <w:t xml:space="preserve"> DFS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90,5 %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80,8 %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63FA" w:rsidRPr="00376398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398">
              <w:rPr>
                <w:rFonts w:ascii="Times New Roman" w:hAnsi="Times New Roman"/>
                <w:sz w:val="22"/>
                <w:szCs w:val="22"/>
              </w:rPr>
              <w:t>88,8 %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9F69E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9ED">
              <w:rPr>
                <w:rFonts w:ascii="Times New Roman" w:hAnsi="Times New Roman"/>
                <w:sz w:val="22"/>
                <w:szCs w:val="22"/>
              </w:rPr>
              <w:t>86,7 %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D63FA" w:rsidRPr="00107EA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63FA" w:rsidRPr="00851793" w:rsidTr="00B16F16">
        <w:tc>
          <w:tcPr>
            <w:tcW w:w="2553" w:type="dxa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51793">
              <w:rPr>
                <w:rFonts w:ascii="Times New Roman" w:hAnsi="Times New Roman"/>
                <w:b/>
                <w:sz w:val="22"/>
                <w:szCs w:val="22"/>
              </w:rPr>
              <w:t>Vzdialené metastázy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7D63FA" w:rsidRPr="0085179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63FA" w:rsidRPr="00560F04" w:rsidTr="00B16F16">
        <w:tc>
          <w:tcPr>
            <w:tcW w:w="2553" w:type="dxa"/>
            <w:tcBorders>
              <w:bottom w:val="single" w:sz="4" w:space="0" w:color="auto"/>
            </w:tcBorders>
          </w:tcPr>
          <w:p w:rsidR="007D63FA" w:rsidRPr="00092732" w:rsidRDefault="009C4C36" w:rsidP="009C4C36">
            <w:pPr>
              <w:keepNext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>dalosti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DBA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57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(2,2 %)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DBA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93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(3,6 %)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0,61</w:t>
            </w:r>
          </w:p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(0,44; 0,84)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C4E">
              <w:rPr>
                <w:rFonts w:ascii="Times New Roman" w:hAnsi="Times New Roman"/>
                <w:sz w:val="22"/>
                <w:szCs w:val="22"/>
              </w:rPr>
              <w:t>142</w:t>
            </w:r>
          </w:p>
          <w:p w:rsidR="007D63FA" w:rsidRPr="009F69E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398">
              <w:rPr>
                <w:rFonts w:ascii="Times New Roman" w:hAnsi="Times New Roman"/>
                <w:sz w:val="22"/>
                <w:szCs w:val="22"/>
              </w:rPr>
              <w:t>(5,5 %</w:t>
            </w:r>
            <w:r w:rsidRPr="009F69E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107EA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EAE">
              <w:rPr>
                <w:rFonts w:ascii="Times New Roman" w:hAnsi="Times New Roman"/>
                <w:sz w:val="22"/>
                <w:szCs w:val="22"/>
              </w:rPr>
              <w:t>169</w:t>
            </w:r>
          </w:p>
          <w:p w:rsidR="007D63FA" w:rsidRPr="00DF42A9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2A9">
              <w:rPr>
                <w:rFonts w:ascii="Times New Roman" w:hAnsi="Times New Roman"/>
                <w:sz w:val="22"/>
                <w:szCs w:val="22"/>
              </w:rPr>
              <w:t>(6,5 %)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D63FA" w:rsidRPr="007137C3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7C3">
              <w:rPr>
                <w:rFonts w:ascii="Times New Roman" w:hAnsi="Times New Roman"/>
                <w:sz w:val="22"/>
                <w:szCs w:val="22"/>
              </w:rPr>
              <w:t>0,88</w:t>
            </w:r>
          </w:p>
          <w:p w:rsidR="007D63FA" w:rsidRPr="00D73F44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3F44">
              <w:rPr>
                <w:rFonts w:ascii="Times New Roman" w:hAnsi="Times New Roman"/>
                <w:sz w:val="22"/>
                <w:szCs w:val="22"/>
              </w:rPr>
              <w:t>(0,70; 1,10)</w:t>
            </w:r>
          </w:p>
        </w:tc>
      </w:tr>
      <w:tr w:rsidR="007D63FA" w:rsidRPr="00560F04" w:rsidTr="00B16F16">
        <w:tc>
          <w:tcPr>
            <w:tcW w:w="2553" w:type="dxa"/>
            <w:tcBorders>
              <w:top w:val="single" w:sz="4" w:space="0" w:color="auto"/>
            </w:tcBorders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92732">
              <w:rPr>
                <w:rFonts w:ascii="Times New Roman" w:hAnsi="Times New Roman"/>
                <w:b/>
                <w:sz w:val="22"/>
                <w:szCs w:val="22"/>
              </w:rPr>
              <w:t>Celkové prežívanie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63FA" w:rsidRPr="00376398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3FA" w:rsidRPr="009F69E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7D63FA" w:rsidRPr="00107EA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63FA" w:rsidRPr="00560F04" w:rsidTr="00B12B1D">
        <w:tc>
          <w:tcPr>
            <w:tcW w:w="2553" w:type="dxa"/>
          </w:tcPr>
          <w:p w:rsidR="007D63FA" w:rsidRPr="00092732" w:rsidRDefault="00D31B52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 počet úmrtí</w:t>
            </w:r>
          </w:p>
        </w:tc>
        <w:tc>
          <w:tcPr>
            <w:tcW w:w="1134" w:type="dxa"/>
          </w:tcPr>
          <w:p w:rsidR="001A4E96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51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(2,0 %)</w:t>
            </w:r>
          </w:p>
        </w:tc>
        <w:tc>
          <w:tcPr>
            <w:tcW w:w="1134" w:type="dxa"/>
          </w:tcPr>
          <w:p w:rsidR="001A4E96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62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(2,4 %)</w:t>
            </w:r>
          </w:p>
        </w:tc>
        <w:tc>
          <w:tcPr>
            <w:tcW w:w="1417" w:type="dxa"/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0,82</w:t>
            </w:r>
          </w:p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(0,56; 1,19)</w:t>
            </w:r>
          </w:p>
        </w:tc>
        <w:tc>
          <w:tcPr>
            <w:tcW w:w="1134" w:type="dxa"/>
            <w:gridSpan w:val="2"/>
          </w:tcPr>
          <w:p w:rsidR="001A4E96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C4E">
              <w:rPr>
                <w:rFonts w:ascii="Times New Roman" w:hAnsi="Times New Roman"/>
                <w:sz w:val="22"/>
                <w:szCs w:val="22"/>
              </w:rPr>
              <w:t xml:space="preserve">236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(9,1 %)</w:t>
            </w:r>
          </w:p>
        </w:tc>
        <w:tc>
          <w:tcPr>
            <w:tcW w:w="1134" w:type="dxa"/>
          </w:tcPr>
          <w:p w:rsidR="001A4E96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 xml:space="preserve">232 </w:t>
            </w:r>
          </w:p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(9,0 %)</w:t>
            </w:r>
          </w:p>
        </w:tc>
        <w:tc>
          <w:tcPr>
            <w:tcW w:w="1844" w:type="dxa"/>
          </w:tcPr>
          <w:p w:rsidR="007D63FA" w:rsidRPr="00092732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</w:rPr>
              <w:t>1,13</w:t>
            </w:r>
          </w:p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(0,95; 1,36)</w:t>
            </w:r>
          </w:p>
        </w:tc>
      </w:tr>
      <w:tr w:rsidR="007D63FA" w:rsidRPr="00560F04" w:rsidTr="003139A6">
        <w:tc>
          <w:tcPr>
            <w:tcW w:w="2553" w:type="dxa"/>
            <w:tcBorders>
              <w:bottom w:val="single" w:sz="4" w:space="0" w:color="auto"/>
            </w:tcBorders>
          </w:tcPr>
          <w:p w:rsidR="007D63FA" w:rsidRPr="00092732" w:rsidRDefault="00D31B52" w:rsidP="00D31B52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− počet úmrtí</w:t>
            </w:r>
            <w:r w:rsidR="007D63FA" w:rsidRPr="00092732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EC4AB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4ABD">
              <w:rPr>
                <w:rFonts w:ascii="Times New Roman" w:hAnsi="Times New Roman"/>
                <w:sz w:val="22"/>
                <w:szCs w:val="22"/>
              </w:rPr>
              <w:t>-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984C4E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C4E">
              <w:rPr>
                <w:rFonts w:ascii="Times New Roman" w:hAnsi="Times New Roman"/>
                <w:sz w:val="22"/>
                <w:szCs w:val="22"/>
              </w:rPr>
              <w:t>- 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63FA" w:rsidRPr="00376398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398">
              <w:rPr>
                <w:rFonts w:ascii="Times New Roman" w:hAnsi="Times New Roman"/>
                <w:sz w:val="22"/>
                <w:szCs w:val="22"/>
              </w:rPr>
              <w:t>- 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D63FA" w:rsidRPr="00DF42A9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9ED">
              <w:rPr>
                <w:rFonts w:ascii="Times New Roman" w:hAnsi="Times New Roman"/>
                <w:sz w:val="22"/>
                <w:szCs w:val="22"/>
              </w:rPr>
              <w:t>236</w:t>
            </w:r>
            <w:r w:rsidRPr="00107EAE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F42A9">
              <w:rPr>
                <w:rFonts w:ascii="Times New Roman" w:hAnsi="Times New Roman"/>
                <w:sz w:val="22"/>
                <w:szCs w:val="22"/>
              </w:rPr>
              <w:t xml:space="preserve"> (9,1 %)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3FA" w:rsidRPr="00787841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7C3">
              <w:rPr>
                <w:rFonts w:ascii="Times New Roman" w:hAnsi="Times New Roman"/>
                <w:sz w:val="22"/>
                <w:szCs w:val="22"/>
              </w:rPr>
              <w:t>170</w:t>
            </w:r>
            <w:r w:rsidRPr="00D73F44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787841">
              <w:rPr>
                <w:rFonts w:ascii="Times New Roman" w:hAnsi="Times New Roman"/>
                <w:sz w:val="22"/>
                <w:szCs w:val="22"/>
              </w:rPr>
              <w:t xml:space="preserve"> (6,6 %)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D63FA" w:rsidRPr="00A2773D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773D">
              <w:rPr>
                <w:rFonts w:ascii="Times New Roman" w:hAnsi="Times New Roman"/>
                <w:sz w:val="22"/>
                <w:szCs w:val="22"/>
              </w:rPr>
              <w:t>0,78</w:t>
            </w:r>
          </w:p>
          <w:p w:rsidR="007D63FA" w:rsidRPr="00F51284" w:rsidRDefault="007D63FA" w:rsidP="007D63FA">
            <w:pPr>
              <w:keepNext/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1284">
              <w:rPr>
                <w:rFonts w:ascii="Times New Roman" w:hAnsi="Times New Roman"/>
                <w:sz w:val="22"/>
                <w:szCs w:val="22"/>
              </w:rPr>
              <w:t>(0,64; 0,96)</w:t>
            </w:r>
          </w:p>
        </w:tc>
      </w:tr>
      <w:tr w:rsidR="007D63FA" w:rsidRPr="00560F04" w:rsidTr="003139A6">
        <w:tc>
          <w:tcPr>
            <w:tcW w:w="10350" w:type="dxa"/>
            <w:gridSpan w:val="8"/>
            <w:tcBorders>
              <w:top w:val="single" w:sz="4" w:space="0" w:color="auto"/>
            </w:tcBorders>
          </w:tcPr>
          <w:p w:rsidR="00B12B1D" w:rsidRDefault="007D63FA" w:rsidP="00B12B1D">
            <w:pPr>
              <w:pStyle w:val="Table"/>
              <w:keepNext/>
              <w:widowControl w:val="0"/>
              <w:tabs>
                <w:tab w:val="clear" w:pos="284"/>
                <w:tab w:val="left" w:pos="511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HR</w:t>
            </w:r>
            <w:r w:rsidR="00B12B1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B12B1D">
              <w:rPr>
                <w:rFonts w:ascii="Times New Roman" w:hAnsi="Times New Roman"/>
                <w:sz w:val="22"/>
                <w:szCs w:val="22"/>
                <w:lang w:val="sk-SK"/>
              </w:rPr>
              <w:t>pomer rizika</w:t>
            </w:r>
          </w:p>
          <w:p w:rsidR="007D63FA" w:rsidRPr="00092732" w:rsidRDefault="007D63FA" w:rsidP="00B12B1D">
            <w:pPr>
              <w:pStyle w:val="Table"/>
              <w:keepNext/>
              <w:widowControl w:val="0"/>
              <w:tabs>
                <w:tab w:val="clear" w:pos="284"/>
                <w:tab w:val="left" w:pos="511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CI</w:t>
            </w:r>
            <w:r w:rsidR="00B12B1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B12B1D">
              <w:rPr>
                <w:rFonts w:ascii="Times New Roman" w:hAnsi="Times New Roman"/>
                <w:sz w:val="22"/>
                <w:szCs w:val="22"/>
                <w:lang w:val="sk-SK"/>
              </w:rPr>
              <w:t>interval spoľahlivosti</w:t>
            </w:r>
          </w:p>
          <w:p w:rsidR="007D63FA" w:rsidRDefault="00FC7F4C" w:rsidP="00B12B1D">
            <w:pPr>
              <w:keepNext/>
              <w:widowControl w:val="0"/>
              <w:autoSpaceDE w:val="0"/>
              <w:autoSpaceDN w:val="0"/>
              <w:adjustRightInd w:val="0"/>
              <w:ind w:left="567" w:right="767" w:hanging="567"/>
              <w:rPr>
                <w:rFonts w:ascii="Times New Roman" w:hAnsi="Times New Roman"/>
                <w:sz w:val="22"/>
                <w:szCs w:val="22"/>
              </w:rPr>
            </w:pPr>
            <w:r w:rsidRPr="00F2342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K</w:t>
            </w:r>
            <w:r w:rsidR="007D63FA" w:rsidRPr="00EC4ABD">
              <w:rPr>
                <w:rFonts w:ascii="Times New Roman" w:hAnsi="Times New Roman"/>
                <w:sz w:val="22"/>
                <w:szCs w:val="22"/>
              </w:rPr>
              <w:t xml:space="preserve">eď sa klinické skúšanie odslepilo v r. 2003, 1 551 pacientok v skupine randomizovanej </w:t>
            </w:r>
            <w:r w:rsidR="007D63FA" w:rsidRPr="000E73AC">
              <w:rPr>
                <w:rFonts w:ascii="Times New Roman" w:hAnsi="Times New Roman"/>
                <w:sz w:val="22"/>
                <w:szCs w:val="22"/>
              </w:rPr>
              <w:t>na placebo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 (60 % </w:t>
            </w:r>
            <w:r w:rsidR="001A4E96">
              <w:rPr>
                <w:rFonts w:ascii="Times New Roman" w:hAnsi="Times New Roman"/>
                <w:sz w:val="22"/>
                <w:szCs w:val="22"/>
              </w:rPr>
              <w:t xml:space="preserve">pacientok, ktoré </w:t>
            </w:r>
            <w:r w:rsidR="001A4E96" w:rsidRPr="000E73AC">
              <w:rPr>
                <w:rFonts w:ascii="Times New Roman" w:hAnsi="Times New Roman"/>
                <w:sz w:val="22"/>
                <w:szCs w:val="22"/>
              </w:rPr>
              <w:t>boli vhodné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 na zmenu liečby, t.</w:t>
            </w:r>
            <w:r w:rsidR="001A4E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j. ktoré boli bez ochorenia) prešlo na </w:t>
            </w:r>
            <w:r w:rsidR="007D63FA" w:rsidRPr="000E73AC">
              <w:rPr>
                <w:rFonts w:ascii="Times New Roman" w:hAnsi="Times New Roman"/>
                <w:sz w:val="22"/>
                <w:szCs w:val="22"/>
              </w:rPr>
              <w:t>letrozol s mediánom 31 mesiacov po randomizácii.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 Uvedené analýzy ignorujú </w:t>
            </w:r>
            <w:r w:rsidR="007D63FA" w:rsidRPr="000E73AC">
              <w:rPr>
                <w:rFonts w:ascii="Times New Roman" w:hAnsi="Times New Roman"/>
                <w:sz w:val="22"/>
                <w:szCs w:val="22"/>
              </w:rPr>
              <w:t>selektívny prechod na inú liečbu.</w:t>
            </w:r>
          </w:p>
          <w:p w:rsidR="007D63FA" w:rsidRPr="00092732" w:rsidRDefault="006D54C6" w:rsidP="006D54C6">
            <w:pPr>
              <w:keepNext/>
              <w:widowControl w:val="0"/>
              <w:autoSpaceDE w:val="0"/>
              <w:autoSpaceDN w:val="0"/>
              <w:adjustRightInd w:val="0"/>
              <w:ind w:left="567" w:right="767" w:hanging="567"/>
              <w:rPr>
                <w:rFonts w:ascii="Times New Roman" w:hAnsi="Times New Roman"/>
                <w:sz w:val="22"/>
                <w:szCs w:val="22"/>
              </w:rPr>
            </w:pPr>
            <w:r w:rsidRPr="006D54C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S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tratifikované podľa </w:t>
            </w:r>
            <w:r w:rsidR="007D63FA" w:rsidRPr="000E73AC">
              <w:rPr>
                <w:rFonts w:ascii="Times New Roman" w:hAnsi="Times New Roman"/>
                <w:sz w:val="22"/>
                <w:szCs w:val="22"/>
              </w:rPr>
              <w:t>statusu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 receptorov, </w:t>
            </w:r>
            <w:r w:rsidR="007D63FA" w:rsidRPr="000E73AC">
              <w:rPr>
                <w:rFonts w:ascii="Times New Roman" w:hAnsi="Times New Roman"/>
                <w:sz w:val="22"/>
                <w:szCs w:val="22"/>
              </w:rPr>
              <w:t>statusu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 xml:space="preserve"> uzlín a predchádzajúcej adjuvantnej chemoterapie.</w:t>
            </w:r>
          </w:p>
          <w:p w:rsidR="007D63FA" w:rsidRPr="00092732" w:rsidRDefault="006D54C6" w:rsidP="00B12B1D">
            <w:pPr>
              <w:keepNext/>
              <w:widowControl w:val="0"/>
              <w:autoSpaceDE w:val="0"/>
              <w:autoSpaceDN w:val="0"/>
              <w:adjustRightInd w:val="0"/>
              <w:ind w:left="567" w:right="767" w:hanging="567"/>
              <w:rPr>
                <w:rFonts w:ascii="Times New Roman" w:hAnsi="Times New Roman"/>
                <w:sz w:val="22"/>
                <w:szCs w:val="22"/>
              </w:rPr>
            </w:pPr>
            <w:r w:rsidRPr="00925B3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0E73AC">
              <w:rPr>
                <w:rFonts w:ascii="Times New Roman" w:hAnsi="Times New Roman"/>
                <w:sz w:val="22"/>
                <w:szCs w:val="22"/>
              </w:rPr>
              <w:tab/>
              <w:t>D</w:t>
            </w:r>
            <w:r w:rsidR="007D63FA" w:rsidRPr="000E73AC">
              <w:rPr>
                <w:rFonts w:ascii="Times New Roman" w:hAnsi="Times New Roman"/>
                <w:sz w:val="22"/>
                <w:szCs w:val="22"/>
              </w:rPr>
              <w:t>efinícia udalostí súvisiacich podľa protokolu s prežívaním bez ochorenia</w:t>
            </w:r>
            <w:r w:rsidR="007D63FA" w:rsidRPr="00092732">
              <w:rPr>
                <w:rFonts w:ascii="Times New Roman" w:hAnsi="Times New Roman"/>
                <w:sz w:val="22"/>
                <w:szCs w:val="22"/>
              </w:rPr>
              <w:t>: lokoregionálna recidíva, vzdialená metastáza alebo kontralaterálny karcinóm prsníka.</w:t>
            </w:r>
          </w:p>
          <w:p w:rsidR="007D63FA" w:rsidRPr="00092732" w:rsidRDefault="007D63FA" w:rsidP="00B12B1D">
            <w:pPr>
              <w:keepNext/>
              <w:widowControl w:val="0"/>
              <w:autoSpaceDE w:val="0"/>
              <w:autoSpaceDN w:val="0"/>
              <w:adjustRightInd w:val="0"/>
              <w:ind w:left="567" w:right="767" w:hanging="567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  <w:r w:rsidRPr="00EC4ABD">
              <w:rPr>
                <w:rFonts w:ascii="Times New Roman" w:hAnsi="Times New Roman"/>
                <w:sz w:val="22"/>
                <w:szCs w:val="22"/>
              </w:rPr>
              <w:tab/>
            </w:r>
            <w:r w:rsidRPr="00BE31E6">
              <w:rPr>
                <w:rFonts w:ascii="Times New Roman" w:hAnsi="Times New Roman"/>
                <w:sz w:val="22"/>
                <w:szCs w:val="22"/>
              </w:rPr>
              <w:t>Výskumná</w:t>
            </w:r>
            <w:r w:rsidR="001A4E96" w:rsidRPr="00BE31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31E6">
              <w:rPr>
                <w:rFonts w:ascii="Times New Roman" w:hAnsi="Times New Roman"/>
                <w:sz w:val="22"/>
                <w:szCs w:val="22"/>
              </w:rPr>
              <w:t xml:space="preserve"> analýza</w:t>
            </w:r>
            <w:r w:rsidR="00906128">
              <w:rPr>
                <w:rFonts w:ascii="Times New Roman" w:hAnsi="Times New Roman"/>
                <w:sz w:val="22"/>
                <w:szCs w:val="22"/>
              </w:rPr>
              <w:t xml:space="preserve"> (exploratory analysis)</w:t>
            </w:r>
            <w:r w:rsidRPr="00BE31E6">
              <w:rPr>
                <w:rFonts w:ascii="Times New Roman" w:hAnsi="Times New Roman"/>
                <w:sz w:val="22"/>
                <w:szCs w:val="22"/>
              </w:rPr>
              <w:t xml:space="preserve"> cenzorujúca časy ďalšieho sledovania k dátumu zmeny liečby (ak sa uskutočnila) v skupine </w:t>
            </w:r>
            <w:r w:rsidR="00925B3C" w:rsidRPr="00BE31E6">
              <w:rPr>
                <w:rFonts w:ascii="Times New Roman" w:hAnsi="Times New Roman"/>
                <w:sz w:val="22"/>
                <w:szCs w:val="22"/>
              </w:rPr>
              <w:t>s placebom</w:t>
            </w:r>
            <w:r w:rsidRPr="00BE31E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D63FA" w:rsidRPr="003139A6" w:rsidRDefault="007D63FA" w:rsidP="00B12B1D">
            <w:pPr>
              <w:keepNext/>
              <w:widowControl w:val="0"/>
              <w:autoSpaceDE w:val="0"/>
              <w:autoSpaceDN w:val="0"/>
              <w:adjustRightInd w:val="0"/>
              <w:ind w:left="567" w:right="767" w:hanging="567"/>
              <w:rPr>
                <w:rFonts w:ascii="Times New Roman" w:hAnsi="Times New Roman"/>
                <w:sz w:val="22"/>
                <w:szCs w:val="22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092732">
              <w:rPr>
                <w:rFonts w:ascii="Times New Roman" w:hAnsi="Times New Roman"/>
                <w:sz w:val="22"/>
                <w:szCs w:val="22"/>
              </w:rPr>
              <w:tab/>
            </w:r>
            <w:r w:rsidRPr="003139A6">
              <w:rPr>
                <w:rFonts w:ascii="Times New Roman" w:hAnsi="Times New Roman"/>
                <w:sz w:val="22"/>
                <w:szCs w:val="22"/>
              </w:rPr>
              <w:t>Medián ďalšieho sledovania 62 mesiacov.</w:t>
            </w:r>
          </w:p>
          <w:p w:rsidR="007D63FA" w:rsidRPr="00092732" w:rsidRDefault="007D63FA" w:rsidP="00B12B1D">
            <w:pPr>
              <w:keepNext/>
              <w:widowControl w:val="0"/>
              <w:autoSpaceDE w:val="0"/>
              <w:autoSpaceDN w:val="0"/>
              <w:adjustRightInd w:val="0"/>
              <w:ind w:left="567" w:right="767" w:hanging="567"/>
              <w:rPr>
                <w:rFonts w:ascii="Times New Roman" w:hAnsi="Times New Roman"/>
                <w:sz w:val="22"/>
                <w:szCs w:val="22"/>
              </w:rPr>
            </w:pPr>
            <w:r w:rsidRPr="003139A6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3139A6">
              <w:rPr>
                <w:rFonts w:ascii="Times New Roman" w:hAnsi="Times New Roman"/>
                <w:sz w:val="22"/>
                <w:szCs w:val="22"/>
              </w:rPr>
              <w:tab/>
              <w:t>Medián ďalšieho sledovania do zmeny liečby (ak sa uskutočnila) 37 mesiacov.</w:t>
            </w:r>
          </w:p>
        </w:tc>
      </w:tr>
    </w:tbl>
    <w:p w:rsidR="007D63FA" w:rsidRPr="009E27CE" w:rsidRDefault="007D63FA" w:rsidP="007D63FA">
      <w:pPr>
        <w:pStyle w:val="Text"/>
        <w:widowControl w:val="0"/>
        <w:spacing w:before="0"/>
        <w:rPr>
          <w:sz w:val="22"/>
          <w:szCs w:val="22"/>
          <w:lang w:val="sk-SK"/>
        </w:rPr>
      </w:pPr>
    </w:p>
    <w:p w:rsidR="00590263" w:rsidRPr="00C9478C" w:rsidRDefault="007D63FA" w:rsidP="00590263">
      <w:pPr>
        <w:pStyle w:val="Text"/>
        <w:widowControl w:val="0"/>
        <w:spacing w:before="0"/>
        <w:rPr>
          <w:sz w:val="22"/>
          <w:szCs w:val="22"/>
          <w:lang w:val="sk-SK"/>
        </w:rPr>
      </w:pPr>
      <w:r w:rsidRPr="00C9478C">
        <w:rPr>
          <w:sz w:val="22"/>
          <w:szCs w:val="22"/>
          <w:lang w:val="sk-SK"/>
        </w:rPr>
        <w:t xml:space="preserve">V </w:t>
      </w:r>
      <w:r w:rsidR="00266D9A" w:rsidRPr="00C9478C">
        <w:rPr>
          <w:sz w:val="22"/>
          <w:szCs w:val="22"/>
          <w:lang w:val="sk-SK"/>
        </w:rPr>
        <w:t>podštúdii štúdie MA-17 zameranej</w:t>
      </w:r>
      <w:r w:rsidRPr="00C9478C">
        <w:rPr>
          <w:sz w:val="22"/>
          <w:szCs w:val="22"/>
          <w:lang w:val="sk-SK"/>
        </w:rPr>
        <w:t xml:space="preserve"> na kosti, v ktorom sa súbežne podávali vápnik a vitamín D, došlo k väčšiemu poklesu BMD oproti východiskovým hodnotám pri </w:t>
      </w:r>
      <w:r w:rsidR="00590263" w:rsidRPr="00C9478C">
        <w:rPr>
          <w:sz w:val="22"/>
          <w:szCs w:val="22"/>
          <w:lang w:val="sk-SK"/>
        </w:rPr>
        <w:t>letrozole</w:t>
      </w:r>
      <w:r w:rsidRPr="00C9478C">
        <w:rPr>
          <w:sz w:val="22"/>
          <w:szCs w:val="22"/>
          <w:lang w:val="sk-SK"/>
        </w:rPr>
        <w:t xml:space="preserve"> v porovnaní s</w:t>
      </w:r>
      <w:r w:rsidR="00590263" w:rsidRPr="00C9478C">
        <w:rPr>
          <w:sz w:val="22"/>
          <w:szCs w:val="22"/>
          <w:lang w:val="sk-SK"/>
        </w:rPr>
        <w:t xml:space="preserve"> placebom. Jediný štatisticky významný rozdiel sa vyskytol po 2 rokoch pri BMD celého bedrového kĺbu (medián poklesu pri letrozole 3,8 % oproti mediánu poklesu pri placebe 2,0 %).</w:t>
      </w:r>
    </w:p>
    <w:p w:rsidR="00590263" w:rsidRPr="00C9478C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Pr="00C9478C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C9478C">
        <w:rPr>
          <w:sz w:val="22"/>
          <w:szCs w:val="22"/>
          <w:lang w:val="sk-SK"/>
        </w:rPr>
        <w:t>V</w:t>
      </w:r>
      <w:r w:rsidR="002A6844" w:rsidRPr="00C9478C">
        <w:rPr>
          <w:sz w:val="22"/>
          <w:szCs w:val="22"/>
          <w:lang w:val="sk-SK"/>
        </w:rPr>
        <w:t> podštúdii štúdie MA-17 zameranej</w:t>
      </w:r>
      <w:r w:rsidRPr="00C9478C">
        <w:rPr>
          <w:sz w:val="22"/>
          <w:szCs w:val="22"/>
          <w:lang w:val="sk-SK"/>
        </w:rPr>
        <w:t xml:space="preserve"> na lipidy neboli významné rozdiely medzi letrozolom a placebom v celkovom cholesterole alebo v akejkoľvek lipidovej frakcii.</w:t>
      </w:r>
    </w:p>
    <w:p w:rsidR="001F705D" w:rsidRPr="00C9478C" w:rsidRDefault="001F705D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Pr="00C9478C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C9478C">
        <w:rPr>
          <w:sz w:val="22"/>
          <w:szCs w:val="22"/>
          <w:lang w:val="sk-SK"/>
        </w:rPr>
        <w:t>V</w:t>
      </w:r>
      <w:r w:rsidR="00E90DDF" w:rsidRPr="00C9478C">
        <w:rPr>
          <w:sz w:val="22"/>
          <w:szCs w:val="22"/>
          <w:lang w:val="sk-SK"/>
        </w:rPr>
        <w:t xml:space="preserve"> aktualizovanej podštúdii zameranej </w:t>
      </w:r>
      <w:r w:rsidRPr="00C9478C">
        <w:rPr>
          <w:sz w:val="22"/>
          <w:szCs w:val="22"/>
          <w:lang w:val="sk-SK"/>
        </w:rPr>
        <w:t xml:space="preserve">na kvalitu života neboli významné rozdiely medzi druhmi liečby v súhrnnom skóre fyzickej </w:t>
      </w:r>
      <w:r w:rsidR="006C6F1E" w:rsidRPr="00C9478C">
        <w:rPr>
          <w:sz w:val="22"/>
          <w:szCs w:val="22"/>
          <w:lang w:val="sk-SK"/>
        </w:rPr>
        <w:t>alebo</w:t>
      </w:r>
      <w:r w:rsidRPr="00C9478C">
        <w:rPr>
          <w:sz w:val="22"/>
          <w:szCs w:val="22"/>
          <w:lang w:val="sk-SK"/>
        </w:rPr>
        <w:t xml:space="preserve"> mentálnej zložky, alebo v skóre pre akúkoľvek oblasť v hodnotení SF-36. V hodnotení MENQOL malo významne viac </w:t>
      </w:r>
      <w:r w:rsidRPr="000D22D2">
        <w:rPr>
          <w:sz w:val="22"/>
          <w:szCs w:val="22"/>
          <w:lang w:val="sk-SK"/>
        </w:rPr>
        <w:t>žien</w:t>
      </w:r>
      <w:r w:rsidR="00FE5F4D" w:rsidRPr="000D22D2">
        <w:rPr>
          <w:sz w:val="22"/>
          <w:szCs w:val="22"/>
          <w:lang w:val="sk-SK"/>
        </w:rPr>
        <w:t xml:space="preserve"> v skupine s</w:t>
      </w:r>
      <w:r w:rsidR="00203E6F" w:rsidRPr="000D22D2">
        <w:rPr>
          <w:sz w:val="22"/>
          <w:szCs w:val="22"/>
          <w:lang w:val="sk-SK"/>
        </w:rPr>
        <w:t> </w:t>
      </w:r>
      <w:r w:rsidR="00FE5F4D" w:rsidRPr="000D22D2">
        <w:rPr>
          <w:sz w:val="22"/>
          <w:szCs w:val="22"/>
          <w:lang w:val="sk-SK"/>
        </w:rPr>
        <w:t>letrozolom</w:t>
      </w:r>
      <w:r w:rsidR="00203E6F" w:rsidRPr="000D22D2">
        <w:rPr>
          <w:sz w:val="22"/>
          <w:szCs w:val="22"/>
          <w:lang w:val="sk-SK"/>
        </w:rPr>
        <w:t xml:space="preserve"> oproti skupine s placebom</w:t>
      </w:r>
      <w:r w:rsidRPr="00C9478C">
        <w:rPr>
          <w:sz w:val="22"/>
          <w:szCs w:val="22"/>
          <w:lang w:val="sk-SK"/>
        </w:rPr>
        <w:t xml:space="preserve"> najväčšie problémy (spravidla v prvom roku liečby) so symptómami spôsobenými nedostatkom estrogénov – návaly tepla a suchosť pošvy. Symptóm, ktorý spôsoboval problémy najviac </w:t>
      </w:r>
      <w:r w:rsidR="000D22D2" w:rsidRPr="00C9478C">
        <w:rPr>
          <w:sz w:val="22"/>
          <w:szCs w:val="22"/>
          <w:lang w:val="sk-SK"/>
        </w:rPr>
        <w:t>pacientkam</w:t>
      </w:r>
      <w:r w:rsidRPr="00C9478C">
        <w:rPr>
          <w:sz w:val="22"/>
          <w:szCs w:val="22"/>
          <w:lang w:val="sk-SK"/>
        </w:rPr>
        <w:t xml:space="preserve"> v oboch </w:t>
      </w:r>
      <w:r w:rsidR="000D22D2" w:rsidRPr="00C9478C">
        <w:rPr>
          <w:sz w:val="22"/>
          <w:szCs w:val="22"/>
          <w:lang w:val="sk-SK"/>
        </w:rPr>
        <w:t>liečebných</w:t>
      </w:r>
      <w:r w:rsidR="00700BC4" w:rsidRPr="00C9478C">
        <w:rPr>
          <w:sz w:val="22"/>
          <w:szCs w:val="22"/>
          <w:lang w:val="sk-SK"/>
        </w:rPr>
        <w:t xml:space="preserve"> skupinách</w:t>
      </w:r>
      <w:r w:rsidRPr="00C9478C">
        <w:rPr>
          <w:sz w:val="22"/>
          <w:szCs w:val="22"/>
          <w:lang w:val="sk-SK"/>
        </w:rPr>
        <w:t>, bola bolesť svalov, so štatisticky významným rozdielom v prospech placeba.</w:t>
      </w:r>
    </w:p>
    <w:p w:rsidR="00590263" w:rsidRDefault="00590263" w:rsidP="00590263">
      <w:pPr>
        <w:pStyle w:val="Text"/>
        <w:widowControl w:val="0"/>
        <w:spacing w:before="0"/>
        <w:rPr>
          <w:sz w:val="22"/>
          <w:szCs w:val="22"/>
          <w:lang w:val="sk-SK"/>
        </w:rPr>
      </w:pPr>
    </w:p>
    <w:p w:rsidR="00CB1ED7" w:rsidRPr="009E27CE" w:rsidRDefault="00CB1ED7" w:rsidP="00590263">
      <w:pPr>
        <w:pStyle w:val="Text"/>
        <w:widowControl w:val="0"/>
        <w:spacing w:before="0"/>
        <w:rPr>
          <w:sz w:val="22"/>
          <w:szCs w:val="22"/>
          <w:lang w:val="sk-SK"/>
        </w:rPr>
      </w:pPr>
    </w:p>
    <w:p w:rsidR="00590263" w:rsidRDefault="00590263" w:rsidP="00590263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  <w:r w:rsidRPr="009E27CE">
        <w:rPr>
          <w:i/>
          <w:sz w:val="22"/>
          <w:szCs w:val="22"/>
          <w:u w:val="single"/>
          <w:lang w:val="sk-SK"/>
        </w:rPr>
        <w:t>Neoadjuvantná liečba</w:t>
      </w:r>
    </w:p>
    <w:p w:rsidR="00CB1ED7" w:rsidRPr="009E27CE" w:rsidRDefault="00CB1ED7" w:rsidP="00590263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</w:p>
    <w:p w:rsidR="00590263" w:rsidRPr="009E27CE" w:rsidRDefault="006338C4" w:rsidP="00590263">
      <w:pPr>
        <w:pStyle w:val="paragraph"/>
        <w:widowControl w:val="0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Dvojito zaslepeného klininického skúšania</w:t>
      </w:r>
      <w:r w:rsidR="00590263" w:rsidRPr="000D135F">
        <w:rPr>
          <w:sz w:val="22"/>
          <w:szCs w:val="22"/>
          <w:lang w:val="sk-SK"/>
        </w:rPr>
        <w:t xml:space="preserve"> (P024) sa </w:t>
      </w:r>
      <w:r>
        <w:rPr>
          <w:sz w:val="22"/>
          <w:szCs w:val="22"/>
          <w:lang w:val="sk-SK"/>
        </w:rPr>
        <w:t>zúčastnilo</w:t>
      </w:r>
      <w:r w:rsidR="00590263" w:rsidRPr="000D135F">
        <w:rPr>
          <w:sz w:val="22"/>
          <w:szCs w:val="22"/>
          <w:lang w:val="sk-SK"/>
        </w:rPr>
        <w:t xml:space="preserve"> 337 postmenopauzálnych pacientok s</w:t>
      </w:r>
      <w:r w:rsidR="00590263" w:rsidRPr="009E27CE">
        <w:rPr>
          <w:sz w:val="22"/>
          <w:szCs w:val="22"/>
          <w:lang w:val="sk-SK"/>
        </w:rPr>
        <w:t xml:space="preserve"> karcinómom prsníka, </w:t>
      </w:r>
      <w:r w:rsidR="003F15CD">
        <w:rPr>
          <w:sz w:val="22"/>
          <w:szCs w:val="22"/>
          <w:lang w:val="sk-SK"/>
        </w:rPr>
        <w:t xml:space="preserve">ktoré boli randomizované buď na liečbu </w:t>
      </w:r>
      <w:r w:rsidR="00590263" w:rsidRPr="003F15CD">
        <w:rPr>
          <w:sz w:val="22"/>
          <w:szCs w:val="22"/>
          <w:lang w:val="sk-SK"/>
        </w:rPr>
        <w:t>liečba letrozolom</w:t>
      </w:r>
      <w:r w:rsidR="00590263" w:rsidRPr="009E27CE">
        <w:rPr>
          <w:sz w:val="22"/>
          <w:szCs w:val="22"/>
          <w:lang w:val="sk-SK"/>
        </w:rPr>
        <w:t xml:space="preserve"> 2,5 mg počas 4 mesiacov alebo tamoxifénom počas 4 mesiacov. </w:t>
      </w:r>
      <w:r w:rsidR="00590263" w:rsidRPr="00140A8A">
        <w:rPr>
          <w:sz w:val="22"/>
          <w:szCs w:val="22"/>
          <w:lang w:val="sk-SK"/>
        </w:rPr>
        <w:t>Na začiatku klinického skúšania</w:t>
      </w:r>
      <w:r w:rsidR="00590263" w:rsidRPr="009E27CE">
        <w:rPr>
          <w:sz w:val="22"/>
          <w:szCs w:val="22"/>
          <w:lang w:val="sk-SK"/>
        </w:rPr>
        <w:t xml:space="preserve"> mali všetky pacientky nádory v štádiu T2-T4c, N0-2, M0, </w:t>
      </w:r>
      <w:r w:rsidR="00590263" w:rsidRPr="00140A8A">
        <w:rPr>
          <w:sz w:val="22"/>
          <w:szCs w:val="22"/>
          <w:lang w:val="sk-SK"/>
        </w:rPr>
        <w:t>pozitivitu ER a/alebo PgR</w:t>
      </w:r>
      <w:r w:rsidR="00590263" w:rsidRPr="009E27CE">
        <w:rPr>
          <w:sz w:val="22"/>
          <w:szCs w:val="22"/>
          <w:lang w:val="sk-SK"/>
        </w:rPr>
        <w:t xml:space="preserve"> a žiadna z pacientok </w:t>
      </w:r>
      <w:r w:rsidR="00140A8A">
        <w:rPr>
          <w:sz w:val="22"/>
          <w:szCs w:val="22"/>
          <w:lang w:val="sk-SK"/>
        </w:rPr>
        <w:t xml:space="preserve">nebola spôsobilá </w:t>
      </w:r>
      <w:r w:rsidR="00590263" w:rsidRPr="009E27CE">
        <w:rPr>
          <w:sz w:val="22"/>
          <w:szCs w:val="22"/>
          <w:lang w:val="sk-SK"/>
        </w:rPr>
        <w:t xml:space="preserve">na chirurgický zákrok zachovávajúci prsník. Podľa klinického hodnotenia bolo 55 % objektívnych odpovedí v skupine </w:t>
      </w:r>
      <w:r w:rsidR="001568D9">
        <w:rPr>
          <w:sz w:val="22"/>
          <w:szCs w:val="22"/>
          <w:lang w:val="sk-SK"/>
        </w:rPr>
        <w:t>s letrozolom</w:t>
      </w:r>
      <w:r w:rsidR="00590263" w:rsidRPr="009E27CE">
        <w:rPr>
          <w:sz w:val="22"/>
          <w:szCs w:val="22"/>
          <w:lang w:val="sk-SK"/>
        </w:rPr>
        <w:t xml:space="preserve"> oproti 36 % v skupine </w:t>
      </w:r>
      <w:r w:rsidR="00A43D1E">
        <w:rPr>
          <w:sz w:val="22"/>
          <w:szCs w:val="22"/>
          <w:lang w:val="sk-SK"/>
        </w:rPr>
        <w:t>s tamoxifénom</w:t>
      </w:r>
      <w:r w:rsidR="00590263" w:rsidRPr="009E27CE">
        <w:rPr>
          <w:sz w:val="22"/>
          <w:szCs w:val="22"/>
          <w:lang w:val="sk-SK"/>
        </w:rPr>
        <w:t xml:space="preserve"> (p</w:t>
      </w:r>
      <w:r w:rsidR="00034781">
        <w:rPr>
          <w:sz w:val="22"/>
          <w:szCs w:val="22"/>
          <w:lang w:val="sk-SK"/>
        </w:rPr>
        <w:t> </w:t>
      </w:r>
      <w:r w:rsidR="00590263" w:rsidRPr="009E27CE">
        <w:rPr>
          <w:sz w:val="22"/>
          <w:szCs w:val="22"/>
          <w:lang w:val="sk-SK"/>
        </w:rPr>
        <w:t>&lt;</w:t>
      </w:r>
      <w:r w:rsidR="00034781">
        <w:rPr>
          <w:sz w:val="22"/>
          <w:szCs w:val="22"/>
          <w:lang w:val="sk-SK"/>
        </w:rPr>
        <w:t> </w:t>
      </w:r>
      <w:r w:rsidR="00590263" w:rsidRPr="009E27CE">
        <w:rPr>
          <w:sz w:val="22"/>
          <w:szCs w:val="22"/>
          <w:lang w:val="sk-SK"/>
        </w:rPr>
        <w:t xml:space="preserve">0,001). </w:t>
      </w:r>
      <w:r w:rsidR="00590263" w:rsidRPr="000E1F2D">
        <w:rPr>
          <w:sz w:val="22"/>
          <w:szCs w:val="22"/>
          <w:lang w:val="sk-SK"/>
        </w:rPr>
        <w:t>Tieto nálezy vždy potvrdilo vyšetrenie ultrazvukom (letrozol 35 % oproti tamoxifénu 25 %, p</w:t>
      </w:r>
      <w:r w:rsidR="00234B9D" w:rsidRPr="000E1F2D">
        <w:rPr>
          <w:sz w:val="22"/>
          <w:szCs w:val="22"/>
          <w:lang w:val="sk-SK"/>
        </w:rPr>
        <w:t> </w:t>
      </w:r>
      <w:r w:rsidR="00590263" w:rsidRPr="000E1F2D">
        <w:rPr>
          <w:sz w:val="22"/>
          <w:szCs w:val="22"/>
          <w:lang w:val="sk-SK"/>
        </w:rPr>
        <w:t>=</w:t>
      </w:r>
      <w:r w:rsidR="00234B9D" w:rsidRPr="000E1F2D">
        <w:rPr>
          <w:sz w:val="22"/>
          <w:szCs w:val="22"/>
          <w:lang w:val="sk-SK"/>
        </w:rPr>
        <w:t> </w:t>
      </w:r>
      <w:r w:rsidR="00590263" w:rsidRPr="000E1F2D">
        <w:rPr>
          <w:sz w:val="22"/>
          <w:szCs w:val="22"/>
          <w:lang w:val="sk-SK"/>
        </w:rPr>
        <w:t>0,04) a mamografiou</w:t>
      </w:r>
      <w:r w:rsidR="00590263" w:rsidRPr="009E27CE">
        <w:rPr>
          <w:sz w:val="22"/>
          <w:szCs w:val="22"/>
          <w:lang w:val="sk-SK"/>
        </w:rPr>
        <w:t xml:space="preserve"> (</w:t>
      </w:r>
      <w:r w:rsidR="00590263">
        <w:rPr>
          <w:sz w:val="22"/>
          <w:szCs w:val="22"/>
          <w:lang w:val="sk-SK"/>
        </w:rPr>
        <w:t>letrozol</w:t>
      </w:r>
      <w:r w:rsidR="00590263" w:rsidRPr="009E27CE">
        <w:rPr>
          <w:sz w:val="22"/>
          <w:szCs w:val="22"/>
          <w:lang w:val="sk-SK"/>
        </w:rPr>
        <w:t xml:space="preserve"> 34 % oproti tamoxifénu 16 %, p</w:t>
      </w:r>
      <w:r w:rsidR="00DA1E86">
        <w:rPr>
          <w:sz w:val="22"/>
          <w:szCs w:val="22"/>
          <w:lang w:val="sk-SK"/>
        </w:rPr>
        <w:t> </w:t>
      </w:r>
      <w:r w:rsidR="00590263" w:rsidRPr="009E27CE">
        <w:rPr>
          <w:sz w:val="22"/>
          <w:szCs w:val="22"/>
          <w:lang w:val="sk-SK"/>
        </w:rPr>
        <w:t>&lt;</w:t>
      </w:r>
      <w:r w:rsidR="00DA1E86">
        <w:rPr>
          <w:sz w:val="22"/>
          <w:szCs w:val="22"/>
          <w:lang w:val="sk-SK"/>
        </w:rPr>
        <w:t> </w:t>
      </w:r>
      <w:r w:rsidR="00590263" w:rsidRPr="009E27CE">
        <w:rPr>
          <w:sz w:val="22"/>
          <w:szCs w:val="22"/>
          <w:lang w:val="sk-SK"/>
        </w:rPr>
        <w:t xml:space="preserve">0,001). Celkovo 45 % pacientok v skupine </w:t>
      </w:r>
      <w:r w:rsidR="00551132">
        <w:rPr>
          <w:sz w:val="22"/>
          <w:szCs w:val="22"/>
          <w:lang w:val="sk-SK"/>
        </w:rPr>
        <w:t>s letrozolom</w:t>
      </w:r>
      <w:r w:rsidR="00590263" w:rsidRPr="009E27CE">
        <w:rPr>
          <w:sz w:val="22"/>
          <w:szCs w:val="22"/>
          <w:lang w:val="sk-SK"/>
        </w:rPr>
        <w:t xml:space="preserve"> oproti 35 % pacientok v skupine </w:t>
      </w:r>
      <w:r w:rsidR="001A08EE">
        <w:rPr>
          <w:sz w:val="22"/>
          <w:szCs w:val="22"/>
          <w:lang w:val="sk-SK"/>
        </w:rPr>
        <w:t>s tamoxifénom</w:t>
      </w:r>
      <w:r w:rsidR="00590263" w:rsidRPr="009E27CE">
        <w:rPr>
          <w:sz w:val="22"/>
          <w:szCs w:val="22"/>
          <w:lang w:val="sk-SK"/>
        </w:rPr>
        <w:t xml:space="preserve"> (p</w:t>
      </w:r>
      <w:r w:rsidR="001A08EE">
        <w:rPr>
          <w:sz w:val="22"/>
          <w:szCs w:val="22"/>
          <w:lang w:val="sk-SK"/>
        </w:rPr>
        <w:t> </w:t>
      </w:r>
      <w:r w:rsidR="00590263" w:rsidRPr="009E27CE">
        <w:rPr>
          <w:sz w:val="22"/>
          <w:szCs w:val="22"/>
          <w:lang w:val="sk-SK"/>
        </w:rPr>
        <w:t>=</w:t>
      </w:r>
      <w:r w:rsidR="001A08EE">
        <w:rPr>
          <w:sz w:val="22"/>
          <w:szCs w:val="22"/>
          <w:lang w:val="sk-SK"/>
        </w:rPr>
        <w:t> </w:t>
      </w:r>
      <w:r w:rsidR="00590263" w:rsidRPr="009E27CE">
        <w:rPr>
          <w:sz w:val="22"/>
          <w:szCs w:val="22"/>
          <w:lang w:val="sk-SK"/>
        </w:rPr>
        <w:t>0,02) podstúpilo liečbu zachovávajúcu prsník. Počas 4-</w:t>
      </w:r>
      <w:r w:rsidR="00590263" w:rsidRPr="000E1F2D">
        <w:rPr>
          <w:sz w:val="22"/>
          <w:szCs w:val="22"/>
          <w:lang w:val="sk-SK"/>
        </w:rPr>
        <w:t>mesačného obdobia</w:t>
      </w:r>
      <w:r w:rsidR="00590263" w:rsidRPr="009E27CE">
        <w:rPr>
          <w:sz w:val="22"/>
          <w:szCs w:val="22"/>
          <w:lang w:val="sk-SK"/>
        </w:rPr>
        <w:t xml:space="preserve"> liečby pred operáciou malo pri klinickom hodnotení progresiu ochorenia 12 % pacientok liečených </w:t>
      </w:r>
      <w:r w:rsidR="00590263">
        <w:rPr>
          <w:sz w:val="22"/>
          <w:szCs w:val="22"/>
          <w:lang w:val="sk-SK"/>
        </w:rPr>
        <w:t>letrozolom</w:t>
      </w:r>
      <w:r w:rsidR="00590263" w:rsidRPr="009E27CE">
        <w:rPr>
          <w:sz w:val="22"/>
          <w:szCs w:val="22"/>
          <w:lang w:val="sk-SK"/>
        </w:rPr>
        <w:t xml:space="preserve"> a 17 % pacientok liečených tamoxifénom.</w:t>
      </w:r>
    </w:p>
    <w:p w:rsidR="00590263" w:rsidRDefault="00590263" w:rsidP="00590263">
      <w:pPr>
        <w:pStyle w:val="Text"/>
        <w:widowControl w:val="0"/>
        <w:spacing w:before="0"/>
        <w:jc w:val="left"/>
        <w:rPr>
          <w:i/>
          <w:sz w:val="22"/>
          <w:szCs w:val="22"/>
          <w:u w:val="single"/>
          <w:lang w:val="sk-SK"/>
        </w:rPr>
      </w:pPr>
    </w:p>
    <w:p w:rsidR="00590263" w:rsidRPr="00E852B3" w:rsidRDefault="00590263" w:rsidP="00590263">
      <w:pPr>
        <w:pStyle w:val="Text"/>
        <w:keepNext/>
        <w:widowControl w:val="0"/>
        <w:spacing w:before="0"/>
        <w:jc w:val="left"/>
        <w:rPr>
          <w:b/>
          <w:sz w:val="22"/>
          <w:szCs w:val="22"/>
          <w:u w:val="single"/>
          <w:lang w:val="sk-SK"/>
        </w:rPr>
      </w:pPr>
      <w:r w:rsidRPr="00E852B3">
        <w:rPr>
          <w:b/>
          <w:sz w:val="22"/>
          <w:szCs w:val="22"/>
          <w:u w:val="single"/>
          <w:lang w:val="sk-SK"/>
        </w:rPr>
        <w:t>Liečba prvej línie</w:t>
      </w:r>
    </w:p>
    <w:p w:rsidR="00367E79" w:rsidRPr="009E27CE" w:rsidRDefault="00367E79" w:rsidP="00590263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</w:p>
    <w:p w:rsidR="00590263" w:rsidRPr="009E27CE" w:rsidRDefault="00590263" w:rsidP="00590263">
      <w:pPr>
        <w:pStyle w:val="Zkladntext"/>
        <w:rPr>
          <w:szCs w:val="22"/>
        </w:rPr>
      </w:pPr>
      <w:r w:rsidRPr="009E27CE">
        <w:rPr>
          <w:szCs w:val="22"/>
        </w:rPr>
        <w:t xml:space="preserve">Vykonalo sa jedno kontrolované, </w:t>
      </w:r>
      <w:r w:rsidRPr="003C3351">
        <w:rPr>
          <w:szCs w:val="22"/>
        </w:rPr>
        <w:t>dvojito zaslepené klinické skúšanie</w:t>
      </w:r>
      <w:r w:rsidRPr="009E27CE">
        <w:rPr>
          <w:szCs w:val="22"/>
        </w:rPr>
        <w:t>, v ktorom sa porovnával</w:t>
      </w:r>
      <w:r>
        <w:rPr>
          <w:szCs w:val="22"/>
        </w:rPr>
        <w:t xml:space="preserve"> </w:t>
      </w:r>
      <w:r w:rsidRPr="009E27CE">
        <w:rPr>
          <w:szCs w:val="22"/>
        </w:rPr>
        <w:t xml:space="preserve">letrozol 2,5 mg s tamoxifénom 20 mg ako </w:t>
      </w:r>
      <w:r w:rsidRPr="003C3351">
        <w:rPr>
          <w:szCs w:val="22"/>
        </w:rPr>
        <w:t>liečba prvej línie u postmenopauzálnych žien s pokročilým</w:t>
      </w:r>
      <w:r w:rsidRPr="009E27CE">
        <w:rPr>
          <w:szCs w:val="22"/>
        </w:rPr>
        <w:t xml:space="preserve"> karcinómom prsníka. U 907 žien bol letrozol účinnejší ako tamoxifén vzhľadom na čas do progresie (primárny ukazovateľ) a celkovú objektívnu odpoveď, čas do zlyhania liečby a klinický prínos.</w:t>
      </w:r>
    </w:p>
    <w:p w:rsidR="00590263" w:rsidRPr="009E27CE" w:rsidRDefault="00590263" w:rsidP="00590263">
      <w:pPr>
        <w:pStyle w:val="Zkladntext"/>
        <w:rPr>
          <w:szCs w:val="22"/>
        </w:rPr>
      </w:pPr>
    </w:p>
    <w:p w:rsidR="00590263" w:rsidRPr="009E27CE" w:rsidRDefault="00590263" w:rsidP="00590263">
      <w:pPr>
        <w:pStyle w:val="Zkladntext"/>
        <w:rPr>
          <w:szCs w:val="22"/>
        </w:rPr>
      </w:pPr>
      <w:r w:rsidRPr="009E27CE">
        <w:rPr>
          <w:szCs w:val="22"/>
        </w:rPr>
        <w:t>Výsledky sú zhrnuté v </w:t>
      </w:r>
      <w:r w:rsidR="00007EB1">
        <w:rPr>
          <w:szCs w:val="22"/>
        </w:rPr>
        <w:t>t</w:t>
      </w:r>
      <w:r w:rsidRPr="009E27CE">
        <w:rPr>
          <w:szCs w:val="22"/>
        </w:rPr>
        <w:t>abuľke </w:t>
      </w:r>
      <w:r>
        <w:rPr>
          <w:szCs w:val="22"/>
        </w:rPr>
        <w:t>9</w:t>
      </w:r>
      <w:r w:rsidRPr="009E27CE">
        <w:rPr>
          <w:szCs w:val="22"/>
        </w:rPr>
        <w:t>.</w:t>
      </w:r>
    </w:p>
    <w:p w:rsidR="00590263" w:rsidRPr="009E27CE" w:rsidRDefault="00590263" w:rsidP="00590263">
      <w:pPr>
        <w:pStyle w:val="Text"/>
        <w:widowControl w:val="0"/>
        <w:tabs>
          <w:tab w:val="left" w:pos="645"/>
        </w:tabs>
        <w:spacing w:before="0"/>
        <w:jc w:val="left"/>
        <w:rPr>
          <w:sz w:val="22"/>
          <w:szCs w:val="22"/>
          <w:lang w:val="sk-SK"/>
        </w:rPr>
      </w:pPr>
    </w:p>
    <w:p w:rsidR="00590263" w:rsidRPr="009E27CE" w:rsidRDefault="00590263" w:rsidP="00590263">
      <w:pPr>
        <w:pStyle w:val="Table"/>
        <w:keepNext/>
        <w:widowControl w:val="0"/>
        <w:ind w:left="1134" w:hanging="1134"/>
        <w:rPr>
          <w:rFonts w:ascii="Times New Roman" w:hAnsi="Times New Roman"/>
          <w:b/>
          <w:sz w:val="22"/>
          <w:szCs w:val="22"/>
          <w:lang w:val="sk-SK"/>
        </w:rPr>
      </w:pPr>
      <w:r w:rsidRPr="009E27CE">
        <w:rPr>
          <w:rFonts w:ascii="Times New Roman" w:hAnsi="Times New Roman"/>
          <w:b/>
          <w:sz w:val="22"/>
          <w:szCs w:val="22"/>
          <w:lang w:val="sk-SK"/>
        </w:rPr>
        <w:t>Tabuľka 9</w:t>
      </w:r>
      <w:r w:rsidRPr="009E27CE">
        <w:rPr>
          <w:rFonts w:ascii="Times New Roman" w:hAnsi="Times New Roman"/>
          <w:b/>
          <w:sz w:val="22"/>
          <w:szCs w:val="22"/>
          <w:lang w:val="sk-SK"/>
        </w:rPr>
        <w:tab/>
      </w:r>
      <w:r w:rsidRPr="002755AD">
        <w:rPr>
          <w:rFonts w:ascii="Times New Roman" w:hAnsi="Times New Roman"/>
          <w:b/>
          <w:sz w:val="22"/>
          <w:szCs w:val="22"/>
          <w:lang w:val="sk-SK"/>
        </w:rPr>
        <w:t>Výsledky pri mediáne ďalšieho sledovania 32 mesiacov</w:t>
      </w:r>
      <w:r w:rsidR="00830D12" w:rsidRPr="002755AD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590263" w:rsidRPr="009E27CE" w:rsidRDefault="00590263" w:rsidP="00590263">
      <w:pPr>
        <w:pStyle w:val="Table"/>
        <w:keepNext/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324"/>
        <w:gridCol w:w="2324"/>
        <w:gridCol w:w="2324"/>
      </w:tblGrid>
      <w:tr w:rsidR="00590263" w:rsidRPr="00DF7952" w:rsidTr="0022465E">
        <w:trPr>
          <w:tblHeader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Premenná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A103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Štatistika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590263" w:rsidRPr="00092732" w:rsidRDefault="00DF7952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</w:t>
            </w:r>
            <w:r w:rsidR="00590263"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etrozol</w:t>
            </w:r>
          </w:p>
          <w:p w:rsidR="00590263" w:rsidRPr="00092732" w:rsidRDefault="00DF7952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 </w:t>
            </w:r>
            <w:r w:rsidR="00590263"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=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="00590263"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453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590263" w:rsidRPr="00092732" w:rsidRDefault="006179E9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</w:t>
            </w:r>
            <w:r w:rsidR="00590263"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amoxifén</w:t>
            </w:r>
          </w:p>
          <w:p w:rsidR="00590263" w:rsidRPr="00092732" w:rsidRDefault="006179E9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 </w:t>
            </w:r>
            <w:r w:rsidR="00590263"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=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="00590263"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454</w:t>
            </w:r>
          </w:p>
        </w:tc>
      </w:tr>
      <w:tr w:rsidR="00590263" w:rsidRPr="00DF7952" w:rsidTr="00481834">
        <w:tc>
          <w:tcPr>
            <w:tcW w:w="2324" w:type="dxa"/>
            <w:tcBorders>
              <w:top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Čas do progresie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90263" w:rsidRPr="00092732" w:rsidRDefault="00FC3350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r w:rsidR="00590263" w:rsidRPr="00092732">
              <w:rPr>
                <w:rFonts w:ascii="Times New Roman" w:hAnsi="Times New Roman"/>
                <w:sz w:val="22"/>
                <w:szCs w:val="22"/>
                <w:lang w:val="sk-SK"/>
              </w:rPr>
              <w:t>edián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9,4 mesiacov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90263" w:rsidRPr="00EC4ABD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C4ABD">
              <w:rPr>
                <w:rFonts w:ascii="Times New Roman" w:hAnsi="Times New Roman"/>
                <w:sz w:val="22"/>
                <w:szCs w:val="22"/>
                <w:lang w:val="sk-SK"/>
              </w:rPr>
              <w:t>6,0 mesiacov</w:t>
            </w:r>
          </w:p>
        </w:tc>
      </w:tr>
      <w:tr w:rsidR="00590263" w:rsidRPr="00DF7952" w:rsidTr="00481834">
        <w:tc>
          <w:tcPr>
            <w:tcW w:w="2324" w:type="dxa"/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(95 % CI pre medián)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EC4ABD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C4ABD">
              <w:rPr>
                <w:rFonts w:ascii="Times New Roman" w:hAnsi="Times New Roman"/>
                <w:sz w:val="22"/>
                <w:szCs w:val="22"/>
                <w:lang w:val="sk-SK"/>
              </w:rPr>
              <w:t>(8,9; 11,6 mesiacov)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984C4E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84C4E">
              <w:rPr>
                <w:rFonts w:ascii="Times New Roman" w:hAnsi="Times New Roman"/>
                <w:sz w:val="22"/>
                <w:szCs w:val="22"/>
                <w:lang w:val="sk-SK"/>
              </w:rPr>
              <w:t>(5,4; 6,3 mesiacov)</w:t>
            </w:r>
          </w:p>
        </w:tc>
      </w:tr>
      <w:tr w:rsidR="00590263" w:rsidRPr="00DF7952" w:rsidTr="00481834">
        <w:trPr>
          <w:cantSplit/>
        </w:trPr>
        <w:tc>
          <w:tcPr>
            <w:tcW w:w="2324" w:type="dxa"/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590263" w:rsidRPr="00092732" w:rsidRDefault="00FC3350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HR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0,72</w:t>
            </w:r>
          </w:p>
        </w:tc>
      </w:tr>
      <w:tr w:rsidR="00590263" w:rsidRPr="00DF7952" w:rsidTr="00481834">
        <w:trPr>
          <w:cantSplit/>
        </w:trPr>
        <w:tc>
          <w:tcPr>
            <w:tcW w:w="2324" w:type="dxa"/>
            <w:tcBorders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(95 % CI pre HR)</w:t>
            </w:r>
          </w:p>
        </w:tc>
        <w:tc>
          <w:tcPr>
            <w:tcW w:w="4648" w:type="dxa"/>
            <w:gridSpan w:val="2"/>
            <w:tcBorders>
              <w:bottom w:val="nil"/>
            </w:tcBorders>
          </w:tcPr>
          <w:p w:rsidR="00590263" w:rsidRPr="00EC4ABD" w:rsidRDefault="00590263" w:rsidP="0022465E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C4ABD">
              <w:rPr>
                <w:rFonts w:ascii="Times New Roman" w:hAnsi="Times New Roman"/>
                <w:sz w:val="22"/>
                <w:szCs w:val="22"/>
                <w:lang w:val="sk-SK"/>
              </w:rPr>
              <w:t>(0,62; 0,83)</w:t>
            </w:r>
          </w:p>
        </w:tc>
      </w:tr>
      <w:tr w:rsidR="00590263" w:rsidRPr="00DF7952" w:rsidTr="00481834">
        <w:trPr>
          <w:cantSplit/>
        </w:trPr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648" w:type="dxa"/>
            <w:gridSpan w:val="2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F795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 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="00A029E8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0,0001</w:t>
            </w:r>
          </w:p>
        </w:tc>
      </w:tr>
      <w:tr w:rsidR="00590263" w:rsidRPr="00DF7952" w:rsidTr="00E336E7">
        <w:tc>
          <w:tcPr>
            <w:tcW w:w="2324" w:type="dxa"/>
            <w:tcBorders>
              <w:top w:val="single" w:sz="4" w:space="0" w:color="auto"/>
            </w:tcBorders>
          </w:tcPr>
          <w:p w:rsidR="00590263" w:rsidRPr="00036F94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highlight w:val="yellow"/>
                <w:lang w:val="sk-SK"/>
              </w:rPr>
            </w:pPr>
            <w:r w:rsidRPr="00DA1035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Podiel objektívnych odpovedí (ORR)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A1035">
              <w:rPr>
                <w:rFonts w:ascii="Times New Roman" w:hAnsi="Times New Roman"/>
                <w:sz w:val="22"/>
                <w:szCs w:val="22"/>
                <w:lang w:val="sk-SK"/>
              </w:rPr>
              <w:t>CR</w:t>
            </w:r>
            <w:r w:rsidR="00481834" w:rsidRPr="00DA103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DA1035">
              <w:rPr>
                <w:rFonts w:ascii="Times New Roman" w:hAnsi="Times New Roman"/>
                <w:sz w:val="22"/>
                <w:szCs w:val="22"/>
                <w:lang w:val="sk-SK"/>
              </w:rPr>
              <w:t>+</w:t>
            </w:r>
            <w:r w:rsidR="00481834" w:rsidRPr="00DA103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DA1035">
              <w:rPr>
                <w:rFonts w:ascii="Times New Roman" w:hAnsi="Times New Roman"/>
                <w:sz w:val="22"/>
                <w:szCs w:val="22"/>
                <w:lang w:val="sk-SK"/>
              </w:rPr>
              <w:t>PR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145 (32 %)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590263" w:rsidRPr="00EC4ABD" w:rsidRDefault="00590263" w:rsidP="0022465E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C4ABD">
              <w:rPr>
                <w:rFonts w:ascii="Times New Roman" w:hAnsi="Times New Roman"/>
                <w:sz w:val="22"/>
                <w:szCs w:val="22"/>
                <w:lang w:val="sk-SK"/>
              </w:rPr>
              <w:t>95 (21 %)</w:t>
            </w:r>
          </w:p>
        </w:tc>
      </w:tr>
      <w:tr w:rsidR="00590263" w:rsidRPr="00DF7952" w:rsidTr="00E336E7">
        <w:tc>
          <w:tcPr>
            <w:tcW w:w="2324" w:type="dxa"/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(95 % CI pre </w:t>
            </w:r>
            <w:r w:rsidRPr="00DA1035">
              <w:rPr>
                <w:rFonts w:ascii="Times New Roman" w:hAnsi="Times New Roman"/>
                <w:sz w:val="22"/>
                <w:szCs w:val="22"/>
                <w:lang w:val="sk-SK"/>
              </w:rPr>
              <w:t>podiel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FD46C5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(28</w:t>
            </w:r>
            <w:r w:rsidR="00FD46C5">
              <w:rPr>
                <w:rFonts w:ascii="Times New Roman" w:hAnsi="Times New Roman"/>
                <w:sz w:val="22"/>
                <w:szCs w:val="22"/>
                <w:lang w:val="sk-SK"/>
              </w:rPr>
              <w:t>;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36 %)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FD46C5">
            <w:pPr>
              <w:pStyle w:val="Table"/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(17</w:t>
            </w:r>
            <w:r w:rsidR="00FD46C5">
              <w:rPr>
                <w:rFonts w:ascii="Times New Roman" w:hAnsi="Times New Roman"/>
                <w:sz w:val="22"/>
                <w:szCs w:val="22"/>
                <w:lang w:val="sk-SK"/>
              </w:rPr>
              <w:t>;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25 %)</w:t>
            </w:r>
          </w:p>
        </w:tc>
      </w:tr>
      <w:tr w:rsidR="00590263" w:rsidRPr="00DF7952" w:rsidTr="00E336E7">
        <w:trPr>
          <w:cantSplit/>
        </w:trPr>
        <w:tc>
          <w:tcPr>
            <w:tcW w:w="2324" w:type="dxa"/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590263" w:rsidRPr="00036F94" w:rsidRDefault="00E25045" w:rsidP="00E25045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OR</w:t>
            </w:r>
            <w:r w:rsidR="00E336E7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1,78</w:t>
            </w:r>
          </w:p>
        </w:tc>
      </w:tr>
      <w:tr w:rsidR="00590263" w:rsidRPr="00DF7952" w:rsidTr="0022465E">
        <w:trPr>
          <w:cantSplit/>
        </w:trPr>
        <w:tc>
          <w:tcPr>
            <w:tcW w:w="2324" w:type="dxa"/>
            <w:tcBorders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590263" w:rsidRPr="00092732" w:rsidRDefault="00590263" w:rsidP="00E25045">
            <w:pPr>
              <w:pStyle w:val="Table"/>
              <w:keepNext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(95 % CI </w:t>
            </w:r>
            <w:r w:rsidR="00E25045">
              <w:rPr>
                <w:rFonts w:ascii="Times New Roman" w:hAnsi="Times New Roman"/>
                <w:sz w:val="22"/>
                <w:szCs w:val="22"/>
                <w:lang w:val="sk-SK"/>
              </w:rPr>
              <w:t>pre OR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4648" w:type="dxa"/>
            <w:gridSpan w:val="2"/>
            <w:tcBorders>
              <w:bottom w:val="nil"/>
            </w:tcBorders>
          </w:tcPr>
          <w:p w:rsidR="00590263" w:rsidRPr="00092732" w:rsidRDefault="00590263" w:rsidP="0022465E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(1,32; 2,40)</w:t>
            </w:r>
          </w:p>
        </w:tc>
      </w:tr>
      <w:tr w:rsidR="00590263" w:rsidRPr="00DF7952" w:rsidTr="0022465E">
        <w:trPr>
          <w:cantSplit/>
        </w:trPr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widowControl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648" w:type="dxa"/>
            <w:gridSpan w:val="2"/>
            <w:tcBorders>
              <w:top w:val="nil"/>
              <w:bottom w:val="single" w:sz="4" w:space="0" w:color="auto"/>
            </w:tcBorders>
          </w:tcPr>
          <w:p w:rsidR="00590263" w:rsidRPr="00092732" w:rsidRDefault="00590263" w:rsidP="0022465E">
            <w:pPr>
              <w:pStyle w:val="Table"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F795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 = </w:t>
            </w:r>
            <w:r w:rsidRPr="00092732">
              <w:rPr>
                <w:rFonts w:ascii="Times New Roman" w:hAnsi="Times New Roman"/>
                <w:sz w:val="22"/>
                <w:szCs w:val="22"/>
                <w:lang w:val="sk-SK"/>
              </w:rPr>
              <w:t>0,0002</w:t>
            </w:r>
          </w:p>
        </w:tc>
      </w:tr>
    </w:tbl>
    <w:p w:rsidR="00EC17C0" w:rsidRDefault="00EC17C0" w:rsidP="00E336E7">
      <w:pPr>
        <w:pStyle w:val="Text"/>
        <w:widowControl w:val="0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en-US"/>
        </w:rPr>
        <w:t>*</w:t>
      </w:r>
      <w:r w:rsidR="00E336E7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OR =</w:t>
      </w:r>
      <w:r>
        <w:rPr>
          <w:sz w:val="22"/>
          <w:szCs w:val="22"/>
          <w:lang w:val="en-US"/>
        </w:rPr>
        <w:t xml:space="preserve"> odds ratio, pomer </w:t>
      </w:r>
      <w:r>
        <w:rPr>
          <w:sz w:val="22"/>
          <w:szCs w:val="22"/>
          <w:lang w:val="sk-SK"/>
        </w:rPr>
        <w:t>šancí</w:t>
      </w:r>
      <w:r w:rsidR="003F3CBA">
        <w:rPr>
          <w:sz w:val="22"/>
          <w:szCs w:val="22"/>
          <w:lang w:val="sk-SK"/>
        </w:rPr>
        <w:t>.</w:t>
      </w:r>
    </w:p>
    <w:p w:rsidR="00E336E7" w:rsidRPr="00EC17C0" w:rsidRDefault="00E336E7" w:rsidP="00E336E7">
      <w:pPr>
        <w:pStyle w:val="Text"/>
        <w:widowControl w:val="0"/>
        <w:spacing w:before="0"/>
        <w:ind w:left="567" w:hanging="567"/>
        <w:jc w:val="left"/>
        <w:rPr>
          <w:sz w:val="22"/>
          <w:szCs w:val="22"/>
          <w:lang w:val="sk-SK"/>
        </w:rPr>
      </w:pP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FE017F">
        <w:rPr>
          <w:sz w:val="22"/>
          <w:szCs w:val="22"/>
          <w:lang w:val="sk-SK"/>
        </w:rPr>
        <w:t xml:space="preserve">Čas do progresie bol </w:t>
      </w:r>
      <w:r w:rsidRPr="00EF2A07">
        <w:rPr>
          <w:sz w:val="22"/>
          <w:szCs w:val="22"/>
          <w:lang w:val="sk-SK"/>
        </w:rPr>
        <w:t>významne</w:t>
      </w:r>
      <w:r w:rsidRPr="00FE017F">
        <w:rPr>
          <w:sz w:val="22"/>
          <w:szCs w:val="22"/>
          <w:lang w:val="sk-SK"/>
        </w:rPr>
        <w:t xml:space="preserve"> dlhší a </w:t>
      </w:r>
      <w:r w:rsidRPr="00EF2A07">
        <w:rPr>
          <w:sz w:val="22"/>
          <w:szCs w:val="22"/>
          <w:lang w:val="sk-SK"/>
        </w:rPr>
        <w:t xml:space="preserve">podiel odpovedí bol významne vyšší pri letrozole bez ohľadu na to, či sa </w:t>
      </w:r>
      <w:r w:rsidR="0030763F" w:rsidRPr="00EF2A07">
        <w:rPr>
          <w:sz w:val="22"/>
          <w:szCs w:val="22"/>
          <w:lang w:val="sk-SK"/>
        </w:rPr>
        <w:t>adjuvantná antiestrogénová liečba</w:t>
      </w:r>
      <w:r w:rsidR="0030763F" w:rsidRPr="00FE017F">
        <w:rPr>
          <w:sz w:val="22"/>
          <w:szCs w:val="22"/>
          <w:lang w:val="sk-SK"/>
        </w:rPr>
        <w:t xml:space="preserve"> </w:t>
      </w:r>
      <w:r w:rsidRPr="00FE017F">
        <w:rPr>
          <w:sz w:val="22"/>
          <w:szCs w:val="22"/>
          <w:lang w:val="sk-SK"/>
        </w:rPr>
        <w:t xml:space="preserve">podala alebo </w:t>
      </w:r>
      <w:r w:rsidR="0030763F">
        <w:rPr>
          <w:sz w:val="22"/>
          <w:szCs w:val="22"/>
          <w:lang w:val="sk-SK"/>
        </w:rPr>
        <w:t>nie</w:t>
      </w:r>
      <w:r w:rsidRPr="00FE017F">
        <w:rPr>
          <w:sz w:val="22"/>
          <w:szCs w:val="22"/>
          <w:lang w:val="sk-SK"/>
        </w:rPr>
        <w:t>. Čas do progresie bol významne dlhší pri letrozole bez ohľadu na dominantné miesto choroby. Medián času do progresie bol</w:t>
      </w:r>
      <w:r>
        <w:rPr>
          <w:sz w:val="22"/>
          <w:szCs w:val="22"/>
        </w:rPr>
        <w:t xml:space="preserve"> </w:t>
      </w:r>
      <w:r w:rsidRPr="009E27CE">
        <w:rPr>
          <w:sz w:val="22"/>
          <w:szCs w:val="22"/>
          <w:lang w:val="sk-SK"/>
        </w:rPr>
        <w:t xml:space="preserve">12,1 mesiacov pri </w:t>
      </w:r>
      <w:r w:rsidRPr="00590263">
        <w:rPr>
          <w:sz w:val="22"/>
          <w:szCs w:val="22"/>
          <w:lang w:val="sk-SK"/>
        </w:rPr>
        <w:t xml:space="preserve">letrozole </w:t>
      </w:r>
      <w:r w:rsidRPr="009E27CE">
        <w:rPr>
          <w:sz w:val="22"/>
          <w:szCs w:val="22"/>
          <w:lang w:val="sk-SK"/>
        </w:rPr>
        <w:t xml:space="preserve">a 6,4 mesiacov pri tamoxiféne u pacientok s ochorením len mäkkých tkanív a medián 8,3 mesiacov pri </w:t>
      </w:r>
      <w:r w:rsidRPr="00590263">
        <w:rPr>
          <w:sz w:val="22"/>
          <w:szCs w:val="22"/>
          <w:lang w:val="sk-SK"/>
        </w:rPr>
        <w:t xml:space="preserve">letrozole </w:t>
      </w:r>
      <w:r w:rsidRPr="009E27CE">
        <w:rPr>
          <w:sz w:val="22"/>
          <w:szCs w:val="22"/>
          <w:lang w:val="sk-SK"/>
        </w:rPr>
        <w:t>a 4,6 mesiacov pri tamoxiféne u pacientok s</w:t>
      </w:r>
      <w:r w:rsidR="00EF2A07">
        <w:rPr>
          <w:sz w:val="22"/>
          <w:szCs w:val="22"/>
          <w:lang w:val="sk-SK"/>
        </w:rPr>
        <w:t> viscerálnymi metastázami.</w:t>
      </w: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042F59">
        <w:rPr>
          <w:sz w:val="22"/>
          <w:szCs w:val="22"/>
          <w:lang w:val="sk-SK"/>
        </w:rPr>
        <w:t xml:space="preserve">Usporiadanie </w:t>
      </w:r>
      <w:r w:rsidR="00042F59">
        <w:rPr>
          <w:sz w:val="22"/>
          <w:szCs w:val="22"/>
          <w:lang w:val="sk-SK"/>
        </w:rPr>
        <w:t>štúdie</w:t>
      </w:r>
      <w:r w:rsidRPr="009E27CE">
        <w:rPr>
          <w:sz w:val="22"/>
          <w:szCs w:val="22"/>
          <w:lang w:val="sk-SK"/>
        </w:rPr>
        <w:t xml:space="preserve"> umožňovalo pacientk</w:t>
      </w:r>
      <w:r>
        <w:rPr>
          <w:sz w:val="22"/>
          <w:szCs w:val="22"/>
          <w:lang w:val="sk-SK"/>
        </w:rPr>
        <w:t>a</w:t>
      </w:r>
      <w:r w:rsidRPr="009E27CE">
        <w:rPr>
          <w:sz w:val="22"/>
          <w:szCs w:val="22"/>
          <w:lang w:val="sk-SK"/>
        </w:rPr>
        <w:t xml:space="preserve">m prejsť pri progresii ochorenia na druhú liečbu alebo ukončiť účasť v </w:t>
      </w:r>
      <w:r w:rsidR="005C18C2">
        <w:rPr>
          <w:sz w:val="22"/>
          <w:szCs w:val="22"/>
          <w:lang w:val="sk-SK"/>
        </w:rPr>
        <w:t>štúdii</w:t>
      </w:r>
      <w:r w:rsidRPr="009E27CE">
        <w:rPr>
          <w:sz w:val="22"/>
          <w:szCs w:val="22"/>
          <w:lang w:val="sk-SK"/>
        </w:rPr>
        <w:t xml:space="preserve">. Približne 50 % pacientok prešlo do skupiny </w:t>
      </w:r>
      <w:r w:rsidR="004423F1">
        <w:rPr>
          <w:sz w:val="22"/>
          <w:szCs w:val="22"/>
          <w:lang w:val="sk-SK"/>
        </w:rPr>
        <w:t>s druhou liečbou</w:t>
      </w:r>
      <w:r w:rsidRPr="009E27CE">
        <w:rPr>
          <w:sz w:val="22"/>
          <w:szCs w:val="22"/>
          <w:lang w:val="sk-SK"/>
        </w:rPr>
        <w:t xml:space="preserve"> a </w:t>
      </w:r>
      <w:r w:rsidRPr="00E84A9E">
        <w:rPr>
          <w:sz w:val="22"/>
          <w:szCs w:val="22"/>
          <w:lang w:val="sk-SK"/>
        </w:rPr>
        <w:t>zmena</w:t>
      </w:r>
      <w:r w:rsidRPr="009E27CE">
        <w:rPr>
          <w:sz w:val="22"/>
          <w:szCs w:val="22"/>
          <w:lang w:val="sk-SK"/>
        </w:rPr>
        <w:t xml:space="preserve"> liečby bola prakticky ukončená do 36 mesiacov. </w:t>
      </w:r>
      <w:r w:rsidRPr="00E84A9E">
        <w:rPr>
          <w:sz w:val="22"/>
          <w:szCs w:val="22"/>
          <w:lang w:val="sk-SK"/>
        </w:rPr>
        <w:t>Medián času do zmeny liečby</w:t>
      </w:r>
      <w:r w:rsidRPr="009E27CE">
        <w:rPr>
          <w:sz w:val="22"/>
          <w:szCs w:val="22"/>
          <w:lang w:val="sk-SK"/>
        </w:rPr>
        <w:t xml:space="preserve"> bol 17 mesiacov (</w:t>
      </w:r>
      <w:r>
        <w:rPr>
          <w:sz w:val="22"/>
          <w:szCs w:val="22"/>
          <w:lang w:val="sk-SK"/>
        </w:rPr>
        <w:t xml:space="preserve">letrozole </w:t>
      </w:r>
      <w:r w:rsidRPr="009E27CE">
        <w:rPr>
          <w:sz w:val="22"/>
          <w:szCs w:val="22"/>
          <w:lang w:val="sk-SK"/>
        </w:rPr>
        <w:t xml:space="preserve">na tamoxifén) a 13 mesiacov (tamoxifén na </w:t>
      </w:r>
      <w:r>
        <w:rPr>
          <w:sz w:val="22"/>
          <w:szCs w:val="22"/>
          <w:lang w:val="sk-SK"/>
        </w:rPr>
        <w:t>letrozol</w:t>
      </w:r>
      <w:r w:rsidRPr="009E27CE">
        <w:rPr>
          <w:sz w:val="22"/>
          <w:szCs w:val="22"/>
          <w:lang w:val="sk-SK"/>
        </w:rPr>
        <w:t>).</w:t>
      </w: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Podanie </w:t>
      </w:r>
      <w:r>
        <w:rPr>
          <w:sz w:val="22"/>
          <w:szCs w:val="22"/>
          <w:lang w:val="sk-SK"/>
        </w:rPr>
        <w:t xml:space="preserve">letrozolu </w:t>
      </w:r>
      <w:r w:rsidRPr="009E27CE">
        <w:rPr>
          <w:sz w:val="22"/>
          <w:szCs w:val="22"/>
          <w:lang w:val="sk-SK"/>
        </w:rPr>
        <w:t xml:space="preserve">ako liečby prvej línie pokročilého karcinómu prsníka malo za následok celkové prežívanie s mediánom 34 mesiacov v porovnaní s 30 mesiacmi pri </w:t>
      </w:r>
      <w:r w:rsidRPr="008D42BE">
        <w:rPr>
          <w:sz w:val="22"/>
          <w:szCs w:val="22"/>
          <w:lang w:val="sk-SK"/>
        </w:rPr>
        <w:t>tamoxiféne (log</w:t>
      </w:r>
      <w:r w:rsidR="00E84A9E" w:rsidRPr="008D42BE">
        <w:rPr>
          <w:sz w:val="22"/>
          <w:szCs w:val="22"/>
          <w:lang w:val="sk-SK"/>
        </w:rPr>
        <w:t>-</w:t>
      </w:r>
      <w:r w:rsidRPr="008D42BE">
        <w:rPr>
          <w:sz w:val="22"/>
          <w:szCs w:val="22"/>
          <w:lang w:val="sk-SK"/>
        </w:rPr>
        <w:t>rank</w:t>
      </w:r>
      <w:r w:rsidRPr="009E27CE">
        <w:rPr>
          <w:sz w:val="22"/>
          <w:szCs w:val="22"/>
          <w:lang w:val="sk-SK"/>
        </w:rPr>
        <w:t xml:space="preserve"> test </w:t>
      </w:r>
      <w:r w:rsidRPr="008D42BE">
        <w:rPr>
          <w:i/>
          <w:sz w:val="22"/>
          <w:szCs w:val="22"/>
          <w:lang w:val="sk-SK"/>
        </w:rPr>
        <w:t>p</w:t>
      </w:r>
      <w:r w:rsidR="00B83693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=</w:t>
      </w:r>
      <w:r w:rsidR="00B83693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0,53</w:t>
      </w:r>
      <w:r w:rsidR="000353D5">
        <w:rPr>
          <w:sz w:val="22"/>
          <w:szCs w:val="22"/>
          <w:lang w:val="sk-SK"/>
        </w:rPr>
        <w:t>;</w:t>
      </w:r>
      <w:r w:rsidRPr="009E27CE">
        <w:rPr>
          <w:sz w:val="22"/>
          <w:szCs w:val="22"/>
          <w:lang w:val="sk-SK"/>
        </w:rPr>
        <w:t xml:space="preserve"> </w:t>
      </w:r>
      <w:r w:rsidRPr="00943206">
        <w:rPr>
          <w:sz w:val="22"/>
          <w:szCs w:val="22"/>
          <w:lang w:val="sk-SK"/>
        </w:rPr>
        <w:t>nie významné).</w:t>
      </w:r>
      <w:r w:rsidRPr="009E27CE">
        <w:rPr>
          <w:sz w:val="22"/>
          <w:szCs w:val="22"/>
          <w:lang w:val="sk-SK"/>
        </w:rPr>
        <w:t xml:space="preserve"> </w:t>
      </w:r>
      <w:r w:rsidRPr="00943206">
        <w:rPr>
          <w:sz w:val="22"/>
          <w:szCs w:val="22"/>
          <w:lang w:val="sk-SK"/>
        </w:rPr>
        <w:t>Nedostatočný prínos</w:t>
      </w:r>
      <w:r w:rsidRPr="009E27C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letrozolu</w:t>
      </w:r>
      <w:r w:rsidRPr="009E27CE">
        <w:rPr>
          <w:sz w:val="22"/>
          <w:szCs w:val="22"/>
          <w:lang w:val="sk-SK"/>
        </w:rPr>
        <w:t xml:space="preserve"> vzhľadom na celkové prežívanie by </w:t>
      </w:r>
      <w:r w:rsidR="00673266">
        <w:rPr>
          <w:sz w:val="22"/>
          <w:szCs w:val="22"/>
          <w:lang w:val="sk-SK"/>
        </w:rPr>
        <w:t>sa mohlo</w:t>
      </w:r>
      <w:r w:rsidRPr="009E27CE">
        <w:rPr>
          <w:sz w:val="22"/>
          <w:szCs w:val="22"/>
          <w:lang w:val="sk-SK"/>
        </w:rPr>
        <w:t xml:space="preserve"> vysvetliť </w:t>
      </w:r>
      <w:r w:rsidR="005B1F1A">
        <w:rPr>
          <w:sz w:val="22"/>
          <w:szCs w:val="22"/>
          <w:lang w:val="sk-SK"/>
        </w:rPr>
        <w:t>zahrnutím zmeny liečby do usporiadania</w:t>
      </w:r>
      <w:r w:rsidRPr="00943206">
        <w:rPr>
          <w:sz w:val="22"/>
          <w:szCs w:val="22"/>
          <w:lang w:val="sk-SK"/>
        </w:rPr>
        <w:t xml:space="preserve"> </w:t>
      </w:r>
      <w:r w:rsidR="00943206">
        <w:rPr>
          <w:sz w:val="22"/>
          <w:szCs w:val="22"/>
          <w:lang w:val="sk-SK"/>
        </w:rPr>
        <w:t>štúdie</w:t>
      </w:r>
      <w:r w:rsidRPr="009E27CE">
        <w:rPr>
          <w:sz w:val="22"/>
          <w:szCs w:val="22"/>
          <w:lang w:val="sk-SK"/>
        </w:rPr>
        <w:t>.</w:t>
      </w:r>
    </w:p>
    <w:p w:rsidR="00590263" w:rsidRDefault="00590263" w:rsidP="00590263">
      <w:pPr>
        <w:pStyle w:val="Text"/>
        <w:widowControl w:val="0"/>
        <w:spacing w:before="0"/>
        <w:jc w:val="left"/>
        <w:rPr>
          <w:strike/>
          <w:sz w:val="22"/>
          <w:szCs w:val="22"/>
          <w:lang w:val="sk-SK"/>
        </w:rPr>
      </w:pPr>
    </w:p>
    <w:p w:rsidR="00590263" w:rsidRPr="00B239B7" w:rsidRDefault="00590263" w:rsidP="00590263">
      <w:pPr>
        <w:pStyle w:val="Text"/>
        <w:keepNext/>
        <w:widowControl w:val="0"/>
        <w:spacing w:before="0"/>
        <w:jc w:val="left"/>
        <w:rPr>
          <w:b/>
          <w:sz w:val="22"/>
          <w:szCs w:val="22"/>
          <w:u w:val="single"/>
          <w:lang w:val="sk-SK"/>
        </w:rPr>
      </w:pPr>
      <w:r w:rsidRPr="00B239B7">
        <w:rPr>
          <w:b/>
          <w:sz w:val="22"/>
          <w:szCs w:val="22"/>
          <w:u w:val="single"/>
          <w:lang w:val="sk-SK"/>
        </w:rPr>
        <w:t>Liečba druhej línie</w:t>
      </w:r>
    </w:p>
    <w:p w:rsidR="00B239B7" w:rsidRPr="009E27CE" w:rsidRDefault="00B239B7" w:rsidP="00590263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</w:p>
    <w:p w:rsidR="00590263" w:rsidRPr="009E27CE" w:rsidRDefault="00590263" w:rsidP="00590263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Vykonali sa </w:t>
      </w:r>
      <w:r w:rsidRPr="0047246F">
        <w:rPr>
          <w:rFonts w:ascii="Times New Roman" w:hAnsi="Times New Roman"/>
          <w:sz w:val="22"/>
          <w:szCs w:val="22"/>
        </w:rPr>
        <w:t>dve dobre kontrolované klinické skúšania</w:t>
      </w:r>
      <w:r w:rsidRPr="009E27CE">
        <w:rPr>
          <w:rFonts w:ascii="Times New Roman" w:hAnsi="Times New Roman"/>
          <w:sz w:val="22"/>
          <w:szCs w:val="22"/>
        </w:rPr>
        <w:t>, v ktorých sa porovnával letrozol v dvoch dávkach (0,5 mg a 2,5 mg) s megestrolacetátom a</w:t>
      </w:r>
      <w:r w:rsidR="00CF05B4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aminoglutetimidom</w:t>
      </w:r>
      <w:r w:rsidR="00CF05B4">
        <w:rPr>
          <w:rFonts w:ascii="Times New Roman" w:hAnsi="Times New Roman"/>
          <w:sz w:val="22"/>
          <w:szCs w:val="22"/>
        </w:rPr>
        <w:t xml:space="preserve"> – v uvedenom poradí – </w:t>
      </w:r>
      <w:r w:rsidRPr="009E27CE">
        <w:rPr>
          <w:rFonts w:ascii="Times New Roman" w:hAnsi="Times New Roman"/>
          <w:sz w:val="22"/>
          <w:szCs w:val="22"/>
        </w:rPr>
        <w:t>u</w:t>
      </w:r>
      <w:r w:rsidR="0047246F">
        <w:rPr>
          <w:rFonts w:ascii="Times New Roman" w:hAnsi="Times New Roman"/>
          <w:sz w:val="22"/>
          <w:szCs w:val="22"/>
        </w:rPr>
        <w:t> </w:t>
      </w:r>
      <w:r w:rsidRPr="0047246F">
        <w:rPr>
          <w:rFonts w:ascii="Times New Roman" w:hAnsi="Times New Roman"/>
          <w:sz w:val="22"/>
          <w:szCs w:val="22"/>
        </w:rPr>
        <w:t>postmenopauzálnych</w:t>
      </w:r>
      <w:r w:rsidRPr="009E27CE">
        <w:rPr>
          <w:rFonts w:ascii="Times New Roman" w:hAnsi="Times New Roman"/>
          <w:sz w:val="22"/>
          <w:szCs w:val="22"/>
        </w:rPr>
        <w:t xml:space="preserve"> žien s pokročilým karcinómom prsníka, ktoré</w:t>
      </w:r>
      <w:r w:rsidR="00587647">
        <w:rPr>
          <w:rFonts w:ascii="Times New Roman" w:hAnsi="Times New Roman"/>
          <w:sz w:val="22"/>
          <w:szCs w:val="22"/>
        </w:rPr>
        <w:t xml:space="preserve"> sa predtým liečili</w:t>
      </w:r>
      <w:r w:rsidRPr="009E27CE">
        <w:rPr>
          <w:rFonts w:ascii="Times New Roman" w:hAnsi="Times New Roman"/>
          <w:sz w:val="22"/>
          <w:szCs w:val="22"/>
        </w:rPr>
        <w:t xml:space="preserve"> antiestrogénmi.</w:t>
      </w: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Pr="009E27CE" w:rsidRDefault="00590263" w:rsidP="00590263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Čas do progresie sa </w:t>
      </w:r>
      <w:r w:rsidRPr="00955380">
        <w:rPr>
          <w:rFonts w:ascii="Times New Roman" w:hAnsi="Times New Roman"/>
          <w:sz w:val="22"/>
          <w:szCs w:val="22"/>
        </w:rPr>
        <w:t>významne nelíšil medzi letrozolom 2,5 mg a megestrolacetátom (p</w:t>
      </w:r>
      <w:r w:rsidR="00DC176A" w:rsidRPr="00955380">
        <w:rPr>
          <w:rFonts w:ascii="Times New Roman" w:hAnsi="Times New Roman"/>
          <w:sz w:val="22"/>
          <w:szCs w:val="22"/>
        </w:rPr>
        <w:t xml:space="preserve"> </w:t>
      </w:r>
      <w:r w:rsidRPr="00955380">
        <w:rPr>
          <w:rFonts w:ascii="Times New Roman" w:hAnsi="Times New Roman"/>
          <w:sz w:val="22"/>
          <w:szCs w:val="22"/>
        </w:rPr>
        <w:t>=</w:t>
      </w:r>
      <w:r w:rsidR="00DC176A" w:rsidRPr="00955380">
        <w:rPr>
          <w:rFonts w:ascii="Times New Roman" w:hAnsi="Times New Roman"/>
          <w:sz w:val="22"/>
          <w:szCs w:val="22"/>
        </w:rPr>
        <w:t> </w:t>
      </w:r>
      <w:r w:rsidRPr="00955380">
        <w:rPr>
          <w:rFonts w:ascii="Times New Roman" w:hAnsi="Times New Roman"/>
          <w:sz w:val="22"/>
          <w:szCs w:val="22"/>
        </w:rPr>
        <w:t>0,07). Pozorovali sa štatisticky významné</w:t>
      </w:r>
      <w:r w:rsidRPr="009E27CE">
        <w:rPr>
          <w:rFonts w:ascii="Times New Roman" w:hAnsi="Times New Roman"/>
          <w:sz w:val="22"/>
          <w:szCs w:val="22"/>
        </w:rPr>
        <w:t xml:space="preserve"> rozdiely v prospech letrozolu 2,5 mg v porovnaní s megestrolacetátom v </w:t>
      </w:r>
      <w:r w:rsidRPr="00955380">
        <w:rPr>
          <w:rFonts w:ascii="Times New Roman" w:hAnsi="Times New Roman"/>
          <w:sz w:val="22"/>
          <w:szCs w:val="22"/>
        </w:rPr>
        <w:t>celkovej objektívnej odpovedi nádoru</w:t>
      </w:r>
      <w:r w:rsidRPr="009E27CE">
        <w:rPr>
          <w:rFonts w:ascii="Times New Roman" w:hAnsi="Times New Roman"/>
          <w:sz w:val="22"/>
          <w:szCs w:val="22"/>
        </w:rPr>
        <w:t xml:space="preserve"> (24 % oproti 16 %, p</w:t>
      </w:r>
      <w:r w:rsidR="00630994">
        <w:rPr>
          <w:rFonts w:ascii="Times New Roman" w:hAnsi="Times New Roman"/>
          <w:sz w:val="22"/>
          <w:szCs w:val="22"/>
        </w:rPr>
        <w:t xml:space="preserve"> </w:t>
      </w:r>
      <w:r w:rsidRPr="009E27CE">
        <w:rPr>
          <w:rFonts w:ascii="Times New Roman" w:hAnsi="Times New Roman"/>
          <w:sz w:val="22"/>
          <w:szCs w:val="22"/>
        </w:rPr>
        <w:t>=</w:t>
      </w:r>
      <w:r w:rsidR="00630994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0,04) a v čase do zlyhania liečby (p</w:t>
      </w:r>
      <w:r w:rsidR="00A5515C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=</w:t>
      </w:r>
      <w:r w:rsidR="00A5515C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0,04). Celkové prežívanie v oboch skupinách sa významne nelíšilo (p</w:t>
      </w:r>
      <w:r w:rsidR="000733E2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=</w:t>
      </w:r>
      <w:r w:rsidR="000733E2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>0,2).</w:t>
      </w: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>V</w:t>
      </w:r>
      <w:r w:rsidR="00955380">
        <w:rPr>
          <w:sz w:val="22"/>
          <w:szCs w:val="22"/>
          <w:lang w:val="sk-SK"/>
        </w:rPr>
        <w:t> druhej štúdii</w:t>
      </w:r>
      <w:r w:rsidRPr="009E27CE">
        <w:rPr>
          <w:sz w:val="22"/>
          <w:szCs w:val="22"/>
          <w:lang w:val="sk-SK"/>
        </w:rPr>
        <w:t xml:space="preserve"> sa podiel odpovedí významne nelíšil medzi letrozolom 2,5 mg a aminoglutetimidom (p</w:t>
      </w:r>
      <w:r w:rsidR="00FE744F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=</w:t>
      </w:r>
      <w:r w:rsidR="00FE744F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0,06). Letrozol 2</w:t>
      </w:r>
      <w:r>
        <w:rPr>
          <w:sz w:val="22"/>
          <w:szCs w:val="22"/>
          <w:lang w:val="sk-SK"/>
        </w:rPr>
        <w:t>,</w:t>
      </w:r>
      <w:r w:rsidRPr="009E27CE">
        <w:rPr>
          <w:sz w:val="22"/>
          <w:szCs w:val="22"/>
          <w:lang w:val="sk-SK"/>
        </w:rPr>
        <w:t xml:space="preserve">5 mg bol štatisticky </w:t>
      </w:r>
      <w:r w:rsidRPr="00321809">
        <w:rPr>
          <w:sz w:val="22"/>
          <w:szCs w:val="22"/>
          <w:lang w:val="sk-SK"/>
        </w:rPr>
        <w:t>lepší</w:t>
      </w:r>
      <w:r w:rsidRPr="009E27CE">
        <w:rPr>
          <w:sz w:val="22"/>
          <w:szCs w:val="22"/>
          <w:lang w:val="sk-SK"/>
        </w:rPr>
        <w:t xml:space="preserve"> ako aminoglutetimid vzhľadom na čas do progresie (p</w:t>
      </w:r>
      <w:r w:rsidR="004432CA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=</w:t>
      </w:r>
      <w:r w:rsidR="004432CA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0,008), čas do zlyhania liečby (p</w:t>
      </w:r>
      <w:r w:rsidR="001E48FC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=</w:t>
      </w:r>
      <w:r w:rsidR="001E48FC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0,003) a celkové prežívanie (p</w:t>
      </w:r>
      <w:r w:rsidR="001D2957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=</w:t>
      </w:r>
      <w:r w:rsidR="001D2957">
        <w:rPr>
          <w:sz w:val="22"/>
          <w:szCs w:val="22"/>
          <w:lang w:val="sk-SK"/>
        </w:rPr>
        <w:t> </w:t>
      </w:r>
      <w:r w:rsidRPr="009E27CE">
        <w:rPr>
          <w:sz w:val="22"/>
          <w:szCs w:val="22"/>
          <w:lang w:val="sk-SK"/>
        </w:rPr>
        <w:t>0,002).</w:t>
      </w: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590263" w:rsidRDefault="00590263" w:rsidP="00590263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  <w:r w:rsidRPr="009E27CE">
        <w:rPr>
          <w:sz w:val="22"/>
          <w:szCs w:val="22"/>
          <w:u w:val="single"/>
          <w:lang w:val="sk-SK"/>
        </w:rPr>
        <w:t>Karcinóm prsníka u</w:t>
      </w:r>
      <w:r w:rsidR="00457E08">
        <w:rPr>
          <w:sz w:val="22"/>
          <w:szCs w:val="22"/>
          <w:u w:val="single"/>
          <w:lang w:val="sk-SK"/>
        </w:rPr>
        <w:t> </w:t>
      </w:r>
      <w:r w:rsidRPr="009E27CE">
        <w:rPr>
          <w:sz w:val="22"/>
          <w:szCs w:val="22"/>
          <w:u w:val="single"/>
          <w:lang w:val="sk-SK"/>
        </w:rPr>
        <w:t>mužov</w:t>
      </w:r>
    </w:p>
    <w:p w:rsidR="00457E08" w:rsidRPr="009E27CE" w:rsidRDefault="00457E08" w:rsidP="00590263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sk-SK"/>
        </w:rPr>
      </w:pPr>
    </w:p>
    <w:p w:rsidR="00590263" w:rsidRPr="009E27CE" w:rsidRDefault="00590263" w:rsidP="00590263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9E27CE">
        <w:rPr>
          <w:sz w:val="22"/>
          <w:szCs w:val="22"/>
          <w:lang w:val="sk-SK"/>
        </w:rPr>
        <w:t xml:space="preserve">Použitie </w:t>
      </w:r>
      <w:r>
        <w:rPr>
          <w:sz w:val="22"/>
          <w:szCs w:val="22"/>
          <w:lang w:val="sk-SK"/>
        </w:rPr>
        <w:t xml:space="preserve">letrozolu </w:t>
      </w:r>
      <w:r w:rsidRPr="009E27CE">
        <w:rPr>
          <w:sz w:val="22"/>
          <w:szCs w:val="22"/>
          <w:lang w:val="sk-SK"/>
        </w:rPr>
        <w:t>u mužov s karcinómom prsníka sa neskúmalo.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5.2</w:t>
      </w:r>
      <w:r>
        <w:rPr>
          <w:rFonts w:ascii="Times New Roman" w:hAnsi="Times New Roman"/>
          <w:b/>
          <w:noProof/>
          <w:sz w:val="22"/>
          <w:szCs w:val="22"/>
        </w:rPr>
        <w:tab/>
        <w:t>Farmakokinetické vlastnosti</w:t>
      </w:r>
    </w:p>
    <w:p w:rsidR="005F040D" w:rsidRDefault="005F040D">
      <w:pPr>
        <w:pStyle w:val="Zkladntext"/>
        <w:rPr>
          <w:szCs w:val="22"/>
        </w:rPr>
      </w:pPr>
    </w:p>
    <w:p w:rsidR="005F040D" w:rsidRDefault="005F040D">
      <w:pPr>
        <w:pStyle w:val="Zkladntext"/>
        <w:rPr>
          <w:iCs/>
          <w:szCs w:val="22"/>
          <w:u w:val="single"/>
        </w:rPr>
      </w:pPr>
      <w:r w:rsidRPr="00FB500E">
        <w:rPr>
          <w:iCs/>
          <w:szCs w:val="22"/>
          <w:u w:val="single"/>
        </w:rPr>
        <w:t>Absorpcia</w:t>
      </w:r>
    </w:p>
    <w:p w:rsidR="00921329" w:rsidRPr="00FB500E" w:rsidRDefault="00921329">
      <w:pPr>
        <w:pStyle w:val="Zkladntext"/>
        <w:rPr>
          <w:iCs/>
          <w:szCs w:val="22"/>
          <w:u w:val="single"/>
        </w:rPr>
      </w:pPr>
    </w:p>
    <w:p w:rsidR="005F040D" w:rsidRDefault="005F040D">
      <w:pPr>
        <w:pStyle w:val="Zkladntext"/>
      </w:pPr>
      <w:r>
        <w:rPr>
          <w:szCs w:val="22"/>
        </w:rPr>
        <w:t xml:space="preserve">Letrozol sa rýchlo a úplne vstrebáva z gastrointestinálneho traktu </w:t>
      </w:r>
      <w:r w:rsidR="00590263">
        <w:rPr>
          <w:szCs w:val="22"/>
        </w:rPr>
        <w:t>(</w:t>
      </w:r>
      <w:r w:rsidR="0066680C">
        <w:rPr>
          <w:szCs w:val="22"/>
        </w:rPr>
        <w:t>stredná</w:t>
      </w:r>
      <w:r>
        <w:rPr>
          <w:szCs w:val="22"/>
        </w:rPr>
        <w:t xml:space="preserve"> absolútna biologická dostupnosť</w:t>
      </w:r>
      <w:r w:rsidR="00034428">
        <w:rPr>
          <w:szCs w:val="22"/>
        </w:rPr>
        <w:t>:</w:t>
      </w:r>
      <w:r>
        <w:rPr>
          <w:szCs w:val="22"/>
        </w:rPr>
        <w:t xml:space="preserve"> 99,9</w:t>
      </w:r>
      <w:r w:rsidR="00BA51D7">
        <w:rPr>
          <w:szCs w:val="22"/>
        </w:rPr>
        <w:t> </w:t>
      </w:r>
      <w:r>
        <w:rPr>
          <w:szCs w:val="22"/>
        </w:rPr>
        <w:t>%</w:t>
      </w:r>
      <w:r w:rsidR="00590263">
        <w:rPr>
          <w:szCs w:val="22"/>
        </w:rPr>
        <w:t>)</w:t>
      </w:r>
      <w:r>
        <w:rPr>
          <w:szCs w:val="22"/>
        </w:rPr>
        <w:t>. Strava mierne znižuje rýchlosť absorpcie (</w:t>
      </w:r>
      <w:r w:rsidR="00454D09">
        <w:rPr>
          <w:szCs w:val="22"/>
        </w:rPr>
        <w:t>medián</w:t>
      </w:r>
      <w:r>
        <w:rPr>
          <w:szCs w:val="22"/>
        </w:rPr>
        <w:t xml:space="preserve"> </w:t>
      </w:r>
      <w:r>
        <w:t>t</w:t>
      </w:r>
      <w:r>
        <w:rPr>
          <w:vertAlign w:val="subscript"/>
        </w:rPr>
        <w:t>max</w:t>
      </w:r>
      <w:r w:rsidR="002728E9">
        <w:t>:</w:t>
      </w:r>
      <w:r>
        <w:t xml:space="preserve"> 1 hodina nalačno oproti 2 hodinám po jedle; a </w:t>
      </w:r>
      <w:r w:rsidR="002234A2">
        <w:t xml:space="preserve">stredná </w:t>
      </w:r>
      <w:r>
        <w:t>C</w:t>
      </w:r>
      <w:r>
        <w:rPr>
          <w:vertAlign w:val="subscript"/>
        </w:rPr>
        <w:t>max</w:t>
      </w:r>
      <w:r>
        <w:t>: 129</w:t>
      </w:r>
      <w:r w:rsidR="00741362">
        <w:t> </w:t>
      </w:r>
      <w:r>
        <w:t>±</w:t>
      </w:r>
      <w:r w:rsidR="00741362">
        <w:t> </w:t>
      </w:r>
      <w:r>
        <w:t>20,3 nmol/l</w:t>
      </w:r>
      <w:r w:rsidR="00590263">
        <w:t xml:space="preserve"> </w:t>
      </w:r>
      <w:r>
        <w:t>nalačno oproti 98,7</w:t>
      </w:r>
      <w:r w:rsidR="00F80C97">
        <w:t> </w:t>
      </w:r>
      <w:r>
        <w:t>±</w:t>
      </w:r>
      <w:r w:rsidR="00F80C97">
        <w:t> </w:t>
      </w:r>
      <w:r>
        <w:t xml:space="preserve">18,6 nmol/l po jedle), ale </w:t>
      </w:r>
      <w:r w:rsidRPr="00416857">
        <w:t>miera</w:t>
      </w:r>
      <w:r>
        <w:t xml:space="preserve"> absorpcie (AUC) </w:t>
      </w:r>
      <w:r w:rsidR="001510F4">
        <w:t>sa nemení</w:t>
      </w:r>
      <w:r>
        <w:t xml:space="preserve">. Menší účinok na </w:t>
      </w:r>
      <w:r w:rsidRPr="003662CF">
        <w:t>rýchlosť</w:t>
      </w:r>
      <w:r>
        <w:t xml:space="preserve"> absorpcie </w:t>
      </w:r>
      <w:r w:rsidR="00D5287B">
        <w:t>sa nepovažuje</w:t>
      </w:r>
      <w:r>
        <w:t xml:space="preserve"> za klinicky závažný, a preto sa letrozol môže užívať bez ohľadu na čas </w:t>
      </w:r>
      <w:r w:rsidR="003662CF">
        <w:t>jedla</w:t>
      </w:r>
      <w:r>
        <w:t>.</w:t>
      </w:r>
    </w:p>
    <w:p w:rsidR="005F040D" w:rsidRDefault="005F040D">
      <w:pPr>
        <w:pStyle w:val="Zkladntext"/>
      </w:pPr>
    </w:p>
    <w:p w:rsidR="00921329" w:rsidRDefault="005F040D">
      <w:pPr>
        <w:pStyle w:val="Zkladntext"/>
        <w:rPr>
          <w:iCs/>
          <w:u w:val="single"/>
        </w:rPr>
      </w:pPr>
      <w:r w:rsidRPr="00FB500E">
        <w:rPr>
          <w:iCs/>
          <w:u w:val="single"/>
        </w:rPr>
        <w:t>Distribúcia</w:t>
      </w:r>
    </w:p>
    <w:p w:rsidR="005F040D" w:rsidRPr="00FB500E" w:rsidRDefault="005F040D">
      <w:pPr>
        <w:pStyle w:val="Zkladntext"/>
        <w:rPr>
          <w:iCs/>
          <w:u w:val="single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Väzba letrozolu na plazmatické bielkoviny je približne 60</w:t>
      </w:r>
      <w:r w:rsidR="00643EF0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%, hlavne na albumín (55</w:t>
      </w:r>
      <w:r w:rsidR="00ED6493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%). Koncentrácia letrozolu v erytrocytoch je asi 80</w:t>
      </w:r>
      <w:r w:rsidR="006445A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% plazmatickej koncentrácie. Po podaní 2,5 mg </w:t>
      </w:r>
      <w:r w:rsidR="00BE2079">
        <w:rPr>
          <w:rFonts w:ascii="Times New Roman" w:hAnsi="Times New Roman"/>
          <w:sz w:val="22"/>
          <w:szCs w:val="22"/>
        </w:rPr>
        <w:t>letrozolu</w:t>
      </w:r>
      <w:r w:rsidR="00BE2079">
        <w:rPr>
          <w:rFonts w:ascii="Times New Roman" w:hAnsi="Times New Roman"/>
          <w:sz w:val="22"/>
          <w:vertAlign w:val="superscript"/>
        </w:rPr>
        <w:t xml:space="preserve"> </w:t>
      </w:r>
      <w:r w:rsidR="00BE2079">
        <w:rPr>
          <w:rFonts w:ascii="Times New Roman" w:hAnsi="Times New Roman"/>
          <w:sz w:val="22"/>
          <w:szCs w:val="22"/>
        </w:rPr>
        <w:t xml:space="preserve">značeného </w:t>
      </w:r>
      <w:r>
        <w:rPr>
          <w:rFonts w:ascii="Times New Roman" w:hAnsi="Times New Roman"/>
          <w:sz w:val="22"/>
          <w:vertAlign w:val="superscript"/>
        </w:rPr>
        <w:t>14</w:t>
      </w:r>
      <w:r>
        <w:rPr>
          <w:rFonts w:ascii="Times New Roman" w:hAnsi="Times New Roman"/>
          <w:sz w:val="22"/>
        </w:rPr>
        <w:t>C</w:t>
      </w:r>
      <w:r w:rsidR="0031305E">
        <w:rPr>
          <w:rFonts w:ascii="Times New Roman" w:hAnsi="Times New Roman"/>
          <w:sz w:val="22"/>
        </w:rPr>
        <w:t xml:space="preserve"> zodpovedalo približne 82 % rádioaktivity v plazme </w:t>
      </w:r>
      <w:r>
        <w:rPr>
          <w:rFonts w:ascii="Times New Roman" w:hAnsi="Times New Roman"/>
          <w:sz w:val="22"/>
          <w:szCs w:val="22"/>
        </w:rPr>
        <w:t xml:space="preserve">nezmenenej látke. Systémová expozícia metabolitom je preto nízka. Letrozol sa rýchlo a vo veľkej miere distribuuje do tkanív. Jeho </w:t>
      </w:r>
      <w:r w:rsidRPr="003115D2">
        <w:rPr>
          <w:rFonts w:ascii="Times New Roman" w:hAnsi="Times New Roman"/>
          <w:sz w:val="22"/>
          <w:szCs w:val="22"/>
        </w:rPr>
        <w:t>zdanlivý</w:t>
      </w:r>
      <w:r>
        <w:rPr>
          <w:rFonts w:ascii="Times New Roman" w:hAnsi="Times New Roman"/>
          <w:sz w:val="22"/>
          <w:szCs w:val="22"/>
        </w:rPr>
        <w:t xml:space="preserve"> distribučný objem v rovnovážnom stave je asi 1,87 </w:t>
      </w:r>
      <w:r>
        <w:rPr>
          <w:rFonts w:ascii="Times New Roman" w:hAnsi="Times New Roman"/>
          <w:sz w:val="22"/>
          <w:szCs w:val="22"/>
        </w:rPr>
        <w:sym w:font="Symbol" w:char="F0B1"/>
      </w:r>
      <w:r>
        <w:rPr>
          <w:rFonts w:ascii="Times New Roman" w:hAnsi="Times New Roman"/>
          <w:sz w:val="22"/>
          <w:szCs w:val="22"/>
        </w:rPr>
        <w:t xml:space="preserve"> 0,47 l/kg. </w:t>
      </w:r>
    </w:p>
    <w:p w:rsidR="005F040D" w:rsidRDefault="005F040D">
      <w:pPr>
        <w:pStyle w:val="Zkladntext"/>
        <w:rPr>
          <w:szCs w:val="22"/>
        </w:rPr>
      </w:pPr>
    </w:p>
    <w:p w:rsidR="00921329" w:rsidRDefault="00590263">
      <w:pPr>
        <w:pStyle w:val="Zkladntext"/>
        <w:rPr>
          <w:iCs/>
          <w:szCs w:val="22"/>
          <w:u w:val="single"/>
        </w:rPr>
      </w:pPr>
      <w:r w:rsidRPr="003F1675">
        <w:rPr>
          <w:iCs/>
          <w:szCs w:val="22"/>
          <w:u w:val="single"/>
        </w:rPr>
        <w:t>Biotransformácia</w:t>
      </w:r>
    </w:p>
    <w:p w:rsidR="005F040D" w:rsidRPr="003F1675" w:rsidRDefault="005F040D">
      <w:pPr>
        <w:pStyle w:val="Zkladntext"/>
        <w:rPr>
          <w:iCs/>
          <w:szCs w:val="22"/>
          <w:u w:val="single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Metabolický klírens na farmakologicky neúčinný karbinolový metabolit je hlavnou </w:t>
      </w:r>
      <w:r w:rsidRPr="00064339">
        <w:rPr>
          <w:rFonts w:ascii="Times New Roman" w:hAnsi="Times New Roman"/>
          <w:sz w:val="22"/>
          <w:szCs w:val="22"/>
        </w:rPr>
        <w:t>eliminačnou dráhou</w:t>
      </w:r>
      <w:r>
        <w:rPr>
          <w:rFonts w:ascii="Times New Roman" w:hAnsi="Times New Roman"/>
          <w:sz w:val="22"/>
          <w:szCs w:val="22"/>
        </w:rPr>
        <w:t xml:space="preserve"> letrozolu (C</w:t>
      </w:r>
      <w:r w:rsidR="0009273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  <w:vertAlign w:val="subscript"/>
        </w:rPr>
        <w:t>m</w:t>
      </w:r>
      <w:r w:rsidR="00235FFA">
        <w:rPr>
          <w:rFonts w:ascii="Times New Roman" w:hAnsi="Times New Roman"/>
          <w:sz w:val="22"/>
          <w:szCs w:val="22"/>
        </w:rPr>
        <w:t> = </w:t>
      </w:r>
      <w:r>
        <w:rPr>
          <w:rFonts w:ascii="Times New Roman" w:hAnsi="Times New Roman"/>
          <w:sz w:val="22"/>
          <w:szCs w:val="22"/>
        </w:rPr>
        <w:t>2,1 l/h)</w:t>
      </w:r>
      <w:r w:rsidR="002F1168">
        <w:rPr>
          <w:rFonts w:ascii="Times New Roman" w:hAnsi="Times New Roman"/>
          <w:sz w:val="22"/>
          <w:szCs w:val="22"/>
        </w:rPr>
        <w:t>; v porovnaní s prietokom krvi pečeňou (asi 90 l/hod) je však pomerne pomalý</w:t>
      </w:r>
      <w:r>
        <w:rPr>
          <w:rFonts w:ascii="Times New Roman" w:hAnsi="Times New Roman"/>
          <w:sz w:val="22"/>
          <w:szCs w:val="22"/>
        </w:rPr>
        <w:t xml:space="preserve">. Zistilo sa, že izoenzýmy 3A4 a 2A6 cytochrómu P450 sú schopné premieňať letrozol na tento metabolit. Tvorba vedľajších neidentifikovaných metabolitov a priame vylučovanie </w:t>
      </w:r>
      <w:r w:rsidRPr="00064339">
        <w:rPr>
          <w:rFonts w:ascii="Times New Roman" w:hAnsi="Times New Roman"/>
          <w:sz w:val="22"/>
          <w:szCs w:val="22"/>
        </w:rPr>
        <w:t>obličkami a stolicou</w:t>
      </w:r>
      <w:r>
        <w:rPr>
          <w:rFonts w:ascii="Times New Roman" w:hAnsi="Times New Roman"/>
          <w:sz w:val="22"/>
          <w:szCs w:val="22"/>
        </w:rPr>
        <w:t xml:space="preserve"> majú iba </w:t>
      </w:r>
      <w:r w:rsidRPr="00064339">
        <w:rPr>
          <w:rFonts w:ascii="Times New Roman" w:hAnsi="Times New Roman"/>
          <w:sz w:val="22"/>
          <w:szCs w:val="22"/>
        </w:rPr>
        <w:t>menší význam v celkovej eliminácii letrozolu</w:t>
      </w:r>
      <w:r>
        <w:rPr>
          <w:rFonts w:ascii="Times New Roman" w:hAnsi="Times New Roman"/>
          <w:sz w:val="22"/>
          <w:szCs w:val="22"/>
        </w:rPr>
        <w:t xml:space="preserve">. V priebehu 2 týždňov po podaní 2,5 mg letrozolu značeného </w:t>
      </w:r>
      <w:r>
        <w:rPr>
          <w:rFonts w:ascii="Times New Roman" w:hAnsi="Times New Roman"/>
          <w:sz w:val="22"/>
          <w:szCs w:val="22"/>
          <w:vertAlign w:val="superscript"/>
        </w:rPr>
        <w:t>14</w:t>
      </w:r>
      <w:r>
        <w:rPr>
          <w:rFonts w:ascii="Times New Roman" w:hAnsi="Times New Roman"/>
          <w:sz w:val="22"/>
          <w:szCs w:val="22"/>
        </w:rPr>
        <w:t xml:space="preserve">C zdravým </w:t>
      </w:r>
      <w:r w:rsidRPr="00064339">
        <w:rPr>
          <w:rFonts w:ascii="Times New Roman" w:hAnsi="Times New Roman"/>
          <w:sz w:val="22"/>
          <w:szCs w:val="22"/>
        </w:rPr>
        <w:t>postmenopauzálnym</w:t>
      </w:r>
      <w:r>
        <w:rPr>
          <w:rFonts w:ascii="Times New Roman" w:hAnsi="Times New Roman"/>
          <w:sz w:val="22"/>
          <w:szCs w:val="22"/>
        </w:rPr>
        <w:t xml:space="preserve"> dobrovoľníčkam sa 88,2 </w:t>
      </w:r>
      <w:r>
        <w:rPr>
          <w:rFonts w:ascii="Times New Roman" w:hAnsi="Times New Roman"/>
          <w:sz w:val="22"/>
          <w:szCs w:val="22"/>
        </w:rPr>
        <w:sym w:font="Symbol" w:char="F0B1"/>
      </w:r>
      <w:r>
        <w:rPr>
          <w:rFonts w:ascii="Times New Roman" w:hAnsi="Times New Roman"/>
          <w:sz w:val="22"/>
          <w:szCs w:val="22"/>
        </w:rPr>
        <w:t xml:space="preserve"> 7,6</w:t>
      </w:r>
      <w:r w:rsidR="00C9229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 rádioaktivity stanovilo v moči a 3,8 </w:t>
      </w:r>
      <w:r>
        <w:rPr>
          <w:rFonts w:ascii="Times New Roman" w:hAnsi="Times New Roman"/>
          <w:sz w:val="22"/>
          <w:szCs w:val="22"/>
        </w:rPr>
        <w:sym w:font="Symbol" w:char="F0B1"/>
      </w:r>
      <w:r>
        <w:rPr>
          <w:rFonts w:ascii="Times New Roman" w:hAnsi="Times New Roman"/>
          <w:sz w:val="22"/>
          <w:szCs w:val="22"/>
        </w:rPr>
        <w:t> 0,9</w:t>
      </w:r>
      <w:r w:rsidR="009C5EB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% v stolici. </w:t>
      </w:r>
      <w:r w:rsidRPr="00064339">
        <w:rPr>
          <w:rFonts w:ascii="Times New Roman" w:hAnsi="Times New Roman"/>
          <w:sz w:val="22"/>
          <w:szCs w:val="22"/>
        </w:rPr>
        <w:t>Aspoň</w:t>
      </w:r>
      <w:r>
        <w:rPr>
          <w:rFonts w:ascii="Times New Roman" w:hAnsi="Times New Roman"/>
          <w:sz w:val="22"/>
          <w:szCs w:val="22"/>
        </w:rPr>
        <w:t xml:space="preserve"> 75</w:t>
      </w:r>
      <w:r w:rsidR="00A9472E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% rádioaktivity stanovenej v moči v </w:t>
      </w:r>
      <w:r w:rsidRPr="00064339">
        <w:rPr>
          <w:rFonts w:ascii="Times New Roman" w:hAnsi="Times New Roman"/>
          <w:sz w:val="22"/>
          <w:szCs w:val="22"/>
        </w:rPr>
        <w:t>priebehu</w:t>
      </w:r>
      <w:r>
        <w:rPr>
          <w:rFonts w:ascii="Times New Roman" w:hAnsi="Times New Roman"/>
          <w:sz w:val="22"/>
          <w:szCs w:val="22"/>
        </w:rPr>
        <w:t xml:space="preserve"> 216 hodín (84,7 </w:t>
      </w:r>
      <w:r>
        <w:rPr>
          <w:rFonts w:ascii="Times New Roman" w:hAnsi="Times New Roman"/>
          <w:sz w:val="22"/>
          <w:szCs w:val="22"/>
        </w:rPr>
        <w:sym w:font="Symbol" w:char="F0B1"/>
      </w:r>
      <w:r>
        <w:rPr>
          <w:rFonts w:ascii="Times New Roman" w:hAnsi="Times New Roman"/>
          <w:sz w:val="22"/>
          <w:szCs w:val="22"/>
        </w:rPr>
        <w:t> 7,8</w:t>
      </w:r>
      <w:r w:rsidR="007D1534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 dávky) sa pripisovalo glukuronidu karbinolového metabolitu, asi 9</w:t>
      </w:r>
      <w:r w:rsidR="00773CC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 dvom neidentifikovaným metabolitom a</w:t>
      </w:r>
      <w:r w:rsidR="008B16EB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6</w:t>
      </w:r>
      <w:r w:rsidR="008B16EB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 nezmenenému letrozolu.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921329" w:rsidRDefault="00590263">
      <w:pPr>
        <w:rPr>
          <w:rFonts w:ascii="Times New Roman" w:hAnsi="Times New Roman"/>
          <w:sz w:val="22"/>
          <w:szCs w:val="22"/>
          <w:u w:val="single"/>
        </w:rPr>
      </w:pPr>
      <w:r w:rsidRPr="00EE4E1C">
        <w:rPr>
          <w:rFonts w:ascii="Times New Roman" w:hAnsi="Times New Roman"/>
          <w:sz w:val="22"/>
          <w:szCs w:val="22"/>
          <w:u w:val="single"/>
        </w:rPr>
        <w:t>Eliminácia</w:t>
      </w:r>
    </w:p>
    <w:p w:rsidR="00590263" w:rsidRPr="00036F94" w:rsidRDefault="00590263">
      <w:pPr>
        <w:rPr>
          <w:rFonts w:ascii="Times New Roman" w:hAnsi="Times New Roman"/>
          <w:sz w:val="22"/>
          <w:szCs w:val="22"/>
          <w:u w:val="single"/>
        </w:rPr>
      </w:pPr>
    </w:p>
    <w:p w:rsidR="005F040D" w:rsidRDefault="003115D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Zdanlivý terminálny</w:t>
      </w:r>
      <w:r w:rsidR="005F040D" w:rsidRPr="003115D2">
        <w:rPr>
          <w:rFonts w:ascii="Times New Roman" w:hAnsi="Times New Roman"/>
          <w:sz w:val="22"/>
          <w:szCs w:val="22"/>
        </w:rPr>
        <w:t xml:space="preserve"> polčas eliminácie z</w:t>
      </w:r>
      <w:r w:rsidR="005F040D">
        <w:rPr>
          <w:rFonts w:ascii="Times New Roman" w:hAnsi="Times New Roman"/>
          <w:sz w:val="22"/>
          <w:szCs w:val="22"/>
        </w:rPr>
        <w:t xml:space="preserve"> plazmy je asi 2 </w:t>
      </w:r>
      <w:r w:rsidR="00590263">
        <w:rPr>
          <w:rFonts w:ascii="Times New Roman" w:hAnsi="Times New Roman"/>
          <w:sz w:val="22"/>
          <w:szCs w:val="22"/>
        </w:rPr>
        <w:t xml:space="preserve">až 4 </w:t>
      </w:r>
      <w:r w:rsidR="005F040D">
        <w:rPr>
          <w:rFonts w:ascii="Times New Roman" w:hAnsi="Times New Roman"/>
          <w:sz w:val="22"/>
          <w:szCs w:val="22"/>
        </w:rPr>
        <w:t xml:space="preserve">dni. Po dennom podávaní 2,5 mg sa rovnovážne hladiny dosiahnu v priebehu 2 až 6 týždňov. Plazmatické koncentrácie v rovnovážnom stave sú približne 7-krát vyššie ako koncentrácie namerané po </w:t>
      </w:r>
      <w:r w:rsidR="005F040D" w:rsidRPr="004B2AF9">
        <w:rPr>
          <w:rFonts w:ascii="Times New Roman" w:hAnsi="Times New Roman"/>
          <w:sz w:val="22"/>
          <w:szCs w:val="22"/>
        </w:rPr>
        <w:t>jednorazovej</w:t>
      </w:r>
      <w:r w:rsidR="005F040D">
        <w:rPr>
          <w:rFonts w:ascii="Times New Roman" w:hAnsi="Times New Roman"/>
          <w:sz w:val="22"/>
          <w:szCs w:val="22"/>
        </w:rPr>
        <w:t xml:space="preserve"> dávke 2,5 mg, a 1,5</w:t>
      </w:r>
      <w:r w:rsidR="00984C4E">
        <w:rPr>
          <w:rFonts w:ascii="Times New Roman" w:hAnsi="Times New Roman"/>
          <w:sz w:val="22"/>
          <w:szCs w:val="22"/>
        </w:rPr>
        <w:t> − </w:t>
      </w:r>
      <w:r w:rsidR="005F040D">
        <w:rPr>
          <w:rFonts w:ascii="Times New Roman" w:hAnsi="Times New Roman"/>
          <w:sz w:val="22"/>
          <w:szCs w:val="22"/>
        </w:rPr>
        <w:t xml:space="preserve">2-krát vyššie </w:t>
      </w:r>
      <w:r w:rsidR="005F040D" w:rsidRPr="004B2AF9">
        <w:rPr>
          <w:rFonts w:ascii="Times New Roman" w:hAnsi="Times New Roman"/>
          <w:sz w:val="22"/>
          <w:szCs w:val="22"/>
        </w:rPr>
        <w:t>ako rovnovážne hodnoty predpovedané</w:t>
      </w:r>
      <w:r w:rsidR="005F040D">
        <w:rPr>
          <w:rFonts w:ascii="Times New Roman" w:hAnsi="Times New Roman"/>
          <w:sz w:val="22"/>
          <w:szCs w:val="22"/>
        </w:rPr>
        <w:t xml:space="preserve"> z koncentrácií nameraných po </w:t>
      </w:r>
      <w:r w:rsidR="005F040D" w:rsidRPr="004B2AF9">
        <w:rPr>
          <w:rFonts w:ascii="Times New Roman" w:hAnsi="Times New Roman"/>
          <w:sz w:val="22"/>
          <w:szCs w:val="22"/>
        </w:rPr>
        <w:t>jednorazovej</w:t>
      </w:r>
      <w:r w:rsidR="005F040D">
        <w:rPr>
          <w:rFonts w:ascii="Times New Roman" w:hAnsi="Times New Roman"/>
          <w:sz w:val="22"/>
          <w:szCs w:val="22"/>
        </w:rPr>
        <w:t xml:space="preserve"> dávke, čo naznačuje miernu </w:t>
      </w:r>
      <w:r w:rsidR="00376398">
        <w:rPr>
          <w:rFonts w:ascii="Times New Roman" w:hAnsi="Times New Roman"/>
          <w:sz w:val="22"/>
          <w:szCs w:val="22"/>
        </w:rPr>
        <w:t xml:space="preserve">nelinearitu </w:t>
      </w:r>
      <w:r w:rsidR="005F040D">
        <w:rPr>
          <w:rFonts w:ascii="Times New Roman" w:hAnsi="Times New Roman"/>
          <w:sz w:val="22"/>
          <w:szCs w:val="22"/>
        </w:rPr>
        <w:t xml:space="preserve">farmakokinetiky letrozolu pri dennom podávaní 2,5 mg. Pretože rovnovážne hladiny sa udržujú </w:t>
      </w:r>
      <w:r w:rsidR="005F040D" w:rsidRPr="004B2AF9">
        <w:rPr>
          <w:rFonts w:ascii="Times New Roman" w:hAnsi="Times New Roman"/>
          <w:sz w:val="22"/>
          <w:szCs w:val="22"/>
        </w:rPr>
        <w:t>dlhodobo</w:t>
      </w:r>
      <w:r w:rsidR="005F040D">
        <w:rPr>
          <w:rFonts w:ascii="Times New Roman" w:hAnsi="Times New Roman"/>
          <w:sz w:val="22"/>
          <w:szCs w:val="22"/>
        </w:rPr>
        <w:t>, možno usudzovať, že nedochádza k pokračujúcemu hromadeniu letrozolu.</w:t>
      </w:r>
    </w:p>
    <w:p w:rsidR="00E9287E" w:rsidRDefault="00E9287E">
      <w:pPr>
        <w:rPr>
          <w:rFonts w:ascii="Times New Roman" w:hAnsi="Times New Roman"/>
          <w:sz w:val="22"/>
          <w:szCs w:val="22"/>
        </w:rPr>
      </w:pPr>
    </w:p>
    <w:p w:rsidR="00E9287E" w:rsidRDefault="00E9287E" w:rsidP="00E9287E">
      <w:pPr>
        <w:rPr>
          <w:rFonts w:ascii="Times New Roman" w:hAnsi="Times New Roman"/>
          <w:sz w:val="22"/>
          <w:szCs w:val="22"/>
          <w:u w:val="single"/>
        </w:rPr>
      </w:pPr>
      <w:r w:rsidRPr="0019458D">
        <w:rPr>
          <w:rFonts w:ascii="Times New Roman" w:hAnsi="Times New Roman"/>
          <w:sz w:val="22"/>
          <w:szCs w:val="22"/>
          <w:u w:val="single"/>
        </w:rPr>
        <w:t>Linearita/nelinearita</w:t>
      </w:r>
    </w:p>
    <w:p w:rsidR="00921329" w:rsidRPr="0019458D" w:rsidRDefault="00921329" w:rsidP="00E9287E">
      <w:pPr>
        <w:rPr>
          <w:rFonts w:ascii="Times New Roman" w:hAnsi="Times New Roman"/>
          <w:sz w:val="22"/>
          <w:szCs w:val="22"/>
          <w:u w:val="single"/>
        </w:rPr>
      </w:pPr>
    </w:p>
    <w:p w:rsidR="00E9287E" w:rsidRPr="004B2AF9" w:rsidRDefault="00E9287E" w:rsidP="00E9287E">
      <w:pPr>
        <w:rPr>
          <w:rFonts w:ascii="Times New Roman" w:hAnsi="Times New Roman"/>
          <w:sz w:val="22"/>
          <w:szCs w:val="22"/>
        </w:rPr>
      </w:pPr>
      <w:r w:rsidRPr="00E9287E">
        <w:rPr>
          <w:rFonts w:ascii="Times New Roman" w:hAnsi="Times New Roman"/>
          <w:sz w:val="22"/>
          <w:szCs w:val="22"/>
        </w:rPr>
        <w:t>Farmakokinetika letrozo</w:t>
      </w:r>
      <w:r w:rsidRPr="004B2AF9">
        <w:rPr>
          <w:rFonts w:ascii="Times New Roman" w:hAnsi="Times New Roman"/>
          <w:sz w:val="22"/>
          <w:szCs w:val="22"/>
        </w:rPr>
        <w:t xml:space="preserve">lu bola úmerná podanej jednorazovej perorálnej dávke až do 10 mg (rozmedzie </w:t>
      </w:r>
    </w:p>
    <w:p w:rsidR="00E9287E" w:rsidRPr="004B2AF9" w:rsidRDefault="00E9287E" w:rsidP="00E9287E">
      <w:pPr>
        <w:rPr>
          <w:rFonts w:ascii="Times New Roman" w:hAnsi="Times New Roman"/>
          <w:sz w:val="22"/>
          <w:szCs w:val="22"/>
        </w:rPr>
      </w:pPr>
      <w:r w:rsidRPr="004B2AF9">
        <w:rPr>
          <w:rFonts w:ascii="Times New Roman" w:hAnsi="Times New Roman"/>
          <w:sz w:val="22"/>
          <w:szCs w:val="22"/>
        </w:rPr>
        <w:t>dávok: 0,01 až 30 mg) a</w:t>
      </w:r>
      <w:r w:rsidR="009F69ED" w:rsidRPr="004B2AF9">
        <w:rPr>
          <w:rFonts w:ascii="Times New Roman" w:hAnsi="Times New Roman"/>
          <w:sz w:val="22"/>
          <w:szCs w:val="22"/>
        </w:rPr>
        <w:t> </w:t>
      </w:r>
      <w:r w:rsidRPr="004B2AF9">
        <w:rPr>
          <w:rFonts w:ascii="Times New Roman" w:hAnsi="Times New Roman"/>
          <w:sz w:val="22"/>
          <w:szCs w:val="22"/>
        </w:rPr>
        <w:t>podanej</w:t>
      </w:r>
      <w:r w:rsidR="009F69ED" w:rsidRPr="004B2AF9">
        <w:rPr>
          <w:rFonts w:ascii="Times New Roman" w:hAnsi="Times New Roman"/>
          <w:sz w:val="22"/>
          <w:szCs w:val="22"/>
        </w:rPr>
        <w:t xml:space="preserve"> </w:t>
      </w:r>
      <w:r w:rsidRPr="004B2AF9">
        <w:rPr>
          <w:rFonts w:ascii="Times New Roman" w:hAnsi="Times New Roman"/>
          <w:sz w:val="22"/>
          <w:szCs w:val="22"/>
        </w:rPr>
        <w:t xml:space="preserve">dennej dávke až do 1,0 mg (rozmedzie dávok: 0,1 až 5 mg). Po podaní </w:t>
      </w:r>
    </w:p>
    <w:p w:rsidR="00E9287E" w:rsidRPr="004B2AF9" w:rsidRDefault="00E9287E" w:rsidP="00E9287E">
      <w:pPr>
        <w:rPr>
          <w:rFonts w:ascii="Times New Roman" w:hAnsi="Times New Roman"/>
          <w:sz w:val="22"/>
          <w:szCs w:val="22"/>
        </w:rPr>
      </w:pPr>
      <w:r w:rsidRPr="004B2AF9">
        <w:rPr>
          <w:rFonts w:ascii="Times New Roman" w:hAnsi="Times New Roman"/>
          <w:sz w:val="22"/>
          <w:szCs w:val="22"/>
        </w:rPr>
        <w:t>jednorazovej perorálnej dávky 30 mg došlo k miernemu zvýšeniu hodnôt AUC dispropor</w:t>
      </w:r>
      <w:r w:rsidRPr="004B2AF9">
        <w:rPr>
          <w:rFonts w:ascii="Times New Roman" w:hAnsi="Times New Roman" w:hint="eastAsia"/>
          <w:sz w:val="22"/>
          <w:szCs w:val="22"/>
        </w:rPr>
        <w:t>č</w:t>
      </w:r>
      <w:r w:rsidRPr="004B2AF9">
        <w:rPr>
          <w:rFonts w:ascii="Times New Roman" w:hAnsi="Times New Roman"/>
          <w:sz w:val="22"/>
          <w:szCs w:val="22"/>
        </w:rPr>
        <w:t xml:space="preserve">ne k dávke. </w:t>
      </w:r>
    </w:p>
    <w:p w:rsidR="00E9287E" w:rsidRPr="004B2AF9" w:rsidRDefault="00E9287E" w:rsidP="00E9287E">
      <w:pPr>
        <w:rPr>
          <w:rFonts w:ascii="Times New Roman" w:hAnsi="Times New Roman"/>
          <w:sz w:val="22"/>
          <w:szCs w:val="22"/>
        </w:rPr>
      </w:pPr>
      <w:r w:rsidRPr="004B2AF9">
        <w:rPr>
          <w:rFonts w:ascii="Times New Roman" w:hAnsi="Times New Roman"/>
          <w:sz w:val="22"/>
          <w:szCs w:val="22"/>
        </w:rPr>
        <w:t xml:space="preserve">Disproporcia k dávke je pravdepodobne dôsledkom </w:t>
      </w:r>
      <w:r w:rsidR="00107EAE" w:rsidRPr="004B2AF9">
        <w:rPr>
          <w:rFonts w:ascii="Times New Roman" w:hAnsi="Times New Roman"/>
          <w:sz w:val="22"/>
          <w:szCs w:val="22"/>
        </w:rPr>
        <w:t>saturácie metabolických eliminačných</w:t>
      </w:r>
      <w:r w:rsidRPr="004B2AF9">
        <w:rPr>
          <w:rFonts w:ascii="Times New Roman" w:hAnsi="Times New Roman"/>
          <w:sz w:val="22"/>
          <w:szCs w:val="22"/>
        </w:rPr>
        <w:t xml:space="preserve"> procesov. </w:t>
      </w:r>
    </w:p>
    <w:p w:rsidR="00E9287E" w:rsidRDefault="00E9287E" w:rsidP="00D73F44">
      <w:pPr>
        <w:rPr>
          <w:rFonts w:ascii="Times New Roman" w:hAnsi="Times New Roman"/>
          <w:sz w:val="22"/>
          <w:szCs w:val="22"/>
        </w:rPr>
      </w:pPr>
      <w:r w:rsidRPr="004B2AF9">
        <w:rPr>
          <w:rFonts w:ascii="Times New Roman" w:hAnsi="Times New Roman"/>
          <w:sz w:val="22"/>
          <w:szCs w:val="22"/>
        </w:rPr>
        <w:t>Rovnovážne</w:t>
      </w:r>
      <w:r w:rsidR="00DF42A9" w:rsidRPr="004B2AF9">
        <w:rPr>
          <w:rFonts w:ascii="Times New Roman" w:hAnsi="Times New Roman"/>
          <w:sz w:val="22"/>
          <w:szCs w:val="22"/>
        </w:rPr>
        <w:t xml:space="preserve"> </w:t>
      </w:r>
      <w:r w:rsidRPr="004B2AF9">
        <w:rPr>
          <w:rFonts w:ascii="Times New Roman" w:hAnsi="Times New Roman"/>
          <w:sz w:val="22"/>
          <w:szCs w:val="22"/>
        </w:rPr>
        <w:t xml:space="preserve">stavy sa </w:t>
      </w:r>
      <w:r w:rsidR="00D73F44" w:rsidRPr="004B2AF9">
        <w:rPr>
          <w:rFonts w:ascii="Times New Roman" w:hAnsi="Times New Roman"/>
          <w:sz w:val="22"/>
          <w:szCs w:val="22"/>
        </w:rPr>
        <w:t>vo všetkých</w:t>
      </w:r>
      <w:r w:rsidR="00D73F44" w:rsidRPr="00E9287E">
        <w:rPr>
          <w:rFonts w:ascii="Times New Roman" w:hAnsi="Times New Roman"/>
          <w:sz w:val="22"/>
          <w:szCs w:val="22"/>
        </w:rPr>
        <w:t xml:space="preserve"> testovaných režim</w:t>
      </w:r>
      <w:r w:rsidR="00D73F44">
        <w:rPr>
          <w:rFonts w:ascii="Times New Roman" w:hAnsi="Times New Roman"/>
          <w:sz w:val="22"/>
          <w:szCs w:val="22"/>
        </w:rPr>
        <w:t>o</w:t>
      </w:r>
      <w:r w:rsidR="00D73F44" w:rsidRPr="00E9287E">
        <w:rPr>
          <w:rFonts w:ascii="Times New Roman" w:hAnsi="Times New Roman"/>
          <w:sz w:val="22"/>
          <w:szCs w:val="22"/>
        </w:rPr>
        <w:t>ch dávkov</w:t>
      </w:r>
      <w:r w:rsidR="00D73F44">
        <w:rPr>
          <w:rFonts w:ascii="Times New Roman" w:hAnsi="Times New Roman"/>
          <w:sz w:val="22"/>
          <w:szCs w:val="22"/>
        </w:rPr>
        <w:t>a</w:t>
      </w:r>
      <w:r w:rsidR="00D73F44" w:rsidRPr="00E9287E">
        <w:rPr>
          <w:rFonts w:ascii="Times New Roman" w:hAnsi="Times New Roman"/>
          <w:sz w:val="22"/>
          <w:szCs w:val="22"/>
        </w:rPr>
        <w:t>n</w:t>
      </w:r>
      <w:r w:rsidR="00D73F44">
        <w:rPr>
          <w:rFonts w:ascii="Times New Roman" w:hAnsi="Times New Roman"/>
          <w:sz w:val="22"/>
          <w:szCs w:val="22"/>
        </w:rPr>
        <w:t xml:space="preserve">ia </w:t>
      </w:r>
      <w:r w:rsidR="00D73F44" w:rsidRPr="00E9287E">
        <w:rPr>
          <w:rFonts w:ascii="Times New Roman" w:hAnsi="Times New Roman"/>
          <w:sz w:val="22"/>
          <w:szCs w:val="22"/>
        </w:rPr>
        <w:t>(0,1</w:t>
      </w:r>
      <w:r w:rsidR="00D73F44">
        <w:rPr>
          <w:rFonts w:ascii="Times New Roman" w:hAnsi="Times New Roman"/>
          <w:sz w:val="22"/>
          <w:szCs w:val="22"/>
        </w:rPr>
        <w:t> − </w:t>
      </w:r>
      <w:r w:rsidR="00D73F44" w:rsidRPr="00E9287E">
        <w:rPr>
          <w:rFonts w:ascii="Times New Roman" w:hAnsi="Times New Roman"/>
          <w:sz w:val="22"/>
          <w:szCs w:val="22"/>
        </w:rPr>
        <w:t>5,0 mg denne)</w:t>
      </w:r>
      <w:r w:rsidR="00D73F4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dosiahli</w:t>
      </w:r>
      <w:r w:rsidRPr="00E9287E">
        <w:rPr>
          <w:rFonts w:ascii="Times New Roman" w:hAnsi="Times New Roman"/>
          <w:sz w:val="22"/>
          <w:szCs w:val="22"/>
        </w:rPr>
        <w:t xml:space="preserve"> po 1</w:t>
      </w:r>
      <w:r w:rsidR="00DF42A9">
        <w:rPr>
          <w:rFonts w:ascii="Times New Roman" w:hAnsi="Times New Roman"/>
          <w:sz w:val="22"/>
          <w:szCs w:val="22"/>
        </w:rPr>
        <w:t> − </w:t>
      </w:r>
      <w:r w:rsidRPr="00E9287E">
        <w:rPr>
          <w:rFonts w:ascii="Times New Roman" w:hAnsi="Times New Roman"/>
          <w:sz w:val="22"/>
          <w:szCs w:val="22"/>
        </w:rPr>
        <w:t>2 m</w:t>
      </w:r>
      <w:r>
        <w:rPr>
          <w:rFonts w:ascii="Times New Roman" w:hAnsi="Times New Roman"/>
          <w:sz w:val="22"/>
          <w:szCs w:val="22"/>
        </w:rPr>
        <w:t>e</w:t>
      </w:r>
      <w:r w:rsidRPr="00E9287E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ia</w:t>
      </w:r>
      <w:r w:rsidRPr="00E9287E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o</w:t>
      </w:r>
      <w:r w:rsidRPr="00E9287E">
        <w:rPr>
          <w:rFonts w:ascii="Times New Roman" w:hAnsi="Times New Roman"/>
          <w:sz w:val="22"/>
          <w:szCs w:val="22"/>
        </w:rPr>
        <w:t>ch</w:t>
      </w:r>
      <w:r>
        <w:rPr>
          <w:rFonts w:ascii="Times New Roman" w:hAnsi="Times New Roman"/>
          <w:sz w:val="22"/>
          <w:szCs w:val="22"/>
        </w:rPr>
        <w:t>.</w:t>
      </w:r>
    </w:p>
    <w:p w:rsidR="00BA51D7" w:rsidRPr="00E9287E" w:rsidRDefault="00BA51D7" w:rsidP="00E9287E">
      <w:pPr>
        <w:rPr>
          <w:rFonts w:ascii="Times New Roman" w:hAnsi="Times New Roman"/>
          <w:sz w:val="22"/>
          <w:szCs w:val="22"/>
        </w:rPr>
      </w:pPr>
    </w:p>
    <w:p w:rsidR="00590263" w:rsidRPr="00036F94" w:rsidRDefault="00590263" w:rsidP="00590263">
      <w:pPr>
        <w:rPr>
          <w:rFonts w:ascii="Times New Roman" w:hAnsi="Times New Roman"/>
          <w:iCs/>
          <w:sz w:val="22"/>
          <w:szCs w:val="22"/>
          <w:u w:val="single"/>
        </w:rPr>
      </w:pPr>
      <w:r w:rsidRPr="00036F94">
        <w:rPr>
          <w:rFonts w:ascii="Times New Roman" w:hAnsi="Times New Roman"/>
          <w:iCs/>
          <w:sz w:val="22"/>
          <w:szCs w:val="22"/>
          <w:u w:val="single"/>
        </w:rPr>
        <w:t xml:space="preserve">Osobitné </w:t>
      </w:r>
      <w:r w:rsidR="002C52F7" w:rsidRPr="00921329">
        <w:rPr>
          <w:rFonts w:ascii="Times New Roman" w:hAnsi="Times New Roman"/>
          <w:iCs/>
          <w:sz w:val="22"/>
          <w:szCs w:val="22"/>
          <w:u w:val="single"/>
        </w:rPr>
        <w:t>skupiny paciento</w:t>
      </w:r>
      <w:r w:rsidR="00A2773D" w:rsidRPr="00921329">
        <w:rPr>
          <w:rFonts w:ascii="Times New Roman" w:hAnsi="Times New Roman"/>
          <w:iCs/>
          <w:sz w:val="22"/>
          <w:szCs w:val="22"/>
          <w:u w:val="single"/>
        </w:rPr>
        <w:t>k</w:t>
      </w:r>
    </w:p>
    <w:p w:rsidR="00F51284" w:rsidRDefault="00F51284">
      <w:pPr>
        <w:rPr>
          <w:rFonts w:ascii="Times New Roman" w:hAnsi="Times New Roman"/>
          <w:i/>
          <w:sz w:val="22"/>
          <w:szCs w:val="22"/>
        </w:rPr>
      </w:pPr>
    </w:p>
    <w:p w:rsidR="00590263" w:rsidRDefault="006429E5">
      <w:pPr>
        <w:rPr>
          <w:rFonts w:ascii="Times New Roman" w:hAnsi="Times New Roman"/>
          <w:i/>
          <w:sz w:val="22"/>
          <w:szCs w:val="22"/>
        </w:rPr>
      </w:pPr>
      <w:r w:rsidRPr="00921329">
        <w:rPr>
          <w:rFonts w:ascii="Times New Roman" w:hAnsi="Times New Roman"/>
          <w:i/>
          <w:sz w:val="22"/>
          <w:szCs w:val="22"/>
        </w:rPr>
        <w:t>Staršie pacientky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Vek nemal vplyv na farmakokinetiku letrozolu. 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F42F20" w:rsidRDefault="00F51284" w:rsidP="00E9287E">
      <w:p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Porucha funkcie</w:t>
      </w:r>
      <w:r w:rsidR="00E9287E">
        <w:rPr>
          <w:rFonts w:ascii="Times New Roman" w:hAnsi="Times New Roman"/>
          <w:i/>
          <w:iCs/>
          <w:sz w:val="22"/>
          <w:szCs w:val="22"/>
        </w:rPr>
        <w:t xml:space="preserve"> obličiek </w:t>
      </w:r>
    </w:p>
    <w:p w:rsidR="00E9287E" w:rsidRDefault="005F040D" w:rsidP="00E928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štúdii zahŕňajúcej 19 dobrovoľníčok s rôznym stupňom funkcie obličiek (24-hodinový klírens kreatinínu 9</w:t>
      </w:r>
      <w:r w:rsidR="00B116DB">
        <w:rPr>
          <w:rFonts w:ascii="Times New Roman" w:hAnsi="Times New Roman"/>
          <w:sz w:val="22"/>
          <w:szCs w:val="22"/>
        </w:rPr>
        <w:t> − </w:t>
      </w:r>
      <w:r>
        <w:rPr>
          <w:rFonts w:ascii="Times New Roman" w:hAnsi="Times New Roman"/>
          <w:sz w:val="22"/>
          <w:szCs w:val="22"/>
        </w:rPr>
        <w:t xml:space="preserve">116 ml/min) sa nezistil žiadny vplyv na farmakokinetiku letrozolu po jednorazovej dávke 2,5 mg. </w:t>
      </w:r>
      <w:r w:rsidR="00E9287E">
        <w:rPr>
          <w:rFonts w:ascii="Times New Roman" w:hAnsi="Times New Roman"/>
          <w:sz w:val="22"/>
          <w:szCs w:val="22"/>
        </w:rPr>
        <w:t>Na</w:t>
      </w:r>
      <w:r w:rsidR="00E9287E" w:rsidRPr="00E9287E">
        <w:rPr>
          <w:rFonts w:ascii="Times New Roman" w:hAnsi="Times New Roman"/>
          <w:sz w:val="22"/>
          <w:szCs w:val="22"/>
        </w:rPr>
        <w:t xml:space="preserve"> doplnen</w:t>
      </w:r>
      <w:r w:rsidR="00E9287E">
        <w:rPr>
          <w:rFonts w:ascii="Times New Roman" w:hAnsi="Times New Roman"/>
          <w:sz w:val="22"/>
          <w:szCs w:val="22"/>
        </w:rPr>
        <w:t>ie</w:t>
      </w:r>
      <w:r w:rsidR="00E9287E" w:rsidRPr="00E9287E">
        <w:rPr>
          <w:rFonts w:ascii="Times New Roman" w:hAnsi="Times New Roman"/>
          <w:sz w:val="22"/>
          <w:szCs w:val="22"/>
        </w:rPr>
        <w:t xml:space="preserve"> v</w:t>
      </w:r>
      <w:r w:rsidR="00E9287E">
        <w:rPr>
          <w:rFonts w:ascii="Times New Roman" w:hAnsi="Times New Roman"/>
          <w:sz w:val="22"/>
          <w:szCs w:val="22"/>
        </w:rPr>
        <w:t>yšši</w:t>
      </w:r>
      <w:r w:rsidR="00E9287E" w:rsidRPr="00E9287E">
        <w:rPr>
          <w:rFonts w:ascii="Times New Roman" w:hAnsi="Times New Roman"/>
          <w:sz w:val="22"/>
          <w:szCs w:val="22"/>
        </w:rPr>
        <w:t>e uveden</w:t>
      </w:r>
      <w:r w:rsidR="00E9287E">
        <w:rPr>
          <w:rFonts w:ascii="Times New Roman" w:hAnsi="Times New Roman"/>
          <w:sz w:val="22"/>
          <w:szCs w:val="22"/>
        </w:rPr>
        <w:t>ej</w:t>
      </w:r>
      <w:r w:rsidR="00E9287E" w:rsidRPr="00E9287E">
        <w:rPr>
          <w:rFonts w:ascii="Times New Roman" w:hAnsi="Times New Roman"/>
          <w:sz w:val="22"/>
          <w:szCs w:val="22"/>
        </w:rPr>
        <w:t xml:space="preserve"> štúdie</w:t>
      </w:r>
      <w:r w:rsidR="00E9287E">
        <w:rPr>
          <w:rFonts w:ascii="Times New Roman" w:hAnsi="Times New Roman"/>
          <w:sz w:val="22"/>
          <w:szCs w:val="22"/>
        </w:rPr>
        <w:t xml:space="preserve"> hodnotiacej</w:t>
      </w:r>
      <w:r w:rsidR="00E9287E" w:rsidRPr="00E9287E">
        <w:rPr>
          <w:rFonts w:ascii="Times New Roman" w:hAnsi="Times New Roman"/>
          <w:sz w:val="22"/>
          <w:szCs w:val="22"/>
        </w:rPr>
        <w:t xml:space="preserve"> vl</w:t>
      </w:r>
      <w:r w:rsidR="00E9287E">
        <w:rPr>
          <w:rFonts w:ascii="Times New Roman" w:hAnsi="Times New Roman"/>
          <w:sz w:val="22"/>
          <w:szCs w:val="22"/>
        </w:rPr>
        <w:t>y</w:t>
      </w:r>
      <w:r w:rsidR="00E9287E" w:rsidRPr="00E9287E">
        <w:rPr>
          <w:rFonts w:ascii="Times New Roman" w:hAnsi="Times New Roman"/>
          <w:sz w:val="22"/>
          <w:szCs w:val="22"/>
        </w:rPr>
        <w:t>v</w:t>
      </w:r>
      <w:r w:rsidR="00DB6756">
        <w:rPr>
          <w:rFonts w:ascii="Times New Roman" w:hAnsi="Times New Roman"/>
          <w:sz w:val="22"/>
          <w:szCs w:val="22"/>
        </w:rPr>
        <w:t xml:space="preserve"> poruchy funkcie obličiek na letrozol sa uskutočnila </w:t>
      </w:r>
      <w:r w:rsidR="00DB6756" w:rsidRPr="00785F6D">
        <w:rPr>
          <w:rFonts w:ascii="Times New Roman" w:hAnsi="Times New Roman"/>
          <w:sz w:val="22"/>
          <w:szCs w:val="22"/>
        </w:rPr>
        <w:t>kovariančná analýza</w:t>
      </w:r>
      <w:r w:rsidR="00E9287E" w:rsidRPr="00785F6D">
        <w:rPr>
          <w:rFonts w:ascii="Times New Roman" w:hAnsi="Times New Roman"/>
          <w:sz w:val="22"/>
          <w:szCs w:val="22"/>
        </w:rPr>
        <w:t xml:space="preserve"> dát z</w:t>
      </w:r>
      <w:r w:rsidR="00E9287E" w:rsidRPr="00E9287E">
        <w:rPr>
          <w:rFonts w:ascii="Times New Roman" w:hAnsi="Times New Roman"/>
          <w:sz w:val="22"/>
          <w:szCs w:val="22"/>
        </w:rPr>
        <w:t xml:space="preserve"> dvo</w:t>
      </w:r>
      <w:r w:rsidR="00E9287E">
        <w:rPr>
          <w:rFonts w:ascii="Times New Roman" w:hAnsi="Times New Roman"/>
          <w:sz w:val="22"/>
          <w:szCs w:val="22"/>
        </w:rPr>
        <w:t>ch</w:t>
      </w:r>
      <w:r w:rsidR="00E9287E" w:rsidRPr="00E9287E">
        <w:rPr>
          <w:rFonts w:ascii="Times New Roman" w:hAnsi="Times New Roman"/>
          <w:sz w:val="22"/>
          <w:szCs w:val="22"/>
        </w:rPr>
        <w:t xml:space="preserve"> pivotn</w:t>
      </w:r>
      <w:r w:rsidR="00E9287E">
        <w:rPr>
          <w:rFonts w:ascii="Times New Roman" w:hAnsi="Times New Roman"/>
          <w:sz w:val="22"/>
          <w:szCs w:val="22"/>
        </w:rPr>
        <w:t>ý</w:t>
      </w:r>
      <w:r w:rsidR="00E9287E" w:rsidRPr="00E9287E">
        <w:rPr>
          <w:rFonts w:ascii="Times New Roman" w:hAnsi="Times New Roman"/>
          <w:sz w:val="22"/>
          <w:szCs w:val="22"/>
        </w:rPr>
        <w:t xml:space="preserve">ch </w:t>
      </w:r>
      <w:r w:rsidR="00E9287E">
        <w:rPr>
          <w:rFonts w:ascii="Times New Roman" w:hAnsi="Times New Roman"/>
          <w:sz w:val="22"/>
          <w:szCs w:val="22"/>
        </w:rPr>
        <w:t>štúdií</w:t>
      </w:r>
      <w:r w:rsidR="00E9287E" w:rsidRPr="00E9287E">
        <w:rPr>
          <w:rFonts w:ascii="Times New Roman" w:hAnsi="Times New Roman"/>
          <w:sz w:val="22"/>
          <w:szCs w:val="22"/>
        </w:rPr>
        <w:t xml:space="preserve"> (štúdi</w:t>
      </w:r>
      <w:r w:rsidR="00E9287E">
        <w:rPr>
          <w:rFonts w:ascii="Times New Roman" w:hAnsi="Times New Roman"/>
          <w:sz w:val="22"/>
          <w:szCs w:val="22"/>
        </w:rPr>
        <w:t xml:space="preserve">a </w:t>
      </w:r>
      <w:r w:rsidR="00E9287E" w:rsidRPr="00E9287E">
        <w:rPr>
          <w:rFonts w:ascii="Times New Roman" w:hAnsi="Times New Roman"/>
          <w:sz w:val="22"/>
          <w:szCs w:val="22"/>
        </w:rPr>
        <w:t>AR/BC2 a štúdi</w:t>
      </w:r>
      <w:r w:rsidR="00E9287E">
        <w:rPr>
          <w:rFonts w:ascii="Times New Roman" w:hAnsi="Times New Roman"/>
          <w:sz w:val="22"/>
          <w:szCs w:val="22"/>
        </w:rPr>
        <w:t>a</w:t>
      </w:r>
      <w:r w:rsidR="00E9287E" w:rsidRPr="00E9287E">
        <w:rPr>
          <w:rFonts w:ascii="Times New Roman" w:hAnsi="Times New Roman"/>
          <w:sz w:val="22"/>
          <w:szCs w:val="22"/>
        </w:rPr>
        <w:t xml:space="preserve"> AR/BC3). Vypoč</w:t>
      </w:r>
      <w:r w:rsidR="00E9287E">
        <w:rPr>
          <w:rFonts w:ascii="Times New Roman" w:hAnsi="Times New Roman"/>
          <w:sz w:val="22"/>
          <w:szCs w:val="22"/>
        </w:rPr>
        <w:t>í</w:t>
      </w:r>
      <w:r w:rsidR="00E9287E" w:rsidRPr="00E9287E">
        <w:rPr>
          <w:rFonts w:ascii="Times New Roman" w:hAnsi="Times New Roman"/>
          <w:sz w:val="22"/>
          <w:szCs w:val="22"/>
        </w:rPr>
        <w:t>tan</w:t>
      </w:r>
      <w:r w:rsidR="00E9287E">
        <w:rPr>
          <w:rFonts w:ascii="Times New Roman" w:hAnsi="Times New Roman"/>
          <w:sz w:val="22"/>
          <w:szCs w:val="22"/>
        </w:rPr>
        <w:t>ý klírens</w:t>
      </w:r>
      <w:r w:rsidR="00E9287E" w:rsidRPr="00E9287E">
        <w:rPr>
          <w:rFonts w:ascii="Times New Roman" w:hAnsi="Times New Roman"/>
          <w:sz w:val="22"/>
          <w:szCs w:val="22"/>
        </w:rPr>
        <w:t xml:space="preserve"> kreatin</w:t>
      </w:r>
      <w:r w:rsidR="00E9287E">
        <w:rPr>
          <w:rFonts w:ascii="Times New Roman" w:hAnsi="Times New Roman"/>
          <w:sz w:val="22"/>
          <w:szCs w:val="22"/>
        </w:rPr>
        <w:t>í</w:t>
      </w:r>
      <w:r w:rsidR="00E9287E" w:rsidRPr="00E9287E">
        <w:rPr>
          <w:rFonts w:ascii="Times New Roman" w:hAnsi="Times New Roman"/>
          <w:sz w:val="22"/>
          <w:szCs w:val="22"/>
        </w:rPr>
        <w:t>nu (C</w:t>
      </w:r>
      <w:r w:rsidR="00272EF1">
        <w:rPr>
          <w:rFonts w:ascii="Times New Roman" w:hAnsi="Times New Roman"/>
          <w:sz w:val="22"/>
          <w:szCs w:val="22"/>
        </w:rPr>
        <w:t>l</w:t>
      </w:r>
      <w:r w:rsidR="00E9287E" w:rsidRPr="00272EF1">
        <w:rPr>
          <w:rFonts w:ascii="Times New Roman" w:hAnsi="Times New Roman"/>
          <w:sz w:val="22"/>
          <w:szCs w:val="22"/>
          <w:vertAlign w:val="subscript"/>
        </w:rPr>
        <w:t>cr</w:t>
      </w:r>
      <w:r w:rsidR="00E9287E" w:rsidRPr="00E9287E">
        <w:rPr>
          <w:rFonts w:ascii="Times New Roman" w:hAnsi="Times New Roman"/>
          <w:sz w:val="22"/>
          <w:szCs w:val="22"/>
        </w:rPr>
        <w:t>) [rozme</w:t>
      </w:r>
      <w:r w:rsidR="00E9287E">
        <w:rPr>
          <w:rFonts w:ascii="Times New Roman" w:hAnsi="Times New Roman"/>
          <w:sz w:val="22"/>
          <w:szCs w:val="22"/>
        </w:rPr>
        <w:t>dzie v</w:t>
      </w:r>
      <w:r w:rsidR="00E9287E" w:rsidRPr="00E9287E">
        <w:rPr>
          <w:rFonts w:ascii="Times New Roman" w:hAnsi="Times New Roman"/>
          <w:sz w:val="22"/>
          <w:szCs w:val="22"/>
        </w:rPr>
        <w:t xml:space="preserve"> štúdii AR/BC2: 19</w:t>
      </w:r>
      <w:r w:rsidR="00331D3A">
        <w:rPr>
          <w:rFonts w:ascii="Times New Roman" w:hAnsi="Times New Roman"/>
          <w:sz w:val="22"/>
          <w:szCs w:val="22"/>
        </w:rPr>
        <w:t> − </w:t>
      </w:r>
      <w:r w:rsidR="00E9287E" w:rsidRPr="00E9287E">
        <w:rPr>
          <w:rFonts w:ascii="Times New Roman" w:hAnsi="Times New Roman"/>
          <w:sz w:val="22"/>
          <w:szCs w:val="22"/>
        </w:rPr>
        <w:t>187 ml/min; rozme</w:t>
      </w:r>
      <w:r w:rsidR="00E9287E">
        <w:rPr>
          <w:rFonts w:ascii="Times New Roman" w:hAnsi="Times New Roman"/>
          <w:sz w:val="22"/>
          <w:szCs w:val="22"/>
        </w:rPr>
        <w:t>dzie</w:t>
      </w:r>
      <w:r w:rsidR="00E9287E" w:rsidRPr="00E9287E">
        <w:rPr>
          <w:rFonts w:ascii="Times New Roman" w:hAnsi="Times New Roman"/>
          <w:sz w:val="22"/>
          <w:szCs w:val="22"/>
        </w:rPr>
        <w:t xml:space="preserve"> v štúdii AR/BC</w:t>
      </w:r>
      <w:r w:rsidR="00465C38" w:rsidRPr="000D22D2">
        <w:rPr>
          <w:rFonts w:ascii="Times New Roman" w:hAnsi="Times New Roman"/>
          <w:sz w:val="22"/>
          <w:szCs w:val="22"/>
        </w:rPr>
        <w:t>3</w:t>
      </w:r>
      <w:r w:rsidR="00E9287E" w:rsidRPr="000D22D2">
        <w:rPr>
          <w:rFonts w:ascii="Times New Roman" w:hAnsi="Times New Roman"/>
          <w:sz w:val="22"/>
          <w:szCs w:val="22"/>
        </w:rPr>
        <w:t>: 10</w:t>
      </w:r>
      <w:r w:rsidR="00CE402B" w:rsidRPr="000D22D2">
        <w:rPr>
          <w:rFonts w:ascii="Times New Roman" w:hAnsi="Times New Roman"/>
          <w:sz w:val="22"/>
          <w:szCs w:val="22"/>
        </w:rPr>
        <w:t> − </w:t>
      </w:r>
      <w:r w:rsidR="00E9287E" w:rsidRPr="000D22D2">
        <w:rPr>
          <w:rFonts w:ascii="Times New Roman" w:hAnsi="Times New Roman"/>
          <w:sz w:val="22"/>
          <w:szCs w:val="22"/>
        </w:rPr>
        <w:t xml:space="preserve">180 ml/min] nepreukázal štatisticky významné spojenie medzi </w:t>
      </w:r>
      <w:r w:rsidR="00275806" w:rsidRPr="000D22D2">
        <w:rPr>
          <w:rFonts w:ascii="Times New Roman" w:hAnsi="Times New Roman"/>
          <w:sz w:val="22"/>
          <w:szCs w:val="22"/>
        </w:rPr>
        <w:t xml:space="preserve">minimálnymi </w:t>
      </w:r>
      <w:r w:rsidR="00E9287E" w:rsidRPr="000D22D2">
        <w:rPr>
          <w:rFonts w:ascii="Times New Roman" w:hAnsi="Times New Roman"/>
          <w:sz w:val="22"/>
          <w:szCs w:val="22"/>
        </w:rPr>
        <w:t>plazmatickými</w:t>
      </w:r>
      <w:r w:rsidR="00E9287E" w:rsidRPr="00275806">
        <w:rPr>
          <w:rFonts w:ascii="Times New Roman" w:hAnsi="Times New Roman"/>
          <w:sz w:val="22"/>
          <w:szCs w:val="22"/>
        </w:rPr>
        <w:t xml:space="preserve"> hladinami letrozolu</w:t>
      </w:r>
      <w:r w:rsidR="00E9287E" w:rsidRPr="00E9287E">
        <w:rPr>
          <w:rFonts w:ascii="Times New Roman" w:hAnsi="Times New Roman"/>
          <w:sz w:val="22"/>
          <w:szCs w:val="22"/>
        </w:rPr>
        <w:t xml:space="preserve"> v rovnovážnom stav</w:t>
      </w:r>
      <w:r w:rsidR="00E9287E">
        <w:rPr>
          <w:rFonts w:ascii="Times New Roman" w:hAnsi="Times New Roman"/>
          <w:sz w:val="22"/>
          <w:szCs w:val="22"/>
        </w:rPr>
        <w:t>e</w:t>
      </w:r>
      <w:r w:rsidR="00E9287E" w:rsidRPr="00E9287E">
        <w:rPr>
          <w:rFonts w:ascii="Times New Roman" w:hAnsi="Times New Roman"/>
          <w:sz w:val="22"/>
          <w:szCs w:val="22"/>
        </w:rPr>
        <w:t xml:space="preserve"> (C</w:t>
      </w:r>
      <w:r w:rsidR="00E9287E" w:rsidRPr="000E162D">
        <w:rPr>
          <w:rFonts w:ascii="Times New Roman" w:hAnsi="Times New Roman"/>
          <w:sz w:val="22"/>
          <w:szCs w:val="22"/>
          <w:vertAlign w:val="subscript"/>
        </w:rPr>
        <w:t>min</w:t>
      </w:r>
      <w:r w:rsidR="00E9287E" w:rsidRPr="00E9287E">
        <w:rPr>
          <w:rFonts w:ascii="Times New Roman" w:hAnsi="Times New Roman"/>
          <w:sz w:val="22"/>
          <w:szCs w:val="22"/>
        </w:rPr>
        <w:t xml:space="preserve">). </w:t>
      </w:r>
      <w:r w:rsidR="00E9287E" w:rsidRPr="00AF33F6">
        <w:rPr>
          <w:rFonts w:ascii="Times New Roman" w:hAnsi="Times New Roman"/>
          <w:sz w:val="22"/>
          <w:szCs w:val="22"/>
        </w:rPr>
        <w:t>Dáta</w:t>
      </w:r>
      <w:r w:rsidR="00E9287E" w:rsidRPr="00E9287E">
        <w:rPr>
          <w:rFonts w:ascii="Times New Roman" w:hAnsi="Times New Roman"/>
          <w:sz w:val="22"/>
          <w:szCs w:val="22"/>
        </w:rPr>
        <w:t xml:space="preserve"> z</w:t>
      </w:r>
      <w:r w:rsidR="00E9287E">
        <w:rPr>
          <w:rFonts w:ascii="Times New Roman" w:hAnsi="Times New Roman"/>
          <w:sz w:val="22"/>
          <w:szCs w:val="22"/>
        </w:rPr>
        <w:t xml:space="preserve">o štúdií </w:t>
      </w:r>
      <w:r w:rsidR="00E9287E" w:rsidRPr="00E9287E">
        <w:rPr>
          <w:rFonts w:ascii="Times New Roman" w:hAnsi="Times New Roman"/>
          <w:sz w:val="22"/>
          <w:szCs w:val="22"/>
        </w:rPr>
        <w:t>AR/BC2 a A</w:t>
      </w:r>
      <w:r w:rsidR="00E9287E">
        <w:rPr>
          <w:rFonts w:ascii="Times New Roman" w:hAnsi="Times New Roman"/>
          <w:sz w:val="22"/>
          <w:szCs w:val="22"/>
        </w:rPr>
        <w:t>R/</w:t>
      </w:r>
      <w:r w:rsidR="00E9287E" w:rsidRPr="00AF33F6">
        <w:rPr>
          <w:rFonts w:ascii="Times New Roman" w:hAnsi="Times New Roman"/>
          <w:sz w:val="22"/>
          <w:szCs w:val="22"/>
        </w:rPr>
        <w:t xml:space="preserve">BC3 v druhej línii metastázujúceho karcinómu prsníka nepreukázali žiadny nežiaduci </w:t>
      </w:r>
      <w:r w:rsidR="00E9287E" w:rsidRPr="00AF33F6">
        <w:rPr>
          <w:rFonts w:ascii="Times New Roman" w:hAnsi="Times New Roman" w:hint="eastAsia"/>
          <w:sz w:val="22"/>
          <w:szCs w:val="22"/>
        </w:rPr>
        <w:t>úč</w:t>
      </w:r>
      <w:r w:rsidR="00E9287E" w:rsidRPr="00AF33F6">
        <w:rPr>
          <w:rFonts w:ascii="Times New Roman" w:hAnsi="Times New Roman"/>
          <w:sz w:val="22"/>
          <w:szCs w:val="22"/>
        </w:rPr>
        <w:t>inok letrozolu na</w:t>
      </w:r>
      <w:r w:rsidR="00E9287E" w:rsidRPr="00E9287E">
        <w:rPr>
          <w:rFonts w:ascii="Times New Roman" w:hAnsi="Times New Roman"/>
          <w:sz w:val="22"/>
          <w:szCs w:val="22"/>
        </w:rPr>
        <w:t xml:space="preserve"> C</w:t>
      </w:r>
      <w:r w:rsidR="002C1D4B">
        <w:rPr>
          <w:rFonts w:ascii="Times New Roman" w:hAnsi="Times New Roman"/>
          <w:sz w:val="22"/>
          <w:szCs w:val="22"/>
        </w:rPr>
        <w:t>l</w:t>
      </w:r>
      <w:r w:rsidR="00E9287E" w:rsidRPr="002C1D4B">
        <w:rPr>
          <w:rFonts w:ascii="Times New Roman" w:hAnsi="Times New Roman"/>
          <w:sz w:val="22"/>
          <w:szCs w:val="22"/>
          <w:vertAlign w:val="subscript"/>
        </w:rPr>
        <w:t>cr</w:t>
      </w:r>
      <w:r w:rsidR="00E9287E" w:rsidRPr="00E9287E">
        <w:rPr>
          <w:rFonts w:ascii="Times New Roman" w:hAnsi="Times New Roman"/>
          <w:sz w:val="22"/>
          <w:szCs w:val="22"/>
        </w:rPr>
        <w:t xml:space="preserve"> </w:t>
      </w:r>
      <w:r w:rsidR="00E9287E">
        <w:rPr>
          <w:rFonts w:ascii="Times New Roman" w:hAnsi="Times New Roman"/>
          <w:sz w:val="22"/>
          <w:szCs w:val="22"/>
        </w:rPr>
        <w:t>al</w:t>
      </w:r>
      <w:r w:rsidR="00E9287E" w:rsidRPr="00E9287E">
        <w:rPr>
          <w:rFonts w:ascii="Times New Roman" w:hAnsi="Times New Roman"/>
          <w:sz w:val="22"/>
          <w:szCs w:val="22"/>
        </w:rPr>
        <w:t xml:space="preserve">ebo </w:t>
      </w:r>
      <w:r w:rsidR="0036248B">
        <w:rPr>
          <w:rFonts w:ascii="Times New Roman" w:hAnsi="Times New Roman"/>
          <w:sz w:val="22"/>
          <w:szCs w:val="22"/>
        </w:rPr>
        <w:t>na poruchu funkcie obličiek</w:t>
      </w:r>
      <w:r w:rsidR="00E9287E" w:rsidRPr="00E9287E">
        <w:rPr>
          <w:rFonts w:ascii="Times New Roman" w:hAnsi="Times New Roman"/>
          <w:sz w:val="22"/>
          <w:szCs w:val="22"/>
        </w:rPr>
        <w:t>.</w:t>
      </w:r>
    </w:p>
    <w:p w:rsidR="00E9287E" w:rsidRPr="00E9287E" w:rsidRDefault="00E9287E" w:rsidP="00E9287E">
      <w:pPr>
        <w:rPr>
          <w:rFonts w:ascii="Times New Roman" w:hAnsi="Times New Roman"/>
          <w:sz w:val="22"/>
          <w:szCs w:val="22"/>
        </w:rPr>
      </w:pPr>
    </w:p>
    <w:p w:rsidR="00E9287E" w:rsidRDefault="00E9287E">
      <w:pPr>
        <w:rPr>
          <w:rFonts w:ascii="Times New Roman" w:hAnsi="Times New Roman"/>
          <w:sz w:val="22"/>
          <w:szCs w:val="22"/>
        </w:rPr>
      </w:pPr>
      <w:r w:rsidRPr="00E9287E">
        <w:rPr>
          <w:rFonts w:ascii="Times New Roman" w:hAnsi="Times New Roman"/>
          <w:sz w:val="22"/>
          <w:szCs w:val="22"/>
        </w:rPr>
        <w:t>Pr</w:t>
      </w:r>
      <w:r>
        <w:rPr>
          <w:rFonts w:ascii="Times New Roman" w:hAnsi="Times New Roman"/>
          <w:sz w:val="22"/>
          <w:szCs w:val="22"/>
        </w:rPr>
        <w:t>e</w:t>
      </w:r>
      <w:r w:rsidRPr="00E9287E"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z w:val="22"/>
          <w:szCs w:val="22"/>
        </w:rPr>
        <w:t xml:space="preserve">sa </w:t>
      </w:r>
      <w:r w:rsidR="00A40826">
        <w:rPr>
          <w:rFonts w:ascii="Times New Roman" w:hAnsi="Times New Roman"/>
          <w:sz w:val="22"/>
          <w:szCs w:val="22"/>
        </w:rPr>
        <w:t>u pacientok</w:t>
      </w:r>
      <w:r w:rsidRPr="00E9287E">
        <w:rPr>
          <w:rFonts w:ascii="Times New Roman" w:hAnsi="Times New Roman"/>
          <w:sz w:val="22"/>
          <w:szCs w:val="22"/>
        </w:rPr>
        <w:t xml:space="preserve"> s</w:t>
      </w:r>
      <w:r w:rsidR="00211D56">
        <w:rPr>
          <w:rFonts w:ascii="Times New Roman" w:hAnsi="Times New Roman"/>
          <w:sz w:val="22"/>
          <w:szCs w:val="22"/>
        </w:rPr>
        <w:t> poruchou funkcie</w:t>
      </w:r>
      <w:r>
        <w:rPr>
          <w:rFonts w:ascii="Times New Roman" w:hAnsi="Times New Roman"/>
          <w:sz w:val="22"/>
          <w:szCs w:val="22"/>
        </w:rPr>
        <w:t xml:space="preserve"> obličiek</w:t>
      </w:r>
      <w:r w:rsidRPr="00E928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nevyžaduje </w:t>
      </w:r>
      <w:r w:rsidRPr="00E9287E">
        <w:rPr>
          <w:rFonts w:ascii="Times New Roman" w:hAnsi="Times New Roman"/>
          <w:sz w:val="22"/>
          <w:szCs w:val="22"/>
        </w:rPr>
        <w:t>úprava dávky (C</w:t>
      </w:r>
      <w:r w:rsidR="00DF2040">
        <w:rPr>
          <w:rFonts w:ascii="Times New Roman" w:hAnsi="Times New Roman"/>
          <w:sz w:val="22"/>
          <w:szCs w:val="22"/>
        </w:rPr>
        <w:t>l</w:t>
      </w:r>
      <w:r w:rsidRPr="00DF2040">
        <w:rPr>
          <w:rFonts w:ascii="Times New Roman" w:hAnsi="Times New Roman"/>
          <w:sz w:val="22"/>
          <w:szCs w:val="22"/>
          <w:vertAlign w:val="subscript"/>
        </w:rPr>
        <w:t>cr</w:t>
      </w:r>
      <w:r w:rsidR="0039029B">
        <w:rPr>
          <w:rFonts w:ascii="Times New Roman" w:hAnsi="Times New Roman"/>
          <w:sz w:val="22"/>
          <w:szCs w:val="22"/>
        </w:rPr>
        <w:t> </w:t>
      </w:r>
      <w:r w:rsidRPr="00E9287E">
        <w:rPr>
          <w:rFonts w:ascii="Times New Roman" w:hAnsi="Times New Roman"/>
          <w:sz w:val="22"/>
          <w:szCs w:val="22"/>
        </w:rPr>
        <w:t>≥</w:t>
      </w:r>
      <w:r w:rsidR="0039029B">
        <w:rPr>
          <w:rFonts w:ascii="Times New Roman" w:hAnsi="Times New Roman"/>
          <w:sz w:val="22"/>
          <w:szCs w:val="22"/>
        </w:rPr>
        <w:t> </w:t>
      </w:r>
      <w:r w:rsidRPr="00E9287E">
        <w:rPr>
          <w:rFonts w:ascii="Times New Roman" w:hAnsi="Times New Roman"/>
          <w:sz w:val="22"/>
          <w:szCs w:val="22"/>
        </w:rPr>
        <w:t xml:space="preserve">10 ml/min). </w:t>
      </w:r>
      <w:r w:rsidR="00462AE3">
        <w:rPr>
          <w:rFonts w:ascii="Times New Roman" w:hAnsi="Times New Roman"/>
          <w:sz w:val="22"/>
          <w:szCs w:val="22"/>
        </w:rPr>
        <w:t>O</w:t>
      </w:r>
      <w:r w:rsidR="009E39B3">
        <w:rPr>
          <w:rFonts w:ascii="Times New Roman" w:hAnsi="Times New Roman"/>
          <w:sz w:val="22"/>
          <w:szCs w:val="22"/>
        </w:rPr>
        <w:t> </w:t>
      </w:r>
      <w:r w:rsidR="00986702">
        <w:rPr>
          <w:rFonts w:ascii="Times New Roman" w:hAnsi="Times New Roman"/>
          <w:sz w:val="22"/>
          <w:szCs w:val="22"/>
        </w:rPr>
        <w:t>pacientkach</w:t>
      </w:r>
      <w:r w:rsidRPr="00E9287E">
        <w:rPr>
          <w:rFonts w:ascii="Times New Roman" w:hAnsi="Times New Roman"/>
          <w:sz w:val="22"/>
          <w:szCs w:val="22"/>
        </w:rPr>
        <w:t xml:space="preserve"> s</w:t>
      </w:r>
      <w:r w:rsidR="00462AE3">
        <w:rPr>
          <w:rFonts w:ascii="Times New Roman" w:hAnsi="Times New Roman"/>
          <w:sz w:val="22"/>
          <w:szCs w:val="22"/>
        </w:rPr>
        <w:t xml:space="preserve"> </w:t>
      </w:r>
      <w:r w:rsidR="00462AE3" w:rsidRPr="00986702">
        <w:rPr>
          <w:rFonts w:ascii="Times New Roman" w:hAnsi="Times New Roman"/>
          <w:sz w:val="22"/>
          <w:szCs w:val="22"/>
        </w:rPr>
        <w:t>ťažkou</w:t>
      </w:r>
      <w:r w:rsidR="00462AE3">
        <w:rPr>
          <w:rFonts w:ascii="Times New Roman" w:hAnsi="Times New Roman"/>
          <w:sz w:val="22"/>
          <w:szCs w:val="22"/>
        </w:rPr>
        <w:t xml:space="preserve"> poruchou funkcie obličiek</w:t>
      </w:r>
      <w:r w:rsidRPr="00E9287E">
        <w:rPr>
          <w:rFonts w:ascii="Times New Roman" w:hAnsi="Times New Roman"/>
          <w:sz w:val="22"/>
          <w:szCs w:val="22"/>
        </w:rPr>
        <w:t xml:space="preserve"> (C</w:t>
      </w:r>
      <w:r w:rsidR="004B2B4E">
        <w:rPr>
          <w:rFonts w:ascii="Times New Roman" w:hAnsi="Times New Roman"/>
          <w:sz w:val="22"/>
          <w:szCs w:val="22"/>
        </w:rPr>
        <w:t>l</w:t>
      </w:r>
      <w:r w:rsidRPr="004B2B4E">
        <w:rPr>
          <w:rFonts w:ascii="Times New Roman" w:hAnsi="Times New Roman"/>
          <w:sz w:val="22"/>
          <w:szCs w:val="22"/>
          <w:vertAlign w:val="subscript"/>
        </w:rPr>
        <w:t>cr</w:t>
      </w:r>
      <w:r w:rsidR="004B2B4E">
        <w:rPr>
          <w:rFonts w:ascii="Times New Roman" w:hAnsi="Times New Roman"/>
          <w:sz w:val="22"/>
          <w:szCs w:val="22"/>
        </w:rPr>
        <w:t> </w:t>
      </w:r>
      <w:r w:rsidRPr="00E9287E">
        <w:rPr>
          <w:rFonts w:ascii="Times New Roman" w:hAnsi="Times New Roman"/>
          <w:sz w:val="22"/>
          <w:szCs w:val="22"/>
        </w:rPr>
        <w:t>&lt;</w:t>
      </w:r>
      <w:r w:rsidR="004B2B4E">
        <w:rPr>
          <w:rFonts w:ascii="Times New Roman" w:hAnsi="Times New Roman"/>
          <w:sz w:val="22"/>
          <w:szCs w:val="22"/>
        </w:rPr>
        <w:t> </w:t>
      </w:r>
      <w:r w:rsidRPr="00E9287E">
        <w:rPr>
          <w:rFonts w:ascii="Times New Roman" w:hAnsi="Times New Roman"/>
          <w:sz w:val="22"/>
          <w:szCs w:val="22"/>
        </w:rPr>
        <w:t xml:space="preserve">10 ml/min) je dostupné </w:t>
      </w:r>
      <w:r w:rsidR="00462AE3">
        <w:rPr>
          <w:rFonts w:ascii="Times New Roman" w:hAnsi="Times New Roman"/>
          <w:sz w:val="22"/>
          <w:szCs w:val="22"/>
        </w:rPr>
        <w:t>iba obmedzené množstvo</w:t>
      </w:r>
      <w:r w:rsidRPr="00E9287E">
        <w:rPr>
          <w:rFonts w:ascii="Times New Roman" w:hAnsi="Times New Roman"/>
          <w:sz w:val="22"/>
          <w:szCs w:val="22"/>
        </w:rPr>
        <w:t xml:space="preserve"> </w:t>
      </w:r>
      <w:r w:rsidR="00462AE3" w:rsidRPr="00E9287E">
        <w:rPr>
          <w:rFonts w:ascii="Times New Roman" w:hAnsi="Times New Roman"/>
          <w:sz w:val="22"/>
          <w:szCs w:val="22"/>
        </w:rPr>
        <w:t>informác</w:t>
      </w:r>
      <w:r w:rsidR="00462AE3">
        <w:rPr>
          <w:rFonts w:ascii="Times New Roman" w:hAnsi="Times New Roman"/>
          <w:sz w:val="22"/>
          <w:szCs w:val="22"/>
        </w:rPr>
        <w:t>ií</w:t>
      </w:r>
      <w:r w:rsidRPr="00E9287E">
        <w:rPr>
          <w:rFonts w:ascii="Times New Roman" w:hAnsi="Times New Roman"/>
          <w:sz w:val="22"/>
          <w:szCs w:val="22"/>
        </w:rPr>
        <w:t>.</w:t>
      </w:r>
      <w:r w:rsidRPr="00E9287E">
        <w:rPr>
          <w:rFonts w:ascii="Times New Roman" w:hAnsi="Times New Roman"/>
          <w:sz w:val="22"/>
          <w:szCs w:val="22"/>
        </w:rPr>
        <w:cr/>
      </w:r>
    </w:p>
    <w:p w:rsidR="00E9287E" w:rsidRDefault="00E77B0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Porucha funkcie</w:t>
      </w:r>
      <w:r w:rsidR="00462AE3">
        <w:rPr>
          <w:rFonts w:ascii="Times New Roman" w:hAnsi="Times New Roman"/>
          <w:i/>
          <w:sz w:val="22"/>
          <w:szCs w:val="22"/>
        </w:rPr>
        <w:t xml:space="preserve"> pečene</w:t>
      </w:r>
    </w:p>
    <w:p w:rsidR="00462AE3" w:rsidRPr="009E27CE" w:rsidRDefault="005F040D" w:rsidP="00462A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podobnej štúdii, ktorej sa zúčastnili osoby s rôznym stupňom funkcie pečene, </w:t>
      </w:r>
      <w:r w:rsidR="005C1CED" w:rsidRPr="00410D82">
        <w:rPr>
          <w:rFonts w:ascii="Times New Roman" w:hAnsi="Times New Roman"/>
          <w:sz w:val="22"/>
          <w:szCs w:val="22"/>
        </w:rPr>
        <w:t xml:space="preserve">boli </w:t>
      </w:r>
      <w:r w:rsidR="00410D82">
        <w:rPr>
          <w:rFonts w:ascii="Times New Roman" w:hAnsi="Times New Roman"/>
          <w:sz w:val="22"/>
          <w:szCs w:val="22"/>
        </w:rPr>
        <w:t>stredné</w:t>
      </w:r>
      <w:r w:rsidR="005C1CED" w:rsidRPr="00410D82">
        <w:rPr>
          <w:rFonts w:ascii="Times New Roman" w:hAnsi="Times New Roman"/>
          <w:sz w:val="22"/>
          <w:szCs w:val="22"/>
        </w:rPr>
        <w:t xml:space="preserve"> hodnoty</w:t>
      </w:r>
      <w:r>
        <w:rPr>
          <w:rFonts w:ascii="Times New Roman" w:hAnsi="Times New Roman"/>
          <w:sz w:val="22"/>
          <w:szCs w:val="22"/>
        </w:rPr>
        <w:t xml:space="preserve"> AUC u dobrovoľníčok so stredne </w:t>
      </w:r>
      <w:r w:rsidR="00AB1655" w:rsidRPr="008B5DA7">
        <w:rPr>
          <w:rFonts w:ascii="Times New Roman" w:hAnsi="Times New Roman"/>
          <w:sz w:val="22"/>
          <w:szCs w:val="22"/>
        </w:rPr>
        <w:t>ťažkou</w:t>
      </w:r>
      <w:r w:rsidR="00AB1655">
        <w:rPr>
          <w:rFonts w:ascii="Times New Roman" w:hAnsi="Times New Roman"/>
          <w:sz w:val="22"/>
          <w:szCs w:val="22"/>
        </w:rPr>
        <w:t xml:space="preserve"> poruchou</w:t>
      </w:r>
      <w:r>
        <w:rPr>
          <w:rFonts w:ascii="Times New Roman" w:hAnsi="Times New Roman"/>
          <w:sz w:val="22"/>
          <w:szCs w:val="22"/>
        </w:rPr>
        <w:t xml:space="preserve"> funkcie pečene (Child</w:t>
      </w:r>
      <w:r w:rsidR="00DB6A03">
        <w:rPr>
          <w:rFonts w:ascii="Times New Roman" w:hAnsi="Times New Roman"/>
          <w:sz w:val="22"/>
          <w:szCs w:val="22"/>
        </w:rPr>
        <w:t>ovo</w:t>
      </w:r>
      <w:r>
        <w:rPr>
          <w:rFonts w:ascii="Times New Roman" w:hAnsi="Times New Roman"/>
          <w:sz w:val="22"/>
          <w:szCs w:val="22"/>
        </w:rPr>
        <w:t>-Pugh</w:t>
      </w:r>
      <w:r w:rsidR="00DB6A03">
        <w:rPr>
          <w:rFonts w:ascii="Times New Roman" w:hAnsi="Times New Roman"/>
          <w:sz w:val="22"/>
          <w:szCs w:val="22"/>
        </w:rPr>
        <w:t>ovo</w:t>
      </w:r>
      <w:r w:rsidR="00462AE3">
        <w:rPr>
          <w:rFonts w:ascii="Times New Roman" w:hAnsi="Times New Roman"/>
          <w:sz w:val="22"/>
          <w:szCs w:val="22"/>
        </w:rPr>
        <w:t xml:space="preserve"> skóre B</w:t>
      </w:r>
      <w:r>
        <w:rPr>
          <w:rFonts w:ascii="Times New Roman" w:hAnsi="Times New Roman"/>
          <w:sz w:val="22"/>
          <w:szCs w:val="22"/>
        </w:rPr>
        <w:t>) o</w:t>
      </w:r>
      <w:r w:rsidR="001761E6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37</w:t>
      </w:r>
      <w:r w:rsidR="001761E6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% vyšši</w:t>
      </w:r>
      <w:r w:rsidR="001761E6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ako u </w:t>
      </w:r>
      <w:r w:rsidRPr="008B5DA7">
        <w:rPr>
          <w:rFonts w:ascii="Times New Roman" w:hAnsi="Times New Roman"/>
          <w:sz w:val="22"/>
          <w:szCs w:val="22"/>
        </w:rPr>
        <w:t>zdravých</w:t>
      </w:r>
      <w:r>
        <w:rPr>
          <w:rFonts w:ascii="Times New Roman" w:hAnsi="Times New Roman"/>
          <w:sz w:val="22"/>
          <w:szCs w:val="22"/>
        </w:rPr>
        <w:t xml:space="preserve"> osôb, ale stále v rozmedzí, ktoré sa pozorovalo u osôb bez </w:t>
      </w:r>
      <w:r w:rsidR="005063FA">
        <w:rPr>
          <w:rFonts w:ascii="Times New Roman" w:hAnsi="Times New Roman"/>
          <w:sz w:val="22"/>
          <w:szCs w:val="22"/>
        </w:rPr>
        <w:t xml:space="preserve">poruchy </w:t>
      </w:r>
      <w:r>
        <w:rPr>
          <w:rFonts w:ascii="Times New Roman" w:hAnsi="Times New Roman"/>
          <w:sz w:val="22"/>
          <w:szCs w:val="22"/>
        </w:rPr>
        <w:t xml:space="preserve">funkcie. </w:t>
      </w:r>
      <w:r w:rsidR="00462AE3" w:rsidRPr="00462AE3">
        <w:rPr>
          <w:rFonts w:ascii="Times New Roman" w:hAnsi="Times New Roman"/>
          <w:sz w:val="22"/>
          <w:szCs w:val="22"/>
        </w:rPr>
        <w:t xml:space="preserve"> </w:t>
      </w:r>
      <w:r w:rsidR="00462AE3" w:rsidRPr="009E27CE">
        <w:rPr>
          <w:rFonts w:ascii="Times New Roman" w:hAnsi="Times New Roman"/>
          <w:sz w:val="22"/>
          <w:szCs w:val="22"/>
        </w:rPr>
        <w:t>V</w:t>
      </w:r>
      <w:r w:rsidR="00996C6D">
        <w:rPr>
          <w:rFonts w:ascii="Times New Roman" w:hAnsi="Times New Roman"/>
          <w:sz w:val="22"/>
          <w:szCs w:val="22"/>
        </w:rPr>
        <w:t> </w:t>
      </w:r>
      <w:r w:rsidR="00462AE3" w:rsidRPr="009E27CE">
        <w:rPr>
          <w:rFonts w:ascii="Times New Roman" w:hAnsi="Times New Roman"/>
          <w:sz w:val="22"/>
          <w:szCs w:val="22"/>
        </w:rPr>
        <w:t xml:space="preserve">štúdii, v ktorej sa porovnávala farmakokinetika letrozolu po </w:t>
      </w:r>
      <w:r w:rsidR="00462AE3" w:rsidRPr="008B5DA7">
        <w:rPr>
          <w:rFonts w:ascii="Times New Roman" w:hAnsi="Times New Roman"/>
          <w:sz w:val="22"/>
          <w:szCs w:val="22"/>
        </w:rPr>
        <w:t>jednorazovej</w:t>
      </w:r>
      <w:r w:rsidR="00462AE3" w:rsidRPr="009E27CE">
        <w:rPr>
          <w:rFonts w:ascii="Times New Roman" w:hAnsi="Times New Roman"/>
          <w:sz w:val="22"/>
          <w:szCs w:val="22"/>
        </w:rPr>
        <w:t xml:space="preserve"> perorálnej dávke u ôsmich mužov s cirhózou pečene a </w:t>
      </w:r>
      <w:r w:rsidR="00462AE3" w:rsidRPr="008B5DA7">
        <w:rPr>
          <w:rFonts w:ascii="Times New Roman" w:hAnsi="Times New Roman"/>
          <w:sz w:val="22"/>
          <w:szCs w:val="22"/>
        </w:rPr>
        <w:t>ťažkou</w:t>
      </w:r>
      <w:r w:rsidR="00462AE3" w:rsidRPr="009E27CE">
        <w:rPr>
          <w:rFonts w:ascii="Times New Roman" w:hAnsi="Times New Roman"/>
          <w:sz w:val="22"/>
          <w:szCs w:val="22"/>
        </w:rPr>
        <w:t xml:space="preserve"> poruchou funkcie pečene (Child</w:t>
      </w:r>
      <w:r w:rsidR="007B5E3C">
        <w:rPr>
          <w:rFonts w:ascii="Times New Roman" w:hAnsi="Times New Roman"/>
          <w:sz w:val="22"/>
          <w:szCs w:val="22"/>
        </w:rPr>
        <w:t>ovo</w:t>
      </w:r>
      <w:r w:rsidR="00462AE3" w:rsidRPr="009E27CE">
        <w:rPr>
          <w:rFonts w:ascii="Times New Roman" w:hAnsi="Times New Roman"/>
          <w:sz w:val="22"/>
          <w:szCs w:val="22"/>
        </w:rPr>
        <w:t>-Pugh</w:t>
      </w:r>
      <w:r w:rsidR="007B5E3C">
        <w:rPr>
          <w:rFonts w:ascii="Times New Roman" w:hAnsi="Times New Roman"/>
          <w:sz w:val="22"/>
          <w:szCs w:val="22"/>
        </w:rPr>
        <w:t>ovo</w:t>
      </w:r>
      <w:r w:rsidR="00462AE3">
        <w:rPr>
          <w:rFonts w:ascii="Times New Roman" w:hAnsi="Times New Roman"/>
          <w:sz w:val="22"/>
          <w:szCs w:val="22"/>
        </w:rPr>
        <w:t xml:space="preserve"> skóre C</w:t>
      </w:r>
      <w:r w:rsidR="00462AE3" w:rsidRPr="009E27CE">
        <w:rPr>
          <w:rFonts w:ascii="Times New Roman" w:hAnsi="Times New Roman"/>
          <w:sz w:val="22"/>
          <w:szCs w:val="22"/>
        </w:rPr>
        <w:t xml:space="preserve">) a </w:t>
      </w:r>
      <w:r w:rsidR="00462AE3" w:rsidRPr="009E27CE">
        <w:rPr>
          <w:rFonts w:ascii="Times New Roman" w:hAnsi="Times New Roman"/>
          <w:sz w:val="22"/>
          <w:szCs w:val="22"/>
        </w:rPr>
        <w:lastRenderedPageBreak/>
        <w:t>u zdravých dobrovoľníkov (</w:t>
      </w:r>
      <w:r w:rsidR="0016470D">
        <w:rPr>
          <w:rFonts w:ascii="Times New Roman" w:hAnsi="Times New Roman"/>
          <w:sz w:val="22"/>
          <w:szCs w:val="22"/>
        </w:rPr>
        <w:t>n </w:t>
      </w:r>
      <w:r w:rsidR="00462AE3" w:rsidRPr="009E27CE">
        <w:rPr>
          <w:rFonts w:ascii="Times New Roman" w:hAnsi="Times New Roman"/>
          <w:sz w:val="22"/>
          <w:szCs w:val="22"/>
        </w:rPr>
        <w:t>=</w:t>
      </w:r>
      <w:r w:rsidR="0016470D">
        <w:rPr>
          <w:rFonts w:ascii="Times New Roman" w:hAnsi="Times New Roman"/>
          <w:sz w:val="22"/>
          <w:szCs w:val="22"/>
        </w:rPr>
        <w:t> </w:t>
      </w:r>
      <w:r w:rsidR="00462AE3" w:rsidRPr="009E27CE">
        <w:rPr>
          <w:rFonts w:ascii="Times New Roman" w:hAnsi="Times New Roman"/>
          <w:sz w:val="22"/>
          <w:szCs w:val="22"/>
        </w:rPr>
        <w:t xml:space="preserve">8), sa AUC </w:t>
      </w:r>
      <w:r w:rsidR="0094043F" w:rsidRPr="009E27CE">
        <w:rPr>
          <w:rFonts w:ascii="Times New Roman" w:hAnsi="Times New Roman"/>
          <w:sz w:val="22"/>
          <w:szCs w:val="22"/>
        </w:rPr>
        <w:t xml:space="preserve">zvýšilo </w:t>
      </w:r>
      <w:r w:rsidR="00462AE3" w:rsidRPr="009E27CE">
        <w:rPr>
          <w:rFonts w:ascii="Times New Roman" w:hAnsi="Times New Roman"/>
          <w:sz w:val="22"/>
          <w:szCs w:val="22"/>
        </w:rPr>
        <w:t>o 95 % a t</w:t>
      </w:r>
      <w:r w:rsidR="00462AE3" w:rsidRPr="009E27CE">
        <w:rPr>
          <w:rFonts w:ascii="Times New Roman" w:hAnsi="Times New Roman"/>
          <w:sz w:val="22"/>
          <w:szCs w:val="22"/>
          <w:vertAlign w:val="subscript"/>
        </w:rPr>
        <w:t>1/2</w:t>
      </w:r>
      <w:r w:rsidR="00462AE3" w:rsidRPr="009E27CE">
        <w:rPr>
          <w:rFonts w:ascii="Times New Roman" w:hAnsi="Times New Roman"/>
          <w:sz w:val="22"/>
          <w:szCs w:val="22"/>
        </w:rPr>
        <w:t xml:space="preserve"> o 187 %. Preto sa má </w:t>
      </w:r>
      <w:r w:rsidR="00462AE3">
        <w:rPr>
          <w:rFonts w:ascii="Times New Roman" w:hAnsi="Times New Roman"/>
          <w:sz w:val="22"/>
          <w:szCs w:val="22"/>
        </w:rPr>
        <w:t>letrozol</w:t>
      </w:r>
      <w:r w:rsidR="00462AE3" w:rsidRPr="009E27CE">
        <w:rPr>
          <w:rFonts w:ascii="Times New Roman" w:hAnsi="Times New Roman"/>
          <w:sz w:val="22"/>
          <w:szCs w:val="22"/>
        </w:rPr>
        <w:t xml:space="preserve"> podávať opatrne </w:t>
      </w:r>
      <w:r w:rsidR="00462AE3" w:rsidRPr="008B5DA7">
        <w:rPr>
          <w:rFonts w:ascii="Times New Roman" w:hAnsi="Times New Roman"/>
          <w:sz w:val="22"/>
          <w:szCs w:val="22"/>
        </w:rPr>
        <w:t>pacientkam s ťažkou poruchou funkcie pečene a má sa zvážiť riziko/prínos u individuálnej pacientky.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5.3</w:t>
      </w:r>
      <w:r>
        <w:rPr>
          <w:rFonts w:ascii="Times New Roman" w:hAnsi="Times New Roman"/>
          <w:b/>
          <w:noProof/>
          <w:sz w:val="22"/>
          <w:szCs w:val="22"/>
        </w:rPr>
        <w:tab/>
        <w:t>Predklinické údaje o bezpečnosti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2162A6">
        <w:rPr>
          <w:rFonts w:ascii="Times New Roman" w:hAnsi="Times New Roman"/>
          <w:sz w:val="22"/>
          <w:szCs w:val="22"/>
        </w:rPr>
        <w:t> rôznych predklinických štúdiách</w:t>
      </w:r>
      <w:r>
        <w:rPr>
          <w:rFonts w:ascii="Times New Roman" w:hAnsi="Times New Roman"/>
          <w:sz w:val="22"/>
          <w:szCs w:val="22"/>
        </w:rPr>
        <w:t xml:space="preserve"> bezpečnosti, vykonaných na štandardných druhoch zvierat, sa nedokázala systémová toxicita alebo </w:t>
      </w:r>
      <w:r w:rsidRPr="000C5F31">
        <w:rPr>
          <w:rFonts w:ascii="Times New Roman" w:hAnsi="Times New Roman"/>
          <w:sz w:val="22"/>
          <w:szCs w:val="22"/>
        </w:rPr>
        <w:t>toxicita pre cieľové orgány</w:t>
      </w:r>
      <w:r>
        <w:rPr>
          <w:rFonts w:ascii="Times New Roman" w:hAnsi="Times New Roman"/>
          <w:sz w:val="22"/>
          <w:szCs w:val="22"/>
        </w:rPr>
        <w:t>.</w:t>
      </w:r>
    </w:p>
    <w:p w:rsidR="00462AE3" w:rsidRDefault="00462AE3" w:rsidP="00462AE3">
      <w:pPr>
        <w:rPr>
          <w:rFonts w:ascii="Times New Roman" w:hAnsi="Times New Roman"/>
          <w:sz w:val="22"/>
          <w:szCs w:val="22"/>
        </w:rPr>
      </w:pPr>
    </w:p>
    <w:p w:rsidR="00462AE3" w:rsidRPr="009E27CE" w:rsidRDefault="00462AE3" w:rsidP="00462AE3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>Letrozol vykazoval nízky stupeň akútnej toxicity u hlodavcov vystavených dávkam do 2 000 mg/kg. U</w:t>
      </w:r>
      <w:r w:rsidR="001A5E82">
        <w:rPr>
          <w:rFonts w:ascii="Times New Roman" w:hAnsi="Times New Roman"/>
          <w:sz w:val="22"/>
          <w:szCs w:val="22"/>
        </w:rPr>
        <w:t> </w:t>
      </w:r>
      <w:r w:rsidRPr="009E27CE">
        <w:rPr>
          <w:rFonts w:ascii="Times New Roman" w:hAnsi="Times New Roman"/>
          <w:sz w:val="22"/>
          <w:szCs w:val="22"/>
        </w:rPr>
        <w:t xml:space="preserve">psov </w:t>
      </w:r>
      <w:r w:rsidR="006F7A00" w:rsidRPr="009E27CE">
        <w:rPr>
          <w:rFonts w:ascii="Times New Roman" w:hAnsi="Times New Roman"/>
          <w:sz w:val="22"/>
          <w:szCs w:val="22"/>
        </w:rPr>
        <w:t xml:space="preserve">vyvolal </w:t>
      </w:r>
      <w:r w:rsidRPr="009E27CE">
        <w:rPr>
          <w:rFonts w:ascii="Times New Roman" w:hAnsi="Times New Roman"/>
          <w:sz w:val="22"/>
          <w:szCs w:val="22"/>
        </w:rPr>
        <w:t xml:space="preserve">letrozol </w:t>
      </w:r>
      <w:r w:rsidR="00805D60">
        <w:rPr>
          <w:rFonts w:ascii="Times New Roman" w:hAnsi="Times New Roman"/>
          <w:sz w:val="22"/>
          <w:szCs w:val="22"/>
        </w:rPr>
        <w:t>prejavy</w:t>
      </w:r>
      <w:r w:rsidRPr="009E27CE">
        <w:rPr>
          <w:rFonts w:ascii="Times New Roman" w:hAnsi="Times New Roman"/>
          <w:sz w:val="22"/>
          <w:szCs w:val="22"/>
        </w:rPr>
        <w:t xml:space="preserve"> </w:t>
      </w:r>
      <w:r w:rsidR="00F442B0">
        <w:rPr>
          <w:rFonts w:ascii="Times New Roman" w:hAnsi="Times New Roman"/>
          <w:sz w:val="22"/>
          <w:szCs w:val="22"/>
        </w:rPr>
        <w:t xml:space="preserve">stredne </w:t>
      </w:r>
      <w:r w:rsidR="009232BD">
        <w:rPr>
          <w:rFonts w:ascii="Times New Roman" w:hAnsi="Times New Roman"/>
          <w:sz w:val="22"/>
          <w:szCs w:val="22"/>
        </w:rPr>
        <w:t>závažnej</w:t>
      </w:r>
      <w:r w:rsidRPr="009E27CE">
        <w:rPr>
          <w:rFonts w:ascii="Times New Roman" w:hAnsi="Times New Roman"/>
          <w:sz w:val="22"/>
          <w:szCs w:val="22"/>
        </w:rPr>
        <w:t xml:space="preserve"> toxicity pri</w:t>
      </w:r>
      <w:r w:rsidR="006F7A00">
        <w:rPr>
          <w:rFonts w:ascii="Times New Roman" w:hAnsi="Times New Roman"/>
          <w:sz w:val="22"/>
          <w:szCs w:val="22"/>
        </w:rPr>
        <w:t xml:space="preserve"> dávke</w:t>
      </w:r>
      <w:r w:rsidRPr="009E27CE">
        <w:rPr>
          <w:rFonts w:ascii="Times New Roman" w:hAnsi="Times New Roman"/>
          <w:sz w:val="22"/>
          <w:szCs w:val="22"/>
        </w:rPr>
        <w:t xml:space="preserve"> 100 mg/kg.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štúdiách toxicity </w:t>
      </w:r>
      <w:r w:rsidR="00CE2489">
        <w:rPr>
          <w:rFonts w:ascii="Times New Roman" w:hAnsi="Times New Roman"/>
          <w:sz w:val="22"/>
          <w:szCs w:val="22"/>
        </w:rPr>
        <w:t>po</w:t>
      </w:r>
      <w:r>
        <w:rPr>
          <w:rFonts w:ascii="Times New Roman" w:hAnsi="Times New Roman"/>
          <w:sz w:val="22"/>
          <w:szCs w:val="22"/>
        </w:rPr>
        <w:t xml:space="preserve"> opakovanom podávaní potkanom a psom </w:t>
      </w:r>
      <w:r w:rsidR="000109AE" w:rsidRPr="008E1AFE">
        <w:rPr>
          <w:rFonts w:ascii="Times New Roman" w:hAnsi="Times New Roman"/>
          <w:sz w:val="22"/>
          <w:szCs w:val="22"/>
        </w:rPr>
        <w:t>až do</w:t>
      </w:r>
      <w:r>
        <w:rPr>
          <w:rFonts w:ascii="Times New Roman" w:hAnsi="Times New Roman"/>
          <w:sz w:val="22"/>
          <w:szCs w:val="22"/>
        </w:rPr>
        <w:t xml:space="preserve"> 12 mesiacov možno najdôležitejšie </w:t>
      </w:r>
      <w:r w:rsidRPr="008E1AFE">
        <w:rPr>
          <w:rFonts w:ascii="Times New Roman" w:hAnsi="Times New Roman"/>
          <w:sz w:val="22"/>
          <w:szCs w:val="22"/>
        </w:rPr>
        <w:t>pozorované výsledky</w:t>
      </w:r>
      <w:r>
        <w:rPr>
          <w:rFonts w:ascii="Times New Roman" w:hAnsi="Times New Roman"/>
          <w:sz w:val="22"/>
          <w:szCs w:val="22"/>
        </w:rPr>
        <w:t xml:space="preserve"> pripísať farmakologickému účinku látky. Hladina bez nežiaducich účinkov</w:t>
      </w:r>
      <w:r w:rsidR="00BB06DC">
        <w:rPr>
          <w:rFonts w:ascii="Times New Roman" w:hAnsi="Times New Roman"/>
          <w:sz w:val="22"/>
          <w:szCs w:val="22"/>
        </w:rPr>
        <w:t xml:space="preserve"> </w:t>
      </w:r>
      <w:r w:rsidR="00BB06DC" w:rsidRPr="008E1AFE">
        <w:rPr>
          <w:rFonts w:ascii="Times New Roman" w:hAnsi="Times New Roman"/>
          <w:sz w:val="22"/>
          <w:szCs w:val="22"/>
        </w:rPr>
        <w:t>(no-adverse effect level)</w:t>
      </w:r>
      <w:r w:rsidRPr="008E1AFE">
        <w:rPr>
          <w:rFonts w:ascii="Times New Roman" w:hAnsi="Times New Roman"/>
          <w:sz w:val="22"/>
          <w:szCs w:val="22"/>
        </w:rPr>
        <w:t xml:space="preserve"> bola</w:t>
      </w:r>
      <w:r>
        <w:rPr>
          <w:rFonts w:ascii="Times New Roman" w:hAnsi="Times New Roman"/>
          <w:sz w:val="22"/>
          <w:szCs w:val="22"/>
        </w:rPr>
        <w:t xml:space="preserve"> u oboch druhov 0,3 mg/kg.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462AE3" w:rsidRDefault="00A24F16" w:rsidP="00462A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</w:t>
      </w:r>
      <w:r w:rsidR="00462AE3" w:rsidRPr="00462AE3">
        <w:rPr>
          <w:rFonts w:ascii="Times New Roman" w:hAnsi="Times New Roman"/>
          <w:sz w:val="22"/>
          <w:szCs w:val="22"/>
        </w:rPr>
        <w:t xml:space="preserve"> peroráln</w:t>
      </w:r>
      <w:r w:rsidR="00462AE3">
        <w:rPr>
          <w:rFonts w:ascii="Times New Roman" w:hAnsi="Times New Roman"/>
          <w:sz w:val="22"/>
          <w:szCs w:val="22"/>
        </w:rPr>
        <w:t>o</w:t>
      </w:r>
      <w:r w:rsidR="00462AE3" w:rsidRPr="00462AE3">
        <w:rPr>
          <w:rFonts w:ascii="Times New Roman" w:hAnsi="Times New Roman"/>
          <w:sz w:val="22"/>
          <w:szCs w:val="22"/>
        </w:rPr>
        <w:t xml:space="preserve">m </w:t>
      </w:r>
      <w:r w:rsidR="00D20144">
        <w:rPr>
          <w:rFonts w:ascii="Times New Roman" w:hAnsi="Times New Roman"/>
          <w:sz w:val="22"/>
          <w:szCs w:val="22"/>
        </w:rPr>
        <w:t>podaní</w:t>
      </w:r>
      <w:r w:rsidR="00462AE3" w:rsidRPr="00462AE3">
        <w:rPr>
          <w:rFonts w:ascii="Times New Roman" w:hAnsi="Times New Roman"/>
          <w:sz w:val="22"/>
          <w:szCs w:val="22"/>
        </w:rPr>
        <w:t xml:space="preserve"> letrozolu samic</w:t>
      </w:r>
      <w:r w:rsidR="00462AE3">
        <w:rPr>
          <w:rFonts w:ascii="Times New Roman" w:hAnsi="Times New Roman"/>
          <w:sz w:val="22"/>
          <w:szCs w:val="22"/>
        </w:rPr>
        <w:t>ia</w:t>
      </w:r>
      <w:r w:rsidR="00462AE3" w:rsidRPr="00462AE3">
        <w:rPr>
          <w:rFonts w:ascii="Times New Roman" w:hAnsi="Times New Roman"/>
          <w:sz w:val="22"/>
          <w:szCs w:val="22"/>
        </w:rPr>
        <w:t>m potkan</w:t>
      </w:r>
      <w:r w:rsidR="00462AE3">
        <w:rPr>
          <w:rFonts w:ascii="Times New Roman" w:hAnsi="Times New Roman"/>
          <w:sz w:val="22"/>
          <w:szCs w:val="22"/>
        </w:rPr>
        <w:t>ov</w:t>
      </w:r>
      <w:r w:rsidR="00462AE3" w:rsidRPr="00462AE3">
        <w:rPr>
          <w:rFonts w:ascii="Times New Roman" w:hAnsi="Times New Roman"/>
          <w:sz w:val="22"/>
          <w:szCs w:val="22"/>
        </w:rPr>
        <w:t xml:space="preserve"> došlo k </w:t>
      </w:r>
      <w:r w:rsidR="00462AE3">
        <w:rPr>
          <w:rFonts w:ascii="Times New Roman" w:hAnsi="Times New Roman"/>
          <w:sz w:val="22"/>
          <w:szCs w:val="22"/>
        </w:rPr>
        <w:t>z</w:t>
      </w:r>
      <w:r w:rsidR="00462AE3" w:rsidRPr="00462AE3">
        <w:rPr>
          <w:rFonts w:ascii="Times New Roman" w:hAnsi="Times New Roman"/>
          <w:sz w:val="22"/>
          <w:szCs w:val="22"/>
        </w:rPr>
        <w:t>nížen</w:t>
      </w:r>
      <w:r w:rsidR="00462AE3">
        <w:rPr>
          <w:rFonts w:ascii="Times New Roman" w:hAnsi="Times New Roman"/>
          <w:sz w:val="22"/>
          <w:szCs w:val="22"/>
        </w:rPr>
        <w:t>iu</w:t>
      </w:r>
      <w:r w:rsidR="00462AE3" w:rsidRPr="00462AE3">
        <w:rPr>
          <w:rFonts w:ascii="Times New Roman" w:hAnsi="Times New Roman"/>
          <w:sz w:val="22"/>
          <w:szCs w:val="22"/>
        </w:rPr>
        <w:t xml:space="preserve"> </w:t>
      </w:r>
      <w:r w:rsidR="00462AE3" w:rsidRPr="008023F0">
        <w:rPr>
          <w:rFonts w:ascii="Times New Roman" w:hAnsi="Times New Roman"/>
          <w:sz w:val="22"/>
          <w:szCs w:val="22"/>
        </w:rPr>
        <w:t>pomerov medzi párením a brezivosťou a k zvýšeniu preimplanta</w:t>
      </w:r>
      <w:r w:rsidR="00462AE3" w:rsidRPr="008023F0">
        <w:rPr>
          <w:rFonts w:ascii="Times New Roman" w:hAnsi="Times New Roman" w:hint="eastAsia"/>
          <w:sz w:val="22"/>
          <w:szCs w:val="22"/>
        </w:rPr>
        <w:t>č</w:t>
      </w:r>
      <w:r w:rsidR="00462AE3" w:rsidRPr="008023F0">
        <w:rPr>
          <w:rFonts w:ascii="Times New Roman" w:hAnsi="Times New Roman"/>
          <w:sz w:val="22"/>
          <w:szCs w:val="22"/>
        </w:rPr>
        <w:t>ných strát.</w:t>
      </w:r>
    </w:p>
    <w:p w:rsidR="00462AE3" w:rsidRDefault="00462AE3" w:rsidP="00462AE3">
      <w:pPr>
        <w:rPr>
          <w:rFonts w:ascii="Times New Roman" w:hAnsi="Times New Roman"/>
          <w:sz w:val="22"/>
          <w:szCs w:val="22"/>
        </w:rPr>
      </w:pPr>
    </w:p>
    <w:p w:rsidR="005F040D" w:rsidRDefault="00903A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Sledovaním</w:t>
      </w:r>
      <w:r w:rsidR="005F040D">
        <w:rPr>
          <w:rFonts w:ascii="Times New Roman" w:hAnsi="Times New Roman"/>
          <w:sz w:val="22"/>
          <w:szCs w:val="22"/>
        </w:rPr>
        <w:t xml:space="preserve"> mutagénneho potenciálu letrozolu </w:t>
      </w:r>
      <w:r w:rsidR="005F040D">
        <w:rPr>
          <w:rFonts w:ascii="Times New Roman" w:hAnsi="Times New Roman"/>
          <w:i/>
          <w:sz w:val="22"/>
          <w:szCs w:val="22"/>
        </w:rPr>
        <w:t>in vitro</w:t>
      </w:r>
      <w:r w:rsidR="005F040D">
        <w:rPr>
          <w:rFonts w:ascii="Times New Roman" w:hAnsi="Times New Roman"/>
          <w:sz w:val="22"/>
          <w:szCs w:val="22"/>
        </w:rPr>
        <w:t xml:space="preserve"> aj </w:t>
      </w:r>
      <w:r w:rsidR="005F040D">
        <w:rPr>
          <w:rFonts w:ascii="Times New Roman" w:hAnsi="Times New Roman"/>
          <w:i/>
          <w:sz w:val="22"/>
          <w:szCs w:val="22"/>
        </w:rPr>
        <w:t>in vivo</w:t>
      </w:r>
      <w:r w:rsidR="005F040D">
        <w:rPr>
          <w:rFonts w:ascii="Times New Roman" w:hAnsi="Times New Roman"/>
          <w:sz w:val="22"/>
          <w:szCs w:val="22"/>
        </w:rPr>
        <w:t xml:space="preserve"> sa nezistili žiadne náznaky genotoxicity.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462AE3" w:rsidRDefault="00462AE3" w:rsidP="00462AE3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V štúdii karcinogenity na potkanoch trvajúcej 104 týždňov sa u samcov nezaznamenali žiadne nádory súvisiace s liečbou. U samíc sa </w:t>
      </w:r>
      <w:r w:rsidR="006E49FA" w:rsidRPr="009E27CE">
        <w:rPr>
          <w:rFonts w:ascii="Times New Roman" w:hAnsi="Times New Roman"/>
          <w:sz w:val="22"/>
          <w:szCs w:val="22"/>
        </w:rPr>
        <w:t xml:space="preserve">pri všetkých dávkach letrozolu </w:t>
      </w:r>
      <w:r w:rsidRPr="009E27CE">
        <w:rPr>
          <w:rFonts w:ascii="Times New Roman" w:hAnsi="Times New Roman"/>
          <w:sz w:val="22"/>
          <w:szCs w:val="22"/>
        </w:rPr>
        <w:t>zistila znížená incidencia benígnych a malígnych nádorov mliečnej žľazy.</w:t>
      </w:r>
    </w:p>
    <w:p w:rsidR="006B4669" w:rsidRDefault="006B4669" w:rsidP="00462AE3">
      <w:pPr>
        <w:rPr>
          <w:rFonts w:ascii="Times New Roman" w:hAnsi="Times New Roman"/>
          <w:sz w:val="22"/>
          <w:szCs w:val="22"/>
        </w:rPr>
      </w:pPr>
    </w:p>
    <w:p w:rsidR="006B4669" w:rsidRDefault="006B4669" w:rsidP="00462AE3">
      <w:pPr>
        <w:rPr>
          <w:rFonts w:ascii="Times New Roman" w:hAnsi="Times New Roman"/>
          <w:sz w:val="22"/>
          <w:szCs w:val="22"/>
        </w:rPr>
      </w:pPr>
      <w:r w:rsidRPr="009E27CE">
        <w:rPr>
          <w:rFonts w:ascii="Times New Roman" w:hAnsi="Times New Roman"/>
          <w:sz w:val="22"/>
          <w:szCs w:val="22"/>
        </w:rPr>
        <w:t xml:space="preserve">V štúdii karcinogenity na </w:t>
      </w:r>
      <w:r>
        <w:rPr>
          <w:rFonts w:ascii="Times New Roman" w:hAnsi="Times New Roman"/>
          <w:sz w:val="22"/>
          <w:szCs w:val="22"/>
        </w:rPr>
        <w:t>myšiach</w:t>
      </w:r>
      <w:r w:rsidRPr="009E27CE">
        <w:rPr>
          <w:rFonts w:ascii="Times New Roman" w:hAnsi="Times New Roman"/>
          <w:sz w:val="22"/>
          <w:szCs w:val="22"/>
        </w:rPr>
        <w:t xml:space="preserve"> trvajúcej 104 týždňov sa u samcov nezaznamenali žiadne nádory súvisiace s liečbou. U samíc </w:t>
      </w:r>
      <w:r w:rsidR="00D678AA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 xml:space="preserve"> pri všetkých testovaných dávkach letrozolu </w:t>
      </w:r>
      <w:r w:rsidR="00D678AA">
        <w:rPr>
          <w:rFonts w:ascii="Times New Roman" w:hAnsi="Times New Roman"/>
          <w:sz w:val="22"/>
          <w:szCs w:val="22"/>
        </w:rPr>
        <w:t>pozorovala vo všeobecnosti zvýšná incidencia</w:t>
      </w:r>
      <w:r w:rsidRPr="009E27CE">
        <w:rPr>
          <w:rFonts w:ascii="Times New Roman" w:hAnsi="Times New Roman"/>
          <w:sz w:val="22"/>
          <w:szCs w:val="22"/>
        </w:rPr>
        <w:t xml:space="preserve"> benígnych </w:t>
      </w:r>
      <w:r w:rsidRPr="008023F0">
        <w:rPr>
          <w:rFonts w:ascii="Times New Roman" w:hAnsi="Times New Roman"/>
          <w:sz w:val="22"/>
          <w:szCs w:val="22"/>
        </w:rPr>
        <w:t>granulózotekálnych nádorov na vaječníkoch. Predpokladá sa, že výskyt týchto nádorov súvisí s farmakologickou</w:t>
      </w:r>
      <w:r>
        <w:rPr>
          <w:rFonts w:ascii="Times New Roman" w:hAnsi="Times New Roman"/>
          <w:sz w:val="22"/>
          <w:szCs w:val="22"/>
        </w:rPr>
        <w:t xml:space="preserve"> inhibíciou syntézy estrogénu </w:t>
      </w:r>
      <w:r w:rsidR="009329CD">
        <w:rPr>
          <w:rFonts w:ascii="Times New Roman" w:hAnsi="Times New Roman"/>
          <w:sz w:val="22"/>
          <w:szCs w:val="22"/>
        </w:rPr>
        <w:t xml:space="preserve"> a</w:t>
      </w:r>
      <w:r w:rsidR="009D6D09">
        <w:rPr>
          <w:rFonts w:ascii="Times New Roman" w:hAnsi="Times New Roman"/>
          <w:sz w:val="22"/>
          <w:szCs w:val="22"/>
        </w:rPr>
        <w:t> zvýšením hladiny</w:t>
      </w:r>
      <w:r w:rsidR="009329CD">
        <w:rPr>
          <w:rFonts w:ascii="Times New Roman" w:hAnsi="Times New Roman"/>
          <w:sz w:val="22"/>
          <w:szCs w:val="22"/>
        </w:rPr>
        <w:t xml:space="preserve"> </w:t>
      </w:r>
      <w:r w:rsidRPr="006B4669">
        <w:rPr>
          <w:rFonts w:ascii="Times New Roman" w:hAnsi="Times New Roman"/>
          <w:sz w:val="22"/>
          <w:szCs w:val="22"/>
        </w:rPr>
        <w:t>luteiniza</w:t>
      </w:r>
      <w:r w:rsidRPr="006B4669">
        <w:rPr>
          <w:rFonts w:ascii="Times New Roman" w:hAnsi="Times New Roman" w:hint="eastAsia"/>
          <w:sz w:val="22"/>
          <w:szCs w:val="22"/>
        </w:rPr>
        <w:t>č</w:t>
      </w:r>
      <w:r w:rsidRPr="006B4669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é</w:t>
      </w:r>
      <w:r w:rsidRPr="006B4669">
        <w:rPr>
          <w:rFonts w:ascii="Times New Roman" w:hAnsi="Times New Roman"/>
          <w:sz w:val="22"/>
          <w:szCs w:val="22"/>
        </w:rPr>
        <w:t>ho horm</w:t>
      </w:r>
      <w:r>
        <w:rPr>
          <w:rFonts w:ascii="Times New Roman" w:hAnsi="Times New Roman"/>
          <w:sz w:val="22"/>
          <w:szCs w:val="22"/>
        </w:rPr>
        <w:t>ó</w:t>
      </w:r>
      <w:r w:rsidRPr="006B4669">
        <w:rPr>
          <w:rFonts w:ascii="Times New Roman" w:hAnsi="Times New Roman"/>
          <w:sz w:val="22"/>
          <w:szCs w:val="22"/>
        </w:rPr>
        <w:t>nu (LH)</w:t>
      </w:r>
      <w:r w:rsidR="009329CD">
        <w:rPr>
          <w:rFonts w:ascii="Times New Roman" w:hAnsi="Times New Roman"/>
          <w:sz w:val="22"/>
          <w:szCs w:val="22"/>
        </w:rPr>
        <w:t>, ktorá je spôsobená poklesom</w:t>
      </w:r>
      <w:r>
        <w:rPr>
          <w:rFonts w:ascii="Times New Roman" w:hAnsi="Times New Roman"/>
          <w:sz w:val="22"/>
          <w:szCs w:val="22"/>
        </w:rPr>
        <w:t xml:space="preserve">j </w:t>
      </w:r>
      <w:r w:rsidRPr="006B4669">
        <w:rPr>
          <w:rFonts w:ascii="Times New Roman" w:hAnsi="Times New Roman"/>
          <w:sz w:val="22"/>
          <w:szCs w:val="22"/>
        </w:rPr>
        <w:t>hladiny cirkuluj</w:t>
      </w:r>
      <w:r>
        <w:rPr>
          <w:rFonts w:ascii="Times New Roman" w:hAnsi="Times New Roman"/>
          <w:sz w:val="22"/>
          <w:szCs w:val="22"/>
        </w:rPr>
        <w:t>ú</w:t>
      </w:r>
      <w:r w:rsidRPr="006B4669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i</w:t>
      </w:r>
      <w:r w:rsidRPr="006B4669">
        <w:rPr>
          <w:rFonts w:ascii="Times New Roman" w:hAnsi="Times New Roman"/>
          <w:sz w:val="22"/>
          <w:szCs w:val="22"/>
        </w:rPr>
        <w:t>ch estrog</w:t>
      </w:r>
      <w:r>
        <w:rPr>
          <w:rFonts w:ascii="Times New Roman" w:hAnsi="Times New Roman"/>
          <w:sz w:val="22"/>
          <w:szCs w:val="22"/>
        </w:rPr>
        <w:t>é</w:t>
      </w:r>
      <w:r w:rsidRPr="006B4669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ov</w:t>
      </w:r>
      <w:r w:rsidRPr="006B4669">
        <w:rPr>
          <w:rFonts w:ascii="Times New Roman" w:hAnsi="Times New Roman"/>
          <w:sz w:val="22"/>
          <w:szCs w:val="22"/>
        </w:rPr>
        <w:t>.</w:t>
      </w:r>
    </w:p>
    <w:p w:rsidR="00462AE3" w:rsidRPr="009E27CE" w:rsidRDefault="00462AE3" w:rsidP="00462AE3">
      <w:pPr>
        <w:rPr>
          <w:rFonts w:ascii="Times New Roman" w:hAnsi="Times New Roman"/>
          <w:sz w:val="22"/>
          <w:szCs w:val="22"/>
        </w:rPr>
      </w:pPr>
    </w:p>
    <w:p w:rsidR="00462AE3" w:rsidRPr="009E27CE" w:rsidRDefault="00462AE3" w:rsidP="00462AE3">
      <w:pPr>
        <w:rPr>
          <w:rFonts w:ascii="Times New Roman" w:hAnsi="Times New Roman"/>
          <w:sz w:val="22"/>
          <w:szCs w:val="22"/>
        </w:rPr>
      </w:pPr>
      <w:r w:rsidRPr="00CE1046">
        <w:rPr>
          <w:rFonts w:ascii="Times New Roman" w:hAnsi="Times New Roman"/>
          <w:sz w:val="22"/>
          <w:szCs w:val="22"/>
        </w:rPr>
        <w:t>Letrozol bol</w:t>
      </w:r>
      <w:r w:rsidRPr="009E27CE">
        <w:rPr>
          <w:rFonts w:ascii="Times New Roman" w:hAnsi="Times New Roman"/>
          <w:sz w:val="22"/>
          <w:szCs w:val="22"/>
        </w:rPr>
        <w:t xml:space="preserve"> embryotoxický a fetotoxický u gravidných samíc potkana a králika po perorálnom podaní klinicky významných dávok. U potkaních samíc, ktoré mali živé plody, sa zvýšila incidencia malformácií plodov vrátane vyklenutej lebky a zrastených tiel krčných stavcov. Zvýšená incidencia malformácií plodov sa nepozorovala u králikov. Nie je známe, či to bol nepriamy následok farmakologických vlastností liečiva (inhibícia biosyntézy estrogénov) alebo priamy účinok liečiva (pozri časti </w:t>
      </w:r>
      <w:smartTag w:uri="urn:schemas-microsoft-com:office:smarttags" w:element="metricconverter">
        <w:smartTagPr>
          <w:attr w:name="ProductID" w:val="4.3 a"/>
        </w:smartTagPr>
        <w:r w:rsidRPr="009E27CE">
          <w:rPr>
            <w:rFonts w:ascii="Times New Roman" w:hAnsi="Times New Roman"/>
            <w:sz w:val="22"/>
            <w:szCs w:val="22"/>
          </w:rPr>
          <w:t>4.3 a</w:t>
        </w:r>
      </w:smartTag>
      <w:r w:rsidRPr="009E27CE">
        <w:rPr>
          <w:rFonts w:ascii="Times New Roman" w:hAnsi="Times New Roman"/>
          <w:sz w:val="22"/>
          <w:szCs w:val="22"/>
        </w:rPr>
        <w:t xml:space="preserve"> 4.6).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Predklinické pozorovania sa obmedzili na sledovania súvisiace so známym farmakologickým účinkom, čo sú z hľadiska bezpečnosti použitia u ľudí jediné významné poznatky získané v skúšaniach na zvieratách.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</w:t>
      </w:r>
      <w:r>
        <w:rPr>
          <w:rFonts w:ascii="Times New Roman" w:hAnsi="Times New Roman"/>
          <w:b/>
          <w:noProof/>
          <w:sz w:val="22"/>
          <w:szCs w:val="22"/>
        </w:rPr>
        <w:tab/>
        <w:t>FARMACEUTICKÉ INFORMÁCIE</w:t>
      </w: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6.1</w:t>
      </w:r>
      <w:r>
        <w:rPr>
          <w:rFonts w:ascii="Times New Roman" w:hAnsi="Times New Roman"/>
          <w:b/>
          <w:noProof/>
          <w:sz w:val="22"/>
          <w:szCs w:val="22"/>
        </w:rPr>
        <w:tab/>
        <w:t>Zoznam pomocných látok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laktóz</w:t>
      </w:r>
      <w:r w:rsidR="00DE7BB3">
        <w:rPr>
          <w:rFonts w:ascii="Times New Roman" w:hAnsi="Times New Roman"/>
          <w:sz w:val="22"/>
        </w:rPr>
        <w:t>a,</w:t>
      </w:r>
      <w:r w:rsidR="00DE7BB3" w:rsidRPr="00DE7BB3">
        <w:rPr>
          <w:rFonts w:ascii="Times New Roman" w:hAnsi="Times New Roman"/>
          <w:sz w:val="22"/>
        </w:rPr>
        <w:t xml:space="preserve"> </w:t>
      </w:r>
      <w:r w:rsidR="00DE7BB3">
        <w:rPr>
          <w:rFonts w:ascii="Times New Roman" w:hAnsi="Times New Roman"/>
          <w:sz w:val="22"/>
        </w:rPr>
        <w:t>monohydrát</w:t>
      </w:r>
    </w:p>
    <w:p w:rsidR="005F040D" w:rsidRDefault="007E151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</w:t>
      </w:r>
      <w:r w:rsidR="005F040D">
        <w:rPr>
          <w:rFonts w:ascii="Times New Roman" w:hAnsi="Times New Roman"/>
          <w:sz w:val="22"/>
        </w:rPr>
        <w:t>ukuričný škrob</w:t>
      </w:r>
    </w:p>
    <w:p w:rsidR="005F040D" w:rsidRDefault="0052727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</w:t>
      </w:r>
      <w:r w:rsidR="005F040D">
        <w:rPr>
          <w:rFonts w:ascii="Times New Roman" w:hAnsi="Times New Roman"/>
          <w:sz w:val="22"/>
        </w:rPr>
        <w:t xml:space="preserve">ikrokryštalická celulóza </w:t>
      </w:r>
    </w:p>
    <w:p w:rsidR="005F040D" w:rsidRDefault="005F040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karboxymetylškrob</w:t>
      </w:r>
      <w:r w:rsidR="00DE7BB3">
        <w:rPr>
          <w:rFonts w:ascii="Times New Roman" w:hAnsi="Times New Roman"/>
          <w:sz w:val="22"/>
        </w:rPr>
        <w:t>, sodná soľ</w:t>
      </w:r>
      <w:r>
        <w:rPr>
          <w:rFonts w:ascii="Times New Roman" w:hAnsi="Times New Roman"/>
          <w:sz w:val="22"/>
        </w:rPr>
        <w:t xml:space="preserve"> </w:t>
      </w:r>
      <w:r w:rsidR="002E6808">
        <w:rPr>
          <w:rFonts w:ascii="Times New Roman" w:hAnsi="Times New Roman"/>
          <w:sz w:val="22"/>
        </w:rPr>
        <w:t xml:space="preserve">(typ </w:t>
      </w:r>
      <w:r w:rsidR="006903EF">
        <w:rPr>
          <w:rFonts w:ascii="Times New Roman" w:hAnsi="Times New Roman"/>
          <w:sz w:val="22"/>
        </w:rPr>
        <w:t>A</w:t>
      </w:r>
      <w:r w:rsidR="002E6808">
        <w:rPr>
          <w:rFonts w:ascii="Times New Roman" w:hAnsi="Times New Roman"/>
          <w:sz w:val="22"/>
        </w:rPr>
        <w:t>)</w:t>
      </w:r>
    </w:p>
    <w:p w:rsidR="005F040D" w:rsidRDefault="00616CBF">
      <w:pPr>
        <w:rPr>
          <w:rFonts w:ascii="Times New Roman" w:hAnsi="Times New Roman"/>
          <w:strike/>
          <w:sz w:val="22"/>
        </w:rPr>
      </w:pPr>
      <w:r>
        <w:rPr>
          <w:rFonts w:ascii="Times New Roman" w:hAnsi="Times New Roman"/>
          <w:sz w:val="22"/>
        </w:rPr>
        <w:t>h</w:t>
      </w:r>
      <w:r w:rsidR="005F040D">
        <w:rPr>
          <w:rFonts w:ascii="Times New Roman" w:hAnsi="Times New Roman"/>
          <w:sz w:val="22"/>
        </w:rPr>
        <w:t>ypromelóza</w:t>
      </w:r>
      <w:r w:rsidR="00BF3550">
        <w:rPr>
          <w:rFonts w:ascii="Times New Roman" w:hAnsi="Times New Roman"/>
          <w:sz w:val="22"/>
        </w:rPr>
        <w:t xml:space="preserve"> (6 mPas)</w:t>
      </w:r>
    </w:p>
    <w:p w:rsidR="005F040D" w:rsidRDefault="00CE4987">
      <w:pPr>
        <w:pStyle w:val="Obsah4"/>
        <w:rPr>
          <w:lang w:val="sk-SK"/>
        </w:rPr>
      </w:pPr>
      <w:r>
        <w:rPr>
          <w:lang w:val="sk-SK"/>
        </w:rPr>
        <w:t>h</w:t>
      </w:r>
      <w:r w:rsidR="005F040D">
        <w:rPr>
          <w:lang w:val="sk-SK"/>
        </w:rPr>
        <w:t>ydroxypropylcelulóza</w:t>
      </w:r>
    </w:p>
    <w:p w:rsidR="005F040D" w:rsidRDefault="00DE7BB3">
      <w:pPr>
        <w:pStyle w:val="Obsah4"/>
        <w:rPr>
          <w:lang w:val="sk-SK" w:eastAsia="en-US"/>
        </w:rPr>
      </w:pPr>
      <w:r>
        <w:rPr>
          <w:lang w:val="sk-SK" w:eastAsia="en-US"/>
        </w:rPr>
        <w:t xml:space="preserve">stearan horečnatý </w:t>
      </w:r>
    </w:p>
    <w:p w:rsidR="005F040D" w:rsidRDefault="00674F0E">
      <w:pPr>
        <w:pStyle w:val="Obsah4"/>
        <w:rPr>
          <w:lang w:val="sk-SK"/>
        </w:rPr>
      </w:pPr>
      <w:r>
        <w:rPr>
          <w:lang w:val="sk-SK"/>
        </w:rPr>
        <w:t>m</w:t>
      </w:r>
      <w:r w:rsidR="005F040D">
        <w:rPr>
          <w:lang w:val="sk-SK"/>
        </w:rPr>
        <w:t>astenec</w:t>
      </w:r>
    </w:p>
    <w:p w:rsidR="005F040D" w:rsidRDefault="00E54C33">
      <w:pPr>
        <w:pStyle w:val="Obsah4"/>
        <w:rPr>
          <w:lang w:val="sk-SK"/>
        </w:rPr>
      </w:pPr>
      <w:r>
        <w:rPr>
          <w:lang w:val="sk-SK"/>
        </w:rPr>
        <w:t>b</w:t>
      </w:r>
      <w:r w:rsidR="005F040D">
        <w:rPr>
          <w:lang w:val="sk-SK"/>
        </w:rPr>
        <w:t xml:space="preserve">avlníkový olej </w:t>
      </w:r>
    </w:p>
    <w:p w:rsidR="005F040D" w:rsidRPr="00766707" w:rsidRDefault="00E54C33">
      <w:pPr>
        <w:rPr>
          <w:rFonts w:ascii="Times New Roman" w:hAnsi="Times New Roman"/>
          <w:sz w:val="22"/>
        </w:rPr>
      </w:pPr>
      <w:r w:rsidRPr="00766707">
        <w:rPr>
          <w:rFonts w:ascii="Times New Roman" w:hAnsi="Times New Roman"/>
          <w:sz w:val="22"/>
        </w:rPr>
        <w:lastRenderedPageBreak/>
        <w:t>ž</w:t>
      </w:r>
      <w:r w:rsidR="005F040D" w:rsidRPr="00766707">
        <w:rPr>
          <w:rFonts w:ascii="Times New Roman" w:hAnsi="Times New Roman"/>
          <w:sz w:val="22"/>
        </w:rPr>
        <w:t>ltý oxid železitý (E 172)</w:t>
      </w:r>
    </w:p>
    <w:p w:rsidR="005F040D" w:rsidRDefault="00E54C33">
      <w:pPr>
        <w:rPr>
          <w:rFonts w:ascii="Times New Roman" w:hAnsi="Times New Roman"/>
          <w:sz w:val="22"/>
        </w:rPr>
      </w:pPr>
      <w:r w:rsidRPr="00766707">
        <w:rPr>
          <w:rFonts w:ascii="Times New Roman" w:hAnsi="Times New Roman"/>
          <w:sz w:val="22"/>
        </w:rPr>
        <w:t>č</w:t>
      </w:r>
      <w:r w:rsidR="005F040D" w:rsidRPr="00766707">
        <w:rPr>
          <w:rFonts w:ascii="Times New Roman" w:hAnsi="Times New Roman"/>
          <w:sz w:val="22"/>
        </w:rPr>
        <w:t>ervený oxid železitý (E 172)</w:t>
      </w:r>
    </w:p>
    <w:p w:rsidR="005F040D" w:rsidRDefault="00E54C33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</w:t>
      </w:r>
      <w:r w:rsidR="005F040D">
        <w:rPr>
          <w:rFonts w:ascii="Times New Roman" w:hAnsi="Times New Roman"/>
          <w:sz w:val="22"/>
        </w:rPr>
        <w:t>xid titaničitý (E 171)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6.2</w:t>
      </w:r>
      <w:r>
        <w:rPr>
          <w:rFonts w:ascii="Times New Roman" w:hAnsi="Times New Roman"/>
          <w:b/>
          <w:noProof/>
          <w:sz w:val="22"/>
          <w:szCs w:val="22"/>
        </w:rPr>
        <w:tab/>
        <w:t>Inkompatibility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Neaplikovateľné.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6.3</w:t>
      </w:r>
      <w:r>
        <w:rPr>
          <w:rFonts w:ascii="Times New Roman" w:hAnsi="Times New Roman"/>
          <w:b/>
          <w:noProof/>
          <w:sz w:val="22"/>
          <w:szCs w:val="22"/>
        </w:rPr>
        <w:tab/>
        <w:t>Čas použiteľnosti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 roky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6.4</w:t>
      </w:r>
      <w:r>
        <w:rPr>
          <w:rFonts w:ascii="Times New Roman" w:hAnsi="Times New Roman"/>
          <w:b/>
          <w:noProof/>
          <w:sz w:val="22"/>
          <w:szCs w:val="22"/>
        </w:rPr>
        <w:tab/>
        <w:t>Špeciálne upozornenia na uchovávanie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Uchovávajte v pôvodnom obale na ochranu pred vlhkosťou.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6.5</w:t>
      </w:r>
      <w:r>
        <w:rPr>
          <w:rFonts w:ascii="Times New Roman" w:hAnsi="Times New Roman"/>
          <w:b/>
          <w:noProof/>
          <w:sz w:val="22"/>
          <w:szCs w:val="22"/>
        </w:rPr>
        <w:tab/>
        <w:t>Druh obalu a obsah balenia</w:t>
      </w:r>
      <w:r>
        <w:rPr>
          <w:rFonts w:ascii="Times New Roman" w:hAnsi="Times New Roman"/>
          <w:b/>
          <w:noProof/>
          <w:color w:val="0000FF"/>
          <w:sz w:val="22"/>
          <w:szCs w:val="22"/>
        </w:rPr>
        <w:t xml:space="preserve"> 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PVC/ALU blister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 w:rsidRPr="00766707">
        <w:rPr>
          <w:rFonts w:ascii="Times New Roman" w:hAnsi="Times New Roman"/>
          <w:sz w:val="22"/>
          <w:szCs w:val="22"/>
        </w:rPr>
        <w:t>Obsah balenia: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filmom obalených tabliet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filmom obalených tabliet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100 filmom obalených tabliet (10</w:t>
      </w:r>
      <w:r w:rsidR="00310A5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x</w:t>
      </w:r>
      <w:r w:rsidR="00310A5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10) filmom obalených tabliet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BF35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</w:t>
      </w:r>
      <w:r w:rsidR="005F040D">
        <w:rPr>
          <w:rFonts w:ascii="Times New Roman" w:hAnsi="Times New Roman"/>
          <w:sz w:val="22"/>
          <w:szCs w:val="22"/>
        </w:rPr>
        <w:t>.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bCs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6.6</w:t>
      </w:r>
      <w:r>
        <w:rPr>
          <w:rFonts w:ascii="Times New Roman" w:hAnsi="Times New Roman"/>
          <w:b/>
          <w:noProof/>
          <w:sz w:val="22"/>
          <w:szCs w:val="22"/>
        </w:rPr>
        <w:tab/>
      </w:r>
      <w:r>
        <w:rPr>
          <w:rFonts w:ascii="Times New Roman" w:hAnsi="Times New Roman"/>
          <w:b/>
          <w:bCs/>
          <w:noProof/>
          <w:sz w:val="22"/>
          <w:szCs w:val="22"/>
        </w:rPr>
        <w:t>Špeciálne opatrenia na likvidáciu a iné zaobchádzanie s liekom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Žiadne zvláštne požiadavky.</w:t>
      </w:r>
    </w:p>
    <w:p w:rsidR="005F040D" w:rsidRDefault="005F040D">
      <w:pPr>
        <w:pStyle w:val="Obsah4"/>
        <w:rPr>
          <w:szCs w:val="22"/>
          <w:lang w:val="sk-SK" w:eastAsia="en-US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7.</w:t>
      </w:r>
      <w:r>
        <w:rPr>
          <w:rFonts w:ascii="Times New Roman" w:hAnsi="Times New Roman"/>
          <w:b/>
          <w:noProof/>
          <w:sz w:val="22"/>
          <w:szCs w:val="22"/>
        </w:rPr>
        <w:tab/>
        <w:t>DRŽITEĽ ROZHODNUTIA O REGISTRÁCII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4"/>
          <w:lang w:eastAsia="cs-CZ"/>
        </w:rPr>
      </w:pPr>
      <w:r>
        <w:rPr>
          <w:rFonts w:ascii="Times New Roman" w:hAnsi="Times New Roman"/>
          <w:sz w:val="22"/>
        </w:rPr>
        <w:t>STADA Arzneimittel AG</w:t>
      </w:r>
    </w:p>
    <w:p w:rsidR="005F040D" w:rsidRDefault="005F040D">
      <w:pPr>
        <w:pStyle w:val="Obsah4"/>
        <w:rPr>
          <w:lang w:val="sk-SK" w:eastAsia="en-US"/>
        </w:rPr>
      </w:pPr>
      <w:r>
        <w:rPr>
          <w:lang w:val="sk-SK" w:eastAsia="en-US"/>
        </w:rPr>
        <w:t>Stadastrasse 2-18</w:t>
      </w:r>
    </w:p>
    <w:p w:rsidR="005F040D" w:rsidRDefault="005F040D">
      <w:pPr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</w:rPr>
        <w:t>61118 Bad Vilbel</w:t>
      </w:r>
    </w:p>
    <w:p w:rsidR="005F040D" w:rsidRDefault="005F040D">
      <w:pPr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</w:rPr>
        <w:t>Nemecko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8.</w:t>
      </w:r>
      <w:r>
        <w:rPr>
          <w:rFonts w:ascii="Times New Roman" w:hAnsi="Times New Roman"/>
          <w:b/>
          <w:noProof/>
          <w:sz w:val="22"/>
          <w:szCs w:val="22"/>
        </w:rPr>
        <w:tab/>
        <w:t>REGISTRAČNÉ ČÍSLO</w:t>
      </w:r>
    </w:p>
    <w:p w:rsidR="005F040D" w:rsidRDefault="005F040D">
      <w:pPr>
        <w:rPr>
          <w:rFonts w:ascii="Times New Roman" w:hAnsi="Times New Roman"/>
          <w:caps/>
          <w:sz w:val="22"/>
          <w:szCs w:val="22"/>
        </w:rPr>
      </w:pPr>
    </w:p>
    <w:p w:rsidR="005F040D" w:rsidRDefault="005F040D">
      <w:pPr>
        <w:rPr>
          <w:rFonts w:ascii="Times New Roman" w:hAnsi="Times New Roman"/>
          <w:bCs/>
          <w:caps/>
          <w:sz w:val="22"/>
          <w:szCs w:val="22"/>
        </w:rPr>
      </w:pPr>
      <w:r>
        <w:rPr>
          <w:rFonts w:ascii="Times New Roman" w:hAnsi="Times New Roman"/>
          <w:bCs/>
          <w:caps/>
          <w:sz w:val="22"/>
          <w:szCs w:val="22"/>
        </w:rPr>
        <w:t>44/0352/08-S</w:t>
      </w:r>
    </w:p>
    <w:p w:rsidR="005F040D" w:rsidRDefault="005F040D">
      <w:pPr>
        <w:rPr>
          <w:rFonts w:ascii="Times New Roman" w:hAnsi="Times New Roman"/>
          <w:b/>
          <w:caps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caps/>
          <w:sz w:val="22"/>
          <w:szCs w:val="22"/>
        </w:rPr>
      </w:pPr>
    </w:p>
    <w:p w:rsidR="005F040D" w:rsidRDefault="005F040D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9.</w:t>
      </w:r>
      <w:r>
        <w:rPr>
          <w:rFonts w:ascii="Times New Roman" w:hAnsi="Times New Roman"/>
          <w:b/>
          <w:noProof/>
          <w:sz w:val="22"/>
          <w:szCs w:val="22"/>
        </w:rPr>
        <w:tab/>
        <w:t>DÁTUM PRVEJ REGISTRÁCIE/ PREDĹŽENIA REGISTRÁCIE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BF35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Dátum prvej registrácie: </w:t>
      </w:r>
      <w:r w:rsidR="005F040D">
        <w:rPr>
          <w:rFonts w:ascii="Times New Roman" w:hAnsi="Times New Roman"/>
          <w:sz w:val="22"/>
          <w:szCs w:val="22"/>
        </w:rPr>
        <w:t>24.</w:t>
      </w:r>
      <w:r>
        <w:rPr>
          <w:rFonts w:ascii="Times New Roman" w:hAnsi="Times New Roman"/>
          <w:sz w:val="22"/>
          <w:szCs w:val="22"/>
        </w:rPr>
        <w:t xml:space="preserve"> júla </w:t>
      </w:r>
      <w:r w:rsidR="005F040D">
        <w:rPr>
          <w:rFonts w:ascii="Times New Roman" w:hAnsi="Times New Roman"/>
          <w:sz w:val="22"/>
          <w:szCs w:val="22"/>
        </w:rPr>
        <w:t>2008</w:t>
      </w:r>
    </w:p>
    <w:p w:rsidR="00BF3550" w:rsidRDefault="00BF35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Dátum posledného predĺženia registrácie: </w:t>
      </w:r>
      <w:r w:rsidR="007D7649">
        <w:rPr>
          <w:rFonts w:ascii="Times New Roman" w:hAnsi="Times New Roman"/>
          <w:sz w:val="22"/>
          <w:szCs w:val="22"/>
        </w:rPr>
        <w:t>29. júna 2015</w:t>
      </w:r>
    </w:p>
    <w:p w:rsidR="005F040D" w:rsidRDefault="005F040D">
      <w:pPr>
        <w:rPr>
          <w:rFonts w:ascii="Times New Roman" w:hAnsi="Times New Roman"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caps/>
          <w:sz w:val="22"/>
          <w:szCs w:val="22"/>
        </w:rPr>
      </w:pPr>
    </w:p>
    <w:p w:rsidR="005F040D" w:rsidRDefault="005F040D">
      <w:pPr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10.</w:t>
      </w:r>
      <w:r>
        <w:rPr>
          <w:rFonts w:ascii="Times New Roman" w:hAnsi="Times New Roman"/>
          <w:b/>
          <w:noProof/>
          <w:sz w:val="22"/>
          <w:szCs w:val="22"/>
        </w:rPr>
        <w:tab/>
        <w:t>DÁTUM REVÍZIE TEXTU</w:t>
      </w:r>
    </w:p>
    <w:p w:rsidR="005F040D" w:rsidRDefault="005F040D">
      <w:pPr>
        <w:rPr>
          <w:rFonts w:ascii="Times New Roman" w:hAnsi="Times New Roman"/>
          <w:b/>
          <w:caps/>
          <w:sz w:val="22"/>
          <w:szCs w:val="22"/>
        </w:rPr>
      </w:pPr>
    </w:p>
    <w:p w:rsidR="005F040D" w:rsidRPr="004B08CD" w:rsidRDefault="0025530F">
      <w:pPr>
        <w:pStyle w:val="Hlavik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12/2019</w:t>
      </w:r>
      <w:bookmarkStart w:id="2" w:name="_GoBack"/>
      <w:bookmarkEnd w:id="2"/>
    </w:p>
    <w:sectPr w:rsidR="005F040D" w:rsidRPr="004B08CD" w:rsidSect="004B08C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BD4" w:rsidRDefault="00480BD4">
      <w:r>
        <w:separator/>
      </w:r>
    </w:p>
  </w:endnote>
  <w:endnote w:type="continuationSeparator" w:id="0">
    <w:p w:rsidR="00480BD4" w:rsidRDefault="0048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 Switzerland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C5" w:rsidRDefault="000D49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:rsidR="000D49C5" w:rsidRDefault="000D49C5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C5" w:rsidRPr="00036F94" w:rsidRDefault="000D49C5" w:rsidP="00036F94">
    <w:pPr>
      <w:pStyle w:val="Pta"/>
      <w:jc w:val="center"/>
      <w:rPr>
        <w:rFonts w:ascii="Times New Roman" w:hAnsi="Times New Roman"/>
        <w:sz w:val="18"/>
        <w:szCs w:val="18"/>
      </w:rPr>
    </w:pPr>
    <w:r w:rsidRPr="00036F94">
      <w:rPr>
        <w:rFonts w:ascii="Times New Roman" w:hAnsi="Times New Roman"/>
        <w:sz w:val="18"/>
        <w:szCs w:val="18"/>
      </w:rPr>
      <w:fldChar w:fldCharType="begin"/>
    </w:r>
    <w:r w:rsidRPr="00036F94">
      <w:rPr>
        <w:rFonts w:ascii="Times New Roman" w:hAnsi="Times New Roman"/>
        <w:sz w:val="18"/>
        <w:szCs w:val="18"/>
      </w:rPr>
      <w:instrText>PAGE   \* MERGEFORMAT</w:instrText>
    </w:r>
    <w:r w:rsidRPr="00036F94">
      <w:rPr>
        <w:rFonts w:ascii="Times New Roman" w:hAnsi="Times New Roman"/>
        <w:sz w:val="18"/>
        <w:szCs w:val="18"/>
      </w:rPr>
      <w:fldChar w:fldCharType="separate"/>
    </w:r>
    <w:r w:rsidR="000B1A4E">
      <w:rPr>
        <w:rFonts w:ascii="Times New Roman" w:hAnsi="Times New Roman"/>
        <w:noProof/>
        <w:sz w:val="18"/>
        <w:szCs w:val="18"/>
      </w:rPr>
      <w:t>17</w:t>
    </w:r>
    <w:r w:rsidRPr="00036F94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C5" w:rsidRDefault="000D49C5" w:rsidP="005E08D6">
    <w:pPr>
      <w:pStyle w:val="Pta"/>
      <w:jc w:val="center"/>
    </w:pPr>
    <w:r w:rsidRPr="00036F94">
      <w:rPr>
        <w:rFonts w:ascii="Times New Roman" w:hAnsi="Times New Roman"/>
        <w:sz w:val="18"/>
        <w:szCs w:val="18"/>
      </w:rPr>
      <w:fldChar w:fldCharType="begin"/>
    </w:r>
    <w:r w:rsidRPr="00036F94">
      <w:rPr>
        <w:rFonts w:ascii="Times New Roman" w:hAnsi="Times New Roman"/>
        <w:sz w:val="18"/>
        <w:szCs w:val="18"/>
      </w:rPr>
      <w:instrText>PAGE   \* MERGEFORMAT</w:instrText>
    </w:r>
    <w:r w:rsidRPr="00036F94">
      <w:rPr>
        <w:rFonts w:ascii="Times New Roman" w:hAnsi="Times New Roman"/>
        <w:sz w:val="18"/>
        <w:szCs w:val="18"/>
      </w:rPr>
      <w:fldChar w:fldCharType="separate"/>
    </w:r>
    <w:r w:rsidR="004B08CD">
      <w:rPr>
        <w:rFonts w:ascii="Times New Roman" w:hAnsi="Times New Roman"/>
        <w:noProof/>
        <w:sz w:val="18"/>
        <w:szCs w:val="18"/>
      </w:rPr>
      <w:t>1</w:t>
    </w:r>
    <w:r w:rsidRPr="00036F9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BD4" w:rsidRDefault="00480BD4">
      <w:r>
        <w:separator/>
      </w:r>
    </w:p>
  </w:footnote>
  <w:footnote w:type="continuationSeparator" w:id="0">
    <w:p w:rsidR="00480BD4" w:rsidRDefault="00480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C5A" w:rsidRPr="00036F94" w:rsidRDefault="00681C5A" w:rsidP="00681C5A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 notifikácii o zmene, ev. č.: 2019/0</w:t>
    </w:r>
    <w:r w:rsidR="00CA532E">
      <w:rPr>
        <w:rFonts w:ascii="Times New Roman" w:hAnsi="Times New Roman"/>
        <w:sz w:val="18"/>
        <w:szCs w:val="18"/>
      </w:rPr>
      <w:t>5303-Z1B</w:t>
    </w:r>
  </w:p>
  <w:p w:rsidR="004B08CD" w:rsidRDefault="004B08C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C5" w:rsidRDefault="000D49C5" w:rsidP="00036F94">
    <w:pPr>
      <w:rPr>
        <w:rFonts w:ascii="Times New Roman" w:hAnsi="Times New Roman"/>
        <w:sz w:val="18"/>
        <w:szCs w:val="18"/>
      </w:rPr>
    </w:pPr>
  </w:p>
  <w:p w:rsidR="006F1B53" w:rsidRPr="00036F94" w:rsidRDefault="006F1B53" w:rsidP="006F1B53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 notifikácii o zmene, ev. č.: 2017/0</w:t>
    </w:r>
    <w:r w:rsidR="00D33A69">
      <w:rPr>
        <w:rFonts w:ascii="Times New Roman" w:hAnsi="Times New Roman"/>
        <w:sz w:val="18"/>
        <w:szCs w:val="18"/>
      </w:rPr>
      <w:t>4746-Z1B</w:t>
    </w:r>
  </w:p>
  <w:p w:rsidR="006F1B53" w:rsidRPr="00036F94" w:rsidRDefault="006F1B53" w:rsidP="00036F94">
    <w:pPr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9FA"/>
    <w:multiLevelType w:val="multilevel"/>
    <w:tmpl w:val="D660AC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FF90345"/>
    <w:multiLevelType w:val="multilevel"/>
    <w:tmpl w:val="79648270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0DAE"/>
    <w:multiLevelType w:val="singleLevel"/>
    <w:tmpl w:val="08B4320C"/>
    <w:lvl w:ilvl="0">
      <w:start w:val="6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1A753947"/>
    <w:multiLevelType w:val="hybridMultilevel"/>
    <w:tmpl w:val="22F6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7ECE"/>
    <w:multiLevelType w:val="multilevel"/>
    <w:tmpl w:val="D10AE9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F053EC0"/>
    <w:multiLevelType w:val="singleLevel"/>
    <w:tmpl w:val="1952C35E"/>
    <w:lvl w:ilvl="0">
      <w:start w:val="2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21765A0D"/>
    <w:multiLevelType w:val="hybridMultilevel"/>
    <w:tmpl w:val="BC549AAE"/>
    <w:lvl w:ilvl="0" w:tplc="C47AFEEA">
      <w:start w:val="1"/>
      <w:numFmt w:val="bullet"/>
      <w:lvlText w:val="-"/>
      <w:lvlJc w:val="left"/>
      <w:pPr>
        <w:tabs>
          <w:tab w:val="num" w:pos="60"/>
        </w:tabs>
        <w:ind w:left="23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7F1598"/>
    <w:multiLevelType w:val="hybridMultilevel"/>
    <w:tmpl w:val="24646D28"/>
    <w:lvl w:ilvl="0" w:tplc="62B2CA7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01648"/>
    <w:multiLevelType w:val="hybridMultilevel"/>
    <w:tmpl w:val="D6285278"/>
    <w:lvl w:ilvl="0" w:tplc="625847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1F5D"/>
    <w:multiLevelType w:val="multilevel"/>
    <w:tmpl w:val="D628527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2C0C"/>
    <w:multiLevelType w:val="singleLevel"/>
    <w:tmpl w:val="08A4ED20"/>
    <w:lvl w:ilvl="0">
      <w:start w:val="7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46660D1E"/>
    <w:multiLevelType w:val="hybridMultilevel"/>
    <w:tmpl w:val="6D70D1A2"/>
    <w:lvl w:ilvl="0" w:tplc="B122FB5A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97CD1"/>
    <w:multiLevelType w:val="singleLevel"/>
    <w:tmpl w:val="7AB0596E"/>
    <w:lvl w:ilvl="0">
      <w:start w:val="3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4E887592"/>
    <w:multiLevelType w:val="hybridMultilevel"/>
    <w:tmpl w:val="A3462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0D88"/>
    <w:multiLevelType w:val="hybridMultilevel"/>
    <w:tmpl w:val="460A684A"/>
    <w:lvl w:ilvl="0" w:tplc="8FCACF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3496F"/>
    <w:multiLevelType w:val="multilevel"/>
    <w:tmpl w:val="24646D2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868A3"/>
    <w:multiLevelType w:val="hybridMultilevel"/>
    <w:tmpl w:val="79648270"/>
    <w:lvl w:ilvl="0" w:tplc="77E06E0A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16A35"/>
    <w:multiLevelType w:val="hybridMultilevel"/>
    <w:tmpl w:val="7398E9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24B9F"/>
    <w:multiLevelType w:val="hybridMultilevel"/>
    <w:tmpl w:val="935A6330"/>
    <w:lvl w:ilvl="0" w:tplc="E730CA7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972E0"/>
    <w:multiLevelType w:val="singleLevel"/>
    <w:tmpl w:val="240C5414"/>
    <w:lvl w:ilvl="0">
      <w:start w:val="1"/>
      <w:numFmt w:val="decimal"/>
      <w:lvlText w:val="(%1)"/>
      <w:lvlJc w:val="left"/>
      <w:pPr>
        <w:tabs>
          <w:tab w:val="num" w:pos="340"/>
        </w:tabs>
        <w:ind w:left="360" w:hanging="360"/>
      </w:pPr>
      <w:rPr>
        <w:rFonts w:hint="default"/>
      </w:rPr>
    </w:lvl>
  </w:abstractNum>
  <w:abstractNum w:abstractNumId="20" w15:restartNumberingAfterBreak="0">
    <w:nsid w:val="76AE484C"/>
    <w:multiLevelType w:val="hybridMultilevel"/>
    <w:tmpl w:val="A8CC4200"/>
    <w:lvl w:ilvl="0" w:tplc="9BC8D34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20"/>
  </w:num>
  <w:num w:numId="8">
    <w:abstractNumId w:val="16"/>
  </w:num>
  <w:num w:numId="9">
    <w:abstractNumId w:val="1"/>
  </w:num>
  <w:num w:numId="10">
    <w:abstractNumId w:val="7"/>
  </w:num>
  <w:num w:numId="11">
    <w:abstractNumId w:val="15"/>
  </w:num>
  <w:num w:numId="12">
    <w:abstractNumId w:val="18"/>
  </w:num>
  <w:num w:numId="13">
    <w:abstractNumId w:val="19"/>
  </w:num>
  <w:num w:numId="14">
    <w:abstractNumId w:val="6"/>
  </w:num>
  <w:num w:numId="15">
    <w:abstractNumId w:val="8"/>
  </w:num>
  <w:num w:numId="16">
    <w:abstractNumId w:val="9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trackRevision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BC"/>
    <w:rsid w:val="00001876"/>
    <w:rsid w:val="0000624E"/>
    <w:rsid w:val="00007A4D"/>
    <w:rsid w:val="00007EB1"/>
    <w:rsid w:val="000109AE"/>
    <w:rsid w:val="00022657"/>
    <w:rsid w:val="00034428"/>
    <w:rsid w:val="00034781"/>
    <w:rsid w:val="000353D5"/>
    <w:rsid w:val="00036F94"/>
    <w:rsid w:val="000410FB"/>
    <w:rsid w:val="00042F59"/>
    <w:rsid w:val="00045C14"/>
    <w:rsid w:val="00053DFE"/>
    <w:rsid w:val="0005484F"/>
    <w:rsid w:val="00055084"/>
    <w:rsid w:val="00056DA3"/>
    <w:rsid w:val="00057A2B"/>
    <w:rsid w:val="00063850"/>
    <w:rsid w:val="00064339"/>
    <w:rsid w:val="000733E2"/>
    <w:rsid w:val="00074EFF"/>
    <w:rsid w:val="0007503A"/>
    <w:rsid w:val="000753BF"/>
    <w:rsid w:val="00081112"/>
    <w:rsid w:val="00081A10"/>
    <w:rsid w:val="00083CA3"/>
    <w:rsid w:val="00086B78"/>
    <w:rsid w:val="00091434"/>
    <w:rsid w:val="00092732"/>
    <w:rsid w:val="000A3BEE"/>
    <w:rsid w:val="000A7AB1"/>
    <w:rsid w:val="000B1A4E"/>
    <w:rsid w:val="000B500C"/>
    <w:rsid w:val="000B5E13"/>
    <w:rsid w:val="000B6A20"/>
    <w:rsid w:val="000C5F31"/>
    <w:rsid w:val="000C60D9"/>
    <w:rsid w:val="000D135F"/>
    <w:rsid w:val="000D22D2"/>
    <w:rsid w:val="000D392C"/>
    <w:rsid w:val="000D4600"/>
    <w:rsid w:val="000D49C5"/>
    <w:rsid w:val="000E0929"/>
    <w:rsid w:val="000E162D"/>
    <w:rsid w:val="000E1F2D"/>
    <w:rsid w:val="000E59CA"/>
    <w:rsid w:val="000E73AC"/>
    <w:rsid w:val="000F0B5E"/>
    <w:rsid w:val="000F146A"/>
    <w:rsid w:val="000F187D"/>
    <w:rsid w:val="001019AC"/>
    <w:rsid w:val="00104EAD"/>
    <w:rsid w:val="001078A3"/>
    <w:rsid w:val="00107EAE"/>
    <w:rsid w:val="00117033"/>
    <w:rsid w:val="001204E5"/>
    <w:rsid w:val="00123DD5"/>
    <w:rsid w:val="00124147"/>
    <w:rsid w:val="001278A2"/>
    <w:rsid w:val="00140472"/>
    <w:rsid w:val="00140A8A"/>
    <w:rsid w:val="00142576"/>
    <w:rsid w:val="00144CD7"/>
    <w:rsid w:val="00144DDF"/>
    <w:rsid w:val="00146DF4"/>
    <w:rsid w:val="001477F1"/>
    <w:rsid w:val="001510F4"/>
    <w:rsid w:val="00153661"/>
    <w:rsid w:val="001568D9"/>
    <w:rsid w:val="0016470D"/>
    <w:rsid w:val="00165D2F"/>
    <w:rsid w:val="00167BE4"/>
    <w:rsid w:val="00170A90"/>
    <w:rsid w:val="00170DA3"/>
    <w:rsid w:val="001761E6"/>
    <w:rsid w:val="001828F9"/>
    <w:rsid w:val="00184391"/>
    <w:rsid w:val="00185505"/>
    <w:rsid w:val="00186223"/>
    <w:rsid w:val="001901BE"/>
    <w:rsid w:val="0019458D"/>
    <w:rsid w:val="00194C46"/>
    <w:rsid w:val="001A08EE"/>
    <w:rsid w:val="001A1373"/>
    <w:rsid w:val="001A2DF0"/>
    <w:rsid w:val="001A325D"/>
    <w:rsid w:val="001A3CF0"/>
    <w:rsid w:val="001A4CC8"/>
    <w:rsid w:val="001A4E96"/>
    <w:rsid w:val="001A5E82"/>
    <w:rsid w:val="001D2957"/>
    <w:rsid w:val="001E48FC"/>
    <w:rsid w:val="001E49F1"/>
    <w:rsid w:val="001F1B06"/>
    <w:rsid w:val="001F705D"/>
    <w:rsid w:val="00203E6F"/>
    <w:rsid w:val="00205FDD"/>
    <w:rsid w:val="00206ACD"/>
    <w:rsid w:val="00207E3B"/>
    <w:rsid w:val="00210055"/>
    <w:rsid w:val="00211D56"/>
    <w:rsid w:val="00213062"/>
    <w:rsid w:val="002162A6"/>
    <w:rsid w:val="00217ADA"/>
    <w:rsid w:val="00222848"/>
    <w:rsid w:val="002234A2"/>
    <w:rsid w:val="0022380B"/>
    <w:rsid w:val="0022465E"/>
    <w:rsid w:val="00232588"/>
    <w:rsid w:val="00234AB5"/>
    <w:rsid w:val="00234B9D"/>
    <w:rsid w:val="00235FFA"/>
    <w:rsid w:val="0024292E"/>
    <w:rsid w:val="002465AA"/>
    <w:rsid w:val="002517EB"/>
    <w:rsid w:val="0025530F"/>
    <w:rsid w:val="00260E99"/>
    <w:rsid w:val="00263B1E"/>
    <w:rsid w:val="00265283"/>
    <w:rsid w:val="00266D9A"/>
    <w:rsid w:val="00267802"/>
    <w:rsid w:val="00270CB9"/>
    <w:rsid w:val="00271339"/>
    <w:rsid w:val="00271874"/>
    <w:rsid w:val="00272588"/>
    <w:rsid w:val="002728E9"/>
    <w:rsid w:val="00272EF1"/>
    <w:rsid w:val="002755AD"/>
    <w:rsid w:val="00275806"/>
    <w:rsid w:val="00276AA9"/>
    <w:rsid w:val="002827DA"/>
    <w:rsid w:val="00297463"/>
    <w:rsid w:val="00297495"/>
    <w:rsid w:val="002A05EF"/>
    <w:rsid w:val="002A0BE9"/>
    <w:rsid w:val="002A3E13"/>
    <w:rsid w:val="002A6844"/>
    <w:rsid w:val="002B1121"/>
    <w:rsid w:val="002C1D4B"/>
    <w:rsid w:val="002C375C"/>
    <w:rsid w:val="002C4F0C"/>
    <w:rsid w:val="002C52F7"/>
    <w:rsid w:val="002D6900"/>
    <w:rsid w:val="002E59C6"/>
    <w:rsid w:val="002E67FF"/>
    <w:rsid w:val="002E6808"/>
    <w:rsid w:val="002F0925"/>
    <w:rsid w:val="002F1168"/>
    <w:rsid w:val="002F6AEA"/>
    <w:rsid w:val="002F7267"/>
    <w:rsid w:val="0030010D"/>
    <w:rsid w:val="0030763F"/>
    <w:rsid w:val="00310A51"/>
    <w:rsid w:val="003115D2"/>
    <w:rsid w:val="00312E2D"/>
    <w:rsid w:val="0031305E"/>
    <w:rsid w:val="003139A6"/>
    <w:rsid w:val="00321809"/>
    <w:rsid w:val="0032359F"/>
    <w:rsid w:val="00324A2D"/>
    <w:rsid w:val="00326782"/>
    <w:rsid w:val="00331D3A"/>
    <w:rsid w:val="003325C3"/>
    <w:rsid w:val="00340A52"/>
    <w:rsid w:val="00345EE8"/>
    <w:rsid w:val="0034631B"/>
    <w:rsid w:val="00346FCD"/>
    <w:rsid w:val="0035177E"/>
    <w:rsid w:val="00361126"/>
    <w:rsid w:val="0036248B"/>
    <w:rsid w:val="0036334C"/>
    <w:rsid w:val="00365E8A"/>
    <w:rsid w:val="003662CF"/>
    <w:rsid w:val="00367E79"/>
    <w:rsid w:val="00373D1C"/>
    <w:rsid w:val="00375A3A"/>
    <w:rsid w:val="00376254"/>
    <w:rsid w:val="00376398"/>
    <w:rsid w:val="00382925"/>
    <w:rsid w:val="0039016B"/>
    <w:rsid w:val="0039029B"/>
    <w:rsid w:val="0039124C"/>
    <w:rsid w:val="00392571"/>
    <w:rsid w:val="0039404C"/>
    <w:rsid w:val="003A02DF"/>
    <w:rsid w:val="003A1123"/>
    <w:rsid w:val="003A2EAA"/>
    <w:rsid w:val="003A7FD3"/>
    <w:rsid w:val="003B6663"/>
    <w:rsid w:val="003C3351"/>
    <w:rsid w:val="003C74A9"/>
    <w:rsid w:val="003D4D1B"/>
    <w:rsid w:val="003D6F8B"/>
    <w:rsid w:val="003E01EA"/>
    <w:rsid w:val="003F0E8F"/>
    <w:rsid w:val="003F15CD"/>
    <w:rsid w:val="003F1675"/>
    <w:rsid w:val="003F3CBA"/>
    <w:rsid w:val="00400083"/>
    <w:rsid w:val="004102C1"/>
    <w:rsid w:val="00410D82"/>
    <w:rsid w:val="004148CD"/>
    <w:rsid w:val="00416857"/>
    <w:rsid w:val="0042268A"/>
    <w:rsid w:val="0042353D"/>
    <w:rsid w:val="00430FD9"/>
    <w:rsid w:val="004318E7"/>
    <w:rsid w:val="004367E9"/>
    <w:rsid w:val="004414DE"/>
    <w:rsid w:val="004423F1"/>
    <w:rsid w:val="004432CA"/>
    <w:rsid w:val="00445606"/>
    <w:rsid w:val="00447C97"/>
    <w:rsid w:val="00454D09"/>
    <w:rsid w:val="00455A80"/>
    <w:rsid w:val="00457E08"/>
    <w:rsid w:val="00462200"/>
    <w:rsid w:val="00462A33"/>
    <w:rsid w:val="00462AE3"/>
    <w:rsid w:val="00465C38"/>
    <w:rsid w:val="00471DF9"/>
    <w:rsid w:val="0047246F"/>
    <w:rsid w:val="00480BD4"/>
    <w:rsid w:val="00481834"/>
    <w:rsid w:val="00482AE5"/>
    <w:rsid w:val="00495411"/>
    <w:rsid w:val="00496F4E"/>
    <w:rsid w:val="004A52C8"/>
    <w:rsid w:val="004B08CD"/>
    <w:rsid w:val="004B27D9"/>
    <w:rsid w:val="004B2AF9"/>
    <w:rsid w:val="004B2B4E"/>
    <w:rsid w:val="004B3DB0"/>
    <w:rsid w:val="004B65F6"/>
    <w:rsid w:val="004C4969"/>
    <w:rsid w:val="004C691F"/>
    <w:rsid w:val="004E45F9"/>
    <w:rsid w:val="004E66E4"/>
    <w:rsid w:val="004F3B17"/>
    <w:rsid w:val="00505691"/>
    <w:rsid w:val="005063FA"/>
    <w:rsid w:val="005232B1"/>
    <w:rsid w:val="00524A26"/>
    <w:rsid w:val="00527098"/>
    <w:rsid w:val="0052727D"/>
    <w:rsid w:val="0053070D"/>
    <w:rsid w:val="00540FD1"/>
    <w:rsid w:val="005447A6"/>
    <w:rsid w:val="0054678D"/>
    <w:rsid w:val="005503B7"/>
    <w:rsid w:val="00551132"/>
    <w:rsid w:val="00553A6E"/>
    <w:rsid w:val="00560F04"/>
    <w:rsid w:val="00561B16"/>
    <w:rsid w:val="0056277F"/>
    <w:rsid w:val="0058025B"/>
    <w:rsid w:val="00580FE2"/>
    <w:rsid w:val="00587647"/>
    <w:rsid w:val="005900A1"/>
    <w:rsid w:val="00590263"/>
    <w:rsid w:val="00592960"/>
    <w:rsid w:val="005954F0"/>
    <w:rsid w:val="005A044D"/>
    <w:rsid w:val="005A5401"/>
    <w:rsid w:val="005B1F1A"/>
    <w:rsid w:val="005B5A28"/>
    <w:rsid w:val="005C18C2"/>
    <w:rsid w:val="005C1CED"/>
    <w:rsid w:val="005C223D"/>
    <w:rsid w:val="005C727B"/>
    <w:rsid w:val="005D082C"/>
    <w:rsid w:val="005D7BD3"/>
    <w:rsid w:val="005D7EEC"/>
    <w:rsid w:val="005E08D6"/>
    <w:rsid w:val="005E190C"/>
    <w:rsid w:val="005F040D"/>
    <w:rsid w:val="005F1DB3"/>
    <w:rsid w:val="005F4D60"/>
    <w:rsid w:val="005F7451"/>
    <w:rsid w:val="00601388"/>
    <w:rsid w:val="00603A0F"/>
    <w:rsid w:val="00607E97"/>
    <w:rsid w:val="00615221"/>
    <w:rsid w:val="006162A5"/>
    <w:rsid w:val="00616CBF"/>
    <w:rsid w:val="006179E9"/>
    <w:rsid w:val="0062287E"/>
    <w:rsid w:val="006267C5"/>
    <w:rsid w:val="00630994"/>
    <w:rsid w:val="00632C4C"/>
    <w:rsid w:val="006338C4"/>
    <w:rsid w:val="006429E5"/>
    <w:rsid w:val="00643EF0"/>
    <w:rsid w:val="006445A1"/>
    <w:rsid w:val="00662BDD"/>
    <w:rsid w:val="0066680C"/>
    <w:rsid w:val="00673266"/>
    <w:rsid w:val="00674F0E"/>
    <w:rsid w:val="006774B2"/>
    <w:rsid w:val="006779ED"/>
    <w:rsid w:val="00681C5A"/>
    <w:rsid w:val="006903EF"/>
    <w:rsid w:val="00692F7B"/>
    <w:rsid w:val="006943F2"/>
    <w:rsid w:val="0069783C"/>
    <w:rsid w:val="006A22A4"/>
    <w:rsid w:val="006A775B"/>
    <w:rsid w:val="006B4669"/>
    <w:rsid w:val="006B4A2A"/>
    <w:rsid w:val="006C1540"/>
    <w:rsid w:val="006C6F1E"/>
    <w:rsid w:val="006C6F6F"/>
    <w:rsid w:val="006C71DF"/>
    <w:rsid w:val="006C7B01"/>
    <w:rsid w:val="006D4753"/>
    <w:rsid w:val="006D4C88"/>
    <w:rsid w:val="006D5162"/>
    <w:rsid w:val="006D54C6"/>
    <w:rsid w:val="006E02E5"/>
    <w:rsid w:val="006E21F5"/>
    <w:rsid w:val="006E229A"/>
    <w:rsid w:val="006E3AF5"/>
    <w:rsid w:val="006E49FA"/>
    <w:rsid w:val="006E6AC3"/>
    <w:rsid w:val="006F1B53"/>
    <w:rsid w:val="006F7A00"/>
    <w:rsid w:val="00700BC4"/>
    <w:rsid w:val="00701525"/>
    <w:rsid w:val="007137C3"/>
    <w:rsid w:val="0071419C"/>
    <w:rsid w:val="00733021"/>
    <w:rsid w:val="007366E5"/>
    <w:rsid w:val="007379D0"/>
    <w:rsid w:val="00737C09"/>
    <w:rsid w:val="00741362"/>
    <w:rsid w:val="00744923"/>
    <w:rsid w:val="00752859"/>
    <w:rsid w:val="00756E6E"/>
    <w:rsid w:val="00766707"/>
    <w:rsid w:val="007724DD"/>
    <w:rsid w:val="007736F5"/>
    <w:rsid w:val="00773CC1"/>
    <w:rsid w:val="00773DBA"/>
    <w:rsid w:val="0077404C"/>
    <w:rsid w:val="00785F6D"/>
    <w:rsid w:val="00787841"/>
    <w:rsid w:val="00792F07"/>
    <w:rsid w:val="00793DE0"/>
    <w:rsid w:val="007A0D34"/>
    <w:rsid w:val="007A56FC"/>
    <w:rsid w:val="007A7865"/>
    <w:rsid w:val="007B5E3C"/>
    <w:rsid w:val="007D1534"/>
    <w:rsid w:val="007D63FA"/>
    <w:rsid w:val="007D7649"/>
    <w:rsid w:val="007E1511"/>
    <w:rsid w:val="007F57A4"/>
    <w:rsid w:val="008023F0"/>
    <w:rsid w:val="008023F1"/>
    <w:rsid w:val="00802CB7"/>
    <w:rsid w:val="00805D60"/>
    <w:rsid w:val="0081335D"/>
    <w:rsid w:val="00813AB5"/>
    <w:rsid w:val="00817C12"/>
    <w:rsid w:val="008222CC"/>
    <w:rsid w:val="00823ED3"/>
    <w:rsid w:val="00830D12"/>
    <w:rsid w:val="00833175"/>
    <w:rsid w:val="00842500"/>
    <w:rsid w:val="00844CB4"/>
    <w:rsid w:val="00851793"/>
    <w:rsid w:val="008542C0"/>
    <w:rsid w:val="00870855"/>
    <w:rsid w:val="00874093"/>
    <w:rsid w:val="008862B1"/>
    <w:rsid w:val="008965EE"/>
    <w:rsid w:val="008A0457"/>
    <w:rsid w:val="008A0799"/>
    <w:rsid w:val="008A6D95"/>
    <w:rsid w:val="008B16EB"/>
    <w:rsid w:val="008B5DA7"/>
    <w:rsid w:val="008B6016"/>
    <w:rsid w:val="008C1649"/>
    <w:rsid w:val="008C31CA"/>
    <w:rsid w:val="008C32A2"/>
    <w:rsid w:val="008C458C"/>
    <w:rsid w:val="008C6CCF"/>
    <w:rsid w:val="008C719C"/>
    <w:rsid w:val="008D31DC"/>
    <w:rsid w:val="008D42BE"/>
    <w:rsid w:val="008D4FFB"/>
    <w:rsid w:val="008E1AFE"/>
    <w:rsid w:val="008F279E"/>
    <w:rsid w:val="00903256"/>
    <w:rsid w:val="00903ACF"/>
    <w:rsid w:val="00906128"/>
    <w:rsid w:val="00912EBD"/>
    <w:rsid w:val="00921283"/>
    <w:rsid w:val="00921329"/>
    <w:rsid w:val="009228CB"/>
    <w:rsid w:val="009232BD"/>
    <w:rsid w:val="00925B3C"/>
    <w:rsid w:val="009329CD"/>
    <w:rsid w:val="0094043F"/>
    <w:rsid w:val="009418E2"/>
    <w:rsid w:val="00943206"/>
    <w:rsid w:val="00953FBF"/>
    <w:rsid w:val="00955380"/>
    <w:rsid w:val="00960E67"/>
    <w:rsid w:val="00962C2B"/>
    <w:rsid w:val="0096408E"/>
    <w:rsid w:val="00967F2B"/>
    <w:rsid w:val="009741A6"/>
    <w:rsid w:val="009776E4"/>
    <w:rsid w:val="009805A4"/>
    <w:rsid w:val="00982D27"/>
    <w:rsid w:val="00984C4E"/>
    <w:rsid w:val="00986702"/>
    <w:rsid w:val="009903D4"/>
    <w:rsid w:val="00993F5E"/>
    <w:rsid w:val="009957E9"/>
    <w:rsid w:val="00996C6D"/>
    <w:rsid w:val="009A092E"/>
    <w:rsid w:val="009A0E20"/>
    <w:rsid w:val="009A1EA9"/>
    <w:rsid w:val="009B3696"/>
    <w:rsid w:val="009B3FAF"/>
    <w:rsid w:val="009C3F7C"/>
    <w:rsid w:val="009C4C36"/>
    <w:rsid w:val="009C5EB1"/>
    <w:rsid w:val="009D00A1"/>
    <w:rsid w:val="009D2BB6"/>
    <w:rsid w:val="009D6D09"/>
    <w:rsid w:val="009D739F"/>
    <w:rsid w:val="009E2288"/>
    <w:rsid w:val="009E39B3"/>
    <w:rsid w:val="009E62D2"/>
    <w:rsid w:val="009E7C64"/>
    <w:rsid w:val="009F1113"/>
    <w:rsid w:val="009F24B4"/>
    <w:rsid w:val="009F320A"/>
    <w:rsid w:val="009F5624"/>
    <w:rsid w:val="009F648D"/>
    <w:rsid w:val="009F69ED"/>
    <w:rsid w:val="00A029E8"/>
    <w:rsid w:val="00A032D2"/>
    <w:rsid w:val="00A17F55"/>
    <w:rsid w:val="00A2327D"/>
    <w:rsid w:val="00A24F16"/>
    <w:rsid w:val="00A2773D"/>
    <w:rsid w:val="00A31578"/>
    <w:rsid w:val="00A3278A"/>
    <w:rsid w:val="00A37AE6"/>
    <w:rsid w:val="00A40826"/>
    <w:rsid w:val="00A43D1E"/>
    <w:rsid w:val="00A4567E"/>
    <w:rsid w:val="00A516FD"/>
    <w:rsid w:val="00A5205B"/>
    <w:rsid w:val="00A53ED2"/>
    <w:rsid w:val="00A5515C"/>
    <w:rsid w:val="00A70D65"/>
    <w:rsid w:val="00A73C65"/>
    <w:rsid w:val="00A868E7"/>
    <w:rsid w:val="00A875A6"/>
    <w:rsid w:val="00A90801"/>
    <w:rsid w:val="00A9472E"/>
    <w:rsid w:val="00A94A99"/>
    <w:rsid w:val="00AA010A"/>
    <w:rsid w:val="00AA18BE"/>
    <w:rsid w:val="00AB0744"/>
    <w:rsid w:val="00AB1655"/>
    <w:rsid w:val="00AB7030"/>
    <w:rsid w:val="00AC1DFE"/>
    <w:rsid w:val="00AE02FD"/>
    <w:rsid w:val="00AE405B"/>
    <w:rsid w:val="00AE4753"/>
    <w:rsid w:val="00AE74C6"/>
    <w:rsid w:val="00AE79BA"/>
    <w:rsid w:val="00AF04C9"/>
    <w:rsid w:val="00AF33F6"/>
    <w:rsid w:val="00AF39BA"/>
    <w:rsid w:val="00AF5C5A"/>
    <w:rsid w:val="00B00A0A"/>
    <w:rsid w:val="00B04829"/>
    <w:rsid w:val="00B079F4"/>
    <w:rsid w:val="00B116DB"/>
    <w:rsid w:val="00B12B1D"/>
    <w:rsid w:val="00B162C6"/>
    <w:rsid w:val="00B16F16"/>
    <w:rsid w:val="00B205E7"/>
    <w:rsid w:val="00B20709"/>
    <w:rsid w:val="00B239B7"/>
    <w:rsid w:val="00B315D4"/>
    <w:rsid w:val="00B32090"/>
    <w:rsid w:val="00B35D6B"/>
    <w:rsid w:val="00B50A0B"/>
    <w:rsid w:val="00B50B22"/>
    <w:rsid w:val="00B5563C"/>
    <w:rsid w:val="00B55744"/>
    <w:rsid w:val="00B571D5"/>
    <w:rsid w:val="00B64BEC"/>
    <w:rsid w:val="00B65DE1"/>
    <w:rsid w:val="00B70697"/>
    <w:rsid w:val="00B729D6"/>
    <w:rsid w:val="00B733D6"/>
    <w:rsid w:val="00B81359"/>
    <w:rsid w:val="00B83686"/>
    <w:rsid w:val="00B83693"/>
    <w:rsid w:val="00B91DBE"/>
    <w:rsid w:val="00B96F8B"/>
    <w:rsid w:val="00BA0DA5"/>
    <w:rsid w:val="00BA51D7"/>
    <w:rsid w:val="00BB06DC"/>
    <w:rsid w:val="00BB454A"/>
    <w:rsid w:val="00BB4AB5"/>
    <w:rsid w:val="00BB535F"/>
    <w:rsid w:val="00BC2D64"/>
    <w:rsid w:val="00BE04AC"/>
    <w:rsid w:val="00BE2079"/>
    <w:rsid w:val="00BE31E6"/>
    <w:rsid w:val="00BE3789"/>
    <w:rsid w:val="00BE5136"/>
    <w:rsid w:val="00BF3550"/>
    <w:rsid w:val="00BF5159"/>
    <w:rsid w:val="00C00002"/>
    <w:rsid w:val="00C01894"/>
    <w:rsid w:val="00C026BC"/>
    <w:rsid w:val="00C03357"/>
    <w:rsid w:val="00C12639"/>
    <w:rsid w:val="00C25CF0"/>
    <w:rsid w:val="00C26473"/>
    <w:rsid w:val="00C357A4"/>
    <w:rsid w:val="00C371E5"/>
    <w:rsid w:val="00C451E7"/>
    <w:rsid w:val="00C465A9"/>
    <w:rsid w:val="00C513D2"/>
    <w:rsid w:val="00C57E81"/>
    <w:rsid w:val="00C63299"/>
    <w:rsid w:val="00C67401"/>
    <w:rsid w:val="00C720B8"/>
    <w:rsid w:val="00C75C77"/>
    <w:rsid w:val="00C8493A"/>
    <w:rsid w:val="00C85AB1"/>
    <w:rsid w:val="00C9229A"/>
    <w:rsid w:val="00C9478C"/>
    <w:rsid w:val="00C94871"/>
    <w:rsid w:val="00CA532E"/>
    <w:rsid w:val="00CB1ED7"/>
    <w:rsid w:val="00CB59D3"/>
    <w:rsid w:val="00CC1D58"/>
    <w:rsid w:val="00CC43FF"/>
    <w:rsid w:val="00CD3444"/>
    <w:rsid w:val="00CD6F56"/>
    <w:rsid w:val="00CD74FB"/>
    <w:rsid w:val="00CE1046"/>
    <w:rsid w:val="00CE2489"/>
    <w:rsid w:val="00CE402B"/>
    <w:rsid w:val="00CE4987"/>
    <w:rsid w:val="00CE60A2"/>
    <w:rsid w:val="00CE665D"/>
    <w:rsid w:val="00CE7399"/>
    <w:rsid w:val="00CF05B4"/>
    <w:rsid w:val="00CF1529"/>
    <w:rsid w:val="00CF7466"/>
    <w:rsid w:val="00D03BF4"/>
    <w:rsid w:val="00D05CB6"/>
    <w:rsid w:val="00D14692"/>
    <w:rsid w:val="00D20144"/>
    <w:rsid w:val="00D239AE"/>
    <w:rsid w:val="00D30AAE"/>
    <w:rsid w:val="00D31B52"/>
    <w:rsid w:val="00D32B8D"/>
    <w:rsid w:val="00D33A69"/>
    <w:rsid w:val="00D36B2E"/>
    <w:rsid w:val="00D42959"/>
    <w:rsid w:val="00D5287B"/>
    <w:rsid w:val="00D53D8D"/>
    <w:rsid w:val="00D6045B"/>
    <w:rsid w:val="00D663D4"/>
    <w:rsid w:val="00D678AA"/>
    <w:rsid w:val="00D71032"/>
    <w:rsid w:val="00D73F44"/>
    <w:rsid w:val="00D815CA"/>
    <w:rsid w:val="00D91E35"/>
    <w:rsid w:val="00D94A37"/>
    <w:rsid w:val="00D9508A"/>
    <w:rsid w:val="00D97201"/>
    <w:rsid w:val="00DA068C"/>
    <w:rsid w:val="00DA1035"/>
    <w:rsid w:val="00DA1E86"/>
    <w:rsid w:val="00DA3B77"/>
    <w:rsid w:val="00DA3FDA"/>
    <w:rsid w:val="00DA470B"/>
    <w:rsid w:val="00DA6AC4"/>
    <w:rsid w:val="00DB14E3"/>
    <w:rsid w:val="00DB23D8"/>
    <w:rsid w:val="00DB3D30"/>
    <w:rsid w:val="00DB643A"/>
    <w:rsid w:val="00DB6756"/>
    <w:rsid w:val="00DB6A03"/>
    <w:rsid w:val="00DC176A"/>
    <w:rsid w:val="00DC5C4E"/>
    <w:rsid w:val="00DC78F5"/>
    <w:rsid w:val="00DD648C"/>
    <w:rsid w:val="00DD786A"/>
    <w:rsid w:val="00DE3720"/>
    <w:rsid w:val="00DE7BB3"/>
    <w:rsid w:val="00DF2040"/>
    <w:rsid w:val="00DF307A"/>
    <w:rsid w:val="00DF42A9"/>
    <w:rsid w:val="00DF7952"/>
    <w:rsid w:val="00E00F48"/>
    <w:rsid w:val="00E1477F"/>
    <w:rsid w:val="00E14C18"/>
    <w:rsid w:val="00E154B4"/>
    <w:rsid w:val="00E25045"/>
    <w:rsid w:val="00E27F90"/>
    <w:rsid w:val="00E336E7"/>
    <w:rsid w:val="00E34920"/>
    <w:rsid w:val="00E412D6"/>
    <w:rsid w:val="00E414FF"/>
    <w:rsid w:val="00E43AF7"/>
    <w:rsid w:val="00E44226"/>
    <w:rsid w:val="00E44FEC"/>
    <w:rsid w:val="00E45ACD"/>
    <w:rsid w:val="00E51982"/>
    <w:rsid w:val="00E5356C"/>
    <w:rsid w:val="00E54C33"/>
    <w:rsid w:val="00E557C4"/>
    <w:rsid w:val="00E55CBD"/>
    <w:rsid w:val="00E577DA"/>
    <w:rsid w:val="00E72BC4"/>
    <w:rsid w:val="00E72D18"/>
    <w:rsid w:val="00E74790"/>
    <w:rsid w:val="00E74C64"/>
    <w:rsid w:val="00E752CB"/>
    <w:rsid w:val="00E77B0C"/>
    <w:rsid w:val="00E800D4"/>
    <w:rsid w:val="00E81824"/>
    <w:rsid w:val="00E84A9E"/>
    <w:rsid w:val="00E84D09"/>
    <w:rsid w:val="00E852B3"/>
    <w:rsid w:val="00E90DDF"/>
    <w:rsid w:val="00E9287E"/>
    <w:rsid w:val="00E964C8"/>
    <w:rsid w:val="00E9671C"/>
    <w:rsid w:val="00E9695A"/>
    <w:rsid w:val="00EB1E28"/>
    <w:rsid w:val="00EC17C0"/>
    <w:rsid w:val="00EC4ABD"/>
    <w:rsid w:val="00EC7DFD"/>
    <w:rsid w:val="00ED1016"/>
    <w:rsid w:val="00ED138C"/>
    <w:rsid w:val="00ED4E9F"/>
    <w:rsid w:val="00ED5FD2"/>
    <w:rsid w:val="00ED6493"/>
    <w:rsid w:val="00ED672E"/>
    <w:rsid w:val="00EE2126"/>
    <w:rsid w:val="00EE4E1C"/>
    <w:rsid w:val="00EE54AD"/>
    <w:rsid w:val="00EE73BF"/>
    <w:rsid w:val="00EF2A07"/>
    <w:rsid w:val="00EF6E79"/>
    <w:rsid w:val="00EF76D8"/>
    <w:rsid w:val="00F02583"/>
    <w:rsid w:val="00F075A8"/>
    <w:rsid w:val="00F15CAB"/>
    <w:rsid w:val="00F223A7"/>
    <w:rsid w:val="00F2342C"/>
    <w:rsid w:val="00F2449A"/>
    <w:rsid w:val="00F266E0"/>
    <w:rsid w:val="00F306B2"/>
    <w:rsid w:val="00F42F20"/>
    <w:rsid w:val="00F442B0"/>
    <w:rsid w:val="00F46888"/>
    <w:rsid w:val="00F469DB"/>
    <w:rsid w:val="00F51284"/>
    <w:rsid w:val="00F564BA"/>
    <w:rsid w:val="00F61E78"/>
    <w:rsid w:val="00F67538"/>
    <w:rsid w:val="00F67FF6"/>
    <w:rsid w:val="00F70D56"/>
    <w:rsid w:val="00F755C5"/>
    <w:rsid w:val="00F80C97"/>
    <w:rsid w:val="00F813D6"/>
    <w:rsid w:val="00F8283D"/>
    <w:rsid w:val="00F82C90"/>
    <w:rsid w:val="00F8418A"/>
    <w:rsid w:val="00F84F43"/>
    <w:rsid w:val="00F85EF9"/>
    <w:rsid w:val="00F928CA"/>
    <w:rsid w:val="00F95636"/>
    <w:rsid w:val="00FA0C43"/>
    <w:rsid w:val="00FA2EEB"/>
    <w:rsid w:val="00FA3D69"/>
    <w:rsid w:val="00FB07E4"/>
    <w:rsid w:val="00FB31F3"/>
    <w:rsid w:val="00FB33E5"/>
    <w:rsid w:val="00FB500E"/>
    <w:rsid w:val="00FB5664"/>
    <w:rsid w:val="00FC186F"/>
    <w:rsid w:val="00FC3350"/>
    <w:rsid w:val="00FC36D9"/>
    <w:rsid w:val="00FC7F4C"/>
    <w:rsid w:val="00FD139E"/>
    <w:rsid w:val="00FD1C8C"/>
    <w:rsid w:val="00FD46C5"/>
    <w:rsid w:val="00FD5252"/>
    <w:rsid w:val="00FD5D84"/>
    <w:rsid w:val="00FE017F"/>
    <w:rsid w:val="00FE5F4D"/>
    <w:rsid w:val="00FE744F"/>
    <w:rsid w:val="00FF6703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9790DC-DCFB-473D-A5D1-E683D170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T* Switzerland" w:hAnsi="AT* Switzerland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imes New Roman" w:hAnsi="Times New Roman"/>
      <w:b/>
      <w:i/>
      <w:sz w:val="22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Times New Roman" w:hAnsi="Times New Roman"/>
      <w:b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Cs/>
      <w:i/>
      <w:iCs/>
      <w:sz w:val="22"/>
      <w:szCs w:val="22"/>
      <w:u w:val="single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imes New Roman" w:hAnsi="Times New Roman"/>
      <w:b/>
      <w:i/>
      <w:iCs/>
      <w:sz w:val="22"/>
      <w:szCs w:val="22"/>
      <w:u w:val="single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rPr>
      <w:rFonts w:ascii="Times New Roman" w:hAnsi="Times New Roman"/>
      <w:sz w:val="22"/>
    </w:rPr>
  </w:style>
  <w:style w:type="paragraph" w:customStyle="1" w:styleId="Texttelo">
    <w:name w:val="Text telo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customStyle="1" w:styleId="Text">
    <w:name w:val="Text"/>
    <w:basedOn w:val="Normlny"/>
    <w:link w:val="TextChar1"/>
    <w:pPr>
      <w:spacing w:before="120"/>
      <w:jc w:val="both"/>
    </w:pPr>
    <w:rPr>
      <w:rFonts w:ascii="Times New Roman" w:hAnsi="Times New Roman"/>
      <w:lang w:val="en-GB" w:eastAsia="x-none"/>
    </w:rPr>
  </w:style>
  <w:style w:type="paragraph" w:customStyle="1" w:styleId="Table">
    <w:name w:val="Table"/>
    <w:basedOn w:val="Normlny"/>
    <w:uiPriority w:val="99"/>
    <w:pPr>
      <w:keepLines/>
      <w:tabs>
        <w:tab w:val="left" w:pos="284"/>
      </w:tabs>
      <w:spacing w:before="40" w:after="20"/>
    </w:pPr>
    <w:rPr>
      <w:rFonts w:ascii="Arial" w:hAnsi="Arial"/>
      <w:sz w:val="20"/>
      <w:lang w:val="en-GB"/>
    </w:rPr>
  </w:style>
  <w:style w:type="paragraph" w:styleId="Zkladntext2">
    <w:name w:val="Body Text 2"/>
    <w:basedOn w:val="Normlny"/>
    <w:semiHidden/>
    <w:pPr>
      <w:tabs>
        <w:tab w:val="left" w:pos="1451"/>
      </w:tabs>
    </w:pPr>
    <w:rPr>
      <w:rFonts w:ascii="Times New Roman" w:hAnsi="Times New Roman"/>
      <w:b/>
      <w:bCs/>
      <w:i/>
      <w:iCs/>
      <w:sz w:val="22"/>
    </w:rPr>
  </w:style>
  <w:style w:type="paragraph" w:customStyle="1" w:styleId="TableCharCharCharChar">
    <w:name w:val="Table Char Char Char Char"/>
    <w:basedOn w:val="Normlny"/>
    <w:pPr>
      <w:keepLines/>
      <w:tabs>
        <w:tab w:val="left" w:pos="284"/>
      </w:tabs>
      <w:spacing w:before="40" w:after="20"/>
    </w:pPr>
    <w:rPr>
      <w:rFonts w:ascii="Arial" w:hAnsi="Arial"/>
      <w:lang w:val="en-US"/>
    </w:rPr>
  </w:style>
  <w:style w:type="character" w:customStyle="1" w:styleId="TableCharCharCharCharChar">
    <w:name w:val="Table Char Char Char Char Char"/>
    <w:rPr>
      <w:rFonts w:ascii="Arial" w:hAnsi="Arial"/>
      <w:sz w:val="24"/>
      <w:lang w:val="en-US" w:eastAsia="en-US" w:bidi="ar-SA"/>
    </w:rPr>
  </w:style>
  <w:style w:type="paragraph" w:customStyle="1" w:styleId="TableChar">
    <w:name w:val="Table Char"/>
    <w:basedOn w:val="Normlny"/>
    <w:pPr>
      <w:keepLines/>
      <w:tabs>
        <w:tab w:val="left" w:pos="284"/>
      </w:tabs>
      <w:spacing w:before="40" w:after="20"/>
    </w:pPr>
    <w:rPr>
      <w:rFonts w:ascii="Arial" w:hAnsi="Arial"/>
      <w:sz w:val="20"/>
      <w:lang w:val="en-US"/>
    </w:rPr>
  </w:style>
  <w:style w:type="paragraph" w:customStyle="1" w:styleId="TextCharChar">
    <w:name w:val="Text Char Char"/>
    <w:basedOn w:val="Normlny"/>
    <w:pPr>
      <w:spacing w:before="120"/>
      <w:jc w:val="both"/>
    </w:pPr>
    <w:rPr>
      <w:rFonts w:ascii="Times New Roman" w:hAnsi="Times New Roman"/>
      <w:lang w:val="en-US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customStyle="1" w:styleId="TableCharCharCharCharCharChar">
    <w:name w:val="Table Char Char Char Char Char Char"/>
    <w:rPr>
      <w:rFonts w:ascii="Arial" w:hAnsi="Arial"/>
      <w:sz w:val="24"/>
      <w:lang w:val="en-US" w:eastAsia="en-US" w:bidi="ar-SA"/>
    </w:rPr>
  </w:style>
  <w:style w:type="paragraph" w:styleId="Nzov">
    <w:name w:val="Title"/>
    <w:basedOn w:val="Normlny"/>
    <w:qFormat/>
    <w:pPr>
      <w:jc w:val="center"/>
    </w:pPr>
    <w:rPr>
      <w:rFonts w:ascii="Times New Roman" w:hAnsi="Times New Roman"/>
      <w:b/>
      <w:sz w:val="22"/>
      <w:lang w:val="en-GB"/>
    </w:rPr>
  </w:style>
  <w:style w:type="paragraph" w:styleId="Zkladntext3">
    <w:name w:val="Body Text 3"/>
    <w:basedOn w:val="Normlny"/>
    <w:semiHidden/>
    <w:rPr>
      <w:rFonts w:ascii="Times New Roman" w:hAnsi="Times New Roman"/>
      <w:color w:val="FF6600"/>
      <w:sz w:val="22"/>
      <w:szCs w:val="22"/>
    </w:rPr>
  </w:style>
  <w:style w:type="paragraph" w:styleId="Obsah4">
    <w:name w:val="toc 4"/>
    <w:basedOn w:val="Normlny"/>
    <w:next w:val="Normlny"/>
    <w:autoRedefine/>
    <w:semiHidden/>
    <w:rPr>
      <w:rFonts w:ascii="Times New Roman" w:hAnsi="Times New Roman"/>
      <w:sz w:val="22"/>
      <w:lang w:val="nl-NL" w:eastAsia="nl-NL"/>
    </w:rPr>
  </w:style>
  <w:style w:type="paragraph" w:customStyle="1" w:styleId="table0">
    <w:name w:val="table"/>
    <w:basedOn w:val="Normlny"/>
    <w:pPr>
      <w:keepNext/>
      <w:tabs>
        <w:tab w:val="left" w:pos="284"/>
      </w:tabs>
      <w:spacing w:before="60" w:after="60"/>
    </w:pPr>
    <w:rPr>
      <w:rFonts w:ascii="Arial" w:eastAsia="MS Mincho" w:hAnsi="Arial" w:cs="Arial"/>
      <w:sz w:val="20"/>
      <w:lang w:val="de-DE"/>
    </w:rPr>
  </w:style>
  <w:style w:type="paragraph" w:styleId="Zarkazkladnhotextu">
    <w:name w:val="Body Text Indent"/>
    <w:basedOn w:val="Normlny"/>
    <w:semiHidden/>
    <w:pPr>
      <w:tabs>
        <w:tab w:val="left" w:pos="1080"/>
      </w:tabs>
      <w:ind w:left="1080" w:hanging="1080"/>
      <w:jc w:val="both"/>
    </w:pPr>
    <w:rPr>
      <w:rFonts w:ascii="Times New Roman" w:hAnsi="Times New Roman"/>
      <w:sz w:val="22"/>
      <w:lang w:val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TextChar1">
    <w:name w:val="Text Char1"/>
    <w:link w:val="Text"/>
    <w:rsid w:val="00CD3444"/>
    <w:rPr>
      <w:sz w:val="24"/>
      <w:lang w:val="en-GB"/>
    </w:rPr>
  </w:style>
  <w:style w:type="paragraph" w:customStyle="1" w:styleId="Listlevel1">
    <w:name w:val="List level 1"/>
    <w:basedOn w:val="Normlny"/>
    <w:rsid w:val="00123DD5"/>
    <w:pPr>
      <w:spacing w:before="40" w:after="20"/>
      <w:ind w:left="425" w:hanging="425"/>
    </w:pPr>
    <w:rPr>
      <w:rFonts w:ascii="Times New Roman" w:hAnsi="Times New Roman"/>
      <w:lang w:val="en-US"/>
    </w:rPr>
  </w:style>
  <w:style w:type="paragraph" w:customStyle="1" w:styleId="Default">
    <w:name w:val="Default"/>
    <w:rsid w:val="00D6045B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de-DE" w:eastAsia="de-DE"/>
    </w:rPr>
  </w:style>
  <w:style w:type="character" w:styleId="Hypertextovprepojenie">
    <w:name w:val="Hyperlink"/>
    <w:rsid w:val="00F266E0"/>
    <w:rPr>
      <w:color w:val="0000FF"/>
      <w:u w:val="single"/>
    </w:rPr>
  </w:style>
  <w:style w:type="paragraph" w:customStyle="1" w:styleId="paragraph">
    <w:name w:val="paragraph"/>
    <w:basedOn w:val="Normlny"/>
    <w:rsid w:val="00590263"/>
    <w:pPr>
      <w:spacing w:before="120"/>
      <w:jc w:val="both"/>
    </w:pPr>
    <w:rPr>
      <w:rFonts w:ascii="Times New Roman" w:hAnsi="Times New Roman"/>
      <w:lang w:val="en-US"/>
    </w:rPr>
  </w:style>
  <w:style w:type="character" w:customStyle="1" w:styleId="PtaChar">
    <w:name w:val="Päta Char"/>
    <w:link w:val="Pta"/>
    <w:uiPriority w:val="99"/>
    <w:rsid w:val="003C74A9"/>
    <w:rPr>
      <w:rFonts w:ascii="AT* Switzerland" w:hAnsi="AT* Switzerland"/>
      <w:sz w:val="24"/>
      <w:lang w:eastAsia="en-US"/>
    </w:rPr>
  </w:style>
  <w:style w:type="character" w:styleId="Odkaznakomentr">
    <w:name w:val="annotation reference"/>
    <w:uiPriority w:val="99"/>
    <w:semiHidden/>
    <w:unhideWhenUsed/>
    <w:rsid w:val="00823E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3ED3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823ED3"/>
    <w:rPr>
      <w:rFonts w:ascii="AT* Switzerland" w:hAnsi="AT* Switzerland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3ED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23ED3"/>
    <w:rPr>
      <w:rFonts w:ascii="AT* Switzerland" w:hAnsi="AT* Switzerland"/>
      <w:b/>
      <w:bCs/>
      <w:lang w:eastAsia="en-US"/>
    </w:rPr>
  </w:style>
  <w:style w:type="paragraph" w:styleId="Revzia">
    <w:name w:val="Revision"/>
    <w:hidden/>
    <w:uiPriority w:val="99"/>
    <w:semiHidden/>
    <w:rsid w:val="00823ED3"/>
    <w:rPr>
      <w:rFonts w:ascii="AT* Switzerland" w:hAnsi="AT* Switzerla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C935-7384-4EE1-AEEE-D984F32D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6548</Words>
  <Characters>37330</Characters>
  <Application>Microsoft Office Word</Application>
  <DocSecurity>0</DocSecurity>
  <Lines>311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Ciba</vt:lpstr>
      <vt:lpstr>Ciba</vt:lpstr>
    </vt:vector>
  </TitlesOfParts>
  <Company>None</Company>
  <LinksUpToDate>false</LinksUpToDate>
  <CharactersWithSpaces>43791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Ciba</dc:title>
  <dc:creator>Regpharm</dc:creator>
  <cp:lastModifiedBy>Bolebruchová Monika</cp:lastModifiedBy>
  <cp:revision>3</cp:revision>
  <cp:lastPrinted>2019-12-04T12:44:00Z</cp:lastPrinted>
  <dcterms:created xsi:type="dcterms:W3CDTF">2019-12-04T12:44:00Z</dcterms:created>
  <dcterms:modified xsi:type="dcterms:W3CDTF">2019-12-04T12:44:00Z</dcterms:modified>
</cp:coreProperties>
</file>