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FB58B" w14:textId="77777777" w:rsidR="00B30C0B" w:rsidRPr="00B30C0B" w:rsidRDefault="00B30C0B" w:rsidP="00B30C0B">
      <w:pPr>
        <w:pStyle w:val="Nadpis5"/>
        <w:rPr>
          <w:sz w:val="22"/>
          <w:szCs w:val="22"/>
        </w:rPr>
      </w:pPr>
    </w:p>
    <w:p w14:paraId="2DC7F9A7" w14:textId="77777777" w:rsidR="00761059" w:rsidRPr="00B30C0B" w:rsidRDefault="00F13599" w:rsidP="00B30C0B">
      <w:pPr>
        <w:pStyle w:val="Nadpis5"/>
        <w:rPr>
          <w:bCs w:val="0"/>
          <w:sz w:val="22"/>
          <w:szCs w:val="22"/>
        </w:rPr>
      </w:pPr>
      <w:r w:rsidRPr="00B30C0B">
        <w:rPr>
          <w:sz w:val="22"/>
          <w:szCs w:val="22"/>
        </w:rPr>
        <w:t>SÚHRN CHARAKTERISTICKÝCH VLASTNOSTÍ LIEKU</w:t>
      </w:r>
    </w:p>
    <w:p w14:paraId="6BC15821" w14:textId="77777777" w:rsidR="00761059" w:rsidRPr="00B30C0B" w:rsidRDefault="00761059" w:rsidP="00B30C0B">
      <w:pPr>
        <w:rPr>
          <w:bCs/>
          <w:sz w:val="22"/>
          <w:szCs w:val="22"/>
        </w:rPr>
      </w:pPr>
    </w:p>
    <w:p w14:paraId="735EC95F" w14:textId="77777777" w:rsidR="00761059" w:rsidRPr="00B30C0B" w:rsidRDefault="00D66209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1.</w:t>
      </w:r>
      <w:r w:rsidR="00124B4B"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NÁZOV  LIEKU</w:t>
      </w:r>
    </w:p>
    <w:p w14:paraId="16602432" w14:textId="77777777" w:rsidR="006B16FD" w:rsidRPr="00B30C0B" w:rsidRDefault="006B16FD" w:rsidP="00B30C0B">
      <w:pPr>
        <w:rPr>
          <w:sz w:val="22"/>
          <w:szCs w:val="22"/>
        </w:rPr>
      </w:pPr>
    </w:p>
    <w:p w14:paraId="01594E30" w14:textId="1FC809C0" w:rsidR="00124B4B" w:rsidRPr="00B30C0B" w:rsidRDefault="00B30C0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Gabapentin</w:t>
      </w:r>
      <w:r w:rsidRPr="00B30C0B">
        <w:rPr>
          <w:sz w:val="22"/>
          <w:szCs w:val="22"/>
          <w:highlight w:val="lightGray"/>
        </w:rPr>
        <w:noBreakHyphen/>
      </w:r>
      <w:r w:rsidR="005373BB">
        <w:rPr>
          <w:sz w:val="22"/>
          <w:szCs w:val="22"/>
          <w:highlight w:val="lightGray"/>
        </w:rPr>
        <w:t>Teva </w:t>
      </w:r>
      <w:r w:rsidR="00124B4B" w:rsidRPr="00B30C0B">
        <w:rPr>
          <w:sz w:val="22"/>
          <w:szCs w:val="22"/>
          <w:highlight w:val="lightGray"/>
        </w:rPr>
        <w:t>100 mg</w:t>
      </w:r>
    </w:p>
    <w:p w14:paraId="5A192781" w14:textId="268C427A" w:rsidR="00124B4B" w:rsidRPr="00B30C0B" w:rsidRDefault="00B30C0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Gabapentin</w:t>
      </w:r>
      <w:r w:rsidRPr="00B30C0B">
        <w:rPr>
          <w:sz w:val="22"/>
          <w:szCs w:val="22"/>
          <w:highlight w:val="lightGray"/>
        </w:rPr>
        <w:noBreakHyphen/>
      </w:r>
      <w:r w:rsidR="005373BB">
        <w:rPr>
          <w:sz w:val="22"/>
          <w:szCs w:val="22"/>
          <w:highlight w:val="lightGray"/>
        </w:rPr>
        <w:t>Teva </w:t>
      </w:r>
      <w:r w:rsidR="00124B4B" w:rsidRPr="00B30C0B">
        <w:rPr>
          <w:sz w:val="22"/>
          <w:szCs w:val="22"/>
          <w:highlight w:val="lightGray"/>
        </w:rPr>
        <w:t>300 mg</w:t>
      </w:r>
    </w:p>
    <w:p w14:paraId="120D762E" w14:textId="08A95963" w:rsidR="00124B4B" w:rsidRPr="00B30C0B" w:rsidRDefault="00B30C0B" w:rsidP="00B30C0B">
      <w:pPr>
        <w:rPr>
          <w:sz w:val="22"/>
          <w:szCs w:val="22"/>
        </w:rPr>
      </w:pPr>
      <w:r w:rsidRPr="00B30C0B">
        <w:rPr>
          <w:sz w:val="22"/>
          <w:szCs w:val="22"/>
          <w:highlight w:val="lightGray"/>
        </w:rPr>
        <w:t>Gabapentin</w:t>
      </w:r>
      <w:r w:rsidRPr="00B30C0B">
        <w:rPr>
          <w:sz w:val="22"/>
          <w:szCs w:val="22"/>
          <w:highlight w:val="lightGray"/>
        </w:rPr>
        <w:noBreakHyphen/>
      </w:r>
      <w:r w:rsidR="005373BB">
        <w:rPr>
          <w:sz w:val="22"/>
          <w:szCs w:val="22"/>
          <w:highlight w:val="lightGray"/>
        </w:rPr>
        <w:t>Teva </w:t>
      </w:r>
      <w:r w:rsidR="00124B4B" w:rsidRPr="00B30C0B">
        <w:rPr>
          <w:sz w:val="22"/>
          <w:szCs w:val="22"/>
          <w:highlight w:val="lightGray"/>
        </w:rPr>
        <w:t>400 mg</w:t>
      </w:r>
    </w:p>
    <w:p w14:paraId="297B7A62" w14:textId="77777777" w:rsidR="00761059" w:rsidRPr="00B30C0B" w:rsidRDefault="0018462E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tvrdé kapsuly</w:t>
      </w:r>
    </w:p>
    <w:p w14:paraId="0112D9DF" w14:textId="77777777" w:rsidR="00124B4B" w:rsidRPr="00B30C0B" w:rsidRDefault="00124B4B" w:rsidP="00B30C0B">
      <w:pPr>
        <w:rPr>
          <w:bCs/>
          <w:sz w:val="22"/>
          <w:szCs w:val="22"/>
        </w:rPr>
      </w:pPr>
    </w:p>
    <w:p w14:paraId="4B3CF270" w14:textId="77777777" w:rsidR="005859F0" w:rsidRPr="00B30C0B" w:rsidRDefault="005859F0" w:rsidP="00B30C0B">
      <w:pPr>
        <w:rPr>
          <w:bCs/>
          <w:sz w:val="22"/>
          <w:szCs w:val="22"/>
        </w:rPr>
      </w:pPr>
    </w:p>
    <w:p w14:paraId="7C2D95E4" w14:textId="77777777" w:rsidR="00E2455E" w:rsidRPr="00B30C0B" w:rsidRDefault="00124B4B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2.</w:t>
      </w:r>
      <w:r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KVALITATÍVNE</w:t>
      </w:r>
      <w:r w:rsidR="00040D41" w:rsidRPr="00B30C0B">
        <w:rPr>
          <w:b/>
          <w:bCs/>
          <w:sz w:val="22"/>
          <w:szCs w:val="22"/>
        </w:rPr>
        <w:t xml:space="preserve"> </w:t>
      </w:r>
      <w:r w:rsidR="00761059" w:rsidRPr="00B30C0B">
        <w:rPr>
          <w:b/>
          <w:bCs/>
          <w:sz w:val="22"/>
          <w:szCs w:val="22"/>
        </w:rPr>
        <w:t xml:space="preserve">A KVANTITATÍVNE  ZLOŽENIE  </w:t>
      </w:r>
    </w:p>
    <w:p w14:paraId="7BDC4403" w14:textId="77777777" w:rsidR="000D7D15" w:rsidRPr="00B30C0B" w:rsidRDefault="000D7D15" w:rsidP="00B30C0B">
      <w:pPr>
        <w:rPr>
          <w:bCs/>
          <w:sz w:val="22"/>
          <w:szCs w:val="22"/>
        </w:rPr>
      </w:pPr>
    </w:p>
    <w:p w14:paraId="5BC7C9C3" w14:textId="417FBD28" w:rsidR="000B5A68" w:rsidRPr="00B30C0B" w:rsidRDefault="005373BB" w:rsidP="00B30C0B">
      <w:pPr>
        <w:rPr>
          <w:bCs/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Gabapentin</w:t>
      </w:r>
      <w:r>
        <w:rPr>
          <w:sz w:val="22"/>
          <w:szCs w:val="22"/>
          <w:highlight w:val="lightGray"/>
        </w:rPr>
        <w:noBreakHyphen/>
        <w:t>Teva 100 </w:t>
      </w:r>
      <w:r w:rsidR="000B5A68" w:rsidRPr="00B30C0B">
        <w:rPr>
          <w:sz w:val="22"/>
          <w:szCs w:val="22"/>
          <w:highlight w:val="lightGray"/>
        </w:rPr>
        <w:t>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4C2A0E6A" w14:textId="161005D9" w:rsidR="00124B4B" w:rsidRPr="00B30C0B" w:rsidRDefault="00637E72" w:rsidP="00B30C0B">
      <w:pPr>
        <w:rPr>
          <w:bCs/>
          <w:sz w:val="22"/>
          <w:szCs w:val="22"/>
          <w:highlight w:val="lightGray"/>
        </w:rPr>
      </w:pPr>
      <w:r w:rsidRPr="00B30C0B">
        <w:rPr>
          <w:bCs/>
          <w:sz w:val="22"/>
          <w:szCs w:val="22"/>
          <w:highlight w:val="lightGray"/>
        </w:rPr>
        <w:t xml:space="preserve">Každá </w:t>
      </w:r>
      <w:r w:rsidR="005373BB">
        <w:rPr>
          <w:bCs/>
          <w:sz w:val="22"/>
          <w:szCs w:val="22"/>
          <w:highlight w:val="lightGray"/>
        </w:rPr>
        <w:t>kapsula obsahuje 100 </w:t>
      </w:r>
      <w:r w:rsidR="00124B4B" w:rsidRPr="00B30C0B">
        <w:rPr>
          <w:bCs/>
          <w:sz w:val="22"/>
          <w:szCs w:val="22"/>
          <w:highlight w:val="lightGray"/>
        </w:rPr>
        <w:t>mg gabapentínu.</w:t>
      </w:r>
    </w:p>
    <w:p w14:paraId="42DB0C27" w14:textId="77777777" w:rsidR="000B5A68" w:rsidRPr="00B30C0B" w:rsidRDefault="000B5A68" w:rsidP="00B30C0B">
      <w:pPr>
        <w:rPr>
          <w:bCs/>
          <w:sz w:val="22"/>
          <w:szCs w:val="22"/>
          <w:highlight w:val="lightGray"/>
        </w:rPr>
      </w:pPr>
    </w:p>
    <w:p w14:paraId="0477E4EF" w14:textId="74B47922" w:rsidR="00124B4B" w:rsidRPr="00B30C0B" w:rsidRDefault="005373BB" w:rsidP="00B30C0B">
      <w:pPr>
        <w:rPr>
          <w:bCs/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Gabapentin - Teva 300 </w:t>
      </w:r>
      <w:r w:rsidR="000B5A68" w:rsidRPr="00B30C0B">
        <w:rPr>
          <w:sz w:val="22"/>
          <w:szCs w:val="22"/>
          <w:highlight w:val="lightGray"/>
        </w:rPr>
        <w:t>mg</w:t>
      </w:r>
      <w:r w:rsidR="004606E6" w:rsidRPr="00B30C0B">
        <w:rPr>
          <w:sz w:val="22"/>
          <w:szCs w:val="22"/>
          <w:highlight w:val="lightGray"/>
        </w:rPr>
        <w:t>, tvrdé kapsuly</w:t>
      </w:r>
      <w:r w:rsidR="00637E72" w:rsidRPr="00B30C0B">
        <w:rPr>
          <w:bCs/>
          <w:sz w:val="22"/>
          <w:szCs w:val="22"/>
          <w:highlight w:val="lightGray"/>
        </w:rPr>
        <w:t>Každá</w:t>
      </w:r>
      <w:r>
        <w:rPr>
          <w:bCs/>
          <w:sz w:val="22"/>
          <w:szCs w:val="22"/>
          <w:highlight w:val="lightGray"/>
        </w:rPr>
        <w:t xml:space="preserve"> kapsula obsahuje 300 </w:t>
      </w:r>
      <w:r w:rsidR="00124B4B" w:rsidRPr="00B30C0B">
        <w:rPr>
          <w:bCs/>
          <w:sz w:val="22"/>
          <w:szCs w:val="22"/>
          <w:highlight w:val="lightGray"/>
        </w:rPr>
        <w:t>mg gabapentínu.</w:t>
      </w:r>
    </w:p>
    <w:p w14:paraId="1FE633AB" w14:textId="4313D760" w:rsidR="000B5A68" w:rsidRPr="00B30C0B" w:rsidRDefault="000B5A68" w:rsidP="00B30C0B">
      <w:pPr>
        <w:rPr>
          <w:bCs/>
          <w:sz w:val="22"/>
          <w:szCs w:val="22"/>
          <w:highlight w:val="lightGray"/>
        </w:rPr>
      </w:pPr>
      <w:r w:rsidRPr="00B30C0B">
        <w:rPr>
          <w:bCs/>
          <w:sz w:val="22"/>
          <w:szCs w:val="22"/>
          <w:highlight w:val="lightGray"/>
          <w:u w:val="single"/>
        </w:rPr>
        <w:t xml:space="preserve">Pomocná látka so známym účinkom: </w:t>
      </w:r>
      <w:r w:rsidRPr="00B30C0B">
        <w:rPr>
          <w:bCs/>
          <w:sz w:val="22"/>
          <w:szCs w:val="22"/>
          <w:highlight w:val="lightGray"/>
        </w:rPr>
        <w:t>Jedna kapsula obsahuje 0,538</w:t>
      </w:r>
      <w:r w:rsidR="005373BB">
        <w:rPr>
          <w:bCs/>
          <w:sz w:val="22"/>
          <w:szCs w:val="22"/>
          <w:highlight w:val="lightGray"/>
        </w:rPr>
        <w:t> </w:t>
      </w:r>
      <w:r w:rsidRPr="00B30C0B">
        <w:rPr>
          <w:bCs/>
          <w:sz w:val="22"/>
          <w:szCs w:val="22"/>
          <w:highlight w:val="lightGray"/>
        </w:rPr>
        <w:t>mg oranžovej žlti (E110).</w:t>
      </w:r>
    </w:p>
    <w:p w14:paraId="5D58F605" w14:textId="77777777" w:rsidR="000B5A68" w:rsidRPr="00B30C0B" w:rsidRDefault="000B5A68" w:rsidP="00B30C0B">
      <w:pPr>
        <w:rPr>
          <w:bCs/>
          <w:sz w:val="22"/>
          <w:szCs w:val="22"/>
          <w:highlight w:val="lightGray"/>
        </w:rPr>
      </w:pPr>
    </w:p>
    <w:p w14:paraId="38E301EC" w14:textId="3F0335BE" w:rsidR="000B5A68" w:rsidRPr="00B30C0B" w:rsidRDefault="005373BB" w:rsidP="00B30C0B">
      <w:pPr>
        <w:rPr>
          <w:bCs/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Gabapentin</w:t>
      </w:r>
      <w:r>
        <w:rPr>
          <w:sz w:val="22"/>
          <w:szCs w:val="22"/>
          <w:highlight w:val="lightGray"/>
        </w:rPr>
        <w:noBreakHyphen/>
        <w:t>Teva 400 </w:t>
      </w:r>
      <w:r w:rsidR="000B5A68" w:rsidRPr="00B30C0B">
        <w:rPr>
          <w:sz w:val="22"/>
          <w:szCs w:val="22"/>
          <w:highlight w:val="lightGray"/>
        </w:rPr>
        <w:t>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4FD1FEA3" w14:textId="3B0D089C" w:rsidR="00124B4B" w:rsidRPr="00B30C0B" w:rsidRDefault="00637E72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  <w:highlight w:val="lightGray"/>
        </w:rPr>
        <w:t>Každá</w:t>
      </w:r>
      <w:r w:rsidR="005373BB">
        <w:rPr>
          <w:bCs/>
          <w:sz w:val="22"/>
          <w:szCs w:val="22"/>
          <w:highlight w:val="lightGray"/>
        </w:rPr>
        <w:t xml:space="preserve"> kapsula obsahuje 400 </w:t>
      </w:r>
      <w:r w:rsidR="00124B4B" w:rsidRPr="00B30C0B">
        <w:rPr>
          <w:bCs/>
          <w:sz w:val="22"/>
          <w:szCs w:val="22"/>
          <w:highlight w:val="lightGray"/>
        </w:rPr>
        <w:t>mg gabapentínu.</w:t>
      </w:r>
    </w:p>
    <w:p w14:paraId="63A3B801" w14:textId="77777777" w:rsidR="004606E6" w:rsidRPr="00B30C0B" w:rsidRDefault="004606E6" w:rsidP="00B30C0B">
      <w:pPr>
        <w:rPr>
          <w:bCs/>
          <w:sz w:val="22"/>
          <w:szCs w:val="22"/>
        </w:rPr>
      </w:pPr>
    </w:p>
    <w:p w14:paraId="3351DE33" w14:textId="77777777" w:rsidR="0056480C" w:rsidRPr="00B30C0B" w:rsidRDefault="00F8763F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Úplný zoznam pomocných látok,</w:t>
      </w:r>
      <w:r w:rsidR="0056480C" w:rsidRPr="00B30C0B">
        <w:rPr>
          <w:bCs/>
          <w:sz w:val="22"/>
          <w:szCs w:val="22"/>
        </w:rPr>
        <w:t xml:space="preserve"> pozri časť 6.1</w:t>
      </w:r>
      <w:r w:rsidRPr="00B30C0B">
        <w:rPr>
          <w:bCs/>
          <w:sz w:val="22"/>
          <w:szCs w:val="22"/>
        </w:rPr>
        <w:t>.</w:t>
      </w:r>
    </w:p>
    <w:p w14:paraId="66C6093E" w14:textId="77777777" w:rsidR="0056480C" w:rsidRPr="00B30C0B" w:rsidRDefault="0056480C" w:rsidP="00B30C0B">
      <w:pPr>
        <w:rPr>
          <w:bCs/>
          <w:sz w:val="22"/>
          <w:szCs w:val="22"/>
        </w:rPr>
      </w:pPr>
    </w:p>
    <w:p w14:paraId="565D6AA3" w14:textId="77777777" w:rsidR="00124B4B" w:rsidRPr="00B30C0B" w:rsidRDefault="00124B4B" w:rsidP="00B30C0B">
      <w:pPr>
        <w:rPr>
          <w:bCs/>
          <w:sz w:val="22"/>
          <w:szCs w:val="22"/>
        </w:rPr>
      </w:pPr>
    </w:p>
    <w:p w14:paraId="58D0C442" w14:textId="77777777" w:rsidR="00761059" w:rsidRPr="00B30C0B" w:rsidRDefault="00124B4B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3.</w:t>
      </w:r>
      <w:r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LIEKOVÁ FORMA</w:t>
      </w:r>
    </w:p>
    <w:p w14:paraId="6C0945DC" w14:textId="77777777" w:rsidR="00761059" w:rsidRPr="00B30C0B" w:rsidRDefault="00761059" w:rsidP="00B30C0B">
      <w:pPr>
        <w:rPr>
          <w:sz w:val="22"/>
          <w:szCs w:val="22"/>
        </w:rPr>
      </w:pPr>
    </w:p>
    <w:p w14:paraId="3ACA0BE6" w14:textId="1FB6148E" w:rsidR="00F8763F" w:rsidRPr="00B30C0B" w:rsidRDefault="003A4828" w:rsidP="00B30C0B">
      <w:pPr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T</w:t>
      </w:r>
      <w:r w:rsidR="00F8763F" w:rsidRPr="00B30C0B">
        <w:rPr>
          <w:sz w:val="22"/>
          <w:szCs w:val="22"/>
          <w:u w:val="single"/>
        </w:rPr>
        <w:t>vrd</w:t>
      </w:r>
      <w:r w:rsidR="004606E6" w:rsidRPr="00B30C0B">
        <w:rPr>
          <w:sz w:val="22"/>
          <w:szCs w:val="22"/>
          <w:u w:val="single"/>
        </w:rPr>
        <w:t>á</w:t>
      </w:r>
      <w:r w:rsidR="00F8763F" w:rsidRPr="00B30C0B">
        <w:rPr>
          <w:sz w:val="22"/>
          <w:szCs w:val="22"/>
          <w:u w:val="single"/>
        </w:rPr>
        <w:t xml:space="preserve"> kapsul</w:t>
      </w:r>
      <w:r w:rsidR="004606E6" w:rsidRPr="00B30C0B">
        <w:rPr>
          <w:sz w:val="22"/>
          <w:szCs w:val="22"/>
          <w:u w:val="single"/>
        </w:rPr>
        <w:t>a</w:t>
      </w:r>
    </w:p>
    <w:p w14:paraId="07663DD0" w14:textId="77777777" w:rsidR="003A4828" w:rsidRPr="00B30C0B" w:rsidRDefault="003A4828" w:rsidP="00B30C0B">
      <w:pPr>
        <w:rPr>
          <w:sz w:val="22"/>
          <w:szCs w:val="22"/>
          <w:highlight w:val="lightGray"/>
        </w:rPr>
      </w:pPr>
    </w:p>
    <w:p w14:paraId="785E1825" w14:textId="522D4AFE" w:rsidR="003A4828" w:rsidRPr="00B30C0B" w:rsidRDefault="005373BB" w:rsidP="00B30C0B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Gabapentin</w:t>
      </w:r>
      <w:r>
        <w:rPr>
          <w:sz w:val="22"/>
          <w:szCs w:val="22"/>
          <w:highlight w:val="lightGray"/>
        </w:rPr>
        <w:noBreakHyphen/>
        <w:t>Teva 100 </w:t>
      </w:r>
      <w:r w:rsidR="003A4828" w:rsidRPr="00B30C0B">
        <w:rPr>
          <w:sz w:val="22"/>
          <w:szCs w:val="22"/>
          <w:highlight w:val="lightGray"/>
        </w:rPr>
        <w:t>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74373D82" w14:textId="77777777" w:rsidR="000D7D15" w:rsidRPr="00B30C0B" w:rsidRDefault="00124B4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T</w:t>
      </w:r>
      <w:r w:rsidR="0056480C" w:rsidRPr="00B30C0B">
        <w:rPr>
          <w:sz w:val="22"/>
          <w:szCs w:val="22"/>
          <w:highlight w:val="lightGray"/>
        </w:rPr>
        <w:t xml:space="preserve">vrdé želatínové </w:t>
      </w:r>
      <w:r w:rsidR="00923B7C" w:rsidRPr="00B30C0B">
        <w:rPr>
          <w:sz w:val="22"/>
          <w:szCs w:val="22"/>
          <w:highlight w:val="lightGray"/>
        </w:rPr>
        <w:t>kapsuly</w:t>
      </w:r>
      <w:r w:rsidR="0056480C" w:rsidRPr="00B30C0B">
        <w:rPr>
          <w:sz w:val="22"/>
          <w:szCs w:val="22"/>
          <w:highlight w:val="lightGray"/>
        </w:rPr>
        <w:t xml:space="preserve"> </w:t>
      </w:r>
      <w:r w:rsidR="00984146" w:rsidRPr="00B30C0B">
        <w:rPr>
          <w:sz w:val="22"/>
          <w:szCs w:val="22"/>
          <w:highlight w:val="lightGray"/>
        </w:rPr>
        <w:t>so sivým vrchnákom</w:t>
      </w:r>
      <w:r w:rsidRPr="00B30C0B">
        <w:rPr>
          <w:sz w:val="22"/>
          <w:szCs w:val="22"/>
          <w:highlight w:val="lightGray"/>
        </w:rPr>
        <w:t xml:space="preserve"> </w:t>
      </w:r>
      <w:r w:rsidR="0056480C" w:rsidRPr="00B30C0B">
        <w:rPr>
          <w:sz w:val="22"/>
          <w:szCs w:val="22"/>
          <w:highlight w:val="lightGray"/>
        </w:rPr>
        <w:t>a telom, naplnené b</w:t>
      </w:r>
      <w:r w:rsidR="00FA677E" w:rsidRPr="00B30C0B">
        <w:rPr>
          <w:sz w:val="22"/>
          <w:szCs w:val="22"/>
          <w:highlight w:val="lightGray"/>
        </w:rPr>
        <w:t xml:space="preserve">ielym až </w:t>
      </w:r>
      <w:r w:rsidR="005A4FCD" w:rsidRPr="00B30C0B">
        <w:rPr>
          <w:sz w:val="22"/>
          <w:szCs w:val="22"/>
          <w:highlight w:val="lightGray"/>
        </w:rPr>
        <w:t>žltobielym</w:t>
      </w:r>
      <w:r w:rsidR="00FA677E" w:rsidRPr="00B30C0B">
        <w:rPr>
          <w:sz w:val="22"/>
          <w:szCs w:val="22"/>
          <w:highlight w:val="lightGray"/>
        </w:rPr>
        <w:t xml:space="preserve"> práškom </w:t>
      </w:r>
      <w:r w:rsidR="0056480C" w:rsidRPr="00B30C0B">
        <w:rPr>
          <w:sz w:val="22"/>
          <w:szCs w:val="22"/>
          <w:highlight w:val="lightGray"/>
        </w:rPr>
        <w:t>s </w:t>
      </w:r>
      <w:r w:rsidRPr="00B30C0B">
        <w:rPr>
          <w:sz w:val="22"/>
          <w:szCs w:val="22"/>
          <w:highlight w:val="lightGray"/>
        </w:rPr>
        <w:t>drobnými</w:t>
      </w:r>
      <w:r w:rsidR="0056480C" w:rsidRPr="00B30C0B">
        <w:rPr>
          <w:sz w:val="22"/>
          <w:szCs w:val="22"/>
          <w:highlight w:val="lightGray"/>
        </w:rPr>
        <w:t xml:space="preserve"> aglomerátmi</w:t>
      </w:r>
      <w:r w:rsidR="000D7D15" w:rsidRPr="00B30C0B">
        <w:rPr>
          <w:sz w:val="22"/>
          <w:szCs w:val="22"/>
          <w:highlight w:val="lightGray"/>
        </w:rPr>
        <w:t>.</w:t>
      </w:r>
    </w:p>
    <w:p w14:paraId="063FA4F5" w14:textId="77777777" w:rsidR="000D7D15" w:rsidRPr="00B30C0B" w:rsidRDefault="00984146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 xml:space="preserve">Vrchnák </w:t>
      </w:r>
      <w:r w:rsidR="000D7D15" w:rsidRPr="00B30C0B">
        <w:rPr>
          <w:sz w:val="22"/>
          <w:szCs w:val="22"/>
          <w:highlight w:val="lightGray"/>
        </w:rPr>
        <w:t>a telo kapsuly sú označené číslicami ’93‘ a ’3</w:t>
      </w:r>
      <w:r w:rsidR="00DD01CE" w:rsidRPr="00B30C0B">
        <w:rPr>
          <w:sz w:val="22"/>
          <w:szCs w:val="22"/>
          <w:highlight w:val="lightGray"/>
        </w:rPr>
        <w:t>8</w:t>
      </w:r>
      <w:r w:rsidR="000D7D15" w:rsidRPr="00B30C0B">
        <w:rPr>
          <w:sz w:val="22"/>
          <w:szCs w:val="22"/>
          <w:highlight w:val="lightGray"/>
        </w:rPr>
        <w:t>‘.</w:t>
      </w:r>
    </w:p>
    <w:p w14:paraId="52A800E0" w14:textId="77777777" w:rsidR="00124B4B" w:rsidRPr="00B30C0B" w:rsidRDefault="00124B4B" w:rsidP="00B30C0B">
      <w:pPr>
        <w:rPr>
          <w:sz w:val="22"/>
          <w:szCs w:val="22"/>
          <w:highlight w:val="lightGray"/>
        </w:rPr>
      </w:pPr>
    </w:p>
    <w:p w14:paraId="4CD13D80" w14:textId="2803F3F3" w:rsidR="003A4828" w:rsidRPr="00B30C0B" w:rsidRDefault="005373BB" w:rsidP="00B30C0B">
      <w:pPr>
        <w:rPr>
          <w:sz w:val="22"/>
          <w:szCs w:val="22"/>
          <w:highlight w:val="lightGray"/>
          <w:u w:val="single"/>
        </w:rPr>
      </w:pPr>
      <w:r>
        <w:rPr>
          <w:sz w:val="22"/>
          <w:szCs w:val="22"/>
          <w:highlight w:val="lightGray"/>
        </w:rPr>
        <w:t>Gabapentin</w:t>
      </w:r>
      <w:r>
        <w:rPr>
          <w:sz w:val="22"/>
          <w:szCs w:val="22"/>
          <w:highlight w:val="lightGray"/>
        </w:rPr>
        <w:noBreakHyphen/>
        <w:t>Teva </w:t>
      </w:r>
      <w:r w:rsidR="003A4828" w:rsidRPr="00B30C0B">
        <w:rPr>
          <w:sz w:val="22"/>
          <w:szCs w:val="22"/>
          <w:highlight w:val="lightGray"/>
        </w:rPr>
        <w:t>300 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12368238" w14:textId="481715DD" w:rsidR="00124B4B" w:rsidRPr="00B30C0B" w:rsidRDefault="00124B4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Tvrdé želatínové kapsuly s oranžov</w:t>
      </w:r>
      <w:r w:rsidR="00187BC1" w:rsidRPr="00B30C0B">
        <w:rPr>
          <w:sz w:val="22"/>
          <w:szCs w:val="22"/>
          <w:highlight w:val="lightGray"/>
        </w:rPr>
        <w:t>ým</w:t>
      </w:r>
      <w:r w:rsidRPr="00B30C0B">
        <w:rPr>
          <w:sz w:val="22"/>
          <w:szCs w:val="22"/>
          <w:highlight w:val="lightGray"/>
        </w:rPr>
        <w:t xml:space="preserve"> </w:t>
      </w:r>
      <w:r w:rsidR="00187BC1" w:rsidRPr="00B30C0B">
        <w:rPr>
          <w:sz w:val="22"/>
          <w:szCs w:val="22"/>
          <w:highlight w:val="lightGray"/>
        </w:rPr>
        <w:t>vrchnákom</w:t>
      </w:r>
      <w:r w:rsidRPr="00B30C0B">
        <w:rPr>
          <w:sz w:val="22"/>
          <w:szCs w:val="22"/>
          <w:highlight w:val="lightGray"/>
        </w:rPr>
        <w:t xml:space="preserve"> a telom, naplnené bielym až </w:t>
      </w:r>
      <w:r w:rsidR="005A4FCD" w:rsidRPr="00B30C0B">
        <w:rPr>
          <w:sz w:val="22"/>
          <w:szCs w:val="22"/>
          <w:highlight w:val="lightGray"/>
        </w:rPr>
        <w:t xml:space="preserve">žltobielym </w:t>
      </w:r>
      <w:r w:rsidRPr="00B30C0B">
        <w:rPr>
          <w:sz w:val="22"/>
          <w:szCs w:val="22"/>
          <w:highlight w:val="lightGray"/>
        </w:rPr>
        <w:t>práškom s drobnými aglomerátmi.</w:t>
      </w:r>
    </w:p>
    <w:p w14:paraId="502E66F3" w14:textId="77777777" w:rsidR="00124B4B" w:rsidRPr="00B30C0B" w:rsidRDefault="00187BC1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 xml:space="preserve">Vrchnák </w:t>
      </w:r>
      <w:r w:rsidR="00124B4B" w:rsidRPr="00B30C0B">
        <w:rPr>
          <w:sz w:val="22"/>
          <w:szCs w:val="22"/>
          <w:highlight w:val="lightGray"/>
        </w:rPr>
        <w:t>a telo kapsuly sú označené číslicami ’93‘ a ’39‘.</w:t>
      </w:r>
    </w:p>
    <w:p w14:paraId="12312D4C" w14:textId="77777777" w:rsidR="00124B4B" w:rsidRPr="00B30C0B" w:rsidRDefault="00124B4B" w:rsidP="00B30C0B">
      <w:pPr>
        <w:rPr>
          <w:sz w:val="22"/>
          <w:szCs w:val="22"/>
          <w:highlight w:val="lightGray"/>
        </w:rPr>
      </w:pPr>
    </w:p>
    <w:p w14:paraId="1F30527E" w14:textId="0CFCE8DB" w:rsidR="00124B4B" w:rsidRPr="00B30C0B" w:rsidRDefault="005373BB" w:rsidP="00B30C0B">
      <w:pPr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Gabapentin</w:t>
      </w:r>
      <w:r>
        <w:rPr>
          <w:sz w:val="22"/>
          <w:szCs w:val="22"/>
          <w:highlight w:val="lightGray"/>
        </w:rPr>
        <w:noBreakHyphen/>
        <w:t>Teva </w:t>
      </w:r>
      <w:r w:rsidR="003A4828" w:rsidRPr="00B30C0B">
        <w:rPr>
          <w:sz w:val="22"/>
          <w:szCs w:val="22"/>
          <w:highlight w:val="lightGray"/>
        </w:rPr>
        <w:t>400 mg</w:t>
      </w:r>
      <w:r w:rsidR="004606E6" w:rsidRPr="00B30C0B">
        <w:rPr>
          <w:sz w:val="22"/>
          <w:szCs w:val="22"/>
          <w:highlight w:val="lightGray"/>
        </w:rPr>
        <w:t>, tvrdé kapsuly</w:t>
      </w:r>
    </w:p>
    <w:p w14:paraId="1BD979ED" w14:textId="08943F07" w:rsidR="00124B4B" w:rsidRPr="00B30C0B" w:rsidRDefault="00124B4B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>Tvrdé želatínové kapsuly s hned</w:t>
      </w:r>
      <w:r w:rsidR="00187BC1" w:rsidRPr="00B30C0B">
        <w:rPr>
          <w:sz w:val="22"/>
          <w:szCs w:val="22"/>
          <w:highlight w:val="lightGray"/>
        </w:rPr>
        <w:t>ým vrchnákom</w:t>
      </w:r>
      <w:r w:rsidRPr="00B30C0B">
        <w:rPr>
          <w:sz w:val="22"/>
          <w:szCs w:val="22"/>
          <w:highlight w:val="lightGray"/>
        </w:rPr>
        <w:t xml:space="preserve"> a telom, naplnené bielym až </w:t>
      </w:r>
      <w:r w:rsidR="005A4FCD" w:rsidRPr="00B30C0B">
        <w:rPr>
          <w:sz w:val="22"/>
          <w:szCs w:val="22"/>
          <w:highlight w:val="lightGray"/>
        </w:rPr>
        <w:t xml:space="preserve">žltobielym </w:t>
      </w:r>
      <w:r w:rsidRPr="00B30C0B">
        <w:rPr>
          <w:sz w:val="22"/>
          <w:szCs w:val="22"/>
          <w:highlight w:val="lightGray"/>
        </w:rPr>
        <w:t>práškom s drobnými aglomerátmi.</w:t>
      </w:r>
    </w:p>
    <w:p w14:paraId="01273DE3" w14:textId="77777777" w:rsidR="00124B4B" w:rsidRPr="00B30C0B" w:rsidRDefault="00187BC1" w:rsidP="00B30C0B">
      <w:pPr>
        <w:rPr>
          <w:sz w:val="22"/>
          <w:szCs w:val="22"/>
        </w:rPr>
      </w:pPr>
      <w:r w:rsidRPr="00B30C0B">
        <w:rPr>
          <w:sz w:val="22"/>
          <w:szCs w:val="22"/>
          <w:highlight w:val="lightGray"/>
        </w:rPr>
        <w:t xml:space="preserve">Vrchnák </w:t>
      </w:r>
      <w:r w:rsidR="00124B4B" w:rsidRPr="00B30C0B">
        <w:rPr>
          <w:sz w:val="22"/>
          <w:szCs w:val="22"/>
          <w:highlight w:val="lightGray"/>
        </w:rPr>
        <w:t>a telo kapsuly sú označené číslicami ’93‘ a ’40‘.</w:t>
      </w:r>
    </w:p>
    <w:p w14:paraId="597DD733" w14:textId="77777777" w:rsidR="00124B4B" w:rsidRPr="00B30C0B" w:rsidRDefault="00124B4B" w:rsidP="00B30C0B">
      <w:pPr>
        <w:rPr>
          <w:sz w:val="22"/>
          <w:szCs w:val="22"/>
        </w:rPr>
      </w:pPr>
    </w:p>
    <w:p w14:paraId="4BB5A009" w14:textId="77777777" w:rsidR="00124B4B" w:rsidRPr="00B30C0B" w:rsidRDefault="00124B4B" w:rsidP="00B30C0B">
      <w:pPr>
        <w:rPr>
          <w:sz w:val="22"/>
          <w:szCs w:val="22"/>
        </w:rPr>
      </w:pPr>
    </w:p>
    <w:p w14:paraId="11C95CC7" w14:textId="77777777" w:rsidR="00761059" w:rsidRPr="00B30C0B" w:rsidRDefault="00124B4B" w:rsidP="00B30C0B">
      <w:pPr>
        <w:rPr>
          <w:sz w:val="22"/>
          <w:szCs w:val="22"/>
        </w:rPr>
      </w:pPr>
      <w:r w:rsidRPr="00B30C0B">
        <w:rPr>
          <w:b/>
          <w:sz w:val="22"/>
          <w:szCs w:val="22"/>
        </w:rPr>
        <w:t>4.</w:t>
      </w:r>
      <w:r w:rsidRPr="00B30C0B">
        <w:rPr>
          <w:b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KLINICKÉ  ÚDAJE</w:t>
      </w:r>
    </w:p>
    <w:p w14:paraId="74F8FA28" w14:textId="77777777" w:rsidR="000D7D15" w:rsidRPr="005373BB" w:rsidRDefault="000D7D15" w:rsidP="00B30C0B">
      <w:pPr>
        <w:rPr>
          <w:bCs/>
          <w:sz w:val="22"/>
          <w:szCs w:val="22"/>
        </w:rPr>
      </w:pPr>
    </w:p>
    <w:p w14:paraId="0EA1D5C2" w14:textId="77777777" w:rsidR="00761059" w:rsidRPr="00B30C0B" w:rsidRDefault="00124B4B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4.1</w:t>
      </w:r>
      <w:r w:rsidRPr="00B30C0B">
        <w:rPr>
          <w:b/>
          <w:bCs/>
          <w:sz w:val="22"/>
          <w:szCs w:val="22"/>
        </w:rPr>
        <w:tab/>
      </w:r>
      <w:r w:rsidR="00761059" w:rsidRPr="00B30C0B">
        <w:rPr>
          <w:b/>
          <w:bCs/>
          <w:sz w:val="22"/>
          <w:szCs w:val="22"/>
        </w:rPr>
        <w:t>Terapeutické indikácie</w:t>
      </w:r>
    </w:p>
    <w:p w14:paraId="71922573" w14:textId="77777777" w:rsidR="000D7D15" w:rsidRPr="005373BB" w:rsidRDefault="000D7D15" w:rsidP="00B30C0B">
      <w:pPr>
        <w:rPr>
          <w:bCs/>
          <w:sz w:val="22"/>
          <w:szCs w:val="22"/>
        </w:rPr>
      </w:pPr>
    </w:p>
    <w:p w14:paraId="0EB3B2E7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Epilepsia</w:t>
      </w:r>
    </w:p>
    <w:p w14:paraId="1EE300CA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5A21A0E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je indikovaný ako prídavná terapia na liečbu parciálnych záchvatov so sekundárnou</w:t>
      </w:r>
    </w:p>
    <w:p w14:paraId="36CE484E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generalizáciou alebo bez nej u dospelých a detí vo veku od 6 rokov (pozri časť 5.1).</w:t>
      </w:r>
    </w:p>
    <w:p w14:paraId="22B89B2D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F25C1BA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je indikovaný ako monoterapia na liečbu parciálnych záchvatov so sekundárnou</w:t>
      </w:r>
    </w:p>
    <w:p w14:paraId="0685AEC7" w14:textId="77777777" w:rsidR="0046486E" w:rsidRPr="00B30C0B" w:rsidRDefault="0046486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generalizáciou alebo bez nej u dospelých a adolescentov vo veku od 12 rokov.</w:t>
      </w:r>
    </w:p>
    <w:p w14:paraId="06F0CA88" w14:textId="77777777" w:rsidR="00B30C0B" w:rsidRPr="00B30C0B" w:rsidRDefault="00B30C0B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A0B9A27" w14:textId="77777777" w:rsidR="0046486E" w:rsidRPr="00B30C0B" w:rsidRDefault="0046486E" w:rsidP="00B30C0B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lastRenderedPageBreak/>
        <w:t>Liečba periférnej neuropatickej bolesti</w:t>
      </w:r>
    </w:p>
    <w:p w14:paraId="5A25B863" w14:textId="77777777" w:rsidR="009F5BD8" w:rsidRPr="00B30C0B" w:rsidRDefault="009F5BD8" w:rsidP="00B30C0B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741F8F38" w14:textId="77777777" w:rsidR="0046486E" w:rsidRPr="00B30C0B" w:rsidRDefault="0046486E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je indikovaný na liečbu periférnej neuropatickej bolesti, ako je bolestivá diabetická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polyneurop</w:t>
      </w:r>
      <w:r w:rsidR="00C80C1B" w:rsidRPr="00B30C0B">
        <w:rPr>
          <w:sz w:val="22"/>
          <w:szCs w:val="22"/>
        </w:rPr>
        <w:t>atia a postherpetická neuralgia</w:t>
      </w:r>
      <w:r w:rsidRPr="00B30C0B">
        <w:rPr>
          <w:sz w:val="22"/>
          <w:szCs w:val="22"/>
        </w:rPr>
        <w:t xml:space="preserve"> u dospelých.</w:t>
      </w:r>
    </w:p>
    <w:p w14:paraId="79C64EB4" w14:textId="5AF1D60A" w:rsidR="0046486E" w:rsidRPr="00B30C0B" w:rsidRDefault="0046486E" w:rsidP="00B30C0B">
      <w:pPr>
        <w:rPr>
          <w:sz w:val="22"/>
          <w:szCs w:val="22"/>
        </w:rPr>
      </w:pPr>
    </w:p>
    <w:p w14:paraId="47C636DE" w14:textId="77777777" w:rsidR="00761059" w:rsidRPr="00B30C0B" w:rsidRDefault="00761059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4.2</w:t>
      </w:r>
      <w:r w:rsidR="00124B4B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Dávkovanie a spôsob podávania</w:t>
      </w:r>
    </w:p>
    <w:p w14:paraId="1A33B6A5" w14:textId="77777777" w:rsidR="003B61AF" w:rsidRPr="00B30C0B" w:rsidRDefault="003B61AF" w:rsidP="00B30C0B">
      <w:pPr>
        <w:rPr>
          <w:bCs/>
          <w:sz w:val="22"/>
          <w:szCs w:val="22"/>
        </w:rPr>
      </w:pPr>
    </w:p>
    <w:p w14:paraId="4CF2A32B" w14:textId="77777777" w:rsidR="00235C58" w:rsidRPr="00B30C0B" w:rsidRDefault="00D156EB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Dávkovanie</w:t>
      </w:r>
    </w:p>
    <w:p w14:paraId="136A908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A38223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Titračná schéma pre všetky indikácie na začiatku liečby je uvedená v Tabuľke 1, ktorá sa odporúča pre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dospelých a adolescentov vo veku od 12 rokov. Pokyny na dávkovanie pre deti do 12 rokov sú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uvedené nižšie v tejto časti pod samostatným podnadpisom.</w:t>
      </w:r>
    </w:p>
    <w:p w14:paraId="5685DCF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87ADE19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Tabuľka 1</w:t>
      </w:r>
    </w:p>
    <w:p w14:paraId="4CA75446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DÁVKOVACIA SCHÉMA – INICIÁLNA TITRÁCIA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148"/>
      </w:tblGrid>
      <w:tr w:rsidR="00235C58" w:rsidRPr="00B30C0B" w14:paraId="53BF6588" w14:textId="77777777" w:rsidTr="003443D5">
        <w:tc>
          <w:tcPr>
            <w:tcW w:w="3070" w:type="dxa"/>
          </w:tcPr>
          <w:p w14:paraId="4A58F08C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1. deň</w:t>
            </w:r>
          </w:p>
        </w:tc>
        <w:tc>
          <w:tcPr>
            <w:tcW w:w="3070" w:type="dxa"/>
          </w:tcPr>
          <w:p w14:paraId="51111302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2. deň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17132000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3. deň</w:t>
            </w:r>
          </w:p>
        </w:tc>
      </w:tr>
      <w:tr w:rsidR="00235C58" w:rsidRPr="00B30C0B" w14:paraId="53CE0AF8" w14:textId="77777777" w:rsidTr="003443D5">
        <w:tc>
          <w:tcPr>
            <w:tcW w:w="3070" w:type="dxa"/>
          </w:tcPr>
          <w:p w14:paraId="70A701D2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 jedenkrát denne</w:t>
            </w:r>
          </w:p>
        </w:tc>
        <w:tc>
          <w:tcPr>
            <w:tcW w:w="3070" w:type="dxa"/>
            <w:tcBorders>
              <w:right w:val="single" w:sz="4" w:space="0" w:color="auto"/>
            </w:tcBorders>
          </w:tcPr>
          <w:p w14:paraId="51FDD950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 dvakrát denne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E01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 trikrát denne</w:t>
            </w:r>
          </w:p>
        </w:tc>
      </w:tr>
    </w:tbl>
    <w:p w14:paraId="2287A53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8D8D4CA" w14:textId="77777777" w:rsidR="004A7D24" w:rsidRPr="00B30C0B" w:rsidRDefault="004A7D2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Ukončen</w:t>
      </w:r>
      <w:r w:rsidR="00E21A28" w:rsidRPr="00B30C0B">
        <w:rPr>
          <w:i/>
          <w:sz w:val="22"/>
          <w:szCs w:val="22"/>
        </w:rPr>
        <w:t>i</w:t>
      </w:r>
      <w:r w:rsidRPr="00B30C0B">
        <w:rPr>
          <w:i/>
          <w:sz w:val="22"/>
          <w:szCs w:val="22"/>
        </w:rPr>
        <w:t xml:space="preserve">e liečby gabapentínom </w:t>
      </w:r>
    </w:p>
    <w:p w14:paraId="4168259F" w14:textId="77777777" w:rsidR="004A7D24" w:rsidRPr="00B30C0B" w:rsidRDefault="004A7D24" w:rsidP="00B30C0B">
      <w:pPr>
        <w:tabs>
          <w:tab w:val="left" w:pos="567"/>
        </w:tabs>
        <w:rPr>
          <w:iCs/>
          <w:sz w:val="22"/>
          <w:szCs w:val="22"/>
        </w:rPr>
      </w:pPr>
      <w:r w:rsidRPr="00B30C0B">
        <w:rPr>
          <w:iCs/>
          <w:sz w:val="22"/>
          <w:szCs w:val="22"/>
        </w:rPr>
        <w:t>V súlade so súčasnou klinickou praxou, ak sa musí liečba gabapentínom ukončiť, sa odporúča, aby sa to urobilo postupne počas minimálne 1 týždňa, nezávisle od indikácie.</w:t>
      </w:r>
    </w:p>
    <w:p w14:paraId="53780F3D" w14:textId="77777777" w:rsidR="004A7D24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FED862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Epilepsia</w:t>
      </w:r>
    </w:p>
    <w:p w14:paraId="163F7A34" w14:textId="77777777" w:rsidR="00F8763F" w:rsidRPr="00B30C0B" w:rsidRDefault="00F8763F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3FEB0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Epilepsia si zvyčajne vyžaduje dlhodobú liečbu. Dávkovanie určuje ošetrujúci lekár podľa</w:t>
      </w:r>
    </w:p>
    <w:p w14:paraId="5B28C9C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individuálnej znášanlivosti a účinnosti. </w:t>
      </w:r>
    </w:p>
    <w:p w14:paraId="46D1CDC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9CF459E" w14:textId="3A42A57E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30C0B">
        <w:rPr>
          <w:i/>
          <w:iCs/>
          <w:sz w:val="22"/>
          <w:szCs w:val="22"/>
        </w:rPr>
        <w:t>Dospelí a adolescenti</w:t>
      </w:r>
    </w:p>
    <w:p w14:paraId="1FAEBCCE" w14:textId="77777777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D8DEEC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Účinná dávka v klinických štúdiách bola v intervale 900 až 3 600 mg/deň. Liečba sa môže začať</w:t>
      </w:r>
      <w:r w:rsidR="00D81FBA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titrovaním dávky, ako je uvedené v Tabuľke 1, alebo prvý deň podaním dávky 300 mg trikrát denne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(TID). V závislosti od odpovede a znášanlivosti individuálneho pacienta sa potom dávka môže ďalej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zvyšovať každý 2. – 3. deň o prídavok 300 mg/deň až na maximálnu dávku 3 600 mg/deň. Pre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jednotlivých pacientov môže byť vhodná pomalšia titrácia dávky gabapentínu. Najkratší čas na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dosiahnutie dávky 1 800 mg/deň je jeden týždeň, na dosiahnutie 2 400 mg/deň sú to celkovo 2 týždne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a na dosiahnutie 3 600 mg/deň sú to celkovo 3 týždne. V dlhodobých nezaslepených klinických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štúdiách sa dobre tolerovali dávky až do 4 800 mg/deň. Celková denná dávka má byť rozdelená do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troch samostatných dávok, pričom maximálny časový interval medzi dávkami nesmie byť dlhší než</w:t>
      </w:r>
      <w:r w:rsidR="00201989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12 hodín, aby sa predišlo náhlemu vzniku záchvatov.</w:t>
      </w:r>
    </w:p>
    <w:p w14:paraId="190ED84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98C29A1" w14:textId="29D3A439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30C0B">
        <w:rPr>
          <w:i/>
          <w:iCs/>
          <w:sz w:val="22"/>
          <w:szCs w:val="22"/>
        </w:rPr>
        <w:t>Deti vo veku od 6 rokov</w:t>
      </w:r>
    </w:p>
    <w:p w14:paraId="4125FFC6" w14:textId="77777777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9D2133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Úvodná dávka sa má pohybovať v rozpätí od 10 do 15 mg/kg/deň a účinná dávka sa dosiahne</w:t>
      </w:r>
      <w:r w:rsidR="00201989" w:rsidRPr="00B30C0B">
        <w:rPr>
          <w:sz w:val="22"/>
          <w:szCs w:val="22"/>
        </w:rPr>
        <w:t xml:space="preserve"> </w:t>
      </w:r>
    </w:p>
    <w:p w14:paraId="3B37047C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postupnou titráciou počas približne troch dní. Účinná dávka gabapentínu u detí vo veku od 6 rokov je</w:t>
      </w:r>
    </w:p>
    <w:p w14:paraId="48B3E00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25 až 35 mg/kg/deň. V dlhodobých klinických štúdiách sa dobre tolerovali dávky až do 50 mg/kg/deň.</w:t>
      </w:r>
    </w:p>
    <w:p w14:paraId="37A6B50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Celková denná dávka má byť rozdelená do troch samostatných dávok, pričom maximálny časový</w:t>
      </w:r>
    </w:p>
    <w:p w14:paraId="117C9043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interval medzi dávkami nesmie prekročiť 12 hodín.</w:t>
      </w:r>
    </w:p>
    <w:p w14:paraId="72B71A53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579E6FF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Na optimalizáciu liečby nie je potrebné monitorovať plazmatické koncentrácie gabapentínu. Navyše sa</w:t>
      </w:r>
    </w:p>
    <w:p w14:paraId="609FC6C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môže kombinovať s inými antiepileptikami bez obavy z ovplyvnenia plazmatických</w:t>
      </w:r>
    </w:p>
    <w:p w14:paraId="6C99FA7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koncentrácií gabapentínu alebo sérových koncentrácií iných antiepileptík.</w:t>
      </w:r>
    </w:p>
    <w:p w14:paraId="204F9AF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 xml:space="preserve">Periférna neuropatická </w:t>
      </w:r>
      <w:r w:rsidR="00F8763F" w:rsidRPr="00B30C0B">
        <w:rPr>
          <w:sz w:val="22"/>
          <w:szCs w:val="22"/>
          <w:u w:val="single"/>
        </w:rPr>
        <w:t>bolesť</w:t>
      </w:r>
    </w:p>
    <w:p w14:paraId="28F8B306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7F8B6FB" w14:textId="77777777" w:rsidR="00235C58" w:rsidRPr="00B30C0B" w:rsidRDefault="00235C58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30C0B">
        <w:rPr>
          <w:i/>
          <w:iCs/>
          <w:sz w:val="22"/>
          <w:szCs w:val="22"/>
        </w:rPr>
        <w:t>Dospelí</w:t>
      </w:r>
    </w:p>
    <w:p w14:paraId="4B90B82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Liečba sa môže začať titráciou dávky, ako je uvedené v Tabuľke 1. Alebo je úvodná dávka</w:t>
      </w:r>
    </w:p>
    <w:p w14:paraId="09F5FC34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900 mg/deň, ktorá sa podáva rozdelená do troch rovnakých dávok. V závislosti od odpovede</w:t>
      </w:r>
    </w:p>
    <w:p w14:paraId="3CD8FB4E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lastRenderedPageBreak/>
        <w:t>a znášanlivosti individuálneho pacienta sa potom dávka môže ďalej zvyšovať každý 2. – 3. deň o prídavok 300 mg/deň až na maximálnu dávku 3 600 mg/deň. Pre jednotlivých pacientov môže byť vhodná pomalšia titrácia dávky gabapentínu. Najkratší čas na dosiahnutie dávky 1 800 mg/deň je jeden týždeň, na dosiahnutie 2400 mg/deň sú to celkovo 2 týždne a na dosiahnutie 3 600 mg/deň sú to celkovo 3 týždne.</w:t>
      </w:r>
    </w:p>
    <w:p w14:paraId="6B2DC3D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5BDF2A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Účinnosť a bezpečnosť liečby periférnej neuropatickej bolesti, ako je bolestivá diabetická</w:t>
      </w:r>
    </w:p>
    <w:p w14:paraId="7312E6A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polyneuropatia a postherpetická neuralgia, sa nesledovala v klinických štúdiách počas obdobia</w:t>
      </w:r>
    </w:p>
    <w:p w14:paraId="37287E46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dlhšieho ako 5 mesiacov. Ak liečba periférnej neuropatickej bolesti vyžaduje u pacienta podávanie</w:t>
      </w:r>
    </w:p>
    <w:p w14:paraId="27810DFC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lieku dlhšie ako 5 mesiacov, ošetrujúci lekár musí posúdiť klinický stav pacienta a rozhodnúť</w:t>
      </w:r>
    </w:p>
    <w:p w14:paraId="1D024C2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 potrebe ďalšej liečby.</w:t>
      </w:r>
    </w:p>
    <w:p w14:paraId="7C2F175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59FCC96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Pokyny pre všetky terapeutické indikácie</w:t>
      </w:r>
    </w:p>
    <w:p w14:paraId="4E7857C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pacientov v zlom zdravotnom stave, t.j. s nízkou telesnou hmotnosťou, po transplantácii orgánov,</w:t>
      </w:r>
    </w:p>
    <w:p w14:paraId="79CB68F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atď., sa má dávka titrovať oveľa pomalšie, buď užívaním nižších dávok alebo dlhšími intervalmi</w:t>
      </w:r>
    </w:p>
    <w:p w14:paraId="0B86D47A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medzi jednotlivými zvýšeniami dávok.</w:t>
      </w:r>
    </w:p>
    <w:p w14:paraId="4E9212D4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4E925EE" w14:textId="77777777" w:rsidR="00235C58" w:rsidRPr="00B30C0B" w:rsidRDefault="00D156EB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Starší</w:t>
      </w:r>
      <w:r w:rsidR="00235C58" w:rsidRPr="00B30C0B">
        <w:rPr>
          <w:sz w:val="22"/>
          <w:szCs w:val="22"/>
          <w:u w:val="single"/>
        </w:rPr>
        <w:t xml:space="preserve"> (vo veku nad 65 rokov)</w:t>
      </w:r>
    </w:p>
    <w:p w14:paraId="0F61104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9BA2E1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Keďže s vekom sa znižuje funkcia obličiek, </w:t>
      </w:r>
      <w:r w:rsidR="00040D41" w:rsidRPr="00B30C0B">
        <w:rPr>
          <w:sz w:val="22"/>
          <w:szCs w:val="22"/>
        </w:rPr>
        <w:t xml:space="preserve">u </w:t>
      </w:r>
      <w:r w:rsidRPr="00B30C0B">
        <w:rPr>
          <w:sz w:val="22"/>
          <w:szCs w:val="22"/>
        </w:rPr>
        <w:t>starší</w:t>
      </w:r>
      <w:r w:rsidR="00040D41" w:rsidRPr="00B30C0B">
        <w:rPr>
          <w:sz w:val="22"/>
          <w:szCs w:val="22"/>
        </w:rPr>
        <w:t>ch</w:t>
      </w:r>
      <w:r w:rsidRPr="00B30C0B">
        <w:rPr>
          <w:sz w:val="22"/>
          <w:szCs w:val="22"/>
        </w:rPr>
        <w:t xml:space="preserve"> pacient</w:t>
      </w:r>
      <w:r w:rsidR="00040D41" w:rsidRPr="00B30C0B">
        <w:rPr>
          <w:sz w:val="22"/>
          <w:szCs w:val="22"/>
        </w:rPr>
        <w:t>ov sa</w:t>
      </w:r>
      <w:r w:rsidRPr="00B30C0B">
        <w:rPr>
          <w:sz w:val="22"/>
          <w:szCs w:val="22"/>
        </w:rPr>
        <w:t xml:space="preserve"> môž</w:t>
      </w:r>
      <w:r w:rsidR="00040D41" w:rsidRPr="00B30C0B">
        <w:rPr>
          <w:sz w:val="22"/>
          <w:szCs w:val="22"/>
        </w:rPr>
        <w:t>e</w:t>
      </w:r>
      <w:r w:rsidRPr="00B30C0B">
        <w:rPr>
          <w:sz w:val="22"/>
          <w:szCs w:val="22"/>
        </w:rPr>
        <w:t xml:space="preserve"> vyžadovať úprav</w:t>
      </w:r>
      <w:r w:rsidR="00040D41" w:rsidRPr="00B30C0B">
        <w:rPr>
          <w:sz w:val="22"/>
          <w:szCs w:val="22"/>
        </w:rPr>
        <w:t xml:space="preserve">a </w:t>
      </w:r>
      <w:r w:rsidRPr="00B30C0B">
        <w:rPr>
          <w:sz w:val="22"/>
          <w:szCs w:val="22"/>
        </w:rPr>
        <w:t>dávkovania (pozri</w:t>
      </w:r>
      <w:r w:rsidR="00040D41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Tabuľku 2). U starších pacientov sa môže častejšie vyskytnúť somnolencia, periférny edém a asténia.</w:t>
      </w:r>
    </w:p>
    <w:p w14:paraId="1686E7F9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07DF719" w14:textId="77777777" w:rsidR="00235C58" w:rsidRPr="00B30C0B" w:rsidRDefault="009F5BD8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</w:t>
      </w:r>
      <w:r w:rsidR="00235C58" w:rsidRPr="00B30C0B">
        <w:rPr>
          <w:sz w:val="22"/>
          <w:szCs w:val="22"/>
          <w:u w:val="single"/>
        </w:rPr>
        <w:t>oškoden</w:t>
      </w:r>
      <w:r w:rsidR="00D303C2" w:rsidRPr="00B30C0B">
        <w:rPr>
          <w:sz w:val="22"/>
          <w:szCs w:val="22"/>
          <w:u w:val="single"/>
        </w:rPr>
        <w:t>ie</w:t>
      </w:r>
      <w:r w:rsidR="00235C58" w:rsidRPr="00B30C0B">
        <w:rPr>
          <w:sz w:val="22"/>
          <w:szCs w:val="22"/>
          <w:u w:val="single"/>
        </w:rPr>
        <w:t xml:space="preserve"> funkci</w:t>
      </w:r>
      <w:r w:rsidR="00D303C2" w:rsidRPr="00B30C0B">
        <w:rPr>
          <w:sz w:val="22"/>
          <w:szCs w:val="22"/>
          <w:u w:val="single"/>
        </w:rPr>
        <w:t>e</w:t>
      </w:r>
      <w:r w:rsidR="00235C58" w:rsidRPr="00B30C0B">
        <w:rPr>
          <w:sz w:val="22"/>
          <w:szCs w:val="22"/>
          <w:u w:val="single"/>
        </w:rPr>
        <w:t xml:space="preserve"> obličiek</w:t>
      </w:r>
    </w:p>
    <w:p w14:paraId="0B7D6A6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567AF9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pacientov so zhoršenou funkciou obličiek, ako je uvedené v Tabuľke 2, a/alebo</w:t>
      </w:r>
    </w:p>
    <w:p w14:paraId="55C8C45E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hemodialyzovaných pacientov sa odporúča úprava dávky. 100 mg kapsuly gabapentínu sa môžu</w:t>
      </w:r>
    </w:p>
    <w:p w14:paraId="12223C0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používať podľa odporúčaného dávkovania pre pacientov s renálnou insuficienciou.</w:t>
      </w:r>
    </w:p>
    <w:p w14:paraId="4666291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8425E6C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Tabuľka 2</w:t>
      </w:r>
    </w:p>
    <w:p w14:paraId="052D28A2" w14:textId="77777777" w:rsidR="00235C58" w:rsidRPr="00B30C0B" w:rsidRDefault="00235C58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DÁVKOVANIE GABAPENTÍNU U DOSPELÝCH V ZÁVISLOSTI OD RENÁLNYCH FUNKCIÍ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83"/>
      </w:tblGrid>
      <w:tr w:rsidR="00235C58" w:rsidRPr="00B30C0B" w14:paraId="51DC0D88" w14:textId="77777777" w:rsidTr="003443D5">
        <w:tc>
          <w:tcPr>
            <w:tcW w:w="4605" w:type="dxa"/>
          </w:tcPr>
          <w:p w14:paraId="307C88B3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Klírens kreatinínu (ml/min)</w:t>
            </w:r>
          </w:p>
        </w:tc>
        <w:tc>
          <w:tcPr>
            <w:tcW w:w="4683" w:type="dxa"/>
          </w:tcPr>
          <w:p w14:paraId="3494F732" w14:textId="77777777" w:rsidR="00235C58" w:rsidRPr="00B30C0B" w:rsidRDefault="00811661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Celková denná dávka</w:t>
            </w:r>
            <w:r w:rsidRPr="00B30C0B">
              <w:rPr>
                <w:sz w:val="22"/>
                <w:szCs w:val="22"/>
                <w:vertAlign w:val="superscript"/>
              </w:rPr>
              <w:t>a</w:t>
            </w:r>
            <w:r w:rsidRPr="00B30C0B">
              <w:rPr>
                <w:sz w:val="22"/>
                <w:szCs w:val="22"/>
              </w:rPr>
              <w:t xml:space="preserve"> </w:t>
            </w:r>
            <w:r w:rsidR="00235C58" w:rsidRPr="00B30C0B">
              <w:rPr>
                <w:sz w:val="22"/>
                <w:szCs w:val="22"/>
              </w:rPr>
              <w:t>(</w:t>
            </w:r>
            <w:r w:rsidRPr="00B30C0B">
              <w:rPr>
                <w:sz w:val="22"/>
                <w:szCs w:val="22"/>
              </w:rPr>
              <w:t>mg/deň</w:t>
            </w:r>
            <w:r w:rsidR="00235C58" w:rsidRPr="00B30C0B">
              <w:rPr>
                <w:sz w:val="22"/>
                <w:szCs w:val="22"/>
              </w:rPr>
              <w:t>)</w:t>
            </w:r>
          </w:p>
        </w:tc>
      </w:tr>
      <w:tr w:rsidR="00235C58" w:rsidRPr="00B30C0B" w14:paraId="236283D2" w14:textId="77777777" w:rsidTr="003443D5">
        <w:tc>
          <w:tcPr>
            <w:tcW w:w="4605" w:type="dxa"/>
          </w:tcPr>
          <w:p w14:paraId="0200087B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sym w:font="Symbol" w:char="F0B3"/>
            </w:r>
            <w:r w:rsidRPr="00B30C0B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4683" w:type="dxa"/>
          </w:tcPr>
          <w:p w14:paraId="565203A4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900 – 3 600</w:t>
            </w:r>
          </w:p>
        </w:tc>
      </w:tr>
      <w:tr w:rsidR="00235C58" w:rsidRPr="00B30C0B" w14:paraId="4ACCE480" w14:textId="77777777" w:rsidTr="003443D5">
        <w:tc>
          <w:tcPr>
            <w:tcW w:w="4605" w:type="dxa"/>
          </w:tcPr>
          <w:p w14:paraId="1567E695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50 – 79</w:t>
            </w:r>
          </w:p>
        </w:tc>
        <w:tc>
          <w:tcPr>
            <w:tcW w:w="4683" w:type="dxa"/>
          </w:tcPr>
          <w:p w14:paraId="4E05AD0F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600 – 1 800</w:t>
            </w:r>
          </w:p>
        </w:tc>
      </w:tr>
      <w:tr w:rsidR="00235C58" w:rsidRPr="00B30C0B" w14:paraId="359C21BD" w14:textId="77777777" w:rsidTr="003443D5">
        <w:tc>
          <w:tcPr>
            <w:tcW w:w="4605" w:type="dxa"/>
          </w:tcPr>
          <w:p w14:paraId="3166EA5A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 – 49</w:t>
            </w:r>
          </w:p>
        </w:tc>
        <w:tc>
          <w:tcPr>
            <w:tcW w:w="4683" w:type="dxa"/>
          </w:tcPr>
          <w:p w14:paraId="54394F18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– 900</w:t>
            </w:r>
          </w:p>
        </w:tc>
      </w:tr>
      <w:tr w:rsidR="00235C58" w:rsidRPr="00B30C0B" w14:paraId="603AB50D" w14:textId="77777777" w:rsidTr="003443D5">
        <w:tc>
          <w:tcPr>
            <w:tcW w:w="4605" w:type="dxa"/>
          </w:tcPr>
          <w:p w14:paraId="41C71738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15 – 29</w:t>
            </w:r>
          </w:p>
        </w:tc>
        <w:tc>
          <w:tcPr>
            <w:tcW w:w="4683" w:type="dxa"/>
          </w:tcPr>
          <w:p w14:paraId="0DD284BB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150b – 600</w:t>
            </w:r>
          </w:p>
        </w:tc>
      </w:tr>
      <w:tr w:rsidR="00235C58" w:rsidRPr="00B30C0B" w14:paraId="38BF9B55" w14:textId="77777777" w:rsidTr="003443D5">
        <w:tc>
          <w:tcPr>
            <w:tcW w:w="4605" w:type="dxa"/>
          </w:tcPr>
          <w:p w14:paraId="474099A0" w14:textId="77777777" w:rsidR="00235C58" w:rsidRPr="00B30C0B" w:rsidRDefault="00235C58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&lt; 15c</w:t>
            </w:r>
          </w:p>
        </w:tc>
        <w:tc>
          <w:tcPr>
            <w:tcW w:w="4683" w:type="dxa"/>
          </w:tcPr>
          <w:p w14:paraId="14526A2A" w14:textId="77777777" w:rsidR="00235C58" w:rsidRPr="00B30C0B" w:rsidRDefault="00235C58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150b – 300</w:t>
            </w:r>
          </w:p>
        </w:tc>
      </w:tr>
    </w:tbl>
    <w:p w14:paraId="29B6F00F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A2443AB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 Celková denná dávka sa má podávať rozdelená do 3 dávok. Znížené dávky sú určené pre pacientov</w:t>
      </w:r>
    </w:p>
    <w:p w14:paraId="0C44D742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 poškodenou funkciou obličiek (klírens kreatinínu &lt; 79 ml/min).</w:t>
      </w:r>
    </w:p>
    <w:p w14:paraId="4802B42D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b Podáva sa ako 300 mg každý druhý deň.</w:t>
      </w:r>
    </w:p>
    <w:p w14:paraId="2AC6FAD7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c U pacientov s klírensom kreatinínu &lt; 15 ml/min sa denná dávka musí znížiť úmerne ku klírensu</w:t>
      </w:r>
    </w:p>
    <w:p w14:paraId="2E91D17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kreatinínu (napr. pacienti s klírensom kreatinínu 7,5 ml/min majú dostať polovicu dennej dávky</w:t>
      </w:r>
    </w:p>
    <w:p w14:paraId="2B1C8C88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pacientov s klírensom kreatinínu 15 ml/min).</w:t>
      </w:r>
    </w:p>
    <w:p w14:paraId="318C1F0A" w14:textId="77777777" w:rsidR="00B30C0B" w:rsidRPr="00B30C0B" w:rsidRDefault="00B30C0B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2F05D3E" w14:textId="0AAD330D" w:rsidR="00235C58" w:rsidRPr="00B30C0B" w:rsidRDefault="00FF1C9F" w:rsidP="00B30C0B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</w:t>
      </w:r>
      <w:r w:rsidR="004606E6" w:rsidRPr="00B30C0B">
        <w:rPr>
          <w:sz w:val="22"/>
          <w:szCs w:val="22"/>
          <w:u w:val="single"/>
        </w:rPr>
        <w:t>oužitie u p</w:t>
      </w:r>
      <w:r w:rsidR="00235C58" w:rsidRPr="00B30C0B">
        <w:rPr>
          <w:sz w:val="22"/>
          <w:szCs w:val="22"/>
          <w:u w:val="single"/>
        </w:rPr>
        <w:t>acient</w:t>
      </w:r>
      <w:r w:rsidR="004606E6" w:rsidRPr="00B30C0B">
        <w:rPr>
          <w:sz w:val="22"/>
          <w:szCs w:val="22"/>
          <w:u w:val="single"/>
        </w:rPr>
        <w:t>ov</w:t>
      </w:r>
      <w:r w:rsidRPr="00B30C0B">
        <w:rPr>
          <w:sz w:val="22"/>
          <w:szCs w:val="22"/>
          <w:u w:val="single"/>
        </w:rPr>
        <w:t xml:space="preserve"> podstupujúci</w:t>
      </w:r>
      <w:r w:rsidR="004606E6" w:rsidRPr="00B30C0B">
        <w:rPr>
          <w:sz w:val="22"/>
          <w:szCs w:val="22"/>
          <w:u w:val="single"/>
        </w:rPr>
        <w:t>ch</w:t>
      </w:r>
      <w:r w:rsidRPr="00B30C0B">
        <w:rPr>
          <w:sz w:val="22"/>
          <w:szCs w:val="22"/>
          <w:u w:val="single"/>
        </w:rPr>
        <w:t xml:space="preserve"> hemodialýzu</w:t>
      </w:r>
    </w:p>
    <w:p w14:paraId="1A35F921" w14:textId="77777777" w:rsidR="00235C58" w:rsidRPr="00B30C0B" w:rsidRDefault="00235C58" w:rsidP="00B30C0B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3A3319E" w14:textId="77777777" w:rsidR="00235C58" w:rsidRPr="00B30C0B" w:rsidRDefault="00235C58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anurických hemodialyzovaných pacientov, ktorí nikdy neužívali gabapentín, sa odporúča</w:t>
      </w:r>
    </w:p>
    <w:p w14:paraId="46B350F1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nasycovacia dávka 300 - 400 mg a ďalej 200 - 300 mg gabapentínu nasledujúce každé 4 hodiny počas</w:t>
      </w:r>
    </w:p>
    <w:p w14:paraId="6834FF85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hemodialýzy. V dňoch, keď pacient nie je dialyzovaný, sa nemá gabapentín užívať.</w:t>
      </w:r>
    </w:p>
    <w:p w14:paraId="543B8694" w14:textId="77777777" w:rsidR="00FF1C9F" w:rsidRPr="00B30C0B" w:rsidRDefault="00FF1C9F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AA6BFE0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hemodialyzovaných pacientov s poškodenou funkciou obličiek sa má udržiavacia dávka stanoviť</w:t>
      </w:r>
    </w:p>
    <w:p w14:paraId="3A1B9B43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podľa odporúčaného dávkovania uvedeného v Tabuľke 2. Okrem udržiavacej dávky sa nasledujúce</w:t>
      </w:r>
    </w:p>
    <w:p w14:paraId="50203D98" w14:textId="77777777" w:rsidR="00235C58" w:rsidRPr="00B30C0B" w:rsidRDefault="00235C5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každé 4 hodiny počas hemodialýzy odporúča podávať ďalšia 200 - 300 mg dávka.</w:t>
      </w:r>
    </w:p>
    <w:p w14:paraId="7FE7CB67" w14:textId="77777777" w:rsidR="00FF1C9F" w:rsidRPr="00B30C0B" w:rsidRDefault="00FF1C9F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A7330CA" w14:textId="77777777" w:rsidR="00FF1C9F" w:rsidRPr="00B30C0B" w:rsidRDefault="00FF1C9F" w:rsidP="00B30C0B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lastRenderedPageBreak/>
        <w:t>Spôsob podávania</w:t>
      </w:r>
    </w:p>
    <w:p w14:paraId="3023B7AF" w14:textId="77777777" w:rsidR="00FF1C9F" w:rsidRPr="00B30C0B" w:rsidRDefault="00FF1C9F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Perorálne použitie.</w:t>
      </w:r>
    </w:p>
    <w:p w14:paraId="654A899E" w14:textId="77777777" w:rsidR="00FF1C9F" w:rsidRPr="00B30C0B" w:rsidRDefault="00FF1C9F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778E5274" w14:textId="0C0EC8D6" w:rsidR="00FF1C9F" w:rsidRPr="00B30C0B" w:rsidRDefault="008020D7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Kapsula</w:t>
      </w:r>
      <w:r w:rsidR="005973E6" w:rsidRPr="00B30C0B">
        <w:rPr>
          <w:sz w:val="22"/>
          <w:szCs w:val="22"/>
        </w:rPr>
        <w:t xml:space="preserve"> sa môže </w:t>
      </w:r>
      <w:r w:rsidR="004606E6" w:rsidRPr="00B30C0B">
        <w:rPr>
          <w:sz w:val="22"/>
          <w:szCs w:val="22"/>
        </w:rPr>
        <w:t>užívať</w:t>
      </w:r>
      <w:r w:rsidR="005973E6" w:rsidRPr="00B30C0B">
        <w:rPr>
          <w:sz w:val="22"/>
          <w:szCs w:val="22"/>
        </w:rPr>
        <w:t xml:space="preserve"> s jedlom alebo nezávisle od jedla a má sa prehltnúť cel</w:t>
      </w:r>
      <w:r w:rsidR="004606E6" w:rsidRPr="00B30C0B">
        <w:rPr>
          <w:sz w:val="22"/>
          <w:szCs w:val="22"/>
        </w:rPr>
        <w:t xml:space="preserve">á s </w:t>
      </w:r>
      <w:r w:rsidR="005973E6" w:rsidRPr="00B30C0B">
        <w:rPr>
          <w:sz w:val="22"/>
          <w:szCs w:val="22"/>
        </w:rPr>
        <w:t xml:space="preserve"> dostatočným množstvom tekutiny (napr. pohárom vody).</w:t>
      </w:r>
    </w:p>
    <w:p w14:paraId="162EC6C5" w14:textId="77777777" w:rsidR="00235C58" w:rsidRPr="00B30C0B" w:rsidRDefault="00235C58" w:rsidP="00B30C0B">
      <w:pPr>
        <w:rPr>
          <w:snapToGrid w:val="0"/>
          <w:sz w:val="22"/>
          <w:szCs w:val="22"/>
        </w:rPr>
      </w:pPr>
    </w:p>
    <w:p w14:paraId="1B8C417F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4.3 </w:t>
      </w:r>
      <w:r w:rsidR="00315D15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Kontraindikácie</w:t>
      </w:r>
    </w:p>
    <w:p w14:paraId="6EB95503" w14:textId="77777777" w:rsidR="003B61AF" w:rsidRPr="00B30C0B" w:rsidRDefault="003B61AF" w:rsidP="00B30C0B">
      <w:pPr>
        <w:rPr>
          <w:sz w:val="22"/>
          <w:szCs w:val="22"/>
        </w:rPr>
      </w:pPr>
    </w:p>
    <w:p w14:paraId="56FF56EA" w14:textId="77777777" w:rsidR="008C00E8" w:rsidRPr="00B30C0B" w:rsidRDefault="008C00E8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Precitlivenosť na liečivo alebo na </w:t>
      </w:r>
      <w:r w:rsidR="0018462E" w:rsidRPr="00B30C0B">
        <w:rPr>
          <w:sz w:val="22"/>
          <w:szCs w:val="22"/>
        </w:rPr>
        <w:t xml:space="preserve">ktorúkoľvek </w:t>
      </w:r>
      <w:r w:rsidRPr="00B30C0B">
        <w:rPr>
          <w:sz w:val="22"/>
          <w:szCs w:val="22"/>
        </w:rPr>
        <w:t>z pomocných látok</w:t>
      </w:r>
      <w:r w:rsidR="00454EA0" w:rsidRPr="00B30C0B">
        <w:rPr>
          <w:sz w:val="22"/>
          <w:szCs w:val="22"/>
        </w:rPr>
        <w:t xml:space="preserve"> uvedených v časti 6.1.</w:t>
      </w:r>
    </w:p>
    <w:p w14:paraId="1CB62E8B" w14:textId="77777777" w:rsidR="007A3D5D" w:rsidRPr="00B30C0B" w:rsidRDefault="007A3D5D" w:rsidP="00B30C0B">
      <w:pPr>
        <w:rPr>
          <w:sz w:val="22"/>
          <w:szCs w:val="22"/>
        </w:rPr>
      </w:pPr>
    </w:p>
    <w:p w14:paraId="142454AE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4.4 </w:t>
      </w:r>
      <w:r w:rsidR="00315D15" w:rsidRPr="00B30C0B">
        <w:rPr>
          <w:b/>
          <w:bCs/>
          <w:sz w:val="22"/>
          <w:szCs w:val="22"/>
        </w:rPr>
        <w:tab/>
      </w:r>
      <w:r w:rsidR="003B61AF" w:rsidRPr="00B30C0B">
        <w:rPr>
          <w:b/>
          <w:bCs/>
          <w:sz w:val="22"/>
          <w:szCs w:val="22"/>
        </w:rPr>
        <w:t xml:space="preserve">Osobitné upozornenia a opatrenia pri používaní </w:t>
      </w:r>
    </w:p>
    <w:p w14:paraId="50D143F1" w14:textId="77777777" w:rsidR="003B61AF" w:rsidRPr="00B30C0B" w:rsidRDefault="003B61AF" w:rsidP="00B30C0B">
      <w:pPr>
        <w:rPr>
          <w:bCs/>
          <w:sz w:val="22"/>
          <w:szCs w:val="22"/>
        </w:rPr>
      </w:pPr>
    </w:p>
    <w:p w14:paraId="2C4B3F5A" w14:textId="77777777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u w:val="single"/>
          <w:lang w:eastAsia="en-GB"/>
        </w:rPr>
      </w:pPr>
      <w:r w:rsidRPr="00B30C0B">
        <w:rPr>
          <w:bCs/>
          <w:sz w:val="22"/>
          <w:szCs w:val="22"/>
          <w:u w:val="single"/>
          <w:lang w:eastAsia="en-GB"/>
        </w:rPr>
        <w:t>Liekom vyvolaná vyrážka s eozinofíliou a systémovými príznakmi (DRESS)</w:t>
      </w:r>
    </w:p>
    <w:p w14:paraId="5DCA29CC" w14:textId="77777777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</w:p>
    <w:p w14:paraId="2FB2699A" w14:textId="2E3B6248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B30C0B">
        <w:rPr>
          <w:bCs/>
          <w:sz w:val="22"/>
          <w:szCs w:val="22"/>
          <w:lang w:eastAsia="en-GB"/>
        </w:rPr>
        <w:t>U pacientov užívajúcich antiepilepti</w:t>
      </w:r>
      <w:r w:rsidR="004606E6" w:rsidRPr="00B30C0B">
        <w:rPr>
          <w:bCs/>
          <w:sz w:val="22"/>
          <w:szCs w:val="22"/>
          <w:lang w:eastAsia="en-GB"/>
        </w:rPr>
        <w:t xml:space="preserve">ká, </w:t>
      </w:r>
      <w:r w:rsidRPr="00B30C0B">
        <w:rPr>
          <w:bCs/>
          <w:sz w:val="22"/>
          <w:szCs w:val="22"/>
          <w:lang w:eastAsia="en-GB"/>
        </w:rPr>
        <w:t>vrátane gabapentínu</w:t>
      </w:r>
      <w:r w:rsidR="004606E6" w:rsidRPr="00B30C0B">
        <w:rPr>
          <w:bCs/>
          <w:sz w:val="22"/>
          <w:szCs w:val="22"/>
          <w:lang w:eastAsia="en-GB"/>
        </w:rPr>
        <w:t>,</w:t>
      </w:r>
      <w:r w:rsidRPr="00B30C0B">
        <w:rPr>
          <w:bCs/>
          <w:sz w:val="22"/>
          <w:szCs w:val="22"/>
          <w:lang w:eastAsia="en-GB"/>
        </w:rPr>
        <w:t xml:space="preserve"> boli hlásené závažné, život ohrozujúce systémové reakcie z precitlivenosti, ako napríklad liekom vyvolaná vyrážka s eozinofíliou a systémovými príznakmi (Drug rash with eosinophilia and systemic symptoms , DRESS) (pozri časť 4.8).</w:t>
      </w:r>
    </w:p>
    <w:p w14:paraId="6A8A0166" w14:textId="77777777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</w:p>
    <w:p w14:paraId="4B6498B2" w14:textId="74ED7E55" w:rsidR="000E2439" w:rsidRPr="00B30C0B" w:rsidRDefault="000E2439" w:rsidP="00B30C0B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B30C0B">
        <w:rPr>
          <w:bCs/>
          <w:sz w:val="22"/>
          <w:szCs w:val="22"/>
          <w:lang w:eastAsia="en-GB"/>
        </w:rPr>
        <w:t xml:space="preserve">Je dôležité uvedomiť si, že včasné prejavy precitlivenosti, napríklad horúčka alebo lymfadenopatia, môžu byť prítomné </w:t>
      </w:r>
      <w:r w:rsidR="002F164E" w:rsidRPr="00B30C0B">
        <w:rPr>
          <w:bCs/>
          <w:sz w:val="22"/>
          <w:szCs w:val="22"/>
          <w:lang w:eastAsia="en-GB"/>
        </w:rPr>
        <w:t xml:space="preserve">aj </w:t>
      </w:r>
      <w:r w:rsidRPr="00B30C0B">
        <w:rPr>
          <w:bCs/>
          <w:sz w:val="22"/>
          <w:szCs w:val="22"/>
          <w:lang w:eastAsia="en-GB"/>
        </w:rPr>
        <w:t xml:space="preserve"> bez zjavnej vyrážky. Ak sú takéto </w:t>
      </w:r>
      <w:r w:rsidR="00C35E7C" w:rsidRPr="00B30C0B">
        <w:rPr>
          <w:bCs/>
          <w:sz w:val="22"/>
          <w:szCs w:val="22"/>
          <w:lang w:eastAsia="en-GB"/>
        </w:rPr>
        <w:t>príznaky a prejavy</w:t>
      </w:r>
      <w:r w:rsidRPr="00B30C0B">
        <w:rPr>
          <w:bCs/>
          <w:sz w:val="22"/>
          <w:szCs w:val="22"/>
          <w:lang w:eastAsia="en-GB"/>
        </w:rPr>
        <w:t xml:space="preserve"> prítomné, je potrebné pacienta ihneď vyšetriť. Liečba gabapentínom sa má ukončiť, ak </w:t>
      </w:r>
      <w:r w:rsidR="00762E0A" w:rsidRPr="00B30C0B">
        <w:rPr>
          <w:bCs/>
          <w:sz w:val="22"/>
          <w:szCs w:val="22"/>
          <w:lang w:eastAsia="en-GB"/>
        </w:rPr>
        <w:t>sa nezistí iná</w:t>
      </w:r>
      <w:r w:rsidRPr="00B30C0B">
        <w:rPr>
          <w:bCs/>
          <w:sz w:val="22"/>
          <w:szCs w:val="22"/>
          <w:lang w:eastAsia="en-GB"/>
        </w:rPr>
        <w:t xml:space="preserve"> etiológi</w:t>
      </w:r>
      <w:r w:rsidR="00762E0A" w:rsidRPr="00B30C0B">
        <w:rPr>
          <w:bCs/>
          <w:sz w:val="22"/>
          <w:szCs w:val="22"/>
          <w:lang w:eastAsia="en-GB"/>
        </w:rPr>
        <w:t>a</w:t>
      </w:r>
      <w:r w:rsidRPr="00B30C0B">
        <w:rPr>
          <w:bCs/>
          <w:sz w:val="22"/>
          <w:szCs w:val="22"/>
          <w:lang w:eastAsia="en-GB"/>
        </w:rPr>
        <w:t xml:space="preserve"> týchto </w:t>
      </w:r>
      <w:r w:rsidR="00C35E7C" w:rsidRPr="00B30C0B">
        <w:rPr>
          <w:bCs/>
          <w:sz w:val="22"/>
          <w:szCs w:val="22"/>
          <w:lang w:eastAsia="en-GB"/>
        </w:rPr>
        <w:t>príznakov a prejavov</w:t>
      </w:r>
      <w:r w:rsidRPr="00B30C0B">
        <w:rPr>
          <w:bCs/>
          <w:sz w:val="22"/>
          <w:szCs w:val="22"/>
          <w:lang w:eastAsia="en-GB"/>
        </w:rPr>
        <w:t>.</w:t>
      </w:r>
    </w:p>
    <w:p w14:paraId="6D42BB0E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lang w:eastAsia="en-GB"/>
        </w:rPr>
      </w:pPr>
    </w:p>
    <w:p w14:paraId="340EF27C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u w:val="single"/>
          <w:lang w:eastAsia="en-GB"/>
        </w:rPr>
      </w:pPr>
      <w:r w:rsidRPr="00B30C0B">
        <w:rPr>
          <w:bCs/>
          <w:sz w:val="22"/>
          <w:szCs w:val="22"/>
          <w:u w:val="single"/>
          <w:lang w:eastAsia="en-GB"/>
        </w:rPr>
        <w:t>Anafylaxia</w:t>
      </w:r>
    </w:p>
    <w:p w14:paraId="3C795630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lang w:eastAsia="en-GB"/>
        </w:rPr>
      </w:pPr>
    </w:p>
    <w:p w14:paraId="15EC52CC" w14:textId="77777777" w:rsidR="000E2439" w:rsidRPr="00B30C0B" w:rsidRDefault="000E2439" w:rsidP="00B30C0B">
      <w:pPr>
        <w:shd w:val="clear" w:color="auto" w:fill="FFFFFF"/>
        <w:rPr>
          <w:bCs/>
          <w:sz w:val="22"/>
          <w:szCs w:val="22"/>
          <w:lang w:eastAsia="en-GB"/>
        </w:rPr>
      </w:pPr>
      <w:r w:rsidRPr="00B30C0B">
        <w:rPr>
          <w:bCs/>
          <w:sz w:val="22"/>
          <w:szCs w:val="22"/>
          <w:lang w:eastAsia="en-GB"/>
        </w:rPr>
        <w:t>Gabapentín môže spôsobiť anafylaxiu. Subjektívne a objektívne príznaky v hlásených prípadoch zahŕňali ťažkosti s dýchaním, opuch pier, hrdla a jazyka a hypotenziu vyžadujúcu urgentnú liečbu. Pacienti majú byť poučení, aby ukončili užívanie gabapentínu a ihneď vyhľadali lekársku pomoc, ak sa u nich vyskytnú subjektívne alebo objektívne príznaky anafylaxie (pozri časť 4.8).</w:t>
      </w:r>
    </w:p>
    <w:p w14:paraId="26310A0B" w14:textId="77777777" w:rsidR="000E2439" w:rsidRPr="00B30C0B" w:rsidRDefault="000E2439" w:rsidP="00B30C0B">
      <w:pPr>
        <w:rPr>
          <w:sz w:val="22"/>
          <w:szCs w:val="22"/>
          <w:u w:val="single"/>
        </w:rPr>
      </w:pPr>
    </w:p>
    <w:p w14:paraId="07285F41" w14:textId="77777777" w:rsidR="009A0F7E" w:rsidRPr="00B30C0B" w:rsidRDefault="009A0F7E" w:rsidP="00B30C0B">
      <w:pPr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Samovražedné myšlienky a správanie</w:t>
      </w:r>
    </w:p>
    <w:p w14:paraId="32DAE6E7" w14:textId="77777777" w:rsidR="00454EA0" w:rsidRPr="00B30C0B" w:rsidRDefault="00454EA0" w:rsidP="00B30C0B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B30C0B">
        <w:rPr>
          <w:sz w:val="22"/>
          <w:szCs w:val="22"/>
        </w:rPr>
        <w:t xml:space="preserve">U pacientov liečených antiepileptikami boli </w:t>
      </w:r>
      <w:r w:rsidR="005C51BE" w:rsidRPr="00B30C0B">
        <w:rPr>
          <w:sz w:val="22"/>
          <w:szCs w:val="22"/>
        </w:rPr>
        <w:t xml:space="preserve">pri niektorých indikáciách </w:t>
      </w:r>
      <w:r w:rsidRPr="00B30C0B">
        <w:rPr>
          <w:sz w:val="22"/>
          <w:szCs w:val="22"/>
        </w:rPr>
        <w:t>hlásené sa</w:t>
      </w:r>
      <w:r w:rsidRPr="00B30C0B">
        <w:rPr>
          <w:bCs/>
          <w:iCs/>
          <w:sz w:val="22"/>
          <w:szCs w:val="22"/>
        </w:rPr>
        <w:t>movražedné predstavy a samovražedné správanie. Meta</w:t>
      </w:r>
      <w:r w:rsidRPr="00B30C0B">
        <w:rPr>
          <w:bCs/>
          <w:iCs/>
          <w:sz w:val="22"/>
          <w:szCs w:val="22"/>
        </w:rPr>
        <w:noBreakHyphen/>
        <w:t>analýza randomizovaných</w:t>
      </w:r>
      <w:r w:rsidR="005C51BE" w:rsidRPr="00B30C0B">
        <w:rPr>
          <w:bCs/>
          <w:iCs/>
          <w:sz w:val="22"/>
          <w:szCs w:val="22"/>
        </w:rPr>
        <w:t xml:space="preserve"> placebom kontrolovaných skúšaní </w:t>
      </w:r>
      <w:r w:rsidRPr="00B30C0B">
        <w:rPr>
          <w:bCs/>
          <w:iCs/>
          <w:sz w:val="22"/>
          <w:szCs w:val="22"/>
        </w:rPr>
        <w:t>antiepil</w:t>
      </w:r>
      <w:r w:rsidR="00B52509" w:rsidRPr="00B30C0B">
        <w:rPr>
          <w:bCs/>
          <w:iCs/>
          <w:sz w:val="22"/>
          <w:szCs w:val="22"/>
        </w:rPr>
        <w:t>eptík tiež ukázala malé zvýšen</w:t>
      </w:r>
      <w:r w:rsidR="00413A07" w:rsidRPr="00B30C0B">
        <w:rPr>
          <w:bCs/>
          <w:iCs/>
          <w:sz w:val="22"/>
          <w:szCs w:val="22"/>
        </w:rPr>
        <w:t>ie</w:t>
      </w:r>
      <w:r w:rsidR="00B52509" w:rsidRPr="00B30C0B">
        <w:rPr>
          <w:bCs/>
          <w:iCs/>
          <w:sz w:val="22"/>
          <w:szCs w:val="22"/>
        </w:rPr>
        <w:t xml:space="preserve"> rizik</w:t>
      </w:r>
      <w:r w:rsidR="00413A07" w:rsidRPr="00B30C0B">
        <w:rPr>
          <w:bCs/>
          <w:iCs/>
          <w:sz w:val="22"/>
          <w:szCs w:val="22"/>
        </w:rPr>
        <w:t>a</w:t>
      </w:r>
      <w:r w:rsidRPr="00B30C0B">
        <w:rPr>
          <w:bCs/>
          <w:iCs/>
          <w:sz w:val="22"/>
          <w:szCs w:val="22"/>
        </w:rPr>
        <w:t xml:space="preserve"> samovražedných predstáv a samovražedného správania. Mechanizmus tohto ri</w:t>
      </w:r>
      <w:r w:rsidR="005C51BE" w:rsidRPr="00B30C0B">
        <w:rPr>
          <w:bCs/>
          <w:iCs/>
          <w:sz w:val="22"/>
          <w:szCs w:val="22"/>
        </w:rPr>
        <w:t>zika nie je známy a dostupné ú</w:t>
      </w:r>
      <w:r w:rsidRPr="00B30C0B">
        <w:rPr>
          <w:bCs/>
          <w:iCs/>
          <w:sz w:val="22"/>
          <w:szCs w:val="22"/>
        </w:rPr>
        <w:t>daje nevyluč</w:t>
      </w:r>
      <w:r w:rsidR="00B52509" w:rsidRPr="00B30C0B">
        <w:rPr>
          <w:bCs/>
          <w:iCs/>
          <w:sz w:val="22"/>
          <w:szCs w:val="22"/>
        </w:rPr>
        <w:t>ujú možnosť zvýšeného rizika u gabapentínu</w:t>
      </w:r>
      <w:r w:rsidRPr="00B30C0B">
        <w:rPr>
          <w:bCs/>
          <w:iCs/>
          <w:sz w:val="22"/>
          <w:szCs w:val="22"/>
        </w:rPr>
        <w:t>.</w:t>
      </w:r>
    </w:p>
    <w:p w14:paraId="12D8FECB" w14:textId="77777777" w:rsidR="00454EA0" w:rsidRPr="00B30C0B" w:rsidRDefault="00454EA0" w:rsidP="00B30C0B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9B3612D" w14:textId="77777777" w:rsidR="00454EA0" w:rsidRPr="00B30C0B" w:rsidRDefault="005C51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bCs/>
          <w:iCs/>
          <w:sz w:val="22"/>
          <w:szCs w:val="22"/>
        </w:rPr>
        <w:t>U pacientov</w:t>
      </w:r>
      <w:r w:rsidR="00454EA0" w:rsidRPr="00B30C0B">
        <w:rPr>
          <w:bCs/>
          <w:iCs/>
          <w:sz w:val="22"/>
          <w:szCs w:val="22"/>
        </w:rPr>
        <w:t xml:space="preserve"> sa preto majú sledovať </w:t>
      </w:r>
      <w:r w:rsidRPr="00B30C0B">
        <w:rPr>
          <w:bCs/>
          <w:iCs/>
          <w:sz w:val="22"/>
          <w:szCs w:val="22"/>
        </w:rPr>
        <w:t xml:space="preserve">príznaky </w:t>
      </w:r>
      <w:r w:rsidR="00454EA0" w:rsidRPr="00B30C0B">
        <w:rPr>
          <w:bCs/>
          <w:iCs/>
          <w:sz w:val="22"/>
          <w:szCs w:val="22"/>
        </w:rPr>
        <w:t>samovražedných predstáv a samovražedného správania a má sa zvážiť vhodná liečba. Pacienti (a opatrovatelia pacientov) majú byť upozornení na to, že musia vyhľadať lekársku pomoc, ak sa objavia príznaky samovražedných predstáv alebo samovražedného správania .</w:t>
      </w:r>
    </w:p>
    <w:p w14:paraId="61A3D45C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516C588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Akútna pankreatitída</w:t>
      </w:r>
      <w:r w:rsidRPr="00B30C0B">
        <w:rPr>
          <w:sz w:val="22"/>
          <w:szCs w:val="22"/>
        </w:rPr>
        <w:tab/>
      </w:r>
    </w:p>
    <w:p w14:paraId="35A4D2C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Ak sa u pacienta počas liečby gabapentínom vyvinie akútna pankreatitída, má sa zvážiť prerušenie</w:t>
      </w:r>
    </w:p>
    <w:p w14:paraId="0F36734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liečby gabapentínom (pozri časť 4.8).</w:t>
      </w:r>
    </w:p>
    <w:p w14:paraId="36F269D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CD2B27A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Záchvaty</w:t>
      </w:r>
    </w:p>
    <w:p w14:paraId="0A15983D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Hoci neexistujú dôkazy o návrate záchvatov po vysadení gabapentínu (“rebound“), náhle vysadenie</w:t>
      </w:r>
    </w:p>
    <w:p w14:paraId="797E0C30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protizáchvatových liekov môže u pacientov trpiacich na epilepsiu viesť k vzniku status epilepticus.</w:t>
      </w:r>
    </w:p>
    <w:p w14:paraId="73A677D5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(pozri časť 4.2).</w:t>
      </w:r>
    </w:p>
    <w:p w14:paraId="545023E2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17D7889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Tak ako u ostatných antiepileptík, aj počas liečby gabapentínom môže dôjsť u niektorých pacientov</w:t>
      </w:r>
    </w:p>
    <w:p w14:paraId="6585D4AB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 zvýšenej frekvencii záchvatov alebo ku vzniku nových typov záchvatov.</w:t>
      </w:r>
    </w:p>
    <w:p w14:paraId="5A3C871A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F17C842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Tak ako u ostatných antiepileptík, pokusy o vysadenie sprievodných antiepileptík v liečbe zle</w:t>
      </w:r>
    </w:p>
    <w:p w14:paraId="2E6A87A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kontrolovateľných pacientov, ktorí užívajú viac ako jedno antiepileptikum, za účelom dosiahnutia</w:t>
      </w:r>
    </w:p>
    <w:p w14:paraId="47E41A2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lastRenderedPageBreak/>
        <w:t>monoterapie s gabapentínom, má malú úspešnosť.</w:t>
      </w:r>
    </w:p>
    <w:p w14:paraId="14CBC18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7CD1C55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sa nepovažuje za účinný voči primárne generalizovaným záchvatom, ako sú absencie,</w:t>
      </w:r>
    </w:p>
    <w:p w14:paraId="42C4C81D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pričom u niektorých pacientov môže tieto záchvaty zhoršiť. Preto sa gabapentín musí používať</w:t>
      </w:r>
    </w:p>
    <w:p w14:paraId="123DD535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 opatrnosťou u pacientov so zmiešanými záchvatmi vrátane absencií.</w:t>
      </w:r>
    </w:p>
    <w:p w14:paraId="69290F78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D8BE17D" w14:textId="030F2D8C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  <w:u w:val="single"/>
        </w:rPr>
        <w:t>Závraty, ospalosť, strata vedomia, zmätenosť a</w:t>
      </w:r>
      <w:r w:rsidR="001E7AE3" w:rsidRPr="00B30C0B">
        <w:rPr>
          <w:sz w:val="22"/>
          <w:szCs w:val="22"/>
          <w:u w:val="single"/>
        </w:rPr>
        <w:t> duševná porucha</w:t>
      </w:r>
    </w:p>
    <w:p w14:paraId="1A562A9D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6AD9755" w14:textId="5D61894D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Liečba gabapentínom bola </w:t>
      </w:r>
      <w:r w:rsidR="000C4A92" w:rsidRPr="00B30C0B">
        <w:rPr>
          <w:sz w:val="22"/>
          <w:szCs w:val="22"/>
        </w:rPr>
        <w:t>spojen</w:t>
      </w:r>
      <w:r w:rsidRPr="00B30C0B">
        <w:rPr>
          <w:sz w:val="22"/>
          <w:szCs w:val="22"/>
        </w:rPr>
        <w:t>á so závratmi a ospalosťou, ktoré môžu zvýšiť riziko náhod</w:t>
      </w:r>
      <w:r w:rsidR="000C4A92" w:rsidRPr="00B30C0B">
        <w:rPr>
          <w:sz w:val="22"/>
          <w:szCs w:val="22"/>
        </w:rPr>
        <w:t>ných zranení (pádov</w:t>
      </w:r>
      <w:r w:rsidRPr="00B30C0B">
        <w:rPr>
          <w:sz w:val="22"/>
          <w:szCs w:val="22"/>
        </w:rPr>
        <w:t xml:space="preserve">). </w:t>
      </w:r>
      <w:r w:rsidR="000C4A92" w:rsidRPr="00B30C0B">
        <w:rPr>
          <w:sz w:val="22"/>
          <w:szCs w:val="22"/>
        </w:rPr>
        <w:t>K</w:t>
      </w:r>
      <w:r w:rsidRPr="00B30C0B">
        <w:rPr>
          <w:sz w:val="22"/>
          <w:szCs w:val="22"/>
        </w:rPr>
        <w:t xml:space="preserve"> dispozícii </w:t>
      </w:r>
      <w:r w:rsidR="000C4A92" w:rsidRPr="00B30C0B">
        <w:rPr>
          <w:sz w:val="22"/>
          <w:szCs w:val="22"/>
        </w:rPr>
        <w:t xml:space="preserve">sú tiež hlásenia po uvedení lieku na trh týkajúce sa </w:t>
      </w:r>
      <w:r w:rsidRPr="00B30C0B">
        <w:rPr>
          <w:sz w:val="22"/>
          <w:szCs w:val="22"/>
        </w:rPr>
        <w:t xml:space="preserve"> </w:t>
      </w:r>
      <w:r w:rsidR="000E2439" w:rsidRPr="00B30C0B">
        <w:rPr>
          <w:sz w:val="22"/>
          <w:szCs w:val="22"/>
        </w:rPr>
        <w:t xml:space="preserve">zmätenosti, </w:t>
      </w:r>
      <w:r w:rsidRPr="00B30C0B">
        <w:rPr>
          <w:sz w:val="22"/>
          <w:szCs w:val="22"/>
        </w:rPr>
        <w:t>straty vedomia</w:t>
      </w:r>
      <w:r w:rsidR="002F164E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a </w:t>
      </w:r>
      <w:r w:rsidR="000C4A92" w:rsidRPr="00B30C0B">
        <w:rPr>
          <w:sz w:val="22"/>
          <w:szCs w:val="22"/>
        </w:rPr>
        <w:t>duševnej poruchy</w:t>
      </w:r>
      <w:r w:rsidRPr="00B30C0B">
        <w:rPr>
          <w:sz w:val="22"/>
          <w:szCs w:val="22"/>
        </w:rPr>
        <w:t xml:space="preserve">. </w:t>
      </w:r>
      <w:r w:rsidR="000C4A92" w:rsidRPr="00B30C0B">
        <w:rPr>
          <w:sz w:val="22"/>
          <w:szCs w:val="22"/>
        </w:rPr>
        <w:t>P</w:t>
      </w:r>
      <w:r w:rsidRPr="00B30C0B">
        <w:rPr>
          <w:sz w:val="22"/>
          <w:szCs w:val="22"/>
        </w:rPr>
        <w:t xml:space="preserve">acienti </w:t>
      </w:r>
      <w:r w:rsidR="000C4A92" w:rsidRPr="00B30C0B">
        <w:rPr>
          <w:sz w:val="22"/>
          <w:szCs w:val="22"/>
        </w:rPr>
        <w:t xml:space="preserve">majú byť preto </w:t>
      </w:r>
      <w:r w:rsidRPr="00B30C0B">
        <w:rPr>
          <w:sz w:val="22"/>
          <w:szCs w:val="22"/>
        </w:rPr>
        <w:t>upozornení na nutnú opatrnosť, pokým sa neobo</w:t>
      </w:r>
      <w:r w:rsidR="000C4A92" w:rsidRPr="00B30C0B">
        <w:rPr>
          <w:sz w:val="22"/>
          <w:szCs w:val="22"/>
        </w:rPr>
        <w:t xml:space="preserve">známia s možnými účinkami </w:t>
      </w:r>
      <w:r w:rsidR="000E2439" w:rsidRPr="00B30C0B">
        <w:rPr>
          <w:sz w:val="22"/>
          <w:szCs w:val="22"/>
        </w:rPr>
        <w:t>liečby</w:t>
      </w:r>
      <w:r w:rsidRPr="00B30C0B">
        <w:rPr>
          <w:sz w:val="22"/>
          <w:szCs w:val="22"/>
        </w:rPr>
        <w:t>.</w:t>
      </w:r>
    </w:p>
    <w:p w14:paraId="55E28A86" w14:textId="77777777" w:rsidR="000E2439" w:rsidRPr="00B30C0B" w:rsidRDefault="000E2439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EE920DA" w14:textId="77777777" w:rsidR="000E2439" w:rsidRPr="00B30C0B" w:rsidRDefault="000E2439" w:rsidP="00B30C0B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B30C0B">
        <w:rPr>
          <w:sz w:val="22"/>
          <w:szCs w:val="22"/>
          <w:u w:val="single"/>
          <w:lang w:eastAsia="en-GB"/>
        </w:rPr>
        <w:t>Súbežné užívanie s opioidmi</w:t>
      </w:r>
    </w:p>
    <w:p w14:paraId="009E33CD" w14:textId="77777777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</w:p>
    <w:p w14:paraId="5035E277" w14:textId="01DD3D45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>Pacienti, u ktorých je potrebná súbežná liečba</w:t>
      </w:r>
      <w:r w:rsidR="00346112" w:rsidRPr="00B30C0B">
        <w:rPr>
          <w:sz w:val="22"/>
          <w:szCs w:val="22"/>
          <w:lang w:eastAsia="en-GB"/>
        </w:rPr>
        <w:t xml:space="preserve"> s</w:t>
      </w:r>
      <w:r w:rsidRPr="00B30C0B">
        <w:rPr>
          <w:sz w:val="22"/>
          <w:szCs w:val="22"/>
          <w:lang w:eastAsia="en-GB"/>
        </w:rPr>
        <w:t xml:space="preserve"> opioidmi, majú byť pozorne sledovaní kvôli prejavom útlmu centrálneho nervového systému (CNS), akými sú somnolencia, sedácia a útlm dýchania. U pacientov, ktorí súbežne užívajú gabapentín a morfín, môže dôjsť k zvýšeniu koncentráci</w:t>
      </w:r>
      <w:r w:rsidR="00346112" w:rsidRPr="00B30C0B">
        <w:rPr>
          <w:sz w:val="22"/>
          <w:szCs w:val="22"/>
          <w:lang w:eastAsia="en-GB"/>
        </w:rPr>
        <w:t>e</w:t>
      </w:r>
      <w:r w:rsidRPr="00B30C0B">
        <w:rPr>
          <w:sz w:val="22"/>
          <w:szCs w:val="22"/>
          <w:lang w:eastAsia="en-GB"/>
        </w:rPr>
        <w:t xml:space="preserve"> gabapentínu. Dávka gabapentínu alebo opioidov sa má náležite znížiť (pozri časť 4.5).</w:t>
      </w:r>
    </w:p>
    <w:p w14:paraId="3E3DC267" w14:textId="77777777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</w:p>
    <w:p w14:paraId="6257C02F" w14:textId="77777777" w:rsidR="000E2439" w:rsidRPr="00B30C0B" w:rsidRDefault="000E2439" w:rsidP="00B30C0B">
      <w:pPr>
        <w:shd w:val="clear" w:color="auto" w:fill="FFFFFF"/>
        <w:rPr>
          <w:sz w:val="22"/>
          <w:szCs w:val="22"/>
          <w:u w:val="single"/>
          <w:lang w:eastAsia="en-GB"/>
        </w:rPr>
      </w:pPr>
      <w:r w:rsidRPr="00B30C0B">
        <w:rPr>
          <w:sz w:val="22"/>
          <w:szCs w:val="22"/>
          <w:u w:val="single"/>
          <w:lang w:eastAsia="en-GB"/>
        </w:rPr>
        <w:t>Respiračná depresia</w:t>
      </w:r>
    </w:p>
    <w:p w14:paraId="5B74B1F3" w14:textId="77777777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</w:p>
    <w:p w14:paraId="26DBA02E" w14:textId="3846748B" w:rsidR="000E2439" w:rsidRPr="00B30C0B" w:rsidRDefault="000E2439" w:rsidP="00B30C0B">
      <w:pPr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 xml:space="preserve">Gabapentín sa spája so závažnou respiračnou depresiou. Pacientom s narušenou respiračnou funkciou, respiračným alebo neurologickým ochorením, poruchou funkcie obličiek, </w:t>
      </w:r>
      <w:r w:rsidR="002F164E" w:rsidRPr="00B30C0B">
        <w:rPr>
          <w:sz w:val="22"/>
          <w:szCs w:val="22"/>
          <w:lang w:eastAsia="en-GB"/>
        </w:rPr>
        <w:t xml:space="preserve">pacientom </w:t>
      </w:r>
      <w:r w:rsidRPr="00B30C0B">
        <w:rPr>
          <w:sz w:val="22"/>
          <w:szCs w:val="22"/>
          <w:lang w:eastAsia="en-GB"/>
        </w:rPr>
        <w:t>súbežn</w:t>
      </w:r>
      <w:r w:rsidR="002F164E" w:rsidRPr="00B30C0B">
        <w:rPr>
          <w:sz w:val="22"/>
          <w:szCs w:val="22"/>
          <w:lang w:eastAsia="en-GB"/>
        </w:rPr>
        <w:t>e</w:t>
      </w:r>
      <w:r w:rsidRPr="00B30C0B">
        <w:rPr>
          <w:sz w:val="22"/>
          <w:szCs w:val="22"/>
          <w:lang w:eastAsia="en-GB"/>
        </w:rPr>
        <w:t xml:space="preserve"> používa</w:t>
      </w:r>
      <w:r w:rsidR="002F164E" w:rsidRPr="00B30C0B">
        <w:rPr>
          <w:sz w:val="22"/>
          <w:szCs w:val="22"/>
          <w:lang w:eastAsia="en-GB"/>
        </w:rPr>
        <w:t>júcim</w:t>
      </w:r>
      <w:r w:rsidRPr="00B30C0B">
        <w:rPr>
          <w:sz w:val="22"/>
          <w:szCs w:val="22"/>
          <w:lang w:eastAsia="en-GB"/>
        </w:rPr>
        <w:t xml:space="preserve"> lát</w:t>
      </w:r>
      <w:r w:rsidR="002F164E" w:rsidRPr="00B30C0B">
        <w:rPr>
          <w:sz w:val="22"/>
          <w:szCs w:val="22"/>
          <w:lang w:eastAsia="en-GB"/>
        </w:rPr>
        <w:t>ky</w:t>
      </w:r>
      <w:r w:rsidRPr="00B30C0B">
        <w:rPr>
          <w:sz w:val="22"/>
          <w:szCs w:val="22"/>
          <w:lang w:eastAsia="en-GB"/>
        </w:rPr>
        <w:t xml:space="preserve"> tlmiac</w:t>
      </w:r>
      <w:r w:rsidR="002F164E" w:rsidRPr="00B30C0B">
        <w:rPr>
          <w:sz w:val="22"/>
          <w:szCs w:val="22"/>
          <w:lang w:eastAsia="en-GB"/>
        </w:rPr>
        <w:t>a</w:t>
      </w:r>
      <w:r w:rsidRPr="00B30C0B">
        <w:rPr>
          <w:sz w:val="22"/>
          <w:szCs w:val="22"/>
          <w:lang w:eastAsia="en-GB"/>
        </w:rPr>
        <w:t xml:space="preserve"> CNS a starším ľuďom môže hroziť zvýšené riziko výskytu tohto závažného nežiaduceho účinku. U týchto pacientov možno bude potrebné upraviť dávky.</w:t>
      </w:r>
    </w:p>
    <w:p w14:paraId="7C9390F6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42D1B96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 xml:space="preserve">Starší </w:t>
      </w:r>
      <w:r w:rsidR="00F37928" w:rsidRPr="00B30C0B">
        <w:rPr>
          <w:sz w:val="22"/>
          <w:szCs w:val="22"/>
          <w:u w:val="single"/>
        </w:rPr>
        <w:t>(</w:t>
      </w:r>
      <w:r w:rsidR="00301542" w:rsidRPr="00B30C0B">
        <w:rPr>
          <w:sz w:val="22"/>
          <w:szCs w:val="22"/>
          <w:u w:val="single"/>
        </w:rPr>
        <w:t xml:space="preserve">vo veku </w:t>
      </w:r>
      <w:r w:rsidR="00F37928" w:rsidRPr="00B30C0B">
        <w:rPr>
          <w:sz w:val="22"/>
          <w:szCs w:val="22"/>
          <w:u w:val="single"/>
        </w:rPr>
        <w:t>nad 65 rokov)</w:t>
      </w:r>
    </w:p>
    <w:p w14:paraId="11882AD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pacientov vo veku od 65 rokov neboli vykonané žiadne systematické štúdie s gabapentínom.</w:t>
      </w:r>
    </w:p>
    <w:p w14:paraId="2FDFB89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jednej dvojito-zaslepenej štúdii u pacientov s neuropatickou bolesťou sa somnolencia, periférny</w:t>
      </w:r>
    </w:p>
    <w:p w14:paraId="34BA68A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edém a asténia vyskytli v o niečo vyššom percente u pacientov vo veku od 65 rokov než u mladších</w:t>
      </w:r>
    </w:p>
    <w:p w14:paraId="6E4EA889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pacientov. Napriek týmto zisteniam klinické vyšetrenia v tejto vekovej skupine nepreukázali odlišný</w:t>
      </w:r>
    </w:p>
    <w:p w14:paraId="5AA47AF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profil nežiaducich účinkov od toho, ktorý sa pozoroval u mladších pacientov.</w:t>
      </w:r>
    </w:p>
    <w:p w14:paraId="2A1A7ADD" w14:textId="77777777" w:rsidR="00454EA0" w:rsidRPr="00B30C0B" w:rsidRDefault="00454EA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Pediatrická populácia</w:t>
      </w:r>
    </w:p>
    <w:p w14:paraId="54E844BA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Účinok dlhodobej (dlhšej ako 36 mesiacov) liečby gabapentínom na schopnosť učiť sa, inteligenciu</w:t>
      </w:r>
    </w:p>
    <w:p w14:paraId="6DA1889B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 vývoj detí a adolescentov nebol dostatočne študovaný. Preto sa musí zvážiť prínos dlhodobej liečby</w:t>
      </w:r>
    </w:p>
    <w:p w14:paraId="690297DE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voči potenciálnemu riziku takejto terapie.</w:t>
      </w:r>
    </w:p>
    <w:p w14:paraId="23891FB4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E920020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Zneužívanie a závislosť</w:t>
      </w:r>
    </w:p>
    <w:p w14:paraId="221BAD42" w14:textId="77777777" w:rsidR="009A2656" w:rsidRPr="00B30C0B" w:rsidRDefault="009A265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Do databázy po uvedení lieku na trh boli hlásené prípady zneužívania a závislosti. Starostlivo zhodnoťte anamnézu zneužívania liekov u pacientov a pozorujte možné znaky zneužívania gabapentínu, napr. vyhľadávanie lieku, zvyšovanie dávky, rozvoj tolerancie.</w:t>
      </w:r>
    </w:p>
    <w:p w14:paraId="1AD28A74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4912627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Laboratórne testy</w:t>
      </w:r>
    </w:p>
    <w:p w14:paraId="5F71956F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Pri semikvantitatívnom stanovení celkového obsahu bielkovín v moči indikátorovým papierikom sa</w:t>
      </w:r>
    </w:p>
    <w:p w14:paraId="237EB96A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môžu získať falošne pozitívne nálezy. Preto sa odporúča overiť pozitívny výsledok indikátorového</w:t>
      </w:r>
    </w:p>
    <w:p w14:paraId="4F9BD52C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testu metódami založenými na inom analytickom princípe, ako sú Biuretova metóda, turbidimetria</w:t>
      </w:r>
    </w:p>
    <w:p w14:paraId="284DE5A2" w14:textId="77777777" w:rsidR="002D4DBE" w:rsidRPr="00B30C0B" w:rsidRDefault="002D4DB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alebo vyfarbovacie metódy, alebo použiť tieto alternatívne metódy hneď na začiatku.</w:t>
      </w:r>
    </w:p>
    <w:p w14:paraId="4F6F39DD" w14:textId="77777777" w:rsidR="002D4DBE" w:rsidRPr="00B30C0B" w:rsidRDefault="002D4DBE" w:rsidP="00B30C0B">
      <w:pPr>
        <w:rPr>
          <w:sz w:val="22"/>
          <w:szCs w:val="22"/>
        </w:rPr>
      </w:pPr>
    </w:p>
    <w:p w14:paraId="3C7B79F1" w14:textId="00C2B290" w:rsidR="000E2439" w:rsidRPr="00B30C0B" w:rsidRDefault="000E2439" w:rsidP="00B30C0B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highlight w:val="lightGray"/>
          <w:lang w:val="sk-SK"/>
        </w:rPr>
      </w:pPr>
      <w:r w:rsidRPr="00B30C0B">
        <w:rPr>
          <w:sz w:val="22"/>
          <w:szCs w:val="22"/>
          <w:highlight w:val="lightGray"/>
          <w:u w:val="single"/>
          <w:lang w:val="sk-SK"/>
        </w:rPr>
        <w:t xml:space="preserve">Gabapentin – Teva </w:t>
      </w:r>
      <w:r w:rsidR="002D4DBE" w:rsidRPr="00B30C0B">
        <w:rPr>
          <w:sz w:val="22"/>
          <w:szCs w:val="22"/>
          <w:highlight w:val="lightGray"/>
          <w:u w:val="single"/>
          <w:lang w:val="sk-SK"/>
        </w:rPr>
        <w:t>300 mg</w:t>
      </w:r>
      <w:r w:rsidR="002F164E" w:rsidRPr="00B30C0B">
        <w:rPr>
          <w:sz w:val="22"/>
          <w:szCs w:val="22"/>
          <w:highlight w:val="lightGray"/>
          <w:u w:val="single"/>
          <w:lang w:val="sk-SK"/>
        </w:rPr>
        <w:t>, tvrdé kapsuly</w:t>
      </w:r>
    </w:p>
    <w:p w14:paraId="790BAE18" w14:textId="675ECE61" w:rsidR="002D4DBE" w:rsidRPr="00B30C0B" w:rsidRDefault="002D4DBE" w:rsidP="00B30C0B">
      <w:pPr>
        <w:pStyle w:val="TxBrp14"/>
        <w:tabs>
          <w:tab w:val="left" w:pos="204"/>
        </w:tabs>
        <w:spacing w:line="240" w:lineRule="auto"/>
        <w:jc w:val="left"/>
        <w:rPr>
          <w:sz w:val="22"/>
          <w:szCs w:val="22"/>
          <w:lang w:val="sk-SK"/>
        </w:rPr>
      </w:pPr>
      <w:r w:rsidRPr="00B30C0B">
        <w:rPr>
          <w:sz w:val="22"/>
          <w:szCs w:val="22"/>
          <w:highlight w:val="lightGray"/>
          <w:lang w:val="sk-SK"/>
        </w:rPr>
        <w:t>Obsahuj</w:t>
      </w:r>
      <w:r w:rsidR="000E2439" w:rsidRPr="00B30C0B">
        <w:rPr>
          <w:sz w:val="22"/>
          <w:szCs w:val="22"/>
          <w:highlight w:val="lightGray"/>
          <w:lang w:val="sk-SK"/>
        </w:rPr>
        <w:t xml:space="preserve">e </w:t>
      </w:r>
      <w:r w:rsidR="00301542" w:rsidRPr="00B30C0B">
        <w:rPr>
          <w:sz w:val="22"/>
          <w:szCs w:val="22"/>
          <w:highlight w:val="lightGray"/>
          <w:lang w:val="sk-SK"/>
        </w:rPr>
        <w:t xml:space="preserve">oranžovú </w:t>
      </w:r>
      <w:r w:rsidRPr="00B30C0B">
        <w:rPr>
          <w:sz w:val="22"/>
          <w:szCs w:val="22"/>
          <w:highlight w:val="lightGray"/>
          <w:lang w:val="sk-SK"/>
        </w:rPr>
        <w:t>žlť (E110) ktorá môže spôsobiť alergické reakcie.</w:t>
      </w:r>
      <w:r w:rsidRPr="00B30C0B">
        <w:rPr>
          <w:sz w:val="22"/>
          <w:szCs w:val="22"/>
          <w:lang w:val="sk-SK"/>
        </w:rPr>
        <w:t xml:space="preserve"> </w:t>
      </w:r>
    </w:p>
    <w:p w14:paraId="5022D49D" w14:textId="5391B8BA" w:rsidR="00566C63" w:rsidRPr="00B30C0B" w:rsidRDefault="00566C63" w:rsidP="00B30C0B">
      <w:pPr>
        <w:rPr>
          <w:sz w:val="22"/>
          <w:szCs w:val="22"/>
        </w:rPr>
      </w:pPr>
    </w:p>
    <w:p w14:paraId="63437BA7" w14:textId="77777777" w:rsidR="007D1F46" w:rsidRPr="00B30C0B" w:rsidRDefault="007D1F46" w:rsidP="00C155BF">
      <w:pPr>
        <w:keepNext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lastRenderedPageBreak/>
        <w:t xml:space="preserve">4.5 </w:t>
      </w:r>
      <w:r w:rsidR="00005703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Liekové a iné interakcie</w:t>
      </w:r>
    </w:p>
    <w:p w14:paraId="2EEB8FBC" w14:textId="77777777" w:rsidR="003B61AF" w:rsidRPr="00B30C0B" w:rsidRDefault="003B61AF" w:rsidP="00C155BF">
      <w:pPr>
        <w:keepNext/>
        <w:rPr>
          <w:b/>
          <w:bCs/>
          <w:sz w:val="22"/>
          <w:szCs w:val="22"/>
        </w:rPr>
      </w:pPr>
    </w:p>
    <w:p w14:paraId="2DE1DDF9" w14:textId="36B7FD7C" w:rsidR="008C647D" w:rsidRPr="00B30C0B" w:rsidRDefault="000E15D6" w:rsidP="008F0D43">
      <w:pPr>
        <w:keepNext/>
        <w:keepLines/>
        <w:shd w:val="clear" w:color="auto" w:fill="FFFFFF"/>
        <w:rPr>
          <w:bCs/>
          <w:sz w:val="22"/>
          <w:szCs w:val="22"/>
          <w:lang w:eastAsia="en-GB"/>
        </w:rPr>
      </w:pPr>
      <w:r w:rsidRPr="00B30C0B">
        <w:rPr>
          <w:bCs/>
          <w:sz w:val="22"/>
          <w:szCs w:val="22"/>
          <w:lang w:eastAsia="en-GB"/>
        </w:rPr>
        <w:t xml:space="preserve">Existujú spontánne hlásenia a hlásenia v literatúre týkajúce sa prípadov </w:t>
      </w:r>
      <w:r w:rsidR="008C647D" w:rsidRPr="00B30C0B">
        <w:rPr>
          <w:bCs/>
          <w:sz w:val="22"/>
          <w:szCs w:val="22"/>
          <w:lang w:eastAsia="en-GB"/>
        </w:rPr>
        <w:t xml:space="preserve">útlmu dýchania a/alebo sedácie súvisiacich s užívaním gabapentínu a opioidov. V niektorých hlásených prípadoch </w:t>
      </w:r>
      <w:r w:rsidRPr="00B30C0B">
        <w:rPr>
          <w:bCs/>
          <w:sz w:val="22"/>
          <w:szCs w:val="22"/>
          <w:lang w:eastAsia="en-GB"/>
        </w:rPr>
        <w:t xml:space="preserve">to </w:t>
      </w:r>
      <w:r w:rsidR="008C647D" w:rsidRPr="00B30C0B">
        <w:rPr>
          <w:bCs/>
          <w:sz w:val="22"/>
          <w:szCs w:val="22"/>
          <w:lang w:eastAsia="en-GB"/>
        </w:rPr>
        <w:t xml:space="preserve">autori </w:t>
      </w:r>
      <w:r w:rsidRPr="00B30C0B">
        <w:rPr>
          <w:bCs/>
          <w:sz w:val="22"/>
          <w:szCs w:val="22"/>
          <w:lang w:eastAsia="en-GB"/>
        </w:rPr>
        <w:t xml:space="preserve">považujú za osobitnú obavu </w:t>
      </w:r>
      <w:r w:rsidR="008C647D" w:rsidRPr="00B30C0B">
        <w:rPr>
          <w:bCs/>
          <w:sz w:val="22"/>
          <w:szCs w:val="22"/>
          <w:lang w:eastAsia="en-GB"/>
        </w:rPr>
        <w:t>pri kombinácii gabapentín</w:t>
      </w:r>
      <w:r w:rsidRPr="00B30C0B">
        <w:rPr>
          <w:bCs/>
          <w:sz w:val="22"/>
          <w:szCs w:val="22"/>
          <w:lang w:eastAsia="en-GB"/>
        </w:rPr>
        <w:t>u</w:t>
      </w:r>
      <w:r w:rsidR="008C647D" w:rsidRPr="00B30C0B">
        <w:rPr>
          <w:bCs/>
          <w:sz w:val="22"/>
          <w:szCs w:val="22"/>
          <w:lang w:eastAsia="en-GB"/>
        </w:rPr>
        <w:t xml:space="preserve"> a opioid</w:t>
      </w:r>
      <w:r w:rsidRPr="00B30C0B">
        <w:rPr>
          <w:bCs/>
          <w:sz w:val="22"/>
          <w:szCs w:val="22"/>
          <w:lang w:eastAsia="en-GB"/>
        </w:rPr>
        <w:t>ov</w:t>
      </w:r>
      <w:r w:rsidR="008C647D" w:rsidRPr="00B30C0B">
        <w:rPr>
          <w:bCs/>
          <w:sz w:val="22"/>
          <w:szCs w:val="22"/>
          <w:lang w:eastAsia="en-GB"/>
        </w:rPr>
        <w:t>, najmä u starších pacientov.</w:t>
      </w:r>
    </w:p>
    <w:p w14:paraId="4D0D7338" w14:textId="77777777" w:rsidR="008C647D" w:rsidRPr="00B30C0B" w:rsidRDefault="008C647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DF5DF83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Keď sa v štúdii so zdravými dobrovoľníkmi (N = 12) podávala kapsula s riadeným uvoľňovaním</w:t>
      </w:r>
    </w:p>
    <w:p w14:paraId="7C8C719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 dávkou 60 mg morfínu 2 hodiny pred podaním kapsuly s dávkou 600 mg gabapentínu, zvýšila sa</w:t>
      </w:r>
    </w:p>
    <w:p w14:paraId="32EF89C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priemerná hodnota AUC gabapentínu o 44 % v porovnaní s hodnotami gabapentínu podaného bez</w:t>
      </w:r>
    </w:p>
    <w:p w14:paraId="180A1C6A" w14:textId="77777777" w:rsidR="002C5596" w:rsidRPr="00B30C0B" w:rsidRDefault="00EA4784" w:rsidP="00B30C0B">
      <w:pPr>
        <w:autoSpaceDE w:val="0"/>
        <w:autoSpaceDN w:val="0"/>
        <w:adjustRightInd w:val="0"/>
        <w:rPr>
          <w:sz w:val="22"/>
          <w:szCs w:val="22"/>
          <w:lang w:eastAsia="en-GB"/>
        </w:rPr>
      </w:pPr>
      <w:r w:rsidRPr="00B30C0B">
        <w:rPr>
          <w:sz w:val="22"/>
          <w:szCs w:val="22"/>
        </w:rPr>
        <w:t xml:space="preserve">morfínu. </w:t>
      </w:r>
      <w:r w:rsidR="002C5596" w:rsidRPr="00B30C0B">
        <w:rPr>
          <w:sz w:val="22"/>
          <w:szCs w:val="22"/>
          <w:lang w:eastAsia="en-GB"/>
        </w:rPr>
        <w:t>Pacientov, u ktorých je potrebná súbežná liečba opioidmi, je preto potrebné starostlivo sledovať kvôli prejavom útlmu CNS, akými sú somnolencia, sedácia a útlm dýchania, a dávka gabapentínu alebo opioidu sa má náležite znížiť.</w:t>
      </w:r>
    </w:p>
    <w:p w14:paraId="2B7C564C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C07680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Nepozorovali sa žiadne interakcie gabapentínu s fenobarbitalom, fenytoínom, kyselinou valproovou</w:t>
      </w:r>
    </w:p>
    <w:p w14:paraId="232F3DF2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alebo karbamazepínom.</w:t>
      </w:r>
    </w:p>
    <w:p w14:paraId="66683F7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858585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Farmakokinetické parametre gabapentínu v rovnovážnom stave sú u zdravých jedincov podobné ako</w:t>
      </w:r>
    </w:p>
    <w:p w14:paraId="00417805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pacientov epileptikov užívajúcich tieto antiepileptiká.</w:t>
      </w:r>
    </w:p>
    <w:p w14:paraId="6AA601B3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D9C1E7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Sú</w:t>
      </w:r>
      <w:r w:rsidR="00B97C7F" w:rsidRPr="00B30C0B">
        <w:rPr>
          <w:sz w:val="22"/>
          <w:szCs w:val="22"/>
        </w:rPr>
        <w:t>bežn</w:t>
      </w:r>
      <w:r w:rsidRPr="00B30C0B">
        <w:rPr>
          <w:sz w:val="22"/>
          <w:szCs w:val="22"/>
        </w:rPr>
        <w:t>é podávanie gabapentínu s perorálnymi kontraceptívami obsahujúcimi noretisterón a/alebo</w:t>
      </w:r>
    </w:p>
    <w:p w14:paraId="6949E62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etinylestradiol neovplyvňuje v rovnovážnom stave farmakokinetické parametre žiadneho z nich.</w:t>
      </w:r>
    </w:p>
    <w:p w14:paraId="530ED95B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BB54F92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Sú</w:t>
      </w:r>
      <w:r w:rsidR="00B97C7F" w:rsidRPr="00B30C0B">
        <w:rPr>
          <w:sz w:val="22"/>
          <w:szCs w:val="22"/>
        </w:rPr>
        <w:t>bežn</w:t>
      </w:r>
      <w:r w:rsidRPr="00B30C0B">
        <w:rPr>
          <w:sz w:val="22"/>
          <w:szCs w:val="22"/>
        </w:rPr>
        <w:t>é podávanie gabapentínu s antacidami obsahujúcimi alumínium a magnézium znižuje</w:t>
      </w:r>
    </w:p>
    <w:p w14:paraId="75BA9A3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biologickú dostupnosť gabapentínu až o 24 %. Gabapentín sa odporúča užiť najskôr dve hodiny po</w:t>
      </w:r>
    </w:p>
    <w:p w14:paraId="12BBD5E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podaní antacíd.</w:t>
      </w:r>
    </w:p>
    <w:p w14:paraId="4B0AAEC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3DEEAC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Probenecid neovplyvňuje renálnu exkréciu gabapentínu.</w:t>
      </w:r>
    </w:p>
    <w:p w14:paraId="49E24EEE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Nepredpokladá sa, že mierny pokles renálnej exkrécie gabapentínu, ktorý sa pozoroval pri sú</w:t>
      </w:r>
      <w:r w:rsidR="00B97C7F" w:rsidRPr="00B30C0B">
        <w:rPr>
          <w:sz w:val="22"/>
          <w:szCs w:val="22"/>
        </w:rPr>
        <w:t>bež</w:t>
      </w:r>
      <w:r w:rsidRPr="00B30C0B">
        <w:rPr>
          <w:sz w:val="22"/>
          <w:szCs w:val="22"/>
        </w:rPr>
        <w:t>nom</w:t>
      </w:r>
    </w:p>
    <w:p w14:paraId="09FACA92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podávaní s cimetidínom, má klinický význam.</w:t>
      </w:r>
    </w:p>
    <w:p w14:paraId="7D26ABC1" w14:textId="77777777" w:rsidR="00B30C0B" w:rsidRPr="00B30C0B" w:rsidRDefault="00B30C0B" w:rsidP="00B30C0B">
      <w:pPr>
        <w:rPr>
          <w:bCs/>
          <w:sz w:val="22"/>
          <w:szCs w:val="22"/>
        </w:rPr>
      </w:pPr>
    </w:p>
    <w:p w14:paraId="577CDC99" w14:textId="18688799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4.6 </w:t>
      </w:r>
      <w:r w:rsidR="00534ABA" w:rsidRPr="00B30C0B">
        <w:rPr>
          <w:b/>
          <w:bCs/>
          <w:sz w:val="22"/>
          <w:szCs w:val="22"/>
        </w:rPr>
        <w:tab/>
      </w:r>
      <w:r w:rsidR="000D0D27" w:rsidRPr="00B30C0B">
        <w:rPr>
          <w:b/>
          <w:bCs/>
          <w:sz w:val="22"/>
          <w:szCs w:val="22"/>
        </w:rPr>
        <w:t>Fertilita, g</w:t>
      </w:r>
      <w:r w:rsidR="003B61AF" w:rsidRPr="00B30C0B">
        <w:rPr>
          <w:b/>
          <w:bCs/>
          <w:sz w:val="22"/>
          <w:szCs w:val="22"/>
        </w:rPr>
        <w:t xml:space="preserve">ravidita a laktácia </w:t>
      </w:r>
    </w:p>
    <w:p w14:paraId="6C27B6F1" w14:textId="77777777" w:rsidR="005547F4" w:rsidRPr="00B30C0B" w:rsidRDefault="005547F4" w:rsidP="00B30C0B">
      <w:pPr>
        <w:rPr>
          <w:sz w:val="22"/>
          <w:szCs w:val="22"/>
        </w:rPr>
      </w:pPr>
    </w:p>
    <w:p w14:paraId="4AA221D4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Gravidita</w:t>
      </w:r>
    </w:p>
    <w:p w14:paraId="56F0C5A7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48F8999B" w14:textId="77777777" w:rsidR="00EA4784" w:rsidRPr="00B30C0B" w:rsidRDefault="00EA478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Riziko spojené s epilepsiou a antiepileptikami vo všeobecnosti</w:t>
      </w:r>
    </w:p>
    <w:p w14:paraId="0429B61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F3C321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Potomkovia matiek liečených antiepileptikami majú 2 – 3-násobne zvýšené riziko vzniku vrodených</w:t>
      </w:r>
    </w:p>
    <w:p w14:paraId="535AF8C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chýb. Najčastejšie sú hlásené rozštepy pery, kardiovaskulárne malformácie a defekty neurálnej trubice.</w:t>
      </w:r>
    </w:p>
    <w:p w14:paraId="64076C6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Kombinovaná liečba antiepileptikami môže byť v porovnaní s monoterapiou spojená s vyšším rizikom</w:t>
      </w:r>
    </w:p>
    <w:p w14:paraId="0BD73B9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vzniku kongenitálnych malformácií, preto je dôležité, aby sa všade tam, kde to je možné,</w:t>
      </w:r>
    </w:p>
    <w:p w14:paraId="5B14ABF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uprednostnila monoterapia. Ženy, u ktorých existuje pravdepodobnosť otehotnenia, alebo ktoré sú</w:t>
      </w:r>
    </w:p>
    <w:p w14:paraId="431747A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reprodukčnom veku, majú byť poučené odborníkom a potreba liečby antiepileptikami sa musí</w:t>
      </w:r>
    </w:p>
    <w:p w14:paraId="6F25A33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prehodnotiť, keď žena plánuje otehotnieť. Liečba antiepileptikami sa nesmie ukončiť náhle, pretože to</w:t>
      </w:r>
    </w:p>
    <w:p w14:paraId="11F3805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môže viesť k náhlemu vzniku záchvatov, ktoré môžu mať závažné následky pre matku i dieťa.</w:t>
      </w:r>
    </w:p>
    <w:p w14:paraId="458FAA7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Zriedkavo sa u detí matiek s epilepsiou pozorovalo spomalenie vývoja. Nedá sa rozlíšiť, či je toto</w:t>
      </w:r>
    </w:p>
    <w:p w14:paraId="338BE37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spomalenie spôsobené genetickými alebo sociálnymi faktormi, epilepsiou matky alebo liečbou</w:t>
      </w:r>
    </w:p>
    <w:p w14:paraId="18A2EBB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antiepileptikami.</w:t>
      </w:r>
    </w:p>
    <w:p w14:paraId="3D3A3D0D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E44E693" w14:textId="77777777" w:rsidR="00EA4784" w:rsidRPr="00B30C0B" w:rsidRDefault="00EA478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Riziko spojené s gabapentínom</w:t>
      </w:r>
    </w:p>
    <w:p w14:paraId="344E80DA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2B1F0F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Nie sú k dispozícii dostatočné údaje o použití gabapentínu u gravidných žien.</w:t>
      </w:r>
    </w:p>
    <w:p w14:paraId="3F759E9A" w14:textId="77777777" w:rsidR="00811661" w:rsidRPr="00B30C0B" w:rsidRDefault="0081166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E524B3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Štúdie na zvieratách preukázali reprodukčnú toxicitu (pozri časť 5.3). Nie je známe potenciálne riziko</w:t>
      </w:r>
    </w:p>
    <w:p w14:paraId="561D666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ľudí. Gabapentín sa má užívať počas gravidity iba v nevyhnutných prípadoch, keď potenciálny</w:t>
      </w:r>
    </w:p>
    <w:p w14:paraId="40EF932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prínos liečby pre matku prevyšuje potenciálne riziko pre plod.</w:t>
      </w:r>
    </w:p>
    <w:p w14:paraId="41ED2F69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340ACB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Vzhľadom na samotnú epilepsiu a prítomnosť konkomitantných antiepileptík počas každej hlásenej</w:t>
      </w:r>
    </w:p>
    <w:p w14:paraId="232F56C1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lastRenderedPageBreak/>
        <w:t>gravidity, nie je možné urobiť jednoznačný záver, či je užívanie gabapentínu počas gravidity spojené</w:t>
      </w:r>
    </w:p>
    <w:p w14:paraId="6A1FF54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so zvýšeným rizikom vzniku kongenitálnych malformácií.</w:t>
      </w:r>
    </w:p>
    <w:p w14:paraId="671112A9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505B8E3" w14:textId="77777777" w:rsidR="00155CD1" w:rsidRPr="00B30C0B" w:rsidRDefault="00196C70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Dojčenie</w:t>
      </w:r>
    </w:p>
    <w:p w14:paraId="179287A0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Gabapentín sa vylučuje </w:t>
      </w:r>
      <w:r w:rsidR="00B3633C" w:rsidRPr="00B30C0B">
        <w:rPr>
          <w:sz w:val="22"/>
          <w:szCs w:val="22"/>
        </w:rPr>
        <w:t xml:space="preserve">do </w:t>
      </w:r>
      <w:r w:rsidRPr="00B30C0B">
        <w:rPr>
          <w:sz w:val="22"/>
          <w:szCs w:val="22"/>
        </w:rPr>
        <w:t>matersk</w:t>
      </w:r>
      <w:r w:rsidR="00B3633C" w:rsidRPr="00B30C0B">
        <w:rPr>
          <w:sz w:val="22"/>
          <w:szCs w:val="22"/>
        </w:rPr>
        <w:t>ého</w:t>
      </w:r>
      <w:r w:rsidRPr="00B30C0B">
        <w:rPr>
          <w:sz w:val="22"/>
          <w:szCs w:val="22"/>
        </w:rPr>
        <w:t xml:space="preserve"> mliek</w:t>
      </w:r>
      <w:r w:rsidR="00B3633C" w:rsidRPr="00B30C0B">
        <w:rPr>
          <w:sz w:val="22"/>
          <w:szCs w:val="22"/>
        </w:rPr>
        <w:t>a</w:t>
      </w:r>
      <w:r w:rsidRPr="00B30C0B">
        <w:rPr>
          <w:sz w:val="22"/>
          <w:szCs w:val="22"/>
        </w:rPr>
        <w:t>.Vzhľadom na to, že účinok na dojčené dieťa nie je</w:t>
      </w:r>
    </w:p>
    <w:p w14:paraId="6B69D093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známy, pri podávaní gabapentínu dojčiacim matkám je potrebná opatrnosť. Gabapentín sa má</w:t>
      </w:r>
    </w:p>
    <w:p w14:paraId="5573943B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dojčiacim matkám podávať len v prípade, keď prínos liečby jasne prevažuje nad rizikom.</w:t>
      </w:r>
    </w:p>
    <w:p w14:paraId="4E0A8CF3" w14:textId="77777777" w:rsidR="00EA4784" w:rsidRPr="00B30C0B" w:rsidRDefault="00EA4784" w:rsidP="00B30C0B">
      <w:pPr>
        <w:rPr>
          <w:sz w:val="22"/>
          <w:szCs w:val="22"/>
        </w:rPr>
      </w:pPr>
    </w:p>
    <w:p w14:paraId="6DDB8BE1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Fertilita</w:t>
      </w:r>
    </w:p>
    <w:p w14:paraId="1A922C61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4BD3F9B" w14:textId="77777777" w:rsidR="00637E72" w:rsidRPr="00B30C0B" w:rsidRDefault="00637E72" w:rsidP="00B30C0B">
      <w:pPr>
        <w:keepNext/>
        <w:keepLines/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>V štúdiách na zvieratách sa nezistil žiadny vplyv na fertilitu (pozri časť 5.3).</w:t>
      </w:r>
    </w:p>
    <w:p w14:paraId="361C3DA6" w14:textId="77777777" w:rsidR="00EA4784" w:rsidRPr="00B30C0B" w:rsidRDefault="00EA4784" w:rsidP="00B30C0B">
      <w:pPr>
        <w:rPr>
          <w:sz w:val="22"/>
          <w:szCs w:val="22"/>
        </w:rPr>
      </w:pPr>
    </w:p>
    <w:p w14:paraId="05CE273D" w14:textId="77777777" w:rsidR="003B61AF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4.7 </w:t>
      </w:r>
      <w:r w:rsidR="00B73FD4" w:rsidRPr="00B30C0B">
        <w:rPr>
          <w:b/>
          <w:bCs/>
          <w:sz w:val="22"/>
          <w:szCs w:val="22"/>
        </w:rPr>
        <w:tab/>
      </w:r>
      <w:r w:rsidR="003B61AF" w:rsidRPr="00B30C0B">
        <w:rPr>
          <w:b/>
          <w:bCs/>
          <w:sz w:val="22"/>
          <w:szCs w:val="22"/>
        </w:rPr>
        <w:t>Ovplyvnenie schopnosti viesť vozidlá a obsluhovať stroje</w:t>
      </w:r>
    </w:p>
    <w:p w14:paraId="50C40449" w14:textId="77777777" w:rsidR="007D1F46" w:rsidRPr="00B30C0B" w:rsidRDefault="007D1F46" w:rsidP="00B30C0B">
      <w:pPr>
        <w:rPr>
          <w:b/>
          <w:bCs/>
          <w:sz w:val="22"/>
          <w:szCs w:val="22"/>
        </w:rPr>
      </w:pPr>
    </w:p>
    <w:p w14:paraId="0AE5360C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môže mať malý alebo mierny vplyv na schopnosť viesť vozidlá a obsluhovať stroje.</w:t>
      </w:r>
    </w:p>
    <w:p w14:paraId="16570F74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pôsobí na centrálny nervový systém a môže spôsobiť únavu, závraty alebo iné súvisiace</w:t>
      </w:r>
    </w:p>
    <w:p w14:paraId="24F8853F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príznaky. Aj keď môžu byť len mierneho stupňa, tieto nežiaduce účinky môžu predstavovať</w:t>
      </w:r>
    </w:p>
    <w:p w14:paraId="6D1C8CE3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potenciálne riziko u pacientov vedúcich vozidlá alebo obsluhujúcich stroje. Toto platí najmä na</w:t>
      </w:r>
    </w:p>
    <w:p w14:paraId="7B55D9D8" w14:textId="77777777" w:rsidR="00EA4784" w:rsidRPr="00B30C0B" w:rsidRDefault="00EA47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začiatku liečby alebo pri zvýšení dávky.</w:t>
      </w:r>
    </w:p>
    <w:p w14:paraId="27933D90" w14:textId="77777777" w:rsidR="005547F4" w:rsidRPr="00B30C0B" w:rsidRDefault="005547F4" w:rsidP="00B30C0B">
      <w:pPr>
        <w:rPr>
          <w:sz w:val="22"/>
          <w:szCs w:val="22"/>
        </w:rPr>
      </w:pPr>
    </w:p>
    <w:p w14:paraId="56AD8E29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4.8 </w:t>
      </w:r>
      <w:r w:rsidR="003F2AC6" w:rsidRPr="00B30C0B">
        <w:rPr>
          <w:b/>
          <w:bCs/>
          <w:sz w:val="22"/>
          <w:szCs w:val="22"/>
        </w:rPr>
        <w:tab/>
      </w:r>
      <w:r w:rsidR="0025541E" w:rsidRPr="00B30C0B">
        <w:rPr>
          <w:b/>
          <w:bCs/>
          <w:sz w:val="22"/>
          <w:szCs w:val="22"/>
        </w:rPr>
        <w:t xml:space="preserve">Nežiaduce </w:t>
      </w:r>
      <w:r w:rsidRPr="00B30C0B">
        <w:rPr>
          <w:b/>
          <w:bCs/>
          <w:sz w:val="22"/>
          <w:szCs w:val="22"/>
        </w:rPr>
        <w:t>účinky</w:t>
      </w:r>
    </w:p>
    <w:p w14:paraId="5B33945C" w14:textId="77777777" w:rsidR="003B61AF" w:rsidRPr="00B30C0B" w:rsidRDefault="003B61AF" w:rsidP="00B30C0B">
      <w:pPr>
        <w:rPr>
          <w:b/>
          <w:bCs/>
          <w:sz w:val="22"/>
          <w:szCs w:val="22"/>
        </w:rPr>
      </w:pPr>
    </w:p>
    <w:p w14:paraId="64CF629D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Nežiaduce účinky, ktoré sa pozorovali počas klinických štúdií zameraných na epilepsiu (prídavnú</w:t>
      </w:r>
    </w:p>
    <w:p w14:paraId="03070F09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terapiu a monoterapiu) a neuropatickú bolesť, sú zoradené nižšie v jednom zozname podľa triedy</w:t>
      </w:r>
    </w:p>
    <w:p w14:paraId="40D87242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 frekvencie (veľmi časté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1/10), časté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1/100</w:t>
      </w:r>
      <w:r w:rsidR="004A7D24" w:rsidRPr="00B30C0B">
        <w:rPr>
          <w:sz w:val="22"/>
          <w:szCs w:val="22"/>
        </w:rPr>
        <w:t xml:space="preserve">  až</w:t>
      </w:r>
      <w:r w:rsidRPr="00B30C0B">
        <w:rPr>
          <w:sz w:val="22"/>
          <w:szCs w:val="22"/>
        </w:rPr>
        <w:t xml:space="preserve"> &lt; 1/10), menej časté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1/1 000</w:t>
      </w:r>
      <w:r w:rsidR="004A7D24" w:rsidRPr="00B30C0B">
        <w:rPr>
          <w:sz w:val="22"/>
          <w:szCs w:val="22"/>
        </w:rPr>
        <w:t xml:space="preserve"> až</w:t>
      </w:r>
      <w:r w:rsidRPr="00B30C0B">
        <w:rPr>
          <w:sz w:val="22"/>
          <w:szCs w:val="22"/>
        </w:rPr>
        <w:t xml:space="preserve"> ≤ 1/100)</w:t>
      </w:r>
      <w:r w:rsidR="004A7D24" w:rsidRPr="00B30C0B">
        <w:rPr>
          <w:sz w:val="22"/>
          <w:szCs w:val="22"/>
        </w:rPr>
        <w:t>;</w:t>
      </w:r>
    </w:p>
    <w:p w14:paraId="4AA42B57" w14:textId="77777777" w:rsidR="004A7D24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zriedkavé (</w:t>
      </w:r>
      <w:r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1/10 000</w:t>
      </w:r>
      <w:r w:rsidR="004A7D24" w:rsidRPr="00B30C0B">
        <w:rPr>
          <w:sz w:val="22"/>
          <w:szCs w:val="22"/>
        </w:rPr>
        <w:t xml:space="preserve"> až </w:t>
      </w:r>
      <w:r w:rsidRPr="00B30C0B">
        <w:rPr>
          <w:sz w:val="22"/>
          <w:szCs w:val="22"/>
        </w:rPr>
        <w:t>≤ 1/1 000)</w:t>
      </w:r>
      <w:r w:rsidR="004A7D24" w:rsidRPr="00B30C0B">
        <w:rPr>
          <w:sz w:val="22"/>
          <w:szCs w:val="22"/>
        </w:rPr>
        <w:t xml:space="preserve"> ); veľmi zriedkavé (&lt; 1/10 000)</w:t>
      </w:r>
      <w:r w:rsidRPr="00B30C0B">
        <w:rPr>
          <w:sz w:val="22"/>
          <w:szCs w:val="22"/>
        </w:rPr>
        <w:t xml:space="preserve">. Pokiaľ sa nežiaduci účinok vyskytol v klinických </w:t>
      </w:r>
      <w:r w:rsidR="004A7D24" w:rsidRPr="00B30C0B">
        <w:rPr>
          <w:sz w:val="22"/>
          <w:szCs w:val="22"/>
        </w:rPr>
        <w:t>študi</w:t>
      </w:r>
      <w:r w:rsidR="003E12C9" w:rsidRPr="00B30C0B">
        <w:rPr>
          <w:sz w:val="22"/>
          <w:szCs w:val="22"/>
        </w:rPr>
        <w:t>á</w:t>
      </w:r>
      <w:r w:rsidR="004A7D24" w:rsidRPr="00B30C0B">
        <w:rPr>
          <w:sz w:val="22"/>
          <w:szCs w:val="22"/>
        </w:rPr>
        <w:t xml:space="preserve">ch </w:t>
      </w:r>
      <w:r w:rsidRPr="00B30C0B">
        <w:rPr>
          <w:sz w:val="22"/>
          <w:szCs w:val="22"/>
        </w:rPr>
        <w:t>v rôznych frekvenciách, bol zaradený do skupiny s najvyššie hlásenou frekvenciou.</w:t>
      </w:r>
    </w:p>
    <w:p w14:paraId="171F7F86" w14:textId="77777777" w:rsidR="004A7D24" w:rsidRPr="00B30C0B" w:rsidRDefault="004A7D24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Ďalšie reakcie hlásené po uvedení lieku na trh sú zahrnuté v zozname nižšie kurzívou s </w:t>
      </w:r>
      <w:r w:rsidRPr="00B30C0B">
        <w:rPr>
          <w:iCs/>
          <w:sz w:val="22"/>
          <w:szCs w:val="22"/>
        </w:rPr>
        <w:t>frekvenciou neznáme (z dostupných údajov)</w:t>
      </w:r>
      <w:r w:rsidRPr="00B30C0B">
        <w:rPr>
          <w:sz w:val="22"/>
          <w:szCs w:val="22"/>
        </w:rPr>
        <w:t>.</w:t>
      </w:r>
    </w:p>
    <w:p w14:paraId="2E6C0622" w14:textId="77777777" w:rsidR="004A7D24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13400A6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rámci jednotlivých skupín sú nežiaduce účinky usporiadané v poradí klesajúcej závažnosti.</w:t>
      </w:r>
    </w:p>
    <w:p w14:paraId="43099FE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348DC60" w14:textId="77777777" w:rsidR="004A7D24" w:rsidRPr="00B30C0B" w:rsidRDefault="004A7D24" w:rsidP="00B30C0B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B30C0B">
        <w:rPr>
          <w:i/>
          <w:sz w:val="22"/>
          <w:szCs w:val="22"/>
          <w:u w:val="single"/>
        </w:rPr>
        <w:t>Trieda orgánových systémov</w:t>
      </w:r>
      <w:r w:rsidRPr="00B30C0B">
        <w:rPr>
          <w:i/>
          <w:sz w:val="22"/>
          <w:szCs w:val="22"/>
          <w:u w:val="single"/>
        </w:rPr>
        <w:tab/>
        <w:t xml:space="preserve"> Nežiaduce reakcie lieku</w:t>
      </w:r>
    </w:p>
    <w:p w14:paraId="7D3B4AA7" w14:textId="77777777" w:rsidR="004A7D24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6ABEB91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Infekcie a nákazy</w:t>
      </w:r>
    </w:p>
    <w:p w14:paraId="6C79001A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Veľmi časté:</w:t>
      </w:r>
      <w:r w:rsidRPr="00B30C0B">
        <w:rPr>
          <w:sz w:val="22"/>
          <w:szCs w:val="22"/>
        </w:rPr>
        <w:tab/>
        <w:t>vírusové infekcie</w:t>
      </w:r>
    </w:p>
    <w:p w14:paraId="7905CAE5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         </w:t>
      </w:r>
      <w:r w:rsidRPr="00B30C0B">
        <w:rPr>
          <w:sz w:val="22"/>
          <w:szCs w:val="22"/>
        </w:rPr>
        <w:tab/>
        <w:t>pneumónia, respiračné infekcie, infekcia močového traktu, infekcia, zápal stredného</w:t>
      </w:r>
    </w:p>
    <w:p w14:paraId="6E45B14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                     </w:t>
      </w:r>
      <w:r w:rsidRPr="00B30C0B">
        <w:rPr>
          <w:sz w:val="22"/>
          <w:szCs w:val="22"/>
        </w:rPr>
        <w:tab/>
        <w:t>ucha</w:t>
      </w:r>
    </w:p>
    <w:p w14:paraId="02AF7F10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1AA432F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krvi a lymfatického systému</w:t>
      </w:r>
    </w:p>
    <w:p w14:paraId="1BE028A9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        </w:t>
      </w:r>
      <w:r w:rsidRPr="00B30C0B">
        <w:rPr>
          <w:sz w:val="22"/>
          <w:szCs w:val="22"/>
        </w:rPr>
        <w:tab/>
        <w:t>leukopénia</w:t>
      </w:r>
    </w:p>
    <w:p w14:paraId="0184A9EC" w14:textId="77777777" w:rsidR="00F303FD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trombocytopénia</w:t>
      </w:r>
    </w:p>
    <w:p w14:paraId="597783FF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90FAF7E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imunitného systému</w:t>
      </w:r>
    </w:p>
    <w:p w14:paraId="49CC629E" w14:textId="77777777" w:rsidR="00F303FD" w:rsidRPr="00B30C0B" w:rsidRDefault="004A7D2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  <w:t>alergické reakcie (napr. urtikária)</w:t>
      </w:r>
    </w:p>
    <w:p w14:paraId="40F02C2D" w14:textId="0585A516" w:rsidR="00155CD1" w:rsidRPr="00B30C0B" w:rsidRDefault="003170D9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Neznáme:</w:t>
      </w:r>
      <w:r w:rsidRPr="00B30C0B">
        <w:rPr>
          <w:sz w:val="22"/>
          <w:szCs w:val="22"/>
        </w:rPr>
        <w:tab/>
      </w:r>
      <w:r w:rsidR="00155CD1" w:rsidRPr="00B30C0B">
        <w:rPr>
          <w:i/>
          <w:sz w:val="22"/>
          <w:szCs w:val="22"/>
        </w:rPr>
        <w:t>syndróm precitlivenosti</w:t>
      </w:r>
      <w:r w:rsidR="00637E72" w:rsidRPr="00B30C0B">
        <w:rPr>
          <w:i/>
          <w:sz w:val="22"/>
          <w:szCs w:val="22"/>
        </w:rPr>
        <w:t xml:space="preserve"> (</w:t>
      </w:r>
      <w:r w:rsidR="00155CD1" w:rsidRPr="00B30C0B">
        <w:rPr>
          <w:i/>
          <w:sz w:val="22"/>
          <w:szCs w:val="22"/>
        </w:rPr>
        <w:t xml:space="preserve">systémová reakcia s variabilnou prezentáciou, ktorá môže </w:t>
      </w:r>
    </w:p>
    <w:p w14:paraId="58DB9FF3" w14:textId="77777777" w:rsidR="00155CD1" w:rsidRPr="00B30C0B" w:rsidRDefault="00155CD1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 xml:space="preserve">                          zahŕňať horúčku, vyrážku, hepatitídu, lymfadenopatiu, eozinofíliu a niekedy aj iné </w:t>
      </w:r>
    </w:p>
    <w:p w14:paraId="7C9412CD" w14:textId="6A010EDA" w:rsidR="00155CD1" w:rsidRPr="00B30C0B" w:rsidRDefault="00155CD1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 xml:space="preserve">                          znaky a</w:t>
      </w:r>
      <w:r w:rsidR="00637E72" w:rsidRPr="00B30C0B">
        <w:rPr>
          <w:i/>
          <w:sz w:val="22"/>
          <w:szCs w:val="22"/>
        </w:rPr>
        <w:t> </w:t>
      </w:r>
      <w:r w:rsidRPr="00B30C0B">
        <w:rPr>
          <w:i/>
          <w:sz w:val="22"/>
          <w:szCs w:val="22"/>
        </w:rPr>
        <w:t>symptómy</w:t>
      </w:r>
      <w:r w:rsidR="00637E72" w:rsidRPr="00B30C0B">
        <w:rPr>
          <w:i/>
          <w:sz w:val="22"/>
          <w:szCs w:val="22"/>
        </w:rPr>
        <w:t>)</w:t>
      </w:r>
      <w:r w:rsidR="00196C70" w:rsidRPr="00B30C0B">
        <w:rPr>
          <w:i/>
          <w:sz w:val="22"/>
          <w:szCs w:val="22"/>
        </w:rPr>
        <w:t>, anafylaxia</w:t>
      </w:r>
      <w:r w:rsidR="00637E72" w:rsidRPr="00B30C0B">
        <w:rPr>
          <w:i/>
          <w:sz w:val="22"/>
          <w:szCs w:val="22"/>
        </w:rPr>
        <w:t xml:space="preserve"> (pozri časť 4.4)</w:t>
      </w:r>
    </w:p>
    <w:p w14:paraId="57A24765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799D087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metabolizmu a výživy</w:t>
      </w:r>
    </w:p>
    <w:p w14:paraId="32E16E8F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anorexia, zvýšená chuť do jedla</w:t>
      </w:r>
    </w:p>
    <w:p w14:paraId="0D5B418A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Menej časté: </w:t>
      </w:r>
      <w:r w:rsidRPr="00B30C0B">
        <w:rPr>
          <w:sz w:val="22"/>
          <w:szCs w:val="22"/>
        </w:rPr>
        <w:tab/>
        <w:t>hyperglykémia (najčastejšie pozorovaná u pacientov s diabet</w:t>
      </w:r>
      <w:r w:rsidR="001E7AE3" w:rsidRPr="00B30C0B">
        <w:rPr>
          <w:sz w:val="22"/>
          <w:szCs w:val="22"/>
        </w:rPr>
        <w:t>es</w:t>
      </w:r>
      <w:r w:rsidRPr="00B30C0B">
        <w:rPr>
          <w:sz w:val="22"/>
          <w:szCs w:val="22"/>
        </w:rPr>
        <w:t>)</w:t>
      </w:r>
    </w:p>
    <w:p w14:paraId="00EDF998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Zriedkavé: </w:t>
      </w:r>
      <w:r w:rsidRPr="00B30C0B">
        <w:rPr>
          <w:sz w:val="22"/>
          <w:szCs w:val="22"/>
        </w:rPr>
        <w:tab/>
        <w:t>hypoglykémia (najčastejšie pozorovaná v pacientov s diabet</w:t>
      </w:r>
      <w:r w:rsidR="001E7AE3" w:rsidRPr="00B30C0B">
        <w:rPr>
          <w:sz w:val="22"/>
          <w:szCs w:val="22"/>
        </w:rPr>
        <w:t>es</w:t>
      </w:r>
      <w:r w:rsidRPr="00B30C0B">
        <w:rPr>
          <w:sz w:val="22"/>
          <w:szCs w:val="22"/>
        </w:rPr>
        <w:t>)</w:t>
      </w:r>
    </w:p>
    <w:p w14:paraId="448CE102" w14:textId="77777777" w:rsidR="00FB7055" w:rsidRPr="00B30C0B" w:rsidRDefault="00FB705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Neznáme: </w:t>
      </w:r>
      <w:r w:rsidRPr="00B30C0B">
        <w:rPr>
          <w:sz w:val="22"/>
          <w:szCs w:val="22"/>
        </w:rPr>
        <w:tab/>
      </w:r>
      <w:r w:rsidRPr="00B30C0B">
        <w:rPr>
          <w:i/>
          <w:sz w:val="22"/>
          <w:szCs w:val="22"/>
        </w:rPr>
        <w:t>hyponatriémia</w:t>
      </w:r>
    </w:p>
    <w:p w14:paraId="6BA0EAAF" w14:textId="77777777" w:rsidR="00F473F7" w:rsidRPr="00B30C0B" w:rsidRDefault="00F473F7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7582287" w14:textId="77777777" w:rsidR="00F303FD" w:rsidRPr="00B30C0B" w:rsidRDefault="00F303FD" w:rsidP="00C155BF">
      <w:pPr>
        <w:keepNext/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lastRenderedPageBreak/>
        <w:t>Psychické poruchy</w:t>
      </w:r>
      <w:r w:rsidR="00F473F7" w:rsidRPr="00B30C0B">
        <w:rPr>
          <w:iCs/>
          <w:sz w:val="22"/>
          <w:szCs w:val="22"/>
          <w:u w:val="single"/>
        </w:rPr>
        <w:t xml:space="preserve"> </w:t>
      </w:r>
    </w:p>
    <w:p w14:paraId="2B315EB3" w14:textId="77777777" w:rsidR="00F303FD" w:rsidRPr="00B30C0B" w:rsidRDefault="00F303FD" w:rsidP="00C155BF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nepriateľstvo, zmätenosť a emočná labilita, depresia, úzkosť, nervozita, abnormálne</w:t>
      </w:r>
    </w:p>
    <w:p w14:paraId="200AC1B6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           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</w:r>
      <w:r w:rsidR="00A6279E" w:rsidRPr="00B30C0B">
        <w:rPr>
          <w:sz w:val="22"/>
          <w:szCs w:val="22"/>
        </w:rPr>
        <w:t>m</w:t>
      </w:r>
      <w:r w:rsidRPr="00B30C0B">
        <w:rPr>
          <w:sz w:val="22"/>
          <w:szCs w:val="22"/>
        </w:rPr>
        <w:t>yslenie</w:t>
      </w:r>
    </w:p>
    <w:p w14:paraId="57B61DEF" w14:textId="77777777" w:rsidR="00A6279E" w:rsidRPr="00B30C0B" w:rsidRDefault="00A6279E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</w:r>
      <w:r w:rsidRPr="00B30C0B">
        <w:rPr>
          <w:i/>
          <w:sz w:val="22"/>
          <w:szCs w:val="22"/>
        </w:rPr>
        <w:t>agit</w:t>
      </w:r>
      <w:r w:rsidR="009F0A86" w:rsidRPr="00B30C0B">
        <w:rPr>
          <w:i/>
          <w:sz w:val="22"/>
          <w:szCs w:val="22"/>
        </w:rPr>
        <w:t>ovanosť</w:t>
      </w:r>
    </w:p>
    <w:p w14:paraId="00A74A39" w14:textId="77777777" w:rsidR="00F303FD" w:rsidRPr="00B30C0B" w:rsidRDefault="004A7D24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halucinácie</w:t>
      </w:r>
    </w:p>
    <w:p w14:paraId="2CD70B81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0E12071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nervového systému</w:t>
      </w:r>
    </w:p>
    <w:p w14:paraId="67A6667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Veľmi časté: </w:t>
      </w:r>
      <w:r w:rsidRPr="00B30C0B">
        <w:rPr>
          <w:sz w:val="22"/>
          <w:szCs w:val="22"/>
        </w:rPr>
        <w:tab/>
        <w:t>somnolencia, závraty, ataxia</w:t>
      </w:r>
    </w:p>
    <w:p w14:paraId="75B558BD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kŕče, hyperkinéza, dyzartria, strata pamäti, tremor, nespavosť, bolesť hlavy, zmeny</w:t>
      </w:r>
    </w:p>
    <w:p w14:paraId="491A3A61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                          citlivosti, ako parestézia, hypestéza, abnormálna koordinácia, nystagmus,</w:t>
      </w:r>
    </w:p>
    <w:p w14:paraId="0E3E6E7D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>hyperreflexia, hyporeflexia alebo areflexia</w:t>
      </w:r>
    </w:p>
    <w:p w14:paraId="0C215D52" w14:textId="77777777" w:rsidR="000717A5" w:rsidRPr="00B30C0B" w:rsidRDefault="000717A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  <w:t>hypokinéza</w:t>
      </w:r>
      <w:r w:rsidR="009B48C3" w:rsidRPr="00B30C0B">
        <w:rPr>
          <w:sz w:val="22"/>
          <w:szCs w:val="22"/>
        </w:rPr>
        <w:t xml:space="preserve">, </w:t>
      </w:r>
      <w:r w:rsidR="001E7AE3" w:rsidRPr="00B30C0B">
        <w:rPr>
          <w:sz w:val="22"/>
          <w:szCs w:val="22"/>
        </w:rPr>
        <w:t>duševná porucha</w:t>
      </w:r>
    </w:p>
    <w:p w14:paraId="7705D732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Zriedkavé:</w:t>
      </w:r>
      <w:r w:rsidRPr="00B30C0B">
        <w:rPr>
          <w:sz w:val="22"/>
          <w:szCs w:val="22"/>
        </w:rPr>
        <w:tab/>
        <w:t>strata vedomia</w:t>
      </w:r>
    </w:p>
    <w:p w14:paraId="361D9326" w14:textId="77777777" w:rsidR="00F303FD" w:rsidRPr="00B30C0B" w:rsidRDefault="000717A5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B2DBF" w:rsidRPr="00B30C0B">
        <w:rPr>
          <w:i/>
          <w:sz w:val="22"/>
          <w:szCs w:val="22"/>
        </w:rPr>
        <w:t>ostatné</w:t>
      </w:r>
      <w:r w:rsidRPr="00B30C0B">
        <w:rPr>
          <w:i/>
          <w:sz w:val="22"/>
          <w:szCs w:val="22"/>
        </w:rPr>
        <w:t xml:space="preserve"> </w:t>
      </w:r>
      <w:r w:rsidR="00F303FD" w:rsidRPr="00B30C0B">
        <w:rPr>
          <w:i/>
          <w:sz w:val="22"/>
          <w:szCs w:val="22"/>
        </w:rPr>
        <w:t>poruchy hybnosti (napr. choreoatetóza, dyskinéza, dystónia)</w:t>
      </w:r>
    </w:p>
    <w:p w14:paraId="27A2E78E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F9A08C1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oka</w:t>
      </w:r>
    </w:p>
    <w:p w14:paraId="434EA99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poruchy videnia, ako amblyopia, diplopia</w:t>
      </w:r>
    </w:p>
    <w:p w14:paraId="3BCD82D0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62047CB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 </w:t>
      </w:r>
      <w:r w:rsidR="00F303FD" w:rsidRPr="00B30C0B">
        <w:rPr>
          <w:iCs/>
          <w:sz w:val="22"/>
          <w:szCs w:val="22"/>
          <w:u w:val="single"/>
        </w:rPr>
        <w:t xml:space="preserve">ucha a </w:t>
      </w:r>
      <w:r w:rsidR="00F473F7" w:rsidRPr="00B30C0B">
        <w:rPr>
          <w:iCs/>
          <w:sz w:val="22"/>
          <w:szCs w:val="22"/>
          <w:u w:val="single"/>
        </w:rPr>
        <w:t>labyrintu</w:t>
      </w:r>
    </w:p>
    <w:p w14:paraId="2F6F159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vertigo</w:t>
      </w:r>
    </w:p>
    <w:p w14:paraId="539CB380" w14:textId="77777777" w:rsidR="00F303FD" w:rsidRPr="00B30C0B" w:rsidRDefault="000717A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>: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tin</w:t>
      </w:r>
      <w:r w:rsidRPr="00B30C0B">
        <w:rPr>
          <w:i/>
          <w:sz w:val="22"/>
          <w:szCs w:val="22"/>
        </w:rPr>
        <w:t>n</w:t>
      </w:r>
      <w:r w:rsidR="00F303FD" w:rsidRPr="00B30C0B">
        <w:rPr>
          <w:i/>
          <w:sz w:val="22"/>
          <w:szCs w:val="22"/>
        </w:rPr>
        <w:t>itus</w:t>
      </w:r>
    </w:p>
    <w:p w14:paraId="3D9F0752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8E8BC1E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srdca</w:t>
      </w:r>
      <w:r w:rsidR="00F473F7" w:rsidRPr="00B30C0B">
        <w:rPr>
          <w:iCs/>
          <w:sz w:val="22"/>
          <w:szCs w:val="22"/>
          <w:u w:val="single"/>
        </w:rPr>
        <w:t xml:space="preserve"> a srdcovej činnosti</w:t>
      </w:r>
    </w:p>
    <w:p w14:paraId="338590E2" w14:textId="77777777" w:rsidR="00F303FD" w:rsidRPr="00B30C0B" w:rsidRDefault="000717A5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  <w:t>palpitácie</w:t>
      </w:r>
    </w:p>
    <w:p w14:paraId="2613FA9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781D13E" w14:textId="77777777" w:rsidR="00F303FD" w:rsidRPr="00B30C0B" w:rsidRDefault="00FB2DB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</w:t>
      </w:r>
      <w:r w:rsidR="00686A8F" w:rsidRPr="00B30C0B">
        <w:rPr>
          <w:iCs/>
          <w:sz w:val="22"/>
          <w:szCs w:val="22"/>
          <w:u w:val="single"/>
        </w:rPr>
        <w:t>oruchy ciev</w:t>
      </w:r>
    </w:p>
    <w:p w14:paraId="7A45158E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hypertenzia, vazodilatácia</w:t>
      </w:r>
    </w:p>
    <w:p w14:paraId="4758E73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8AB01EC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</w:t>
      </w:r>
      <w:r w:rsidR="00F303FD" w:rsidRPr="00B30C0B">
        <w:rPr>
          <w:iCs/>
          <w:sz w:val="22"/>
          <w:szCs w:val="22"/>
          <w:u w:val="single"/>
        </w:rPr>
        <w:t>dýchacej sústavy, hrudníka a mediastína</w:t>
      </w:r>
    </w:p>
    <w:p w14:paraId="1375858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dyspnoe, bronchitída, faryngitída, kašeľ, nádcha</w:t>
      </w:r>
    </w:p>
    <w:p w14:paraId="752B620B" w14:textId="77777777" w:rsidR="00637E72" w:rsidRPr="00B30C0B" w:rsidRDefault="00637E72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Zriedkavé: </w:t>
      </w:r>
      <w:r w:rsidRPr="00B30C0B">
        <w:rPr>
          <w:sz w:val="22"/>
          <w:szCs w:val="22"/>
        </w:rPr>
        <w:tab/>
        <w:t>respiračná depresia</w:t>
      </w:r>
    </w:p>
    <w:p w14:paraId="1E8FD712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F3A9746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</w:t>
      </w:r>
      <w:r w:rsidR="00F473F7" w:rsidRPr="00B30C0B">
        <w:rPr>
          <w:iCs/>
          <w:sz w:val="22"/>
          <w:szCs w:val="22"/>
          <w:u w:val="single"/>
        </w:rPr>
        <w:t>oruchy g</w:t>
      </w:r>
      <w:r w:rsidR="00F303FD" w:rsidRPr="00B30C0B">
        <w:rPr>
          <w:iCs/>
          <w:sz w:val="22"/>
          <w:szCs w:val="22"/>
          <w:u w:val="single"/>
        </w:rPr>
        <w:t>astrointestinálne</w:t>
      </w:r>
      <w:r w:rsidR="00F473F7" w:rsidRPr="00B30C0B">
        <w:rPr>
          <w:iCs/>
          <w:sz w:val="22"/>
          <w:szCs w:val="22"/>
          <w:u w:val="single"/>
        </w:rPr>
        <w:t>ho traktu</w:t>
      </w:r>
      <w:r w:rsidR="00F303FD" w:rsidRPr="00B30C0B">
        <w:rPr>
          <w:iCs/>
          <w:sz w:val="22"/>
          <w:szCs w:val="22"/>
          <w:u w:val="single"/>
        </w:rPr>
        <w:t xml:space="preserve"> </w:t>
      </w:r>
    </w:p>
    <w:p w14:paraId="55CA01B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vracanie, nauzea</w:t>
      </w:r>
      <w:r w:rsidRPr="00B30C0B">
        <w:rPr>
          <w:b/>
          <w:bCs/>
          <w:sz w:val="22"/>
          <w:szCs w:val="22"/>
        </w:rPr>
        <w:t xml:space="preserve">, </w:t>
      </w:r>
      <w:r w:rsidRPr="00B30C0B">
        <w:rPr>
          <w:sz w:val="22"/>
          <w:szCs w:val="22"/>
        </w:rPr>
        <w:t>stomatologické poruchy, gingivitída, hnačka, bolesť brucha,</w:t>
      </w:r>
    </w:p>
    <w:p w14:paraId="41B0A68B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>dyspepsia, zápcha, sucho v ústach alebo hrdle, flatulencia</w:t>
      </w:r>
    </w:p>
    <w:p w14:paraId="12E0B53A" w14:textId="77777777" w:rsidR="00D45F0F" w:rsidRPr="00B30C0B" w:rsidRDefault="00D45F0F" w:rsidP="00B30C0B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B30C0B">
        <w:rPr>
          <w:sz w:val="22"/>
          <w:szCs w:val="22"/>
        </w:rPr>
        <w:t>Menej časté:      dysfágia</w:t>
      </w:r>
    </w:p>
    <w:p w14:paraId="30F1ECE7" w14:textId="77777777" w:rsidR="00F303FD" w:rsidRPr="00B30C0B" w:rsidRDefault="00FB2DBF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pankreatitída</w:t>
      </w:r>
    </w:p>
    <w:p w14:paraId="4C1A1B8E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09FF4EC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 </w:t>
      </w:r>
      <w:r w:rsidR="00F303FD" w:rsidRPr="00B30C0B">
        <w:rPr>
          <w:iCs/>
          <w:sz w:val="22"/>
          <w:szCs w:val="22"/>
          <w:u w:val="single"/>
        </w:rPr>
        <w:t>pečene a žlčových ciest</w:t>
      </w:r>
    </w:p>
    <w:p w14:paraId="3383CF83" w14:textId="77777777" w:rsidR="00F303FD" w:rsidRPr="00B30C0B" w:rsidRDefault="00FB2DBF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hepatitída, žltačka</w:t>
      </w:r>
    </w:p>
    <w:p w14:paraId="62BC9CE5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8DBE1E4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kože a podkožného tkaniva</w:t>
      </w:r>
    </w:p>
    <w:p w14:paraId="2675ECD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opuch tváre, purpura, najčastejšie popisovaná ako modrina po telesnom poranení,</w:t>
      </w:r>
    </w:p>
    <w:p w14:paraId="150B4461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>vyrážka, pruritus, akné</w:t>
      </w:r>
    </w:p>
    <w:p w14:paraId="6C4AFC07" w14:textId="77777777" w:rsidR="00F303FD" w:rsidRPr="00B30C0B" w:rsidRDefault="00FB2DBF" w:rsidP="00B30C0B">
      <w:pPr>
        <w:autoSpaceDE w:val="0"/>
        <w:autoSpaceDN w:val="0"/>
        <w:adjustRightInd w:val="0"/>
        <w:ind w:left="1410" w:hanging="141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Stevens</w:t>
      </w:r>
      <w:r w:rsidRPr="00B30C0B">
        <w:rPr>
          <w:i/>
          <w:sz w:val="22"/>
          <w:szCs w:val="22"/>
        </w:rPr>
        <w:t>ov</w:t>
      </w:r>
      <w:r w:rsidR="00F303FD" w:rsidRPr="00B30C0B">
        <w:rPr>
          <w:i/>
          <w:sz w:val="22"/>
          <w:szCs w:val="22"/>
        </w:rPr>
        <w:t>-Johnsonov syndróm, angioedém, multiformný erytém, alopécia</w:t>
      </w:r>
      <w:r w:rsidR="00155CD1" w:rsidRPr="00B30C0B">
        <w:rPr>
          <w:i/>
          <w:sz w:val="22"/>
          <w:szCs w:val="22"/>
        </w:rPr>
        <w:t>,</w:t>
      </w:r>
      <w:r w:rsidR="00AD412B" w:rsidRPr="00B30C0B">
        <w:rPr>
          <w:i/>
          <w:sz w:val="22"/>
          <w:szCs w:val="22"/>
        </w:rPr>
        <w:t xml:space="preserve"> </w:t>
      </w:r>
      <w:r w:rsidR="00155CD1" w:rsidRPr="00B30C0B">
        <w:rPr>
          <w:i/>
          <w:sz w:val="22"/>
          <w:szCs w:val="22"/>
        </w:rPr>
        <w:t>vyrážka</w:t>
      </w:r>
      <w:r w:rsidR="00AD412B" w:rsidRPr="00B30C0B">
        <w:rPr>
          <w:i/>
          <w:sz w:val="22"/>
          <w:szCs w:val="22"/>
        </w:rPr>
        <w:t xml:space="preserve"> vyvolaná liekom</w:t>
      </w:r>
      <w:r w:rsidR="00155CD1" w:rsidRPr="00B30C0B">
        <w:rPr>
          <w:i/>
          <w:sz w:val="22"/>
          <w:szCs w:val="22"/>
        </w:rPr>
        <w:t xml:space="preserve"> s eozinofíliou a systémovými príznakmi (pozri časť 4.4)</w:t>
      </w:r>
    </w:p>
    <w:p w14:paraId="13B37AA1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7741D1F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Poruchy kostrov</w:t>
      </w:r>
      <w:r w:rsidR="00F473F7" w:rsidRPr="00B30C0B">
        <w:rPr>
          <w:iCs/>
          <w:sz w:val="22"/>
          <w:szCs w:val="22"/>
          <w:u w:val="single"/>
        </w:rPr>
        <w:t xml:space="preserve">ej a </w:t>
      </w:r>
      <w:r w:rsidRPr="00B30C0B">
        <w:rPr>
          <w:iCs/>
          <w:sz w:val="22"/>
          <w:szCs w:val="22"/>
          <w:u w:val="single"/>
        </w:rPr>
        <w:t>sval</w:t>
      </w:r>
      <w:r w:rsidR="00F473F7" w:rsidRPr="00B30C0B">
        <w:rPr>
          <w:iCs/>
          <w:sz w:val="22"/>
          <w:szCs w:val="22"/>
          <w:u w:val="single"/>
        </w:rPr>
        <w:t>ovej sústavy a</w:t>
      </w:r>
      <w:r w:rsidRPr="00B30C0B">
        <w:rPr>
          <w:iCs/>
          <w:sz w:val="22"/>
          <w:szCs w:val="22"/>
          <w:u w:val="single"/>
        </w:rPr>
        <w:t xml:space="preserve"> spojivov</w:t>
      </w:r>
      <w:r w:rsidR="00F473F7" w:rsidRPr="00B30C0B">
        <w:rPr>
          <w:iCs/>
          <w:sz w:val="22"/>
          <w:szCs w:val="22"/>
          <w:u w:val="single"/>
        </w:rPr>
        <w:t>ého</w:t>
      </w:r>
      <w:r w:rsidRPr="00B30C0B">
        <w:rPr>
          <w:iCs/>
          <w:sz w:val="22"/>
          <w:szCs w:val="22"/>
          <w:u w:val="single"/>
        </w:rPr>
        <w:t xml:space="preserve"> tkan</w:t>
      </w:r>
      <w:r w:rsidR="00F473F7" w:rsidRPr="00B30C0B">
        <w:rPr>
          <w:iCs/>
          <w:sz w:val="22"/>
          <w:szCs w:val="22"/>
          <w:u w:val="single"/>
        </w:rPr>
        <w:t>iva</w:t>
      </w:r>
    </w:p>
    <w:p w14:paraId="6C8E15A9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artralgia, myalgia, bolesť chrbta, zášklby</w:t>
      </w:r>
    </w:p>
    <w:p w14:paraId="21E1E7B6" w14:textId="77777777" w:rsidR="00FB2DBF" w:rsidRPr="00B30C0B" w:rsidRDefault="00FB2DBF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Neznáme: </w:t>
      </w:r>
      <w:r w:rsidRPr="00B30C0B">
        <w:rPr>
          <w:sz w:val="22"/>
          <w:szCs w:val="22"/>
        </w:rPr>
        <w:tab/>
      </w:r>
      <w:r w:rsidR="00155CD1" w:rsidRPr="00B30C0B">
        <w:rPr>
          <w:i/>
          <w:sz w:val="22"/>
          <w:szCs w:val="22"/>
        </w:rPr>
        <w:t xml:space="preserve">rabdomyolýza, </w:t>
      </w:r>
      <w:r w:rsidRPr="00B30C0B">
        <w:rPr>
          <w:i/>
          <w:sz w:val="22"/>
          <w:szCs w:val="22"/>
        </w:rPr>
        <w:t>myoklonus</w:t>
      </w:r>
    </w:p>
    <w:p w14:paraId="7282F992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5AD48AE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Poruchy obličiek a </w:t>
      </w:r>
      <w:r w:rsidR="00CF0C33" w:rsidRPr="00B30C0B">
        <w:rPr>
          <w:iCs/>
          <w:sz w:val="22"/>
          <w:szCs w:val="22"/>
          <w:u w:val="single"/>
        </w:rPr>
        <w:t>močových ciest</w:t>
      </w:r>
    </w:p>
    <w:p w14:paraId="03CA11C2" w14:textId="77777777" w:rsidR="00F303FD" w:rsidRPr="00B30C0B" w:rsidRDefault="00FB2DBF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>: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akútne renálne zlyhanie</w:t>
      </w:r>
      <w:r w:rsidR="00F00F55" w:rsidRPr="00B30C0B">
        <w:rPr>
          <w:i/>
          <w:sz w:val="22"/>
          <w:szCs w:val="22"/>
        </w:rPr>
        <w:t>, inkontinencia</w:t>
      </w:r>
    </w:p>
    <w:p w14:paraId="7A17EB15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2A279E5" w14:textId="77777777" w:rsidR="00F303FD" w:rsidRPr="00B30C0B" w:rsidRDefault="00686A8F" w:rsidP="00B30C0B">
      <w:pPr>
        <w:keepNext/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lastRenderedPageBreak/>
        <w:t xml:space="preserve">Poruchy </w:t>
      </w:r>
      <w:r w:rsidR="00F303FD" w:rsidRPr="00B30C0B">
        <w:rPr>
          <w:iCs/>
          <w:sz w:val="22"/>
          <w:szCs w:val="22"/>
          <w:u w:val="single"/>
        </w:rPr>
        <w:t>reprodukčného systému a prsníkov</w:t>
      </w:r>
    </w:p>
    <w:p w14:paraId="2E2B0402" w14:textId="77777777" w:rsidR="00F303FD" w:rsidRPr="00B30C0B" w:rsidRDefault="00F303FD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</w:r>
      <w:r w:rsidR="00F00F55" w:rsidRPr="00B30C0B">
        <w:rPr>
          <w:sz w:val="22"/>
          <w:szCs w:val="22"/>
        </w:rPr>
        <w:t>impotencia</w:t>
      </w:r>
    </w:p>
    <w:p w14:paraId="434594F3" w14:textId="77777777" w:rsidR="00155CD1" w:rsidRPr="00B30C0B" w:rsidRDefault="00F00F55" w:rsidP="00B30C0B">
      <w:pPr>
        <w:keepNext/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B30C0B">
        <w:rPr>
          <w:sz w:val="22"/>
          <w:szCs w:val="22"/>
        </w:rPr>
        <w:t>Neznáme:</w:t>
      </w:r>
      <w:r w:rsidRPr="00B30C0B">
        <w:rPr>
          <w:sz w:val="22"/>
          <w:szCs w:val="22"/>
        </w:rPr>
        <w:tab/>
      </w:r>
      <w:r w:rsidRPr="00B30C0B">
        <w:rPr>
          <w:i/>
          <w:sz w:val="22"/>
          <w:szCs w:val="22"/>
        </w:rPr>
        <w:t>hypertrofia prsníkov, gynekomastia</w:t>
      </w:r>
      <w:r w:rsidR="00155CD1" w:rsidRPr="00B30C0B">
        <w:rPr>
          <w:i/>
          <w:sz w:val="22"/>
          <w:szCs w:val="22"/>
        </w:rPr>
        <w:t>, sexuálna dysfunkcia (vrátane zmien libid</w:t>
      </w:r>
      <w:r w:rsidR="00A245A2" w:rsidRPr="00B30C0B">
        <w:rPr>
          <w:i/>
          <w:sz w:val="22"/>
          <w:szCs w:val="22"/>
        </w:rPr>
        <w:t>a</w:t>
      </w:r>
      <w:r w:rsidR="009476FB" w:rsidRPr="00B30C0B">
        <w:rPr>
          <w:i/>
          <w:sz w:val="22"/>
          <w:szCs w:val="22"/>
        </w:rPr>
        <w:t>, porúch</w:t>
      </w:r>
      <w:r w:rsidR="00155CD1" w:rsidRPr="00B30C0B">
        <w:rPr>
          <w:i/>
          <w:sz w:val="22"/>
          <w:szCs w:val="22"/>
        </w:rPr>
        <w:t xml:space="preserve"> ejakulácie a anorgazmia)</w:t>
      </w:r>
    </w:p>
    <w:p w14:paraId="5F6FFF0C" w14:textId="77777777" w:rsidR="00F00F55" w:rsidRPr="00B30C0B" w:rsidRDefault="00F00F55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6986837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Celkové poruchy a reakcie v mieste podania</w:t>
      </w:r>
    </w:p>
    <w:p w14:paraId="7FE305A8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Veľmi časté: </w:t>
      </w:r>
      <w:r w:rsidRPr="00B30C0B">
        <w:rPr>
          <w:sz w:val="22"/>
          <w:szCs w:val="22"/>
        </w:rPr>
        <w:tab/>
        <w:t>únava, horúčka</w:t>
      </w:r>
    </w:p>
    <w:p w14:paraId="435CEBA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periférny edém, abnormálna chôdza, asténia, bolesť, nevoľnosť,</w:t>
      </w:r>
    </w:p>
    <w:p w14:paraId="5EC9359D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 xml:space="preserve">chrípkový </w:t>
      </w:r>
      <w:r w:rsidR="00F00F55" w:rsidRPr="00B30C0B">
        <w:rPr>
          <w:sz w:val="22"/>
          <w:szCs w:val="22"/>
        </w:rPr>
        <w:t>syndr</w:t>
      </w:r>
      <w:r w:rsidR="00F823E2" w:rsidRPr="00B30C0B">
        <w:rPr>
          <w:sz w:val="22"/>
          <w:szCs w:val="22"/>
        </w:rPr>
        <w:t>ó</w:t>
      </w:r>
      <w:r w:rsidR="00F00F55" w:rsidRPr="00B30C0B">
        <w:rPr>
          <w:sz w:val="22"/>
          <w:szCs w:val="22"/>
        </w:rPr>
        <w:t>m</w:t>
      </w:r>
    </w:p>
    <w:p w14:paraId="681AC0F8" w14:textId="77777777" w:rsidR="00F00F55" w:rsidRPr="00B30C0B" w:rsidRDefault="00F00F55" w:rsidP="00B30C0B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  <w:t>generalizovaný edém</w:t>
      </w:r>
    </w:p>
    <w:p w14:paraId="6569CA60" w14:textId="77777777" w:rsidR="00F303FD" w:rsidRPr="00B30C0B" w:rsidRDefault="00F00F55" w:rsidP="00B30C0B">
      <w:pPr>
        <w:autoSpaceDE w:val="0"/>
        <w:autoSpaceDN w:val="0"/>
        <w:adjustRightInd w:val="0"/>
        <w:rPr>
          <w:i/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F303FD" w:rsidRPr="00B30C0B">
        <w:rPr>
          <w:i/>
          <w:sz w:val="22"/>
          <w:szCs w:val="22"/>
        </w:rPr>
        <w:t>abstinenčné príznaky (hlavne anxiozita, nespavosť, nauzea, bolesti, potenie), bolesť na</w:t>
      </w:r>
    </w:p>
    <w:p w14:paraId="2685AE60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hrudi. Náhle, nevysvetlené úmrtia boli hlásené v prípadoch, kedy sa nezistila kauzálna</w:t>
      </w:r>
    </w:p>
    <w:p w14:paraId="717F691F" w14:textId="77777777" w:rsidR="00F303FD" w:rsidRPr="00B30C0B" w:rsidRDefault="00F303FD" w:rsidP="00B30C0B">
      <w:pPr>
        <w:autoSpaceDE w:val="0"/>
        <w:autoSpaceDN w:val="0"/>
        <w:adjustRightInd w:val="0"/>
        <w:ind w:left="708" w:firstLine="708"/>
        <w:rPr>
          <w:i/>
          <w:sz w:val="22"/>
          <w:szCs w:val="22"/>
        </w:rPr>
      </w:pPr>
      <w:r w:rsidRPr="00B30C0B">
        <w:rPr>
          <w:i/>
          <w:sz w:val="22"/>
          <w:szCs w:val="22"/>
        </w:rPr>
        <w:t>súvislosť s liečbou gabapentínom.</w:t>
      </w:r>
    </w:p>
    <w:p w14:paraId="3FF0B8B5" w14:textId="77777777" w:rsidR="00F303FD" w:rsidRPr="00B30C0B" w:rsidRDefault="00F303FD" w:rsidP="00B30C0B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0EAC7B5" w14:textId="77777777" w:rsidR="00F303FD" w:rsidRPr="00B30C0B" w:rsidRDefault="00686A8F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>L</w:t>
      </w:r>
      <w:r w:rsidR="00EB1B90" w:rsidRPr="00B30C0B">
        <w:rPr>
          <w:iCs/>
          <w:sz w:val="22"/>
          <w:szCs w:val="22"/>
          <w:u w:val="single"/>
        </w:rPr>
        <w:t>aboratorne a funkčné v</w:t>
      </w:r>
      <w:r w:rsidR="00F303FD" w:rsidRPr="00B30C0B">
        <w:rPr>
          <w:iCs/>
          <w:sz w:val="22"/>
          <w:szCs w:val="22"/>
          <w:u w:val="single"/>
        </w:rPr>
        <w:t>yšetrenia</w:t>
      </w:r>
    </w:p>
    <w:p w14:paraId="19FC16F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zníženie počtu bielych krviniek (white blood cell count, WBC), prírastok na</w:t>
      </w:r>
    </w:p>
    <w:p w14:paraId="7709BBA6" w14:textId="77777777" w:rsidR="00F303FD" w:rsidRPr="00B30C0B" w:rsidRDefault="00183696" w:rsidP="00B30C0B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30C0B">
        <w:rPr>
          <w:sz w:val="22"/>
          <w:szCs w:val="22"/>
        </w:rPr>
        <w:t>h</w:t>
      </w:r>
      <w:r w:rsidR="00F303FD" w:rsidRPr="00B30C0B">
        <w:rPr>
          <w:sz w:val="22"/>
          <w:szCs w:val="22"/>
        </w:rPr>
        <w:t>motnosti</w:t>
      </w:r>
    </w:p>
    <w:p w14:paraId="4B70B8CE" w14:textId="77777777" w:rsidR="00F00F55" w:rsidRPr="00B30C0B" w:rsidRDefault="00F00F55" w:rsidP="00B30C0B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  <w:t>zvýšené hodnoty pečeňových testov SGOT (AST), SGPT (ALT) a bilirubínu</w:t>
      </w:r>
    </w:p>
    <w:p w14:paraId="3E6E8716" w14:textId="77777777" w:rsidR="00155CD1" w:rsidRPr="00B30C0B" w:rsidRDefault="00F00F55" w:rsidP="00B30C0B">
      <w:pPr>
        <w:autoSpaceDE w:val="0"/>
        <w:autoSpaceDN w:val="0"/>
        <w:adjustRightInd w:val="0"/>
        <w:ind w:left="1410" w:hanging="1410"/>
        <w:rPr>
          <w:sz w:val="22"/>
          <w:szCs w:val="22"/>
        </w:rPr>
      </w:pPr>
      <w:r w:rsidRPr="00B30C0B">
        <w:rPr>
          <w:sz w:val="22"/>
          <w:szCs w:val="22"/>
        </w:rPr>
        <w:t>Neznáme</w:t>
      </w:r>
      <w:r w:rsidR="00F303FD" w:rsidRPr="00B30C0B">
        <w:rPr>
          <w:sz w:val="22"/>
          <w:szCs w:val="22"/>
        </w:rPr>
        <w:t xml:space="preserve">: </w:t>
      </w:r>
      <w:r w:rsidR="00F303FD" w:rsidRPr="00B30C0B">
        <w:rPr>
          <w:sz w:val="22"/>
          <w:szCs w:val="22"/>
        </w:rPr>
        <w:tab/>
      </w:r>
      <w:r w:rsidR="009476FB" w:rsidRPr="00B30C0B">
        <w:rPr>
          <w:i/>
          <w:sz w:val="22"/>
          <w:szCs w:val="22"/>
        </w:rPr>
        <w:t xml:space="preserve">zvýšenie </w:t>
      </w:r>
      <w:r w:rsidR="00155CD1" w:rsidRPr="00B30C0B">
        <w:rPr>
          <w:i/>
          <w:sz w:val="22"/>
          <w:szCs w:val="22"/>
        </w:rPr>
        <w:t>kreat</w:t>
      </w:r>
      <w:r w:rsidR="00310B49" w:rsidRPr="00B30C0B">
        <w:rPr>
          <w:i/>
          <w:sz w:val="22"/>
          <w:szCs w:val="22"/>
        </w:rPr>
        <w:t>in</w:t>
      </w:r>
      <w:r w:rsidR="00155CD1" w:rsidRPr="00B30C0B">
        <w:rPr>
          <w:i/>
          <w:sz w:val="22"/>
          <w:szCs w:val="22"/>
        </w:rPr>
        <w:t>ínfosfokinázy</w:t>
      </w:r>
      <w:r w:rsidR="00310B49" w:rsidRPr="00B30C0B">
        <w:rPr>
          <w:i/>
          <w:sz w:val="22"/>
          <w:szCs w:val="22"/>
        </w:rPr>
        <w:t xml:space="preserve"> v krvi</w:t>
      </w:r>
    </w:p>
    <w:p w14:paraId="31411F13" w14:textId="77777777" w:rsidR="00F303FD" w:rsidRPr="00B30C0B" w:rsidRDefault="00F303FD" w:rsidP="00B30C0B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2A51EBB4" w14:textId="77777777" w:rsidR="00F303FD" w:rsidRPr="00B30C0B" w:rsidRDefault="00F303FD" w:rsidP="00B30C0B">
      <w:pPr>
        <w:autoSpaceDE w:val="0"/>
        <w:autoSpaceDN w:val="0"/>
        <w:adjustRightInd w:val="0"/>
        <w:rPr>
          <w:iCs/>
          <w:sz w:val="22"/>
          <w:szCs w:val="22"/>
          <w:u w:val="single"/>
        </w:rPr>
      </w:pPr>
      <w:r w:rsidRPr="00B30C0B">
        <w:rPr>
          <w:iCs/>
          <w:sz w:val="22"/>
          <w:szCs w:val="22"/>
          <w:u w:val="single"/>
        </w:rPr>
        <w:t xml:space="preserve">Úrazy </w:t>
      </w:r>
      <w:r w:rsidR="002141C2" w:rsidRPr="00B30C0B">
        <w:rPr>
          <w:iCs/>
          <w:sz w:val="22"/>
          <w:szCs w:val="22"/>
          <w:u w:val="single"/>
        </w:rPr>
        <w:t xml:space="preserve">, </w:t>
      </w:r>
      <w:r w:rsidRPr="00B30C0B">
        <w:rPr>
          <w:iCs/>
          <w:sz w:val="22"/>
          <w:szCs w:val="22"/>
          <w:u w:val="single"/>
        </w:rPr>
        <w:t>otravy</w:t>
      </w:r>
      <w:r w:rsidR="00A777EE" w:rsidRPr="00B30C0B">
        <w:rPr>
          <w:iCs/>
          <w:sz w:val="22"/>
          <w:szCs w:val="22"/>
          <w:u w:val="single"/>
        </w:rPr>
        <w:t xml:space="preserve"> a komplikácie liečebného postupu</w:t>
      </w:r>
    </w:p>
    <w:p w14:paraId="23CC1D07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Časté: </w:t>
      </w:r>
      <w:r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ab/>
        <w:t>úraz, zlomeniny, odreniny</w:t>
      </w:r>
    </w:p>
    <w:p w14:paraId="688257B4" w14:textId="77777777" w:rsidR="00155CD1" w:rsidRPr="00B30C0B" w:rsidRDefault="00155CD1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Menej časté:</w:t>
      </w:r>
      <w:r w:rsidRPr="00B30C0B">
        <w:rPr>
          <w:sz w:val="22"/>
          <w:szCs w:val="22"/>
        </w:rPr>
        <w:tab/>
        <w:t>pád</w:t>
      </w:r>
    </w:p>
    <w:p w14:paraId="6B6B7D23" w14:textId="46B5D7BF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5ACA55F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Pri liečbe gabapentínom boli hlásené prípady akútnej pankreatitídy. Príčinná súvislosť s gabapentínom</w:t>
      </w:r>
    </w:p>
    <w:p w14:paraId="1B50F884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nie je jasná (pozri časť 4.4).</w:t>
      </w:r>
    </w:p>
    <w:p w14:paraId="0C5AB2FA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E90DE31" w14:textId="77777777" w:rsidR="002141C2" w:rsidRPr="00B30C0B" w:rsidRDefault="002141C2" w:rsidP="00B30C0B">
      <w:pPr>
        <w:tabs>
          <w:tab w:val="left" w:pos="567"/>
        </w:tabs>
        <w:rPr>
          <w:sz w:val="22"/>
          <w:szCs w:val="22"/>
        </w:rPr>
      </w:pPr>
      <w:r w:rsidRPr="00B30C0B">
        <w:rPr>
          <w:sz w:val="22"/>
          <w:szCs w:val="22"/>
        </w:rPr>
        <w:t xml:space="preserve">U pacientov na hemodialýze kvôli poslednému štádiu renálneho zlyhávania bola hlásená myopatia so zvýšenými hladinami kreatínkinázy.  </w:t>
      </w:r>
    </w:p>
    <w:p w14:paraId="66A8A835" w14:textId="77777777" w:rsidR="002141C2" w:rsidRPr="00B30C0B" w:rsidRDefault="002141C2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F49F21C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Infekcie dýchacích ciest, zápal stredného ucha, kŕče a bronchitída boli hlásené iba v klinických</w:t>
      </w:r>
    </w:p>
    <w:p w14:paraId="02DA1BDB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štúdiách u detí. Naviac, v klinických štúdiách bolo u detí často hlásené agresívne správanie</w:t>
      </w:r>
    </w:p>
    <w:p w14:paraId="046B4175" w14:textId="77777777" w:rsidR="00F303FD" w:rsidRPr="00B30C0B" w:rsidRDefault="00F303FD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 hyperkinéza.</w:t>
      </w:r>
    </w:p>
    <w:p w14:paraId="21BACF05" w14:textId="77777777" w:rsidR="00201989" w:rsidRPr="00B30C0B" w:rsidRDefault="00201989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6A4AF0D" w14:textId="77777777" w:rsidR="00201989" w:rsidRPr="00B30C0B" w:rsidRDefault="00201989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noProof/>
          <w:sz w:val="22"/>
          <w:szCs w:val="22"/>
          <w:u w:val="single"/>
        </w:rPr>
        <w:t>Hlásenie podozrení na nežiaduce reakcie</w:t>
      </w:r>
    </w:p>
    <w:p w14:paraId="46DC51D0" w14:textId="77777777" w:rsidR="00A6279E" w:rsidRPr="00B30C0B" w:rsidRDefault="00201989" w:rsidP="00B30C0B">
      <w:pPr>
        <w:outlineLvl w:val="0"/>
        <w:rPr>
          <w:noProof/>
          <w:sz w:val="22"/>
          <w:szCs w:val="22"/>
        </w:rPr>
      </w:pPr>
      <w:r w:rsidRPr="00B30C0B">
        <w:rPr>
          <w:noProof/>
          <w:sz w:val="22"/>
          <w:szCs w:val="22"/>
        </w:rPr>
        <w:t>Hlásenie podozrení na nežiaduce reakcie po registrácii lieku je dôležité.</w:t>
      </w:r>
      <w:r w:rsidRPr="00B30C0B">
        <w:rPr>
          <w:sz w:val="22"/>
          <w:szCs w:val="22"/>
        </w:rPr>
        <w:t xml:space="preserve"> </w:t>
      </w:r>
      <w:r w:rsidRPr="00B30C0B">
        <w:rPr>
          <w:noProof/>
          <w:sz w:val="22"/>
          <w:szCs w:val="22"/>
        </w:rPr>
        <w:t>Umožňuje priebežné monitorovanie pomeru prínosu</w:t>
      </w:r>
      <w:r w:rsidRPr="00B30C0B">
        <w:rPr>
          <w:sz w:val="22"/>
          <w:szCs w:val="22"/>
        </w:rPr>
        <w:t xml:space="preserve"> a</w:t>
      </w:r>
      <w:r w:rsidRPr="00B30C0B">
        <w:rPr>
          <w:noProof/>
          <w:sz w:val="22"/>
          <w:szCs w:val="22"/>
        </w:rPr>
        <w:t> rizika lieku.</w:t>
      </w:r>
      <w:r w:rsidRPr="00B30C0B">
        <w:rPr>
          <w:sz w:val="22"/>
          <w:szCs w:val="22"/>
        </w:rPr>
        <w:t xml:space="preserve"> Od </w:t>
      </w:r>
      <w:r w:rsidRPr="00B30C0B">
        <w:rPr>
          <w:noProof/>
          <w:sz w:val="22"/>
          <w:szCs w:val="22"/>
        </w:rPr>
        <w:t xml:space="preserve">zdravotníckych pracovníkov sa vyžaduje, </w:t>
      </w:r>
    </w:p>
    <w:p w14:paraId="0D3B70B8" w14:textId="145F3F51" w:rsidR="00A6279E" w:rsidRPr="00B30C0B" w:rsidRDefault="00A6279E" w:rsidP="00B30C0B">
      <w:pPr>
        <w:outlineLvl w:val="0"/>
        <w:rPr>
          <w:rFonts w:eastAsia="TimesNewRoman"/>
          <w:sz w:val="22"/>
          <w:szCs w:val="22"/>
          <w:lang w:eastAsia="en-GB"/>
        </w:rPr>
      </w:pPr>
      <w:r w:rsidRPr="00B30C0B">
        <w:rPr>
          <w:noProof/>
          <w:sz w:val="22"/>
          <w:szCs w:val="22"/>
        </w:rPr>
        <w:t xml:space="preserve">aby hlásili akékoľvek podozrenia na nežiaduce reakcie na </w:t>
      </w:r>
      <w:r w:rsidRPr="00B30C0B">
        <w:rPr>
          <w:noProof/>
          <w:sz w:val="22"/>
          <w:szCs w:val="22"/>
          <w:highlight w:val="lightGray"/>
        </w:rPr>
        <w:t>národné centrum hlásenia uvedené v</w:t>
      </w:r>
      <w:r w:rsidR="00B30C0B" w:rsidRPr="00B30C0B">
        <w:rPr>
          <w:noProof/>
          <w:sz w:val="22"/>
          <w:szCs w:val="22"/>
          <w:highlight w:val="lightGray"/>
        </w:rPr>
        <w:t> </w:t>
      </w:r>
      <w:hyperlink r:id="rId7" w:history="1">
        <w:r w:rsidRPr="00B30C0B">
          <w:rPr>
            <w:rStyle w:val="Hypertextovprepojenie"/>
            <w:sz w:val="22"/>
            <w:szCs w:val="22"/>
            <w:highlight w:val="lightGray"/>
          </w:rPr>
          <w:t>Prílohe</w:t>
        </w:r>
        <w:r w:rsidR="00B30C0B" w:rsidRPr="00B30C0B">
          <w:rPr>
            <w:rStyle w:val="Hypertextovprepojenie"/>
            <w:sz w:val="22"/>
            <w:szCs w:val="22"/>
            <w:highlight w:val="lightGray"/>
          </w:rPr>
          <w:t> </w:t>
        </w:r>
        <w:r w:rsidRPr="00B30C0B">
          <w:rPr>
            <w:rStyle w:val="Hypertextovprepojenie"/>
            <w:sz w:val="22"/>
            <w:szCs w:val="22"/>
            <w:highlight w:val="lightGray"/>
          </w:rPr>
          <w:t>V</w:t>
        </w:r>
      </w:hyperlink>
      <w:r w:rsidRPr="00B30C0B">
        <w:rPr>
          <w:noProof/>
          <w:sz w:val="22"/>
          <w:szCs w:val="22"/>
        </w:rPr>
        <w:t>.</w:t>
      </w:r>
    </w:p>
    <w:p w14:paraId="3C5FFE0A" w14:textId="77777777" w:rsidR="0058230D" w:rsidRPr="00B30C0B" w:rsidRDefault="0058230D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9A18C24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4.9 </w:t>
      </w:r>
      <w:r w:rsidR="00937E4C"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>Predávkovanie</w:t>
      </w:r>
    </w:p>
    <w:p w14:paraId="558A17FE" w14:textId="77777777" w:rsidR="0020016D" w:rsidRPr="00B30C0B" w:rsidRDefault="0020016D" w:rsidP="00B30C0B">
      <w:pPr>
        <w:rPr>
          <w:sz w:val="22"/>
          <w:szCs w:val="22"/>
          <w:vertAlign w:val="superscript"/>
        </w:rPr>
      </w:pPr>
    </w:p>
    <w:p w14:paraId="2DC76017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Akútna, život ohrozujúca toxicita nebola zaznamenaná pri predávkovaní gabapentínom až do dávky</w:t>
      </w:r>
    </w:p>
    <w:p w14:paraId="54BE0CA6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49 g. Príznaky predávkovania zahŕňali závraty, dvojité videnie, zlú výslovnosť, únavu, </w:t>
      </w:r>
      <w:r w:rsidR="00155CD1" w:rsidRPr="00B30C0B">
        <w:rPr>
          <w:sz w:val="22"/>
          <w:szCs w:val="22"/>
        </w:rPr>
        <w:t xml:space="preserve">stratu vedomia, </w:t>
      </w:r>
      <w:r w:rsidRPr="00B30C0B">
        <w:rPr>
          <w:sz w:val="22"/>
          <w:szCs w:val="22"/>
        </w:rPr>
        <w:t>letargiu a</w:t>
      </w:r>
      <w:r w:rsidR="00155CD1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miernu hnačku. Všetci pacienti sa plne uzdravili po zavedení podpornej liečby. Znížená absorpcia</w:t>
      </w:r>
      <w:r w:rsidR="00155CD1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gabapentínu pri vyšších dávkach môže limitovať absorpciu lieku pri predávkovaní, a tým</w:t>
      </w:r>
    </w:p>
    <w:p w14:paraId="19F82249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minimalizovať jeho toxicitu z predávkovania.</w:t>
      </w:r>
    </w:p>
    <w:p w14:paraId="5F480629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9214336" w14:textId="77777777" w:rsidR="002141C2" w:rsidRPr="00B30C0B" w:rsidRDefault="002141C2" w:rsidP="00B30C0B">
      <w:pPr>
        <w:tabs>
          <w:tab w:val="left" w:pos="0"/>
          <w:tab w:val="left" w:pos="567"/>
        </w:tabs>
        <w:rPr>
          <w:sz w:val="22"/>
          <w:szCs w:val="22"/>
        </w:rPr>
      </w:pPr>
      <w:r w:rsidRPr="00B30C0B">
        <w:rPr>
          <w:sz w:val="22"/>
          <w:szCs w:val="22"/>
        </w:rPr>
        <w:t>Predávkovania gabapentínom, zvlášť v kombinácii s inými antidepresívami CNS, môžu mať za následok kómu.</w:t>
      </w:r>
    </w:p>
    <w:p w14:paraId="3C1C532C" w14:textId="77777777" w:rsidR="002141C2" w:rsidRPr="00B30C0B" w:rsidRDefault="002141C2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5AF8FAF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I keď sa dá gabapentín odstrániť hemodialýzou, predchádzajúce skúsenosti ukazujú, že to obvykle nie</w:t>
      </w:r>
    </w:p>
    <w:p w14:paraId="5B27F81A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je potrebné. Hemodialýza však môže byť indikovaná u pacientov so závažným poškodením funkcie</w:t>
      </w:r>
    </w:p>
    <w:p w14:paraId="2765DAE2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obličiek.</w:t>
      </w:r>
    </w:p>
    <w:p w14:paraId="098AD6FD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E6654F2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Perorálna letálna dávka gabapentínu u myší a potkanov, ktorí dostali dávky až vo výške 8 000 mg/kg,</w:t>
      </w:r>
    </w:p>
    <w:p w14:paraId="26D581C3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sa nezistila. Znaky akútnej toxicity u zvierat zahrňovali ataxiu, namáhavé dýchanie, ptózu,</w:t>
      </w:r>
    </w:p>
    <w:p w14:paraId="67DFD201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lastRenderedPageBreak/>
        <w:t>hypoaktivitu alebo excitáciu.</w:t>
      </w:r>
    </w:p>
    <w:p w14:paraId="10886B19" w14:textId="77777777" w:rsidR="00ED1D8D" w:rsidRPr="00B30C0B" w:rsidRDefault="00ED1D8D" w:rsidP="00B30C0B">
      <w:pPr>
        <w:rPr>
          <w:sz w:val="22"/>
          <w:szCs w:val="22"/>
        </w:rPr>
      </w:pPr>
    </w:p>
    <w:p w14:paraId="5C8165C9" w14:textId="77777777" w:rsidR="00933A1C" w:rsidRPr="00B30C0B" w:rsidRDefault="00933A1C" w:rsidP="00B30C0B">
      <w:pPr>
        <w:rPr>
          <w:sz w:val="22"/>
          <w:szCs w:val="22"/>
        </w:rPr>
      </w:pPr>
    </w:p>
    <w:p w14:paraId="6B2AC9B3" w14:textId="77777777" w:rsidR="007D1F46" w:rsidRPr="00B30C0B" w:rsidRDefault="00933A1C" w:rsidP="00B30C0B">
      <w:pPr>
        <w:keepNext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FARMAKOLOGICKÉ</w:t>
      </w:r>
      <w:r w:rsidR="00436CA9" w:rsidRPr="00B30C0B">
        <w:rPr>
          <w:b/>
          <w:bCs/>
          <w:sz w:val="22"/>
          <w:szCs w:val="22"/>
        </w:rPr>
        <w:t xml:space="preserve"> </w:t>
      </w:r>
      <w:r w:rsidR="007D1F46" w:rsidRPr="00B30C0B">
        <w:rPr>
          <w:b/>
          <w:bCs/>
          <w:sz w:val="22"/>
          <w:szCs w:val="22"/>
        </w:rPr>
        <w:t>VLASTNOSTI</w:t>
      </w:r>
    </w:p>
    <w:p w14:paraId="6388D7A1" w14:textId="77777777" w:rsidR="0020016D" w:rsidRPr="00C155BF" w:rsidRDefault="0020016D" w:rsidP="00B30C0B">
      <w:pPr>
        <w:keepNext/>
        <w:rPr>
          <w:bCs/>
          <w:sz w:val="22"/>
          <w:szCs w:val="22"/>
        </w:rPr>
      </w:pPr>
    </w:p>
    <w:p w14:paraId="13C52238" w14:textId="77777777" w:rsidR="007D1F46" w:rsidRPr="00B30C0B" w:rsidRDefault="00B95DBD" w:rsidP="00B30C0B">
      <w:pPr>
        <w:keepNext/>
        <w:ind w:left="360" w:hanging="360"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5.1</w:t>
      </w:r>
      <w:r w:rsidRPr="00B30C0B">
        <w:rPr>
          <w:b/>
          <w:bCs/>
          <w:sz w:val="22"/>
          <w:szCs w:val="22"/>
        </w:rPr>
        <w:tab/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Farmakodynamické vlastnosti</w:t>
      </w:r>
    </w:p>
    <w:p w14:paraId="0CBE72F2" w14:textId="77777777" w:rsidR="0020016D" w:rsidRPr="00C155BF" w:rsidRDefault="0020016D" w:rsidP="00B30C0B">
      <w:pPr>
        <w:keepNext/>
        <w:rPr>
          <w:bCs/>
          <w:sz w:val="22"/>
          <w:szCs w:val="22"/>
        </w:rPr>
      </w:pPr>
    </w:p>
    <w:p w14:paraId="2AED1BB3" w14:textId="33F4D21C" w:rsidR="00155DCB" w:rsidRPr="00B30C0B" w:rsidRDefault="00610684" w:rsidP="00B30C0B">
      <w:pPr>
        <w:keepNext/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Farmakoterapeutická skupina: </w:t>
      </w:r>
      <w:r w:rsidR="004733C2" w:rsidRPr="00B30C0B">
        <w:rPr>
          <w:sz w:val="22"/>
          <w:szCs w:val="22"/>
        </w:rPr>
        <w:t xml:space="preserve">Antiepileptiká, </w:t>
      </w:r>
      <w:r w:rsidR="00155DCB" w:rsidRPr="00B30C0B">
        <w:rPr>
          <w:sz w:val="22"/>
          <w:szCs w:val="22"/>
        </w:rPr>
        <w:t>Iné</w:t>
      </w:r>
      <w:r w:rsidRPr="00B30C0B">
        <w:rPr>
          <w:sz w:val="22"/>
          <w:szCs w:val="22"/>
        </w:rPr>
        <w:t xml:space="preserve"> antiepileptiká,</w:t>
      </w:r>
    </w:p>
    <w:p w14:paraId="014C7506" w14:textId="522D5244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ATC kód: N03AX12</w:t>
      </w:r>
    </w:p>
    <w:p w14:paraId="6D32291D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86037BF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Mechanizmus účinku</w:t>
      </w:r>
    </w:p>
    <w:p w14:paraId="5E47634A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1C5D3D6E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>Gabapentín ľahko preniká do mozgu a predchádza vzniku epileptických záchvatov v niekoľkých zvieracích modeloch epilepsie. Gabapentín nevykazuje afinitu k receptoru GABAA ani k receptoru GABAB, ani nemení metabolizmus GABA. Neviaže sa na receptory iných neurotransmiterov v mozgu ani neinteraguje so sodíkovými kanálmi. Gabapentín sa s vysokou afinitou viaže na α2δ (alfa</w:t>
      </w:r>
      <w:r w:rsidRPr="00B30C0B">
        <w:rPr>
          <w:sz w:val="22"/>
          <w:szCs w:val="22"/>
          <w:lang w:eastAsia="en-GB"/>
        </w:rPr>
        <w:noBreakHyphen/>
        <w:t>2</w:t>
      </w:r>
      <w:r w:rsidRPr="00B30C0B">
        <w:rPr>
          <w:sz w:val="22"/>
          <w:szCs w:val="22"/>
          <w:lang w:eastAsia="en-GB"/>
        </w:rPr>
        <w:noBreakHyphen/>
        <w:t>delta) podjednotku napäťovo riadených kalciových kanálov a usudzuje sa, že väzba na α2δ podjednotku sa môže podieľať na antikonvulzívnych účinkoch gabapentínu u zvierat. Rozsiahly skríningový panel nenaznačuje nijaký iný cieľ tohto liečiva ako α2δ.</w:t>
      </w:r>
    </w:p>
    <w:p w14:paraId="400A5B22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</w:p>
    <w:p w14:paraId="68570DB4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  <w:r w:rsidRPr="00B30C0B">
        <w:rPr>
          <w:sz w:val="22"/>
          <w:szCs w:val="22"/>
          <w:lang w:eastAsia="en-GB"/>
        </w:rPr>
        <w:t xml:space="preserve">Dôkazy z niekoľkých predklinických modelov ukazujú, že farmakologický účinok gabapentínu môže byť sprostredkovaný väzbou na α2δ prostredníctvom zníženia uvoľňovania excitačných neurotransmiterov v oblastiach centrálneho nervového systému. Takéto pôsobenie môže tvoriť podstatu antikonvulzívnej aktivity gabapentínu. Význam tohto pôsobenia gabapentínu pre antikonvulzívne účinky u ľudí ešte treba stanoviť. </w:t>
      </w:r>
    </w:p>
    <w:p w14:paraId="6EB590DF" w14:textId="77777777" w:rsidR="00637E72" w:rsidRPr="00B30C0B" w:rsidRDefault="00637E72" w:rsidP="00B30C0B">
      <w:pPr>
        <w:shd w:val="clear" w:color="auto" w:fill="FFFFFF"/>
        <w:rPr>
          <w:sz w:val="22"/>
          <w:szCs w:val="22"/>
          <w:lang w:eastAsia="en-GB"/>
        </w:rPr>
      </w:pPr>
    </w:p>
    <w:p w14:paraId="4683BD16" w14:textId="77777777" w:rsidR="00637E72" w:rsidRPr="00B30C0B" w:rsidRDefault="00637E72" w:rsidP="00B30C0B">
      <w:pPr>
        <w:shd w:val="clear" w:color="auto" w:fill="FFFFFF"/>
        <w:rPr>
          <w:sz w:val="22"/>
          <w:szCs w:val="22"/>
        </w:rPr>
      </w:pPr>
      <w:r w:rsidRPr="00B30C0B">
        <w:rPr>
          <w:sz w:val="22"/>
          <w:szCs w:val="22"/>
          <w:lang w:eastAsia="en-GB"/>
        </w:rPr>
        <w:t>Gabapentín vykazuje účinnosť aj v niekoľkých predklinických zvieracích modeloch bolesti. Usudzuje sa, že špecifická väzba gabapentínu na α2δ podjednotku má za následok niekoľko rôznych účinkov, ktoré môžu byť zodpovedné za analgetickú aktivitu v zvieracích modeloch. K analgetickému pôsobeniu môže dôjsť v mieche ako aj vo vyšších mozgových centrách prostredníctvom interakcií so zostupnými inhibičnými dráhami bolesti. Význam týchto predklinických vlastností pre klinický účinok u ľudí nie je známy.</w:t>
      </w:r>
    </w:p>
    <w:p w14:paraId="51F0A833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8719F78" w14:textId="77777777" w:rsidR="004733C2" w:rsidRPr="00B30C0B" w:rsidRDefault="00436CA9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Klinická účinnosť</w:t>
      </w:r>
      <w:r w:rsidR="004733C2" w:rsidRPr="00B30C0B">
        <w:rPr>
          <w:sz w:val="22"/>
          <w:szCs w:val="22"/>
          <w:u w:val="single"/>
        </w:rPr>
        <w:t xml:space="preserve"> a </w:t>
      </w:r>
      <w:r w:rsidRPr="00B30C0B">
        <w:rPr>
          <w:sz w:val="22"/>
          <w:szCs w:val="22"/>
          <w:u w:val="single"/>
        </w:rPr>
        <w:t>bezpečnosť</w:t>
      </w:r>
    </w:p>
    <w:p w14:paraId="59FF8A7F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B71040D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Klinická štúdia prídavnej liečby parciálnych záchvatov u pediatrických pacientov vo veku od</w:t>
      </w:r>
    </w:p>
    <w:p w14:paraId="79B53F5C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3 do 12 rokov ukázala číselný, ale nie štatisticky významný rozdiel u 50 % pacientov, ktorí odpovedali</w:t>
      </w:r>
    </w:p>
    <w:p w14:paraId="394CA80E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na liečbu, v prospech gabapentínovej skupiny v porovnaní s placebom. Dodatočná následná analýza</w:t>
      </w:r>
    </w:p>
    <w:p w14:paraId="4CD7EFD6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počtu pacientov odpovedajúcich na liečbu podľa veku neodhalila štatisticky významný vplyv veku, či</w:t>
      </w:r>
    </w:p>
    <w:p w14:paraId="1318BAEA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už ako kontinuálnej alebo ako dichotomickej premennej veličiny (rozdelenej na vekové skupiny</w:t>
      </w:r>
    </w:p>
    <w:p w14:paraId="36C75223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3 - 5 rokov a 6 - 12 rokov). Údaje z tejto ďalšej následnej analýzy sú zhrnuté nižšie v tabuľke:</w:t>
      </w:r>
    </w:p>
    <w:p w14:paraId="17A6EC39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9C10292" w14:textId="77777777" w:rsidR="00610684" w:rsidRPr="00B30C0B" w:rsidRDefault="00610684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Odpoveď (</w:t>
      </w:r>
      <w:r w:rsidR="00EB1B90" w:rsidRPr="00B30C0B">
        <w:rPr>
          <w:sz w:val="22"/>
          <w:szCs w:val="22"/>
        </w:rPr>
        <w:sym w:font="Symbol" w:char="F0B3"/>
      </w:r>
      <w:r w:rsidRPr="00B30C0B">
        <w:rPr>
          <w:sz w:val="22"/>
          <w:szCs w:val="22"/>
        </w:rPr>
        <w:t>50 % zlepšenie) podľa liečby a veku populácie MITT*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2381"/>
      </w:tblGrid>
      <w:tr w:rsidR="00610684" w:rsidRPr="00B30C0B" w14:paraId="694C6655" w14:textId="77777777" w:rsidTr="003443D5">
        <w:tc>
          <w:tcPr>
            <w:tcW w:w="2302" w:type="dxa"/>
          </w:tcPr>
          <w:p w14:paraId="7C8CA042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veková kategória</w:t>
            </w:r>
          </w:p>
        </w:tc>
        <w:tc>
          <w:tcPr>
            <w:tcW w:w="2302" w:type="dxa"/>
          </w:tcPr>
          <w:p w14:paraId="39ED02AE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placebo</w:t>
            </w:r>
          </w:p>
        </w:tc>
        <w:tc>
          <w:tcPr>
            <w:tcW w:w="2303" w:type="dxa"/>
          </w:tcPr>
          <w:p w14:paraId="548CAD0B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gabapentín</w:t>
            </w:r>
          </w:p>
        </w:tc>
        <w:tc>
          <w:tcPr>
            <w:tcW w:w="2381" w:type="dxa"/>
          </w:tcPr>
          <w:p w14:paraId="33D7650D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p-hodnota</w:t>
            </w:r>
          </w:p>
        </w:tc>
      </w:tr>
      <w:tr w:rsidR="00610684" w:rsidRPr="00B30C0B" w14:paraId="4172AE10" w14:textId="77777777" w:rsidTr="003443D5">
        <w:tc>
          <w:tcPr>
            <w:tcW w:w="2302" w:type="dxa"/>
          </w:tcPr>
          <w:p w14:paraId="32FEB714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&lt; 6 rokov</w:t>
            </w:r>
          </w:p>
        </w:tc>
        <w:tc>
          <w:tcPr>
            <w:tcW w:w="2302" w:type="dxa"/>
          </w:tcPr>
          <w:p w14:paraId="70C238D4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4/21 (19,0 %)</w:t>
            </w:r>
          </w:p>
        </w:tc>
        <w:tc>
          <w:tcPr>
            <w:tcW w:w="2303" w:type="dxa"/>
          </w:tcPr>
          <w:p w14:paraId="660B108E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4/17 (23,5 %)</w:t>
            </w:r>
          </w:p>
        </w:tc>
        <w:tc>
          <w:tcPr>
            <w:tcW w:w="2381" w:type="dxa"/>
          </w:tcPr>
          <w:p w14:paraId="5186F505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0,7362</w:t>
            </w:r>
          </w:p>
        </w:tc>
      </w:tr>
      <w:tr w:rsidR="00610684" w:rsidRPr="00B30C0B" w14:paraId="23AE334E" w14:textId="77777777" w:rsidTr="003443D5">
        <w:tc>
          <w:tcPr>
            <w:tcW w:w="2302" w:type="dxa"/>
          </w:tcPr>
          <w:p w14:paraId="678C6F35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6 až 12 rokov</w:t>
            </w:r>
          </w:p>
        </w:tc>
        <w:tc>
          <w:tcPr>
            <w:tcW w:w="2302" w:type="dxa"/>
          </w:tcPr>
          <w:p w14:paraId="11932477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17/99 (17,2 %)</w:t>
            </w:r>
          </w:p>
        </w:tc>
        <w:tc>
          <w:tcPr>
            <w:tcW w:w="2303" w:type="dxa"/>
          </w:tcPr>
          <w:p w14:paraId="54EAA566" w14:textId="77777777" w:rsidR="00610684" w:rsidRPr="00B30C0B" w:rsidRDefault="00610684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20/96 (20,8 %)</w:t>
            </w:r>
          </w:p>
        </w:tc>
        <w:tc>
          <w:tcPr>
            <w:tcW w:w="2381" w:type="dxa"/>
          </w:tcPr>
          <w:p w14:paraId="48D80E6C" w14:textId="77777777" w:rsidR="00610684" w:rsidRPr="00B30C0B" w:rsidRDefault="00610684" w:rsidP="00B30C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0,5144</w:t>
            </w:r>
          </w:p>
        </w:tc>
      </w:tr>
    </w:tbl>
    <w:p w14:paraId="6CF30AA7" w14:textId="77777777" w:rsidR="00610684" w:rsidRPr="00B30C0B" w:rsidRDefault="00610684" w:rsidP="00B30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sz w:val="22"/>
          <w:szCs w:val="22"/>
        </w:rPr>
      </w:pPr>
    </w:p>
    <w:p w14:paraId="42ECA845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*Modifikovaný zámer liečiť (modified intent to treat, MITT) populáciu bol definovaný ako všetci</w:t>
      </w:r>
    </w:p>
    <w:p w14:paraId="0C0045CC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pacienti randomizovaní na liečbu v štúdii, ktorí tiež mali k dispozícii hodnotiteľné denníky záchvatov</w:t>
      </w:r>
    </w:p>
    <w:p w14:paraId="018257B7" w14:textId="77777777" w:rsidR="00610684" w:rsidRPr="00B30C0B" w:rsidRDefault="00610684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za obdobie 28 dní počas oboch fáz, fázy na začiatku sledovania a dvojito–zaslepenej fázy.</w:t>
      </w:r>
    </w:p>
    <w:p w14:paraId="006BA83A" w14:textId="77777777" w:rsidR="00754E96" w:rsidRPr="00B30C0B" w:rsidRDefault="00754E96" w:rsidP="00B30C0B">
      <w:pPr>
        <w:rPr>
          <w:sz w:val="22"/>
          <w:szCs w:val="22"/>
        </w:rPr>
      </w:pPr>
    </w:p>
    <w:p w14:paraId="3D217B02" w14:textId="77777777" w:rsidR="007D1F46" w:rsidRPr="00B30C0B" w:rsidRDefault="00B95DBD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5.2</w:t>
      </w:r>
      <w:r w:rsidR="007D1F46" w:rsidRPr="00B30C0B">
        <w:rPr>
          <w:b/>
          <w:bCs/>
          <w:sz w:val="22"/>
          <w:szCs w:val="22"/>
        </w:rPr>
        <w:t xml:space="preserve"> </w:t>
      </w:r>
      <w:r w:rsidR="00226304"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Farmakokinetické vlastnosti</w:t>
      </w:r>
    </w:p>
    <w:p w14:paraId="4878DB12" w14:textId="77777777" w:rsidR="0020016D" w:rsidRPr="00B30C0B" w:rsidRDefault="0020016D" w:rsidP="00B30C0B">
      <w:pPr>
        <w:rPr>
          <w:b/>
          <w:bCs/>
          <w:sz w:val="22"/>
          <w:szCs w:val="22"/>
        </w:rPr>
      </w:pPr>
    </w:p>
    <w:p w14:paraId="5F791CE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Absorpcia</w:t>
      </w:r>
    </w:p>
    <w:p w14:paraId="4455A753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500EED9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 perorálnom podaní sa maximálne plazmatické koncentrácie gabapentínu dosiahnu počas</w:t>
      </w:r>
    </w:p>
    <w:p w14:paraId="2FD7D08D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lastRenderedPageBreak/>
        <w:t>2 až 3 hodín. Biologická dostupnosť gabapentínu (podiel absorbovanej dávky) so stúpajúcou dávkou</w:t>
      </w:r>
    </w:p>
    <w:p w14:paraId="0568834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klesá. Absolútna biologická dostupnosť 300 mg kapsuly gabapentínu je približne 60 %. Jedlo, vrátane</w:t>
      </w:r>
    </w:p>
    <w:p w14:paraId="1580C3F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jedla s vysokým obsahom tuku, nemá klinicky významný vplyv na farmakokinetiku gabapentínu.</w:t>
      </w:r>
    </w:p>
    <w:p w14:paraId="07E987D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50BDDD4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Farmakokinetika gabapentínu nie je ovplyvnená opakovaným podávaním. Hoci plazmatické</w:t>
      </w:r>
    </w:p>
    <w:p w14:paraId="5349C86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koncentrácie gabapentínu v klinických štúdiách boli vo všeobecnosti v rozmedzí 2 µg/ml a 20 µg/ml,</w:t>
      </w:r>
    </w:p>
    <w:p w14:paraId="5099448C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 takýchto koncentrácií sa nedá predpovedať jeho bezpečnosť alebo účinnosť. Farmakokinetické</w:t>
      </w:r>
    </w:p>
    <w:p w14:paraId="22E78CBF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parametre sú uvedené v Tabuľke 3.</w:t>
      </w:r>
    </w:p>
    <w:p w14:paraId="280F45B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6CF25E83" w14:textId="3AF3EE5B" w:rsidR="00702653" w:rsidRPr="00B30C0B" w:rsidRDefault="00702653" w:rsidP="00B30C0B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B30C0B">
        <w:rPr>
          <w:sz w:val="22"/>
          <w:szCs w:val="22"/>
        </w:rPr>
        <w:t>Tabuľka 3</w:t>
      </w:r>
    </w:p>
    <w:p w14:paraId="2920AA0C" w14:textId="77777777" w:rsidR="00702653" w:rsidRPr="00B30C0B" w:rsidRDefault="00702653" w:rsidP="00B30C0B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B30C0B">
        <w:rPr>
          <w:sz w:val="22"/>
          <w:szCs w:val="22"/>
        </w:rPr>
        <w:t>Súhrn priemerných (% CV) rovnovážnych farmakokinetických parametrov gabapentínu</w:t>
      </w:r>
    </w:p>
    <w:p w14:paraId="65285BE9" w14:textId="77777777" w:rsidR="00702653" w:rsidRPr="00B30C0B" w:rsidRDefault="00702653" w:rsidP="00B30C0B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B30C0B">
        <w:rPr>
          <w:sz w:val="22"/>
          <w:szCs w:val="22"/>
        </w:rPr>
        <w:t>po podávaní každých osem hodín.</w:t>
      </w:r>
    </w:p>
    <w:p w14:paraId="585AD368" w14:textId="77777777" w:rsidR="00702653" w:rsidRPr="00B30C0B" w:rsidRDefault="00702653" w:rsidP="00B30C0B">
      <w:pPr>
        <w:keepNext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  <w:gridCol w:w="1260"/>
        <w:gridCol w:w="1080"/>
        <w:gridCol w:w="1260"/>
        <w:gridCol w:w="1260"/>
        <w:gridCol w:w="1002"/>
      </w:tblGrid>
      <w:tr w:rsidR="00702653" w:rsidRPr="00B30C0B" w14:paraId="307688B4" w14:textId="77777777" w:rsidTr="003443D5">
        <w:tc>
          <w:tcPr>
            <w:tcW w:w="2088" w:type="dxa"/>
          </w:tcPr>
          <w:p w14:paraId="2F6D2DD9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Farmakokinetický</w:t>
            </w:r>
          </w:p>
          <w:p w14:paraId="0A84BB59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parameter</w:t>
            </w:r>
          </w:p>
          <w:p w14:paraId="2113ECD2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4710391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300 mg</w:t>
            </w:r>
          </w:p>
          <w:p w14:paraId="4EA28BE5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(N = 7)</w:t>
            </w:r>
          </w:p>
          <w:p w14:paraId="4CDDAF33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F971DA7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3597F9D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400 mg</w:t>
            </w:r>
          </w:p>
          <w:p w14:paraId="6B816BE5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(N = 14)</w:t>
            </w:r>
          </w:p>
          <w:p w14:paraId="5F15236E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FD1AE3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0FD4DD5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800 mg</w:t>
            </w:r>
          </w:p>
          <w:p w14:paraId="009FB648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(N = 14)</w:t>
            </w:r>
          </w:p>
          <w:p w14:paraId="0A2089BA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1D506670" w14:textId="77777777" w:rsidR="00702653" w:rsidRPr="00B30C0B" w:rsidRDefault="00702653" w:rsidP="00B30C0B">
            <w:pPr>
              <w:keepNext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B30C0B" w14:paraId="0C7E7655" w14:textId="77777777" w:rsidTr="003443D5">
        <w:tc>
          <w:tcPr>
            <w:tcW w:w="2088" w:type="dxa"/>
          </w:tcPr>
          <w:p w14:paraId="4E67317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E0F8F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3CBCA26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% CV</w:t>
            </w:r>
          </w:p>
        </w:tc>
        <w:tc>
          <w:tcPr>
            <w:tcW w:w="1080" w:type="dxa"/>
          </w:tcPr>
          <w:p w14:paraId="2BB0295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Priemer</w:t>
            </w:r>
          </w:p>
        </w:tc>
        <w:tc>
          <w:tcPr>
            <w:tcW w:w="1260" w:type="dxa"/>
          </w:tcPr>
          <w:p w14:paraId="202F684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% CV</w:t>
            </w:r>
          </w:p>
        </w:tc>
        <w:tc>
          <w:tcPr>
            <w:tcW w:w="1260" w:type="dxa"/>
          </w:tcPr>
          <w:p w14:paraId="55BFDB3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Priemer</w:t>
            </w:r>
          </w:p>
        </w:tc>
        <w:tc>
          <w:tcPr>
            <w:tcW w:w="1002" w:type="dxa"/>
          </w:tcPr>
          <w:p w14:paraId="3C4A612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% CV</w:t>
            </w:r>
          </w:p>
        </w:tc>
      </w:tr>
      <w:tr w:rsidR="00702653" w:rsidRPr="00B30C0B" w14:paraId="4D389A4C" w14:textId="77777777" w:rsidTr="003443D5">
        <w:tc>
          <w:tcPr>
            <w:tcW w:w="2088" w:type="dxa"/>
          </w:tcPr>
          <w:p w14:paraId="6A8E47D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Cmax (μg/ml)</w:t>
            </w:r>
          </w:p>
        </w:tc>
        <w:tc>
          <w:tcPr>
            <w:tcW w:w="1260" w:type="dxa"/>
          </w:tcPr>
          <w:p w14:paraId="6F66B5F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4,02</w:t>
            </w:r>
          </w:p>
        </w:tc>
        <w:tc>
          <w:tcPr>
            <w:tcW w:w="1260" w:type="dxa"/>
          </w:tcPr>
          <w:p w14:paraId="526044D6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523D99E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5,74</w:t>
            </w:r>
          </w:p>
        </w:tc>
        <w:tc>
          <w:tcPr>
            <w:tcW w:w="1260" w:type="dxa"/>
          </w:tcPr>
          <w:p w14:paraId="204572A2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(38)</w:t>
            </w:r>
          </w:p>
        </w:tc>
        <w:tc>
          <w:tcPr>
            <w:tcW w:w="1260" w:type="dxa"/>
          </w:tcPr>
          <w:p w14:paraId="234B6A2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8,71</w:t>
            </w:r>
          </w:p>
        </w:tc>
        <w:tc>
          <w:tcPr>
            <w:tcW w:w="1002" w:type="dxa"/>
          </w:tcPr>
          <w:p w14:paraId="1F34F21A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(29)</w:t>
            </w:r>
          </w:p>
        </w:tc>
      </w:tr>
      <w:tr w:rsidR="00702653" w:rsidRPr="00B30C0B" w14:paraId="67E5E5BB" w14:textId="77777777" w:rsidTr="003443D5">
        <w:tc>
          <w:tcPr>
            <w:tcW w:w="2088" w:type="dxa"/>
          </w:tcPr>
          <w:p w14:paraId="0F84410F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tmax (h)</w:t>
            </w:r>
          </w:p>
        </w:tc>
        <w:tc>
          <w:tcPr>
            <w:tcW w:w="1260" w:type="dxa"/>
          </w:tcPr>
          <w:p w14:paraId="5FC0A20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2,7</w:t>
            </w:r>
          </w:p>
        </w:tc>
        <w:tc>
          <w:tcPr>
            <w:tcW w:w="1260" w:type="dxa"/>
          </w:tcPr>
          <w:p w14:paraId="7C15E97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(18)</w:t>
            </w:r>
          </w:p>
        </w:tc>
        <w:tc>
          <w:tcPr>
            <w:tcW w:w="1080" w:type="dxa"/>
          </w:tcPr>
          <w:p w14:paraId="6FAAA07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2,1</w:t>
            </w:r>
          </w:p>
        </w:tc>
        <w:tc>
          <w:tcPr>
            <w:tcW w:w="1260" w:type="dxa"/>
          </w:tcPr>
          <w:p w14:paraId="7FDC045F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(54)</w:t>
            </w:r>
          </w:p>
        </w:tc>
        <w:tc>
          <w:tcPr>
            <w:tcW w:w="1260" w:type="dxa"/>
          </w:tcPr>
          <w:p w14:paraId="36A0A16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1,6</w:t>
            </w:r>
          </w:p>
        </w:tc>
        <w:tc>
          <w:tcPr>
            <w:tcW w:w="1002" w:type="dxa"/>
          </w:tcPr>
          <w:p w14:paraId="4B5DC89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(76)</w:t>
            </w:r>
          </w:p>
        </w:tc>
      </w:tr>
      <w:tr w:rsidR="00702653" w:rsidRPr="00B30C0B" w14:paraId="70E25A1D" w14:textId="77777777" w:rsidTr="003443D5">
        <w:tc>
          <w:tcPr>
            <w:tcW w:w="2088" w:type="dxa"/>
          </w:tcPr>
          <w:p w14:paraId="79AB27B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T1/2  (h)</w:t>
            </w:r>
          </w:p>
        </w:tc>
        <w:tc>
          <w:tcPr>
            <w:tcW w:w="1260" w:type="dxa"/>
          </w:tcPr>
          <w:p w14:paraId="361EE607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5,2</w:t>
            </w:r>
          </w:p>
        </w:tc>
        <w:tc>
          <w:tcPr>
            <w:tcW w:w="1260" w:type="dxa"/>
          </w:tcPr>
          <w:p w14:paraId="5A6B78E0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(12)</w:t>
            </w:r>
          </w:p>
        </w:tc>
        <w:tc>
          <w:tcPr>
            <w:tcW w:w="1080" w:type="dxa"/>
          </w:tcPr>
          <w:p w14:paraId="68091D83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10,8</w:t>
            </w:r>
          </w:p>
        </w:tc>
        <w:tc>
          <w:tcPr>
            <w:tcW w:w="1260" w:type="dxa"/>
          </w:tcPr>
          <w:p w14:paraId="40BE1942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(89)</w:t>
            </w:r>
          </w:p>
        </w:tc>
        <w:tc>
          <w:tcPr>
            <w:tcW w:w="1260" w:type="dxa"/>
          </w:tcPr>
          <w:p w14:paraId="57DBDDA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10,6</w:t>
            </w:r>
          </w:p>
        </w:tc>
        <w:tc>
          <w:tcPr>
            <w:tcW w:w="1002" w:type="dxa"/>
          </w:tcPr>
          <w:p w14:paraId="28D43AD9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(41)</w:t>
            </w:r>
          </w:p>
        </w:tc>
      </w:tr>
      <w:tr w:rsidR="00702653" w:rsidRPr="00B30C0B" w14:paraId="54779FCE" w14:textId="77777777" w:rsidTr="003443D5">
        <w:tc>
          <w:tcPr>
            <w:tcW w:w="2088" w:type="dxa"/>
          </w:tcPr>
          <w:p w14:paraId="36A80F16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AUC(0-8)</w:t>
            </w:r>
          </w:p>
        </w:tc>
        <w:tc>
          <w:tcPr>
            <w:tcW w:w="1260" w:type="dxa"/>
          </w:tcPr>
          <w:p w14:paraId="68577EE7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24,8</w:t>
            </w:r>
          </w:p>
        </w:tc>
        <w:tc>
          <w:tcPr>
            <w:tcW w:w="1260" w:type="dxa"/>
          </w:tcPr>
          <w:p w14:paraId="7FAC61C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(24)</w:t>
            </w:r>
          </w:p>
        </w:tc>
        <w:tc>
          <w:tcPr>
            <w:tcW w:w="1080" w:type="dxa"/>
          </w:tcPr>
          <w:p w14:paraId="1330AEF2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34,5</w:t>
            </w:r>
          </w:p>
        </w:tc>
        <w:tc>
          <w:tcPr>
            <w:tcW w:w="1260" w:type="dxa"/>
          </w:tcPr>
          <w:p w14:paraId="4DB439AD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(34)</w:t>
            </w:r>
          </w:p>
        </w:tc>
        <w:tc>
          <w:tcPr>
            <w:tcW w:w="1260" w:type="dxa"/>
          </w:tcPr>
          <w:p w14:paraId="161591C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51,4</w:t>
            </w:r>
          </w:p>
        </w:tc>
        <w:tc>
          <w:tcPr>
            <w:tcW w:w="1002" w:type="dxa"/>
          </w:tcPr>
          <w:p w14:paraId="5486DA7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(27)</w:t>
            </w:r>
          </w:p>
        </w:tc>
      </w:tr>
      <w:tr w:rsidR="00702653" w:rsidRPr="00B30C0B" w14:paraId="14BB3863" w14:textId="77777777" w:rsidTr="003443D5">
        <w:tc>
          <w:tcPr>
            <w:tcW w:w="2088" w:type="dxa"/>
          </w:tcPr>
          <w:p w14:paraId="0C3A91DB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(μg</w:t>
            </w:r>
            <w:r w:rsidRPr="00B30C0B">
              <w:rPr>
                <w:sz w:val="22"/>
                <w:szCs w:val="22"/>
              </w:rPr>
              <w:sym w:font="Symbol" w:char="F0B7"/>
            </w:r>
            <w:r w:rsidRPr="00B30C0B">
              <w:rPr>
                <w:sz w:val="22"/>
                <w:szCs w:val="22"/>
              </w:rPr>
              <w:t>.hr/ml)</w:t>
            </w:r>
          </w:p>
          <w:p w14:paraId="3DFA473D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58BD05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C48A00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EEE72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526DC78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EE4D9D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02" w:type="dxa"/>
          </w:tcPr>
          <w:p w14:paraId="3C86A6D6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02653" w:rsidRPr="00B30C0B" w14:paraId="310DE309" w14:textId="77777777" w:rsidTr="003443D5">
        <w:tc>
          <w:tcPr>
            <w:tcW w:w="2088" w:type="dxa"/>
          </w:tcPr>
          <w:p w14:paraId="6D6EDCDE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Ae% (%)</w:t>
            </w:r>
          </w:p>
        </w:tc>
        <w:tc>
          <w:tcPr>
            <w:tcW w:w="1260" w:type="dxa"/>
          </w:tcPr>
          <w:p w14:paraId="511C259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NA</w:t>
            </w:r>
          </w:p>
        </w:tc>
        <w:tc>
          <w:tcPr>
            <w:tcW w:w="1260" w:type="dxa"/>
          </w:tcPr>
          <w:p w14:paraId="3FDBC057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6C6EAE4F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47,2</w:t>
            </w:r>
          </w:p>
        </w:tc>
        <w:tc>
          <w:tcPr>
            <w:tcW w:w="1260" w:type="dxa"/>
          </w:tcPr>
          <w:p w14:paraId="6D21EB55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(25)</w:t>
            </w:r>
          </w:p>
        </w:tc>
        <w:tc>
          <w:tcPr>
            <w:tcW w:w="1260" w:type="dxa"/>
          </w:tcPr>
          <w:p w14:paraId="494E059A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34,4</w:t>
            </w:r>
          </w:p>
        </w:tc>
        <w:tc>
          <w:tcPr>
            <w:tcW w:w="1002" w:type="dxa"/>
          </w:tcPr>
          <w:p w14:paraId="5139CA2C" w14:textId="77777777" w:rsidR="00702653" w:rsidRPr="00B30C0B" w:rsidRDefault="00702653" w:rsidP="00B30C0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0C0B">
              <w:rPr>
                <w:sz w:val="22"/>
                <w:szCs w:val="22"/>
              </w:rPr>
              <w:t>(37)</w:t>
            </w:r>
          </w:p>
        </w:tc>
      </w:tr>
    </w:tbl>
    <w:p w14:paraId="7CCB9D1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Cmax = maximálna plazmatická koncentrácia v rovnovážnom stave</w:t>
      </w:r>
    </w:p>
    <w:p w14:paraId="2A559C59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tmax = čas potrebný na dosiahnutie Cmax</w:t>
      </w:r>
    </w:p>
    <w:p w14:paraId="315BCFE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T1/2 = eliminačný polčas</w:t>
      </w:r>
    </w:p>
    <w:p w14:paraId="2A42EAD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AUC(0-8) = plocha zodpovedajúca rovnovážnemu stavu pod krivkou závislosti</w:t>
      </w:r>
    </w:p>
    <w:p w14:paraId="6439115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plazmatickej koncentrácie od času v čase od 0 do 8 hodín po podaní dávky</w:t>
      </w:r>
    </w:p>
    <w:p w14:paraId="7C5B8734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Ae% = percentuálne množstvo dávky vylúčenej v nezmenenej forme močom</w:t>
      </w:r>
    </w:p>
    <w:p w14:paraId="5E5ECA1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čase od 0 do 8 hodín po podaní dávky</w:t>
      </w:r>
    </w:p>
    <w:p w14:paraId="757C3D2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NA = údaje nie sú dostupné</w:t>
      </w:r>
    </w:p>
    <w:p w14:paraId="3A430F15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9A673AB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Distribúcia</w:t>
      </w:r>
    </w:p>
    <w:p w14:paraId="41B0353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sa neviaže na plazmatické bielkoviny a má distribučný objem 57,7 litra. U pacientov</w:t>
      </w:r>
    </w:p>
    <w:p w14:paraId="1FF5A35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s epilepsiou dosahujú koncentrácie gabapentínu v cerebrospinálnom moku približne 20 %</w:t>
      </w:r>
    </w:p>
    <w:p w14:paraId="2D883B3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zodpovedajúcich plazmatických koncentrácií v rovnovážnom stave. Gabapentín sa nachádza</w:t>
      </w:r>
    </w:p>
    <w:p w14:paraId="5E53809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materskom mlieku dojčiacich žien.</w:t>
      </w:r>
    </w:p>
    <w:p w14:paraId="44783C9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3B9B86F" w14:textId="77777777" w:rsidR="00702653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Biotransformácia</w:t>
      </w:r>
    </w:p>
    <w:p w14:paraId="16E5680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 metabolizme gabapentínu u ľudí neexistujú dôkazy. Gabapentín neindukuje tvorbu pečeňových</w:t>
      </w:r>
    </w:p>
    <w:p w14:paraId="79D45EA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oxidáz zmiešaných funkcií zodpovedných za metabolizmus liekov.</w:t>
      </w:r>
    </w:p>
    <w:p w14:paraId="634040E0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305B64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Eliminácia</w:t>
      </w:r>
    </w:p>
    <w:p w14:paraId="7D2F9B8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sa eliminuje výlučne obličkami v nezmenenej forme. Eliminačný polčas gabapentínu je</w:t>
      </w:r>
    </w:p>
    <w:p w14:paraId="266DCDE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nezávislý na dávke a dosahuje v priemere 5 – 7 hodín.</w:t>
      </w:r>
    </w:p>
    <w:p w14:paraId="5D7FE9C2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0F379A1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starších pacientov a u pacientov s poškodenou funkciou obličiek je znížený plazmatický klírens</w:t>
      </w:r>
    </w:p>
    <w:p w14:paraId="631EF2F7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gabapentínu. Eliminačná rýchlostná konštanta gabapentínu, plazmatický klírens a obličkový klírens sú</w:t>
      </w:r>
    </w:p>
    <w:p w14:paraId="355BD7A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priamo úmerné klírensu kreatinínu.</w:t>
      </w:r>
    </w:p>
    <w:p w14:paraId="1F6E01E8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A4BF6FF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možno z plazmy odstrániť hemodialýzou. U pacientov so zhoršenou funkciou obličiek</w:t>
      </w:r>
    </w:p>
    <w:p w14:paraId="2F4F8D0C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alebo dialyzovaných pacientov sa odporúča úprava dávkovania (pozri časť 4.2).</w:t>
      </w:r>
    </w:p>
    <w:p w14:paraId="19E2DB3B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F01200E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Farmakokinetika gabapentínu u detí sa skúmala u 50 zdravých jedincov vo veku od 1 mesiaca do</w:t>
      </w:r>
    </w:p>
    <w:p w14:paraId="593786B6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12 rokov. Plazmatické koncentrácie gabapentínu u detí starších ako 5 rokov sú vo všeobecnosti</w:t>
      </w:r>
    </w:p>
    <w:p w14:paraId="4237D4DA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podobné koncentráciám u dospelých, pokiaľ je dávka stanovená na základe prepočtu v mg/kg.</w:t>
      </w:r>
    </w:p>
    <w:p w14:paraId="72ED75C6" w14:textId="4F77A5DE" w:rsidR="00702653" w:rsidRPr="00B30C0B" w:rsidRDefault="00702653" w:rsidP="00B30C0B">
      <w:pPr>
        <w:tabs>
          <w:tab w:val="left" w:pos="2550"/>
        </w:tabs>
        <w:autoSpaceDE w:val="0"/>
        <w:autoSpaceDN w:val="0"/>
        <w:adjustRightInd w:val="0"/>
        <w:rPr>
          <w:sz w:val="22"/>
          <w:szCs w:val="22"/>
        </w:rPr>
      </w:pPr>
    </w:p>
    <w:p w14:paraId="1ACC312E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Vo farmakokinetickej štúdii u 2</w:t>
      </w:r>
      <w:r w:rsidR="00C4085D" w:rsidRPr="00B30C0B">
        <w:rPr>
          <w:sz w:val="22"/>
          <w:szCs w:val="22"/>
        </w:rPr>
        <w:t>4 zdravých pediatrických jedinc</w:t>
      </w:r>
      <w:r w:rsidRPr="00B30C0B">
        <w:rPr>
          <w:sz w:val="22"/>
          <w:szCs w:val="22"/>
        </w:rPr>
        <w:t xml:space="preserve">ov vo veku </w:t>
      </w:r>
      <w:r w:rsidR="002B628A" w:rsidRPr="00B30C0B">
        <w:rPr>
          <w:sz w:val="22"/>
          <w:szCs w:val="22"/>
        </w:rPr>
        <w:t>od</w:t>
      </w:r>
      <w:r w:rsidRPr="00B30C0B">
        <w:rPr>
          <w:sz w:val="22"/>
          <w:szCs w:val="22"/>
        </w:rPr>
        <w:t xml:space="preserve"> 1 mesiaca </w:t>
      </w:r>
      <w:r w:rsidR="002B628A" w:rsidRPr="00B30C0B">
        <w:rPr>
          <w:sz w:val="22"/>
          <w:szCs w:val="22"/>
        </w:rPr>
        <w:t xml:space="preserve">až 48 </w:t>
      </w:r>
      <w:r w:rsidRPr="00B30C0B">
        <w:rPr>
          <w:sz w:val="22"/>
          <w:szCs w:val="22"/>
        </w:rPr>
        <w:t xml:space="preserve">mesiacov, </w:t>
      </w:r>
      <w:r w:rsidR="00C4085D" w:rsidRPr="00B30C0B">
        <w:rPr>
          <w:sz w:val="22"/>
          <w:szCs w:val="22"/>
        </w:rPr>
        <w:t>sa pozorovala nižšia expozícia</w:t>
      </w:r>
      <w:r w:rsidR="00651FCF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približne o 30% </w:t>
      </w:r>
      <w:r w:rsidR="004513F0" w:rsidRPr="00B30C0B">
        <w:rPr>
          <w:sz w:val="22"/>
          <w:szCs w:val="22"/>
        </w:rPr>
        <w:t>(AUC), nižšia</w:t>
      </w:r>
      <w:r w:rsidRPr="00B30C0B">
        <w:rPr>
          <w:sz w:val="22"/>
          <w:szCs w:val="22"/>
        </w:rPr>
        <w:t xml:space="preserve"> C</w:t>
      </w:r>
      <w:r w:rsidRPr="00B30C0B">
        <w:rPr>
          <w:sz w:val="22"/>
          <w:szCs w:val="22"/>
          <w:vertAlign w:val="subscript"/>
        </w:rPr>
        <w:t>max</w:t>
      </w:r>
      <w:r w:rsidRPr="00B30C0B">
        <w:rPr>
          <w:sz w:val="22"/>
          <w:szCs w:val="22"/>
        </w:rPr>
        <w:t xml:space="preserve"> a vyšší klírens na telesnú hmotnosť</w:t>
      </w:r>
      <w:r w:rsidR="004513F0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 xml:space="preserve">v porovnaní </w:t>
      </w:r>
      <w:r w:rsidR="004513F0" w:rsidRPr="00B30C0B">
        <w:rPr>
          <w:sz w:val="22"/>
          <w:szCs w:val="22"/>
        </w:rPr>
        <w:t>s dostupnými</w:t>
      </w:r>
      <w:r w:rsidRPr="00B30C0B">
        <w:rPr>
          <w:sz w:val="22"/>
          <w:szCs w:val="22"/>
        </w:rPr>
        <w:t xml:space="preserve"> hlásenými údajmi u detí starších ako 5 rokov</w:t>
      </w:r>
      <w:r w:rsidR="00651FCF" w:rsidRPr="00B30C0B">
        <w:rPr>
          <w:sz w:val="22"/>
          <w:szCs w:val="22"/>
        </w:rPr>
        <w:t>.</w:t>
      </w:r>
    </w:p>
    <w:p w14:paraId="26877C1E" w14:textId="77777777" w:rsidR="004733C2" w:rsidRPr="00B30C0B" w:rsidRDefault="004733C2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36B14C89" w14:textId="552A42E3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Linearita/</w:t>
      </w:r>
      <w:r w:rsidR="00676DE0" w:rsidRPr="00B30C0B">
        <w:rPr>
          <w:sz w:val="22"/>
          <w:szCs w:val="22"/>
          <w:u w:val="single"/>
        </w:rPr>
        <w:t>n</w:t>
      </w:r>
      <w:r w:rsidRPr="00B30C0B">
        <w:rPr>
          <w:sz w:val="22"/>
          <w:szCs w:val="22"/>
          <w:u w:val="single"/>
        </w:rPr>
        <w:t>elinearita</w:t>
      </w:r>
    </w:p>
    <w:p w14:paraId="4AD2021B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Biologická dostupnosť gabapentínu (podiel absorbovanej dávky) klesá so zvyšujúcou sa dávkou, čo</w:t>
      </w:r>
    </w:p>
    <w:p w14:paraId="75A79395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vnáša nelinearitu do farmakokinetických parametrov, ktoré zahŕňajú parameter biologickej dostupnosti</w:t>
      </w:r>
    </w:p>
    <w:p w14:paraId="38D5A9CC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(F), napr. Ae%, CL/F, Vd/F. Farmakokinetika eliminácie (farmakokinetické parametre, ktoré</w:t>
      </w:r>
    </w:p>
    <w:p w14:paraId="77DFDBE3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nezahŕňajú F, ako sú CLr a T1/2) sa dá najlepšie popísať lineárnou farmakokinetikou. Plazmatické</w:t>
      </w:r>
    </w:p>
    <w:p w14:paraId="62037911" w14:textId="77777777" w:rsidR="00702653" w:rsidRPr="00B30C0B" w:rsidRDefault="00702653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koncentrácie gabapentínu v rovnovážnom stave sa dajú predpovedať z údajov jednej dávky.</w:t>
      </w:r>
    </w:p>
    <w:p w14:paraId="3A4866B4" w14:textId="77777777" w:rsidR="002925AC" w:rsidRPr="00B30C0B" w:rsidRDefault="002925AC" w:rsidP="00B30C0B">
      <w:pPr>
        <w:rPr>
          <w:sz w:val="22"/>
          <w:szCs w:val="22"/>
        </w:rPr>
      </w:pPr>
    </w:p>
    <w:p w14:paraId="0698E5F4" w14:textId="77777777" w:rsidR="007D1F46" w:rsidRPr="00B30C0B" w:rsidRDefault="00B95DBD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5.3</w:t>
      </w:r>
      <w:r w:rsidR="007D1F46" w:rsidRPr="00B30C0B">
        <w:rPr>
          <w:b/>
          <w:bCs/>
          <w:sz w:val="22"/>
          <w:szCs w:val="22"/>
        </w:rPr>
        <w:t xml:space="preserve"> </w:t>
      </w:r>
      <w:r w:rsidR="00F200E3"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 xml:space="preserve">Predklinické údaje o bezpečnosti </w:t>
      </w:r>
    </w:p>
    <w:p w14:paraId="32BA7DF6" w14:textId="77777777" w:rsidR="0020016D" w:rsidRPr="00B30C0B" w:rsidRDefault="0020016D" w:rsidP="00B30C0B">
      <w:pPr>
        <w:rPr>
          <w:b/>
          <w:bCs/>
          <w:sz w:val="22"/>
          <w:szCs w:val="22"/>
        </w:rPr>
      </w:pPr>
    </w:p>
    <w:p w14:paraId="377F025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Karcinogenéza</w:t>
      </w:r>
    </w:p>
    <w:p w14:paraId="1E88768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437ED1C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sa podával v potrave myšiam v dávkach 200, 600 a 2 000 mg/kg/deň a potkanom</w:t>
      </w:r>
    </w:p>
    <w:p w14:paraId="209043BC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dávkach 250, 1 000 a 2 000 mg/kg/deň počas 2 rokov. Štatisticky významný nárast incidencie</w:t>
      </w:r>
    </w:p>
    <w:p w14:paraId="598340D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pankreatického tumoru acinárnych buniek sa zistil len u potkaních samcov pri najvyššej dávke.</w:t>
      </w:r>
    </w:p>
    <w:p w14:paraId="1B5A4A46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Maximálne plazmatické koncentrácie lieku u potkanov pri dávke 2 000 mg/kg/deň sú 10-krát vyššie</w:t>
      </w:r>
    </w:p>
    <w:p w14:paraId="71E029AE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než plazmatické koncentrácie u ľudí pri dávke 3 600 mg/deň. Pankreatické acinárne tumory</w:t>
      </w:r>
    </w:p>
    <w:p w14:paraId="3FABF8A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potkaních samcov vykazujú nízky stupeň malignity, neovplyvňovali prežívanie, nemetastázovali, ani</w:t>
      </w:r>
    </w:p>
    <w:p w14:paraId="436E6BF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nenapadali okolité tkanivo a boli podobné tumorom, ktoré sa zistili u súbežných kontrolných skupín.</w:t>
      </w:r>
    </w:p>
    <w:p w14:paraId="7E2FD78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Významnosť týchto pankreatických acinárnych tumorov u potkaních samcov pre karcinogénne riziko</w:t>
      </w:r>
    </w:p>
    <w:p w14:paraId="0C6BAA1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u človeka nie je jasná.</w:t>
      </w:r>
    </w:p>
    <w:p w14:paraId="1967E9D4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42821E7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Mutagenéza</w:t>
      </w:r>
    </w:p>
    <w:p w14:paraId="14D79AC4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2E591B6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Gabapentín nevykazoval genotoxický potenciál. Nebol mutagénny </w:t>
      </w:r>
      <w:r w:rsidRPr="00B30C0B">
        <w:rPr>
          <w:i/>
          <w:iCs/>
          <w:sz w:val="22"/>
          <w:szCs w:val="22"/>
        </w:rPr>
        <w:t xml:space="preserve">in vitro </w:t>
      </w:r>
      <w:r w:rsidRPr="00B30C0B">
        <w:rPr>
          <w:sz w:val="22"/>
          <w:szCs w:val="22"/>
        </w:rPr>
        <w:t>v štandardných skúškach</w:t>
      </w:r>
    </w:p>
    <w:p w14:paraId="2B7C51B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s bakteriálnymi a cicavčími bunkami. Gabapentín </w:t>
      </w:r>
      <w:r w:rsidRPr="00B30C0B">
        <w:rPr>
          <w:i/>
          <w:iCs/>
          <w:sz w:val="22"/>
          <w:szCs w:val="22"/>
        </w:rPr>
        <w:t xml:space="preserve">in vitro </w:t>
      </w:r>
      <w:r w:rsidRPr="00B30C0B">
        <w:rPr>
          <w:sz w:val="22"/>
          <w:szCs w:val="22"/>
        </w:rPr>
        <w:t xml:space="preserve">alebo </w:t>
      </w:r>
      <w:r w:rsidRPr="00B30C0B">
        <w:rPr>
          <w:i/>
          <w:iCs/>
          <w:sz w:val="22"/>
          <w:szCs w:val="22"/>
        </w:rPr>
        <w:t xml:space="preserve">in vivo </w:t>
      </w:r>
      <w:r w:rsidRPr="00B30C0B">
        <w:rPr>
          <w:sz w:val="22"/>
          <w:szCs w:val="22"/>
        </w:rPr>
        <w:t>neindukoval štrukturálne</w:t>
      </w:r>
    </w:p>
    <w:p w14:paraId="5B57045C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chromozomálne aberácie v cicavčích bunkách a neindukoval tvorbu mikronukleov v kostnej dreni</w:t>
      </w:r>
    </w:p>
    <w:p w14:paraId="344F307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škrečkov.</w:t>
      </w:r>
    </w:p>
    <w:p w14:paraId="5D020B8F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28242BE" w14:textId="441E36E0" w:rsidR="00E630F6" w:rsidRPr="00B30C0B" w:rsidRDefault="00C35E7C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Porucha fertility</w:t>
      </w:r>
    </w:p>
    <w:p w14:paraId="4A474C0A" w14:textId="77777777" w:rsidR="00E630F6" w:rsidRPr="00B30C0B" w:rsidRDefault="00E630F6" w:rsidP="00B30C0B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C3CED6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Nepozorovali sa žiadne nežiaduce účinky na fertilitu alebo reprodukciu u potkanov pri dávkach do</w:t>
      </w:r>
    </w:p>
    <w:p w14:paraId="386B8299" w14:textId="77777777" w:rsidR="00676DE0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vertAlign w:val="superscript"/>
        </w:rPr>
      </w:pPr>
      <w:r w:rsidRPr="00B30C0B">
        <w:rPr>
          <w:sz w:val="22"/>
          <w:szCs w:val="22"/>
        </w:rPr>
        <w:t>2 000 mg/kg (približne päťnásobok maximálnej dennej dávky pre človeka vyjadrenej v mg/m</w:t>
      </w:r>
      <w:r w:rsidR="00676DE0" w:rsidRPr="00B30C0B">
        <w:rPr>
          <w:sz w:val="22"/>
          <w:szCs w:val="22"/>
          <w:vertAlign w:val="superscript"/>
        </w:rPr>
        <w:t>2</w:t>
      </w:r>
    </w:p>
    <w:p w14:paraId="0F7DF1B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povrchu</w:t>
      </w:r>
      <w:r w:rsidR="00676DE0" w:rsidRPr="00B30C0B">
        <w:rPr>
          <w:sz w:val="22"/>
          <w:szCs w:val="22"/>
        </w:rPr>
        <w:t xml:space="preserve"> </w:t>
      </w:r>
      <w:r w:rsidRPr="00B30C0B">
        <w:rPr>
          <w:sz w:val="22"/>
          <w:szCs w:val="22"/>
        </w:rPr>
        <w:t>tela).</w:t>
      </w:r>
    </w:p>
    <w:p w14:paraId="6DADB91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3CA189A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B30C0B">
        <w:rPr>
          <w:sz w:val="22"/>
          <w:szCs w:val="22"/>
          <w:u w:val="single"/>
        </w:rPr>
        <w:t>Teratogenéza</w:t>
      </w:r>
    </w:p>
    <w:p w14:paraId="1C29D835" w14:textId="77777777" w:rsidR="00E630F6" w:rsidRPr="00B30C0B" w:rsidRDefault="00E630F6" w:rsidP="00B30C0B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0C58204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nezvyšoval incidenciu malformácií v porovnaní s kontrolnými skupinami u potomkov</w:t>
      </w:r>
    </w:p>
    <w:p w14:paraId="2BDA1D8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myší, potkanov alebo králikov v dávkach do 50-, 30-, resp. 25-násobku 3 600 mg dennej dávky pre</w:t>
      </w:r>
    </w:p>
    <w:p w14:paraId="69AB9B8F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človeka (čo predstavuje 4-, 5-, resp. 8-násobok dennej 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).</w:t>
      </w:r>
    </w:p>
    <w:p w14:paraId="777B9CC8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5C3A8AB5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Gabapentín indukoval oneskorenú osifikáciu lebky, stavcov, predných a zadných končatín hlodavcov,</w:t>
      </w:r>
    </w:p>
    <w:p w14:paraId="4CE82AE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čo svedčí o retardácii rastu plodu. Tieto účinky sa objavili u gravidných myší, ktoré dostávali</w:t>
      </w:r>
    </w:p>
    <w:p w14:paraId="02F5D0EB" w14:textId="0C9A64F6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perorálne dávky 1 000 alebo 3 000 mg/kg/deň počas organogenézy a u potkanov pri dávkach 2 000 mg/kg podaných pred a počas párenia, ako i počas celej gestácie. Tieto dávky</w:t>
      </w:r>
    </w:p>
    <w:p w14:paraId="2B5C6EF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predstavujú približne 1 až 5-násobok 3 600 mg dávky pre človeka vyjadrenej v mg/m2.</w:t>
      </w:r>
    </w:p>
    <w:p w14:paraId="1418B41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2C0BBEE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Žiadne účinky sa nepozorovali u gravidných myší po podaní 500 mg/kg/deň (približne ½ dennej</w:t>
      </w:r>
    </w:p>
    <w:p w14:paraId="06F66571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).</w:t>
      </w:r>
    </w:p>
    <w:p w14:paraId="359E5A9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17056790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Zvýšený výskyt hydrouréteru a/alebo hydronefrózy sa pozoroval u potkanov po dávke</w:t>
      </w:r>
    </w:p>
    <w:p w14:paraId="4562AE98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2 000 mg/kg/deň v štúdii fertility a všeobecnej reprodukcie, po dávke 1 500 mg/kg/deň</w:t>
      </w:r>
    </w:p>
    <w:p w14:paraId="75D0C84B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teratologickej štúdii a po dávke 500, 1 000 a 2 000 mg/kg/deň v perinatálnej a postnatálnej štúdii.</w:t>
      </w:r>
    </w:p>
    <w:p w14:paraId="65A0E599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lastRenderedPageBreak/>
        <w:t>Významnosť týchto nálezov nie je známa, ale súvisia so spomalením vývoja. Tieto dávky sú tiež</w:t>
      </w:r>
    </w:p>
    <w:p w14:paraId="6894FE43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približne 1 až 5-násobkom 3 600 mg 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.</w:t>
      </w:r>
    </w:p>
    <w:p w14:paraId="36EB4ED2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</w:p>
    <w:p w14:paraId="7C3B9924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V teratologickej štúdii s králikmi sa pozoroval zvýšený výskyt postimplantačných fetálnych odumretí</w:t>
      </w:r>
    </w:p>
    <w:p w14:paraId="156EE587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po podaní dávok 60, 300 a 1 500 mg/kg/deň počas organogenézy. Tieto dávky tvoria približne ¼ až</w:t>
      </w:r>
    </w:p>
    <w:p w14:paraId="5A6831CD" w14:textId="77777777" w:rsidR="00E630F6" w:rsidRPr="00B30C0B" w:rsidRDefault="00E630F6" w:rsidP="00B30C0B">
      <w:pPr>
        <w:autoSpaceDE w:val="0"/>
        <w:autoSpaceDN w:val="0"/>
        <w:adjustRightInd w:val="0"/>
        <w:rPr>
          <w:sz w:val="22"/>
          <w:szCs w:val="22"/>
        </w:rPr>
      </w:pPr>
      <w:r w:rsidRPr="00B30C0B">
        <w:rPr>
          <w:sz w:val="22"/>
          <w:szCs w:val="22"/>
        </w:rPr>
        <w:t>8-násobok 3 600 mg dennej dávky pre človeka vyjadrenej v mg/m</w:t>
      </w:r>
      <w:r w:rsidR="00755331" w:rsidRPr="00B30C0B">
        <w:rPr>
          <w:sz w:val="22"/>
          <w:szCs w:val="22"/>
          <w:vertAlign w:val="superscript"/>
        </w:rPr>
        <w:t>2</w:t>
      </w:r>
      <w:r w:rsidRPr="00B30C0B">
        <w:rPr>
          <w:sz w:val="22"/>
          <w:szCs w:val="22"/>
        </w:rPr>
        <w:t>.</w:t>
      </w:r>
    </w:p>
    <w:p w14:paraId="6A4B636E" w14:textId="77777777" w:rsidR="00F200E3" w:rsidRPr="00B30C0B" w:rsidRDefault="00F200E3" w:rsidP="00B30C0B">
      <w:pPr>
        <w:rPr>
          <w:sz w:val="22"/>
          <w:szCs w:val="22"/>
        </w:rPr>
      </w:pPr>
    </w:p>
    <w:p w14:paraId="69326A9F" w14:textId="77777777" w:rsidR="00FB7564" w:rsidRPr="00B30C0B" w:rsidRDefault="00FB7564" w:rsidP="00B30C0B">
      <w:pPr>
        <w:rPr>
          <w:sz w:val="22"/>
          <w:szCs w:val="22"/>
        </w:rPr>
      </w:pPr>
    </w:p>
    <w:p w14:paraId="4E3132AC" w14:textId="77777777" w:rsidR="007D1F46" w:rsidRPr="00B30C0B" w:rsidRDefault="00E44940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6.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FARMACEUTICKÉ INFORMÁCIE</w:t>
      </w:r>
    </w:p>
    <w:p w14:paraId="5071D350" w14:textId="77777777" w:rsidR="0020016D" w:rsidRPr="00C155BF" w:rsidRDefault="0020016D" w:rsidP="00B30C0B">
      <w:pPr>
        <w:rPr>
          <w:bCs/>
          <w:sz w:val="22"/>
          <w:szCs w:val="22"/>
        </w:rPr>
      </w:pPr>
    </w:p>
    <w:p w14:paraId="39C4944E" w14:textId="77777777" w:rsidR="007D1F46" w:rsidRPr="00B30C0B" w:rsidRDefault="00E44940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6.1</w:t>
      </w:r>
      <w:r w:rsidR="007D1F46" w:rsidRPr="00B30C0B">
        <w:rPr>
          <w:b/>
          <w:bCs/>
          <w:sz w:val="22"/>
          <w:szCs w:val="22"/>
        </w:rPr>
        <w:t xml:space="preserve"> 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Zoznam pomocných látok</w:t>
      </w:r>
    </w:p>
    <w:p w14:paraId="457A51EC" w14:textId="77777777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7A637D52" w14:textId="2361DCB9" w:rsidR="00637E72" w:rsidRPr="00B30C0B" w:rsidRDefault="00637E72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 xml:space="preserve">Gabapentin - Teva </w:t>
      </w:r>
      <w:r w:rsidR="00E44940" w:rsidRPr="00B30C0B">
        <w:rPr>
          <w:sz w:val="22"/>
          <w:szCs w:val="22"/>
          <w:highlight w:val="lightGray"/>
          <w:u w:val="single"/>
        </w:rPr>
        <w:t>100 mg</w:t>
      </w:r>
      <w:r w:rsidR="00155DCB" w:rsidRPr="00B30C0B">
        <w:rPr>
          <w:sz w:val="22"/>
          <w:szCs w:val="22"/>
          <w:highlight w:val="lightGray"/>
          <w:u w:val="single"/>
        </w:rPr>
        <w:t>, tvrdé kapsuly</w:t>
      </w:r>
    </w:p>
    <w:p w14:paraId="55CBB0BE" w14:textId="77777777" w:rsidR="00637E72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</w:p>
    <w:p w14:paraId="00A59F8F" w14:textId="03228AE2" w:rsidR="00A42725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6CE6D5BD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EA2949E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6E2C586C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6491E26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2E165579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9D9C93E" w14:textId="77777777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230A118A" w14:textId="77777777" w:rsidR="00A42725" w:rsidRPr="00B30C0B" w:rsidRDefault="00A42725" w:rsidP="00B30C0B">
      <w:pPr>
        <w:pStyle w:val="Table"/>
        <w:tabs>
          <w:tab w:val="left" w:pos="4320"/>
        </w:tabs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544F8F95" w14:textId="77777777" w:rsidR="00A42725" w:rsidRPr="00B30C0B" w:rsidRDefault="002628B3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0B4426AB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508C11F0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2898F749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F536FDC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21AD2E60" w14:textId="25BC893B" w:rsidR="00637E72" w:rsidRPr="00B30C0B" w:rsidRDefault="00637E72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 xml:space="preserve">Gabapentin - Teva </w:t>
      </w:r>
      <w:r w:rsidR="00E44940" w:rsidRPr="00B30C0B">
        <w:rPr>
          <w:sz w:val="22"/>
          <w:szCs w:val="22"/>
          <w:highlight w:val="lightGray"/>
        </w:rPr>
        <w:t>3</w:t>
      </w:r>
      <w:r w:rsidR="00E44940" w:rsidRPr="00B30C0B">
        <w:rPr>
          <w:sz w:val="22"/>
          <w:szCs w:val="22"/>
          <w:highlight w:val="lightGray"/>
          <w:u w:val="single"/>
        </w:rPr>
        <w:t>00 mg</w:t>
      </w:r>
      <w:r w:rsidR="00155DCB" w:rsidRPr="00B30C0B">
        <w:rPr>
          <w:sz w:val="22"/>
          <w:szCs w:val="22"/>
          <w:highlight w:val="lightGray"/>
          <w:u w:val="single"/>
        </w:rPr>
        <w:t>, tvrdé kapsuly</w:t>
      </w:r>
    </w:p>
    <w:p w14:paraId="0EF6F137" w14:textId="56193C0F" w:rsidR="00A42725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3290777D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6B44CC33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495ABFE8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3980F907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23DE61E7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255EA506" w14:textId="77777777" w:rsidR="00A42725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erytrozín (E127) </w:t>
      </w:r>
    </w:p>
    <w:p w14:paraId="3AEDA34F" w14:textId="77777777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žlť </w:t>
      </w:r>
      <w:r w:rsidR="002628B3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oranžová (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Sunset yellow</w:t>
      </w:r>
      <w:r w:rsidR="002628B3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(E110)</w:t>
      </w:r>
    </w:p>
    <w:p w14:paraId="499ED628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6D8A88CE" w14:textId="77777777" w:rsidR="00A42725" w:rsidRPr="00B30C0B" w:rsidRDefault="002628B3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76AF4397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CC0E254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4EB78EB3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</w:p>
    <w:p w14:paraId="0E849DC3" w14:textId="32853773" w:rsidR="00637E72" w:rsidRPr="00B30C0B" w:rsidRDefault="00637E72" w:rsidP="00B30C0B">
      <w:pPr>
        <w:rPr>
          <w:sz w:val="22"/>
          <w:szCs w:val="22"/>
          <w:highlight w:val="lightGray"/>
        </w:rPr>
      </w:pPr>
      <w:r w:rsidRPr="00B30C0B">
        <w:rPr>
          <w:sz w:val="22"/>
          <w:szCs w:val="22"/>
          <w:highlight w:val="lightGray"/>
        </w:rPr>
        <w:t xml:space="preserve">Gabapentin - Teva </w:t>
      </w:r>
      <w:r w:rsidR="00E44940" w:rsidRPr="00B30C0B">
        <w:rPr>
          <w:sz w:val="22"/>
          <w:szCs w:val="22"/>
          <w:highlight w:val="lightGray"/>
        </w:rPr>
        <w:t>4</w:t>
      </w:r>
      <w:r w:rsidR="00E44940" w:rsidRPr="00B30C0B">
        <w:rPr>
          <w:sz w:val="22"/>
          <w:szCs w:val="22"/>
          <w:highlight w:val="lightGray"/>
          <w:u w:val="single"/>
        </w:rPr>
        <w:t>00 mg</w:t>
      </w:r>
      <w:r w:rsidR="00155DCB" w:rsidRPr="00B30C0B">
        <w:rPr>
          <w:sz w:val="22"/>
          <w:szCs w:val="22"/>
          <w:highlight w:val="lightGray"/>
          <w:u w:val="single"/>
        </w:rPr>
        <w:t>, tvrdé kapsuly</w:t>
      </w:r>
    </w:p>
    <w:p w14:paraId="72EA4F3A" w14:textId="3ABE42D2" w:rsidR="00A42725" w:rsidRPr="00B30C0B" w:rsidRDefault="00637E7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K</w:t>
      </w:r>
      <w:r w:rsidR="00A42725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apsula obsahuje:</w:t>
      </w:r>
    </w:p>
    <w:p w14:paraId="21EE5AFC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mastenec</w:t>
      </w:r>
    </w:p>
    <w:p w14:paraId="50253336" w14:textId="77777777" w:rsidR="00A42725" w:rsidRPr="00B30C0B" w:rsidRDefault="00A42725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hydrolyzát kukuričného škrobu</w:t>
      </w:r>
    </w:p>
    <w:p w14:paraId="3E2A8B43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Kapsula: vrchnák / telo: </w:t>
      </w:r>
    </w:p>
    <w:p w14:paraId="012D71B8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želatina </w:t>
      </w:r>
    </w:p>
    <w:p w14:paraId="4770544B" w14:textId="77777777" w:rsidR="00A42725" w:rsidRPr="00B30C0B" w:rsidRDefault="00A42725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titaničitý (E171)</w:t>
      </w:r>
    </w:p>
    <w:p w14:paraId="3B5EA0C8" w14:textId="77777777" w:rsidR="00A42725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čierny oxid železitý (E172) </w:t>
      </w:r>
    </w:p>
    <w:p w14:paraId="384AEE4D" w14:textId="77777777" w:rsidR="00A42725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červený oxid železitý (E172</w:t>
      </w:r>
      <w:r w:rsidR="00A42725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)</w:t>
      </w:r>
    </w:p>
    <w:p w14:paraId="2DA4CB0D" w14:textId="77777777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žltý</w:t>
      </w:r>
      <w:r w:rsidR="0043442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oxid železitý (E172)</w:t>
      </w:r>
    </w:p>
    <w:p w14:paraId="260E8BB7" w14:textId="77777777" w:rsidR="00151FB2" w:rsidRPr="00B30C0B" w:rsidRDefault="00151FB2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Potlač: </w:t>
      </w:r>
    </w:p>
    <w:p w14:paraId="1712A4BA" w14:textId="77777777" w:rsidR="00151FB2" w:rsidRPr="00B30C0B" w:rsidRDefault="002628B3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šelak</w:t>
      </w:r>
    </w:p>
    <w:p w14:paraId="414644B8" w14:textId="77777777" w:rsidR="00151FB2" w:rsidRPr="00B30C0B" w:rsidRDefault="00151FB2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čierny oxid železitý (E172)</w:t>
      </w:r>
    </w:p>
    <w:p w14:paraId="3FC715D2" w14:textId="77777777" w:rsidR="00187BC1" w:rsidRPr="00B30C0B" w:rsidRDefault="00151FB2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propylenglykol</w:t>
      </w:r>
    </w:p>
    <w:p w14:paraId="539CDDFF" w14:textId="77777777" w:rsidR="00E44940" w:rsidRPr="00B30C0B" w:rsidRDefault="00E44940" w:rsidP="00B30C0B">
      <w:pPr>
        <w:rPr>
          <w:sz w:val="22"/>
          <w:szCs w:val="22"/>
          <w:u w:val="single"/>
        </w:rPr>
      </w:pPr>
    </w:p>
    <w:p w14:paraId="43FD6F21" w14:textId="5154E797" w:rsidR="007D1F46" w:rsidRPr="00B30C0B" w:rsidRDefault="00E44940" w:rsidP="00B30C0B">
      <w:pPr>
        <w:keepNext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lastRenderedPageBreak/>
        <w:t>6.2</w:t>
      </w:r>
      <w:r w:rsidRPr="00B30C0B">
        <w:rPr>
          <w:b/>
          <w:bCs/>
          <w:sz w:val="22"/>
          <w:szCs w:val="22"/>
        </w:rPr>
        <w:tab/>
      </w:r>
      <w:r w:rsidR="007D1F46" w:rsidRPr="00B30C0B">
        <w:rPr>
          <w:b/>
          <w:bCs/>
          <w:sz w:val="22"/>
          <w:szCs w:val="22"/>
        </w:rPr>
        <w:t>Inkompatibility</w:t>
      </w:r>
    </w:p>
    <w:p w14:paraId="6C9D299D" w14:textId="77777777" w:rsidR="0020016D" w:rsidRPr="00B30C0B" w:rsidRDefault="0020016D" w:rsidP="00B30C0B">
      <w:pPr>
        <w:keepNext/>
        <w:rPr>
          <w:bCs/>
          <w:sz w:val="22"/>
          <w:szCs w:val="22"/>
        </w:rPr>
      </w:pPr>
    </w:p>
    <w:p w14:paraId="64526A10" w14:textId="77777777" w:rsidR="00E44940" w:rsidRPr="00B30C0B" w:rsidRDefault="00E44940" w:rsidP="00B30C0B">
      <w:pPr>
        <w:keepNext/>
        <w:rPr>
          <w:sz w:val="22"/>
          <w:szCs w:val="22"/>
        </w:rPr>
      </w:pPr>
      <w:r w:rsidRPr="00B30C0B">
        <w:rPr>
          <w:sz w:val="22"/>
          <w:szCs w:val="22"/>
        </w:rPr>
        <w:t>Neaplikovateľné.</w:t>
      </w:r>
    </w:p>
    <w:p w14:paraId="48BBD5BB" w14:textId="77777777" w:rsidR="003E577C" w:rsidRPr="00B30C0B" w:rsidRDefault="003E577C" w:rsidP="00B30C0B">
      <w:pPr>
        <w:rPr>
          <w:sz w:val="22"/>
          <w:szCs w:val="22"/>
        </w:rPr>
      </w:pPr>
    </w:p>
    <w:p w14:paraId="690352AE" w14:textId="77777777" w:rsidR="007D1F46" w:rsidRPr="00B30C0B" w:rsidRDefault="007D1F46" w:rsidP="00B30C0B">
      <w:pPr>
        <w:pStyle w:val="Nadpis7"/>
        <w:ind w:left="0"/>
        <w:rPr>
          <w:sz w:val="22"/>
          <w:szCs w:val="22"/>
        </w:rPr>
      </w:pPr>
      <w:r w:rsidRPr="00B30C0B">
        <w:rPr>
          <w:sz w:val="22"/>
          <w:szCs w:val="22"/>
        </w:rPr>
        <w:t xml:space="preserve">6.3 </w:t>
      </w:r>
      <w:r w:rsidR="00E44940" w:rsidRPr="00B30C0B">
        <w:rPr>
          <w:sz w:val="22"/>
          <w:szCs w:val="22"/>
        </w:rPr>
        <w:tab/>
      </w:r>
      <w:r w:rsidRPr="00B30C0B">
        <w:rPr>
          <w:sz w:val="22"/>
          <w:szCs w:val="22"/>
        </w:rPr>
        <w:t>Čas použiteľnosti</w:t>
      </w:r>
    </w:p>
    <w:p w14:paraId="3F87BEB1" w14:textId="77777777" w:rsidR="0020016D" w:rsidRPr="00B30C0B" w:rsidRDefault="0020016D" w:rsidP="00B30C0B">
      <w:pPr>
        <w:rPr>
          <w:sz w:val="22"/>
          <w:szCs w:val="22"/>
        </w:rPr>
      </w:pPr>
    </w:p>
    <w:p w14:paraId="55AB7234" w14:textId="77777777" w:rsidR="007D1F46" w:rsidRPr="00B30C0B" w:rsidRDefault="009D0C89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2 roky</w:t>
      </w:r>
    </w:p>
    <w:p w14:paraId="2D490FEE" w14:textId="77777777" w:rsidR="007D1F46" w:rsidRPr="00B30C0B" w:rsidRDefault="007D1F46" w:rsidP="00B30C0B">
      <w:pPr>
        <w:rPr>
          <w:sz w:val="22"/>
          <w:szCs w:val="22"/>
        </w:rPr>
      </w:pPr>
    </w:p>
    <w:p w14:paraId="66F4EB89" w14:textId="77777777" w:rsidR="0020016D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6.4 </w:t>
      </w:r>
      <w:r w:rsidR="00E44940" w:rsidRPr="00B30C0B">
        <w:rPr>
          <w:b/>
          <w:bCs/>
          <w:sz w:val="22"/>
          <w:szCs w:val="22"/>
        </w:rPr>
        <w:tab/>
      </w:r>
      <w:r w:rsidR="0020016D" w:rsidRPr="00B30C0B">
        <w:rPr>
          <w:b/>
          <w:sz w:val="22"/>
          <w:szCs w:val="22"/>
        </w:rPr>
        <w:t>Špeciálne upozornenia na uchovávanie</w:t>
      </w:r>
      <w:r w:rsidR="0020016D" w:rsidRPr="00B30C0B">
        <w:rPr>
          <w:b/>
          <w:bCs/>
          <w:sz w:val="22"/>
          <w:szCs w:val="22"/>
        </w:rPr>
        <w:t xml:space="preserve"> </w:t>
      </w:r>
    </w:p>
    <w:p w14:paraId="5CFCCAF2" w14:textId="77777777" w:rsidR="0020016D" w:rsidRPr="00B30C0B" w:rsidRDefault="0020016D" w:rsidP="00B30C0B">
      <w:pPr>
        <w:rPr>
          <w:b/>
          <w:bCs/>
          <w:sz w:val="22"/>
          <w:szCs w:val="22"/>
        </w:rPr>
      </w:pPr>
    </w:p>
    <w:p w14:paraId="3BAD0095" w14:textId="77777777" w:rsidR="00155DCB" w:rsidRPr="00B30C0B" w:rsidRDefault="0020016D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 xml:space="preserve">Uchovávajte pri </w:t>
      </w:r>
      <w:r w:rsidR="009D0C89" w:rsidRPr="00B30C0B">
        <w:rPr>
          <w:sz w:val="22"/>
          <w:szCs w:val="22"/>
        </w:rPr>
        <w:t xml:space="preserve">teplote </w:t>
      </w:r>
      <w:r w:rsidR="00187BC1" w:rsidRPr="00B30C0B">
        <w:rPr>
          <w:sz w:val="22"/>
          <w:szCs w:val="22"/>
        </w:rPr>
        <w:t>neprevyšujúcej</w:t>
      </w:r>
      <w:r w:rsidR="009D0C89" w:rsidRPr="00B30C0B">
        <w:rPr>
          <w:sz w:val="22"/>
          <w:szCs w:val="22"/>
        </w:rPr>
        <w:t xml:space="preserve"> 25 °C</w:t>
      </w:r>
      <w:r w:rsidR="00E44940" w:rsidRPr="00B30C0B">
        <w:rPr>
          <w:sz w:val="22"/>
          <w:szCs w:val="22"/>
        </w:rPr>
        <w:t xml:space="preserve">. Uchovávajte </w:t>
      </w:r>
      <w:r w:rsidR="009D0C89" w:rsidRPr="00B30C0B">
        <w:rPr>
          <w:sz w:val="22"/>
          <w:szCs w:val="22"/>
        </w:rPr>
        <w:t>v</w:t>
      </w:r>
      <w:r w:rsidR="00E44940" w:rsidRPr="00B30C0B">
        <w:rPr>
          <w:sz w:val="22"/>
          <w:szCs w:val="22"/>
        </w:rPr>
        <w:t xml:space="preserve"> pôvodnom </w:t>
      </w:r>
      <w:r w:rsidR="009D0C89" w:rsidRPr="00B30C0B">
        <w:rPr>
          <w:sz w:val="22"/>
          <w:szCs w:val="22"/>
        </w:rPr>
        <w:t xml:space="preserve">obale. </w:t>
      </w:r>
    </w:p>
    <w:p w14:paraId="6902A07F" w14:textId="76FC2ABE" w:rsidR="007D1F46" w:rsidRPr="00B30C0B" w:rsidRDefault="00187BC1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Blister u</w:t>
      </w:r>
      <w:r w:rsidR="00E44940" w:rsidRPr="00B30C0B">
        <w:rPr>
          <w:sz w:val="22"/>
          <w:szCs w:val="22"/>
        </w:rPr>
        <w:t>chovávajte v krabičke</w:t>
      </w:r>
      <w:r w:rsidR="009D0C89" w:rsidRPr="00B30C0B">
        <w:rPr>
          <w:sz w:val="22"/>
          <w:szCs w:val="22"/>
        </w:rPr>
        <w:t>.</w:t>
      </w:r>
    </w:p>
    <w:p w14:paraId="24D40846" w14:textId="77777777" w:rsidR="007D1F46" w:rsidRPr="00B30C0B" w:rsidRDefault="007D1F46" w:rsidP="00B30C0B">
      <w:pPr>
        <w:rPr>
          <w:b/>
          <w:bCs/>
          <w:sz w:val="22"/>
          <w:szCs w:val="22"/>
        </w:rPr>
      </w:pPr>
    </w:p>
    <w:p w14:paraId="754E1AA0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6.5</w:t>
      </w:r>
      <w:r w:rsidR="00E44940" w:rsidRPr="00B30C0B">
        <w:rPr>
          <w:b/>
          <w:bCs/>
          <w:sz w:val="22"/>
          <w:szCs w:val="22"/>
        </w:rPr>
        <w:tab/>
      </w:r>
      <w:r w:rsidR="001C4D4D" w:rsidRPr="00B30C0B">
        <w:rPr>
          <w:b/>
          <w:bCs/>
          <w:sz w:val="22"/>
          <w:szCs w:val="22"/>
        </w:rPr>
        <w:t>Druh obalu a obsah balenia</w:t>
      </w:r>
    </w:p>
    <w:p w14:paraId="50606AFA" w14:textId="77777777" w:rsidR="001C4D4D" w:rsidRPr="00B30C0B" w:rsidRDefault="001C4D4D" w:rsidP="00B30C0B">
      <w:pPr>
        <w:rPr>
          <w:b/>
          <w:bCs/>
          <w:sz w:val="22"/>
          <w:szCs w:val="22"/>
        </w:rPr>
      </w:pPr>
    </w:p>
    <w:p w14:paraId="1DF4E698" w14:textId="77777777" w:rsidR="00E44940" w:rsidRPr="00B30C0B" w:rsidRDefault="0016799D" w:rsidP="00B30C0B">
      <w:pPr>
        <w:jc w:val="both"/>
        <w:rPr>
          <w:color w:val="000000"/>
          <w:sz w:val="22"/>
          <w:szCs w:val="22"/>
        </w:rPr>
      </w:pPr>
      <w:r w:rsidRPr="00B30C0B">
        <w:rPr>
          <w:sz w:val="22"/>
          <w:szCs w:val="22"/>
        </w:rPr>
        <w:t xml:space="preserve">Priesvitné alebo biele nepriesvitné </w:t>
      </w:r>
      <w:r w:rsidR="00E44940" w:rsidRPr="00B30C0B">
        <w:rPr>
          <w:sz w:val="22"/>
          <w:szCs w:val="22"/>
        </w:rPr>
        <w:t>PVC/PV</w:t>
      </w:r>
      <w:r w:rsidR="00F00AFB" w:rsidRPr="00B30C0B">
        <w:rPr>
          <w:sz w:val="22"/>
          <w:szCs w:val="22"/>
        </w:rPr>
        <w:t>d</w:t>
      </w:r>
      <w:r w:rsidR="00E44940" w:rsidRPr="00B30C0B">
        <w:rPr>
          <w:sz w:val="22"/>
          <w:szCs w:val="22"/>
        </w:rPr>
        <w:t>C alum</w:t>
      </w:r>
      <w:r w:rsidRPr="00B30C0B">
        <w:rPr>
          <w:sz w:val="22"/>
          <w:szCs w:val="22"/>
        </w:rPr>
        <w:t>í</w:t>
      </w:r>
      <w:r w:rsidR="00E44940" w:rsidRPr="00B30C0B">
        <w:rPr>
          <w:sz w:val="22"/>
          <w:szCs w:val="22"/>
        </w:rPr>
        <w:t>niové blist</w:t>
      </w:r>
      <w:r w:rsidRPr="00B30C0B">
        <w:rPr>
          <w:sz w:val="22"/>
          <w:szCs w:val="22"/>
        </w:rPr>
        <w:t>re</w:t>
      </w:r>
      <w:r w:rsidR="00E44940" w:rsidRPr="00B30C0B">
        <w:rPr>
          <w:sz w:val="22"/>
          <w:szCs w:val="22"/>
        </w:rPr>
        <w:t>.</w:t>
      </w:r>
    </w:p>
    <w:p w14:paraId="573F0CAA" w14:textId="77777777" w:rsidR="00E44940" w:rsidRPr="00B30C0B" w:rsidRDefault="00E44940" w:rsidP="00B30C0B">
      <w:pPr>
        <w:jc w:val="both"/>
        <w:rPr>
          <w:sz w:val="22"/>
          <w:szCs w:val="22"/>
        </w:rPr>
      </w:pPr>
    </w:p>
    <w:p w14:paraId="28D5BF7C" w14:textId="77777777" w:rsidR="00E44940" w:rsidRPr="00B30C0B" w:rsidRDefault="00E44940" w:rsidP="00B30C0B">
      <w:pPr>
        <w:jc w:val="both"/>
        <w:rPr>
          <w:color w:val="000000"/>
          <w:sz w:val="22"/>
          <w:szCs w:val="22"/>
        </w:rPr>
      </w:pPr>
      <w:r w:rsidRPr="00B30C0B">
        <w:rPr>
          <w:sz w:val="22"/>
          <w:szCs w:val="22"/>
        </w:rPr>
        <w:t>Ve</w:t>
      </w:r>
      <w:r w:rsidR="0016799D" w:rsidRPr="00B30C0B">
        <w:rPr>
          <w:sz w:val="22"/>
          <w:szCs w:val="22"/>
        </w:rPr>
        <w:t>ľ</w:t>
      </w:r>
      <w:r w:rsidRPr="00B30C0B">
        <w:rPr>
          <w:sz w:val="22"/>
          <w:szCs w:val="22"/>
        </w:rPr>
        <w:t>kost</w:t>
      </w:r>
      <w:r w:rsidR="0016799D" w:rsidRPr="00B30C0B">
        <w:rPr>
          <w:sz w:val="22"/>
          <w:szCs w:val="22"/>
        </w:rPr>
        <w:t>i</w:t>
      </w:r>
      <w:r w:rsidRPr="00B30C0B">
        <w:rPr>
          <w:sz w:val="22"/>
          <w:szCs w:val="22"/>
        </w:rPr>
        <w:t xml:space="preserve"> balen</w:t>
      </w:r>
      <w:r w:rsidR="0016799D" w:rsidRPr="00B30C0B">
        <w:rPr>
          <w:sz w:val="22"/>
          <w:szCs w:val="22"/>
        </w:rPr>
        <w:t>ia</w:t>
      </w:r>
      <w:r w:rsidRPr="00B30C0B">
        <w:rPr>
          <w:sz w:val="22"/>
          <w:szCs w:val="22"/>
        </w:rPr>
        <w:t>:</w:t>
      </w:r>
      <w:r w:rsidRPr="00B30C0B">
        <w:rPr>
          <w:color w:val="000000"/>
          <w:sz w:val="22"/>
          <w:szCs w:val="22"/>
        </w:rPr>
        <w:t xml:space="preserve"> </w:t>
      </w:r>
    </w:p>
    <w:p w14:paraId="2B1FB6D7" w14:textId="3016465C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100 mg</w:t>
      </w:r>
      <w:r w:rsidR="00155DCB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155DCB" w:rsidRPr="00B30C0B">
        <w:rPr>
          <w:rFonts w:ascii="Times New Roman" w:hAnsi="Times New Roman"/>
          <w:sz w:val="22"/>
          <w:szCs w:val="22"/>
          <w:highlight w:val="lightGray"/>
          <w:u w:val="single"/>
        </w:rPr>
        <w:t>tvrdé kapsuly:</w:t>
      </w:r>
    </w:p>
    <w:p w14:paraId="7AB611D2" w14:textId="3A6412AB" w:rsidR="00E44940" w:rsidRPr="00B30C0B" w:rsidRDefault="00E44940" w:rsidP="00B30C0B">
      <w:pPr>
        <w:jc w:val="both"/>
        <w:rPr>
          <w:sz w:val="22"/>
          <w:szCs w:val="22"/>
        </w:rPr>
      </w:pPr>
      <w:r w:rsidRPr="00B30C0B">
        <w:rPr>
          <w:sz w:val="22"/>
          <w:szCs w:val="22"/>
          <w:highlight w:val="lightGray"/>
        </w:rPr>
        <w:t xml:space="preserve">10, 20, 28, 50, 90, 100, 200 (4 x 50), 500 (10 x 50) </w:t>
      </w:r>
      <w:r w:rsidR="0016799D" w:rsidRPr="00B30C0B">
        <w:rPr>
          <w:sz w:val="22"/>
          <w:szCs w:val="22"/>
          <w:highlight w:val="lightGray"/>
        </w:rPr>
        <w:t>alebo</w:t>
      </w:r>
      <w:r w:rsidRPr="00B30C0B">
        <w:rPr>
          <w:sz w:val="22"/>
          <w:szCs w:val="22"/>
          <w:highlight w:val="lightGray"/>
        </w:rPr>
        <w:t xml:space="preserve"> 1000 (20 x 50) </w:t>
      </w:r>
      <w:r w:rsidR="008F0D43">
        <w:rPr>
          <w:sz w:val="22"/>
          <w:szCs w:val="22"/>
          <w:highlight w:val="lightGray"/>
        </w:rPr>
        <w:t xml:space="preserve">tvrdých </w:t>
      </w:r>
      <w:r w:rsidR="0016799D" w:rsidRPr="00B30C0B">
        <w:rPr>
          <w:sz w:val="22"/>
          <w:szCs w:val="22"/>
          <w:highlight w:val="lightGray"/>
        </w:rPr>
        <w:t>kapsúl</w:t>
      </w:r>
      <w:r w:rsidRPr="00B30C0B">
        <w:rPr>
          <w:sz w:val="22"/>
          <w:szCs w:val="22"/>
          <w:highlight w:val="lightGray"/>
        </w:rPr>
        <w:t>.</w:t>
      </w:r>
    </w:p>
    <w:p w14:paraId="35D69C93" w14:textId="77777777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054193D7" w14:textId="6B4EE180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300 mg</w:t>
      </w:r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>tvrdé kapsuly</w:t>
      </w: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3FD149D1" w14:textId="2C2D0649" w:rsidR="00E44940" w:rsidRPr="00B30C0B" w:rsidRDefault="00E44940" w:rsidP="00B30C0B">
      <w:pPr>
        <w:pStyle w:val="Table"/>
        <w:spacing w:before="0" w:after="0"/>
        <w:rPr>
          <w:rFonts w:ascii="Times New Roman" w:hAnsi="Times New Roman"/>
          <w:sz w:val="22"/>
          <w:szCs w:val="22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10, 20, 28, 50, 90, 100, 200 (2 x 100), </w:t>
      </w:r>
      <w:r w:rsidR="00F8388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200 (2 x 100</w:t>
      </w:r>
      <w:r w:rsidR="00F8388D">
        <w:rPr>
          <w:rFonts w:ascii="Times New Roman" w:hAnsi="Times New Roman"/>
          <w:sz w:val="22"/>
          <w:szCs w:val="22"/>
          <w:highlight w:val="lightGray"/>
          <w:lang w:val="sk-SK"/>
        </w:rPr>
        <w:t>, multibalenie</w:t>
      </w:r>
      <w:r w:rsidR="00F8388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), 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500 (10 x 50) </w:t>
      </w:r>
      <w:r w:rsidR="0016799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alebo</w:t>
      </w:r>
      <w:r w:rsidRPr="00B30C0B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1000 (20 x 50)</w:t>
      </w:r>
      <w:r w:rsidR="0016799D" w:rsidRPr="00B30C0B">
        <w:rPr>
          <w:rFonts w:ascii="Times New Roman" w:hAnsi="Times New Roman"/>
          <w:snapToGrid/>
          <w:sz w:val="22"/>
          <w:szCs w:val="22"/>
          <w:highlight w:val="lightGray"/>
          <w:lang w:val="sk-SK"/>
        </w:rPr>
        <w:t xml:space="preserve"> </w:t>
      </w:r>
      <w:r w:rsidR="008F0D43">
        <w:rPr>
          <w:rFonts w:ascii="Times New Roman" w:hAnsi="Times New Roman"/>
          <w:snapToGrid/>
          <w:sz w:val="22"/>
          <w:szCs w:val="22"/>
          <w:highlight w:val="lightGray"/>
          <w:lang w:val="sk-SK"/>
        </w:rPr>
        <w:t xml:space="preserve">tvrdých </w:t>
      </w:r>
      <w:r w:rsidR="0016799D" w:rsidRPr="00B30C0B">
        <w:rPr>
          <w:rFonts w:ascii="Times New Roman" w:hAnsi="Times New Roman"/>
          <w:sz w:val="22"/>
          <w:szCs w:val="22"/>
          <w:highlight w:val="lightGray"/>
          <w:lang w:val="sk-SK"/>
        </w:rPr>
        <w:t>kapsúl.</w:t>
      </w:r>
    </w:p>
    <w:p w14:paraId="5B099EEE" w14:textId="77777777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1B22FFA8" w14:textId="0EB40D0D" w:rsidR="00E44940" w:rsidRPr="00B30C0B" w:rsidRDefault="00E44940" w:rsidP="00B30C0B">
      <w:pPr>
        <w:pStyle w:val="Table"/>
        <w:keepNext/>
        <w:spacing w:before="0" w:after="0"/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</w:pP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Gabapentin - Teva 400 mg</w:t>
      </w:r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 xml:space="preserve">, </w:t>
      </w:r>
      <w:r w:rsidR="00696DA1" w:rsidRPr="00B30C0B">
        <w:rPr>
          <w:rFonts w:ascii="Times New Roman" w:hAnsi="Times New Roman"/>
          <w:sz w:val="22"/>
          <w:szCs w:val="22"/>
          <w:highlight w:val="lightGray"/>
          <w:u w:val="single"/>
        </w:rPr>
        <w:t>tvrdé kapsuly</w:t>
      </w:r>
      <w:r w:rsidRPr="00B30C0B">
        <w:rPr>
          <w:rFonts w:ascii="Times New Roman" w:hAnsi="Times New Roman"/>
          <w:sz w:val="22"/>
          <w:szCs w:val="22"/>
          <w:highlight w:val="lightGray"/>
          <w:u w:val="single"/>
          <w:lang w:val="sk-SK"/>
        </w:rPr>
        <w:t>:</w:t>
      </w:r>
    </w:p>
    <w:p w14:paraId="28B698CA" w14:textId="5656E207" w:rsidR="00E44940" w:rsidRPr="00B30C0B" w:rsidRDefault="00E44940" w:rsidP="00B30C0B">
      <w:pPr>
        <w:jc w:val="both"/>
        <w:rPr>
          <w:sz w:val="22"/>
          <w:szCs w:val="22"/>
        </w:rPr>
      </w:pPr>
      <w:r w:rsidRPr="00B30C0B">
        <w:rPr>
          <w:sz w:val="22"/>
          <w:szCs w:val="22"/>
          <w:highlight w:val="lightGray"/>
        </w:rPr>
        <w:t xml:space="preserve">10, 20, 28, 30, 50, 90, 100, 200 (2 x 100), 500 (10 x 50) </w:t>
      </w:r>
      <w:r w:rsidR="0016799D" w:rsidRPr="00B30C0B">
        <w:rPr>
          <w:sz w:val="22"/>
          <w:szCs w:val="22"/>
          <w:highlight w:val="lightGray"/>
        </w:rPr>
        <w:t xml:space="preserve">alebo </w:t>
      </w:r>
      <w:r w:rsidRPr="00B30C0B">
        <w:rPr>
          <w:sz w:val="22"/>
          <w:szCs w:val="22"/>
          <w:highlight w:val="lightGray"/>
        </w:rPr>
        <w:t xml:space="preserve">1000 (20 x 50) </w:t>
      </w:r>
      <w:r w:rsidR="008F0D43">
        <w:rPr>
          <w:sz w:val="22"/>
          <w:szCs w:val="22"/>
          <w:highlight w:val="lightGray"/>
        </w:rPr>
        <w:t xml:space="preserve">tvrdých </w:t>
      </w:r>
      <w:r w:rsidR="0016799D" w:rsidRPr="00B30C0B">
        <w:rPr>
          <w:sz w:val="22"/>
          <w:szCs w:val="22"/>
          <w:highlight w:val="lightGray"/>
        </w:rPr>
        <w:t>kapsúl.</w:t>
      </w:r>
    </w:p>
    <w:p w14:paraId="00103F2D" w14:textId="77777777" w:rsidR="00E44940" w:rsidRPr="00B30C0B" w:rsidRDefault="00E44940" w:rsidP="00B30C0B">
      <w:pPr>
        <w:rPr>
          <w:sz w:val="22"/>
          <w:szCs w:val="22"/>
        </w:rPr>
      </w:pPr>
    </w:p>
    <w:p w14:paraId="0A5440E5" w14:textId="77777777" w:rsidR="006B16FD" w:rsidRPr="00B30C0B" w:rsidRDefault="00676DE0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Na trh nemusia byť uvedené všetky veľkosti balenia.</w:t>
      </w:r>
      <w:r w:rsidR="006B16FD" w:rsidRPr="00B30C0B">
        <w:rPr>
          <w:sz w:val="22"/>
          <w:szCs w:val="22"/>
        </w:rPr>
        <w:tab/>
      </w:r>
    </w:p>
    <w:p w14:paraId="5D4A56BA" w14:textId="04AC301D" w:rsidR="007D1F46" w:rsidRPr="00B30C0B" w:rsidRDefault="007D1F46" w:rsidP="00B30C0B">
      <w:pPr>
        <w:rPr>
          <w:sz w:val="22"/>
          <w:szCs w:val="22"/>
        </w:rPr>
      </w:pPr>
    </w:p>
    <w:p w14:paraId="07EDF449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6.6 </w:t>
      </w:r>
      <w:r w:rsidR="0016799D" w:rsidRPr="00B30C0B">
        <w:rPr>
          <w:b/>
          <w:bCs/>
          <w:sz w:val="22"/>
          <w:szCs w:val="22"/>
        </w:rPr>
        <w:tab/>
      </w:r>
      <w:r w:rsidR="00A27D8A" w:rsidRPr="00B30C0B">
        <w:rPr>
          <w:b/>
          <w:bCs/>
          <w:sz w:val="22"/>
          <w:szCs w:val="22"/>
        </w:rPr>
        <w:t xml:space="preserve">Špeciálne opatrenia na likvidáciu a iné </w:t>
      </w:r>
      <w:r w:rsidRPr="00B30C0B">
        <w:rPr>
          <w:b/>
          <w:bCs/>
          <w:sz w:val="22"/>
          <w:szCs w:val="22"/>
        </w:rPr>
        <w:t>zaobchádzani</w:t>
      </w:r>
      <w:r w:rsidR="00A27D8A" w:rsidRPr="00B30C0B">
        <w:rPr>
          <w:b/>
          <w:bCs/>
          <w:sz w:val="22"/>
          <w:szCs w:val="22"/>
        </w:rPr>
        <w:t>e</w:t>
      </w:r>
      <w:r w:rsidRPr="00B30C0B">
        <w:rPr>
          <w:b/>
          <w:bCs/>
          <w:sz w:val="22"/>
          <w:szCs w:val="22"/>
        </w:rPr>
        <w:t xml:space="preserve"> s</w:t>
      </w:r>
      <w:r w:rsidR="00AD7A45" w:rsidRPr="00B30C0B">
        <w:rPr>
          <w:b/>
          <w:bCs/>
          <w:sz w:val="22"/>
          <w:szCs w:val="22"/>
        </w:rPr>
        <w:t> </w:t>
      </w:r>
      <w:r w:rsidRPr="00B30C0B">
        <w:rPr>
          <w:b/>
          <w:bCs/>
          <w:sz w:val="22"/>
          <w:szCs w:val="22"/>
        </w:rPr>
        <w:t>liekom</w:t>
      </w:r>
    </w:p>
    <w:p w14:paraId="4EC14632" w14:textId="77777777" w:rsidR="00AD7A45" w:rsidRPr="00C155BF" w:rsidRDefault="00AD7A45" w:rsidP="00B30C0B">
      <w:pPr>
        <w:rPr>
          <w:bCs/>
          <w:sz w:val="22"/>
          <w:szCs w:val="22"/>
        </w:rPr>
      </w:pPr>
    </w:p>
    <w:p w14:paraId="67AED669" w14:textId="77777777" w:rsidR="00AD7A45" w:rsidRPr="00B30C0B" w:rsidRDefault="00AD7A45" w:rsidP="00B30C0B">
      <w:pPr>
        <w:rPr>
          <w:sz w:val="22"/>
          <w:szCs w:val="22"/>
        </w:rPr>
      </w:pPr>
      <w:r w:rsidRPr="00B30C0B">
        <w:rPr>
          <w:sz w:val="22"/>
          <w:szCs w:val="22"/>
        </w:rPr>
        <w:t>Žiadne zvláštne požiadavky.</w:t>
      </w:r>
    </w:p>
    <w:p w14:paraId="396469B7" w14:textId="77777777" w:rsidR="007628ED" w:rsidRPr="00B30C0B" w:rsidRDefault="007628ED" w:rsidP="00B30C0B">
      <w:pPr>
        <w:rPr>
          <w:snapToGrid w:val="0"/>
          <w:sz w:val="22"/>
          <w:szCs w:val="22"/>
        </w:rPr>
      </w:pPr>
    </w:p>
    <w:p w14:paraId="5C3856B6" w14:textId="77777777" w:rsidR="0016799D" w:rsidRPr="00B30C0B" w:rsidRDefault="0016799D" w:rsidP="00B30C0B">
      <w:pPr>
        <w:rPr>
          <w:snapToGrid w:val="0"/>
          <w:sz w:val="22"/>
          <w:szCs w:val="22"/>
        </w:rPr>
      </w:pPr>
    </w:p>
    <w:p w14:paraId="78637E06" w14:textId="77777777" w:rsidR="007D1F46" w:rsidRPr="00B30C0B" w:rsidRDefault="0016799D" w:rsidP="00B30C0B">
      <w:pPr>
        <w:rPr>
          <w:b/>
          <w:bCs/>
          <w:sz w:val="22"/>
          <w:szCs w:val="22"/>
        </w:rPr>
      </w:pPr>
      <w:r w:rsidRPr="00B30C0B">
        <w:rPr>
          <w:b/>
          <w:bCs/>
          <w:caps/>
          <w:sz w:val="22"/>
          <w:szCs w:val="22"/>
        </w:rPr>
        <w:t>7.</w:t>
      </w:r>
      <w:r w:rsidRPr="00B30C0B">
        <w:rPr>
          <w:b/>
          <w:bCs/>
          <w:cap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Držiteľ rozhodnutia o registrácii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1BE69A54" w14:textId="77777777" w:rsidR="00D85FC8" w:rsidRPr="00B30C0B" w:rsidRDefault="00D85FC8" w:rsidP="00B30C0B">
      <w:pPr>
        <w:rPr>
          <w:sz w:val="22"/>
          <w:szCs w:val="22"/>
        </w:rPr>
      </w:pPr>
    </w:p>
    <w:p w14:paraId="78BB3C96" w14:textId="77777777" w:rsidR="00067DBF" w:rsidRPr="00B30C0B" w:rsidRDefault="00067DBF" w:rsidP="00B30C0B">
      <w:pPr>
        <w:widowControl w:val="0"/>
        <w:rPr>
          <w:sz w:val="22"/>
          <w:szCs w:val="22"/>
        </w:rPr>
      </w:pPr>
      <w:r w:rsidRPr="00B30C0B">
        <w:rPr>
          <w:sz w:val="22"/>
          <w:szCs w:val="22"/>
        </w:rPr>
        <w:t>Teva B.V.</w:t>
      </w:r>
    </w:p>
    <w:p w14:paraId="42104FE9" w14:textId="77777777" w:rsidR="00067DBF" w:rsidRPr="00B30C0B" w:rsidRDefault="00067DBF" w:rsidP="00B30C0B">
      <w:pPr>
        <w:widowControl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Swensweg 5, </w:t>
      </w:r>
    </w:p>
    <w:p w14:paraId="06D67C95" w14:textId="77777777" w:rsidR="00067DBF" w:rsidRPr="00B30C0B" w:rsidRDefault="00067DBF" w:rsidP="00B30C0B">
      <w:pPr>
        <w:widowControl w:val="0"/>
        <w:rPr>
          <w:sz w:val="22"/>
          <w:szCs w:val="22"/>
        </w:rPr>
      </w:pPr>
      <w:r w:rsidRPr="00B30C0B">
        <w:rPr>
          <w:sz w:val="22"/>
          <w:szCs w:val="22"/>
        </w:rPr>
        <w:t xml:space="preserve">2031 GA Haarlem, </w:t>
      </w:r>
    </w:p>
    <w:p w14:paraId="6D7618EC" w14:textId="77777777" w:rsidR="00067DBF" w:rsidRPr="00B30C0B" w:rsidRDefault="00067DBF" w:rsidP="00B30C0B">
      <w:pPr>
        <w:widowControl w:val="0"/>
        <w:rPr>
          <w:b/>
          <w:sz w:val="22"/>
          <w:szCs w:val="22"/>
        </w:rPr>
      </w:pPr>
      <w:r w:rsidRPr="00B30C0B">
        <w:rPr>
          <w:sz w:val="22"/>
          <w:szCs w:val="22"/>
        </w:rPr>
        <w:t>Holandsko</w:t>
      </w:r>
    </w:p>
    <w:p w14:paraId="66A709CC" w14:textId="77777777" w:rsidR="0016799D" w:rsidRPr="00B30C0B" w:rsidRDefault="0016799D" w:rsidP="00B30C0B">
      <w:pPr>
        <w:rPr>
          <w:sz w:val="22"/>
          <w:szCs w:val="22"/>
        </w:rPr>
      </w:pPr>
    </w:p>
    <w:p w14:paraId="312FBEE3" w14:textId="77777777" w:rsidR="00AD7A45" w:rsidRPr="00B30C0B" w:rsidRDefault="00AD7A45" w:rsidP="00B30C0B">
      <w:pPr>
        <w:rPr>
          <w:sz w:val="22"/>
          <w:szCs w:val="22"/>
        </w:rPr>
      </w:pPr>
    </w:p>
    <w:p w14:paraId="0FBAD3E6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>8.</w:t>
      </w:r>
      <w:r w:rsidR="0016799D" w:rsidRPr="00B30C0B">
        <w:rPr>
          <w:b/>
          <w:bC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Registračné čísl</w:t>
      </w:r>
      <w:r w:rsidR="00B95DBD" w:rsidRPr="00B30C0B">
        <w:rPr>
          <w:b/>
          <w:bCs/>
          <w:caps/>
          <w:sz w:val="22"/>
          <w:szCs w:val="22"/>
        </w:rPr>
        <w:t>A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0D5FD255" w14:textId="77777777" w:rsidR="006F0D06" w:rsidRPr="00B30C0B" w:rsidRDefault="006F0D06" w:rsidP="00B30C0B">
      <w:pPr>
        <w:rPr>
          <w:b/>
          <w:bCs/>
          <w:sz w:val="22"/>
          <w:szCs w:val="22"/>
        </w:rPr>
      </w:pPr>
    </w:p>
    <w:p w14:paraId="3014CE10" w14:textId="29169D2B" w:rsidR="00836E8A" w:rsidRPr="00B30C0B" w:rsidRDefault="005373BB" w:rsidP="00B30C0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100 mg</w:t>
      </w:r>
      <w:r>
        <w:rPr>
          <w:bCs/>
          <w:sz w:val="22"/>
          <w:szCs w:val="22"/>
        </w:rPr>
        <w:noBreakHyphen/>
        <w:t xml:space="preserve">reg.č. </w:t>
      </w:r>
      <w:r w:rsidR="006F0D06" w:rsidRPr="00B30C0B">
        <w:rPr>
          <w:bCs/>
          <w:sz w:val="22"/>
          <w:szCs w:val="22"/>
        </w:rPr>
        <w:t>21/0156/05-S</w:t>
      </w:r>
    </w:p>
    <w:p w14:paraId="293204B8" w14:textId="5C473247" w:rsidR="006F0D06" w:rsidRPr="00B30C0B" w:rsidRDefault="006F0D06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300 mg</w:t>
      </w:r>
      <w:r w:rsidR="005373BB">
        <w:rPr>
          <w:bCs/>
          <w:sz w:val="22"/>
          <w:szCs w:val="22"/>
        </w:rPr>
        <w:noBreakHyphen/>
      </w:r>
      <w:r w:rsidRPr="00B30C0B">
        <w:rPr>
          <w:bCs/>
          <w:sz w:val="22"/>
          <w:szCs w:val="22"/>
        </w:rPr>
        <w:t>reg.č. 21/0157/05-S</w:t>
      </w:r>
    </w:p>
    <w:p w14:paraId="7EEBD690" w14:textId="0F5D9038" w:rsidR="006F0D06" w:rsidRPr="00B30C0B" w:rsidRDefault="006F0D06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400 mg</w:t>
      </w:r>
      <w:r w:rsidR="005373BB">
        <w:rPr>
          <w:bCs/>
          <w:sz w:val="22"/>
          <w:szCs w:val="22"/>
        </w:rPr>
        <w:noBreakHyphen/>
      </w:r>
      <w:r w:rsidRPr="00B30C0B">
        <w:rPr>
          <w:bCs/>
          <w:sz w:val="22"/>
          <w:szCs w:val="22"/>
        </w:rPr>
        <w:t>reg.č. 21/0158/05-S</w:t>
      </w:r>
    </w:p>
    <w:p w14:paraId="38935CB5" w14:textId="77777777" w:rsidR="00004B69" w:rsidRPr="00B30C0B" w:rsidRDefault="00004B69" w:rsidP="00B30C0B">
      <w:pPr>
        <w:rPr>
          <w:b/>
          <w:bCs/>
          <w:sz w:val="22"/>
          <w:szCs w:val="22"/>
        </w:rPr>
      </w:pPr>
    </w:p>
    <w:p w14:paraId="0858521E" w14:textId="77777777" w:rsidR="0016799D" w:rsidRPr="00B30C0B" w:rsidRDefault="0016799D" w:rsidP="00B30C0B">
      <w:pPr>
        <w:rPr>
          <w:b/>
          <w:bCs/>
          <w:sz w:val="22"/>
          <w:szCs w:val="22"/>
        </w:rPr>
      </w:pPr>
    </w:p>
    <w:p w14:paraId="3F52EB84" w14:textId="77777777" w:rsidR="007D1F46" w:rsidRPr="00B30C0B" w:rsidRDefault="007D1F46" w:rsidP="00B30C0B">
      <w:pPr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t xml:space="preserve">9. </w:t>
      </w:r>
      <w:r w:rsidR="0016799D" w:rsidRPr="00B30C0B">
        <w:rPr>
          <w:b/>
          <w:bC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Dátum prvej registrácie/Predĺženia registrácie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6B21FDA5" w14:textId="77777777" w:rsidR="00836E8A" w:rsidRPr="00B30C0B" w:rsidRDefault="00836E8A" w:rsidP="00B30C0B">
      <w:pPr>
        <w:rPr>
          <w:b/>
          <w:bCs/>
          <w:sz w:val="22"/>
          <w:szCs w:val="22"/>
        </w:rPr>
      </w:pPr>
    </w:p>
    <w:p w14:paraId="120C82DA" w14:textId="6196099E" w:rsidR="0016799D" w:rsidRPr="00B30C0B" w:rsidRDefault="000D0D27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Dátum prvej registrácie: 09.</w:t>
      </w:r>
      <w:r w:rsidR="00696DA1" w:rsidRPr="00B30C0B">
        <w:rPr>
          <w:bCs/>
          <w:sz w:val="22"/>
          <w:szCs w:val="22"/>
        </w:rPr>
        <w:t xml:space="preserve">júna </w:t>
      </w:r>
      <w:r w:rsidRPr="00B30C0B">
        <w:rPr>
          <w:bCs/>
          <w:sz w:val="22"/>
          <w:szCs w:val="22"/>
        </w:rPr>
        <w:t>2005</w:t>
      </w:r>
    </w:p>
    <w:p w14:paraId="0504ABDB" w14:textId="53FBD634" w:rsidR="000D0D27" w:rsidRPr="00B30C0B" w:rsidRDefault="000D0D27" w:rsidP="00B30C0B">
      <w:pPr>
        <w:rPr>
          <w:bCs/>
          <w:sz w:val="22"/>
          <w:szCs w:val="22"/>
        </w:rPr>
      </w:pPr>
      <w:r w:rsidRPr="00B30C0B">
        <w:rPr>
          <w:bCs/>
          <w:sz w:val="22"/>
          <w:szCs w:val="22"/>
        </w:rPr>
        <w:t>Dátum posledného predĺženia registrácie: 23.</w:t>
      </w:r>
      <w:r w:rsidR="00696DA1" w:rsidRPr="00B30C0B">
        <w:rPr>
          <w:bCs/>
          <w:sz w:val="22"/>
          <w:szCs w:val="22"/>
        </w:rPr>
        <w:t xml:space="preserve">decembra </w:t>
      </w:r>
      <w:r w:rsidRPr="00B30C0B">
        <w:rPr>
          <w:bCs/>
          <w:sz w:val="22"/>
          <w:szCs w:val="22"/>
        </w:rPr>
        <w:t>2008</w:t>
      </w:r>
    </w:p>
    <w:p w14:paraId="1F41AF0D" w14:textId="77777777" w:rsidR="0016799D" w:rsidRPr="00B30C0B" w:rsidRDefault="0016799D" w:rsidP="00B30C0B">
      <w:pPr>
        <w:rPr>
          <w:b/>
          <w:bCs/>
          <w:sz w:val="22"/>
          <w:szCs w:val="22"/>
        </w:rPr>
      </w:pPr>
    </w:p>
    <w:p w14:paraId="35E54BEE" w14:textId="77777777" w:rsidR="00004B69" w:rsidRPr="00B30C0B" w:rsidRDefault="00004B69" w:rsidP="00B30C0B">
      <w:pPr>
        <w:rPr>
          <w:b/>
          <w:bCs/>
          <w:sz w:val="22"/>
          <w:szCs w:val="22"/>
        </w:rPr>
      </w:pPr>
    </w:p>
    <w:p w14:paraId="389ECADE" w14:textId="77777777" w:rsidR="007D1F46" w:rsidRPr="00B30C0B" w:rsidRDefault="007D1F46" w:rsidP="00B30C0B">
      <w:pPr>
        <w:keepNext/>
        <w:rPr>
          <w:b/>
          <w:bCs/>
          <w:sz w:val="22"/>
          <w:szCs w:val="22"/>
        </w:rPr>
      </w:pPr>
      <w:r w:rsidRPr="00B30C0B">
        <w:rPr>
          <w:b/>
          <w:bCs/>
          <w:sz w:val="22"/>
          <w:szCs w:val="22"/>
        </w:rPr>
        <w:lastRenderedPageBreak/>
        <w:t>10</w:t>
      </w:r>
      <w:r w:rsidR="00D85FC8" w:rsidRPr="00B30C0B">
        <w:rPr>
          <w:b/>
          <w:bCs/>
          <w:sz w:val="22"/>
          <w:szCs w:val="22"/>
        </w:rPr>
        <w:t xml:space="preserve">. </w:t>
      </w:r>
      <w:r w:rsidR="0016799D" w:rsidRPr="00B30C0B">
        <w:rPr>
          <w:b/>
          <w:bCs/>
          <w:sz w:val="22"/>
          <w:szCs w:val="22"/>
        </w:rPr>
        <w:tab/>
      </w:r>
      <w:r w:rsidR="00AD7A45" w:rsidRPr="00B30C0B">
        <w:rPr>
          <w:b/>
          <w:bCs/>
          <w:caps/>
          <w:sz w:val="22"/>
          <w:szCs w:val="22"/>
        </w:rPr>
        <w:t>Dátum revízie textu</w:t>
      </w:r>
      <w:r w:rsidR="00AD7A45" w:rsidRPr="00B30C0B">
        <w:rPr>
          <w:b/>
          <w:bCs/>
          <w:sz w:val="22"/>
          <w:szCs w:val="22"/>
        </w:rPr>
        <w:t xml:space="preserve"> </w:t>
      </w:r>
    </w:p>
    <w:p w14:paraId="3ED98595" w14:textId="77777777" w:rsidR="00836D41" w:rsidRPr="00B30C0B" w:rsidRDefault="00836D41" w:rsidP="00B30C0B">
      <w:pPr>
        <w:keepNext/>
        <w:rPr>
          <w:bCs/>
          <w:sz w:val="22"/>
          <w:szCs w:val="22"/>
        </w:rPr>
      </w:pPr>
    </w:p>
    <w:p w14:paraId="39E6844A" w14:textId="0CC1DDFC" w:rsidR="00761059" w:rsidRPr="00B30C0B" w:rsidRDefault="009E3298" w:rsidP="00B30C0B">
      <w:pPr>
        <w:pStyle w:val="Zkladntext"/>
        <w:keepNext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Decem</w:t>
      </w:r>
      <w:bookmarkStart w:id="0" w:name="_GoBack"/>
      <w:bookmarkEnd w:id="0"/>
      <w:r w:rsidR="005373BB">
        <w:rPr>
          <w:rFonts w:ascii="Times New Roman" w:hAnsi="Times New Roman" w:cs="Times New Roman"/>
          <w:sz w:val="22"/>
          <w:szCs w:val="22"/>
        </w:rPr>
        <w:t>ber </w:t>
      </w:r>
      <w:r w:rsidR="00B30C0B">
        <w:rPr>
          <w:rFonts w:ascii="Times New Roman" w:hAnsi="Times New Roman" w:cs="Times New Roman"/>
          <w:sz w:val="22"/>
          <w:szCs w:val="22"/>
        </w:rPr>
        <w:t>2019</w:t>
      </w:r>
    </w:p>
    <w:sectPr w:rsidR="00761059" w:rsidRPr="00B30C0B" w:rsidSect="005373B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7C9A0" w14:textId="77777777" w:rsidR="004606E6" w:rsidRDefault="004606E6">
      <w:r>
        <w:separator/>
      </w:r>
    </w:p>
  </w:endnote>
  <w:endnote w:type="continuationSeparator" w:id="0">
    <w:p w14:paraId="24F3887D" w14:textId="77777777" w:rsidR="004606E6" w:rsidRDefault="004606E6">
      <w:r>
        <w:continuationSeparator/>
      </w:r>
    </w:p>
  </w:endnote>
  <w:endnote w:type="continuationNotice" w:id="1">
    <w:p w14:paraId="7DF5F3AB" w14:textId="77777777" w:rsidR="004606E6" w:rsidRDefault="00460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DD895" w14:textId="77777777" w:rsidR="00F13599" w:rsidRDefault="00F13599" w:rsidP="007A3D5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01AB3D5" w14:textId="77777777" w:rsidR="00F13599" w:rsidRDefault="00F1359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738633203"/>
      <w:docPartObj>
        <w:docPartGallery w:val="Page Numbers (Bottom of Page)"/>
        <w:docPartUnique/>
      </w:docPartObj>
    </w:sdtPr>
    <w:sdtEndPr/>
    <w:sdtContent>
      <w:p w14:paraId="15EA2EF5" w14:textId="034CEEE9" w:rsidR="00F13599" w:rsidRPr="00B30C0B" w:rsidRDefault="00B30C0B" w:rsidP="00B30C0B">
        <w:pPr>
          <w:pStyle w:val="Pta"/>
          <w:jc w:val="center"/>
          <w:rPr>
            <w:sz w:val="18"/>
            <w:szCs w:val="18"/>
          </w:rPr>
        </w:pPr>
        <w:r w:rsidRPr="00B30C0B">
          <w:rPr>
            <w:sz w:val="18"/>
            <w:szCs w:val="18"/>
          </w:rPr>
          <w:fldChar w:fldCharType="begin"/>
        </w:r>
        <w:r w:rsidRPr="00B30C0B">
          <w:rPr>
            <w:sz w:val="18"/>
            <w:szCs w:val="18"/>
          </w:rPr>
          <w:instrText>PAGE   \* MERGEFORMAT</w:instrText>
        </w:r>
        <w:r w:rsidRPr="00B30C0B">
          <w:rPr>
            <w:sz w:val="18"/>
            <w:szCs w:val="18"/>
          </w:rPr>
          <w:fldChar w:fldCharType="separate"/>
        </w:r>
        <w:r w:rsidR="009E3298">
          <w:rPr>
            <w:noProof/>
            <w:sz w:val="18"/>
            <w:szCs w:val="18"/>
          </w:rPr>
          <w:t>14</w:t>
        </w:r>
        <w:r w:rsidRPr="00B30C0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7639" w14:textId="77777777" w:rsidR="004606E6" w:rsidRDefault="004606E6">
      <w:r>
        <w:separator/>
      </w:r>
    </w:p>
  </w:footnote>
  <w:footnote w:type="continuationSeparator" w:id="0">
    <w:p w14:paraId="4BE65CE3" w14:textId="77777777" w:rsidR="004606E6" w:rsidRDefault="004606E6">
      <w:r>
        <w:continuationSeparator/>
      </w:r>
    </w:p>
  </w:footnote>
  <w:footnote w:type="continuationNotice" w:id="1">
    <w:p w14:paraId="3982B683" w14:textId="77777777" w:rsidR="004606E6" w:rsidRDefault="004606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DD815" w14:textId="295E5396" w:rsidR="004606E6" w:rsidRDefault="004606E6" w:rsidP="00B30C0B">
    <w:pPr>
      <w:pStyle w:val="Hlavika"/>
    </w:pPr>
    <w:r w:rsidRPr="00725B5F">
      <w:rPr>
        <w:sz w:val="18"/>
        <w:szCs w:val="18"/>
      </w:rPr>
      <w:t>Príloha č.</w:t>
    </w:r>
    <w:r w:rsidR="008F0D43">
      <w:rPr>
        <w:sz w:val="18"/>
        <w:szCs w:val="18"/>
      </w:rPr>
      <w:t>2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 w:rsidR="00B30C0B">
      <w:rPr>
        <w:sz w:val="18"/>
        <w:szCs w:val="18"/>
      </w:rPr>
      <w:t xml:space="preserve"> </w:t>
    </w:r>
    <w:r w:rsidR="008F0D43">
      <w:rPr>
        <w:sz w:val="18"/>
        <w:szCs w:val="18"/>
      </w:rPr>
      <w:t xml:space="preserve">2019/04787-ZIB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154A" w14:textId="24CC8E85" w:rsidR="00067DBF" w:rsidRDefault="000B5A68" w:rsidP="009705EF">
    <w:pPr>
      <w:pStyle w:val="Hlavika"/>
      <w:tabs>
        <w:tab w:val="clear" w:pos="4536"/>
        <w:tab w:val="clear" w:pos="9072"/>
        <w:tab w:val="left" w:pos="3832"/>
      </w:tabs>
    </w:pPr>
    <w:r w:rsidRPr="00725B5F">
      <w:rPr>
        <w:sz w:val="18"/>
        <w:szCs w:val="18"/>
      </w:rPr>
      <w:t>Príloha č.</w:t>
    </w:r>
    <w:r>
      <w:rPr>
        <w:sz w:val="18"/>
        <w:szCs w:val="18"/>
      </w:rPr>
      <w:t>2</w:t>
    </w:r>
    <w:r w:rsidRPr="00725B5F">
      <w:rPr>
        <w:sz w:val="18"/>
        <w:szCs w:val="18"/>
      </w:rPr>
      <w:t xml:space="preserve"> k notifikácii o zmene, ev.č.</w:t>
    </w:r>
    <w:r>
      <w:rPr>
        <w:sz w:val="18"/>
        <w:szCs w:val="18"/>
      </w:rPr>
      <w:t>:</w:t>
    </w:r>
    <w:r w:rsidR="00B65C95">
      <w:rPr>
        <w:sz w:val="18"/>
        <w:szCs w:val="18"/>
      </w:rPr>
      <w:tab/>
    </w:r>
  </w:p>
  <w:p w14:paraId="411D9A0A" w14:textId="77777777" w:rsidR="00E64D76" w:rsidRDefault="00E64D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E66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004AB"/>
    <w:multiLevelType w:val="multilevel"/>
    <w:tmpl w:val="A7864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010E7A"/>
    <w:multiLevelType w:val="hybridMultilevel"/>
    <w:tmpl w:val="803A9BB2"/>
    <w:lvl w:ilvl="0" w:tplc="8AB85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78BC78">
      <w:numFmt w:val="none"/>
      <w:lvlText w:val=""/>
      <w:lvlJc w:val="left"/>
      <w:pPr>
        <w:tabs>
          <w:tab w:val="num" w:pos="360"/>
        </w:tabs>
      </w:pPr>
    </w:lvl>
    <w:lvl w:ilvl="2" w:tplc="BB2CF5F2">
      <w:numFmt w:val="none"/>
      <w:lvlText w:val=""/>
      <w:lvlJc w:val="left"/>
      <w:pPr>
        <w:tabs>
          <w:tab w:val="num" w:pos="360"/>
        </w:tabs>
      </w:pPr>
    </w:lvl>
    <w:lvl w:ilvl="3" w:tplc="FF760B7E">
      <w:numFmt w:val="none"/>
      <w:lvlText w:val=""/>
      <w:lvlJc w:val="left"/>
      <w:pPr>
        <w:tabs>
          <w:tab w:val="num" w:pos="360"/>
        </w:tabs>
      </w:pPr>
    </w:lvl>
    <w:lvl w:ilvl="4" w:tplc="5888B63E">
      <w:numFmt w:val="none"/>
      <w:lvlText w:val=""/>
      <w:lvlJc w:val="left"/>
      <w:pPr>
        <w:tabs>
          <w:tab w:val="num" w:pos="360"/>
        </w:tabs>
      </w:pPr>
    </w:lvl>
    <w:lvl w:ilvl="5" w:tplc="0FEC1684">
      <w:numFmt w:val="none"/>
      <w:lvlText w:val=""/>
      <w:lvlJc w:val="left"/>
      <w:pPr>
        <w:tabs>
          <w:tab w:val="num" w:pos="360"/>
        </w:tabs>
      </w:pPr>
    </w:lvl>
    <w:lvl w:ilvl="6" w:tplc="2C14716A">
      <w:numFmt w:val="none"/>
      <w:lvlText w:val=""/>
      <w:lvlJc w:val="left"/>
      <w:pPr>
        <w:tabs>
          <w:tab w:val="num" w:pos="360"/>
        </w:tabs>
      </w:pPr>
    </w:lvl>
    <w:lvl w:ilvl="7" w:tplc="70B2F97E">
      <w:numFmt w:val="none"/>
      <w:lvlText w:val=""/>
      <w:lvlJc w:val="left"/>
      <w:pPr>
        <w:tabs>
          <w:tab w:val="num" w:pos="360"/>
        </w:tabs>
      </w:pPr>
    </w:lvl>
    <w:lvl w:ilvl="8" w:tplc="DA6C147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05F48EA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C87DAA"/>
    <w:multiLevelType w:val="hybridMultilevel"/>
    <w:tmpl w:val="6C3A7222"/>
    <w:lvl w:ilvl="0" w:tplc="98046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116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5B3A92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0664B1"/>
    <w:multiLevelType w:val="hybridMultilevel"/>
    <w:tmpl w:val="49B8A2F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505D2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4E2DE5"/>
    <w:multiLevelType w:val="hybridMultilevel"/>
    <w:tmpl w:val="9DD0A8B6"/>
    <w:lvl w:ilvl="0" w:tplc="4568F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50D04"/>
    <w:multiLevelType w:val="hybridMultilevel"/>
    <w:tmpl w:val="90E04540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03B13"/>
    <w:multiLevelType w:val="hybridMultilevel"/>
    <w:tmpl w:val="BC2EB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F11D4"/>
    <w:multiLevelType w:val="hybridMultilevel"/>
    <w:tmpl w:val="FE06E6B2"/>
    <w:lvl w:ilvl="0" w:tplc="25A0E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63500"/>
    <w:multiLevelType w:val="multilevel"/>
    <w:tmpl w:val="F46458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9740D2"/>
    <w:multiLevelType w:val="multilevel"/>
    <w:tmpl w:val="150CDD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1B7CA2"/>
    <w:multiLevelType w:val="hybridMultilevel"/>
    <w:tmpl w:val="BBFE8568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548C9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13771F"/>
    <w:multiLevelType w:val="multilevel"/>
    <w:tmpl w:val="6F78E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4B7BE5"/>
    <w:multiLevelType w:val="multilevel"/>
    <w:tmpl w:val="CABE59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35296E"/>
    <w:multiLevelType w:val="multilevel"/>
    <w:tmpl w:val="235037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1204A5"/>
    <w:multiLevelType w:val="hybridMultilevel"/>
    <w:tmpl w:val="7130B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4A29D5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12779"/>
    <w:multiLevelType w:val="multilevel"/>
    <w:tmpl w:val="B41AC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9C5A7A"/>
    <w:multiLevelType w:val="hybridMultilevel"/>
    <w:tmpl w:val="2CEA6116"/>
    <w:lvl w:ilvl="0" w:tplc="050AD4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20"/>
  </w:num>
  <w:num w:numId="6">
    <w:abstractNumId w:val="17"/>
  </w:num>
  <w:num w:numId="7">
    <w:abstractNumId w:val="5"/>
  </w:num>
  <w:num w:numId="8">
    <w:abstractNumId w:val="10"/>
  </w:num>
  <w:num w:numId="9">
    <w:abstractNumId w:val="7"/>
  </w:num>
  <w:num w:numId="10">
    <w:abstractNumId w:val="15"/>
  </w:num>
  <w:num w:numId="11">
    <w:abstractNumId w:val="11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8"/>
  </w:num>
  <w:num w:numId="17">
    <w:abstractNumId w:val="1"/>
  </w:num>
  <w:num w:numId="18">
    <w:abstractNumId w:val="0"/>
  </w:num>
  <w:num w:numId="19">
    <w:abstractNumId w:val="21"/>
  </w:num>
  <w:num w:numId="20">
    <w:abstractNumId w:val="3"/>
  </w:num>
  <w:num w:numId="21">
    <w:abstractNumId w:val="6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6209"/>
    <w:rsid w:val="00001DB3"/>
    <w:rsid w:val="00004B69"/>
    <w:rsid w:val="00005703"/>
    <w:rsid w:val="00025204"/>
    <w:rsid w:val="00032C74"/>
    <w:rsid w:val="00040D41"/>
    <w:rsid w:val="00045731"/>
    <w:rsid w:val="000460C0"/>
    <w:rsid w:val="00046FAF"/>
    <w:rsid w:val="00047411"/>
    <w:rsid w:val="0005166A"/>
    <w:rsid w:val="00054F60"/>
    <w:rsid w:val="00055253"/>
    <w:rsid w:val="000611E3"/>
    <w:rsid w:val="000630F4"/>
    <w:rsid w:val="00067DBF"/>
    <w:rsid w:val="00070361"/>
    <w:rsid w:val="000717A5"/>
    <w:rsid w:val="00074043"/>
    <w:rsid w:val="00077865"/>
    <w:rsid w:val="000829C1"/>
    <w:rsid w:val="000874BD"/>
    <w:rsid w:val="00090BE8"/>
    <w:rsid w:val="000968AE"/>
    <w:rsid w:val="000B0441"/>
    <w:rsid w:val="000B2076"/>
    <w:rsid w:val="000B20B5"/>
    <w:rsid w:val="000B37AE"/>
    <w:rsid w:val="000B5A68"/>
    <w:rsid w:val="000C1DD0"/>
    <w:rsid w:val="000C4A92"/>
    <w:rsid w:val="000D0D27"/>
    <w:rsid w:val="000D20FE"/>
    <w:rsid w:val="000D38B8"/>
    <w:rsid w:val="000D6FCE"/>
    <w:rsid w:val="000D7D15"/>
    <w:rsid w:val="000E0577"/>
    <w:rsid w:val="000E15D6"/>
    <w:rsid w:val="000E2439"/>
    <w:rsid w:val="000F5927"/>
    <w:rsid w:val="00103BBF"/>
    <w:rsid w:val="00124AC4"/>
    <w:rsid w:val="00124B4B"/>
    <w:rsid w:val="001254A2"/>
    <w:rsid w:val="00126BA8"/>
    <w:rsid w:val="0013173F"/>
    <w:rsid w:val="001376F4"/>
    <w:rsid w:val="00137DA7"/>
    <w:rsid w:val="001432D3"/>
    <w:rsid w:val="00147CC7"/>
    <w:rsid w:val="00151FB2"/>
    <w:rsid w:val="00155CD1"/>
    <w:rsid w:val="00155DCB"/>
    <w:rsid w:val="0016799D"/>
    <w:rsid w:val="00173832"/>
    <w:rsid w:val="00182EBF"/>
    <w:rsid w:val="00183696"/>
    <w:rsid w:val="0018462E"/>
    <w:rsid w:val="00187BC1"/>
    <w:rsid w:val="00191A53"/>
    <w:rsid w:val="00196C70"/>
    <w:rsid w:val="001A25CB"/>
    <w:rsid w:val="001C0281"/>
    <w:rsid w:val="001C47B4"/>
    <w:rsid w:val="001C4D4D"/>
    <w:rsid w:val="001C7D25"/>
    <w:rsid w:val="001D1E54"/>
    <w:rsid w:val="001D7DE3"/>
    <w:rsid w:val="001E25D7"/>
    <w:rsid w:val="001E7AE3"/>
    <w:rsid w:val="001F03B8"/>
    <w:rsid w:val="001F4551"/>
    <w:rsid w:val="001F7052"/>
    <w:rsid w:val="0020016D"/>
    <w:rsid w:val="00201989"/>
    <w:rsid w:val="00201C05"/>
    <w:rsid w:val="0020567E"/>
    <w:rsid w:val="002141C2"/>
    <w:rsid w:val="00221AB0"/>
    <w:rsid w:val="00226304"/>
    <w:rsid w:val="002315CB"/>
    <w:rsid w:val="00235C58"/>
    <w:rsid w:val="00237223"/>
    <w:rsid w:val="002424CF"/>
    <w:rsid w:val="00244A0E"/>
    <w:rsid w:val="0025262B"/>
    <w:rsid w:val="0025541E"/>
    <w:rsid w:val="002628B3"/>
    <w:rsid w:val="00267277"/>
    <w:rsid w:val="00272AEF"/>
    <w:rsid w:val="00272FF0"/>
    <w:rsid w:val="002925AC"/>
    <w:rsid w:val="002A7090"/>
    <w:rsid w:val="002B1E0F"/>
    <w:rsid w:val="002B2479"/>
    <w:rsid w:val="002B628A"/>
    <w:rsid w:val="002B7ABC"/>
    <w:rsid w:val="002C5596"/>
    <w:rsid w:val="002D3D44"/>
    <w:rsid w:val="002D4DBE"/>
    <w:rsid w:val="002E178D"/>
    <w:rsid w:val="002E6491"/>
    <w:rsid w:val="002F164E"/>
    <w:rsid w:val="002F1D4D"/>
    <w:rsid w:val="002F7DB2"/>
    <w:rsid w:val="0030053A"/>
    <w:rsid w:val="00301542"/>
    <w:rsid w:val="00310B49"/>
    <w:rsid w:val="00315D15"/>
    <w:rsid w:val="003170D9"/>
    <w:rsid w:val="00331204"/>
    <w:rsid w:val="00332F92"/>
    <w:rsid w:val="0033680C"/>
    <w:rsid w:val="003443D5"/>
    <w:rsid w:val="00346112"/>
    <w:rsid w:val="00376901"/>
    <w:rsid w:val="00382FF0"/>
    <w:rsid w:val="00392F62"/>
    <w:rsid w:val="00396006"/>
    <w:rsid w:val="003A1B97"/>
    <w:rsid w:val="003A2CC3"/>
    <w:rsid w:val="003A3A28"/>
    <w:rsid w:val="003A4828"/>
    <w:rsid w:val="003B4D14"/>
    <w:rsid w:val="003B61AF"/>
    <w:rsid w:val="003C3988"/>
    <w:rsid w:val="003C7E01"/>
    <w:rsid w:val="003D1A6D"/>
    <w:rsid w:val="003D211A"/>
    <w:rsid w:val="003D525D"/>
    <w:rsid w:val="003D70F2"/>
    <w:rsid w:val="003E12C9"/>
    <w:rsid w:val="003E418B"/>
    <w:rsid w:val="003E577C"/>
    <w:rsid w:val="003E6FFA"/>
    <w:rsid w:val="003F1B51"/>
    <w:rsid w:val="003F2AC6"/>
    <w:rsid w:val="004004D1"/>
    <w:rsid w:val="004068B5"/>
    <w:rsid w:val="0041181B"/>
    <w:rsid w:val="00413A07"/>
    <w:rsid w:val="00414A42"/>
    <w:rsid w:val="004161B9"/>
    <w:rsid w:val="00427803"/>
    <w:rsid w:val="0043284D"/>
    <w:rsid w:val="0043442D"/>
    <w:rsid w:val="00436CA9"/>
    <w:rsid w:val="0043733D"/>
    <w:rsid w:val="00442A8F"/>
    <w:rsid w:val="00444E1B"/>
    <w:rsid w:val="004513F0"/>
    <w:rsid w:val="00454EA0"/>
    <w:rsid w:val="00457C23"/>
    <w:rsid w:val="004606E6"/>
    <w:rsid w:val="0046486E"/>
    <w:rsid w:val="004664E7"/>
    <w:rsid w:val="00466D3F"/>
    <w:rsid w:val="004733C2"/>
    <w:rsid w:val="0047776B"/>
    <w:rsid w:val="00482711"/>
    <w:rsid w:val="004836A6"/>
    <w:rsid w:val="00493BC4"/>
    <w:rsid w:val="004A216A"/>
    <w:rsid w:val="004A3C80"/>
    <w:rsid w:val="004A7D24"/>
    <w:rsid w:val="004B0D34"/>
    <w:rsid w:val="004B1805"/>
    <w:rsid w:val="004B46BA"/>
    <w:rsid w:val="004B615E"/>
    <w:rsid w:val="004B6E54"/>
    <w:rsid w:val="004B7002"/>
    <w:rsid w:val="004C35BC"/>
    <w:rsid w:val="004D1644"/>
    <w:rsid w:val="004D2FCE"/>
    <w:rsid w:val="004F1C7A"/>
    <w:rsid w:val="004F1DB8"/>
    <w:rsid w:val="004F25C0"/>
    <w:rsid w:val="00501124"/>
    <w:rsid w:val="0050205F"/>
    <w:rsid w:val="00504A66"/>
    <w:rsid w:val="00504E27"/>
    <w:rsid w:val="00507622"/>
    <w:rsid w:val="00510DA1"/>
    <w:rsid w:val="00520C17"/>
    <w:rsid w:val="0052717A"/>
    <w:rsid w:val="00531C79"/>
    <w:rsid w:val="00534ABA"/>
    <w:rsid w:val="005373BB"/>
    <w:rsid w:val="00543CCD"/>
    <w:rsid w:val="00544FBE"/>
    <w:rsid w:val="00551E26"/>
    <w:rsid w:val="00552288"/>
    <w:rsid w:val="00552BA0"/>
    <w:rsid w:val="005547F4"/>
    <w:rsid w:val="00563482"/>
    <w:rsid w:val="0056480C"/>
    <w:rsid w:val="00566C63"/>
    <w:rsid w:val="00571396"/>
    <w:rsid w:val="00571931"/>
    <w:rsid w:val="0058230D"/>
    <w:rsid w:val="00583F90"/>
    <w:rsid w:val="00584923"/>
    <w:rsid w:val="005859F0"/>
    <w:rsid w:val="00591617"/>
    <w:rsid w:val="005927F4"/>
    <w:rsid w:val="005973E6"/>
    <w:rsid w:val="005A4871"/>
    <w:rsid w:val="005A4FCD"/>
    <w:rsid w:val="005B33BC"/>
    <w:rsid w:val="005B5A99"/>
    <w:rsid w:val="005B7CC8"/>
    <w:rsid w:val="005C089C"/>
    <w:rsid w:val="005C51BE"/>
    <w:rsid w:val="005D434F"/>
    <w:rsid w:val="005E47EF"/>
    <w:rsid w:val="005E5DCC"/>
    <w:rsid w:val="005F5D73"/>
    <w:rsid w:val="00610684"/>
    <w:rsid w:val="00620FB4"/>
    <w:rsid w:val="0062486B"/>
    <w:rsid w:val="00630904"/>
    <w:rsid w:val="00630CEB"/>
    <w:rsid w:val="006368FE"/>
    <w:rsid w:val="00637E72"/>
    <w:rsid w:val="0064264C"/>
    <w:rsid w:val="00651FCF"/>
    <w:rsid w:val="00653E19"/>
    <w:rsid w:val="006628B5"/>
    <w:rsid w:val="00662914"/>
    <w:rsid w:val="0066762B"/>
    <w:rsid w:val="006679E5"/>
    <w:rsid w:val="00674FB7"/>
    <w:rsid w:val="00676DE0"/>
    <w:rsid w:val="00680C13"/>
    <w:rsid w:val="0068254C"/>
    <w:rsid w:val="0068666A"/>
    <w:rsid w:val="00686A8F"/>
    <w:rsid w:val="00692E82"/>
    <w:rsid w:val="00696DA1"/>
    <w:rsid w:val="00697392"/>
    <w:rsid w:val="006A4B08"/>
    <w:rsid w:val="006B16FD"/>
    <w:rsid w:val="006B227A"/>
    <w:rsid w:val="006D2410"/>
    <w:rsid w:val="006D7804"/>
    <w:rsid w:val="006E0844"/>
    <w:rsid w:val="006E46D8"/>
    <w:rsid w:val="006E7085"/>
    <w:rsid w:val="006F0D06"/>
    <w:rsid w:val="00702653"/>
    <w:rsid w:val="007122D0"/>
    <w:rsid w:val="00716BCC"/>
    <w:rsid w:val="00717CB9"/>
    <w:rsid w:val="00717DD2"/>
    <w:rsid w:val="00734756"/>
    <w:rsid w:val="00735798"/>
    <w:rsid w:val="00742782"/>
    <w:rsid w:val="00747F35"/>
    <w:rsid w:val="00750BB0"/>
    <w:rsid w:val="00754E96"/>
    <w:rsid w:val="00755331"/>
    <w:rsid w:val="00755E04"/>
    <w:rsid w:val="007579F3"/>
    <w:rsid w:val="00761059"/>
    <w:rsid w:val="007628ED"/>
    <w:rsid w:val="00762E0A"/>
    <w:rsid w:val="00781F06"/>
    <w:rsid w:val="00782126"/>
    <w:rsid w:val="00792E1C"/>
    <w:rsid w:val="00796295"/>
    <w:rsid w:val="0079699C"/>
    <w:rsid w:val="00796F2C"/>
    <w:rsid w:val="007A3D5D"/>
    <w:rsid w:val="007A5705"/>
    <w:rsid w:val="007A5FD5"/>
    <w:rsid w:val="007D1F46"/>
    <w:rsid w:val="007D6BF7"/>
    <w:rsid w:val="007E2FD3"/>
    <w:rsid w:val="007E5394"/>
    <w:rsid w:val="008020D7"/>
    <w:rsid w:val="00811661"/>
    <w:rsid w:val="00814C36"/>
    <w:rsid w:val="008173AF"/>
    <w:rsid w:val="00826BED"/>
    <w:rsid w:val="00831829"/>
    <w:rsid w:val="008337BB"/>
    <w:rsid w:val="00836D41"/>
    <w:rsid w:val="00836E8A"/>
    <w:rsid w:val="008432F8"/>
    <w:rsid w:val="0084565A"/>
    <w:rsid w:val="00845AF7"/>
    <w:rsid w:val="00846206"/>
    <w:rsid w:val="0086327B"/>
    <w:rsid w:val="00865A1C"/>
    <w:rsid w:val="008709E5"/>
    <w:rsid w:val="00874513"/>
    <w:rsid w:val="00876ACA"/>
    <w:rsid w:val="008846E8"/>
    <w:rsid w:val="00887DB5"/>
    <w:rsid w:val="00893827"/>
    <w:rsid w:val="008A0787"/>
    <w:rsid w:val="008A218B"/>
    <w:rsid w:val="008A340E"/>
    <w:rsid w:val="008B0328"/>
    <w:rsid w:val="008B4F22"/>
    <w:rsid w:val="008C00E8"/>
    <w:rsid w:val="008C0CAB"/>
    <w:rsid w:val="008C647D"/>
    <w:rsid w:val="008E3B64"/>
    <w:rsid w:val="008E544B"/>
    <w:rsid w:val="008F0A78"/>
    <w:rsid w:val="008F0D43"/>
    <w:rsid w:val="008F1368"/>
    <w:rsid w:val="00902E65"/>
    <w:rsid w:val="00905ACA"/>
    <w:rsid w:val="00910AED"/>
    <w:rsid w:val="00913857"/>
    <w:rsid w:val="00923B7C"/>
    <w:rsid w:val="00926A47"/>
    <w:rsid w:val="0093181A"/>
    <w:rsid w:val="00933A1C"/>
    <w:rsid w:val="00936710"/>
    <w:rsid w:val="00937E4C"/>
    <w:rsid w:val="00940045"/>
    <w:rsid w:val="00943D97"/>
    <w:rsid w:val="009476FB"/>
    <w:rsid w:val="00953253"/>
    <w:rsid w:val="0095647A"/>
    <w:rsid w:val="00957FF3"/>
    <w:rsid w:val="009674BD"/>
    <w:rsid w:val="009705EF"/>
    <w:rsid w:val="00972035"/>
    <w:rsid w:val="00975537"/>
    <w:rsid w:val="0097649C"/>
    <w:rsid w:val="00984146"/>
    <w:rsid w:val="00990FA2"/>
    <w:rsid w:val="00995929"/>
    <w:rsid w:val="0099600C"/>
    <w:rsid w:val="009A0F7E"/>
    <w:rsid w:val="009A2656"/>
    <w:rsid w:val="009B2530"/>
    <w:rsid w:val="009B2EC3"/>
    <w:rsid w:val="009B41D4"/>
    <w:rsid w:val="009B48C3"/>
    <w:rsid w:val="009D0C89"/>
    <w:rsid w:val="009D31B1"/>
    <w:rsid w:val="009D79DB"/>
    <w:rsid w:val="009E08D1"/>
    <w:rsid w:val="009E3298"/>
    <w:rsid w:val="009E7418"/>
    <w:rsid w:val="009F0415"/>
    <w:rsid w:val="009F0A86"/>
    <w:rsid w:val="009F39DC"/>
    <w:rsid w:val="009F3E6A"/>
    <w:rsid w:val="009F48AE"/>
    <w:rsid w:val="009F5BD8"/>
    <w:rsid w:val="009F6053"/>
    <w:rsid w:val="00A01719"/>
    <w:rsid w:val="00A123A7"/>
    <w:rsid w:val="00A12D6A"/>
    <w:rsid w:val="00A245A2"/>
    <w:rsid w:val="00A27D8A"/>
    <w:rsid w:val="00A347A3"/>
    <w:rsid w:val="00A4166F"/>
    <w:rsid w:val="00A42725"/>
    <w:rsid w:val="00A45FAA"/>
    <w:rsid w:val="00A52EED"/>
    <w:rsid w:val="00A56199"/>
    <w:rsid w:val="00A6279E"/>
    <w:rsid w:val="00A70DCF"/>
    <w:rsid w:val="00A777EE"/>
    <w:rsid w:val="00A80F9D"/>
    <w:rsid w:val="00A92916"/>
    <w:rsid w:val="00A96A3B"/>
    <w:rsid w:val="00AA0E48"/>
    <w:rsid w:val="00AA210E"/>
    <w:rsid w:val="00AA3A7A"/>
    <w:rsid w:val="00AB7B8C"/>
    <w:rsid w:val="00AC2963"/>
    <w:rsid w:val="00AD00CA"/>
    <w:rsid w:val="00AD2FF5"/>
    <w:rsid w:val="00AD412B"/>
    <w:rsid w:val="00AD4D4B"/>
    <w:rsid w:val="00AD7A45"/>
    <w:rsid w:val="00AF4D42"/>
    <w:rsid w:val="00AF797E"/>
    <w:rsid w:val="00B00B3D"/>
    <w:rsid w:val="00B014B0"/>
    <w:rsid w:val="00B03213"/>
    <w:rsid w:val="00B03AC3"/>
    <w:rsid w:val="00B10D8B"/>
    <w:rsid w:val="00B11F0F"/>
    <w:rsid w:val="00B16941"/>
    <w:rsid w:val="00B21FC5"/>
    <w:rsid w:val="00B30C0B"/>
    <w:rsid w:val="00B334BB"/>
    <w:rsid w:val="00B3633C"/>
    <w:rsid w:val="00B4024C"/>
    <w:rsid w:val="00B52509"/>
    <w:rsid w:val="00B54175"/>
    <w:rsid w:val="00B60808"/>
    <w:rsid w:val="00B62365"/>
    <w:rsid w:val="00B65C95"/>
    <w:rsid w:val="00B66394"/>
    <w:rsid w:val="00B73D28"/>
    <w:rsid w:val="00B73FD4"/>
    <w:rsid w:val="00B7458C"/>
    <w:rsid w:val="00B90823"/>
    <w:rsid w:val="00B908CE"/>
    <w:rsid w:val="00B93443"/>
    <w:rsid w:val="00B95DBD"/>
    <w:rsid w:val="00B97C7F"/>
    <w:rsid w:val="00BA2DBB"/>
    <w:rsid w:val="00BA4452"/>
    <w:rsid w:val="00BB08F2"/>
    <w:rsid w:val="00BB2ADF"/>
    <w:rsid w:val="00BB3137"/>
    <w:rsid w:val="00BB4B17"/>
    <w:rsid w:val="00BD67DC"/>
    <w:rsid w:val="00BE348A"/>
    <w:rsid w:val="00C06822"/>
    <w:rsid w:val="00C13119"/>
    <w:rsid w:val="00C155BF"/>
    <w:rsid w:val="00C20022"/>
    <w:rsid w:val="00C2114B"/>
    <w:rsid w:val="00C22589"/>
    <w:rsid w:val="00C27515"/>
    <w:rsid w:val="00C35275"/>
    <w:rsid w:val="00C35E7C"/>
    <w:rsid w:val="00C3738B"/>
    <w:rsid w:val="00C4085D"/>
    <w:rsid w:val="00C45623"/>
    <w:rsid w:val="00C5310F"/>
    <w:rsid w:val="00C55686"/>
    <w:rsid w:val="00C73B19"/>
    <w:rsid w:val="00C80C1B"/>
    <w:rsid w:val="00C84496"/>
    <w:rsid w:val="00C87FB7"/>
    <w:rsid w:val="00C9199D"/>
    <w:rsid w:val="00CA73B4"/>
    <w:rsid w:val="00CB0C62"/>
    <w:rsid w:val="00CB1EF7"/>
    <w:rsid w:val="00CB309E"/>
    <w:rsid w:val="00CD026B"/>
    <w:rsid w:val="00CD0C44"/>
    <w:rsid w:val="00CD1140"/>
    <w:rsid w:val="00CF05B6"/>
    <w:rsid w:val="00CF0C33"/>
    <w:rsid w:val="00CF509D"/>
    <w:rsid w:val="00CF5D7D"/>
    <w:rsid w:val="00D01E49"/>
    <w:rsid w:val="00D156EB"/>
    <w:rsid w:val="00D22536"/>
    <w:rsid w:val="00D2570F"/>
    <w:rsid w:val="00D303C2"/>
    <w:rsid w:val="00D32CE9"/>
    <w:rsid w:val="00D359BD"/>
    <w:rsid w:val="00D439CA"/>
    <w:rsid w:val="00D45F0F"/>
    <w:rsid w:val="00D531CC"/>
    <w:rsid w:val="00D57220"/>
    <w:rsid w:val="00D60F7B"/>
    <w:rsid w:val="00D66209"/>
    <w:rsid w:val="00D70CD2"/>
    <w:rsid w:val="00D7486D"/>
    <w:rsid w:val="00D81FBA"/>
    <w:rsid w:val="00D85DE2"/>
    <w:rsid w:val="00D85FC8"/>
    <w:rsid w:val="00D92374"/>
    <w:rsid w:val="00DB0707"/>
    <w:rsid w:val="00DC5EF8"/>
    <w:rsid w:val="00DD01CE"/>
    <w:rsid w:val="00DE3382"/>
    <w:rsid w:val="00E05E1A"/>
    <w:rsid w:val="00E21A28"/>
    <w:rsid w:val="00E23446"/>
    <w:rsid w:val="00E24384"/>
    <w:rsid w:val="00E2455E"/>
    <w:rsid w:val="00E3453B"/>
    <w:rsid w:val="00E35474"/>
    <w:rsid w:val="00E44940"/>
    <w:rsid w:val="00E5252E"/>
    <w:rsid w:val="00E630F6"/>
    <w:rsid w:val="00E64D76"/>
    <w:rsid w:val="00E72F39"/>
    <w:rsid w:val="00E7493A"/>
    <w:rsid w:val="00E74B23"/>
    <w:rsid w:val="00E76D8C"/>
    <w:rsid w:val="00E81E39"/>
    <w:rsid w:val="00E82574"/>
    <w:rsid w:val="00E82C1C"/>
    <w:rsid w:val="00E82F9E"/>
    <w:rsid w:val="00E8412C"/>
    <w:rsid w:val="00E85285"/>
    <w:rsid w:val="00EA4784"/>
    <w:rsid w:val="00EB1B90"/>
    <w:rsid w:val="00EB68F0"/>
    <w:rsid w:val="00EC1C8A"/>
    <w:rsid w:val="00ED048E"/>
    <w:rsid w:val="00ED1D8D"/>
    <w:rsid w:val="00ED2375"/>
    <w:rsid w:val="00ED6B9E"/>
    <w:rsid w:val="00F00AFB"/>
    <w:rsid w:val="00F00F55"/>
    <w:rsid w:val="00F109D2"/>
    <w:rsid w:val="00F12930"/>
    <w:rsid w:val="00F13599"/>
    <w:rsid w:val="00F1749F"/>
    <w:rsid w:val="00F17BF6"/>
    <w:rsid w:val="00F200E3"/>
    <w:rsid w:val="00F202AD"/>
    <w:rsid w:val="00F23825"/>
    <w:rsid w:val="00F264E7"/>
    <w:rsid w:val="00F303FD"/>
    <w:rsid w:val="00F32873"/>
    <w:rsid w:val="00F37928"/>
    <w:rsid w:val="00F42E88"/>
    <w:rsid w:val="00F44747"/>
    <w:rsid w:val="00F44D86"/>
    <w:rsid w:val="00F473F7"/>
    <w:rsid w:val="00F5419A"/>
    <w:rsid w:val="00F54673"/>
    <w:rsid w:val="00F55ED6"/>
    <w:rsid w:val="00F607C3"/>
    <w:rsid w:val="00F72731"/>
    <w:rsid w:val="00F74B04"/>
    <w:rsid w:val="00F810CB"/>
    <w:rsid w:val="00F823E2"/>
    <w:rsid w:val="00F8388D"/>
    <w:rsid w:val="00F8763F"/>
    <w:rsid w:val="00F95D53"/>
    <w:rsid w:val="00F960C6"/>
    <w:rsid w:val="00F96905"/>
    <w:rsid w:val="00FA0993"/>
    <w:rsid w:val="00FA25BB"/>
    <w:rsid w:val="00FA6557"/>
    <w:rsid w:val="00FA677E"/>
    <w:rsid w:val="00FB2DBF"/>
    <w:rsid w:val="00FB7055"/>
    <w:rsid w:val="00FB7564"/>
    <w:rsid w:val="00FC460D"/>
    <w:rsid w:val="00FC54A2"/>
    <w:rsid w:val="00FC68C1"/>
    <w:rsid w:val="00FD33DC"/>
    <w:rsid w:val="00FD5109"/>
    <w:rsid w:val="00FE575D"/>
    <w:rsid w:val="00FE6432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B7B52D5"/>
  <w15:docId w15:val="{CC9B88AC-0355-4B94-BE52-68EFDB2F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i/>
      <w:i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0"/>
      <w:u w:val="single"/>
    </w:rPr>
  </w:style>
  <w:style w:type="paragraph" w:styleId="Nadpis7">
    <w:name w:val="heading 7"/>
    <w:basedOn w:val="Normlny"/>
    <w:next w:val="Normlny"/>
    <w:qFormat/>
    <w:pPr>
      <w:keepNext/>
      <w:ind w:left="360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pPr>
      <w:keepNext/>
      <w:ind w:left="360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360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 w:cs="Arial"/>
      <w:sz w:val="20"/>
    </w:rPr>
  </w:style>
  <w:style w:type="paragraph" w:styleId="Zkladntext2">
    <w:name w:val="Body Text 2"/>
    <w:basedOn w:val="Normlny"/>
    <w:rPr>
      <w:rFonts w:ascii="Arial" w:hAnsi="Arial" w:cs="Arial"/>
      <w:i/>
      <w:iCs/>
      <w:sz w:val="20"/>
    </w:rPr>
  </w:style>
  <w:style w:type="character" w:styleId="slostrany">
    <w:name w:val="page number"/>
    <w:basedOn w:val="Predvolenpsmoodseku"/>
    <w:rsid w:val="007A3D5D"/>
  </w:style>
  <w:style w:type="table" w:styleId="Mriekatabuky">
    <w:name w:val="Table Grid"/>
    <w:basedOn w:val="Normlnatabuka"/>
    <w:rsid w:val="00466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630904"/>
    <w:pPr>
      <w:shd w:val="clear" w:color="auto" w:fill="000080"/>
    </w:pPr>
    <w:rPr>
      <w:rFonts w:ascii="Tahoma" w:hAnsi="Tahoma" w:cs="Tahoma"/>
    </w:rPr>
  </w:style>
  <w:style w:type="paragraph" w:customStyle="1" w:styleId="Normlnywebov1">
    <w:name w:val="Normálny (webový)1"/>
    <w:basedOn w:val="Normlny"/>
    <w:rsid w:val="00A123A7"/>
    <w:pPr>
      <w:spacing w:before="100" w:after="100"/>
    </w:pPr>
    <w:rPr>
      <w:snapToGrid w:val="0"/>
      <w:szCs w:val="20"/>
      <w:lang w:val="nb-NO"/>
    </w:rPr>
  </w:style>
  <w:style w:type="paragraph" w:styleId="Normlnywebov">
    <w:name w:val="Normal (Web)"/>
    <w:basedOn w:val="Normlny"/>
    <w:rsid w:val="00315D15"/>
    <w:pPr>
      <w:spacing w:before="100" w:after="100"/>
    </w:pPr>
    <w:rPr>
      <w:rFonts w:ascii="Arial Unicode MS" w:eastAsia="Arial Unicode MS" w:hAnsi="Arial Unicode MS"/>
      <w:szCs w:val="20"/>
      <w:lang w:val="nb-NO" w:eastAsia="fr-FR"/>
    </w:rPr>
  </w:style>
  <w:style w:type="paragraph" w:customStyle="1" w:styleId="OmniPage774">
    <w:name w:val="OmniPage #774"/>
    <w:basedOn w:val="Normlny"/>
    <w:rsid w:val="00226304"/>
    <w:pPr>
      <w:ind w:left="2057" w:right="870"/>
    </w:pPr>
    <w:rPr>
      <w:rFonts w:ascii="Arial" w:hAnsi="Arial"/>
      <w:snapToGrid w:val="0"/>
      <w:sz w:val="20"/>
      <w:szCs w:val="20"/>
      <w:lang w:val="en-GB"/>
    </w:rPr>
  </w:style>
  <w:style w:type="paragraph" w:customStyle="1" w:styleId="Table">
    <w:name w:val="Table"/>
    <w:basedOn w:val="Normlny"/>
    <w:rsid w:val="00E44940"/>
    <w:pPr>
      <w:spacing w:before="60" w:after="60"/>
    </w:pPr>
    <w:rPr>
      <w:rFonts w:ascii="Arial" w:hAnsi="Arial"/>
      <w:snapToGrid w:val="0"/>
      <w:szCs w:val="20"/>
      <w:lang w:val="en-GB"/>
    </w:rPr>
  </w:style>
  <w:style w:type="paragraph" w:styleId="Textbubliny">
    <w:name w:val="Balloon Text"/>
    <w:basedOn w:val="Normlny"/>
    <w:semiHidden/>
    <w:rsid w:val="0013173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984146"/>
    <w:rPr>
      <w:sz w:val="16"/>
      <w:szCs w:val="16"/>
    </w:rPr>
  </w:style>
  <w:style w:type="paragraph" w:styleId="Textkomentra">
    <w:name w:val="annotation text"/>
    <w:basedOn w:val="Normlny"/>
    <w:semiHidden/>
    <w:rsid w:val="0098414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84146"/>
    <w:rPr>
      <w:b/>
      <w:bCs/>
    </w:rPr>
  </w:style>
  <w:style w:type="paragraph" w:customStyle="1" w:styleId="TxBrp14">
    <w:name w:val="TxBr_p14"/>
    <w:basedOn w:val="Normlny"/>
    <w:rsid w:val="002D4DBE"/>
    <w:pPr>
      <w:widowControl w:val="0"/>
      <w:autoSpaceDE w:val="0"/>
      <w:autoSpaceDN w:val="0"/>
      <w:adjustRightInd w:val="0"/>
      <w:spacing w:line="249" w:lineRule="atLeast"/>
      <w:jc w:val="both"/>
    </w:pPr>
    <w:rPr>
      <w:lang w:val="en-US" w:eastAsia="fr-FR"/>
    </w:rPr>
  </w:style>
  <w:style w:type="character" w:styleId="Hypertextovprepojenie">
    <w:name w:val="Hyperlink"/>
    <w:rsid w:val="00201989"/>
    <w:rPr>
      <w:color w:val="0000FF"/>
      <w:u w:val="single"/>
    </w:rPr>
  </w:style>
  <w:style w:type="paragraph" w:styleId="Revzia">
    <w:name w:val="Revision"/>
    <w:hidden/>
    <w:uiPriority w:val="99"/>
    <w:semiHidden/>
    <w:rsid w:val="003D211A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rsid w:val="00F264E7"/>
    <w:rPr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B30C0B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TEVA</vt:lpstr>
    </vt:vector>
  </TitlesOfParts>
  <Company>escho</Company>
  <LinksUpToDate>false</LinksUpToDate>
  <CharactersWithSpaces>35432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TEVA</dc:title>
  <dc:creator>registrace</dc:creator>
  <cp:lastModifiedBy>Skladaná, Judita</cp:lastModifiedBy>
  <cp:revision>4</cp:revision>
  <cp:lastPrinted>2019-11-12T08:28:00Z</cp:lastPrinted>
  <dcterms:created xsi:type="dcterms:W3CDTF">2019-10-25T12:10:00Z</dcterms:created>
  <dcterms:modified xsi:type="dcterms:W3CDTF">2019-12-05T09:31:00Z</dcterms:modified>
</cp:coreProperties>
</file>