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57814F" w14:textId="77777777" w:rsidR="006253F3" w:rsidRPr="001B388B" w:rsidRDefault="006253F3">
      <w:pPr>
        <w:jc w:val="center"/>
        <w:rPr>
          <w:b/>
        </w:rPr>
      </w:pPr>
    </w:p>
    <w:p w14:paraId="1608AC43" w14:textId="77777777" w:rsidR="0073612A" w:rsidRPr="001B388B" w:rsidRDefault="0073612A">
      <w:pPr>
        <w:jc w:val="center"/>
        <w:rPr>
          <w:b/>
        </w:rPr>
      </w:pPr>
    </w:p>
    <w:p w14:paraId="65C543DB" w14:textId="77777777" w:rsidR="00780926" w:rsidRPr="001B388B" w:rsidRDefault="00780926">
      <w:pPr>
        <w:jc w:val="center"/>
        <w:rPr>
          <w:b/>
        </w:rPr>
      </w:pPr>
      <w:r w:rsidRPr="001B388B">
        <w:rPr>
          <w:b/>
        </w:rPr>
        <w:t>SÚHRN CHARAKTERISTICKÝCH VLASTNOSTÍ LIEKU</w:t>
      </w:r>
    </w:p>
    <w:p w14:paraId="5BC90744" w14:textId="77777777" w:rsidR="006253F3" w:rsidRPr="001B388B" w:rsidRDefault="006253F3" w:rsidP="00DA7451">
      <w:pPr>
        <w:ind w:left="0" w:firstLine="0"/>
        <w:rPr>
          <w:b/>
        </w:rPr>
      </w:pPr>
    </w:p>
    <w:p w14:paraId="4A28AC52" w14:textId="77777777" w:rsidR="00B06E24" w:rsidRPr="001B388B" w:rsidRDefault="00B06E24" w:rsidP="00DA7451">
      <w:pPr>
        <w:ind w:left="0" w:firstLine="0"/>
        <w:rPr>
          <w:szCs w:val="22"/>
        </w:rPr>
      </w:pPr>
    </w:p>
    <w:p w14:paraId="15679FDB" w14:textId="77777777" w:rsidR="00780926" w:rsidRPr="001B388B" w:rsidRDefault="00780926" w:rsidP="00E41B3F">
      <w:pPr>
        <w:rPr>
          <w:szCs w:val="22"/>
        </w:rPr>
      </w:pPr>
      <w:r w:rsidRPr="001B388B">
        <w:rPr>
          <w:b/>
          <w:szCs w:val="22"/>
        </w:rPr>
        <w:t>1.</w:t>
      </w:r>
      <w:r w:rsidRPr="001B388B">
        <w:rPr>
          <w:b/>
          <w:szCs w:val="22"/>
        </w:rPr>
        <w:tab/>
        <w:t>NÁZOV LIEKU</w:t>
      </w:r>
    </w:p>
    <w:p w14:paraId="436C54C6" w14:textId="77777777" w:rsidR="00780926" w:rsidRPr="001B388B" w:rsidRDefault="00780926" w:rsidP="00DA7451">
      <w:pPr>
        <w:ind w:left="0" w:firstLine="0"/>
        <w:rPr>
          <w:szCs w:val="22"/>
        </w:rPr>
      </w:pPr>
    </w:p>
    <w:p w14:paraId="2DFCFCF5" w14:textId="77777777" w:rsidR="00DA7451" w:rsidRPr="001B388B" w:rsidRDefault="00DA7451" w:rsidP="00DA7451">
      <w:pPr>
        <w:ind w:left="0" w:firstLine="0"/>
        <w:rPr>
          <w:szCs w:val="22"/>
        </w:rPr>
      </w:pPr>
      <w:r w:rsidRPr="001B388B">
        <w:rPr>
          <w:szCs w:val="22"/>
        </w:rPr>
        <w:t>Magnesium sulfate Kalceks 100 mg/ml injekčný/infúzny roztok</w:t>
      </w:r>
    </w:p>
    <w:p w14:paraId="5D81125A" w14:textId="77777777" w:rsidR="00780926" w:rsidRPr="001B388B" w:rsidRDefault="00DA7451" w:rsidP="00E41B3F">
      <w:pPr>
        <w:ind w:left="0" w:firstLine="0"/>
        <w:rPr>
          <w:szCs w:val="22"/>
        </w:rPr>
      </w:pPr>
      <w:r w:rsidRPr="001B388B">
        <w:rPr>
          <w:szCs w:val="22"/>
        </w:rPr>
        <w:t>Magnesium sulfate Kalceks 200 mg/ml injekčný/infúzny roztok</w:t>
      </w:r>
    </w:p>
    <w:p w14:paraId="3BA9EE3F" w14:textId="77777777" w:rsidR="00780926" w:rsidRPr="001B388B" w:rsidRDefault="00780926" w:rsidP="00DA7451">
      <w:pPr>
        <w:ind w:left="0" w:firstLine="0"/>
        <w:rPr>
          <w:szCs w:val="22"/>
        </w:rPr>
      </w:pPr>
    </w:p>
    <w:p w14:paraId="0125C1C7" w14:textId="77777777" w:rsidR="00780926" w:rsidRPr="001B388B" w:rsidRDefault="00780926" w:rsidP="00DA7451">
      <w:pPr>
        <w:ind w:left="0" w:firstLine="0"/>
        <w:rPr>
          <w:szCs w:val="22"/>
        </w:rPr>
      </w:pPr>
    </w:p>
    <w:p w14:paraId="2087AF6F" w14:textId="77777777" w:rsidR="00780926" w:rsidRPr="001B388B" w:rsidRDefault="00780926" w:rsidP="00E41B3F">
      <w:pPr>
        <w:rPr>
          <w:szCs w:val="22"/>
        </w:rPr>
      </w:pPr>
      <w:r w:rsidRPr="001B388B">
        <w:rPr>
          <w:b/>
          <w:szCs w:val="22"/>
        </w:rPr>
        <w:t>2.</w:t>
      </w:r>
      <w:r w:rsidRPr="001B388B">
        <w:rPr>
          <w:b/>
          <w:szCs w:val="22"/>
        </w:rPr>
        <w:tab/>
        <w:t>KVALITATÍVNE A</w:t>
      </w:r>
      <w:r w:rsidR="00A236CF" w:rsidRPr="001B388B">
        <w:rPr>
          <w:b/>
          <w:szCs w:val="22"/>
        </w:rPr>
        <w:t> </w:t>
      </w:r>
      <w:r w:rsidRPr="001B388B">
        <w:rPr>
          <w:b/>
          <w:szCs w:val="22"/>
        </w:rPr>
        <w:t>KVANTITATÍVNE ZLOŽENIE</w:t>
      </w:r>
    </w:p>
    <w:p w14:paraId="1061FB63" w14:textId="77777777" w:rsidR="00780926" w:rsidRPr="001B388B" w:rsidRDefault="00780926" w:rsidP="00E41B3F">
      <w:pPr>
        <w:ind w:left="0" w:firstLine="0"/>
      </w:pPr>
    </w:p>
    <w:p w14:paraId="19F5BD93" w14:textId="77777777" w:rsidR="00DA7451" w:rsidRPr="001B388B" w:rsidRDefault="00DA7451" w:rsidP="00E41B3F">
      <w:pPr>
        <w:ind w:left="0" w:firstLine="0"/>
      </w:pPr>
      <w:r w:rsidRPr="001B388B">
        <w:rPr>
          <w:i/>
          <w:iCs/>
        </w:rPr>
        <w:t>Magnesium sulfate Kalceks 100 mg/ml</w:t>
      </w:r>
    </w:p>
    <w:p w14:paraId="03767FDE" w14:textId="77777777" w:rsidR="00DA7451" w:rsidRPr="001B388B" w:rsidRDefault="00DA7451" w:rsidP="00E41B3F">
      <w:pPr>
        <w:ind w:left="0" w:firstLine="0"/>
      </w:pPr>
      <w:r w:rsidRPr="001B388B">
        <w:t xml:space="preserve">Jeden ml roztoku obsahuje 100 mg </w:t>
      </w:r>
      <w:proofErr w:type="spellStart"/>
      <w:r w:rsidRPr="001B388B">
        <w:t>heptahydrátu</w:t>
      </w:r>
      <w:proofErr w:type="spellEnd"/>
      <w:r w:rsidRPr="001B388B">
        <w:t xml:space="preserve"> síranu </w:t>
      </w:r>
      <w:proofErr w:type="spellStart"/>
      <w:r w:rsidRPr="001B388B">
        <w:t>horečnatého</w:t>
      </w:r>
      <w:proofErr w:type="spellEnd"/>
      <w:r w:rsidRPr="001B388B">
        <w:t>.</w:t>
      </w:r>
    </w:p>
    <w:p w14:paraId="7414201B" w14:textId="6DF7DF27" w:rsidR="00DA7451" w:rsidRPr="001B388B" w:rsidRDefault="00DA7451" w:rsidP="00E41B3F">
      <w:pPr>
        <w:ind w:left="0" w:firstLine="0"/>
      </w:pPr>
      <w:r w:rsidRPr="001B388B">
        <w:t xml:space="preserve">Jedna </w:t>
      </w:r>
      <w:r w:rsidR="000D742E">
        <w:t xml:space="preserve">10 ml </w:t>
      </w:r>
      <w:r w:rsidRPr="001B388B">
        <w:t xml:space="preserve">ampulka obsahuje </w:t>
      </w:r>
      <w:bookmarkStart w:id="0" w:name="_GoBack"/>
      <w:r w:rsidRPr="001B388B">
        <w:t>1</w:t>
      </w:r>
      <w:r w:rsidR="000D742E">
        <w:t> </w:t>
      </w:r>
      <w:r w:rsidRPr="001B388B">
        <w:t>000</w:t>
      </w:r>
      <w:bookmarkEnd w:id="0"/>
      <w:r w:rsidRPr="001B388B">
        <w:t xml:space="preserve"> mg </w:t>
      </w:r>
      <w:proofErr w:type="spellStart"/>
      <w:r w:rsidRPr="001B388B">
        <w:t>heptahydrátu</w:t>
      </w:r>
      <w:proofErr w:type="spellEnd"/>
      <w:r w:rsidRPr="001B388B">
        <w:t xml:space="preserve"> síranu </w:t>
      </w:r>
      <w:proofErr w:type="spellStart"/>
      <w:r w:rsidRPr="001B388B">
        <w:t>horečnatého</w:t>
      </w:r>
      <w:proofErr w:type="spellEnd"/>
      <w:r w:rsidRPr="001B388B">
        <w:t>.</w:t>
      </w:r>
    </w:p>
    <w:p w14:paraId="432093B2" w14:textId="77777777" w:rsidR="00DA7451" w:rsidRPr="001B388B" w:rsidRDefault="00DA7451" w:rsidP="00E41B3F">
      <w:pPr>
        <w:ind w:left="0" w:firstLine="0"/>
      </w:pPr>
    </w:p>
    <w:p w14:paraId="53CEFAD7" w14:textId="77777777" w:rsidR="00DA7451" w:rsidRPr="001B388B" w:rsidRDefault="00DA7451" w:rsidP="00DA7451">
      <w:pPr>
        <w:ind w:left="0" w:firstLine="0"/>
      </w:pPr>
      <w:r w:rsidRPr="001B388B">
        <w:rPr>
          <w:i/>
          <w:iCs/>
        </w:rPr>
        <w:t>Magnesium sulfate Kalceks 200 mg/ml</w:t>
      </w:r>
    </w:p>
    <w:p w14:paraId="4679E884" w14:textId="77777777" w:rsidR="00DA7451" w:rsidRPr="001B388B" w:rsidRDefault="00DA7451" w:rsidP="00DA7451">
      <w:pPr>
        <w:ind w:left="0" w:firstLine="0"/>
      </w:pPr>
      <w:r w:rsidRPr="001B388B">
        <w:t xml:space="preserve">Jeden ml roztoku obsahuje 200 mg </w:t>
      </w:r>
      <w:proofErr w:type="spellStart"/>
      <w:r w:rsidRPr="001B388B">
        <w:t>heptahydrátu</w:t>
      </w:r>
      <w:proofErr w:type="spellEnd"/>
      <w:r w:rsidRPr="001B388B">
        <w:t xml:space="preserve"> síranu </w:t>
      </w:r>
      <w:proofErr w:type="spellStart"/>
      <w:r w:rsidRPr="001B388B">
        <w:t>horečnatého</w:t>
      </w:r>
      <w:proofErr w:type="spellEnd"/>
      <w:r w:rsidRPr="001B388B">
        <w:t>.</w:t>
      </w:r>
    </w:p>
    <w:p w14:paraId="4DD9E4B2" w14:textId="5938C364" w:rsidR="00DA7451" w:rsidRPr="001B388B" w:rsidRDefault="00DA7451" w:rsidP="00DA7451">
      <w:pPr>
        <w:ind w:left="0" w:firstLine="0"/>
      </w:pPr>
      <w:r w:rsidRPr="001B388B">
        <w:t xml:space="preserve">Jedna </w:t>
      </w:r>
      <w:r w:rsidR="000D742E">
        <w:t xml:space="preserve">10 ml </w:t>
      </w:r>
      <w:r w:rsidRPr="001B388B">
        <w:t>ampulka obsahuje 2</w:t>
      </w:r>
      <w:r w:rsidR="000D742E">
        <w:t> </w:t>
      </w:r>
      <w:r w:rsidRPr="001B388B">
        <w:t xml:space="preserve">000 mg </w:t>
      </w:r>
      <w:proofErr w:type="spellStart"/>
      <w:r w:rsidRPr="001B388B">
        <w:t>heptahydrátu</w:t>
      </w:r>
      <w:proofErr w:type="spellEnd"/>
      <w:r w:rsidRPr="001B388B">
        <w:t xml:space="preserve"> síranu </w:t>
      </w:r>
      <w:proofErr w:type="spellStart"/>
      <w:r w:rsidRPr="001B388B">
        <w:t>horečnatého</w:t>
      </w:r>
      <w:proofErr w:type="spellEnd"/>
      <w:r w:rsidRPr="001B388B">
        <w:t>.</w:t>
      </w:r>
    </w:p>
    <w:p w14:paraId="3B276B36" w14:textId="77777777" w:rsidR="00DA7451" w:rsidRPr="001B388B" w:rsidRDefault="00DA7451" w:rsidP="00E41B3F">
      <w:pPr>
        <w:ind w:left="0" w:firstLine="0"/>
      </w:pPr>
    </w:p>
    <w:p w14:paraId="7248DBB1" w14:textId="77777777" w:rsidR="00DA7451" w:rsidRPr="001B388B" w:rsidRDefault="00760FDC" w:rsidP="00E41B3F">
      <w:pPr>
        <w:ind w:left="0" w:firstLine="0"/>
      </w:pPr>
      <w:bookmarkStart w:id="1" w:name="_Hlk20917297"/>
      <w:r w:rsidRPr="001B388B">
        <w:t xml:space="preserve">1 g </w:t>
      </w:r>
      <w:proofErr w:type="spellStart"/>
      <w:r w:rsidRPr="001B388B">
        <w:t>heptahydrátu</w:t>
      </w:r>
      <w:proofErr w:type="spellEnd"/>
      <w:r w:rsidR="00DA7451" w:rsidRPr="001B388B">
        <w:t xml:space="preserve"> síranu </w:t>
      </w:r>
      <w:proofErr w:type="spellStart"/>
      <w:r w:rsidR="00DA7451" w:rsidRPr="001B388B">
        <w:t>horečnatého</w:t>
      </w:r>
      <w:proofErr w:type="spellEnd"/>
      <w:r w:rsidRPr="001B388B">
        <w:t xml:space="preserve"> </w:t>
      </w:r>
      <w:r w:rsidR="00DA7451" w:rsidRPr="001B388B">
        <w:t xml:space="preserve">= 98,6 mg alebo 8,1 </w:t>
      </w:r>
      <w:proofErr w:type="spellStart"/>
      <w:r w:rsidR="00DA7451" w:rsidRPr="001B388B">
        <w:t>mEq</w:t>
      </w:r>
      <w:proofErr w:type="spellEnd"/>
      <w:r w:rsidR="00DA7451" w:rsidRPr="001B388B">
        <w:t xml:space="preserve"> alebo 4,1 mmol horčíka.</w:t>
      </w:r>
    </w:p>
    <w:bookmarkEnd w:id="1"/>
    <w:p w14:paraId="702116C6" w14:textId="77777777" w:rsidR="00DA7451" w:rsidRPr="001B388B" w:rsidRDefault="00DA7451" w:rsidP="00E41B3F">
      <w:pPr>
        <w:tabs>
          <w:tab w:val="left" w:pos="567"/>
        </w:tabs>
        <w:spacing w:line="260" w:lineRule="exact"/>
        <w:ind w:left="0" w:firstLine="0"/>
      </w:pPr>
    </w:p>
    <w:p w14:paraId="4073A556" w14:textId="77777777" w:rsidR="00780926" w:rsidRPr="009E52C2" w:rsidRDefault="00780926" w:rsidP="00DA7451">
      <w:pPr>
        <w:tabs>
          <w:tab w:val="left" w:pos="567"/>
        </w:tabs>
        <w:spacing w:line="260" w:lineRule="exact"/>
        <w:ind w:left="0" w:firstLine="0"/>
        <w:rPr>
          <w:color w:val="000000" w:themeColor="text1"/>
        </w:rPr>
      </w:pPr>
      <w:r w:rsidRPr="001B388B">
        <w:rPr>
          <w:szCs w:val="20"/>
          <w:lang w:eastAsia="en-US"/>
        </w:rPr>
        <w:t>Úplný zoznam pomocných látok, pozri časť 6.1</w:t>
      </w:r>
      <w:r w:rsidRPr="009E52C2">
        <w:rPr>
          <w:color w:val="000000" w:themeColor="text1"/>
          <w:szCs w:val="20"/>
          <w:lang w:eastAsia="en-US"/>
        </w:rPr>
        <w:t>.</w:t>
      </w:r>
    </w:p>
    <w:p w14:paraId="2F9AB460" w14:textId="77777777" w:rsidR="00780926" w:rsidRPr="001B388B" w:rsidRDefault="00780926" w:rsidP="00DA7451">
      <w:pPr>
        <w:ind w:left="0" w:firstLine="0"/>
        <w:rPr>
          <w:szCs w:val="22"/>
        </w:rPr>
      </w:pPr>
    </w:p>
    <w:p w14:paraId="5D06A270" w14:textId="77777777" w:rsidR="00780926" w:rsidRPr="001B388B" w:rsidRDefault="00780926" w:rsidP="00DA7451">
      <w:pPr>
        <w:ind w:left="0" w:firstLine="0"/>
        <w:rPr>
          <w:szCs w:val="22"/>
        </w:rPr>
      </w:pPr>
    </w:p>
    <w:p w14:paraId="62927B2D" w14:textId="77777777" w:rsidR="00780926" w:rsidRPr="001B388B" w:rsidRDefault="00780926" w:rsidP="00E41B3F">
      <w:pPr>
        <w:rPr>
          <w:caps/>
          <w:szCs w:val="22"/>
        </w:rPr>
      </w:pPr>
      <w:r w:rsidRPr="001B388B">
        <w:rPr>
          <w:b/>
          <w:szCs w:val="22"/>
        </w:rPr>
        <w:t>3.</w:t>
      </w:r>
      <w:r w:rsidRPr="001B388B">
        <w:rPr>
          <w:b/>
          <w:szCs w:val="22"/>
        </w:rPr>
        <w:tab/>
        <w:t>LIEKOVÁ FORMA</w:t>
      </w:r>
    </w:p>
    <w:p w14:paraId="288C5B0B" w14:textId="77777777" w:rsidR="00780926" w:rsidRPr="001B388B" w:rsidRDefault="00780926" w:rsidP="00DA7451">
      <w:pPr>
        <w:ind w:left="0" w:firstLine="0"/>
      </w:pPr>
    </w:p>
    <w:p w14:paraId="2B8D8BD7" w14:textId="77777777" w:rsidR="00780926" w:rsidRPr="001B388B" w:rsidRDefault="00DA7451" w:rsidP="00E41B3F">
      <w:r w:rsidRPr="001B388B">
        <w:t>Injekčný/infúzny roztok</w:t>
      </w:r>
    </w:p>
    <w:p w14:paraId="703A7E96" w14:textId="77777777" w:rsidR="00DA7451" w:rsidRPr="001B388B" w:rsidRDefault="00DA7451" w:rsidP="00E41B3F">
      <w:r w:rsidRPr="001B388B">
        <w:t xml:space="preserve">Číry bezfarebný roztok, bez viditeľných častíc. </w:t>
      </w:r>
    </w:p>
    <w:p w14:paraId="0F172546" w14:textId="77777777" w:rsidR="00DA7451" w:rsidRPr="001B388B" w:rsidRDefault="00DA7451" w:rsidP="00E41B3F">
      <w:r w:rsidRPr="001B388B">
        <w:t>pH roztoku je 5,5-7,0</w:t>
      </w:r>
    </w:p>
    <w:p w14:paraId="05FDADBF" w14:textId="77777777" w:rsidR="00780926" w:rsidRPr="001B388B" w:rsidRDefault="00760FDC" w:rsidP="00E41B3F">
      <w:proofErr w:type="spellStart"/>
      <w:r w:rsidRPr="001B388B">
        <w:t>O</w:t>
      </w:r>
      <w:r w:rsidR="00DA7451" w:rsidRPr="001B388B">
        <w:t>smolalita</w:t>
      </w:r>
      <w:proofErr w:type="spellEnd"/>
      <w:r w:rsidR="00DA7451" w:rsidRPr="001B388B">
        <w:t>:</w:t>
      </w:r>
    </w:p>
    <w:p w14:paraId="6FFF3E84" w14:textId="77777777" w:rsidR="00DA7451" w:rsidRPr="001B388B" w:rsidRDefault="00DA7451" w:rsidP="00E41B3F">
      <w:r w:rsidRPr="001B388B">
        <w:rPr>
          <w:i/>
          <w:iCs/>
        </w:rPr>
        <w:t>Magnesium sulfate Kalceks 100 mg/ml:</w:t>
      </w:r>
      <w:r w:rsidRPr="001B388B">
        <w:t xml:space="preserve"> 400-450 </w:t>
      </w:r>
      <w:proofErr w:type="spellStart"/>
      <w:r w:rsidRPr="001B388B">
        <w:t>mOsmol</w:t>
      </w:r>
      <w:proofErr w:type="spellEnd"/>
      <w:r w:rsidRPr="001B388B">
        <w:t>/kg</w:t>
      </w:r>
    </w:p>
    <w:p w14:paraId="2E0E4EC2" w14:textId="77777777" w:rsidR="00DA7451" w:rsidRPr="001B388B" w:rsidRDefault="00DA7451" w:rsidP="00DA7451">
      <w:r w:rsidRPr="001B388B">
        <w:rPr>
          <w:i/>
          <w:iCs/>
        </w:rPr>
        <w:t>Magnesium sulfate Kalceks 200 mg/ml:</w:t>
      </w:r>
      <w:r w:rsidRPr="001B388B">
        <w:t xml:space="preserve"> 875-925 </w:t>
      </w:r>
      <w:proofErr w:type="spellStart"/>
      <w:r w:rsidRPr="001B388B">
        <w:t>mOsmol</w:t>
      </w:r>
      <w:proofErr w:type="spellEnd"/>
      <w:r w:rsidRPr="001B388B">
        <w:t>/kg</w:t>
      </w:r>
    </w:p>
    <w:p w14:paraId="75F0253E" w14:textId="77777777" w:rsidR="00DA7451" w:rsidRPr="001B388B" w:rsidRDefault="00DA7451" w:rsidP="00DA7451">
      <w:pPr>
        <w:ind w:left="0" w:firstLine="0"/>
      </w:pPr>
    </w:p>
    <w:p w14:paraId="18D1A147" w14:textId="77777777" w:rsidR="00780926" w:rsidRPr="001B388B" w:rsidRDefault="00780926" w:rsidP="00DA7451">
      <w:pPr>
        <w:ind w:left="0" w:firstLine="0"/>
        <w:rPr>
          <w:szCs w:val="22"/>
        </w:rPr>
      </w:pPr>
    </w:p>
    <w:p w14:paraId="3D24EE0B" w14:textId="77777777" w:rsidR="00780926" w:rsidRPr="001B388B" w:rsidRDefault="00780926" w:rsidP="00E41B3F">
      <w:pPr>
        <w:rPr>
          <w:caps/>
          <w:szCs w:val="22"/>
        </w:rPr>
      </w:pPr>
      <w:r w:rsidRPr="001B388B">
        <w:rPr>
          <w:b/>
          <w:caps/>
          <w:szCs w:val="22"/>
        </w:rPr>
        <w:t>4.</w:t>
      </w:r>
      <w:r w:rsidRPr="001B388B">
        <w:rPr>
          <w:b/>
          <w:caps/>
          <w:szCs w:val="22"/>
        </w:rPr>
        <w:tab/>
        <w:t>KLINICKÉ ÚDAJE</w:t>
      </w:r>
    </w:p>
    <w:p w14:paraId="4CCD0040" w14:textId="77777777" w:rsidR="00780926" w:rsidRPr="001B388B" w:rsidRDefault="00780926" w:rsidP="00DA7451">
      <w:pPr>
        <w:ind w:left="0" w:firstLine="0"/>
        <w:rPr>
          <w:szCs w:val="22"/>
        </w:rPr>
      </w:pPr>
    </w:p>
    <w:p w14:paraId="6F8F726F" w14:textId="77777777" w:rsidR="00780926" w:rsidRPr="001B388B" w:rsidRDefault="00780926" w:rsidP="00E41B3F">
      <w:pPr>
        <w:rPr>
          <w:szCs w:val="22"/>
        </w:rPr>
      </w:pPr>
      <w:r w:rsidRPr="001B388B">
        <w:rPr>
          <w:b/>
          <w:szCs w:val="22"/>
        </w:rPr>
        <w:t>4.1</w:t>
      </w:r>
      <w:r w:rsidRPr="001B388B">
        <w:rPr>
          <w:b/>
          <w:szCs w:val="22"/>
        </w:rPr>
        <w:tab/>
        <w:t>Terapeutické indikácie</w:t>
      </w:r>
    </w:p>
    <w:p w14:paraId="6D260EB2" w14:textId="77777777" w:rsidR="00780926" w:rsidRPr="001B388B" w:rsidRDefault="00780926" w:rsidP="00DA7451">
      <w:pPr>
        <w:ind w:left="0" w:firstLine="0"/>
        <w:rPr>
          <w:szCs w:val="22"/>
        </w:rPr>
      </w:pPr>
    </w:p>
    <w:p w14:paraId="680EC4F6" w14:textId="77777777" w:rsidR="00DA7451" w:rsidRPr="001B388B" w:rsidRDefault="00DA7451" w:rsidP="00DA7451">
      <w:pPr>
        <w:ind w:left="0" w:firstLine="0"/>
        <w:rPr>
          <w:szCs w:val="22"/>
        </w:rPr>
      </w:pPr>
      <w:r w:rsidRPr="001B388B">
        <w:rPr>
          <w:szCs w:val="22"/>
        </w:rPr>
        <w:t xml:space="preserve">Magnesium sulfate Kalceks 100 mg/ml a 200 mg/ml injekčný/infúzny roztok je </w:t>
      </w:r>
      <w:r w:rsidR="0073612A" w:rsidRPr="001B388B">
        <w:rPr>
          <w:szCs w:val="22"/>
        </w:rPr>
        <w:t>určen</w:t>
      </w:r>
      <w:r w:rsidRPr="001B388B">
        <w:rPr>
          <w:szCs w:val="22"/>
        </w:rPr>
        <w:t xml:space="preserve">ý </w:t>
      </w:r>
    </w:p>
    <w:p w14:paraId="19A70CC7" w14:textId="77777777" w:rsidR="00DA7451" w:rsidRPr="001B388B" w:rsidRDefault="0073612A" w:rsidP="00760FDC">
      <w:pPr>
        <w:pStyle w:val="Odsekzoznamu"/>
        <w:numPr>
          <w:ilvl w:val="0"/>
          <w:numId w:val="15"/>
        </w:numPr>
        <w:ind w:left="425" w:hanging="357"/>
        <w:rPr>
          <w:szCs w:val="22"/>
        </w:rPr>
      </w:pPr>
      <w:r w:rsidRPr="001B388B">
        <w:rPr>
          <w:szCs w:val="22"/>
        </w:rPr>
        <w:t>na</w:t>
      </w:r>
      <w:r w:rsidR="00DA7451" w:rsidRPr="001B388B">
        <w:rPr>
          <w:szCs w:val="22"/>
        </w:rPr>
        <w:t> liečb</w:t>
      </w:r>
      <w:r w:rsidRPr="001B388B">
        <w:rPr>
          <w:szCs w:val="22"/>
        </w:rPr>
        <w:t>u</w:t>
      </w:r>
      <w:r w:rsidR="00DA7451" w:rsidRPr="001B388B">
        <w:rPr>
          <w:szCs w:val="22"/>
        </w:rPr>
        <w:t xml:space="preserve"> </w:t>
      </w:r>
      <w:r w:rsidR="00760FDC" w:rsidRPr="001B388B">
        <w:rPr>
          <w:szCs w:val="22"/>
        </w:rPr>
        <w:t>deficit</w:t>
      </w:r>
      <w:r w:rsidR="00DA7451" w:rsidRPr="001B388B">
        <w:rPr>
          <w:szCs w:val="22"/>
        </w:rPr>
        <w:t xml:space="preserve">u horčíka pri </w:t>
      </w:r>
      <w:r w:rsidRPr="001B388B">
        <w:rPr>
          <w:szCs w:val="22"/>
        </w:rPr>
        <w:t>preukázanej</w:t>
      </w:r>
      <w:r w:rsidR="00DA7451" w:rsidRPr="001B388B">
        <w:rPr>
          <w:szCs w:val="22"/>
        </w:rPr>
        <w:t xml:space="preserve"> </w:t>
      </w:r>
      <w:proofErr w:type="spellStart"/>
      <w:r w:rsidR="00DA7451" w:rsidRPr="001B388B">
        <w:rPr>
          <w:szCs w:val="22"/>
        </w:rPr>
        <w:t>hypomagneziémii</w:t>
      </w:r>
      <w:proofErr w:type="spellEnd"/>
      <w:r w:rsidR="00DA7451" w:rsidRPr="001B388B">
        <w:rPr>
          <w:szCs w:val="22"/>
        </w:rPr>
        <w:t xml:space="preserve"> (napr. deti s primárnou </w:t>
      </w:r>
      <w:proofErr w:type="spellStart"/>
      <w:r w:rsidRPr="001B388B">
        <w:rPr>
          <w:szCs w:val="22"/>
        </w:rPr>
        <w:t>kongenitálnou</w:t>
      </w:r>
      <w:proofErr w:type="spellEnd"/>
      <w:r w:rsidRPr="001B388B">
        <w:rPr>
          <w:szCs w:val="22"/>
        </w:rPr>
        <w:t xml:space="preserve"> </w:t>
      </w:r>
      <w:proofErr w:type="spellStart"/>
      <w:r w:rsidR="00DA7451" w:rsidRPr="001B388B">
        <w:rPr>
          <w:szCs w:val="22"/>
        </w:rPr>
        <w:t>hypomagneziémiou</w:t>
      </w:r>
      <w:proofErr w:type="spellEnd"/>
      <w:r w:rsidR="00DA7451" w:rsidRPr="001B388B">
        <w:rPr>
          <w:szCs w:val="22"/>
        </w:rPr>
        <w:t>, dospelí s </w:t>
      </w:r>
      <w:proofErr w:type="spellStart"/>
      <w:r w:rsidR="00DA7451" w:rsidRPr="001B388B">
        <w:rPr>
          <w:szCs w:val="22"/>
        </w:rPr>
        <w:t>malaabsorpčným</w:t>
      </w:r>
      <w:proofErr w:type="spellEnd"/>
      <w:r w:rsidR="00DA7451" w:rsidRPr="001B388B">
        <w:rPr>
          <w:szCs w:val="22"/>
        </w:rPr>
        <w:t xml:space="preserve"> syndrómom po pretrvávajúc</w:t>
      </w:r>
      <w:r w:rsidRPr="001B388B">
        <w:rPr>
          <w:szCs w:val="22"/>
        </w:rPr>
        <w:t xml:space="preserve">ich </w:t>
      </w:r>
      <w:r w:rsidR="00DA7451" w:rsidRPr="001B388B">
        <w:rPr>
          <w:szCs w:val="22"/>
        </w:rPr>
        <w:t>hnačk</w:t>
      </w:r>
      <w:r w:rsidRPr="001B388B">
        <w:rPr>
          <w:szCs w:val="22"/>
        </w:rPr>
        <w:t>ách</w:t>
      </w:r>
      <w:r w:rsidR="00DA7451" w:rsidRPr="001B388B">
        <w:rPr>
          <w:szCs w:val="22"/>
        </w:rPr>
        <w:t xml:space="preserve">, </w:t>
      </w:r>
      <w:r w:rsidRPr="001B388B">
        <w:rPr>
          <w:szCs w:val="22"/>
        </w:rPr>
        <w:t xml:space="preserve">pri </w:t>
      </w:r>
      <w:r w:rsidR="00DA7451" w:rsidRPr="001B388B">
        <w:rPr>
          <w:szCs w:val="22"/>
        </w:rPr>
        <w:t>chronickom alkoholi</w:t>
      </w:r>
      <w:r w:rsidRPr="001B388B">
        <w:rPr>
          <w:szCs w:val="22"/>
        </w:rPr>
        <w:t>z</w:t>
      </w:r>
      <w:r w:rsidR="00DA7451" w:rsidRPr="001B388B">
        <w:rPr>
          <w:szCs w:val="22"/>
        </w:rPr>
        <w:t>m</w:t>
      </w:r>
      <w:r w:rsidRPr="001B388B">
        <w:rPr>
          <w:szCs w:val="22"/>
        </w:rPr>
        <w:t xml:space="preserve">e alebo pri dlhodobej </w:t>
      </w:r>
      <w:proofErr w:type="spellStart"/>
      <w:r w:rsidRPr="001B388B">
        <w:rPr>
          <w:szCs w:val="22"/>
        </w:rPr>
        <w:t>parenterálnej</w:t>
      </w:r>
      <w:proofErr w:type="spellEnd"/>
      <w:r w:rsidRPr="001B388B">
        <w:rPr>
          <w:szCs w:val="22"/>
        </w:rPr>
        <w:t xml:space="preserve"> výžive);</w:t>
      </w:r>
    </w:p>
    <w:p w14:paraId="38A1E7FD" w14:textId="77777777" w:rsidR="0073612A" w:rsidRPr="001B388B" w:rsidRDefault="0073612A" w:rsidP="00760FDC">
      <w:pPr>
        <w:pStyle w:val="Odsekzoznamu"/>
        <w:numPr>
          <w:ilvl w:val="0"/>
          <w:numId w:val="15"/>
        </w:numPr>
        <w:ind w:left="425" w:hanging="357"/>
        <w:rPr>
          <w:szCs w:val="22"/>
        </w:rPr>
      </w:pPr>
      <w:r w:rsidRPr="001B388B">
        <w:rPr>
          <w:szCs w:val="22"/>
        </w:rPr>
        <w:t xml:space="preserve">na prevenciu a liečbu </w:t>
      </w:r>
      <w:proofErr w:type="spellStart"/>
      <w:r w:rsidRPr="001B388B">
        <w:rPr>
          <w:szCs w:val="22"/>
        </w:rPr>
        <w:t>hypomagneziémie</w:t>
      </w:r>
      <w:proofErr w:type="spellEnd"/>
      <w:r w:rsidRPr="001B388B">
        <w:rPr>
          <w:szCs w:val="22"/>
        </w:rPr>
        <w:t xml:space="preserve"> u pacientov, ktorí dostávajú úplnú </w:t>
      </w:r>
      <w:proofErr w:type="spellStart"/>
      <w:r w:rsidRPr="001B388B">
        <w:rPr>
          <w:szCs w:val="22"/>
        </w:rPr>
        <w:t>parenterálnu</w:t>
      </w:r>
      <w:proofErr w:type="spellEnd"/>
      <w:r w:rsidRPr="001B388B">
        <w:rPr>
          <w:szCs w:val="22"/>
        </w:rPr>
        <w:t xml:space="preserve"> výživu;</w:t>
      </w:r>
    </w:p>
    <w:p w14:paraId="364DA981" w14:textId="77777777" w:rsidR="0073612A" w:rsidRPr="001B388B" w:rsidRDefault="0073612A" w:rsidP="00760FDC">
      <w:pPr>
        <w:pStyle w:val="Odsekzoznamu"/>
        <w:numPr>
          <w:ilvl w:val="0"/>
          <w:numId w:val="15"/>
        </w:numPr>
        <w:ind w:left="425" w:hanging="357"/>
        <w:rPr>
          <w:szCs w:val="22"/>
        </w:rPr>
      </w:pPr>
      <w:r w:rsidRPr="001B388B">
        <w:rPr>
          <w:szCs w:val="22"/>
        </w:rPr>
        <w:t xml:space="preserve">pri </w:t>
      </w:r>
      <w:proofErr w:type="spellStart"/>
      <w:r w:rsidRPr="001B388B">
        <w:rPr>
          <w:szCs w:val="22"/>
        </w:rPr>
        <w:t>torsade</w:t>
      </w:r>
      <w:proofErr w:type="spellEnd"/>
      <w:r w:rsidRPr="001B388B">
        <w:rPr>
          <w:szCs w:val="22"/>
        </w:rPr>
        <w:t xml:space="preserve"> de </w:t>
      </w:r>
      <w:proofErr w:type="spellStart"/>
      <w:r w:rsidRPr="001B388B">
        <w:rPr>
          <w:szCs w:val="22"/>
        </w:rPr>
        <w:t>pointes</w:t>
      </w:r>
      <w:proofErr w:type="spellEnd"/>
      <w:r w:rsidRPr="001B388B">
        <w:rPr>
          <w:szCs w:val="22"/>
        </w:rPr>
        <w:t>;</w:t>
      </w:r>
    </w:p>
    <w:p w14:paraId="5C6C9679" w14:textId="77777777" w:rsidR="0073612A" w:rsidRPr="001B388B" w:rsidRDefault="0073612A" w:rsidP="00760FDC">
      <w:pPr>
        <w:pStyle w:val="Odsekzoznamu"/>
        <w:numPr>
          <w:ilvl w:val="0"/>
          <w:numId w:val="15"/>
        </w:numPr>
        <w:ind w:left="425" w:hanging="357"/>
        <w:rPr>
          <w:szCs w:val="22"/>
        </w:rPr>
      </w:pPr>
      <w:r w:rsidRPr="001B388B">
        <w:rPr>
          <w:szCs w:val="22"/>
        </w:rPr>
        <w:t xml:space="preserve">na zvládanie a prevenciu záchvatov pri </w:t>
      </w:r>
      <w:r w:rsidR="00760FDC" w:rsidRPr="001B388B">
        <w:rPr>
          <w:szCs w:val="22"/>
        </w:rPr>
        <w:t>závažn</w:t>
      </w:r>
      <w:r w:rsidRPr="001B388B">
        <w:rPr>
          <w:szCs w:val="22"/>
        </w:rPr>
        <w:t xml:space="preserve">ej </w:t>
      </w:r>
      <w:proofErr w:type="spellStart"/>
      <w:r w:rsidRPr="001B388B">
        <w:rPr>
          <w:szCs w:val="22"/>
        </w:rPr>
        <w:t>preeklampsii</w:t>
      </w:r>
      <w:proofErr w:type="spellEnd"/>
      <w:r w:rsidRPr="001B388B">
        <w:rPr>
          <w:szCs w:val="22"/>
        </w:rPr>
        <w:t>;</w:t>
      </w:r>
    </w:p>
    <w:p w14:paraId="4CD58D47" w14:textId="77777777" w:rsidR="0073612A" w:rsidRPr="001B388B" w:rsidRDefault="0073612A" w:rsidP="00760FDC">
      <w:pPr>
        <w:pStyle w:val="Odsekzoznamu"/>
        <w:numPr>
          <w:ilvl w:val="0"/>
          <w:numId w:val="15"/>
        </w:numPr>
        <w:ind w:left="425" w:hanging="357"/>
        <w:rPr>
          <w:szCs w:val="22"/>
        </w:rPr>
      </w:pPr>
      <w:r w:rsidRPr="001B388B">
        <w:rPr>
          <w:szCs w:val="22"/>
        </w:rPr>
        <w:t xml:space="preserve">na zvládanie a prevenciu opakujúcich sa záchvatov pri </w:t>
      </w:r>
      <w:proofErr w:type="spellStart"/>
      <w:r w:rsidRPr="001B388B">
        <w:rPr>
          <w:szCs w:val="22"/>
        </w:rPr>
        <w:t>eklampsii</w:t>
      </w:r>
      <w:proofErr w:type="spellEnd"/>
      <w:r w:rsidRPr="001B388B">
        <w:rPr>
          <w:szCs w:val="22"/>
        </w:rPr>
        <w:t xml:space="preserve">. </w:t>
      </w:r>
    </w:p>
    <w:p w14:paraId="3799B728" w14:textId="77777777" w:rsidR="0073612A" w:rsidRPr="001B388B" w:rsidRDefault="0073612A" w:rsidP="0073612A">
      <w:pPr>
        <w:ind w:left="0" w:firstLine="0"/>
        <w:rPr>
          <w:szCs w:val="22"/>
        </w:rPr>
      </w:pPr>
    </w:p>
    <w:p w14:paraId="1F14559F" w14:textId="77777777" w:rsidR="0073612A" w:rsidRPr="001B388B" w:rsidRDefault="0073612A" w:rsidP="0073612A">
      <w:pPr>
        <w:ind w:left="0" w:firstLine="0"/>
        <w:rPr>
          <w:szCs w:val="22"/>
        </w:rPr>
      </w:pPr>
      <w:r w:rsidRPr="001B388B">
        <w:rPr>
          <w:szCs w:val="22"/>
        </w:rPr>
        <w:t xml:space="preserve">Liek je určený na použitie u dospelých, dospievajúcich a detí. </w:t>
      </w:r>
    </w:p>
    <w:p w14:paraId="6A25714D" w14:textId="77777777" w:rsidR="0073612A" w:rsidRPr="001B388B" w:rsidRDefault="0073612A" w:rsidP="009317BD">
      <w:pPr>
        <w:ind w:left="0" w:firstLine="0"/>
        <w:rPr>
          <w:szCs w:val="22"/>
        </w:rPr>
      </w:pPr>
    </w:p>
    <w:p w14:paraId="39788E2F" w14:textId="77777777" w:rsidR="00780926" w:rsidRPr="001B388B" w:rsidRDefault="00780926">
      <w:pPr>
        <w:rPr>
          <w:b/>
          <w:szCs w:val="22"/>
        </w:rPr>
      </w:pPr>
      <w:r w:rsidRPr="001B388B">
        <w:rPr>
          <w:b/>
          <w:szCs w:val="22"/>
        </w:rPr>
        <w:t>4.2</w:t>
      </w:r>
      <w:r w:rsidRPr="001B388B">
        <w:rPr>
          <w:b/>
          <w:szCs w:val="22"/>
        </w:rPr>
        <w:tab/>
        <w:t>Dávkovanie a</w:t>
      </w:r>
      <w:r w:rsidR="00BD7004" w:rsidRPr="001B388B">
        <w:rPr>
          <w:b/>
          <w:szCs w:val="22"/>
        </w:rPr>
        <w:t> </w:t>
      </w:r>
      <w:r w:rsidRPr="001B388B">
        <w:rPr>
          <w:b/>
          <w:szCs w:val="22"/>
        </w:rPr>
        <w:t>spôsob podávania</w:t>
      </w:r>
    </w:p>
    <w:p w14:paraId="60F37A89" w14:textId="77777777" w:rsidR="00780926" w:rsidRPr="001B388B" w:rsidRDefault="00780926" w:rsidP="009317BD">
      <w:pPr>
        <w:ind w:left="0" w:firstLine="0"/>
        <w:rPr>
          <w:szCs w:val="22"/>
        </w:rPr>
      </w:pPr>
    </w:p>
    <w:p w14:paraId="77B0D553" w14:textId="77777777" w:rsidR="00E1698A" w:rsidRPr="001B388B" w:rsidRDefault="00E1698A" w:rsidP="009317BD">
      <w:pPr>
        <w:ind w:left="0" w:firstLine="0"/>
        <w:rPr>
          <w:szCs w:val="22"/>
          <w:u w:val="single"/>
        </w:rPr>
      </w:pPr>
      <w:r w:rsidRPr="001B388B">
        <w:rPr>
          <w:szCs w:val="22"/>
          <w:u w:val="single"/>
        </w:rPr>
        <w:t>Dávkovanie</w:t>
      </w:r>
    </w:p>
    <w:p w14:paraId="55F4BF25" w14:textId="77777777" w:rsidR="009317BD" w:rsidRPr="001B388B" w:rsidRDefault="009317BD" w:rsidP="009317BD">
      <w:pPr>
        <w:ind w:left="0" w:firstLine="0"/>
        <w:rPr>
          <w:szCs w:val="22"/>
        </w:rPr>
      </w:pPr>
    </w:p>
    <w:p w14:paraId="2955E129" w14:textId="77777777" w:rsidR="009317BD" w:rsidRPr="001B388B" w:rsidRDefault="009317BD" w:rsidP="009317BD">
      <w:pPr>
        <w:ind w:left="0" w:firstLine="0"/>
        <w:rPr>
          <w:szCs w:val="22"/>
        </w:rPr>
      </w:pPr>
      <w:bookmarkStart w:id="2" w:name="_Hlk20917312"/>
      <w:r w:rsidRPr="001B388B">
        <w:rPr>
          <w:szCs w:val="22"/>
        </w:rPr>
        <w:t xml:space="preserve">Terapeutické hladiny sa dosahujú takmer okamžite pomocou vhodných intravenóznych dávok a do 60 minút po </w:t>
      </w:r>
      <w:proofErr w:type="spellStart"/>
      <w:r w:rsidRPr="001B388B">
        <w:rPr>
          <w:szCs w:val="22"/>
        </w:rPr>
        <w:t>intramuskulárnej</w:t>
      </w:r>
      <w:proofErr w:type="spellEnd"/>
      <w:r w:rsidRPr="001B388B">
        <w:rPr>
          <w:szCs w:val="22"/>
        </w:rPr>
        <w:t xml:space="preserve"> injekcii. </w:t>
      </w:r>
    </w:p>
    <w:bookmarkEnd w:id="2"/>
    <w:p w14:paraId="5EAB98E4" w14:textId="77777777" w:rsidR="009317BD" w:rsidRPr="001B388B" w:rsidRDefault="009317BD" w:rsidP="009317BD">
      <w:pPr>
        <w:ind w:left="0" w:firstLine="0"/>
        <w:rPr>
          <w:szCs w:val="22"/>
        </w:rPr>
      </w:pPr>
    </w:p>
    <w:p w14:paraId="7815491A" w14:textId="77777777" w:rsidR="009317BD" w:rsidRPr="001B388B" w:rsidRDefault="009317BD" w:rsidP="009317BD">
      <w:pPr>
        <w:ind w:left="0" w:firstLine="0"/>
        <w:rPr>
          <w:b/>
          <w:bCs/>
        </w:rPr>
      </w:pPr>
      <w:r w:rsidRPr="001B388B">
        <w:rPr>
          <w:b/>
          <w:bCs/>
          <w:szCs w:val="22"/>
        </w:rPr>
        <w:t>Dospelí</w:t>
      </w:r>
    </w:p>
    <w:p w14:paraId="63A26853" w14:textId="77777777" w:rsidR="009317BD" w:rsidRPr="001B388B" w:rsidRDefault="009317BD" w:rsidP="009317BD">
      <w:pPr>
        <w:ind w:left="0" w:firstLine="0"/>
        <w:rPr>
          <w:b/>
          <w:bCs/>
        </w:rPr>
      </w:pPr>
    </w:p>
    <w:p w14:paraId="688917FC" w14:textId="77777777" w:rsidR="009317BD" w:rsidRPr="001B388B" w:rsidRDefault="009317BD" w:rsidP="009317BD">
      <w:pPr>
        <w:ind w:left="0" w:firstLine="0"/>
      </w:pPr>
      <w:proofErr w:type="spellStart"/>
      <w:r w:rsidRPr="001B388B">
        <w:rPr>
          <w:i/>
          <w:iCs/>
        </w:rPr>
        <w:t>Hypomagneziémia</w:t>
      </w:r>
      <w:proofErr w:type="spellEnd"/>
    </w:p>
    <w:p w14:paraId="6E6A0499" w14:textId="77777777" w:rsidR="009317BD" w:rsidRPr="001B388B" w:rsidRDefault="009317BD" w:rsidP="009317BD">
      <w:pPr>
        <w:ind w:left="0" w:firstLine="0"/>
      </w:pPr>
      <w:bookmarkStart w:id="3" w:name="_Hlk20917323"/>
      <w:r w:rsidRPr="001B388B">
        <w:t xml:space="preserve">Dávkovanie je prísne individuálne. </w:t>
      </w:r>
      <w:r w:rsidR="00DA25F1">
        <w:t>Podľa</w:t>
      </w:r>
      <w:r w:rsidRPr="001B388B">
        <w:t xml:space="preserve"> všeobecné</w:t>
      </w:r>
      <w:r w:rsidR="00DA25F1">
        <w:t>ho</w:t>
      </w:r>
      <w:r w:rsidRPr="001B388B">
        <w:t xml:space="preserve"> usmerneni</w:t>
      </w:r>
      <w:r w:rsidR="00DA25F1">
        <w:t>a</w:t>
      </w:r>
      <w:r w:rsidRPr="001B388B">
        <w:t xml:space="preserve"> sa počas prvých 24 hodín môže podávať 8-12 g síranu horečnatého s následnou dávkou 4-6 g/deň počas 3 alebo 4 dní na doplnenie zásob horčíka v tele. Maximálna rýchlosť infúzie nem</w:t>
      </w:r>
      <w:r w:rsidR="00760FDC" w:rsidRPr="001B388B">
        <w:t>á</w:t>
      </w:r>
      <w:r w:rsidRPr="001B388B">
        <w:t xml:space="preserve"> prekročiť 2 g/h. </w:t>
      </w:r>
      <w:r w:rsidR="00FA31D8" w:rsidRPr="001B388B">
        <w:t>C</w:t>
      </w:r>
      <w:r w:rsidRPr="001B388B">
        <w:t xml:space="preserve">ieľom je udržanie koncentrácie horčíka v sére nad 0,4 mmol/l. </w:t>
      </w:r>
      <w:bookmarkEnd w:id="3"/>
    </w:p>
    <w:p w14:paraId="743F4A8E" w14:textId="77777777" w:rsidR="00FA31D8" w:rsidRPr="001B388B" w:rsidRDefault="00FA31D8" w:rsidP="009317BD">
      <w:pPr>
        <w:ind w:left="0" w:firstLine="0"/>
      </w:pPr>
    </w:p>
    <w:p w14:paraId="3B1C15DC" w14:textId="71ACC6A4" w:rsidR="00FA31D8" w:rsidRPr="001B388B" w:rsidRDefault="00FA31D8" w:rsidP="009317BD">
      <w:pPr>
        <w:ind w:left="0" w:firstLine="0"/>
      </w:pPr>
      <w:bookmarkStart w:id="4" w:name="_Hlk20917335"/>
      <w:r w:rsidRPr="001B388B">
        <w:t>Zvyčajne sa 10-20 ml lieku Magnesium sulfate Kalceks 100 mg/ml alebo 200 mg/ml injekčný/infúzny roztok podáva pomaly intravenózne (rýchlosťou 150 mg/min</w:t>
      </w:r>
      <w:r w:rsidR="000417D2">
        <w:t xml:space="preserve"> </w:t>
      </w:r>
      <w:r w:rsidR="00C112B4">
        <w:t>alebo</w:t>
      </w:r>
      <w:r w:rsidRPr="001B388B">
        <w:t xml:space="preserve"> 300 mg/min</w:t>
      </w:r>
      <w:r w:rsidR="000417D2">
        <w:t xml:space="preserve">, </w:t>
      </w:r>
      <w:proofErr w:type="spellStart"/>
      <w:r w:rsidR="000417D2">
        <w:t>t</w:t>
      </w:r>
      <w:r w:rsidR="00351668">
        <w:t>.</w:t>
      </w:r>
      <w:r w:rsidR="000417D2">
        <w:t>j</w:t>
      </w:r>
      <w:proofErr w:type="spellEnd"/>
      <w:r w:rsidR="000417D2">
        <w:t>. 1,5 ml/min</w:t>
      </w:r>
      <w:r w:rsidRPr="001B388B">
        <w:t xml:space="preserve">), </w:t>
      </w:r>
      <w:proofErr w:type="spellStart"/>
      <w:r w:rsidRPr="001B388B">
        <w:t>intramuskulárne</w:t>
      </w:r>
      <w:proofErr w:type="spellEnd"/>
      <w:r w:rsidRPr="001B388B">
        <w:t xml:space="preserve"> alebo výnimočne </w:t>
      </w:r>
      <w:proofErr w:type="spellStart"/>
      <w:r w:rsidRPr="001B388B">
        <w:t>subkutánne</w:t>
      </w:r>
      <w:proofErr w:type="spellEnd"/>
      <w:r w:rsidRPr="001B388B">
        <w:t xml:space="preserve"> (bolestivosť), v prípade potreby opakovane</w:t>
      </w:r>
      <w:bookmarkEnd w:id="4"/>
      <w:r w:rsidRPr="001B388B">
        <w:t xml:space="preserve">. </w:t>
      </w:r>
    </w:p>
    <w:p w14:paraId="3F7F5E88" w14:textId="77777777" w:rsidR="00FA31D8" w:rsidRPr="001B388B" w:rsidRDefault="00FA31D8" w:rsidP="009317BD">
      <w:pPr>
        <w:ind w:left="0" w:firstLine="0"/>
      </w:pPr>
    </w:p>
    <w:p w14:paraId="145A576F" w14:textId="77777777" w:rsidR="00FA31D8" w:rsidRPr="001B388B" w:rsidRDefault="00FA31D8" w:rsidP="009317BD">
      <w:pPr>
        <w:ind w:left="0" w:firstLine="0"/>
        <w:rPr>
          <w:i/>
          <w:iCs/>
        </w:rPr>
      </w:pPr>
      <w:r w:rsidRPr="001B388B">
        <w:rPr>
          <w:i/>
          <w:iCs/>
        </w:rPr>
        <w:t xml:space="preserve">Prevencia a liečba </w:t>
      </w:r>
      <w:proofErr w:type="spellStart"/>
      <w:r w:rsidRPr="001B388B">
        <w:rPr>
          <w:i/>
          <w:iCs/>
        </w:rPr>
        <w:t>hypomagneziémie</w:t>
      </w:r>
      <w:proofErr w:type="spellEnd"/>
      <w:r w:rsidRPr="001B388B">
        <w:rPr>
          <w:i/>
          <w:iCs/>
        </w:rPr>
        <w:t xml:space="preserve"> pri úplnej </w:t>
      </w:r>
      <w:proofErr w:type="spellStart"/>
      <w:r w:rsidRPr="001B388B">
        <w:rPr>
          <w:i/>
          <w:iCs/>
        </w:rPr>
        <w:t>parenterálnej</w:t>
      </w:r>
      <w:proofErr w:type="spellEnd"/>
      <w:r w:rsidRPr="001B388B">
        <w:rPr>
          <w:i/>
          <w:iCs/>
        </w:rPr>
        <w:t xml:space="preserve"> výžive</w:t>
      </w:r>
    </w:p>
    <w:p w14:paraId="68D8F080" w14:textId="583DA809" w:rsidR="00FA31D8" w:rsidRPr="001B388B" w:rsidRDefault="00FA31D8" w:rsidP="009317BD">
      <w:pPr>
        <w:ind w:left="0" w:firstLine="0"/>
      </w:pPr>
      <w:bookmarkStart w:id="5" w:name="_Hlk20917360"/>
      <w:r w:rsidRPr="001B388B">
        <w:t xml:space="preserve">Dávkovanie je prísne individuálne. </w:t>
      </w:r>
      <w:r w:rsidR="00DA25F1">
        <w:t>Podľa</w:t>
      </w:r>
      <w:r w:rsidRPr="001B388B">
        <w:t xml:space="preserve"> </w:t>
      </w:r>
      <w:r w:rsidR="00C112B4">
        <w:t>všeobecných</w:t>
      </w:r>
      <w:r w:rsidRPr="001B388B">
        <w:t xml:space="preserve"> odporúčan</w:t>
      </w:r>
      <w:r w:rsidR="00DA25F1">
        <w:t>í</w:t>
      </w:r>
      <w:r w:rsidRPr="001B388B">
        <w:t xml:space="preserve"> môž</w:t>
      </w:r>
      <w:r w:rsidR="00351668">
        <w:t>u</w:t>
      </w:r>
      <w:r w:rsidRPr="001B388B">
        <w:t xml:space="preserve"> byť intravenózne podané 1-3</w:t>
      </w:r>
      <w:r w:rsidR="00351668">
        <w:t> </w:t>
      </w:r>
      <w:r w:rsidRPr="001B388B">
        <w:t>g</w:t>
      </w:r>
      <w:r w:rsidR="00764EFA" w:rsidRPr="001B388B">
        <w:t xml:space="preserve"> </w:t>
      </w:r>
      <w:r w:rsidRPr="001B388B">
        <w:t xml:space="preserve">síranu horečnatého denne. </w:t>
      </w:r>
    </w:p>
    <w:bookmarkEnd w:id="5"/>
    <w:p w14:paraId="658F3AA9" w14:textId="77777777" w:rsidR="00FA31D8" w:rsidRPr="001B388B" w:rsidRDefault="00FA31D8" w:rsidP="009317BD">
      <w:pPr>
        <w:ind w:left="0" w:firstLine="0"/>
      </w:pPr>
    </w:p>
    <w:p w14:paraId="42CA4F45" w14:textId="77777777" w:rsidR="00FA31D8" w:rsidRPr="001B388B" w:rsidRDefault="00760FDC" w:rsidP="009317BD">
      <w:pPr>
        <w:ind w:left="0" w:firstLine="0"/>
        <w:rPr>
          <w:i/>
          <w:iCs/>
        </w:rPr>
      </w:pPr>
      <w:r w:rsidRPr="001B388B">
        <w:rPr>
          <w:i/>
          <w:iCs/>
        </w:rPr>
        <w:t>Závažná</w:t>
      </w:r>
      <w:r w:rsidR="00FA31D8" w:rsidRPr="001B388B">
        <w:rPr>
          <w:i/>
          <w:iCs/>
        </w:rPr>
        <w:t xml:space="preserve"> </w:t>
      </w:r>
      <w:proofErr w:type="spellStart"/>
      <w:r w:rsidR="00FA31D8" w:rsidRPr="001B388B">
        <w:rPr>
          <w:i/>
          <w:iCs/>
        </w:rPr>
        <w:t>preeklampsia</w:t>
      </w:r>
      <w:proofErr w:type="spellEnd"/>
      <w:r w:rsidR="00FA31D8" w:rsidRPr="001B388B">
        <w:rPr>
          <w:i/>
          <w:iCs/>
        </w:rPr>
        <w:t xml:space="preserve"> alebo </w:t>
      </w:r>
      <w:proofErr w:type="spellStart"/>
      <w:r w:rsidR="00FA31D8" w:rsidRPr="001B388B">
        <w:rPr>
          <w:i/>
          <w:iCs/>
        </w:rPr>
        <w:t>eklampsia</w:t>
      </w:r>
      <w:proofErr w:type="spellEnd"/>
    </w:p>
    <w:p w14:paraId="664FD6CA" w14:textId="46CB9727" w:rsidR="00FA31D8" w:rsidRPr="001B388B" w:rsidRDefault="00FA31D8" w:rsidP="009317BD">
      <w:pPr>
        <w:ind w:left="0" w:firstLine="0"/>
      </w:pPr>
      <w:bookmarkStart w:id="6" w:name="_Hlk20917382"/>
      <w:r w:rsidRPr="001B388B">
        <w:t xml:space="preserve">Počiatočná nasycovacia dávka 4 g </w:t>
      </w:r>
      <w:r w:rsidR="00351668">
        <w:t>z</w:t>
      </w:r>
      <w:r w:rsidRPr="001B388B">
        <w:t xml:space="preserve">riedená na </w:t>
      </w:r>
      <w:r w:rsidR="00760FDC" w:rsidRPr="001B388B">
        <w:t>primeran</w:t>
      </w:r>
      <w:r w:rsidRPr="001B388B">
        <w:t>ý objem, napr. 4 g síranu horečnatého v </w:t>
      </w:r>
      <w:r w:rsidR="00393383" w:rsidRPr="001B388B">
        <w:t>250</w:t>
      </w:r>
      <w:r w:rsidR="00393383">
        <w:t> </w:t>
      </w:r>
      <w:r w:rsidRPr="001B388B">
        <w:t>ml 5</w:t>
      </w:r>
      <w:r w:rsidR="00497F8B">
        <w:t> </w:t>
      </w:r>
      <w:r w:rsidRPr="001B388B">
        <w:t xml:space="preserve">% </w:t>
      </w:r>
      <w:r w:rsidR="00760FDC" w:rsidRPr="001B388B">
        <w:t xml:space="preserve">roztoku </w:t>
      </w:r>
      <w:r w:rsidRPr="001B388B">
        <w:t>glukózy alebo 0,9</w:t>
      </w:r>
      <w:r w:rsidR="00351668">
        <w:t> </w:t>
      </w:r>
      <w:r w:rsidRPr="001B388B">
        <w:t xml:space="preserve">% roztoku chloridu sodného, </w:t>
      </w:r>
      <w:r w:rsidR="00351668">
        <w:t xml:space="preserve">môže byť </w:t>
      </w:r>
      <w:r w:rsidRPr="001B388B">
        <w:t xml:space="preserve">podaná </w:t>
      </w:r>
      <w:r w:rsidR="00351668">
        <w:t xml:space="preserve">intravenózne </w:t>
      </w:r>
      <w:r w:rsidRPr="001B388B">
        <w:t>infúziou pri maximálnej rýchlosti 4 ml/min (= 6</w:t>
      </w:r>
      <w:r w:rsidR="000417D2">
        <w:t>4</w:t>
      </w:r>
      <w:r w:rsidRPr="001B388B">
        <w:t xml:space="preserve"> mg/min). </w:t>
      </w:r>
      <w:r w:rsidR="001C2FF1" w:rsidRPr="001B388B">
        <w:t>Potom nasleduje udržiavací režim buď intravenóznej infúzie 1</w:t>
      </w:r>
      <w:r w:rsidR="00760FDC" w:rsidRPr="001B388B">
        <w:t>-</w:t>
      </w:r>
      <w:r w:rsidR="001C2FF1" w:rsidRPr="001B388B">
        <w:t>2 g/h, napr. 5 g síranu horečnatého zriedeného v 1 litri 5</w:t>
      </w:r>
      <w:r w:rsidR="00351668">
        <w:t> </w:t>
      </w:r>
      <w:r w:rsidR="001C2FF1" w:rsidRPr="001B388B">
        <w:t xml:space="preserve">% </w:t>
      </w:r>
      <w:r w:rsidR="00760FDC" w:rsidRPr="001B388B">
        <w:t xml:space="preserve">roztoku </w:t>
      </w:r>
      <w:r w:rsidR="001C2FF1" w:rsidRPr="001B388B">
        <w:t>glukózy alebo 0,9</w:t>
      </w:r>
      <w:r w:rsidR="00351668">
        <w:t> </w:t>
      </w:r>
      <w:r w:rsidR="001C2FF1" w:rsidRPr="001B388B">
        <w:t xml:space="preserve">% roztoku chloridu sodného rýchlosťou 200 ml/h (= 1 g/h), alebo pravidelných </w:t>
      </w:r>
      <w:proofErr w:type="spellStart"/>
      <w:r w:rsidR="001C2FF1" w:rsidRPr="001B388B">
        <w:t>intramuskulárnych</w:t>
      </w:r>
      <w:proofErr w:type="spellEnd"/>
      <w:r w:rsidR="001C2FF1" w:rsidRPr="001B388B">
        <w:t xml:space="preserve"> injekcií (pozri časť 4.4), v závislosti od pretrvávajúcej prítomnosti </w:t>
      </w:r>
      <w:proofErr w:type="spellStart"/>
      <w:r w:rsidR="001C2FF1" w:rsidRPr="001B388B">
        <w:t>patelárneho</w:t>
      </w:r>
      <w:proofErr w:type="spellEnd"/>
      <w:r w:rsidR="001C2FF1" w:rsidRPr="001B388B">
        <w:t xml:space="preserve"> reflexu a adekvátnej respiračnej funkcie a množstva moču. Liečba má pokračovať</w:t>
      </w:r>
      <w:r w:rsidR="00760FDC" w:rsidRPr="001B388B">
        <w:t xml:space="preserve"> </w:t>
      </w:r>
      <w:r w:rsidR="001C2FF1" w:rsidRPr="001B388B">
        <w:t xml:space="preserve">až </w:t>
      </w:r>
      <w:r w:rsidR="00760FDC" w:rsidRPr="001B388B">
        <w:t>do vymiznut</w:t>
      </w:r>
      <w:r w:rsidR="00FE00C0">
        <w:t>ia</w:t>
      </w:r>
      <w:r w:rsidR="00760FDC" w:rsidRPr="001B388B">
        <w:t xml:space="preserve"> záchvatov. </w:t>
      </w:r>
    </w:p>
    <w:bookmarkEnd w:id="6"/>
    <w:p w14:paraId="1FF00396" w14:textId="77777777" w:rsidR="001C2FF1" w:rsidRPr="001B388B" w:rsidRDefault="001C2FF1" w:rsidP="009317BD">
      <w:pPr>
        <w:ind w:left="0" w:firstLine="0"/>
      </w:pPr>
    </w:p>
    <w:p w14:paraId="55C6632A" w14:textId="531E93FA" w:rsidR="001C2FF1" w:rsidRPr="001B388B" w:rsidRDefault="001C2FF1" w:rsidP="009317BD">
      <w:pPr>
        <w:ind w:left="0" w:firstLine="0"/>
      </w:pPr>
      <w:bookmarkStart w:id="7" w:name="_Hlk20917416"/>
      <w:r w:rsidRPr="001B388B">
        <w:t>Je dôležité, aby sa pri podávaní síranu horečnatého podľa ktor</w:t>
      </w:r>
      <w:r w:rsidR="00497F8B">
        <w:t>ej</w:t>
      </w:r>
      <w:r w:rsidRPr="001B388B">
        <w:t>koľvek z týchto schém uskutočnili pred každou injekciou určité klinické pozorovania:</w:t>
      </w:r>
    </w:p>
    <w:p w14:paraId="36D71BA6" w14:textId="5578F4AF" w:rsidR="001C2FF1" w:rsidRPr="001B388B" w:rsidRDefault="001C2FF1" w:rsidP="00760FDC">
      <w:pPr>
        <w:pStyle w:val="Odsekzoznamu"/>
        <w:numPr>
          <w:ilvl w:val="0"/>
          <w:numId w:val="15"/>
        </w:numPr>
        <w:ind w:left="425" w:hanging="357"/>
        <w:rPr>
          <w:szCs w:val="22"/>
        </w:rPr>
      </w:pPr>
      <w:r w:rsidRPr="001B388B">
        <w:rPr>
          <w:szCs w:val="22"/>
        </w:rPr>
        <w:t xml:space="preserve">musia byť prítomné </w:t>
      </w:r>
      <w:r w:rsidR="00FE00C0">
        <w:rPr>
          <w:szCs w:val="22"/>
        </w:rPr>
        <w:t xml:space="preserve">reflexy </w:t>
      </w:r>
      <w:r w:rsidRPr="001B388B">
        <w:rPr>
          <w:szCs w:val="22"/>
        </w:rPr>
        <w:t>hlbok</w:t>
      </w:r>
      <w:r w:rsidR="00FE00C0">
        <w:rPr>
          <w:szCs w:val="22"/>
        </w:rPr>
        <w:t>ých</w:t>
      </w:r>
      <w:r w:rsidRPr="001B388B">
        <w:rPr>
          <w:szCs w:val="22"/>
        </w:rPr>
        <w:t xml:space="preserve"> š</w:t>
      </w:r>
      <w:r w:rsidR="00FE00C0">
        <w:rPr>
          <w:szCs w:val="22"/>
        </w:rPr>
        <w:t>liach</w:t>
      </w:r>
      <w:r w:rsidRPr="001B388B">
        <w:rPr>
          <w:szCs w:val="22"/>
        </w:rPr>
        <w:t>;</w:t>
      </w:r>
    </w:p>
    <w:p w14:paraId="754C7D87" w14:textId="77777777" w:rsidR="001C2FF1" w:rsidRPr="001B388B" w:rsidRDefault="001C2FF1" w:rsidP="00760FDC">
      <w:pPr>
        <w:pStyle w:val="Odsekzoznamu"/>
        <w:numPr>
          <w:ilvl w:val="0"/>
          <w:numId w:val="15"/>
        </w:numPr>
        <w:ind w:left="425" w:hanging="357"/>
        <w:rPr>
          <w:szCs w:val="22"/>
        </w:rPr>
      </w:pPr>
      <w:r w:rsidRPr="001B388B">
        <w:rPr>
          <w:szCs w:val="22"/>
        </w:rPr>
        <w:t>dýchanie musí byť na úrovni najmenej 16 dychov za minútu; a</w:t>
      </w:r>
    </w:p>
    <w:p w14:paraId="12789629" w14:textId="77777777" w:rsidR="001C2FF1" w:rsidRPr="001B388B" w:rsidRDefault="001C2FF1" w:rsidP="00760FDC">
      <w:pPr>
        <w:pStyle w:val="Odsekzoznamu"/>
        <w:numPr>
          <w:ilvl w:val="0"/>
          <w:numId w:val="15"/>
        </w:numPr>
        <w:ind w:left="425" w:hanging="357"/>
        <w:rPr>
          <w:szCs w:val="22"/>
        </w:rPr>
      </w:pPr>
      <w:r w:rsidRPr="001B388B">
        <w:rPr>
          <w:szCs w:val="22"/>
        </w:rPr>
        <w:t xml:space="preserve">od prechádzajúcej injekcie sa musí vylúčiť 100 ml moču. </w:t>
      </w:r>
    </w:p>
    <w:bookmarkEnd w:id="7"/>
    <w:p w14:paraId="37256EF3" w14:textId="77777777" w:rsidR="00E1698A" w:rsidRPr="001B388B" w:rsidRDefault="00E1698A" w:rsidP="001C2FF1">
      <w:pPr>
        <w:ind w:left="0" w:firstLine="0"/>
        <w:rPr>
          <w:szCs w:val="22"/>
        </w:rPr>
      </w:pPr>
    </w:p>
    <w:p w14:paraId="321E21C4" w14:textId="77777777" w:rsidR="001C2FF1" w:rsidRPr="001B388B" w:rsidRDefault="001C2FF1" w:rsidP="001C2FF1">
      <w:pPr>
        <w:ind w:left="0" w:firstLine="0"/>
        <w:rPr>
          <w:szCs w:val="22"/>
        </w:rPr>
      </w:pPr>
      <w:bookmarkStart w:id="8" w:name="_Hlk20917429"/>
      <w:r w:rsidRPr="001B388B">
        <w:rPr>
          <w:szCs w:val="22"/>
        </w:rPr>
        <w:t xml:space="preserve">Okrem toho má byť k dispozícii 1 g </w:t>
      </w:r>
      <w:proofErr w:type="spellStart"/>
      <w:r w:rsidRPr="001B388B">
        <w:rPr>
          <w:szCs w:val="22"/>
        </w:rPr>
        <w:t>glukonátu</w:t>
      </w:r>
      <w:proofErr w:type="spellEnd"/>
      <w:r w:rsidRPr="001B388B">
        <w:rPr>
          <w:szCs w:val="22"/>
        </w:rPr>
        <w:t xml:space="preserve"> vápenatého ako </w:t>
      </w:r>
      <w:proofErr w:type="spellStart"/>
      <w:r w:rsidRPr="001B388B">
        <w:rPr>
          <w:szCs w:val="22"/>
        </w:rPr>
        <w:t>antidotum</w:t>
      </w:r>
      <w:proofErr w:type="spellEnd"/>
      <w:r w:rsidRPr="001B388B">
        <w:rPr>
          <w:szCs w:val="22"/>
        </w:rPr>
        <w:t xml:space="preserve"> pr</w:t>
      </w:r>
      <w:r w:rsidR="005E465D" w:rsidRPr="001B388B">
        <w:rPr>
          <w:szCs w:val="22"/>
        </w:rPr>
        <w:t xml:space="preserve">i </w:t>
      </w:r>
      <w:proofErr w:type="spellStart"/>
      <w:r w:rsidR="005E465D" w:rsidRPr="001B388B">
        <w:rPr>
          <w:szCs w:val="22"/>
        </w:rPr>
        <w:t>hypermagneziémii</w:t>
      </w:r>
      <w:proofErr w:type="spellEnd"/>
      <w:r w:rsidR="005E465D" w:rsidRPr="001B388B">
        <w:rPr>
          <w:szCs w:val="22"/>
        </w:rPr>
        <w:t xml:space="preserve">. </w:t>
      </w:r>
    </w:p>
    <w:bookmarkEnd w:id="8"/>
    <w:p w14:paraId="49022C9A" w14:textId="77777777" w:rsidR="005E465D" w:rsidRPr="001B388B" w:rsidRDefault="005E465D" w:rsidP="001C2FF1">
      <w:pPr>
        <w:ind w:left="0" w:firstLine="0"/>
        <w:rPr>
          <w:szCs w:val="22"/>
        </w:rPr>
      </w:pPr>
    </w:p>
    <w:p w14:paraId="7375E5F6" w14:textId="77777777" w:rsidR="005E465D" w:rsidRPr="001B388B" w:rsidRDefault="005E465D" w:rsidP="001C2FF1">
      <w:pPr>
        <w:ind w:left="0" w:firstLine="0"/>
        <w:rPr>
          <w:szCs w:val="22"/>
        </w:rPr>
      </w:pPr>
      <w:proofErr w:type="spellStart"/>
      <w:r w:rsidRPr="001B388B">
        <w:rPr>
          <w:i/>
          <w:iCs/>
          <w:szCs w:val="22"/>
        </w:rPr>
        <w:t>Torsade</w:t>
      </w:r>
      <w:proofErr w:type="spellEnd"/>
      <w:r w:rsidRPr="001B388B">
        <w:rPr>
          <w:i/>
          <w:iCs/>
          <w:szCs w:val="22"/>
        </w:rPr>
        <w:t xml:space="preserve"> de </w:t>
      </w:r>
      <w:proofErr w:type="spellStart"/>
      <w:r w:rsidRPr="001B388B">
        <w:rPr>
          <w:i/>
          <w:iCs/>
          <w:szCs w:val="22"/>
        </w:rPr>
        <w:t>pointes</w:t>
      </w:r>
      <w:proofErr w:type="spellEnd"/>
    </w:p>
    <w:p w14:paraId="0D03FC4A" w14:textId="4CEBD057" w:rsidR="005E465D" w:rsidRPr="001B388B" w:rsidRDefault="00DA25F1" w:rsidP="001C2FF1">
      <w:pPr>
        <w:ind w:left="0" w:firstLine="0"/>
        <w:rPr>
          <w:szCs w:val="22"/>
        </w:rPr>
      </w:pPr>
      <w:bookmarkStart w:id="9" w:name="_Hlk20917468"/>
      <w:r>
        <w:rPr>
          <w:szCs w:val="22"/>
        </w:rPr>
        <w:t>Podľa</w:t>
      </w:r>
      <w:r w:rsidR="005E465D" w:rsidRPr="001B388B">
        <w:rPr>
          <w:szCs w:val="22"/>
        </w:rPr>
        <w:t xml:space="preserve"> </w:t>
      </w:r>
      <w:r w:rsidR="007F4809">
        <w:rPr>
          <w:szCs w:val="22"/>
        </w:rPr>
        <w:t>všeobecných</w:t>
      </w:r>
      <w:r w:rsidR="005E465D" w:rsidRPr="001B388B">
        <w:rPr>
          <w:szCs w:val="22"/>
        </w:rPr>
        <w:t xml:space="preserve"> odporúčan</w:t>
      </w:r>
      <w:r>
        <w:rPr>
          <w:szCs w:val="22"/>
        </w:rPr>
        <w:t>í</w:t>
      </w:r>
      <w:r w:rsidR="005E465D" w:rsidRPr="001B388B">
        <w:rPr>
          <w:szCs w:val="22"/>
        </w:rPr>
        <w:t xml:space="preserve"> sa môže podať jednorazový intravenózny bolus 2 g počas 2 až </w:t>
      </w:r>
      <w:r w:rsidR="009B2AA2" w:rsidRPr="001B388B">
        <w:rPr>
          <w:szCs w:val="22"/>
        </w:rPr>
        <w:t>3</w:t>
      </w:r>
      <w:r w:rsidR="009B2AA2">
        <w:rPr>
          <w:szCs w:val="22"/>
        </w:rPr>
        <w:t> </w:t>
      </w:r>
      <w:r w:rsidR="005E465D" w:rsidRPr="001B388B">
        <w:rPr>
          <w:szCs w:val="22"/>
        </w:rPr>
        <w:t xml:space="preserve">minút. Intravenózna infúzia horčíka sa má začať rýchlosťou 2-4 mg/min. Ak sa </w:t>
      </w:r>
      <w:proofErr w:type="spellStart"/>
      <w:r w:rsidR="005E465D" w:rsidRPr="001B388B">
        <w:rPr>
          <w:szCs w:val="22"/>
        </w:rPr>
        <w:t>torsade</w:t>
      </w:r>
      <w:proofErr w:type="spellEnd"/>
      <w:r w:rsidR="005E465D" w:rsidRPr="001B388B">
        <w:rPr>
          <w:szCs w:val="22"/>
        </w:rPr>
        <w:t xml:space="preserve"> de </w:t>
      </w:r>
      <w:proofErr w:type="spellStart"/>
      <w:r w:rsidR="005E465D" w:rsidRPr="001B388B">
        <w:rPr>
          <w:szCs w:val="22"/>
        </w:rPr>
        <w:t>pointes</w:t>
      </w:r>
      <w:proofErr w:type="spellEnd"/>
      <w:r w:rsidR="005E465D" w:rsidRPr="001B388B">
        <w:rPr>
          <w:szCs w:val="22"/>
        </w:rPr>
        <w:t xml:space="preserve"> opakuje, má sa podať ďalší bolus 2 g horčíka a rýchlosť intravenóznej infúzie sa má zvýšiť na 6-8 mg/min. Výnimočne je potrebná tret</w:t>
      </w:r>
      <w:r w:rsidR="007F4809">
        <w:rPr>
          <w:szCs w:val="22"/>
        </w:rPr>
        <w:t>ia</w:t>
      </w:r>
      <w:r w:rsidR="005E465D" w:rsidRPr="001B388B">
        <w:rPr>
          <w:szCs w:val="22"/>
        </w:rPr>
        <w:t xml:space="preserve"> 2</w:t>
      </w:r>
      <w:r w:rsidR="007F4809">
        <w:rPr>
          <w:szCs w:val="22"/>
        </w:rPr>
        <w:t xml:space="preserve"> </w:t>
      </w:r>
      <w:r w:rsidR="005E465D" w:rsidRPr="001B388B">
        <w:rPr>
          <w:szCs w:val="22"/>
        </w:rPr>
        <w:t xml:space="preserve">g </w:t>
      </w:r>
      <w:proofErr w:type="spellStart"/>
      <w:r w:rsidR="005E465D" w:rsidRPr="001B388B">
        <w:rPr>
          <w:szCs w:val="22"/>
        </w:rPr>
        <w:t>bolusová</w:t>
      </w:r>
      <w:proofErr w:type="spellEnd"/>
      <w:r w:rsidR="005E465D" w:rsidRPr="001B388B">
        <w:rPr>
          <w:szCs w:val="22"/>
        </w:rPr>
        <w:t xml:space="preserve"> dávka. </w:t>
      </w:r>
    </w:p>
    <w:bookmarkEnd w:id="9"/>
    <w:p w14:paraId="6CF26857" w14:textId="77777777" w:rsidR="005E465D" w:rsidRPr="001B388B" w:rsidRDefault="005E465D" w:rsidP="001C2FF1">
      <w:pPr>
        <w:ind w:left="0" w:firstLine="0"/>
        <w:rPr>
          <w:szCs w:val="22"/>
        </w:rPr>
      </w:pPr>
    </w:p>
    <w:p w14:paraId="2A99BA0F" w14:textId="77777777" w:rsidR="00B06E24" w:rsidRPr="001B388B" w:rsidRDefault="00B06E24" w:rsidP="005E465D">
      <w:pPr>
        <w:ind w:left="0" w:firstLine="0"/>
        <w:rPr>
          <w:b/>
          <w:bCs/>
          <w:iCs/>
          <w:szCs w:val="22"/>
        </w:rPr>
      </w:pPr>
      <w:r w:rsidRPr="001B388B">
        <w:rPr>
          <w:b/>
          <w:bCs/>
          <w:iCs/>
          <w:szCs w:val="22"/>
        </w:rPr>
        <w:t>Pediatrická populácia</w:t>
      </w:r>
    </w:p>
    <w:p w14:paraId="66838D04" w14:textId="77777777" w:rsidR="00E1698A" w:rsidRPr="001B388B" w:rsidRDefault="00E1698A" w:rsidP="005E465D">
      <w:pPr>
        <w:ind w:left="0" w:firstLine="0"/>
        <w:rPr>
          <w:szCs w:val="22"/>
        </w:rPr>
      </w:pPr>
    </w:p>
    <w:p w14:paraId="5FC5BBCD" w14:textId="77777777" w:rsidR="005E465D" w:rsidRPr="001B388B" w:rsidRDefault="005E465D" w:rsidP="005E465D">
      <w:pPr>
        <w:ind w:left="0" w:firstLine="0"/>
        <w:rPr>
          <w:i/>
          <w:iCs/>
          <w:szCs w:val="22"/>
        </w:rPr>
      </w:pPr>
      <w:proofErr w:type="spellStart"/>
      <w:r w:rsidRPr="001B388B">
        <w:rPr>
          <w:i/>
          <w:iCs/>
          <w:szCs w:val="22"/>
        </w:rPr>
        <w:t>Hypomagneziémia</w:t>
      </w:r>
      <w:proofErr w:type="spellEnd"/>
    </w:p>
    <w:p w14:paraId="3FC29026" w14:textId="77777777" w:rsidR="005E465D" w:rsidRPr="001B388B" w:rsidRDefault="005E465D" w:rsidP="005E465D">
      <w:pPr>
        <w:ind w:left="0" w:firstLine="0"/>
        <w:rPr>
          <w:szCs w:val="22"/>
        </w:rPr>
      </w:pPr>
      <w:r w:rsidRPr="001B388B">
        <w:rPr>
          <w:szCs w:val="22"/>
        </w:rPr>
        <w:t>D</w:t>
      </w:r>
      <w:bookmarkStart w:id="10" w:name="_Hlk20917483"/>
      <w:r w:rsidRPr="001B388B">
        <w:rPr>
          <w:szCs w:val="22"/>
        </w:rPr>
        <w:t>eťom sa môže podať Magnesium sulfate Kalceks 100 mg/ml injekčn</w:t>
      </w:r>
      <w:r w:rsidR="004D50AF" w:rsidRPr="001B388B">
        <w:rPr>
          <w:szCs w:val="22"/>
        </w:rPr>
        <w:t>ý</w:t>
      </w:r>
      <w:r w:rsidRPr="001B388B">
        <w:rPr>
          <w:szCs w:val="22"/>
        </w:rPr>
        <w:t>/infúzn</w:t>
      </w:r>
      <w:r w:rsidR="004D50AF" w:rsidRPr="001B388B">
        <w:rPr>
          <w:szCs w:val="22"/>
        </w:rPr>
        <w:t>y</w:t>
      </w:r>
      <w:r w:rsidRPr="001B388B">
        <w:rPr>
          <w:szCs w:val="22"/>
        </w:rPr>
        <w:t xml:space="preserve"> </w:t>
      </w:r>
      <w:r w:rsidR="004D50AF" w:rsidRPr="001B388B">
        <w:rPr>
          <w:szCs w:val="22"/>
        </w:rPr>
        <w:t xml:space="preserve">roztok </w:t>
      </w:r>
      <w:r w:rsidRPr="001B388B">
        <w:rPr>
          <w:szCs w:val="22"/>
        </w:rPr>
        <w:t>intravenózne. Pri intravenóznom použití u detí nemá rýchlosť podávania prekročiť 0,1 ml/kg/min (10 mg/kg/min) roztoku síranu horečnatého 100 mg/ml (čo odpovedá 0,04 mmol/kg/min = 0,001 g/kg/min horčíka).</w:t>
      </w:r>
      <w:bookmarkEnd w:id="10"/>
    </w:p>
    <w:p w14:paraId="2620D221" w14:textId="77777777" w:rsidR="003C07D9" w:rsidRPr="001B388B" w:rsidRDefault="003C07D9" w:rsidP="005E465D">
      <w:pPr>
        <w:ind w:left="0" w:firstLine="0"/>
        <w:rPr>
          <w:szCs w:val="22"/>
        </w:rPr>
      </w:pPr>
    </w:p>
    <w:p w14:paraId="542A0B09" w14:textId="77777777" w:rsidR="003C07D9" w:rsidRPr="001B388B" w:rsidRDefault="003C07D9" w:rsidP="005E465D">
      <w:pPr>
        <w:ind w:left="0" w:firstLine="0"/>
        <w:rPr>
          <w:szCs w:val="22"/>
        </w:rPr>
      </w:pPr>
      <w:r w:rsidRPr="001B388B">
        <w:rPr>
          <w:i/>
          <w:iCs/>
          <w:szCs w:val="22"/>
        </w:rPr>
        <w:t xml:space="preserve">Prevencia a liečba </w:t>
      </w:r>
      <w:proofErr w:type="spellStart"/>
      <w:r w:rsidRPr="001B388B">
        <w:rPr>
          <w:i/>
          <w:iCs/>
          <w:szCs w:val="22"/>
        </w:rPr>
        <w:t>hypomagneziémie</w:t>
      </w:r>
      <w:proofErr w:type="spellEnd"/>
      <w:r w:rsidRPr="001B388B">
        <w:rPr>
          <w:i/>
          <w:iCs/>
          <w:szCs w:val="22"/>
        </w:rPr>
        <w:t xml:space="preserve"> pri úplnej </w:t>
      </w:r>
      <w:proofErr w:type="spellStart"/>
      <w:r w:rsidRPr="001B388B">
        <w:rPr>
          <w:i/>
          <w:iCs/>
          <w:szCs w:val="22"/>
        </w:rPr>
        <w:t>parenterálnej</w:t>
      </w:r>
      <w:proofErr w:type="spellEnd"/>
      <w:r w:rsidRPr="001B388B">
        <w:rPr>
          <w:i/>
          <w:iCs/>
          <w:szCs w:val="22"/>
        </w:rPr>
        <w:t xml:space="preserve"> výžive</w:t>
      </w:r>
    </w:p>
    <w:p w14:paraId="6BF64A4F" w14:textId="7887D372" w:rsidR="003C07D9" w:rsidRPr="001B388B" w:rsidRDefault="003C07D9" w:rsidP="005E465D">
      <w:pPr>
        <w:ind w:left="0" w:firstLine="0"/>
        <w:rPr>
          <w:szCs w:val="22"/>
        </w:rPr>
      </w:pPr>
      <w:bookmarkStart w:id="11" w:name="_Hlk20917519"/>
      <w:r w:rsidRPr="001B388B">
        <w:rPr>
          <w:szCs w:val="22"/>
        </w:rPr>
        <w:t xml:space="preserve">Dávkovanie je prísne individuálne. </w:t>
      </w:r>
      <w:r w:rsidR="00DA25F1">
        <w:rPr>
          <w:szCs w:val="22"/>
        </w:rPr>
        <w:t>Podľa</w:t>
      </w:r>
      <w:r w:rsidRPr="001B388B">
        <w:rPr>
          <w:szCs w:val="22"/>
        </w:rPr>
        <w:t xml:space="preserve"> </w:t>
      </w:r>
      <w:r w:rsidR="007F4809">
        <w:rPr>
          <w:szCs w:val="22"/>
        </w:rPr>
        <w:t>všeobecných</w:t>
      </w:r>
      <w:r w:rsidRPr="001B388B">
        <w:rPr>
          <w:szCs w:val="22"/>
        </w:rPr>
        <w:t xml:space="preserve"> odporúčan</w:t>
      </w:r>
      <w:r w:rsidR="00DA25F1">
        <w:rPr>
          <w:szCs w:val="22"/>
        </w:rPr>
        <w:t>í</w:t>
      </w:r>
      <w:r w:rsidRPr="001B388B">
        <w:rPr>
          <w:szCs w:val="22"/>
        </w:rPr>
        <w:t xml:space="preserve"> môžu byť podané nasledujúce dávky síranu horečnatého intravenózne: </w:t>
      </w:r>
    </w:p>
    <w:p w14:paraId="628DA412" w14:textId="77777777" w:rsidR="003C07D9" w:rsidRDefault="003C07D9" w:rsidP="005E465D">
      <w:pPr>
        <w:ind w:left="0" w:firstLine="0"/>
        <w:rPr>
          <w:szCs w:val="22"/>
        </w:rPr>
      </w:pPr>
    </w:p>
    <w:p w14:paraId="6EDC2B9D" w14:textId="77777777" w:rsidR="007F4809" w:rsidRPr="009E52C2" w:rsidRDefault="007F4809" w:rsidP="005E465D">
      <w:pPr>
        <w:ind w:left="0" w:firstLine="0"/>
        <w:rPr>
          <w:b/>
          <w:szCs w:val="22"/>
        </w:rPr>
      </w:pPr>
      <w:r w:rsidRPr="007F4809">
        <w:rPr>
          <w:b/>
          <w:szCs w:val="22"/>
        </w:rPr>
        <w:t>Tabuľka 1</w:t>
      </w:r>
      <w:r w:rsidRPr="009E52C2">
        <w:rPr>
          <w:b/>
          <w:szCs w:val="22"/>
        </w:rPr>
        <w:tab/>
        <w:t xml:space="preserve">Dávkovanie u detí pri </w:t>
      </w:r>
      <w:r>
        <w:rPr>
          <w:b/>
          <w:szCs w:val="22"/>
        </w:rPr>
        <w:t xml:space="preserve">úplnej </w:t>
      </w:r>
      <w:proofErr w:type="spellStart"/>
      <w:r w:rsidRPr="009E52C2">
        <w:rPr>
          <w:b/>
          <w:szCs w:val="22"/>
        </w:rPr>
        <w:t>parenterálnej</w:t>
      </w:r>
      <w:proofErr w:type="spellEnd"/>
      <w:r w:rsidRPr="009E52C2">
        <w:rPr>
          <w:b/>
          <w:szCs w:val="22"/>
        </w:rPr>
        <w:t xml:space="preserve"> výžive</w:t>
      </w:r>
    </w:p>
    <w:p w14:paraId="0F822784" w14:textId="77777777" w:rsidR="007F4809" w:rsidRPr="001B388B" w:rsidRDefault="007F4809" w:rsidP="005E465D">
      <w:pPr>
        <w:ind w:left="0" w:firstLine="0"/>
        <w:rPr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0"/>
        <w:gridCol w:w="2836"/>
      </w:tblGrid>
      <w:tr w:rsidR="003C07D9" w:rsidRPr="001B388B" w14:paraId="69EFF63D" w14:textId="77777777" w:rsidTr="0043448E">
        <w:tc>
          <w:tcPr>
            <w:tcW w:w="4530" w:type="dxa"/>
          </w:tcPr>
          <w:p w14:paraId="0F32A1A3" w14:textId="77777777" w:rsidR="003C07D9" w:rsidRPr="001B388B" w:rsidRDefault="003C07D9" w:rsidP="0043448E">
            <w:pPr>
              <w:ind w:left="0" w:firstLine="0"/>
              <w:jc w:val="center"/>
              <w:rPr>
                <w:b/>
                <w:bCs/>
                <w:iCs/>
                <w:szCs w:val="22"/>
              </w:rPr>
            </w:pPr>
            <w:r w:rsidRPr="001B388B">
              <w:rPr>
                <w:b/>
                <w:bCs/>
                <w:iCs/>
                <w:szCs w:val="22"/>
              </w:rPr>
              <w:t>Vek</w:t>
            </w:r>
          </w:p>
        </w:tc>
        <w:tc>
          <w:tcPr>
            <w:tcW w:w="2836" w:type="dxa"/>
          </w:tcPr>
          <w:p w14:paraId="246FA3E9" w14:textId="77777777" w:rsidR="003C07D9" w:rsidRPr="001B388B" w:rsidRDefault="003C07D9" w:rsidP="0043448E">
            <w:pPr>
              <w:ind w:left="0" w:firstLine="0"/>
              <w:jc w:val="center"/>
              <w:rPr>
                <w:b/>
                <w:bCs/>
                <w:iCs/>
                <w:szCs w:val="22"/>
              </w:rPr>
            </w:pPr>
            <w:r w:rsidRPr="001B388B">
              <w:rPr>
                <w:b/>
                <w:bCs/>
                <w:iCs/>
                <w:szCs w:val="22"/>
              </w:rPr>
              <w:t>Horčík (mg/kg/deň)</w:t>
            </w:r>
          </w:p>
        </w:tc>
      </w:tr>
      <w:tr w:rsidR="003C07D9" w:rsidRPr="001B388B" w14:paraId="14AC16D5" w14:textId="77777777" w:rsidTr="0043448E">
        <w:tc>
          <w:tcPr>
            <w:tcW w:w="4530" w:type="dxa"/>
          </w:tcPr>
          <w:p w14:paraId="35C65EC6" w14:textId="77777777" w:rsidR="003C07D9" w:rsidRPr="001B388B" w:rsidRDefault="003C07D9" w:rsidP="0043448E">
            <w:pPr>
              <w:ind w:left="0" w:firstLine="0"/>
              <w:rPr>
                <w:iCs/>
                <w:szCs w:val="22"/>
              </w:rPr>
            </w:pPr>
            <w:r w:rsidRPr="001B388B">
              <w:rPr>
                <w:iCs/>
                <w:szCs w:val="22"/>
              </w:rPr>
              <w:t>Predčasne narodené deti počas prvých dní života</w:t>
            </w:r>
          </w:p>
        </w:tc>
        <w:tc>
          <w:tcPr>
            <w:tcW w:w="2836" w:type="dxa"/>
          </w:tcPr>
          <w:p w14:paraId="162E98E4" w14:textId="77777777" w:rsidR="003C07D9" w:rsidRPr="001B388B" w:rsidRDefault="003C07D9" w:rsidP="0043448E">
            <w:pPr>
              <w:ind w:left="0" w:firstLine="0"/>
              <w:jc w:val="center"/>
              <w:rPr>
                <w:iCs/>
                <w:szCs w:val="22"/>
              </w:rPr>
            </w:pPr>
            <w:r w:rsidRPr="001B388B">
              <w:rPr>
                <w:iCs/>
                <w:szCs w:val="22"/>
              </w:rPr>
              <w:t>2,5-5</w:t>
            </w:r>
          </w:p>
        </w:tc>
      </w:tr>
      <w:tr w:rsidR="003C07D9" w:rsidRPr="001B388B" w14:paraId="5056CC8B" w14:textId="77777777" w:rsidTr="0043448E">
        <w:tc>
          <w:tcPr>
            <w:tcW w:w="4530" w:type="dxa"/>
          </w:tcPr>
          <w:p w14:paraId="28F49F1B" w14:textId="0DC7A22C" w:rsidR="003C07D9" w:rsidRPr="001B388B" w:rsidRDefault="003C07D9" w:rsidP="0043448E">
            <w:pPr>
              <w:ind w:left="0" w:firstLine="0"/>
              <w:rPr>
                <w:iCs/>
                <w:szCs w:val="22"/>
              </w:rPr>
            </w:pPr>
            <w:r w:rsidRPr="001B388B">
              <w:rPr>
                <w:iCs/>
                <w:szCs w:val="22"/>
              </w:rPr>
              <w:t>Starš</w:t>
            </w:r>
            <w:r w:rsidR="007F4809">
              <w:rPr>
                <w:iCs/>
                <w:szCs w:val="22"/>
              </w:rPr>
              <w:t>ie</w:t>
            </w:r>
            <w:r w:rsidRPr="001B388B">
              <w:rPr>
                <w:iCs/>
                <w:szCs w:val="22"/>
              </w:rPr>
              <w:t xml:space="preserve"> predčasne narodené deti</w:t>
            </w:r>
          </w:p>
        </w:tc>
        <w:tc>
          <w:tcPr>
            <w:tcW w:w="2836" w:type="dxa"/>
          </w:tcPr>
          <w:p w14:paraId="4B888B5A" w14:textId="77777777" w:rsidR="003C07D9" w:rsidRPr="001B388B" w:rsidRDefault="003C07D9" w:rsidP="0043448E">
            <w:pPr>
              <w:ind w:left="0" w:firstLine="0"/>
              <w:jc w:val="center"/>
              <w:rPr>
                <w:iCs/>
                <w:szCs w:val="22"/>
              </w:rPr>
            </w:pPr>
            <w:r w:rsidRPr="001B388B">
              <w:rPr>
                <w:iCs/>
                <w:szCs w:val="22"/>
              </w:rPr>
              <w:t>5-7,5</w:t>
            </w:r>
          </w:p>
        </w:tc>
      </w:tr>
      <w:tr w:rsidR="003C07D9" w:rsidRPr="001B388B" w14:paraId="1ED7D6F2" w14:textId="77777777" w:rsidTr="0043448E">
        <w:tc>
          <w:tcPr>
            <w:tcW w:w="4530" w:type="dxa"/>
          </w:tcPr>
          <w:p w14:paraId="2CF1C9F6" w14:textId="77777777" w:rsidR="003C07D9" w:rsidRPr="001B388B" w:rsidRDefault="003C07D9" w:rsidP="0043448E">
            <w:pPr>
              <w:ind w:left="0" w:firstLine="0"/>
              <w:rPr>
                <w:iCs/>
                <w:szCs w:val="22"/>
              </w:rPr>
            </w:pPr>
            <w:r w:rsidRPr="001B388B">
              <w:rPr>
                <w:iCs/>
                <w:szCs w:val="22"/>
              </w:rPr>
              <w:lastRenderedPageBreak/>
              <w:t>0-6 mesiacov</w:t>
            </w:r>
          </w:p>
        </w:tc>
        <w:tc>
          <w:tcPr>
            <w:tcW w:w="2836" w:type="dxa"/>
          </w:tcPr>
          <w:p w14:paraId="52DDB78F" w14:textId="77777777" w:rsidR="003C07D9" w:rsidRPr="001B388B" w:rsidRDefault="003C07D9" w:rsidP="0043448E">
            <w:pPr>
              <w:ind w:left="0" w:firstLine="0"/>
              <w:jc w:val="center"/>
              <w:rPr>
                <w:iCs/>
                <w:szCs w:val="22"/>
              </w:rPr>
            </w:pPr>
            <w:r w:rsidRPr="001B388B">
              <w:rPr>
                <w:iCs/>
                <w:szCs w:val="22"/>
              </w:rPr>
              <w:t>2,4-5</w:t>
            </w:r>
          </w:p>
        </w:tc>
      </w:tr>
      <w:tr w:rsidR="003C07D9" w:rsidRPr="001B388B" w14:paraId="7C402016" w14:textId="77777777" w:rsidTr="0043448E">
        <w:tc>
          <w:tcPr>
            <w:tcW w:w="4530" w:type="dxa"/>
          </w:tcPr>
          <w:p w14:paraId="595DCE44" w14:textId="77777777" w:rsidR="003C07D9" w:rsidRPr="001B388B" w:rsidRDefault="003C07D9" w:rsidP="0043448E">
            <w:pPr>
              <w:ind w:left="0" w:firstLine="0"/>
              <w:rPr>
                <w:iCs/>
                <w:szCs w:val="22"/>
              </w:rPr>
            </w:pPr>
            <w:r w:rsidRPr="001B388B">
              <w:rPr>
                <w:iCs/>
                <w:szCs w:val="22"/>
              </w:rPr>
              <w:t>7-12 mesiacov</w:t>
            </w:r>
          </w:p>
        </w:tc>
        <w:tc>
          <w:tcPr>
            <w:tcW w:w="2836" w:type="dxa"/>
          </w:tcPr>
          <w:p w14:paraId="7EBEE40F" w14:textId="77777777" w:rsidR="003C07D9" w:rsidRPr="001B388B" w:rsidRDefault="003C07D9" w:rsidP="0043448E">
            <w:pPr>
              <w:ind w:left="0" w:firstLine="0"/>
              <w:jc w:val="center"/>
              <w:rPr>
                <w:iCs/>
                <w:szCs w:val="22"/>
              </w:rPr>
            </w:pPr>
            <w:r w:rsidRPr="001B388B">
              <w:rPr>
                <w:iCs/>
                <w:szCs w:val="22"/>
              </w:rPr>
              <w:t>4</w:t>
            </w:r>
          </w:p>
        </w:tc>
      </w:tr>
      <w:tr w:rsidR="003C07D9" w:rsidRPr="001B388B" w14:paraId="6B326148" w14:textId="77777777" w:rsidTr="0043448E">
        <w:tc>
          <w:tcPr>
            <w:tcW w:w="4530" w:type="dxa"/>
          </w:tcPr>
          <w:p w14:paraId="431BE9F2" w14:textId="77777777" w:rsidR="003C07D9" w:rsidRPr="001B388B" w:rsidRDefault="003C07D9" w:rsidP="0043448E">
            <w:pPr>
              <w:ind w:left="0" w:firstLine="0"/>
              <w:rPr>
                <w:iCs/>
                <w:szCs w:val="22"/>
              </w:rPr>
            </w:pPr>
            <w:r w:rsidRPr="001B388B">
              <w:rPr>
                <w:iCs/>
                <w:szCs w:val="22"/>
              </w:rPr>
              <w:t>1-18 rokov</w:t>
            </w:r>
          </w:p>
        </w:tc>
        <w:tc>
          <w:tcPr>
            <w:tcW w:w="2836" w:type="dxa"/>
          </w:tcPr>
          <w:p w14:paraId="20EACFCB" w14:textId="77777777" w:rsidR="003C07D9" w:rsidRPr="001B388B" w:rsidRDefault="003C07D9" w:rsidP="0043448E">
            <w:pPr>
              <w:ind w:left="0" w:firstLine="0"/>
              <w:jc w:val="center"/>
              <w:rPr>
                <w:iCs/>
                <w:szCs w:val="22"/>
              </w:rPr>
            </w:pPr>
            <w:r w:rsidRPr="001B388B">
              <w:rPr>
                <w:iCs/>
                <w:szCs w:val="22"/>
              </w:rPr>
              <w:t>2,4</w:t>
            </w:r>
          </w:p>
        </w:tc>
      </w:tr>
    </w:tbl>
    <w:p w14:paraId="06CAEC63" w14:textId="77777777" w:rsidR="003C07D9" w:rsidRPr="001B388B" w:rsidRDefault="003C07D9" w:rsidP="005E465D">
      <w:pPr>
        <w:ind w:left="0" w:firstLine="0"/>
        <w:rPr>
          <w:szCs w:val="22"/>
        </w:rPr>
      </w:pPr>
    </w:p>
    <w:p w14:paraId="31DB54BA" w14:textId="77777777" w:rsidR="003C07D9" w:rsidRPr="001B388B" w:rsidRDefault="003C07D9" w:rsidP="005E465D">
      <w:pPr>
        <w:ind w:left="0" w:firstLine="0"/>
        <w:rPr>
          <w:szCs w:val="22"/>
        </w:rPr>
      </w:pPr>
      <w:proofErr w:type="spellStart"/>
      <w:r w:rsidRPr="001B388B">
        <w:rPr>
          <w:b/>
          <w:bCs/>
          <w:szCs w:val="22"/>
        </w:rPr>
        <w:t>Renálna</w:t>
      </w:r>
      <w:proofErr w:type="spellEnd"/>
      <w:r w:rsidRPr="001B388B">
        <w:rPr>
          <w:b/>
          <w:bCs/>
          <w:szCs w:val="22"/>
        </w:rPr>
        <w:t xml:space="preserve"> </w:t>
      </w:r>
      <w:proofErr w:type="spellStart"/>
      <w:r w:rsidRPr="001B388B">
        <w:rPr>
          <w:b/>
          <w:bCs/>
          <w:szCs w:val="22"/>
        </w:rPr>
        <w:t>insuficiencia</w:t>
      </w:r>
      <w:proofErr w:type="spellEnd"/>
    </w:p>
    <w:p w14:paraId="464E3757" w14:textId="3EA518DF" w:rsidR="003C07D9" w:rsidRPr="001B388B" w:rsidRDefault="003C07D9" w:rsidP="005E465D">
      <w:pPr>
        <w:ind w:left="0" w:firstLine="0"/>
        <w:rPr>
          <w:szCs w:val="22"/>
        </w:rPr>
      </w:pPr>
      <w:r w:rsidRPr="001B388B">
        <w:rPr>
          <w:szCs w:val="22"/>
        </w:rPr>
        <w:t>Pacientom s </w:t>
      </w:r>
      <w:proofErr w:type="spellStart"/>
      <w:r w:rsidRPr="001B388B">
        <w:rPr>
          <w:szCs w:val="22"/>
        </w:rPr>
        <w:t>renálnou</w:t>
      </w:r>
      <w:proofErr w:type="spellEnd"/>
      <w:r w:rsidRPr="001B388B">
        <w:rPr>
          <w:szCs w:val="22"/>
        </w:rPr>
        <w:t xml:space="preserve"> </w:t>
      </w:r>
      <w:proofErr w:type="spellStart"/>
      <w:r w:rsidRPr="001B388B">
        <w:rPr>
          <w:szCs w:val="22"/>
        </w:rPr>
        <w:t>insuficienciou</w:t>
      </w:r>
      <w:proofErr w:type="spellEnd"/>
      <w:r w:rsidRPr="001B388B">
        <w:rPr>
          <w:szCs w:val="22"/>
        </w:rPr>
        <w:t xml:space="preserve"> má byť podan</w:t>
      </w:r>
      <w:r w:rsidR="007F4809">
        <w:rPr>
          <w:szCs w:val="22"/>
        </w:rPr>
        <w:t>ých</w:t>
      </w:r>
      <w:r w:rsidRPr="001B388B">
        <w:rPr>
          <w:szCs w:val="22"/>
        </w:rPr>
        <w:t xml:space="preserve"> 25-50 % </w:t>
      </w:r>
      <w:r w:rsidR="004D50AF" w:rsidRPr="001B388B">
        <w:rPr>
          <w:szCs w:val="22"/>
        </w:rPr>
        <w:t xml:space="preserve">počiatočnej </w:t>
      </w:r>
      <w:r w:rsidRPr="001B388B">
        <w:rPr>
          <w:szCs w:val="22"/>
        </w:rPr>
        <w:t>dávky odporúčanej pre pacientov s normálnou funkciou obličiek. Pri vysokých dávkach a u starších pacientov sa odporúča monitorovanie EKG.</w:t>
      </w:r>
    </w:p>
    <w:p w14:paraId="41ADE14B" w14:textId="77777777" w:rsidR="003C07D9" w:rsidRPr="001B388B" w:rsidRDefault="003C07D9" w:rsidP="005E465D">
      <w:pPr>
        <w:ind w:left="0" w:firstLine="0"/>
        <w:rPr>
          <w:szCs w:val="22"/>
        </w:rPr>
      </w:pPr>
    </w:p>
    <w:p w14:paraId="46A8C82C" w14:textId="77777777" w:rsidR="003C07D9" w:rsidRPr="001B388B" w:rsidRDefault="003C07D9" w:rsidP="005E465D">
      <w:pPr>
        <w:ind w:left="0" w:firstLine="0"/>
        <w:rPr>
          <w:szCs w:val="22"/>
        </w:rPr>
      </w:pPr>
      <w:r w:rsidRPr="001B388B">
        <w:rPr>
          <w:b/>
          <w:bCs/>
          <w:szCs w:val="22"/>
        </w:rPr>
        <w:t>Porucha funkcie pečene</w:t>
      </w:r>
    </w:p>
    <w:p w14:paraId="5414163A" w14:textId="54FB96E4" w:rsidR="003C07D9" w:rsidRPr="001B388B" w:rsidRDefault="003C07D9" w:rsidP="005E465D">
      <w:pPr>
        <w:ind w:left="0" w:firstLine="0"/>
        <w:rPr>
          <w:szCs w:val="22"/>
        </w:rPr>
      </w:pPr>
      <w:r w:rsidRPr="001B388B">
        <w:rPr>
          <w:szCs w:val="22"/>
        </w:rPr>
        <w:t xml:space="preserve">Z dôvodu nedostatočných údajov neexistujú žiadne odporúčané </w:t>
      </w:r>
      <w:r w:rsidR="00AB58D5">
        <w:rPr>
          <w:szCs w:val="22"/>
        </w:rPr>
        <w:t xml:space="preserve">osobitné </w:t>
      </w:r>
      <w:r w:rsidRPr="001B388B">
        <w:rPr>
          <w:szCs w:val="22"/>
        </w:rPr>
        <w:t>pokyny na dávkovani</w:t>
      </w:r>
      <w:r w:rsidR="009B2AA2">
        <w:rPr>
          <w:szCs w:val="22"/>
        </w:rPr>
        <w:t>e</w:t>
      </w:r>
      <w:r w:rsidRPr="001B388B">
        <w:rPr>
          <w:szCs w:val="22"/>
        </w:rPr>
        <w:t xml:space="preserve"> pre pacientov s poruchou funkcie pečene. </w:t>
      </w:r>
    </w:p>
    <w:p w14:paraId="21A58B89" w14:textId="77777777" w:rsidR="003C07D9" w:rsidRPr="001B388B" w:rsidRDefault="003C07D9" w:rsidP="005E465D">
      <w:pPr>
        <w:ind w:left="0" w:firstLine="0"/>
        <w:rPr>
          <w:szCs w:val="22"/>
        </w:rPr>
      </w:pPr>
    </w:p>
    <w:p w14:paraId="66E6BFCA" w14:textId="77777777" w:rsidR="003C07D9" w:rsidRPr="001B388B" w:rsidRDefault="003C07D9" w:rsidP="005E465D">
      <w:pPr>
        <w:ind w:left="0" w:firstLine="0"/>
        <w:rPr>
          <w:b/>
          <w:bCs/>
          <w:szCs w:val="22"/>
        </w:rPr>
      </w:pPr>
      <w:r w:rsidRPr="001B388B">
        <w:rPr>
          <w:b/>
          <w:bCs/>
          <w:szCs w:val="22"/>
        </w:rPr>
        <w:t>Starší pacienti</w:t>
      </w:r>
    </w:p>
    <w:p w14:paraId="3D588AFD" w14:textId="52D884D7" w:rsidR="003C07D9" w:rsidRPr="001B388B" w:rsidRDefault="00734DAB" w:rsidP="005E465D">
      <w:pPr>
        <w:ind w:left="0" w:firstLine="0"/>
        <w:rPr>
          <w:szCs w:val="22"/>
        </w:rPr>
      </w:pPr>
      <w:r w:rsidRPr="001B388B">
        <w:rPr>
          <w:szCs w:val="22"/>
        </w:rPr>
        <w:t>P</w:t>
      </w:r>
      <w:r w:rsidR="003C07D9" w:rsidRPr="001B388B">
        <w:rPr>
          <w:szCs w:val="22"/>
        </w:rPr>
        <w:t>re dávkovanie u starších pacientov</w:t>
      </w:r>
      <w:r w:rsidRPr="001B388B">
        <w:rPr>
          <w:szCs w:val="22"/>
        </w:rPr>
        <w:t xml:space="preserve"> neexistujú žiadne </w:t>
      </w:r>
      <w:r w:rsidR="00AB58D5">
        <w:rPr>
          <w:szCs w:val="22"/>
        </w:rPr>
        <w:t>osobitné</w:t>
      </w:r>
      <w:r w:rsidRPr="001B388B">
        <w:rPr>
          <w:szCs w:val="22"/>
        </w:rPr>
        <w:t xml:space="preserve"> odporúčania</w:t>
      </w:r>
      <w:r w:rsidR="003C07D9" w:rsidRPr="001B388B">
        <w:rPr>
          <w:szCs w:val="22"/>
        </w:rPr>
        <w:t xml:space="preserve">. Avšak u starších pacientov sa má </w:t>
      </w:r>
      <w:proofErr w:type="spellStart"/>
      <w:r w:rsidR="003C07D9" w:rsidRPr="001B388B">
        <w:rPr>
          <w:szCs w:val="22"/>
        </w:rPr>
        <w:t>parenterálny</w:t>
      </w:r>
      <w:proofErr w:type="spellEnd"/>
      <w:r w:rsidR="003C07D9" w:rsidRPr="001B388B">
        <w:rPr>
          <w:szCs w:val="22"/>
        </w:rPr>
        <w:t xml:space="preserve"> síran </w:t>
      </w:r>
      <w:proofErr w:type="spellStart"/>
      <w:r w:rsidR="003C07D9" w:rsidRPr="001B388B">
        <w:rPr>
          <w:szCs w:val="22"/>
        </w:rPr>
        <w:t>horečnatý</w:t>
      </w:r>
      <w:proofErr w:type="spellEnd"/>
      <w:r w:rsidR="003C07D9" w:rsidRPr="001B388B">
        <w:rPr>
          <w:szCs w:val="22"/>
        </w:rPr>
        <w:t xml:space="preserve"> používať s opatrnosťou, pretože v tejto vekovej skupine sú častejšie </w:t>
      </w:r>
      <w:r w:rsidRPr="001B388B">
        <w:rPr>
          <w:szCs w:val="22"/>
        </w:rPr>
        <w:t>ochorenia</w:t>
      </w:r>
      <w:r w:rsidR="003C07D9" w:rsidRPr="001B388B">
        <w:rPr>
          <w:szCs w:val="22"/>
        </w:rPr>
        <w:t xml:space="preserve"> obličiek a/alebo pečene a tolerancia k nepriaznivým účinkom </w:t>
      </w:r>
      <w:r w:rsidRPr="001B388B">
        <w:rPr>
          <w:szCs w:val="22"/>
        </w:rPr>
        <w:t>môže</w:t>
      </w:r>
      <w:r w:rsidR="003C07D9" w:rsidRPr="001B388B">
        <w:rPr>
          <w:szCs w:val="22"/>
        </w:rPr>
        <w:t xml:space="preserve"> byť nižšia. </w:t>
      </w:r>
    </w:p>
    <w:bookmarkEnd w:id="11"/>
    <w:p w14:paraId="08D8E740" w14:textId="77777777" w:rsidR="00E1698A" w:rsidRPr="001B388B" w:rsidRDefault="00E1698A" w:rsidP="00B13F68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042C45D7" w14:textId="77777777" w:rsidR="00E1698A" w:rsidRPr="001B388B" w:rsidRDefault="00E1698A" w:rsidP="00734DAB">
      <w:pPr>
        <w:ind w:left="0" w:firstLine="0"/>
        <w:rPr>
          <w:szCs w:val="22"/>
          <w:u w:val="single"/>
        </w:rPr>
      </w:pPr>
      <w:r w:rsidRPr="001B388B">
        <w:rPr>
          <w:szCs w:val="22"/>
          <w:u w:val="single"/>
        </w:rPr>
        <w:t>Spôsob</w:t>
      </w:r>
      <w:r w:rsidR="00B06E24" w:rsidRPr="001B388B">
        <w:rPr>
          <w:szCs w:val="22"/>
          <w:u w:val="single"/>
        </w:rPr>
        <w:t xml:space="preserve"> podávania</w:t>
      </w:r>
    </w:p>
    <w:p w14:paraId="317FF670" w14:textId="77777777" w:rsidR="00E1698A" w:rsidRPr="001B388B" w:rsidRDefault="00E1698A" w:rsidP="00734DAB">
      <w:pPr>
        <w:ind w:left="0" w:firstLine="0"/>
        <w:rPr>
          <w:szCs w:val="22"/>
        </w:rPr>
      </w:pPr>
    </w:p>
    <w:p w14:paraId="151DFC69" w14:textId="311376D2" w:rsidR="00734DAB" w:rsidRPr="001B388B" w:rsidRDefault="00054ACC" w:rsidP="00734DAB">
      <w:pPr>
        <w:ind w:left="0" w:firstLine="0"/>
        <w:rPr>
          <w:szCs w:val="22"/>
        </w:rPr>
      </w:pPr>
      <w:bookmarkStart w:id="12" w:name="_Hlk20917586"/>
      <w:r>
        <w:rPr>
          <w:szCs w:val="22"/>
        </w:rPr>
        <w:t>I</w:t>
      </w:r>
      <w:r w:rsidR="00734DAB" w:rsidRPr="001B388B">
        <w:rPr>
          <w:szCs w:val="22"/>
        </w:rPr>
        <w:t xml:space="preserve">ntravenózne, </w:t>
      </w:r>
      <w:proofErr w:type="spellStart"/>
      <w:r w:rsidR="00734DAB" w:rsidRPr="001B388B">
        <w:rPr>
          <w:szCs w:val="22"/>
        </w:rPr>
        <w:t>intramuskulárne</w:t>
      </w:r>
      <w:proofErr w:type="spellEnd"/>
      <w:r w:rsidR="00734DAB" w:rsidRPr="001B388B">
        <w:rPr>
          <w:szCs w:val="22"/>
        </w:rPr>
        <w:t xml:space="preserve"> a </w:t>
      </w:r>
      <w:proofErr w:type="spellStart"/>
      <w:r w:rsidR="00734DAB" w:rsidRPr="001B388B">
        <w:rPr>
          <w:szCs w:val="22"/>
        </w:rPr>
        <w:t>subkutánne</w:t>
      </w:r>
      <w:proofErr w:type="spellEnd"/>
      <w:r w:rsidR="00734DAB" w:rsidRPr="001B388B">
        <w:rPr>
          <w:szCs w:val="22"/>
        </w:rPr>
        <w:t xml:space="preserve"> po</w:t>
      </w:r>
      <w:r>
        <w:rPr>
          <w:szCs w:val="22"/>
        </w:rPr>
        <w:t>užit</w:t>
      </w:r>
      <w:r w:rsidR="004D50AF" w:rsidRPr="001B388B">
        <w:rPr>
          <w:szCs w:val="22"/>
        </w:rPr>
        <w:t>i</w:t>
      </w:r>
      <w:r w:rsidR="00734DAB" w:rsidRPr="001B388B">
        <w:rPr>
          <w:szCs w:val="22"/>
        </w:rPr>
        <w:t xml:space="preserve">e, v súlade s informáciami </w:t>
      </w:r>
      <w:r w:rsidR="00AB58D5">
        <w:rPr>
          <w:szCs w:val="22"/>
        </w:rPr>
        <w:t>poskytnutými</w:t>
      </w:r>
      <w:r w:rsidR="00734DAB" w:rsidRPr="001B388B">
        <w:rPr>
          <w:szCs w:val="22"/>
        </w:rPr>
        <w:t xml:space="preserve"> pre každú indikáciu. </w:t>
      </w:r>
    </w:p>
    <w:bookmarkEnd w:id="12"/>
    <w:p w14:paraId="3A68F3D4" w14:textId="77777777" w:rsidR="00734DAB" w:rsidRPr="001B388B" w:rsidRDefault="00734DAB" w:rsidP="00734DAB">
      <w:pPr>
        <w:ind w:left="0" w:firstLine="0"/>
        <w:rPr>
          <w:szCs w:val="22"/>
        </w:rPr>
      </w:pPr>
    </w:p>
    <w:p w14:paraId="675EE1E2" w14:textId="77777777" w:rsidR="00734DAB" w:rsidRPr="001B388B" w:rsidRDefault="00734DAB" w:rsidP="00734DAB">
      <w:pPr>
        <w:ind w:left="0" w:firstLine="0"/>
        <w:rPr>
          <w:szCs w:val="22"/>
        </w:rPr>
      </w:pPr>
      <w:r w:rsidRPr="001B388B">
        <w:rPr>
          <w:szCs w:val="22"/>
        </w:rPr>
        <w:t>Pokyny na riedenie lieku pred podaním, pozri časť 6.6.</w:t>
      </w:r>
    </w:p>
    <w:p w14:paraId="3E0C7B16" w14:textId="77777777" w:rsidR="00780926" w:rsidRPr="001B388B" w:rsidRDefault="00780926" w:rsidP="00734DAB">
      <w:pPr>
        <w:ind w:left="0" w:firstLine="0"/>
        <w:rPr>
          <w:szCs w:val="22"/>
        </w:rPr>
      </w:pPr>
    </w:p>
    <w:p w14:paraId="7FDAC89D" w14:textId="77777777" w:rsidR="00780926" w:rsidRPr="001B388B" w:rsidRDefault="00780926" w:rsidP="00E41B3F">
      <w:pPr>
        <w:rPr>
          <w:szCs w:val="22"/>
        </w:rPr>
      </w:pPr>
      <w:r w:rsidRPr="001B388B">
        <w:rPr>
          <w:b/>
          <w:szCs w:val="22"/>
        </w:rPr>
        <w:t>4.3</w:t>
      </w:r>
      <w:r w:rsidRPr="001B388B">
        <w:rPr>
          <w:b/>
          <w:szCs w:val="22"/>
        </w:rPr>
        <w:tab/>
        <w:t>Kontraindikácie</w:t>
      </w:r>
    </w:p>
    <w:p w14:paraId="074F3622" w14:textId="77777777" w:rsidR="00780926" w:rsidRPr="001B388B" w:rsidRDefault="00780926" w:rsidP="001313DC">
      <w:pPr>
        <w:ind w:left="0" w:firstLine="0"/>
        <w:rPr>
          <w:szCs w:val="22"/>
        </w:rPr>
      </w:pPr>
    </w:p>
    <w:p w14:paraId="04DC7D03" w14:textId="77777777" w:rsidR="00780926" w:rsidRPr="001B388B" w:rsidRDefault="00780926" w:rsidP="00760FDC">
      <w:pPr>
        <w:pStyle w:val="Odsekzoznamu"/>
        <w:numPr>
          <w:ilvl w:val="0"/>
          <w:numId w:val="15"/>
        </w:numPr>
        <w:ind w:left="425" w:hanging="357"/>
        <w:rPr>
          <w:szCs w:val="22"/>
        </w:rPr>
      </w:pPr>
      <w:r w:rsidRPr="001B388B">
        <w:rPr>
          <w:szCs w:val="22"/>
        </w:rPr>
        <w:t xml:space="preserve">Precitlivenosť na </w:t>
      </w:r>
      <w:r w:rsidR="001313DC" w:rsidRPr="001B388B">
        <w:rPr>
          <w:szCs w:val="22"/>
        </w:rPr>
        <w:t xml:space="preserve">horčík a jeho soli </w:t>
      </w:r>
      <w:r w:rsidRPr="001B388B">
        <w:rPr>
          <w:szCs w:val="22"/>
        </w:rPr>
        <w:t xml:space="preserve">alebo na ktorúkoľvek z pomocných látok </w:t>
      </w:r>
      <w:r w:rsidR="001B73FD" w:rsidRPr="001B388B">
        <w:rPr>
          <w:szCs w:val="22"/>
        </w:rPr>
        <w:t>uvedených v časti 6.1.</w:t>
      </w:r>
    </w:p>
    <w:p w14:paraId="19B49A95" w14:textId="77777777" w:rsidR="001313DC" w:rsidRPr="001B388B" w:rsidRDefault="001313DC" w:rsidP="00760FDC">
      <w:pPr>
        <w:pStyle w:val="Odsekzoznamu"/>
        <w:numPr>
          <w:ilvl w:val="0"/>
          <w:numId w:val="15"/>
        </w:numPr>
        <w:ind w:left="425" w:hanging="357"/>
        <w:rPr>
          <w:szCs w:val="22"/>
        </w:rPr>
      </w:pPr>
      <w:proofErr w:type="spellStart"/>
      <w:r w:rsidRPr="001B388B">
        <w:rPr>
          <w:szCs w:val="22"/>
        </w:rPr>
        <w:t>Hypermagneziémia</w:t>
      </w:r>
      <w:proofErr w:type="spellEnd"/>
      <w:r w:rsidRPr="001B388B">
        <w:rPr>
          <w:szCs w:val="22"/>
        </w:rPr>
        <w:t>.</w:t>
      </w:r>
    </w:p>
    <w:p w14:paraId="409B0C56" w14:textId="77777777" w:rsidR="001313DC" w:rsidRPr="001B388B" w:rsidRDefault="004D50AF" w:rsidP="00760FDC">
      <w:pPr>
        <w:pStyle w:val="Odsekzoznamu"/>
        <w:numPr>
          <w:ilvl w:val="0"/>
          <w:numId w:val="15"/>
        </w:numPr>
        <w:ind w:left="425" w:hanging="357"/>
        <w:rPr>
          <w:szCs w:val="22"/>
        </w:rPr>
      </w:pPr>
      <w:r w:rsidRPr="001B388B">
        <w:rPr>
          <w:szCs w:val="22"/>
        </w:rPr>
        <w:t>Závažn</w:t>
      </w:r>
      <w:r w:rsidR="001313DC" w:rsidRPr="001B388B">
        <w:rPr>
          <w:szCs w:val="22"/>
        </w:rPr>
        <w:t xml:space="preserve">á porucha funkcie obličiek alebo </w:t>
      </w:r>
      <w:proofErr w:type="spellStart"/>
      <w:r w:rsidR="001313DC" w:rsidRPr="001B388B">
        <w:rPr>
          <w:szCs w:val="22"/>
        </w:rPr>
        <w:t>renálne</w:t>
      </w:r>
      <w:proofErr w:type="spellEnd"/>
      <w:r w:rsidR="001313DC" w:rsidRPr="001B388B">
        <w:rPr>
          <w:szCs w:val="22"/>
        </w:rPr>
        <w:t xml:space="preserve"> zlyhanie, ak dialýza alebo iné metódy čistenia krvi nie sú realizovateľné. </w:t>
      </w:r>
    </w:p>
    <w:p w14:paraId="173520A7" w14:textId="77777777" w:rsidR="00780926" w:rsidRPr="001B388B" w:rsidRDefault="00780926" w:rsidP="00711EC6">
      <w:pPr>
        <w:ind w:left="0" w:firstLine="0"/>
        <w:rPr>
          <w:szCs w:val="22"/>
        </w:rPr>
      </w:pPr>
    </w:p>
    <w:p w14:paraId="6C325F3D" w14:textId="77777777" w:rsidR="00780926" w:rsidRPr="001B388B" w:rsidRDefault="00780926" w:rsidP="00E41B3F">
      <w:pPr>
        <w:rPr>
          <w:b/>
          <w:szCs w:val="22"/>
        </w:rPr>
      </w:pPr>
      <w:r w:rsidRPr="001B388B">
        <w:rPr>
          <w:b/>
          <w:szCs w:val="22"/>
        </w:rPr>
        <w:t>4.4</w:t>
      </w:r>
      <w:r w:rsidRPr="001B388B">
        <w:rPr>
          <w:b/>
          <w:szCs w:val="22"/>
        </w:rPr>
        <w:tab/>
        <w:t>Osobitné upozornenia a opatrenia pri používaní</w:t>
      </w:r>
    </w:p>
    <w:p w14:paraId="637C8651" w14:textId="77777777" w:rsidR="00E1698A" w:rsidRPr="001B388B" w:rsidRDefault="00E1698A" w:rsidP="00711EC6">
      <w:pPr>
        <w:ind w:left="0" w:firstLine="0"/>
        <w:rPr>
          <w:szCs w:val="22"/>
        </w:rPr>
      </w:pPr>
    </w:p>
    <w:p w14:paraId="3B39C5A4" w14:textId="77777777" w:rsidR="00711EC6" w:rsidRPr="001B388B" w:rsidRDefault="00711EC6" w:rsidP="00711EC6">
      <w:pPr>
        <w:ind w:left="0" w:firstLine="0"/>
        <w:rPr>
          <w:szCs w:val="22"/>
        </w:rPr>
      </w:pPr>
      <w:r w:rsidRPr="001B388B">
        <w:rPr>
          <w:i/>
          <w:iCs/>
          <w:szCs w:val="22"/>
        </w:rPr>
        <w:t>Zvýšené riziko hypotenzie a bradykardie</w:t>
      </w:r>
    </w:p>
    <w:p w14:paraId="325FF3DA" w14:textId="77777777" w:rsidR="00711EC6" w:rsidRPr="001B388B" w:rsidRDefault="00711EC6" w:rsidP="00711EC6">
      <w:pPr>
        <w:ind w:left="0" w:firstLine="0"/>
        <w:rPr>
          <w:szCs w:val="22"/>
        </w:rPr>
      </w:pPr>
      <w:r w:rsidRPr="001B388B">
        <w:rPr>
          <w:szCs w:val="22"/>
        </w:rPr>
        <w:t xml:space="preserve">Počas podávania síranu horečnatého je potrebné monitorovať vitálne funkcie, pretože sa zvyšuje riziko </w:t>
      </w:r>
      <w:r w:rsidR="00080138" w:rsidRPr="001B388B">
        <w:rPr>
          <w:szCs w:val="22"/>
        </w:rPr>
        <w:t>výraznej</w:t>
      </w:r>
      <w:r w:rsidRPr="001B388B">
        <w:rPr>
          <w:szCs w:val="22"/>
        </w:rPr>
        <w:t xml:space="preserve"> hypotenzie a bradykardie.</w:t>
      </w:r>
    </w:p>
    <w:p w14:paraId="261AD2C8" w14:textId="77777777" w:rsidR="00711EC6" w:rsidRPr="001B388B" w:rsidRDefault="00711EC6" w:rsidP="00711EC6">
      <w:pPr>
        <w:ind w:left="0" w:firstLine="0"/>
        <w:rPr>
          <w:szCs w:val="22"/>
        </w:rPr>
      </w:pPr>
      <w:bookmarkStart w:id="13" w:name="_Hlk20576753"/>
      <w:r w:rsidRPr="001B388B">
        <w:rPr>
          <w:szCs w:val="22"/>
        </w:rPr>
        <w:t xml:space="preserve">Ako </w:t>
      </w:r>
      <w:proofErr w:type="spellStart"/>
      <w:r w:rsidRPr="001B388B">
        <w:rPr>
          <w:szCs w:val="22"/>
        </w:rPr>
        <w:t>antidotum</w:t>
      </w:r>
      <w:proofErr w:type="spellEnd"/>
      <w:r w:rsidRPr="001B388B">
        <w:rPr>
          <w:szCs w:val="22"/>
        </w:rPr>
        <w:t xml:space="preserve"> má byť okamžite k dispozícii 1 g </w:t>
      </w:r>
      <w:r w:rsidR="004D50AF" w:rsidRPr="001B388B">
        <w:rPr>
          <w:szCs w:val="22"/>
        </w:rPr>
        <w:t xml:space="preserve">injekčného </w:t>
      </w:r>
      <w:r w:rsidRPr="001B388B">
        <w:rPr>
          <w:szCs w:val="22"/>
        </w:rPr>
        <w:t xml:space="preserve">roztoku </w:t>
      </w:r>
      <w:proofErr w:type="spellStart"/>
      <w:r w:rsidRPr="001B388B">
        <w:rPr>
          <w:szCs w:val="22"/>
        </w:rPr>
        <w:t>glukonátu</w:t>
      </w:r>
      <w:proofErr w:type="spellEnd"/>
      <w:r w:rsidRPr="001B388B">
        <w:rPr>
          <w:szCs w:val="22"/>
        </w:rPr>
        <w:t xml:space="preserve"> vápenatého</w:t>
      </w:r>
      <w:r w:rsidR="004D50AF" w:rsidRPr="001B388B">
        <w:rPr>
          <w:szCs w:val="22"/>
        </w:rPr>
        <w:t>.</w:t>
      </w:r>
    </w:p>
    <w:bookmarkEnd w:id="13"/>
    <w:p w14:paraId="6E14FB4D" w14:textId="77777777" w:rsidR="00711EC6" w:rsidRPr="001B388B" w:rsidRDefault="00711EC6" w:rsidP="00711EC6">
      <w:pPr>
        <w:ind w:left="0" w:firstLine="0"/>
        <w:rPr>
          <w:szCs w:val="22"/>
        </w:rPr>
      </w:pPr>
    </w:p>
    <w:p w14:paraId="35F99F1A" w14:textId="77777777" w:rsidR="00711EC6" w:rsidRPr="001B388B" w:rsidRDefault="00711EC6" w:rsidP="00711EC6">
      <w:pPr>
        <w:ind w:left="0" w:firstLine="0"/>
        <w:rPr>
          <w:szCs w:val="22"/>
        </w:rPr>
      </w:pPr>
      <w:r w:rsidRPr="001B388B">
        <w:rPr>
          <w:i/>
          <w:iCs/>
          <w:szCs w:val="22"/>
        </w:rPr>
        <w:t>Porucha funkcie obličiek</w:t>
      </w:r>
    </w:p>
    <w:p w14:paraId="4459721A" w14:textId="77777777" w:rsidR="00711EC6" w:rsidRDefault="00711EC6" w:rsidP="00711EC6">
      <w:pPr>
        <w:ind w:left="0" w:firstLine="0"/>
        <w:rPr>
          <w:szCs w:val="22"/>
        </w:rPr>
      </w:pPr>
      <w:r w:rsidRPr="001B388B">
        <w:rPr>
          <w:szCs w:val="22"/>
        </w:rPr>
        <w:t>U pacientov s poruchou funkcie obličiek sa majú soli horčíka podávať s opatrnosťou a dávka má byť primerane znížená (pozri časť 4.2).</w:t>
      </w:r>
    </w:p>
    <w:p w14:paraId="367B1820" w14:textId="77777777" w:rsidR="00D37B91" w:rsidRDefault="00D37B91" w:rsidP="00711EC6">
      <w:pPr>
        <w:ind w:left="0" w:firstLine="0"/>
        <w:rPr>
          <w:szCs w:val="22"/>
        </w:rPr>
      </w:pPr>
    </w:p>
    <w:p w14:paraId="2B5964CF" w14:textId="2941E95D" w:rsidR="00D37B91" w:rsidRPr="00D37B91" w:rsidRDefault="00D37B91" w:rsidP="00711EC6">
      <w:pPr>
        <w:ind w:left="0" w:firstLine="0"/>
        <w:rPr>
          <w:i/>
          <w:iCs/>
          <w:szCs w:val="22"/>
        </w:rPr>
      </w:pPr>
      <w:r w:rsidRPr="00D37B91">
        <w:rPr>
          <w:i/>
          <w:iCs/>
          <w:szCs w:val="22"/>
        </w:rPr>
        <w:t>Diatéza kameňov z </w:t>
      </w:r>
      <w:r w:rsidR="004D0D11" w:rsidRPr="004D0D11">
        <w:rPr>
          <w:i/>
          <w:iCs/>
          <w:szCs w:val="22"/>
        </w:rPr>
        <w:t>fosfo</w:t>
      </w:r>
      <w:r w:rsidR="004D0D11">
        <w:rPr>
          <w:i/>
          <w:iCs/>
          <w:szCs w:val="22"/>
        </w:rPr>
        <w:t>rečnanu amónno-</w:t>
      </w:r>
      <w:proofErr w:type="spellStart"/>
      <w:r w:rsidR="004D0D11">
        <w:rPr>
          <w:i/>
          <w:iCs/>
          <w:szCs w:val="22"/>
        </w:rPr>
        <w:t>horečnato</w:t>
      </w:r>
      <w:proofErr w:type="spellEnd"/>
      <w:r w:rsidR="004D0D11">
        <w:rPr>
          <w:i/>
          <w:iCs/>
          <w:szCs w:val="22"/>
        </w:rPr>
        <w:t>-vápenatého</w:t>
      </w:r>
    </w:p>
    <w:p w14:paraId="1F7D233B" w14:textId="77777777" w:rsidR="00711EC6" w:rsidRDefault="00D37B91" w:rsidP="00711EC6">
      <w:pPr>
        <w:ind w:left="0" w:firstLine="0"/>
        <w:rPr>
          <w:szCs w:val="22"/>
        </w:rPr>
      </w:pPr>
      <w:r>
        <w:rPr>
          <w:szCs w:val="22"/>
        </w:rPr>
        <w:t>V týchto prípadoch sa má liek používať s opatrnosťou, najmä u pacientov s poruchou funkcie obličiek.</w:t>
      </w:r>
    </w:p>
    <w:p w14:paraId="1EBD5398" w14:textId="77777777" w:rsidR="00D37B91" w:rsidRPr="001B388B" w:rsidRDefault="00D37B91" w:rsidP="00711EC6">
      <w:pPr>
        <w:ind w:left="0" w:firstLine="0"/>
        <w:rPr>
          <w:szCs w:val="22"/>
        </w:rPr>
      </w:pPr>
    </w:p>
    <w:p w14:paraId="603CBACB" w14:textId="77777777" w:rsidR="00711EC6" w:rsidRPr="001B388B" w:rsidRDefault="00711EC6" w:rsidP="00711EC6">
      <w:pPr>
        <w:ind w:left="0" w:firstLine="0"/>
        <w:rPr>
          <w:szCs w:val="22"/>
        </w:rPr>
      </w:pPr>
      <w:proofErr w:type="spellStart"/>
      <w:r w:rsidRPr="001B388B">
        <w:rPr>
          <w:i/>
          <w:iCs/>
          <w:szCs w:val="22"/>
        </w:rPr>
        <w:t>Myasténia</w:t>
      </w:r>
      <w:proofErr w:type="spellEnd"/>
      <w:r w:rsidRPr="001B388B">
        <w:rPr>
          <w:i/>
          <w:iCs/>
          <w:szCs w:val="22"/>
        </w:rPr>
        <w:t xml:space="preserve"> </w:t>
      </w:r>
      <w:proofErr w:type="spellStart"/>
      <w:r w:rsidRPr="001B388B">
        <w:rPr>
          <w:i/>
          <w:iCs/>
          <w:szCs w:val="22"/>
        </w:rPr>
        <w:t>gravis</w:t>
      </w:r>
      <w:proofErr w:type="spellEnd"/>
    </w:p>
    <w:p w14:paraId="14D6F004" w14:textId="77777777" w:rsidR="00711EC6" w:rsidRPr="001B388B" w:rsidRDefault="00711EC6" w:rsidP="00711EC6">
      <w:pPr>
        <w:ind w:left="0" w:firstLine="0"/>
        <w:rPr>
          <w:szCs w:val="22"/>
        </w:rPr>
      </w:pPr>
      <w:r w:rsidRPr="001B388B">
        <w:rPr>
          <w:szCs w:val="22"/>
        </w:rPr>
        <w:t>U jedincov s </w:t>
      </w:r>
      <w:proofErr w:type="spellStart"/>
      <w:r w:rsidRPr="001B388B">
        <w:rPr>
          <w:szCs w:val="22"/>
        </w:rPr>
        <w:t>myasténiou</w:t>
      </w:r>
      <w:proofErr w:type="spellEnd"/>
      <w:r w:rsidRPr="001B388B">
        <w:rPr>
          <w:szCs w:val="22"/>
        </w:rPr>
        <w:t xml:space="preserve"> </w:t>
      </w:r>
      <w:proofErr w:type="spellStart"/>
      <w:r w:rsidRPr="001B388B">
        <w:rPr>
          <w:szCs w:val="22"/>
        </w:rPr>
        <w:t>gravis</w:t>
      </w:r>
      <w:proofErr w:type="spellEnd"/>
      <w:r w:rsidRPr="001B388B">
        <w:rPr>
          <w:szCs w:val="22"/>
        </w:rPr>
        <w:t xml:space="preserve"> sa má </w:t>
      </w:r>
      <w:proofErr w:type="spellStart"/>
      <w:r w:rsidRPr="001B388B">
        <w:rPr>
          <w:szCs w:val="22"/>
        </w:rPr>
        <w:t>parenterálny</w:t>
      </w:r>
      <w:proofErr w:type="spellEnd"/>
      <w:r w:rsidRPr="001B388B">
        <w:rPr>
          <w:szCs w:val="22"/>
        </w:rPr>
        <w:t xml:space="preserve"> horčík po</w:t>
      </w:r>
      <w:r w:rsidR="004D50AF" w:rsidRPr="001B388B">
        <w:rPr>
          <w:szCs w:val="22"/>
        </w:rPr>
        <w:t>dáv</w:t>
      </w:r>
      <w:r w:rsidRPr="001B388B">
        <w:rPr>
          <w:szCs w:val="22"/>
        </w:rPr>
        <w:t xml:space="preserve">ať s opatrnosťou, aby sa zabránilo zhoršeniu stavu alebo </w:t>
      </w:r>
      <w:r w:rsidR="00C06DE9" w:rsidRPr="001B388B">
        <w:rPr>
          <w:szCs w:val="22"/>
        </w:rPr>
        <w:t xml:space="preserve">rozvoju </w:t>
      </w:r>
      <w:proofErr w:type="spellStart"/>
      <w:r w:rsidRPr="001B388B">
        <w:rPr>
          <w:szCs w:val="22"/>
        </w:rPr>
        <w:t>myastenickej</w:t>
      </w:r>
      <w:proofErr w:type="spellEnd"/>
      <w:r w:rsidRPr="001B388B">
        <w:rPr>
          <w:szCs w:val="22"/>
        </w:rPr>
        <w:t xml:space="preserve"> krízy. </w:t>
      </w:r>
      <w:r w:rsidR="00C06DE9" w:rsidRPr="001B388B">
        <w:rPr>
          <w:szCs w:val="22"/>
        </w:rPr>
        <w:t xml:space="preserve">Pred začatím liečby sa má v individuálnych prípadoch vykonať posúdenie prínosu a rizík. </w:t>
      </w:r>
    </w:p>
    <w:p w14:paraId="14C27D02" w14:textId="77777777" w:rsidR="00C06DE9" w:rsidRPr="001B388B" w:rsidRDefault="00C06DE9" w:rsidP="00711EC6">
      <w:pPr>
        <w:ind w:left="0" w:firstLine="0"/>
        <w:rPr>
          <w:szCs w:val="22"/>
        </w:rPr>
      </w:pPr>
    </w:p>
    <w:p w14:paraId="04426802" w14:textId="77777777" w:rsidR="00C06DE9" w:rsidRPr="001B388B" w:rsidRDefault="00C06DE9" w:rsidP="00711EC6">
      <w:pPr>
        <w:ind w:left="0" w:firstLine="0"/>
        <w:rPr>
          <w:i/>
          <w:iCs/>
          <w:szCs w:val="22"/>
        </w:rPr>
      </w:pPr>
      <w:r w:rsidRPr="001B388B">
        <w:rPr>
          <w:i/>
          <w:iCs/>
          <w:szCs w:val="22"/>
        </w:rPr>
        <w:t>Porucha funkcie pečene</w:t>
      </w:r>
    </w:p>
    <w:p w14:paraId="029CC3A3" w14:textId="256AE98F" w:rsidR="00C06DE9" w:rsidRPr="001B388B" w:rsidRDefault="00C06DE9" w:rsidP="00711EC6">
      <w:pPr>
        <w:ind w:left="0" w:firstLine="0"/>
        <w:rPr>
          <w:szCs w:val="22"/>
        </w:rPr>
      </w:pPr>
      <w:r w:rsidRPr="001B388B">
        <w:rPr>
          <w:szCs w:val="22"/>
        </w:rPr>
        <w:t xml:space="preserve">Ochorenia pečene sú často sprevádzané </w:t>
      </w:r>
      <w:proofErr w:type="spellStart"/>
      <w:r w:rsidRPr="001B388B">
        <w:rPr>
          <w:szCs w:val="22"/>
        </w:rPr>
        <w:t>hypoalbuminémiou</w:t>
      </w:r>
      <w:proofErr w:type="spellEnd"/>
      <w:r w:rsidRPr="001B388B">
        <w:rPr>
          <w:szCs w:val="22"/>
        </w:rPr>
        <w:t xml:space="preserve">, ktorá sama o sebe môže mať vplyv na hladinu celkového horčíka v sére. Avšak pacienti s ochorením pečene spojeným s alkoholizmom boli liečení zvyčajnými dávkami intravenózneho a perorálneho síranu horečnatého bez </w:t>
      </w:r>
      <w:r w:rsidR="009B2AA2">
        <w:rPr>
          <w:szCs w:val="22"/>
        </w:rPr>
        <w:t>pozorovaných</w:t>
      </w:r>
      <w:r w:rsidR="005D7412">
        <w:rPr>
          <w:szCs w:val="22"/>
        </w:rPr>
        <w:t> prejavo</w:t>
      </w:r>
      <w:r w:rsidR="009B2AA2">
        <w:rPr>
          <w:szCs w:val="22"/>
        </w:rPr>
        <w:t>v</w:t>
      </w:r>
      <w:r w:rsidR="005D7412">
        <w:rPr>
          <w:szCs w:val="22"/>
        </w:rPr>
        <w:t xml:space="preserve"> </w:t>
      </w:r>
      <w:r w:rsidRPr="001B388B">
        <w:rPr>
          <w:szCs w:val="22"/>
        </w:rPr>
        <w:t>predávkovani</w:t>
      </w:r>
      <w:r w:rsidR="005D7412">
        <w:rPr>
          <w:szCs w:val="22"/>
        </w:rPr>
        <w:t>a</w:t>
      </w:r>
      <w:r w:rsidRPr="001B388B">
        <w:rPr>
          <w:szCs w:val="22"/>
        </w:rPr>
        <w:t xml:space="preserve"> horčíkom. </w:t>
      </w:r>
    </w:p>
    <w:p w14:paraId="5309EC73" w14:textId="77777777" w:rsidR="00C06DE9" w:rsidRPr="001B388B" w:rsidRDefault="00C06DE9" w:rsidP="00711EC6">
      <w:pPr>
        <w:ind w:left="0" w:firstLine="0"/>
        <w:rPr>
          <w:szCs w:val="22"/>
        </w:rPr>
      </w:pPr>
    </w:p>
    <w:p w14:paraId="3EC0E660" w14:textId="309AF006" w:rsidR="00C06DE9" w:rsidRPr="001B388B" w:rsidRDefault="00C06DE9" w:rsidP="00711EC6">
      <w:pPr>
        <w:ind w:left="0" w:firstLine="0"/>
        <w:rPr>
          <w:i/>
          <w:iCs/>
          <w:szCs w:val="22"/>
        </w:rPr>
      </w:pPr>
      <w:r w:rsidRPr="001B388B">
        <w:rPr>
          <w:i/>
          <w:iCs/>
          <w:szCs w:val="22"/>
        </w:rPr>
        <w:t>Známe zvýšené riziko srdcov</w:t>
      </w:r>
      <w:r w:rsidR="00DE57F5" w:rsidRPr="001B388B">
        <w:rPr>
          <w:i/>
          <w:iCs/>
          <w:szCs w:val="22"/>
        </w:rPr>
        <w:t>ej</w:t>
      </w:r>
      <w:r w:rsidRPr="001B388B">
        <w:rPr>
          <w:i/>
          <w:iCs/>
          <w:szCs w:val="22"/>
        </w:rPr>
        <w:t xml:space="preserve"> blok</w:t>
      </w:r>
      <w:r w:rsidR="00DE57F5" w:rsidRPr="001B388B">
        <w:rPr>
          <w:i/>
          <w:iCs/>
          <w:szCs w:val="22"/>
        </w:rPr>
        <w:t>ády</w:t>
      </w:r>
      <w:r w:rsidRPr="001B388B">
        <w:rPr>
          <w:i/>
          <w:iCs/>
          <w:szCs w:val="22"/>
        </w:rPr>
        <w:t>/srdco</w:t>
      </w:r>
      <w:r w:rsidR="00DE57F5" w:rsidRPr="001B388B">
        <w:rPr>
          <w:i/>
          <w:iCs/>
          <w:szCs w:val="22"/>
        </w:rPr>
        <w:t>vá</w:t>
      </w:r>
      <w:r w:rsidRPr="001B388B">
        <w:rPr>
          <w:i/>
          <w:iCs/>
          <w:szCs w:val="22"/>
        </w:rPr>
        <w:t xml:space="preserve"> blok</w:t>
      </w:r>
      <w:r w:rsidR="00DE57F5" w:rsidRPr="001B388B">
        <w:rPr>
          <w:i/>
          <w:iCs/>
          <w:szCs w:val="22"/>
        </w:rPr>
        <w:t>áda</w:t>
      </w:r>
    </w:p>
    <w:p w14:paraId="0952BF41" w14:textId="42F6F1F8" w:rsidR="00DE57F5" w:rsidRPr="001B388B" w:rsidRDefault="00DE57F5" w:rsidP="00711EC6">
      <w:pPr>
        <w:ind w:left="0" w:firstLine="0"/>
        <w:rPr>
          <w:szCs w:val="22"/>
        </w:rPr>
      </w:pPr>
      <w:r w:rsidRPr="001B388B">
        <w:rPr>
          <w:szCs w:val="22"/>
        </w:rPr>
        <w:t xml:space="preserve">Horčík </w:t>
      </w:r>
      <w:r w:rsidR="000271B5" w:rsidRPr="001B388B">
        <w:rPr>
          <w:szCs w:val="22"/>
        </w:rPr>
        <w:t>môže</w:t>
      </w:r>
      <w:r w:rsidRPr="001B388B">
        <w:rPr>
          <w:szCs w:val="22"/>
        </w:rPr>
        <w:t xml:space="preserve"> </w:t>
      </w:r>
      <w:r w:rsidR="000271B5" w:rsidRPr="001B388B">
        <w:rPr>
          <w:szCs w:val="22"/>
        </w:rPr>
        <w:t>spôsobiť</w:t>
      </w:r>
      <w:r w:rsidRPr="001B388B">
        <w:rPr>
          <w:szCs w:val="22"/>
        </w:rPr>
        <w:t xml:space="preserve"> srdcovú blokádu, riziko je vyššie u pacientov užívajúcich </w:t>
      </w:r>
      <w:proofErr w:type="spellStart"/>
      <w:r w:rsidRPr="00F13F8C">
        <w:rPr>
          <w:szCs w:val="22"/>
        </w:rPr>
        <w:t>antagonist</w:t>
      </w:r>
      <w:r w:rsidR="009B2AA2">
        <w:rPr>
          <w:szCs w:val="22"/>
        </w:rPr>
        <w:t>y</w:t>
      </w:r>
      <w:proofErr w:type="spellEnd"/>
      <w:r w:rsidRPr="00F13F8C">
        <w:rPr>
          <w:szCs w:val="22"/>
        </w:rPr>
        <w:t xml:space="preserve"> vápnik</w:t>
      </w:r>
      <w:r w:rsidR="001B388B" w:rsidRPr="00F13F8C">
        <w:rPr>
          <w:szCs w:val="22"/>
        </w:rPr>
        <w:t>a</w:t>
      </w:r>
      <w:r w:rsidR="001B388B" w:rsidRPr="001B388B">
        <w:rPr>
          <w:szCs w:val="22"/>
        </w:rPr>
        <w:t xml:space="preserve"> </w:t>
      </w:r>
      <w:r w:rsidRPr="001B388B">
        <w:rPr>
          <w:szCs w:val="22"/>
        </w:rPr>
        <w:t>alebo beta-</w:t>
      </w:r>
      <w:proofErr w:type="spellStart"/>
      <w:r w:rsidRPr="001B388B">
        <w:rPr>
          <w:szCs w:val="22"/>
        </w:rPr>
        <w:t>blokátory</w:t>
      </w:r>
      <w:proofErr w:type="spellEnd"/>
      <w:r w:rsidRPr="001B388B">
        <w:rPr>
          <w:szCs w:val="22"/>
        </w:rPr>
        <w:t xml:space="preserve">. Pacientom s už existujúcou srdcovou blokádou alebo pacientom so zvýšeným rizikom srdcovej blokády sa liek môže podávať iba po starostlivom zvážení </w:t>
      </w:r>
      <w:r w:rsidRPr="00F13F8C">
        <w:rPr>
          <w:szCs w:val="22"/>
        </w:rPr>
        <w:t>prínosov a rizík</w:t>
      </w:r>
      <w:r w:rsidRPr="001B388B">
        <w:rPr>
          <w:szCs w:val="22"/>
        </w:rPr>
        <w:t>, s veľkou opatrnosťou a pri prijatí vhodných bezpečnostných opatrení.</w:t>
      </w:r>
    </w:p>
    <w:p w14:paraId="467FD3F0" w14:textId="77777777" w:rsidR="00DE57F5" w:rsidRPr="001B388B" w:rsidRDefault="00DE57F5" w:rsidP="00711EC6">
      <w:pPr>
        <w:ind w:left="0" w:firstLine="0"/>
        <w:rPr>
          <w:szCs w:val="22"/>
        </w:rPr>
      </w:pPr>
    </w:p>
    <w:p w14:paraId="30F2884A" w14:textId="77777777" w:rsidR="00DE57F5" w:rsidRPr="001B388B" w:rsidRDefault="00DE57F5" w:rsidP="00711EC6">
      <w:pPr>
        <w:ind w:left="0" w:firstLine="0"/>
        <w:rPr>
          <w:szCs w:val="22"/>
        </w:rPr>
      </w:pPr>
      <w:r w:rsidRPr="003B3F4E">
        <w:rPr>
          <w:szCs w:val="22"/>
        </w:rPr>
        <w:t>U</w:t>
      </w:r>
      <w:r w:rsidRPr="001B388B">
        <w:rPr>
          <w:szCs w:val="22"/>
        </w:rPr>
        <w:t> pacientov dostávajúcich síran horečnatý sa majú pravidelne monitorovať hladiny vápnika v sére.</w:t>
      </w:r>
    </w:p>
    <w:p w14:paraId="63633A26" w14:textId="77777777" w:rsidR="00DE57F5" w:rsidRPr="001B388B" w:rsidRDefault="00DE57F5" w:rsidP="00711EC6">
      <w:pPr>
        <w:ind w:left="0" w:firstLine="0"/>
        <w:rPr>
          <w:szCs w:val="22"/>
        </w:rPr>
      </w:pPr>
      <w:r w:rsidRPr="001B388B">
        <w:rPr>
          <w:szCs w:val="22"/>
        </w:rPr>
        <w:t>Počas liečby sa majú monitorovať hladiny horčíka v sére.</w:t>
      </w:r>
    </w:p>
    <w:p w14:paraId="70BAB7A4" w14:textId="77777777" w:rsidR="00DE57F5" w:rsidRPr="001B388B" w:rsidRDefault="00DE57F5" w:rsidP="00711EC6">
      <w:pPr>
        <w:ind w:left="0" w:firstLine="0"/>
        <w:rPr>
          <w:szCs w:val="22"/>
        </w:rPr>
      </w:pPr>
    </w:p>
    <w:p w14:paraId="462407BD" w14:textId="77777777" w:rsidR="00DE57F5" w:rsidRPr="001B388B" w:rsidRDefault="00DE57F5" w:rsidP="00711EC6">
      <w:pPr>
        <w:ind w:left="0" w:firstLine="0"/>
        <w:rPr>
          <w:szCs w:val="22"/>
        </w:rPr>
      </w:pPr>
      <w:r w:rsidRPr="00F13F8C">
        <w:rPr>
          <w:szCs w:val="22"/>
        </w:rPr>
        <w:t>Monitorovanie absencie respiračnej depresie: rýchlosť dychu nemá byť nižšia ako 16 dychov/min</w:t>
      </w:r>
      <w:r w:rsidRPr="001B388B">
        <w:rPr>
          <w:szCs w:val="22"/>
        </w:rPr>
        <w:t>.</w:t>
      </w:r>
    </w:p>
    <w:p w14:paraId="6F49AC8F" w14:textId="77777777" w:rsidR="00DE57F5" w:rsidRPr="001B388B" w:rsidRDefault="00DE57F5" w:rsidP="00711EC6">
      <w:pPr>
        <w:ind w:left="0" w:firstLine="0"/>
        <w:rPr>
          <w:szCs w:val="22"/>
        </w:rPr>
      </w:pPr>
    </w:p>
    <w:p w14:paraId="786DCE0D" w14:textId="77777777" w:rsidR="00DE57F5" w:rsidRPr="001B388B" w:rsidRDefault="00DE57F5" w:rsidP="00711EC6">
      <w:pPr>
        <w:ind w:left="0" w:firstLine="0"/>
        <w:rPr>
          <w:szCs w:val="22"/>
        </w:rPr>
      </w:pPr>
      <w:r w:rsidRPr="001B388B">
        <w:rPr>
          <w:szCs w:val="22"/>
        </w:rPr>
        <w:t>Vylučovanie moču nemá byť nižšie ako 25 ml/h, pretože môže dôjsť k </w:t>
      </w:r>
      <w:proofErr w:type="spellStart"/>
      <w:r w:rsidRPr="001B388B">
        <w:rPr>
          <w:szCs w:val="22"/>
        </w:rPr>
        <w:t>hypermagneziémii</w:t>
      </w:r>
      <w:proofErr w:type="spellEnd"/>
      <w:r w:rsidRPr="001B388B">
        <w:rPr>
          <w:szCs w:val="22"/>
        </w:rPr>
        <w:t xml:space="preserve">. </w:t>
      </w:r>
    </w:p>
    <w:p w14:paraId="2786BC57" w14:textId="77777777" w:rsidR="00C06DE9" w:rsidRPr="001B388B" w:rsidRDefault="00C06DE9" w:rsidP="00711EC6">
      <w:pPr>
        <w:ind w:left="0" w:firstLine="0"/>
        <w:rPr>
          <w:szCs w:val="22"/>
        </w:rPr>
      </w:pPr>
    </w:p>
    <w:p w14:paraId="76F41391" w14:textId="77777777" w:rsidR="00DE57F5" w:rsidRDefault="00DE57F5" w:rsidP="00711EC6">
      <w:pPr>
        <w:ind w:left="0" w:firstLine="0"/>
        <w:rPr>
          <w:szCs w:val="22"/>
        </w:rPr>
      </w:pPr>
      <w:r w:rsidRPr="001B388B">
        <w:rPr>
          <w:szCs w:val="22"/>
        </w:rPr>
        <w:t xml:space="preserve">Je potrebné kontrolovať prítomnosť </w:t>
      </w:r>
      <w:proofErr w:type="spellStart"/>
      <w:r w:rsidRPr="001B388B">
        <w:rPr>
          <w:szCs w:val="22"/>
        </w:rPr>
        <w:t>patelárneho</w:t>
      </w:r>
      <w:proofErr w:type="spellEnd"/>
      <w:r w:rsidRPr="001B388B">
        <w:rPr>
          <w:szCs w:val="22"/>
        </w:rPr>
        <w:t xml:space="preserve"> reflexu.</w:t>
      </w:r>
    </w:p>
    <w:p w14:paraId="0C9FAA33" w14:textId="77777777" w:rsidR="00D37B91" w:rsidRDefault="00D37B91" w:rsidP="00711EC6">
      <w:pPr>
        <w:ind w:left="0" w:firstLine="0"/>
        <w:rPr>
          <w:szCs w:val="22"/>
        </w:rPr>
      </w:pPr>
    </w:p>
    <w:p w14:paraId="64511834" w14:textId="77777777" w:rsidR="00D37B91" w:rsidRDefault="00D37B91" w:rsidP="00711EC6">
      <w:pPr>
        <w:ind w:left="0" w:firstLine="0"/>
        <w:rPr>
          <w:szCs w:val="22"/>
        </w:rPr>
      </w:pPr>
      <w:r>
        <w:rPr>
          <w:i/>
          <w:iCs/>
          <w:szCs w:val="22"/>
        </w:rPr>
        <w:t xml:space="preserve">Látky tlmiace CNS </w:t>
      </w:r>
    </w:p>
    <w:p w14:paraId="161A6D24" w14:textId="16AD7E21" w:rsidR="00D37B91" w:rsidRDefault="00D37B91" w:rsidP="00711EC6">
      <w:pPr>
        <w:ind w:left="0" w:firstLine="0"/>
        <w:rPr>
          <w:szCs w:val="22"/>
        </w:rPr>
      </w:pPr>
      <w:r>
        <w:rPr>
          <w:szCs w:val="22"/>
        </w:rPr>
        <w:t xml:space="preserve">Ak sa spolu s horčíkom majú podávať barbituráty, narkotiká alebo iné hypnotiká (alebo systémové anestetiká), ich dávka sa má upraviť </w:t>
      </w:r>
      <w:r w:rsidR="008B1D36">
        <w:rPr>
          <w:szCs w:val="22"/>
        </w:rPr>
        <w:t xml:space="preserve">s opatrnosťou </w:t>
      </w:r>
      <w:r w:rsidR="009D0C46">
        <w:rPr>
          <w:szCs w:val="22"/>
        </w:rPr>
        <w:t>kvôli</w:t>
      </w:r>
      <w:r>
        <w:rPr>
          <w:szCs w:val="22"/>
        </w:rPr>
        <w:t xml:space="preserve"> aditívnym tlmiacim účinkom horčíka a</w:t>
      </w:r>
      <w:r w:rsidR="009D0C46">
        <w:rPr>
          <w:szCs w:val="22"/>
        </w:rPr>
        <w:t> riziku respiračnej depresie (pozri časť 4.5).</w:t>
      </w:r>
    </w:p>
    <w:p w14:paraId="0ED9C749" w14:textId="77777777" w:rsidR="000417D2" w:rsidRDefault="000417D2" w:rsidP="00711EC6">
      <w:pPr>
        <w:ind w:left="0" w:firstLine="0"/>
        <w:rPr>
          <w:szCs w:val="22"/>
        </w:rPr>
      </w:pPr>
    </w:p>
    <w:p w14:paraId="53BF00C1" w14:textId="77777777" w:rsidR="000417D2" w:rsidRPr="00D37B91" w:rsidRDefault="000417D2" w:rsidP="00711EC6">
      <w:pPr>
        <w:ind w:left="0" w:firstLine="0"/>
        <w:rPr>
          <w:szCs w:val="22"/>
        </w:rPr>
      </w:pPr>
      <w:r w:rsidRPr="001B388B">
        <w:rPr>
          <w:szCs w:val="22"/>
        </w:rPr>
        <w:t>Monitorovanie absencie respiračnej depresie: rýchlosť dychu nemá byť nižšia ako 16 dychov/min.</w:t>
      </w:r>
    </w:p>
    <w:p w14:paraId="618CBFA8" w14:textId="77777777" w:rsidR="00DE57F5" w:rsidRPr="001B388B" w:rsidRDefault="00DE57F5" w:rsidP="00711EC6">
      <w:pPr>
        <w:ind w:left="0" w:firstLine="0"/>
        <w:rPr>
          <w:szCs w:val="22"/>
        </w:rPr>
      </w:pPr>
    </w:p>
    <w:p w14:paraId="6FA17E2C" w14:textId="77777777" w:rsidR="00DE57F5" w:rsidRPr="001B388B" w:rsidRDefault="00DA4033" w:rsidP="00711EC6">
      <w:pPr>
        <w:ind w:left="0" w:firstLine="0"/>
        <w:rPr>
          <w:szCs w:val="22"/>
        </w:rPr>
      </w:pPr>
      <w:r w:rsidRPr="001B388B">
        <w:rPr>
          <w:i/>
          <w:iCs/>
          <w:szCs w:val="22"/>
        </w:rPr>
        <w:t>Spôsob</w:t>
      </w:r>
      <w:r w:rsidR="00DE57F5" w:rsidRPr="001B388B">
        <w:rPr>
          <w:i/>
          <w:iCs/>
          <w:szCs w:val="22"/>
        </w:rPr>
        <w:t xml:space="preserve"> podania </w:t>
      </w:r>
    </w:p>
    <w:p w14:paraId="21725EA3" w14:textId="18CC72F6" w:rsidR="00DE57F5" w:rsidRPr="001B388B" w:rsidRDefault="00DE57F5" w:rsidP="00711EC6">
      <w:pPr>
        <w:ind w:left="0" w:firstLine="0"/>
        <w:rPr>
          <w:szCs w:val="22"/>
        </w:rPr>
      </w:pPr>
      <w:r w:rsidRPr="001B388B">
        <w:rPr>
          <w:szCs w:val="22"/>
        </w:rPr>
        <w:t>Ak sa objav</w:t>
      </w:r>
      <w:r w:rsidR="006F66B5">
        <w:rPr>
          <w:szCs w:val="22"/>
        </w:rPr>
        <w:t>ia</w:t>
      </w:r>
      <w:r w:rsidRPr="001B388B">
        <w:rPr>
          <w:szCs w:val="22"/>
        </w:rPr>
        <w:t xml:space="preserve"> návaly </w:t>
      </w:r>
      <w:r w:rsidR="00DA4033" w:rsidRPr="001B388B">
        <w:rPr>
          <w:szCs w:val="22"/>
        </w:rPr>
        <w:t xml:space="preserve">tepla a potenie, liek sa má podávať s opatrnosťou. </w:t>
      </w:r>
    </w:p>
    <w:p w14:paraId="3BA56869" w14:textId="4DF62560" w:rsidR="00DA4033" w:rsidRPr="001B388B" w:rsidRDefault="00DA4033" w:rsidP="00711EC6">
      <w:pPr>
        <w:ind w:left="0" w:firstLine="0"/>
        <w:rPr>
          <w:szCs w:val="22"/>
        </w:rPr>
      </w:pPr>
      <w:bookmarkStart w:id="14" w:name="_Hlk20576527"/>
      <w:r w:rsidRPr="001B388B">
        <w:rPr>
          <w:szCs w:val="22"/>
        </w:rPr>
        <w:t xml:space="preserve">V súvislosti s injekciami síranu horečnatého boli v literatúre popísané bolesť, sčervenanie, opuch alebo teplo v mieste vpichu, </w:t>
      </w:r>
      <w:r w:rsidR="00B5059C">
        <w:rPr>
          <w:szCs w:val="22"/>
        </w:rPr>
        <w:t xml:space="preserve">výtok v mieste vpichu, </w:t>
      </w:r>
      <w:r w:rsidRPr="001B388B">
        <w:rPr>
          <w:szCs w:val="22"/>
        </w:rPr>
        <w:t xml:space="preserve">predĺžené krvácanie, </w:t>
      </w:r>
      <w:r w:rsidR="006F66B5">
        <w:rPr>
          <w:szCs w:val="22"/>
        </w:rPr>
        <w:t>celulitída</w:t>
      </w:r>
      <w:r w:rsidRPr="001B388B">
        <w:rPr>
          <w:szCs w:val="22"/>
        </w:rPr>
        <w:t xml:space="preserve">, sterilný absces, </w:t>
      </w:r>
      <w:r w:rsidR="006F66B5">
        <w:rPr>
          <w:szCs w:val="22"/>
        </w:rPr>
        <w:t>prejavy</w:t>
      </w:r>
      <w:r w:rsidRPr="001B388B">
        <w:rPr>
          <w:szCs w:val="22"/>
        </w:rPr>
        <w:t xml:space="preserve"> alergickej reakcie ako sú ťažkosti s dýchaním alebo opuch tváre, poškodenie okolitých štruktúr (cievy, kosti alebo nervy), neúmyselná </w:t>
      </w:r>
      <w:proofErr w:type="spellStart"/>
      <w:r w:rsidRPr="001B388B">
        <w:rPr>
          <w:szCs w:val="22"/>
        </w:rPr>
        <w:t>intravaskulárna</w:t>
      </w:r>
      <w:proofErr w:type="spellEnd"/>
      <w:r w:rsidRPr="001B388B">
        <w:rPr>
          <w:szCs w:val="22"/>
        </w:rPr>
        <w:t xml:space="preserve"> alebo </w:t>
      </w:r>
      <w:proofErr w:type="spellStart"/>
      <w:r w:rsidRPr="001B388B">
        <w:rPr>
          <w:szCs w:val="22"/>
        </w:rPr>
        <w:t>intraos</w:t>
      </w:r>
      <w:r w:rsidR="000271B5" w:rsidRPr="001B388B">
        <w:rPr>
          <w:szCs w:val="22"/>
        </w:rPr>
        <w:t>e</w:t>
      </w:r>
      <w:r w:rsidRPr="001B388B">
        <w:rPr>
          <w:szCs w:val="22"/>
        </w:rPr>
        <w:t>álna</w:t>
      </w:r>
      <w:proofErr w:type="spellEnd"/>
      <w:r w:rsidRPr="001B388B">
        <w:rPr>
          <w:szCs w:val="22"/>
        </w:rPr>
        <w:t xml:space="preserve"> injekcia, nekróza tkaniva, slabá absorpcia v dôsledku veľkého objemu injekcie</w:t>
      </w:r>
      <w:r w:rsidR="00054ACC">
        <w:rPr>
          <w:szCs w:val="22"/>
        </w:rPr>
        <w:t>.</w:t>
      </w:r>
    </w:p>
    <w:bookmarkEnd w:id="14"/>
    <w:p w14:paraId="53A34BC6" w14:textId="77777777" w:rsidR="00DE57F5" w:rsidRPr="001B388B" w:rsidRDefault="00DE57F5" w:rsidP="00711EC6">
      <w:pPr>
        <w:ind w:left="0" w:firstLine="0"/>
        <w:rPr>
          <w:szCs w:val="22"/>
        </w:rPr>
      </w:pPr>
    </w:p>
    <w:p w14:paraId="3A9EDDA5" w14:textId="69A162B5" w:rsidR="00DA4033" w:rsidRPr="001B388B" w:rsidRDefault="00DA4033" w:rsidP="00711EC6">
      <w:pPr>
        <w:ind w:left="0" w:firstLine="0"/>
        <w:rPr>
          <w:szCs w:val="22"/>
        </w:rPr>
      </w:pPr>
      <w:bookmarkStart w:id="15" w:name="_Hlk20576588"/>
      <w:r w:rsidRPr="001B388B">
        <w:rPr>
          <w:szCs w:val="22"/>
        </w:rPr>
        <w:t xml:space="preserve">Príliš rýchle podanie môže viesť k rýchlemu rozvoju vazodilatácie </w:t>
      </w:r>
      <w:r w:rsidR="009B2AA2">
        <w:rPr>
          <w:szCs w:val="22"/>
        </w:rPr>
        <w:t xml:space="preserve">a </w:t>
      </w:r>
      <w:r w:rsidRPr="001B388B">
        <w:rPr>
          <w:szCs w:val="22"/>
        </w:rPr>
        <w:t xml:space="preserve">zníženiu krvného tlaku. </w:t>
      </w:r>
    </w:p>
    <w:p w14:paraId="7BA9E04C" w14:textId="77777777" w:rsidR="00DA4033" w:rsidRPr="001B388B" w:rsidRDefault="00DA4033" w:rsidP="00711EC6">
      <w:pPr>
        <w:ind w:left="0" w:firstLine="0"/>
        <w:rPr>
          <w:szCs w:val="22"/>
        </w:rPr>
      </w:pPr>
      <w:r w:rsidRPr="001B388B">
        <w:rPr>
          <w:szCs w:val="22"/>
        </w:rPr>
        <w:t xml:space="preserve">Ako všetky parenterálne lieky môžu injekcie síranu </w:t>
      </w:r>
      <w:proofErr w:type="spellStart"/>
      <w:r w:rsidRPr="001B388B">
        <w:rPr>
          <w:szCs w:val="22"/>
        </w:rPr>
        <w:t>horečnatého</w:t>
      </w:r>
      <w:proofErr w:type="spellEnd"/>
      <w:r w:rsidRPr="001B388B">
        <w:rPr>
          <w:szCs w:val="22"/>
        </w:rPr>
        <w:t xml:space="preserve"> dráždiť žily; </w:t>
      </w:r>
      <w:proofErr w:type="spellStart"/>
      <w:r w:rsidRPr="001B388B">
        <w:rPr>
          <w:szCs w:val="22"/>
        </w:rPr>
        <w:t>extravazácia</w:t>
      </w:r>
      <w:proofErr w:type="spellEnd"/>
      <w:r w:rsidRPr="001B388B">
        <w:rPr>
          <w:szCs w:val="22"/>
        </w:rPr>
        <w:t xml:space="preserve"> môže spôsobiť poškodenie tkaniva. </w:t>
      </w:r>
    </w:p>
    <w:bookmarkEnd w:id="15"/>
    <w:p w14:paraId="3F0ED040" w14:textId="77777777" w:rsidR="00DA4033" w:rsidRPr="001B388B" w:rsidRDefault="00DA4033" w:rsidP="00711EC6">
      <w:pPr>
        <w:ind w:left="0" w:firstLine="0"/>
        <w:rPr>
          <w:szCs w:val="22"/>
        </w:rPr>
      </w:pPr>
    </w:p>
    <w:p w14:paraId="3657FED8" w14:textId="77777777" w:rsidR="00DA4033" w:rsidRPr="001B388B" w:rsidRDefault="00DA4033" w:rsidP="00711EC6">
      <w:pPr>
        <w:ind w:left="0" w:firstLine="0"/>
        <w:rPr>
          <w:i/>
          <w:iCs/>
          <w:szCs w:val="22"/>
        </w:rPr>
      </w:pPr>
      <w:r w:rsidRPr="001B388B">
        <w:rPr>
          <w:i/>
          <w:iCs/>
          <w:szCs w:val="22"/>
        </w:rPr>
        <w:t>Intramuskulárne injekcie</w:t>
      </w:r>
    </w:p>
    <w:p w14:paraId="68D864E8" w14:textId="1355C908" w:rsidR="00DA4033" w:rsidRPr="001B388B" w:rsidRDefault="004C5799" w:rsidP="00711EC6">
      <w:pPr>
        <w:ind w:left="0" w:firstLine="0"/>
        <w:rPr>
          <w:szCs w:val="22"/>
        </w:rPr>
      </w:pPr>
      <w:bookmarkStart w:id="16" w:name="_Hlk20576502"/>
      <w:r w:rsidRPr="001B388B">
        <w:rPr>
          <w:szCs w:val="22"/>
        </w:rPr>
        <w:t xml:space="preserve">Liek sa nemá podávať do svalov, ktoré sú vychudnuté alebo atrofované. Pri </w:t>
      </w:r>
      <w:proofErr w:type="spellStart"/>
      <w:r w:rsidRPr="001B388B">
        <w:rPr>
          <w:szCs w:val="22"/>
        </w:rPr>
        <w:t>intramuskulárnom</w:t>
      </w:r>
      <w:proofErr w:type="spellEnd"/>
      <w:r w:rsidRPr="001B388B">
        <w:rPr>
          <w:szCs w:val="22"/>
        </w:rPr>
        <w:t xml:space="preserve"> podaní sa treba vyhnúť svalu v </w:t>
      </w:r>
      <w:proofErr w:type="spellStart"/>
      <w:r w:rsidRPr="001B388B">
        <w:rPr>
          <w:szCs w:val="22"/>
        </w:rPr>
        <w:t>dor</w:t>
      </w:r>
      <w:r w:rsidR="00930A95">
        <w:rPr>
          <w:szCs w:val="22"/>
        </w:rPr>
        <w:t>z</w:t>
      </w:r>
      <w:r w:rsidRPr="001B388B">
        <w:rPr>
          <w:szCs w:val="22"/>
        </w:rPr>
        <w:t>ogluteálnej</w:t>
      </w:r>
      <w:proofErr w:type="spellEnd"/>
      <w:r w:rsidRPr="001B388B">
        <w:rPr>
          <w:szCs w:val="22"/>
        </w:rPr>
        <w:t xml:space="preserve"> oblasti a sedaciemu nervu. Ak celková dávka, ktorá sa má podať, presiahne 5 ml, má sa objem injekcie rozdeliť </w:t>
      </w:r>
      <w:r w:rsidR="001B388B">
        <w:rPr>
          <w:szCs w:val="22"/>
        </w:rPr>
        <w:t>na</w:t>
      </w:r>
      <w:r w:rsidRPr="001B388B">
        <w:rPr>
          <w:szCs w:val="22"/>
        </w:rPr>
        <w:t xml:space="preserve"> viac ako jedno miesto hlbokého vpichu do svalu. </w:t>
      </w:r>
    </w:p>
    <w:bookmarkEnd w:id="16"/>
    <w:p w14:paraId="50A3FA36" w14:textId="77777777" w:rsidR="004C5799" w:rsidRPr="001B388B" w:rsidRDefault="004C5799" w:rsidP="00711EC6">
      <w:pPr>
        <w:ind w:left="0" w:firstLine="0"/>
        <w:rPr>
          <w:szCs w:val="22"/>
        </w:rPr>
      </w:pPr>
    </w:p>
    <w:p w14:paraId="3DC2D2F8" w14:textId="77777777" w:rsidR="004C5799" w:rsidRPr="001B388B" w:rsidRDefault="004C5799" w:rsidP="00711EC6">
      <w:pPr>
        <w:ind w:left="0" w:firstLine="0"/>
        <w:rPr>
          <w:szCs w:val="22"/>
        </w:rPr>
      </w:pPr>
      <w:bookmarkStart w:id="17" w:name="_Hlk20917447"/>
      <w:bookmarkStart w:id="18" w:name="_Hlk20576447"/>
      <w:r w:rsidRPr="001B388B">
        <w:rPr>
          <w:szCs w:val="22"/>
        </w:rPr>
        <w:t>Intramuskulárne injekcie sú bolestivé a</w:t>
      </w:r>
      <w:r w:rsidR="000222AE" w:rsidRPr="001B388B">
        <w:rPr>
          <w:szCs w:val="22"/>
        </w:rPr>
        <w:t> v 0,5 % prípadov sú komplikované tvorbou lokálneho abscesu. Preto je preferované intravenózne podanie. Intramuskulárne podanie sa však stáva lepšou možnosťou, keď nie sú k dispozícii intravenózne infúzne pumpy, nie je možné nepretržité monitorovanie alebo ak pacient musí byť presunutý do iného zariadenia.</w:t>
      </w:r>
      <w:bookmarkEnd w:id="17"/>
      <w:r w:rsidR="000222AE" w:rsidRPr="001B388B">
        <w:rPr>
          <w:szCs w:val="22"/>
        </w:rPr>
        <w:t xml:space="preserve"> </w:t>
      </w:r>
    </w:p>
    <w:bookmarkEnd w:id="18"/>
    <w:p w14:paraId="76243667" w14:textId="77777777" w:rsidR="000222AE" w:rsidRPr="001B388B" w:rsidRDefault="000222AE" w:rsidP="00711EC6">
      <w:pPr>
        <w:ind w:left="0" w:firstLine="0"/>
        <w:rPr>
          <w:szCs w:val="22"/>
        </w:rPr>
      </w:pPr>
    </w:p>
    <w:p w14:paraId="6648041A" w14:textId="4D1CBF9D" w:rsidR="000222AE" w:rsidRPr="001B388B" w:rsidRDefault="000222AE" w:rsidP="00711EC6">
      <w:pPr>
        <w:ind w:left="0" w:firstLine="0"/>
        <w:rPr>
          <w:szCs w:val="22"/>
        </w:rPr>
      </w:pPr>
      <w:bookmarkStart w:id="19" w:name="_Hlk20576569"/>
      <w:r w:rsidRPr="001B388B">
        <w:rPr>
          <w:szCs w:val="22"/>
        </w:rPr>
        <w:t xml:space="preserve">Opatrnosť je potrebná u starších alebo chudých pacientov, ktorí </w:t>
      </w:r>
      <w:r w:rsidR="002B7156" w:rsidRPr="001B388B">
        <w:rPr>
          <w:szCs w:val="22"/>
        </w:rPr>
        <w:t>môžu</w:t>
      </w:r>
      <w:r w:rsidRPr="001B388B">
        <w:rPr>
          <w:szCs w:val="22"/>
        </w:rPr>
        <w:t xml:space="preserve"> tolerovať </w:t>
      </w:r>
      <w:r w:rsidR="009E52C2">
        <w:rPr>
          <w:szCs w:val="22"/>
        </w:rPr>
        <w:t>najviac</w:t>
      </w:r>
      <w:r w:rsidR="009B2AA2">
        <w:rPr>
          <w:szCs w:val="22"/>
        </w:rPr>
        <w:t xml:space="preserve"> </w:t>
      </w:r>
      <w:r w:rsidRPr="001B388B">
        <w:rPr>
          <w:szCs w:val="22"/>
        </w:rPr>
        <w:t xml:space="preserve">2 ml v jednej injekcii. Miesto vpichu, ktoré vykazuje známky infekcie alebo poranenia, sa nesmie </w:t>
      </w:r>
      <w:r w:rsidR="00930A95">
        <w:rPr>
          <w:szCs w:val="22"/>
        </w:rPr>
        <w:t>pri</w:t>
      </w:r>
      <w:r w:rsidRPr="001B388B">
        <w:rPr>
          <w:szCs w:val="22"/>
        </w:rPr>
        <w:t> aplikácii</w:t>
      </w:r>
      <w:r w:rsidR="001B388B" w:rsidRPr="001B388B">
        <w:rPr>
          <w:szCs w:val="22"/>
        </w:rPr>
        <w:t xml:space="preserve"> použiť</w:t>
      </w:r>
      <w:r w:rsidRPr="001B388B">
        <w:rPr>
          <w:szCs w:val="22"/>
        </w:rPr>
        <w:t>. Ak sa intramuskulárna dávka opakuje, je potrebné vystriedať miesta vpichu, aby sa zabránilo poraneniu alebo bolestivosti svalov.</w:t>
      </w:r>
    </w:p>
    <w:bookmarkEnd w:id="19"/>
    <w:p w14:paraId="73D24EDB" w14:textId="77777777" w:rsidR="00780926" w:rsidRPr="001B388B" w:rsidRDefault="00780926" w:rsidP="000222AE">
      <w:pPr>
        <w:ind w:left="0" w:firstLine="0"/>
        <w:rPr>
          <w:szCs w:val="22"/>
        </w:rPr>
      </w:pPr>
    </w:p>
    <w:p w14:paraId="66281999" w14:textId="77777777" w:rsidR="00780926" w:rsidRPr="001B388B" w:rsidRDefault="00780926" w:rsidP="00E41B3F">
      <w:pPr>
        <w:rPr>
          <w:b/>
          <w:szCs w:val="22"/>
        </w:rPr>
      </w:pPr>
      <w:r w:rsidRPr="001B388B">
        <w:rPr>
          <w:b/>
          <w:szCs w:val="22"/>
        </w:rPr>
        <w:t>4.5</w:t>
      </w:r>
      <w:r w:rsidRPr="001B388B">
        <w:rPr>
          <w:b/>
          <w:szCs w:val="22"/>
        </w:rPr>
        <w:tab/>
        <w:t>Liekové a</w:t>
      </w:r>
      <w:r w:rsidR="00A236CF" w:rsidRPr="001B388B">
        <w:rPr>
          <w:b/>
          <w:szCs w:val="22"/>
        </w:rPr>
        <w:t> </w:t>
      </w:r>
      <w:r w:rsidRPr="001B388B">
        <w:rPr>
          <w:b/>
          <w:szCs w:val="22"/>
        </w:rPr>
        <w:t>iné interakcie</w:t>
      </w:r>
    </w:p>
    <w:p w14:paraId="2B6AEE1B" w14:textId="77777777" w:rsidR="00780926" w:rsidRPr="001B388B" w:rsidRDefault="00780926" w:rsidP="000222AE">
      <w:pPr>
        <w:ind w:left="0" w:firstLine="0"/>
        <w:rPr>
          <w:szCs w:val="22"/>
        </w:rPr>
      </w:pPr>
    </w:p>
    <w:p w14:paraId="403D4E63" w14:textId="77777777" w:rsidR="000222AE" w:rsidRPr="001B388B" w:rsidRDefault="000222AE" w:rsidP="000222AE">
      <w:pPr>
        <w:ind w:left="0" w:firstLine="0"/>
        <w:rPr>
          <w:szCs w:val="22"/>
        </w:rPr>
      </w:pPr>
      <w:proofErr w:type="spellStart"/>
      <w:r w:rsidRPr="001B388B">
        <w:rPr>
          <w:i/>
          <w:iCs/>
          <w:szCs w:val="22"/>
        </w:rPr>
        <w:t>Myorelaxan</w:t>
      </w:r>
      <w:r w:rsidR="00080138" w:rsidRPr="001B388B">
        <w:rPr>
          <w:i/>
          <w:iCs/>
          <w:szCs w:val="22"/>
        </w:rPr>
        <w:t>ciá</w:t>
      </w:r>
      <w:proofErr w:type="spellEnd"/>
    </w:p>
    <w:p w14:paraId="0AF4F7DF" w14:textId="01B61123" w:rsidR="00780926" w:rsidRPr="001B388B" w:rsidRDefault="002B7156" w:rsidP="000222AE">
      <w:pPr>
        <w:ind w:left="0" w:firstLine="0"/>
      </w:pPr>
      <w:r w:rsidRPr="001B388B">
        <w:t>Parenterálne soli horčíka zosilňujú a predlžujú ú</w:t>
      </w:r>
      <w:r w:rsidR="000222AE" w:rsidRPr="001B388B">
        <w:t xml:space="preserve">činok </w:t>
      </w:r>
      <w:proofErr w:type="spellStart"/>
      <w:r w:rsidR="000222AE" w:rsidRPr="001B388B">
        <w:t>nedepolarizujúcich</w:t>
      </w:r>
      <w:proofErr w:type="spellEnd"/>
      <w:r w:rsidR="000222AE" w:rsidRPr="001B388B">
        <w:t xml:space="preserve"> </w:t>
      </w:r>
      <w:proofErr w:type="spellStart"/>
      <w:r w:rsidR="000222AE" w:rsidRPr="001B388B">
        <w:t>myorelaxan</w:t>
      </w:r>
      <w:r w:rsidR="00080138" w:rsidRPr="001B388B">
        <w:t>cií</w:t>
      </w:r>
      <w:proofErr w:type="spellEnd"/>
      <w:r w:rsidR="000222AE" w:rsidRPr="001B388B">
        <w:t xml:space="preserve"> a síran </w:t>
      </w:r>
      <w:proofErr w:type="spellStart"/>
      <w:r w:rsidR="000222AE" w:rsidRPr="001B388B">
        <w:t>horečnat</w:t>
      </w:r>
      <w:r w:rsidR="005F2469" w:rsidRPr="001B388B">
        <w:t>ý</w:t>
      </w:r>
      <w:proofErr w:type="spellEnd"/>
      <w:r w:rsidR="005F2469" w:rsidRPr="001B388B">
        <w:t xml:space="preserve"> </w:t>
      </w:r>
      <w:r w:rsidR="000222AE" w:rsidRPr="001B388B">
        <w:t xml:space="preserve">zvyšuje </w:t>
      </w:r>
      <w:r w:rsidRPr="001B388B">
        <w:t xml:space="preserve">účinok </w:t>
      </w:r>
      <w:proofErr w:type="spellStart"/>
      <w:r w:rsidR="000222AE" w:rsidRPr="001B388B">
        <w:t>nedepolarizujúc</w:t>
      </w:r>
      <w:r w:rsidR="009B2AA2">
        <w:t>e</w:t>
      </w:r>
      <w:r w:rsidRPr="001B388B">
        <w:t>ho</w:t>
      </w:r>
      <w:proofErr w:type="spellEnd"/>
      <w:r w:rsidR="00080138" w:rsidRPr="001B388B">
        <w:t xml:space="preserve"> </w:t>
      </w:r>
      <w:proofErr w:type="spellStart"/>
      <w:r w:rsidR="00080138" w:rsidRPr="001B388B">
        <w:t>myorelaxa</w:t>
      </w:r>
      <w:r w:rsidRPr="001B388B">
        <w:t>cia</w:t>
      </w:r>
      <w:proofErr w:type="spellEnd"/>
      <w:r w:rsidR="00080138" w:rsidRPr="001B388B">
        <w:t xml:space="preserve"> </w:t>
      </w:r>
      <w:proofErr w:type="spellStart"/>
      <w:r w:rsidR="00080138" w:rsidRPr="001B388B">
        <w:t>vekurónia</w:t>
      </w:r>
      <w:proofErr w:type="spellEnd"/>
      <w:r w:rsidR="00080138" w:rsidRPr="001B388B">
        <w:t xml:space="preserve"> na nikot</w:t>
      </w:r>
      <w:r w:rsidR="00EB3690">
        <w:t>í</w:t>
      </w:r>
      <w:r w:rsidR="00080138" w:rsidRPr="001B388B">
        <w:t xml:space="preserve">nový </w:t>
      </w:r>
      <w:proofErr w:type="spellStart"/>
      <w:r w:rsidR="00080138" w:rsidRPr="001B388B">
        <w:t>acetylcholinový</w:t>
      </w:r>
      <w:proofErr w:type="spellEnd"/>
      <w:r w:rsidR="00080138" w:rsidRPr="001B388B">
        <w:t xml:space="preserve"> </w:t>
      </w:r>
      <w:r w:rsidR="00D26427" w:rsidRPr="00703549">
        <w:t xml:space="preserve">typ </w:t>
      </w:r>
      <w:r w:rsidR="00080138" w:rsidRPr="00703549">
        <w:t>receptor</w:t>
      </w:r>
      <w:r w:rsidR="00703549" w:rsidRPr="009E52C2">
        <w:t>a</w:t>
      </w:r>
      <w:r w:rsidRPr="00703549">
        <w:t xml:space="preserve"> vo sval</w:t>
      </w:r>
      <w:r w:rsidR="00EB3690" w:rsidRPr="00703549">
        <w:t>e</w:t>
      </w:r>
      <w:r w:rsidRPr="00703549">
        <w:t xml:space="preserve"> </w:t>
      </w:r>
      <w:r w:rsidR="00080138" w:rsidRPr="00703549">
        <w:t xml:space="preserve">dospelých </w:t>
      </w:r>
      <w:r w:rsidR="00080138" w:rsidRPr="00703549">
        <w:rPr>
          <w:i/>
          <w:iCs/>
        </w:rPr>
        <w:t>in vitro</w:t>
      </w:r>
      <w:r w:rsidR="00080138" w:rsidRPr="001B388B">
        <w:t>.</w:t>
      </w:r>
    </w:p>
    <w:p w14:paraId="72D5D98F" w14:textId="77777777" w:rsidR="00F07529" w:rsidRPr="001B388B" w:rsidRDefault="00F07529" w:rsidP="00080138">
      <w:pPr>
        <w:ind w:left="0" w:firstLine="0"/>
      </w:pPr>
    </w:p>
    <w:p w14:paraId="110841F5" w14:textId="77777777" w:rsidR="00080138" w:rsidRPr="001B388B" w:rsidRDefault="00080138" w:rsidP="00080138">
      <w:pPr>
        <w:ind w:left="0" w:firstLine="0"/>
      </w:pPr>
      <w:proofErr w:type="spellStart"/>
      <w:r w:rsidRPr="001B388B">
        <w:rPr>
          <w:i/>
          <w:iCs/>
        </w:rPr>
        <w:t>Nifedipin</w:t>
      </w:r>
      <w:proofErr w:type="spellEnd"/>
      <w:r w:rsidRPr="001B388B">
        <w:rPr>
          <w:i/>
          <w:iCs/>
        </w:rPr>
        <w:t xml:space="preserve"> </w:t>
      </w:r>
    </w:p>
    <w:p w14:paraId="04D702FD" w14:textId="77777777" w:rsidR="00080138" w:rsidRPr="001B388B" w:rsidRDefault="00080138" w:rsidP="00080138">
      <w:pPr>
        <w:ind w:left="0" w:firstLine="0"/>
      </w:pPr>
      <w:r w:rsidRPr="001B388B">
        <w:t xml:space="preserve">Boli hlásené prípady výraznej hypotenzie. </w:t>
      </w:r>
    </w:p>
    <w:p w14:paraId="479A531D" w14:textId="77777777" w:rsidR="00080138" w:rsidRPr="001B388B" w:rsidRDefault="00080138" w:rsidP="00080138">
      <w:pPr>
        <w:ind w:left="0" w:firstLine="0"/>
      </w:pPr>
    </w:p>
    <w:p w14:paraId="06736A03" w14:textId="40BC1261" w:rsidR="00080138" w:rsidRPr="001B388B" w:rsidRDefault="00080138" w:rsidP="00080138">
      <w:pPr>
        <w:ind w:left="0" w:firstLine="0"/>
      </w:pPr>
      <w:r w:rsidRPr="001B388B">
        <w:rPr>
          <w:i/>
          <w:iCs/>
        </w:rPr>
        <w:t xml:space="preserve">Blokátory </w:t>
      </w:r>
      <w:r w:rsidR="00DE158C">
        <w:rPr>
          <w:i/>
          <w:iCs/>
        </w:rPr>
        <w:t>vápnikového</w:t>
      </w:r>
      <w:r w:rsidR="005F2469" w:rsidRPr="001B388B">
        <w:rPr>
          <w:i/>
          <w:iCs/>
        </w:rPr>
        <w:t xml:space="preserve"> </w:t>
      </w:r>
      <w:r w:rsidRPr="001B388B">
        <w:rPr>
          <w:i/>
          <w:iCs/>
        </w:rPr>
        <w:t>kanál</w:t>
      </w:r>
      <w:r w:rsidR="005F2469" w:rsidRPr="001B388B">
        <w:rPr>
          <w:i/>
          <w:iCs/>
        </w:rPr>
        <w:t>a</w:t>
      </w:r>
      <w:r w:rsidRPr="001B388B">
        <w:rPr>
          <w:i/>
          <w:iCs/>
        </w:rPr>
        <w:t xml:space="preserve"> alebo diuretiká</w:t>
      </w:r>
    </w:p>
    <w:p w14:paraId="14B6ACD7" w14:textId="0A19E298" w:rsidR="00080138" w:rsidRPr="001B388B" w:rsidRDefault="00080138" w:rsidP="00080138">
      <w:pPr>
        <w:ind w:left="0" w:firstLine="0"/>
      </w:pPr>
      <w:r w:rsidRPr="001B388B">
        <w:t>Pri podaní intr</w:t>
      </w:r>
      <w:r w:rsidR="00C25B4C" w:rsidRPr="001B388B">
        <w:t>a</w:t>
      </w:r>
      <w:r w:rsidRPr="001B388B">
        <w:t>venózneho síranu horečnatého s</w:t>
      </w:r>
      <w:r w:rsidR="002B7156" w:rsidRPr="001B388B">
        <w:t>polu s</w:t>
      </w:r>
      <w:r w:rsidRPr="001B388B">
        <w:t xml:space="preserve"> blokátormi </w:t>
      </w:r>
      <w:r w:rsidR="00DE158C">
        <w:t>vápnikového</w:t>
      </w:r>
      <w:r w:rsidRPr="001B388B">
        <w:t xml:space="preserve"> kanál</w:t>
      </w:r>
      <w:r w:rsidR="005F2469" w:rsidRPr="001B388B">
        <w:t>a</w:t>
      </w:r>
      <w:r w:rsidRPr="001B388B">
        <w:t xml:space="preserve"> alebo diuretikami (ako sú </w:t>
      </w:r>
      <w:proofErr w:type="spellStart"/>
      <w:r w:rsidRPr="001B388B">
        <w:t>tiazidy</w:t>
      </w:r>
      <w:proofErr w:type="spellEnd"/>
      <w:r w:rsidRPr="001B388B">
        <w:t xml:space="preserve"> a </w:t>
      </w:r>
      <w:proofErr w:type="spellStart"/>
      <w:r w:rsidRPr="001B388B">
        <w:t>furosemid</w:t>
      </w:r>
      <w:proofErr w:type="spellEnd"/>
      <w:r w:rsidRPr="001B388B">
        <w:t xml:space="preserve">) existuje riziko </w:t>
      </w:r>
      <w:proofErr w:type="spellStart"/>
      <w:r w:rsidRPr="001B388B">
        <w:t>kardiopulmonálnych</w:t>
      </w:r>
      <w:proofErr w:type="spellEnd"/>
      <w:r w:rsidRPr="001B388B">
        <w:t xml:space="preserve"> príhod. </w:t>
      </w:r>
    </w:p>
    <w:p w14:paraId="3F116CFA" w14:textId="77777777" w:rsidR="00080138" w:rsidRPr="001B388B" w:rsidRDefault="00080138" w:rsidP="00080138">
      <w:pPr>
        <w:ind w:left="0" w:firstLine="0"/>
      </w:pPr>
    </w:p>
    <w:p w14:paraId="1A8E877E" w14:textId="77777777" w:rsidR="00080138" w:rsidRPr="001B388B" w:rsidRDefault="00080138" w:rsidP="00080138">
      <w:pPr>
        <w:ind w:left="0" w:firstLine="0"/>
      </w:pPr>
      <w:r w:rsidRPr="001B388B">
        <w:rPr>
          <w:i/>
          <w:iCs/>
        </w:rPr>
        <w:t>Soli vápnika</w:t>
      </w:r>
    </w:p>
    <w:p w14:paraId="68F0A9FD" w14:textId="77777777" w:rsidR="00080138" w:rsidRPr="001B388B" w:rsidRDefault="00C25B4C" w:rsidP="00080138">
      <w:pPr>
        <w:ind w:left="0" w:firstLine="0"/>
      </w:pPr>
      <w:r w:rsidRPr="001B388B">
        <w:t>Soli vápnika môžu znižovať účinnosť horčíka. Niek</w:t>
      </w:r>
      <w:r w:rsidR="002B7156" w:rsidRPr="001B388B">
        <w:t>oľko</w:t>
      </w:r>
      <w:r w:rsidRPr="001B388B">
        <w:t xml:space="preserve"> enzým</w:t>
      </w:r>
      <w:r w:rsidR="002B7156" w:rsidRPr="001B388B">
        <w:t>ov</w:t>
      </w:r>
      <w:r w:rsidRPr="001B388B">
        <w:t xml:space="preserve"> aktivovan</w:t>
      </w:r>
      <w:r w:rsidR="002B7156" w:rsidRPr="001B388B">
        <w:t>ých</w:t>
      </w:r>
      <w:r w:rsidRPr="001B388B">
        <w:t xml:space="preserve"> horčíkom </w:t>
      </w:r>
      <w:r w:rsidR="002B7156" w:rsidRPr="001B388B">
        <w:t>je</w:t>
      </w:r>
      <w:r w:rsidRPr="001B388B">
        <w:t xml:space="preserve"> inhibovan</w:t>
      </w:r>
      <w:r w:rsidR="002B7156" w:rsidRPr="001B388B">
        <w:t>ých</w:t>
      </w:r>
      <w:r w:rsidRPr="001B388B">
        <w:t xml:space="preserve"> vápnikom. </w:t>
      </w:r>
    </w:p>
    <w:p w14:paraId="73B6381B" w14:textId="77777777" w:rsidR="00C25B4C" w:rsidRPr="001B388B" w:rsidRDefault="00C25B4C" w:rsidP="00080138">
      <w:pPr>
        <w:ind w:left="0" w:firstLine="0"/>
      </w:pPr>
    </w:p>
    <w:p w14:paraId="309364E9" w14:textId="77777777" w:rsidR="00C25B4C" w:rsidRPr="005C2F6D" w:rsidRDefault="005F2469" w:rsidP="00080138">
      <w:pPr>
        <w:ind w:left="0" w:firstLine="0"/>
        <w:rPr>
          <w:i/>
          <w:iCs/>
        </w:rPr>
      </w:pPr>
      <w:proofErr w:type="spellStart"/>
      <w:r w:rsidRPr="001B388B">
        <w:rPr>
          <w:i/>
          <w:iCs/>
        </w:rPr>
        <w:t>Náprstníko</w:t>
      </w:r>
      <w:r w:rsidRPr="005C2F6D">
        <w:rPr>
          <w:i/>
          <w:iCs/>
        </w:rPr>
        <w:t>v</w:t>
      </w:r>
      <w:r w:rsidR="00C25B4C" w:rsidRPr="005C2F6D">
        <w:rPr>
          <w:i/>
          <w:iCs/>
        </w:rPr>
        <w:t>é</w:t>
      </w:r>
      <w:proofErr w:type="spellEnd"/>
      <w:r w:rsidR="00C25B4C" w:rsidRPr="005C2F6D">
        <w:rPr>
          <w:i/>
          <w:iCs/>
        </w:rPr>
        <w:t xml:space="preserve"> </w:t>
      </w:r>
      <w:proofErr w:type="spellStart"/>
      <w:r w:rsidR="00C25B4C" w:rsidRPr="005C2F6D">
        <w:rPr>
          <w:i/>
          <w:iCs/>
        </w:rPr>
        <w:t>glykozidy</w:t>
      </w:r>
      <w:proofErr w:type="spellEnd"/>
    </w:p>
    <w:p w14:paraId="21931749" w14:textId="2EF04E9E" w:rsidR="00C25B4C" w:rsidRPr="001B388B" w:rsidRDefault="00C25B4C" w:rsidP="00080138">
      <w:pPr>
        <w:ind w:left="0" w:firstLine="0"/>
      </w:pPr>
      <w:r w:rsidRPr="005C2F6D">
        <w:t xml:space="preserve">Soli horčíka sa majú podávať s opatrnosťou pacientom, ktorí dostávajú </w:t>
      </w:r>
      <w:proofErr w:type="spellStart"/>
      <w:r w:rsidR="005F2469" w:rsidRPr="005C2F6D">
        <w:t>náprstníkové</w:t>
      </w:r>
      <w:proofErr w:type="spellEnd"/>
      <w:r w:rsidRPr="005C2F6D">
        <w:t xml:space="preserve"> </w:t>
      </w:r>
      <w:proofErr w:type="spellStart"/>
      <w:r w:rsidRPr="005C2F6D">
        <w:t>glykozidy</w:t>
      </w:r>
      <w:proofErr w:type="spellEnd"/>
      <w:r w:rsidRPr="005C2F6D">
        <w:t xml:space="preserve">. </w:t>
      </w:r>
      <w:r w:rsidR="005C2F6D" w:rsidRPr="005C2F6D">
        <w:t>Bolo preukázané</w:t>
      </w:r>
      <w:r w:rsidRPr="005C2F6D">
        <w:t xml:space="preserve">, že horčík blokuje </w:t>
      </w:r>
      <w:r w:rsidR="005C2F6D" w:rsidRPr="00FC4DDD">
        <w:t>vstup vápnika</w:t>
      </w:r>
      <w:r w:rsidR="005C2F6D" w:rsidRPr="005C2F6D">
        <w:t xml:space="preserve"> do bunky, ktorý </w:t>
      </w:r>
      <w:r w:rsidR="00D26427">
        <w:t>vyvolávajú</w:t>
      </w:r>
      <w:r w:rsidR="005C2F6D" w:rsidRPr="005C2F6D">
        <w:t xml:space="preserve"> </w:t>
      </w:r>
      <w:proofErr w:type="spellStart"/>
      <w:r w:rsidR="005C2F6D" w:rsidRPr="005C2F6D">
        <w:t>náprstníkov</w:t>
      </w:r>
      <w:r w:rsidR="00D26427">
        <w:t>é</w:t>
      </w:r>
      <w:proofErr w:type="spellEnd"/>
      <w:r w:rsidR="005C2F6D" w:rsidRPr="005C2F6D">
        <w:t xml:space="preserve"> </w:t>
      </w:r>
      <w:proofErr w:type="spellStart"/>
      <w:r w:rsidR="005C2F6D" w:rsidRPr="005C2F6D">
        <w:t>glykozid</w:t>
      </w:r>
      <w:r w:rsidR="00D26427">
        <w:t>y</w:t>
      </w:r>
      <w:proofErr w:type="spellEnd"/>
      <w:r w:rsidRPr="005C2F6D">
        <w:rPr>
          <w:szCs w:val="22"/>
          <w:lang w:eastAsia="hu-HU"/>
        </w:rPr>
        <w:t>.</w:t>
      </w:r>
      <w:r w:rsidRPr="001B388B">
        <w:rPr>
          <w:szCs w:val="22"/>
          <w:lang w:eastAsia="hu-HU"/>
        </w:rPr>
        <w:t xml:space="preserve"> Avšak síran horečnat</w:t>
      </w:r>
      <w:r w:rsidR="005F2469" w:rsidRPr="001B388B">
        <w:rPr>
          <w:szCs w:val="22"/>
          <w:lang w:eastAsia="hu-HU"/>
        </w:rPr>
        <w:t>ý</w:t>
      </w:r>
      <w:r w:rsidRPr="001B388B">
        <w:rPr>
          <w:szCs w:val="22"/>
          <w:lang w:eastAsia="hu-HU"/>
        </w:rPr>
        <w:t xml:space="preserve"> podávaný intravenózne v adekvátnom množstve (2 až 3 g za minútu a potom </w:t>
      </w:r>
      <w:r w:rsidR="009B2AA2" w:rsidRPr="001B388B">
        <w:rPr>
          <w:szCs w:val="22"/>
          <w:lang w:eastAsia="hu-HU"/>
        </w:rPr>
        <w:t>2</w:t>
      </w:r>
      <w:r w:rsidR="009B2AA2">
        <w:rPr>
          <w:szCs w:val="22"/>
          <w:lang w:eastAsia="hu-HU"/>
        </w:rPr>
        <w:t> </w:t>
      </w:r>
      <w:r w:rsidRPr="001B388B">
        <w:rPr>
          <w:szCs w:val="22"/>
          <w:lang w:eastAsia="hu-HU"/>
        </w:rPr>
        <w:t xml:space="preserve">g/h počas 4 až 5 hodín) je účinný pri kontrole </w:t>
      </w:r>
      <w:proofErr w:type="spellStart"/>
      <w:r w:rsidRPr="001B388B">
        <w:rPr>
          <w:szCs w:val="22"/>
          <w:lang w:eastAsia="hu-HU"/>
        </w:rPr>
        <w:t>ventrikulárnej</w:t>
      </w:r>
      <w:proofErr w:type="spellEnd"/>
      <w:r w:rsidRPr="001B388B">
        <w:rPr>
          <w:szCs w:val="22"/>
          <w:lang w:eastAsia="hu-HU"/>
        </w:rPr>
        <w:t xml:space="preserve"> dráždivosti spôsobenej toxickými hladinami </w:t>
      </w:r>
      <w:proofErr w:type="spellStart"/>
      <w:r w:rsidR="005F2469" w:rsidRPr="001B388B">
        <w:rPr>
          <w:szCs w:val="22"/>
          <w:lang w:eastAsia="hu-HU"/>
        </w:rPr>
        <w:t>náprstníkových</w:t>
      </w:r>
      <w:proofErr w:type="spellEnd"/>
      <w:r w:rsidRPr="001B388B">
        <w:rPr>
          <w:szCs w:val="22"/>
          <w:lang w:eastAsia="hu-HU"/>
        </w:rPr>
        <w:t xml:space="preserve"> </w:t>
      </w:r>
      <w:r w:rsidR="001B388B">
        <w:rPr>
          <w:szCs w:val="22"/>
          <w:lang w:eastAsia="hu-HU"/>
        </w:rPr>
        <w:t>liekov</w:t>
      </w:r>
      <w:r w:rsidRPr="001B388B">
        <w:rPr>
          <w:szCs w:val="22"/>
          <w:lang w:eastAsia="hu-HU"/>
        </w:rPr>
        <w:t xml:space="preserve">. </w:t>
      </w:r>
    </w:p>
    <w:p w14:paraId="22F120CA" w14:textId="77777777" w:rsidR="00C25B4C" w:rsidRPr="001B388B" w:rsidRDefault="00C25B4C" w:rsidP="00080138">
      <w:pPr>
        <w:ind w:left="0" w:firstLine="0"/>
      </w:pPr>
    </w:p>
    <w:p w14:paraId="1783B3FC" w14:textId="77777777" w:rsidR="00080138" w:rsidRPr="001B388B" w:rsidRDefault="00C25B4C" w:rsidP="00080138">
      <w:pPr>
        <w:ind w:left="0" w:firstLine="0"/>
      </w:pPr>
      <w:r w:rsidRPr="001B388B">
        <w:rPr>
          <w:i/>
          <w:iCs/>
        </w:rPr>
        <w:t>Neuromuskulárne blokátory</w:t>
      </w:r>
    </w:p>
    <w:p w14:paraId="329C92C7" w14:textId="77777777" w:rsidR="00C25B4C" w:rsidRPr="001B388B" w:rsidRDefault="00C25B4C" w:rsidP="00080138">
      <w:pPr>
        <w:ind w:left="0" w:firstLine="0"/>
      </w:pPr>
      <w:r w:rsidRPr="001B388B">
        <w:t>Parenterálne podávanie solí horčíka môže zosilniť účinky neuromuskulárnych blokátorov.</w:t>
      </w:r>
    </w:p>
    <w:p w14:paraId="3BB7BA07" w14:textId="77777777" w:rsidR="00C25B4C" w:rsidRPr="001B388B" w:rsidRDefault="00C25B4C" w:rsidP="00080138">
      <w:pPr>
        <w:ind w:left="0" w:firstLine="0"/>
      </w:pPr>
    </w:p>
    <w:p w14:paraId="1268814D" w14:textId="77777777" w:rsidR="00C25B4C" w:rsidRPr="001B388B" w:rsidRDefault="00C25B4C" w:rsidP="00080138">
      <w:pPr>
        <w:ind w:left="0" w:firstLine="0"/>
      </w:pPr>
      <w:r w:rsidRPr="001B388B">
        <w:rPr>
          <w:i/>
          <w:iCs/>
        </w:rPr>
        <w:t>Antibakteriálne látky</w:t>
      </w:r>
    </w:p>
    <w:p w14:paraId="4E3529E2" w14:textId="77777777" w:rsidR="00C25B4C" w:rsidRDefault="00C25B4C" w:rsidP="00080138">
      <w:pPr>
        <w:ind w:left="0" w:firstLine="0"/>
      </w:pPr>
      <w:proofErr w:type="spellStart"/>
      <w:r w:rsidRPr="001B388B">
        <w:t>Neuromusku</w:t>
      </w:r>
      <w:r w:rsidR="00180AF6">
        <w:t>l</w:t>
      </w:r>
      <w:r w:rsidRPr="001B388B">
        <w:t>árne</w:t>
      </w:r>
      <w:proofErr w:type="spellEnd"/>
      <w:r w:rsidRPr="001B388B">
        <w:t xml:space="preserve"> </w:t>
      </w:r>
      <w:r w:rsidRPr="00703549">
        <w:t>blokujúce ú</w:t>
      </w:r>
      <w:r w:rsidRPr="001B388B">
        <w:t xml:space="preserve">činky </w:t>
      </w:r>
      <w:proofErr w:type="spellStart"/>
      <w:r w:rsidRPr="001B388B">
        <w:t>parenterálneho</w:t>
      </w:r>
      <w:proofErr w:type="spellEnd"/>
      <w:r w:rsidRPr="001B388B">
        <w:t xml:space="preserve"> horčíka a </w:t>
      </w:r>
      <w:proofErr w:type="spellStart"/>
      <w:r w:rsidRPr="001B388B">
        <w:t>aminoglykozidových</w:t>
      </w:r>
      <w:proofErr w:type="spellEnd"/>
      <w:r w:rsidRPr="001B388B">
        <w:t xml:space="preserve"> antibakteriálnych látok môžu byť aditívne. </w:t>
      </w:r>
    </w:p>
    <w:p w14:paraId="6894A4CE" w14:textId="77777777" w:rsidR="000417D2" w:rsidRDefault="000417D2" w:rsidP="00080138">
      <w:pPr>
        <w:ind w:left="0" w:firstLine="0"/>
      </w:pPr>
    </w:p>
    <w:p w14:paraId="29836DA5" w14:textId="77777777" w:rsidR="009D0C46" w:rsidRDefault="009D0C46" w:rsidP="009D0C46">
      <w:pPr>
        <w:ind w:left="0" w:firstLine="0"/>
        <w:rPr>
          <w:szCs w:val="22"/>
        </w:rPr>
      </w:pPr>
      <w:r>
        <w:rPr>
          <w:i/>
          <w:iCs/>
          <w:szCs w:val="22"/>
        </w:rPr>
        <w:t xml:space="preserve">Látky tlmiace CNS </w:t>
      </w:r>
    </w:p>
    <w:p w14:paraId="3212219E" w14:textId="5404CFE6" w:rsidR="009D0C46" w:rsidRPr="001B388B" w:rsidRDefault="009D0C46" w:rsidP="00080138">
      <w:pPr>
        <w:ind w:left="0" w:firstLine="0"/>
      </w:pPr>
      <w:r>
        <w:rPr>
          <w:szCs w:val="22"/>
        </w:rPr>
        <w:t xml:space="preserve">Ak sa spolu s horčíkom majú podávať barbituráty, narkotiká alebo iné hypnotiká (alebo systémové anestetiká), ich dávka sa má upraviť </w:t>
      </w:r>
      <w:r w:rsidR="00180AF6">
        <w:rPr>
          <w:szCs w:val="22"/>
        </w:rPr>
        <w:t xml:space="preserve">s opatrnosťou </w:t>
      </w:r>
      <w:r>
        <w:rPr>
          <w:szCs w:val="22"/>
        </w:rPr>
        <w:t xml:space="preserve">kvôli aditívnym tlmiacim účinkom horčíka a riziku respiračnej depresie. </w:t>
      </w:r>
    </w:p>
    <w:p w14:paraId="7CA07998" w14:textId="77777777" w:rsidR="00780926" w:rsidRPr="001B388B" w:rsidRDefault="00780926" w:rsidP="00C25B4C">
      <w:pPr>
        <w:ind w:left="0" w:firstLine="0"/>
        <w:rPr>
          <w:szCs w:val="22"/>
        </w:rPr>
      </w:pPr>
    </w:p>
    <w:p w14:paraId="3365BC33" w14:textId="77777777" w:rsidR="00780926" w:rsidRPr="001B388B" w:rsidRDefault="00780926" w:rsidP="00E41B3F">
      <w:pPr>
        <w:rPr>
          <w:szCs w:val="22"/>
        </w:rPr>
      </w:pPr>
      <w:r w:rsidRPr="001B388B">
        <w:rPr>
          <w:b/>
          <w:szCs w:val="22"/>
        </w:rPr>
        <w:t>4.6</w:t>
      </w:r>
      <w:r w:rsidRPr="001B388B">
        <w:rPr>
          <w:b/>
          <w:szCs w:val="22"/>
        </w:rPr>
        <w:tab/>
      </w:r>
      <w:proofErr w:type="spellStart"/>
      <w:r w:rsidR="00E1698A" w:rsidRPr="001B388B">
        <w:rPr>
          <w:b/>
          <w:szCs w:val="22"/>
        </w:rPr>
        <w:t>Fertilita</w:t>
      </w:r>
      <w:proofErr w:type="spellEnd"/>
      <w:r w:rsidR="00E1698A" w:rsidRPr="001B388B">
        <w:rPr>
          <w:b/>
          <w:szCs w:val="22"/>
        </w:rPr>
        <w:t>, g</w:t>
      </w:r>
      <w:r w:rsidRPr="001B388B">
        <w:rPr>
          <w:b/>
          <w:szCs w:val="22"/>
        </w:rPr>
        <w:t>ravidita a</w:t>
      </w:r>
      <w:r w:rsidR="00BD7004" w:rsidRPr="001B388B">
        <w:rPr>
          <w:b/>
          <w:szCs w:val="22"/>
        </w:rPr>
        <w:t> </w:t>
      </w:r>
      <w:r w:rsidRPr="001B388B">
        <w:rPr>
          <w:b/>
          <w:szCs w:val="22"/>
        </w:rPr>
        <w:t>laktácia</w:t>
      </w:r>
    </w:p>
    <w:p w14:paraId="60F1AD4B" w14:textId="77777777" w:rsidR="00E1698A" w:rsidRPr="001B388B" w:rsidRDefault="00E1698A" w:rsidP="00A34668">
      <w:pPr>
        <w:ind w:left="0" w:firstLine="0"/>
      </w:pPr>
    </w:p>
    <w:p w14:paraId="3291FC00" w14:textId="77777777" w:rsidR="00E1698A" w:rsidRPr="001B388B" w:rsidRDefault="00E1698A" w:rsidP="00A34668">
      <w:pPr>
        <w:ind w:left="0" w:firstLine="0"/>
        <w:rPr>
          <w:szCs w:val="22"/>
        </w:rPr>
      </w:pPr>
      <w:r w:rsidRPr="001B388B">
        <w:rPr>
          <w:szCs w:val="22"/>
          <w:u w:val="single"/>
        </w:rPr>
        <w:t>Gravidita</w:t>
      </w:r>
    </w:p>
    <w:p w14:paraId="257D591A" w14:textId="7989AA3A" w:rsidR="00A34668" w:rsidRPr="001B388B" w:rsidRDefault="00A34668" w:rsidP="00A34668">
      <w:pPr>
        <w:ind w:left="0" w:firstLine="0"/>
        <w:rPr>
          <w:szCs w:val="22"/>
        </w:rPr>
      </w:pPr>
      <w:r w:rsidRPr="001B388B">
        <w:rPr>
          <w:szCs w:val="22"/>
        </w:rPr>
        <w:t xml:space="preserve">Veľké množstvo údajov o gravidných ženách (výsledky od viac ako 1000 exponovaných žien) nenaznačuje žiadnu </w:t>
      </w:r>
      <w:proofErr w:type="spellStart"/>
      <w:r w:rsidRPr="001B388B">
        <w:rPr>
          <w:szCs w:val="22"/>
        </w:rPr>
        <w:t>malformačnú</w:t>
      </w:r>
      <w:proofErr w:type="spellEnd"/>
      <w:r w:rsidRPr="001B388B">
        <w:rPr>
          <w:szCs w:val="22"/>
        </w:rPr>
        <w:t xml:space="preserve"> ani </w:t>
      </w:r>
      <w:proofErr w:type="spellStart"/>
      <w:r w:rsidRPr="001B388B">
        <w:rPr>
          <w:szCs w:val="22"/>
        </w:rPr>
        <w:t>fetálnu</w:t>
      </w:r>
      <w:proofErr w:type="spellEnd"/>
      <w:r w:rsidRPr="001B388B">
        <w:rPr>
          <w:szCs w:val="22"/>
        </w:rPr>
        <w:t>/</w:t>
      </w:r>
      <w:proofErr w:type="spellStart"/>
      <w:r w:rsidRPr="001B388B">
        <w:rPr>
          <w:szCs w:val="22"/>
        </w:rPr>
        <w:t>neonatálnu</w:t>
      </w:r>
      <w:proofErr w:type="spellEnd"/>
      <w:r w:rsidRPr="001B388B">
        <w:rPr>
          <w:szCs w:val="22"/>
        </w:rPr>
        <w:t xml:space="preserve"> toxicitu. Štúdie na zvieratách nepreukázali reprodukčnú toxicitu (pozri časť 5.3).</w:t>
      </w:r>
    </w:p>
    <w:p w14:paraId="54D010C3" w14:textId="3E31ECBA" w:rsidR="002C476B" w:rsidRPr="001B388B" w:rsidRDefault="000417D2" w:rsidP="00A34668">
      <w:pPr>
        <w:ind w:left="0" w:firstLine="0"/>
        <w:rPr>
          <w:szCs w:val="22"/>
        </w:rPr>
      </w:pPr>
      <w:r>
        <w:rPr>
          <w:szCs w:val="22"/>
        </w:rPr>
        <w:t>V</w:t>
      </w:r>
      <w:r w:rsidR="009D0C46">
        <w:rPr>
          <w:szCs w:val="22"/>
        </w:rPr>
        <w:t xml:space="preserve"> prípade potreby sa počas tehotenstva </w:t>
      </w:r>
      <w:r w:rsidR="002C476B" w:rsidRPr="001B388B">
        <w:rPr>
          <w:szCs w:val="22"/>
        </w:rPr>
        <w:t xml:space="preserve">môže </w:t>
      </w:r>
      <w:r w:rsidR="009D0C46">
        <w:rPr>
          <w:szCs w:val="22"/>
        </w:rPr>
        <w:t>zvážiť použitie lieku Magnesium sulfate Kalceks</w:t>
      </w:r>
      <w:r w:rsidR="002C476B" w:rsidRPr="001B388B">
        <w:rPr>
          <w:szCs w:val="22"/>
        </w:rPr>
        <w:t>. U matiek liečených vysokými dávkam</w:t>
      </w:r>
      <w:r w:rsidR="009B2AA2">
        <w:rPr>
          <w:szCs w:val="22"/>
        </w:rPr>
        <w:t>i</w:t>
      </w:r>
      <w:r w:rsidR="00180AF6">
        <w:rPr>
          <w:szCs w:val="22"/>
        </w:rPr>
        <w:t xml:space="preserve">, napr. pri </w:t>
      </w:r>
      <w:proofErr w:type="spellStart"/>
      <w:r w:rsidR="00180AF6">
        <w:rPr>
          <w:szCs w:val="22"/>
        </w:rPr>
        <w:t>preeklampsii</w:t>
      </w:r>
      <w:proofErr w:type="spellEnd"/>
      <w:r w:rsidR="00180AF6">
        <w:rPr>
          <w:szCs w:val="22"/>
        </w:rPr>
        <w:t>,</w:t>
      </w:r>
      <w:r w:rsidR="002C476B" w:rsidRPr="001B388B">
        <w:rPr>
          <w:szCs w:val="22"/>
        </w:rPr>
        <w:t xml:space="preserve"> </w:t>
      </w:r>
      <w:r w:rsidR="009D0C46">
        <w:rPr>
          <w:szCs w:val="22"/>
        </w:rPr>
        <w:t xml:space="preserve">horčík prechádza </w:t>
      </w:r>
      <w:r w:rsidR="002C476B" w:rsidRPr="001B388B">
        <w:rPr>
          <w:szCs w:val="22"/>
        </w:rPr>
        <w:t>placentou</w:t>
      </w:r>
      <w:r w:rsidR="009D0C46">
        <w:rPr>
          <w:szCs w:val="22"/>
        </w:rPr>
        <w:t>,</w:t>
      </w:r>
      <w:r w:rsidR="002C476B" w:rsidRPr="001B388B">
        <w:rPr>
          <w:szCs w:val="22"/>
        </w:rPr>
        <w:t xml:space="preserve"> </w:t>
      </w:r>
      <w:r w:rsidR="009D0C46">
        <w:rPr>
          <w:szCs w:val="22"/>
        </w:rPr>
        <w:t xml:space="preserve">čo </w:t>
      </w:r>
      <w:r w:rsidR="002C476B" w:rsidRPr="001B388B">
        <w:rPr>
          <w:szCs w:val="22"/>
        </w:rPr>
        <w:t xml:space="preserve">spôsobuje hypotóniu a útlm dýchania u novorodencov. Pri použití u gravidných žien </w:t>
      </w:r>
      <w:r w:rsidR="00E24455" w:rsidRPr="001B388B">
        <w:rPr>
          <w:szCs w:val="22"/>
        </w:rPr>
        <w:t>treba</w:t>
      </w:r>
      <w:r w:rsidR="002C476B" w:rsidRPr="001B388B">
        <w:rPr>
          <w:szCs w:val="22"/>
        </w:rPr>
        <w:t xml:space="preserve"> sledovať srdcov</w:t>
      </w:r>
      <w:r w:rsidR="00BB5C9B">
        <w:rPr>
          <w:szCs w:val="22"/>
        </w:rPr>
        <w:t>ú</w:t>
      </w:r>
      <w:r w:rsidR="002C476B" w:rsidRPr="001B388B">
        <w:rPr>
          <w:szCs w:val="22"/>
        </w:rPr>
        <w:t xml:space="preserve"> frekvenciu plodu a</w:t>
      </w:r>
      <w:r w:rsidR="00E24455" w:rsidRPr="001B388B">
        <w:rPr>
          <w:szCs w:val="22"/>
        </w:rPr>
        <w:t xml:space="preserve"> je potrebné </w:t>
      </w:r>
      <w:r w:rsidR="002C476B" w:rsidRPr="001B388B">
        <w:rPr>
          <w:szCs w:val="22"/>
        </w:rPr>
        <w:t>vyhnúť sa použit</w:t>
      </w:r>
      <w:r w:rsidR="007127D3">
        <w:rPr>
          <w:szCs w:val="22"/>
        </w:rPr>
        <w:t>iu</w:t>
      </w:r>
      <w:r w:rsidR="002C476B" w:rsidRPr="001B388B">
        <w:rPr>
          <w:szCs w:val="22"/>
        </w:rPr>
        <w:t xml:space="preserve"> </w:t>
      </w:r>
      <w:r w:rsidR="00E24455" w:rsidRPr="001B388B">
        <w:rPr>
          <w:szCs w:val="22"/>
        </w:rPr>
        <w:t>2 hod</w:t>
      </w:r>
      <w:r w:rsidR="00F42EAE">
        <w:rPr>
          <w:szCs w:val="22"/>
        </w:rPr>
        <w:t>iny</w:t>
      </w:r>
      <w:r w:rsidR="00E24455" w:rsidRPr="001B388B">
        <w:rPr>
          <w:szCs w:val="22"/>
        </w:rPr>
        <w:t xml:space="preserve"> </w:t>
      </w:r>
      <w:r w:rsidR="00E600F1">
        <w:rPr>
          <w:szCs w:val="22"/>
        </w:rPr>
        <w:t>pred</w:t>
      </w:r>
      <w:r w:rsidR="007127D3">
        <w:rPr>
          <w:szCs w:val="22"/>
        </w:rPr>
        <w:t xml:space="preserve"> </w:t>
      </w:r>
      <w:r w:rsidR="00E24455" w:rsidRPr="001B388B">
        <w:rPr>
          <w:szCs w:val="22"/>
        </w:rPr>
        <w:t>pôrod</w:t>
      </w:r>
      <w:r w:rsidR="00E600F1">
        <w:rPr>
          <w:szCs w:val="22"/>
        </w:rPr>
        <w:t>om</w:t>
      </w:r>
      <w:r w:rsidR="00F42EAE">
        <w:rPr>
          <w:szCs w:val="22"/>
        </w:rPr>
        <w:t>.</w:t>
      </w:r>
    </w:p>
    <w:p w14:paraId="4D1FEC45" w14:textId="77777777" w:rsidR="008F5EB1" w:rsidRPr="001B388B" w:rsidRDefault="008F5EB1" w:rsidP="00A34668">
      <w:pPr>
        <w:ind w:left="0" w:firstLine="0"/>
        <w:rPr>
          <w:szCs w:val="22"/>
        </w:rPr>
      </w:pPr>
      <w:r w:rsidRPr="000417D2">
        <w:rPr>
          <w:szCs w:val="22"/>
        </w:rPr>
        <w:t>Hladiny horčíka v sére u predčasne narodených detí sú vyššie ako u dospelých.</w:t>
      </w:r>
    </w:p>
    <w:p w14:paraId="5CB7EE54" w14:textId="77777777" w:rsidR="00A34668" w:rsidRPr="001B388B" w:rsidRDefault="00A34668" w:rsidP="00A34668">
      <w:pPr>
        <w:ind w:left="0" w:firstLine="0"/>
        <w:rPr>
          <w:szCs w:val="22"/>
        </w:rPr>
      </w:pPr>
    </w:p>
    <w:p w14:paraId="173EEF80" w14:textId="77777777" w:rsidR="00E1698A" w:rsidRPr="001B388B" w:rsidRDefault="00BB6D67" w:rsidP="008F5EB1">
      <w:pPr>
        <w:ind w:left="0" w:firstLine="0"/>
        <w:rPr>
          <w:szCs w:val="22"/>
        </w:rPr>
      </w:pPr>
      <w:r w:rsidRPr="001B388B">
        <w:rPr>
          <w:szCs w:val="22"/>
          <w:u w:val="single"/>
        </w:rPr>
        <w:t>Dojčenie</w:t>
      </w:r>
    </w:p>
    <w:p w14:paraId="6476B2F3" w14:textId="77777777" w:rsidR="009D0C46" w:rsidRPr="001B388B" w:rsidRDefault="009D0C46" w:rsidP="009D0C46">
      <w:pPr>
        <w:ind w:left="0" w:firstLine="0"/>
        <w:rPr>
          <w:szCs w:val="22"/>
        </w:rPr>
      </w:pPr>
      <w:r>
        <w:rPr>
          <w:szCs w:val="22"/>
        </w:rPr>
        <w:t>Síran horečnatý sa vylučuje do ľudského mlieka, ale pri terapeutických dávkach lieku Magnesium sulfate Kalceks sa neočakávajú žiadne účinky na dojčených novorodencov/dojčatá.</w:t>
      </w:r>
      <w:r w:rsidR="000417D2">
        <w:rPr>
          <w:szCs w:val="22"/>
        </w:rPr>
        <w:t xml:space="preserve"> </w:t>
      </w:r>
      <w:r>
        <w:rPr>
          <w:szCs w:val="22"/>
        </w:rPr>
        <w:t>Magnesium sulfate Kalceks môže byť počas dojčenia používaný.</w:t>
      </w:r>
    </w:p>
    <w:p w14:paraId="38BC0FFC" w14:textId="77777777" w:rsidR="004E5C06" w:rsidRPr="001B388B" w:rsidRDefault="004E5C06" w:rsidP="004E5C06">
      <w:pPr>
        <w:ind w:left="0" w:firstLine="0"/>
        <w:rPr>
          <w:szCs w:val="22"/>
        </w:rPr>
      </w:pPr>
    </w:p>
    <w:p w14:paraId="21BE0C1E" w14:textId="77777777" w:rsidR="00E1698A" w:rsidRPr="001B388B" w:rsidRDefault="00E1698A" w:rsidP="004E5C06">
      <w:pPr>
        <w:ind w:left="0" w:firstLine="0"/>
        <w:rPr>
          <w:szCs w:val="22"/>
        </w:rPr>
      </w:pPr>
      <w:proofErr w:type="spellStart"/>
      <w:r w:rsidRPr="001B388B">
        <w:rPr>
          <w:szCs w:val="22"/>
          <w:u w:val="single"/>
        </w:rPr>
        <w:t>Fertilita</w:t>
      </w:r>
      <w:proofErr w:type="spellEnd"/>
    </w:p>
    <w:p w14:paraId="12E39F03" w14:textId="77777777" w:rsidR="004E5C06" w:rsidRPr="001B388B" w:rsidRDefault="004E5C06" w:rsidP="004E5C06">
      <w:pPr>
        <w:ind w:left="0" w:firstLine="0"/>
        <w:rPr>
          <w:szCs w:val="22"/>
        </w:rPr>
      </w:pPr>
      <w:r w:rsidRPr="001B388B">
        <w:rPr>
          <w:szCs w:val="22"/>
        </w:rPr>
        <w:t xml:space="preserve">Na základe dlhodobých skúseností sa neočakávajú žiadne účinky horčíka na plodnosť mužov a žien. </w:t>
      </w:r>
    </w:p>
    <w:p w14:paraId="4157EDD6" w14:textId="77777777" w:rsidR="00780926" w:rsidRPr="001B388B" w:rsidRDefault="00780926" w:rsidP="004E5C06">
      <w:pPr>
        <w:ind w:left="0" w:firstLine="0"/>
        <w:rPr>
          <w:szCs w:val="22"/>
        </w:rPr>
      </w:pPr>
    </w:p>
    <w:p w14:paraId="654C09F9" w14:textId="77777777" w:rsidR="00780926" w:rsidRPr="001B388B" w:rsidRDefault="00780926" w:rsidP="00E41B3F">
      <w:pPr>
        <w:rPr>
          <w:szCs w:val="22"/>
        </w:rPr>
      </w:pPr>
      <w:r w:rsidRPr="001B388B">
        <w:rPr>
          <w:b/>
          <w:szCs w:val="22"/>
        </w:rPr>
        <w:t>4.7</w:t>
      </w:r>
      <w:r w:rsidRPr="001B388B">
        <w:rPr>
          <w:b/>
          <w:szCs w:val="22"/>
        </w:rPr>
        <w:tab/>
        <w:t>Ovplyvnenie schopnosti viesť vozidlá a</w:t>
      </w:r>
      <w:r w:rsidR="00F9666C" w:rsidRPr="001B388B">
        <w:rPr>
          <w:b/>
          <w:szCs w:val="22"/>
        </w:rPr>
        <w:t> </w:t>
      </w:r>
      <w:r w:rsidRPr="001B388B">
        <w:rPr>
          <w:b/>
          <w:szCs w:val="22"/>
        </w:rPr>
        <w:t>obsluhovať stroje</w:t>
      </w:r>
    </w:p>
    <w:p w14:paraId="3127907E" w14:textId="77777777" w:rsidR="00780926" w:rsidRPr="001B388B" w:rsidRDefault="00780926" w:rsidP="004E5C06">
      <w:pPr>
        <w:ind w:left="0" w:firstLine="0"/>
        <w:rPr>
          <w:szCs w:val="22"/>
        </w:rPr>
      </w:pPr>
    </w:p>
    <w:p w14:paraId="55DEEEFD" w14:textId="77777777" w:rsidR="004E5C06" w:rsidRPr="001B388B" w:rsidRDefault="004E5C06" w:rsidP="004E5C06">
      <w:pPr>
        <w:ind w:left="0" w:firstLine="0"/>
        <w:rPr>
          <w:szCs w:val="22"/>
        </w:rPr>
      </w:pPr>
      <w:proofErr w:type="spellStart"/>
      <w:r w:rsidRPr="001B388B">
        <w:rPr>
          <w:szCs w:val="22"/>
        </w:rPr>
        <w:t>Parenterálny</w:t>
      </w:r>
      <w:proofErr w:type="spellEnd"/>
      <w:r w:rsidRPr="001B388B">
        <w:rPr>
          <w:szCs w:val="22"/>
        </w:rPr>
        <w:t xml:space="preserve"> síran </w:t>
      </w:r>
      <w:proofErr w:type="spellStart"/>
      <w:r w:rsidRPr="001B388B">
        <w:rPr>
          <w:szCs w:val="22"/>
        </w:rPr>
        <w:t>horečnatý</w:t>
      </w:r>
      <w:proofErr w:type="spellEnd"/>
      <w:r w:rsidRPr="001B388B">
        <w:rPr>
          <w:szCs w:val="22"/>
        </w:rPr>
        <w:t xml:space="preserve"> pravdepodobne neovplyvní schopnosť viesť vozidlá alebo obsluhovať stroje. Avšak na základe potenciálnych nežiaducich účinkov môžu niektorí ľudia po podaní </w:t>
      </w:r>
      <w:proofErr w:type="spellStart"/>
      <w:r w:rsidRPr="001B388B">
        <w:rPr>
          <w:szCs w:val="22"/>
        </w:rPr>
        <w:t>parenterálneho</w:t>
      </w:r>
      <w:proofErr w:type="spellEnd"/>
      <w:r w:rsidRPr="001B388B">
        <w:rPr>
          <w:szCs w:val="22"/>
        </w:rPr>
        <w:t xml:space="preserve"> síranu </w:t>
      </w:r>
      <w:proofErr w:type="spellStart"/>
      <w:r w:rsidRPr="001B388B">
        <w:rPr>
          <w:szCs w:val="22"/>
        </w:rPr>
        <w:t>horečnatého</w:t>
      </w:r>
      <w:proofErr w:type="spellEnd"/>
      <w:r w:rsidRPr="001B388B">
        <w:rPr>
          <w:szCs w:val="22"/>
        </w:rPr>
        <w:t xml:space="preserve"> pociťovať závraty alebo ospalosť. Pacientov treba poučiť, aby neviedli vozidlá ani neobsluhovali stroje. </w:t>
      </w:r>
    </w:p>
    <w:p w14:paraId="6483491C" w14:textId="77777777" w:rsidR="00780926" w:rsidRPr="001B388B" w:rsidRDefault="00780926" w:rsidP="004E5C06">
      <w:pPr>
        <w:ind w:left="0" w:firstLine="0"/>
        <w:rPr>
          <w:szCs w:val="22"/>
        </w:rPr>
      </w:pPr>
    </w:p>
    <w:p w14:paraId="1B9891EA" w14:textId="77777777" w:rsidR="00780926" w:rsidRPr="001B388B" w:rsidRDefault="00780926" w:rsidP="00D513D2">
      <w:pPr>
        <w:rPr>
          <w:b/>
          <w:szCs w:val="22"/>
        </w:rPr>
      </w:pPr>
      <w:r w:rsidRPr="001B388B">
        <w:rPr>
          <w:b/>
          <w:szCs w:val="22"/>
        </w:rPr>
        <w:t>4.8</w:t>
      </w:r>
      <w:r w:rsidRPr="001B388B">
        <w:rPr>
          <w:b/>
          <w:szCs w:val="22"/>
        </w:rPr>
        <w:tab/>
        <w:t>Nežiaduce účinky</w:t>
      </w:r>
    </w:p>
    <w:p w14:paraId="47227036" w14:textId="77777777" w:rsidR="00780926" w:rsidRPr="001B388B" w:rsidRDefault="00780926" w:rsidP="004E5C06">
      <w:pPr>
        <w:ind w:left="0" w:firstLine="0"/>
      </w:pPr>
    </w:p>
    <w:p w14:paraId="0F3795EC" w14:textId="77777777" w:rsidR="004E5C06" w:rsidRPr="001B388B" w:rsidRDefault="00BB5C9B" w:rsidP="004E5C06">
      <w:pPr>
        <w:ind w:left="0" w:firstLine="0"/>
      </w:pPr>
      <w:r>
        <w:t>Častosť</w:t>
      </w:r>
      <w:r w:rsidR="004E5C06" w:rsidRPr="001B388B">
        <w:t xml:space="preserve"> nežiaducich účinkov nie je známa (z dostupných údajov sa nedá odhadnúť). </w:t>
      </w:r>
    </w:p>
    <w:p w14:paraId="627F2B17" w14:textId="77777777" w:rsidR="009B5735" w:rsidRPr="001B388B" w:rsidRDefault="009B5735" w:rsidP="004E5C06">
      <w:pPr>
        <w:ind w:left="0" w:firstLine="0"/>
      </w:pPr>
    </w:p>
    <w:p w14:paraId="43A4FF93" w14:textId="77777777" w:rsidR="009B5735" w:rsidRPr="001B388B" w:rsidRDefault="009B5735" w:rsidP="004E5C06">
      <w:pPr>
        <w:ind w:left="0" w:firstLine="0"/>
      </w:pPr>
      <w:r w:rsidRPr="001B388B">
        <w:rPr>
          <w:u w:val="single"/>
        </w:rPr>
        <w:t>Poruchy imunitného systému</w:t>
      </w:r>
    </w:p>
    <w:p w14:paraId="2BED8BA9" w14:textId="77777777" w:rsidR="009B5735" w:rsidRPr="001B388B" w:rsidRDefault="009B5735" w:rsidP="004E5C06">
      <w:pPr>
        <w:ind w:left="0" w:firstLine="0"/>
      </w:pPr>
      <w:r w:rsidRPr="001B388B">
        <w:t>Reakcie z precitlivenosti.</w:t>
      </w:r>
    </w:p>
    <w:p w14:paraId="5313A364" w14:textId="77777777" w:rsidR="009B5735" w:rsidRPr="001B388B" w:rsidRDefault="009B5735" w:rsidP="004E5C06">
      <w:pPr>
        <w:ind w:left="0" w:firstLine="0"/>
      </w:pPr>
    </w:p>
    <w:p w14:paraId="33701ABB" w14:textId="77777777" w:rsidR="009B5735" w:rsidRPr="001B388B" w:rsidRDefault="009B5735" w:rsidP="004E5C06">
      <w:pPr>
        <w:ind w:left="0" w:firstLine="0"/>
      </w:pPr>
      <w:r w:rsidRPr="001B388B">
        <w:rPr>
          <w:u w:val="single"/>
        </w:rPr>
        <w:t>Poruchy metabolizmu a výživy</w:t>
      </w:r>
    </w:p>
    <w:p w14:paraId="6EBE44E2" w14:textId="77777777" w:rsidR="009B5735" w:rsidRPr="001B388B" w:rsidRDefault="009B5735" w:rsidP="004E5C06">
      <w:pPr>
        <w:ind w:left="0" w:firstLine="0"/>
      </w:pPr>
      <w:proofErr w:type="spellStart"/>
      <w:r w:rsidRPr="001B388B">
        <w:t>Hypermagneziémia</w:t>
      </w:r>
      <w:proofErr w:type="spellEnd"/>
      <w:r w:rsidRPr="001B388B">
        <w:t xml:space="preserve"> (pozri časť 4.9).</w:t>
      </w:r>
    </w:p>
    <w:p w14:paraId="146580D9" w14:textId="1C536CF2" w:rsidR="009B5735" w:rsidRPr="001B388B" w:rsidRDefault="009B5735" w:rsidP="004E5C06">
      <w:pPr>
        <w:ind w:left="0" w:firstLine="0"/>
      </w:pPr>
      <w:r w:rsidRPr="001B388B">
        <w:t>Abnormality elektrolytov/tekutín (</w:t>
      </w:r>
      <w:proofErr w:type="spellStart"/>
      <w:r w:rsidRPr="001B388B">
        <w:t>hypofosfatémia</w:t>
      </w:r>
      <w:proofErr w:type="spellEnd"/>
      <w:r w:rsidRPr="001B388B">
        <w:t>, hypertonická dehydratácia). Pri vysokých dávkach síranu horečnatého</w:t>
      </w:r>
      <w:r w:rsidR="00BB5C9B">
        <w:t xml:space="preserve"> </w:t>
      </w:r>
      <w:r w:rsidRPr="001B388B">
        <w:t xml:space="preserve">boli ojedinele hlásené prípady </w:t>
      </w:r>
      <w:proofErr w:type="spellStart"/>
      <w:r w:rsidRPr="001B388B">
        <w:t>hypokalciémie</w:t>
      </w:r>
      <w:proofErr w:type="spellEnd"/>
      <w:r w:rsidRPr="001B388B">
        <w:t xml:space="preserve"> u matky a plodu.</w:t>
      </w:r>
    </w:p>
    <w:p w14:paraId="150CCA4B" w14:textId="77777777" w:rsidR="00495090" w:rsidRPr="001B388B" w:rsidRDefault="00495090" w:rsidP="004E5C06">
      <w:pPr>
        <w:ind w:left="0" w:firstLine="0"/>
      </w:pPr>
    </w:p>
    <w:p w14:paraId="26B96156" w14:textId="77777777" w:rsidR="00495090" w:rsidRPr="001B388B" w:rsidRDefault="002551FB" w:rsidP="004E5C06">
      <w:pPr>
        <w:ind w:left="0" w:firstLine="0"/>
      </w:pPr>
      <w:r w:rsidRPr="001B388B">
        <w:rPr>
          <w:u w:val="single"/>
        </w:rPr>
        <w:t>Poruchy nervového systému</w:t>
      </w:r>
    </w:p>
    <w:p w14:paraId="30D7DBA9" w14:textId="77777777" w:rsidR="002551FB" w:rsidRPr="001B388B" w:rsidRDefault="002551FB" w:rsidP="004E5C06">
      <w:pPr>
        <w:ind w:left="0" w:firstLine="0"/>
      </w:pPr>
      <w:r w:rsidRPr="001B388B">
        <w:t>Respiračná depresia.</w:t>
      </w:r>
    </w:p>
    <w:p w14:paraId="6412BDCE" w14:textId="77777777" w:rsidR="002551FB" w:rsidRPr="001B388B" w:rsidRDefault="002551FB" w:rsidP="004E5C06">
      <w:pPr>
        <w:ind w:left="0" w:firstLine="0"/>
      </w:pPr>
      <w:r w:rsidRPr="001B388B">
        <w:t>Nauzea, vracanie, ospalosť a zmätenosť.</w:t>
      </w:r>
    </w:p>
    <w:p w14:paraId="3E0878C1" w14:textId="77777777" w:rsidR="002551FB" w:rsidRPr="001B388B" w:rsidRDefault="002551FB" w:rsidP="004E5C06">
      <w:pPr>
        <w:ind w:left="0" w:firstLine="0"/>
      </w:pPr>
      <w:r w:rsidRPr="001B388B">
        <w:t>Kóma.</w:t>
      </w:r>
    </w:p>
    <w:p w14:paraId="660D53AF" w14:textId="77777777" w:rsidR="002551FB" w:rsidRPr="001B388B" w:rsidRDefault="002551FB" w:rsidP="004E5C06">
      <w:pPr>
        <w:ind w:left="0" w:firstLine="0"/>
      </w:pPr>
      <w:r w:rsidRPr="001B388B">
        <w:t>Nezrozumiteľná reč, dvojité videnie.</w:t>
      </w:r>
    </w:p>
    <w:p w14:paraId="28505D08" w14:textId="77777777" w:rsidR="002551FB" w:rsidRPr="001B388B" w:rsidRDefault="002B7156" w:rsidP="004E5C06">
      <w:pPr>
        <w:ind w:left="0" w:firstLine="0"/>
      </w:pPr>
      <w:r w:rsidRPr="001B388B">
        <w:t xml:space="preserve">Vymiznutie </w:t>
      </w:r>
      <w:r w:rsidR="001D43F9" w:rsidRPr="001B388B">
        <w:t xml:space="preserve">šľachových </w:t>
      </w:r>
      <w:r w:rsidR="002551FB" w:rsidRPr="001B388B">
        <w:t xml:space="preserve">reflexov v dôsledku </w:t>
      </w:r>
      <w:proofErr w:type="spellStart"/>
      <w:r w:rsidR="002551FB" w:rsidRPr="001B388B">
        <w:t>neuromuskulárnej</w:t>
      </w:r>
      <w:proofErr w:type="spellEnd"/>
      <w:r w:rsidR="002551FB" w:rsidRPr="001B388B">
        <w:t xml:space="preserve"> blokády. </w:t>
      </w:r>
    </w:p>
    <w:p w14:paraId="2E0DCA6F" w14:textId="77777777" w:rsidR="002551FB" w:rsidRPr="001B388B" w:rsidRDefault="002551FB" w:rsidP="004E5C06">
      <w:pPr>
        <w:ind w:left="0" w:firstLine="0"/>
      </w:pPr>
    </w:p>
    <w:p w14:paraId="621BC596" w14:textId="77777777" w:rsidR="002551FB" w:rsidRPr="001B388B" w:rsidRDefault="002551FB" w:rsidP="004E5C06">
      <w:pPr>
        <w:ind w:left="0" w:firstLine="0"/>
      </w:pPr>
      <w:r w:rsidRPr="001B388B">
        <w:rPr>
          <w:u w:val="single"/>
        </w:rPr>
        <w:t xml:space="preserve">Poruchy srdca a srdcovej činnosti </w:t>
      </w:r>
    </w:p>
    <w:p w14:paraId="5E77ED59" w14:textId="77777777" w:rsidR="002551FB" w:rsidRPr="001B388B" w:rsidRDefault="002551FB" w:rsidP="004E5C06">
      <w:pPr>
        <w:ind w:left="0" w:firstLine="0"/>
      </w:pPr>
      <w:r w:rsidRPr="001B388B">
        <w:t>Srdcová arytmia, zástava srdca.</w:t>
      </w:r>
    </w:p>
    <w:p w14:paraId="39D951B7" w14:textId="77777777" w:rsidR="002551FB" w:rsidRPr="001B388B" w:rsidRDefault="002551FB" w:rsidP="004E5C06">
      <w:pPr>
        <w:ind w:left="0" w:firstLine="0"/>
      </w:pPr>
      <w:r w:rsidRPr="001B388B">
        <w:t>Abnormálne EKG (predĺžené intervaly PR, QRS a QT), bradykardia.</w:t>
      </w:r>
    </w:p>
    <w:p w14:paraId="61209FE9" w14:textId="77777777" w:rsidR="002551FB" w:rsidRPr="001B388B" w:rsidRDefault="002551FB" w:rsidP="004E5C06">
      <w:pPr>
        <w:ind w:left="0" w:firstLine="0"/>
      </w:pPr>
    </w:p>
    <w:p w14:paraId="3BA3A3F5" w14:textId="77777777" w:rsidR="002551FB" w:rsidRPr="001B388B" w:rsidRDefault="002551FB" w:rsidP="004E5C06">
      <w:pPr>
        <w:ind w:left="0" w:firstLine="0"/>
      </w:pPr>
      <w:r w:rsidRPr="001B388B">
        <w:rPr>
          <w:u w:val="single"/>
        </w:rPr>
        <w:t>Poruchy ciev</w:t>
      </w:r>
    </w:p>
    <w:p w14:paraId="0FD5C094" w14:textId="77777777" w:rsidR="002551FB" w:rsidRPr="001B388B" w:rsidRDefault="002551FB" w:rsidP="004E5C06">
      <w:pPr>
        <w:ind w:left="0" w:firstLine="0"/>
      </w:pPr>
      <w:r w:rsidRPr="001B388B">
        <w:t xml:space="preserve">Sčervenanie kože a hypotenzia v dôsledku periférnej vazodilatácie. </w:t>
      </w:r>
    </w:p>
    <w:p w14:paraId="1649A7B0" w14:textId="77777777" w:rsidR="002551FB" w:rsidRPr="001B388B" w:rsidRDefault="002551FB" w:rsidP="004E5C06">
      <w:pPr>
        <w:ind w:left="0" w:firstLine="0"/>
      </w:pPr>
    </w:p>
    <w:p w14:paraId="22B2CE13" w14:textId="77777777" w:rsidR="002551FB" w:rsidRPr="001B388B" w:rsidRDefault="002551FB" w:rsidP="004E5C06">
      <w:pPr>
        <w:ind w:left="0" w:firstLine="0"/>
      </w:pPr>
      <w:r w:rsidRPr="001B388B">
        <w:rPr>
          <w:u w:val="single"/>
        </w:rPr>
        <w:t>Poruchy kostrovej a svalovej sústavy a spojivového tkaniva</w:t>
      </w:r>
    </w:p>
    <w:p w14:paraId="40987F27" w14:textId="77777777" w:rsidR="002551FB" w:rsidRPr="001B388B" w:rsidRDefault="002551FB" w:rsidP="004E5C06">
      <w:pPr>
        <w:ind w:left="0" w:firstLine="0"/>
      </w:pPr>
      <w:r w:rsidRPr="001B388B">
        <w:t>Svalová slabosť.</w:t>
      </w:r>
    </w:p>
    <w:p w14:paraId="3552C340" w14:textId="77777777" w:rsidR="002551FB" w:rsidRPr="001B388B" w:rsidRDefault="002551FB" w:rsidP="004E5C06">
      <w:pPr>
        <w:ind w:left="0" w:firstLine="0"/>
      </w:pPr>
    </w:p>
    <w:p w14:paraId="43193E0C" w14:textId="77777777" w:rsidR="002551FB" w:rsidRPr="001B388B" w:rsidRDefault="002551FB" w:rsidP="004E5C06">
      <w:pPr>
        <w:ind w:left="0" w:firstLine="0"/>
      </w:pPr>
      <w:r w:rsidRPr="001B388B">
        <w:rPr>
          <w:u w:val="single"/>
        </w:rPr>
        <w:t>Celkové poruchy a reakcie v mieste podania</w:t>
      </w:r>
    </w:p>
    <w:p w14:paraId="3A6E3D5C" w14:textId="77777777" w:rsidR="002551FB" w:rsidRPr="001B388B" w:rsidRDefault="002551FB" w:rsidP="004E5C06">
      <w:pPr>
        <w:ind w:left="0" w:firstLine="0"/>
      </w:pPr>
      <w:r w:rsidRPr="001B388B">
        <w:t>Smäd.</w:t>
      </w:r>
    </w:p>
    <w:p w14:paraId="3234B496" w14:textId="77777777" w:rsidR="002551FB" w:rsidRPr="001B388B" w:rsidRDefault="002551FB" w:rsidP="004E5C06">
      <w:pPr>
        <w:ind w:left="0" w:firstLine="0"/>
      </w:pPr>
    </w:p>
    <w:p w14:paraId="2B00A0E1" w14:textId="47873D6E" w:rsidR="002551FB" w:rsidRPr="001B388B" w:rsidRDefault="002551FB" w:rsidP="004E5C06">
      <w:pPr>
        <w:ind w:left="0" w:firstLine="0"/>
      </w:pPr>
      <w:r w:rsidRPr="001B388B">
        <w:t xml:space="preserve">Najmä u pacientov s poruchou funkcie obličiek </w:t>
      </w:r>
      <w:r w:rsidR="00DB2CDF" w:rsidRPr="001B388B">
        <w:t>môže</w:t>
      </w:r>
      <w:r w:rsidRPr="001B388B">
        <w:t xml:space="preserve"> </w:t>
      </w:r>
      <w:r w:rsidR="00DB2CDF" w:rsidRPr="001B388B">
        <w:t>dôjsť</w:t>
      </w:r>
      <w:r w:rsidRPr="001B388B">
        <w:t xml:space="preserve"> k akumulácii síranu horečnatého dostačujúce</w:t>
      </w:r>
      <w:r w:rsidR="00C066A2">
        <w:t>j</w:t>
      </w:r>
      <w:r w:rsidRPr="001B388B">
        <w:t xml:space="preserve"> na vy</w:t>
      </w:r>
      <w:r w:rsidR="00DB2CDF" w:rsidRPr="001B388B">
        <w:t>volanie toxických účinkov.</w:t>
      </w:r>
    </w:p>
    <w:p w14:paraId="5228AF07" w14:textId="77777777" w:rsidR="00780926" w:rsidRPr="001B388B" w:rsidRDefault="00780926" w:rsidP="00DB2CDF">
      <w:pPr>
        <w:ind w:left="0" w:firstLine="0"/>
        <w:rPr>
          <w:szCs w:val="22"/>
        </w:rPr>
      </w:pPr>
    </w:p>
    <w:p w14:paraId="7DCF90D5" w14:textId="77777777" w:rsidR="007E5956" w:rsidRPr="001B388B" w:rsidRDefault="007E5956" w:rsidP="00DB2CDF">
      <w:pPr>
        <w:suppressLineNumbers/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1B388B">
        <w:rPr>
          <w:szCs w:val="22"/>
          <w:u w:val="single"/>
        </w:rPr>
        <w:t>Hlásenie podozrení na nežiaduce reakcie</w:t>
      </w:r>
    </w:p>
    <w:p w14:paraId="1EF42DCC" w14:textId="77777777" w:rsidR="007E5956" w:rsidRPr="009E52C2" w:rsidRDefault="007E5956" w:rsidP="00DB2CDF">
      <w:pPr>
        <w:suppressLineNumbers/>
        <w:autoSpaceDE w:val="0"/>
        <w:autoSpaceDN w:val="0"/>
        <w:adjustRightInd w:val="0"/>
        <w:ind w:left="0" w:firstLine="0"/>
        <w:rPr>
          <w:color w:val="000000" w:themeColor="text1"/>
        </w:rPr>
      </w:pPr>
      <w:r w:rsidRPr="001B388B">
        <w:rPr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F66A28" w:rsidRPr="001B388B">
        <w:rPr>
          <w:szCs w:val="22"/>
        </w:rPr>
        <w:t xml:space="preserve">na </w:t>
      </w:r>
      <w:r w:rsidRPr="001B388B">
        <w:rPr>
          <w:szCs w:val="22"/>
          <w:highlight w:val="lightGray"/>
        </w:rPr>
        <w:t xml:space="preserve">národné </w:t>
      </w:r>
      <w:r w:rsidR="00F66A28" w:rsidRPr="001B388B">
        <w:rPr>
          <w:szCs w:val="22"/>
          <w:highlight w:val="lightGray"/>
        </w:rPr>
        <w:t xml:space="preserve">centrum </w:t>
      </w:r>
      <w:r w:rsidRPr="001B388B">
        <w:rPr>
          <w:szCs w:val="22"/>
          <w:highlight w:val="lightGray"/>
        </w:rPr>
        <w:t>hlásenia uvedené v </w:t>
      </w:r>
      <w:hyperlink r:id="rId8" w:history="1">
        <w:r w:rsidRPr="001B388B">
          <w:rPr>
            <w:rStyle w:val="Hypertextovprepojenie"/>
            <w:szCs w:val="22"/>
            <w:highlight w:val="lightGray"/>
          </w:rPr>
          <w:t>Prílohe V</w:t>
        </w:r>
      </w:hyperlink>
      <w:r w:rsidR="00BB6D67" w:rsidRPr="001B388B">
        <w:rPr>
          <w:szCs w:val="22"/>
        </w:rPr>
        <w:t>.</w:t>
      </w:r>
    </w:p>
    <w:p w14:paraId="188DACAD" w14:textId="77777777" w:rsidR="007E5956" w:rsidRPr="001B388B" w:rsidRDefault="007E5956" w:rsidP="00DB2CDF">
      <w:pPr>
        <w:ind w:left="0" w:firstLine="0"/>
        <w:rPr>
          <w:szCs w:val="22"/>
        </w:rPr>
      </w:pPr>
    </w:p>
    <w:p w14:paraId="0E2619DB" w14:textId="77777777" w:rsidR="00780926" w:rsidRPr="001B388B" w:rsidRDefault="00780926" w:rsidP="00E41B3F">
      <w:pPr>
        <w:rPr>
          <w:szCs w:val="22"/>
        </w:rPr>
      </w:pPr>
      <w:r w:rsidRPr="001B388B">
        <w:rPr>
          <w:b/>
          <w:szCs w:val="22"/>
        </w:rPr>
        <w:t>4.9</w:t>
      </w:r>
      <w:r w:rsidRPr="001B388B">
        <w:rPr>
          <w:b/>
          <w:szCs w:val="22"/>
        </w:rPr>
        <w:tab/>
        <w:t>Predávkovanie</w:t>
      </w:r>
    </w:p>
    <w:p w14:paraId="66BA9217" w14:textId="77777777" w:rsidR="00780926" w:rsidRPr="001B388B" w:rsidRDefault="00780926" w:rsidP="00DB2CDF">
      <w:pPr>
        <w:ind w:left="0" w:firstLine="0"/>
        <w:rPr>
          <w:szCs w:val="22"/>
        </w:rPr>
      </w:pPr>
    </w:p>
    <w:p w14:paraId="1E836AA7" w14:textId="77777777" w:rsidR="00E1698A" w:rsidRPr="001B388B" w:rsidRDefault="00DB2CDF" w:rsidP="00E41B3F">
      <w:pPr>
        <w:rPr>
          <w:szCs w:val="22"/>
        </w:rPr>
      </w:pPr>
      <w:r w:rsidRPr="001B388B">
        <w:rPr>
          <w:i/>
          <w:iCs/>
          <w:szCs w:val="22"/>
        </w:rPr>
        <w:t>Príznaky</w:t>
      </w:r>
    </w:p>
    <w:p w14:paraId="329F4A88" w14:textId="215557BA" w:rsidR="00DB2CDF" w:rsidRPr="001B388B" w:rsidRDefault="00DB2CDF" w:rsidP="00DB2CDF">
      <w:pPr>
        <w:ind w:left="0" w:firstLine="0"/>
        <w:rPr>
          <w:szCs w:val="22"/>
        </w:rPr>
      </w:pPr>
      <w:r w:rsidRPr="001B388B">
        <w:rPr>
          <w:szCs w:val="22"/>
        </w:rPr>
        <w:t>Aj pri normálnej funkcii obličiek môžu intravenózne infúzie horčíka viesť k </w:t>
      </w:r>
      <w:proofErr w:type="spellStart"/>
      <w:r w:rsidRPr="001B388B">
        <w:rPr>
          <w:szCs w:val="22"/>
        </w:rPr>
        <w:t>hypermagneziémii</w:t>
      </w:r>
      <w:proofErr w:type="spellEnd"/>
      <w:r w:rsidRPr="001B388B">
        <w:rPr>
          <w:szCs w:val="22"/>
        </w:rPr>
        <w:t xml:space="preserve">.  Klinické </w:t>
      </w:r>
      <w:r w:rsidR="00C066A2">
        <w:rPr>
          <w:szCs w:val="22"/>
        </w:rPr>
        <w:t>prejavy</w:t>
      </w:r>
      <w:r w:rsidRPr="001B388B">
        <w:rPr>
          <w:szCs w:val="22"/>
        </w:rPr>
        <w:t xml:space="preserve"> predávkovania </w:t>
      </w:r>
      <w:r w:rsidRPr="00703549">
        <w:rPr>
          <w:szCs w:val="22"/>
        </w:rPr>
        <w:t>sú tie</w:t>
      </w:r>
      <w:r w:rsidR="00643594">
        <w:rPr>
          <w:szCs w:val="22"/>
        </w:rPr>
        <w:t xml:space="preserve">, ktoré sú </w:t>
      </w:r>
      <w:r w:rsidRPr="001B388B">
        <w:rPr>
          <w:szCs w:val="22"/>
        </w:rPr>
        <w:t>spájané s </w:t>
      </w:r>
      <w:proofErr w:type="spellStart"/>
      <w:r w:rsidRPr="001B388B">
        <w:rPr>
          <w:szCs w:val="22"/>
        </w:rPr>
        <w:t>hypermagneziémiou</w:t>
      </w:r>
      <w:proofErr w:type="spellEnd"/>
      <w:r w:rsidRPr="001B388B">
        <w:rPr>
          <w:szCs w:val="22"/>
        </w:rPr>
        <w:t>.</w:t>
      </w:r>
    </w:p>
    <w:p w14:paraId="23FB1049" w14:textId="77777777" w:rsidR="00FA04C5" w:rsidRPr="001B388B" w:rsidRDefault="00FA04C5" w:rsidP="00DB2CDF">
      <w:pPr>
        <w:ind w:left="0" w:firstLine="0"/>
        <w:rPr>
          <w:szCs w:val="22"/>
        </w:rPr>
      </w:pPr>
      <w:r w:rsidRPr="001B388B">
        <w:rPr>
          <w:szCs w:val="22"/>
        </w:rPr>
        <w:t xml:space="preserve">U pacientov so zlyhaním obličiek a metabolickými poruchami sa toxicita prejaví pri nižších dávkach. </w:t>
      </w:r>
    </w:p>
    <w:p w14:paraId="71AC81EE" w14:textId="721DC3CD" w:rsidR="00DB2CDF" w:rsidRPr="001B388B" w:rsidRDefault="00FA04C5" w:rsidP="00DB2CDF">
      <w:pPr>
        <w:ind w:left="0" w:firstLine="0"/>
        <w:rPr>
          <w:szCs w:val="22"/>
        </w:rPr>
      </w:pPr>
      <w:r w:rsidRPr="001B388B">
        <w:rPr>
          <w:szCs w:val="22"/>
        </w:rPr>
        <w:t xml:space="preserve">Vymiznutie </w:t>
      </w:r>
      <w:r w:rsidR="00C066A2">
        <w:rPr>
          <w:szCs w:val="22"/>
        </w:rPr>
        <w:t xml:space="preserve">reflexu </w:t>
      </w:r>
      <w:r w:rsidRPr="001B388B">
        <w:rPr>
          <w:szCs w:val="22"/>
        </w:rPr>
        <w:t>hlbo</w:t>
      </w:r>
      <w:r w:rsidR="00C066A2">
        <w:rPr>
          <w:szCs w:val="22"/>
        </w:rPr>
        <w:t>kých</w:t>
      </w:r>
      <w:r w:rsidR="001D43F9" w:rsidRPr="001B388B">
        <w:rPr>
          <w:szCs w:val="22"/>
        </w:rPr>
        <w:t xml:space="preserve"> </w:t>
      </w:r>
      <w:r w:rsidRPr="001B388B">
        <w:rPr>
          <w:szCs w:val="22"/>
        </w:rPr>
        <w:t>š</w:t>
      </w:r>
      <w:r w:rsidR="00C066A2">
        <w:rPr>
          <w:szCs w:val="22"/>
        </w:rPr>
        <w:t>liach</w:t>
      </w:r>
      <w:r w:rsidRPr="001B388B">
        <w:rPr>
          <w:szCs w:val="22"/>
        </w:rPr>
        <w:t xml:space="preserve"> je užitočným klinickým </w:t>
      </w:r>
      <w:r w:rsidR="00C066A2">
        <w:rPr>
          <w:szCs w:val="22"/>
        </w:rPr>
        <w:t>prejavom</w:t>
      </w:r>
      <w:r w:rsidRPr="001B388B">
        <w:rPr>
          <w:szCs w:val="22"/>
        </w:rPr>
        <w:t xml:space="preserve"> na </w:t>
      </w:r>
      <w:r w:rsidR="00BB5C9B">
        <w:rPr>
          <w:szCs w:val="22"/>
        </w:rPr>
        <w:t>detekciu</w:t>
      </w:r>
      <w:r w:rsidRPr="001B388B">
        <w:rPr>
          <w:szCs w:val="22"/>
        </w:rPr>
        <w:t xml:space="preserve"> </w:t>
      </w:r>
      <w:r w:rsidR="00BB5C9B">
        <w:rPr>
          <w:szCs w:val="22"/>
        </w:rPr>
        <w:t xml:space="preserve">nástupu </w:t>
      </w:r>
      <w:r w:rsidRPr="001B388B">
        <w:rPr>
          <w:szCs w:val="22"/>
        </w:rPr>
        <w:t>intoxikácie horčíkom. Intoxikácia horčíkom sa prejavuje prudkým poklesom krvného tlaku a</w:t>
      </w:r>
      <w:r w:rsidR="009B2AA2">
        <w:rPr>
          <w:szCs w:val="22"/>
        </w:rPr>
        <w:t xml:space="preserve"> respiračnou </w:t>
      </w:r>
      <w:r w:rsidR="00C066A2">
        <w:rPr>
          <w:szCs w:val="22"/>
        </w:rPr>
        <w:t>paralýz</w:t>
      </w:r>
      <w:r w:rsidR="00282DFD">
        <w:rPr>
          <w:szCs w:val="22"/>
        </w:rPr>
        <w:t>ou</w:t>
      </w:r>
      <w:r w:rsidRPr="001B388B">
        <w:rPr>
          <w:szCs w:val="22"/>
        </w:rPr>
        <w:t xml:space="preserve">. Možné príznaky </w:t>
      </w:r>
      <w:proofErr w:type="spellStart"/>
      <w:r w:rsidRPr="001B388B">
        <w:rPr>
          <w:szCs w:val="22"/>
        </w:rPr>
        <w:t>hypermagneziémie</w:t>
      </w:r>
      <w:proofErr w:type="spellEnd"/>
      <w:r w:rsidRPr="001B388B">
        <w:rPr>
          <w:szCs w:val="22"/>
        </w:rPr>
        <w:t xml:space="preserve"> sú uvedené v tabuľke 2.</w:t>
      </w:r>
    </w:p>
    <w:p w14:paraId="02017742" w14:textId="77777777" w:rsidR="00FA04C5" w:rsidRPr="001B388B" w:rsidRDefault="00FA04C5" w:rsidP="00DB2CDF">
      <w:pPr>
        <w:ind w:left="0" w:firstLine="0"/>
        <w:rPr>
          <w:szCs w:val="22"/>
        </w:rPr>
      </w:pPr>
    </w:p>
    <w:p w14:paraId="0D48D2C1" w14:textId="77777777" w:rsidR="00FA04C5" w:rsidRPr="001B388B" w:rsidRDefault="00FA04C5" w:rsidP="00FA04C5">
      <w:pPr>
        <w:ind w:left="0" w:firstLine="0"/>
        <w:rPr>
          <w:szCs w:val="22"/>
        </w:rPr>
      </w:pPr>
      <w:r w:rsidRPr="001B388B">
        <w:rPr>
          <w:b/>
          <w:bCs/>
          <w:szCs w:val="22"/>
        </w:rPr>
        <w:t>Tabuľka 2</w:t>
      </w:r>
      <w:r w:rsidRPr="001B388B">
        <w:rPr>
          <w:b/>
          <w:bCs/>
          <w:szCs w:val="22"/>
        </w:rPr>
        <w:tab/>
        <w:t xml:space="preserve">Potenciálne príznaky </w:t>
      </w:r>
      <w:proofErr w:type="spellStart"/>
      <w:r w:rsidRPr="001B388B">
        <w:rPr>
          <w:b/>
          <w:bCs/>
          <w:szCs w:val="22"/>
        </w:rPr>
        <w:t>hypermagneziémie</w:t>
      </w:r>
      <w:proofErr w:type="spellEnd"/>
    </w:p>
    <w:p w14:paraId="3DC9FD4C" w14:textId="77777777" w:rsidR="00FA04C5" w:rsidRPr="001B388B" w:rsidRDefault="00FA04C5" w:rsidP="00FA04C5">
      <w:pPr>
        <w:ind w:left="0" w:firstLine="0"/>
        <w:rPr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304"/>
        <w:gridCol w:w="1304"/>
        <w:gridCol w:w="1304"/>
        <w:gridCol w:w="4021"/>
      </w:tblGrid>
      <w:tr w:rsidR="00FA04C5" w:rsidRPr="001B388B" w14:paraId="791F441F" w14:textId="77777777" w:rsidTr="00FA04C5">
        <w:tc>
          <w:tcPr>
            <w:tcW w:w="3912" w:type="dxa"/>
            <w:gridSpan w:val="3"/>
          </w:tcPr>
          <w:p w14:paraId="09072C83" w14:textId="77777777" w:rsidR="00FA04C5" w:rsidRPr="001B388B" w:rsidRDefault="00FA04C5" w:rsidP="00C67AA1">
            <w:pPr>
              <w:ind w:left="0" w:firstLine="0"/>
              <w:jc w:val="center"/>
              <w:rPr>
                <w:b/>
                <w:bCs/>
                <w:szCs w:val="22"/>
              </w:rPr>
            </w:pPr>
            <w:r w:rsidRPr="001B388B">
              <w:rPr>
                <w:b/>
                <w:bCs/>
                <w:szCs w:val="22"/>
              </w:rPr>
              <w:t>Hladiny horčíka</w:t>
            </w:r>
          </w:p>
        </w:tc>
        <w:tc>
          <w:tcPr>
            <w:tcW w:w="4021" w:type="dxa"/>
            <w:vMerge w:val="restart"/>
            <w:vAlign w:val="center"/>
          </w:tcPr>
          <w:p w14:paraId="734354F6" w14:textId="77777777" w:rsidR="00FA04C5" w:rsidRPr="001B388B" w:rsidRDefault="00FA04C5" w:rsidP="00C67AA1">
            <w:pPr>
              <w:ind w:left="0" w:firstLine="0"/>
              <w:jc w:val="center"/>
              <w:rPr>
                <w:b/>
                <w:bCs/>
                <w:szCs w:val="22"/>
              </w:rPr>
            </w:pPr>
            <w:r w:rsidRPr="001B388B">
              <w:rPr>
                <w:b/>
                <w:bCs/>
                <w:szCs w:val="22"/>
              </w:rPr>
              <w:t>Prejavy príznakov predávkovania</w:t>
            </w:r>
          </w:p>
        </w:tc>
      </w:tr>
      <w:tr w:rsidR="00FA04C5" w:rsidRPr="001B388B" w14:paraId="59E3899E" w14:textId="77777777" w:rsidTr="00FA04C5">
        <w:tc>
          <w:tcPr>
            <w:tcW w:w="1304" w:type="dxa"/>
          </w:tcPr>
          <w:p w14:paraId="3F8542B0" w14:textId="77777777" w:rsidR="00FA04C5" w:rsidRPr="001B388B" w:rsidRDefault="00FA04C5" w:rsidP="00C67AA1">
            <w:pPr>
              <w:ind w:left="0" w:firstLine="0"/>
              <w:jc w:val="center"/>
              <w:rPr>
                <w:b/>
                <w:bCs/>
                <w:szCs w:val="22"/>
              </w:rPr>
            </w:pPr>
            <w:r w:rsidRPr="001B388B">
              <w:rPr>
                <w:b/>
                <w:bCs/>
                <w:szCs w:val="22"/>
              </w:rPr>
              <w:t>mg/dl</w:t>
            </w:r>
          </w:p>
        </w:tc>
        <w:tc>
          <w:tcPr>
            <w:tcW w:w="1304" w:type="dxa"/>
          </w:tcPr>
          <w:p w14:paraId="765C234A" w14:textId="77777777" w:rsidR="00FA04C5" w:rsidRPr="001B388B" w:rsidRDefault="00FA04C5" w:rsidP="00C67AA1">
            <w:pPr>
              <w:ind w:left="0" w:firstLine="0"/>
              <w:jc w:val="center"/>
              <w:rPr>
                <w:b/>
                <w:bCs/>
                <w:szCs w:val="22"/>
              </w:rPr>
            </w:pPr>
            <w:proofErr w:type="spellStart"/>
            <w:r w:rsidRPr="001B388B">
              <w:rPr>
                <w:b/>
                <w:bCs/>
                <w:szCs w:val="22"/>
              </w:rPr>
              <w:t>mEq</w:t>
            </w:r>
            <w:proofErr w:type="spellEnd"/>
            <w:r w:rsidRPr="001B388B">
              <w:rPr>
                <w:b/>
                <w:bCs/>
                <w:szCs w:val="22"/>
              </w:rPr>
              <w:t>/l</w:t>
            </w:r>
          </w:p>
        </w:tc>
        <w:tc>
          <w:tcPr>
            <w:tcW w:w="1304" w:type="dxa"/>
          </w:tcPr>
          <w:p w14:paraId="47C2C76B" w14:textId="77777777" w:rsidR="00FA04C5" w:rsidRPr="001B388B" w:rsidRDefault="00FA04C5" w:rsidP="00C67AA1">
            <w:pPr>
              <w:ind w:left="0" w:firstLine="0"/>
              <w:jc w:val="center"/>
              <w:rPr>
                <w:b/>
                <w:bCs/>
                <w:szCs w:val="22"/>
              </w:rPr>
            </w:pPr>
            <w:r w:rsidRPr="001B388B">
              <w:rPr>
                <w:b/>
                <w:bCs/>
                <w:szCs w:val="22"/>
              </w:rPr>
              <w:t>mmol/l</w:t>
            </w:r>
          </w:p>
        </w:tc>
        <w:tc>
          <w:tcPr>
            <w:tcW w:w="4021" w:type="dxa"/>
            <w:vMerge/>
          </w:tcPr>
          <w:p w14:paraId="16691F54" w14:textId="77777777" w:rsidR="00FA04C5" w:rsidRPr="001B388B" w:rsidRDefault="00FA04C5" w:rsidP="00C67AA1">
            <w:pPr>
              <w:ind w:left="0" w:firstLine="0"/>
              <w:rPr>
                <w:szCs w:val="22"/>
              </w:rPr>
            </w:pPr>
          </w:p>
        </w:tc>
      </w:tr>
      <w:tr w:rsidR="00FA04C5" w:rsidRPr="001B388B" w14:paraId="6D5BBAB3" w14:textId="77777777" w:rsidTr="00FA04C5">
        <w:tc>
          <w:tcPr>
            <w:tcW w:w="1304" w:type="dxa"/>
            <w:vAlign w:val="center"/>
          </w:tcPr>
          <w:p w14:paraId="092363C5" w14:textId="77777777" w:rsidR="00FA04C5" w:rsidRPr="001B388B" w:rsidRDefault="00FA04C5" w:rsidP="00C67AA1">
            <w:pPr>
              <w:ind w:left="0" w:firstLine="0"/>
              <w:jc w:val="center"/>
              <w:rPr>
                <w:szCs w:val="22"/>
              </w:rPr>
            </w:pPr>
            <w:r w:rsidRPr="001B388B">
              <w:rPr>
                <w:szCs w:val="22"/>
              </w:rPr>
              <w:t>&lt;1,2</w:t>
            </w:r>
          </w:p>
        </w:tc>
        <w:tc>
          <w:tcPr>
            <w:tcW w:w="1304" w:type="dxa"/>
            <w:vAlign w:val="center"/>
          </w:tcPr>
          <w:p w14:paraId="2DB7293A" w14:textId="77777777" w:rsidR="00FA04C5" w:rsidRPr="001B388B" w:rsidRDefault="00FA04C5" w:rsidP="00C67AA1">
            <w:pPr>
              <w:ind w:left="0" w:firstLine="0"/>
              <w:jc w:val="center"/>
              <w:rPr>
                <w:szCs w:val="22"/>
              </w:rPr>
            </w:pPr>
            <w:r w:rsidRPr="001B388B">
              <w:rPr>
                <w:szCs w:val="22"/>
              </w:rPr>
              <w:t>&lt;1</w:t>
            </w:r>
          </w:p>
        </w:tc>
        <w:tc>
          <w:tcPr>
            <w:tcW w:w="1304" w:type="dxa"/>
            <w:vAlign w:val="center"/>
          </w:tcPr>
          <w:p w14:paraId="66B5536F" w14:textId="77777777" w:rsidR="00FA04C5" w:rsidRPr="001B388B" w:rsidRDefault="00FA04C5" w:rsidP="00C67AA1">
            <w:pPr>
              <w:ind w:left="0" w:firstLine="0"/>
              <w:jc w:val="center"/>
              <w:rPr>
                <w:szCs w:val="22"/>
              </w:rPr>
            </w:pPr>
            <w:r w:rsidRPr="001B388B">
              <w:rPr>
                <w:szCs w:val="22"/>
              </w:rPr>
              <w:t>&lt;0,5</w:t>
            </w:r>
          </w:p>
        </w:tc>
        <w:tc>
          <w:tcPr>
            <w:tcW w:w="4021" w:type="dxa"/>
          </w:tcPr>
          <w:p w14:paraId="554EC076" w14:textId="77777777" w:rsidR="00FA04C5" w:rsidRPr="001B388B" w:rsidRDefault="00FA04C5" w:rsidP="00C67AA1">
            <w:pPr>
              <w:ind w:left="0" w:firstLine="0"/>
              <w:rPr>
                <w:szCs w:val="22"/>
              </w:rPr>
            </w:pPr>
            <w:proofErr w:type="spellStart"/>
            <w:r w:rsidRPr="001B388B">
              <w:rPr>
                <w:szCs w:val="22"/>
              </w:rPr>
              <w:t>Tetánia</w:t>
            </w:r>
            <w:proofErr w:type="spellEnd"/>
          </w:p>
          <w:p w14:paraId="493A415D" w14:textId="77777777" w:rsidR="00FA04C5" w:rsidRPr="001B388B" w:rsidRDefault="00FA04C5" w:rsidP="00C67AA1">
            <w:pPr>
              <w:ind w:left="0" w:firstLine="0"/>
              <w:rPr>
                <w:szCs w:val="22"/>
              </w:rPr>
            </w:pPr>
            <w:r w:rsidRPr="001B388B">
              <w:rPr>
                <w:szCs w:val="22"/>
              </w:rPr>
              <w:t>Záchvaty</w:t>
            </w:r>
          </w:p>
          <w:p w14:paraId="5AEA6619" w14:textId="77777777" w:rsidR="00FA04C5" w:rsidRPr="001B388B" w:rsidRDefault="00FA04C5" w:rsidP="00C67AA1">
            <w:pPr>
              <w:ind w:left="0" w:firstLine="0"/>
              <w:rPr>
                <w:szCs w:val="22"/>
              </w:rPr>
            </w:pPr>
            <w:r w:rsidRPr="001B388B">
              <w:rPr>
                <w:szCs w:val="22"/>
              </w:rPr>
              <w:lastRenderedPageBreak/>
              <w:t>Arytmia</w:t>
            </w:r>
          </w:p>
        </w:tc>
      </w:tr>
      <w:tr w:rsidR="00FA04C5" w:rsidRPr="001B388B" w14:paraId="5C924384" w14:textId="77777777" w:rsidTr="00FA04C5">
        <w:tc>
          <w:tcPr>
            <w:tcW w:w="1304" w:type="dxa"/>
            <w:vAlign w:val="center"/>
          </w:tcPr>
          <w:p w14:paraId="73165B43" w14:textId="77777777" w:rsidR="00FA04C5" w:rsidRPr="001B388B" w:rsidRDefault="00FA04C5" w:rsidP="00C67AA1">
            <w:pPr>
              <w:ind w:left="0" w:firstLine="0"/>
              <w:jc w:val="center"/>
              <w:rPr>
                <w:szCs w:val="22"/>
              </w:rPr>
            </w:pPr>
            <w:r w:rsidRPr="001B388B">
              <w:rPr>
                <w:szCs w:val="22"/>
              </w:rPr>
              <w:lastRenderedPageBreak/>
              <w:t>1,2-1,8</w:t>
            </w:r>
          </w:p>
        </w:tc>
        <w:tc>
          <w:tcPr>
            <w:tcW w:w="1304" w:type="dxa"/>
            <w:vAlign w:val="center"/>
          </w:tcPr>
          <w:p w14:paraId="3BB80B75" w14:textId="77777777" w:rsidR="00FA04C5" w:rsidRPr="001B388B" w:rsidRDefault="00FA04C5" w:rsidP="00C67AA1">
            <w:pPr>
              <w:ind w:left="0" w:firstLine="0"/>
              <w:jc w:val="center"/>
              <w:rPr>
                <w:szCs w:val="22"/>
              </w:rPr>
            </w:pPr>
            <w:r w:rsidRPr="001B388B">
              <w:rPr>
                <w:szCs w:val="22"/>
              </w:rPr>
              <w:t>1,0-1,5</w:t>
            </w:r>
          </w:p>
        </w:tc>
        <w:tc>
          <w:tcPr>
            <w:tcW w:w="1304" w:type="dxa"/>
            <w:vAlign w:val="center"/>
          </w:tcPr>
          <w:p w14:paraId="1E9C538F" w14:textId="77777777" w:rsidR="00FA04C5" w:rsidRPr="001B388B" w:rsidRDefault="00FA04C5" w:rsidP="00C67AA1">
            <w:pPr>
              <w:ind w:left="0" w:firstLine="0"/>
              <w:jc w:val="center"/>
              <w:rPr>
                <w:szCs w:val="22"/>
              </w:rPr>
            </w:pPr>
            <w:r w:rsidRPr="001B388B">
              <w:rPr>
                <w:szCs w:val="22"/>
              </w:rPr>
              <w:t>0,5-0,75</w:t>
            </w:r>
          </w:p>
        </w:tc>
        <w:tc>
          <w:tcPr>
            <w:tcW w:w="4021" w:type="dxa"/>
          </w:tcPr>
          <w:p w14:paraId="6E3E566F" w14:textId="77777777" w:rsidR="00FA04C5" w:rsidRPr="001B388B" w:rsidRDefault="00FA04C5" w:rsidP="00C67AA1">
            <w:pPr>
              <w:ind w:left="0" w:firstLine="0"/>
              <w:rPr>
                <w:szCs w:val="22"/>
              </w:rPr>
            </w:pPr>
            <w:r w:rsidRPr="001B388B">
              <w:rPr>
                <w:szCs w:val="22"/>
              </w:rPr>
              <w:t>Neuromuskulárna dráždivosť</w:t>
            </w:r>
          </w:p>
          <w:p w14:paraId="6886D715" w14:textId="77777777" w:rsidR="00FA04C5" w:rsidRPr="001B388B" w:rsidRDefault="00FA04C5" w:rsidP="00C67AA1">
            <w:pPr>
              <w:ind w:left="0" w:firstLine="0"/>
              <w:rPr>
                <w:szCs w:val="22"/>
              </w:rPr>
            </w:pPr>
            <w:proofErr w:type="spellStart"/>
            <w:r w:rsidRPr="001B388B">
              <w:rPr>
                <w:szCs w:val="22"/>
              </w:rPr>
              <w:t>Hypokalciémia</w:t>
            </w:r>
            <w:proofErr w:type="spellEnd"/>
          </w:p>
          <w:p w14:paraId="17F63D16" w14:textId="77777777" w:rsidR="00FA04C5" w:rsidRPr="001B388B" w:rsidRDefault="00FA04C5" w:rsidP="00C67AA1">
            <w:pPr>
              <w:ind w:left="0" w:firstLine="0"/>
              <w:rPr>
                <w:szCs w:val="22"/>
              </w:rPr>
            </w:pPr>
            <w:r w:rsidRPr="001B388B">
              <w:rPr>
                <w:szCs w:val="22"/>
              </w:rPr>
              <w:t>Hypokaliémia</w:t>
            </w:r>
          </w:p>
        </w:tc>
      </w:tr>
      <w:tr w:rsidR="00FA04C5" w:rsidRPr="001B388B" w14:paraId="54B7990D" w14:textId="77777777" w:rsidTr="00FA04C5">
        <w:tc>
          <w:tcPr>
            <w:tcW w:w="1304" w:type="dxa"/>
            <w:vAlign w:val="center"/>
          </w:tcPr>
          <w:p w14:paraId="72350694" w14:textId="77777777" w:rsidR="00FA04C5" w:rsidRPr="001B388B" w:rsidRDefault="00FA04C5" w:rsidP="00C67AA1">
            <w:pPr>
              <w:ind w:left="0" w:firstLine="0"/>
              <w:jc w:val="center"/>
              <w:rPr>
                <w:szCs w:val="22"/>
              </w:rPr>
            </w:pPr>
            <w:r w:rsidRPr="001B388B">
              <w:rPr>
                <w:szCs w:val="22"/>
              </w:rPr>
              <w:t>1,8-2,5</w:t>
            </w:r>
          </w:p>
        </w:tc>
        <w:tc>
          <w:tcPr>
            <w:tcW w:w="1304" w:type="dxa"/>
            <w:vAlign w:val="center"/>
          </w:tcPr>
          <w:p w14:paraId="774A3D9E" w14:textId="77777777" w:rsidR="00FA04C5" w:rsidRPr="001B388B" w:rsidRDefault="00FA04C5" w:rsidP="00C67AA1">
            <w:pPr>
              <w:ind w:left="0" w:firstLine="0"/>
              <w:jc w:val="center"/>
              <w:rPr>
                <w:szCs w:val="22"/>
              </w:rPr>
            </w:pPr>
            <w:r w:rsidRPr="001B388B">
              <w:rPr>
                <w:szCs w:val="22"/>
              </w:rPr>
              <w:t>1,5-2,1</w:t>
            </w:r>
          </w:p>
        </w:tc>
        <w:tc>
          <w:tcPr>
            <w:tcW w:w="1304" w:type="dxa"/>
            <w:vAlign w:val="center"/>
          </w:tcPr>
          <w:p w14:paraId="762ADF4A" w14:textId="77777777" w:rsidR="00FA04C5" w:rsidRPr="001B388B" w:rsidRDefault="00FA04C5" w:rsidP="00C67AA1">
            <w:pPr>
              <w:ind w:left="0" w:firstLine="0"/>
              <w:jc w:val="center"/>
              <w:rPr>
                <w:szCs w:val="22"/>
              </w:rPr>
            </w:pPr>
            <w:r w:rsidRPr="001B388B">
              <w:rPr>
                <w:szCs w:val="22"/>
              </w:rPr>
              <w:t>0,75-1,05</w:t>
            </w:r>
          </w:p>
        </w:tc>
        <w:tc>
          <w:tcPr>
            <w:tcW w:w="4021" w:type="dxa"/>
          </w:tcPr>
          <w:p w14:paraId="65C514B0" w14:textId="77777777" w:rsidR="00FA04C5" w:rsidRPr="001B388B" w:rsidRDefault="00FA04C5" w:rsidP="00C67AA1">
            <w:pPr>
              <w:ind w:left="0" w:firstLine="0"/>
              <w:rPr>
                <w:szCs w:val="22"/>
              </w:rPr>
            </w:pPr>
            <w:r w:rsidRPr="001B388B">
              <w:rPr>
                <w:szCs w:val="22"/>
              </w:rPr>
              <w:t>Normálna hladina horčíka</w:t>
            </w:r>
          </w:p>
        </w:tc>
      </w:tr>
      <w:tr w:rsidR="00FA04C5" w:rsidRPr="001B388B" w14:paraId="0142AC2F" w14:textId="77777777" w:rsidTr="00FA04C5">
        <w:tc>
          <w:tcPr>
            <w:tcW w:w="1304" w:type="dxa"/>
            <w:vAlign w:val="center"/>
          </w:tcPr>
          <w:p w14:paraId="22775DE4" w14:textId="77777777" w:rsidR="00FA04C5" w:rsidRPr="001B388B" w:rsidRDefault="00FA04C5" w:rsidP="00C67AA1">
            <w:pPr>
              <w:ind w:left="0" w:firstLine="0"/>
              <w:jc w:val="center"/>
              <w:rPr>
                <w:szCs w:val="22"/>
              </w:rPr>
            </w:pPr>
            <w:r w:rsidRPr="001B388B">
              <w:rPr>
                <w:szCs w:val="22"/>
              </w:rPr>
              <w:t>2,5-5,0</w:t>
            </w:r>
          </w:p>
        </w:tc>
        <w:tc>
          <w:tcPr>
            <w:tcW w:w="1304" w:type="dxa"/>
            <w:vAlign w:val="center"/>
          </w:tcPr>
          <w:p w14:paraId="5859C952" w14:textId="77777777" w:rsidR="00FA04C5" w:rsidRPr="001B388B" w:rsidRDefault="00FA04C5" w:rsidP="00C67AA1">
            <w:pPr>
              <w:ind w:left="0" w:firstLine="0"/>
              <w:jc w:val="center"/>
              <w:rPr>
                <w:szCs w:val="22"/>
              </w:rPr>
            </w:pPr>
            <w:r w:rsidRPr="001B388B">
              <w:rPr>
                <w:szCs w:val="22"/>
              </w:rPr>
              <w:t>2,1-4,2</w:t>
            </w:r>
          </w:p>
        </w:tc>
        <w:tc>
          <w:tcPr>
            <w:tcW w:w="1304" w:type="dxa"/>
            <w:vAlign w:val="center"/>
          </w:tcPr>
          <w:p w14:paraId="078D324C" w14:textId="77777777" w:rsidR="00FA04C5" w:rsidRPr="001B388B" w:rsidRDefault="00FA04C5" w:rsidP="00C67AA1">
            <w:pPr>
              <w:ind w:left="0" w:firstLine="0"/>
              <w:jc w:val="center"/>
              <w:rPr>
                <w:szCs w:val="22"/>
              </w:rPr>
            </w:pPr>
            <w:r w:rsidRPr="001B388B">
              <w:rPr>
                <w:szCs w:val="22"/>
              </w:rPr>
              <w:t>1,05-2,1</w:t>
            </w:r>
          </w:p>
        </w:tc>
        <w:tc>
          <w:tcPr>
            <w:tcW w:w="4021" w:type="dxa"/>
          </w:tcPr>
          <w:p w14:paraId="4ECF497A" w14:textId="77777777" w:rsidR="00FA04C5" w:rsidRPr="001B388B" w:rsidRDefault="00FA04C5" w:rsidP="00C67AA1">
            <w:pPr>
              <w:ind w:left="0" w:firstLine="0"/>
              <w:rPr>
                <w:szCs w:val="22"/>
              </w:rPr>
            </w:pPr>
            <w:r w:rsidRPr="001B388B">
              <w:rPr>
                <w:szCs w:val="22"/>
              </w:rPr>
              <w:t>Zvyčajne asymptomatické</w:t>
            </w:r>
          </w:p>
        </w:tc>
      </w:tr>
      <w:tr w:rsidR="00FA04C5" w:rsidRPr="001B388B" w14:paraId="7A6F6755" w14:textId="77777777" w:rsidTr="00FA04C5">
        <w:tc>
          <w:tcPr>
            <w:tcW w:w="1304" w:type="dxa"/>
            <w:vAlign w:val="center"/>
          </w:tcPr>
          <w:p w14:paraId="75D438E6" w14:textId="77777777" w:rsidR="00FA04C5" w:rsidRPr="001B388B" w:rsidRDefault="00FA04C5" w:rsidP="00C67AA1">
            <w:pPr>
              <w:ind w:left="0" w:firstLine="0"/>
              <w:jc w:val="center"/>
              <w:rPr>
                <w:szCs w:val="22"/>
              </w:rPr>
            </w:pPr>
            <w:r w:rsidRPr="001B388B">
              <w:rPr>
                <w:szCs w:val="22"/>
              </w:rPr>
              <w:t>5,0-7,0</w:t>
            </w:r>
          </w:p>
        </w:tc>
        <w:tc>
          <w:tcPr>
            <w:tcW w:w="1304" w:type="dxa"/>
            <w:vAlign w:val="center"/>
          </w:tcPr>
          <w:p w14:paraId="6997C7BD" w14:textId="77777777" w:rsidR="00FA04C5" w:rsidRPr="001B388B" w:rsidRDefault="00FA04C5" w:rsidP="00C67AA1">
            <w:pPr>
              <w:ind w:left="0" w:firstLine="0"/>
              <w:jc w:val="center"/>
              <w:rPr>
                <w:szCs w:val="22"/>
              </w:rPr>
            </w:pPr>
            <w:r w:rsidRPr="001B388B">
              <w:rPr>
                <w:szCs w:val="22"/>
              </w:rPr>
              <w:t>4,2-5,8</w:t>
            </w:r>
          </w:p>
        </w:tc>
        <w:tc>
          <w:tcPr>
            <w:tcW w:w="1304" w:type="dxa"/>
            <w:vAlign w:val="center"/>
          </w:tcPr>
          <w:p w14:paraId="7ED69086" w14:textId="77777777" w:rsidR="00FA04C5" w:rsidRPr="001B388B" w:rsidRDefault="00FA04C5" w:rsidP="00C67AA1">
            <w:pPr>
              <w:ind w:left="0" w:firstLine="0"/>
              <w:jc w:val="center"/>
              <w:rPr>
                <w:szCs w:val="22"/>
              </w:rPr>
            </w:pPr>
            <w:r w:rsidRPr="001B388B">
              <w:rPr>
                <w:szCs w:val="22"/>
              </w:rPr>
              <w:t>2,1-2,9</w:t>
            </w:r>
          </w:p>
        </w:tc>
        <w:tc>
          <w:tcPr>
            <w:tcW w:w="4021" w:type="dxa"/>
          </w:tcPr>
          <w:p w14:paraId="08734FFB" w14:textId="77777777" w:rsidR="00FA04C5" w:rsidRPr="001B388B" w:rsidRDefault="00FA04C5" w:rsidP="00C67AA1">
            <w:pPr>
              <w:ind w:left="0" w:firstLine="0"/>
              <w:rPr>
                <w:szCs w:val="22"/>
              </w:rPr>
            </w:pPr>
            <w:r w:rsidRPr="001B388B">
              <w:rPr>
                <w:szCs w:val="22"/>
              </w:rPr>
              <w:t>Letargia</w:t>
            </w:r>
          </w:p>
          <w:p w14:paraId="4AD007DB" w14:textId="77777777" w:rsidR="00FA04C5" w:rsidRPr="001B388B" w:rsidRDefault="00FA04C5" w:rsidP="00C67AA1">
            <w:pPr>
              <w:ind w:left="0" w:firstLine="0"/>
              <w:rPr>
                <w:szCs w:val="22"/>
              </w:rPr>
            </w:pPr>
            <w:r w:rsidRPr="001B388B">
              <w:rPr>
                <w:szCs w:val="22"/>
              </w:rPr>
              <w:t>Ospalosť</w:t>
            </w:r>
          </w:p>
          <w:p w14:paraId="29CA34D3" w14:textId="77777777" w:rsidR="00FA04C5" w:rsidRPr="001B388B" w:rsidRDefault="00FA04C5" w:rsidP="00C67AA1">
            <w:pPr>
              <w:ind w:left="0" w:firstLine="0"/>
              <w:rPr>
                <w:szCs w:val="22"/>
              </w:rPr>
            </w:pPr>
            <w:r w:rsidRPr="001B388B">
              <w:rPr>
                <w:szCs w:val="22"/>
              </w:rPr>
              <w:t>Návaly horúčavy</w:t>
            </w:r>
          </w:p>
          <w:p w14:paraId="4D595B71" w14:textId="77777777" w:rsidR="00FA04C5" w:rsidRPr="001B388B" w:rsidRDefault="00FA04C5" w:rsidP="00C67AA1">
            <w:pPr>
              <w:ind w:left="0" w:firstLine="0"/>
              <w:rPr>
                <w:szCs w:val="22"/>
              </w:rPr>
            </w:pPr>
            <w:r w:rsidRPr="001B388B">
              <w:rPr>
                <w:szCs w:val="22"/>
              </w:rPr>
              <w:t>Nauzea a vracanie</w:t>
            </w:r>
          </w:p>
          <w:p w14:paraId="7815E141" w14:textId="7AED90B8" w:rsidR="00FA04C5" w:rsidRPr="001B388B" w:rsidRDefault="001D43F9" w:rsidP="00C67AA1">
            <w:pPr>
              <w:ind w:left="0" w:firstLine="0"/>
              <w:rPr>
                <w:szCs w:val="22"/>
              </w:rPr>
            </w:pPr>
            <w:r w:rsidRPr="001B388B">
              <w:rPr>
                <w:szCs w:val="22"/>
              </w:rPr>
              <w:t>Oslabe</w:t>
            </w:r>
            <w:r w:rsidR="00FA04C5" w:rsidRPr="001B388B">
              <w:rPr>
                <w:szCs w:val="22"/>
              </w:rPr>
              <w:t xml:space="preserve">ný </w:t>
            </w:r>
            <w:r w:rsidR="00643594">
              <w:rPr>
                <w:szCs w:val="22"/>
              </w:rPr>
              <w:t xml:space="preserve">reflex </w:t>
            </w:r>
            <w:r w:rsidR="00FA04C5" w:rsidRPr="001B388B">
              <w:rPr>
                <w:szCs w:val="22"/>
              </w:rPr>
              <w:t>hlboký</w:t>
            </w:r>
            <w:r w:rsidR="00643594">
              <w:rPr>
                <w:szCs w:val="22"/>
              </w:rPr>
              <w:t>ch</w:t>
            </w:r>
            <w:r w:rsidR="00FA04C5" w:rsidRPr="001B388B">
              <w:rPr>
                <w:szCs w:val="22"/>
              </w:rPr>
              <w:t xml:space="preserve"> š</w:t>
            </w:r>
            <w:r w:rsidR="00643594">
              <w:rPr>
                <w:szCs w:val="22"/>
              </w:rPr>
              <w:t>liach</w:t>
            </w:r>
          </w:p>
        </w:tc>
      </w:tr>
      <w:tr w:rsidR="00FA04C5" w:rsidRPr="001B388B" w14:paraId="19829EA3" w14:textId="77777777" w:rsidTr="00FA04C5">
        <w:tc>
          <w:tcPr>
            <w:tcW w:w="1304" w:type="dxa"/>
            <w:vAlign w:val="center"/>
          </w:tcPr>
          <w:p w14:paraId="1EDC174D" w14:textId="77777777" w:rsidR="00FA04C5" w:rsidRPr="001B388B" w:rsidRDefault="00FA04C5" w:rsidP="00C67AA1">
            <w:pPr>
              <w:ind w:left="0" w:firstLine="0"/>
              <w:jc w:val="center"/>
              <w:rPr>
                <w:szCs w:val="22"/>
              </w:rPr>
            </w:pPr>
            <w:r w:rsidRPr="001B388B">
              <w:rPr>
                <w:szCs w:val="22"/>
              </w:rPr>
              <w:t>7,0-12</w:t>
            </w:r>
          </w:p>
        </w:tc>
        <w:tc>
          <w:tcPr>
            <w:tcW w:w="1304" w:type="dxa"/>
            <w:vAlign w:val="center"/>
          </w:tcPr>
          <w:p w14:paraId="7C769C57" w14:textId="77777777" w:rsidR="00FA04C5" w:rsidRPr="001B388B" w:rsidRDefault="00FA04C5" w:rsidP="00C67AA1">
            <w:pPr>
              <w:ind w:left="0" w:firstLine="0"/>
              <w:jc w:val="center"/>
              <w:rPr>
                <w:szCs w:val="22"/>
              </w:rPr>
            </w:pPr>
            <w:r w:rsidRPr="001B388B">
              <w:rPr>
                <w:szCs w:val="22"/>
              </w:rPr>
              <w:t>5,8-10</w:t>
            </w:r>
          </w:p>
        </w:tc>
        <w:tc>
          <w:tcPr>
            <w:tcW w:w="1304" w:type="dxa"/>
            <w:vAlign w:val="center"/>
          </w:tcPr>
          <w:p w14:paraId="6D58BEB9" w14:textId="77777777" w:rsidR="00FA04C5" w:rsidRPr="001B388B" w:rsidRDefault="00FA04C5" w:rsidP="00C67AA1">
            <w:pPr>
              <w:ind w:left="0" w:firstLine="0"/>
              <w:jc w:val="center"/>
              <w:rPr>
                <w:szCs w:val="22"/>
              </w:rPr>
            </w:pPr>
            <w:r w:rsidRPr="001B388B">
              <w:rPr>
                <w:szCs w:val="22"/>
              </w:rPr>
              <w:t>2,9-5</w:t>
            </w:r>
          </w:p>
        </w:tc>
        <w:tc>
          <w:tcPr>
            <w:tcW w:w="4021" w:type="dxa"/>
          </w:tcPr>
          <w:p w14:paraId="0099A8A3" w14:textId="77777777" w:rsidR="00FA04C5" w:rsidRPr="001B388B" w:rsidRDefault="00BB5C9B" w:rsidP="00C67AA1">
            <w:pPr>
              <w:ind w:left="0" w:firstLine="0"/>
              <w:rPr>
                <w:szCs w:val="22"/>
              </w:rPr>
            </w:pPr>
            <w:r>
              <w:rPr>
                <w:szCs w:val="22"/>
              </w:rPr>
              <w:t>Spavosť</w:t>
            </w:r>
            <w:r w:rsidR="00FA04C5" w:rsidRPr="001B388B">
              <w:rPr>
                <w:szCs w:val="22"/>
              </w:rPr>
              <w:t xml:space="preserve"> </w:t>
            </w:r>
          </w:p>
          <w:p w14:paraId="21E71835" w14:textId="06D5EFCA" w:rsidR="00FA04C5" w:rsidRPr="001B388B" w:rsidRDefault="00FA04C5" w:rsidP="00C67AA1">
            <w:pPr>
              <w:ind w:left="0" w:firstLine="0"/>
              <w:rPr>
                <w:szCs w:val="22"/>
              </w:rPr>
            </w:pPr>
            <w:r w:rsidRPr="001B388B">
              <w:rPr>
                <w:szCs w:val="22"/>
              </w:rPr>
              <w:t xml:space="preserve">Vymiznutie </w:t>
            </w:r>
            <w:r w:rsidR="00643594">
              <w:rPr>
                <w:szCs w:val="22"/>
              </w:rPr>
              <w:t xml:space="preserve">reflexu </w:t>
            </w:r>
            <w:r w:rsidRPr="001B388B">
              <w:rPr>
                <w:szCs w:val="22"/>
              </w:rPr>
              <w:t>hlbokých š</w:t>
            </w:r>
            <w:r w:rsidR="00643594">
              <w:rPr>
                <w:szCs w:val="22"/>
              </w:rPr>
              <w:t>liach</w:t>
            </w:r>
          </w:p>
          <w:p w14:paraId="39987C6D" w14:textId="77777777" w:rsidR="00FA04C5" w:rsidRPr="001B388B" w:rsidRDefault="00FA04C5" w:rsidP="00C67AA1">
            <w:pPr>
              <w:ind w:left="0" w:firstLine="0"/>
              <w:rPr>
                <w:szCs w:val="22"/>
              </w:rPr>
            </w:pPr>
            <w:r w:rsidRPr="001B388B">
              <w:rPr>
                <w:szCs w:val="22"/>
              </w:rPr>
              <w:t>Hypotenzia</w:t>
            </w:r>
          </w:p>
          <w:p w14:paraId="29EA3867" w14:textId="77777777" w:rsidR="00FA04C5" w:rsidRPr="001B388B" w:rsidRDefault="00FA04C5" w:rsidP="00C67AA1">
            <w:pPr>
              <w:ind w:left="0" w:firstLine="0"/>
              <w:rPr>
                <w:szCs w:val="22"/>
              </w:rPr>
            </w:pPr>
            <w:r w:rsidRPr="001B388B">
              <w:rPr>
                <w:szCs w:val="22"/>
              </w:rPr>
              <w:t>Zmeny EKG</w:t>
            </w:r>
          </w:p>
        </w:tc>
      </w:tr>
      <w:tr w:rsidR="00FA04C5" w:rsidRPr="001B388B" w14:paraId="6A807401" w14:textId="77777777" w:rsidTr="00FA04C5">
        <w:tc>
          <w:tcPr>
            <w:tcW w:w="1304" w:type="dxa"/>
            <w:vAlign w:val="center"/>
          </w:tcPr>
          <w:p w14:paraId="430C972D" w14:textId="77777777" w:rsidR="00FA04C5" w:rsidRPr="001B388B" w:rsidRDefault="00FA04C5" w:rsidP="00C67AA1">
            <w:pPr>
              <w:ind w:left="0" w:firstLine="0"/>
              <w:jc w:val="center"/>
              <w:rPr>
                <w:szCs w:val="22"/>
              </w:rPr>
            </w:pPr>
            <w:r w:rsidRPr="001B388B">
              <w:rPr>
                <w:szCs w:val="22"/>
              </w:rPr>
              <w:t>&gt;12</w:t>
            </w:r>
          </w:p>
        </w:tc>
        <w:tc>
          <w:tcPr>
            <w:tcW w:w="1304" w:type="dxa"/>
            <w:vAlign w:val="center"/>
          </w:tcPr>
          <w:p w14:paraId="55106985" w14:textId="77777777" w:rsidR="00FA04C5" w:rsidRPr="001B388B" w:rsidRDefault="00FA04C5" w:rsidP="00C67AA1">
            <w:pPr>
              <w:ind w:left="0" w:firstLine="0"/>
              <w:jc w:val="center"/>
              <w:rPr>
                <w:szCs w:val="22"/>
              </w:rPr>
            </w:pPr>
            <w:r w:rsidRPr="001B388B">
              <w:rPr>
                <w:szCs w:val="22"/>
              </w:rPr>
              <w:t>&gt;10</w:t>
            </w:r>
          </w:p>
        </w:tc>
        <w:tc>
          <w:tcPr>
            <w:tcW w:w="1304" w:type="dxa"/>
            <w:vAlign w:val="center"/>
          </w:tcPr>
          <w:p w14:paraId="71ACFACA" w14:textId="77777777" w:rsidR="00FA04C5" w:rsidRPr="001B388B" w:rsidRDefault="00FA04C5" w:rsidP="00C67AA1">
            <w:pPr>
              <w:ind w:left="0" w:firstLine="0"/>
              <w:jc w:val="center"/>
              <w:rPr>
                <w:szCs w:val="22"/>
              </w:rPr>
            </w:pPr>
            <w:r w:rsidRPr="001B388B">
              <w:rPr>
                <w:szCs w:val="22"/>
              </w:rPr>
              <w:t>&gt;5</w:t>
            </w:r>
          </w:p>
        </w:tc>
        <w:tc>
          <w:tcPr>
            <w:tcW w:w="4021" w:type="dxa"/>
          </w:tcPr>
          <w:p w14:paraId="141E11AB" w14:textId="77777777" w:rsidR="00FA04C5" w:rsidRPr="001B388B" w:rsidRDefault="00FA04C5" w:rsidP="00C67AA1">
            <w:pPr>
              <w:ind w:left="0" w:firstLine="0"/>
              <w:rPr>
                <w:szCs w:val="22"/>
              </w:rPr>
            </w:pPr>
            <w:r w:rsidRPr="001B388B">
              <w:rPr>
                <w:szCs w:val="22"/>
              </w:rPr>
              <w:t>Úplná zástava</w:t>
            </w:r>
            <w:r w:rsidR="0095673C" w:rsidRPr="001B388B">
              <w:rPr>
                <w:szCs w:val="22"/>
              </w:rPr>
              <w:t xml:space="preserve"> srdca</w:t>
            </w:r>
          </w:p>
          <w:p w14:paraId="60989161" w14:textId="77777777" w:rsidR="00FA04C5" w:rsidRPr="001B388B" w:rsidRDefault="00FA04C5" w:rsidP="00C67AA1">
            <w:pPr>
              <w:ind w:left="0" w:firstLine="0"/>
              <w:rPr>
                <w:szCs w:val="22"/>
              </w:rPr>
            </w:pPr>
            <w:r w:rsidRPr="001B388B">
              <w:rPr>
                <w:szCs w:val="22"/>
              </w:rPr>
              <w:t>Apnoe</w:t>
            </w:r>
          </w:p>
          <w:p w14:paraId="580E2249" w14:textId="77777777" w:rsidR="00FA04C5" w:rsidRPr="001B388B" w:rsidRDefault="0095673C" w:rsidP="00C67AA1">
            <w:pPr>
              <w:ind w:left="0" w:firstLine="0"/>
              <w:rPr>
                <w:szCs w:val="22"/>
              </w:rPr>
            </w:pPr>
            <w:r w:rsidRPr="001B388B">
              <w:rPr>
                <w:szCs w:val="22"/>
              </w:rPr>
              <w:t>Paralýza</w:t>
            </w:r>
          </w:p>
          <w:p w14:paraId="31462183" w14:textId="77777777" w:rsidR="00FA04C5" w:rsidRPr="001B388B" w:rsidRDefault="00FA04C5" w:rsidP="00C67AA1">
            <w:pPr>
              <w:ind w:left="0" w:firstLine="0"/>
              <w:rPr>
                <w:szCs w:val="22"/>
              </w:rPr>
            </w:pPr>
            <w:r w:rsidRPr="001B388B">
              <w:rPr>
                <w:szCs w:val="22"/>
              </w:rPr>
              <w:t xml:space="preserve">Kóma </w:t>
            </w:r>
          </w:p>
        </w:tc>
      </w:tr>
    </w:tbl>
    <w:p w14:paraId="5CEF4D43" w14:textId="77777777" w:rsidR="00FA04C5" w:rsidRPr="001B388B" w:rsidRDefault="00FA04C5" w:rsidP="00FA04C5">
      <w:pPr>
        <w:ind w:left="0" w:firstLine="0"/>
        <w:rPr>
          <w:szCs w:val="22"/>
        </w:rPr>
      </w:pPr>
    </w:p>
    <w:p w14:paraId="6373E9B1" w14:textId="77777777" w:rsidR="0095673C" w:rsidRPr="001B388B" w:rsidRDefault="0095673C" w:rsidP="00FA04C5">
      <w:pPr>
        <w:ind w:left="0" w:firstLine="0"/>
        <w:rPr>
          <w:szCs w:val="22"/>
        </w:rPr>
      </w:pPr>
      <w:r w:rsidRPr="001B388B">
        <w:rPr>
          <w:i/>
          <w:iCs/>
          <w:szCs w:val="22"/>
        </w:rPr>
        <w:t>Liečba</w:t>
      </w:r>
    </w:p>
    <w:p w14:paraId="70D909C8" w14:textId="585CBF1F" w:rsidR="0095673C" w:rsidRPr="001B388B" w:rsidRDefault="0095673C" w:rsidP="00FA04C5">
      <w:pPr>
        <w:ind w:left="0" w:firstLine="0"/>
        <w:rPr>
          <w:szCs w:val="22"/>
        </w:rPr>
      </w:pPr>
      <w:r w:rsidRPr="001B388B">
        <w:rPr>
          <w:szCs w:val="22"/>
        </w:rPr>
        <w:t xml:space="preserve">U pacientov s miernou </w:t>
      </w:r>
      <w:proofErr w:type="spellStart"/>
      <w:r w:rsidRPr="001B388B">
        <w:rPr>
          <w:szCs w:val="22"/>
        </w:rPr>
        <w:t>hypermagneziémiou</w:t>
      </w:r>
      <w:proofErr w:type="spellEnd"/>
      <w:r w:rsidRPr="001B388B">
        <w:rPr>
          <w:szCs w:val="22"/>
        </w:rPr>
        <w:t xml:space="preserve"> je na obnovenie normálnych koncentrácií horčíka zvyčajne dostačujúce </w:t>
      </w:r>
      <w:r w:rsidR="00703549">
        <w:rPr>
          <w:szCs w:val="22"/>
        </w:rPr>
        <w:t>prerušenie</w:t>
      </w:r>
      <w:r w:rsidRPr="001B388B">
        <w:rPr>
          <w:szCs w:val="22"/>
        </w:rPr>
        <w:t xml:space="preserve"> liečby horčíkom.</w:t>
      </w:r>
    </w:p>
    <w:p w14:paraId="51593FBB" w14:textId="77777777" w:rsidR="0095673C" w:rsidRPr="001B388B" w:rsidRDefault="0095673C" w:rsidP="00FA04C5">
      <w:pPr>
        <w:ind w:left="0" w:firstLine="0"/>
        <w:rPr>
          <w:szCs w:val="22"/>
        </w:rPr>
      </w:pPr>
      <w:r w:rsidRPr="001B388B">
        <w:rPr>
          <w:szCs w:val="22"/>
        </w:rPr>
        <w:t xml:space="preserve">Pri </w:t>
      </w:r>
      <w:r w:rsidR="00BB5C9B">
        <w:rPr>
          <w:szCs w:val="22"/>
        </w:rPr>
        <w:t>závažn</w:t>
      </w:r>
      <w:r w:rsidRPr="001B388B">
        <w:rPr>
          <w:szCs w:val="22"/>
        </w:rPr>
        <w:t xml:space="preserve">ej </w:t>
      </w:r>
      <w:proofErr w:type="spellStart"/>
      <w:r w:rsidRPr="001B388B">
        <w:rPr>
          <w:szCs w:val="22"/>
        </w:rPr>
        <w:t>hypermagneziémii</w:t>
      </w:r>
      <w:proofErr w:type="spellEnd"/>
      <w:r w:rsidRPr="001B388B">
        <w:rPr>
          <w:szCs w:val="22"/>
        </w:rPr>
        <w:t xml:space="preserve"> môžu hypotenziu a útlm dýchania zvrátiť soli</w:t>
      </w:r>
      <w:r w:rsidR="00BB5C9B">
        <w:rPr>
          <w:szCs w:val="22"/>
        </w:rPr>
        <w:t xml:space="preserve"> vápnika</w:t>
      </w:r>
      <w:r w:rsidRPr="001B388B">
        <w:rPr>
          <w:szCs w:val="22"/>
        </w:rPr>
        <w:t>. Pacientom sa zvyčajne podáva 100-200 mg elementárneho vápnika (10 až 20</w:t>
      </w:r>
      <w:r w:rsidR="00BB5C9B">
        <w:rPr>
          <w:szCs w:val="22"/>
        </w:rPr>
        <w:t xml:space="preserve"> ml</w:t>
      </w:r>
      <w:r w:rsidRPr="001B388B">
        <w:rPr>
          <w:szCs w:val="22"/>
        </w:rPr>
        <w:t xml:space="preserve"> 10</w:t>
      </w:r>
      <w:r w:rsidR="001D0AF8">
        <w:rPr>
          <w:szCs w:val="22"/>
        </w:rPr>
        <w:t> </w:t>
      </w:r>
      <w:r w:rsidRPr="001B388B">
        <w:rPr>
          <w:szCs w:val="22"/>
        </w:rPr>
        <w:t xml:space="preserve">% </w:t>
      </w:r>
      <w:proofErr w:type="spellStart"/>
      <w:r w:rsidRPr="001B388B">
        <w:rPr>
          <w:szCs w:val="22"/>
        </w:rPr>
        <w:t>glukonátu</w:t>
      </w:r>
      <w:proofErr w:type="spellEnd"/>
      <w:r w:rsidRPr="001B388B">
        <w:rPr>
          <w:szCs w:val="22"/>
        </w:rPr>
        <w:t xml:space="preserve"> vápenatého) intravenózne počas 5 až 10 minút.</w:t>
      </w:r>
    </w:p>
    <w:p w14:paraId="67EECF5C" w14:textId="77777777" w:rsidR="0095673C" w:rsidRPr="001B388B" w:rsidRDefault="0095673C" w:rsidP="00FA04C5">
      <w:pPr>
        <w:ind w:left="0" w:firstLine="0"/>
        <w:rPr>
          <w:szCs w:val="22"/>
        </w:rPr>
      </w:pPr>
      <w:r w:rsidRPr="001B388B">
        <w:rPr>
          <w:szCs w:val="22"/>
        </w:rPr>
        <w:t xml:space="preserve">Alternatívne môže byť pacientom so závažnou intoxikáciou horčíkom podaný 1 g intravenózneho </w:t>
      </w:r>
      <w:proofErr w:type="spellStart"/>
      <w:r w:rsidRPr="001B388B">
        <w:rPr>
          <w:szCs w:val="22"/>
        </w:rPr>
        <w:t>glukonátu</w:t>
      </w:r>
      <w:proofErr w:type="spellEnd"/>
      <w:r w:rsidRPr="001B388B">
        <w:rPr>
          <w:szCs w:val="22"/>
        </w:rPr>
        <w:t xml:space="preserve"> vápenatého. Potom m</w:t>
      </w:r>
      <w:r w:rsidR="00E316B8" w:rsidRPr="001B388B">
        <w:rPr>
          <w:szCs w:val="22"/>
        </w:rPr>
        <w:t>á</w:t>
      </w:r>
      <w:r w:rsidRPr="001B388B">
        <w:rPr>
          <w:szCs w:val="22"/>
        </w:rPr>
        <w:t xml:space="preserve"> nasledovať </w:t>
      </w:r>
      <w:r w:rsidRPr="008702AA">
        <w:rPr>
          <w:szCs w:val="22"/>
        </w:rPr>
        <w:t>infúzia 150-100</w:t>
      </w:r>
      <w:r w:rsidRPr="001B388B">
        <w:rPr>
          <w:szCs w:val="22"/>
        </w:rPr>
        <w:t xml:space="preserve"> mg vápnika v priebehu 5 až 10 minút.</w:t>
      </w:r>
      <w:r w:rsidR="00E316B8" w:rsidRPr="001B388B">
        <w:rPr>
          <w:szCs w:val="22"/>
        </w:rPr>
        <w:t xml:space="preserve"> Ak je funkcia obličiek adekvátna, mali by sa na podporu </w:t>
      </w:r>
      <w:proofErr w:type="spellStart"/>
      <w:r w:rsidR="00E316B8" w:rsidRPr="001B388B">
        <w:rPr>
          <w:szCs w:val="22"/>
        </w:rPr>
        <w:t>renálneho</w:t>
      </w:r>
      <w:proofErr w:type="spellEnd"/>
      <w:r w:rsidR="00E316B8" w:rsidRPr="001B388B">
        <w:rPr>
          <w:szCs w:val="22"/>
        </w:rPr>
        <w:t xml:space="preserve"> </w:t>
      </w:r>
      <w:proofErr w:type="spellStart"/>
      <w:r w:rsidR="00E316B8" w:rsidRPr="001B388B">
        <w:rPr>
          <w:szCs w:val="22"/>
        </w:rPr>
        <w:t>klírensu</w:t>
      </w:r>
      <w:proofErr w:type="spellEnd"/>
      <w:r w:rsidR="00E316B8" w:rsidRPr="001B388B">
        <w:rPr>
          <w:szCs w:val="22"/>
        </w:rPr>
        <w:t xml:space="preserve"> horčíka</w:t>
      </w:r>
      <w:r w:rsidR="00755288" w:rsidRPr="00755288">
        <w:rPr>
          <w:szCs w:val="22"/>
        </w:rPr>
        <w:t xml:space="preserve"> </w:t>
      </w:r>
      <w:r w:rsidR="00755288" w:rsidRPr="001B388B">
        <w:rPr>
          <w:szCs w:val="22"/>
        </w:rPr>
        <w:t>podať tekutiny</w:t>
      </w:r>
      <w:r w:rsidR="00E316B8" w:rsidRPr="001B388B">
        <w:rPr>
          <w:szCs w:val="22"/>
        </w:rPr>
        <w:t xml:space="preserve">. Toto sa môže zvýšiť použitím </w:t>
      </w:r>
      <w:proofErr w:type="spellStart"/>
      <w:r w:rsidR="00E316B8" w:rsidRPr="001B388B">
        <w:rPr>
          <w:szCs w:val="22"/>
        </w:rPr>
        <w:t>furosemidu</w:t>
      </w:r>
      <w:proofErr w:type="spellEnd"/>
      <w:r w:rsidR="00E316B8" w:rsidRPr="001B388B">
        <w:rPr>
          <w:szCs w:val="22"/>
        </w:rPr>
        <w:t xml:space="preserve">. </w:t>
      </w:r>
    </w:p>
    <w:p w14:paraId="4F95E1E0" w14:textId="791CDE93" w:rsidR="00E316B8" w:rsidRPr="001B388B" w:rsidRDefault="00E316B8" w:rsidP="00FA04C5">
      <w:pPr>
        <w:ind w:left="0" w:firstLine="0"/>
        <w:rPr>
          <w:szCs w:val="22"/>
        </w:rPr>
      </w:pPr>
      <w:r w:rsidRPr="001B388B">
        <w:rPr>
          <w:szCs w:val="22"/>
        </w:rPr>
        <w:t>U pacientov s</w:t>
      </w:r>
      <w:r w:rsidR="00755288">
        <w:rPr>
          <w:szCs w:val="22"/>
        </w:rPr>
        <w:t>o závažnou</w:t>
      </w:r>
      <w:r w:rsidRPr="001B388B">
        <w:rPr>
          <w:szCs w:val="22"/>
        </w:rPr>
        <w:t xml:space="preserve"> </w:t>
      </w:r>
      <w:proofErr w:type="spellStart"/>
      <w:r w:rsidRPr="001B388B">
        <w:rPr>
          <w:szCs w:val="22"/>
        </w:rPr>
        <w:t>renálnou</w:t>
      </w:r>
      <w:proofErr w:type="spellEnd"/>
      <w:r w:rsidRPr="001B388B">
        <w:rPr>
          <w:szCs w:val="22"/>
        </w:rPr>
        <w:t xml:space="preserve"> dysfunkciou alebo u ktorých sa iné metódy ukázali ako neúčinné, sa ako spôsob rýchleho zníženia hladín horčíka </w:t>
      </w:r>
      <w:r w:rsidR="00E33E33" w:rsidRPr="00703549">
        <w:rPr>
          <w:szCs w:val="22"/>
        </w:rPr>
        <w:t>môže využiť</w:t>
      </w:r>
      <w:r w:rsidRPr="001B388B">
        <w:rPr>
          <w:szCs w:val="22"/>
        </w:rPr>
        <w:t xml:space="preserve"> dialýza bez horčíka. Pri znižovaní hladín horčíka sú účinné peritoneálna dialýza aj hemodialýza. </w:t>
      </w:r>
    </w:p>
    <w:p w14:paraId="440725F7" w14:textId="77777777" w:rsidR="00780926" w:rsidRPr="001B388B" w:rsidRDefault="00780926" w:rsidP="00E316B8">
      <w:pPr>
        <w:ind w:left="0" w:firstLine="0"/>
        <w:rPr>
          <w:szCs w:val="22"/>
        </w:rPr>
      </w:pPr>
    </w:p>
    <w:p w14:paraId="61485B88" w14:textId="77777777" w:rsidR="00780926" w:rsidRPr="001B388B" w:rsidRDefault="00780926" w:rsidP="00E316B8">
      <w:pPr>
        <w:ind w:left="0" w:firstLine="0"/>
        <w:rPr>
          <w:szCs w:val="22"/>
        </w:rPr>
      </w:pPr>
    </w:p>
    <w:p w14:paraId="2FEC5257" w14:textId="77777777" w:rsidR="00780926" w:rsidRPr="001B388B" w:rsidRDefault="00780926" w:rsidP="00E41B3F">
      <w:pPr>
        <w:rPr>
          <w:szCs w:val="22"/>
        </w:rPr>
      </w:pPr>
      <w:r w:rsidRPr="008702AA">
        <w:rPr>
          <w:b/>
          <w:szCs w:val="22"/>
        </w:rPr>
        <w:t>5.</w:t>
      </w:r>
      <w:r w:rsidRPr="008702AA">
        <w:rPr>
          <w:b/>
          <w:szCs w:val="22"/>
        </w:rPr>
        <w:tab/>
        <w:t>FARMAKOLOGICKÉ VLASTNOSTI</w:t>
      </w:r>
    </w:p>
    <w:p w14:paraId="181F9698" w14:textId="77777777" w:rsidR="00780926" w:rsidRPr="001B388B" w:rsidRDefault="00780926" w:rsidP="00E316B8">
      <w:pPr>
        <w:ind w:left="0" w:firstLine="0"/>
        <w:rPr>
          <w:bCs/>
          <w:szCs w:val="22"/>
        </w:rPr>
      </w:pPr>
    </w:p>
    <w:p w14:paraId="0EE10789" w14:textId="77777777" w:rsidR="00780926" w:rsidRPr="001B388B" w:rsidRDefault="00780926" w:rsidP="00E41B3F">
      <w:pPr>
        <w:rPr>
          <w:szCs w:val="22"/>
        </w:rPr>
      </w:pPr>
      <w:r w:rsidRPr="001B388B">
        <w:rPr>
          <w:b/>
          <w:szCs w:val="22"/>
        </w:rPr>
        <w:t>5.1</w:t>
      </w:r>
      <w:r w:rsidRPr="001B388B">
        <w:rPr>
          <w:b/>
          <w:szCs w:val="22"/>
        </w:rPr>
        <w:tab/>
        <w:t>Farmakodynamické vlastnosti</w:t>
      </w:r>
    </w:p>
    <w:p w14:paraId="69EABCBA" w14:textId="77777777" w:rsidR="00780926" w:rsidRPr="001B388B" w:rsidRDefault="00780926" w:rsidP="00E316B8">
      <w:pPr>
        <w:ind w:left="0" w:firstLine="0"/>
        <w:rPr>
          <w:szCs w:val="22"/>
        </w:rPr>
      </w:pPr>
    </w:p>
    <w:p w14:paraId="6D5720FB" w14:textId="6393B732" w:rsidR="00780926" w:rsidRPr="001B388B" w:rsidRDefault="00780926" w:rsidP="00E316B8">
      <w:pPr>
        <w:ind w:left="0" w:firstLine="0"/>
        <w:outlineLvl w:val="0"/>
        <w:rPr>
          <w:szCs w:val="22"/>
        </w:rPr>
      </w:pPr>
      <w:proofErr w:type="spellStart"/>
      <w:r w:rsidRPr="001B388B">
        <w:rPr>
          <w:szCs w:val="22"/>
        </w:rPr>
        <w:t>Farmakoterapeutická</w:t>
      </w:r>
      <w:proofErr w:type="spellEnd"/>
      <w:r w:rsidRPr="001B388B">
        <w:rPr>
          <w:szCs w:val="22"/>
        </w:rPr>
        <w:t xml:space="preserve"> skupina:</w:t>
      </w:r>
      <w:r w:rsidR="00E316B8" w:rsidRPr="001B388B">
        <w:rPr>
          <w:szCs w:val="22"/>
        </w:rPr>
        <w:t xml:space="preserve"> Iné minerálne doplnky, síran horečnatý</w:t>
      </w:r>
      <w:r w:rsidRPr="001B388B">
        <w:rPr>
          <w:szCs w:val="22"/>
        </w:rPr>
        <w:t xml:space="preserve">, ATC kód: </w:t>
      </w:r>
      <w:r w:rsidR="00E316B8" w:rsidRPr="001B388B">
        <w:rPr>
          <w:szCs w:val="22"/>
        </w:rPr>
        <w:t>A12CC02</w:t>
      </w:r>
    </w:p>
    <w:p w14:paraId="42992F3A" w14:textId="77777777" w:rsidR="00780926" w:rsidRPr="001B388B" w:rsidRDefault="00780926" w:rsidP="00E41B3F">
      <w:pPr>
        <w:ind w:left="0" w:firstLine="0"/>
        <w:outlineLvl w:val="0"/>
        <w:rPr>
          <w:szCs w:val="22"/>
        </w:rPr>
      </w:pPr>
    </w:p>
    <w:p w14:paraId="09B5893C" w14:textId="16E03B7A" w:rsidR="00A833E5" w:rsidRPr="001B388B" w:rsidRDefault="00E316B8" w:rsidP="00E41B3F">
      <w:pPr>
        <w:ind w:left="0" w:firstLine="0"/>
        <w:rPr>
          <w:szCs w:val="22"/>
        </w:rPr>
      </w:pPr>
      <w:r w:rsidRPr="001B388B">
        <w:rPr>
          <w:szCs w:val="22"/>
        </w:rPr>
        <w:t>Horčík je kofaktorom viac ako 300 enzymatických reakcií, k</w:t>
      </w:r>
      <w:r w:rsidR="00D524C4" w:rsidRPr="001B388B">
        <w:rPr>
          <w:szCs w:val="22"/>
        </w:rPr>
        <w:t>edy</w:t>
      </w:r>
      <w:r w:rsidRPr="001B388B">
        <w:rPr>
          <w:szCs w:val="22"/>
        </w:rPr>
        <w:t xml:space="preserve"> pôsob</w:t>
      </w:r>
      <w:r w:rsidR="00D524C4" w:rsidRPr="001B388B">
        <w:rPr>
          <w:szCs w:val="22"/>
        </w:rPr>
        <w:t>í</w:t>
      </w:r>
      <w:r w:rsidRPr="001B388B">
        <w:rPr>
          <w:szCs w:val="22"/>
        </w:rPr>
        <w:t xml:space="preserve"> buď na substrát (najmä pri reakciách zahŕňajúcich ATP, kde jeho väzba na nukleotid indukuje adekvátnu konformáciu a pomáha oslabiť terminálnu väzbu</w:t>
      </w:r>
      <w:r w:rsidR="00D524C4" w:rsidRPr="001B388B">
        <w:rPr>
          <w:szCs w:val="22"/>
        </w:rPr>
        <w:t xml:space="preserve"> ATP</w:t>
      </w:r>
      <w:r w:rsidRPr="001B388B">
        <w:rPr>
          <w:szCs w:val="22"/>
        </w:rPr>
        <w:t xml:space="preserve"> O-P, čím uľahčuje preno</w:t>
      </w:r>
      <w:r w:rsidR="00D524C4" w:rsidRPr="001B388B">
        <w:rPr>
          <w:szCs w:val="22"/>
        </w:rPr>
        <w:t>s fosfátu) alebo na samotný enzým ako štrukturáln</w:t>
      </w:r>
      <w:r w:rsidR="00E33E33">
        <w:rPr>
          <w:szCs w:val="22"/>
        </w:rPr>
        <w:t>a</w:t>
      </w:r>
      <w:r w:rsidR="00D524C4" w:rsidRPr="001B388B">
        <w:rPr>
          <w:szCs w:val="22"/>
        </w:rPr>
        <w:t xml:space="preserve"> alebo katalytick</w:t>
      </w:r>
      <w:r w:rsidR="00E33E33">
        <w:rPr>
          <w:szCs w:val="22"/>
        </w:rPr>
        <w:t>á</w:t>
      </w:r>
      <w:r w:rsidR="00D524C4" w:rsidRPr="001B388B">
        <w:rPr>
          <w:szCs w:val="22"/>
        </w:rPr>
        <w:t xml:space="preserve"> zložk</w:t>
      </w:r>
      <w:r w:rsidR="00E33E33">
        <w:rPr>
          <w:szCs w:val="22"/>
        </w:rPr>
        <w:t>a</w:t>
      </w:r>
      <w:r w:rsidR="00D524C4" w:rsidRPr="001B388B">
        <w:rPr>
          <w:szCs w:val="22"/>
        </w:rPr>
        <w:t>. Pretože využitie AT</w:t>
      </w:r>
      <w:r w:rsidR="005D3311" w:rsidRPr="001B388B">
        <w:rPr>
          <w:szCs w:val="22"/>
        </w:rPr>
        <w:t>P</w:t>
      </w:r>
      <w:r w:rsidR="00D524C4" w:rsidRPr="001B388B">
        <w:rPr>
          <w:szCs w:val="22"/>
        </w:rPr>
        <w:t xml:space="preserve"> sa podieľa na mnohých metabolických dráhach, je horčík nevyhnutný v </w:t>
      </w:r>
      <w:proofErr w:type="spellStart"/>
      <w:r w:rsidR="00D524C4" w:rsidRPr="001B388B">
        <w:rPr>
          <w:szCs w:val="22"/>
        </w:rPr>
        <w:t>intermediálnom</w:t>
      </w:r>
      <w:proofErr w:type="spellEnd"/>
      <w:r w:rsidR="00D524C4" w:rsidRPr="001B388B">
        <w:rPr>
          <w:szCs w:val="22"/>
        </w:rPr>
        <w:t xml:space="preserve"> metabolizme na syntézu sacharidov, lipidov, nukleových kyselín a proteínov, ako aj na špecifické pôsobenie v rôznych orgánoch, ako je neuromuskulárny alebo kardiovaskulárny systém.  </w:t>
      </w:r>
    </w:p>
    <w:p w14:paraId="145E6903" w14:textId="77777777" w:rsidR="00D524C4" w:rsidRPr="001B388B" w:rsidRDefault="00D524C4" w:rsidP="00E41B3F">
      <w:pPr>
        <w:ind w:left="0" w:firstLine="0"/>
        <w:rPr>
          <w:szCs w:val="22"/>
        </w:rPr>
      </w:pPr>
    </w:p>
    <w:p w14:paraId="04EF63FF" w14:textId="77777777" w:rsidR="005D3311" w:rsidRPr="001B388B" w:rsidRDefault="005D3311" w:rsidP="00E41B3F">
      <w:pPr>
        <w:ind w:left="0" w:firstLine="0"/>
        <w:rPr>
          <w:szCs w:val="22"/>
        </w:rPr>
      </w:pPr>
      <w:r w:rsidRPr="001B388B">
        <w:rPr>
          <w:szCs w:val="22"/>
        </w:rPr>
        <w:t xml:space="preserve">Horčík môže na úrovni membrány interferovať s vápnikom alebo sa viazať na membránové fosfolipidy, a tak modulovať priepustnosť membrány a elektrické vlastnosti. </w:t>
      </w:r>
      <w:r w:rsidR="005E654B">
        <w:rPr>
          <w:szCs w:val="22"/>
        </w:rPr>
        <w:t>V</w:t>
      </w:r>
      <w:r w:rsidRPr="001B388B">
        <w:rPr>
          <w:szCs w:val="22"/>
        </w:rPr>
        <w:t xml:space="preserve">ďaka svojej úlohe v štruktúre kryštálov </w:t>
      </w:r>
      <w:proofErr w:type="spellStart"/>
      <w:r w:rsidRPr="001B388B">
        <w:rPr>
          <w:szCs w:val="22"/>
        </w:rPr>
        <w:t>hydroxyapatitu</w:t>
      </w:r>
      <w:proofErr w:type="spellEnd"/>
      <w:r w:rsidRPr="001B388B">
        <w:rPr>
          <w:szCs w:val="22"/>
        </w:rPr>
        <w:t xml:space="preserve"> v</w:t>
      </w:r>
      <w:r w:rsidR="005E654B">
        <w:rPr>
          <w:szCs w:val="22"/>
        </w:rPr>
        <w:t> </w:t>
      </w:r>
      <w:r w:rsidRPr="001B388B">
        <w:rPr>
          <w:szCs w:val="22"/>
        </w:rPr>
        <w:t>kosti</w:t>
      </w:r>
      <w:r w:rsidR="005E654B">
        <w:rPr>
          <w:szCs w:val="22"/>
        </w:rPr>
        <w:t xml:space="preserve"> má horčík vplyv na zdravie kostí</w:t>
      </w:r>
      <w:r w:rsidRPr="001B388B">
        <w:rPr>
          <w:szCs w:val="22"/>
        </w:rPr>
        <w:t xml:space="preserve">. </w:t>
      </w:r>
    </w:p>
    <w:p w14:paraId="6EDBE12F" w14:textId="77777777" w:rsidR="00D524C4" w:rsidRPr="001B388B" w:rsidRDefault="00D524C4" w:rsidP="00E41B3F">
      <w:pPr>
        <w:ind w:left="0" w:firstLine="0"/>
        <w:rPr>
          <w:szCs w:val="22"/>
        </w:rPr>
      </w:pPr>
    </w:p>
    <w:p w14:paraId="045AC715" w14:textId="77777777" w:rsidR="00780926" w:rsidRPr="001B388B" w:rsidRDefault="00780926" w:rsidP="00E41B3F">
      <w:pPr>
        <w:rPr>
          <w:b/>
          <w:szCs w:val="22"/>
        </w:rPr>
      </w:pPr>
      <w:r w:rsidRPr="001B388B">
        <w:rPr>
          <w:b/>
          <w:szCs w:val="22"/>
        </w:rPr>
        <w:t>5.2</w:t>
      </w:r>
      <w:r w:rsidRPr="001B388B">
        <w:rPr>
          <w:b/>
          <w:szCs w:val="22"/>
        </w:rPr>
        <w:tab/>
        <w:t>Farmakokinetické vlastnosti</w:t>
      </w:r>
    </w:p>
    <w:p w14:paraId="29941F9C" w14:textId="77777777" w:rsidR="00E1698A" w:rsidRPr="001B388B" w:rsidRDefault="00E1698A" w:rsidP="005D3311">
      <w:pPr>
        <w:ind w:left="0" w:firstLine="0"/>
        <w:rPr>
          <w:szCs w:val="22"/>
        </w:rPr>
      </w:pPr>
    </w:p>
    <w:p w14:paraId="328D793E" w14:textId="77777777" w:rsidR="005D3311" w:rsidRPr="001B388B" w:rsidRDefault="005D3311" w:rsidP="005D3311">
      <w:pPr>
        <w:ind w:left="0" w:firstLine="0"/>
        <w:rPr>
          <w:szCs w:val="22"/>
        </w:rPr>
      </w:pPr>
      <w:r w:rsidRPr="001B388B">
        <w:rPr>
          <w:szCs w:val="22"/>
        </w:rPr>
        <w:t xml:space="preserve">Približné množstvo horčíka: 1 g </w:t>
      </w:r>
      <w:proofErr w:type="spellStart"/>
      <w:r w:rsidRPr="001B388B">
        <w:rPr>
          <w:szCs w:val="22"/>
        </w:rPr>
        <w:t>heptahydrátu</w:t>
      </w:r>
      <w:proofErr w:type="spellEnd"/>
      <w:r w:rsidRPr="001B388B">
        <w:rPr>
          <w:szCs w:val="22"/>
        </w:rPr>
        <w:t xml:space="preserve"> síranu </w:t>
      </w:r>
      <w:proofErr w:type="spellStart"/>
      <w:r w:rsidRPr="001B388B">
        <w:rPr>
          <w:szCs w:val="22"/>
        </w:rPr>
        <w:t>horečnatého</w:t>
      </w:r>
      <w:proofErr w:type="spellEnd"/>
      <w:r w:rsidRPr="001B388B">
        <w:rPr>
          <w:szCs w:val="22"/>
        </w:rPr>
        <w:t xml:space="preserve"> poskytne 4,1 mmol horčíka. </w:t>
      </w:r>
    </w:p>
    <w:p w14:paraId="787103A1" w14:textId="77777777" w:rsidR="005D3311" w:rsidRPr="001B388B" w:rsidRDefault="005D3311" w:rsidP="005D3311">
      <w:pPr>
        <w:ind w:left="0" w:firstLine="0"/>
        <w:rPr>
          <w:szCs w:val="22"/>
        </w:rPr>
      </w:pPr>
    </w:p>
    <w:p w14:paraId="22A53BF7" w14:textId="77777777" w:rsidR="00FC6918" w:rsidRPr="001B388B" w:rsidRDefault="00FC6918" w:rsidP="00E41B3F">
      <w:pPr>
        <w:numPr>
          <w:ilvl w:val="12"/>
          <w:numId w:val="0"/>
        </w:numPr>
        <w:suppressLineNumbers/>
        <w:ind w:right="-2"/>
        <w:rPr>
          <w:u w:val="single"/>
        </w:rPr>
      </w:pPr>
      <w:r w:rsidRPr="001B388B">
        <w:rPr>
          <w:u w:val="single"/>
        </w:rPr>
        <w:lastRenderedPageBreak/>
        <w:t>Absorpcia</w:t>
      </w:r>
    </w:p>
    <w:p w14:paraId="37FA2B9A" w14:textId="77777777" w:rsidR="005D3311" w:rsidRPr="001B388B" w:rsidRDefault="005D3311" w:rsidP="00E41B3F">
      <w:pPr>
        <w:numPr>
          <w:ilvl w:val="12"/>
          <w:numId w:val="0"/>
        </w:numPr>
        <w:suppressLineNumbers/>
        <w:ind w:right="-2"/>
      </w:pPr>
      <w:r w:rsidRPr="001B388B">
        <w:rPr>
          <w:i/>
          <w:iCs/>
        </w:rPr>
        <w:t>Intramuskulárne podanie</w:t>
      </w:r>
    </w:p>
    <w:p w14:paraId="1367879E" w14:textId="14ADCCE6" w:rsidR="005D3311" w:rsidRPr="001B388B" w:rsidRDefault="005E654B" w:rsidP="00E41B3F">
      <w:pPr>
        <w:numPr>
          <w:ilvl w:val="12"/>
          <w:numId w:val="0"/>
        </w:numPr>
        <w:suppressLineNumbers/>
        <w:ind w:right="-2"/>
      </w:pPr>
      <w:r>
        <w:rPr>
          <w:i/>
          <w:iCs/>
        </w:rPr>
        <w:t xml:space="preserve">Nasycovacia dávka </w:t>
      </w:r>
      <w:r w:rsidR="005D3311" w:rsidRPr="001B388B">
        <w:rPr>
          <w:i/>
          <w:iCs/>
        </w:rPr>
        <w:t>4 g i.v. a 10 g i.m. a</w:t>
      </w:r>
      <w:r>
        <w:rPr>
          <w:i/>
          <w:iCs/>
        </w:rPr>
        <w:t xml:space="preserve"> udržiavacia dávka </w:t>
      </w:r>
      <w:r w:rsidR="005D3311" w:rsidRPr="001B388B">
        <w:rPr>
          <w:i/>
          <w:iCs/>
        </w:rPr>
        <w:t>5 g i.m. každé 4 hodiny (</w:t>
      </w:r>
      <w:r w:rsidR="00C67AA1" w:rsidRPr="001B388B">
        <w:rPr>
          <w:i/>
          <w:iCs/>
        </w:rPr>
        <w:t>dávkovanie podľa</w:t>
      </w:r>
      <w:r w:rsidR="005D3311" w:rsidRPr="001B388B">
        <w:rPr>
          <w:i/>
          <w:iCs/>
        </w:rPr>
        <w:t xml:space="preserve"> </w:t>
      </w:r>
      <w:proofErr w:type="spellStart"/>
      <w:r w:rsidR="005D3311" w:rsidRPr="001B388B">
        <w:rPr>
          <w:i/>
          <w:iCs/>
        </w:rPr>
        <w:t>Pritchard</w:t>
      </w:r>
      <w:r w:rsidR="00C67AA1" w:rsidRPr="001B388B">
        <w:rPr>
          <w:i/>
          <w:iCs/>
        </w:rPr>
        <w:t>a</w:t>
      </w:r>
      <w:proofErr w:type="spellEnd"/>
      <w:r w:rsidR="005D3311" w:rsidRPr="001B388B">
        <w:rPr>
          <w:i/>
          <w:iCs/>
        </w:rPr>
        <w:t xml:space="preserve">): </w:t>
      </w:r>
      <w:r w:rsidR="005D3311" w:rsidRPr="001B388B">
        <w:t xml:space="preserve">V štúdii sa hladiny horčíka v sére po nasycovacej dávke prudko zvýšili z východiskovej hodnoty na najmenej dvojnásobok po 0,5 hodine. </w:t>
      </w:r>
      <w:r w:rsidR="00C67AA1" w:rsidRPr="001B388B">
        <w:t>Po počiatočnom zvýšen</w:t>
      </w:r>
      <w:r w:rsidR="005B560B">
        <w:t>í</w:t>
      </w:r>
      <w:r w:rsidR="00C67AA1" w:rsidRPr="001B388B">
        <w:t xml:space="preserve"> bol po 1 hodine zaznamenaný mierny pokles sérového horčík</w:t>
      </w:r>
      <w:r>
        <w:t>a</w:t>
      </w:r>
      <w:r w:rsidR="00C67AA1" w:rsidRPr="001B388B">
        <w:t xml:space="preserve">, ale </w:t>
      </w:r>
      <w:r w:rsidR="00E33E33">
        <w:t xml:space="preserve">zaznamenali sa </w:t>
      </w:r>
      <w:r w:rsidR="00C67AA1" w:rsidRPr="001B388B">
        <w:t xml:space="preserve">relatívne stabilné hladiny počas až 12 hodín udržiavacích injekcií. Sérová hladina dosiahla </w:t>
      </w:r>
      <w:r w:rsidR="005B560B">
        <w:t>maximum</w:t>
      </w:r>
      <w:r w:rsidR="00C67AA1" w:rsidRPr="001B388B">
        <w:t xml:space="preserve"> za 1,5 hodiny po začatí liečby. Celkovo údaje o sérovej koncentrácii kolísali pri tomto režime oveľa viac ako pri režimoch kontinuálnej infúzie. </w:t>
      </w:r>
    </w:p>
    <w:p w14:paraId="05CA759E" w14:textId="77777777" w:rsidR="00C67AA1" w:rsidRPr="001B388B" w:rsidRDefault="00C67AA1" w:rsidP="00E41B3F">
      <w:pPr>
        <w:numPr>
          <w:ilvl w:val="12"/>
          <w:numId w:val="0"/>
        </w:numPr>
        <w:suppressLineNumbers/>
        <w:ind w:right="-2"/>
      </w:pPr>
    </w:p>
    <w:p w14:paraId="430EF13C" w14:textId="77777777" w:rsidR="00C67AA1" w:rsidRPr="001B388B" w:rsidRDefault="005E654B" w:rsidP="00E41B3F">
      <w:pPr>
        <w:numPr>
          <w:ilvl w:val="12"/>
          <w:numId w:val="0"/>
        </w:numPr>
        <w:suppressLineNumbers/>
        <w:ind w:right="-2"/>
      </w:pPr>
      <w:r>
        <w:rPr>
          <w:i/>
          <w:iCs/>
        </w:rPr>
        <w:t xml:space="preserve">Nasycovacia dávka </w:t>
      </w:r>
      <w:r w:rsidR="00C67AA1" w:rsidRPr="001B388B">
        <w:rPr>
          <w:i/>
          <w:iCs/>
        </w:rPr>
        <w:t>10 g i.m. a</w:t>
      </w:r>
      <w:r>
        <w:rPr>
          <w:i/>
          <w:iCs/>
        </w:rPr>
        <w:t xml:space="preserve"> udržiavacia dávka </w:t>
      </w:r>
      <w:r w:rsidR="00C67AA1" w:rsidRPr="001B388B">
        <w:rPr>
          <w:i/>
          <w:iCs/>
        </w:rPr>
        <w:t xml:space="preserve">5 g i.m. každé 4 hodiny: </w:t>
      </w:r>
      <w:r w:rsidR="00C67AA1" w:rsidRPr="001B388B">
        <w:t>V štúdii boli pozorované priemerné hladiny sérového horčíka 1,36 mmol/l</w:t>
      </w:r>
      <w:r>
        <w:t xml:space="preserve"> za 1 hodinu</w:t>
      </w:r>
      <w:r w:rsidR="00C67AA1" w:rsidRPr="001B388B">
        <w:t xml:space="preserve">, 1,56 mmol/l </w:t>
      </w:r>
      <w:r w:rsidRPr="001B388B">
        <w:t xml:space="preserve">za 2 hodiny </w:t>
      </w:r>
      <w:r w:rsidR="00C67AA1" w:rsidRPr="001B388B">
        <w:t>a 1,48 mmol/h</w:t>
      </w:r>
      <w:r>
        <w:t xml:space="preserve"> </w:t>
      </w:r>
      <w:r w:rsidRPr="001B388B">
        <w:t>za 4 hodiny</w:t>
      </w:r>
      <w:r w:rsidR="00C67AA1" w:rsidRPr="001B388B">
        <w:t>. V inej štúdii bola uvedená iba rovnovážna hladina 1,83 mmol/l.</w:t>
      </w:r>
    </w:p>
    <w:p w14:paraId="2F496589" w14:textId="77777777" w:rsidR="00C67AA1" w:rsidRPr="001B388B" w:rsidRDefault="00C67AA1" w:rsidP="00E41B3F">
      <w:pPr>
        <w:numPr>
          <w:ilvl w:val="12"/>
          <w:numId w:val="0"/>
        </w:numPr>
        <w:suppressLineNumbers/>
        <w:ind w:right="-2"/>
      </w:pPr>
    </w:p>
    <w:p w14:paraId="2DC91156" w14:textId="3B0B766F" w:rsidR="00C67AA1" w:rsidRPr="001B388B" w:rsidRDefault="005E654B" w:rsidP="00E41B3F">
      <w:pPr>
        <w:numPr>
          <w:ilvl w:val="12"/>
          <w:numId w:val="0"/>
        </w:numPr>
        <w:suppressLineNumbers/>
        <w:ind w:right="-2"/>
      </w:pPr>
      <w:r>
        <w:rPr>
          <w:i/>
          <w:iCs/>
        </w:rPr>
        <w:t xml:space="preserve">Iba nasycovacia dávka </w:t>
      </w:r>
      <w:r w:rsidR="00C67AA1" w:rsidRPr="001B388B">
        <w:rPr>
          <w:i/>
          <w:iCs/>
        </w:rPr>
        <w:t>3 g i.v. a 10 g i.m. (13 g):</w:t>
      </w:r>
      <w:r w:rsidR="00C67AA1" w:rsidRPr="001B388B">
        <w:t xml:space="preserve"> Pri tomto režime jedna štúdia uvádzala </w:t>
      </w:r>
      <w:r w:rsidR="005B560B">
        <w:t>východiskovú</w:t>
      </w:r>
      <w:r w:rsidR="00C67AA1" w:rsidRPr="001B388B">
        <w:t xml:space="preserve"> hladinu sérového horčík</w:t>
      </w:r>
      <w:r w:rsidR="005B560B">
        <w:t>a</w:t>
      </w:r>
      <w:r w:rsidR="00C67AA1" w:rsidRPr="001B388B">
        <w:t xml:space="preserve"> 2,10 mmol/l. Priemerné hlad</w:t>
      </w:r>
      <w:r w:rsidR="001000F5" w:rsidRPr="001B388B">
        <w:t>in</w:t>
      </w:r>
      <w:r w:rsidR="00C67AA1" w:rsidRPr="001B388B">
        <w:t>y horčíka sa zvýšili za 1 hodinu liečby na 2,25</w:t>
      </w:r>
      <w:r w:rsidR="001000F5" w:rsidRPr="001B388B">
        <w:t> </w:t>
      </w:r>
      <w:r w:rsidR="00C67AA1" w:rsidRPr="001B388B">
        <w:t xml:space="preserve">mmol/l a za 2 hodiny liečby na 2,30 mmol/l. V inej štúdii bola uvedená iba rovnovážna hladina 1,83 mmol/l. </w:t>
      </w:r>
    </w:p>
    <w:p w14:paraId="15AADE8C" w14:textId="77777777" w:rsidR="001000F5" w:rsidRPr="001B388B" w:rsidRDefault="001000F5" w:rsidP="00E41B3F">
      <w:pPr>
        <w:numPr>
          <w:ilvl w:val="12"/>
          <w:numId w:val="0"/>
        </w:numPr>
        <w:suppressLineNumbers/>
        <w:ind w:right="-2"/>
      </w:pPr>
    </w:p>
    <w:p w14:paraId="57284D37" w14:textId="77777777" w:rsidR="001000F5" w:rsidRPr="001B388B" w:rsidRDefault="001000F5" w:rsidP="00E41B3F">
      <w:pPr>
        <w:numPr>
          <w:ilvl w:val="12"/>
          <w:numId w:val="0"/>
        </w:numPr>
        <w:suppressLineNumbers/>
        <w:ind w:right="-2"/>
      </w:pPr>
      <w:proofErr w:type="spellStart"/>
      <w:r w:rsidRPr="001B388B">
        <w:rPr>
          <w:i/>
          <w:iCs/>
        </w:rPr>
        <w:t>Subktánne</w:t>
      </w:r>
      <w:proofErr w:type="spellEnd"/>
      <w:r w:rsidRPr="001B388B">
        <w:rPr>
          <w:i/>
          <w:iCs/>
        </w:rPr>
        <w:t xml:space="preserve"> podanie</w:t>
      </w:r>
    </w:p>
    <w:p w14:paraId="40272533" w14:textId="41CB4DF3" w:rsidR="001000F5" w:rsidRPr="001B388B" w:rsidRDefault="001000F5" w:rsidP="00E41B3F">
      <w:pPr>
        <w:numPr>
          <w:ilvl w:val="12"/>
          <w:numId w:val="0"/>
        </w:numPr>
        <w:suppressLineNumbers/>
        <w:ind w:right="-2"/>
      </w:pPr>
      <w:r w:rsidRPr="001B388B">
        <w:t xml:space="preserve">Existuje iba jedna prípadová štúdia u ľudí, v ktorej bola </w:t>
      </w:r>
      <w:proofErr w:type="spellStart"/>
      <w:r w:rsidRPr="001B388B">
        <w:t>farmakokinetika</w:t>
      </w:r>
      <w:proofErr w:type="spellEnd"/>
      <w:r w:rsidRPr="001B388B">
        <w:t xml:space="preserve"> kontinuálnej </w:t>
      </w:r>
      <w:proofErr w:type="spellStart"/>
      <w:r w:rsidRPr="001B388B">
        <w:t>subkutánnej</w:t>
      </w:r>
      <w:proofErr w:type="spellEnd"/>
      <w:r w:rsidRPr="001B388B">
        <w:t xml:space="preserve"> infúzie (0,3 mmol/h síranu horečnatého) porovnaná s krátkymi i.v. infúziami. Aj keď išlo o kontinuálnu </w:t>
      </w:r>
      <w:proofErr w:type="spellStart"/>
      <w:r w:rsidRPr="001B388B">
        <w:t>subkutánnu</w:t>
      </w:r>
      <w:proofErr w:type="spellEnd"/>
      <w:r w:rsidRPr="001B388B">
        <w:t xml:space="preserve"> infúziu, v počiatočnej fáze liečby nebol medzi </w:t>
      </w:r>
      <w:proofErr w:type="spellStart"/>
      <w:r w:rsidRPr="001B388B">
        <w:t>subkutánnymi</w:t>
      </w:r>
      <w:proofErr w:type="spellEnd"/>
      <w:r w:rsidRPr="001B388B">
        <w:t xml:space="preserve"> a intravenóznymi infúziami síranu horečnatého žiadny rozdiel v rýchlosti absorpcie. </w:t>
      </w:r>
    </w:p>
    <w:p w14:paraId="38CAF6C9" w14:textId="77777777" w:rsidR="001000F5" w:rsidRPr="001B388B" w:rsidRDefault="001000F5" w:rsidP="00E41B3F">
      <w:pPr>
        <w:numPr>
          <w:ilvl w:val="12"/>
          <w:numId w:val="0"/>
        </w:numPr>
        <w:suppressLineNumbers/>
        <w:ind w:right="-2"/>
      </w:pPr>
    </w:p>
    <w:p w14:paraId="5D6A4E04" w14:textId="77777777" w:rsidR="00FC6918" w:rsidRPr="001B388B" w:rsidRDefault="00FC6918" w:rsidP="00E41B3F">
      <w:pPr>
        <w:numPr>
          <w:ilvl w:val="12"/>
          <w:numId w:val="0"/>
        </w:numPr>
        <w:suppressLineNumbers/>
        <w:ind w:right="-2"/>
        <w:rPr>
          <w:u w:val="single"/>
        </w:rPr>
      </w:pPr>
      <w:r w:rsidRPr="001B388B">
        <w:rPr>
          <w:u w:val="single"/>
        </w:rPr>
        <w:t>Distribúcia</w:t>
      </w:r>
    </w:p>
    <w:p w14:paraId="523FD6DA" w14:textId="2C9DBD5F" w:rsidR="001000F5" w:rsidRPr="001B388B" w:rsidRDefault="001000F5" w:rsidP="00E41B3F">
      <w:pPr>
        <w:numPr>
          <w:ilvl w:val="12"/>
          <w:numId w:val="0"/>
        </w:numPr>
        <w:suppressLineNumbers/>
        <w:ind w:right="-2"/>
      </w:pPr>
      <w:r w:rsidRPr="001B388B">
        <w:t xml:space="preserve">Horčík je približne rovnomerne distribuovaný v kostiach a mäkkých tkanivách, menej ako 1 % </w:t>
      </w:r>
      <w:r w:rsidR="00E74F0C" w:rsidRPr="001B388B">
        <w:t xml:space="preserve">je prítomné v zložkách krvi. Koncentrácie horčíka </w:t>
      </w:r>
      <w:r w:rsidR="00980A7E">
        <w:t xml:space="preserve">v bunkách </w:t>
      </w:r>
      <w:r w:rsidR="00E74F0C" w:rsidRPr="001B388B">
        <w:t xml:space="preserve">sú konštantne v rozsahu 17-20 mmol/l, napriek rýchlemu </w:t>
      </w:r>
      <w:r w:rsidR="00980A7E">
        <w:t>prechodu</w:t>
      </w:r>
      <w:r w:rsidR="00E74F0C" w:rsidRPr="001B388B">
        <w:t xml:space="preserve"> cez bunkové membrány prostredníctvom viacer</w:t>
      </w:r>
      <w:r w:rsidR="008E0A8E">
        <w:t>ých</w:t>
      </w:r>
      <w:r w:rsidR="00E74F0C" w:rsidRPr="001B388B">
        <w:t xml:space="preserve"> nosičov a kanálov. Bolo pozorované, že vnútrobunkové koncentrácie lineárne klesajú so stúpajúcim vekom, bez paralelných zmien v plazmatickej koncentrácii horčíka. </w:t>
      </w:r>
    </w:p>
    <w:p w14:paraId="76225C82" w14:textId="77777777" w:rsidR="00E74F0C" w:rsidRPr="001B388B" w:rsidRDefault="00E74F0C" w:rsidP="00E41B3F">
      <w:pPr>
        <w:numPr>
          <w:ilvl w:val="12"/>
          <w:numId w:val="0"/>
        </w:numPr>
        <w:suppressLineNumbers/>
        <w:ind w:right="-2"/>
      </w:pPr>
    </w:p>
    <w:p w14:paraId="1F43D5F9" w14:textId="77777777" w:rsidR="00E74F0C" w:rsidRPr="001B388B" w:rsidRDefault="00E74F0C" w:rsidP="00E41B3F">
      <w:pPr>
        <w:numPr>
          <w:ilvl w:val="12"/>
          <w:numId w:val="0"/>
        </w:numPr>
        <w:suppressLineNumbers/>
        <w:ind w:right="-2"/>
      </w:pPr>
      <w:r w:rsidRPr="001B388B">
        <w:t>Celkový obsah horčíka v tele zdravého dospelého je okolo 20-28 g. Približne 99 % celkového obsahu horčíka v tele je i</w:t>
      </w:r>
      <w:r w:rsidRPr="00703549">
        <w:t>ntracelulárnych</w:t>
      </w:r>
      <w:r w:rsidRPr="001B388B">
        <w:t xml:space="preserve">. Z toho asi 60 % je v kostiach, buď silne viazaných na apatit, kde je ťažko ho mobilizovať, alebo sa voľne adsorbuje na povrchu minerálnych kryštálov, kde sa môže ľahko mobilizovať ako reakcia na zmeny v strave. Asi 25 % horčíka v tele je vo svaloch, kde sú za intracelulárne úložné miesto považované mitochondrie. </w:t>
      </w:r>
    </w:p>
    <w:p w14:paraId="087476EB" w14:textId="77777777" w:rsidR="00911B3B" w:rsidRPr="001B388B" w:rsidRDefault="00911B3B" w:rsidP="00E41B3F">
      <w:pPr>
        <w:numPr>
          <w:ilvl w:val="12"/>
          <w:numId w:val="0"/>
        </w:numPr>
        <w:suppressLineNumbers/>
        <w:ind w:right="-2"/>
      </w:pPr>
    </w:p>
    <w:p w14:paraId="7702D774" w14:textId="77777777" w:rsidR="00911B3B" w:rsidRPr="001B388B" w:rsidRDefault="00911B3B" w:rsidP="00E41B3F">
      <w:pPr>
        <w:numPr>
          <w:ilvl w:val="12"/>
          <w:numId w:val="0"/>
        </w:numPr>
        <w:suppressLineNumbers/>
        <w:ind w:right="-2"/>
      </w:pPr>
      <w:r w:rsidRPr="001B388B">
        <w:t>Asi 20-33 % sa viaže na proteíny, zvyšných asi 80 % je neviazaných.</w:t>
      </w:r>
    </w:p>
    <w:p w14:paraId="43108549" w14:textId="77777777" w:rsidR="00911B3B" w:rsidRPr="001B388B" w:rsidRDefault="00911B3B" w:rsidP="00E41B3F">
      <w:pPr>
        <w:numPr>
          <w:ilvl w:val="12"/>
          <w:numId w:val="0"/>
        </w:numPr>
        <w:suppressLineNumbers/>
        <w:ind w:right="-2"/>
      </w:pPr>
      <w:r w:rsidRPr="001B388B">
        <w:t>Fyziologicky aktívny je iba ionizovaný horčík.</w:t>
      </w:r>
    </w:p>
    <w:p w14:paraId="6BD61D01" w14:textId="77777777" w:rsidR="00911B3B" w:rsidRPr="001B388B" w:rsidRDefault="00911B3B" w:rsidP="00E41B3F">
      <w:pPr>
        <w:numPr>
          <w:ilvl w:val="12"/>
          <w:numId w:val="0"/>
        </w:numPr>
        <w:suppressLineNumbers/>
        <w:ind w:right="-2"/>
      </w:pPr>
    </w:p>
    <w:p w14:paraId="1023A740" w14:textId="7AC2DDD1" w:rsidR="00911B3B" w:rsidRPr="001B388B" w:rsidRDefault="00911B3B" w:rsidP="00E41B3F">
      <w:pPr>
        <w:numPr>
          <w:ilvl w:val="12"/>
          <w:numId w:val="0"/>
        </w:numPr>
        <w:suppressLineNumbers/>
        <w:ind w:right="-2"/>
      </w:pPr>
      <w:proofErr w:type="spellStart"/>
      <w:r w:rsidRPr="001B388B">
        <w:t>Kompartmentová</w:t>
      </w:r>
      <w:proofErr w:type="spellEnd"/>
      <w:r w:rsidRPr="001B388B">
        <w:t xml:space="preserve"> analýza s použitím stabilných izotopov ukázala existenciu najmenej dvoch hlavných </w:t>
      </w:r>
      <w:proofErr w:type="spellStart"/>
      <w:r w:rsidR="008E0A8E">
        <w:t>kompartmentov</w:t>
      </w:r>
      <w:proofErr w:type="spellEnd"/>
      <w:r w:rsidRPr="001B388B">
        <w:t xml:space="preserve"> </w:t>
      </w:r>
      <w:proofErr w:type="spellStart"/>
      <w:r w:rsidRPr="001B388B">
        <w:t>extraplazmy</w:t>
      </w:r>
      <w:proofErr w:type="spellEnd"/>
      <w:r w:rsidRPr="001B388B">
        <w:t xml:space="preserve"> v celom tele: prvý </w:t>
      </w:r>
      <w:proofErr w:type="spellStart"/>
      <w:r w:rsidRPr="001B388B">
        <w:t>kompartment</w:t>
      </w:r>
      <w:proofErr w:type="spellEnd"/>
      <w:r w:rsidRPr="001B388B">
        <w:t xml:space="preserve"> predstavuje 80 % rýchl</w:t>
      </w:r>
      <w:r w:rsidR="00656D5F">
        <w:t>o</w:t>
      </w:r>
      <w:r w:rsidRPr="001B388B">
        <w:t xml:space="preserve"> vymeniteľn</w:t>
      </w:r>
      <w:r w:rsidR="00DE56A8">
        <w:t>ej zložky</w:t>
      </w:r>
      <w:r w:rsidRPr="001B388B">
        <w:t xml:space="preserve"> s rýchlosťou výmeny 48 mg/h; druhá </w:t>
      </w:r>
      <w:r w:rsidR="00DE56A8" w:rsidRPr="00703549">
        <w:t>zložka</w:t>
      </w:r>
      <w:r w:rsidRPr="001B388B">
        <w:t xml:space="preserve"> má vyššiu rýchlosť výmeny 179 mg/h. </w:t>
      </w:r>
      <w:r w:rsidR="008E0A8E">
        <w:t>Súhrn</w:t>
      </w:r>
      <w:r w:rsidRPr="001B388B">
        <w:t xml:space="preserve"> týchto rýchlo </w:t>
      </w:r>
      <w:r w:rsidR="00232C51">
        <w:t>vy</w:t>
      </w:r>
      <w:r w:rsidRPr="001B388B">
        <w:t xml:space="preserve">meniteľných </w:t>
      </w:r>
      <w:proofErr w:type="spellStart"/>
      <w:r w:rsidRPr="001B388B">
        <w:t>kompartmentov</w:t>
      </w:r>
      <w:proofErr w:type="spellEnd"/>
      <w:r w:rsidRPr="001B388B">
        <w:t xml:space="preserve"> predstavuje asi 25 % množstva horčík</w:t>
      </w:r>
      <w:r w:rsidR="008C6373">
        <w:t>a</w:t>
      </w:r>
      <w:r w:rsidRPr="001B388B">
        <w:t xml:space="preserve"> v tele. </w:t>
      </w:r>
    </w:p>
    <w:p w14:paraId="42D40DB4" w14:textId="77777777" w:rsidR="001000F5" w:rsidRPr="001B388B" w:rsidRDefault="001000F5" w:rsidP="00E41B3F">
      <w:pPr>
        <w:numPr>
          <w:ilvl w:val="12"/>
          <w:numId w:val="0"/>
        </w:numPr>
        <w:suppressLineNumbers/>
        <w:ind w:right="-2"/>
      </w:pPr>
    </w:p>
    <w:p w14:paraId="5C1E88DB" w14:textId="2F8BE93D" w:rsidR="00911B3B" w:rsidRPr="001B388B" w:rsidRDefault="00C63CA2" w:rsidP="00E41B3F">
      <w:pPr>
        <w:numPr>
          <w:ilvl w:val="12"/>
          <w:numId w:val="0"/>
        </w:numPr>
        <w:suppressLineNumbers/>
        <w:ind w:right="-2"/>
      </w:pPr>
      <w:r w:rsidRPr="001B388B">
        <w:t>Najdôležitejším</w:t>
      </w:r>
      <w:r w:rsidR="00911B3B" w:rsidRPr="001B388B">
        <w:t xml:space="preserve"> transportným systémom do tkanív sa </w:t>
      </w:r>
      <w:r w:rsidR="00DE56A8">
        <w:t>zdá byť</w:t>
      </w:r>
      <w:r w:rsidR="0057064E">
        <w:t xml:space="preserve"> iónový kanál </w:t>
      </w:r>
      <w:r w:rsidR="0057064E" w:rsidRPr="0057064E">
        <w:t>TRPM7</w:t>
      </w:r>
      <w:r w:rsidR="0057064E">
        <w:t xml:space="preserve"> (</w:t>
      </w:r>
      <w:proofErr w:type="spellStart"/>
      <w:r w:rsidR="0057064E">
        <w:t>t</w:t>
      </w:r>
      <w:r w:rsidR="0057064E" w:rsidRPr="0057064E">
        <w:t>ransient</w:t>
      </w:r>
      <w:proofErr w:type="spellEnd"/>
      <w:r w:rsidR="0057064E" w:rsidRPr="0057064E">
        <w:t xml:space="preserve"> receptor </w:t>
      </w:r>
      <w:proofErr w:type="spellStart"/>
      <w:r w:rsidR="0057064E" w:rsidRPr="0057064E">
        <w:t>potential</w:t>
      </w:r>
      <w:proofErr w:type="spellEnd"/>
      <w:r w:rsidR="0057064E" w:rsidRPr="0057064E">
        <w:t xml:space="preserve"> </w:t>
      </w:r>
      <w:proofErr w:type="spellStart"/>
      <w:r w:rsidR="0057064E" w:rsidRPr="0057064E">
        <w:t>melastatin</w:t>
      </w:r>
      <w:proofErr w:type="spellEnd"/>
      <w:r w:rsidR="0057064E" w:rsidRPr="0057064E">
        <w:t xml:space="preserve"> 7</w:t>
      </w:r>
      <w:r w:rsidR="0057064E">
        <w:t>)</w:t>
      </w:r>
      <w:r w:rsidR="00911B3B" w:rsidRPr="001B388B">
        <w:t xml:space="preserve">. </w:t>
      </w:r>
    </w:p>
    <w:p w14:paraId="1A752AED" w14:textId="77777777" w:rsidR="001000F5" w:rsidRPr="001B388B" w:rsidRDefault="001000F5" w:rsidP="00E41B3F">
      <w:pPr>
        <w:numPr>
          <w:ilvl w:val="12"/>
          <w:numId w:val="0"/>
        </w:numPr>
        <w:suppressLineNumbers/>
        <w:ind w:right="-2"/>
        <w:rPr>
          <w:u w:val="single"/>
        </w:rPr>
      </w:pPr>
    </w:p>
    <w:p w14:paraId="1BFC991F" w14:textId="77777777" w:rsidR="00FC6918" w:rsidRPr="001B388B" w:rsidRDefault="00FC6918" w:rsidP="00E41B3F">
      <w:pPr>
        <w:numPr>
          <w:ilvl w:val="12"/>
          <w:numId w:val="0"/>
        </w:numPr>
        <w:suppressLineNumbers/>
        <w:ind w:right="-2"/>
        <w:rPr>
          <w:u w:val="single"/>
        </w:rPr>
      </w:pPr>
      <w:proofErr w:type="spellStart"/>
      <w:r w:rsidRPr="001B388B">
        <w:rPr>
          <w:u w:val="single"/>
        </w:rPr>
        <w:t>Biotransformácia</w:t>
      </w:r>
      <w:proofErr w:type="spellEnd"/>
    </w:p>
    <w:p w14:paraId="448AF7A1" w14:textId="77777777" w:rsidR="00911B3B" w:rsidRPr="001B388B" w:rsidRDefault="00911B3B" w:rsidP="00E41B3F">
      <w:pPr>
        <w:numPr>
          <w:ilvl w:val="12"/>
          <w:numId w:val="0"/>
        </w:numPr>
        <w:suppressLineNumbers/>
        <w:ind w:right="-2"/>
      </w:pPr>
      <w:r w:rsidRPr="001B388B">
        <w:t>Síran horečnatý nie je metabolizovaný.</w:t>
      </w:r>
    </w:p>
    <w:p w14:paraId="224AAC43" w14:textId="77777777" w:rsidR="00911B3B" w:rsidRPr="001B388B" w:rsidRDefault="00911B3B" w:rsidP="00E41B3F">
      <w:pPr>
        <w:numPr>
          <w:ilvl w:val="12"/>
          <w:numId w:val="0"/>
        </w:numPr>
        <w:suppressLineNumbers/>
        <w:ind w:right="-2"/>
        <w:rPr>
          <w:u w:val="single"/>
        </w:rPr>
      </w:pPr>
    </w:p>
    <w:p w14:paraId="25BF58D6" w14:textId="77777777" w:rsidR="00FC6918" w:rsidRPr="001B388B" w:rsidRDefault="00FC6918" w:rsidP="00E41B3F">
      <w:pPr>
        <w:numPr>
          <w:ilvl w:val="12"/>
          <w:numId w:val="0"/>
        </w:numPr>
        <w:suppressLineNumbers/>
        <w:ind w:right="-2"/>
        <w:rPr>
          <w:u w:val="single"/>
        </w:rPr>
      </w:pPr>
      <w:r w:rsidRPr="001B388B">
        <w:rPr>
          <w:u w:val="single"/>
        </w:rPr>
        <w:t>Eliminácia</w:t>
      </w:r>
    </w:p>
    <w:p w14:paraId="38BFE30F" w14:textId="2BD0F1DB" w:rsidR="00E060BF" w:rsidRPr="001B388B" w:rsidRDefault="00911B3B" w:rsidP="00E41B3F">
      <w:pPr>
        <w:numPr>
          <w:ilvl w:val="12"/>
          <w:numId w:val="0"/>
        </w:numPr>
        <w:suppressLineNumbers/>
        <w:ind w:right="-2"/>
      </w:pPr>
      <w:r w:rsidRPr="001B388B">
        <w:t>Hlavnú úlohu pr</w:t>
      </w:r>
      <w:r w:rsidR="0057064E">
        <w:t>i</w:t>
      </w:r>
      <w:r w:rsidRPr="001B388B">
        <w:t xml:space="preserve"> homeostáze horčíka a udržiavaní sérových koncentrácií hrajú obličky. Približne 80 % horčíka v sére je </w:t>
      </w:r>
      <w:proofErr w:type="spellStart"/>
      <w:r w:rsidRPr="001B388B">
        <w:t>ultrafiltrovateľných</w:t>
      </w:r>
      <w:proofErr w:type="spellEnd"/>
      <w:r w:rsidRPr="001B388B">
        <w:t xml:space="preserve"> cez </w:t>
      </w:r>
      <w:proofErr w:type="spellStart"/>
      <w:r w:rsidRPr="001B388B">
        <w:t>glomerulus</w:t>
      </w:r>
      <w:proofErr w:type="spellEnd"/>
      <w:r w:rsidRPr="001B388B">
        <w:t>, ale iba asi 3 % filtrovanej frakcie sa v </w:t>
      </w:r>
      <w:r w:rsidR="00E060BF" w:rsidRPr="001B388B">
        <w:t>dôsledku</w:t>
      </w:r>
      <w:r w:rsidRPr="001B388B">
        <w:t xml:space="preserve"> účinnej </w:t>
      </w:r>
      <w:proofErr w:type="spellStart"/>
      <w:r w:rsidRPr="001B388B">
        <w:t>reabsorpcie</w:t>
      </w:r>
      <w:proofErr w:type="spellEnd"/>
      <w:r w:rsidRPr="001B388B">
        <w:t xml:space="preserve">, ktorá sa vyskytuje hlavne </w:t>
      </w:r>
      <w:r w:rsidR="00E060BF" w:rsidRPr="001B388B">
        <w:t xml:space="preserve">v hrubej vzostupnej časti </w:t>
      </w:r>
      <w:proofErr w:type="spellStart"/>
      <w:r w:rsidR="00E060BF" w:rsidRPr="001B388B">
        <w:t>Henleho</w:t>
      </w:r>
      <w:proofErr w:type="spellEnd"/>
      <w:r w:rsidR="00E060BF" w:rsidRPr="001B388B">
        <w:t xml:space="preserve"> slučky</w:t>
      </w:r>
      <w:r w:rsidR="00C63CA2">
        <w:t xml:space="preserve"> </w:t>
      </w:r>
      <w:r w:rsidR="00C63CA2" w:rsidRPr="001B388B">
        <w:t>(60-70 %)</w:t>
      </w:r>
      <w:r w:rsidR="00E060BF" w:rsidRPr="001B388B">
        <w:t>, objavuje v moč</w:t>
      </w:r>
      <w:r w:rsidR="0057064E">
        <w:t>i</w:t>
      </w:r>
      <w:r w:rsidR="00E060BF" w:rsidRPr="001B388B">
        <w:t>.</w:t>
      </w:r>
    </w:p>
    <w:p w14:paraId="34767DB5" w14:textId="77777777" w:rsidR="00911B3B" w:rsidRPr="001B388B" w:rsidRDefault="00E060BF" w:rsidP="00E41B3F">
      <w:pPr>
        <w:numPr>
          <w:ilvl w:val="12"/>
          <w:numId w:val="0"/>
        </w:numPr>
        <w:suppressLineNumbers/>
        <w:ind w:right="-2"/>
      </w:pPr>
      <w:r w:rsidRPr="001B388B">
        <w:lastRenderedPageBreak/>
        <w:t xml:space="preserve">Hlavnými stimulmi, ktoré zvyšujú vylučovanie horčíka močom, sú vysoká </w:t>
      </w:r>
      <w:proofErr w:type="spellStart"/>
      <w:r w:rsidRPr="001B388B">
        <w:t>natriuréza</w:t>
      </w:r>
      <w:proofErr w:type="spellEnd"/>
      <w:r w:rsidRPr="001B388B">
        <w:t xml:space="preserve">, </w:t>
      </w:r>
      <w:proofErr w:type="spellStart"/>
      <w:r w:rsidRPr="001B388B">
        <w:t>osmotická</w:t>
      </w:r>
      <w:proofErr w:type="spellEnd"/>
      <w:r w:rsidRPr="001B388B">
        <w:t xml:space="preserve"> záťaž a metabolická acidóza; vylučovanie znižujú metabolická </w:t>
      </w:r>
      <w:proofErr w:type="spellStart"/>
      <w:r w:rsidRPr="001B388B">
        <w:t>alkalóza</w:t>
      </w:r>
      <w:proofErr w:type="spellEnd"/>
      <w:r w:rsidRPr="001B388B">
        <w:t xml:space="preserve">, </w:t>
      </w:r>
      <w:proofErr w:type="spellStart"/>
      <w:r w:rsidRPr="001B388B">
        <w:t>paratyroidný</w:t>
      </w:r>
      <w:proofErr w:type="spellEnd"/>
      <w:r w:rsidRPr="001B388B">
        <w:t xml:space="preserve"> hormón a prípadne kalcitonín. Zostávajúca časť </w:t>
      </w:r>
      <w:proofErr w:type="spellStart"/>
      <w:r w:rsidRPr="001B388B">
        <w:t>reabsorpcie</w:t>
      </w:r>
      <w:proofErr w:type="spellEnd"/>
      <w:r w:rsidRPr="001B388B">
        <w:t xml:space="preserve"> sa uskutočňuje aktívnym </w:t>
      </w:r>
      <w:proofErr w:type="spellStart"/>
      <w:r w:rsidRPr="001B388B">
        <w:t>t</w:t>
      </w:r>
      <w:r w:rsidR="002D0DEA">
        <w:t>r</w:t>
      </w:r>
      <w:r w:rsidRPr="001B388B">
        <w:t>anscelulárnym</w:t>
      </w:r>
      <w:proofErr w:type="spellEnd"/>
      <w:r w:rsidRPr="001B388B">
        <w:t xml:space="preserve"> mechanizmom v </w:t>
      </w:r>
      <w:proofErr w:type="spellStart"/>
      <w:r w:rsidRPr="001B388B">
        <w:t>distálnom</w:t>
      </w:r>
      <w:proofErr w:type="spellEnd"/>
      <w:r w:rsidRPr="001B388B">
        <w:t xml:space="preserve"> stočenom </w:t>
      </w:r>
      <w:proofErr w:type="spellStart"/>
      <w:r w:rsidRPr="001B388B">
        <w:t>tubule</w:t>
      </w:r>
      <w:proofErr w:type="spellEnd"/>
      <w:r w:rsidRPr="001B388B">
        <w:t xml:space="preserve">, ktorý nakoniec reguluje množstvo vylúčené močom.  </w:t>
      </w:r>
    </w:p>
    <w:p w14:paraId="40C158A1" w14:textId="77777777" w:rsidR="00911B3B" w:rsidRPr="001B388B" w:rsidRDefault="00911B3B" w:rsidP="00E41B3F">
      <w:pPr>
        <w:numPr>
          <w:ilvl w:val="12"/>
          <w:numId w:val="0"/>
        </w:numPr>
        <w:suppressLineNumbers/>
        <w:ind w:right="-2"/>
      </w:pPr>
    </w:p>
    <w:p w14:paraId="5471E417" w14:textId="2181A680" w:rsidR="00911B3B" w:rsidRPr="001B388B" w:rsidRDefault="000124A5" w:rsidP="00E41B3F">
      <w:pPr>
        <w:numPr>
          <w:ilvl w:val="12"/>
          <w:numId w:val="0"/>
        </w:numPr>
        <w:suppressLineNumbers/>
        <w:ind w:right="-2"/>
      </w:pPr>
      <w:r w:rsidRPr="001B388B">
        <w:t xml:space="preserve">Eliminácia stolicou je veľmi obmedzená. Endogénne cesty eliminácie absorbovaného horčíka tráviacim traktom sú žlčové, pankreatické a črevné šťavy a črevné bunky; časť týchto endogénnych strát môže byť znovu absorbovaná. Použitím stabilných izotopov bola </w:t>
      </w:r>
      <w:r w:rsidRPr="001B388B">
        <w:rPr>
          <w:szCs w:val="22"/>
          <w:lang w:eastAsia="hu-HU"/>
        </w:rPr>
        <w:t xml:space="preserve">u šiestich zdravých mužov vo veku 26 až 41 rokov stanovená </w:t>
      </w:r>
      <w:r w:rsidRPr="001B388B">
        <w:t>endogénna exkrécia stolic</w:t>
      </w:r>
      <w:r w:rsidR="007D53B2" w:rsidRPr="001B388B">
        <w:t>ou</w:t>
      </w:r>
      <w:r w:rsidRPr="001B388B">
        <w:t xml:space="preserve"> 49</w:t>
      </w:r>
      <w:r w:rsidRPr="001B388B">
        <w:rPr>
          <w:szCs w:val="22"/>
          <w:lang w:eastAsia="hu-HU"/>
        </w:rPr>
        <w:t xml:space="preserve">±11 mg/deň, </w:t>
      </w:r>
      <w:r w:rsidR="007D53B2" w:rsidRPr="001B388B">
        <w:rPr>
          <w:szCs w:val="22"/>
          <w:lang w:eastAsia="hu-HU"/>
        </w:rPr>
        <w:t xml:space="preserve">u chlapcov a dievčat vo veku 9 až 14 rokov </w:t>
      </w:r>
      <w:r w:rsidRPr="001B388B">
        <w:rPr>
          <w:szCs w:val="22"/>
          <w:lang w:eastAsia="hu-HU"/>
        </w:rPr>
        <w:t>okolo 15 mg/deň (0,1-0,9 mg/kg telesnej hmotnosti</w:t>
      </w:r>
      <w:r w:rsidR="0057064E">
        <w:rPr>
          <w:szCs w:val="22"/>
          <w:lang w:eastAsia="hu-HU"/>
        </w:rPr>
        <w:t>/</w:t>
      </w:r>
      <w:r w:rsidRPr="001B388B">
        <w:rPr>
          <w:szCs w:val="22"/>
          <w:lang w:eastAsia="hu-HU"/>
        </w:rPr>
        <w:t>deň) a u piatich dievčat vo veku 12 až 14 rokov</w:t>
      </w:r>
      <w:r w:rsidR="007D53B2" w:rsidRPr="001B388B">
        <w:rPr>
          <w:szCs w:val="22"/>
          <w:lang w:eastAsia="hu-HU"/>
        </w:rPr>
        <w:t xml:space="preserve"> od 4,7 do 21,7 mg/deň</w:t>
      </w:r>
      <w:r w:rsidRPr="001B388B">
        <w:rPr>
          <w:szCs w:val="22"/>
          <w:lang w:eastAsia="hu-HU"/>
        </w:rPr>
        <w:t xml:space="preserve">, </w:t>
      </w:r>
      <w:r w:rsidRPr="00703549">
        <w:rPr>
          <w:szCs w:val="22"/>
          <w:lang w:eastAsia="hu-HU"/>
        </w:rPr>
        <w:t>bez vplyvu príj</w:t>
      </w:r>
      <w:r w:rsidR="0057064E" w:rsidRPr="00703549">
        <w:rPr>
          <w:szCs w:val="22"/>
          <w:lang w:eastAsia="hu-HU"/>
        </w:rPr>
        <w:t>mu</w:t>
      </w:r>
      <w:r w:rsidRPr="00703549">
        <w:rPr>
          <w:szCs w:val="22"/>
          <w:lang w:eastAsia="hu-HU"/>
        </w:rPr>
        <w:t xml:space="preserve"> vápnika</w:t>
      </w:r>
      <w:r w:rsidRPr="001B388B">
        <w:rPr>
          <w:szCs w:val="22"/>
          <w:lang w:eastAsia="hu-HU"/>
        </w:rPr>
        <w:t xml:space="preserve">. </w:t>
      </w:r>
    </w:p>
    <w:p w14:paraId="30482AC3" w14:textId="77777777" w:rsidR="00911B3B" w:rsidRPr="001B388B" w:rsidRDefault="00911B3B" w:rsidP="00E41B3F">
      <w:pPr>
        <w:numPr>
          <w:ilvl w:val="12"/>
          <w:numId w:val="0"/>
        </w:numPr>
        <w:suppressLineNumbers/>
        <w:ind w:right="-2"/>
      </w:pPr>
    </w:p>
    <w:p w14:paraId="5B9D3D99" w14:textId="77777777" w:rsidR="007D53B2" w:rsidRPr="001B388B" w:rsidRDefault="007D53B2" w:rsidP="00E41B3F">
      <w:pPr>
        <w:numPr>
          <w:ilvl w:val="12"/>
          <w:numId w:val="0"/>
        </w:numPr>
        <w:suppressLineNumbers/>
        <w:ind w:right="-2"/>
      </w:pPr>
      <w:r w:rsidRPr="001B388B">
        <w:t>Straty horčíka potením sú pravdepodobne nízke, v rozmedzí 1-5 mg/deň, na základe denné</w:t>
      </w:r>
      <w:r w:rsidR="00C5650A">
        <w:t>ho</w:t>
      </w:r>
      <w:r w:rsidRPr="001B388B">
        <w:t xml:space="preserve"> objemu potu okolo 0,5 l/deň.</w:t>
      </w:r>
    </w:p>
    <w:p w14:paraId="3A5110B7" w14:textId="77777777" w:rsidR="007D53B2" w:rsidRPr="001B388B" w:rsidRDefault="007D53B2" w:rsidP="00E41B3F">
      <w:pPr>
        <w:numPr>
          <w:ilvl w:val="12"/>
          <w:numId w:val="0"/>
        </w:numPr>
        <w:suppressLineNumbers/>
        <w:ind w:right="-2"/>
      </w:pPr>
    </w:p>
    <w:p w14:paraId="52FB192A" w14:textId="05DD4DA7" w:rsidR="007D53B2" w:rsidRPr="001B388B" w:rsidRDefault="007D53B2" w:rsidP="00E41B3F">
      <w:pPr>
        <w:numPr>
          <w:ilvl w:val="12"/>
          <w:numId w:val="0"/>
        </w:numPr>
        <w:suppressLineNumbers/>
        <w:ind w:right="-2"/>
      </w:pPr>
      <w:r w:rsidRPr="001B388B">
        <w:t>Straty horčík</w:t>
      </w:r>
      <w:r w:rsidR="0057064E">
        <w:t>a</w:t>
      </w:r>
      <w:r w:rsidRPr="001B388B">
        <w:t xml:space="preserve"> menštruáciou sú u žien zanedbateľné. </w:t>
      </w:r>
    </w:p>
    <w:p w14:paraId="0601548D" w14:textId="77777777" w:rsidR="007D53B2" w:rsidRPr="001B388B" w:rsidRDefault="007D53B2" w:rsidP="00E41B3F">
      <w:pPr>
        <w:numPr>
          <w:ilvl w:val="12"/>
          <w:numId w:val="0"/>
        </w:numPr>
        <w:suppressLineNumbers/>
        <w:ind w:right="-2"/>
      </w:pPr>
    </w:p>
    <w:p w14:paraId="7C155519" w14:textId="77777777" w:rsidR="007D53B2" w:rsidRPr="001B388B" w:rsidRDefault="007D53B2" w:rsidP="00E41B3F">
      <w:pPr>
        <w:numPr>
          <w:ilvl w:val="12"/>
          <w:numId w:val="0"/>
        </w:numPr>
        <w:suppressLineNumbers/>
        <w:ind w:right="-2"/>
      </w:pPr>
      <w:r w:rsidRPr="001B388B">
        <w:rPr>
          <w:u w:val="single"/>
        </w:rPr>
        <w:t>Osobitné populácie</w:t>
      </w:r>
    </w:p>
    <w:p w14:paraId="596EA2E8" w14:textId="77777777" w:rsidR="007D53B2" w:rsidRPr="001B388B" w:rsidRDefault="007D53B2" w:rsidP="00E41B3F">
      <w:pPr>
        <w:numPr>
          <w:ilvl w:val="12"/>
          <w:numId w:val="0"/>
        </w:numPr>
        <w:suppressLineNumbers/>
        <w:ind w:right="-2"/>
      </w:pPr>
    </w:p>
    <w:p w14:paraId="046C7DD2" w14:textId="77777777" w:rsidR="007D53B2" w:rsidRPr="001B388B" w:rsidRDefault="007D53B2" w:rsidP="00E41B3F">
      <w:pPr>
        <w:numPr>
          <w:ilvl w:val="12"/>
          <w:numId w:val="0"/>
        </w:numPr>
        <w:suppressLineNumbers/>
        <w:ind w:right="-2"/>
      </w:pPr>
      <w:r w:rsidRPr="001B388B">
        <w:rPr>
          <w:i/>
          <w:iCs/>
        </w:rPr>
        <w:t>Pediatrická populácia</w:t>
      </w:r>
    </w:p>
    <w:p w14:paraId="5123851B" w14:textId="1E148BC8" w:rsidR="007D53B2" w:rsidRPr="001B388B" w:rsidRDefault="007D53B2" w:rsidP="00E41B3F">
      <w:pPr>
        <w:numPr>
          <w:ilvl w:val="12"/>
          <w:numId w:val="0"/>
        </w:numPr>
        <w:suppressLineNumbers/>
        <w:ind w:right="-2"/>
      </w:pPr>
      <w:r w:rsidRPr="001B388B">
        <w:t xml:space="preserve">Farmakokinetika intravenózneho síranu horečnatého sa skúmala u detí vo veku </w:t>
      </w:r>
      <w:r w:rsidR="002D0DEA">
        <w:t>2</w:t>
      </w:r>
      <w:r w:rsidRPr="001B388B">
        <w:t xml:space="preserve">-14 rokov. </w:t>
      </w:r>
      <w:proofErr w:type="spellStart"/>
      <w:r w:rsidRPr="001B388B">
        <w:t>Kovariančná</w:t>
      </w:r>
      <w:proofErr w:type="spellEnd"/>
      <w:r w:rsidRPr="001B388B">
        <w:t xml:space="preserve"> analýza zistila, že významným </w:t>
      </w:r>
      <w:r w:rsidR="00C5650A">
        <w:t xml:space="preserve">parametrom </w:t>
      </w:r>
      <w:proofErr w:type="spellStart"/>
      <w:r w:rsidR="00C5650A">
        <w:t>predpovedajúcim</w:t>
      </w:r>
      <w:proofErr w:type="spellEnd"/>
      <w:r w:rsidRPr="001B388B">
        <w:t xml:space="preserve"> koncentrácie horčíka u detí je </w:t>
      </w:r>
      <w:r w:rsidRPr="001B388B">
        <w:rPr>
          <w:b/>
          <w:bCs/>
        </w:rPr>
        <w:t>iba telesná hmotnosť</w:t>
      </w:r>
      <w:r w:rsidRPr="001B388B">
        <w:t>. Odhad</w:t>
      </w:r>
      <w:r w:rsidR="00C5650A">
        <w:t>ované modelové</w:t>
      </w:r>
      <w:r w:rsidRPr="001B388B">
        <w:t xml:space="preserve"> parametre</w:t>
      </w:r>
      <w:r w:rsidR="00C5650A">
        <w:t xml:space="preserve"> </w:t>
      </w:r>
      <w:r w:rsidRPr="001B388B">
        <w:t xml:space="preserve">naznačujú, že horčík u detí vykazuje krátky polčas v sére (2,7 h). </w:t>
      </w:r>
    </w:p>
    <w:p w14:paraId="5AB62FE7" w14:textId="77777777" w:rsidR="007D53B2" w:rsidRPr="001B388B" w:rsidRDefault="007D53B2" w:rsidP="00E41B3F">
      <w:pPr>
        <w:numPr>
          <w:ilvl w:val="12"/>
          <w:numId w:val="0"/>
        </w:numPr>
        <w:suppressLineNumbers/>
        <w:ind w:right="-2"/>
        <w:rPr>
          <w:i/>
          <w:iCs/>
        </w:rPr>
      </w:pPr>
      <w:r w:rsidRPr="001B388B">
        <w:t xml:space="preserve">U detí nie sú k dispozícii žiadne </w:t>
      </w:r>
      <w:proofErr w:type="spellStart"/>
      <w:r w:rsidRPr="001B388B">
        <w:t>intramuskulárne</w:t>
      </w:r>
      <w:proofErr w:type="spellEnd"/>
      <w:r w:rsidRPr="001B388B">
        <w:t xml:space="preserve"> alebo </w:t>
      </w:r>
      <w:proofErr w:type="spellStart"/>
      <w:r w:rsidRPr="001B388B">
        <w:t>subkutánne</w:t>
      </w:r>
      <w:proofErr w:type="spellEnd"/>
      <w:r w:rsidRPr="001B388B">
        <w:t xml:space="preserve"> </w:t>
      </w:r>
      <w:proofErr w:type="spellStart"/>
      <w:r w:rsidRPr="001B388B">
        <w:t>farmakokinetické</w:t>
      </w:r>
      <w:proofErr w:type="spellEnd"/>
      <w:r w:rsidRPr="001B388B">
        <w:t xml:space="preserve"> údaje. </w:t>
      </w:r>
      <w:r w:rsidRPr="001B388B">
        <w:rPr>
          <w:i/>
          <w:iCs/>
        </w:rPr>
        <w:t xml:space="preserve"> </w:t>
      </w:r>
    </w:p>
    <w:p w14:paraId="1A589B9E" w14:textId="77777777" w:rsidR="007D53B2" w:rsidRPr="001B388B" w:rsidRDefault="007D53B2" w:rsidP="00E41B3F">
      <w:pPr>
        <w:numPr>
          <w:ilvl w:val="12"/>
          <w:numId w:val="0"/>
        </w:numPr>
        <w:suppressLineNumbers/>
        <w:ind w:right="-2"/>
      </w:pPr>
    </w:p>
    <w:p w14:paraId="5456C90D" w14:textId="77777777" w:rsidR="007D53B2" w:rsidRPr="002D0DEA" w:rsidRDefault="007D53B2" w:rsidP="00E41B3F">
      <w:pPr>
        <w:numPr>
          <w:ilvl w:val="12"/>
          <w:numId w:val="0"/>
        </w:numPr>
        <w:suppressLineNumbers/>
        <w:ind w:right="-2"/>
        <w:rPr>
          <w:i/>
          <w:iCs/>
        </w:rPr>
      </w:pPr>
      <w:r w:rsidRPr="002D0DEA">
        <w:rPr>
          <w:i/>
          <w:iCs/>
        </w:rPr>
        <w:t>Staršie osoby</w:t>
      </w:r>
    </w:p>
    <w:p w14:paraId="206BCA98" w14:textId="77777777" w:rsidR="007D53B2" w:rsidRPr="001B388B" w:rsidRDefault="00DD5973" w:rsidP="00E41B3F">
      <w:pPr>
        <w:numPr>
          <w:ilvl w:val="12"/>
          <w:numId w:val="0"/>
        </w:numPr>
        <w:suppressLineNumbers/>
        <w:ind w:right="-2"/>
      </w:pPr>
      <w:r w:rsidRPr="001B388B">
        <w:t>U</w:t>
      </w:r>
      <w:r w:rsidR="002D0DEA">
        <w:t> </w:t>
      </w:r>
      <w:r w:rsidRPr="001B388B">
        <w:t>starších</w:t>
      </w:r>
      <w:r w:rsidR="002D0DEA">
        <w:t xml:space="preserve"> osôb </w:t>
      </w:r>
      <w:r w:rsidRPr="001B388B">
        <w:t xml:space="preserve">sa neuskutočnili žiadne špecifické </w:t>
      </w:r>
      <w:proofErr w:type="spellStart"/>
      <w:r w:rsidRPr="001B388B">
        <w:t>farmakokinetické</w:t>
      </w:r>
      <w:proofErr w:type="spellEnd"/>
      <w:r w:rsidRPr="001B388B">
        <w:t xml:space="preserve"> štúdie pre </w:t>
      </w:r>
      <w:proofErr w:type="spellStart"/>
      <w:r w:rsidRPr="001B388B">
        <w:t>parenterálny</w:t>
      </w:r>
      <w:proofErr w:type="spellEnd"/>
      <w:r w:rsidRPr="001B388B">
        <w:t xml:space="preserve"> (</w:t>
      </w:r>
      <w:proofErr w:type="spellStart"/>
      <w:r w:rsidRPr="001B388B">
        <w:t>i.v</w:t>
      </w:r>
      <w:proofErr w:type="spellEnd"/>
      <w:r w:rsidRPr="001B388B">
        <w:t xml:space="preserve">., i.m. alebo </w:t>
      </w:r>
      <w:proofErr w:type="spellStart"/>
      <w:r w:rsidRPr="001B388B">
        <w:t>s.c</w:t>
      </w:r>
      <w:proofErr w:type="spellEnd"/>
      <w:r w:rsidRPr="001B388B">
        <w:t>.) síran horečnatý.</w:t>
      </w:r>
    </w:p>
    <w:p w14:paraId="6247FF03" w14:textId="77777777" w:rsidR="007D53B2" w:rsidRPr="001B388B" w:rsidRDefault="007D53B2" w:rsidP="00E41B3F">
      <w:pPr>
        <w:numPr>
          <w:ilvl w:val="12"/>
          <w:numId w:val="0"/>
        </w:numPr>
        <w:suppressLineNumbers/>
        <w:ind w:right="-2"/>
        <w:rPr>
          <w:u w:val="single"/>
        </w:rPr>
      </w:pPr>
    </w:p>
    <w:p w14:paraId="7F0EEF1A" w14:textId="77777777" w:rsidR="007D53B2" w:rsidRPr="001B388B" w:rsidRDefault="00DD5973" w:rsidP="00E41B3F">
      <w:pPr>
        <w:numPr>
          <w:ilvl w:val="12"/>
          <w:numId w:val="0"/>
        </w:numPr>
        <w:suppressLineNumbers/>
        <w:ind w:right="-2"/>
      </w:pPr>
      <w:r w:rsidRPr="001B388B">
        <w:rPr>
          <w:i/>
          <w:iCs/>
        </w:rPr>
        <w:t>Porucha funkcie pečene</w:t>
      </w:r>
    </w:p>
    <w:p w14:paraId="7AF7B08D" w14:textId="0CD97E03" w:rsidR="00DD5973" w:rsidRPr="001B388B" w:rsidRDefault="00DD5973" w:rsidP="00E41B3F">
      <w:pPr>
        <w:numPr>
          <w:ilvl w:val="12"/>
          <w:numId w:val="0"/>
        </w:numPr>
        <w:suppressLineNumbers/>
        <w:ind w:right="-2"/>
      </w:pPr>
      <w:r w:rsidRPr="001B388B">
        <w:t xml:space="preserve">Ochorenia pečene sú často sprevádzané </w:t>
      </w:r>
      <w:proofErr w:type="spellStart"/>
      <w:r w:rsidRPr="001B388B">
        <w:t>hypoalbuminémiou</w:t>
      </w:r>
      <w:proofErr w:type="spellEnd"/>
      <w:r w:rsidRPr="001B388B">
        <w:t xml:space="preserve">, ktorá sama o sebe môže mať vplyv na hladinu celkového horčíka v sére. Pomer ionizovaný/celkový horčík v sére nepriamo </w:t>
      </w:r>
      <w:r w:rsidR="003311E4">
        <w:t>súvisí so</w:t>
      </w:r>
      <w:r w:rsidRPr="001B388B">
        <w:t xml:space="preserve"> sérov</w:t>
      </w:r>
      <w:r w:rsidR="003311E4">
        <w:t>ým</w:t>
      </w:r>
      <w:r w:rsidRPr="001B388B">
        <w:t xml:space="preserve"> albumín</w:t>
      </w:r>
      <w:r w:rsidR="003311E4">
        <w:t>om</w:t>
      </w:r>
      <w:r w:rsidRPr="001B388B">
        <w:t xml:space="preserve">. Podľa štúdie majú pacienti s najnižšími hladinami sérového albumínu väčšiu časť svojho sérového horčíka vo voľnej biologicky aktívnej forme, ako ionizovaný horčík. U pacientov s alkoholovou </w:t>
      </w:r>
      <w:proofErr w:type="spellStart"/>
      <w:r w:rsidRPr="001B388B">
        <w:t>hepatopatiou</w:t>
      </w:r>
      <w:proofErr w:type="spellEnd"/>
      <w:r w:rsidRPr="001B388B">
        <w:t xml:space="preserve"> boli priemerné koncentrácie celkového aj ionizovaného horčíka v sére nižšie ako </w:t>
      </w:r>
      <w:r w:rsidR="002D0DEA">
        <w:t>zvyčajn</w:t>
      </w:r>
      <w:r w:rsidRPr="001B388B">
        <w:t xml:space="preserve">e.  </w:t>
      </w:r>
    </w:p>
    <w:p w14:paraId="0B3D1806" w14:textId="77777777" w:rsidR="00DD5973" w:rsidRPr="001B388B" w:rsidRDefault="00DD5973" w:rsidP="00E41B3F">
      <w:pPr>
        <w:numPr>
          <w:ilvl w:val="12"/>
          <w:numId w:val="0"/>
        </w:numPr>
        <w:suppressLineNumbers/>
        <w:ind w:right="-2"/>
      </w:pPr>
    </w:p>
    <w:p w14:paraId="41CF48F7" w14:textId="77777777" w:rsidR="00DD5973" w:rsidRPr="001B388B" w:rsidRDefault="00DD5973" w:rsidP="00E41B3F">
      <w:pPr>
        <w:numPr>
          <w:ilvl w:val="12"/>
          <w:numId w:val="0"/>
        </w:numPr>
        <w:suppressLineNumbers/>
        <w:ind w:right="-2"/>
      </w:pPr>
      <w:r w:rsidRPr="001B388B">
        <w:rPr>
          <w:i/>
          <w:iCs/>
        </w:rPr>
        <w:t>Porucha funkcie obličiek</w:t>
      </w:r>
    </w:p>
    <w:p w14:paraId="482EFAB4" w14:textId="77777777" w:rsidR="00DD5973" w:rsidRPr="001B388B" w:rsidRDefault="00DD5973" w:rsidP="00E41B3F">
      <w:pPr>
        <w:numPr>
          <w:ilvl w:val="12"/>
          <w:numId w:val="0"/>
        </w:numPr>
        <w:suppressLineNumbers/>
        <w:ind w:right="-2"/>
      </w:pPr>
      <w:r w:rsidRPr="001B388B">
        <w:t xml:space="preserve">Pri poruche funkcie </w:t>
      </w:r>
      <w:r w:rsidR="00B87475" w:rsidRPr="001B388B">
        <w:t xml:space="preserve">obličiek môže dôjsť k akumulácii horčíka. </w:t>
      </w:r>
    </w:p>
    <w:p w14:paraId="4D54B676" w14:textId="77777777" w:rsidR="00780926" w:rsidRPr="001B388B" w:rsidRDefault="00780926" w:rsidP="00B87475">
      <w:pPr>
        <w:ind w:left="0" w:firstLine="0"/>
        <w:rPr>
          <w:szCs w:val="22"/>
        </w:rPr>
      </w:pPr>
    </w:p>
    <w:p w14:paraId="45E8BC5C" w14:textId="77777777" w:rsidR="00780926" w:rsidRPr="001B388B" w:rsidRDefault="00780926" w:rsidP="00E41B3F">
      <w:pPr>
        <w:rPr>
          <w:szCs w:val="22"/>
        </w:rPr>
      </w:pPr>
      <w:r w:rsidRPr="001B388B">
        <w:rPr>
          <w:b/>
          <w:szCs w:val="22"/>
        </w:rPr>
        <w:t>5.3</w:t>
      </w:r>
      <w:r w:rsidRPr="001B388B">
        <w:rPr>
          <w:b/>
          <w:szCs w:val="22"/>
        </w:rPr>
        <w:tab/>
        <w:t>Predklinické údaje o</w:t>
      </w:r>
      <w:r w:rsidR="00FA099B" w:rsidRPr="001B388B">
        <w:rPr>
          <w:b/>
          <w:szCs w:val="22"/>
        </w:rPr>
        <w:t> </w:t>
      </w:r>
      <w:r w:rsidRPr="001B388B">
        <w:rPr>
          <w:b/>
          <w:szCs w:val="22"/>
        </w:rPr>
        <w:t>bezpečnosti</w:t>
      </w:r>
    </w:p>
    <w:p w14:paraId="0C8EFA0E" w14:textId="77777777" w:rsidR="00780926" w:rsidRPr="001B388B" w:rsidRDefault="00780926" w:rsidP="00B87475">
      <w:pPr>
        <w:ind w:left="0" w:firstLine="0"/>
        <w:rPr>
          <w:szCs w:val="22"/>
        </w:rPr>
      </w:pPr>
    </w:p>
    <w:p w14:paraId="641B9C63" w14:textId="2320DCF2" w:rsidR="00E1698A" w:rsidRPr="001B388B" w:rsidRDefault="00780926" w:rsidP="00B87475">
      <w:pPr>
        <w:ind w:left="0" w:firstLine="0"/>
        <w:rPr>
          <w:szCs w:val="22"/>
          <w:u w:val="single"/>
        </w:rPr>
      </w:pPr>
      <w:r w:rsidRPr="001B388B">
        <w:rPr>
          <w:szCs w:val="22"/>
        </w:rPr>
        <w:t xml:space="preserve">Predklinické údaje získané na základe obvyklých farmakologických štúdií bezpečnosti, toxicity po opakovanom </w:t>
      </w:r>
      <w:r w:rsidR="007E5956" w:rsidRPr="001B388B">
        <w:rPr>
          <w:szCs w:val="22"/>
        </w:rPr>
        <w:t>podávaní</w:t>
      </w:r>
      <w:r w:rsidRPr="001B388B">
        <w:rPr>
          <w:szCs w:val="22"/>
        </w:rPr>
        <w:t xml:space="preserve">, </w:t>
      </w:r>
      <w:proofErr w:type="spellStart"/>
      <w:r w:rsidRPr="001B388B">
        <w:rPr>
          <w:szCs w:val="22"/>
        </w:rPr>
        <w:t>genotoxicity</w:t>
      </w:r>
      <w:proofErr w:type="spellEnd"/>
      <w:r w:rsidRPr="001B388B">
        <w:rPr>
          <w:szCs w:val="22"/>
        </w:rPr>
        <w:t>, karcinogénneho potenciálu</w:t>
      </w:r>
      <w:r w:rsidR="00E1698A" w:rsidRPr="001B388B">
        <w:rPr>
          <w:szCs w:val="22"/>
        </w:rPr>
        <w:t xml:space="preserve">, </w:t>
      </w:r>
      <w:r w:rsidR="009E52C2">
        <w:rPr>
          <w:szCs w:val="22"/>
        </w:rPr>
        <w:t>reprodukčnej toxicity a vývinu</w:t>
      </w:r>
      <w:r w:rsidR="00E1698A" w:rsidRPr="001B388B">
        <w:rPr>
          <w:szCs w:val="22"/>
        </w:rPr>
        <w:t xml:space="preserve"> </w:t>
      </w:r>
      <w:r w:rsidRPr="001B388B">
        <w:rPr>
          <w:szCs w:val="22"/>
        </w:rPr>
        <w:t>neodhalili žiadne osobitné riziko pre ľudí.</w:t>
      </w:r>
    </w:p>
    <w:p w14:paraId="124B6FBD" w14:textId="77777777" w:rsidR="00780926" w:rsidRPr="001B388B" w:rsidRDefault="00780926" w:rsidP="00B87475">
      <w:pPr>
        <w:ind w:left="0" w:firstLine="0"/>
        <w:rPr>
          <w:szCs w:val="22"/>
        </w:rPr>
      </w:pPr>
    </w:p>
    <w:p w14:paraId="730A5D1B" w14:textId="77777777" w:rsidR="00E1698A" w:rsidRPr="001B388B" w:rsidRDefault="00E1698A" w:rsidP="00B87475">
      <w:pPr>
        <w:ind w:left="0" w:firstLine="0"/>
        <w:rPr>
          <w:szCs w:val="22"/>
        </w:rPr>
      </w:pPr>
    </w:p>
    <w:p w14:paraId="6FA2BE88" w14:textId="77777777" w:rsidR="00780926" w:rsidRPr="001B388B" w:rsidRDefault="00780926" w:rsidP="00E41B3F">
      <w:pPr>
        <w:rPr>
          <w:b/>
          <w:szCs w:val="22"/>
        </w:rPr>
      </w:pPr>
      <w:r w:rsidRPr="001B388B">
        <w:rPr>
          <w:b/>
          <w:szCs w:val="22"/>
        </w:rPr>
        <w:t>6.</w:t>
      </w:r>
      <w:r w:rsidRPr="001B388B">
        <w:rPr>
          <w:b/>
          <w:szCs w:val="22"/>
        </w:rPr>
        <w:tab/>
        <w:t>FARMACEUTICKÉ INFORMÁCIE</w:t>
      </w:r>
    </w:p>
    <w:p w14:paraId="51744CA2" w14:textId="77777777" w:rsidR="00780926" w:rsidRPr="001B388B" w:rsidRDefault="00780926" w:rsidP="00B87475">
      <w:pPr>
        <w:ind w:left="0" w:firstLine="0"/>
        <w:rPr>
          <w:szCs w:val="22"/>
        </w:rPr>
      </w:pPr>
    </w:p>
    <w:p w14:paraId="75ACCBF9" w14:textId="77777777" w:rsidR="00780926" w:rsidRPr="001B388B" w:rsidRDefault="00780926" w:rsidP="00E41B3F">
      <w:pPr>
        <w:rPr>
          <w:szCs w:val="22"/>
        </w:rPr>
      </w:pPr>
      <w:r w:rsidRPr="001B388B">
        <w:rPr>
          <w:b/>
          <w:szCs w:val="22"/>
        </w:rPr>
        <w:t>6.1</w:t>
      </w:r>
      <w:r w:rsidRPr="001B388B">
        <w:rPr>
          <w:b/>
          <w:szCs w:val="22"/>
        </w:rPr>
        <w:tab/>
        <w:t>Zoznam pomocných látok</w:t>
      </w:r>
    </w:p>
    <w:p w14:paraId="011A0998" w14:textId="77777777" w:rsidR="00780926" w:rsidRPr="001B388B" w:rsidRDefault="00780926" w:rsidP="00B87475">
      <w:pPr>
        <w:ind w:left="0" w:firstLine="0"/>
      </w:pPr>
    </w:p>
    <w:p w14:paraId="5EEEC2B1" w14:textId="77777777" w:rsidR="00780926" w:rsidRPr="001B388B" w:rsidRDefault="00B87475" w:rsidP="00B87475">
      <w:pPr>
        <w:ind w:left="0" w:firstLine="0"/>
      </w:pPr>
      <w:r w:rsidRPr="001B388B">
        <w:t>Kyselina sírová (na úpravu pH)</w:t>
      </w:r>
    </w:p>
    <w:p w14:paraId="08AFDC2B" w14:textId="77777777" w:rsidR="00B87475" w:rsidRPr="001B388B" w:rsidRDefault="00B87475" w:rsidP="00B87475">
      <w:pPr>
        <w:ind w:left="0" w:firstLine="0"/>
      </w:pPr>
      <w:r w:rsidRPr="001B388B">
        <w:t>Hydroxid sodný (na úpravu pH)</w:t>
      </w:r>
    </w:p>
    <w:p w14:paraId="5D9E10B9" w14:textId="4E3352AA" w:rsidR="00B87475" w:rsidRPr="001B388B" w:rsidRDefault="00B87475" w:rsidP="00B87475">
      <w:pPr>
        <w:ind w:left="0" w:firstLine="0"/>
      </w:pPr>
      <w:r w:rsidRPr="001B388B">
        <w:t>Voda na injekci</w:t>
      </w:r>
      <w:r w:rsidR="003311E4">
        <w:t>e</w:t>
      </w:r>
    </w:p>
    <w:p w14:paraId="13F45E67" w14:textId="77777777" w:rsidR="00B87475" w:rsidRPr="001B388B" w:rsidRDefault="00B87475" w:rsidP="00B87475">
      <w:pPr>
        <w:ind w:left="0" w:firstLine="0"/>
      </w:pPr>
    </w:p>
    <w:p w14:paraId="20D65D0D" w14:textId="77777777" w:rsidR="00780926" w:rsidRPr="001B388B" w:rsidRDefault="00780926" w:rsidP="00E41B3F">
      <w:pPr>
        <w:rPr>
          <w:szCs w:val="22"/>
        </w:rPr>
      </w:pPr>
      <w:r w:rsidRPr="001B388B">
        <w:rPr>
          <w:b/>
          <w:szCs w:val="22"/>
        </w:rPr>
        <w:t>6.2</w:t>
      </w:r>
      <w:r w:rsidRPr="001B388B">
        <w:rPr>
          <w:b/>
          <w:szCs w:val="22"/>
        </w:rPr>
        <w:tab/>
        <w:t>Inkompatibility</w:t>
      </w:r>
    </w:p>
    <w:p w14:paraId="5ABC8813" w14:textId="77777777" w:rsidR="00780926" w:rsidRPr="001B388B" w:rsidRDefault="00780926" w:rsidP="00B87475">
      <w:pPr>
        <w:ind w:left="0" w:firstLine="0"/>
        <w:rPr>
          <w:szCs w:val="22"/>
        </w:rPr>
      </w:pPr>
    </w:p>
    <w:p w14:paraId="0DBD1E44" w14:textId="77777777" w:rsidR="00B87475" w:rsidRPr="001B388B" w:rsidRDefault="00B87475" w:rsidP="00B87475">
      <w:pPr>
        <w:ind w:left="0" w:firstLine="0"/>
        <w:rPr>
          <w:szCs w:val="22"/>
        </w:rPr>
      </w:pPr>
      <w:r w:rsidRPr="001B388B">
        <w:rPr>
          <w:szCs w:val="22"/>
        </w:rPr>
        <w:t>Tento liek sa nesmie miešať s inými liekmi okrem tých, ktoré sú uvedené v časti 6.6.</w:t>
      </w:r>
    </w:p>
    <w:p w14:paraId="2B3ED69E" w14:textId="77777777" w:rsidR="00B87475" w:rsidRPr="001B388B" w:rsidRDefault="00B87475" w:rsidP="00B87475">
      <w:pPr>
        <w:ind w:left="0" w:firstLine="0"/>
        <w:rPr>
          <w:szCs w:val="22"/>
        </w:rPr>
      </w:pPr>
    </w:p>
    <w:p w14:paraId="24BC42EB" w14:textId="4C30A160" w:rsidR="00B87475" w:rsidRPr="001B388B" w:rsidRDefault="00B87475" w:rsidP="00B87475">
      <w:pPr>
        <w:ind w:left="0" w:firstLine="0"/>
        <w:rPr>
          <w:szCs w:val="22"/>
        </w:rPr>
      </w:pPr>
      <w:bookmarkStart w:id="20" w:name="_Hlk20576614"/>
      <w:bookmarkStart w:id="21" w:name="_Hlk20917704"/>
      <w:r w:rsidRPr="0067425D">
        <w:rPr>
          <w:szCs w:val="22"/>
        </w:rPr>
        <w:t>Síran horečnatý je inkompatibilný s</w:t>
      </w:r>
      <w:r w:rsidR="00FD1DEC" w:rsidRPr="0067425D">
        <w:rPr>
          <w:szCs w:val="22"/>
        </w:rPr>
        <w:t>o</w:t>
      </w:r>
      <w:r w:rsidRPr="0067425D">
        <w:rPr>
          <w:szCs w:val="22"/>
        </w:rPr>
        <w:t> soľami vápnika (</w:t>
      </w:r>
      <w:proofErr w:type="spellStart"/>
      <w:r w:rsidRPr="0067425D">
        <w:rPr>
          <w:szCs w:val="22"/>
        </w:rPr>
        <w:t>gluceptát</w:t>
      </w:r>
      <w:proofErr w:type="spellEnd"/>
      <w:r w:rsidRPr="0067425D">
        <w:rPr>
          <w:szCs w:val="22"/>
        </w:rPr>
        <w:t xml:space="preserve">, </w:t>
      </w:r>
      <w:proofErr w:type="spellStart"/>
      <w:r w:rsidRPr="0067425D">
        <w:rPr>
          <w:szCs w:val="22"/>
        </w:rPr>
        <w:t>glukonát</w:t>
      </w:r>
      <w:proofErr w:type="spellEnd"/>
      <w:r w:rsidRPr="0067425D">
        <w:rPr>
          <w:szCs w:val="22"/>
        </w:rPr>
        <w:t xml:space="preserve">), alkalickými uhličitanmi (tvoriacimi nerozpustný </w:t>
      </w:r>
      <w:r w:rsidR="003311E4">
        <w:rPr>
          <w:szCs w:val="22"/>
        </w:rPr>
        <w:t>uhličitan</w:t>
      </w:r>
      <w:r w:rsidRPr="0067425D">
        <w:rPr>
          <w:szCs w:val="22"/>
        </w:rPr>
        <w:t xml:space="preserve"> </w:t>
      </w:r>
      <w:proofErr w:type="spellStart"/>
      <w:r w:rsidRPr="0067425D">
        <w:rPr>
          <w:szCs w:val="22"/>
        </w:rPr>
        <w:t>horečnatý</w:t>
      </w:r>
      <w:proofErr w:type="spellEnd"/>
      <w:r w:rsidRPr="0067425D">
        <w:rPr>
          <w:szCs w:val="22"/>
        </w:rPr>
        <w:t xml:space="preserve">), </w:t>
      </w:r>
      <w:proofErr w:type="spellStart"/>
      <w:r w:rsidR="00E25115">
        <w:rPr>
          <w:szCs w:val="22"/>
        </w:rPr>
        <w:t>hydrogenuhličitanmi</w:t>
      </w:r>
      <w:proofErr w:type="spellEnd"/>
      <w:r w:rsidR="00E25115">
        <w:rPr>
          <w:szCs w:val="22"/>
        </w:rPr>
        <w:t>, alkalickými hydroxidmi (tvoriacimi nerozpustný hydroxid</w:t>
      </w:r>
      <w:r w:rsidR="00E25115" w:rsidRPr="00E25115">
        <w:rPr>
          <w:szCs w:val="22"/>
        </w:rPr>
        <w:t xml:space="preserve"> </w:t>
      </w:r>
      <w:proofErr w:type="spellStart"/>
      <w:r w:rsidR="00E25115" w:rsidRPr="00E25115">
        <w:rPr>
          <w:szCs w:val="22"/>
        </w:rPr>
        <w:t>horečnatý</w:t>
      </w:r>
      <w:proofErr w:type="spellEnd"/>
      <w:r w:rsidR="00E25115">
        <w:rPr>
          <w:szCs w:val="22"/>
        </w:rPr>
        <w:t xml:space="preserve">), </w:t>
      </w:r>
      <w:r w:rsidRPr="0067425D">
        <w:rPr>
          <w:szCs w:val="22"/>
        </w:rPr>
        <w:t xml:space="preserve">fosfátmi, </w:t>
      </w:r>
      <w:proofErr w:type="spellStart"/>
      <w:r w:rsidRPr="0067425D">
        <w:rPr>
          <w:szCs w:val="22"/>
        </w:rPr>
        <w:t>salicylátmi</w:t>
      </w:r>
      <w:proofErr w:type="spellEnd"/>
      <w:r w:rsidRPr="0067425D">
        <w:rPr>
          <w:szCs w:val="22"/>
        </w:rPr>
        <w:t xml:space="preserve">, </w:t>
      </w:r>
      <w:proofErr w:type="spellStart"/>
      <w:r w:rsidRPr="0067425D">
        <w:rPr>
          <w:szCs w:val="22"/>
        </w:rPr>
        <w:t>polymyxín</w:t>
      </w:r>
      <w:proofErr w:type="spellEnd"/>
      <w:r w:rsidR="00FD1DEC" w:rsidRPr="0067425D">
        <w:rPr>
          <w:szCs w:val="22"/>
        </w:rPr>
        <w:t>-sulfátom</w:t>
      </w:r>
      <w:r w:rsidR="00E25115">
        <w:rPr>
          <w:szCs w:val="22"/>
        </w:rPr>
        <w:t xml:space="preserve"> B</w:t>
      </w:r>
      <w:r w:rsidRPr="0067425D">
        <w:rPr>
          <w:szCs w:val="22"/>
        </w:rPr>
        <w:t xml:space="preserve">, </w:t>
      </w:r>
      <w:proofErr w:type="spellStart"/>
      <w:r w:rsidRPr="0067425D">
        <w:rPr>
          <w:szCs w:val="22"/>
        </w:rPr>
        <w:t>tobramycín</w:t>
      </w:r>
      <w:proofErr w:type="spellEnd"/>
      <w:r w:rsidRPr="0067425D">
        <w:rPr>
          <w:szCs w:val="22"/>
        </w:rPr>
        <w:t>-sulfátom, streptomycín-sul</w:t>
      </w:r>
      <w:r w:rsidR="0067425D" w:rsidRPr="0067425D">
        <w:rPr>
          <w:szCs w:val="22"/>
        </w:rPr>
        <w:t>f</w:t>
      </w:r>
      <w:r w:rsidRPr="0067425D">
        <w:rPr>
          <w:szCs w:val="22"/>
        </w:rPr>
        <w:t xml:space="preserve">átom, </w:t>
      </w:r>
      <w:proofErr w:type="spellStart"/>
      <w:r w:rsidRPr="0067425D">
        <w:rPr>
          <w:szCs w:val="22"/>
        </w:rPr>
        <w:t>amfotericínom</w:t>
      </w:r>
      <w:proofErr w:type="spellEnd"/>
      <w:r w:rsidRPr="0067425D">
        <w:rPr>
          <w:szCs w:val="22"/>
        </w:rPr>
        <w:t xml:space="preserve"> B, tetracyklínmi, </w:t>
      </w:r>
      <w:proofErr w:type="spellStart"/>
      <w:r w:rsidRPr="0067425D">
        <w:rPr>
          <w:szCs w:val="22"/>
        </w:rPr>
        <w:t>aminoglykozidmi</w:t>
      </w:r>
      <w:proofErr w:type="spellEnd"/>
      <w:r w:rsidRPr="0067425D">
        <w:rPr>
          <w:szCs w:val="22"/>
        </w:rPr>
        <w:t xml:space="preserve">, </w:t>
      </w:r>
      <w:proofErr w:type="spellStart"/>
      <w:r w:rsidRPr="0067425D">
        <w:rPr>
          <w:szCs w:val="22"/>
        </w:rPr>
        <w:t>klindamycín</w:t>
      </w:r>
      <w:r w:rsidR="0067425D" w:rsidRPr="0067425D">
        <w:rPr>
          <w:szCs w:val="22"/>
        </w:rPr>
        <w:t>om</w:t>
      </w:r>
      <w:proofErr w:type="spellEnd"/>
      <w:r w:rsidRPr="0067425D">
        <w:rPr>
          <w:szCs w:val="22"/>
        </w:rPr>
        <w:t xml:space="preserve">, </w:t>
      </w:r>
      <w:proofErr w:type="spellStart"/>
      <w:r w:rsidRPr="0067425D">
        <w:rPr>
          <w:szCs w:val="22"/>
        </w:rPr>
        <w:t>be</w:t>
      </w:r>
      <w:r w:rsidR="0067425D" w:rsidRPr="0067425D">
        <w:rPr>
          <w:szCs w:val="22"/>
        </w:rPr>
        <w:t>n</w:t>
      </w:r>
      <w:r w:rsidRPr="0067425D">
        <w:rPr>
          <w:szCs w:val="22"/>
        </w:rPr>
        <w:t>zylpenicilínom</w:t>
      </w:r>
      <w:proofErr w:type="spellEnd"/>
      <w:r w:rsidRPr="0067425D">
        <w:rPr>
          <w:szCs w:val="22"/>
        </w:rPr>
        <w:t xml:space="preserve">, </w:t>
      </w:r>
      <w:proofErr w:type="spellStart"/>
      <w:r w:rsidRPr="0067425D">
        <w:rPr>
          <w:szCs w:val="22"/>
        </w:rPr>
        <w:t>nafcil</w:t>
      </w:r>
      <w:r w:rsidR="00E25115">
        <w:rPr>
          <w:szCs w:val="22"/>
        </w:rPr>
        <w:t>í</w:t>
      </w:r>
      <w:r w:rsidRPr="0067425D">
        <w:rPr>
          <w:szCs w:val="22"/>
        </w:rPr>
        <w:t>nom</w:t>
      </w:r>
      <w:proofErr w:type="spellEnd"/>
      <w:r w:rsidRPr="0067425D">
        <w:rPr>
          <w:szCs w:val="22"/>
        </w:rPr>
        <w:t xml:space="preserve">, </w:t>
      </w:r>
      <w:proofErr w:type="spellStart"/>
      <w:r w:rsidRPr="0067425D">
        <w:rPr>
          <w:szCs w:val="22"/>
        </w:rPr>
        <w:t>dobutamínom</w:t>
      </w:r>
      <w:proofErr w:type="spellEnd"/>
      <w:r w:rsidRPr="0067425D">
        <w:rPr>
          <w:szCs w:val="22"/>
        </w:rPr>
        <w:t xml:space="preserve">, </w:t>
      </w:r>
      <w:proofErr w:type="spellStart"/>
      <w:r w:rsidRPr="0067425D">
        <w:rPr>
          <w:szCs w:val="22"/>
        </w:rPr>
        <w:t>hydrokortizón</w:t>
      </w:r>
      <w:r w:rsidR="00E25115">
        <w:rPr>
          <w:szCs w:val="22"/>
        </w:rPr>
        <w:t>-</w:t>
      </w:r>
      <w:r w:rsidRPr="0067425D">
        <w:rPr>
          <w:szCs w:val="22"/>
        </w:rPr>
        <w:t>sukcinát</w:t>
      </w:r>
      <w:r w:rsidR="0067425D" w:rsidRPr="0067425D">
        <w:rPr>
          <w:szCs w:val="22"/>
        </w:rPr>
        <w:t>om</w:t>
      </w:r>
      <w:proofErr w:type="spellEnd"/>
      <w:r w:rsidRPr="0067425D">
        <w:rPr>
          <w:szCs w:val="22"/>
        </w:rPr>
        <w:t xml:space="preserve"> sodným, </w:t>
      </w:r>
      <w:proofErr w:type="spellStart"/>
      <w:r w:rsidRPr="0067425D">
        <w:rPr>
          <w:szCs w:val="22"/>
        </w:rPr>
        <w:t>prokaínom</w:t>
      </w:r>
      <w:proofErr w:type="spellEnd"/>
      <w:r w:rsidRPr="0067425D">
        <w:rPr>
          <w:szCs w:val="22"/>
        </w:rPr>
        <w:t xml:space="preserve">, </w:t>
      </w:r>
      <w:proofErr w:type="spellStart"/>
      <w:r w:rsidRPr="0067425D">
        <w:rPr>
          <w:szCs w:val="22"/>
        </w:rPr>
        <w:t>lipidovými</w:t>
      </w:r>
      <w:proofErr w:type="spellEnd"/>
      <w:r w:rsidRPr="0067425D">
        <w:rPr>
          <w:szCs w:val="22"/>
        </w:rPr>
        <w:t xml:space="preserve"> emulziami.</w:t>
      </w:r>
    </w:p>
    <w:bookmarkEnd w:id="20"/>
    <w:p w14:paraId="655FEAD7" w14:textId="77777777" w:rsidR="00780926" w:rsidRPr="001B388B" w:rsidRDefault="00780926" w:rsidP="00B87475">
      <w:pPr>
        <w:ind w:left="0" w:firstLine="0"/>
        <w:rPr>
          <w:szCs w:val="22"/>
        </w:rPr>
      </w:pPr>
    </w:p>
    <w:bookmarkEnd w:id="21"/>
    <w:p w14:paraId="2BC12029" w14:textId="77777777" w:rsidR="00780926" w:rsidRPr="001B388B" w:rsidRDefault="00780926" w:rsidP="00D513D2">
      <w:pPr>
        <w:rPr>
          <w:szCs w:val="22"/>
        </w:rPr>
      </w:pPr>
      <w:r w:rsidRPr="001B388B">
        <w:rPr>
          <w:b/>
          <w:szCs w:val="22"/>
        </w:rPr>
        <w:t>6.3</w:t>
      </w:r>
      <w:r w:rsidRPr="001B388B">
        <w:rPr>
          <w:b/>
          <w:szCs w:val="22"/>
        </w:rPr>
        <w:tab/>
        <w:t>Čas použiteľnosti</w:t>
      </w:r>
    </w:p>
    <w:p w14:paraId="2AFB8782" w14:textId="77777777" w:rsidR="00780926" w:rsidRPr="001B388B" w:rsidRDefault="00780926" w:rsidP="00B87475">
      <w:pPr>
        <w:ind w:left="0" w:firstLine="0"/>
        <w:rPr>
          <w:szCs w:val="22"/>
        </w:rPr>
      </w:pPr>
    </w:p>
    <w:p w14:paraId="0E8A4C10" w14:textId="77777777" w:rsidR="00780926" w:rsidRPr="001B388B" w:rsidRDefault="00B87475" w:rsidP="00B13F68">
      <w:pPr>
        <w:ind w:left="540" w:hanging="540"/>
        <w:rPr>
          <w:szCs w:val="22"/>
        </w:rPr>
      </w:pPr>
      <w:r w:rsidRPr="001B388B">
        <w:rPr>
          <w:szCs w:val="22"/>
        </w:rPr>
        <w:t xml:space="preserve">Neotvorená ampulka: </w:t>
      </w:r>
      <w:r w:rsidR="00780926" w:rsidRPr="001B388B">
        <w:rPr>
          <w:szCs w:val="22"/>
        </w:rPr>
        <w:t>3 roky</w:t>
      </w:r>
    </w:p>
    <w:p w14:paraId="6A94C060" w14:textId="77777777" w:rsidR="00B87475" w:rsidRPr="001B388B" w:rsidRDefault="00B87475" w:rsidP="00B13F68">
      <w:pPr>
        <w:ind w:left="540" w:hanging="540"/>
        <w:rPr>
          <w:szCs w:val="22"/>
        </w:rPr>
      </w:pPr>
    </w:p>
    <w:p w14:paraId="67A5166A" w14:textId="77777777" w:rsidR="00B87475" w:rsidRPr="001B388B" w:rsidRDefault="00B87475" w:rsidP="00B13F68">
      <w:pPr>
        <w:ind w:left="540" w:hanging="540"/>
        <w:rPr>
          <w:szCs w:val="22"/>
        </w:rPr>
      </w:pPr>
      <w:r w:rsidRPr="001B388B">
        <w:rPr>
          <w:szCs w:val="22"/>
          <w:u w:val="single"/>
        </w:rPr>
        <w:t xml:space="preserve">Čas použiteľnosti po </w:t>
      </w:r>
      <w:r w:rsidR="0067425D">
        <w:rPr>
          <w:szCs w:val="22"/>
          <w:u w:val="single"/>
        </w:rPr>
        <w:t xml:space="preserve">prvom </w:t>
      </w:r>
      <w:r w:rsidRPr="001B388B">
        <w:rPr>
          <w:szCs w:val="22"/>
          <w:u w:val="single"/>
        </w:rPr>
        <w:t>otvorení</w:t>
      </w:r>
    </w:p>
    <w:p w14:paraId="4359BDCB" w14:textId="77777777" w:rsidR="00B87475" w:rsidRPr="001B388B" w:rsidRDefault="00B87475" w:rsidP="00B13F68">
      <w:pPr>
        <w:ind w:left="540" w:hanging="540"/>
        <w:rPr>
          <w:szCs w:val="22"/>
        </w:rPr>
      </w:pPr>
      <w:r w:rsidRPr="001B388B">
        <w:rPr>
          <w:szCs w:val="22"/>
        </w:rPr>
        <w:t>Liek musí byť po otvorení ampulky použitý okamžite (pozri bod 6.6).</w:t>
      </w:r>
    </w:p>
    <w:p w14:paraId="64D2F40E" w14:textId="77777777" w:rsidR="00B87475" w:rsidRPr="001B388B" w:rsidRDefault="00B87475" w:rsidP="00B13F68">
      <w:pPr>
        <w:ind w:left="540" w:hanging="540"/>
        <w:rPr>
          <w:szCs w:val="22"/>
        </w:rPr>
      </w:pPr>
    </w:p>
    <w:p w14:paraId="0BE998BA" w14:textId="77777777" w:rsidR="00B87475" w:rsidRPr="001B388B" w:rsidRDefault="00B87475" w:rsidP="00B13F68">
      <w:pPr>
        <w:ind w:left="540" w:hanging="540"/>
        <w:rPr>
          <w:szCs w:val="22"/>
        </w:rPr>
      </w:pPr>
      <w:r w:rsidRPr="001B388B">
        <w:rPr>
          <w:szCs w:val="22"/>
          <w:u w:val="single"/>
        </w:rPr>
        <w:t xml:space="preserve">Čas použiteľnosti po </w:t>
      </w:r>
      <w:r w:rsidR="0067425D">
        <w:rPr>
          <w:szCs w:val="22"/>
          <w:u w:val="single"/>
        </w:rPr>
        <w:t>z</w:t>
      </w:r>
      <w:r w:rsidRPr="001B388B">
        <w:rPr>
          <w:szCs w:val="22"/>
          <w:u w:val="single"/>
        </w:rPr>
        <w:t>r</w:t>
      </w:r>
      <w:r w:rsidR="00C37953" w:rsidRPr="001B388B">
        <w:rPr>
          <w:szCs w:val="22"/>
          <w:u w:val="single"/>
        </w:rPr>
        <w:t>i</w:t>
      </w:r>
      <w:r w:rsidRPr="001B388B">
        <w:rPr>
          <w:szCs w:val="22"/>
          <w:u w:val="single"/>
        </w:rPr>
        <w:t>edení</w:t>
      </w:r>
    </w:p>
    <w:p w14:paraId="1B94D0AB" w14:textId="434B6081" w:rsidR="00C37953" w:rsidRPr="001B388B" w:rsidRDefault="00C37953" w:rsidP="00C37953">
      <w:pPr>
        <w:ind w:left="0" w:firstLine="0"/>
        <w:rPr>
          <w:szCs w:val="22"/>
        </w:rPr>
      </w:pPr>
      <w:bookmarkStart w:id="22" w:name="_Hlk20917175"/>
      <w:r w:rsidRPr="001B388B">
        <w:rPr>
          <w:szCs w:val="22"/>
        </w:rPr>
        <w:t xml:space="preserve">Chemická a fyzikálna stabilita po </w:t>
      </w:r>
      <w:r w:rsidR="00CA1589">
        <w:rPr>
          <w:szCs w:val="22"/>
        </w:rPr>
        <w:t>z</w:t>
      </w:r>
      <w:r w:rsidRPr="001B388B">
        <w:rPr>
          <w:szCs w:val="22"/>
        </w:rPr>
        <w:t xml:space="preserve">riedení pred použitím sa preukázala </w:t>
      </w:r>
      <w:r w:rsidR="00E25115">
        <w:rPr>
          <w:szCs w:val="22"/>
        </w:rPr>
        <w:t>počas</w:t>
      </w:r>
      <w:r w:rsidRPr="001B388B">
        <w:rPr>
          <w:szCs w:val="22"/>
        </w:rPr>
        <w:t xml:space="preserve"> 72 hodín pri 30 °C a pri 2 °C – 8 °C po </w:t>
      </w:r>
      <w:r w:rsidR="00E25115">
        <w:rPr>
          <w:szCs w:val="22"/>
        </w:rPr>
        <w:t>z</w:t>
      </w:r>
      <w:r w:rsidRPr="001B388B">
        <w:rPr>
          <w:szCs w:val="22"/>
        </w:rPr>
        <w:t>riedení s 0,9</w:t>
      </w:r>
      <w:r w:rsidR="00E25115">
        <w:rPr>
          <w:szCs w:val="22"/>
        </w:rPr>
        <w:t> </w:t>
      </w:r>
      <w:r w:rsidRPr="001B388B">
        <w:rPr>
          <w:szCs w:val="22"/>
        </w:rPr>
        <w:t>% roztokom chloridu sodného alebo 5</w:t>
      </w:r>
      <w:r w:rsidR="00E25115">
        <w:rPr>
          <w:szCs w:val="22"/>
        </w:rPr>
        <w:t> </w:t>
      </w:r>
      <w:r w:rsidRPr="001B388B">
        <w:rPr>
          <w:szCs w:val="22"/>
        </w:rPr>
        <w:t>% roztokom glukózy.</w:t>
      </w:r>
    </w:p>
    <w:p w14:paraId="3715F355" w14:textId="77777777" w:rsidR="00C37953" w:rsidRPr="001B388B" w:rsidRDefault="00C37953" w:rsidP="00C37953">
      <w:pPr>
        <w:ind w:left="0" w:firstLine="0"/>
        <w:rPr>
          <w:szCs w:val="22"/>
        </w:rPr>
      </w:pPr>
    </w:p>
    <w:p w14:paraId="6024DB18" w14:textId="3DC21A3E" w:rsidR="00C37953" w:rsidRPr="001B388B" w:rsidRDefault="00C37953" w:rsidP="00C37953">
      <w:pPr>
        <w:ind w:left="0" w:firstLine="0"/>
        <w:rPr>
          <w:szCs w:val="22"/>
        </w:rPr>
      </w:pPr>
      <w:r w:rsidRPr="001B388B">
        <w:rPr>
          <w:szCs w:val="22"/>
        </w:rPr>
        <w:t>Z mikrobiologického hľadiska sa má liek použiť</w:t>
      </w:r>
      <w:r w:rsidR="00CA1589" w:rsidRPr="00CA1589">
        <w:rPr>
          <w:szCs w:val="22"/>
        </w:rPr>
        <w:t xml:space="preserve"> </w:t>
      </w:r>
      <w:r w:rsidR="00CA1589" w:rsidRPr="001B388B">
        <w:rPr>
          <w:szCs w:val="22"/>
        </w:rPr>
        <w:t>okamžite</w:t>
      </w:r>
      <w:r w:rsidRPr="001B388B">
        <w:rPr>
          <w:szCs w:val="22"/>
        </w:rPr>
        <w:t>. Ak sa nepoužije okamžite, za čas a podmienky uchov</w:t>
      </w:r>
      <w:r w:rsidR="00D501CE">
        <w:rPr>
          <w:szCs w:val="22"/>
        </w:rPr>
        <w:t>ávania</w:t>
      </w:r>
      <w:r w:rsidRPr="001B388B">
        <w:rPr>
          <w:szCs w:val="22"/>
        </w:rPr>
        <w:t xml:space="preserve"> pred použitím zodpovedá používateľ, a zvyčajne to nemá byť dlhšie ako 24 hodín pri teplote 2 °C – 8 °C, pokiaľ sa riedenie nevykonalo za kontrolovaných a validovaných aseptických podmienok.</w:t>
      </w:r>
      <w:bookmarkEnd w:id="22"/>
    </w:p>
    <w:p w14:paraId="00F6120C" w14:textId="77777777" w:rsidR="00780926" w:rsidRPr="001B388B" w:rsidRDefault="00780926" w:rsidP="00C37953">
      <w:pPr>
        <w:ind w:left="0" w:firstLine="0"/>
      </w:pPr>
    </w:p>
    <w:p w14:paraId="7B1F002B" w14:textId="77777777" w:rsidR="00780926" w:rsidRPr="001B388B" w:rsidRDefault="00780926" w:rsidP="00B13F68">
      <w:pPr>
        <w:rPr>
          <w:szCs w:val="22"/>
        </w:rPr>
      </w:pPr>
      <w:r w:rsidRPr="001B388B">
        <w:rPr>
          <w:b/>
          <w:szCs w:val="22"/>
        </w:rPr>
        <w:t>6.4</w:t>
      </w:r>
      <w:r w:rsidRPr="001B388B">
        <w:rPr>
          <w:b/>
          <w:szCs w:val="22"/>
        </w:rPr>
        <w:tab/>
        <w:t>Špeciálne upozornenia na uchovávanie</w:t>
      </w:r>
    </w:p>
    <w:p w14:paraId="6F565918" w14:textId="77777777" w:rsidR="00780926" w:rsidRPr="001B388B" w:rsidRDefault="00780926" w:rsidP="00C37953">
      <w:pPr>
        <w:ind w:left="0" w:firstLine="0"/>
      </w:pPr>
    </w:p>
    <w:p w14:paraId="5EA4F39D" w14:textId="77777777" w:rsidR="00C37953" w:rsidRPr="001B388B" w:rsidRDefault="00C37953" w:rsidP="00C37953">
      <w:pPr>
        <w:ind w:left="0" w:firstLine="0"/>
      </w:pPr>
      <w:r w:rsidRPr="001B388B">
        <w:t>Neuchovávajte v mrazničke.</w:t>
      </w:r>
    </w:p>
    <w:p w14:paraId="7922BEA6" w14:textId="77777777" w:rsidR="00780926" w:rsidRPr="001B388B" w:rsidRDefault="00780926" w:rsidP="00B13F68">
      <w:pPr>
        <w:rPr>
          <w:i/>
        </w:rPr>
      </w:pPr>
      <w:r w:rsidRPr="001B388B">
        <w:t xml:space="preserve">Podmienky na uchovávanie </w:t>
      </w:r>
      <w:r w:rsidR="00096CAA" w:rsidRPr="001B388B">
        <w:t xml:space="preserve">po </w:t>
      </w:r>
      <w:r w:rsidR="001F2656">
        <w:t>z</w:t>
      </w:r>
      <w:r w:rsidR="00096CAA" w:rsidRPr="001B388B">
        <w:t>riedení</w:t>
      </w:r>
      <w:r w:rsidR="00C37953" w:rsidRPr="001B388B">
        <w:t xml:space="preserve"> alebo </w:t>
      </w:r>
      <w:r w:rsidR="00096CAA" w:rsidRPr="001B388B">
        <w:t>prvom otvorení</w:t>
      </w:r>
      <w:r w:rsidRPr="001B388B">
        <w:t xml:space="preserve"> lieku, pozri časť 6.3.</w:t>
      </w:r>
    </w:p>
    <w:p w14:paraId="44F8E6BB" w14:textId="77777777" w:rsidR="00780926" w:rsidRPr="001B388B" w:rsidRDefault="00780926" w:rsidP="00C37953">
      <w:pPr>
        <w:ind w:left="0" w:firstLine="0"/>
      </w:pPr>
    </w:p>
    <w:p w14:paraId="1BB87AAA" w14:textId="77777777" w:rsidR="00780926" w:rsidRPr="001B388B" w:rsidRDefault="00780926" w:rsidP="00B13F68">
      <w:pPr>
        <w:rPr>
          <w:szCs w:val="22"/>
        </w:rPr>
      </w:pPr>
      <w:r w:rsidRPr="001B388B">
        <w:rPr>
          <w:b/>
          <w:szCs w:val="22"/>
        </w:rPr>
        <w:t>6.5</w:t>
      </w:r>
      <w:r w:rsidRPr="001B388B">
        <w:rPr>
          <w:b/>
          <w:szCs w:val="22"/>
        </w:rPr>
        <w:tab/>
        <w:t>Druh obalu a obsah balenia</w:t>
      </w:r>
      <w:r w:rsidRPr="001B388B">
        <w:rPr>
          <w:b/>
          <w:color w:val="0000FF"/>
          <w:szCs w:val="22"/>
        </w:rPr>
        <w:t xml:space="preserve"> </w:t>
      </w:r>
    </w:p>
    <w:p w14:paraId="0F46805C" w14:textId="77777777" w:rsidR="00780926" w:rsidRPr="001B388B" w:rsidRDefault="00780926" w:rsidP="00C37953">
      <w:pPr>
        <w:ind w:left="0" w:firstLine="0"/>
        <w:rPr>
          <w:szCs w:val="22"/>
        </w:rPr>
      </w:pPr>
    </w:p>
    <w:p w14:paraId="1EB71088" w14:textId="4CAC013D" w:rsidR="00C37953" w:rsidRPr="001B388B" w:rsidRDefault="00C37953" w:rsidP="00C37953">
      <w:pPr>
        <w:ind w:left="0" w:firstLine="0"/>
        <w:rPr>
          <w:szCs w:val="22"/>
        </w:rPr>
      </w:pPr>
      <w:r w:rsidRPr="001B388B">
        <w:rPr>
          <w:szCs w:val="22"/>
        </w:rPr>
        <w:t xml:space="preserve">10 ml roztoku v ampulke </w:t>
      </w:r>
      <w:r w:rsidR="00D501CE">
        <w:rPr>
          <w:szCs w:val="22"/>
        </w:rPr>
        <w:t>z</w:t>
      </w:r>
      <w:r w:rsidRPr="001B388B">
        <w:rPr>
          <w:szCs w:val="22"/>
        </w:rPr>
        <w:t xml:space="preserve"> bezfarebného </w:t>
      </w:r>
      <w:proofErr w:type="spellStart"/>
      <w:r w:rsidRPr="001B388B">
        <w:rPr>
          <w:szCs w:val="22"/>
        </w:rPr>
        <w:t>borosilikátového</w:t>
      </w:r>
      <w:proofErr w:type="spellEnd"/>
      <w:r w:rsidRPr="001B388B">
        <w:rPr>
          <w:szCs w:val="22"/>
        </w:rPr>
        <w:t xml:space="preserve"> skla hydrolytickej triedy I s označením bodu zlomu.</w:t>
      </w:r>
    </w:p>
    <w:p w14:paraId="7001F357" w14:textId="77777777" w:rsidR="00C37953" w:rsidRPr="001B388B" w:rsidRDefault="00C37953" w:rsidP="00C37953">
      <w:pPr>
        <w:ind w:left="0" w:firstLine="0"/>
        <w:rPr>
          <w:szCs w:val="22"/>
        </w:rPr>
      </w:pPr>
      <w:r w:rsidRPr="001B388B">
        <w:rPr>
          <w:szCs w:val="22"/>
        </w:rPr>
        <w:t xml:space="preserve">Ampulky sú označené farebným krúžkom špecifickým pre každú silu lieku. </w:t>
      </w:r>
    </w:p>
    <w:p w14:paraId="15E14AD1" w14:textId="3DF30C0A" w:rsidR="00C37953" w:rsidRPr="001B388B" w:rsidRDefault="00C37953" w:rsidP="00C37953">
      <w:pPr>
        <w:ind w:left="0" w:firstLine="0"/>
        <w:rPr>
          <w:szCs w:val="22"/>
        </w:rPr>
      </w:pPr>
      <w:bookmarkStart w:id="23" w:name="_Hlk5310367"/>
      <w:r w:rsidRPr="001B388B">
        <w:rPr>
          <w:szCs w:val="22"/>
        </w:rPr>
        <w:t xml:space="preserve">Ampulky sú balené v polyvinylchloridovej </w:t>
      </w:r>
      <w:r w:rsidR="004D0D11">
        <w:rPr>
          <w:szCs w:val="22"/>
        </w:rPr>
        <w:t>fólii</w:t>
      </w:r>
      <w:r w:rsidRPr="001B388B">
        <w:rPr>
          <w:szCs w:val="22"/>
        </w:rPr>
        <w:t xml:space="preserve">. </w:t>
      </w:r>
      <w:r w:rsidR="004D0D11">
        <w:rPr>
          <w:szCs w:val="22"/>
        </w:rPr>
        <w:t>Fólie</w:t>
      </w:r>
      <w:r w:rsidRPr="001B388B">
        <w:rPr>
          <w:szCs w:val="22"/>
        </w:rPr>
        <w:t xml:space="preserve"> sú balené v škatuľke.</w:t>
      </w:r>
    </w:p>
    <w:bookmarkEnd w:id="23"/>
    <w:p w14:paraId="7EFFF14A" w14:textId="77777777" w:rsidR="00C37953" w:rsidRPr="001B388B" w:rsidRDefault="00C37953" w:rsidP="00C37953">
      <w:pPr>
        <w:ind w:left="0" w:firstLine="0"/>
        <w:rPr>
          <w:szCs w:val="22"/>
        </w:rPr>
      </w:pPr>
    </w:p>
    <w:p w14:paraId="3BD89B05" w14:textId="77777777" w:rsidR="00C37953" w:rsidRPr="001B388B" w:rsidRDefault="00C37953" w:rsidP="00C37953">
      <w:pPr>
        <w:ind w:left="0" w:firstLine="0"/>
        <w:rPr>
          <w:szCs w:val="22"/>
        </w:rPr>
      </w:pPr>
      <w:r w:rsidRPr="001B388B">
        <w:rPr>
          <w:szCs w:val="22"/>
        </w:rPr>
        <w:t>Veľkosť balenia:</w:t>
      </w:r>
    </w:p>
    <w:p w14:paraId="7FBFE175" w14:textId="77777777" w:rsidR="00C37953" w:rsidRPr="001B388B" w:rsidRDefault="00C37953" w:rsidP="00C37953">
      <w:pPr>
        <w:ind w:left="0" w:firstLine="0"/>
        <w:rPr>
          <w:szCs w:val="22"/>
        </w:rPr>
      </w:pPr>
      <w:r w:rsidRPr="001B388B">
        <w:rPr>
          <w:szCs w:val="22"/>
        </w:rPr>
        <w:t>5, 10 alebo 100 ampuliek.</w:t>
      </w:r>
    </w:p>
    <w:p w14:paraId="7F39531D" w14:textId="77777777" w:rsidR="00C37953" w:rsidRPr="001B388B" w:rsidRDefault="00C37953" w:rsidP="00C37953">
      <w:pPr>
        <w:ind w:left="0" w:firstLine="0"/>
        <w:rPr>
          <w:szCs w:val="22"/>
        </w:rPr>
      </w:pPr>
    </w:p>
    <w:p w14:paraId="55368B6D" w14:textId="77777777" w:rsidR="00780926" w:rsidRPr="001B388B" w:rsidRDefault="00D71CEA" w:rsidP="00C37953">
      <w:pPr>
        <w:ind w:left="0" w:firstLine="0"/>
        <w:rPr>
          <w:szCs w:val="22"/>
        </w:rPr>
      </w:pPr>
      <w:r w:rsidRPr="001B388B">
        <w:t>Na trh nemusia byť uvedené</w:t>
      </w:r>
      <w:r w:rsidRPr="001B388B">
        <w:rPr>
          <w:szCs w:val="22"/>
        </w:rPr>
        <w:t xml:space="preserve"> </w:t>
      </w:r>
      <w:r w:rsidR="00780926" w:rsidRPr="001B388B">
        <w:rPr>
          <w:szCs w:val="22"/>
        </w:rPr>
        <w:t>všetky veľkosti balenia.</w:t>
      </w:r>
    </w:p>
    <w:p w14:paraId="288FB33C" w14:textId="77777777" w:rsidR="00780926" w:rsidRPr="001B388B" w:rsidRDefault="00780926" w:rsidP="00C37953">
      <w:pPr>
        <w:ind w:left="0" w:firstLine="0"/>
      </w:pPr>
    </w:p>
    <w:p w14:paraId="2BDBC816" w14:textId="77777777" w:rsidR="00780926" w:rsidRPr="001B388B" w:rsidRDefault="00780926" w:rsidP="00B13F68">
      <w:pPr>
        <w:rPr>
          <w:b/>
          <w:bCs/>
        </w:rPr>
      </w:pPr>
      <w:r w:rsidRPr="001B388B">
        <w:rPr>
          <w:b/>
          <w:szCs w:val="22"/>
        </w:rPr>
        <w:t>6.6</w:t>
      </w:r>
      <w:r w:rsidRPr="001B388B">
        <w:rPr>
          <w:b/>
          <w:szCs w:val="22"/>
        </w:rPr>
        <w:tab/>
      </w:r>
      <w:r w:rsidRPr="001B388B">
        <w:rPr>
          <w:b/>
          <w:bCs/>
        </w:rPr>
        <w:t>Špeciálne opatrenia na likvidáciu</w:t>
      </w:r>
      <w:r w:rsidRPr="001B388B">
        <w:rPr>
          <w:b/>
          <w:szCs w:val="22"/>
        </w:rPr>
        <w:t xml:space="preserve"> </w:t>
      </w:r>
      <w:r w:rsidRPr="001B388B">
        <w:rPr>
          <w:b/>
          <w:bCs/>
        </w:rPr>
        <w:t>a iné zaobchádzanie s</w:t>
      </w:r>
      <w:r w:rsidR="00FA099B" w:rsidRPr="001B388B">
        <w:rPr>
          <w:b/>
          <w:bCs/>
        </w:rPr>
        <w:t> </w:t>
      </w:r>
      <w:r w:rsidRPr="001B388B">
        <w:rPr>
          <w:b/>
          <w:bCs/>
        </w:rPr>
        <w:t>liekom</w:t>
      </w:r>
    </w:p>
    <w:p w14:paraId="2997ABD1" w14:textId="77777777" w:rsidR="00780926" w:rsidRPr="001B388B" w:rsidRDefault="00780926" w:rsidP="00C37953">
      <w:pPr>
        <w:ind w:left="0" w:firstLine="0"/>
        <w:rPr>
          <w:bCs/>
        </w:rPr>
      </w:pPr>
    </w:p>
    <w:p w14:paraId="3AA730C4" w14:textId="77777777" w:rsidR="00D84DFC" w:rsidRPr="001B388B" w:rsidRDefault="00D84DFC" w:rsidP="00C37953">
      <w:pPr>
        <w:ind w:left="0" w:firstLine="0"/>
        <w:rPr>
          <w:bCs/>
        </w:rPr>
      </w:pPr>
      <w:bookmarkStart w:id="24" w:name="_Hlk20576675"/>
      <w:r w:rsidRPr="001B388B">
        <w:rPr>
          <w:bCs/>
        </w:rPr>
        <w:t>Na jednorazové použitie.</w:t>
      </w:r>
    </w:p>
    <w:p w14:paraId="3B069FC0" w14:textId="77777777" w:rsidR="00D84DFC" w:rsidRPr="001B388B" w:rsidRDefault="00D84DFC" w:rsidP="00C37953">
      <w:pPr>
        <w:ind w:left="0" w:firstLine="0"/>
        <w:rPr>
          <w:bCs/>
        </w:rPr>
      </w:pPr>
    </w:p>
    <w:p w14:paraId="082B6CB5" w14:textId="77777777" w:rsidR="00D84DFC" w:rsidRPr="001B388B" w:rsidRDefault="00D84DFC" w:rsidP="00C37953">
      <w:pPr>
        <w:ind w:left="0" w:firstLine="0"/>
        <w:rPr>
          <w:bCs/>
        </w:rPr>
      </w:pPr>
      <w:bookmarkStart w:id="25" w:name="_Hlk20917727"/>
      <w:r w:rsidRPr="001B388B">
        <w:rPr>
          <w:bCs/>
        </w:rPr>
        <w:t xml:space="preserve">Môže sa riediť </w:t>
      </w:r>
      <w:r w:rsidR="001F2656">
        <w:rPr>
          <w:bCs/>
        </w:rPr>
        <w:t xml:space="preserve">s </w:t>
      </w:r>
      <w:r w:rsidRPr="001B388B">
        <w:rPr>
          <w:bCs/>
        </w:rPr>
        <w:t>0,9</w:t>
      </w:r>
      <w:r w:rsidR="00D501CE">
        <w:rPr>
          <w:bCs/>
        </w:rPr>
        <w:t> </w:t>
      </w:r>
      <w:r w:rsidRPr="001B388B">
        <w:rPr>
          <w:bCs/>
        </w:rPr>
        <w:t>% roztokom chloridu sodného alebo 5 % roztokom glukózy (pozri časť 4.2).</w:t>
      </w:r>
    </w:p>
    <w:bookmarkEnd w:id="25"/>
    <w:p w14:paraId="04F61B12" w14:textId="77777777" w:rsidR="00D84DFC" w:rsidRPr="001B388B" w:rsidRDefault="00D84DFC" w:rsidP="00C37953">
      <w:pPr>
        <w:ind w:left="0" w:firstLine="0"/>
        <w:rPr>
          <w:bCs/>
        </w:rPr>
      </w:pPr>
    </w:p>
    <w:p w14:paraId="707947AB" w14:textId="3D808D64" w:rsidR="00D84DFC" w:rsidRPr="001B388B" w:rsidRDefault="00D84DFC" w:rsidP="00D84DFC">
      <w:pPr>
        <w:ind w:left="0" w:firstLine="0"/>
        <w:rPr>
          <w:szCs w:val="22"/>
        </w:rPr>
      </w:pPr>
      <w:r w:rsidRPr="001B388B">
        <w:rPr>
          <w:szCs w:val="22"/>
        </w:rPr>
        <w:t xml:space="preserve">Liek musí byť po otvorení ampulky použitý okamžite. </w:t>
      </w:r>
      <w:r w:rsidR="00D501CE">
        <w:rPr>
          <w:szCs w:val="22"/>
        </w:rPr>
        <w:t>Všetok n</w:t>
      </w:r>
      <w:r w:rsidRPr="001B388B">
        <w:rPr>
          <w:szCs w:val="22"/>
        </w:rPr>
        <w:t>epoužit</w:t>
      </w:r>
      <w:r w:rsidR="00D501CE">
        <w:rPr>
          <w:szCs w:val="22"/>
        </w:rPr>
        <w:t>ý roztok</w:t>
      </w:r>
      <w:r w:rsidRPr="001B388B">
        <w:rPr>
          <w:szCs w:val="22"/>
        </w:rPr>
        <w:t xml:space="preserve"> </w:t>
      </w:r>
      <w:r w:rsidR="00B7302C">
        <w:rPr>
          <w:szCs w:val="22"/>
        </w:rPr>
        <w:t xml:space="preserve">sa </w:t>
      </w:r>
      <w:r w:rsidRPr="001B388B">
        <w:rPr>
          <w:szCs w:val="22"/>
        </w:rPr>
        <w:t xml:space="preserve">má </w:t>
      </w:r>
      <w:r w:rsidR="00B7302C">
        <w:rPr>
          <w:szCs w:val="22"/>
        </w:rPr>
        <w:t>zlikvidovať</w:t>
      </w:r>
      <w:r w:rsidRPr="001B388B">
        <w:rPr>
          <w:szCs w:val="22"/>
        </w:rPr>
        <w:t xml:space="preserve">. </w:t>
      </w:r>
    </w:p>
    <w:p w14:paraId="77BF6BEB" w14:textId="77777777" w:rsidR="00D84DFC" w:rsidRPr="001B388B" w:rsidRDefault="00D84DFC" w:rsidP="00D84DFC">
      <w:pPr>
        <w:ind w:left="0" w:firstLine="0"/>
        <w:rPr>
          <w:szCs w:val="22"/>
        </w:rPr>
      </w:pPr>
    </w:p>
    <w:p w14:paraId="059C1FDE" w14:textId="77777777" w:rsidR="00D84DFC" w:rsidRPr="001B388B" w:rsidRDefault="00D84DFC" w:rsidP="00D84DFC">
      <w:pPr>
        <w:ind w:left="0" w:firstLine="0"/>
        <w:rPr>
          <w:szCs w:val="22"/>
        </w:rPr>
      </w:pPr>
      <w:r w:rsidRPr="001B388B">
        <w:rPr>
          <w:szCs w:val="22"/>
        </w:rPr>
        <w:t>Liek sa ne</w:t>
      </w:r>
      <w:r w:rsidR="001F2656">
        <w:rPr>
          <w:szCs w:val="22"/>
        </w:rPr>
        <w:t>smie</w:t>
      </w:r>
      <w:r w:rsidRPr="001B388B">
        <w:rPr>
          <w:szCs w:val="22"/>
        </w:rPr>
        <w:t xml:space="preserve"> používať, ak vykazuje viditeľné znaky </w:t>
      </w:r>
      <w:r w:rsidR="001F2656">
        <w:rPr>
          <w:szCs w:val="22"/>
        </w:rPr>
        <w:t>zníženej kvality</w:t>
      </w:r>
      <w:r w:rsidRPr="001B388B">
        <w:rPr>
          <w:szCs w:val="22"/>
        </w:rPr>
        <w:t xml:space="preserve"> (napr. prítomnosť častíc).</w:t>
      </w:r>
    </w:p>
    <w:bookmarkEnd w:id="24"/>
    <w:p w14:paraId="517F471D" w14:textId="77777777" w:rsidR="00D84DFC" w:rsidRPr="001B388B" w:rsidRDefault="00D84DFC" w:rsidP="00D84DFC">
      <w:pPr>
        <w:ind w:left="0" w:firstLine="0"/>
        <w:rPr>
          <w:szCs w:val="22"/>
        </w:rPr>
      </w:pPr>
    </w:p>
    <w:p w14:paraId="1AD7F79B" w14:textId="77777777" w:rsidR="00780926" w:rsidRPr="001B388B" w:rsidRDefault="00BB6D67" w:rsidP="00E41B3F">
      <w:pPr>
        <w:ind w:left="0" w:firstLine="0"/>
        <w:rPr>
          <w:szCs w:val="22"/>
        </w:rPr>
      </w:pPr>
      <w:bookmarkStart w:id="26" w:name="_Hlk20576817"/>
      <w:r w:rsidRPr="001B388B">
        <w:rPr>
          <w:szCs w:val="22"/>
        </w:rPr>
        <w:t>Všetok nepoužitý liek alebo odpad</w:t>
      </w:r>
      <w:r w:rsidR="000E2174" w:rsidRPr="001B388B">
        <w:rPr>
          <w:szCs w:val="22"/>
        </w:rPr>
        <w:t xml:space="preserve"> </w:t>
      </w:r>
      <w:r w:rsidRPr="001B388B">
        <w:rPr>
          <w:szCs w:val="22"/>
        </w:rPr>
        <w:t>vzniknutý z lieku sa má zlikvidovať v súlade s národnými požiadavkami</w:t>
      </w:r>
      <w:r w:rsidR="00780926" w:rsidRPr="001B388B">
        <w:rPr>
          <w:szCs w:val="22"/>
        </w:rPr>
        <w:t>.</w:t>
      </w:r>
    </w:p>
    <w:bookmarkEnd w:id="26"/>
    <w:p w14:paraId="6A42C781" w14:textId="77777777" w:rsidR="00780926" w:rsidRPr="001B388B" w:rsidRDefault="00780926" w:rsidP="00D84DFC">
      <w:pPr>
        <w:ind w:left="0" w:firstLine="0"/>
        <w:rPr>
          <w:szCs w:val="22"/>
        </w:rPr>
      </w:pPr>
    </w:p>
    <w:p w14:paraId="1EEC83AC" w14:textId="77777777" w:rsidR="00780926" w:rsidRPr="001B388B" w:rsidRDefault="00780926" w:rsidP="00D84DFC">
      <w:pPr>
        <w:ind w:left="0" w:firstLine="0"/>
        <w:rPr>
          <w:szCs w:val="22"/>
        </w:rPr>
      </w:pPr>
    </w:p>
    <w:p w14:paraId="72840EDC" w14:textId="77777777" w:rsidR="00780926" w:rsidRPr="001B388B" w:rsidRDefault="00780926" w:rsidP="00E41B3F">
      <w:pPr>
        <w:rPr>
          <w:b/>
          <w:szCs w:val="22"/>
        </w:rPr>
      </w:pPr>
      <w:r w:rsidRPr="001B388B">
        <w:rPr>
          <w:b/>
          <w:szCs w:val="22"/>
        </w:rPr>
        <w:lastRenderedPageBreak/>
        <w:t>7.</w:t>
      </w:r>
      <w:r w:rsidRPr="001B388B">
        <w:rPr>
          <w:b/>
          <w:szCs w:val="22"/>
        </w:rPr>
        <w:tab/>
        <w:t>DRŽITEĽ ROZHODNUTIA O REGISTRÁCII</w:t>
      </w:r>
    </w:p>
    <w:p w14:paraId="4F3B02A9" w14:textId="77777777" w:rsidR="00780926" w:rsidRPr="001B388B" w:rsidRDefault="00780926" w:rsidP="00D84DFC">
      <w:pPr>
        <w:ind w:left="0" w:firstLine="0"/>
        <w:rPr>
          <w:szCs w:val="22"/>
        </w:rPr>
      </w:pPr>
    </w:p>
    <w:p w14:paraId="25E1E73C" w14:textId="77777777" w:rsidR="00D84DFC" w:rsidRPr="001B388B" w:rsidRDefault="00D84DFC" w:rsidP="00D84DFC">
      <w:pPr>
        <w:jc w:val="both"/>
        <w:rPr>
          <w:szCs w:val="22"/>
        </w:rPr>
      </w:pPr>
      <w:r w:rsidRPr="001B388B">
        <w:rPr>
          <w:szCs w:val="22"/>
        </w:rPr>
        <w:t>AS KALCEKS</w:t>
      </w:r>
    </w:p>
    <w:p w14:paraId="6670BA77" w14:textId="2DC50E9D" w:rsidR="00D84DFC" w:rsidRPr="001B388B" w:rsidRDefault="00D84DFC" w:rsidP="00D84DFC">
      <w:pPr>
        <w:jc w:val="both"/>
        <w:rPr>
          <w:szCs w:val="22"/>
        </w:rPr>
      </w:pPr>
      <w:proofErr w:type="spellStart"/>
      <w:r w:rsidRPr="001B388B">
        <w:rPr>
          <w:szCs w:val="22"/>
        </w:rPr>
        <w:t>Krustpils</w:t>
      </w:r>
      <w:proofErr w:type="spellEnd"/>
      <w:r w:rsidRPr="001B388B">
        <w:rPr>
          <w:szCs w:val="22"/>
        </w:rPr>
        <w:t xml:space="preserve"> </w:t>
      </w:r>
      <w:proofErr w:type="spellStart"/>
      <w:r w:rsidRPr="001B388B">
        <w:rPr>
          <w:szCs w:val="22"/>
        </w:rPr>
        <w:t>iela</w:t>
      </w:r>
      <w:proofErr w:type="spellEnd"/>
      <w:r w:rsidRPr="001B388B">
        <w:rPr>
          <w:szCs w:val="22"/>
        </w:rPr>
        <w:t xml:space="preserve"> 53, </w:t>
      </w:r>
      <w:proofErr w:type="spellStart"/>
      <w:r w:rsidRPr="001B388B">
        <w:rPr>
          <w:szCs w:val="22"/>
        </w:rPr>
        <w:t>Rīga</w:t>
      </w:r>
      <w:proofErr w:type="spellEnd"/>
      <w:r w:rsidRPr="001B388B">
        <w:rPr>
          <w:szCs w:val="22"/>
        </w:rPr>
        <w:t>, LV</w:t>
      </w:r>
      <w:r w:rsidRPr="001B388B">
        <w:rPr>
          <w:szCs w:val="22"/>
        </w:rPr>
        <w:noBreakHyphen/>
        <w:t>1057, L</w:t>
      </w:r>
      <w:r w:rsidR="00B7302C">
        <w:rPr>
          <w:szCs w:val="22"/>
        </w:rPr>
        <w:t>otyš</w:t>
      </w:r>
      <w:r w:rsidR="009B2AA2">
        <w:rPr>
          <w:szCs w:val="22"/>
        </w:rPr>
        <w:t>s</w:t>
      </w:r>
      <w:r w:rsidR="00B7302C">
        <w:rPr>
          <w:szCs w:val="22"/>
        </w:rPr>
        <w:t>ko</w:t>
      </w:r>
    </w:p>
    <w:p w14:paraId="0DAE66FD" w14:textId="77777777" w:rsidR="00D84DFC" w:rsidRPr="001B388B" w:rsidRDefault="00D84DFC" w:rsidP="00D84DFC">
      <w:pPr>
        <w:jc w:val="both"/>
        <w:rPr>
          <w:szCs w:val="22"/>
        </w:rPr>
      </w:pPr>
      <w:r w:rsidRPr="001B388B">
        <w:rPr>
          <w:szCs w:val="22"/>
        </w:rPr>
        <w:t>Tel.: +371 67083320</w:t>
      </w:r>
    </w:p>
    <w:p w14:paraId="76B19FC5" w14:textId="77777777" w:rsidR="00D84DFC" w:rsidRPr="001B388B" w:rsidRDefault="00D84DFC" w:rsidP="00D84DFC">
      <w:pPr>
        <w:jc w:val="both"/>
        <w:rPr>
          <w:szCs w:val="22"/>
        </w:rPr>
      </w:pPr>
      <w:r w:rsidRPr="001B388B">
        <w:rPr>
          <w:szCs w:val="22"/>
        </w:rPr>
        <w:t>E</w:t>
      </w:r>
      <w:r w:rsidRPr="001B388B">
        <w:rPr>
          <w:szCs w:val="22"/>
        </w:rPr>
        <w:noBreakHyphen/>
        <w:t>mail: kalceks@kalceks.lv</w:t>
      </w:r>
    </w:p>
    <w:p w14:paraId="174B3AAF" w14:textId="77777777" w:rsidR="00780926" w:rsidRPr="001B388B" w:rsidRDefault="00780926" w:rsidP="00D84DFC">
      <w:pPr>
        <w:ind w:left="0" w:firstLine="0"/>
        <w:rPr>
          <w:szCs w:val="22"/>
        </w:rPr>
      </w:pPr>
    </w:p>
    <w:p w14:paraId="3C1717A1" w14:textId="77777777" w:rsidR="00780926" w:rsidRPr="001B388B" w:rsidRDefault="00780926" w:rsidP="00D84DFC">
      <w:pPr>
        <w:ind w:left="0" w:firstLine="0"/>
        <w:rPr>
          <w:szCs w:val="22"/>
        </w:rPr>
      </w:pPr>
    </w:p>
    <w:p w14:paraId="5CF23CF9" w14:textId="7BCE74FF" w:rsidR="00780926" w:rsidRPr="001B388B" w:rsidRDefault="00780926" w:rsidP="00E41B3F">
      <w:pPr>
        <w:rPr>
          <w:b/>
          <w:szCs w:val="22"/>
        </w:rPr>
      </w:pPr>
      <w:r w:rsidRPr="001B388B">
        <w:rPr>
          <w:b/>
          <w:szCs w:val="22"/>
        </w:rPr>
        <w:t>8.</w:t>
      </w:r>
      <w:r w:rsidRPr="001B388B">
        <w:rPr>
          <w:b/>
          <w:szCs w:val="22"/>
        </w:rPr>
        <w:tab/>
        <w:t xml:space="preserve">REGISTRAČNÉ </w:t>
      </w:r>
      <w:r w:rsidR="00D84DFC" w:rsidRPr="001B388B">
        <w:rPr>
          <w:b/>
          <w:szCs w:val="22"/>
        </w:rPr>
        <w:t>ČÍSL</w:t>
      </w:r>
      <w:r w:rsidR="00CA7F32">
        <w:rPr>
          <w:b/>
          <w:szCs w:val="22"/>
        </w:rPr>
        <w:t>A</w:t>
      </w:r>
    </w:p>
    <w:p w14:paraId="541A1338" w14:textId="77777777" w:rsidR="00780926" w:rsidRPr="001B388B" w:rsidRDefault="00780926" w:rsidP="00D84DFC">
      <w:pPr>
        <w:ind w:left="0" w:firstLine="0"/>
      </w:pPr>
    </w:p>
    <w:p w14:paraId="0760215D" w14:textId="0458BA55" w:rsidR="00780926" w:rsidRPr="00536759" w:rsidRDefault="009B2AA2" w:rsidP="00D84DFC">
      <w:pPr>
        <w:ind w:left="0" w:firstLine="0"/>
        <w:rPr>
          <w:iCs/>
          <w:szCs w:val="22"/>
        </w:rPr>
      </w:pPr>
      <w:r w:rsidRPr="00536759">
        <w:rPr>
          <w:iCs/>
          <w:szCs w:val="22"/>
        </w:rPr>
        <w:t xml:space="preserve">Magnesium </w:t>
      </w:r>
      <w:proofErr w:type="spellStart"/>
      <w:r w:rsidRPr="00536759">
        <w:rPr>
          <w:iCs/>
          <w:szCs w:val="22"/>
        </w:rPr>
        <w:t>sulfate</w:t>
      </w:r>
      <w:proofErr w:type="spellEnd"/>
      <w:r w:rsidRPr="00536759">
        <w:rPr>
          <w:iCs/>
          <w:szCs w:val="22"/>
        </w:rPr>
        <w:t xml:space="preserve"> </w:t>
      </w:r>
      <w:proofErr w:type="spellStart"/>
      <w:r w:rsidRPr="00536759">
        <w:rPr>
          <w:iCs/>
          <w:szCs w:val="22"/>
        </w:rPr>
        <w:t>Kalceks</w:t>
      </w:r>
      <w:proofErr w:type="spellEnd"/>
      <w:r w:rsidRPr="00536759">
        <w:rPr>
          <w:iCs/>
          <w:szCs w:val="22"/>
        </w:rPr>
        <w:t xml:space="preserve"> 100 mg/ml:</w:t>
      </w:r>
      <w:r w:rsidR="006B416C">
        <w:rPr>
          <w:iCs/>
          <w:szCs w:val="22"/>
        </w:rPr>
        <w:t xml:space="preserve"> </w:t>
      </w:r>
      <w:r w:rsidR="006B416C" w:rsidRPr="006B416C">
        <w:rPr>
          <w:iCs/>
          <w:szCs w:val="22"/>
        </w:rPr>
        <w:t>39/0385/19-S</w:t>
      </w:r>
    </w:p>
    <w:p w14:paraId="47187F97" w14:textId="5B9038C2" w:rsidR="009B2AA2" w:rsidRPr="009B2AA2" w:rsidRDefault="009B2AA2" w:rsidP="00D84DFC">
      <w:pPr>
        <w:ind w:left="0" w:firstLine="0"/>
        <w:rPr>
          <w:szCs w:val="22"/>
        </w:rPr>
      </w:pPr>
      <w:r w:rsidRPr="00536759">
        <w:rPr>
          <w:iCs/>
          <w:szCs w:val="22"/>
        </w:rPr>
        <w:t xml:space="preserve">Magnesium </w:t>
      </w:r>
      <w:proofErr w:type="spellStart"/>
      <w:r w:rsidRPr="00536759">
        <w:rPr>
          <w:iCs/>
          <w:szCs w:val="22"/>
        </w:rPr>
        <w:t>sulfate</w:t>
      </w:r>
      <w:proofErr w:type="spellEnd"/>
      <w:r w:rsidRPr="00536759">
        <w:rPr>
          <w:iCs/>
          <w:szCs w:val="22"/>
        </w:rPr>
        <w:t xml:space="preserve"> </w:t>
      </w:r>
      <w:proofErr w:type="spellStart"/>
      <w:r w:rsidRPr="00536759">
        <w:rPr>
          <w:iCs/>
          <w:szCs w:val="22"/>
        </w:rPr>
        <w:t>Kalceks</w:t>
      </w:r>
      <w:proofErr w:type="spellEnd"/>
      <w:r w:rsidRPr="00536759">
        <w:rPr>
          <w:iCs/>
          <w:szCs w:val="22"/>
        </w:rPr>
        <w:t xml:space="preserve"> 200 mg/ml:</w:t>
      </w:r>
      <w:r w:rsidR="006B416C">
        <w:rPr>
          <w:iCs/>
          <w:szCs w:val="22"/>
        </w:rPr>
        <w:t xml:space="preserve"> </w:t>
      </w:r>
      <w:r w:rsidR="006B416C" w:rsidRPr="006B416C">
        <w:rPr>
          <w:iCs/>
          <w:szCs w:val="22"/>
        </w:rPr>
        <w:t>39/0386/19-S</w:t>
      </w:r>
    </w:p>
    <w:p w14:paraId="0DECB458" w14:textId="77777777" w:rsidR="00D84DFC" w:rsidRPr="001B388B" w:rsidRDefault="00D84DFC" w:rsidP="00D84DFC">
      <w:pPr>
        <w:ind w:left="0" w:firstLine="0"/>
        <w:rPr>
          <w:szCs w:val="22"/>
        </w:rPr>
      </w:pPr>
    </w:p>
    <w:p w14:paraId="4CCF595A" w14:textId="77777777" w:rsidR="00780926" w:rsidRPr="001B388B" w:rsidRDefault="00780926" w:rsidP="00D84DFC">
      <w:pPr>
        <w:ind w:left="0" w:firstLine="0"/>
        <w:rPr>
          <w:szCs w:val="22"/>
        </w:rPr>
      </w:pPr>
    </w:p>
    <w:p w14:paraId="49A3B32D" w14:textId="77777777" w:rsidR="00780926" w:rsidRPr="001B388B" w:rsidRDefault="00780926" w:rsidP="00D513D2">
      <w:pPr>
        <w:rPr>
          <w:b/>
          <w:szCs w:val="22"/>
        </w:rPr>
      </w:pPr>
      <w:r w:rsidRPr="001B388B">
        <w:rPr>
          <w:b/>
          <w:szCs w:val="22"/>
        </w:rPr>
        <w:t>9.</w:t>
      </w:r>
      <w:r w:rsidRPr="001B388B">
        <w:rPr>
          <w:b/>
          <w:szCs w:val="22"/>
        </w:rPr>
        <w:tab/>
        <w:t>DÁTUM PRVEJ REGISTRÁCIE/PREDĹŽENIA REGISTRÁCIE</w:t>
      </w:r>
    </w:p>
    <w:p w14:paraId="281DAB40" w14:textId="77777777" w:rsidR="00780926" w:rsidRPr="001B388B" w:rsidRDefault="00780926" w:rsidP="00D84DFC">
      <w:pPr>
        <w:ind w:left="0" w:firstLine="0"/>
        <w:rPr>
          <w:szCs w:val="22"/>
        </w:rPr>
      </w:pPr>
    </w:p>
    <w:p w14:paraId="153F914A" w14:textId="77777777" w:rsidR="001D1B4B" w:rsidRPr="001B388B" w:rsidRDefault="001D1B4B" w:rsidP="00D84DFC">
      <w:pPr>
        <w:ind w:left="0" w:firstLine="0"/>
      </w:pPr>
      <w:r w:rsidRPr="001B388B">
        <w:t>Dátum prvej registrácie:</w:t>
      </w:r>
    </w:p>
    <w:p w14:paraId="42B591F5" w14:textId="77777777" w:rsidR="00780926" w:rsidRPr="001B388B" w:rsidRDefault="001D1B4B" w:rsidP="00D84DFC">
      <w:pPr>
        <w:ind w:left="0" w:firstLine="0"/>
        <w:rPr>
          <w:i/>
          <w:iCs/>
        </w:rPr>
      </w:pPr>
      <w:r w:rsidRPr="001B388B">
        <w:t>Dátum posledného predĺženia</w:t>
      </w:r>
      <w:r w:rsidR="00D71CEA" w:rsidRPr="001B388B">
        <w:t xml:space="preserve"> registrácie</w:t>
      </w:r>
      <w:r w:rsidRPr="001B388B">
        <w:t>:</w:t>
      </w:r>
    </w:p>
    <w:p w14:paraId="4AAD482F" w14:textId="77777777" w:rsidR="00780926" w:rsidRPr="001B388B" w:rsidRDefault="00780926" w:rsidP="00D84DFC">
      <w:pPr>
        <w:ind w:left="0" w:firstLine="0"/>
        <w:rPr>
          <w:szCs w:val="22"/>
        </w:rPr>
      </w:pPr>
    </w:p>
    <w:p w14:paraId="74B7074A" w14:textId="77777777" w:rsidR="00780926" w:rsidRPr="001B388B" w:rsidRDefault="00780926" w:rsidP="00D84DFC">
      <w:pPr>
        <w:ind w:left="0" w:firstLine="0"/>
        <w:rPr>
          <w:szCs w:val="22"/>
        </w:rPr>
      </w:pPr>
    </w:p>
    <w:p w14:paraId="2C9FA861" w14:textId="77777777" w:rsidR="00780926" w:rsidRPr="001B388B" w:rsidRDefault="00780926" w:rsidP="00B13F68">
      <w:pPr>
        <w:rPr>
          <w:b/>
          <w:szCs w:val="22"/>
        </w:rPr>
      </w:pPr>
      <w:r w:rsidRPr="001B388B">
        <w:rPr>
          <w:b/>
          <w:szCs w:val="22"/>
        </w:rPr>
        <w:t>10.</w:t>
      </w:r>
      <w:r w:rsidRPr="001B388B">
        <w:rPr>
          <w:b/>
          <w:szCs w:val="22"/>
        </w:rPr>
        <w:tab/>
        <w:t>DÁTUM REVÍZIE TEXTU</w:t>
      </w:r>
    </w:p>
    <w:p w14:paraId="040B6CE1" w14:textId="77777777" w:rsidR="00780926" w:rsidRDefault="00780926" w:rsidP="00B13F68">
      <w:pPr>
        <w:rPr>
          <w:szCs w:val="22"/>
        </w:rPr>
      </w:pPr>
    </w:p>
    <w:p w14:paraId="455CACD5" w14:textId="77777777" w:rsidR="00B7302C" w:rsidRDefault="00B7302C" w:rsidP="00B13F68">
      <w:pPr>
        <w:rPr>
          <w:szCs w:val="22"/>
        </w:rPr>
      </w:pPr>
      <w:r>
        <w:rPr>
          <w:szCs w:val="22"/>
        </w:rPr>
        <w:t>12/2019</w:t>
      </w:r>
    </w:p>
    <w:p w14:paraId="0F5F50F5" w14:textId="77777777" w:rsidR="00B7302C" w:rsidRDefault="00B7302C" w:rsidP="00B13F68">
      <w:pPr>
        <w:rPr>
          <w:szCs w:val="22"/>
        </w:rPr>
      </w:pPr>
    </w:p>
    <w:p w14:paraId="56B177DB" w14:textId="77777777" w:rsidR="00B7302C" w:rsidRPr="001B388B" w:rsidRDefault="00B7302C" w:rsidP="00B13F68">
      <w:pPr>
        <w:rPr>
          <w:szCs w:val="22"/>
        </w:rPr>
      </w:pPr>
    </w:p>
    <w:sectPr w:rsidR="00B7302C" w:rsidRPr="001B388B" w:rsidSect="009B2AA2">
      <w:headerReference w:type="default" r:id="rId9"/>
      <w:footerReference w:type="default" r:id="rId10"/>
      <w:footerReference w:type="first" r:id="rId11"/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C85B14" w14:textId="77777777" w:rsidR="009E52C2" w:rsidRDefault="009E52C2">
      <w:r>
        <w:separator/>
      </w:r>
    </w:p>
  </w:endnote>
  <w:endnote w:type="continuationSeparator" w:id="0">
    <w:p w14:paraId="5277EC94" w14:textId="77777777" w:rsidR="009E52C2" w:rsidRDefault="009E5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5A8D7" w14:textId="77777777" w:rsidR="009E52C2" w:rsidRPr="00B13F68" w:rsidRDefault="009E52C2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B13F68">
      <w:rPr>
        <w:rFonts w:ascii="Arial" w:hAnsi="Arial" w:cs="Arial"/>
      </w:rPr>
      <w:fldChar w:fldCharType="begin"/>
    </w:r>
    <w:r w:rsidRPr="00B13F68">
      <w:rPr>
        <w:rFonts w:ascii="Arial" w:hAnsi="Arial" w:cs="Arial"/>
      </w:rPr>
      <w:instrText xml:space="preserve"> EQ </w:instrText>
    </w:r>
    <w:r w:rsidRPr="00B13F68">
      <w:rPr>
        <w:rFonts w:ascii="Arial" w:hAnsi="Arial" w:cs="Arial"/>
      </w:rPr>
      <w:fldChar w:fldCharType="end"/>
    </w:r>
    <w:r w:rsidRPr="00D513D2">
      <w:rPr>
        <w:rStyle w:val="slostrany"/>
        <w:rFonts w:ascii="Arial" w:hAnsi="Arial" w:cs="Arial"/>
      </w:rPr>
      <w:fldChar w:fldCharType="begin"/>
    </w:r>
    <w:r w:rsidRPr="00B13F68">
      <w:rPr>
        <w:rStyle w:val="slostrany"/>
        <w:rFonts w:ascii="Arial" w:hAnsi="Arial" w:cs="Arial"/>
      </w:rPr>
      <w:instrText xml:space="preserve">PAGE  </w:instrText>
    </w:r>
    <w:r w:rsidRPr="00D513D2">
      <w:rPr>
        <w:rStyle w:val="slostrany"/>
        <w:rFonts w:ascii="Arial" w:hAnsi="Arial" w:cs="Arial"/>
      </w:rPr>
      <w:fldChar w:fldCharType="separate"/>
    </w:r>
    <w:r w:rsidR="006B416C">
      <w:rPr>
        <w:rStyle w:val="slostrany"/>
        <w:rFonts w:ascii="Arial" w:hAnsi="Arial" w:cs="Arial"/>
        <w:noProof/>
      </w:rPr>
      <w:t>5</w:t>
    </w:r>
    <w:r w:rsidRPr="00D513D2">
      <w:rPr>
        <w:rStyle w:val="slostran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6C2CA" w14:textId="77777777" w:rsidR="009E52C2" w:rsidRDefault="009E52C2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4FF6E1" w14:textId="77777777" w:rsidR="009E52C2" w:rsidRDefault="009E52C2">
      <w:r>
        <w:separator/>
      </w:r>
    </w:p>
  </w:footnote>
  <w:footnote w:type="continuationSeparator" w:id="0">
    <w:p w14:paraId="7346C10D" w14:textId="77777777" w:rsidR="009E52C2" w:rsidRDefault="009E52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3B559" w14:textId="77777777" w:rsidR="009E52C2" w:rsidRPr="009E52C2" w:rsidRDefault="009E52C2">
    <w:pPr>
      <w:pStyle w:val="Hlavika"/>
      <w:rPr>
        <w:rFonts w:ascii="Times New Roman" w:hAnsi="Times New Roman"/>
        <w:sz w:val="18"/>
        <w:szCs w:val="18"/>
      </w:rPr>
    </w:pPr>
    <w:r w:rsidRPr="009E52C2">
      <w:rPr>
        <w:rFonts w:ascii="Times New Roman" w:hAnsi="Times New Roman"/>
        <w:sz w:val="18"/>
        <w:szCs w:val="18"/>
      </w:rPr>
      <w:t xml:space="preserve">Schválený text k </w:t>
    </w:r>
    <w:proofErr w:type="spellStart"/>
    <w:r w:rsidRPr="009E52C2">
      <w:rPr>
        <w:rFonts w:ascii="Times New Roman" w:hAnsi="Times New Roman"/>
        <w:sz w:val="18"/>
        <w:szCs w:val="18"/>
      </w:rPr>
      <w:t>rozhodnutiu</w:t>
    </w:r>
    <w:proofErr w:type="spellEnd"/>
    <w:r w:rsidRPr="009E52C2">
      <w:rPr>
        <w:rFonts w:ascii="Times New Roman" w:hAnsi="Times New Roman"/>
        <w:sz w:val="18"/>
        <w:szCs w:val="18"/>
      </w:rPr>
      <w:t xml:space="preserve"> o </w:t>
    </w:r>
    <w:proofErr w:type="spellStart"/>
    <w:r w:rsidRPr="009E52C2">
      <w:rPr>
        <w:rFonts w:ascii="Times New Roman" w:hAnsi="Times New Roman"/>
        <w:sz w:val="18"/>
        <w:szCs w:val="18"/>
      </w:rPr>
      <w:t>re</w:t>
    </w:r>
    <w:r w:rsidRPr="00CA7F32">
      <w:rPr>
        <w:rFonts w:ascii="Times New Roman" w:hAnsi="Times New Roman"/>
        <w:sz w:val="18"/>
        <w:szCs w:val="18"/>
      </w:rPr>
      <w:t>gistrácii</w:t>
    </w:r>
    <w:proofErr w:type="spellEnd"/>
    <w:r w:rsidRPr="00CA7F32">
      <w:rPr>
        <w:rFonts w:ascii="Times New Roman" w:hAnsi="Times New Roman"/>
        <w:sz w:val="18"/>
        <w:szCs w:val="18"/>
      </w:rPr>
      <w:t xml:space="preserve">, ev. č.: </w:t>
    </w:r>
    <w:r w:rsidRPr="002048AA">
      <w:rPr>
        <w:rFonts w:ascii="Times New Roman" w:hAnsi="Times New Roman"/>
        <w:sz w:val="18"/>
        <w:szCs w:val="18"/>
      </w:rPr>
      <w:t>2018/04923-REG</w:t>
    </w:r>
    <w:r>
      <w:rPr>
        <w:rFonts w:ascii="Times New Roman" w:hAnsi="Times New Roman"/>
        <w:sz w:val="18"/>
        <w:szCs w:val="18"/>
      </w:rPr>
      <w:t xml:space="preserve">, </w:t>
    </w:r>
    <w:r w:rsidRPr="002048AA">
      <w:rPr>
        <w:rFonts w:ascii="Times New Roman" w:hAnsi="Times New Roman"/>
        <w:sz w:val="18"/>
        <w:szCs w:val="18"/>
      </w:rPr>
      <w:t>2018/04924-REG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AB01E96"/>
    <w:multiLevelType w:val="hybridMultilevel"/>
    <w:tmpl w:val="1C24D43E"/>
    <w:lvl w:ilvl="0" w:tplc="46AEE2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8" w15:restartNumberingAfterBreak="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B3D5A9B"/>
    <w:multiLevelType w:val="hybridMultilevel"/>
    <w:tmpl w:val="7652ADF4"/>
    <w:lvl w:ilvl="0" w:tplc="46AEE2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1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 w15:restartNumberingAfterBreak="0">
    <w:nsid w:val="76572B4D"/>
    <w:multiLevelType w:val="hybridMultilevel"/>
    <w:tmpl w:val="D2DE0D88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b/>
        <w:i w:val="0"/>
      </w:rPr>
    </w:lvl>
    <w:lvl w:ilvl="2" w:tplc="140C001B">
      <w:start w:val="1"/>
      <w:numFmt w:val="lowerRoman"/>
      <w:lvlText w:val="%3."/>
      <w:lvlJc w:val="right"/>
      <w:pPr>
        <w:ind w:left="2160" w:hanging="180"/>
      </w:pPr>
    </w:lvl>
    <w:lvl w:ilvl="3" w:tplc="140C000F">
      <w:start w:val="1"/>
      <w:numFmt w:val="decimal"/>
      <w:lvlText w:val="%4."/>
      <w:lvlJc w:val="left"/>
      <w:pPr>
        <w:ind w:left="2880" w:hanging="360"/>
      </w:pPr>
    </w:lvl>
    <w:lvl w:ilvl="4" w:tplc="140C0019">
      <w:start w:val="1"/>
      <w:numFmt w:val="lowerLetter"/>
      <w:lvlText w:val="%5."/>
      <w:lvlJc w:val="left"/>
      <w:pPr>
        <w:ind w:left="3600" w:hanging="360"/>
      </w:pPr>
    </w:lvl>
    <w:lvl w:ilvl="5" w:tplc="140C001B">
      <w:start w:val="1"/>
      <w:numFmt w:val="lowerRoman"/>
      <w:lvlText w:val="%6."/>
      <w:lvlJc w:val="right"/>
      <w:pPr>
        <w:ind w:left="4320" w:hanging="180"/>
      </w:pPr>
    </w:lvl>
    <w:lvl w:ilvl="6" w:tplc="140C000F">
      <w:start w:val="1"/>
      <w:numFmt w:val="decimal"/>
      <w:lvlText w:val="%7."/>
      <w:lvlJc w:val="left"/>
      <w:pPr>
        <w:ind w:left="5040" w:hanging="360"/>
      </w:pPr>
    </w:lvl>
    <w:lvl w:ilvl="7" w:tplc="140C0019">
      <w:start w:val="1"/>
      <w:numFmt w:val="lowerLetter"/>
      <w:lvlText w:val="%8."/>
      <w:lvlJc w:val="left"/>
      <w:pPr>
        <w:ind w:left="5760" w:hanging="360"/>
      </w:pPr>
    </w:lvl>
    <w:lvl w:ilvl="8" w:tplc="1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0"/>
  </w:num>
  <w:num w:numId="5">
    <w:abstractNumId w:val="3"/>
  </w:num>
  <w:num w:numId="6">
    <w:abstractNumId w:val="6"/>
  </w:num>
  <w:num w:numId="7">
    <w:abstractNumId w:val="5"/>
  </w:num>
  <w:num w:numId="8">
    <w:abstractNumId w:val="2"/>
  </w:num>
  <w:num w:numId="9">
    <w:abstractNumId w:val="7"/>
  </w:num>
  <w:num w:numId="10">
    <w:abstractNumId w:val="8"/>
  </w:num>
  <w:num w:numId="11">
    <w:abstractNumId w:val="1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780926"/>
    <w:rsid w:val="000124A5"/>
    <w:rsid w:val="00014749"/>
    <w:rsid w:val="000222AE"/>
    <w:rsid w:val="000271B5"/>
    <w:rsid w:val="00040726"/>
    <w:rsid w:val="000417D2"/>
    <w:rsid w:val="00042CE7"/>
    <w:rsid w:val="00052EE2"/>
    <w:rsid w:val="00054ACC"/>
    <w:rsid w:val="00056045"/>
    <w:rsid w:val="00061445"/>
    <w:rsid w:val="00077CF6"/>
    <w:rsid w:val="00080138"/>
    <w:rsid w:val="00090230"/>
    <w:rsid w:val="00096CAA"/>
    <w:rsid w:val="000B13AD"/>
    <w:rsid w:val="000B6759"/>
    <w:rsid w:val="000C534D"/>
    <w:rsid w:val="000D3B1B"/>
    <w:rsid w:val="000D742E"/>
    <w:rsid w:val="000E2174"/>
    <w:rsid w:val="000E3D7D"/>
    <w:rsid w:val="000E7685"/>
    <w:rsid w:val="001000F5"/>
    <w:rsid w:val="001001CE"/>
    <w:rsid w:val="001026C2"/>
    <w:rsid w:val="001114AF"/>
    <w:rsid w:val="00111E1A"/>
    <w:rsid w:val="001150F2"/>
    <w:rsid w:val="001313DC"/>
    <w:rsid w:val="001334A2"/>
    <w:rsid w:val="00134B55"/>
    <w:rsid w:val="00135894"/>
    <w:rsid w:val="001406FE"/>
    <w:rsid w:val="00141412"/>
    <w:rsid w:val="00141BD1"/>
    <w:rsid w:val="0015367B"/>
    <w:rsid w:val="00177A4A"/>
    <w:rsid w:val="00180AF6"/>
    <w:rsid w:val="00185CB1"/>
    <w:rsid w:val="00187ECC"/>
    <w:rsid w:val="001967D9"/>
    <w:rsid w:val="001A3218"/>
    <w:rsid w:val="001B08B2"/>
    <w:rsid w:val="001B388B"/>
    <w:rsid w:val="001B73FD"/>
    <w:rsid w:val="001C2FF1"/>
    <w:rsid w:val="001C463D"/>
    <w:rsid w:val="001C4F42"/>
    <w:rsid w:val="001D0AF8"/>
    <w:rsid w:val="001D1B4B"/>
    <w:rsid w:val="001D4230"/>
    <w:rsid w:val="001D43F9"/>
    <w:rsid w:val="001F2656"/>
    <w:rsid w:val="001F7CF0"/>
    <w:rsid w:val="002003FB"/>
    <w:rsid w:val="002048AA"/>
    <w:rsid w:val="00205FC2"/>
    <w:rsid w:val="00220A3F"/>
    <w:rsid w:val="002227EB"/>
    <w:rsid w:val="0022527A"/>
    <w:rsid w:val="00232C51"/>
    <w:rsid w:val="0025422C"/>
    <w:rsid w:val="002551FB"/>
    <w:rsid w:val="0025696C"/>
    <w:rsid w:val="00270B82"/>
    <w:rsid w:val="002776F1"/>
    <w:rsid w:val="00281C02"/>
    <w:rsid w:val="00282559"/>
    <w:rsid w:val="00282DFD"/>
    <w:rsid w:val="00284EEF"/>
    <w:rsid w:val="002A1D7C"/>
    <w:rsid w:val="002A24BE"/>
    <w:rsid w:val="002A46DA"/>
    <w:rsid w:val="002B7156"/>
    <w:rsid w:val="002B7838"/>
    <w:rsid w:val="002C428B"/>
    <w:rsid w:val="002C476B"/>
    <w:rsid w:val="002C5553"/>
    <w:rsid w:val="002C64A9"/>
    <w:rsid w:val="002D0DEA"/>
    <w:rsid w:val="002D5C3E"/>
    <w:rsid w:val="002D6730"/>
    <w:rsid w:val="003015F6"/>
    <w:rsid w:val="003021DE"/>
    <w:rsid w:val="00302F2A"/>
    <w:rsid w:val="00306120"/>
    <w:rsid w:val="0031186C"/>
    <w:rsid w:val="00314AD5"/>
    <w:rsid w:val="003311E4"/>
    <w:rsid w:val="00332DC3"/>
    <w:rsid w:val="003461A9"/>
    <w:rsid w:val="00346633"/>
    <w:rsid w:val="00351668"/>
    <w:rsid w:val="00355F02"/>
    <w:rsid w:val="003724D2"/>
    <w:rsid w:val="00374CAD"/>
    <w:rsid w:val="00382713"/>
    <w:rsid w:val="00393383"/>
    <w:rsid w:val="003A706F"/>
    <w:rsid w:val="003B3F4E"/>
    <w:rsid w:val="003C07D9"/>
    <w:rsid w:val="003C383B"/>
    <w:rsid w:val="003F2753"/>
    <w:rsid w:val="004104FE"/>
    <w:rsid w:val="0041172C"/>
    <w:rsid w:val="00411A8F"/>
    <w:rsid w:val="004210D4"/>
    <w:rsid w:val="0042356B"/>
    <w:rsid w:val="0043448E"/>
    <w:rsid w:val="00457BB5"/>
    <w:rsid w:val="004605F8"/>
    <w:rsid w:val="00474DB2"/>
    <w:rsid w:val="00486C3D"/>
    <w:rsid w:val="0048718C"/>
    <w:rsid w:val="00495090"/>
    <w:rsid w:val="00497F8B"/>
    <w:rsid w:val="004C0111"/>
    <w:rsid w:val="004C5799"/>
    <w:rsid w:val="004D0D11"/>
    <w:rsid w:val="004D457B"/>
    <w:rsid w:val="004D50AF"/>
    <w:rsid w:val="004D71F7"/>
    <w:rsid w:val="004E5C06"/>
    <w:rsid w:val="004E72AC"/>
    <w:rsid w:val="004E770D"/>
    <w:rsid w:val="004F1DC7"/>
    <w:rsid w:val="004F3B6D"/>
    <w:rsid w:val="00504C89"/>
    <w:rsid w:val="00510CCB"/>
    <w:rsid w:val="005279ED"/>
    <w:rsid w:val="00536759"/>
    <w:rsid w:val="00536B25"/>
    <w:rsid w:val="00537894"/>
    <w:rsid w:val="0054321B"/>
    <w:rsid w:val="005529E6"/>
    <w:rsid w:val="00560D93"/>
    <w:rsid w:val="0057064E"/>
    <w:rsid w:val="0058262C"/>
    <w:rsid w:val="005B560B"/>
    <w:rsid w:val="005C01F5"/>
    <w:rsid w:val="005C2F6D"/>
    <w:rsid w:val="005D3311"/>
    <w:rsid w:val="005D7412"/>
    <w:rsid w:val="005E465D"/>
    <w:rsid w:val="005E4F97"/>
    <w:rsid w:val="005E654B"/>
    <w:rsid w:val="005F2469"/>
    <w:rsid w:val="00607357"/>
    <w:rsid w:val="00610BC7"/>
    <w:rsid w:val="006114F0"/>
    <w:rsid w:val="006253F3"/>
    <w:rsid w:val="00626759"/>
    <w:rsid w:val="00635C39"/>
    <w:rsid w:val="00643594"/>
    <w:rsid w:val="00650EBD"/>
    <w:rsid w:val="00656D5F"/>
    <w:rsid w:val="00664192"/>
    <w:rsid w:val="00671E24"/>
    <w:rsid w:val="0067386E"/>
    <w:rsid w:val="0067425D"/>
    <w:rsid w:val="006864DC"/>
    <w:rsid w:val="00693217"/>
    <w:rsid w:val="006A0574"/>
    <w:rsid w:val="006A44C5"/>
    <w:rsid w:val="006A4970"/>
    <w:rsid w:val="006A513D"/>
    <w:rsid w:val="006A68C6"/>
    <w:rsid w:val="006B1053"/>
    <w:rsid w:val="006B416C"/>
    <w:rsid w:val="006C3768"/>
    <w:rsid w:val="006D0D1B"/>
    <w:rsid w:val="006D7D4F"/>
    <w:rsid w:val="006E41C1"/>
    <w:rsid w:val="006F3CD9"/>
    <w:rsid w:val="006F66B5"/>
    <w:rsid w:val="00703549"/>
    <w:rsid w:val="00711EC6"/>
    <w:rsid w:val="007127D3"/>
    <w:rsid w:val="00724E11"/>
    <w:rsid w:val="007262FE"/>
    <w:rsid w:val="0073167B"/>
    <w:rsid w:val="00734C0D"/>
    <w:rsid w:val="00734DAB"/>
    <w:rsid w:val="0073612A"/>
    <w:rsid w:val="00740C03"/>
    <w:rsid w:val="00751BAC"/>
    <w:rsid w:val="00752FD9"/>
    <w:rsid w:val="00755288"/>
    <w:rsid w:val="00760FDC"/>
    <w:rsid w:val="00764EFA"/>
    <w:rsid w:val="00780926"/>
    <w:rsid w:val="007824C5"/>
    <w:rsid w:val="00783152"/>
    <w:rsid w:val="0078730F"/>
    <w:rsid w:val="00791189"/>
    <w:rsid w:val="007A4C2E"/>
    <w:rsid w:val="007C3776"/>
    <w:rsid w:val="007C71C8"/>
    <w:rsid w:val="007D53B2"/>
    <w:rsid w:val="007E1F8F"/>
    <w:rsid w:val="007E5956"/>
    <w:rsid w:val="007F4809"/>
    <w:rsid w:val="007F570D"/>
    <w:rsid w:val="00803622"/>
    <w:rsid w:val="00803841"/>
    <w:rsid w:val="00806F1C"/>
    <w:rsid w:val="0082743C"/>
    <w:rsid w:val="00837096"/>
    <w:rsid w:val="0085074F"/>
    <w:rsid w:val="00852371"/>
    <w:rsid w:val="0085357F"/>
    <w:rsid w:val="008702AA"/>
    <w:rsid w:val="00873520"/>
    <w:rsid w:val="00884AB9"/>
    <w:rsid w:val="008873CC"/>
    <w:rsid w:val="008B1D36"/>
    <w:rsid w:val="008C1B51"/>
    <w:rsid w:val="008C6373"/>
    <w:rsid w:val="008E0812"/>
    <w:rsid w:val="008E0A8E"/>
    <w:rsid w:val="008E4CFA"/>
    <w:rsid w:val="008F0FB1"/>
    <w:rsid w:val="008F5EB1"/>
    <w:rsid w:val="008F6BC1"/>
    <w:rsid w:val="009058FE"/>
    <w:rsid w:val="0091185E"/>
    <w:rsid w:val="00911B3B"/>
    <w:rsid w:val="00930A95"/>
    <w:rsid w:val="009317BD"/>
    <w:rsid w:val="0093424C"/>
    <w:rsid w:val="00946672"/>
    <w:rsid w:val="0095258D"/>
    <w:rsid w:val="0095673C"/>
    <w:rsid w:val="009612A3"/>
    <w:rsid w:val="00966B2B"/>
    <w:rsid w:val="00980A7E"/>
    <w:rsid w:val="00990742"/>
    <w:rsid w:val="009976B6"/>
    <w:rsid w:val="009B2AA2"/>
    <w:rsid w:val="009B423F"/>
    <w:rsid w:val="009B5735"/>
    <w:rsid w:val="009C221B"/>
    <w:rsid w:val="009C5E1E"/>
    <w:rsid w:val="009D0C46"/>
    <w:rsid w:val="009D773C"/>
    <w:rsid w:val="009E0E67"/>
    <w:rsid w:val="009E52C2"/>
    <w:rsid w:val="00A0053E"/>
    <w:rsid w:val="00A10438"/>
    <w:rsid w:val="00A158B5"/>
    <w:rsid w:val="00A236CF"/>
    <w:rsid w:val="00A2444C"/>
    <w:rsid w:val="00A244BE"/>
    <w:rsid w:val="00A31A9C"/>
    <w:rsid w:val="00A34668"/>
    <w:rsid w:val="00A3618A"/>
    <w:rsid w:val="00A37C43"/>
    <w:rsid w:val="00A416B8"/>
    <w:rsid w:val="00A43F3E"/>
    <w:rsid w:val="00A63C0B"/>
    <w:rsid w:val="00A737B8"/>
    <w:rsid w:val="00A75ECC"/>
    <w:rsid w:val="00A80F9E"/>
    <w:rsid w:val="00A824EB"/>
    <w:rsid w:val="00A833E5"/>
    <w:rsid w:val="00A85CCE"/>
    <w:rsid w:val="00AB58D5"/>
    <w:rsid w:val="00AD773D"/>
    <w:rsid w:val="00AE4D65"/>
    <w:rsid w:val="00B04CE0"/>
    <w:rsid w:val="00B06E24"/>
    <w:rsid w:val="00B07509"/>
    <w:rsid w:val="00B07EB7"/>
    <w:rsid w:val="00B1281C"/>
    <w:rsid w:val="00B13F68"/>
    <w:rsid w:val="00B323B9"/>
    <w:rsid w:val="00B36EA3"/>
    <w:rsid w:val="00B464C1"/>
    <w:rsid w:val="00B5059C"/>
    <w:rsid w:val="00B7302C"/>
    <w:rsid w:val="00B77873"/>
    <w:rsid w:val="00B87475"/>
    <w:rsid w:val="00B95A19"/>
    <w:rsid w:val="00BB5C9B"/>
    <w:rsid w:val="00BB6D67"/>
    <w:rsid w:val="00BC798A"/>
    <w:rsid w:val="00BD1AC2"/>
    <w:rsid w:val="00BD7004"/>
    <w:rsid w:val="00BE24F8"/>
    <w:rsid w:val="00BE3E86"/>
    <w:rsid w:val="00BF0071"/>
    <w:rsid w:val="00BF6308"/>
    <w:rsid w:val="00C066A2"/>
    <w:rsid w:val="00C06DE9"/>
    <w:rsid w:val="00C112B4"/>
    <w:rsid w:val="00C213A6"/>
    <w:rsid w:val="00C2249C"/>
    <w:rsid w:val="00C25B4C"/>
    <w:rsid w:val="00C26F80"/>
    <w:rsid w:val="00C30BE5"/>
    <w:rsid w:val="00C3762E"/>
    <w:rsid w:val="00C37953"/>
    <w:rsid w:val="00C55DBB"/>
    <w:rsid w:val="00C5650A"/>
    <w:rsid w:val="00C63CA2"/>
    <w:rsid w:val="00C67AA1"/>
    <w:rsid w:val="00C82AA0"/>
    <w:rsid w:val="00C85B40"/>
    <w:rsid w:val="00CA1589"/>
    <w:rsid w:val="00CA34F6"/>
    <w:rsid w:val="00CA7F32"/>
    <w:rsid w:val="00CB25B2"/>
    <w:rsid w:val="00CC644C"/>
    <w:rsid w:val="00CD175A"/>
    <w:rsid w:val="00CE110B"/>
    <w:rsid w:val="00CF0244"/>
    <w:rsid w:val="00CF0342"/>
    <w:rsid w:val="00CF28BB"/>
    <w:rsid w:val="00CF76C2"/>
    <w:rsid w:val="00D06B2B"/>
    <w:rsid w:val="00D10860"/>
    <w:rsid w:val="00D15C7A"/>
    <w:rsid w:val="00D26427"/>
    <w:rsid w:val="00D326E1"/>
    <w:rsid w:val="00D33F2E"/>
    <w:rsid w:val="00D37B91"/>
    <w:rsid w:val="00D45FD2"/>
    <w:rsid w:val="00D501CE"/>
    <w:rsid w:val="00D513D2"/>
    <w:rsid w:val="00D52196"/>
    <w:rsid w:val="00D524C4"/>
    <w:rsid w:val="00D67CF2"/>
    <w:rsid w:val="00D71CEA"/>
    <w:rsid w:val="00D84DFC"/>
    <w:rsid w:val="00D92F55"/>
    <w:rsid w:val="00D96D7D"/>
    <w:rsid w:val="00D96F2E"/>
    <w:rsid w:val="00DA25F1"/>
    <w:rsid w:val="00DA4033"/>
    <w:rsid w:val="00DA4090"/>
    <w:rsid w:val="00DA63C9"/>
    <w:rsid w:val="00DA7451"/>
    <w:rsid w:val="00DB2CDF"/>
    <w:rsid w:val="00DD452B"/>
    <w:rsid w:val="00DD5973"/>
    <w:rsid w:val="00DE158C"/>
    <w:rsid w:val="00DE56A8"/>
    <w:rsid w:val="00DE57F5"/>
    <w:rsid w:val="00E060BF"/>
    <w:rsid w:val="00E13A3E"/>
    <w:rsid w:val="00E1698A"/>
    <w:rsid w:val="00E23A3A"/>
    <w:rsid w:val="00E24455"/>
    <w:rsid w:val="00E25115"/>
    <w:rsid w:val="00E26B6E"/>
    <w:rsid w:val="00E316B8"/>
    <w:rsid w:val="00E33E33"/>
    <w:rsid w:val="00E41B3F"/>
    <w:rsid w:val="00E4563B"/>
    <w:rsid w:val="00E5053B"/>
    <w:rsid w:val="00E53CD7"/>
    <w:rsid w:val="00E600F1"/>
    <w:rsid w:val="00E74F0C"/>
    <w:rsid w:val="00E877C8"/>
    <w:rsid w:val="00EA405A"/>
    <w:rsid w:val="00EB3690"/>
    <w:rsid w:val="00EC1CF9"/>
    <w:rsid w:val="00EC2CE9"/>
    <w:rsid w:val="00EE1F4B"/>
    <w:rsid w:val="00EE62D2"/>
    <w:rsid w:val="00F00D87"/>
    <w:rsid w:val="00F02F60"/>
    <w:rsid w:val="00F05B3A"/>
    <w:rsid w:val="00F06F4D"/>
    <w:rsid w:val="00F07529"/>
    <w:rsid w:val="00F11AE3"/>
    <w:rsid w:val="00F13F8C"/>
    <w:rsid w:val="00F145AE"/>
    <w:rsid w:val="00F222AA"/>
    <w:rsid w:val="00F30177"/>
    <w:rsid w:val="00F42EAE"/>
    <w:rsid w:val="00F44613"/>
    <w:rsid w:val="00F500E3"/>
    <w:rsid w:val="00F54EF0"/>
    <w:rsid w:val="00F55076"/>
    <w:rsid w:val="00F611C1"/>
    <w:rsid w:val="00F6288E"/>
    <w:rsid w:val="00F63DAD"/>
    <w:rsid w:val="00F66A28"/>
    <w:rsid w:val="00F81142"/>
    <w:rsid w:val="00F8384D"/>
    <w:rsid w:val="00F85EAC"/>
    <w:rsid w:val="00F937CC"/>
    <w:rsid w:val="00F9666C"/>
    <w:rsid w:val="00FA04C5"/>
    <w:rsid w:val="00FA099B"/>
    <w:rsid w:val="00FA31D8"/>
    <w:rsid w:val="00FB178B"/>
    <w:rsid w:val="00FB533E"/>
    <w:rsid w:val="00FC4DDD"/>
    <w:rsid w:val="00FC6918"/>
    <w:rsid w:val="00FD1DEC"/>
    <w:rsid w:val="00FE00C0"/>
    <w:rsid w:val="00FF25FE"/>
    <w:rsid w:val="00FF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E73ED"/>
  <w15:chartTrackingRefBased/>
  <w15:docId w15:val="{9ABC4BC9-79ED-4F34-8B54-A4D99602A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ind w:left="567" w:hanging="567"/>
    </w:pPr>
    <w:rPr>
      <w:sz w:val="22"/>
      <w:szCs w:val="24"/>
      <w:lang w:val="sk-SK" w:eastAsia="sk-SK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uiPriority w:val="99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character" w:customStyle="1" w:styleId="TextkomentraChar">
    <w:name w:val="Text komentára Char"/>
    <w:link w:val="Textkomentra"/>
    <w:semiHidden/>
    <w:rsid w:val="006D7D4F"/>
  </w:style>
  <w:style w:type="paragraph" w:styleId="Odsekzoznamu">
    <w:name w:val="List Paragraph"/>
    <w:basedOn w:val="Normlny"/>
    <w:uiPriority w:val="34"/>
    <w:qFormat/>
    <w:rsid w:val="00DA7451"/>
    <w:pPr>
      <w:ind w:left="720"/>
      <w:contextualSpacing/>
    </w:pPr>
  </w:style>
  <w:style w:type="table" w:styleId="Mriekatabuky">
    <w:name w:val="Table Grid"/>
    <w:basedOn w:val="Normlnatabuka"/>
    <w:rsid w:val="003C0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8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833B0-AEF5-4067-A2F6-75AC25A8D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3658</Words>
  <Characters>23292</Characters>
  <Application>Microsoft Office Word</Application>
  <DocSecurity>0</DocSecurity>
  <Lines>194</Lines>
  <Paragraphs>53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Hreferralspccleansk</vt:lpstr>
      <vt:lpstr>Hreferralspccleansk</vt:lpstr>
      <vt:lpstr>Hreferralspccleansk</vt:lpstr>
    </vt:vector>
  </TitlesOfParts>
  <Company>EMEA</Company>
  <LinksUpToDate>false</LinksUpToDate>
  <CharactersWithSpaces>26897</CharactersWithSpaces>
  <SharedDoc>false</SharedDoc>
  <HLinks>
    <vt:vector size="24" baseType="variant">
      <vt:variant>
        <vt:i4>7733306</vt:i4>
      </vt:variant>
      <vt:variant>
        <vt:i4>9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7733306</vt:i4>
      </vt:variant>
      <vt:variant>
        <vt:i4>3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Hreferralspccleansk</dc:title>
  <dc:subject>General-EMA/53564/2010</dc:subject>
  <dc:creator>European Medicines Agency</dc:creator>
  <cp:keywords/>
  <cp:lastModifiedBy>Lacková, Beáta</cp:lastModifiedBy>
  <cp:revision>4</cp:revision>
  <cp:lastPrinted>2003-05-16T07:55:00Z</cp:lastPrinted>
  <dcterms:created xsi:type="dcterms:W3CDTF">2019-12-06T08:16:00Z</dcterms:created>
  <dcterms:modified xsi:type="dcterms:W3CDTF">2019-12-10T13:48:00Z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53564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General-EMA/53564/2010</vt:lpwstr>
  </property>
  <property fmtid="{D5CDD505-2E9C-101B-9397-08002B2CF9AE}" pid="30" name="DM_Version">
    <vt:lpwstr>CURRENT,3.0</vt:lpwstr>
  </property>
  <property fmtid="{D5CDD505-2E9C-101B-9397-08002B2CF9AE}" pid="31" name="DM_Name">
    <vt:lpwstr>Hreferralspccleansk</vt:lpwstr>
  </property>
  <property fmtid="{D5CDD505-2E9C-101B-9397-08002B2CF9AE}" pid="32" name="DM_Creation_Date">
    <vt:lpwstr>08/02/2016 11:40:05</vt:lpwstr>
  </property>
  <property fmtid="{D5CDD505-2E9C-101B-9397-08002B2CF9AE}" pid="33" name="DM_Modify_Date">
    <vt:lpwstr>08/02/2016 11:40:05</vt:lpwstr>
  </property>
  <property fmtid="{D5CDD505-2E9C-101B-9397-08002B2CF9AE}" pid="34" name="DM_Creator_Name">
    <vt:lpwstr>Guardado Susana</vt:lpwstr>
  </property>
  <property fmtid="{D5CDD505-2E9C-101B-9397-08002B2CF9AE}" pid="35" name="DM_Modifier_Name">
    <vt:lpwstr>Guardado Susana</vt:lpwstr>
  </property>
  <property fmtid="{D5CDD505-2E9C-101B-9397-08002B2CF9AE}" pid="36" name="DM_Type">
    <vt:lpwstr>emea_document</vt:lpwstr>
  </property>
  <property fmtid="{D5CDD505-2E9C-101B-9397-08002B2CF9AE}" pid="37" name="DM_DocRefId">
    <vt:lpwstr>EMA/87703/2016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templates/08 H Referral template v 4.0 February16/Publication Feb 2016/Clean language templates</vt:lpwstr>
  </property>
  <property fmtid="{D5CDD505-2E9C-101B-9397-08002B2CF9AE}" pid="40" name="DM_emea_doc_ref_id">
    <vt:lpwstr>EMA/87703/2016</vt:lpwstr>
  </property>
  <property fmtid="{D5CDD505-2E9C-101B-9397-08002B2CF9AE}" pid="41" name="DM_Modifer_Name">
    <vt:lpwstr>Guardado Susana</vt:lpwstr>
  </property>
  <property fmtid="{D5CDD505-2E9C-101B-9397-08002B2CF9AE}" pid="42" name="DM_Modified_Date">
    <vt:lpwstr>08/02/2016 11:40:05</vt:lpwstr>
  </property>
</Properties>
</file>