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687" w:rsidRDefault="00DE5687">
      <w:pPr>
        <w:pStyle w:val="Podtitul"/>
        <w:tabs>
          <w:tab w:val="left" w:pos="5400"/>
        </w:tabs>
        <w:rPr>
          <w:szCs w:val="22"/>
        </w:rPr>
      </w:pPr>
      <w:bookmarkStart w:id="0" w:name="_GoBack"/>
      <w:bookmarkEnd w:id="0"/>
    </w:p>
    <w:p w:rsidR="00874099" w:rsidRPr="001F33A3" w:rsidRDefault="006B24AE">
      <w:pPr>
        <w:pStyle w:val="Podtitul"/>
        <w:tabs>
          <w:tab w:val="left" w:pos="5400"/>
        </w:tabs>
        <w:rPr>
          <w:szCs w:val="22"/>
        </w:rPr>
      </w:pPr>
      <w:r w:rsidRPr="001F33A3">
        <w:rPr>
          <w:szCs w:val="22"/>
        </w:rPr>
        <w:t>SÚHRN CHARAKTERISTICKÝCH VLASTNOSTÍ LIEKU</w:t>
      </w:r>
    </w:p>
    <w:p w:rsidR="00874099" w:rsidRDefault="00874099">
      <w:pPr>
        <w:tabs>
          <w:tab w:val="left" w:pos="5400"/>
        </w:tabs>
        <w:ind w:left="0" w:firstLine="0"/>
        <w:jc w:val="both"/>
        <w:rPr>
          <w:b/>
          <w:szCs w:val="22"/>
        </w:rPr>
      </w:pPr>
    </w:p>
    <w:p w:rsidR="006B24AE" w:rsidRPr="000C794F" w:rsidRDefault="006B24AE">
      <w:pPr>
        <w:tabs>
          <w:tab w:val="left" w:pos="5400"/>
        </w:tabs>
        <w:ind w:left="0" w:firstLine="0"/>
        <w:jc w:val="both"/>
        <w:rPr>
          <w:b/>
          <w:szCs w:val="22"/>
        </w:rPr>
      </w:pPr>
    </w:p>
    <w:p w:rsidR="00874099" w:rsidRPr="00E67263" w:rsidRDefault="00874099">
      <w:pPr>
        <w:tabs>
          <w:tab w:val="left" w:pos="540"/>
        </w:tabs>
        <w:ind w:left="0" w:firstLine="0"/>
        <w:jc w:val="both"/>
        <w:rPr>
          <w:szCs w:val="22"/>
        </w:rPr>
      </w:pPr>
      <w:r w:rsidRPr="00E67263">
        <w:rPr>
          <w:b/>
          <w:szCs w:val="22"/>
        </w:rPr>
        <w:t>1.</w:t>
      </w:r>
      <w:r w:rsidRPr="00E67263">
        <w:rPr>
          <w:b/>
          <w:szCs w:val="22"/>
        </w:rPr>
        <w:tab/>
        <w:t>NÁZOV LIEKU</w:t>
      </w:r>
    </w:p>
    <w:p w:rsidR="00874099" w:rsidRPr="00E45835" w:rsidRDefault="00874099">
      <w:pPr>
        <w:tabs>
          <w:tab w:val="left" w:pos="5400"/>
        </w:tabs>
        <w:jc w:val="both"/>
        <w:rPr>
          <w:szCs w:val="22"/>
        </w:rPr>
      </w:pPr>
    </w:p>
    <w:p w:rsidR="00874099" w:rsidRPr="00A90F21" w:rsidRDefault="00874099">
      <w:pPr>
        <w:tabs>
          <w:tab w:val="left" w:pos="5400"/>
        </w:tabs>
        <w:jc w:val="both"/>
        <w:rPr>
          <w:szCs w:val="22"/>
        </w:rPr>
      </w:pPr>
      <w:r w:rsidRPr="00A90F21">
        <w:rPr>
          <w:szCs w:val="22"/>
        </w:rPr>
        <w:t xml:space="preserve">Losartan STADA 50 mg </w:t>
      </w:r>
    </w:p>
    <w:p w:rsidR="00874099" w:rsidRPr="00A90F21" w:rsidRDefault="00874099">
      <w:pPr>
        <w:tabs>
          <w:tab w:val="left" w:pos="5400"/>
        </w:tabs>
        <w:jc w:val="both"/>
        <w:rPr>
          <w:szCs w:val="22"/>
        </w:rPr>
      </w:pPr>
      <w:r w:rsidRPr="00A90F21">
        <w:rPr>
          <w:szCs w:val="22"/>
        </w:rPr>
        <w:t>filmom obalené tablety</w:t>
      </w:r>
    </w:p>
    <w:p w:rsidR="00874099" w:rsidRPr="00A90F21" w:rsidRDefault="00874099">
      <w:pPr>
        <w:tabs>
          <w:tab w:val="left" w:pos="5400"/>
        </w:tabs>
        <w:jc w:val="both"/>
        <w:rPr>
          <w:szCs w:val="22"/>
        </w:rPr>
      </w:pPr>
    </w:p>
    <w:p w:rsidR="00874099" w:rsidRPr="00A90F21" w:rsidRDefault="00874099">
      <w:pPr>
        <w:tabs>
          <w:tab w:val="left" w:pos="5400"/>
        </w:tabs>
        <w:jc w:val="both"/>
        <w:rPr>
          <w:szCs w:val="22"/>
        </w:rPr>
      </w:pPr>
    </w:p>
    <w:p w:rsidR="00874099" w:rsidRPr="00A90F21" w:rsidRDefault="00874099">
      <w:pPr>
        <w:tabs>
          <w:tab w:val="left" w:pos="5400"/>
        </w:tabs>
        <w:jc w:val="both"/>
        <w:rPr>
          <w:szCs w:val="22"/>
        </w:rPr>
      </w:pPr>
      <w:r w:rsidRPr="00A90F21">
        <w:rPr>
          <w:b/>
          <w:szCs w:val="22"/>
        </w:rPr>
        <w:t>2.</w:t>
      </w:r>
      <w:r w:rsidRPr="00A90F21">
        <w:rPr>
          <w:b/>
          <w:szCs w:val="22"/>
        </w:rPr>
        <w:tab/>
        <w:t>KVALITATÍVNE A KVANTITATÍVNE ZLOŽENIE</w:t>
      </w:r>
    </w:p>
    <w:p w:rsidR="00874099" w:rsidRPr="00A90F21" w:rsidRDefault="00874099">
      <w:pPr>
        <w:tabs>
          <w:tab w:val="left" w:pos="5400"/>
        </w:tabs>
        <w:jc w:val="both"/>
        <w:rPr>
          <w:i/>
          <w:szCs w:val="22"/>
        </w:rPr>
      </w:pPr>
    </w:p>
    <w:p w:rsidR="00874099" w:rsidRPr="00A90F21" w:rsidRDefault="00874099">
      <w:pPr>
        <w:pStyle w:val="EMEAEnBodyText"/>
        <w:tabs>
          <w:tab w:val="left" w:pos="5400"/>
        </w:tabs>
        <w:autoSpaceDE w:val="0"/>
        <w:autoSpaceDN w:val="0"/>
        <w:adjustRightInd w:val="0"/>
        <w:spacing w:before="0" w:after="0"/>
        <w:jc w:val="left"/>
        <w:rPr>
          <w:bCs/>
          <w:szCs w:val="22"/>
          <w:lang w:val="sk-SK"/>
        </w:rPr>
      </w:pPr>
      <w:r w:rsidRPr="00A90F21">
        <w:rPr>
          <w:bCs/>
          <w:szCs w:val="22"/>
          <w:lang w:val="sk-SK"/>
        </w:rPr>
        <w:t>Každá tableta Losartan STADA 50 mg obsahuje 50 mg losartanu (ako draselnú soľ).</w:t>
      </w:r>
    </w:p>
    <w:p w:rsidR="00874099" w:rsidRPr="00A90F21" w:rsidRDefault="00874099">
      <w:pPr>
        <w:pStyle w:val="EMEAEnBodyText"/>
        <w:tabs>
          <w:tab w:val="left" w:pos="5400"/>
        </w:tabs>
        <w:autoSpaceDE w:val="0"/>
        <w:autoSpaceDN w:val="0"/>
        <w:adjustRightInd w:val="0"/>
        <w:spacing w:before="0" w:after="0"/>
        <w:jc w:val="left"/>
        <w:rPr>
          <w:bCs/>
          <w:szCs w:val="22"/>
          <w:lang w:val="sk-SK"/>
        </w:rPr>
      </w:pPr>
    </w:p>
    <w:p w:rsidR="006B24AE" w:rsidRPr="00B77609" w:rsidRDefault="006B24AE">
      <w:pPr>
        <w:pStyle w:val="EMEAEnBodyText"/>
        <w:tabs>
          <w:tab w:val="left" w:pos="5400"/>
        </w:tabs>
        <w:autoSpaceDE w:val="0"/>
        <w:autoSpaceDN w:val="0"/>
        <w:adjustRightInd w:val="0"/>
        <w:spacing w:before="0" w:after="0"/>
        <w:jc w:val="left"/>
        <w:rPr>
          <w:bCs/>
          <w:szCs w:val="22"/>
          <w:u w:val="single"/>
          <w:lang w:val="sk-SK"/>
        </w:rPr>
      </w:pPr>
      <w:r>
        <w:rPr>
          <w:bCs/>
          <w:szCs w:val="22"/>
          <w:u w:val="single"/>
          <w:lang w:val="sk-SK"/>
        </w:rPr>
        <w:t>Pomocná látka so známym účinkom:</w:t>
      </w:r>
    </w:p>
    <w:p w:rsidR="00874099" w:rsidRPr="00A90F21" w:rsidRDefault="00874099">
      <w:pPr>
        <w:pStyle w:val="EMEAEnBodyText"/>
        <w:tabs>
          <w:tab w:val="left" w:pos="5400"/>
        </w:tabs>
        <w:autoSpaceDE w:val="0"/>
        <w:autoSpaceDN w:val="0"/>
        <w:adjustRightInd w:val="0"/>
        <w:spacing w:before="0" w:after="0"/>
        <w:jc w:val="left"/>
        <w:rPr>
          <w:bCs/>
          <w:szCs w:val="22"/>
          <w:lang w:val="sk-SK"/>
        </w:rPr>
      </w:pPr>
      <w:r w:rsidRPr="00A90F21">
        <w:rPr>
          <w:bCs/>
          <w:szCs w:val="22"/>
          <w:lang w:val="sk-SK"/>
        </w:rPr>
        <w:t>Každá tableta Losartan STADA 50 mg obsahuje 115,8 mg monohydrátu laktózy.</w:t>
      </w:r>
    </w:p>
    <w:p w:rsidR="00874099" w:rsidRPr="00A90F21" w:rsidRDefault="00874099">
      <w:pPr>
        <w:tabs>
          <w:tab w:val="left" w:pos="5400"/>
        </w:tabs>
        <w:jc w:val="both"/>
        <w:outlineLvl w:val="0"/>
        <w:rPr>
          <w:szCs w:val="22"/>
        </w:rPr>
      </w:pPr>
    </w:p>
    <w:p w:rsidR="00874099" w:rsidRPr="00A90F21" w:rsidRDefault="00874099">
      <w:pPr>
        <w:tabs>
          <w:tab w:val="left" w:pos="5400"/>
        </w:tabs>
        <w:jc w:val="both"/>
        <w:outlineLvl w:val="0"/>
        <w:rPr>
          <w:szCs w:val="22"/>
        </w:rPr>
      </w:pPr>
      <w:r w:rsidRPr="00A90F21">
        <w:rPr>
          <w:szCs w:val="22"/>
        </w:rPr>
        <w:t>Úplný zoznam pomocných látok, pozri časť 6.1.</w:t>
      </w:r>
    </w:p>
    <w:p w:rsidR="00874099" w:rsidRPr="00A90F21" w:rsidRDefault="00874099">
      <w:pPr>
        <w:tabs>
          <w:tab w:val="left" w:pos="5400"/>
        </w:tabs>
        <w:jc w:val="both"/>
        <w:rPr>
          <w:szCs w:val="22"/>
        </w:rPr>
      </w:pPr>
    </w:p>
    <w:p w:rsidR="00874099" w:rsidRPr="00A90F21" w:rsidRDefault="00874099">
      <w:pPr>
        <w:tabs>
          <w:tab w:val="left" w:pos="5400"/>
        </w:tabs>
        <w:jc w:val="both"/>
        <w:rPr>
          <w:szCs w:val="22"/>
        </w:rPr>
      </w:pPr>
    </w:p>
    <w:p w:rsidR="00874099" w:rsidRPr="00A90F21" w:rsidRDefault="00874099">
      <w:pPr>
        <w:tabs>
          <w:tab w:val="left" w:pos="5400"/>
        </w:tabs>
        <w:jc w:val="both"/>
        <w:rPr>
          <w:caps/>
          <w:szCs w:val="22"/>
        </w:rPr>
      </w:pPr>
      <w:r w:rsidRPr="00A90F21">
        <w:rPr>
          <w:b/>
          <w:szCs w:val="22"/>
        </w:rPr>
        <w:t>3.</w:t>
      </w:r>
      <w:r w:rsidRPr="00A90F21">
        <w:rPr>
          <w:b/>
          <w:szCs w:val="22"/>
        </w:rPr>
        <w:tab/>
        <w:t>LIEKOVÁ FORMA</w:t>
      </w:r>
    </w:p>
    <w:p w:rsidR="00874099" w:rsidRPr="00A90F21" w:rsidRDefault="00874099">
      <w:pPr>
        <w:tabs>
          <w:tab w:val="left" w:pos="5400"/>
        </w:tabs>
        <w:jc w:val="both"/>
        <w:rPr>
          <w:szCs w:val="22"/>
        </w:rPr>
      </w:pPr>
    </w:p>
    <w:p w:rsidR="00874099" w:rsidRPr="00A90F21" w:rsidRDefault="00874099">
      <w:pPr>
        <w:pStyle w:val="Zkladntext"/>
        <w:tabs>
          <w:tab w:val="left" w:pos="5400"/>
        </w:tabs>
        <w:jc w:val="both"/>
        <w:rPr>
          <w:szCs w:val="22"/>
        </w:rPr>
      </w:pPr>
      <w:r w:rsidRPr="00A90F21">
        <w:rPr>
          <w:szCs w:val="22"/>
        </w:rPr>
        <w:t>Filmom obalená tableta</w:t>
      </w:r>
    </w:p>
    <w:p w:rsidR="00874099" w:rsidRPr="00A90F21" w:rsidRDefault="00874099">
      <w:pPr>
        <w:pStyle w:val="Zkladntext"/>
        <w:tabs>
          <w:tab w:val="left" w:pos="5400"/>
        </w:tabs>
        <w:jc w:val="both"/>
        <w:rPr>
          <w:szCs w:val="22"/>
        </w:rPr>
      </w:pPr>
    </w:p>
    <w:p w:rsidR="00874099" w:rsidRPr="00A90F21" w:rsidRDefault="00874099">
      <w:pPr>
        <w:pStyle w:val="Zkladntext"/>
        <w:tabs>
          <w:tab w:val="left" w:pos="5400"/>
        </w:tabs>
        <w:rPr>
          <w:szCs w:val="22"/>
        </w:rPr>
      </w:pPr>
      <w:r w:rsidRPr="00A90F21">
        <w:rPr>
          <w:szCs w:val="22"/>
        </w:rPr>
        <w:t xml:space="preserve">Biela okrúhla bikonvexná filmom obalená tableta s krížovou deliacou ryhou na oboch stranách. </w:t>
      </w:r>
      <w:r w:rsidR="006B24AE">
        <w:rPr>
          <w:szCs w:val="22"/>
        </w:rPr>
        <w:t>T</w:t>
      </w:r>
      <w:r w:rsidRPr="00A90F21">
        <w:rPr>
          <w:szCs w:val="22"/>
        </w:rPr>
        <w:t>ableta sa môže rozdeliť na rovnaké</w:t>
      </w:r>
      <w:r w:rsidR="00B27D9B">
        <w:rPr>
          <w:szCs w:val="22"/>
        </w:rPr>
        <w:t xml:space="preserve"> </w:t>
      </w:r>
      <w:r w:rsidR="006B24AE">
        <w:rPr>
          <w:szCs w:val="22"/>
        </w:rPr>
        <w:t>dávky</w:t>
      </w:r>
      <w:r w:rsidRPr="00A90F21">
        <w:rPr>
          <w:szCs w:val="22"/>
        </w:rPr>
        <w:t>.</w:t>
      </w:r>
    </w:p>
    <w:p w:rsidR="00874099" w:rsidRPr="00A90F21" w:rsidRDefault="00874099">
      <w:pPr>
        <w:tabs>
          <w:tab w:val="left" w:pos="5400"/>
        </w:tabs>
        <w:jc w:val="both"/>
        <w:rPr>
          <w:szCs w:val="22"/>
        </w:rPr>
      </w:pPr>
    </w:p>
    <w:p w:rsidR="00874099" w:rsidRPr="00A90F21" w:rsidRDefault="00874099">
      <w:pPr>
        <w:tabs>
          <w:tab w:val="left" w:pos="5400"/>
        </w:tabs>
        <w:jc w:val="both"/>
        <w:rPr>
          <w:szCs w:val="22"/>
        </w:rPr>
      </w:pPr>
    </w:p>
    <w:p w:rsidR="00874099" w:rsidRPr="00A90F21" w:rsidRDefault="00874099">
      <w:pPr>
        <w:tabs>
          <w:tab w:val="left" w:pos="5400"/>
        </w:tabs>
        <w:jc w:val="both"/>
        <w:rPr>
          <w:caps/>
          <w:szCs w:val="22"/>
        </w:rPr>
      </w:pPr>
      <w:r w:rsidRPr="00A90F21">
        <w:rPr>
          <w:b/>
          <w:caps/>
          <w:szCs w:val="22"/>
        </w:rPr>
        <w:t>4.</w:t>
      </w:r>
      <w:r w:rsidRPr="00A90F21">
        <w:rPr>
          <w:b/>
          <w:caps/>
          <w:szCs w:val="22"/>
        </w:rPr>
        <w:tab/>
        <w:t>KLINICKÉ ÚDAJE</w:t>
      </w:r>
    </w:p>
    <w:p w:rsidR="00874099" w:rsidRPr="00A90F21" w:rsidRDefault="00874099">
      <w:pPr>
        <w:tabs>
          <w:tab w:val="left" w:pos="5400"/>
        </w:tabs>
        <w:jc w:val="both"/>
        <w:rPr>
          <w:szCs w:val="22"/>
        </w:rPr>
      </w:pPr>
    </w:p>
    <w:p w:rsidR="00874099" w:rsidRPr="00A90F21" w:rsidRDefault="00874099">
      <w:pPr>
        <w:tabs>
          <w:tab w:val="left" w:pos="5400"/>
        </w:tabs>
        <w:jc w:val="both"/>
        <w:rPr>
          <w:szCs w:val="22"/>
        </w:rPr>
      </w:pPr>
      <w:r w:rsidRPr="00A90F21">
        <w:rPr>
          <w:b/>
          <w:szCs w:val="22"/>
        </w:rPr>
        <w:t>4.1</w:t>
      </w:r>
      <w:r w:rsidRPr="00A90F21">
        <w:rPr>
          <w:b/>
          <w:szCs w:val="22"/>
        </w:rPr>
        <w:tab/>
        <w:t>Terapeutické indikácie</w:t>
      </w:r>
    </w:p>
    <w:p w:rsidR="00874099" w:rsidRPr="00A90F21" w:rsidRDefault="00874099">
      <w:pPr>
        <w:tabs>
          <w:tab w:val="left" w:pos="5400"/>
        </w:tabs>
        <w:jc w:val="both"/>
        <w:rPr>
          <w:szCs w:val="22"/>
        </w:rPr>
      </w:pPr>
    </w:p>
    <w:p w:rsidR="00874099" w:rsidRPr="00A90F21" w:rsidRDefault="00874099">
      <w:pPr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Cs w:val="22"/>
        </w:rPr>
      </w:pPr>
      <w:r w:rsidRPr="00A90F21">
        <w:rPr>
          <w:szCs w:val="22"/>
        </w:rPr>
        <w:t>Liečba esenciálnej hypertenzie</w:t>
      </w:r>
      <w:r w:rsidR="00DA25DD">
        <w:rPr>
          <w:szCs w:val="22"/>
        </w:rPr>
        <w:t xml:space="preserve"> </w:t>
      </w:r>
      <w:r w:rsidR="00DA25DD" w:rsidRPr="00036A92">
        <w:rPr>
          <w:szCs w:val="22"/>
        </w:rPr>
        <w:t>u dospelých a u detí a adolescentov vo veku 6-18</w:t>
      </w:r>
      <w:r w:rsidR="00E45835">
        <w:rPr>
          <w:szCs w:val="22"/>
        </w:rPr>
        <w:t> rokov</w:t>
      </w:r>
      <w:r w:rsidRPr="00A90F21">
        <w:rPr>
          <w:szCs w:val="22"/>
        </w:rPr>
        <w:t>.</w:t>
      </w:r>
    </w:p>
    <w:p w:rsidR="00874099" w:rsidRPr="00A90F21" w:rsidRDefault="00874099">
      <w:pPr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Cs w:val="22"/>
        </w:rPr>
      </w:pPr>
      <w:r w:rsidRPr="00A90F21">
        <w:rPr>
          <w:szCs w:val="22"/>
        </w:rPr>
        <w:t xml:space="preserve">Liečba renálneho ochorenia u </w:t>
      </w:r>
      <w:r w:rsidR="00DA25DD" w:rsidRPr="00036A92">
        <w:rPr>
          <w:bCs/>
          <w:szCs w:val="22"/>
        </w:rPr>
        <w:t xml:space="preserve">dospelých </w:t>
      </w:r>
      <w:r w:rsidRPr="00A90F21">
        <w:rPr>
          <w:szCs w:val="22"/>
        </w:rPr>
        <w:t>pacientov s hypertenziou a s diabet</w:t>
      </w:r>
      <w:r w:rsidR="00DA25DD">
        <w:rPr>
          <w:szCs w:val="22"/>
        </w:rPr>
        <w:t>om</w:t>
      </w:r>
      <w:r w:rsidRPr="00A90F21">
        <w:rPr>
          <w:szCs w:val="22"/>
        </w:rPr>
        <w:t xml:space="preserve"> mellitu 2. typu</w:t>
      </w:r>
      <w:r w:rsidR="00DA25DD">
        <w:rPr>
          <w:szCs w:val="22"/>
        </w:rPr>
        <w:t xml:space="preserve"> </w:t>
      </w:r>
    </w:p>
    <w:p w:rsidR="00874099" w:rsidRPr="00A90F21" w:rsidRDefault="00874099">
      <w:pPr>
        <w:tabs>
          <w:tab w:val="num" w:pos="540"/>
        </w:tabs>
        <w:autoSpaceDE w:val="0"/>
        <w:autoSpaceDN w:val="0"/>
        <w:adjustRightInd w:val="0"/>
        <w:ind w:left="540" w:hanging="540"/>
        <w:rPr>
          <w:szCs w:val="22"/>
        </w:rPr>
      </w:pPr>
      <w:r w:rsidRPr="00A90F21">
        <w:rPr>
          <w:szCs w:val="22"/>
        </w:rPr>
        <w:tab/>
        <w:t>s proteinúriou ≥0,5 g/deň ako súčasť antihypertenznej liečby.</w:t>
      </w:r>
    </w:p>
    <w:p w:rsidR="00874099" w:rsidRPr="00A90F21" w:rsidRDefault="00874099">
      <w:pPr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Cs w:val="22"/>
        </w:rPr>
      </w:pPr>
      <w:r w:rsidRPr="00A90F21">
        <w:rPr>
          <w:szCs w:val="22"/>
        </w:rPr>
        <w:t>Liečba chronického srdcového zlyhania (u pacientov vo veku ≥60 rokov), keď sa liečba ACE</w:t>
      </w:r>
    </w:p>
    <w:p w:rsidR="00874099" w:rsidRPr="00A90F21" w:rsidRDefault="00874099">
      <w:pPr>
        <w:tabs>
          <w:tab w:val="num" w:pos="540"/>
        </w:tabs>
        <w:autoSpaceDE w:val="0"/>
        <w:autoSpaceDN w:val="0"/>
        <w:adjustRightInd w:val="0"/>
        <w:ind w:left="540" w:hanging="540"/>
        <w:rPr>
          <w:szCs w:val="22"/>
        </w:rPr>
      </w:pPr>
      <w:r w:rsidRPr="00A90F21">
        <w:rPr>
          <w:szCs w:val="22"/>
        </w:rPr>
        <w:tab/>
        <w:t>inhibítormi nepovažuje za vhodnú z dôvodu neznášanlivosti, obzvlášť kašľa, alebo</w:t>
      </w:r>
    </w:p>
    <w:p w:rsidR="00874099" w:rsidRPr="00A90F21" w:rsidRDefault="00874099">
      <w:pPr>
        <w:tabs>
          <w:tab w:val="num" w:pos="540"/>
        </w:tabs>
        <w:autoSpaceDE w:val="0"/>
        <w:autoSpaceDN w:val="0"/>
        <w:adjustRightInd w:val="0"/>
        <w:ind w:left="540" w:hanging="540"/>
        <w:rPr>
          <w:szCs w:val="22"/>
        </w:rPr>
      </w:pPr>
      <w:r w:rsidRPr="00A90F21">
        <w:rPr>
          <w:szCs w:val="22"/>
        </w:rPr>
        <w:tab/>
        <w:t>kontraindikácie. U pacientov so srdcovým zlyhaním, ktorí sú stabilizovaní ACE inhibítorom, sa</w:t>
      </w:r>
    </w:p>
    <w:p w:rsidR="00874099" w:rsidRPr="00A90F21" w:rsidRDefault="00874099">
      <w:pPr>
        <w:tabs>
          <w:tab w:val="num" w:pos="540"/>
        </w:tabs>
        <w:autoSpaceDE w:val="0"/>
        <w:autoSpaceDN w:val="0"/>
        <w:adjustRightInd w:val="0"/>
        <w:ind w:left="540" w:hanging="540"/>
        <w:rPr>
          <w:szCs w:val="22"/>
        </w:rPr>
      </w:pPr>
      <w:r w:rsidRPr="00A90F21">
        <w:rPr>
          <w:szCs w:val="22"/>
        </w:rPr>
        <w:tab/>
        <w:t>nemá prechádzať na losartan. Pacienti majú mať ejekčnú frakciu ľavej komory ≤40 % a majú</w:t>
      </w:r>
    </w:p>
    <w:p w:rsidR="00874099" w:rsidRPr="00A90F21" w:rsidRDefault="00874099">
      <w:pPr>
        <w:tabs>
          <w:tab w:val="num" w:pos="540"/>
        </w:tabs>
        <w:autoSpaceDE w:val="0"/>
        <w:autoSpaceDN w:val="0"/>
        <w:adjustRightInd w:val="0"/>
        <w:ind w:left="540" w:hanging="540"/>
        <w:rPr>
          <w:szCs w:val="22"/>
        </w:rPr>
      </w:pPr>
      <w:r w:rsidRPr="00A90F21">
        <w:rPr>
          <w:szCs w:val="22"/>
        </w:rPr>
        <w:tab/>
        <w:t>byť stabilizovaní terapiou chronického srdcového zlyhania.</w:t>
      </w:r>
    </w:p>
    <w:p w:rsidR="00874099" w:rsidRPr="00A90F21" w:rsidRDefault="00874099">
      <w:pPr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Cs w:val="22"/>
        </w:rPr>
      </w:pPr>
      <w:r w:rsidRPr="00A90F21">
        <w:rPr>
          <w:szCs w:val="22"/>
        </w:rPr>
        <w:t xml:space="preserve">Zníženie rizika mozgovej príhody u </w:t>
      </w:r>
      <w:r w:rsidR="00DA25DD" w:rsidRPr="00036A92">
        <w:rPr>
          <w:bCs/>
          <w:szCs w:val="22"/>
        </w:rPr>
        <w:t xml:space="preserve">dospelých </w:t>
      </w:r>
      <w:r w:rsidRPr="00A90F21">
        <w:rPr>
          <w:szCs w:val="22"/>
        </w:rPr>
        <w:t>hypertenzných pacientov s hypertrofiou ľavej komory</w:t>
      </w:r>
    </w:p>
    <w:p w:rsidR="00874099" w:rsidRPr="00A90F21" w:rsidRDefault="00874099">
      <w:pPr>
        <w:tabs>
          <w:tab w:val="num" w:pos="540"/>
        </w:tabs>
        <w:autoSpaceDE w:val="0"/>
        <w:autoSpaceDN w:val="0"/>
        <w:adjustRightInd w:val="0"/>
        <w:ind w:left="540" w:hanging="540"/>
        <w:rPr>
          <w:szCs w:val="22"/>
        </w:rPr>
      </w:pPr>
      <w:r w:rsidRPr="00A90F21">
        <w:rPr>
          <w:szCs w:val="22"/>
        </w:rPr>
        <w:tab/>
        <w:t>dokumentovanou EKG (pozri časť 5.1 Štúdia LIFE, Rasa).</w:t>
      </w:r>
    </w:p>
    <w:p w:rsidR="00874099" w:rsidRPr="00A90F21" w:rsidRDefault="00874099">
      <w:pPr>
        <w:autoSpaceDE w:val="0"/>
        <w:autoSpaceDN w:val="0"/>
        <w:adjustRightInd w:val="0"/>
        <w:rPr>
          <w:b/>
          <w:bCs/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b/>
          <w:bCs/>
          <w:szCs w:val="22"/>
        </w:rPr>
      </w:pPr>
      <w:r w:rsidRPr="00A90F21">
        <w:rPr>
          <w:b/>
          <w:bCs/>
          <w:szCs w:val="22"/>
        </w:rPr>
        <w:t>4.2</w:t>
      </w:r>
      <w:r w:rsidRPr="00A90F21">
        <w:rPr>
          <w:b/>
          <w:bCs/>
          <w:szCs w:val="22"/>
        </w:rPr>
        <w:tab/>
        <w:t>Dávkovanie a spôsob podávania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Default="006B24AE">
      <w:pPr>
        <w:autoSpaceDE w:val="0"/>
        <w:autoSpaceDN w:val="0"/>
        <w:adjustRightInd w:val="0"/>
        <w:rPr>
          <w:szCs w:val="22"/>
          <w:u w:val="single"/>
        </w:rPr>
      </w:pPr>
      <w:r>
        <w:rPr>
          <w:szCs w:val="22"/>
          <w:u w:val="single"/>
        </w:rPr>
        <w:t>Dávkovanie</w:t>
      </w:r>
    </w:p>
    <w:p w:rsidR="006B24AE" w:rsidRPr="00B77609" w:rsidRDefault="006B24AE">
      <w:pPr>
        <w:autoSpaceDE w:val="0"/>
        <w:autoSpaceDN w:val="0"/>
        <w:adjustRightInd w:val="0"/>
        <w:rPr>
          <w:szCs w:val="22"/>
          <w:u w:val="single"/>
        </w:rPr>
      </w:pPr>
    </w:p>
    <w:p w:rsidR="00874099" w:rsidRPr="00B77609" w:rsidRDefault="00874099">
      <w:pPr>
        <w:pStyle w:val="Nadpis8"/>
        <w:widowControl/>
        <w:rPr>
          <w:bCs w:val="0"/>
          <w:i/>
          <w:u w:val="none"/>
        </w:rPr>
      </w:pPr>
      <w:r w:rsidRPr="00B77609">
        <w:rPr>
          <w:bCs w:val="0"/>
          <w:i/>
          <w:u w:val="none"/>
        </w:rPr>
        <w:t>Hypertenzia</w:t>
      </w:r>
    </w:p>
    <w:p w:rsidR="00874099" w:rsidRPr="00A90F21" w:rsidRDefault="00874099" w:rsidP="000A13EE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Zvyčajná začiatočná a udržiavacia dávka je pre väčšinu pacientov 50 mg jedenkrát denne. Maximálny</w:t>
      </w:r>
      <w:r w:rsidR="00DE5687">
        <w:rPr>
          <w:szCs w:val="22"/>
        </w:rPr>
        <w:t xml:space="preserve"> </w:t>
      </w:r>
      <w:r w:rsidRPr="00A90F21">
        <w:rPr>
          <w:szCs w:val="22"/>
        </w:rPr>
        <w:t>antihypertenzný účinok sa dosiahne 3-6 týždňov od začiatku liečby. U niektorých pacientov môže</w:t>
      </w:r>
      <w:r w:rsidR="00DE5687">
        <w:rPr>
          <w:szCs w:val="22"/>
        </w:rPr>
        <w:t xml:space="preserve"> </w:t>
      </w:r>
      <w:r w:rsidRPr="00A90F21">
        <w:rPr>
          <w:szCs w:val="22"/>
        </w:rPr>
        <w:t>byť dodatočne prospešné zvýšenie dávky na 100 mg jedenkrát denne (ráno).</w:t>
      </w:r>
    </w:p>
    <w:p w:rsidR="00874099" w:rsidRPr="00A90F21" w:rsidRDefault="00874099">
      <w:pPr>
        <w:pStyle w:val="Zkladntext"/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Losartan STADA sa môže podávať s inými antihypertenzívami</w:t>
      </w:r>
      <w:r w:rsidR="00BC2799">
        <w:rPr>
          <w:szCs w:val="22"/>
        </w:rPr>
        <w:t xml:space="preserve"> </w:t>
      </w:r>
      <w:r w:rsidR="00BC2799" w:rsidRPr="00A90F21">
        <w:rPr>
          <w:szCs w:val="22"/>
        </w:rPr>
        <w:t>(</w:t>
      </w:r>
      <w:r w:rsidR="00BC2799">
        <w:rPr>
          <w:szCs w:val="22"/>
        </w:rPr>
        <w:t>pozri časti 4.3, 4.4, 4.5 a 5.1)</w:t>
      </w:r>
      <w:r w:rsidRPr="00A90F21">
        <w:rPr>
          <w:szCs w:val="22"/>
        </w:rPr>
        <w:t>, najmä diuretikami (napr. hydrochlorotiazidom).</w:t>
      </w:r>
    </w:p>
    <w:p w:rsidR="00874099" w:rsidRPr="00A90F21" w:rsidRDefault="0087409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BC2799" w:rsidRPr="00B77609" w:rsidRDefault="00BC2799">
      <w:pPr>
        <w:pStyle w:val="Nadpis8"/>
        <w:widowControl/>
        <w:rPr>
          <w:bCs w:val="0"/>
          <w:i/>
          <w:u w:val="none"/>
        </w:rPr>
      </w:pPr>
      <w:r>
        <w:rPr>
          <w:bCs w:val="0"/>
          <w:i/>
          <w:u w:val="none"/>
        </w:rPr>
        <w:lastRenderedPageBreak/>
        <w:t>Pediatrická populácia</w:t>
      </w:r>
    </w:p>
    <w:p w:rsidR="00BC2799" w:rsidRDefault="00BC2799">
      <w:pPr>
        <w:pStyle w:val="Nadpis8"/>
        <w:widowControl/>
        <w:rPr>
          <w:bCs w:val="0"/>
          <w:u w:val="none"/>
        </w:rPr>
      </w:pPr>
    </w:p>
    <w:p w:rsidR="00874099" w:rsidRPr="00B77609" w:rsidRDefault="00874099">
      <w:pPr>
        <w:pStyle w:val="Nadpis8"/>
        <w:widowControl/>
        <w:rPr>
          <w:bCs w:val="0"/>
          <w:u w:val="none"/>
        </w:rPr>
      </w:pPr>
      <w:r w:rsidRPr="00B77609">
        <w:rPr>
          <w:bCs w:val="0"/>
          <w:u w:val="none"/>
        </w:rPr>
        <w:t>Pediatrická hypertenzia</w:t>
      </w:r>
    </w:p>
    <w:p w:rsidR="00874099" w:rsidRPr="00A90F21" w:rsidRDefault="00874099" w:rsidP="000A13EE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U detí a adolescentov vo veku 6-16 rokov sú k dispozícii obmedzené údaje o účinnosti a bezpečnosti</w:t>
      </w:r>
      <w:r w:rsidR="00DE5687">
        <w:rPr>
          <w:szCs w:val="22"/>
        </w:rPr>
        <w:t xml:space="preserve"> </w:t>
      </w:r>
      <w:r w:rsidRPr="00A90F21">
        <w:rPr>
          <w:szCs w:val="22"/>
        </w:rPr>
        <w:t>losartanu pri liečbe hypertenzie (pozri časť 5.1). U hypertenzných detí starších ako jeden mesiac sú</w:t>
      </w:r>
      <w:r w:rsidR="00DE5687">
        <w:rPr>
          <w:szCs w:val="22"/>
        </w:rPr>
        <w:t xml:space="preserve"> </w:t>
      </w:r>
      <w:r w:rsidRPr="00A90F21">
        <w:rPr>
          <w:szCs w:val="22"/>
        </w:rPr>
        <w:t>dostupné obmedzené farmakokinetické údaje (pozri časť 5.2).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Odporúčaná dávka u pacientov s hmotnosťou &gt;20 až &lt;50 kg, ktorí dokážu prehltnúť tablety, je 25 mg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raz denne. Vo výnimočných prípadoch je možné dávku zvýšiť na maximálne 50 mg raz denne.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Dávkovanie sa má upraviť podľa odpovede krvného tlaku.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U pacientov s hmotnosťou &gt;50 kg je zvyčajná dávka 50 mg raz denne. Vo výnimočných prípadoch je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možné dávku upraviť na maximálne 100 mg raz denne. Dávky vyššie ako 1,4 mg/kg (alebo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prekračujúce 100 mg) denne sa u pediatrických pacientov neskúmali.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Losartan sa neodporúča na použitie u detí mladších ako 6 rokov, keďže u týchto skupín pacientov sú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k</w:t>
      </w:r>
      <w:r w:rsidR="00DE5687">
        <w:rPr>
          <w:szCs w:val="22"/>
        </w:rPr>
        <w:t> </w:t>
      </w:r>
      <w:r w:rsidRPr="00A90F21">
        <w:rPr>
          <w:szCs w:val="22"/>
        </w:rPr>
        <w:t>dispozícii obmedzené údaje.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Losartan sa neodporúča u detí s rýchlosťou glomerulárnej filtrácie &lt;30 ml/min/1,73 m</w:t>
      </w:r>
      <w:r w:rsidRPr="00A90F21">
        <w:rPr>
          <w:szCs w:val="22"/>
          <w:vertAlign w:val="superscript"/>
        </w:rPr>
        <w:t>2</w:t>
      </w:r>
      <w:r w:rsidRPr="00A90F21">
        <w:rPr>
          <w:szCs w:val="22"/>
        </w:rPr>
        <w:t>, keďže nie sú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k</w:t>
      </w:r>
      <w:r w:rsidR="00DE5687">
        <w:rPr>
          <w:szCs w:val="22"/>
        </w:rPr>
        <w:t> </w:t>
      </w:r>
      <w:r w:rsidRPr="00A90F21">
        <w:rPr>
          <w:szCs w:val="22"/>
        </w:rPr>
        <w:t>dispozícii žiadne údaje (pozri tiež časť 4.4).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Losartan sa neodporúča ani u detí s hepatálnym poškodením (pozri tiež časť 4.4).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pStyle w:val="Nadpis8"/>
        <w:widowControl/>
        <w:rPr>
          <w:bCs w:val="0"/>
        </w:rPr>
      </w:pPr>
      <w:r w:rsidRPr="00A90F21">
        <w:rPr>
          <w:bCs w:val="0"/>
        </w:rPr>
        <w:t>Hypertenzní pacienti s diabetom mellitu 2. typu s proteinúriou ≥0,5 g/deň</w:t>
      </w:r>
    </w:p>
    <w:p w:rsidR="00874099" w:rsidRPr="00A90F21" w:rsidRDefault="00874099" w:rsidP="00B77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Zvyčajná začiatočná dávka je 50 mg jedenkrát denne. Na základe odpovede krvného tlaku po jednom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mesiaci od začiatku terapie je možné zvýšiť dávku na 100 mg jedenkrát denne. Losartan STADA sa môže podávať s inými antihypertenzívami (napr. diuretikami, blokátormi kalciového kanála, alfa- alebo betablokátormi a centrálne pôsobiacimi látkami), ako aj s inzulínom a inými bežne používanými hypoglykemizujúcimi látkami (napr. sulfonylureami, glitazónmi a inhibítormi glukozidázy).</w:t>
      </w:r>
    </w:p>
    <w:p w:rsidR="00874099" w:rsidRPr="00A90F21" w:rsidRDefault="0087409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>
      <w:pPr>
        <w:pStyle w:val="Nadpis8"/>
        <w:widowControl/>
        <w:rPr>
          <w:bCs w:val="0"/>
        </w:rPr>
      </w:pPr>
      <w:r w:rsidRPr="00A90F21">
        <w:rPr>
          <w:bCs w:val="0"/>
        </w:rPr>
        <w:t>Srdcové zlyhanie</w:t>
      </w:r>
    </w:p>
    <w:p w:rsidR="00874099" w:rsidRPr="00A90F21" w:rsidRDefault="00874099" w:rsidP="00B77609">
      <w:pPr>
        <w:pStyle w:val="Zkladntext"/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Zvyčajná začiatočná dávka lieku Losartan STADA u pacientov so srdcovým zlyhaním je 12,5 mg jedenkrát denne. Dávka sa má spravidla titrovať v týždňových intervaloch (t.j. 12,5 mg denne, 25 mg denne, 50 mg denne) na zvyčajnú udržiavaciu dávku 50 mg jedenkrát denne podľa tolerancie dávky</w:t>
      </w:r>
      <w:r w:rsidR="0093201F">
        <w:rPr>
          <w:szCs w:val="22"/>
        </w:rPr>
        <w:t xml:space="preserve"> </w:t>
      </w:r>
      <w:r w:rsidRPr="00A90F21">
        <w:rPr>
          <w:szCs w:val="22"/>
        </w:rPr>
        <w:t xml:space="preserve">pacientom. 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szCs w:val="22"/>
          <w:u w:val="single"/>
        </w:rPr>
      </w:pPr>
      <w:r w:rsidRPr="00A90F21">
        <w:rPr>
          <w:szCs w:val="22"/>
          <w:u w:val="single"/>
        </w:rPr>
        <w:t>Zníženie rizika mozgovej príhody u hypertenzných pacientov s hypertrofiou ľavej komory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  <w:u w:val="single"/>
        </w:rPr>
        <w:t>dokumentovanou EKG</w:t>
      </w:r>
    </w:p>
    <w:p w:rsidR="00874099" w:rsidRPr="00A90F21" w:rsidRDefault="00874099">
      <w:pPr>
        <w:pStyle w:val="Zkladntext"/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Zvyčajná začiatočná dávka je 50 mg lieku Losartan STADA jedenkrát denne. Na základe odpovede krvného tlaku sa má pridať nízka dávka hydrochlorotiazidu a/alebo sa má dávka lieku Losartan STADA zvýšiť na 100 mg jedenkrát denne.</w:t>
      </w:r>
    </w:p>
    <w:p w:rsidR="00874099" w:rsidRPr="00A90F21" w:rsidRDefault="0087409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>
      <w:pPr>
        <w:pStyle w:val="Nadpis8"/>
        <w:widowControl/>
        <w:rPr>
          <w:bCs w:val="0"/>
        </w:rPr>
      </w:pPr>
      <w:r w:rsidRPr="00A90F21">
        <w:rPr>
          <w:bCs w:val="0"/>
        </w:rPr>
        <w:t>Použitie u pacientov s depléciou intravaskulárneho objemu</w:t>
      </w:r>
    </w:p>
    <w:p w:rsidR="00874099" w:rsidRPr="00A90F21" w:rsidRDefault="00874099" w:rsidP="00B77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U pacientov s depléciou intravaskulárneho objemu (napr. u tých, ktorí sú liečení vysokými dávkami</w:t>
      </w:r>
      <w:r w:rsidR="0093201F">
        <w:rPr>
          <w:szCs w:val="22"/>
        </w:rPr>
        <w:t xml:space="preserve"> </w:t>
      </w:r>
      <w:r w:rsidRPr="00A90F21">
        <w:rPr>
          <w:szCs w:val="22"/>
        </w:rPr>
        <w:t>diuretík) sa má zvážiť začiatočná dávka 25 mg jedenkrát denne (pozri časť 4.4).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pStyle w:val="Nadpis8"/>
        <w:widowControl/>
        <w:rPr>
          <w:bCs w:val="0"/>
        </w:rPr>
      </w:pPr>
      <w:r w:rsidRPr="00A90F21">
        <w:rPr>
          <w:bCs w:val="0"/>
        </w:rPr>
        <w:t xml:space="preserve">Použitie u pacientov s </w:t>
      </w:r>
      <w:r w:rsidR="002A2FA4">
        <w:rPr>
          <w:bCs w:val="0"/>
        </w:rPr>
        <w:t>poruchou funkcie obličiek</w:t>
      </w:r>
      <w:r w:rsidRPr="00A90F21">
        <w:rPr>
          <w:bCs w:val="0"/>
        </w:rPr>
        <w:t xml:space="preserve"> a u hemodialyzovaných pacientov</w:t>
      </w:r>
    </w:p>
    <w:p w:rsidR="00874099" w:rsidRPr="00A90F21" w:rsidRDefault="00874099" w:rsidP="00B77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 xml:space="preserve">U pacientov s </w:t>
      </w:r>
      <w:r w:rsidR="0093201F">
        <w:rPr>
          <w:bCs/>
        </w:rPr>
        <w:t xml:space="preserve">poruchou funkcie obličiek </w:t>
      </w:r>
      <w:r w:rsidRPr="00A90F21">
        <w:rPr>
          <w:szCs w:val="22"/>
        </w:rPr>
        <w:t>a u hemodialyzovaných pacientov nie je potrebná úprava</w:t>
      </w:r>
      <w:r w:rsidR="0093201F">
        <w:rPr>
          <w:szCs w:val="22"/>
        </w:rPr>
        <w:t xml:space="preserve"> </w:t>
      </w:r>
      <w:r w:rsidRPr="00A90F21">
        <w:rPr>
          <w:szCs w:val="22"/>
        </w:rPr>
        <w:t>začiatočného dávkovania.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pStyle w:val="Nadpis8"/>
        <w:widowControl/>
        <w:rPr>
          <w:bCs w:val="0"/>
        </w:rPr>
      </w:pPr>
      <w:r w:rsidRPr="00A90F21">
        <w:rPr>
          <w:bCs w:val="0"/>
        </w:rPr>
        <w:t xml:space="preserve">Použitie u pacientov s </w:t>
      </w:r>
      <w:r w:rsidR="002A2FA4">
        <w:rPr>
          <w:bCs w:val="0"/>
        </w:rPr>
        <w:t>poruchou funkcie pečene</w:t>
      </w:r>
    </w:p>
    <w:p w:rsidR="00874099" w:rsidRPr="00A90F21" w:rsidRDefault="00874099" w:rsidP="002A2FA4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 xml:space="preserve">U pacientov s </w:t>
      </w:r>
      <w:r w:rsidR="002A2FA4">
        <w:rPr>
          <w:bCs/>
        </w:rPr>
        <w:t>poruchou funkcie pečene</w:t>
      </w:r>
      <w:r w:rsidR="002A2FA4" w:rsidRPr="00A90F21" w:rsidDel="002A2FA4">
        <w:rPr>
          <w:szCs w:val="22"/>
        </w:rPr>
        <w:t xml:space="preserve"> </w:t>
      </w:r>
      <w:r w:rsidRPr="00A90F21">
        <w:rPr>
          <w:szCs w:val="22"/>
        </w:rPr>
        <w:t>v anamnéze sa má zvážiť nižšia dávka. U pacientov s</w:t>
      </w:r>
      <w:r w:rsidR="002A2FA4">
        <w:rPr>
          <w:szCs w:val="22"/>
        </w:rPr>
        <w:t> </w:t>
      </w:r>
      <w:r w:rsidRPr="00A90F21">
        <w:rPr>
          <w:szCs w:val="22"/>
        </w:rPr>
        <w:t>ťažk</w:t>
      </w:r>
      <w:r w:rsidR="002A2FA4">
        <w:rPr>
          <w:szCs w:val="22"/>
        </w:rPr>
        <w:t xml:space="preserve">ou </w:t>
      </w:r>
      <w:r w:rsidR="002A2FA4">
        <w:rPr>
          <w:bCs/>
        </w:rPr>
        <w:t>poruchou funkcie pečene</w:t>
      </w:r>
      <w:r w:rsidR="002A2FA4" w:rsidRPr="00A90F21" w:rsidDel="002A2FA4">
        <w:rPr>
          <w:szCs w:val="22"/>
        </w:rPr>
        <w:t xml:space="preserve"> </w:t>
      </w:r>
      <w:r w:rsidRPr="00A90F21">
        <w:rPr>
          <w:szCs w:val="22"/>
        </w:rPr>
        <w:t>nie je skúsenosť s liečbou. Preto je losartan u pacientov s</w:t>
      </w:r>
      <w:r w:rsidR="002A2FA4">
        <w:rPr>
          <w:szCs w:val="22"/>
        </w:rPr>
        <w:t> </w:t>
      </w:r>
      <w:r w:rsidRPr="00A90F21">
        <w:rPr>
          <w:szCs w:val="22"/>
        </w:rPr>
        <w:t>ťažk</w:t>
      </w:r>
      <w:r w:rsidR="002A2FA4">
        <w:rPr>
          <w:szCs w:val="22"/>
        </w:rPr>
        <w:t xml:space="preserve">ou </w:t>
      </w:r>
      <w:r w:rsidR="002A2FA4">
        <w:rPr>
          <w:bCs/>
        </w:rPr>
        <w:t>poruchou funkcie pečene</w:t>
      </w:r>
      <w:r w:rsidR="002A2FA4" w:rsidRPr="00A90F21" w:rsidDel="002A2FA4">
        <w:rPr>
          <w:szCs w:val="22"/>
        </w:rPr>
        <w:t xml:space="preserve"> </w:t>
      </w:r>
      <w:r w:rsidRPr="00A90F21">
        <w:rPr>
          <w:szCs w:val="22"/>
        </w:rPr>
        <w:t>kontraindikovaný (pozri časti 4.3 a 4.4).</w:t>
      </w:r>
    </w:p>
    <w:p w:rsidR="00874099" w:rsidRPr="00A90F21" w:rsidRDefault="0087409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2A2FA4" w:rsidRPr="00A90F21" w:rsidRDefault="00BC2799">
      <w:pPr>
        <w:pStyle w:val="Nadpis8"/>
        <w:widowControl/>
        <w:rPr>
          <w:bCs w:val="0"/>
        </w:rPr>
      </w:pPr>
      <w:r>
        <w:rPr>
          <w:bCs w:val="0"/>
        </w:rPr>
        <w:lastRenderedPageBreak/>
        <w:t>Starší ľudia</w:t>
      </w:r>
      <w:r w:rsidR="00B27D9B">
        <w:rPr>
          <w:bCs w:val="0"/>
        </w:rPr>
        <w:t xml:space="preserve"> </w:t>
      </w:r>
    </w:p>
    <w:p w:rsidR="00874099" w:rsidRDefault="00874099" w:rsidP="00B77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Hoci sa má u pacientov vo veku nad 75 rokov zvážiť začatie liečby s 25 mg, u starších pacientov</w:t>
      </w:r>
      <w:r w:rsidR="002A2FA4">
        <w:rPr>
          <w:szCs w:val="22"/>
        </w:rPr>
        <w:t xml:space="preserve"> </w:t>
      </w:r>
      <w:r w:rsidRPr="00A90F21">
        <w:rPr>
          <w:szCs w:val="22"/>
        </w:rPr>
        <w:t>zvyčajne nie je potrebná úprava dávkovania.</w:t>
      </w:r>
    </w:p>
    <w:p w:rsidR="00BC2799" w:rsidRDefault="00BC2799">
      <w:pPr>
        <w:autoSpaceDE w:val="0"/>
        <w:autoSpaceDN w:val="0"/>
        <w:adjustRightInd w:val="0"/>
        <w:rPr>
          <w:szCs w:val="22"/>
        </w:rPr>
      </w:pPr>
    </w:p>
    <w:p w:rsidR="00BC2799" w:rsidRDefault="00BC2799">
      <w:pPr>
        <w:autoSpaceDE w:val="0"/>
        <w:autoSpaceDN w:val="0"/>
        <w:adjustRightInd w:val="0"/>
        <w:rPr>
          <w:szCs w:val="22"/>
          <w:u w:val="single"/>
        </w:rPr>
      </w:pPr>
      <w:r>
        <w:rPr>
          <w:szCs w:val="22"/>
          <w:u w:val="single"/>
        </w:rPr>
        <w:t>Spôsob podávania</w:t>
      </w:r>
    </w:p>
    <w:p w:rsidR="00BC2799" w:rsidRPr="00C4005D" w:rsidRDefault="00BC2799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Na perorálne použitie.</w:t>
      </w:r>
    </w:p>
    <w:p w:rsidR="006B24AE" w:rsidRPr="00A90F21" w:rsidRDefault="006B24AE" w:rsidP="006B24AE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Tablety s losartanom sa majú prehltnúť a zapiť pohárom vody.</w:t>
      </w:r>
    </w:p>
    <w:p w:rsidR="006B24AE" w:rsidRPr="00A90F21" w:rsidRDefault="006B24AE" w:rsidP="006B24AE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Losartan STADA sa môže podávať s jedlom alebo bez jedla.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b/>
          <w:bCs/>
          <w:szCs w:val="22"/>
        </w:rPr>
      </w:pPr>
      <w:r w:rsidRPr="00A90F21">
        <w:rPr>
          <w:b/>
          <w:bCs/>
          <w:szCs w:val="22"/>
        </w:rPr>
        <w:t>4.3</w:t>
      </w:r>
      <w:r w:rsidRPr="00A90F21">
        <w:rPr>
          <w:b/>
          <w:bCs/>
          <w:szCs w:val="22"/>
        </w:rPr>
        <w:tab/>
        <w:t>Kontraindikácie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93201F" w:rsidP="00B77609">
      <w:pPr>
        <w:autoSpaceDE w:val="0"/>
        <w:autoSpaceDN w:val="0"/>
        <w:adjustRightInd w:val="0"/>
        <w:ind w:left="284" w:hanging="284"/>
        <w:rPr>
          <w:szCs w:val="22"/>
        </w:rPr>
      </w:pPr>
      <w:r>
        <w:rPr>
          <w:szCs w:val="22"/>
        </w:rPr>
        <w:t>•</w:t>
      </w:r>
      <w:r>
        <w:rPr>
          <w:szCs w:val="22"/>
        </w:rPr>
        <w:tab/>
      </w:r>
      <w:r w:rsidR="00874099" w:rsidRPr="00A90F21">
        <w:rPr>
          <w:szCs w:val="22"/>
        </w:rPr>
        <w:t xml:space="preserve">Precitlivenosť na liečivo alebo na ktorúkoľvek z pomocných látok </w:t>
      </w:r>
      <w:r w:rsidR="00BC2799">
        <w:rPr>
          <w:szCs w:val="22"/>
        </w:rPr>
        <w:t xml:space="preserve"> uvedených v</w:t>
      </w:r>
      <w:r w:rsidR="00EB5E1B">
        <w:rPr>
          <w:szCs w:val="22"/>
        </w:rPr>
        <w:t> </w:t>
      </w:r>
      <w:r w:rsidR="00BC2799">
        <w:rPr>
          <w:szCs w:val="22"/>
        </w:rPr>
        <w:t>časti</w:t>
      </w:r>
      <w:r w:rsidR="00EB5E1B">
        <w:rPr>
          <w:szCs w:val="22"/>
        </w:rPr>
        <w:t>ach 4.4 a</w:t>
      </w:r>
      <w:r w:rsidR="00BC2799">
        <w:rPr>
          <w:szCs w:val="22"/>
        </w:rPr>
        <w:t xml:space="preserve"> 6.1</w:t>
      </w:r>
      <w:r w:rsidR="00874099" w:rsidRPr="00A90F21">
        <w:rPr>
          <w:szCs w:val="22"/>
        </w:rPr>
        <w:t>.</w:t>
      </w:r>
    </w:p>
    <w:p w:rsidR="00874099" w:rsidRPr="00A90F21" w:rsidRDefault="0093201F" w:rsidP="0093201F">
      <w:pPr>
        <w:autoSpaceDE w:val="0"/>
        <w:autoSpaceDN w:val="0"/>
        <w:adjustRightInd w:val="0"/>
        <w:ind w:left="284" w:hanging="284"/>
        <w:rPr>
          <w:szCs w:val="22"/>
        </w:rPr>
      </w:pPr>
      <w:r>
        <w:rPr>
          <w:szCs w:val="22"/>
        </w:rPr>
        <w:t>•</w:t>
      </w:r>
      <w:r>
        <w:rPr>
          <w:szCs w:val="22"/>
        </w:rPr>
        <w:tab/>
      </w:r>
      <w:r w:rsidR="00874099" w:rsidRPr="00A90F21">
        <w:rPr>
          <w:szCs w:val="22"/>
        </w:rPr>
        <w:t>2. a 3. trimester gravidity (pozri časti 4.4 a 4.6).</w:t>
      </w:r>
    </w:p>
    <w:p w:rsidR="00874099" w:rsidRDefault="0093201F" w:rsidP="0093201F">
      <w:pPr>
        <w:autoSpaceDE w:val="0"/>
        <w:autoSpaceDN w:val="0"/>
        <w:adjustRightInd w:val="0"/>
        <w:ind w:left="284" w:hanging="284"/>
        <w:rPr>
          <w:szCs w:val="22"/>
        </w:rPr>
      </w:pPr>
      <w:r>
        <w:rPr>
          <w:szCs w:val="22"/>
        </w:rPr>
        <w:t>•</w:t>
      </w:r>
      <w:r>
        <w:rPr>
          <w:szCs w:val="22"/>
        </w:rPr>
        <w:tab/>
      </w:r>
      <w:r w:rsidR="00874099" w:rsidRPr="00A90F21">
        <w:rPr>
          <w:szCs w:val="22"/>
        </w:rPr>
        <w:t>Ťažk</w:t>
      </w:r>
      <w:r>
        <w:rPr>
          <w:szCs w:val="22"/>
        </w:rPr>
        <w:t>á</w:t>
      </w:r>
      <w:r w:rsidR="00874099" w:rsidRPr="00A90F21">
        <w:rPr>
          <w:szCs w:val="22"/>
        </w:rPr>
        <w:t xml:space="preserve"> </w:t>
      </w:r>
      <w:r>
        <w:rPr>
          <w:bCs/>
        </w:rPr>
        <w:t>porucha funkcie pečene</w:t>
      </w:r>
      <w:r w:rsidR="00874099" w:rsidRPr="00A90F21">
        <w:rPr>
          <w:szCs w:val="22"/>
        </w:rPr>
        <w:t>.</w:t>
      </w:r>
    </w:p>
    <w:p w:rsidR="00BC2799" w:rsidRPr="00C4005D" w:rsidRDefault="0093201F" w:rsidP="006C07CA">
      <w:pPr>
        <w:tabs>
          <w:tab w:val="left" w:pos="0"/>
        </w:tabs>
        <w:ind w:left="284" w:hanging="284"/>
        <w:rPr>
          <w:bCs/>
          <w:szCs w:val="22"/>
        </w:rPr>
      </w:pPr>
      <w:r>
        <w:rPr>
          <w:szCs w:val="22"/>
        </w:rPr>
        <w:t>•</w:t>
      </w:r>
      <w:r>
        <w:rPr>
          <w:szCs w:val="22"/>
        </w:rPr>
        <w:tab/>
      </w:r>
      <w:r w:rsidR="00BC2799" w:rsidRPr="00C4005D">
        <w:rPr>
          <w:iCs/>
          <w:szCs w:val="22"/>
        </w:rPr>
        <w:t>Súbežné používanie Losartanu STADA s liekmi obsahujúcimi aliskiren je kontraindikované u</w:t>
      </w:r>
      <w:r w:rsidR="00DE5687">
        <w:rPr>
          <w:iCs/>
          <w:szCs w:val="22"/>
        </w:rPr>
        <w:t> </w:t>
      </w:r>
      <w:r w:rsidR="00BC2799" w:rsidRPr="00C4005D">
        <w:rPr>
          <w:iCs/>
          <w:szCs w:val="22"/>
        </w:rPr>
        <w:t>pacientov s diabetom mellitus alebo poruchou funkcie obličiek (GFR &lt; 60 ml/min/1,73 m</w:t>
      </w:r>
      <w:r w:rsidR="00BC2799" w:rsidRPr="00C4005D">
        <w:rPr>
          <w:iCs/>
          <w:position w:val="8"/>
          <w:szCs w:val="22"/>
          <w:vertAlign w:val="superscript"/>
        </w:rPr>
        <w:t>2</w:t>
      </w:r>
      <w:r w:rsidR="00BC2799" w:rsidRPr="00C4005D">
        <w:rPr>
          <w:iCs/>
          <w:szCs w:val="22"/>
        </w:rPr>
        <w:t>) (pozri časti 4.5 a 5.1)</w:t>
      </w:r>
      <w:r w:rsidR="00BC2799" w:rsidRPr="00B77609">
        <w:rPr>
          <w:i/>
          <w:iCs/>
          <w:szCs w:val="22"/>
        </w:rPr>
        <w:t>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b/>
          <w:bCs/>
          <w:szCs w:val="22"/>
        </w:rPr>
      </w:pPr>
      <w:r w:rsidRPr="00A90F21">
        <w:rPr>
          <w:b/>
          <w:bCs/>
          <w:szCs w:val="22"/>
        </w:rPr>
        <w:t>4.4</w:t>
      </w:r>
      <w:r w:rsidRPr="00A90F21">
        <w:rPr>
          <w:b/>
          <w:bCs/>
          <w:szCs w:val="22"/>
        </w:rPr>
        <w:tab/>
        <w:t>Osobitné upozornenia a opatrenia pri používaní</w:t>
      </w:r>
    </w:p>
    <w:p w:rsidR="00874099" w:rsidRDefault="00874099">
      <w:pPr>
        <w:autoSpaceDE w:val="0"/>
        <w:autoSpaceDN w:val="0"/>
        <w:adjustRightInd w:val="0"/>
        <w:rPr>
          <w:szCs w:val="22"/>
        </w:rPr>
      </w:pPr>
    </w:p>
    <w:p w:rsidR="00BC2799" w:rsidRPr="00B77609" w:rsidRDefault="00BC2799" w:rsidP="00BC2799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B77609">
        <w:rPr>
          <w:rFonts w:ascii="Times New Roman" w:hAnsi="Times New Roman" w:cs="Times New Roman"/>
          <w:iCs/>
          <w:sz w:val="22"/>
          <w:szCs w:val="22"/>
          <w:u w:val="single"/>
        </w:rPr>
        <w:t xml:space="preserve">Duálna inhibícia systému renín-angiotenzín-aldosterón (RAAS) </w:t>
      </w:r>
    </w:p>
    <w:p w:rsidR="00BC2799" w:rsidRPr="00771B50" w:rsidRDefault="00BC2799" w:rsidP="00BC279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71B50">
        <w:rPr>
          <w:rFonts w:ascii="Times New Roman" w:hAnsi="Times New Roman" w:cs="Times New Roman"/>
          <w:iCs/>
          <w:sz w:val="22"/>
          <w:szCs w:val="22"/>
        </w:rPr>
        <w:t xml:space="preserve">Preukázalo sa, že súbežné použitie inhibítorov ACE, blokátorov receptorov angiotenzínu II alebo aliskirenu zvyšuje riziko hypotenzie, hyperkaliémie a zníženia funkcie obličiek (vrátane akútneho zlyhania obličiek). Duálna inhibícia RAAS kombinovaným použitím inhibítorov ACE, blokátorov receptorov angiotenzínu II alebo aliskirenu sa preto neodporúča (pozri časti 4.5 a 5.1). </w:t>
      </w:r>
    </w:p>
    <w:p w:rsidR="00BC2799" w:rsidRPr="00771B50" w:rsidRDefault="00BC2799" w:rsidP="00BC279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71B50">
        <w:rPr>
          <w:rFonts w:ascii="Times New Roman" w:hAnsi="Times New Roman" w:cs="Times New Roman"/>
          <w:iCs/>
          <w:sz w:val="22"/>
          <w:szCs w:val="22"/>
        </w:rPr>
        <w:t xml:space="preserve">Ak sa liečba duálnou inhibíciou považuje za absolútne nevyhnutnú, má sa podať iba pod dohľadom odborníka a u pacienta sa majú často a dôsledne kontrolovať funkcia obličiek, elektrolyty a krvný tlak. </w:t>
      </w:r>
    </w:p>
    <w:p w:rsidR="00BC2799" w:rsidRPr="00771B50" w:rsidRDefault="00BC2799" w:rsidP="00BC2799">
      <w:pPr>
        <w:pStyle w:val="Zkladntext2"/>
        <w:rPr>
          <w:rFonts w:cs="Times New Roman"/>
          <w:szCs w:val="22"/>
        </w:rPr>
      </w:pPr>
      <w:r w:rsidRPr="00771B50">
        <w:rPr>
          <w:rFonts w:cs="Times New Roman"/>
          <w:iCs/>
          <w:szCs w:val="22"/>
        </w:rPr>
        <w:t>Inhibítory ACE a blokátory receptorov angiotenzínu II sa nemajú súbežne používať u pacientov s diabetickou nefropatiou.</w:t>
      </w:r>
    </w:p>
    <w:p w:rsidR="00BC2799" w:rsidRPr="00A90F21" w:rsidRDefault="00BC27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pStyle w:val="Nadpis8"/>
        <w:widowControl/>
        <w:rPr>
          <w:bCs w:val="0"/>
        </w:rPr>
      </w:pPr>
      <w:r w:rsidRPr="00A90F21">
        <w:rPr>
          <w:bCs w:val="0"/>
        </w:rPr>
        <w:t>Precitlivenosť</w:t>
      </w:r>
    </w:p>
    <w:p w:rsidR="00874099" w:rsidRPr="00A90F21" w:rsidRDefault="00874099" w:rsidP="00B77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i/>
          <w:iCs/>
          <w:szCs w:val="22"/>
        </w:rPr>
        <w:t xml:space="preserve">Angioedém. </w:t>
      </w:r>
      <w:r w:rsidRPr="00A90F21">
        <w:rPr>
          <w:szCs w:val="22"/>
        </w:rPr>
        <w:t>Pacienti s angioedémom (opuch tváre, pier, hrdla a/alebo jazyka) v anamnéze sa majú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starostlivo sledovať (pozri časť 4.8).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  <w:u w:val="single"/>
        </w:rPr>
      </w:pP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  <w:u w:val="single"/>
        </w:rPr>
        <w:t>Hypotenzia a nerovnováha elektrolytov/tekutín</w:t>
      </w:r>
    </w:p>
    <w:p w:rsidR="00874099" w:rsidRPr="00A90F21" w:rsidRDefault="00874099" w:rsidP="00B77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U pacientov s depléciou objemu a/alebo sodíka následkom prudkej terapie diuretikami, obmedzenia</w:t>
      </w:r>
      <w:r w:rsidR="0093201F">
        <w:rPr>
          <w:szCs w:val="22"/>
        </w:rPr>
        <w:t xml:space="preserve"> </w:t>
      </w:r>
      <w:r w:rsidRPr="00A90F21">
        <w:rPr>
          <w:szCs w:val="22"/>
        </w:rPr>
        <w:t>soli v strave, hnačky alebo vracania sa môže vyskytnúť symptomatická hypotenzia, obzvlášť po prvej</w:t>
      </w:r>
      <w:r w:rsidR="0093201F">
        <w:rPr>
          <w:szCs w:val="22"/>
        </w:rPr>
        <w:t xml:space="preserve"> </w:t>
      </w:r>
      <w:r w:rsidRPr="00A90F21">
        <w:rPr>
          <w:szCs w:val="22"/>
        </w:rPr>
        <w:t>dávke a po zvýšení dávky. Tieto stavy sa majú pred podaním lieku Losartan STADA korigovať alebo sa má použiť nižšia počiatočná dávka (pozri časť 4.2). Toto odporúčanie sa vzťahuje aj na deti</w:t>
      </w:r>
      <w:r w:rsidR="00DA25DD">
        <w:rPr>
          <w:szCs w:val="22"/>
        </w:rPr>
        <w:t xml:space="preserve"> </w:t>
      </w:r>
      <w:r w:rsidR="00DA25DD" w:rsidRPr="00036A92">
        <w:rPr>
          <w:szCs w:val="22"/>
        </w:rPr>
        <w:t>vo veku 6 až 18 rokov.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pStyle w:val="Nadpis8"/>
        <w:widowControl/>
        <w:rPr>
          <w:bCs w:val="0"/>
        </w:rPr>
      </w:pPr>
      <w:r w:rsidRPr="00A90F21">
        <w:rPr>
          <w:bCs w:val="0"/>
        </w:rPr>
        <w:t>Nerovnováhy elektrolytov</w:t>
      </w:r>
    </w:p>
    <w:p w:rsidR="00874099" w:rsidRPr="00A90F21" w:rsidRDefault="00874099" w:rsidP="00B77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Nerovnováhy elektrolytov sú časté u pacientov s renálnym poškodením s diabetom alebo bez diabetu</w:t>
      </w:r>
      <w:r w:rsidR="0093201F">
        <w:rPr>
          <w:szCs w:val="22"/>
        </w:rPr>
        <w:t xml:space="preserve"> </w:t>
      </w:r>
      <w:r w:rsidRPr="00A90F21">
        <w:rPr>
          <w:szCs w:val="22"/>
        </w:rPr>
        <w:t>a</w:t>
      </w:r>
      <w:r w:rsidR="0093201F">
        <w:rPr>
          <w:szCs w:val="22"/>
        </w:rPr>
        <w:t> </w:t>
      </w:r>
      <w:r w:rsidRPr="00A90F21">
        <w:rPr>
          <w:szCs w:val="22"/>
        </w:rPr>
        <w:t>majú sa liečiť. V klinickej štúdii vykonanej u pacientov s diabetom 2. typu s nefropatiou bola</w:t>
      </w:r>
      <w:r w:rsidR="0093201F">
        <w:rPr>
          <w:szCs w:val="22"/>
        </w:rPr>
        <w:t xml:space="preserve"> </w:t>
      </w:r>
      <w:r w:rsidRPr="00A90F21">
        <w:rPr>
          <w:szCs w:val="22"/>
        </w:rPr>
        <w:t>v</w:t>
      </w:r>
      <w:r w:rsidR="0093201F">
        <w:rPr>
          <w:szCs w:val="22"/>
        </w:rPr>
        <w:t> </w:t>
      </w:r>
      <w:r w:rsidRPr="00A90F21">
        <w:rPr>
          <w:szCs w:val="22"/>
        </w:rPr>
        <w:t>porovnaní s placebovou skupinou incidencia hyperkaliémie vyššia v skupine liečenej liekom Losartan STADA (pozri časť 4.8). Preto sa majú pozorne sledovať plazmatické koncentrácie draslíka a hodnoty klírensu kreatinínu, obzvlášť starostlivo majú byť monitorovaní pacienti so srdcovým zlyhaním a klírensom kreatinínu medzi 30-50 ml/min.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Súbežné užívanie kálium šetriacich diuretík, suplementov draslíka a náhrad solí obsahujúcich draslík</w:t>
      </w:r>
      <w:r w:rsidR="0093201F">
        <w:rPr>
          <w:szCs w:val="22"/>
        </w:rPr>
        <w:t xml:space="preserve"> </w:t>
      </w:r>
      <w:r w:rsidRPr="00A90F21">
        <w:rPr>
          <w:szCs w:val="22"/>
        </w:rPr>
        <w:t>s</w:t>
      </w:r>
      <w:r w:rsidR="0093201F">
        <w:rPr>
          <w:szCs w:val="22"/>
        </w:rPr>
        <w:t> </w:t>
      </w:r>
      <w:r w:rsidRPr="00A90F21">
        <w:rPr>
          <w:szCs w:val="22"/>
        </w:rPr>
        <w:t>losartanom sa neodporúča (pozri časť 4.5).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93201F">
      <w:pPr>
        <w:pStyle w:val="Nadpis8"/>
        <w:widowControl/>
        <w:rPr>
          <w:bCs w:val="0"/>
        </w:rPr>
      </w:pPr>
      <w:r w:rsidRPr="00A90F21">
        <w:rPr>
          <w:bCs w:val="0"/>
        </w:rPr>
        <w:t>Po</w:t>
      </w:r>
      <w:r>
        <w:rPr>
          <w:bCs w:val="0"/>
        </w:rPr>
        <w:t>rucha</w:t>
      </w:r>
      <w:r w:rsidRPr="00A90F21">
        <w:rPr>
          <w:bCs w:val="0"/>
        </w:rPr>
        <w:t xml:space="preserve"> </w:t>
      </w:r>
      <w:r w:rsidR="00874099" w:rsidRPr="00A90F21">
        <w:rPr>
          <w:bCs w:val="0"/>
        </w:rPr>
        <w:t>funkcie pečene</w:t>
      </w:r>
    </w:p>
    <w:p w:rsidR="00874099" w:rsidRPr="00A90F21" w:rsidRDefault="00874099" w:rsidP="00B77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Na základe farmakokinetických údajov, ktoré poukazujú na signifikantne zvýšené plazmatické</w:t>
      </w:r>
      <w:r w:rsidR="00D306E2">
        <w:rPr>
          <w:szCs w:val="22"/>
        </w:rPr>
        <w:t xml:space="preserve"> </w:t>
      </w:r>
      <w:r w:rsidRPr="00A90F21">
        <w:rPr>
          <w:szCs w:val="22"/>
        </w:rPr>
        <w:t xml:space="preserve">koncentrácie losartanu u cirhotických pacientov, sa u pacientov s </w:t>
      </w:r>
      <w:r w:rsidR="0093201F">
        <w:rPr>
          <w:bCs/>
        </w:rPr>
        <w:t>poruchou funkcie pečene</w:t>
      </w:r>
      <w:r w:rsidR="0093201F" w:rsidRPr="00A90F21" w:rsidDel="002A2FA4">
        <w:rPr>
          <w:szCs w:val="22"/>
        </w:rPr>
        <w:t xml:space="preserve"> </w:t>
      </w:r>
      <w:r w:rsidRPr="00A90F21">
        <w:rPr>
          <w:szCs w:val="22"/>
        </w:rPr>
        <w:t>v</w:t>
      </w:r>
      <w:r w:rsidR="0093201F">
        <w:rPr>
          <w:szCs w:val="22"/>
        </w:rPr>
        <w:t> </w:t>
      </w:r>
      <w:r w:rsidRPr="00A90F21">
        <w:rPr>
          <w:szCs w:val="22"/>
        </w:rPr>
        <w:t>anamnéze</w:t>
      </w:r>
      <w:r w:rsidR="0093201F">
        <w:rPr>
          <w:szCs w:val="22"/>
        </w:rPr>
        <w:t xml:space="preserve"> </w:t>
      </w:r>
      <w:r w:rsidRPr="00A90F21">
        <w:rPr>
          <w:szCs w:val="22"/>
        </w:rPr>
        <w:t>má zvážiť nižšia dávka. U pacientov s ťažk</w:t>
      </w:r>
      <w:r w:rsidR="0093201F">
        <w:rPr>
          <w:szCs w:val="22"/>
        </w:rPr>
        <w:t>ou</w:t>
      </w:r>
      <w:r w:rsidRPr="00A90F21">
        <w:rPr>
          <w:szCs w:val="22"/>
        </w:rPr>
        <w:t xml:space="preserve"> </w:t>
      </w:r>
      <w:r w:rsidR="0093201F">
        <w:rPr>
          <w:bCs/>
        </w:rPr>
        <w:t>poruchou funkcie pečene</w:t>
      </w:r>
      <w:r w:rsidR="0093201F" w:rsidRPr="00A90F21" w:rsidDel="002A2FA4">
        <w:rPr>
          <w:szCs w:val="22"/>
        </w:rPr>
        <w:t xml:space="preserve"> </w:t>
      </w:r>
      <w:r w:rsidRPr="00A90F21">
        <w:rPr>
          <w:szCs w:val="22"/>
        </w:rPr>
        <w:t>nie je žiadna terapeutická</w:t>
      </w:r>
      <w:r w:rsidR="0093201F">
        <w:rPr>
          <w:szCs w:val="22"/>
        </w:rPr>
        <w:t xml:space="preserve"> </w:t>
      </w:r>
      <w:r w:rsidRPr="00A90F21">
        <w:rPr>
          <w:szCs w:val="22"/>
        </w:rPr>
        <w:t>skúsenosť s losartanom. Preto sa losartan nesmie podávať pacientom s ťažk</w:t>
      </w:r>
      <w:r w:rsidR="0093201F">
        <w:rPr>
          <w:szCs w:val="22"/>
        </w:rPr>
        <w:t>ou</w:t>
      </w:r>
      <w:r w:rsidRPr="00A90F21">
        <w:rPr>
          <w:szCs w:val="22"/>
        </w:rPr>
        <w:t xml:space="preserve"> </w:t>
      </w:r>
      <w:r w:rsidR="0093201F">
        <w:rPr>
          <w:bCs/>
        </w:rPr>
        <w:t xml:space="preserve">poruchou </w:t>
      </w:r>
      <w:r w:rsidR="0093201F">
        <w:rPr>
          <w:bCs/>
        </w:rPr>
        <w:lastRenderedPageBreak/>
        <w:t>funkcie pečene</w:t>
      </w:r>
      <w:r w:rsidR="0093201F" w:rsidRPr="00A90F21" w:rsidDel="002A2FA4">
        <w:rPr>
          <w:szCs w:val="22"/>
        </w:rPr>
        <w:t xml:space="preserve"> </w:t>
      </w:r>
      <w:r w:rsidRPr="00A90F21">
        <w:rPr>
          <w:szCs w:val="22"/>
        </w:rPr>
        <w:t>(pozri časti 4.2, 4.3 a 5.2).</w:t>
      </w:r>
      <w:r w:rsidR="0093201F">
        <w:rPr>
          <w:szCs w:val="22"/>
        </w:rPr>
        <w:t xml:space="preserve"> </w:t>
      </w:r>
      <w:r w:rsidRPr="00A90F21">
        <w:rPr>
          <w:szCs w:val="22"/>
        </w:rPr>
        <w:t xml:space="preserve">Losartan sa neodporúča u detí s </w:t>
      </w:r>
      <w:r w:rsidR="0093201F">
        <w:rPr>
          <w:bCs/>
        </w:rPr>
        <w:t>poruchou funkcie pečene</w:t>
      </w:r>
      <w:r w:rsidRPr="00A90F21">
        <w:rPr>
          <w:szCs w:val="22"/>
        </w:rPr>
        <w:t xml:space="preserve"> (pozri časť 4.2).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93201F">
      <w:pPr>
        <w:pStyle w:val="Nadpis8"/>
        <w:widowControl/>
        <w:rPr>
          <w:bCs w:val="0"/>
        </w:rPr>
      </w:pPr>
      <w:r w:rsidRPr="00A90F21">
        <w:rPr>
          <w:bCs w:val="0"/>
        </w:rPr>
        <w:t>Po</w:t>
      </w:r>
      <w:r>
        <w:rPr>
          <w:bCs w:val="0"/>
        </w:rPr>
        <w:t>rucha</w:t>
      </w:r>
      <w:r w:rsidRPr="00A90F21">
        <w:rPr>
          <w:bCs w:val="0"/>
        </w:rPr>
        <w:t xml:space="preserve"> </w:t>
      </w:r>
      <w:r w:rsidR="00874099" w:rsidRPr="00A90F21">
        <w:rPr>
          <w:bCs w:val="0"/>
        </w:rPr>
        <w:t>funkcie obličiek</w:t>
      </w:r>
    </w:p>
    <w:p w:rsidR="00874099" w:rsidRPr="00A90F21" w:rsidRDefault="00874099" w:rsidP="0093201F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V dôsledku inhibície renín-angiotenzínového systému boli hlásené zmeny v renálnej funkcii vrátane</w:t>
      </w:r>
      <w:r w:rsidR="0093201F">
        <w:rPr>
          <w:szCs w:val="22"/>
        </w:rPr>
        <w:t xml:space="preserve"> </w:t>
      </w:r>
      <w:r w:rsidRPr="00A90F21">
        <w:rPr>
          <w:szCs w:val="22"/>
        </w:rPr>
        <w:t xml:space="preserve">zlyhania obličiek (najmä u pacientov, u ktorých renálna funkcia závisí od </w:t>
      </w:r>
      <w:r w:rsidR="0093201F">
        <w:rPr>
          <w:szCs w:val="22"/>
        </w:rPr>
        <w:t xml:space="preserve">systému </w:t>
      </w:r>
      <w:r w:rsidRPr="00A90F21">
        <w:rPr>
          <w:szCs w:val="22"/>
        </w:rPr>
        <w:t>renín-angiotenzín-aldosterón, ako sú pacienti s ťažkou srdcovou nedostatočnosťou alebo pacienti s</w:t>
      </w:r>
      <w:r w:rsidR="0093201F">
        <w:rPr>
          <w:szCs w:val="22"/>
        </w:rPr>
        <w:t> </w:t>
      </w:r>
      <w:r w:rsidRPr="00A90F21">
        <w:rPr>
          <w:szCs w:val="22"/>
        </w:rPr>
        <w:t>už</w:t>
      </w:r>
      <w:r w:rsidR="0093201F">
        <w:rPr>
          <w:szCs w:val="22"/>
        </w:rPr>
        <w:t xml:space="preserve"> </w:t>
      </w:r>
      <w:r w:rsidRPr="00A90F21">
        <w:rPr>
          <w:szCs w:val="22"/>
        </w:rPr>
        <w:t>existujúcou renálnou dysfunkciou). Tak ako u iných liekov, ktoré ovplyvňujú</w:t>
      </w:r>
      <w:r w:rsidR="00C32842">
        <w:rPr>
          <w:szCs w:val="22"/>
        </w:rPr>
        <w:t xml:space="preserve"> systém</w:t>
      </w:r>
      <w:r w:rsidRPr="00A90F21">
        <w:rPr>
          <w:szCs w:val="22"/>
        </w:rPr>
        <w:t xml:space="preserve"> renín-angiotenzín-aldosterón, boli u pacientov s bilaterálnou stenózou renálnej artérie alebo stenózou artérie</w:t>
      </w:r>
      <w:r w:rsidR="0093201F">
        <w:rPr>
          <w:szCs w:val="22"/>
        </w:rPr>
        <w:t xml:space="preserve"> </w:t>
      </w:r>
      <w:r w:rsidRPr="00A90F21">
        <w:rPr>
          <w:szCs w:val="22"/>
        </w:rPr>
        <w:t>solitárnej obličky hlásené zvýšenia močoviny v krvi a kreatinínu v sére; tieto zmeny renálnej funkcie</w:t>
      </w:r>
      <w:r w:rsidR="0093201F">
        <w:rPr>
          <w:szCs w:val="22"/>
        </w:rPr>
        <w:t xml:space="preserve"> </w:t>
      </w:r>
      <w:r w:rsidRPr="00A90F21">
        <w:rPr>
          <w:szCs w:val="22"/>
        </w:rPr>
        <w:t>môžu byť po ukončení liečby reverzibilné. U pacientov s bilaterálnou stenózou renálnej artérie alebo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stenózou artérie solitárnej obličky sa má losartan používať s opatrnosťou.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i/>
          <w:iCs/>
          <w:szCs w:val="22"/>
        </w:rPr>
      </w:pPr>
      <w:r w:rsidRPr="00A90F21">
        <w:rPr>
          <w:i/>
          <w:iCs/>
          <w:szCs w:val="22"/>
        </w:rPr>
        <w:t>Použitie u pediatrických pacientov s poruchou funkcie obličiek</w:t>
      </w:r>
    </w:p>
    <w:p w:rsidR="00874099" w:rsidRPr="00A90F21" w:rsidRDefault="00874099" w:rsidP="0093201F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Losartan sa neodporúča u detí s rýchlosťou glomerulárnej filtrácie &lt;30 ml/min/1,73 m</w:t>
      </w:r>
      <w:r w:rsidRPr="00A90F21">
        <w:rPr>
          <w:szCs w:val="22"/>
          <w:vertAlign w:val="superscript"/>
        </w:rPr>
        <w:t>2</w:t>
      </w:r>
      <w:r w:rsidRPr="00A90F21">
        <w:rPr>
          <w:szCs w:val="22"/>
        </w:rPr>
        <w:t>, keďže nie sú</w:t>
      </w:r>
      <w:r w:rsidR="0093201F">
        <w:rPr>
          <w:szCs w:val="22"/>
        </w:rPr>
        <w:t xml:space="preserve"> </w:t>
      </w:r>
      <w:r w:rsidRPr="00A90F21">
        <w:rPr>
          <w:szCs w:val="22"/>
        </w:rPr>
        <w:t>k</w:t>
      </w:r>
      <w:r w:rsidR="0093201F">
        <w:rPr>
          <w:szCs w:val="22"/>
        </w:rPr>
        <w:t> </w:t>
      </w:r>
      <w:r w:rsidRPr="00A90F21">
        <w:rPr>
          <w:szCs w:val="22"/>
        </w:rPr>
        <w:t>dispozícii žiadne údaje (pozri časť 4.2).</w:t>
      </w:r>
    </w:p>
    <w:p w:rsidR="00D306E2" w:rsidRDefault="00874099" w:rsidP="0093201F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Počas liečby losartanom sa má pravidelne sledovať funkcia obličiek, keďže môže dôjsť k jej</w:t>
      </w:r>
      <w:r w:rsidR="0093201F">
        <w:rPr>
          <w:szCs w:val="22"/>
        </w:rPr>
        <w:t xml:space="preserve"> </w:t>
      </w:r>
      <w:r w:rsidRPr="00A90F21">
        <w:rPr>
          <w:szCs w:val="22"/>
        </w:rPr>
        <w:t xml:space="preserve">zhoršeniu. </w:t>
      </w:r>
    </w:p>
    <w:p w:rsidR="00874099" w:rsidRPr="00A90F21" w:rsidRDefault="00874099" w:rsidP="0093201F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To sa vzťahuje najmä na prípady, keď sa losartan podáva pri prítomnosti ďalších ochorení</w:t>
      </w:r>
      <w:r w:rsidR="0093201F">
        <w:rPr>
          <w:szCs w:val="22"/>
        </w:rPr>
        <w:t xml:space="preserve"> </w:t>
      </w:r>
      <w:r w:rsidRPr="00A90F21">
        <w:rPr>
          <w:szCs w:val="22"/>
        </w:rPr>
        <w:t>(horúčka, dehydratácia), pri ktorých je pravdepodobnosť zhoršenia funkcie obličiek.</w:t>
      </w:r>
    </w:p>
    <w:p w:rsidR="00874099" w:rsidRPr="00A90F21" w:rsidRDefault="00874099" w:rsidP="0093201F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B77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Súbežné použitie losartanu a ACE inhibítorov viedlo k zhoršeniu funkcie obličiek. Preto sa ich</w:t>
      </w:r>
      <w:r w:rsidR="0093201F">
        <w:rPr>
          <w:szCs w:val="22"/>
        </w:rPr>
        <w:t xml:space="preserve"> </w:t>
      </w:r>
      <w:r w:rsidRPr="00A90F21">
        <w:rPr>
          <w:szCs w:val="22"/>
        </w:rPr>
        <w:t>súbežné použitie neodporúča</w:t>
      </w:r>
      <w:r w:rsidR="00DA25DD">
        <w:rPr>
          <w:szCs w:val="22"/>
        </w:rPr>
        <w:t xml:space="preserve"> </w:t>
      </w:r>
      <w:r w:rsidR="00DA25DD" w:rsidRPr="00036A92">
        <w:rPr>
          <w:szCs w:val="22"/>
        </w:rPr>
        <w:t>(pozri časť 4.5)</w:t>
      </w:r>
      <w:r w:rsidRPr="00A90F21">
        <w:rPr>
          <w:szCs w:val="22"/>
        </w:rPr>
        <w:t>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pStyle w:val="Nadpis8"/>
        <w:widowControl/>
        <w:rPr>
          <w:bCs w:val="0"/>
        </w:rPr>
      </w:pPr>
      <w:r w:rsidRPr="00A90F21">
        <w:rPr>
          <w:bCs w:val="0"/>
        </w:rPr>
        <w:t>Transplantácia obličky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Nie sú žiadne skúsenosti u pacientov s nedávnou transplantáciou obličky.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pStyle w:val="Nadpis8"/>
        <w:widowControl/>
        <w:rPr>
          <w:bCs w:val="0"/>
        </w:rPr>
      </w:pPr>
      <w:r w:rsidRPr="00A90F21">
        <w:rPr>
          <w:bCs w:val="0"/>
        </w:rPr>
        <w:t>Primárny hyperaldosteronizmus</w:t>
      </w:r>
    </w:p>
    <w:p w:rsidR="00874099" w:rsidRPr="00A90F21" w:rsidRDefault="00874099" w:rsidP="0093201F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Pacienti s primárnym aldosteronizmom spravidla nereagujú na antihypertenzíva účinkujúce</w:t>
      </w:r>
      <w:r w:rsidR="0093201F">
        <w:rPr>
          <w:szCs w:val="22"/>
        </w:rPr>
        <w:t xml:space="preserve"> </w:t>
      </w:r>
      <w:r w:rsidRPr="00A90F21">
        <w:rPr>
          <w:szCs w:val="22"/>
        </w:rPr>
        <w:t>prostredníctvom inhibície renín-angiotenzínového systému. Preto sa použitie losartan</w:t>
      </w:r>
      <w:r w:rsidR="00EB5E1B">
        <w:rPr>
          <w:szCs w:val="22"/>
        </w:rPr>
        <w:t>u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neodporúča.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pStyle w:val="Nadpis8"/>
        <w:widowControl/>
        <w:rPr>
          <w:bCs w:val="0"/>
        </w:rPr>
      </w:pPr>
      <w:r w:rsidRPr="00A90F21">
        <w:rPr>
          <w:bCs w:val="0"/>
        </w:rPr>
        <w:t>Koronárna choroba srdca a cerebrovaskulárne ochorenie</w:t>
      </w:r>
    </w:p>
    <w:p w:rsidR="00874099" w:rsidRPr="00A90F21" w:rsidRDefault="00874099" w:rsidP="00D306E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Tak ako pri iných antihypertenzívach, enormné zníženie krvného tlaku u pacientov s ischemickým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kardiovaskulárnym a cerebrovaskulárnym ochorením by mohlo viesť k infarktu myokardu alebo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mozgovej príhode.</w:t>
      </w:r>
    </w:p>
    <w:p w:rsidR="00874099" w:rsidRPr="00A90F21" w:rsidRDefault="00874099" w:rsidP="00D306E2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D306E2">
      <w:pPr>
        <w:pStyle w:val="Nadpis8"/>
        <w:widowControl/>
        <w:ind w:left="0" w:firstLine="0"/>
        <w:rPr>
          <w:bCs w:val="0"/>
        </w:rPr>
      </w:pPr>
      <w:r w:rsidRPr="00A90F21">
        <w:rPr>
          <w:bCs w:val="0"/>
        </w:rPr>
        <w:t>Srdcové zlyhanie</w:t>
      </w:r>
    </w:p>
    <w:p w:rsidR="00874099" w:rsidRPr="00A90F21" w:rsidRDefault="00874099" w:rsidP="00B77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 xml:space="preserve">U pacientov so srdcovým zlyhaním s </w:t>
      </w:r>
      <w:r w:rsidR="00D306E2" w:rsidRPr="00A90F21">
        <w:rPr>
          <w:szCs w:val="22"/>
        </w:rPr>
        <w:t>po</w:t>
      </w:r>
      <w:r w:rsidR="00D306E2">
        <w:rPr>
          <w:szCs w:val="22"/>
        </w:rPr>
        <w:t>ruchy</w:t>
      </w:r>
      <w:r w:rsidR="00D306E2" w:rsidRPr="00A90F21">
        <w:rPr>
          <w:szCs w:val="22"/>
        </w:rPr>
        <w:t xml:space="preserve"> </w:t>
      </w:r>
      <w:r w:rsidRPr="00A90F21">
        <w:rPr>
          <w:szCs w:val="22"/>
        </w:rPr>
        <w:t xml:space="preserve">funkcie obličiek alebo bez </w:t>
      </w:r>
      <w:r w:rsidR="00D306E2" w:rsidRPr="00A90F21">
        <w:rPr>
          <w:szCs w:val="22"/>
        </w:rPr>
        <w:t>po</w:t>
      </w:r>
      <w:r w:rsidR="00D306E2">
        <w:rPr>
          <w:szCs w:val="22"/>
        </w:rPr>
        <w:t>ruchy</w:t>
      </w:r>
      <w:r w:rsidR="00D306E2" w:rsidRPr="00A90F21">
        <w:rPr>
          <w:szCs w:val="22"/>
        </w:rPr>
        <w:t xml:space="preserve"> </w:t>
      </w:r>
      <w:r w:rsidRPr="00A90F21">
        <w:rPr>
          <w:szCs w:val="22"/>
        </w:rPr>
        <w:t>funkcie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obličiek je tak ako pri iných liekoch, ktoré ovplyvňujú renín-angiotenzínový systém, riziko vzniku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ťažkej arteriálnej hypotenzie a (často akútne</w:t>
      </w:r>
      <w:r w:rsidR="00D306E2">
        <w:rPr>
          <w:szCs w:val="22"/>
        </w:rPr>
        <w:t>j</w:t>
      </w:r>
      <w:r w:rsidRPr="00A90F21">
        <w:rPr>
          <w:szCs w:val="22"/>
        </w:rPr>
        <w:t xml:space="preserve">) </w:t>
      </w:r>
      <w:r w:rsidR="00D306E2" w:rsidRPr="00A90F21">
        <w:rPr>
          <w:szCs w:val="22"/>
        </w:rPr>
        <w:t>po</w:t>
      </w:r>
      <w:r w:rsidR="00D306E2">
        <w:rPr>
          <w:szCs w:val="22"/>
        </w:rPr>
        <w:t>ruchy</w:t>
      </w:r>
      <w:r w:rsidR="00D306E2" w:rsidRPr="00A90F21">
        <w:rPr>
          <w:szCs w:val="22"/>
        </w:rPr>
        <w:t xml:space="preserve"> funkcie obličiek</w:t>
      </w:r>
      <w:r w:rsidRPr="00A90F21">
        <w:rPr>
          <w:szCs w:val="22"/>
        </w:rPr>
        <w:t>.</w:t>
      </w:r>
      <w:r w:rsidR="0047336A">
        <w:rPr>
          <w:szCs w:val="22"/>
        </w:rPr>
        <w:t xml:space="preserve"> </w:t>
      </w:r>
      <w:r w:rsidRPr="00A90F21">
        <w:rPr>
          <w:szCs w:val="22"/>
        </w:rPr>
        <w:t>U pacientov so srdcovým zlyhaním a súbežným ťažk</w:t>
      </w:r>
      <w:r w:rsidR="0047336A">
        <w:rPr>
          <w:szCs w:val="22"/>
        </w:rPr>
        <w:t>ou</w:t>
      </w:r>
      <w:r w:rsidRPr="00A90F21">
        <w:rPr>
          <w:szCs w:val="22"/>
        </w:rPr>
        <w:t xml:space="preserve"> </w:t>
      </w:r>
      <w:r w:rsidR="0047336A">
        <w:rPr>
          <w:szCs w:val="22"/>
        </w:rPr>
        <w:t>poruchou funkcie obličiek</w:t>
      </w:r>
      <w:r w:rsidRPr="00A90F21">
        <w:rPr>
          <w:szCs w:val="22"/>
        </w:rPr>
        <w:t>, u pacientov s ťažkým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srdcovým zlyhaním (IV. trieda NYHA), ako aj u pacientov so srdcovým zlyhaním a symptomatickými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život ohrozujúcimi srdcovými arytmiami nie je dostatočná terapeutická skúsenosť s losartanom. Preto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sa má v týchto skupinách pacientov losartan používať s opatrnosťou. Kombinácia losartanu s betablokátorom sa má používať s</w:t>
      </w:r>
      <w:r w:rsidR="0047336A">
        <w:rPr>
          <w:szCs w:val="22"/>
        </w:rPr>
        <w:t> </w:t>
      </w:r>
      <w:r w:rsidRPr="00A90F21">
        <w:rPr>
          <w:szCs w:val="22"/>
        </w:rPr>
        <w:t>opatrnosťou (pozri časť 5.1).</w:t>
      </w:r>
    </w:p>
    <w:p w:rsidR="00874099" w:rsidRPr="00A90F21" w:rsidRDefault="00874099" w:rsidP="00D306E2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>
      <w:pPr>
        <w:pStyle w:val="Nadpis8"/>
        <w:widowControl/>
        <w:rPr>
          <w:bCs w:val="0"/>
        </w:rPr>
      </w:pPr>
      <w:r w:rsidRPr="00A90F21">
        <w:rPr>
          <w:bCs w:val="0"/>
        </w:rPr>
        <w:t>Stenóza aortálnej a mitrálnej chlopne, obštrukčná hypertrofická kardiomyopatia</w:t>
      </w:r>
    </w:p>
    <w:p w:rsidR="00874099" w:rsidRPr="00A90F21" w:rsidRDefault="00874099" w:rsidP="00B77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Tak ako pri iných vazodilatanciách, u pacientov s aortálnou alebo mitrálnou stenózou alebo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obštrukčnou hypertrofickou kardiomyopatiou je potrebná osobitná opatrnosť.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D306E2" w:rsidRPr="00B77609" w:rsidRDefault="00DA25DD" w:rsidP="00A90F21">
      <w:pPr>
        <w:autoSpaceDE w:val="0"/>
        <w:autoSpaceDN w:val="0"/>
        <w:adjustRightInd w:val="0"/>
        <w:ind w:left="0" w:firstLine="0"/>
        <w:rPr>
          <w:bCs/>
          <w:u w:val="single"/>
        </w:rPr>
      </w:pPr>
      <w:r w:rsidRPr="00B77609">
        <w:rPr>
          <w:bCs/>
          <w:u w:val="single"/>
        </w:rPr>
        <w:t>Pomocné látky</w:t>
      </w:r>
    </w:p>
    <w:p w:rsidR="00874099" w:rsidRPr="00A90F21" w:rsidRDefault="00DA25DD" w:rsidP="00B77609">
      <w:pPr>
        <w:autoSpaceDE w:val="0"/>
        <w:autoSpaceDN w:val="0"/>
        <w:adjustRightInd w:val="0"/>
        <w:ind w:left="0" w:firstLine="0"/>
        <w:rPr>
          <w:szCs w:val="22"/>
        </w:rPr>
      </w:pPr>
      <w:r w:rsidRPr="00036A92">
        <w:rPr>
          <w:szCs w:val="22"/>
        </w:rPr>
        <w:t xml:space="preserve">Tento liek obsahuje laktózu. </w:t>
      </w:r>
      <w:r w:rsidR="00874099" w:rsidRPr="00A90F21">
        <w:rPr>
          <w:szCs w:val="22"/>
        </w:rPr>
        <w:t xml:space="preserve">Pacienti so zriedkavými dedičnými problémami galaktózovej intolerancie, </w:t>
      </w:r>
      <w:r w:rsidR="00EB5E1B">
        <w:rPr>
          <w:szCs w:val="22"/>
        </w:rPr>
        <w:t xml:space="preserve">celkovým </w:t>
      </w:r>
      <w:r w:rsidR="00874099" w:rsidRPr="00A90F21">
        <w:rPr>
          <w:szCs w:val="22"/>
        </w:rPr>
        <w:t>deficit</w:t>
      </w:r>
      <w:r w:rsidR="00EB5E1B">
        <w:rPr>
          <w:szCs w:val="22"/>
        </w:rPr>
        <w:t>om</w:t>
      </w:r>
      <w:r w:rsidR="00874099" w:rsidRPr="00A90F21">
        <w:rPr>
          <w:szCs w:val="22"/>
        </w:rPr>
        <w:t xml:space="preserve"> laktázy</w:t>
      </w:r>
      <w:r w:rsidR="00D306E2">
        <w:rPr>
          <w:szCs w:val="22"/>
        </w:rPr>
        <w:t xml:space="preserve"> </w:t>
      </w:r>
      <w:r w:rsidR="00874099" w:rsidRPr="00A90F21">
        <w:rPr>
          <w:szCs w:val="22"/>
        </w:rPr>
        <w:t>alebo glukózo-galaktózov</w:t>
      </w:r>
      <w:r w:rsidR="00EB5E1B">
        <w:rPr>
          <w:szCs w:val="22"/>
        </w:rPr>
        <w:t>ou</w:t>
      </w:r>
      <w:r w:rsidR="00874099" w:rsidRPr="00A90F21">
        <w:rPr>
          <w:szCs w:val="22"/>
        </w:rPr>
        <w:t xml:space="preserve"> malabsorpci</w:t>
      </w:r>
      <w:r w:rsidR="00EB5E1B">
        <w:rPr>
          <w:szCs w:val="22"/>
        </w:rPr>
        <w:t>ou</w:t>
      </w:r>
      <w:r w:rsidR="00874099" w:rsidRPr="00A90F21">
        <w:rPr>
          <w:szCs w:val="22"/>
        </w:rPr>
        <w:t xml:space="preserve"> nesmú užívať tento liek.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pStyle w:val="Nadpis8"/>
        <w:widowControl/>
        <w:rPr>
          <w:bCs w:val="0"/>
        </w:rPr>
      </w:pPr>
      <w:r w:rsidRPr="00A90F21">
        <w:rPr>
          <w:bCs w:val="0"/>
        </w:rPr>
        <w:lastRenderedPageBreak/>
        <w:t>Gravidita</w:t>
      </w:r>
    </w:p>
    <w:p w:rsidR="00874099" w:rsidRPr="00A90F21" w:rsidRDefault="00874099" w:rsidP="00D306E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Losartan sa nemá začať užívať počas gravidity. Pokiaľ nie je pokračujúca liečba losartanom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považovaná za nevyhnutnú, pacientky plánujúce otehotnieť majú prejsť na alternatívnu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antihypertenznú liečbu, ktorá má preukázaný bezpečnostný profil na použitie v gravidite. Ak je už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gravidita diagnostikovaná, terapia losartanom sa má okamžite prerušiť a ak je to vhodné, má sa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nasadiť alternatívna liečba (pozri časti 4.3 a 4.6).</w:t>
      </w:r>
    </w:p>
    <w:p w:rsidR="00874099" w:rsidRPr="00A90F21" w:rsidRDefault="00874099" w:rsidP="00D306E2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D306E2">
      <w:pPr>
        <w:pStyle w:val="Nadpis8"/>
        <w:widowControl/>
        <w:ind w:left="0" w:firstLine="0"/>
        <w:rPr>
          <w:bCs w:val="0"/>
        </w:rPr>
      </w:pPr>
      <w:r w:rsidRPr="00A90F21">
        <w:rPr>
          <w:bCs w:val="0"/>
        </w:rPr>
        <w:t>Iné varovania a upozornenia</w:t>
      </w:r>
    </w:p>
    <w:p w:rsidR="00874099" w:rsidRPr="00A90F21" w:rsidRDefault="00874099" w:rsidP="00D306E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Podľa pozorovaní inhibítorov enzýmu konvertujúceho angiotenzín, losartan a iné antagonisty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angiotenzínu sú očividne menej účinné pri znižovaní krvného tlaku u černochov ako u ľudí s inou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farbou pleti, potenciálne z dôvodu vyššej prevalencie nízkych hladín renínu v populácii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hypertenzných pacientov čiernej pleti.</w:t>
      </w:r>
    </w:p>
    <w:p w:rsidR="00874099" w:rsidRPr="00A90F21" w:rsidRDefault="00874099">
      <w:pPr>
        <w:autoSpaceDE w:val="0"/>
        <w:autoSpaceDN w:val="0"/>
        <w:adjustRightInd w:val="0"/>
        <w:rPr>
          <w:b/>
          <w:bCs/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b/>
          <w:bCs/>
          <w:szCs w:val="22"/>
        </w:rPr>
      </w:pPr>
      <w:r w:rsidRPr="00A90F21">
        <w:rPr>
          <w:b/>
          <w:bCs/>
          <w:szCs w:val="22"/>
        </w:rPr>
        <w:t>4.5</w:t>
      </w:r>
      <w:r w:rsidRPr="00A90F21">
        <w:rPr>
          <w:b/>
          <w:bCs/>
          <w:szCs w:val="22"/>
        </w:rPr>
        <w:tab/>
        <w:t>Liekové a iné interakcie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 w:rsidP="00D306E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 xml:space="preserve">Iné antihypertenzíva môžu zvýšiť hypotenzný účinok losartanu. </w:t>
      </w:r>
      <w:r w:rsidR="00EB5E1B">
        <w:rPr>
          <w:szCs w:val="22"/>
        </w:rPr>
        <w:t>Súbežné používanie s inými liečivami, ktoré môžu vyvolať hypotenziu ako nežiaducu reakciu (ako sú</w:t>
      </w:r>
      <w:r w:rsidR="00EB5E1B" w:rsidRPr="00474AA5">
        <w:rPr>
          <w:szCs w:val="22"/>
        </w:rPr>
        <w:t xml:space="preserve"> </w:t>
      </w:r>
      <w:r w:rsidR="00EB5E1B" w:rsidRPr="00782FA9">
        <w:rPr>
          <w:szCs w:val="22"/>
        </w:rPr>
        <w:t>tricyklické antidepresíva, antipsychotiká, baklofén</w:t>
      </w:r>
      <w:r w:rsidR="006C07CA">
        <w:rPr>
          <w:szCs w:val="22"/>
        </w:rPr>
        <w:t xml:space="preserve"> a </w:t>
      </w:r>
      <w:r w:rsidR="00EB5E1B" w:rsidRPr="00782FA9">
        <w:rPr>
          <w:szCs w:val="22"/>
        </w:rPr>
        <w:t>amifostín</w:t>
      </w:r>
      <w:r w:rsidR="00EB5E1B">
        <w:rPr>
          <w:szCs w:val="22"/>
        </w:rPr>
        <w:t>), môže zvýšiť riziko hypotenzie.</w:t>
      </w:r>
    </w:p>
    <w:p w:rsidR="00874099" w:rsidRPr="00A90F21" w:rsidRDefault="00874099" w:rsidP="00D306E2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D306E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Losartan je metabolizovaný predovšetkým cytochrómom P450 (CYP) 2C9 na aktívny metabolit,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karboxylovú kyselinu. V klinickej skúške sa zistilo, že flukonazol (inhibítor CYP2C9) zmenšuje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expozíciu aktívnemu metabolitu približne o 50 %. Zistilo sa, že súbežná liečba losartanom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s</w:t>
      </w:r>
      <w:r w:rsidR="00D306E2">
        <w:rPr>
          <w:szCs w:val="22"/>
        </w:rPr>
        <w:t> </w:t>
      </w:r>
      <w:r w:rsidRPr="00A90F21">
        <w:rPr>
          <w:szCs w:val="22"/>
        </w:rPr>
        <w:t>rifampicínom (induktorom metabolických enzýmov) vyvolala 40 % zníženie plazmatickej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koncentrácie aktívneho metabolitu. Klinický význam tohto účinku nie je známy. Pri súbežnej liečbe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s</w:t>
      </w:r>
      <w:r w:rsidR="00D306E2">
        <w:rPr>
          <w:szCs w:val="22"/>
        </w:rPr>
        <w:t> </w:t>
      </w:r>
      <w:r w:rsidRPr="00A90F21">
        <w:rPr>
          <w:szCs w:val="22"/>
        </w:rPr>
        <w:t>fluvastatínom (slabým inhibítorom CYP2C9) sa nezistil žiaden rozdiel v expozícii.</w:t>
      </w:r>
    </w:p>
    <w:p w:rsidR="00874099" w:rsidRPr="00A90F21" w:rsidRDefault="00874099" w:rsidP="00D306E2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D306E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Tak ako pri iných liekoch, ktoré blokujú angiotenzín II alebo jeho účinky, súbežné používanie iných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liekov, ktoré zadržujú draslík (napr. kálium šetriacich diuretík: amiloridu, triamterénu, spironolaktónu)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alebo môžu zvýšiť hladiny draslíka (napr. heparín), suplementov draslíka alebo náhrad solí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obsahujúcich draslík môže viesť k zvýšeniu draslíka v sére. Súbežná liečba nie je vhodná.</w:t>
      </w:r>
    </w:p>
    <w:p w:rsidR="00874099" w:rsidRPr="00A90F21" w:rsidRDefault="00874099" w:rsidP="00D306E2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D306E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Počas súbežného podávania lítia s ACE inhibítormi boli hlásené reverzibilné zvýšenia koncentrácií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lítia v sére a toxicita. Veľmi zriedkavo boli tiež hlásené prípady s antagonistmi receptorov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angiotenzínu II. Súbežné podávanie lítia a losartanu sa má vykonávať s opatrnosťou. Ak sa táto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kombinácia preukáže ako nevyhnutná, počas súbežného používania sa odporúča monitorovať hladiny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lítia v sére.</w:t>
      </w:r>
    </w:p>
    <w:p w:rsidR="00874099" w:rsidRPr="00A90F21" w:rsidRDefault="00874099" w:rsidP="00D306E2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Default="00874099" w:rsidP="00D306E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Keď sa antagonisty angiotenzínu II podávajú zároveň s nesteroidnými protizápalovými liekmi (NSA,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t.j. selektívnymi inhibítormi COX-2, kyselinou acetylsalicylovou v protizápalových dávkach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a neselektívnymi NSA), môže dôjsť k oslabeniu antihypertenzného účinku. Súbežné použitie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antagonistov angiotenzínu II alebo diuretík a NSA môže viesť k zvýšenému riziku zhoršenia renálnej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funkcie vrátane možného akútneho renálneho zlyhania a zvýšenia draslíka v sére, obzvlášť u pacientov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s preexistujúcou slabou renálnou funkciou. Táto kombinácia sa má podávať s opatrnosťou, zvlášť</w:t>
      </w:r>
      <w:r w:rsidR="0047336A">
        <w:rPr>
          <w:szCs w:val="22"/>
        </w:rPr>
        <w:t xml:space="preserve"> </w:t>
      </w:r>
      <w:r w:rsidRPr="00A90F21">
        <w:rPr>
          <w:szCs w:val="22"/>
        </w:rPr>
        <w:t>u</w:t>
      </w:r>
      <w:r w:rsidR="0047336A">
        <w:rPr>
          <w:szCs w:val="22"/>
        </w:rPr>
        <w:t> </w:t>
      </w:r>
      <w:r w:rsidRPr="00A90F21">
        <w:rPr>
          <w:szCs w:val="22"/>
        </w:rPr>
        <w:t>starších pacientov. Pacienti majú byť dostatočne hydratovaní a po nasadení súbežnej liečby</w:t>
      </w:r>
      <w:r w:rsidR="00D306E2">
        <w:rPr>
          <w:szCs w:val="22"/>
        </w:rPr>
        <w:t xml:space="preserve"> </w:t>
      </w:r>
      <w:r w:rsidRPr="00A90F21">
        <w:rPr>
          <w:szCs w:val="22"/>
        </w:rPr>
        <w:t>a následne v pravidelných intervaloch sa má zvážiť monitorovanie renálnej funkcie.</w:t>
      </w:r>
    </w:p>
    <w:p w:rsidR="00D125A9" w:rsidRPr="00D125A9" w:rsidRDefault="00D125A9" w:rsidP="00D306E2">
      <w:pPr>
        <w:autoSpaceDE w:val="0"/>
        <w:autoSpaceDN w:val="0"/>
        <w:adjustRightInd w:val="0"/>
        <w:ind w:left="0" w:firstLine="0"/>
        <w:rPr>
          <w:szCs w:val="22"/>
        </w:rPr>
      </w:pPr>
    </w:p>
    <w:p w:rsidR="00BC2799" w:rsidRPr="00B77609" w:rsidRDefault="00BC2799" w:rsidP="00B77609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r w:rsidRPr="00B77609">
        <w:rPr>
          <w:rFonts w:ascii="Times New Roman" w:hAnsi="Times New Roman" w:cs="Times New Roman"/>
          <w:iCs/>
          <w:sz w:val="22"/>
          <w:szCs w:val="22"/>
        </w:rPr>
        <w:t>Údaje z klinických skúšaní ukázali, že duálna inhibícia systému renín-angiotenzín-aldosterón (RAAS) kombinovaným použitím inhibítorov ACE, blokátorov receptorov angiotenzínu II alebo aliskirenu sa spája s vyššou frekvenciou nežiaducich udalostí, ako sú hypotenzia, hyperkaliémia a znížená funkcia obličiek (vrátane akútneho zlyhania obličiek), v porovnaní s použitím látky ovplyvňujúcej RAAS v</w:t>
      </w:r>
      <w:r w:rsidR="006C07CA">
        <w:rPr>
          <w:rFonts w:ascii="Times New Roman" w:hAnsi="Times New Roman" w:cs="Times New Roman"/>
          <w:iCs/>
          <w:sz w:val="22"/>
          <w:szCs w:val="22"/>
        </w:rPr>
        <w:t> </w:t>
      </w:r>
      <w:r w:rsidRPr="00B77609">
        <w:rPr>
          <w:rFonts w:ascii="Times New Roman" w:hAnsi="Times New Roman" w:cs="Times New Roman"/>
          <w:iCs/>
          <w:sz w:val="22"/>
          <w:szCs w:val="22"/>
        </w:rPr>
        <w:t>monoterapii (pozri časti 4.3, 4.4 a 5.1).</w:t>
      </w:r>
    </w:p>
    <w:p w:rsidR="00874099" w:rsidRPr="00B77609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b/>
          <w:bCs/>
          <w:szCs w:val="22"/>
        </w:rPr>
      </w:pPr>
      <w:r w:rsidRPr="00A90F21">
        <w:rPr>
          <w:b/>
          <w:bCs/>
          <w:szCs w:val="22"/>
        </w:rPr>
        <w:t>4.6</w:t>
      </w:r>
      <w:r w:rsidRPr="00A90F21">
        <w:rPr>
          <w:b/>
          <w:bCs/>
          <w:szCs w:val="22"/>
        </w:rPr>
        <w:tab/>
      </w:r>
      <w:r w:rsidR="00BC2799">
        <w:rPr>
          <w:b/>
          <w:bCs/>
          <w:szCs w:val="22"/>
        </w:rPr>
        <w:t xml:space="preserve">Fertilita, </w:t>
      </w:r>
      <w:r w:rsidR="00BC2799" w:rsidRPr="00A90F21">
        <w:rPr>
          <w:b/>
          <w:bCs/>
          <w:szCs w:val="22"/>
        </w:rPr>
        <w:t>g</w:t>
      </w:r>
      <w:r w:rsidRPr="00A90F21">
        <w:rPr>
          <w:b/>
          <w:bCs/>
          <w:szCs w:val="22"/>
        </w:rPr>
        <w:t>ravidita a laktácia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pStyle w:val="Nadpis8"/>
        <w:widowControl/>
        <w:rPr>
          <w:bCs w:val="0"/>
        </w:rPr>
      </w:pPr>
      <w:r w:rsidRPr="00A90F21">
        <w:rPr>
          <w:bCs w:val="0"/>
        </w:rPr>
        <w:t>Gravidita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Podávanie losartanu sa neodporúča počas prvého trimestra gravidity (pozri časť 4.4). Použitie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lastRenderedPageBreak/>
        <w:t>losartanu je kontraindikované počas 2. a 3. trimestra gravidity (pozri časti 4.3 a 4.4).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Epidemiologický dôkaz rizika teratogenity po expozícii ACE inhibítorom počas prvého trimestra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gravidity nie je presvedčivý, avšak malé zvýšenie rizika nemožno vylúčiť. Hoci neexistujú žiadne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kontrolované epidemiologické údaje o riziku pri inhibítoroch receptora angiotenzínu II (AIIRA), pre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túto skupinu liekov môžu existovať podobné riziká. Pokiaľ nie je pokračujúca liečba blokátorom</w:t>
      </w:r>
    </w:p>
    <w:p w:rsidR="00874099" w:rsidRPr="00A90F21" w:rsidRDefault="00874099" w:rsidP="001F33A3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receptora angiotenzínu II (A</w:t>
      </w:r>
      <w:r w:rsidR="001F33A3">
        <w:rPr>
          <w:szCs w:val="22"/>
        </w:rPr>
        <w:t>IIRA</w:t>
      </w:r>
      <w:r w:rsidRPr="00A90F21">
        <w:rPr>
          <w:szCs w:val="22"/>
        </w:rPr>
        <w:t>) považovaná za nevyhnutnú, pacientky plánujúce otehotnieť majú</w:t>
      </w:r>
    </w:p>
    <w:p w:rsidR="00874099" w:rsidRPr="00A90F21" w:rsidRDefault="00874099" w:rsidP="001F33A3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prejsť na alternatívnu antihypertenznú liečbu, ktorá má preukázaný bezpečnostný profil pre použitie</w:t>
      </w:r>
    </w:p>
    <w:p w:rsidR="00874099" w:rsidRPr="00A90F21" w:rsidRDefault="00874099" w:rsidP="001F33A3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v gravidite. Ak je už gravidita diagnostikovaná, terapia losartanom sa má okamžite prerušiť a ak je to</w:t>
      </w:r>
    </w:p>
    <w:p w:rsidR="00874099" w:rsidRPr="00A90F21" w:rsidRDefault="00874099" w:rsidP="001F33A3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vhodné, má sa nasadiť alternatívna terapia.</w:t>
      </w:r>
    </w:p>
    <w:p w:rsidR="00874099" w:rsidRPr="00A90F21" w:rsidRDefault="00874099" w:rsidP="001F33A3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1F33A3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 xml:space="preserve">Je známe, že expozícia </w:t>
      </w:r>
      <w:r w:rsidR="001F33A3">
        <w:rPr>
          <w:szCs w:val="22"/>
        </w:rPr>
        <w:t xml:space="preserve">liečbe s AIIRA </w:t>
      </w:r>
      <w:r w:rsidRPr="00A90F21">
        <w:rPr>
          <w:szCs w:val="22"/>
        </w:rPr>
        <w:t>počas druhého a tretieho trimestra gravidity spôsobuje u ľudí</w:t>
      </w:r>
    </w:p>
    <w:p w:rsidR="00874099" w:rsidRPr="00A90F21" w:rsidRDefault="00874099" w:rsidP="001F33A3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fetotoxicitu (zníženie renálnej funkcie, oligohydramnión, retardáciu osifikácie lebky) a toxicitu</w:t>
      </w:r>
    </w:p>
    <w:p w:rsidR="00874099" w:rsidRPr="00A90F21" w:rsidRDefault="00874099" w:rsidP="001F33A3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u novorodenca (zlyhanie obličiek, hypotenziu, hyperkaliémiu) (pozri tiež časť 5.3 „Predklinické údaje</w:t>
      </w:r>
    </w:p>
    <w:p w:rsidR="00874099" w:rsidRPr="00A90F21" w:rsidRDefault="00874099" w:rsidP="001F33A3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o bezpečnosti“).</w:t>
      </w:r>
    </w:p>
    <w:p w:rsidR="00874099" w:rsidRPr="00A90F21" w:rsidRDefault="00874099" w:rsidP="001F33A3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Ak sa expozícia losartanu vyskytovala od druhého trimestra gravidity, odporúča sa ultrazvuková</w:t>
      </w:r>
    </w:p>
    <w:p w:rsidR="00874099" w:rsidRPr="00A90F21" w:rsidRDefault="00874099" w:rsidP="001F33A3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kontrola funkcie obličiek a lebky.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Dojčatá, ktorých matky užívali losartan, sa majú starostlivo sledovať pre možnosť hypotenzie (pozri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tiež časti 4.3 a 4.4).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361ED3">
      <w:pPr>
        <w:pStyle w:val="Nadpis8"/>
        <w:widowControl/>
        <w:rPr>
          <w:bCs w:val="0"/>
        </w:rPr>
      </w:pPr>
      <w:r>
        <w:rPr>
          <w:bCs w:val="0"/>
        </w:rPr>
        <w:t xml:space="preserve">Dojčenie </w:t>
      </w:r>
    </w:p>
    <w:p w:rsidR="001F33A3" w:rsidRPr="00036A92" w:rsidRDefault="001F33A3" w:rsidP="001F33A3">
      <w:pPr>
        <w:ind w:left="0" w:firstLine="0"/>
        <w:rPr>
          <w:szCs w:val="22"/>
        </w:rPr>
      </w:pPr>
      <w:r>
        <w:rPr>
          <w:szCs w:val="22"/>
        </w:rPr>
        <w:t>Keď</w:t>
      </w:r>
      <w:r w:rsidRPr="00036A92">
        <w:rPr>
          <w:szCs w:val="22"/>
        </w:rPr>
        <w:t>že o použití losartanu počas dojčenia nie sú dostupné žiadne informácie, losartan sa počas dojčenia neodporúča a vhodnejšie sú alternatívne terapie s lepšie preukázanými bezpečnostnými profilmi, zvlášť pri dojčení novonarodeného alebo predčasne narodeného dojčaťa.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b/>
          <w:bCs/>
          <w:szCs w:val="22"/>
        </w:rPr>
      </w:pPr>
      <w:r w:rsidRPr="00A90F21">
        <w:rPr>
          <w:b/>
          <w:bCs/>
          <w:szCs w:val="22"/>
        </w:rPr>
        <w:t>4.7</w:t>
      </w:r>
      <w:r w:rsidRPr="00A90F21">
        <w:rPr>
          <w:b/>
          <w:bCs/>
          <w:szCs w:val="22"/>
        </w:rPr>
        <w:tab/>
        <w:t>Ovplyvnenie schopnosti viesť vozidlá a obsluhovať stroje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Neuskutočnili sa žiadne štúdie o účinkoch na schopnosť viesť vozidlá a obsluhovať stroje. Pri vedení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vozidiel alebo obsluhe strojov je však potrebné mať na zreteli, že pri užívaní antihypertenznej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terapie môže niekedy dôjsť k závratu alebo ospalosti, obzvlášť na začiatku liečby alebo pri zvýšení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dávky.</w:t>
      </w:r>
    </w:p>
    <w:p w:rsidR="00874099" w:rsidRPr="00A90F21" w:rsidRDefault="00874099">
      <w:pPr>
        <w:autoSpaceDE w:val="0"/>
        <w:autoSpaceDN w:val="0"/>
        <w:adjustRightInd w:val="0"/>
        <w:rPr>
          <w:b/>
          <w:bCs/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b/>
          <w:bCs/>
          <w:szCs w:val="22"/>
        </w:rPr>
      </w:pPr>
      <w:r w:rsidRPr="00A90F21">
        <w:rPr>
          <w:b/>
          <w:bCs/>
          <w:szCs w:val="22"/>
        </w:rPr>
        <w:t>4.8</w:t>
      </w:r>
      <w:r w:rsidRPr="00A90F21">
        <w:rPr>
          <w:b/>
          <w:bCs/>
          <w:szCs w:val="22"/>
        </w:rPr>
        <w:tab/>
        <w:t>Nežiaduce účinky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1F33A3" w:rsidRPr="00036A92" w:rsidRDefault="001F33A3" w:rsidP="001F33A3">
      <w:pPr>
        <w:keepNext/>
        <w:rPr>
          <w:szCs w:val="22"/>
        </w:rPr>
      </w:pPr>
      <w:r w:rsidRPr="00036A92">
        <w:rPr>
          <w:szCs w:val="22"/>
        </w:rPr>
        <w:t>Losartan sa hodnotil v nasled</w:t>
      </w:r>
      <w:r>
        <w:rPr>
          <w:szCs w:val="22"/>
        </w:rPr>
        <w:t>ovný</w:t>
      </w:r>
      <w:r w:rsidRPr="00036A92">
        <w:rPr>
          <w:szCs w:val="22"/>
        </w:rPr>
        <w:t>ch klinických štúdiách:</w:t>
      </w:r>
    </w:p>
    <w:p w:rsidR="001F33A3" w:rsidRPr="00036A92" w:rsidRDefault="001F33A3" w:rsidP="001F33A3">
      <w:pPr>
        <w:numPr>
          <w:ilvl w:val="0"/>
          <w:numId w:val="7"/>
        </w:numPr>
        <w:tabs>
          <w:tab w:val="clear" w:pos="720"/>
        </w:tabs>
        <w:ind w:left="567" w:hanging="567"/>
        <w:rPr>
          <w:szCs w:val="22"/>
        </w:rPr>
      </w:pPr>
      <w:r w:rsidRPr="00036A92">
        <w:rPr>
          <w:szCs w:val="22"/>
        </w:rPr>
        <w:t>v kontrolovanej klinickej skúške esenciálnej hypertenzie u &gt; 3 000 dospelých pacientov vo veku 18 rokov a starších,</w:t>
      </w:r>
    </w:p>
    <w:p w:rsidR="001F33A3" w:rsidRPr="00036A92" w:rsidRDefault="001F33A3" w:rsidP="001F33A3">
      <w:pPr>
        <w:numPr>
          <w:ilvl w:val="0"/>
          <w:numId w:val="7"/>
        </w:numPr>
        <w:tabs>
          <w:tab w:val="clear" w:pos="720"/>
        </w:tabs>
        <w:ind w:left="567" w:hanging="567"/>
        <w:rPr>
          <w:szCs w:val="22"/>
        </w:rPr>
      </w:pPr>
      <w:r w:rsidRPr="00036A92">
        <w:rPr>
          <w:szCs w:val="22"/>
        </w:rPr>
        <w:t>v kontrolovanej klinickej skúške u 177 hypertenz</w:t>
      </w:r>
      <w:r>
        <w:rPr>
          <w:szCs w:val="22"/>
        </w:rPr>
        <w:t>ný</w:t>
      </w:r>
      <w:r w:rsidRPr="00036A92">
        <w:rPr>
          <w:szCs w:val="22"/>
        </w:rPr>
        <w:t>ch pediatrických pacientov vo veku 6 až 16 rokov,</w:t>
      </w:r>
    </w:p>
    <w:p w:rsidR="001F33A3" w:rsidRPr="00036A92" w:rsidRDefault="001F33A3" w:rsidP="001F33A3">
      <w:pPr>
        <w:numPr>
          <w:ilvl w:val="0"/>
          <w:numId w:val="7"/>
        </w:numPr>
        <w:tabs>
          <w:tab w:val="clear" w:pos="720"/>
        </w:tabs>
        <w:ind w:left="567" w:hanging="567"/>
        <w:rPr>
          <w:szCs w:val="22"/>
        </w:rPr>
      </w:pPr>
      <w:r w:rsidRPr="00036A92">
        <w:rPr>
          <w:szCs w:val="22"/>
        </w:rPr>
        <w:t>v kontrolovanej klinickej skúške u &gt; 9 000 hypertenz</w:t>
      </w:r>
      <w:r>
        <w:rPr>
          <w:szCs w:val="22"/>
        </w:rPr>
        <w:t>ný</w:t>
      </w:r>
      <w:r w:rsidRPr="00036A92">
        <w:rPr>
          <w:szCs w:val="22"/>
        </w:rPr>
        <w:t>ch pacientov vo veku 55 až 80 rokov s hypertrofiou ľavej komory</w:t>
      </w:r>
      <w:r w:rsidR="00EB5E1B">
        <w:rPr>
          <w:szCs w:val="22"/>
        </w:rPr>
        <w:t xml:space="preserve"> </w:t>
      </w:r>
      <w:r w:rsidR="00EB5E1B" w:rsidRPr="00C501B1">
        <w:rPr>
          <w:szCs w:val="22"/>
        </w:rPr>
        <w:t xml:space="preserve">(štúdia LIFE, </w:t>
      </w:r>
      <w:r w:rsidR="00EB5E1B">
        <w:rPr>
          <w:szCs w:val="22"/>
        </w:rPr>
        <w:t xml:space="preserve">pozri </w:t>
      </w:r>
      <w:r w:rsidR="00EB5E1B" w:rsidRPr="00C501B1">
        <w:rPr>
          <w:szCs w:val="22"/>
        </w:rPr>
        <w:t>časť 5.1)</w:t>
      </w:r>
      <w:r w:rsidRPr="00036A92">
        <w:rPr>
          <w:szCs w:val="22"/>
        </w:rPr>
        <w:t>,</w:t>
      </w:r>
    </w:p>
    <w:p w:rsidR="001F33A3" w:rsidRPr="00036A92" w:rsidRDefault="001F33A3" w:rsidP="001F33A3">
      <w:pPr>
        <w:numPr>
          <w:ilvl w:val="0"/>
          <w:numId w:val="7"/>
        </w:numPr>
        <w:tabs>
          <w:tab w:val="clear" w:pos="720"/>
        </w:tabs>
        <w:ind w:left="567" w:hanging="567"/>
        <w:rPr>
          <w:szCs w:val="22"/>
        </w:rPr>
      </w:pPr>
      <w:r w:rsidRPr="00036A92">
        <w:rPr>
          <w:szCs w:val="22"/>
        </w:rPr>
        <w:t>v kontrolovaných klinických skúškach u &gt; 7 700 dospelých pacientov s chronickým srdcovým zlyhaním</w:t>
      </w:r>
      <w:r w:rsidR="00EB5E1B">
        <w:rPr>
          <w:szCs w:val="22"/>
        </w:rPr>
        <w:t xml:space="preserve"> </w:t>
      </w:r>
      <w:r w:rsidR="00EB5E1B" w:rsidRPr="00ED2231">
        <w:rPr>
          <w:szCs w:val="22"/>
        </w:rPr>
        <w:t xml:space="preserve">(štúdia </w:t>
      </w:r>
      <w:r w:rsidR="00EB5E1B" w:rsidRPr="000A13EE">
        <w:rPr>
          <w:szCs w:val="22"/>
        </w:rPr>
        <w:t>ELITE I, ELITE II a HEAAL</w:t>
      </w:r>
      <w:r w:rsidR="00EB5E1B" w:rsidRPr="00ED2231">
        <w:rPr>
          <w:szCs w:val="22"/>
        </w:rPr>
        <w:t xml:space="preserve">, </w:t>
      </w:r>
      <w:r w:rsidR="00EB5E1B">
        <w:rPr>
          <w:szCs w:val="22"/>
        </w:rPr>
        <w:t xml:space="preserve">pozri </w:t>
      </w:r>
      <w:r w:rsidR="00EB5E1B" w:rsidRPr="00ED2231">
        <w:rPr>
          <w:szCs w:val="22"/>
        </w:rPr>
        <w:t>časť 5.1)</w:t>
      </w:r>
      <w:r w:rsidRPr="00036A92">
        <w:rPr>
          <w:szCs w:val="22"/>
        </w:rPr>
        <w:t>,</w:t>
      </w:r>
    </w:p>
    <w:p w:rsidR="001F33A3" w:rsidRPr="00036A92" w:rsidRDefault="001F33A3" w:rsidP="001F33A3">
      <w:pPr>
        <w:numPr>
          <w:ilvl w:val="0"/>
          <w:numId w:val="7"/>
        </w:numPr>
        <w:tabs>
          <w:tab w:val="clear" w:pos="720"/>
        </w:tabs>
        <w:ind w:left="567" w:hanging="567"/>
        <w:rPr>
          <w:szCs w:val="22"/>
        </w:rPr>
      </w:pPr>
      <w:r w:rsidRPr="00036A92">
        <w:rPr>
          <w:szCs w:val="22"/>
        </w:rPr>
        <w:t>v kontrolovanej klinickej skúške u &gt; 1 500 pacientov s diabetom 2. typu vo veku 31 rokov a starších s</w:t>
      </w:r>
      <w:r w:rsidR="00EB5E1B">
        <w:rPr>
          <w:szCs w:val="22"/>
        </w:rPr>
        <w:t> </w:t>
      </w:r>
      <w:r w:rsidRPr="00036A92">
        <w:rPr>
          <w:szCs w:val="22"/>
        </w:rPr>
        <w:t>proteinúriou</w:t>
      </w:r>
      <w:r w:rsidR="00EB5E1B">
        <w:rPr>
          <w:szCs w:val="22"/>
        </w:rPr>
        <w:t xml:space="preserve"> </w:t>
      </w:r>
      <w:r w:rsidR="00EB5E1B" w:rsidRPr="00C501B1">
        <w:rPr>
          <w:szCs w:val="22"/>
        </w:rPr>
        <w:t xml:space="preserve">(štúdia </w:t>
      </w:r>
      <w:r w:rsidR="00EB5E1B" w:rsidRPr="000A13EE">
        <w:rPr>
          <w:szCs w:val="22"/>
        </w:rPr>
        <w:t>RENAAL</w:t>
      </w:r>
      <w:r w:rsidR="00EB5E1B" w:rsidRPr="00C501B1">
        <w:rPr>
          <w:szCs w:val="22"/>
        </w:rPr>
        <w:t xml:space="preserve">, </w:t>
      </w:r>
      <w:r w:rsidR="00EB5E1B">
        <w:rPr>
          <w:szCs w:val="22"/>
        </w:rPr>
        <w:t xml:space="preserve">pozri </w:t>
      </w:r>
      <w:r w:rsidR="00EB5E1B" w:rsidRPr="00C501B1">
        <w:rPr>
          <w:szCs w:val="22"/>
        </w:rPr>
        <w:t>časť 5.1)</w:t>
      </w:r>
      <w:r w:rsidRPr="00036A92">
        <w:rPr>
          <w:szCs w:val="22"/>
        </w:rPr>
        <w:t>.</w:t>
      </w:r>
    </w:p>
    <w:p w:rsidR="001F33A3" w:rsidRDefault="001F33A3">
      <w:pPr>
        <w:autoSpaceDE w:val="0"/>
        <w:autoSpaceDN w:val="0"/>
        <w:adjustRightInd w:val="0"/>
        <w:rPr>
          <w:szCs w:val="22"/>
        </w:rPr>
      </w:pPr>
    </w:p>
    <w:p w:rsidR="00EB5E1B" w:rsidRPr="005B27B0" w:rsidRDefault="00EB5E1B" w:rsidP="00EB5E1B">
      <w:pPr>
        <w:rPr>
          <w:szCs w:val="22"/>
        </w:rPr>
      </w:pPr>
      <w:r>
        <w:rPr>
          <w:szCs w:val="22"/>
        </w:rPr>
        <w:t xml:space="preserve">V týchto klinických skúšaniach bol najčastejšou nežiaducou </w:t>
      </w:r>
      <w:r w:rsidR="006C07CA">
        <w:rPr>
          <w:szCs w:val="22"/>
        </w:rPr>
        <w:t>udalosťou</w:t>
      </w:r>
      <w:r>
        <w:rPr>
          <w:szCs w:val="22"/>
        </w:rPr>
        <w:t xml:space="preserve"> závrat</w:t>
      </w:r>
      <w:r w:rsidRPr="005B27B0">
        <w:rPr>
          <w:szCs w:val="22"/>
        </w:rPr>
        <w:t>.</w:t>
      </w:r>
    </w:p>
    <w:p w:rsidR="00EB5E1B" w:rsidRDefault="00EB5E1B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 w:rsidP="000A13EE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 xml:space="preserve">Frekvencia nežiaducich </w:t>
      </w:r>
      <w:r w:rsidR="00EB5E1B">
        <w:rPr>
          <w:szCs w:val="22"/>
        </w:rPr>
        <w:t xml:space="preserve">reakcií </w:t>
      </w:r>
      <w:r w:rsidRPr="00A90F21">
        <w:rPr>
          <w:szCs w:val="22"/>
        </w:rPr>
        <w:t>vymenovaných nižšie je stanovená podľa nasledujúcich konvencií:</w:t>
      </w:r>
    </w:p>
    <w:p w:rsidR="00874099" w:rsidRPr="00A90F21" w:rsidRDefault="00874099" w:rsidP="00B77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veľmi časté (≥1/10); časté (≥1/100</w:t>
      </w:r>
      <w:r w:rsidR="00BC2799">
        <w:rPr>
          <w:szCs w:val="22"/>
        </w:rPr>
        <w:t xml:space="preserve"> až </w:t>
      </w:r>
      <w:r w:rsidRPr="00A90F21">
        <w:rPr>
          <w:szCs w:val="22"/>
        </w:rPr>
        <w:t>&lt;1/10); menej časté (≥1/1</w:t>
      </w:r>
      <w:r w:rsidR="00D306E2">
        <w:rPr>
          <w:szCs w:val="22"/>
        </w:rPr>
        <w:t> </w:t>
      </w:r>
      <w:r w:rsidRPr="00A90F21">
        <w:rPr>
          <w:szCs w:val="22"/>
        </w:rPr>
        <w:t>000</w:t>
      </w:r>
      <w:r w:rsidR="00BC2799">
        <w:rPr>
          <w:szCs w:val="22"/>
        </w:rPr>
        <w:t xml:space="preserve"> až</w:t>
      </w:r>
      <w:r w:rsidRPr="00A90F21">
        <w:rPr>
          <w:szCs w:val="22"/>
        </w:rPr>
        <w:t xml:space="preserve"> &lt;1/100); zriedkavé (≥1/</w:t>
      </w:r>
      <w:r w:rsidRPr="00B77609">
        <w:t>10</w:t>
      </w:r>
      <w:r w:rsidR="00D306E2">
        <w:t> </w:t>
      </w:r>
      <w:r w:rsidRPr="00B77609">
        <w:t>000</w:t>
      </w:r>
      <w:r w:rsidR="00BC2799">
        <w:rPr>
          <w:szCs w:val="22"/>
        </w:rPr>
        <w:t xml:space="preserve"> až </w:t>
      </w:r>
      <w:r w:rsidRPr="00A90F21">
        <w:rPr>
          <w:szCs w:val="22"/>
        </w:rPr>
        <w:t>&lt;1/1</w:t>
      </w:r>
      <w:r w:rsidR="00D306E2">
        <w:t> </w:t>
      </w:r>
      <w:r w:rsidRPr="00A90F21">
        <w:rPr>
          <w:szCs w:val="22"/>
        </w:rPr>
        <w:t>000); veľmi zriedkavé (&lt;1/10</w:t>
      </w:r>
      <w:r w:rsidR="00D306E2">
        <w:rPr>
          <w:szCs w:val="22"/>
        </w:rPr>
        <w:t> </w:t>
      </w:r>
      <w:r w:rsidRPr="00A90F21">
        <w:rPr>
          <w:szCs w:val="22"/>
        </w:rPr>
        <w:t>000), neznáme (z dostupných údajov).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EB5E1B" w:rsidRDefault="00EB5E1B" w:rsidP="00EB5E1B">
      <w:pPr>
        <w:pStyle w:val="MGGTextLeft"/>
        <w:rPr>
          <w:b/>
          <w:bCs/>
          <w:sz w:val="22"/>
          <w:szCs w:val="22"/>
          <w:lang w:val="sk-SK"/>
        </w:rPr>
      </w:pPr>
      <w:r w:rsidRPr="007B4E7E">
        <w:rPr>
          <w:b/>
          <w:bCs/>
          <w:sz w:val="22"/>
          <w:szCs w:val="22"/>
          <w:lang w:val="sk-SK"/>
        </w:rPr>
        <w:t xml:space="preserve">Tabuľka 1. Frekvencia nežiaducich </w:t>
      </w:r>
      <w:r w:rsidR="00E50F5C">
        <w:rPr>
          <w:b/>
          <w:bCs/>
          <w:sz w:val="22"/>
          <w:szCs w:val="22"/>
          <w:lang w:val="sk-SK"/>
        </w:rPr>
        <w:t>reakcií</w:t>
      </w:r>
      <w:r w:rsidRPr="007B4E7E">
        <w:rPr>
          <w:b/>
          <w:bCs/>
          <w:sz w:val="22"/>
          <w:szCs w:val="22"/>
          <w:lang w:val="sk-SK"/>
        </w:rPr>
        <w:t xml:space="preserve"> identifi</w:t>
      </w:r>
      <w:r>
        <w:rPr>
          <w:b/>
          <w:bCs/>
          <w:sz w:val="22"/>
          <w:szCs w:val="22"/>
          <w:lang w:val="sk-SK"/>
        </w:rPr>
        <w:t xml:space="preserve">kovaných z </w:t>
      </w:r>
      <w:r w:rsidRPr="007B4E7E">
        <w:rPr>
          <w:b/>
          <w:bCs/>
          <w:sz w:val="22"/>
          <w:szCs w:val="22"/>
          <w:lang w:val="sk-SK"/>
        </w:rPr>
        <w:t>placebo</w:t>
      </w:r>
      <w:r>
        <w:rPr>
          <w:b/>
          <w:bCs/>
          <w:sz w:val="22"/>
          <w:szCs w:val="22"/>
          <w:lang w:val="sk-SK"/>
        </w:rPr>
        <w:t xml:space="preserve">m kontrolovaných štúdií </w:t>
      </w:r>
      <w:r w:rsidRPr="007B4E7E">
        <w:rPr>
          <w:b/>
          <w:bCs/>
          <w:sz w:val="22"/>
          <w:szCs w:val="22"/>
          <w:lang w:val="sk-SK"/>
        </w:rPr>
        <w:t>a</w:t>
      </w:r>
      <w:r>
        <w:rPr>
          <w:b/>
          <w:bCs/>
          <w:sz w:val="22"/>
          <w:szCs w:val="22"/>
          <w:lang w:val="sk-SK"/>
        </w:rPr>
        <w:t xml:space="preserve"> zo skúseností po uvedení lieku na trh</w:t>
      </w:r>
    </w:p>
    <w:p w:rsidR="00EB5E1B" w:rsidRDefault="00EB5E1B" w:rsidP="00EB5E1B">
      <w:pPr>
        <w:pStyle w:val="MGGTextLeft"/>
        <w:rPr>
          <w:sz w:val="22"/>
          <w:szCs w:val="22"/>
          <w:lang w:val="sk-SK"/>
        </w:rPr>
      </w:pPr>
    </w:p>
    <w:tbl>
      <w:tblPr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401"/>
        <w:gridCol w:w="1561"/>
        <w:gridCol w:w="1235"/>
        <w:gridCol w:w="1401"/>
        <w:gridCol w:w="1301"/>
      </w:tblGrid>
      <w:tr w:rsidR="00EB5E1B" w:rsidRPr="007B4E7E" w:rsidTr="00E34EAB">
        <w:tc>
          <w:tcPr>
            <w:tcW w:w="2270" w:type="dxa"/>
          </w:tcPr>
          <w:p w:rsidR="00EB5E1B" w:rsidRPr="007B4E7E" w:rsidRDefault="00EB5E1B" w:rsidP="006E31EF">
            <w:pPr>
              <w:pStyle w:val="MGGTextLeft"/>
              <w:rPr>
                <w:b/>
                <w:sz w:val="22"/>
                <w:szCs w:val="22"/>
                <w:lang w:val="sk-SK"/>
              </w:rPr>
            </w:pPr>
            <w:r w:rsidRPr="007B4E7E">
              <w:rPr>
                <w:b/>
                <w:sz w:val="22"/>
                <w:szCs w:val="22"/>
                <w:lang w:val="sk-SK"/>
              </w:rPr>
              <w:lastRenderedPageBreak/>
              <w:t>Nežiaduc</w:t>
            </w:r>
            <w:r w:rsidR="00E50F5C">
              <w:rPr>
                <w:b/>
                <w:sz w:val="22"/>
                <w:szCs w:val="22"/>
                <w:lang w:val="sk-SK"/>
              </w:rPr>
              <w:t>a</w:t>
            </w:r>
            <w:r w:rsidRPr="007B4E7E">
              <w:rPr>
                <w:b/>
                <w:sz w:val="22"/>
                <w:szCs w:val="22"/>
                <w:lang w:val="sk-SK"/>
              </w:rPr>
              <w:t xml:space="preserve"> </w:t>
            </w:r>
            <w:r w:rsidR="00E50F5C">
              <w:rPr>
                <w:b/>
                <w:sz w:val="22"/>
                <w:szCs w:val="22"/>
                <w:lang w:val="sk-SK"/>
              </w:rPr>
              <w:t>reakcia</w:t>
            </w:r>
            <w:r w:rsidRPr="007B4E7E">
              <w:rPr>
                <w:b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5598" w:type="dxa"/>
            <w:gridSpan w:val="4"/>
          </w:tcPr>
          <w:p w:rsidR="00EB5E1B" w:rsidRPr="007B4E7E" w:rsidRDefault="00EB5E1B" w:rsidP="00386D43">
            <w:pPr>
              <w:pStyle w:val="MGGTextLeft"/>
              <w:rPr>
                <w:b/>
                <w:sz w:val="22"/>
                <w:szCs w:val="22"/>
                <w:lang w:val="sk-SK"/>
              </w:rPr>
            </w:pPr>
            <w:r w:rsidRPr="007B4E7E">
              <w:rPr>
                <w:b/>
                <w:sz w:val="22"/>
                <w:szCs w:val="22"/>
                <w:lang w:val="sk-SK"/>
              </w:rPr>
              <w:t>Fre</w:t>
            </w:r>
            <w:r>
              <w:rPr>
                <w:b/>
                <w:sz w:val="22"/>
                <w:szCs w:val="22"/>
                <w:lang w:val="sk-SK"/>
              </w:rPr>
              <w:t>kvencia nežiaduce</w:t>
            </w:r>
            <w:r w:rsidR="00856BC2">
              <w:rPr>
                <w:b/>
                <w:sz w:val="22"/>
                <w:szCs w:val="22"/>
                <w:lang w:val="sk-SK"/>
              </w:rPr>
              <w:t>j</w:t>
            </w:r>
            <w:r>
              <w:rPr>
                <w:b/>
                <w:sz w:val="22"/>
                <w:szCs w:val="22"/>
                <w:lang w:val="sk-SK"/>
              </w:rPr>
              <w:t xml:space="preserve"> </w:t>
            </w:r>
            <w:r w:rsidR="00856BC2">
              <w:rPr>
                <w:b/>
                <w:sz w:val="22"/>
                <w:szCs w:val="22"/>
                <w:lang w:val="sk-SK"/>
              </w:rPr>
              <w:t>reakcie</w:t>
            </w:r>
            <w:r>
              <w:rPr>
                <w:b/>
                <w:sz w:val="22"/>
                <w:szCs w:val="22"/>
                <w:lang w:val="sk-SK"/>
              </w:rPr>
              <w:t xml:space="preserve"> v indikácii </w:t>
            </w:r>
          </w:p>
        </w:tc>
        <w:tc>
          <w:tcPr>
            <w:tcW w:w="1301" w:type="dxa"/>
          </w:tcPr>
          <w:p w:rsidR="00EB5E1B" w:rsidRPr="007B4E7E" w:rsidRDefault="00EB5E1B" w:rsidP="00E34EAB">
            <w:pPr>
              <w:pStyle w:val="MGGTextLeft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Iné</w:t>
            </w:r>
          </w:p>
        </w:tc>
      </w:tr>
      <w:tr w:rsidR="00EB5E1B" w:rsidRPr="00815DC8" w:rsidTr="00E34EAB">
        <w:tc>
          <w:tcPr>
            <w:tcW w:w="2270" w:type="dxa"/>
          </w:tcPr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815DC8">
              <w:rPr>
                <w:b/>
                <w:bCs/>
                <w:sz w:val="22"/>
                <w:szCs w:val="22"/>
                <w:lang w:val="sk-SK"/>
              </w:rPr>
              <w:t>Hyperten</w:t>
            </w:r>
            <w:r w:rsidRPr="00ED2231">
              <w:rPr>
                <w:b/>
                <w:bCs/>
                <w:sz w:val="22"/>
                <w:szCs w:val="22"/>
                <w:lang w:val="sk-SK"/>
              </w:rPr>
              <w:t>zia</w:t>
            </w:r>
          </w:p>
        </w:tc>
        <w:tc>
          <w:tcPr>
            <w:tcW w:w="1561" w:type="dxa"/>
          </w:tcPr>
          <w:p w:rsidR="00EB5E1B" w:rsidRPr="00815DC8" w:rsidRDefault="00EB5E1B" w:rsidP="00E34EAB">
            <w:pPr>
              <w:pStyle w:val="MGGTextLeft"/>
              <w:rPr>
                <w:b/>
                <w:sz w:val="22"/>
                <w:szCs w:val="22"/>
                <w:lang w:val="sk-SK"/>
              </w:rPr>
            </w:pPr>
            <w:r w:rsidRPr="00815DC8">
              <w:rPr>
                <w:b/>
                <w:sz w:val="22"/>
                <w:szCs w:val="22"/>
                <w:lang w:val="sk-SK"/>
              </w:rPr>
              <w:t>Hypertenzn</w:t>
            </w:r>
            <w:r>
              <w:rPr>
                <w:b/>
                <w:sz w:val="22"/>
                <w:szCs w:val="22"/>
                <w:lang w:val="sk-SK"/>
              </w:rPr>
              <w:t>í</w:t>
            </w:r>
            <w:r w:rsidRPr="00815DC8">
              <w:rPr>
                <w:b/>
                <w:sz w:val="22"/>
                <w:szCs w:val="22"/>
                <w:lang w:val="sk-SK"/>
              </w:rPr>
              <w:t xml:space="preserve"> pacienti s hypertrofiou ľavej komory</w:t>
            </w:r>
          </w:p>
        </w:tc>
        <w:tc>
          <w:tcPr>
            <w:tcW w:w="1235" w:type="dxa"/>
          </w:tcPr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815DC8">
              <w:rPr>
                <w:b/>
                <w:bCs/>
                <w:sz w:val="22"/>
                <w:szCs w:val="22"/>
                <w:lang w:val="sk-SK"/>
              </w:rPr>
              <w:t>Chronic</w:t>
            </w:r>
            <w:r w:rsidRPr="00ED2231">
              <w:rPr>
                <w:b/>
                <w:bCs/>
                <w:sz w:val="22"/>
                <w:szCs w:val="22"/>
                <w:lang w:val="sk-SK"/>
              </w:rPr>
              <w:t xml:space="preserve">ké </w:t>
            </w:r>
            <w:r w:rsidRPr="00D50806">
              <w:rPr>
                <w:b/>
                <w:bCs/>
                <w:sz w:val="22"/>
                <w:szCs w:val="22"/>
                <w:lang w:val="sk-SK"/>
              </w:rPr>
              <w:t>srd</w:t>
            </w:r>
            <w:r w:rsidRPr="00F71D5D">
              <w:rPr>
                <w:b/>
                <w:bCs/>
                <w:sz w:val="22"/>
                <w:szCs w:val="22"/>
                <w:lang w:val="sk-SK"/>
              </w:rPr>
              <w:t xml:space="preserve">cové   </w:t>
            </w:r>
            <w:r w:rsidRPr="00474AA5">
              <w:rPr>
                <w:b/>
                <w:bCs/>
                <w:sz w:val="22"/>
                <w:szCs w:val="22"/>
                <w:lang w:val="sk-SK"/>
              </w:rPr>
              <w:t xml:space="preserve">zlyhanie </w:t>
            </w:r>
          </w:p>
        </w:tc>
        <w:tc>
          <w:tcPr>
            <w:tcW w:w="1401" w:type="dxa"/>
          </w:tcPr>
          <w:p w:rsidR="00EB5E1B" w:rsidRPr="00815DC8" w:rsidRDefault="00EB5E1B" w:rsidP="00E34EAB">
            <w:pPr>
              <w:pStyle w:val="MGGTextLeft"/>
              <w:rPr>
                <w:b/>
                <w:bCs/>
                <w:sz w:val="22"/>
                <w:szCs w:val="22"/>
                <w:lang w:val="sk-SK"/>
              </w:rPr>
            </w:pPr>
            <w:r w:rsidRPr="00815DC8">
              <w:rPr>
                <w:b/>
                <w:bCs/>
                <w:sz w:val="22"/>
                <w:szCs w:val="22"/>
                <w:lang w:val="sk-SK"/>
              </w:rPr>
              <w:t>Hyperten</w:t>
            </w:r>
            <w:r w:rsidRPr="00ED2231">
              <w:rPr>
                <w:b/>
                <w:bCs/>
                <w:sz w:val="22"/>
                <w:szCs w:val="22"/>
                <w:lang w:val="sk-SK"/>
              </w:rPr>
              <w:t xml:space="preserve">zia </w:t>
            </w:r>
            <w:r w:rsidRPr="00815DC8">
              <w:rPr>
                <w:b/>
                <w:bCs/>
                <w:sz w:val="22"/>
                <w:szCs w:val="22"/>
                <w:lang w:val="sk-SK"/>
              </w:rPr>
              <w:t>a</w:t>
            </w:r>
            <w:r w:rsidRPr="00ED2231">
              <w:rPr>
                <w:b/>
                <w:bCs/>
                <w:sz w:val="22"/>
                <w:szCs w:val="22"/>
                <w:lang w:val="sk-SK"/>
              </w:rPr>
              <w:t xml:space="preserve"> diabetes 2. </w:t>
            </w:r>
            <w:r w:rsidRPr="00815DC8">
              <w:rPr>
                <w:b/>
                <w:bCs/>
                <w:sz w:val="22"/>
                <w:szCs w:val="22"/>
                <w:lang w:val="sk-SK"/>
              </w:rPr>
              <w:t>typ</w:t>
            </w:r>
            <w:r w:rsidRPr="00ED2231">
              <w:rPr>
                <w:b/>
                <w:bCs/>
                <w:sz w:val="22"/>
                <w:szCs w:val="22"/>
                <w:lang w:val="sk-SK"/>
              </w:rPr>
              <w:t xml:space="preserve">u </w:t>
            </w:r>
          </w:p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b/>
                <w:bCs/>
                <w:sz w:val="22"/>
                <w:szCs w:val="22"/>
                <w:lang w:val="sk-SK"/>
              </w:rPr>
              <w:t>s ochorením obličiek</w:t>
            </w:r>
          </w:p>
        </w:tc>
        <w:tc>
          <w:tcPr>
            <w:tcW w:w="1301" w:type="dxa"/>
          </w:tcPr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b/>
                <w:bCs/>
                <w:sz w:val="22"/>
                <w:szCs w:val="22"/>
                <w:lang w:val="sk-SK"/>
              </w:rPr>
              <w:t>Skúsenosti po uvedení lieku na trh</w:t>
            </w:r>
          </w:p>
        </w:tc>
      </w:tr>
      <w:tr w:rsidR="00EB5E1B" w:rsidRPr="00815DC8" w:rsidTr="00E34EAB">
        <w:tc>
          <w:tcPr>
            <w:tcW w:w="9169" w:type="dxa"/>
            <w:gridSpan w:val="6"/>
          </w:tcPr>
          <w:p w:rsidR="00EB5E1B" w:rsidRPr="00815DC8" w:rsidRDefault="00EB5E1B" w:rsidP="00E34EAB">
            <w:pPr>
              <w:pStyle w:val="MGGTextLeft"/>
              <w:rPr>
                <w:b/>
                <w:sz w:val="22"/>
                <w:szCs w:val="22"/>
                <w:lang w:val="sk-SK"/>
              </w:rPr>
            </w:pPr>
            <w:r w:rsidRPr="00815DC8">
              <w:rPr>
                <w:b/>
                <w:bCs/>
                <w:sz w:val="22"/>
                <w:szCs w:val="22"/>
                <w:lang w:val="sk-SK"/>
              </w:rPr>
              <w:t>Poruchy krvi a lymfatického systému</w:t>
            </w:r>
            <w:r w:rsidRPr="00ED2231">
              <w:rPr>
                <w:b/>
                <w:sz w:val="22"/>
                <w:szCs w:val="22"/>
                <w:lang w:val="sk-SK"/>
              </w:rPr>
              <w:t xml:space="preserve"> </w:t>
            </w:r>
          </w:p>
        </w:tc>
      </w:tr>
      <w:tr w:rsidR="00EB5E1B" w:rsidRPr="00815DC8" w:rsidTr="00E34EAB">
        <w:tc>
          <w:tcPr>
            <w:tcW w:w="2270" w:type="dxa"/>
          </w:tcPr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 xml:space="preserve">anémia </w:t>
            </w:r>
          </w:p>
        </w:tc>
        <w:tc>
          <w:tcPr>
            <w:tcW w:w="1401" w:type="dxa"/>
          </w:tcPr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1401" w:type="dxa"/>
          </w:tcPr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B374FD">
              <w:rPr>
                <w:sz w:val="22"/>
                <w:szCs w:val="22"/>
                <w:lang w:val="sk-SK"/>
              </w:rPr>
              <w:t>frekvencia neznáma</w:t>
            </w:r>
          </w:p>
        </w:tc>
      </w:tr>
      <w:tr w:rsidR="00EB5E1B" w:rsidRPr="00815DC8" w:rsidTr="00E34EAB">
        <w:tc>
          <w:tcPr>
            <w:tcW w:w="2270" w:type="dxa"/>
          </w:tcPr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t</w:t>
            </w:r>
            <w:r w:rsidRPr="00815DC8">
              <w:rPr>
                <w:sz w:val="22"/>
                <w:szCs w:val="22"/>
                <w:lang w:val="sk-SK"/>
              </w:rPr>
              <w:t>rombocytop</w:t>
            </w:r>
            <w:r w:rsidRPr="00ED2231">
              <w:rPr>
                <w:sz w:val="22"/>
                <w:szCs w:val="22"/>
                <w:lang w:val="sk-SK"/>
              </w:rPr>
              <w:t xml:space="preserve">énia </w:t>
            </w:r>
          </w:p>
        </w:tc>
        <w:tc>
          <w:tcPr>
            <w:tcW w:w="1401" w:type="dxa"/>
          </w:tcPr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frekvencia neznáma</w:t>
            </w:r>
          </w:p>
        </w:tc>
      </w:tr>
      <w:tr w:rsidR="00EB5E1B" w:rsidRPr="00815DC8" w:rsidTr="00E34EAB">
        <w:tc>
          <w:tcPr>
            <w:tcW w:w="9169" w:type="dxa"/>
            <w:gridSpan w:val="6"/>
          </w:tcPr>
          <w:p w:rsidR="00EB5E1B" w:rsidRPr="00815DC8" w:rsidRDefault="00EB5E1B" w:rsidP="00E34EAB">
            <w:pPr>
              <w:pStyle w:val="MGGTextLeft"/>
              <w:rPr>
                <w:b/>
                <w:sz w:val="22"/>
                <w:szCs w:val="22"/>
                <w:lang w:val="sk-SK"/>
              </w:rPr>
            </w:pPr>
            <w:r w:rsidRPr="00815DC8">
              <w:rPr>
                <w:b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EB5E1B" w:rsidRPr="00815DC8" w:rsidTr="00E34EAB">
        <w:tc>
          <w:tcPr>
            <w:tcW w:w="2270" w:type="dxa"/>
          </w:tcPr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815DC8">
              <w:rPr>
                <w:sz w:val="22"/>
                <w:szCs w:val="22"/>
                <w:lang w:val="sk-SK"/>
              </w:rPr>
              <w:t>Reakcie precitlivenosti,</w:t>
            </w:r>
          </w:p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815DC8">
              <w:rPr>
                <w:sz w:val="22"/>
                <w:szCs w:val="22"/>
                <w:lang w:val="sk-SK"/>
              </w:rPr>
              <w:t>anafylaktické reakcie,</w:t>
            </w:r>
          </w:p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815DC8">
              <w:rPr>
                <w:sz w:val="22"/>
                <w:szCs w:val="22"/>
                <w:lang w:val="sk-SK"/>
              </w:rPr>
              <w:t>angioedém*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815DC8">
              <w:rPr>
                <w:sz w:val="22"/>
                <w:szCs w:val="22"/>
                <w:lang w:val="sk-SK"/>
              </w:rPr>
              <w:t>a</w:t>
            </w:r>
            <w:r w:rsidRPr="00ED2231">
              <w:rPr>
                <w:sz w:val="22"/>
                <w:szCs w:val="22"/>
                <w:lang w:val="sk-SK"/>
              </w:rPr>
              <w:t xml:space="preserve"> </w:t>
            </w:r>
          </w:p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815DC8">
              <w:rPr>
                <w:sz w:val="22"/>
                <w:szCs w:val="22"/>
                <w:lang w:val="sk-SK"/>
              </w:rPr>
              <w:t>vaskulitída **</w:t>
            </w:r>
          </w:p>
        </w:tc>
        <w:tc>
          <w:tcPr>
            <w:tcW w:w="1401" w:type="dxa"/>
          </w:tcPr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815DC8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815DC8">
              <w:rPr>
                <w:sz w:val="22"/>
                <w:szCs w:val="22"/>
                <w:lang w:val="sk-SK"/>
              </w:rPr>
              <w:t>zriedkavé</w:t>
            </w:r>
          </w:p>
        </w:tc>
      </w:tr>
      <w:tr w:rsidR="00EB5E1B" w:rsidRPr="00092F2C" w:rsidTr="00E34EAB">
        <w:tc>
          <w:tcPr>
            <w:tcW w:w="9169" w:type="dxa"/>
            <w:gridSpan w:val="6"/>
          </w:tcPr>
          <w:p w:rsidR="00EB5E1B" w:rsidRPr="00092F2C" w:rsidRDefault="00EB5E1B" w:rsidP="00E34EAB">
            <w:pPr>
              <w:pStyle w:val="MGGTextLeft"/>
              <w:rPr>
                <w:b/>
                <w:sz w:val="22"/>
                <w:szCs w:val="22"/>
                <w:lang w:val="sk-SK"/>
              </w:rPr>
            </w:pPr>
            <w:r w:rsidRPr="00092F2C">
              <w:rPr>
                <w:b/>
                <w:bCs/>
                <w:sz w:val="22"/>
                <w:szCs w:val="22"/>
                <w:lang w:val="sk-SK"/>
              </w:rPr>
              <w:t>Psychické poruchy</w:t>
            </w:r>
          </w:p>
        </w:tc>
      </w:tr>
      <w:tr w:rsidR="00EB5E1B" w:rsidRPr="00092F2C" w:rsidTr="00E34EAB">
        <w:tc>
          <w:tcPr>
            <w:tcW w:w="2270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092F2C">
              <w:rPr>
                <w:sz w:val="22"/>
                <w:szCs w:val="22"/>
                <w:lang w:val="sk-SK"/>
              </w:rPr>
              <w:t>depresia</w:t>
            </w:r>
          </w:p>
        </w:tc>
        <w:tc>
          <w:tcPr>
            <w:tcW w:w="14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frekvencia neznáma</w:t>
            </w:r>
          </w:p>
        </w:tc>
      </w:tr>
      <w:tr w:rsidR="00EB5E1B" w:rsidRPr="00092F2C" w:rsidTr="00E34EAB">
        <w:tc>
          <w:tcPr>
            <w:tcW w:w="9169" w:type="dxa"/>
            <w:gridSpan w:val="6"/>
          </w:tcPr>
          <w:p w:rsidR="00EB5E1B" w:rsidRPr="00092F2C" w:rsidRDefault="00EB5E1B" w:rsidP="00E34EAB">
            <w:pPr>
              <w:pStyle w:val="MGGTextLeft"/>
              <w:rPr>
                <w:b/>
                <w:sz w:val="22"/>
                <w:szCs w:val="22"/>
                <w:lang w:val="sk-SK"/>
              </w:rPr>
            </w:pPr>
            <w:r w:rsidRPr="00092F2C">
              <w:rPr>
                <w:b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EB5E1B" w:rsidRPr="00092F2C" w:rsidTr="00E34EAB">
        <w:tc>
          <w:tcPr>
            <w:tcW w:w="2270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092F2C">
              <w:rPr>
                <w:sz w:val="22"/>
                <w:szCs w:val="22"/>
                <w:lang w:val="sk-SK"/>
              </w:rPr>
              <w:t>závrat</w:t>
            </w:r>
          </w:p>
        </w:tc>
        <w:tc>
          <w:tcPr>
            <w:tcW w:w="14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092F2C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56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092F2C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235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092F2C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4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092F2C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3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092F2C" w:rsidTr="00E34EAB">
        <w:tc>
          <w:tcPr>
            <w:tcW w:w="2270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092F2C">
              <w:rPr>
                <w:sz w:val="22"/>
                <w:szCs w:val="22"/>
                <w:lang w:val="sk-SK"/>
              </w:rPr>
              <w:t>somnolencia</w:t>
            </w:r>
          </w:p>
        </w:tc>
        <w:tc>
          <w:tcPr>
            <w:tcW w:w="14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092F2C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56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092F2C" w:rsidTr="00E34EAB">
        <w:tc>
          <w:tcPr>
            <w:tcW w:w="2270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092F2C">
              <w:rPr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14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092F2C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56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092F2C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4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092F2C" w:rsidTr="00E34EAB">
        <w:tc>
          <w:tcPr>
            <w:tcW w:w="2270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092F2C">
              <w:rPr>
                <w:sz w:val="22"/>
                <w:szCs w:val="22"/>
                <w:lang w:val="sk-SK"/>
              </w:rPr>
              <w:t>poruchy spánku</w:t>
            </w:r>
          </w:p>
        </w:tc>
        <w:tc>
          <w:tcPr>
            <w:tcW w:w="14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092F2C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56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092F2C" w:rsidTr="00E34EAB">
        <w:tc>
          <w:tcPr>
            <w:tcW w:w="2270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092F2C">
              <w:rPr>
                <w:sz w:val="22"/>
                <w:szCs w:val="22"/>
                <w:lang w:val="sk-SK"/>
              </w:rPr>
              <w:t>parestézia</w:t>
            </w:r>
          </w:p>
        </w:tc>
        <w:tc>
          <w:tcPr>
            <w:tcW w:w="14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4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092F2C" w:rsidTr="00E34EAB">
        <w:tc>
          <w:tcPr>
            <w:tcW w:w="2270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m</w:t>
            </w:r>
            <w:r w:rsidRPr="00092F2C">
              <w:rPr>
                <w:sz w:val="22"/>
                <w:szCs w:val="22"/>
                <w:lang w:val="sk-SK"/>
              </w:rPr>
              <w:t>igr</w:t>
            </w:r>
            <w:r w:rsidRPr="00ED2231">
              <w:rPr>
                <w:sz w:val="22"/>
                <w:szCs w:val="22"/>
                <w:lang w:val="sk-SK"/>
              </w:rPr>
              <w:t xml:space="preserve">éna </w:t>
            </w:r>
          </w:p>
        </w:tc>
        <w:tc>
          <w:tcPr>
            <w:tcW w:w="14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frekvencia neznáma</w:t>
            </w:r>
          </w:p>
        </w:tc>
      </w:tr>
      <w:tr w:rsidR="00EB5E1B" w:rsidRPr="00092F2C" w:rsidTr="00E34EAB">
        <w:tc>
          <w:tcPr>
            <w:tcW w:w="2270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Pr="00092F2C">
              <w:rPr>
                <w:sz w:val="22"/>
                <w:szCs w:val="22"/>
                <w:lang w:val="sk-SK"/>
              </w:rPr>
              <w:t>ysge</w:t>
            </w:r>
            <w:r>
              <w:rPr>
                <w:sz w:val="22"/>
                <w:szCs w:val="22"/>
                <w:lang w:val="sk-SK"/>
              </w:rPr>
              <w:t>úzia</w:t>
            </w:r>
          </w:p>
        </w:tc>
        <w:tc>
          <w:tcPr>
            <w:tcW w:w="14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092F2C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frekvencia neznáma</w:t>
            </w:r>
          </w:p>
        </w:tc>
      </w:tr>
      <w:tr w:rsidR="00EB5E1B" w:rsidRPr="000842A1" w:rsidTr="00E34EAB">
        <w:tc>
          <w:tcPr>
            <w:tcW w:w="9169" w:type="dxa"/>
            <w:gridSpan w:val="6"/>
          </w:tcPr>
          <w:p w:rsidR="00EB5E1B" w:rsidRPr="000842A1" w:rsidRDefault="00EB5E1B" w:rsidP="00E34EAB">
            <w:pPr>
              <w:pStyle w:val="MGGTextLeft"/>
              <w:rPr>
                <w:b/>
                <w:sz w:val="22"/>
                <w:szCs w:val="22"/>
                <w:lang w:val="sk-SK"/>
              </w:rPr>
            </w:pPr>
            <w:r w:rsidRPr="000842A1">
              <w:rPr>
                <w:b/>
                <w:iCs/>
                <w:sz w:val="22"/>
                <w:szCs w:val="22"/>
                <w:lang w:val="sk-SK"/>
              </w:rPr>
              <w:t>Poruchy ucha a labyrintu</w:t>
            </w:r>
          </w:p>
        </w:tc>
      </w:tr>
      <w:tr w:rsidR="00EB5E1B" w:rsidRPr="000842A1" w:rsidTr="00E34EAB">
        <w:tc>
          <w:tcPr>
            <w:tcW w:w="2270" w:type="dxa"/>
          </w:tcPr>
          <w:p w:rsidR="00EB5E1B" w:rsidRPr="000842A1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0842A1">
              <w:rPr>
                <w:sz w:val="22"/>
                <w:szCs w:val="22"/>
                <w:lang w:val="sk-SK"/>
              </w:rPr>
              <w:t>vertigo</w:t>
            </w:r>
          </w:p>
        </w:tc>
        <w:tc>
          <w:tcPr>
            <w:tcW w:w="1401" w:type="dxa"/>
          </w:tcPr>
          <w:p w:rsidR="00EB5E1B" w:rsidRPr="000842A1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561" w:type="dxa"/>
          </w:tcPr>
          <w:p w:rsidR="00EB5E1B" w:rsidRPr="000842A1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235" w:type="dxa"/>
          </w:tcPr>
          <w:p w:rsidR="00EB5E1B" w:rsidRPr="000842A1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0842A1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0842A1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0842A1" w:rsidTr="00E34EAB">
        <w:tc>
          <w:tcPr>
            <w:tcW w:w="2270" w:type="dxa"/>
          </w:tcPr>
          <w:p w:rsidR="00EB5E1B" w:rsidRPr="000842A1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0842A1">
              <w:rPr>
                <w:sz w:val="22"/>
                <w:szCs w:val="22"/>
                <w:lang w:val="sk-SK"/>
              </w:rPr>
              <w:t>tinnitus</w:t>
            </w:r>
          </w:p>
        </w:tc>
        <w:tc>
          <w:tcPr>
            <w:tcW w:w="1401" w:type="dxa"/>
          </w:tcPr>
          <w:p w:rsidR="00EB5E1B" w:rsidRPr="000842A1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0842A1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0842A1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0842A1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0842A1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frekvencia neznáma</w:t>
            </w:r>
          </w:p>
        </w:tc>
      </w:tr>
      <w:tr w:rsidR="00EB5E1B" w:rsidRPr="007B4E7E" w:rsidTr="00E34EAB">
        <w:tc>
          <w:tcPr>
            <w:tcW w:w="9169" w:type="dxa"/>
            <w:gridSpan w:val="6"/>
          </w:tcPr>
          <w:p w:rsidR="00EB5E1B" w:rsidRPr="00AB47D7" w:rsidRDefault="00EB5E1B" w:rsidP="00E34EAB">
            <w:pPr>
              <w:pStyle w:val="MGGTextLeft"/>
              <w:rPr>
                <w:b/>
                <w:sz w:val="22"/>
                <w:szCs w:val="22"/>
                <w:lang w:val="sk-SK"/>
              </w:rPr>
            </w:pPr>
            <w:r w:rsidRPr="00AB47D7">
              <w:rPr>
                <w:b/>
                <w:sz w:val="22"/>
                <w:szCs w:val="22"/>
                <w:lang w:val="sk-SK"/>
              </w:rPr>
              <w:t>Poruchy srdca a srdcovej činnosti</w:t>
            </w:r>
          </w:p>
        </w:tc>
      </w:tr>
      <w:tr w:rsidR="00EB5E1B" w:rsidRPr="007B4E7E" w:rsidTr="00E34EAB">
        <w:tc>
          <w:tcPr>
            <w:tcW w:w="2270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AB47D7">
              <w:rPr>
                <w:sz w:val="22"/>
                <w:szCs w:val="22"/>
                <w:lang w:val="sk-SK"/>
              </w:rPr>
              <w:t>palpitácie</w:t>
            </w: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56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7B4E7E" w:rsidTr="00E34EAB">
        <w:tc>
          <w:tcPr>
            <w:tcW w:w="2270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AB47D7">
              <w:rPr>
                <w:sz w:val="22"/>
                <w:szCs w:val="22"/>
                <w:lang w:val="sk-SK"/>
              </w:rPr>
              <w:t>angina pectoris</w:t>
            </w: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56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7B4E7E" w:rsidTr="00E34EAB">
        <w:tc>
          <w:tcPr>
            <w:tcW w:w="2270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AB47D7">
              <w:rPr>
                <w:sz w:val="22"/>
                <w:szCs w:val="22"/>
                <w:lang w:val="sk-SK"/>
              </w:rPr>
              <w:t>synkopa</w:t>
            </w: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7B4E7E" w:rsidTr="00E34EAB">
        <w:tc>
          <w:tcPr>
            <w:tcW w:w="2270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AB47D7">
              <w:rPr>
                <w:sz w:val="22"/>
                <w:szCs w:val="22"/>
                <w:lang w:val="sk-SK"/>
              </w:rPr>
              <w:t>atriálna fibrilácia</w:t>
            </w: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7B4E7E" w:rsidTr="00E34EAB">
        <w:tc>
          <w:tcPr>
            <w:tcW w:w="2270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AB47D7">
              <w:rPr>
                <w:sz w:val="22"/>
                <w:szCs w:val="22"/>
                <w:lang w:val="sk-SK"/>
              </w:rPr>
              <w:t>cerebrovaskulárna príhoda</w:t>
            </w: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7B4E7E" w:rsidTr="00E34EAB">
        <w:tc>
          <w:tcPr>
            <w:tcW w:w="9169" w:type="dxa"/>
            <w:gridSpan w:val="6"/>
          </w:tcPr>
          <w:p w:rsidR="00EB5E1B" w:rsidRPr="00AB47D7" w:rsidRDefault="00EB5E1B" w:rsidP="00E34EAB">
            <w:pPr>
              <w:pStyle w:val="MGGTextLeft"/>
              <w:rPr>
                <w:b/>
                <w:sz w:val="22"/>
                <w:szCs w:val="22"/>
                <w:lang w:val="sk-SK"/>
              </w:rPr>
            </w:pPr>
            <w:r w:rsidRPr="00AB47D7">
              <w:rPr>
                <w:b/>
                <w:sz w:val="22"/>
                <w:szCs w:val="22"/>
                <w:lang w:val="sk-SK"/>
              </w:rPr>
              <w:t>Poruchy ciev</w:t>
            </w:r>
          </w:p>
        </w:tc>
      </w:tr>
      <w:tr w:rsidR="00EB5E1B" w:rsidRPr="007B4E7E" w:rsidTr="00E34EAB">
        <w:tc>
          <w:tcPr>
            <w:tcW w:w="2270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AB47D7">
              <w:rPr>
                <w:sz w:val="22"/>
                <w:szCs w:val="22"/>
                <w:lang w:val="sk-SK"/>
              </w:rPr>
              <w:t>(ortostatic</w:t>
            </w:r>
            <w:r w:rsidRPr="00ED2231">
              <w:rPr>
                <w:sz w:val="22"/>
                <w:szCs w:val="22"/>
                <w:lang w:val="sk-SK"/>
              </w:rPr>
              <w:t>ká</w:t>
            </w:r>
            <w:r w:rsidRPr="00AB47D7">
              <w:rPr>
                <w:sz w:val="22"/>
                <w:szCs w:val="22"/>
                <w:lang w:val="sk-SK"/>
              </w:rPr>
              <w:t>) hypoten</w:t>
            </w:r>
            <w:r w:rsidRPr="00ED2231">
              <w:rPr>
                <w:sz w:val="22"/>
                <w:szCs w:val="22"/>
                <w:lang w:val="sk-SK"/>
              </w:rPr>
              <w:t>zia</w:t>
            </w:r>
          </w:p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AB47D7">
              <w:rPr>
                <w:sz w:val="22"/>
                <w:szCs w:val="22"/>
                <w:lang w:val="sk-SK"/>
              </w:rPr>
              <w:t>(</w:t>
            </w:r>
            <w:r w:rsidRPr="00ED2231">
              <w:rPr>
                <w:sz w:val="22"/>
                <w:szCs w:val="22"/>
                <w:lang w:val="sk-SK"/>
              </w:rPr>
              <w:t xml:space="preserve">vrátane </w:t>
            </w:r>
            <w:r w:rsidRPr="00AB47D7">
              <w:rPr>
                <w:sz w:val="22"/>
                <w:szCs w:val="22"/>
                <w:lang w:val="sk-SK"/>
              </w:rPr>
              <w:t>ortostatických  účinkov súvisiacich s dávkou)║</w:t>
            </w: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56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3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AB47D7" w:rsidTr="00E34EAB">
        <w:tc>
          <w:tcPr>
            <w:tcW w:w="9169" w:type="dxa"/>
            <w:gridSpan w:val="6"/>
          </w:tcPr>
          <w:p w:rsidR="00EB5E1B" w:rsidRPr="00AB47D7" w:rsidRDefault="00EB5E1B" w:rsidP="00E34EAB">
            <w:pPr>
              <w:pStyle w:val="MGGTextLeft"/>
              <w:rPr>
                <w:b/>
                <w:sz w:val="22"/>
                <w:szCs w:val="22"/>
                <w:lang w:val="sk-SK"/>
              </w:rPr>
            </w:pPr>
            <w:r w:rsidRPr="00AB47D7">
              <w:rPr>
                <w:b/>
                <w:iCs/>
                <w:sz w:val="22"/>
                <w:szCs w:val="22"/>
                <w:lang w:val="sk-SK"/>
              </w:rPr>
              <w:t>Poruchy dýchacej sústavy, hrudníka a mediastína</w:t>
            </w:r>
          </w:p>
        </w:tc>
      </w:tr>
      <w:tr w:rsidR="00EB5E1B" w:rsidRPr="00AB47D7" w:rsidTr="00E34EAB">
        <w:tc>
          <w:tcPr>
            <w:tcW w:w="2270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AB47D7">
              <w:rPr>
                <w:sz w:val="22"/>
                <w:szCs w:val="22"/>
                <w:lang w:val="sk-SK"/>
              </w:rPr>
              <w:t>dyspnoe</w:t>
            </w: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AB47D7" w:rsidTr="00E34EAB">
        <w:tc>
          <w:tcPr>
            <w:tcW w:w="2270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kašeľ</w:t>
            </w: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frekvencia neznáma</w:t>
            </w:r>
          </w:p>
        </w:tc>
      </w:tr>
      <w:tr w:rsidR="00EB5E1B" w:rsidRPr="00AB47D7" w:rsidTr="00E34EAB">
        <w:tc>
          <w:tcPr>
            <w:tcW w:w="9169" w:type="dxa"/>
            <w:gridSpan w:val="6"/>
          </w:tcPr>
          <w:p w:rsidR="00EB5E1B" w:rsidRPr="00AB47D7" w:rsidRDefault="00EB5E1B" w:rsidP="00E34EAB">
            <w:pPr>
              <w:pStyle w:val="MGGTextLeft"/>
              <w:rPr>
                <w:b/>
                <w:sz w:val="22"/>
                <w:szCs w:val="22"/>
                <w:lang w:val="sk-SK"/>
              </w:rPr>
            </w:pPr>
            <w:r w:rsidRPr="00AB47D7">
              <w:rPr>
                <w:b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EB5E1B" w:rsidRPr="00AB47D7" w:rsidTr="00E34EAB">
        <w:tc>
          <w:tcPr>
            <w:tcW w:w="2270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AB47D7">
              <w:rPr>
                <w:sz w:val="22"/>
                <w:szCs w:val="22"/>
                <w:lang w:val="sk-SK"/>
              </w:rPr>
              <w:t>bolesť brucha</w:t>
            </w: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56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AB47D7" w:rsidTr="00E34EAB">
        <w:tc>
          <w:tcPr>
            <w:tcW w:w="2270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AB47D7">
              <w:rPr>
                <w:sz w:val="22"/>
                <w:szCs w:val="22"/>
                <w:lang w:val="sk-SK"/>
              </w:rPr>
              <w:lastRenderedPageBreak/>
              <w:t>zápcha</w:t>
            </w: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56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AB47D7" w:rsidTr="00E34EAB">
        <w:tc>
          <w:tcPr>
            <w:tcW w:w="2270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AB47D7">
              <w:rPr>
                <w:sz w:val="22"/>
                <w:szCs w:val="22"/>
                <w:lang w:val="sk-SK"/>
              </w:rPr>
              <w:t>hnačka</w:t>
            </w: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frekvencia neznáma</w:t>
            </w:r>
          </w:p>
        </w:tc>
      </w:tr>
      <w:tr w:rsidR="00EB5E1B" w:rsidRPr="00AB47D7" w:rsidTr="00E34EAB">
        <w:tc>
          <w:tcPr>
            <w:tcW w:w="2270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AB47D7">
              <w:rPr>
                <w:sz w:val="22"/>
                <w:szCs w:val="22"/>
                <w:lang w:val="sk-SK"/>
              </w:rPr>
              <w:t>nauzea</w:t>
            </w: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AB47D7" w:rsidTr="00E34EAB">
        <w:tc>
          <w:tcPr>
            <w:tcW w:w="2270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AB47D7">
              <w:rPr>
                <w:sz w:val="22"/>
                <w:szCs w:val="22"/>
                <w:lang w:val="sk-SK"/>
              </w:rPr>
              <w:t>vracanie</w:t>
            </w: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4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AB47D7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7B4E7E" w:rsidTr="00E34EAB">
        <w:tc>
          <w:tcPr>
            <w:tcW w:w="9169" w:type="dxa"/>
            <w:gridSpan w:val="6"/>
          </w:tcPr>
          <w:p w:rsidR="00EB5E1B" w:rsidRPr="006C7C60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6C7C60">
              <w:rPr>
                <w:b/>
                <w:bCs/>
                <w:sz w:val="22"/>
                <w:szCs w:val="22"/>
                <w:lang w:val="pl-PL"/>
              </w:rPr>
              <w:t>Poruchy pečene a žlčových ciest</w:t>
            </w:r>
          </w:p>
        </w:tc>
      </w:tr>
      <w:tr w:rsidR="00EB5E1B" w:rsidRPr="007B4E7E" w:rsidTr="00E34EAB">
        <w:tc>
          <w:tcPr>
            <w:tcW w:w="2270" w:type="dxa"/>
          </w:tcPr>
          <w:p w:rsidR="00EB5E1B" w:rsidRPr="006C7C60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6C7C60">
              <w:rPr>
                <w:sz w:val="22"/>
                <w:szCs w:val="22"/>
                <w:lang w:val="sk-SK"/>
              </w:rPr>
              <w:t>pan</w:t>
            </w:r>
            <w:r>
              <w:rPr>
                <w:sz w:val="22"/>
                <w:szCs w:val="22"/>
                <w:lang w:val="sk-SK"/>
              </w:rPr>
              <w:t>kreatitída</w:t>
            </w:r>
          </w:p>
        </w:tc>
        <w:tc>
          <w:tcPr>
            <w:tcW w:w="1401" w:type="dxa"/>
          </w:tcPr>
          <w:p w:rsidR="00EB5E1B" w:rsidRPr="006C7C60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frekvencia neznáma</w:t>
            </w:r>
          </w:p>
        </w:tc>
      </w:tr>
      <w:tr w:rsidR="00EB5E1B" w:rsidRPr="007B4E7E" w:rsidTr="00E34EAB">
        <w:tc>
          <w:tcPr>
            <w:tcW w:w="2270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Pr="007B4E7E">
              <w:rPr>
                <w:sz w:val="22"/>
                <w:szCs w:val="22"/>
                <w:lang w:val="sk-SK"/>
              </w:rPr>
              <w:t>epatit</w:t>
            </w:r>
            <w:r>
              <w:rPr>
                <w:sz w:val="22"/>
                <w:szCs w:val="22"/>
                <w:lang w:val="sk-SK"/>
              </w:rPr>
              <w:t xml:space="preserve">ída </w:t>
            </w:r>
          </w:p>
        </w:tc>
        <w:tc>
          <w:tcPr>
            <w:tcW w:w="14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A36BA2">
              <w:rPr>
                <w:sz w:val="22"/>
                <w:szCs w:val="22"/>
                <w:lang w:val="sk-SK"/>
              </w:rPr>
              <w:t>zriedkavé</w:t>
            </w:r>
          </w:p>
        </w:tc>
      </w:tr>
      <w:tr w:rsidR="00EB5E1B" w:rsidRPr="007B4E7E" w:rsidTr="00E34EAB">
        <w:tc>
          <w:tcPr>
            <w:tcW w:w="2270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abnormality  funkcie pečene </w:t>
            </w:r>
          </w:p>
        </w:tc>
        <w:tc>
          <w:tcPr>
            <w:tcW w:w="14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frekvencia neznáma</w:t>
            </w:r>
          </w:p>
        </w:tc>
      </w:tr>
      <w:tr w:rsidR="00EB5E1B" w:rsidRPr="00495C43" w:rsidTr="00E34EAB">
        <w:tc>
          <w:tcPr>
            <w:tcW w:w="9169" w:type="dxa"/>
            <w:gridSpan w:val="6"/>
          </w:tcPr>
          <w:p w:rsidR="00EB5E1B" w:rsidRPr="00495C4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495C43">
              <w:rPr>
                <w:b/>
                <w:bCs/>
                <w:sz w:val="22"/>
                <w:szCs w:val="22"/>
                <w:lang w:val="pl-PL"/>
              </w:rPr>
              <w:t>Poruchy kože a podkožného tkaniva</w:t>
            </w:r>
          </w:p>
        </w:tc>
      </w:tr>
      <w:tr w:rsidR="00EB5E1B" w:rsidRPr="007B4E7E" w:rsidTr="00E34EAB">
        <w:tc>
          <w:tcPr>
            <w:tcW w:w="2270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urtikária</w:t>
            </w:r>
          </w:p>
        </w:tc>
        <w:tc>
          <w:tcPr>
            <w:tcW w:w="14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C21E97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4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C871E0">
              <w:rPr>
                <w:sz w:val="22"/>
                <w:szCs w:val="22"/>
                <w:lang w:val="sk-SK"/>
              </w:rPr>
              <w:t>frekvencia neznáma</w:t>
            </w:r>
          </w:p>
        </w:tc>
      </w:tr>
      <w:tr w:rsidR="00EB5E1B" w:rsidRPr="007B4E7E" w:rsidTr="00E34EAB">
        <w:tc>
          <w:tcPr>
            <w:tcW w:w="2270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svrbenie</w:t>
            </w:r>
          </w:p>
        </w:tc>
        <w:tc>
          <w:tcPr>
            <w:tcW w:w="14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C21E97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4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C871E0">
              <w:rPr>
                <w:sz w:val="22"/>
                <w:szCs w:val="22"/>
                <w:lang w:val="sk-SK"/>
              </w:rPr>
              <w:t>frekvencia neznáma</w:t>
            </w:r>
          </w:p>
        </w:tc>
      </w:tr>
      <w:tr w:rsidR="00EB5E1B" w:rsidRPr="007B4E7E" w:rsidTr="00E34EAB">
        <w:tc>
          <w:tcPr>
            <w:tcW w:w="2270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vyrážka</w:t>
            </w:r>
          </w:p>
        </w:tc>
        <w:tc>
          <w:tcPr>
            <w:tcW w:w="14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BF6F2F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56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C21E97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4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C871E0">
              <w:rPr>
                <w:sz w:val="22"/>
                <w:szCs w:val="22"/>
                <w:lang w:val="sk-SK"/>
              </w:rPr>
              <w:t>frekvencia neznáma</w:t>
            </w:r>
          </w:p>
        </w:tc>
      </w:tr>
      <w:tr w:rsidR="00EB5E1B" w:rsidRPr="007B4E7E" w:rsidTr="00E34EAB">
        <w:tc>
          <w:tcPr>
            <w:tcW w:w="2270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fo</w:t>
            </w:r>
            <w:r w:rsidRPr="007B4E7E">
              <w:rPr>
                <w:sz w:val="22"/>
                <w:szCs w:val="22"/>
                <w:lang w:val="sk-SK"/>
              </w:rPr>
              <w:t>tosen</w:t>
            </w:r>
            <w:r>
              <w:rPr>
                <w:sz w:val="22"/>
                <w:szCs w:val="22"/>
                <w:lang w:val="sk-SK"/>
              </w:rPr>
              <w:t>zitivita</w:t>
            </w:r>
          </w:p>
        </w:tc>
        <w:tc>
          <w:tcPr>
            <w:tcW w:w="14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C871E0">
              <w:rPr>
                <w:sz w:val="22"/>
                <w:szCs w:val="22"/>
                <w:lang w:val="sk-SK"/>
              </w:rPr>
              <w:t>frekvencia neznáma</w:t>
            </w:r>
          </w:p>
        </w:tc>
      </w:tr>
      <w:tr w:rsidR="00EB5E1B" w:rsidRPr="00C15E4E" w:rsidTr="00E34EAB">
        <w:tc>
          <w:tcPr>
            <w:tcW w:w="9169" w:type="dxa"/>
            <w:gridSpan w:val="6"/>
          </w:tcPr>
          <w:p w:rsidR="00EB5E1B" w:rsidRPr="00C15E4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C15E4E">
              <w:rPr>
                <w:b/>
                <w:bCs/>
                <w:sz w:val="22"/>
                <w:szCs w:val="22"/>
                <w:lang w:val="pl-PL"/>
              </w:rPr>
              <w:t>Poruchy kostrovej a svalovej sústavy a spojivového tkaniva</w:t>
            </w:r>
          </w:p>
        </w:tc>
      </w:tr>
      <w:tr w:rsidR="00EB5E1B" w:rsidRPr="007B4E7E" w:rsidTr="00E34EAB">
        <w:tc>
          <w:tcPr>
            <w:tcW w:w="2270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7B4E7E">
              <w:rPr>
                <w:sz w:val="22"/>
                <w:szCs w:val="22"/>
                <w:lang w:val="sk-SK"/>
              </w:rPr>
              <w:t>myalgia</w:t>
            </w:r>
          </w:p>
        </w:tc>
        <w:tc>
          <w:tcPr>
            <w:tcW w:w="14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8230DD">
              <w:rPr>
                <w:sz w:val="22"/>
                <w:szCs w:val="22"/>
                <w:lang w:val="sk-SK"/>
              </w:rPr>
              <w:t>frekvencia neznáma</w:t>
            </w:r>
          </w:p>
        </w:tc>
      </w:tr>
      <w:tr w:rsidR="00EB5E1B" w:rsidRPr="007B4E7E" w:rsidTr="00E34EAB">
        <w:tc>
          <w:tcPr>
            <w:tcW w:w="2270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7B4E7E">
              <w:rPr>
                <w:sz w:val="22"/>
                <w:szCs w:val="22"/>
                <w:lang w:val="sk-SK"/>
              </w:rPr>
              <w:t>artralgia</w:t>
            </w:r>
          </w:p>
        </w:tc>
        <w:tc>
          <w:tcPr>
            <w:tcW w:w="14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8230DD">
              <w:rPr>
                <w:sz w:val="22"/>
                <w:szCs w:val="22"/>
                <w:lang w:val="sk-SK"/>
              </w:rPr>
              <w:t>frekvencia neznáma</w:t>
            </w:r>
          </w:p>
        </w:tc>
      </w:tr>
      <w:tr w:rsidR="00EB5E1B" w:rsidRPr="007B4E7E" w:rsidTr="00E34EAB">
        <w:tc>
          <w:tcPr>
            <w:tcW w:w="2270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7B4E7E">
              <w:rPr>
                <w:sz w:val="22"/>
                <w:szCs w:val="22"/>
                <w:lang w:val="sk-SK"/>
              </w:rPr>
              <w:t>rabdomyol</w:t>
            </w:r>
            <w:r>
              <w:rPr>
                <w:sz w:val="22"/>
                <w:szCs w:val="22"/>
                <w:lang w:val="sk-SK"/>
              </w:rPr>
              <w:t>ýza</w:t>
            </w:r>
          </w:p>
        </w:tc>
        <w:tc>
          <w:tcPr>
            <w:tcW w:w="14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7B4E7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8230DD">
              <w:rPr>
                <w:sz w:val="22"/>
                <w:szCs w:val="22"/>
                <w:lang w:val="sk-SK"/>
              </w:rPr>
              <w:t>frekvencia neznáma</w:t>
            </w:r>
          </w:p>
        </w:tc>
      </w:tr>
      <w:tr w:rsidR="00EB5E1B" w:rsidRPr="000F551E" w:rsidTr="00E34EAB">
        <w:tc>
          <w:tcPr>
            <w:tcW w:w="9169" w:type="dxa"/>
            <w:gridSpan w:val="6"/>
          </w:tcPr>
          <w:p w:rsidR="00EB5E1B" w:rsidRPr="000F551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0F551E">
              <w:rPr>
                <w:b/>
                <w:bCs/>
                <w:sz w:val="22"/>
                <w:szCs w:val="22"/>
                <w:lang w:val="sk-SK"/>
              </w:rPr>
              <w:t>Poruchy obličiek a močových ciest</w:t>
            </w:r>
          </w:p>
        </w:tc>
      </w:tr>
      <w:tr w:rsidR="00EB5E1B" w:rsidRPr="000F551E" w:rsidTr="00E34EAB">
        <w:tc>
          <w:tcPr>
            <w:tcW w:w="2270" w:type="dxa"/>
          </w:tcPr>
          <w:p w:rsidR="00EB5E1B" w:rsidRPr="000F551E" w:rsidRDefault="00EB5E1B" w:rsidP="006E31EF">
            <w:pPr>
              <w:pStyle w:val="MGGTextLeft"/>
              <w:rPr>
                <w:sz w:val="22"/>
                <w:szCs w:val="22"/>
                <w:lang w:val="sk-SK"/>
              </w:rPr>
            </w:pPr>
            <w:r w:rsidRPr="000F551E">
              <w:rPr>
                <w:sz w:val="22"/>
                <w:szCs w:val="22"/>
                <w:lang w:val="sk-SK"/>
              </w:rPr>
              <w:t>po</w:t>
            </w:r>
            <w:r w:rsidR="00856BC2">
              <w:rPr>
                <w:sz w:val="22"/>
                <w:szCs w:val="22"/>
                <w:lang w:val="sk-SK"/>
              </w:rPr>
              <w:t>rucha funkcie</w:t>
            </w:r>
            <w:r w:rsidRPr="000F551E">
              <w:rPr>
                <w:sz w:val="22"/>
                <w:szCs w:val="22"/>
                <w:lang w:val="sk-SK"/>
              </w:rPr>
              <w:t xml:space="preserve"> obličiek </w:t>
            </w:r>
          </w:p>
        </w:tc>
        <w:tc>
          <w:tcPr>
            <w:tcW w:w="1401" w:type="dxa"/>
          </w:tcPr>
          <w:p w:rsidR="00EB5E1B" w:rsidRPr="000F551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0F551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0F551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401" w:type="dxa"/>
          </w:tcPr>
          <w:p w:rsidR="00EB5E1B" w:rsidRPr="000F551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0F551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0F551E" w:rsidTr="00E34EAB">
        <w:tc>
          <w:tcPr>
            <w:tcW w:w="2270" w:type="dxa"/>
          </w:tcPr>
          <w:p w:rsidR="00EB5E1B" w:rsidRPr="000F551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0F551E">
              <w:rPr>
                <w:sz w:val="22"/>
                <w:szCs w:val="22"/>
                <w:lang w:val="sk-SK"/>
              </w:rPr>
              <w:t>zlyhanie obličiek</w:t>
            </w:r>
            <w:r w:rsidRPr="00ED2231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01" w:type="dxa"/>
          </w:tcPr>
          <w:p w:rsidR="00EB5E1B" w:rsidRPr="000F551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0F551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0F551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401" w:type="dxa"/>
          </w:tcPr>
          <w:p w:rsidR="00EB5E1B" w:rsidRPr="000F551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0F551E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867593" w:rsidTr="00E34EAB">
        <w:tc>
          <w:tcPr>
            <w:tcW w:w="9169" w:type="dxa"/>
            <w:gridSpan w:val="6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867593">
              <w:rPr>
                <w:b/>
                <w:bCs/>
                <w:sz w:val="22"/>
                <w:szCs w:val="22"/>
                <w:lang w:val="sk-SK"/>
              </w:rPr>
              <w:t>Poruchy reprodukčného systému a prsníkov</w:t>
            </w:r>
          </w:p>
        </w:tc>
      </w:tr>
      <w:tr w:rsidR="00EB5E1B" w:rsidRPr="00867593" w:rsidTr="00E34EAB">
        <w:tc>
          <w:tcPr>
            <w:tcW w:w="2270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867593">
              <w:rPr>
                <w:sz w:val="22"/>
                <w:szCs w:val="22"/>
                <w:lang w:val="sk-SK"/>
              </w:rPr>
              <w:t>erektilná dysfunkcia/impotencia</w:t>
            </w:r>
          </w:p>
        </w:tc>
        <w:tc>
          <w:tcPr>
            <w:tcW w:w="14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frekvencia neznáma</w:t>
            </w:r>
          </w:p>
        </w:tc>
      </w:tr>
      <w:tr w:rsidR="00EB5E1B" w:rsidRPr="00867593" w:rsidTr="00E34EAB">
        <w:tc>
          <w:tcPr>
            <w:tcW w:w="9169" w:type="dxa"/>
            <w:gridSpan w:val="6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867593">
              <w:rPr>
                <w:b/>
                <w:bCs/>
                <w:sz w:val="22"/>
                <w:szCs w:val="22"/>
                <w:lang w:val="sk-SK"/>
              </w:rPr>
              <w:t>Celkové poruchy a reakcie v mieste podania</w:t>
            </w:r>
          </w:p>
        </w:tc>
      </w:tr>
      <w:tr w:rsidR="00EB5E1B" w:rsidRPr="00867593" w:rsidTr="00E34EAB">
        <w:tc>
          <w:tcPr>
            <w:tcW w:w="2270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a</w:t>
            </w:r>
            <w:r w:rsidRPr="00867593">
              <w:rPr>
                <w:sz w:val="22"/>
                <w:szCs w:val="22"/>
                <w:lang w:val="sk-SK"/>
              </w:rPr>
              <w:t>st</w:t>
            </w:r>
            <w:r w:rsidRPr="00ED2231">
              <w:rPr>
                <w:sz w:val="22"/>
                <w:szCs w:val="22"/>
                <w:lang w:val="sk-SK"/>
              </w:rPr>
              <w:t xml:space="preserve">énia </w:t>
            </w:r>
          </w:p>
        </w:tc>
        <w:tc>
          <w:tcPr>
            <w:tcW w:w="14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56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235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4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3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867593" w:rsidTr="00E34EAB">
        <w:tc>
          <w:tcPr>
            <w:tcW w:w="2270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únava</w:t>
            </w:r>
          </w:p>
        </w:tc>
        <w:tc>
          <w:tcPr>
            <w:tcW w:w="14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56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235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4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3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867593" w:rsidTr="00E34EAB">
        <w:tc>
          <w:tcPr>
            <w:tcW w:w="2270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867593">
              <w:rPr>
                <w:sz w:val="22"/>
                <w:szCs w:val="22"/>
                <w:lang w:val="sk-SK"/>
              </w:rPr>
              <w:t>ed</w:t>
            </w:r>
            <w:r w:rsidRPr="00ED2231">
              <w:rPr>
                <w:sz w:val="22"/>
                <w:szCs w:val="22"/>
                <w:lang w:val="sk-SK"/>
              </w:rPr>
              <w:t>ém</w:t>
            </w:r>
          </w:p>
        </w:tc>
        <w:tc>
          <w:tcPr>
            <w:tcW w:w="14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56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867593" w:rsidTr="00E34EAB">
        <w:tc>
          <w:tcPr>
            <w:tcW w:w="2270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867593">
              <w:rPr>
                <w:sz w:val="22"/>
                <w:szCs w:val="22"/>
                <w:lang w:val="sk-SK"/>
              </w:rPr>
              <w:t>celkový pocit choroby</w:t>
            </w:r>
          </w:p>
        </w:tc>
        <w:tc>
          <w:tcPr>
            <w:tcW w:w="14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frekvencia neznáma</w:t>
            </w:r>
          </w:p>
        </w:tc>
      </w:tr>
      <w:tr w:rsidR="00EB5E1B" w:rsidRPr="00867593" w:rsidTr="00E34EAB">
        <w:tc>
          <w:tcPr>
            <w:tcW w:w="9169" w:type="dxa"/>
            <w:gridSpan w:val="6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867593">
              <w:rPr>
                <w:b/>
                <w:bCs/>
                <w:sz w:val="22"/>
                <w:szCs w:val="22"/>
                <w:lang w:val="sk-SK"/>
              </w:rPr>
              <w:t>Laboratórne a funkčné vyšetrenia</w:t>
            </w:r>
          </w:p>
        </w:tc>
      </w:tr>
      <w:tr w:rsidR="00EB5E1B" w:rsidRPr="00867593" w:rsidTr="00E34EAB">
        <w:tc>
          <w:tcPr>
            <w:tcW w:w="2270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867593">
              <w:rPr>
                <w:sz w:val="22"/>
                <w:szCs w:val="22"/>
                <w:lang w:val="sk-SK"/>
              </w:rPr>
              <w:t>hyperkal</w:t>
            </w:r>
            <w:r w:rsidRPr="00ED2231">
              <w:rPr>
                <w:sz w:val="22"/>
                <w:szCs w:val="22"/>
                <w:lang w:val="sk-SK"/>
              </w:rPr>
              <w:t>iémia</w:t>
            </w:r>
          </w:p>
        </w:tc>
        <w:tc>
          <w:tcPr>
            <w:tcW w:w="14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56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menej časté</w:t>
            </w:r>
            <w:r w:rsidRPr="00867593">
              <w:rPr>
                <w:sz w:val="22"/>
                <w:szCs w:val="22"/>
                <w:lang w:val="sk-SK"/>
              </w:rPr>
              <w:t>†</w:t>
            </w:r>
          </w:p>
        </w:tc>
        <w:tc>
          <w:tcPr>
            <w:tcW w:w="14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časté</w:t>
            </w:r>
            <w:r w:rsidRPr="00867593">
              <w:rPr>
                <w:sz w:val="22"/>
                <w:szCs w:val="22"/>
                <w:lang w:val="sk-SK"/>
              </w:rPr>
              <w:t>‡</w:t>
            </w:r>
          </w:p>
        </w:tc>
        <w:tc>
          <w:tcPr>
            <w:tcW w:w="13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867593" w:rsidTr="00E34EAB">
        <w:tc>
          <w:tcPr>
            <w:tcW w:w="2270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867593">
              <w:rPr>
                <w:sz w:val="22"/>
                <w:szCs w:val="22"/>
                <w:lang w:val="sk-SK"/>
              </w:rPr>
              <w:t>zvýšená alanínaminotransferáza (ALT)§</w:t>
            </w:r>
          </w:p>
        </w:tc>
        <w:tc>
          <w:tcPr>
            <w:tcW w:w="14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56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867593" w:rsidTr="00E34EAB">
        <w:tc>
          <w:tcPr>
            <w:tcW w:w="2270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867593">
              <w:rPr>
                <w:sz w:val="22"/>
                <w:szCs w:val="22"/>
                <w:lang w:val="sk-SK"/>
              </w:rPr>
              <w:t>zvýšená močovina v krvi, kreatinínu v sére a draslíka v sére</w:t>
            </w:r>
          </w:p>
        </w:tc>
        <w:tc>
          <w:tcPr>
            <w:tcW w:w="14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ED2231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4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  <w:tr w:rsidR="00EB5E1B" w:rsidRPr="00867593" w:rsidTr="00E34EAB">
        <w:tc>
          <w:tcPr>
            <w:tcW w:w="2270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867593">
              <w:rPr>
                <w:sz w:val="22"/>
                <w:szCs w:val="22"/>
                <w:lang w:val="sk-SK"/>
              </w:rPr>
              <w:t>hyponatr</w:t>
            </w:r>
            <w:r w:rsidRPr="00ED2231">
              <w:rPr>
                <w:sz w:val="22"/>
                <w:szCs w:val="22"/>
                <w:lang w:val="sk-SK"/>
              </w:rPr>
              <w:t>iémia</w:t>
            </w:r>
          </w:p>
        </w:tc>
        <w:tc>
          <w:tcPr>
            <w:tcW w:w="14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3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B374FD">
              <w:rPr>
                <w:sz w:val="22"/>
                <w:szCs w:val="22"/>
                <w:lang w:val="sk-SK"/>
              </w:rPr>
              <w:t>frekvencia neznáma</w:t>
            </w:r>
          </w:p>
        </w:tc>
      </w:tr>
      <w:tr w:rsidR="00EB5E1B" w:rsidRPr="00867593" w:rsidTr="00E34EAB">
        <w:tc>
          <w:tcPr>
            <w:tcW w:w="2270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867593">
              <w:rPr>
                <w:sz w:val="22"/>
                <w:szCs w:val="22"/>
                <w:lang w:val="sk-SK"/>
              </w:rPr>
              <w:lastRenderedPageBreak/>
              <w:t>hypogly</w:t>
            </w:r>
            <w:r w:rsidRPr="00ED2231">
              <w:rPr>
                <w:sz w:val="22"/>
                <w:szCs w:val="22"/>
                <w:lang w:val="sk-SK"/>
              </w:rPr>
              <w:t>kémia</w:t>
            </w:r>
          </w:p>
        </w:tc>
        <w:tc>
          <w:tcPr>
            <w:tcW w:w="14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56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235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  <w:tc>
          <w:tcPr>
            <w:tcW w:w="14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  <w:r w:rsidRPr="00B374FD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301" w:type="dxa"/>
          </w:tcPr>
          <w:p w:rsidR="00EB5E1B" w:rsidRPr="00867593" w:rsidRDefault="00EB5E1B" w:rsidP="00E34EAB">
            <w:pPr>
              <w:pStyle w:val="MGGTextLeft"/>
              <w:rPr>
                <w:sz w:val="22"/>
                <w:szCs w:val="22"/>
                <w:lang w:val="sk-SK"/>
              </w:rPr>
            </w:pPr>
          </w:p>
        </w:tc>
      </w:tr>
    </w:tbl>
    <w:p w:rsidR="00EB5E1B" w:rsidRPr="0021190A" w:rsidRDefault="00EB5E1B" w:rsidP="00EB5E1B">
      <w:pPr>
        <w:pStyle w:val="MGGTextLeft"/>
        <w:rPr>
          <w:sz w:val="22"/>
          <w:szCs w:val="22"/>
          <w:lang w:val="sk-SK"/>
        </w:rPr>
      </w:pPr>
    </w:p>
    <w:p w:rsidR="00EB5E1B" w:rsidRPr="000A13EE" w:rsidRDefault="00EB5E1B" w:rsidP="00EB5E1B">
      <w:pPr>
        <w:pStyle w:val="MGGTextLeft"/>
        <w:rPr>
          <w:sz w:val="20"/>
          <w:szCs w:val="20"/>
          <w:lang w:val="sk-SK"/>
        </w:rPr>
      </w:pPr>
      <w:r w:rsidRPr="000A13EE">
        <w:rPr>
          <w:sz w:val="20"/>
          <w:szCs w:val="20"/>
          <w:lang w:val="sk-SK"/>
        </w:rPr>
        <w:t>*Vrátane opuchu hrtana, hlasiviek, tváre, pier, hltana a/alebo jazyka (spôsobujúci obštrukciu dýchacích ciest</w:t>
      </w:r>
      <w:r w:rsidR="00856BC2">
        <w:rPr>
          <w:sz w:val="20"/>
          <w:szCs w:val="20"/>
          <w:lang w:val="sk-SK"/>
        </w:rPr>
        <w:t>)</w:t>
      </w:r>
      <w:r w:rsidRPr="000A13EE">
        <w:rPr>
          <w:sz w:val="20"/>
          <w:szCs w:val="20"/>
          <w:lang w:val="sk-SK"/>
        </w:rPr>
        <w:t xml:space="preserve">; u niektorých z týchto pacientov sa angioedém hlásil už v minulosti v súvislosti s podávaním iných liekov vrátane ACE inhibítorov; </w:t>
      </w:r>
    </w:p>
    <w:p w:rsidR="00EB5E1B" w:rsidRPr="000A13EE" w:rsidRDefault="00EB5E1B" w:rsidP="00EB5E1B">
      <w:pPr>
        <w:pStyle w:val="MGGTextLeft"/>
        <w:rPr>
          <w:sz w:val="20"/>
          <w:szCs w:val="20"/>
          <w:lang w:val="sk-SK"/>
        </w:rPr>
      </w:pPr>
      <w:r w:rsidRPr="000A13EE">
        <w:rPr>
          <w:sz w:val="20"/>
          <w:szCs w:val="20"/>
          <w:lang w:val="sk-SK"/>
        </w:rPr>
        <w:t>** Vrátane Henoch</w:t>
      </w:r>
      <w:r w:rsidR="00386D43">
        <w:rPr>
          <w:sz w:val="20"/>
          <w:szCs w:val="20"/>
          <w:lang w:val="sk-SK"/>
        </w:rPr>
        <w:t>ovej</w:t>
      </w:r>
      <w:r w:rsidRPr="000A13EE">
        <w:rPr>
          <w:sz w:val="20"/>
          <w:szCs w:val="20"/>
          <w:lang w:val="sk-SK"/>
        </w:rPr>
        <w:t>-Sch</w:t>
      </w:r>
      <w:r w:rsidR="00386D43">
        <w:rPr>
          <w:sz w:val="20"/>
          <w:szCs w:val="20"/>
          <w:lang w:val="sk-SK"/>
        </w:rPr>
        <w:t>ö</w:t>
      </w:r>
      <w:r w:rsidRPr="000A13EE">
        <w:rPr>
          <w:sz w:val="20"/>
          <w:szCs w:val="20"/>
          <w:lang w:val="sk-SK"/>
        </w:rPr>
        <w:t>nleinovej purpury</w:t>
      </w:r>
    </w:p>
    <w:p w:rsidR="00EB5E1B" w:rsidRPr="000A13EE" w:rsidRDefault="00EB5E1B" w:rsidP="00EB5E1B">
      <w:pPr>
        <w:pStyle w:val="MGGTextLeft"/>
        <w:rPr>
          <w:sz w:val="20"/>
          <w:szCs w:val="20"/>
          <w:lang w:val="sk-SK"/>
        </w:rPr>
      </w:pPr>
      <w:r w:rsidRPr="000A13EE">
        <w:rPr>
          <w:sz w:val="20"/>
          <w:szCs w:val="20"/>
          <w:lang w:val="sk-SK"/>
        </w:rPr>
        <w:t>║ Najmä u pacientov s depléciou intravaskulárneho objemu, napr. u pacientov s ťažkým srdcovým zlyhaním alebo liečených vysokými dávkami diuretík</w:t>
      </w:r>
    </w:p>
    <w:p w:rsidR="00EB5E1B" w:rsidRPr="000A13EE" w:rsidRDefault="00EB5E1B" w:rsidP="00EB5E1B">
      <w:pPr>
        <w:pStyle w:val="MGGTextLeft"/>
        <w:rPr>
          <w:sz w:val="20"/>
          <w:szCs w:val="20"/>
          <w:lang w:val="sk-SK"/>
        </w:rPr>
      </w:pPr>
      <w:r w:rsidRPr="000A13EE">
        <w:rPr>
          <w:sz w:val="20"/>
          <w:szCs w:val="20"/>
          <w:lang w:val="sk-SK"/>
        </w:rPr>
        <w:t>† Časté u pacientov, ktorí užívali 150 mg losartanu namiesto 50 mg</w:t>
      </w:r>
    </w:p>
    <w:p w:rsidR="00EB5E1B" w:rsidRPr="000A13EE" w:rsidRDefault="00EB5E1B" w:rsidP="00EB5E1B">
      <w:pPr>
        <w:pStyle w:val="MGGTextLeft"/>
        <w:rPr>
          <w:sz w:val="20"/>
          <w:szCs w:val="20"/>
          <w:lang w:val="sk-SK"/>
        </w:rPr>
      </w:pPr>
      <w:r w:rsidRPr="000A13EE">
        <w:rPr>
          <w:sz w:val="20"/>
          <w:szCs w:val="20"/>
          <w:lang w:val="sk-SK"/>
        </w:rPr>
        <w:t>‡ V klinickej štúdii vykonanej s pacientmi s diabetom 2. typu s nefropatiou došlo u 9,9 % pacientov liečených tabletami losartanu a u 3,4 % pacientov liečených placebom k vzniku hyperkaliémie &gt; 5,5 mmol/l.</w:t>
      </w:r>
    </w:p>
    <w:p w:rsidR="00EB5E1B" w:rsidRPr="000A13EE" w:rsidRDefault="00EB5E1B" w:rsidP="00EB5E1B">
      <w:pPr>
        <w:pStyle w:val="MGGTextLeft"/>
        <w:rPr>
          <w:sz w:val="20"/>
          <w:szCs w:val="20"/>
          <w:lang w:val="sk-SK"/>
        </w:rPr>
      </w:pPr>
      <w:r w:rsidRPr="000A13EE">
        <w:rPr>
          <w:sz w:val="20"/>
          <w:szCs w:val="20"/>
          <w:lang w:val="sk-SK"/>
        </w:rPr>
        <w:t>§ Zvyčajne odznie po prerušení liečby</w:t>
      </w:r>
    </w:p>
    <w:p w:rsidR="00EB5E1B" w:rsidRPr="0021190A" w:rsidRDefault="00EB5E1B" w:rsidP="00EB5E1B">
      <w:pPr>
        <w:pStyle w:val="MGGTextLeft"/>
        <w:rPr>
          <w:i/>
          <w:iCs/>
          <w:sz w:val="22"/>
          <w:szCs w:val="22"/>
          <w:lang w:val="sk-SK"/>
        </w:rPr>
      </w:pPr>
    </w:p>
    <w:p w:rsidR="00EB5E1B" w:rsidRPr="000A13EE" w:rsidRDefault="00856BC2" w:rsidP="00EB5E1B">
      <w:pPr>
        <w:pStyle w:val="MGGTextLeft"/>
        <w:rPr>
          <w:lang w:val="sk-SK"/>
        </w:rPr>
      </w:pPr>
      <w:r>
        <w:rPr>
          <w:sz w:val="22"/>
          <w:szCs w:val="22"/>
          <w:lang w:val="sk-SK"/>
        </w:rPr>
        <w:t>N</w:t>
      </w:r>
      <w:r w:rsidR="00EB5E1B">
        <w:rPr>
          <w:sz w:val="22"/>
          <w:szCs w:val="22"/>
          <w:lang w:val="sk-SK"/>
        </w:rPr>
        <w:t xml:space="preserve">asledovné </w:t>
      </w:r>
      <w:r w:rsidR="006E31EF">
        <w:rPr>
          <w:sz w:val="22"/>
          <w:szCs w:val="22"/>
          <w:lang w:val="sk-SK"/>
        </w:rPr>
        <w:t xml:space="preserve">ďalšie </w:t>
      </w:r>
      <w:r w:rsidR="00EB5E1B">
        <w:rPr>
          <w:sz w:val="22"/>
          <w:szCs w:val="22"/>
          <w:lang w:val="sk-SK"/>
        </w:rPr>
        <w:t xml:space="preserve">nežiaduce </w:t>
      </w:r>
      <w:r w:rsidR="006E31EF">
        <w:rPr>
          <w:sz w:val="22"/>
          <w:szCs w:val="22"/>
          <w:lang w:val="sk-SK"/>
        </w:rPr>
        <w:t>reakcie</w:t>
      </w:r>
      <w:r w:rsidR="00EB5E1B">
        <w:rPr>
          <w:sz w:val="22"/>
          <w:szCs w:val="22"/>
          <w:lang w:val="sk-SK"/>
        </w:rPr>
        <w:t xml:space="preserve"> sa vyskytli častejšie u pacientov, ktorí </w:t>
      </w:r>
      <w:r w:rsidR="006E31EF">
        <w:rPr>
          <w:sz w:val="22"/>
          <w:szCs w:val="22"/>
          <w:lang w:val="sk-SK"/>
        </w:rPr>
        <w:t>dostali</w:t>
      </w:r>
      <w:r w:rsidR="00EB5E1B">
        <w:rPr>
          <w:sz w:val="22"/>
          <w:szCs w:val="22"/>
          <w:lang w:val="sk-SK"/>
        </w:rPr>
        <w:t xml:space="preserve"> </w:t>
      </w:r>
      <w:r w:rsidR="00EB5E1B" w:rsidRPr="0021190A">
        <w:rPr>
          <w:sz w:val="22"/>
          <w:szCs w:val="22"/>
          <w:lang w:val="sk-SK"/>
        </w:rPr>
        <w:t>losartan</w:t>
      </w:r>
      <w:r w:rsidR="006E31EF">
        <w:rPr>
          <w:sz w:val="22"/>
          <w:szCs w:val="22"/>
          <w:lang w:val="sk-SK"/>
        </w:rPr>
        <w:t xml:space="preserve"> </w:t>
      </w:r>
      <w:r w:rsidR="00EB5E1B">
        <w:rPr>
          <w:sz w:val="22"/>
          <w:szCs w:val="22"/>
          <w:lang w:val="sk-SK"/>
        </w:rPr>
        <w:t>v</w:t>
      </w:r>
      <w:r w:rsidR="006E31EF">
        <w:rPr>
          <w:sz w:val="22"/>
          <w:szCs w:val="22"/>
          <w:lang w:val="sk-SK"/>
        </w:rPr>
        <w:t> </w:t>
      </w:r>
      <w:r w:rsidR="00EB5E1B">
        <w:rPr>
          <w:sz w:val="22"/>
          <w:szCs w:val="22"/>
          <w:lang w:val="sk-SK"/>
        </w:rPr>
        <w:t xml:space="preserve">porovnaní s placebom </w:t>
      </w:r>
      <w:r w:rsidR="00EB5E1B" w:rsidRPr="0021190A">
        <w:rPr>
          <w:sz w:val="22"/>
          <w:szCs w:val="22"/>
          <w:lang w:val="sk-SK"/>
        </w:rPr>
        <w:t>(</w:t>
      </w:r>
      <w:r w:rsidR="00EB5E1B">
        <w:rPr>
          <w:sz w:val="22"/>
          <w:szCs w:val="22"/>
          <w:lang w:val="sk-SK"/>
        </w:rPr>
        <w:t>frekvencia neznáma</w:t>
      </w:r>
      <w:r w:rsidR="00EB5E1B" w:rsidRPr="0021190A">
        <w:rPr>
          <w:sz w:val="22"/>
          <w:szCs w:val="22"/>
          <w:lang w:val="sk-SK"/>
        </w:rPr>
        <w:t xml:space="preserve">): </w:t>
      </w:r>
      <w:r w:rsidR="00EB5E1B">
        <w:rPr>
          <w:sz w:val="22"/>
          <w:szCs w:val="22"/>
          <w:lang w:val="sk-SK"/>
        </w:rPr>
        <w:t>bolesť chrbta</w:t>
      </w:r>
      <w:r w:rsidR="00EB5E1B" w:rsidRPr="0021190A">
        <w:rPr>
          <w:sz w:val="22"/>
          <w:szCs w:val="22"/>
          <w:lang w:val="sk-SK"/>
        </w:rPr>
        <w:t xml:space="preserve">, </w:t>
      </w:r>
      <w:r w:rsidR="00EB5E1B">
        <w:rPr>
          <w:sz w:val="22"/>
          <w:szCs w:val="22"/>
          <w:lang w:val="sk-SK"/>
        </w:rPr>
        <w:t xml:space="preserve">infekcia močových ciest </w:t>
      </w:r>
      <w:r w:rsidR="00EB5E1B" w:rsidRPr="0021190A">
        <w:rPr>
          <w:sz w:val="22"/>
          <w:szCs w:val="22"/>
          <w:lang w:val="sk-SK"/>
        </w:rPr>
        <w:t>a</w:t>
      </w:r>
      <w:r w:rsidR="00EB5E1B">
        <w:rPr>
          <w:sz w:val="22"/>
          <w:szCs w:val="22"/>
          <w:lang w:val="sk-SK"/>
        </w:rPr>
        <w:t xml:space="preserve"> symptóm</w:t>
      </w:r>
      <w:r w:rsidR="006E31EF">
        <w:rPr>
          <w:sz w:val="22"/>
          <w:szCs w:val="22"/>
          <w:lang w:val="sk-SK"/>
        </w:rPr>
        <w:t>y</w:t>
      </w:r>
      <w:r w:rsidR="00EB5E1B">
        <w:rPr>
          <w:sz w:val="22"/>
          <w:szCs w:val="22"/>
          <w:lang w:val="sk-SK"/>
        </w:rPr>
        <w:t xml:space="preserve"> podobn</w:t>
      </w:r>
      <w:r w:rsidR="006E31EF">
        <w:rPr>
          <w:sz w:val="22"/>
          <w:szCs w:val="22"/>
          <w:lang w:val="sk-SK"/>
        </w:rPr>
        <w:t>é</w:t>
      </w:r>
      <w:r w:rsidR="00EB5E1B">
        <w:rPr>
          <w:sz w:val="22"/>
          <w:szCs w:val="22"/>
          <w:lang w:val="sk-SK"/>
        </w:rPr>
        <w:t xml:space="preserve"> chrípke</w:t>
      </w:r>
      <w:r w:rsidR="00EB5E1B" w:rsidRPr="0021190A">
        <w:rPr>
          <w:sz w:val="22"/>
          <w:szCs w:val="22"/>
          <w:lang w:val="sk-SK"/>
        </w:rPr>
        <w:t>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i/>
          <w:iCs/>
          <w:szCs w:val="22"/>
        </w:rPr>
      </w:pPr>
      <w:r w:rsidRPr="00A90F21">
        <w:rPr>
          <w:i/>
          <w:iCs/>
          <w:szCs w:val="22"/>
        </w:rPr>
        <w:t>Poruchy obličiek</w:t>
      </w:r>
      <w:r w:rsidR="0075172F">
        <w:rPr>
          <w:i/>
          <w:iCs/>
          <w:szCs w:val="22"/>
        </w:rPr>
        <w:t xml:space="preserve"> a močov</w:t>
      </w:r>
      <w:r w:rsidR="00F556F3">
        <w:rPr>
          <w:i/>
          <w:iCs/>
          <w:szCs w:val="22"/>
        </w:rPr>
        <w:t>ý</w:t>
      </w:r>
      <w:r w:rsidR="0075172F">
        <w:rPr>
          <w:i/>
          <w:iCs/>
          <w:szCs w:val="22"/>
        </w:rPr>
        <w:t>ch ciest</w:t>
      </w:r>
      <w:r w:rsidRPr="00A90F21">
        <w:rPr>
          <w:i/>
          <w:iCs/>
          <w:szCs w:val="22"/>
        </w:rPr>
        <w:t>: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Následkom inhibície renín-angiotenzín-aldosterónového systému boli u rizikových pacientov hlásené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zmeny vo funkcii obličiek vrátane renálneho zlyhania; tieto zmeny vo funkcii obličiek môžu byť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reverzibilné po prerušení terapie (pozri časť 4.4).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F556F3" w:rsidRDefault="00BC2799" w:rsidP="00A90F21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>
        <w:rPr>
          <w:szCs w:val="22"/>
          <w:u w:val="single"/>
        </w:rPr>
        <w:t xml:space="preserve">Pediatrická populácia </w:t>
      </w:r>
    </w:p>
    <w:p w:rsidR="00874099" w:rsidRPr="00A90F21" w:rsidRDefault="00874099" w:rsidP="00A90F21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 xml:space="preserve">Profil nežiaducich </w:t>
      </w:r>
      <w:r w:rsidR="0075172F">
        <w:rPr>
          <w:szCs w:val="22"/>
        </w:rPr>
        <w:t xml:space="preserve">reakcií </w:t>
      </w:r>
      <w:r w:rsidRPr="00A90F21">
        <w:rPr>
          <w:szCs w:val="22"/>
        </w:rPr>
        <w:t>u pediatrických pacientov sa zdá byť podobný profilu pozorovanému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u dospelých pacientov. Údaje v pediatrickej populácii sú obmedzené.</w:t>
      </w:r>
    </w:p>
    <w:p w:rsidR="00874099" w:rsidRDefault="00874099">
      <w:pPr>
        <w:autoSpaceDE w:val="0"/>
        <w:autoSpaceDN w:val="0"/>
        <w:adjustRightInd w:val="0"/>
        <w:rPr>
          <w:b/>
          <w:bCs/>
          <w:szCs w:val="22"/>
        </w:rPr>
      </w:pPr>
    </w:p>
    <w:p w:rsidR="003523F2" w:rsidRDefault="003523F2" w:rsidP="003523F2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u w:val="single"/>
        </w:rPr>
      </w:pPr>
      <w:r>
        <w:rPr>
          <w:u w:val="single"/>
        </w:rPr>
        <w:t>Hlásenie podozrení na nežiaduce reakcie</w:t>
      </w:r>
    </w:p>
    <w:p w:rsidR="003523F2" w:rsidRDefault="003523F2" w:rsidP="003523F2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Style w:val="Hypertextovprepojenie"/>
        </w:rPr>
      </w:pPr>
      <w: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hd w:val="clear" w:color="auto" w:fill="C0C0C0"/>
          </w:rPr>
          <w:t>Prílohe V</w:t>
        </w:r>
      </w:hyperlink>
      <w:r>
        <w:rPr>
          <w:rStyle w:val="Hypertextovprepojenie"/>
        </w:rPr>
        <w:t>.</w:t>
      </w:r>
    </w:p>
    <w:p w:rsidR="00BC2799" w:rsidRPr="00A90F21" w:rsidRDefault="00BC2799">
      <w:pPr>
        <w:autoSpaceDE w:val="0"/>
        <w:autoSpaceDN w:val="0"/>
        <w:adjustRightInd w:val="0"/>
        <w:rPr>
          <w:b/>
          <w:bCs/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b/>
          <w:bCs/>
          <w:szCs w:val="22"/>
        </w:rPr>
      </w:pPr>
      <w:r w:rsidRPr="00A90F21">
        <w:rPr>
          <w:b/>
          <w:bCs/>
          <w:szCs w:val="22"/>
        </w:rPr>
        <w:t>4.9</w:t>
      </w:r>
      <w:r w:rsidR="00FA43A9">
        <w:rPr>
          <w:b/>
          <w:bCs/>
          <w:szCs w:val="22"/>
        </w:rPr>
        <w:tab/>
      </w:r>
      <w:r w:rsidRPr="00A90F21">
        <w:rPr>
          <w:b/>
          <w:bCs/>
          <w:szCs w:val="22"/>
        </w:rPr>
        <w:t>Predávkovanie</w:t>
      </w:r>
    </w:p>
    <w:p w:rsidR="00874099" w:rsidRPr="00A90F21" w:rsidRDefault="00874099">
      <w:pPr>
        <w:autoSpaceDE w:val="0"/>
        <w:autoSpaceDN w:val="0"/>
        <w:adjustRightInd w:val="0"/>
        <w:rPr>
          <w:i/>
          <w:iCs/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i/>
          <w:iCs/>
          <w:szCs w:val="22"/>
        </w:rPr>
      </w:pPr>
      <w:r w:rsidRPr="00A90F21">
        <w:rPr>
          <w:i/>
          <w:iCs/>
          <w:szCs w:val="22"/>
        </w:rPr>
        <w:t>Príznaky intoxikácie</w:t>
      </w:r>
    </w:p>
    <w:p w:rsidR="00874099" w:rsidRDefault="0075172F" w:rsidP="00BC2799">
      <w:pPr>
        <w:autoSpaceDE w:val="0"/>
        <w:autoSpaceDN w:val="0"/>
        <w:adjustRightInd w:val="0"/>
        <w:ind w:left="0" w:firstLine="0"/>
        <w:rPr>
          <w:szCs w:val="22"/>
        </w:rPr>
      </w:pPr>
      <w:r w:rsidRPr="00036A92">
        <w:rPr>
          <w:szCs w:val="22"/>
        </w:rPr>
        <w:t>K dispozícii sú obmedzené údaje o predávkovaní u ľudí. Najpravdepodobnejším prejavom predávkovania by bola hypotenzia a tachykardia. Následkom parasympatickej (vágovej) stimulácie by mohlo dôjsť k bradykardii.</w:t>
      </w:r>
    </w:p>
    <w:p w:rsidR="00BC2799" w:rsidRPr="00A90F21" w:rsidRDefault="00BC27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i/>
          <w:iCs/>
          <w:szCs w:val="22"/>
        </w:rPr>
      </w:pPr>
      <w:r w:rsidRPr="00A90F21">
        <w:rPr>
          <w:i/>
          <w:iCs/>
          <w:szCs w:val="22"/>
        </w:rPr>
        <w:t>Liečba intoxikácie</w:t>
      </w:r>
    </w:p>
    <w:p w:rsidR="0075172F" w:rsidRDefault="0075172F">
      <w:pPr>
        <w:autoSpaceDE w:val="0"/>
        <w:autoSpaceDN w:val="0"/>
        <w:adjustRightInd w:val="0"/>
        <w:rPr>
          <w:szCs w:val="22"/>
        </w:rPr>
      </w:pPr>
      <w:r w:rsidRPr="00036A92">
        <w:rPr>
          <w:szCs w:val="22"/>
        </w:rPr>
        <w:t xml:space="preserve">Ak dôjde k symptomatickej hypotenzii, má sa nasadiť podporná liečba. </w:t>
      </w:r>
    </w:p>
    <w:p w:rsidR="006E31EF" w:rsidRDefault="00874099" w:rsidP="00B77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Opatrenia závisia od času užitia lieku a druhu a závažnosti príznakov. Prioritne je treba zabezpečiť</w:t>
      </w:r>
      <w:r w:rsidR="00FA43A9">
        <w:rPr>
          <w:szCs w:val="22"/>
        </w:rPr>
        <w:t xml:space="preserve"> </w:t>
      </w:r>
      <w:r w:rsidRPr="00A90F21">
        <w:rPr>
          <w:szCs w:val="22"/>
        </w:rPr>
        <w:t xml:space="preserve">stabilizáciu </w:t>
      </w:r>
      <w:r w:rsidR="00F556F3">
        <w:rPr>
          <w:szCs w:val="22"/>
        </w:rPr>
        <w:t xml:space="preserve"> kardiovaskulárneho </w:t>
      </w:r>
      <w:r w:rsidRPr="00A90F21">
        <w:rPr>
          <w:szCs w:val="22"/>
        </w:rPr>
        <w:t>systému. Po perorálnom užití sa indikuje podanie dostatočnej dávky aktívneho</w:t>
      </w:r>
      <w:r w:rsidR="00FA43A9">
        <w:rPr>
          <w:szCs w:val="22"/>
        </w:rPr>
        <w:t xml:space="preserve"> </w:t>
      </w:r>
      <w:r w:rsidRPr="00A90F21">
        <w:rPr>
          <w:szCs w:val="22"/>
        </w:rPr>
        <w:t>živočíšneho uhlia. Následne sa majú dôsledne monitorovať vitálne parametre. Ak je to potrebné,</w:t>
      </w:r>
      <w:r w:rsidR="00FA43A9">
        <w:rPr>
          <w:szCs w:val="22"/>
        </w:rPr>
        <w:t xml:space="preserve"> </w:t>
      </w:r>
      <w:r w:rsidRPr="00A90F21">
        <w:rPr>
          <w:szCs w:val="22"/>
        </w:rPr>
        <w:t>vitálne parametre sa majú korigovať.</w:t>
      </w:r>
      <w:r w:rsidR="00FA43A9">
        <w:rPr>
          <w:szCs w:val="22"/>
        </w:rPr>
        <w:t xml:space="preserve"> </w:t>
      </w:r>
    </w:p>
    <w:p w:rsidR="006E31EF" w:rsidRDefault="006E31EF" w:rsidP="00B776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B77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Losartan, ani jeho aktívny metabolit sa nedajú odstrániť hemodialýzou.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b/>
          <w:bCs/>
          <w:szCs w:val="22"/>
        </w:rPr>
      </w:pPr>
      <w:r w:rsidRPr="00A90F21">
        <w:rPr>
          <w:b/>
          <w:bCs/>
          <w:szCs w:val="22"/>
        </w:rPr>
        <w:t>5.</w:t>
      </w:r>
      <w:r w:rsidRPr="00A90F21">
        <w:rPr>
          <w:b/>
          <w:bCs/>
          <w:szCs w:val="22"/>
        </w:rPr>
        <w:tab/>
        <w:t>FARMAKOLOGICKÉ VLASTNOSTI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 xml:space="preserve">Farmakoterapeutická skupina: antagonisty angiotenzínu II, </w:t>
      </w:r>
      <w:r w:rsidR="001940B9">
        <w:rPr>
          <w:szCs w:val="22"/>
        </w:rPr>
        <w:t xml:space="preserve">samotné; </w:t>
      </w:r>
      <w:r w:rsidRPr="00A90F21">
        <w:rPr>
          <w:szCs w:val="22"/>
        </w:rPr>
        <w:t>ATC kód: C09CA01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b/>
          <w:bCs/>
          <w:szCs w:val="22"/>
        </w:rPr>
      </w:pPr>
      <w:r w:rsidRPr="00A90F21">
        <w:rPr>
          <w:b/>
          <w:bCs/>
          <w:szCs w:val="22"/>
        </w:rPr>
        <w:t>5.1</w:t>
      </w:r>
      <w:r w:rsidRPr="00A90F21">
        <w:rPr>
          <w:b/>
          <w:bCs/>
          <w:szCs w:val="22"/>
        </w:rPr>
        <w:tab/>
        <w:t>Farmakodynamické vlastnosti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Losartan je syntetický perorálny antagonista receptora pre angiotenzín II (typ AT1). Angiotenzín II,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silný vazokonstriktor, je primárny aktívny hormón renín/angiotenzínového systému a je dôležitým</w:t>
      </w:r>
    </w:p>
    <w:p w:rsidR="00874099" w:rsidRPr="00A90F21" w:rsidRDefault="00874099" w:rsidP="00B77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lastRenderedPageBreak/>
        <w:t>determinantom patofyziológie hypertenzie. Angiotenzín II sa viaže na AT1 receptor, ktorý sa nachádza</w:t>
      </w:r>
      <w:r w:rsidR="00BC2799">
        <w:rPr>
          <w:szCs w:val="22"/>
        </w:rPr>
        <w:t xml:space="preserve"> </w:t>
      </w:r>
      <w:r w:rsidRPr="00A90F21">
        <w:rPr>
          <w:szCs w:val="22"/>
        </w:rPr>
        <w:t>v mnohých tkanivách (hladké svalstvo ciev, nadobličky, obličky a srdce) a vyvoláva niekoľko</w:t>
      </w:r>
      <w:r w:rsidR="00BC2799">
        <w:rPr>
          <w:szCs w:val="22"/>
        </w:rPr>
        <w:t xml:space="preserve">  </w:t>
      </w:r>
      <w:r w:rsidRPr="00A90F21">
        <w:rPr>
          <w:szCs w:val="22"/>
        </w:rPr>
        <w:t>dôležitých biologických účinkov vrátane vazokonstrikcie a uvoľňovania aldosterónu. Angiotenzín II</w:t>
      </w:r>
      <w:r w:rsidR="00BC2799">
        <w:rPr>
          <w:szCs w:val="22"/>
        </w:rPr>
        <w:t xml:space="preserve"> </w:t>
      </w:r>
      <w:r w:rsidRPr="00A90F21">
        <w:rPr>
          <w:szCs w:val="22"/>
        </w:rPr>
        <w:t>tiež stimuluje proliferáciu buniek hladkého svalu.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 xml:space="preserve">Losartan selektívne blokuje AT1 receptor. </w:t>
      </w:r>
      <w:r w:rsidRPr="00A90F21">
        <w:rPr>
          <w:i/>
          <w:iCs/>
          <w:szCs w:val="22"/>
        </w:rPr>
        <w:t xml:space="preserve">In vitro </w:t>
      </w:r>
      <w:r w:rsidRPr="00A90F21">
        <w:rPr>
          <w:szCs w:val="22"/>
        </w:rPr>
        <w:t xml:space="preserve">a </w:t>
      </w:r>
      <w:r w:rsidRPr="00A90F21">
        <w:rPr>
          <w:i/>
          <w:iCs/>
          <w:szCs w:val="22"/>
        </w:rPr>
        <w:t xml:space="preserve">in vivo </w:t>
      </w:r>
      <w:r w:rsidRPr="00A90F21">
        <w:rPr>
          <w:szCs w:val="22"/>
        </w:rPr>
        <w:t>losartan a jeho farmakologicky aktívny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metabolit – karboxylová kyselina E-3174 blokujú všetky fyziologicky relevantné účinky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angiotenzínu II, bez ohľadu na jeho zdroj alebo dráhu jeho syntézy.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Losartan nemá agonistický účinok, ani neblokuje iné hormonálne receptory alebo iónové kanály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dôležité v kardiovaskulárnej regulácii. Okrem toho losartan neinhibuje ACE (kininázu II), enzým,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ktorý degraduje bradykinín. Preto nedochádza k umocneniu nežiaducich účinkov sprostredkovaných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bradykinínom.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B77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Odstránenie negatívnej spätnej väzby angiotenzínu II na sekréciu renínu vedie počas podávania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losartanu ku zvýšeniu plazmatickej renínovej aktivity (PRA). Zvýšenie PRA vedie k zvýšeniu hladiny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angiotenzínu II v plazme. Napriek týmto zvýšeniam zostáva antihypertenzný účinok a supresia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koncentrácie plazmatického aldosterónu zachovaná, čo svedčí o účinnej blokáde receptora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angiotenzínu II. Po ukončení liečby losartanom hodnoty PRA a angiotenzínu II klesli v priebehu troch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dní na svoje východiskové hodnoty.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Losartan aj jeho hlavný aktívny metabolit majú oveľa väčšiu afinitu k AT1 receptoru než k AT2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receptoru. Na základe porovnania hmotností je aktívny metabolit 10- až 40-krát účinnejší ako losartan.</w:t>
      </w:r>
    </w:p>
    <w:p w:rsidR="00874099" w:rsidRDefault="00874099">
      <w:pPr>
        <w:autoSpaceDE w:val="0"/>
        <w:autoSpaceDN w:val="0"/>
        <w:adjustRightInd w:val="0"/>
        <w:rPr>
          <w:szCs w:val="22"/>
        </w:rPr>
      </w:pPr>
    </w:p>
    <w:p w:rsidR="00BC2799" w:rsidRPr="00771B50" w:rsidRDefault="00BC2799" w:rsidP="00BC279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71B50">
        <w:rPr>
          <w:rFonts w:ascii="Times New Roman" w:hAnsi="Times New Roman" w:cs="Times New Roman"/>
          <w:iCs/>
          <w:sz w:val="22"/>
          <w:szCs w:val="22"/>
        </w:rPr>
        <w:t xml:space="preserve">Dve rozsiahle randomizované, kontrolované klinické skúšania (ONTARGET (ONgoing Telmisartan Alone and in combination with Ramipril Global Endpoint Trial) a VA NEPHRON-D (The Veterans Affairs Nephropathy in Diabetes)) skúmali použitie kombinácie inhibítora ACE a blokátora receptorov angiotenzínu II. </w:t>
      </w:r>
    </w:p>
    <w:p w:rsidR="00BC2799" w:rsidRPr="00771B50" w:rsidRDefault="00BC2799" w:rsidP="00BC279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71B50">
        <w:rPr>
          <w:rFonts w:ascii="Times New Roman" w:hAnsi="Times New Roman" w:cs="Times New Roman"/>
          <w:iCs/>
          <w:sz w:val="22"/>
          <w:szCs w:val="22"/>
        </w:rPr>
        <w:t>Skúšanie ONTARGET sa vykonalo u pacientov s kardiovaskulárnym alebo cerebrovaskulárnym ochorením v anamnéze, alebo u pacientov s diabetes mellitus 2. typu, u ktorých sa preukázalo poškodenie cieľových orgánov. Skúšanie VA NEPHRON-D sa vykonalo u pacientov s diabet</w:t>
      </w:r>
      <w:r>
        <w:rPr>
          <w:rFonts w:ascii="Times New Roman" w:hAnsi="Times New Roman" w:cs="Times New Roman"/>
          <w:iCs/>
          <w:sz w:val="22"/>
          <w:szCs w:val="22"/>
        </w:rPr>
        <w:t>om</w:t>
      </w:r>
      <w:r w:rsidRPr="00771B50">
        <w:rPr>
          <w:rFonts w:ascii="Times New Roman" w:hAnsi="Times New Roman" w:cs="Times New Roman"/>
          <w:iCs/>
          <w:sz w:val="22"/>
          <w:szCs w:val="22"/>
        </w:rPr>
        <w:t xml:space="preserve"> mellitus 2. typu a diabetickou nefropatiou. </w:t>
      </w:r>
    </w:p>
    <w:p w:rsidR="00BC2799" w:rsidRPr="00771B50" w:rsidRDefault="00BC2799" w:rsidP="00BC279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71B50">
        <w:rPr>
          <w:rFonts w:ascii="Times New Roman" w:hAnsi="Times New Roman" w:cs="Times New Roman"/>
          <w:iCs/>
          <w:sz w:val="22"/>
          <w:szCs w:val="22"/>
        </w:rPr>
        <w:t xml:space="preserve">Tieto skúšania neukázali významný priaznivý účinok na renálne a/alebo kardiovaskulárne ukazovatele a mortalitu, zatiaľ čo v porovnaní s monoterapiou sa pozorovalo zvýšené riziko hyperkaliémie, akútneho poškodenia obličiek a/alebo hypotenzie. Vzhľadom na podobné farmakodynamické vlastnosti sú tieto výsledky relevantné aj pre ostatné inhibítory ACE a blokátory receptorov angiotenzínu II. </w:t>
      </w:r>
    </w:p>
    <w:p w:rsidR="00BC2799" w:rsidRPr="00771B50" w:rsidRDefault="00BC2799" w:rsidP="00BC279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71B50">
        <w:rPr>
          <w:rFonts w:ascii="Times New Roman" w:hAnsi="Times New Roman" w:cs="Times New Roman"/>
          <w:iCs/>
          <w:sz w:val="22"/>
          <w:szCs w:val="22"/>
        </w:rPr>
        <w:t xml:space="preserve">Inhibítory ACE a blokátory receptorov angiotenzínu II sa preto nemajú používať súbežne u pacientov s diabetickou nefropatiou. </w:t>
      </w:r>
    </w:p>
    <w:p w:rsidR="00BC2799" w:rsidRPr="00771B50" w:rsidRDefault="00BC2799" w:rsidP="00BC2799">
      <w:pPr>
        <w:tabs>
          <w:tab w:val="left" w:pos="8505"/>
        </w:tabs>
        <w:ind w:left="0" w:right="566" w:firstLine="0"/>
        <w:rPr>
          <w:iCs/>
          <w:szCs w:val="22"/>
        </w:rPr>
      </w:pPr>
      <w:r w:rsidRPr="00771B50">
        <w:rPr>
          <w:iCs/>
          <w:szCs w:val="22"/>
        </w:rPr>
        <w:t>Skúšanie ALTITUDE (Aliskiren Trial in Type 2 Diabetes Using Cardiovascular and Renal Disease Endpoints) bolo navrhnuté na otestovanie prínosu pridania aliskirenu k štandardnej liečbe inhibítorom ACE alebo blokátorom receptorov angiotenzínu II u pacientov s diabetes mellitus 2. typu a chronickým ochorením obličiek, kardiovaskulárnym ochorením, alebo oboma ochoreniami. Skúšanie bolo predčasne ukončené pre zvýšené riziko nežiaducich udalostí. V</w:t>
      </w:r>
      <w:r w:rsidR="00145EE6">
        <w:rPr>
          <w:iCs/>
          <w:szCs w:val="22"/>
        </w:rPr>
        <w:t> </w:t>
      </w:r>
      <w:r w:rsidRPr="00771B50">
        <w:rPr>
          <w:iCs/>
          <w:szCs w:val="22"/>
        </w:rPr>
        <w:t>skupine aliskirenu bolo numericky viac úmrtí z kardiovaskulárnej príčiny a cievnych mozgových príhod ako v skupine placeba a v skupine aliskirenu boli častejšie hlásené sledované nežiaduce udalosti a závažné nežiaduce udalosti (hyperkaliémia, hypotenzia a renálna dysfunkcia) ako v skupine placeba.</w:t>
      </w:r>
    </w:p>
    <w:p w:rsidR="00BC2799" w:rsidRPr="00A90F21" w:rsidRDefault="00BC27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pStyle w:val="Nadpis8"/>
        <w:widowControl/>
        <w:rPr>
          <w:bCs w:val="0"/>
        </w:rPr>
      </w:pPr>
      <w:r w:rsidRPr="00A90F21">
        <w:rPr>
          <w:bCs w:val="0"/>
        </w:rPr>
        <w:t>Štúdie hypertenzie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V kontrolovaných klinických štúdiách viedlo podávanie losartanu jedenkrát denne pacientom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s</w:t>
      </w:r>
      <w:r w:rsidR="00C32842">
        <w:rPr>
          <w:szCs w:val="22"/>
        </w:rPr>
        <w:t> </w:t>
      </w:r>
      <w:r w:rsidRPr="00A90F21">
        <w:rPr>
          <w:szCs w:val="22"/>
        </w:rPr>
        <w:t>miernou až stredne ťažkou esenciálnou hypertenziou ku štatisticky významnému poklesu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systolického a diastolického krvného tlaku. Merania krvného tlaku 24 hodín po dávke v porovnaní</w:t>
      </w:r>
      <w:r w:rsidR="00145EE6">
        <w:rPr>
          <w:szCs w:val="22"/>
        </w:rPr>
        <w:t xml:space="preserve"> </w:t>
      </w:r>
      <w:r w:rsidRPr="00A90F21">
        <w:rPr>
          <w:szCs w:val="22"/>
        </w:rPr>
        <w:t>s</w:t>
      </w:r>
      <w:r w:rsidR="00145EE6">
        <w:rPr>
          <w:szCs w:val="22"/>
        </w:rPr>
        <w:t> </w:t>
      </w:r>
      <w:r w:rsidRPr="00A90F21">
        <w:rPr>
          <w:szCs w:val="22"/>
        </w:rPr>
        <w:t>meraním 5-6 hodín po dávke preukázali zníženie krvného tlaku počas 24 hodín; pričom prirodzený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denný rytmus zostal zachovaný. Zníženie krvného tlaku na konci dávkovacieho intervalu bolo 70-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80 % oproti účinku pozorovanom 5-6 hodín po dávke.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Ukončenie liečby losartanom u hypertenzných pacientov neviedlo k prudkému zvýšeniu krvného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tlaku (rebound fenomén). Napriek výraznému zníženiu krvného tlaku nemal losartan klinicky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významný účinok na srdcový rytmus.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Losartan je rovnako účinný u mužov a žien a u mladších (pod 65 rokov) a starších hypertenzívnych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pacientov.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C32842">
      <w:pPr>
        <w:pStyle w:val="Nadpis8"/>
        <w:widowControl/>
        <w:ind w:left="0" w:firstLine="0"/>
        <w:rPr>
          <w:bCs w:val="0"/>
        </w:rPr>
      </w:pPr>
      <w:r w:rsidRPr="00A90F21">
        <w:rPr>
          <w:bCs w:val="0"/>
        </w:rPr>
        <w:t>Štúdia LIFE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Štúdia LIFE (Losartan Intervention For Endpoint Reduction in Hypertension) bola randomizovaná,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trojito slepá, aktívne kontrolovaná štúdia s 9 193 pacientmi s hypertenziou vo veku 55 až 80 rokov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s EKG-dokumentovanou hypertrofiou ľavej komory. Pacienti boli randomizovaní do skupín, v ktorých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dostávali losartan 50 mg jedenkrát denne alebo atenolol 50 mg jedenkrát denne. Ak sa nedosiahol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cieľový krvný tlak (&lt;140/90 mmHg), najskôr sa pridal hydrochlorotiazid (12,5 mg) a ak to bolo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potrebné, dávka losartanu alebo atenololu sa následne zvýšila na 100 mg jedenkrát denne. Ak to bolo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potrebné na dosiahnutie cieľového krvného tlaku, pridali sa iné antihypertenzíva okrem ACE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inhibítorov, antagonistov angiotenzínu II alebo betablokátorov.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Priemerná dĺžka sledovania bola 4,8 roka.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Primárnym cieľovým ukazovateľom bola kompozitná kardiovaskulárna morbidita a mortalita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hodnotená znížením kombinovanej incidencie kardiovaskulárnej smrti, cievnej mozgovej príhody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a infarktu myokardu. V oboch skupinách došlo k signifikantnému zníženiu krvného tlaku na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porovnateľné hodnoty. U pacientov, ktorí dosiahli primárny kompozitný cieľový ukazovateľ, viedla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liečba losartanom v porovnaní s atenololom k 13,0 % zníženiu rizika (p=0,021, 95 % interval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spoľahlivosti 0,77-0,98). Toto bolo spôsobené predovšetkým znížením incidencie cievnej mozgovej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príhody. Liečba losartanom znížila riziko vzniku cievnej mozgovej príhody v porovnaní s atenololom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o 25 % (p=0,001, 95 % interval spoľahlivosti 0,63-0,89). Výskyt kardiovaskulárnej smrti a infarktu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myokardu sa medzi týmito liečebnými skupinami signifikantne nelíšil.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A90F21">
        <w:rPr>
          <w:i/>
          <w:iCs/>
          <w:szCs w:val="22"/>
        </w:rPr>
        <w:t>Rasa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V štúdii LIFE mali pacienti čiernej pleti liečení losartanom vyššie riziko vzniku primárneho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kombinovaného cieľového ukazovateľa, t.j. kardiovaskulárnej príhody (napr. infarktu myokardu,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kardiovaskulárnej smrti) a obzvlášť cievnej mozgovej príhody ako pacienti čiernej pleti liečení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atenololom. Preto sa výsledky pozorované pri losartane v porovnaní s atenololom v štúdii LIFE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s ohľadom na kardiovaskulárnu morbiditu/mortalitu nevzťahujú na pacientov čiernej pleti</w:t>
      </w:r>
    </w:p>
    <w:p w:rsidR="00874099" w:rsidRPr="00A90F21" w:rsidRDefault="00874099" w:rsidP="00C32842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s hypertenziou a hypertrofiou ľavej komory.</w:t>
      </w:r>
    </w:p>
    <w:p w:rsidR="00874099" w:rsidRPr="00A90F21" w:rsidRDefault="00874099" w:rsidP="00B77609">
      <w:pPr>
        <w:tabs>
          <w:tab w:val="left" w:pos="939"/>
        </w:tabs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pStyle w:val="Nadpis8"/>
        <w:widowControl/>
        <w:rPr>
          <w:bCs w:val="0"/>
        </w:rPr>
      </w:pPr>
      <w:r w:rsidRPr="00A90F21">
        <w:rPr>
          <w:bCs w:val="0"/>
        </w:rPr>
        <w:t>Štúdia RENAAL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Štúdia RENAAL (The Reduction of Endpoints in NIDDM with the Angiotensin II Receptor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Antagonist Losartan) bola kontrolovaná klinická štúdia vykonaná celosvetovo u 1 513 pacientov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s diabetom 2. typu s proteinúriou s hypertenziou alebo bez hypertenzie. Losartanom bolo liečených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751 pacientov. Cieľom tejto štúdie bolo okrem prínosu zníženia krvného tlaku preukázať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nefroprotektívny účinok draselnej soli losartanu.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Pacienti s proteinúriou a kreatinínom v sére 1,3 – 3,0 mg/dl boli randomizovaní do skupín, v ktorých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dostávali losartan 50 mg jedenkrát denne, v prípade nutnosti titrovaný tak, aby sa dosiahla odpoveď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krvného tlaku alebo dostávali placebo, a to na pozadí konvenčnej antihypertenznej terapie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s výnimkou ACE inhibítorov a antagonistov angiotenzínu II.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Investigátori boli inštruovaní, aby titrovali skúmaný liek na 100 mg denne, ak to bolo vhodné;</w:t>
      </w:r>
    </w:p>
    <w:p w:rsidR="00874099" w:rsidRPr="00A90F21" w:rsidRDefault="00874099" w:rsidP="00B77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72 % pacientov užívalo väčšinu času dávku 100 mg denne. Iné antihypertenzíva (diuretiká, antagonist</w:t>
      </w:r>
      <w:r w:rsidR="000C794F">
        <w:rPr>
          <w:szCs w:val="22"/>
        </w:rPr>
        <w:t>y</w:t>
      </w:r>
      <w:r w:rsidR="00B77609">
        <w:rPr>
          <w:szCs w:val="22"/>
        </w:rPr>
        <w:t xml:space="preserve"> </w:t>
      </w:r>
      <w:r w:rsidRPr="00A90F21">
        <w:rPr>
          <w:szCs w:val="22"/>
        </w:rPr>
        <w:t>kalcia, blokátory alfa- a beta-receptorov a tiež centrálne pôsobiace antihypertenzíva) sa mohli podľa</w:t>
      </w:r>
      <w:r w:rsidR="00B77609">
        <w:rPr>
          <w:szCs w:val="22"/>
        </w:rPr>
        <w:t xml:space="preserve"> </w:t>
      </w:r>
      <w:r w:rsidRPr="00A90F21">
        <w:rPr>
          <w:szCs w:val="22"/>
        </w:rPr>
        <w:t>potreby v oboch skupinách pridať ako doplnková liečba. Pacienti boli sledovaní až do 4,6 roka</w:t>
      </w:r>
      <w:r w:rsidR="00B77609">
        <w:rPr>
          <w:szCs w:val="22"/>
        </w:rPr>
        <w:t xml:space="preserve"> </w:t>
      </w:r>
      <w:r w:rsidRPr="00A90F21">
        <w:rPr>
          <w:szCs w:val="22"/>
        </w:rPr>
        <w:t>(priemerne 3,4 roka).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Primárnym cieľovým ukazovateľom štúdie bol kompozitný cieľový ukazovateľ zdvojnásobenia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sérového kreatinínu, terminálne štádium renálneho zlyhania (potreba dialýzy alebo transplantácie)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alebo smrť.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Výsledky ukázali, že liečba losartanom (327 prípadov) v porovnaní s placebom (359 prípadov) viedla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k zníženiu rizika o 16,1 % (p=0,022) v počte pacientov, ktorí dosiahli primárny kompozitný cieľový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ukazovateľ. Čo sa týka nasledovných individuálnych a kombinovaných komponentov primárneho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cieľového ukazovateľa, výsledky ukázali signifikantné zníženie rizika v skupine liečenej losartanom: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zníženie rizika o 25,3 % pre zdvojnásobenie kreatinínu v sére (p=0,006); zníženie rizika o 28,6 % pre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terminálne štádium zlyhania obličiek (p=0,002); zníženie rizika o 19,9 % pre terminálne štádium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renálneho zlyhania alebo smrť (p=0,009); zníženie rizika o 21,0 % pre zdvojnásobenie kreatinínu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v sére alebo terminálne štádium renálneho zlyhania (p=0,01).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Počet úmrtí z akejkoľvek príčiny sa medzi oboma liečebnými skupinami signifikantne nelíšil.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V tejto štúdii sa losartan spravidla dobre znášal, čo je preukázané počtom prerušení liečby z dôvodu</w:t>
      </w:r>
    </w:p>
    <w:p w:rsidR="00874099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nežiaducich účinkov, ktorý bol porovnateľný so skupinou, ktorá dostávala placebo.</w:t>
      </w:r>
    </w:p>
    <w:p w:rsidR="0075172F" w:rsidRDefault="0075172F">
      <w:pPr>
        <w:autoSpaceDE w:val="0"/>
        <w:autoSpaceDN w:val="0"/>
        <w:adjustRightInd w:val="0"/>
        <w:rPr>
          <w:szCs w:val="22"/>
        </w:rPr>
      </w:pPr>
    </w:p>
    <w:p w:rsidR="0075172F" w:rsidRPr="00036A92" w:rsidRDefault="0075172F" w:rsidP="0075172F">
      <w:pPr>
        <w:rPr>
          <w:szCs w:val="22"/>
        </w:rPr>
      </w:pPr>
      <w:r w:rsidRPr="00036A92">
        <w:rPr>
          <w:szCs w:val="22"/>
          <w:u w:val="single"/>
        </w:rPr>
        <w:t>Štúdia HEAAL</w:t>
      </w:r>
    </w:p>
    <w:p w:rsidR="0075172F" w:rsidRPr="00036A92" w:rsidRDefault="0075172F" w:rsidP="0075172F">
      <w:pPr>
        <w:ind w:left="0" w:firstLine="0"/>
        <w:rPr>
          <w:szCs w:val="22"/>
        </w:rPr>
      </w:pPr>
      <w:r w:rsidRPr="00036A92">
        <w:rPr>
          <w:szCs w:val="22"/>
        </w:rPr>
        <w:t>Štúdia HEAAL (The Heart Failure Endpoint Evaluation of Angiotensin II Antagonist Losartan) bola kontrolovaná klinická štúdia vykonaná celosvetovo u 3 834 pacientov vo veku 18 až 98 rokov so srdcovým zlyhaním (II.- IV. trieda NYHA), ktorí netolerovali liečbu ACE inhibítorom. Pacienti boli randomizovaní do skupín, v ktorých dostávali losartan 50 mg jedenkrát denne alebo losartan 150 mg, a to na pozadí konvenčnej terapie s výnimkou ACE inhibítorov.</w:t>
      </w:r>
    </w:p>
    <w:p w:rsidR="0075172F" w:rsidRPr="00036A92" w:rsidRDefault="0075172F" w:rsidP="0075172F">
      <w:pPr>
        <w:ind w:left="0" w:firstLine="0"/>
        <w:rPr>
          <w:szCs w:val="22"/>
        </w:rPr>
      </w:pPr>
    </w:p>
    <w:p w:rsidR="0075172F" w:rsidRPr="00036A92" w:rsidRDefault="0075172F" w:rsidP="0075172F">
      <w:pPr>
        <w:ind w:left="0" w:firstLine="0"/>
        <w:rPr>
          <w:szCs w:val="22"/>
        </w:rPr>
      </w:pPr>
      <w:r w:rsidRPr="00036A92">
        <w:rPr>
          <w:szCs w:val="22"/>
        </w:rPr>
        <w:t>Pacienti boli sledovaní viac ako 4 roky (priemerne 4,7 roka). Primárnym cieľovým ukazovateľom štúdie bol kompozitný cieľový ukazovateľ úmrtí z akejkoľvek príčiny alebo hospitalizácie pre srdcové zlyhanie.</w:t>
      </w:r>
    </w:p>
    <w:p w:rsidR="0075172F" w:rsidRPr="00036A92" w:rsidRDefault="0075172F" w:rsidP="0075172F">
      <w:pPr>
        <w:ind w:left="0" w:firstLine="0"/>
        <w:rPr>
          <w:szCs w:val="22"/>
        </w:rPr>
      </w:pPr>
    </w:p>
    <w:p w:rsidR="0075172F" w:rsidRPr="00A90F21" w:rsidRDefault="0075172F" w:rsidP="00A90F21">
      <w:pPr>
        <w:ind w:left="0" w:firstLine="0"/>
        <w:rPr>
          <w:szCs w:val="22"/>
        </w:rPr>
      </w:pPr>
      <w:r w:rsidRPr="00036A92">
        <w:rPr>
          <w:szCs w:val="22"/>
        </w:rPr>
        <w:t>Výsledky ukázali, že liečba losartanom 150 mg (828 prípadov) v porovnaní s losartanom 50 mg (889 prípadov) viedla k zníženiu rizika o 10,1 % (p=0,027, 95 % interval spoľahlivosti 0,82-0,99) v počte pacientov, ktorí dosiahli primárny kompozitný cieľový ukazovateľ. Toto bolo spôsobené predovšetkým znížením incidencie hospitalizácie pre srdcové zlyhanie. Liečba losartanom 150 mg znížila riziko hospitalizácie pre srdcové zlyhanie v porovnaní s losartanom 50 mg o 13,5 % (p=0,025, 95 % interval spoľahlivosti 0,76-0,98). Počet všetkých prípadov úmrtia z akejkoľvek príčiny sa medzi oboma liečebnými skupinami signifikantne nelíšil. Poškodenie funkcie obličiek, hypotenzia a hyperkaliémia boli v skupine so 150 mg častejšie ako v skupine s 50 mg, napriek tomu tieto nežiaduce účinky neviedli k signifikantne vyššiemu počtu prerušení liečby v skupine so 150 mg.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pStyle w:val="Nadpis8"/>
        <w:widowControl/>
        <w:rPr>
          <w:bCs w:val="0"/>
        </w:rPr>
      </w:pPr>
      <w:r w:rsidRPr="00A90F21">
        <w:rPr>
          <w:bCs w:val="0"/>
        </w:rPr>
        <w:t>Štúdie ELITE I a ELITE II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V štúdii ELITE uskutočnenej počas 48 týždňov u 722 pacientov so srdcovým zlyhaním (II.-IV. trieda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NYHA) nebol medzi pacientmi liečenými losartanom a pacientmi liečenými kaptoprilom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pozorovaný žiaden rozdiel týkajúci sa primárneho cieľového ukazovateľa – dlhodobej zmeny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v</w:t>
      </w:r>
      <w:r w:rsidR="00C32842">
        <w:rPr>
          <w:szCs w:val="22"/>
        </w:rPr>
        <w:t> </w:t>
      </w:r>
      <w:r w:rsidRPr="00A90F21">
        <w:rPr>
          <w:szCs w:val="22"/>
        </w:rPr>
        <w:t>renálnej funkcii. Pozorovanie v štúdii ELITE, že v porovnaní s kaptoprilom losartan znížil riziko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úmrtia, sa nepotvrdilo v následnej štúdii ELITE II, ktorá je opísaná nižšie.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V štúdii ELITE II sa porovnával losartan 50 mg jedenkrát denne (počiatočná dávka 12,5 mg, zvýšená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na 25 mg a následne na 50 mg jedenkrát denne) s kaptoprilom 50 mg trikrát denne (počiatočná dávka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12,5 mg, zvýšená na 25 mg a následne na 50 mg trikrát denne). Primárnym cieľovým ukazovateľom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tejto prospektívnej štúdie bola úmrtnosť z akejkoľvek príčiny.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V tejto štúdii bolo 3 152 pacientov so srdcovým zlyhaním (II.-IV. trieda NYHA) sledovaných skoro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dva roky (medián 1,5 roka), aby sa zistilo, či je losartan lepší ako kaptopril v znižovaní úmrtnosti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z akéhokoľvek dôvodu. Primárny cieľový ukazovateľ nepreukázal žiaden štatisticky významný rozdiel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medzi losartanom a kaptoprilom pri znižovaní úmrtnosti z akejkoľvek príčiny.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V oboch komparátorom kontrolovaných (nie placebom kontrolovaných) klinických štúdiách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s pacientmi so srdcovým zlyhaním bola tolerabilita losartanu lepšia ako tolerabilita kaptoprilu,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vychádzajúc zo signifikantne nižšieho počtu prerušení terapie z dôvodu nežiaducich účinkov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a signifikantne nižšej frekvencie kašľa.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lastRenderedPageBreak/>
        <w:t>V malej podskupine pacientov (22 % všetkých pacientov so srdcovým zlyhaním) užívajúcich pri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vstupe do štúdie beta-blokátory sa v štúdii ELITE II pozorovala zvýšená mortalita.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75172F" w:rsidRDefault="00BC2799" w:rsidP="00E06609">
      <w:pPr>
        <w:pStyle w:val="Nadpis8"/>
        <w:widowControl/>
        <w:ind w:left="0" w:firstLine="0"/>
        <w:rPr>
          <w:bCs w:val="0"/>
        </w:rPr>
      </w:pPr>
      <w:r>
        <w:rPr>
          <w:bCs w:val="0"/>
        </w:rPr>
        <w:t>Pediatrická populácia</w:t>
      </w:r>
    </w:p>
    <w:p w:rsidR="00F556F3" w:rsidRDefault="00F556F3" w:rsidP="00E06609">
      <w:pPr>
        <w:pStyle w:val="Nadpis8"/>
        <w:widowControl/>
        <w:ind w:left="0" w:firstLine="0"/>
        <w:rPr>
          <w:bCs w:val="0"/>
        </w:rPr>
      </w:pPr>
    </w:p>
    <w:p w:rsidR="00874099" w:rsidRPr="00A90F21" w:rsidRDefault="00874099" w:rsidP="00E06609">
      <w:pPr>
        <w:pStyle w:val="Nadpis8"/>
        <w:widowControl/>
        <w:ind w:left="0" w:firstLine="0"/>
        <w:rPr>
          <w:bCs w:val="0"/>
        </w:rPr>
      </w:pPr>
      <w:r w:rsidRPr="00A90F21">
        <w:rPr>
          <w:bCs w:val="0"/>
        </w:rPr>
        <w:t>Pediatrická hypertenzia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Antihypertenzný účinok lieku Losartan STADA sa preukázal v klinickej štúdii zahŕňajúcej 177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hypertenzných pediatrických pacientov vo veku 6 až 16 rokov s hmotnosťou &gt;20 kg a rýchlosťou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glomerulárnej filtrácie &gt;30 ml/min/1,73 m</w:t>
      </w:r>
      <w:r w:rsidRPr="00A90F21">
        <w:rPr>
          <w:szCs w:val="22"/>
          <w:vertAlign w:val="superscript"/>
        </w:rPr>
        <w:t>2</w:t>
      </w:r>
      <w:r w:rsidRPr="00A90F21">
        <w:rPr>
          <w:szCs w:val="22"/>
        </w:rPr>
        <w:t>. Pacienti, ktorí vážili &gt;20 kg a &lt;50 kg dostávali buď 2,5,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25, alebo 50 mg losartanu denne a pacienti s hmotnosťou &gt;50 kg dostávali buď 5, 50, alebo 100 mg</w:t>
      </w:r>
      <w:r w:rsidR="00E06609">
        <w:rPr>
          <w:szCs w:val="22"/>
        </w:rPr>
        <w:t xml:space="preserve"> </w:t>
      </w:r>
      <w:r w:rsidRPr="00A90F21">
        <w:rPr>
          <w:szCs w:val="22"/>
        </w:rPr>
        <w:t>losartanu denne. Podávanie losartanu jedenkrát denne znížilo na konci tretieho týždňa minimálny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krvný tlak v závislosti od veľkosti dávky.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Celkovo došlo k odpovedi v závislosti od dávky. Vzťah dávka-odpoveď bol veľmi zreteľný pri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porovnaní skupiny s nízkou dávkou so skupinou so strednou dávkou (I. obdobie: -6,2 mmHg oproti</w:t>
      </w:r>
      <w:r w:rsidR="00E06609">
        <w:rPr>
          <w:szCs w:val="22"/>
        </w:rPr>
        <w:t xml:space="preserve"> </w:t>
      </w:r>
      <w:r w:rsidRPr="00A90F21">
        <w:rPr>
          <w:szCs w:val="22"/>
        </w:rPr>
        <w:t>-11,65 mmHg), ale oslabený pri porovnaní skupiny so strednou dávkou a skupiny s vysokou dávkou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(I. obdobie: -11,65 mmHg oproti -12,21 mmHg). Najnižšie skúmané dávky 2,5 mg a 5 mg,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korešpondujúce s priemernou dennou dávkou 0,07 mg/kg nevykazovali schopnosť poskytnúť súvislú</w:t>
      </w:r>
      <w:r w:rsidR="00E06609">
        <w:rPr>
          <w:szCs w:val="22"/>
        </w:rPr>
        <w:t xml:space="preserve"> </w:t>
      </w:r>
      <w:r w:rsidRPr="00A90F21">
        <w:rPr>
          <w:szCs w:val="22"/>
        </w:rPr>
        <w:t>antihypertenznú účinnosť. Tieto výsledky sa potvrdili počas II. obdobia štúdie, kde boli pacienti po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troch týždňoch liečby randomizovaní na pokračovanie s losartanom alebo placebom. Rozdiel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vo vzostupe krvného tlaku bol v porovnaní s placebom vyšší v skupine so strednou dávkou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(6,70 mmHg pri strednej dávke oproti 5,38 mmHg pri vysokej dávke). Zvýšenie minimálneho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diastolického krvného tlaku bolo u pacientov užívajúcich placebo a pacientov pokračujúcich v liečbe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losartanom v najnižšej dávke v každej skupine rovnaké, čo znova poukazuje na to, že v každej skupine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nemala najnižšia dávka signifikantný antihypertenzzný účinok.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Default="00874099" w:rsidP="00B77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Dlhodobé účinky losartanu na rast, pubertu a celkový vývoj sa neskúmali. Dlhodobá účinnosť</w:t>
      </w:r>
      <w:r w:rsidR="00E06609">
        <w:rPr>
          <w:szCs w:val="22"/>
        </w:rPr>
        <w:t xml:space="preserve"> </w:t>
      </w:r>
      <w:r w:rsidRPr="00A90F21">
        <w:rPr>
          <w:szCs w:val="22"/>
        </w:rPr>
        <w:t>antihypertenznej terapie losartanom v detskom veku na zníženie kardiovaskulárnej morbidity</w:t>
      </w:r>
      <w:r w:rsidR="00E06609">
        <w:rPr>
          <w:szCs w:val="22"/>
        </w:rPr>
        <w:t xml:space="preserve"> </w:t>
      </w:r>
      <w:r w:rsidRPr="00A90F21">
        <w:rPr>
          <w:szCs w:val="22"/>
        </w:rPr>
        <w:t>a</w:t>
      </w:r>
      <w:r w:rsidR="00E06609">
        <w:rPr>
          <w:szCs w:val="22"/>
        </w:rPr>
        <w:t> </w:t>
      </w:r>
      <w:r w:rsidRPr="00A90F21">
        <w:rPr>
          <w:szCs w:val="22"/>
        </w:rPr>
        <w:t>mortality tiež nebola stanovená.</w:t>
      </w:r>
    </w:p>
    <w:p w:rsidR="00093CD0" w:rsidRDefault="00093CD0">
      <w:pPr>
        <w:autoSpaceDE w:val="0"/>
        <w:autoSpaceDN w:val="0"/>
        <w:adjustRightInd w:val="0"/>
        <w:rPr>
          <w:szCs w:val="22"/>
        </w:rPr>
      </w:pPr>
    </w:p>
    <w:p w:rsidR="00093CD0" w:rsidRPr="00036A92" w:rsidRDefault="00093CD0" w:rsidP="00093CD0">
      <w:pPr>
        <w:ind w:left="0" w:firstLine="0"/>
        <w:rPr>
          <w:szCs w:val="22"/>
        </w:rPr>
      </w:pPr>
      <w:r w:rsidRPr="00036A92">
        <w:rPr>
          <w:szCs w:val="22"/>
        </w:rPr>
        <w:t>U hypertenz</w:t>
      </w:r>
      <w:r>
        <w:rPr>
          <w:szCs w:val="22"/>
        </w:rPr>
        <w:t>ný</w:t>
      </w:r>
      <w:r w:rsidRPr="00036A92">
        <w:rPr>
          <w:szCs w:val="22"/>
        </w:rPr>
        <w:t>ch (n=60) a normotenz</w:t>
      </w:r>
      <w:r>
        <w:rPr>
          <w:szCs w:val="22"/>
        </w:rPr>
        <w:t>ný</w:t>
      </w:r>
      <w:r w:rsidRPr="00036A92">
        <w:rPr>
          <w:szCs w:val="22"/>
        </w:rPr>
        <w:t>ch (n=246) detí s proteinúriou sa v 12-týždňovej, placebom a aktívnym komparátorom (amlodipín) kontrolovanej klinickej štúdii hodnotil účinok losartanu na proteinúriu. Proteinúria bola definovaná ako pomer proteín v moči/kreatinín ≥0,3. Hypertenz</w:t>
      </w:r>
      <w:r>
        <w:rPr>
          <w:szCs w:val="22"/>
        </w:rPr>
        <w:t>ní</w:t>
      </w:r>
      <w:r w:rsidRPr="00036A92">
        <w:rPr>
          <w:szCs w:val="22"/>
        </w:rPr>
        <w:t xml:space="preserve"> pacienti (vo veku 6 až 18 rokov) boli randomizovaní tak, aby dostávali buď losartan (n=30) alebo amlodipín (n=30). Normotenz</w:t>
      </w:r>
      <w:r>
        <w:rPr>
          <w:szCs w:val="22"/>
        </w:rPr>
        <w:t>ní</w:t>
      </w:r>
      <w:r w:rsidRPr="00036A92">
        <w:rPr>
          <w:szCs w:val="22"/>
        </w:rPr>
        <w:t xml:space="preserve"> pacienti (vo veku 1 až 18 rokov) boli randomizovaní tak, aby dostávali buď losartan (n=122) alebo placebo (n=124). Losartan sa podával v dávkach od 0,7 mg/kg do 1,4 mg/kg (do maximálnej dávky 100 mg denne). Amlodipín sa podával v dávkach od 0,05 mg/kg do 0,2 mg/kg (do maximálnej dávky 5 mg denne).</w:t>
      </w:r>
    </w:p>
    <w:p w:rsidR="00093CD0" w:rsidRPr="00036A92" w:rsidRDefault="00093CD0" w:rsidP="00093CD0">
      <w:pPr>
        <w:ind w:left="0" w:firstLine="0"/>
        <w:rPr>
          <w:szCs w:val="22"/>
        </w:rPr>
      </w:pPr>
    </w:p>
    <w:p w:rsidR="00093CD0" w:rsidRPr="00036A92" w:rsidRDefault="00093CD0" w:rsidP="00093CD0">
      <w:pPr>
        <w:ind w:left="0" w:firstLine="0"/>
        <w:rPr>
          <w:szCs w:val="22"/>
        </w:rPr>
      </w:pPr>
      <w:r w:rsidRPr="00036A92">
        <w:rPr>
          <w:szCs w:val="22"/>
        </w:rPr>
        <w:t>Po 12 týždňoch liečby dosiahli pacienti užívajúci losartan štatisticky signifikantné zníženie proteinúrie 36 % oproti východiskovej hodnote v porovnaní s 1 % zvýšením v skupine s placebom/amlodipínom (p≤0,001). Hypertenz</w:t>
      </w:r>
      <w:r>
        <w:rPr>
          <w:szCs w:val="22"/>
        </w:rPr>
        <w:t>ní</w:t>
      </w:r>
      <w:r w:rsidRPr="00036A92">
        <w:rPr>
          <w:szCs w:val="22"/>
        </w:rPr>
        <w:t xml:space="preserve"> pacienti užívajúci losartan dosiahli zníženie proteinúrie </w:t>
      </w:r>
      <w:r w:rsidRPr="00036A92">
        <w:rPr>
          <w:szCs w:val="22"/>
        </w:rPr>
        <w:noBreakHyphen/>
        <w:t xml:space="preserve">41,5 % (95 % IS </w:t>
      </w:r>
      <w:r w:rsidRPr="00036A92">
        <w:rPr>
          <w:szCs w:val="22"/>
        </w:rPr>
        <w:noBreakHyphen/>
        <w:t xml:space="preserve">29,9; </w:t>
      </w:r>
      <w:r w:rsidRPr="00036A92">
        <w:rPr>
          <w:szCs w:val="22"/>
        </w:rPr>
        <w:noBreakHyphen/>
        <w:t xml:space="preserve">51,1) oproti východiskovej hodnote v porovnaní s +2,4 % (95 % IS </w:t>
      </w:r>
      <w:r w:rsidRPr="00036A92">
        <w:rPr>
          <w:szCs w:val="22"/>
        </w:rPr>
        <w:noBreakHyphen/>
        <w:t>22,2; 14,1) v skupine s amlodipínom. Pokles v systolickom aj diastolickom krvnom tlaku bol väčší v skupine s losartanom (</w:t>
      </w:r>
      <w:r w:rsidRPr="00036A92">
        <w:rPr>
          <w:szCs w:val="22"/>
        </w:rPr>
        <w:noBreakHyphen/>
        <w:t>5,5/</w:t>
      </w:r>
      <w:r w:rsidRPr="00036A92">
        <w:rPr>
          <w:szCs w:val="22"/>
        </w:rPr>
        <w:noBreakHyphen/>
        <w:t>3,8 mmHg) ako v skupine s amlodipínom (</w:t>
      </w:r>
      <w:r w:rsidRPr="00036A92">
        <w:rPr>
          <w:szCs w:val="22"/>
        </w:rPr>
        <w:noBreakHyphen/>
        <w:t>0,1/+0,8 mmHg). U normotenz</w:t>
      </w:r>
      <w:r>
        <w:rPr>
          <w:szCs w:val="22"/>
        </w:rPr>
        <w:t>ný</w:t>
      </w:r>
      <w:r w:rsidRPr="00036A92">
        <w:rPr>
          <w:szCs w:val="22"/>
        </w:rPr>
        <w:t>ch detí sa v skupine s losartanom pozoroval v porovnaní s placebom malý pokles krvného tlaku (</w:t>
      </w:r>
      <w:r w:rsidRPr="00036A92">
        <w:rPr>
          <w:szCs w:val="22"/>
        </w:rPr>
        <w:noBreakHyphen/>
        <w:t>3,7/</w:t>
      </w:r>
      <w:r w:rsidRPr="00036A92">
        <w:rPr>
          <w:szCs w:val="22"/>
        </w:rPr>
        <w:noBreakHyphen/>
        <w:t>3,4 mmHg). Medzi poklesom proteinúrie a krvného tlaku sa nezaznamenala žiadna signifikantná korelácia, je však možné, že v skupine liečenej losartanom bol pokles krvného tlaku čiastočne zodpovedný za pokles proteinúrie. Dlhodobé účinky zníženia proteinúrie u detí sa neštudovali.</w:t>
      </w:r>
    </w:p>
    <w:p w:rsidR="00874099" w:rsidRPr="00A90F21" w:rsidRDefault="00874099" w:rsidP="00A90F21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b/>
          <w:bCs/>
          <w:szCs w:val="22"/>
        </w:rPr>
      </w:pPr>
      <w:r w:rsidRPr="00A90F21">
        <w:rPr>
          <w:b/>
          <w:bCs/>
          <w:szCs w:val="22"/>
        </w:rPr>
        <w:t>5.2</w:t>
      </w:r>
      <w:r w:rsidRPr="00A90F21">
        <w:rPr>
          <w:b/>
          <w:bCs/>
          <w:szCs w:val="22"/>
        </w:rPr>
        <w:tab/>
        <w:t>Farmakokinetické vlastnosti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pStyle w:val="Nadpis8"/>
        <w:widowControl/>
        <w:rPr>
          <w:bCs w:val="0"/>
        </w:rPr>
      </w:pPr>
      <w:r w:rsidRPr="00A90F21">
        <w:rPr>
          <w:bCs w:val="0"/>
        </w:rPr>
        <w:t>Absorpcia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Po perorálnom podaní sa losartan dobre absorbuje a podlieha metabolizmu prvého prechodu, pričom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sa tvorí aktívny metabolit - karboxylová kyselina a iné neaktívne metabolity. Systémová biologická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lastRenderedPageBreak/>
        <w:t>dostupnosť tabliet losartanu je približne 33 %. Priemerné maximálne koncentrácie losartanu sa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dosahujú za 1 hodinu a jeho aktívneho metabolitu za 3-4 hodiny.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E06609">
      <w:pPr>
        <w:pStyle w:val="Nadpis8"/>
        <w:widowControl/>
        <w:ind w:left="0" w:firstLine="0"/>
        <w:rPr>
          <w:bCs w:val="0"/>
        </w:rPr>
      </w:pPr>
      <w:r w:rsidRPr="00A90F21">
        <w:rPr>
          <w:bCs w:val="0"/>
        </w:rPr>
        <w:t>Distribúcia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Losartan aj jeho aktívny metabolit sú ≥99 % viazané na plazmatické proteíny, predovšetkým na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albumín. Distribučný objem losartanu je 34 litrov.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E06609">
      <w:pPr>
        <w:pStyle w:val="Nadpis8"/>
        <w:widowControl/>
        <w:ind w:left="0" w:firstLine="0"/>
        <w:rPr>
          <w:bCs w:val="0"/>
        </w:rPr>
      </w:pPr>
      <w:r w:rsidRPr="00A90F21">
        <w:rPr>
          <w:bCs w:val="0"/>
        </w:rPr>
        <w:t>Biotransformácia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Približne 14 % intravenózne alebo perorálne podanej dávky losartanu sa mení na jeho aktívny</w:t>
      </w:r>
      <w:r w:rsidR="00C32842">
        <w:rPr>
          <w:szCs w:val="22"/>
        </w:rPr>
        <w:t xml:space="preserve"> </w:t>
      </w:r>
      <w:r w:rsidRPr="00A90F21">
        <w:rPr>
          <w:szCs w:val="22"/>
        </w:rPr>
        <w:t xml:space="preserve">metabolit. Po perorálnom a intravenóznom podaní </w:t>
      </w:r>
      <w:r w:rsidRPr="00A90F21">
        <w:rPr>
          <w:szCs w:val="22"/>
          <w:vertAlign w:val="superscript"/>
        </w:rPr>
        <w:t>14</w:t>
      </w:r>
      <w:r w:rsidRPr="00A90F21">
        <w:rPr>
          <w:szCs w:val="22"/>
        </w:rPr>
        <w:t>C-značenej draselnej soli losartanu sa cirkulujúca</w:t>
      </w:r>
      <w:r w:rsidR="00E06609">
        <w:rPr>
          <w:szCs w:val="22"/>
        </w:rPr>
        <w:t xml:space="preserve"> </w:t>
      </w:r>
      <w:r w:rsidRPr="00A90F21">
        <w:rPr>
          <w:szCs w:val="22"/>
        </w:rPr>
        <w:t>rádioaktivita v plazme pripisuje predovšetkým losartanu a jeho aktívnemu metabolitu. Približne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u</w:t>
      </w:r>
      <w:r w:rsidR="00C32842">
        <w:rPr>
          <w:szCs w:val="22"/>
        </w:rPr>
        <w:t> </w:t>
      </w:r>
      <w:r w:rsidRPr="00A90F21">
        <w:rPr>
          <w:szCs w:val="22"/>
        </w:rPr>
        <w:t>jedného percenta sledovaných jedincov sa pozorovala minimálna premena losartanu na jeho aktívny</w:t>
      </w:r>
      <w:r w:rsidR="00E06609">
        <w:rPr>
          <w:szCs w:val="22"/>
        </w:rPr>
        <w:t xml:space="preserve"> </w:t>
      </w:r>
      <w:r w:rsidRPr="00A90F21">
        <w:rPr>
          <w:szCs w:val="22"/>
        </w:rPr>
        <w:t>metabolit.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Okrem aktívneho metabolitu sa tvoria aj neaktívne metabolity.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pStyle w:val="Nadpis8"/>
        <w:widowControl/>
        <w:rPr>
          <w:bCs w:val="0"/>
        </w:rPr>
      </w:pPr>
      <w:r w:rsidRPr="00A90F21">
        <w:rPr>
          <w:bCs w:val="0"/>
        </w:rPr>
        <w:t>Eliminácia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Plazmatický klírens losartanu je približne 600 ml/min a jeho aktívneho metabolitu 50 ml/min. Renálny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klírens losartanu je približne 74 ml/min a jeho aktívneho metabolitu 26 ml/min. Po perorálnom podaní</w:t>
      </w:r>
      <w:r w:rsidR="00E06609">
        <w:rPr>
          <w:szCs w:val="22"/>
        </w:rPr>
        <w:t xml:space="preserve"> </w:t>
      </w:r>
      <w:r w:rsidRPr="00A90F21">
        <w:rPr>
          <w:szCs w:val="22"/>
        </w:rPr>
        <w:t>losartanu sa približne 4 % dávky vylúčia v nezmenenej forme v moči a približne 6 % dávky sa vylúči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v moči vo forme aktívneho metabolitu. Pri perorálnych dávkach draselnej soli losartanu až do 200 mg</w:t>
      </w:r>
      <w:r w:rsidR="00E06609">
        <w:rPr>
          <w:szCs w:val="22"/>
        </w:rPr>
        <w:t xml:space="preserve"> </w:t>
      </w:r>
      <w:r w:rsidRPr="00A90F21">
        <w:rPr>
          <w:szCs w:val="22"/>
        </w:rPr>
        <w:t>je farmakokinetika losartanu a jeho aktívneho metabolitu lineárna.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Po perorálnom podaní klesajú plazmatické koncentrácie losartanu a jeho aktívneho metabolitu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polyexponenciálne s konečným polčasom približne 2 hodiny pre losartan a 6-9 hodín pre jeho aktívny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metabolit. Pri dávkovaní 100 mg jedenkrát denne sa ani losartan ani jeho aktívny metabolit v plazme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signifikantne nekumulujú.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Na eliminácii losartanu a jeho metabolitov sa podieľa vylučovanie žlčou aj močom. Po perorálnej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dávke/intravenóznom podaní 14C-značeného losartanu u človeka sa približne 35 %/43 % rádioaktivity</w:t>
      </w:r>
      <w:r w:rsidR="00E06609">
        <w:rPr>
          <w:szCs w:val="22"/>
        </w:rPr>
        <w:t xml:space="preserve"> </w:t>
      </w:r>
      <w:r w:rsidRPr="00A90F21">
        <w:rPr>
          <w:szCs w:val="22"/>
        </w:rPr>
        <w:t>vylúči v moči a 58 %/50 % v stolici.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pStyle w:val="Nadpis8"/>
        <w:widowControl/>
        <w:rPr>
          <w:bCs w:val="0"/>
        </w:rPr>
      </w:pPr>
      <w:r w:rsidRPr="00A90F21">
        <w:rPr>
          <w:bCs w:val="0"/>
        </w:rPr>
        <w:t>Charakteristiky u pacientov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Plazmatické koncentrácie losartanu a jeho aktívneho metabolitu u starších hypertenzívnych pacientov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sa podstatne nelíšia od hodnôt zistených u mladých hypertenzívnych pacientov.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U ženských pacientok s hypertenziou boli plazmatické hladiny losartanu až dvojnásobne vyššie ako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u mužských hypertenzných pacientov, zatiaľ čo plazmatické hladiny jeho aktívneho metabolitu sa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u mužov a žien nelíšili.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U pacientov s miernou až stredne ťažkou cirhózou pečene spôsobenou alkoholom boli plazmatické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hladiny losartanu po perorálnom podaní 5- a jeho aktívneho metabolitu 1,7-násobne vyššie ako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u mladých mužských dobrovoľníkov (pozri časť 4.2 a 4.4).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Plazmatické koncentrácie losartanu u pacientov s klírensom kreatinínu vyšším ako 10 ml/min sa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nemenia. V porovnaní s pacientmi s normálnou funkciou obličiek je AUC losartanu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u hemodializovaných pacientov približne dvojnásobne väčšia.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Plazmatické koncentrácie aktívneho metabolitu sa u pacientov s poškodením funkcie obličiek, ani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u pacientov na hemodialýze nemenia.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Ani losartan, ani jeho aktívny aktívny metabolit nie je možné odstrániť hemodialýzou.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pStyle w:val="Nadpis8"/>
        <w:widowControl/>
        <w:rPr>
          <w:bCs w:val="0"/>
        </w:rPr>
      </w:pPr>
      <w:r w:rsidRPr="00A90F21">
        <w:rPr>
          <w:bCs w:val="0"/>
        </w:rPr>
        <w:t>Farmakokinetika u pediatrických pacientov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Farmakokinetika losartanu sa skúmala u 50 hypertenzných pediatrických pacientov vo veku &gt;1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mesiac do &lt;16 rokov po perorálnom podaní približne 0,54 až 0,77 mg/kg losartanu (priemerné dávky)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jedenkrát denne.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  <w:r w:rsidRPr="00A90F21">
        <w:rPr>
          <w:szCs w:val="22"/>
        </w:rPr>
        <w:t>Výsledky ukázali, že vo všetkých vekových skupinách sa losartan pretvára na aktívny metabolit.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Výsledky ukázali zhruba podobné farmakokinetické parametre losartanu po perorálnom podaní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u dojčiat a batoliat, detí predškolského veku, školopovinných detí a adolescentov. Farmakokinetické</w:t>
      </w:r>
      <w:r w:rsidR="00E06609">
        <w:rPr>
          <w:szCs w:val="22"/>
        </w:rPr>
        <w:t xml:space="preserve"> </w:t>
      </w:r>
      <w:r w:rsidRPr="00A90F21">
        <w:rPr>
          <w:szCs w:val="22"/>
        </w:rPr>
        <w:t>parametre metabolitu sa medzi vekovými skupinami líšili vo väčšej miere. Pri porovnaní detí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predškolského veku s adolescentmi boli tieto rozdiely štatisticky významné. Expozícia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u dojčiat/batoliat bola relatívne vysoká.</w:t>
      </w:r>
    </w:p>
    <w:p w:rsidR="00874099" w:rsidRPr="00A90F21" w:rsidRDefault="00874099" w:rsidP="00E066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74099" w:rsidRPr="00A90F21" w:rsidRDefault="00874099">
      <w:pPr>
        <w:autoSpaceDE w:val="0"/>
        <w:autoSpaceDN w:val="0"/>
        <w:adjustRightInd w:val="0"/>
        <w:rPr>
          <w:b/>
          <w:bCs/>
          <w:szCs w:val="22"/>
        </w:rPr>
      </w:pPr>
      <w:r w:rsidRPr="00A90F21">
        <w:rPr>
          <w:b/>
          <w:bCs/>
          <w:szCs w:val="22"/>
        </w:rPr>
        <w:t>5.3</w:t>
      </w:r>
      <w:r w:rsidRPr="00A90F21">
        <w:rPr>
          <w:b/>
          <w:bCs/>
          <w:szCs w:val="22"/>
        </w:rPr>
        <w:tab/>
        <w:t>Predklinické údaje o bezpečnosti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pStyle w:val="Zkladntext"/>
        <w:autoSpaceDE w:val="0"/>
        <w:autoSpaceDN w:val="0"/>
        <w:adjustRightInd w:val="0"/>
        <w:rPr>
          <w:szCs w:val="22"/>
        </w:rPr>
      </w:pPr>
      <w:r w:rsidRPr="00A90F21">
        <w:rPr>
          <w:szCs w:val="22"/>
        </w:rPr>
        <w:t>Predklinické údaje získané na základe obvyklých farmakologických štúdií všeobecnej farmakológie, genotoxicity a karcinogénneho potenciálu neodhalili žiadne osobitné riziko pre ľudí. V štúdiách toxicity s opakovanými dávkami vyvolalo podanie losartanu pokles parametrov červených krviniek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(erytrocyty, hemoglobín, hematokrit), zvýšenie dusíka močoviny v sére a občasné zvýšenia kreatinínu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v sére, zníženie hmotnosti srdca (bez histologického korelátu) a gastrointestinálne zmeny (lézie na</w:t>
      </w:r>
      <w:r w:rsidR="00C32842">
        <w:rPr>
          <w:szCs w:val="22"/>
        </w:rPr>
        <w:t xml:space="preserve"> </w:t>
      </w:r>
      <w:r w:rsidRPr="00A90F21">
        <w:rPr>
          <w:szCs w:val="22"/>
        </w:rPr>
        <w:t>sliznici, vredy, erózie, hemorágie). Preukázalo sa, že tak ako iné látky, ktoré pôsobia priamo na renínangiotenzínový systém, losartan vyvoláva nežiaduce účinky na vývoj plodu v neskorom štádiu vedúce k smrti plodu a malformáciám.</w:t>
      </w:r>
    </w:p>
    <w:p w:rsidR="00874099" w:rsidRPr="00A90F21" w:rsidRDefault="00874099">
      <w:pPr>
        <w:autoSpaceDE w:val="0"/>
        <w:autoSpaceDN w:val="0"/>
        <w:adjustRightInd w:val="0"/>
        <w:rPr>
          <w:szCs w:val="22"/>
        </w:rPr>
      </w:pPr>
    </w:p>
    <w:p w:rsidR="00874099" w:rsidRPr="00A90F21" w:rsidRDefault="00874099">
      <w:pPr>
        <w:pStyle w:val="Textbubliny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874099" w:rsidRPr="00B61F61" w:rsidRDefault="00874099">
      <w:pPr>
        <w:tabs>
          <w:tab w:val="left" w:pos="2104"/>
        </w:tabs>
        <w:autoSpaceDE w:val="0"/>
        <w:autoSpaceDN w:val="0"/>
        <w:adjustRightInd w:val="0"/>
        <w:rPr>
          <w:b/>
          <w:szCs w:val="22"/>
        </w:rPr>
      </w:pPr>
      <w:r w:rsidRPr="00B61F61">
        <w:rPr>
          <w:b/>
          <w:szCs w:val="22"/>
        </w:rPr>
        <w:t>6.</w:t>
      </w:r>
      <w:r w:rsidRPr="00B61F61">
        <w:rPr>
          <w:b/>
          <w:szCs w:val="22"/>
        </w:rPr>
        <w:tab/>
        <w:t>FARMACEUTICKÉ INFORMÁCIE</w:t>
      </w:r>
    </w:p>
    <w:p w:rsidR="00874099" w:rsidRPr="001F33A3" w:rsidRDefault="00874099">
      <w:pPr>
        <w:rPr>
          <w:szCs w:val="22"/>
        </w:rPr>
      </w:pPr>
    </w:p>
    <w:p w:rsidR="00874099" w:rsidRPr="001F33A3" w:rsidRDefault="00874099">
      <w:pPr>
        <w:rPr>
          <w:szCs w:val="22"/>
        </w:rPr>
      </w:pPr>
      <w:r w:rsidRPr="001F33A3">
        <w:rPr>
          <w:b/>
          <w:szCs w:val="22"/>
        </w:rPr>
        <w:t>6.1</w:t>
      </w:r>
      <w:r w:rsidRPr="001F33A3">
        <w:rPr>
          <w:b/>
          <w:szCs w:val="22"/>
        </w:rPr>
        <w:tab/>
        <w:t>Zoznam pomocných látok</w:t>
      </w:r>
    </w:p>
    <w:p w:rsidR="00874099" w:rsidRPr="001F33A3" w:rsidRDefault="00874099">
      <w:pPr>
        <w:rPr>
          <w:szCs w:val="22"/>
        </w:rPr>
      </w:pPr>
    </w:p>
    <w:p w:rsidR="00874099" w:rsidRPr="00B92A8D" w:rsidRDefault="00874099">
      <w:pPr>
        <w:rPr>
          <w:szCs w:val="22"/>
        </w:rPr>
      </w:pPr>
      <w:r w:rsidRPr="00B92A8D">
        <w:rPr>
          <w:szCs w:val="22"/>
        </w:rPr>
        <w:t xml:space="preserve">Každá tableta obsahuje </w:t>
      </w:r>
      <w:r w:rsidR="006E31EF">
        <w:rPr>
          <w:szCs w:val="22"/>
        </w:rPr>
        <w:t>nasledovné</w:t>
      </w:r>
      <w:r w:rsidR="006E31EF" w:rsidRPr="00B92A8D">
        <w:rPr>
          <w:szCs w:val="22"/>
        </w:rPr>
        <w:t xml:space="preserve"> </w:t>
      </w:r>
      <w:r w:rsidRPr="00B92A8D">
        <w:rPr>
          <w:szCs w:val="22"/>
        </w:rPr>
        <w:t>neúčinné látky:</w:t>
      </w:r>
    </w:p>
    <w:p w:rsidR="006E31EF" w:rsidRDefault="006E31EF">
      <w:pPr>
        <w:rPr>
          <w:szCs w:val="22"/>
        </w:rPr>
      </w:pPr>
    </w:p>
    <w:p w:rsidR="00874099" w:rsidRPr="000C794F" w:rsidRDefault="00874099">
      <w:pPr>
        <w:rPr>
          <w:szCs w:val="22"/>
        </w:rPr>
      </w:pPr>
      <w:r w:rsidRPr="000C794F">
        <w:rPr>
          <w:szCs w:val="22"/>
        </w:rPr>
        <w:t>Jadro tablety:</w:t>
      </w:r>
    </w:p>
    <w:p w:rsidR="00874099" w:rsidRPr="00E67263" w:rsidRDefault="00874099">
      <w:pPr>
        <w:rPr>
          <w:szCs w:val="22"/>
        </w:rPr>
      </w:pPr>
      <w:r w:rsidRPr="00E67263">
        <w:rPr>
          <w:szCs w:val="22"/>
        </w:rPr>
        <w:t>laktóz</w:t>
      </w:r>
      <w:r w:rsidR="00F556F3">
        <w:rPr>
          <w:szCs w:val="22"/>
        </w:rPr>
        <w:t>a, monohydrát</w:t>
      </w:r>
    </w:p>
    <w:p w:rsidR="006E31EF" w:rsidRPr="00E45835" w:rsidRDefault="00F556F3">
      <w:pPr>
        <w:rPr>
          <w:szCs w:val="22"/>
        </w:rPr>
      </w:pPr>
      <w:r>
        <w:rPr>
          <w:szCs w:val="22"/>
        </w:rPr>
        <w:t xml:space="preserve">stearan horečnatý </w:t>
      </w:r>
    </w:p>
    <w:p w:rsidR="00874099" w:rsidRPr="00A90F21" w:rsidRDefault="00874099">
      <w:pPr>
        <w:rPr>
          <w:szCs w:val="22"/>
        </w:rPr>
      </w:pPr>
      <w:r w:rsidRPr="00A90F21">
        <w:rPr>
          <w:szCs w:val="22"/>
        </w:rPr>
        <w:t>mikrokryštalická celulóza</w:t>
      </w:r>
    </w:p>
    <w:p w:rsidR="00874099" w:rsidRPr="00A90F21" w:rsidRDefault="00874099">
      <w:pPr>
        <w:rPr>
          <w:szCs w:val="22"/>
        </w:rPr>
      </w:pPr>
      <w:r w:rsidRPr="00A90F21">
        <w:rPr>
          <w:szCs w:val="22"/>
        </w:rPr>
        <w:t>škrob</w:t>
      </w:r>
      <w:r w:rsidR="00F556F3">
        <w:rPr>
          <w:szCs w:val="22"/>
        </w:rPr>
        <w:t xml:space="preserve">, predželatínovaný </w:t>
      </w:r>
    </w:p>
    <w:p w:rsidR="00874099" w:rsidRPr="00A90F21" w:rsidRDefault="00874099">
      <w:pPr>
        <w:rPr>
          <w:szCs w:val="22"/>
        </w:rPr>
      </w:pPr>
      <w:r w:rsidRPr="00A90F21">
        <w:rPr>
          <w:szCs w:val="22"/>
        </w:rPr>
        <w:t>oxid kremičitý</w:t>
      </w:r>
      <w:r w:rsidR="00F556F3">
        <w:rPr>
          <w:szCs w:val="22"/>
        </w:rPr>
        <w:t>,</w:t>
      </w:r>
      <w:r w:rsidR="00F556F3" w:rsidRPr="00F556F3">
        <w:rPr>
          <w:szCs w:val="22"/>
        </w:rPr>
        <w:t xml:space="preserve"> </w:t>
      </w:r>
      <w:r w:rsidR="00F556F3" w:rsidRPr="00A90F21">
        <w:rPr>
          <w:szCs w:val="22"/>
        </w:rPr>
        <w:t>koloidný</w:t>
      </w:r>
    </w:p>
    <w:p w:rsidR="00874099" w:rsidRPr="00A90F21" w:rsidRDefault="00874099">
      <w:pPr>
        <w:rPr>
          <w:szCs w:val="22"/>
        </w:rPr>
      </w:pPr>
    </w:p>
    <w:p w:rsidR="00874099" w:rsidRPr="00A90F21" w:rsidRDefault="00874099">
      <w:pPr>
        <w:rPr>
          <w:b/>
          <w:bCs/>
          <w:szCs w:val="22"/>
        </w:rPr>
      </w:pPr>
      <w:r w:rsidRPr="00A90F21">
        <w:rPr>
          <w:szCs w:val="22"/>
        </w:rPr>
        <w:t>Filmová vrstva:</w:t>
      </w:r>
    </w:p>
    <w:p w:rsidR="00874099" w:rsidRPr="00A90F21" w:rsidRDefault="00874099">
      <w:pPr>
        <w:rPr>
          <w:szCs w:val="22"/>
        </w:rPr>
      </w:pPr>
      <w:r w:rsidRPr="00A90F21">
        <w:rPr>
          <w:szCs w:val="22"/>
        </w:rPr>
        <w:t>hypromelóza</w:t>
      </w:r>
    </w:p>
    <w:p w:rsidR="00874099" w:rsidRPr="00A90F21" w:rsidRDefault="00874099">
      <w:pPr>
        <w:rPr>
          <w:szCs w:val="22"/>
        </w:rPr>
      </w:pPr>
      <w:r w:rsidRPr="00A90F21">
        <w:rPr>
          <w:szCs w:val="22"/>
        </w:rPr>
        <w:t>oxid titaničitý E171</w:t>
      </w:r>
    </w:p>
    <w:p w:rsidR="00874099" w:rsidRPr="00A90F21" w:rsidRDefault="00874099">
      <w:pPr>
        <w:rPr>
          <w:szCs w:val="22"/>
        </w:rPr>
      </w:pPr>
      <w:r w:rsidRPr="00A90F21">
        <w:rPr>
          <w:szCs w:val="22"/>
        </w:rPr>
        <w:t>makrogol</w:t>
      </w:r>
    </w:p>
    <w:p w:rsidR="00874099" w:rsidRPr="00A90F21" w:rsidRDefault="00874099">
      <w:pPr>
        <w:rPr>
          <w:szCs w:val="22"/>
        </w:rPr>
      </w:pPr>
      <w:r w:rsidRPr="00A90F21">
        <w:rPr>
          <w:szCs w:val="22"/>
        </w:rPr>
        <w:t>vosk</w:t>
      </w:r>
      <w:r w:rsidR="00F556F3" w:rsidRPr="00F556F3">
        <w:rPr>
          <w:szCs w:val="22"/>
        </w:rPr>
        <w:t xml:space="preserve"> </w:t>
      </w:r>
      <w:r w:rsidR="00F556F3" w:rsidRPr="00A90F21">
        <w:rPr>
          <w:szCs w:val="22"/>
        </w:rPr>
        <w:t>karnaubský</w:t>
      </w:r>
    </w:p>
    <w:p w:rsidR="00874099" w:rsidRPr="00A90F21" w:rsidRDefault="00874099">
      <w:pPr>
        <w:rPr>
          <w:szCs w:val="22"/>
        </w:rPr>
      </w:pPr>
    </w:p>
    <w:p w:rsidR="00874099" w:rsidRPr="00A90F21" w:rsidRDefault="00874099">
      <w:pPr>
        <w:rPr>
          <w:szCs w:val="22"/>
        </w:rPr>
      </w:pPr>
      <w:r w:rsidRPr="00A90F21">
        <w:rPr>
          <w:b/>
          <w:szCs w:val="22"/>
        </w:rPr>
        <w:t>6.2</w:t>
      </w:r>
      <w:r w:rsidRPr="00A90F21">
        <w:rPr>
          <w:b/>
          <w:szCs w:val="22"/>
        </w:rPr>
        <w:tab/>
        <w:t>Inkompatibility</w:t>
      </w:r>
    </w:p>
    <w:p w:rsidR="00874099" w:rsidRPr="00A90F21" w:rsidRDefault="00874099">
      <w:pPr>
        <w:rPr>
          <w:szCs w:val="22"/>
        </w:rPr>
      </w:pPr>
    </w:p>
    <w:p w:rsidR="00874099" w:rsidRPr="00A90F21" w:rsidRDefault="00874099">
      <w:pPr>
        <w:rPr>
          <w:szCs w:val="22"/>
        </w:rPr>
      </w:pPr>
      <w:r w:rsidRPr="00A90F21">
        <w:rPr>
          <w:szCs w:val="22"/>
        </w:rPr>
        <w:t>Neaplikovateľné.</w:t>
      </w:r>
    </w:p>
    <w:p w:rsidR="00874099" w:rsidRPr="00A90F21" w:rsidRDefault="00874099">
      <w:pPr>
        <w:rPr>
          <w:szCs w:val="22"/>
        </w:rPr>
      </w:pPr>
    </w:p>
    <w:p w:rsidR="00874099" w:rsidRPr="00A90F21" w:rsidRDefault="00874099">
      <w:pPr>
        <w:rPr>
          <w:szCs w:val="22"/>
        </w:rPr>
      </w:pPr>
      <w:r w:rsidRPr="00A90F21">
        <w:rPr>
          <w:b/>
          <w:szCs w:val="22"/>
        </w:rPr>
        <w:t>6.3</w:t>
      </w:r>
      <w:r w:rsidRPr="00A90F21">
        <w:rPr>
          <w:b/>
          <w:szCs w:val="22"/>
        </w:rPr>
        <w:tab/>
        <w:t>Čas použiteľnosti</w:t>
      </w:r>
    </w:p>
    <w:p w:rsidR="00874099" w:rsidRPr="00A90F21" w:rsidRDefault="00874099">
      <w:pPr>
        <w:rPr>
          <w:szCs w:val="22"/>
        </w:rPr>
      </w:pPr>
    </w:p>
    <w:p w:rsidR="00874099" w:rsidRPr="00A90F21" w:rsidRDefault="00874099">
      <w:pPr>
        <w:ind w:left="540" w:hanging="540"/>
        <w:rPr>
          <w:szCs w:val="22"/>
        </w:rPr>
      </w:pPr>
      <w:r w:rsidRPr="00A90F21">
        <w:rPr>
          <w:szCs w:val="22"/>
        </w:rPr>
        <w:t>4 roky</w:t>
      </w:r>
    </w:p>
    <w:p w:rsidR="00874099" w:rsidRPr="00A90F21" w:rsidRDefault="00874099">
      <w:pPr>
        <w:rPr>
          <w:szCs w:val="22"/>
        </w:rPr>
      </w:pPr>
    </w:p>
    <w:p w:rsidR="00874099" w:rsidRPr="00A90F21" w:rsidRDefault="00874099">
      <w:pPr>
        <w:rPr>
          <w:szCs w:val="22"/>
        </w:rPr>
      </w:pPr>
      <w:r w:rsidRPr="00A90F21">
        <w:rPr>
          <w:b/>
          <w:szCs w:val="22"/>
        </w:rPr>
        <w:t>6.4</w:t>
      </w:r>
      <w:r w:rsidRPr="00A90F21">
        <w:rPr>
          <w:b/>
          <w:szCs w:val="22"/>
        </w:rPr>
        <w:tab/>
        <w:t>Špeciálne upozornenia na uchovávanie</w:t>
      </w:r>
    </w:p>
    <w:p w:rsidR="00874099" w:rsidRPr="00A90F21" w:rsidRDefault="00874099">
      <w:pPr>
        <w:rPr>
          <w:szCs w:val="22"/>
        </w:rPr>
      </w:pPr>
    </w:p>
    <w:p w:rsidR="00874099" w:rsidRPr="00A90F21" w:rsidRDefault="00874099">
      <w:pPr>
        <w:pStyle w:val="Zkladntext"/>
        <w:rPr>
          <w:szCs w:val="22"/>
        </w:rPr>
      </w:pPr>
      <w:r w:rsidRPr="00A90F21">
        <w:rPr>
          <w:szCs w:val="22"/>
        </w:rPr>
        <w:t>Uchovávajte pri teplote neprevyšujúcej 30 °C. Uchovávajte v pôvodnom obale</w:t>
      </w:r>
      <w:r w:rsidR="0010035B">
        <w:rPr>
          <w:szCs w:val="22"/>
        </w:rPr>
        <w:t xml:space="preserve"> na ochranu pred svetlom.</w:t>
      </w:r>
    </w:p>
    <w:p w:rsidR="00874099" w:rsidRPr="00A90F21" w:rsidRDefault="00874099">
      <w:pPr>
        <w:rPr>
          <w:szCs w:val="22"/>
        </w:rPr>
      </w:pPr>
    </w:p>
    <w:p w:rsidR="00874099" w:rsidRPr="00A90F21" w:rsidRDefault="00874099">
      <w:pPr>
        <w:rPr>
          <w:szCs w:val="22"/>
        </w:rPr>
      </w:pPr>
      <w:r w:rsidRPr="00A90F21">
        <w:rPr>
          <w:b/>
          <w:szCs w:val="22"/>
        </w:rPr>
        <w:t>6.5</w:t>
      </w:r>
      <w:r w:rsidRPr="00A90F21">
        <w:rPr>
          <w:b/>
          <w:szCs w:val="22"/>
        </w:rPr>
        <w:tab/>
        <w:t>Druh obalu a obsah balenia</w:t>
      </w:r>
      <w:r w:rsidRPr="00A90F21">
        <w:rPr>
          <w:b/>
          <w:color w:val="0000FF"/>
          <w:szCs w:val="22"/>
        </w:rPr>
        <w:t xml:space="preserve"> </w:t>
      </w:r>
    </w:p>
    <w:p w:rsidR="00874099" w:rsidRPr="00A90F21" w:rsidRDefault="00874099">
      <w:pPr>
        <w:rPr>
          <w:szCs w:val="22"/>
        </w:rPr>
      </w:pPr>
    </w:p>
    <w:p w:rsidR="00874099" w:rsidRPr="00A90F21" w:rsidRDefault="00874099">
      <w:pPr>
        <w:rPr>
          <w:szCs w:val="22"/>
        </w:rPr>
      </w:pPr>
      <w:r w:rsidRPr="00A90F21">
        <w:rPr>
          <w:szCs w:val="22"/>
        </w:rPr>
        <w:t>PVC/PVDC blistre s hliníkovou fóliou.</w:t>
      </w:r>
    </w:p>
    <w:p w:rsidR="00874099" w:rsidRPr="00A90F21" w:rsidRDefault="00874099">
      <w:pPr>
        <w:rPr>
          <w:szCs w:val="22"/>
        </w:rPr>
      </w:pPr>
    </w:p>
    <w:p w:rsidR="00874099" w:rsidRPr="00A90F21" w:rsidRDefault="00874099" w:rsidP="00B77609">
      <w:pPr>
        <w:ind w:left="0" w:firstLine="0"/>
        <w:rPr>
          <w:szCs w:val="22"/>
        </w:rPr>
      </w:pPr>
      <w:r w:rsidRPr="00A90F21">
        <w:rPr>
          <w:szCs w:val="22"/>
        </w:rPr>
        <w:t xml:space="preserve">Losartan STADA 50 mg v baleniach po </w:t>
      </w:r>
      <w:r w:rsidR="00C4005D">
        <w:rPr>
          <w:szCs w:val="22"/>
        </w:rPr>
        <w:t xml:space="preserve">10, </w:t>
      </w:r>
      <w:r w:rsidR="003523F2">
        <w:rPr>
          <w:szCs w:val="22"/>
        </w:rPr>
        <w:t xml:space="preserve">10x1 (blister s jednotlivými dávkami), </w:t>
      </w:r>
      <w:r w:rsidRPr="00A90F21">
        <w:rPr>
          <w:szCs w:val="22"/>
        </w:rPr>
        <w:t xml:space="preserve">28, </w:t>
      </w:r>
      <w:r w:rsidR="003523F2">
        <w:rPr>
          <w:szCs w:val="22"/>
        </w:rPr>
        <w:t>28</w:t>
      </w:r>
      <w:r w:rsidR="003523F2" w:rsidRPr="003523F2">
        <w:rPr>
          <w:szCs w:val="22"/>
        </w:rPr>
        <w:t xml:space="preserve"> </w:t>
      </w:r>
      <w:r w:rsidR="003523F2">
        <w:rPr>
          <w:szCs w:val="22"/>
        </w:rPr>
        <w:t xml:space="preserve">x1 (blister s jednotlivými dávkami), </w:t>
      </w:r>
      <w:r w:rsidRPr="00A90F21">
        <w:rPr>
          <w:szCs w:val="22"/>
        </w:rPr>
        <w:t xml:space="preserve">30, </w:t>
      </w:r>
      <w:r w:rsidR="003523F2">
        <w:rPr>
          <w:szCs w:val="22"/>
        </w:rPr>
        <w:t>30</w:t>
      </w:r>
      <w:r w:rsidR="003523F2" w:rsidRPr="003523F2">
        <w:rPr>
          <w:szCs w:val="22"/>
        </w:rPr>
        <w:t xml:space="preserve"> </w:t>
      </w:r>
      <w:r w:rsidR="003523F2">
        <w:rPr>
          <w:szCs w:val="22"/>
        </w:rPr>
        <w:t xml:space="preserve">x1 (blister s jednotlivými dávkami), </w:t>
      </w:r>
      <w:r w:rsidRPr="00A90F21">
        <w:rPr>
          <w:szCs w:val="22"/>
        </w:rPr>
        <w:t xml:space="preserve">50, </w:t>
      </w:r>
      <w:r w:rsidR="003523F2">
        <w:rPr>
          <w:szCs w:val="22"/>
        </w:rPr>
        <w:t>50</w:t>
      </w:r>
      <w:r w:rsidR="003523F2" w:rsidRPr="003523F2">
        <w:rPr>
          <w:szCs w:val="22"/>
        </w:rPr>
        <w:t xml:space="preserve"> </w:t>
      </w:r>
      <w:r w:rsidR="003523F2">
        <w:rPr>
          <w:szCs w:val="22"/>
        </w:rPr>
        <w:t xml:space="preserve">x1 (blister s jednotlivými dávkami), </w:t>
      </w:r>
      <w:r w:rsidRPr="00A90F21">
        <w:rPr>
          <w:szCs w:val="22"/>
        </w:rPr>
        <w:t xml:space="preserve">60, </w:t>
      </w:r>
      <w:r w:rsidR="003523F2">
        <w:rPr>
          <w:szCs w:val="22"/>
        </w:rPr>
        <w:t>60</w:t>
      </w:r>
      <w:r w:rsidR="003523F2" w:rsidRPr="003523F2">
        <w:rPr>
          <w:szCs w:val="22"/>
        </w:rPr>
        <w:t xml:space="preserve"> </w:t>
      </w:r>
      <w:r w:rsidR="003523F2">
        <w:rPr>
          <w:szCs w:val="22"/>
        </w:rPr>
        <w:t xml:space="preserve">x1 (blister s jednotlivými dávkami), </w:t>
      </w:r>
      <w:r w:rsidRPr="00A90F21">
        <w:rPr>
          <w:szCs w:val="22"/>
        </w:rPr>
        <w:t>90</w:t>
      </w:r>
      <w:r w:rsidR="001940B9">
        <w:rPr>
          <w:szCs w:val="22"/>
        </w:rPr>
        <w:t>,</w:t>
      </w:r>
      <w:r w:rsidRPr="00A90F21">
        <w:rPr>
          <w:szCs w:val="22"/>
        </w:rPr>
        <w:t xml:space="preserve"> </w:t>
      </w:r>
      <w:r w:rsidR="003523F2">
        <w:rPr>
          <w:szCs w:val="22"/>
        </w:rPr>
        <w:t>90</w:t>
      </w:r>
      <w:r w:rsidR="003523F2" w:rsidRPr="003523F2">
        <w:rPr>
          <w:szCs w:val="22"/>
        </w:rPr>
        <w:t xml:space="preserve"> </w:t>
      </w:r>
      <w:r w:rsidR="003523F2">
        <w:rPr>
          <w:szCs w:val="22"/>
        </w:rPr>
        <w:t xml:space="preserve">x1 (blister s jednotlivými dávkami), </w:t>
      </w:r>
      <w:r w:rsidRPr="00A90F21">
        <w:rPr>
          <w:szCs w:val="22"/>
        </w:rPr>
        <w:t>98</w:t>
      </w:r>
      <w:r w:rsidR="003523F2">
        <w:rPr>
          <w:szCs w:val="22"/>
        </w:rPr>
        <w:t>, 98</w:t>
      </w:r>
      <w:r w:rsidR="003523F2" w:rsidRPr="003523F2">
        <w:rPr>
          <w:szCs w:val="22"/>
        </w:rPr>
        <w:t xml:space="preserve"> </w:t>
      </w:r>
      <w:r w:rsidR="003523F2">
        <w:rPr>
          <w:szCs w:val="22"/>
        </w:rPr>
        <w:t xml:space="preserve">x1 (blister s jednotlivými dávkami), </w:t>
      </w:r>
      <w:r w:rsidR="001940B9">
        <w:rPr>
          <w:szCs w:val="22"/>
        </w:rPr>
        <w:t xml:space="preserve"> 120</w:t>
      </w:r>
      <w:r w:rsidR="003523F2">
        <w:rPr>
          <w:szCs w:val="22"/>
        </w:rPr>
        <w:t xml:space="preserve"> alebo 120</w:t>
      </w:r>
      <w:r w:rsidR="003523F2" w:rsidRPr="003523F2">
        <w:rPr>
          <w:szCs w:val="22"/>
        </w:rPr>
        <w:t xml:space="preserve"> </w:t>
      </w:r>
      <w:r w:rsidR="003523F2">
        <w:rPr>
          <w:szCs w:val="22"/>
        </w:rPr>
        <w:t>x1 (blister s jednotlivými dávkami)</w:t>
      </w:r>
      <w:r w:rsidRPr="00A90F21">
        <w:rPr>
          <w:szCs w:val="22"/>
        </w:rPr>
        <w:t xml:space="preserve"> filmom obalených tabliet.</w:t>
      </w:r>
    </w:p>
    <w:p w:rsidR="00874099" w:rsidRPr="00A90F21" w:rsidRDefault="00874099">
      <w:pPr>
        <w:rPr>
          <w:szCs w:val="22"/>
        </w:rPr>
      </w:pPr>
    </w:p>
    <w:p w:rsidR="00874099" w:rsidRPr="00A90F21" w:rsidRDefault="001940B9" w:rsidP="00B77609">
      <w:pPr>
        <w:ind w:left="0" w:firstLine="0"/>
        <w:rPr>
          <w:szCs w:val="22"/>
        </w:rPr>
      </w:pPr>
      <w:r>
        <w:rPr>
          <w:szCs w:val="22"/>
        </w:rPr>
        <w:t>Na trh nemusia byť uvedené všetky veľkosti balenia</w:t>
      </w:r>
      <w:r w:rsidR="00874099" w:rsidRPr="00A90F21">
        <w:rPr>
          <w:szCs w:val="22"/>
        </w:rPr>
        <w:t>.</w:t>
      </w:r>
    </w:p>
    <w:p w:rsidR="00874099" w:rsidRPr="00A90F21" w:rsidRDefault="00874099">
      <w:pPr>
        <w:rPr>
          <w:szCs w:val="22"/>
        </w:rPr>
      </w:pPr>
    </w:p>
    <w:p w:rsidR="00874099" w:rsidRPr="00A90F21" w:rsidRDefault="00874099">
      <w:pPr>
        <w:rPr>
          <w:b/>
          <w:szCs w:val="22"/>
        </w:rPr>
      </w:pPr>
      <w:r w:rsidRPr="00A90F21">
        <w:rPr>
          <w:b/>
          <w:szCs w:val="22"/>
        </w:rPr>
        <w:t>6.6</w:t>
      </w:r>
      <w:r w:rsidRPr="00A90F21">
        <w:rPr>
          <w:b/>
          <w:szCs w:val="22"/>
        </w:rPr>
        <w:tab/>
      </w:r>
      <w:r w:rsidRPr="00A90F21">
        <w:rPr>
          <w:b/>
          <w:bCs/>
          <w:szCs w:val="22"/>
        </w:rPr>
        <w:t xml:space="preserve">Špeciálne opatrenia na likvidáciu </w:t>
      </w:r>
    </w:p>
    <w:p w:rsidR="00874099" w:rsidRPr="00A90F21" w:rsidRDefault="00874099">
      <w:pPr>
        <w:rPr>
          <w:szCs w:val="22"/>
        </w:rPr>
      </w:pPr>
    </w:p>
    <w:p w:rsidR="00874099" w:rsidRPr="00A90F21" w:rsidRDefault="00874099">
      <w:pPr>
        <w:ind w:left="0" w:firstLine="0"/>
        <w:rPr>
          <w:szCs w:val="22"/>
        </w:rPr>
      </w:pPr>
      <w:r w:rsidRPr="00A90F21">
        <w:rPr>
          <w:szCs w:val="22"/>
        </w:rPr>
        <w:t>Žiadne zvláštne požiadavky.</w:t>
      </w:r>
    </w:p>
    <w:p w:rsidR="00874099" w:rsidRPr="00A90F21" w:rsidRDefault="00874099">
      <w:pPr>
        <w:rPr>
          <w:szCs w:val="22"/>
        </w:rPr>
      </w:pPr>
    </w:p>
    <w:p w:rsidR="00874099" w:rsidRPr="00A90F21" w:rsidRDefault="00874099">
      <w:pPr>
        <w:rPr>
          <w:szCs w:val="22"/>
        </w:rPr>
      </w:pPr>
    </w:p>
    <w:p w:rsidR="00874099" w:rsidRPr="00A90F21" w:rsidRDefault="00874099">
      <w:pPr>
        <w:rPr>
          <w:szCs w:val="22"/>
        </w:rPr>
      </w:pPr>
      <w:r w:rsidRPr="00A90F21">
        <w:rPr>
          <w:b/>
          <w:szCs w:val="22"/>
        </w:rPr>
        <w:t>7.</w:t>
      </w:r>
      <w:r w:rsidRPr="00A90F21">
        <w:rPr>
          <w:b/>
          <w:szCs w:val="22"/>
        </w:rPr>
        <w:tab/>
        <w:t>DRŽITEĽ ROZHODNUTIA O REGISTRÁCII</w:t>
      </w:r>
    </w:p>
    <w:p w:rsidR="00874099" w:rsidRPr="00A90F21" w:rsidRDefault="00874099">
      <w:pPr>
        <w:rPr>
          <w:szCs w:val="22"/>
        </w:rPr>
      </w:pPr>
    </w:p>
    <w:p w:rsidR="00874099" w:rsidRPr="00A90F21" w:rsidRDefault="00874099">
      <w:pPr>
        <w:rPr>
          <w:szCs w:val="22"/>
        </w:rPr>
      </w:pPr>
      <w:r w:rsidRPr="00A90F21">
        <w:rPr>
          <w:szCs w:val="22"/>
        </w:rPr>
        <w:t>STADA Arzneimittel AG</w:t>
      </w:r>
    </w:p>
    <w:p w:rsidR="00874099" w:rsidRPr="00A90F21" w:rsidRDefault="00874099">
      <w:pPr>
        <w:rPr>
          <w:szCs w:val="22"/>
        </w:rPr>
      </w:pPr>
      <w:r w:rsidRPr="00A90F21">
        <w:rPr>
          <w:szCs w:val="22"/>
        </w:rPr>
        <w:t>Stadastrasse 2-18</w:t>
      </w:r>
    </w:p>
    <w:p w:rsidR="00874099" w:rsidRPr="00A90F21" w:rsidRDefault="00874099">
      <w:pPr>
        <w:rPr>
          <w:szCs w:val="22"/>
        </w:rPr>
      </w:pPr>
      <w:r w:rsidRPr="00A90F21">
        <w:rPr>
          <w:szCs w:val="22"/>
        </w:rPr>
        <w:t>61118 Bad Vilbel</w:t>
      </w:r>
    </w:p>
    <w:p w:rsidR="00874099" w:rsidRPr="00A90F21" w:rsidRDefault="00874099">
      <w:pPr>
        <w:rPr>
          <w:szCs w:val="22"/>
        </w:rPr>
      </w:pPr>
      <w:r w:rsidRPr="00A90F21">
        <w:rPr>
          <w:szCs w:val="22"/>
        </w:rPr>
        <w:t>Nemecko</w:t>
      </w:r>
    </w:p>
    <w:p w:rsidR="00874099" w:rsidRPr="00A90F21" w:rsidRDefault="00874099">
      <w:pPr>
        <w:rPr>
          <w:szCs w:val="22"/>
        </w:rPr>
      </w:pPr>
    </w:p>
    <w:p w:rsidR="00874099" w:rsidRPr="00A90F21" w:rsidRDefault="00874099">
      <w:pPr>
        <w:rPr>
          <w:szCs w:val="22"/>
        </w:rPr>
      </w:pPr>
    </w:p>
    <w:p w:rsidR="00874099" w:rsidRPr="00A90F21" w:rsidRDefault="00874099">
      <w:pPr>
        <w:rPr>
          <w:b/>
          <w:szCs w:val="22"/>
        </w:rPr>
      </w:pPr>
      <w:r w:rsidRPr="00A90F21">
        <w:rPr>
          <w:b/>
          <w:szCs w:val="22"/>
        </w:rPr>
        <w:t>8.</w:t>
      </w:r>
      <w:r w:rsidRPr="00A90F21">
        <w:rPr>
          <w:b/>
          <w:szCs w:val="22"/>
        </w:rPr>
        <w:tab/>
        <w:t>REGISTRAČNÉ ČÍSL</w:t>
      </w:r>
      <w:r w:rsidR="00C32842">
        <w:rPr>
          <w:b/>
          <w:szCs w:val="22"/>
        </w:rPr>
        <w:t>O</w:t>
      </w:r>
    </w:p>
    <w:p w:rsidR="00874099" w:rsidRPr="00A90F21" w:rsidRDefault="00874099">
      <w:pPr>
        <w:rPr>
          <w:b/>
          <w:szCs w:val="22"/>
        </w:rPr>
      </w:pPr>
    </w:p>
    <w:p w:rsidR="00874099" w:rsidRPr="00A90F21" w:rsidRDefault="00874099">
      <w:pPr>
        <w:ind w:left="0" w:firstLine="0"/>
        <w:rPr>
          <w:szCs w:val="22"/>
        </w:rPr>
      </w:pPr>
      <w:r w:rsidRPr="00A90F21">
        <w:rPr>
          <w:szCs w:val="22"/>
        </w:rPr>
        <w:t>58/0271/07-S</w:t>
      </w:r>
    </w:p>
    <w:p w:rsidR="00874099" w:rsidRPr="00A90F21" w:rsidRDefault="00874099">
      <w:pPr>
        <w:ind w:left="0" w:firstLine="0"/>
        <w:rPr>
          <w:szCs w:val="22"/>
        </w:rPr>
      </w:pPr>
    </w:p>
    <w:p w:rsidR="00874099" w:rsidRPr="00A90F21" w:rsidRDefault="00874099">
      <w:pPr>
        <w:rPr>
          <w:szCs w:val="22"/>
        </w:rPr>
      </w:pPr>
    </w:p>
    <w:p w:rsidR="00874099" w:rsidRPr="00A90F21" w:rsidRDefault="00874099">
      <w:pPr>
        <w:rPr>
          <w:szCs w:val="22"/>
        </w:rPr>
      </w:pPr>
      <w:r w:rsidRPr="00A90F21">
        <w:rPr>
          <w:b/>
          <w:szCs w:val="22"/>
        </w:rPr>
        <w:t>9.</w:t>
      </w:r>
      <w:r w:rsidRPr="00A90F21">
        <w:rPr>
          <w:b/>
          <w:szCs w:val="22"/>
        </w:rPr>
        <w:tab/>
        <w:t>DÁTUM PRVEJ REGISTRÁCIE/ PREDĹŽENIA REGISTRÁCIE</w:t>
      </w:r>
    </w:p>
    <w:p w:rsidR="00874099" w:rsidRPr="00A90F21" w:rsidRDefault="00874099">
      <w:pPr>
        <w:rPr>
          <w:szCs w:val="22"/>
        </w:rPr>
      </w:pPr>
    </w:p>
    <w:p w:rsidR="001940B9" w:rsidRDefault="00000880">
      <w:pPr>
        <w:rPr>
          <w:szCs w:val="22"/>
        </w:rPr>
      </w:pPr>
      <w:r>
        <w:rPr>
          <w:szCs w:val="22"/>
        </w:rPr>
        <w:t xml:space="preserve">Dátum prvej registrácie: </w:t>
      </w:r>
      <w:r w:rsidR="00874099" w:rsidRPr="00A90F21">
        <w:rPr>
          <w:szCs w:val="22"/>
        </w:rPr>
        <w:t>30.</w:t>
      </w:r>
      <w:r>
        <w:rPr>
          <w:szCs w:val="22"/>
        </w:rPr>
        <w:t xml:space="preserve"> augusta </w:t>
      </w:r>
      <w:r w:rsidR="00874099" w:rsidRPr="00A90F21">
        <w:rPr>
          <w:szCs w:val="22"/>
        </w:rPr>
        <w:t>2007</w:t>
      </w:r>
    </w:p>
    <w:p w:rsidR="00874099" w:rsidRPr="00A90F21" w:rsidRDefault="001940B9">
      <w:pPr>
        <w:rPr>
          <w:szCs w:val="22"/>
        </w:rPr>
      </w:pPr>
      <w:r>
        <w:rPr>
          <w:szCs w:val="22"/>
        </w:rPr>
        <w:t>Dátum posledného predĺženia registrácie: 19. októbra 2011</w:t>
      </w:r>
    </w:p>
    <w:p w:rsidR="00874099" w:rsidRPr="00A90F21" w:rsidRDefault="00874099">
      <w:pPr>
        <w:rPr>
          <w:szCs w:val="22"/>
        </w:rPr>
      </w:pPr>
    </w:p>
    <w:p w:rsidR="00874099" w:rsidRPr="00A90F21" w:rsidRDefault="00874099">
      <w:pPr>
        <w:rPr>
          <w:szCs w:val="22"/>
        </w:rPr>
      </w:pPr>
    </w:p>
    <w:p w:rsidR="00874099" w:rsidRPr="00A90F21" w:rsidRDefault="00874099">
      <w:pPr>
        <w:rPr>
          <w:b/>
          <w:szCs w:val="22"/>
        </w:rPr>
      </w:pPr>
      <w:r w:rsidRPr="00A90F21">
        <w:rPr>
          <w:b/>
          <w:szCs w:val="22"/>
        </w:rPr>
        <w:t>10.</w:t>
      </w:r>
      <w:r w:rsidRPr="00A90F21">
        <w:rPr>
          <w:b/>
          <w:szCs w:val="22"/>
        </w:rPr>
        <w:tab/>
        <w:t>DÁTUM REVÍZIE TEXTU</w:t>
      </w:r>
    </w:p>
    <w:p w:rsidR="00874099" w:rsidRPr="00A90F21" w:rsidRDefault="00874099">
      <w:pPr>
        <w:rPr>
          <w:szCs w:val="22"/>
        </w:rPr>
      </w:pPr>
    </w:p>
    <w:p w:rsidR="00874099" w:rsidRPr="00E45835" w:rsidRDefault="00D25811">
      <w:r>
        <w:rPr>
          <w:szCs w:val="22"/>
        </w:rPr>
        <w:t>December 2019</w:t>
      </w:r>
    </w:p>
    <w:sectPr w:rsidR="00874099" w:rsidRPr="00E45835" w:rsidSect="00B77609">
      <w:headerReference w:type="default" r:id="rId9"/>
      <w:footerReference w:type="default" r:id="rId10"/>
      <w:headerReference w:type="firs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619" w:rsidRDefault="00557619" w:rsidP="00AC73E9">
      <w:r>
        <w:separator/>
      </w:r>
    </w:p>
  </w:endnote>
  <w:endnote w:type="continuationSeparator" w:id="0">
    <w:p w:rsidR="00557619" w:rsidRDefault="00557619" w:rsidP="00AC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3E9" w:rsidRPr="00B77609" w:rsidRDefault="00AC73E9">
    <w:pPr>
      <w:pStyle w:val="Pta"/>
      <w:jc w:val="center"/>
      <w:rPr>
        <w:sz w:val="18"/>
        <w:szCs w:val="18"/>
      </w:rPr>
    </w:pPr>
    <w:r w:rsidRPr="00B77609">
      <w:rPr>
        <w:sz w:val="18"/>
        <w:szCs w:val="18"/>
      </w:rPr>
      <w:fldChar w:fldCharType="begin"/>
    </w:r>
    <w:r w:rsidRPr="00B77609">
      <w:rPr>
        <w:sz w:val="18"/>
        <w:szCs w:val="18"/>
      </w:rPr>
      <w:instrText>PAGE   \* MERGEFORMAT</w:instrText>
    </w:r>
    <w:r w:rsidRPr="00B77609">
      <w:rPr>
        <w:sz w:val="18"/>
        <w:szCs w:val="18"/>
      </w:rPr>
      <w:fldChar w:fldCharType="separate"/>
    </w:r>
    <w:r w:rsidR="001478E1" w:rsidRPr="001478E1">
      <w:rPr>
        <w:noProof/>
        <w:sz w:val="18"/>
        <w:szCs w:val="18"/>
        <w:lang w:val="sk-SK"/>
      </w:rPr>
      <w:t>1</w:t>
    </w:r>
    <w:r w:rsidRPr="00B77609">
      <w:rPr>
        <w:sz w:val="18"/>
        <w:szCs w:val="18"/>
      </w:rPr>
      <w:fldChar w:fldCharType="end"/>
    </w:r>
  </w:p>
  <w:p w:rsidR="00AC73E9" w:rsidRDefault="00AC73E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619" w:rsidRDefault="00557619" w:rsidP="00AC73E9">
      <w:r>
        <w:separator/>
      </w:r>
    </w:p>
  </w:footnote>
  <w:footnote w:type="continuationSeparator" w:id="0">
    <w:p w:rsidR="00557619" w:rsidRDefault="00557619" w:rsidP="00AC7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3F2" w:rsidRPr="00CE1CD7" w:rsidRDefault="003523F2" w:rsidP="003523F2">
    <w:pPr>
      <w:pStyle w:val="Nzov"/>
      <w:tabs>
        <w:tab w:val="clear" w:pos="284"/>
        <w:tab w:val="left" w:pos="567"/>
        <w:tab w:val="left" w:pos="5400"/>
      </w:tabs>
      <w:jc w:val="left"/>
      <w:outlineLvl w:val="0"/>
      <w:rPr>
        <w:b w:val="0"/>
        <w:sz w:val="18"/>
        <w:lang w:val="sk-SK"/>
      </w:rPr>
    </w:pPr>
    <w:r>
      <w:rPr>
        <w:b w:val="0"/>
        <w:sz w:val="18"/>
        <w:lang w:val="sk-SK"/>
      </w:rPr>
      <w:t>Príloha č. 2 k notifikácii o zmene, ev. č.: 2019/0</w:t>
    </w:r>
    <w:r w:rsidR="00FB17C0">
      <w:rPr>
        <w:b w:val="0"/>
        <w:sz w:val="18"/>
        <w:lang w:val="sk-SK"/>
      </w:rPr>
      <w:t>5014-Z1A</w:t>
    </w:r>
  </w:p>
  <w:p w:rsidR="001940B9" w:rsidRPr="00B77609" w:rsidRDefault="001940B9">
    <w:pPr>
      <w:pStyle w:val="Hlavika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0B9" w:rsidRPr="00B77609" w:rsidRDefault="001940B9" w:rsidP="001940B9">
    <w:pPr>
      <w:pStyle w:val="Nzov"/>
      <w:tabs>
        <w:tab w:val="clear" w:pos="284"/>
        <w:tab w:val="left" w:pos="567"/>
        <w:tab w:val="left" w:pos="5400"/>
      </w:tabs>
      <w:jc w:val="left"/>
      <w:outlineLvl w:val="0"/>
      <w:rPr>
        <w:b w:val="0"/>
        <w:sz w:val="18"/>
        <w:lang w:val="sk-SK"/>
      </w:rPr>
    </w:pPr>
    <w:r>
      <w:rPr>
        <w:b w:val="0"/>
        <w:sz w:val="18"/>
        <w:lang w:val="sk-SK"/>
      </w:rPr>
      <w:t>Príloha č. 1 k notifikácii o zmene, ev. č.: 2014/06060</w:t>
    </w:r>
    <w:r w:rsidR="00B27D9B">
      <w:rPr>
        <w:b w:val="0"/>
        <w:sz w:val="18"/>
        <w:lang w:val="sk-SK"/>
      </w:rPr>
      <w:t>-Z1B</w:t>
    </w:r>
  </w:p>
  <w:p w:rsidR="001940B9" w:rsidRPr="00B77609" w:rsidRDefault="001940B9" w:rsidP="001940B9">
    <w:pPr>
      <w:pStyle w:val="Nzov"/>
      <w:tabs>
        <w:tab w:val="clear" w:pos="284"/>
        <w:tab w:val="left" w:pos="567"/>
        <w:tab w:val="left" w:pos="5400"/>
      </w:tabs>
      <w:jc w:val="left"/>
      <w:outlineLvl w:val="0"/>
      <w:rPr>
        <w:b w:val="0"/>
        <w:sz w:val="18"/>
        <w:lang w:val="sk-SK"/>
      </w:rPr>
    </w:pPr>
    <w:r>
      <w:rPr>
        <w:b w:val="0"/>
        <w:sz w:val="18"/>
        <w:lang w:val="sk-SK"/>
      </w:rPr>
      <w:t>Príloha č. 1 k notifikácii o zmene, ev. č.: 2017/0</w:t>
    </w:r>
    <w:r w:rsidR="00B27D9B">
      <w:rPr>
        <w:b w:val="0"/>
        <w:sz w:val="18"/>
        <w:lang w:val="sk-SK"/>
      </w:rPr>
      <w:t>0376-Z1B</w:t>
    </w:r>
  </w:p>
  <w:p w:rsidR="001940B9" w:rsidRPr="00B77609" w:rsidRDefault="001940B9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AB26B0"/>
    <w:multiLevelType w:val="hybridMultilevel"/>
    <w:tmpl w:val="D47662DA"/>
    <w:lvl w:ilvl="0" w:tplc="5A2484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070B0"/>
    <w:multiLevelType w:val="hybridMultilevel"/>
    <w:tmpl w:val="A8343B8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03782"/>
    <w:multiLevelType w:val="hybridMultilevel"/>
    <w:tmpl w:val="4C0CC4E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80337"/>
    <w:multiLevelType w:val="hybridMultilevel"/>
    <w:tmpl w:val="0A7C830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620B9"/>
    <w:multiLevelType w:val="hybridMultilevel"/>
    <w:tmpl w:val="B9E4FF8C"/>
    <w:lvl w:ilvl="0" w:tplc="243EE424">
      <w:start w:val="4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E62E4"/>
    <w:multiLevelType w:val="hybridMultilevel"/>
    <w:tmpl w:val="2F2C23F0"/>
    <w:lvl w:ilvl="0" w:tplc="3D8C9454">
      <w:start w:val="1"/>
      <w:numFmt w:val="upperLetter"/>
      <w:lvlText w:val="%1."/>
      <w:lvlJc w:val="left"/>
      <w:pPr>
        <w:tabs>
          <w:tab w:val="num" w:pos="1701"/>
        </w:tabs>
        <w:ind w:left="1701" w:hanging="102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3E9"/>
    <w:rsid w:val="00000880"/>
    <w:rsid w:val="00093CD0"/>
    <w:rsid w:val="000A13EE"/>
    <w:rsid w:val="000B4001"/>
    <w:rsid w:val="000C1A04"/>
    <w:rsid w:val="000C794F"/>
    <w:rsid w:val="0010035B"/>
    <w:rsid w:val="00145EE6"/>
    <w:rsid w:val="001478E1"/>
    <w:rsid w:val="001940B9"/>
    <w:rsid w:val="001F33A3"/>
    <w:rsid w:val="00213762"/>
    <w:rsid w:val="00230CB0"/>
    <w:rsid w:val="002A2FA4"/>
    <w:rsid w:val="002E0D4F"/>
    <w:rsid w:val="0034126A"/>
    <w:rsid w:val="003523F2"/>
    <w:rsid w:val="00361ED3"/>
    <w:rsid w:val="00386D43"/>
    <w:rsid w:val="00454ABA"/>
    <w:rsid w:val="0047336A"/>
    <w:rsid w:val="00480446"/>
    <w:rsid w:val="00550986"/>
    <w:rsid w:val="00553FB5"/>
    <w:rsid w:val="00557619"/>
    <w:rsid w:val="00673C16"/>
    <w:rsid w:val="006A2DCD"/>
    <w:rsid w:val="006B24AE"/>
    <w:rsid w:val="006B332C"/>
    <w:rsid w:val="006C07CA"/>
    <w:rsid w:val="006E31EF"/>
    <w:rsid w:val="0075172F"/>
    <w:rsid w:val="007D224C"/>
    <w:rsid w:val="007D5667"/>
    <w:rsid w:val="00856BC2"/>
    <w:rsid w:val="00874099"/>
    <w:rsid w:val="008A053F"/>
    <w:rsid w:val="008B38C2"/>
    <w:rsid w:val="008F1B5F"/>
    <w:rsid w:val="0091668A"/>
    <w:rsid w:val="0093201F"/>
    <w:rsid w:val="009B4A6A"/>
    <w:rsid w:val="009C2AC8"/>
    <w:rsid w:val="009D27C0"/>
    <w:rsid w:val="009F5D00"/>
    <w:rsid w:val="00A52EC8"/>
    <w:rsid w:val="00A90F21"/>
    <w:rsid w:val="00AB5450"/>
    <w:rsid w:val="00AC73E9"/>
    <w:rsid w:val="00B27D9B"/>
    <w:rsid w:val="00B312B8"/>
    <w:rsid w:val="00B32100"/>
    <w:rsid w:val="00B5108A"/>
    <w:rsid w:val="00B61F61"/>
    <w:rsid w:val="00B77609"/>
    <w:rsid w:val="00B92A8D"/>
    <w:rsid w:val="00BC2799"/>
    <w:rsid w:val="00BE75F6"/>
    <w:rsid w:val="00C32842"/>
    <w:rsid w:val="00C4005D"/>
    <w:rsid w:val="00CF3B5B"/>
    <w:rsid w:val="00D125A9"/>
    <w:rsid w:val="00D25811"/>
    <w:rsid w:val="00D306E2"/>
    <w:rsid w:val="00DA25DD"/>
    <w:rsid w:val="00DE0429"/>
    <w:rsid w:val="00DE5687"/>
    <w:rsid w:val="00E06609"/>
    <w:rsid w:val="00E34EAB"/>
    <w:rsid w:val="00E45835"/>
    <w:rsid w:val="00E50F5C"/>
    <w:rsid w:val="00E67263"/>
    <w:rsid w:val="00E70E46"/>
    <w:rsid w:val="00EA697B"/>
    <w:rsid w:val="00EB5E1B"/>
    <w:rsid w:val="00F556F3"/>
    <w:rsid w:val="00F604F6"/>
    <w:rsid w:val="00FA43A9"/>
    <w:rsid w:val="00FB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ACB83E-3B76-4377-9C24-D8F48C79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tabs>
        <w:tab w:val="left" w:pos="540"/>
      </w:tabs>
      <w:ind w:left="0" w:firstLine="0"/>
      <w:outlineLvl w:val="0"/>
    </w:pPr>
    <w:rPr>
      <w:b/>
      <w:szCs w:val="22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  <w:szCs w:val="22"/>
    </w:rPr>
  </w:style>
  <w:style w:type="paragraph" w:styleId="Nadpis3">
    <w:name w:val="heading 3"/>
    <w:basedOn w:val="Normlny"/>
    <w:next w:val="Normlny"/>
    <w:qFormat/>
    <w:pPr>
      <w:keepNext/>
      <w:tabs>
        <w:tab w:val="left" w:pos="8505"/>
      </w:tabs>
      <w:ind w:left="0" w:right="566" w:firstLine="0"/>
      <w:outlineLvl w:val="2"/>
    </w:pPr>
    <w:rPr>
      <w:rFonts w:ascii="Arial" w:hAnsi="Arial"/>
      <w:i/>
      <w:sz w:val="24"/>
      <w:szCs w:val="20"/>
      <w:lang w:eastAsia="en-US"/>
    </w:rPr>
  </w:style>
  <w:style w:type="paragraph" w:styleId="Nadpis4">
    <w:name w:val="heading 4"/>
    <w:basedOn w:val="Normlny"/>
    <w:next w:val="Normlny"/>
    <w:qFormat/>
    <w:pPr>
      <w:keepNext/>
      <w:ind w:left="0" w:firstLine="0"/>
      <w:outlineLvl w:val="3"/>
    </w:pPr>
    <w:rPr>
      <w:i/>
      <w:iCs/>
      <w:szCs w:val="22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i/>
      <w:iCs/>
    </w:rPr>
  </w:style>
  <w:style w:type="paragraph" w:styleId="Nadpis6">
    <w:name w:val="heading 6"/>
    <w:basedOn w:val="Normlny"/>
    <w:next w:val="Normlny"/>
    <w:qFormat/>
    <w:pPr>
      <w:keepNext/>
      <w:autoSpaceDE w:val="0"/>
      <w:autoSpaceDN w:val="0"/>
      <w:adjustRightInd w:val="0"/>
      <w:ind w:left="0" w:firstLine="0"/>
      <w:jc w:val="both"/>
      <w:outlineLvl w:val="5"/>
    </w:pPr>
    <w:rPr>
      <w:i/>
      <w:iCs/>
      <w:sz w:val="20"/>
      <w:lang w:eastAsia="cs-CZ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widowControl w:val="0"/>
      <w:autoSpaceDE w:val="0"/>
      <w:autoSpaceDN w:val="0"/>
      <w:adjustRightInd w:val="0"/>
      <w:outlineLvl w:val="7"/>
    </w:pPr>
    <w:rPr>
      <w:bCs/>
      <w:szCs w:val="22"/>
      <w:u w:val="single"/>
    </w:rPr>
  </w:style>
  <w:style w:type="paragraph" w:styleId="Nadpis9">
    <w:name w:val="heading 9"/>
    <w:basedOn w:val="Normlny"/>
    <w:next w:val="Normlny"/>
    <w:qFormat/>
    <w:pPr>
      <w:keepNext/>
      <w:tabs>
        <w:tab w:val="left" w:pos="5400"/>
      </w:tabs>
      <w:autoSpaceDE w:val="0"/>
      <w:autoSpaceDN w:val="0"/>
      <w:adjustRightInd w:val="0"/>
      <w:ind w:left="0" w:firstLine="0"/>
      <w:outlineLvl w:val="8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semiHidden/>
    <w:pPr>
      <w:ind w:left="0" w:firstLine="0"/>
    </w:pPr>
  </w:style>
  <w:style w:type="paragraph" w:styleId="Nzov">
    <w:name w:val="Title"/>
    <w:basedOn w:val="Normlny"/>
    <w:qFormat/>
    <w:pPr>
      <w:tabs>
        <w:tab w:val="left" w:pos="284"/>
      </w:tabs>
      <w:ind w:left="0" w:firstLine="0"/>
      <w:jc w:val="center"/>
    </w:pPr>
    <w:rPr>
      <w:b/>
      <w:sz w:val="28"/>
      <w:szCs w:val="20"/>
      <w:lang w:val="cs-CZ" w:eastAsia="cs-CZ"/>
    </w:rPr>
  </w:style>
  <w:style w:type="paragraph" w:styleId="Podtitul">
    <w:name w:val="Subtitle"/>
    <w:basedOn w:val="Normlny"/>
    <w:qFormat/>
    <w:pPr>
      <w:ind w:left="0" w:firstLine="0"/>
      <w:jc w:val="center"/>
    </w:pPr>
    <w:rPr>
      <w:b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  <w:ind w:left="0" w:firstLine="0"/>
    </w:pPr>
    <w:rPr>
      <w:sz w:val="24"/>
      <w:lang w:val="de-DE" w:eastAsia="de-DE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  <w:ind w:left="0" w:firstLine="0"/>
    </w:pPr>
    <w:rPr>
      <w:sz w:val="24"/>
      <w:lang w:val="en-GB" w:eastAsia="en-GB"/>
    </w:rPr>
  </w:style>
  <w:style w:type="paragraph" w:customStyle="1" w:styleId="leipa">
    <w:name w:val="leipa"/>
    <w:basedOn w:val="Normlny"/>
    <w:pPr>
      <w:spacing w:before="100" w:beforeAutospacing="1" w:after="100" w:afterAutospacing="1"/>
      <w:ind w:left="0" w:firstLine="0"/>
    </w:pPr>
    <w:rPr>
      <w:sz w:val="24"/>
      <w:lang w:val="de-DE" w:eastAsia="fi-FI"/>
    </w:rPr>
  </w:style>
  <w:style w:type="paragraph" w:styleId="Zarkazkladnhotextu3">
    <w:name w:val="Body Text Indent 3"/>
    <w:basedOn w:val="Normlny"/>
    <w:semiHidden/>
    <w:pPr>
      <w:spacing w:after="120"/>
      <w:ind w:left="283" w:firstLine="0"/>
    </w:pPr>
    <w:rPr>
      <w:rFonts w:ascii="Arial" w:hAnsi="Arial"/>
      <w:sz w:val="16"/>
      <w:szCs w:val="16"/>
      <w:lang w:val="de-DE" w:eastAsia="de-DE"/>
    </w:rPr>
  </w:style>
  <w:style w:type="paragraph" w:styleId="Zkladntext2">
    <w:name w:val="Body Text 2"/>
    <w:basedOn w:val="Normlny"/>
    <w:semiHidden/>
    <w:pPr>
      <w:ind w:left="0" w:firstLine="0"/>
      <w:jc w:val="both"/>
    </w:pPr>
    <w:rPr>
      <w:rFonts w:cs="Arial"/>
      <w:noProof/>
      <w:color w:val="00000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ind w:left="0" w:firstLine="0"/>
    </w:pPr>
    <w:rPr>
      <w:sz w:val="24"/>
      <w:lang w:val="en-GB" w:eastAsia="en-US"/>
    </w:rPr>
  </w:style>
  <w:style w:type="paragraph" w:styleId="Zkladntext3">
    <w:name w:val="Body Text 3"/>
    <w:basedOn w:val="Normlny"/>
    <w:semiHidden/>
    <w:pPr>
      <w:autoSpaceDE w:val="0"/>
      <w:autoSpaceDN w:val="0"/>
      <w:adjustRightInd w:val="0"/>
      <w:ind w:left="0" w:firstLine="0"/>
    </w:pPr>
    <w:rPr>
      <w:rFonts w:ascii="Arial" w:hAnsi="Arial"/>
      <w:sz w:val="20"/>
    </w:rPr>
  </w:style>
  <w:style w:type="character" w:customStyle="1" w:styleId="PtaChar">
    <w:name w:val="Päta Char"/>
    <w:link w:val="Pta"/>
    <w:uiPriority w:val="99"/>
    <w:rsid w:val="00AC73E9"/>
    <w:rPr>
      <w:sz w:val="24"/>
      <w:szCs w:val="24"/>
      <w:lang w:val="en-GB" w:eastAsia="en-GB"/>
    </w:rPr>
  </w:style>
  <w:style w:type="character" w:styleId="slostrany">
    <w:name w:val="page number"/>
    <w:rsid w:val="001F33A3"/>
  </w:style>
  <w:style w:type="paragraph" w:customStyle="1" w:styleId="Default">
    <w:name w:val="Default"/>
    <w:rsid w:val="00BC279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lavikaChar">
    <w:name w:val="Hlavička Char"/>
    <w:link w:val="Hlavika"/>
    <w:uiPriority w:val="99"/>
    <w:rsid w:val="001940B9"/>
    <w:rPr>
      <w:sz w:val="24"/>
      <w:szCs w:val="24"/>
      <w:lang w:val="en-GB" w:eastAsia="en-US"/>
    </w:rPr>
  </w:style>
  <w:style w:type="character" w:customStyle="1" w:styleId="TextChar1">
    <w:name w:val="Text Char1"/>
    <w:link w:val="Text"/>
    <w:locked/>
    <w:rsid w:val="00B77609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B77609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  <w:style w:type="paragraph" w:customStyle="1" w:styleId="MGGTextLeft">
    <w:name w:val="MGG Text Left"/>
    <w:basedOn w:val="Zkladntext"/>
    <w:rsid w:val="00EB5E1B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59B48-E462-4519-A553-4BF166FE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6861</Words>
  <Characters>39113</Characters>
  <Application>Microsoft Office Word</Application>
  <DocSecurity>0</DocSecurity>
  <Lines>325</Lines>
  <Paragraphs>91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[Version 7, 07/2005]</vt:lpstr>
    </vt:vector>
  </TitlesOfParts>
  <Company>Štátny ústav pre kontrolu liečiv</Company>
  <LinksUpToDate>false</LinksUpToDate>
  <CharactersWithSpaces>45883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7, 07/2005]</dc:title>
  <dc:subject>General-EMEA/248615/2005</dc:subject>
  <dc:creator>Regpharm Slovakia</dc:creator>
  <cp:lastModifiedBy>Vargová, Dagmar</cp:lastModifiedBy>
  <cp:revision>9</cp:revision>
  <cp:lastPrinted>2019-12-13T07:31:00Z</cp:lastPrinted>
  <dcterms:created xsi:type="dcterms:W3CDTF">2019-08-15T12:04:00Z</dcterms:created>
  <dcterms:modified xsi:type="dcterms:W3CDTF">2019-12-16T07:12:00Z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General-EMEA/248615/2005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 final 280705</vt:lpwstr>
  </property>
  <property fmtid="{D5CDD505-2E9C-101B-9397-08002B2CF9AE}" pid="9" name="DM_Owner">
    <vt:lpwstr>Buch Monica</vt:lpwstr>
  </property>
  <property fmtid="{D5CDD505-2E9C-101B-9397-08002B2CF9AE}" pid="10" name="DM_Creation_Date">
    <vt:lpwstr>28/07/2005 10:20:54</vt:lpwstr>
  </property>
  <property fmtid="{D5CDD505-2E9C-101B-9397-08002B2CF9AE}" pid="11" name="DM_Creator_Name">
    <vt:lpwstr>Buch Monica</vt:lpwstr>
  </property>
  <property fmtid="{D5CDD505-2E9C-101B-9397-08002B2CF9AE}" pid="12" name="DM_Modifer_Name">
    <vt:lpwstr>Buch Monica</vt:lpwstr>
  </property>
  <property fmtid="{D5CDD505-2E9C-101B-9397-08002B2CF9AE}" pid="13" name="DM_Modified_Date">
    <vt:lpwstr>28/07/2005 12:13:38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EMEA/248615/2005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248615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