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0015" w14:textId="77777777" w:rsidR="00912C25" w:rsidRDefault="00912C25" w:rsidP="00E13FB9">
      <w:pPr>
        <w:spacing w:before="75"/>
        <w:jc w:val="center"/>
        <w:rPr>
          <w:b/>
          <w:lang w:val="sk-SK"/>
        </w:rPr>
      </w:pPr>
      <w:bookmarkStart w:id="0" w:name="_GoBack"/>
      <w:bookmarkEnd w:id="0"/>
      <w:r w:rsidRPr="00E13FB9">
        <w:rPr>
          <w:b/>
          <w:lang w:val="sk-SK"/>
        </w:rPr>
        <w:t>SÚHRN CHARAKTERISTICKÝCH VLASTNOSTÍ LIEKU</w:t>
      </w:r>
    </w:p>
    <w:p w14:paraId="14D8071D" w14:textId="77777777" w:rsidR="00912C25" w:rsidRDefault="00912C25" w:rsidP="00912C25">
      <w:pPr>
        <w:spacing w:before="75"/>
        <w:rPr>
          <w:b/>
          <w:lang w:val="sk-SK"/>
        </w:rPr>
      </w:pPr>
    </w:p>
    <w:p w14:paraId="3E95A313" w14:textId="77777777" w:rsidR="00912C25" w:rsidRPr="00E13FB9" w:rsidRDefault="00912C25" w:rsidP="00912C25">
      <w:pPr>
        <w:spacing w:before="75"/>
        <w:rPr>
          <w:b/>
          <w:lang w:val="sk-SK"/>
        </w:rPr>
      </w:pPr>
    </w:p>
    <w:p w14:paraId="0D9DEAF2" w14:textId="77777777" w:rsidR="00F132B6" w:rsidRPr="00507E09" w:rsidRDefault="00F132B6" w:rsidP="00E13FB9">
      <w:pPr>
        <w:pStyle w:val="Nadpis1"/>
        <w:numPr>
          <w:ilvl w:val="0"/>
          <w:numId w:val="12"/>
        </w:numPr>
        <w:spacing w:before="75"/>
        <w:ind w:firstLine="0"/>
        <w:rPr>
          <w:lang w:val="sk-SK"/>
        </w:rPr>
      </w:pPr>
      <w:r w:rsidRPr="00507E09">
        <w:rPr>
          <w:lang w:val="sk-SK"/>
        </w:rPr>
        <w:t>NÁZOV</w:t>
      </w:r>
      <w:r w:rsidRPr="00507E09">
        <w:rPr>
          <w:spacing w:val="-5"/>
          <w:lang w:val="sk-SK"/>
        </w:rPr>
        <w:t xml:space="preserve"> </w:t>
      </w:r>
      <w:r w:rsidRPr="00507E09">
        <w:rPr>
          <w:lang w:val="sk-SK"/>
        </w:rPr>
        <w:t>LIEKU</w:t>
      </w:r>
    </w:p>
    <w:p w14:paraId="7E4AED9F" w14:textId="77777777" w:rsidR="00F132B6" w:rsidRPr="00507E09" w:rsidRDefault="00F132B6" w:rsidP="009258AC">
      <w:pPr>
        <w:pStyle w:val="Zkladntext"/>
        <w:spacing w:before="6"/>
        <w:rPr>
          <w:b/>
          <w:sz w:val="21"/>
          <w:lang w:val="sk-SK"/>
        </w:rPr>
      </w:pPr>
    </w:p>
    <w:p w14:paraId="5702972A" w14:textId="77777777" w:rsidR="007A3A1A" w:rsidRDefault="00A3161E" w:rsidP="00F60272">
      <w:pPr>
        <w:pStyle w:val="Zkladntext"/>
        <w:ind w:left="118"/>
        <w:rPr>
          <w:lang w:val="sk-SK"/>
        </w:rPr>
      </w:pPr>
      <w:r>
        <w:rPr>
          <w:lang w:val="sk-SK"/>
        </w:rPr>
        <w:t>Posaconazole Sandoz</w:t>
      </w:r>
      <w:r w:rsidR="00F132B6" w:rsidRPr="00507E09">
        <w:rPr>
          <w:lang w:val="sk-SK"/>
        </w:rPr>
        <w:t xml:space="preserve"> 100 mg</w:t>
      </w:r>
    </w:p>
    <w:p w14:paraId="1B8AF74F" w14:textId="247EFDEC" w:rsidR="00F132B6" w:rsidRPr="00507E09" w:rsidRDefault="00F132B6" w:rsidP="00F60272">
      <w:pPr>
        <w:pStyle w:val="Zkladntext"/>
        <w:ind w:left="118"/>
        <w:rPr>
          <w:lang w:val="sk-SK"/>
        </w:rPr>
      </w:pPr>
      <w:r w:rsidRPr="00507E09">
        <w:rPr>
          <w:lang w:val="sk-SK"/>
        </w:rPr>
        <w:t>gastrorezistentné tablety</w:t>
      </w:r>
    </w:p>
    <w:p w14:paraId="3D3E3FA1" w14:textId="77777777" w:rsidR="00F132B6" w:rsidRPr="00507E09" w:rsidRDefault="00F132B6" w:rsidP="00474F1E">
      <w:pPr>
        <w:pStyle w:val="Zkladntext"/>
        <w:rPr>
          <w:sz w:val="24"/>
          <w:lang w:val="sk-SK"/>
        </w:rPr>
      </w:pPr>
    </w:p>
    <w:p w14:paraId="181BEA98" w14:textId="77777777" w:rsidR="00F132B6" w:rsidRPr="00507E09" w:rsidRDefault="00F132B6" w:rsidP="00474F1E">
      <w:pPr>
        <w:pStyle w:val="Zkladntext"/>
        <w:spacing w:before="5"/>
        <w:rPr>
          <w:sz w:val="20"/>
          <w:lang w:val="sk-SK"/>
        </w:rPr>
      </w:pPr>
    </w:p>
    <w:p w14:paraId="02037A4D" w14:textId="77777777" w:rsidR="00F31FD0" w:rsidRPr="00F31FD0" w:rsidRDefault="00F132B6" w:rsidP="00E13FB9">
      <w:pPr>
        <w:pStyle w:val="Odsekzoznamu"/>
        <w:numPr>
          <w:ilvl w:val="0"/>
          <w:numId w:val="12"/>
        </w:numPr>
        <w:tabs>
          <w:tab w:val="left" w:pos="685"/>
        </w:tabs>
        <w:spacing w:before="1"/>
        <w:ind w:right="2" w:firstLine="0"/>
        <w:rPr>
          <w:lang w:val="sk-SK"/>
        </w:rPr>
      </w:pPr>
      <w:r w:rsidRPr="00507E09">
        <w:rPr>
          <w:b/>
          <w:lang w:val="sk-SK"/>
        </w:rPr>
        <w:t xml:space="preserve">KVALITATÍVNE A KVANTITATÍVNE ZLOŽENIE </w:t>
      </w:r>
    </w:p>
    <w:p w14:paraId="5A778E79" w14:textId="77777777" w:rsidR="00F31FD0" w:rsidRDefault="00F31FD0" w:rsidP="00E13FB9">
      <w:pPr>
        <w:pStyle w:val="Odsekzoznamu"/>
        <w:tabs>
          <w:tab w:val="left" w:pos="685"/>
        </w:tabs>
        <w:spacing w:before="1"/>
        <w:ind w:left="118" w:right="3477" w:firstLine="0"/>
        <w:rPr>
          <w:b/>
          <w:lang w:val="sk-SK"/>
        </w:rPr>
      </w:pPr>
    </w:p>
    <w:p w14:paraId="37A1A222" w14:textId="77777777" w:rsidR="00F31FD0" w:rsidRDefault="00F132B6" w:rsidP="00E13FB9">
      <w:pPr>
        <w:pStyle w:val="Odsekzoznamu"/>
        <w:tabs>
          <w:tab w:val="left" w:pos="685"/>
        </w:tabs>
        <w:spacing w:before="1"/>
        <w:ind w:left="118" w:right="2" w:firstLine="0"/>
        <w:rPr>
          <w:lang w:val="sk-SK"/>
        </w:rPr>
      </w:pPr>
      <w:r w:rsidRPr="00507E09">
        <w:rPr>
          <w:lang w:val="sk-SK"/>
        </w:rPr>
        <w:t xml:space="preserve">Každá gastrorezistentná tableta obsahuje 100 mg posakonazolu. </w:t>
      </w:r>
    </w:p>
    <w:p w14:paraId="4ED5CB97" w14:textId="77777777" w:rsidR="00F31FD0" w:rsidRDefault="00F31FD0" w:rsidP="00E13FB9">
      <w:pPr>
        <w:pStyle w:val="Odsekzoznamu"/>
        <w:tabs>
          <w:tab w:val="left" w:pos="685"/>
        </w:tabs>
        <w:spacing w:before="1"/>
        <w:ind w:left="118" w:right="3477" w:firstLine="0"/>
        <w:rPr>
          <w:lang w:val="sk-SK"/>
        </w:rPr>
      </w:pPr>
    </w:p>
    <w:p w14:paraId="7AF04681" w14:textId="77777777" w:rsidR="00F31FD0" w:rsidRDefault="00F31FD0" w:rsidP="009258AC">
      <w:pPr>
        <w:pStyle w:val="Zkladntext"/>
        <w:ind w:left="118" w:right="142"/>
        <w:rPr>
          <w:lang w:val="sk-SK"/>
        </w:rPr>
      </w:pPr>
      <w:r>
        <w:rPr>
          <w:lang w:val="sk-SK"/>
        </w:rPr>
        <w:t>Pomocné látky so známym účinkom: každá tableta obsahuje 1,25 mg sodíka.</w:t>
      </w:r>
    </w:p>
    <w:p w14:paraId="6ECDBD38" w14:textId="77777777" w:rsidR="00F31FD0" w:rsidRDefault="00F31FD0" w:rsidP="00F60272">
      <w:pPr>
        <w:pStyle w:val="Zkladntext"/>
        <w:ind w:left="118" w:right="142"/>
        <w:rPr>
          <w:lang w:val="sk-SK"/>
        </w:rPr>
      </w:pPr>
    </w:p>
    <w:p w14:paraId="65E0FF02" w14:textId="77777777" w:rsidR="00F132B6" w:rsidRPr="00507E09" w:rsidRDefault="00F132B6" w:rsidP="00474F1E">
      <w:pPr>
        <w:pStyle w:val="Zkladntext"/>
        <w:ind w:left="118" w:right="142"/>
        <w:rPr>
          <w:lang w:val="sk-SK"/>
        </w:rPr>
      </w:pPr>
      <w:r w:rsidRPr="00507E09">
        <w:rPr>
          <w:lang w:val="sk-SK"/>
        </w:rPr>
        <w:t>Úplný zoznam pomocných látok, pozri časť</w:t>
      </w:r>
      <w:r w:rsidRPr="00F31FD0">
        <w:rPr>
          <w:lang w:val="sk-SK"/>
        </w:rPr>
        <w:t xml:space="preserve"> </w:t>
      </w:r>
      <w:r w:rsidRPr="00507E09">
        <w:rPr>
          <w:lang w:val="sk-SK"/>
        </w:rPr>
        <w:t>6.1.</w:t>
      </w:r>
    </w:p>
    <w:p w14:paraId="03A3DEB3" w14:textId="77777777" w:rsidR="00F132B6" w:rsidRDefault="00F132B6" w:rsidP="00474F1E">
      <w:pPr>
        <w:pStyle w:val="Zkladntext"/>
        <w:spacing w:before="4"/>
        <w:rPr>
          <w:sz w:val="23"/>
          <w:lang w:val="sk-SK"/>
        </w:rPr>
      </w:pPr>
    </w:p>
    <w:p w14:paraId="40A32CE1" w14:textId="77777777" w:rsidR="00A55C17" w:rsidRPr="00507E09" w:rsidRDefault="00A55C17">
      <w:pPr>
        <w:pStyle w:val="Zkladntext"/>
        <w:spacing w:before="4"/>
        <w:rPr>
          <w:sz w:val="23"/>
          <w:lang w:val="sk-SK"/>
        </w:rPr>
      </w:pPr>
    </w:p>
    <w:p w14:paraId="4EFD81E3"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LIEKOVÁ</w:t>
      </w:r>
      <w:r w:rsidRPr="00507E09">
        <w:rPr>
          <w:spacing w:val="-6"/>
          <w:lang w:val="sk-SK"/>
        </w:rPr>
        <w:t xml:space="preserve"> </w:t>
      </w:r>
      <w:r w:rsidRPr="00507E09">
        <w:rPr>
          <w:lang w:val="sk-SK"/>
        </w:rPr>
        <w:t>FORMA</w:t>
      </w:r>
    </w:p>
    <w:p w14:paraId="6E6CCC9C" w14:textId="77777777" w:rsidR="00F132B6" w:rsidRPr="00507E09" w:rsidRDefault="00F132B6">
      <w:pPr>
        <w:pStyle w:val="Zkladntext"/>
        <w:spacing w:before="6"/>
        <w:rPr>
          <w:b/>
          <w:sz w:val="21"/>
          <w:lang w:val="sk-SK"/>
        </w:rPr>
      </w:pPr>
    </w:p>
    <w:p w14:paraId="5EF27322" w14:textId="77777777" w:rsidR="00F132B6" w:rsidRPr="00507E09" w:rsidRDefault="00F132B6">
      <w:pPr>
        <w:pStyle w:val="Zkladntext"/>
        <w:ind w:left="118"/>
        <w:rPr>
          <w:lang w:val="sk-SK"/>
        </w:rPr>
      </w:pPr>
      <w:r w:rsidRPr="00507E09">
        <w:rPr>
          <w:lang w:val="sk-SK"/>
        </w:rPr>
        <w:t>Gas</w:t>
      </w:r>
      <w:r w:rsidR="00A55C17">
        <w:rPr>
          <w:lang w:val="sk-SK"/>
        </w:rPr>
        <w:t xml:space="preserve">trorezistentná tableta </w:t>
      </w:r>
    </w:p>
    <w:p w14:paraId="1637BFF0" w14:textId="4E826241" w:rsidR="00F132B6" w:rsidRPr="00507E09" w:rsidRDefault="00F132B6">
      <w:pPr>
        <w:pStyle w:val="Zkladntext"/>
        <w:spacing w:before="1"/>
        <w:ind w:left="118"/>
        <w:rPr>
          <w:lang w:val="sk-SK"/>
        </w:rPr>
      </w:pPr>
      <w:r w:rsidRPr="00507E09">
        <w:rPr>
          <w:lang w:val="sk-SK"/>
        </w:rPr>
        <w:t xml:space="preserve">Žltá obalená tableta v tvare kapsuly s dĺžkou </w:t>
      </w:r>
      <w:r w:rsidR="00A55C17">
        <w:rPr>
          <w:lang w:val="sk-SK"/>
        </w:rPr>
        <w:t xml:space="preserve">približne </w:t>
      </w:r>
      <w:r w:rsidRPr="00507E09">
        <w:rPr>
          <w:lang w:val="sk-SK"/>
        </w:rPr>
        <w:t xml:space="preserve">17,5 mm </w:t>
      </w:r>
      <w:r w:rsidR="00A55C17">
        <w:rPr>
          <w:lang w:val="sk-SK"/>
        </w:rPr>
        <w:t>a </w:t>
      </w:r>
      <w:r w:rsidR="00C62806">
        <w:rPr>
          <w:lang w:val="sk-SK"/>
        </w:rPr>
        <w:t>šírkou</w:t>
      </w:r>
      <w:r w:rsidR="00A55C17">
        <w:rPr>
          <w:lang w:val="sk-SK"/>
        </w:rPr>
        <w:t xml:space="preserve"> pr</w:t>
      </w:r>
      <w:r w:rsidR="00C62806">
        <w:rPr>
          <w:lang w:val="sk-SK"/>
        </w:rPr>
        <w:t>i</w:t>
      </w:r>
      <w:r w:rsidR="00A55C17">
        <w:rPr>
          <w:lang w:val="sk-SK"/>
        </w:rPr>
        <w:t xml:space="preserve">bližne 6,7 mm </w:t>
      </w:r>
      <w:r w:rsidRPr="00507E09">
        <w:rPr>
          <w:lang w:val="sk-SK"/>
        </w:rPr>
        <w:t xml:space="preserve">s vyrazeným </w:t>
      </w:r>
      <w:r w:rsidR="00C62806">
        <w:rPr>
          <w:lang w:val="sk-SK"/>
        </w:rPr>
        <w:t xml:space="preserve">označením </w:t>
      </w:r>
      <w:r w:rsidRPr="00507E09">
        <w:rPr>
          <w:lang w:val="sk-SK"/>
        </w:rPr>
        <w:t>„100</w:t>
      </w:r>
      <w:r w:rsidR="00A55C17">
        <w:rPr>
          <w:lang w:val="sk-SK"/>
        </w:rPr>
        <w:t>P</w:t>
      </w:r>
      <w:r w:rsidRPr="00507E09">
        <w:rPr>
          <w:lang w:val="sk-SK"/>
        </w:rPr>
        <w:t>“ na jednej strane</w:t>
      </w:r>
      <w:r w:rsidR="00A55C17">
        <w:rPr>
          <w:lang w:val="sk-SK"/>
        </w:rPr>
        <w:t xml:space="preserve"> a hladkým povrchom na druhej strane</w:t>
      </w:r>
      <w:r w:rsidRPr="00507E09">
        <w:rPr>
          <w:lang w:val="sk-SK"/>
        </w:rPr>
        <w:t>.</w:t>
      </w:r>
    </w:p>
    <w:p w14:paraId="73CB12D5" w14:textId="77777777" w:rsidR="00F132B6" w:rsidRPr="00507E09" w:rsidRDefault="00F132B6">
      <w:pPr>
        <w:pStyle w:val="Zkladntext"/>
        <w:rPr>
          <w:sz w:val="24"/>
          <w:lang w:val="sk-SK"/>
        </w:rPr>
      </w:pPr>
    </w:p>
    <w:p w14:paraId="509E5B81" w14:textId="77777777" w:rsidR="00F132B6" w:rsidRPr="00507E09" w:rsidRDefault="00F132B6">
      <w:pPr>
        <w:pStyle w:val="Zkladntext"/>
        <w:spacing w:before="4"/>
        <w:rPr>
          <w:sz w:val="20"/>
          <w:lang w:val="sk-SK"/>
        </w:rPr>
      </w:pPr>
    </w:p>
    <w:p w14:paraId="662953E1"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KLINICKÉ</w:t>
      </w:r>
      <w:r w:rsidRPr="00507E09">
        <w:rPr>
          <w:spacing w:val="-7"/>
          <w:lang w:val="sk-SK"/>
        </w:rPr>
        <w:t xml:space="preserve"> </w:t>
      </w:r>
      <w:r w:rsidRPr="00507E09">
        <w:rPr>
          <w:lang w:val="sk-SK"/>
        </w:rPr>
        <w:t>ÚDAJE</w:t>
      </w:r>
    </w:p>
    <w:p w14:paraId="5A83CDC8" w14:textId="77777777" w:rsidR="00F132B6" w:rsidRPr="00507E09" w:rsidRDefault="00F132B6">
      <w:pPr>
        <w:pStyle w:val="Zkladntext"/>
        <w:rPr>
          <w:b/>
          <w:lang w:val="sk-SK"/>
        </w:rPr>
      </w:pPr>
    </w:p>
    <w:p w14:paraId="0D7A52D7" w14:textId="77777777" w:rsidR="00F132B6" w:rsidRPr="00507E09" w:rsidRDefault="00F132B6" w:rsidP="00E13FB9">
      <w:pPr>
        <w:pStyle w:val="Odsekzoznamu"/>
        <w:numPr>
          <w:ilvl w:val="1"/>
          <w:numId w:val="12"/>
        </w:numPr>
        <w:tabs>
          <w:tab w:val="left" w:pos="684"/>
          <w:tab w:val="left" w:pos="685"/>
        </w:tabs>
        <w:ind w:hanging="566"/>
        <w:rPr>
          <w:b/>
          <w:lang w:val="sk-SK"/>
        </w:rPr>
      </w:pPr>
      <w:r w:rsidRPr="00507E09">
        <w:rPr>
          <w:b/>
          <w:lang w:val="sk-SK"/>
        </w:rPr>
        <w:t>Terapeutické</w:t>
      </w:r>
      <w:r w:rsidRPr="00507E09">
        <w:rPr>
          <w:b/>
          <w:spacing w:val="-14"/>
          <w:lang w:val="sk-SK"/>
        </w:rPr>
        <w:t xml:space="preserve"> </w:t>
      </w:r>
      <w:r w:rsidRPr="00507E09">
        <w:rPr>
          <w:b/>
          <w:lang w:val="sk-SK"/>
        </w:rPr>
        <w:t>indikácie</w:t>
      </w:r>
    </w:p>
    <w:p w14:paraId="28C8CC23" w14:textId="77777777" w:rsidR="00F132B6" w:rsidRPr="00507E09" w:rsidRDefault="00F132B6">
      <w:pPr>
        <w:pStyle w:val="Zkladntext"/>
        <w:spacing w:before="4"/>
        <w:rPr>
          <w:b/>
          <w:sz w:val="21"/>
          <w:lang w:val="sk-SK"/>
        </w:rPr>
      </w:pPr>
    </w:p>
    <w:p w14:paraId="3A4C1FE0" w14:textId="54FF7813" w:rsidR="00F132B6" w:rsidRPr="00507E09" w:rsidRDefault="00A3161E">
      <w:pPr>
        <w:pStyle w:val="Zkladntext"/>
        <w:spacing w:before="1"/>
        <w:ind w:left="118"/>
        <w:rPr>
          <w:lang w:val="sk-SK"/>
        </w:rPr>
      </w:pPr>
      <w:r>
        <w:rPr>
          <w:lang w:val="sk-SK"/>
        </w:rPr>
        <w:t>Posaconazole Sandoz</w:t>
      </w:r>
      <w:r w:rsidR="00A55C17">
        <w:rPr>
          <w:lang w:val="sk-SK"/>
        </w:rPr>
        <w:t xml:space="preserve"> </w:t>
      </w:r>
      <w:r w:rsidR="009258AC">
        <w:rPr>
          <w:lang w:val="sk-SK"/>
        </w:rPr>
        <w:t>je</w:t>
      </w:r>
      <w:r w:rsidR="00F132B6" w:rsidRPr="00507E09">
        <w:rPr>
          <w:lang w:val="sk-SK"/>
        </w:rPr>
        <w:t xml:space="preserve"> indikovan</w:t>
      </w:r>
      <w:r w:rsidR="009913A7">
        <w:rPr>
          <w:lang w:val="sk-SK"/>
        </w:rPr>
        <w:t>ý</w:t>
      </w:r>
      <w:r w:rsidR="00F132B6" w:rsidRPr="00507E09">
        <w:rPr>
          <w:lang w:val="sk-SK"/>
        </w:rPr>
        <w:t xml:space="preserve"> na liečbu nasledujúcich mykotických infekcií u dospelých (pozri časť 5.1):</w:t>
      </w:r>
    </w:p>
    <w:p w14:paraId="156FA0F4" w14:textId="67AE5095" w:rsidR="00F132B6" w:rsidRPr="00507E09" w:rsidRDefault="00F132B6" w:rsidP="00E13FB9">
      <w:pPr>
        <w:pStyle w:val="Odsekzoznamu"/>
        <w:numPr>
          <w:ilvl w:val="0"/>
          <w:numId w:val="14"/>
        </w:numPr>
        <w:tabs>
          <w:tab w:val="left" w:pos="684"/>
          <w:tab w:val="left" w:pos="685"/>
        </w:tabs>
        <w:ind w:right="117" w:hanging="566"/>
        <w:rPr>
          <w:lang w:val="sk-SK"/>
        </w:rPr>
      </w:pPr>
      <w:r w:rsidRPr="00507E09">
        <w:rPr>
          <w:lang w:val="sk-SK"/>
        </w:rPr>
        <w:t>invazívna aspergilóza u pacientov s ochorením refraktérnym na amfotericín B alebo itrakonazol alebo u pacientov, ktorí tieto lieky</w:t>
      </w:r>
      <w:r w:rsidRPr="00507E09">
        <w:rPr>
          <w:spacing w:val="-25"/>
          <w:lang w:val="sk-SK"/>
        </w:rPr>
        <w:t xml:space="preserve"> </w:t>
      </w:r>
      <w:r w:rsidRPr="00507E09">
        <w:rPr>
          <w:lang w:val="sk-SK"/>
        </w:rPr>
        <w:t>ne</w:t>
      </w:r>
      <w:r w:rsidR="009913A7">
        <w:rPr>
          <w:lang w:val="sk-SK"/>
        </w:rPr>
        <w:t>tolerujú</w:t>
      </w:r>
      <w:r w:rsidRPr="00507E09">
        <w:rPr>
          <w:lang w:val="sk-SK"/>
        </w:rPr>
        <w:t>;</w:t>
      </w:r>
    </w:p>
    <w:p w14:paraId="767E7C8A" w14:textId="2556629C" w:rsidR="00F132B6" w:rsidRPr="00507E09" w:rsidRDefault="00F132B6" w:rsidP="00E13FB9">
      <w:pPr>
        <w:pStyle w:val="Odsekzoznamu"/>
        <w:numPr>
          <w:ilvl w:val="0"/>
          <w:numId w:val="14"/>
        </w:numPr>
        <w:tabs>
          <w:tab w:val="left" w:pos="684"/>
          <w:tab w:val="left" w:pos="685"/>
        </w:tabs>
        <w:ind w:right="657" w:hanging="566"/>
        <w:rPr>
          <w:lang w:val="sk-SK"/>
        </w:rPr>
      </w:pPr>
      <w:r w:rsidRPr="00507E09">
        <w:rPr>
          <w:lang w:val="sk-SK"/>
        </w:rPr>
        <w:t>fuzarióza u pacientov s ochorením refraktérnym na amfotericín B alebo u pacientov, ktorí ne</w:t>
      </w:r>
      <w:r w:rsidR="009913A7">
        <w:rPr>
          <w:lang w:val="sk-SK"/>
        </w:rPr>
        <w:t>tolerujú</w:t>
      </w:r>
      <w:r w:rsidRPr="00507E09">
        <w:rPr>
          <w:lang w:val="sk-SK"/>
        </w:rPr>
        <w:t xml:space="preserve"> amfotericín</w:t>
      </w:r>
      <w:r w:rsidRPr="00507E09">
        <w:rPr>
          <w:spacing w:val="-12"/>
          <w:lang w:val="sk-SK"/>
        </w:rPr>
        <w:t xml:space="preserve"> </w:t>
      </w:r>
      <w:r w:rsidRPr="00507E09">
        <w:rPr>
          <w:spacing w:val="-4"/>
          <w:lang w:val="sk-SK"/>
        </w:rPr>
        <w:t>B;</w:t>
      </w:r>
    </w:p>
    <w:p w14:paraId="6D7CBA68" w14:textId="7E11C586" w:rsidR="00F132B6" w:rsidRPr="00507E09" w:rsidRDefault="00F132B6" w:rsidP="00E13FB9">
      <w:pPr>
        <w:pStyle w:val="Odsekzoznamu"/>
        <w:numPr>
          <w:ilvl w:val="0"/>
          <w:numId w:val="14"/>
        </w:numPr>
        <w:tabs>
          <w:tab w:val="left" w:pos="684"/>
          <w:tab w:val="left" w:pos="685"/>
        </w:tabs>
        <w:ind w:right="380" w:hanging="566"/>
        <w:rPr>
          <w:lang w:val="sk-SK"/>
        </w:rPr>
      </w:pPr>
      <w:r w:rsidRPr="00507E09">
        <w:rPr>
          <w:lang w:val="sk-SK"/>
        </w:rPr>
        <w:t>chromoblastomykóza a mycetóm u pacientov s ochorením refraktérnym na itrakonazol alebo u pacientov, ktorí ne</w:t>
      </w:r>
      <w:r w:rsidR="009913A7">
        <w:rPr>
          <w:lang w:val="sk-SK"/>
        </w:rPr>
        <w:t>tolerujú</w:t>
      </w:r>
      <w:r w:rsidRPr="00507E09">
        <w:rPr>
          <w:spacing w:val="-24"/>
          <w:lang w:val="sk-SK"/>
        </w:rPr>
        <w:t xml:space="preserve"> </w:t>
      </w:r>
      <w:r w:rsidRPr="00507E09">
        <w:rPr>
          <w:lang w:val="sk-SK"/>
        </w:rPr>
        <w:t>itrakonazol;</w:t>
      </w:r>
    </w:p>
    <w:p w14:paraId="650826C8" w14:textId="0AD39121" w:rsidR="00F132B6" w:rsidRPr="00507E09" w:rsidRDefault="00F132B6" w:rsidP="00E13FB9">
      <w:pPr>
        <w:pStyle w:val="Odsekzoznamu"/>
        <w:numPr>
          <w:ilvl w:val="0"/>
          <w:numId w:val="14"/>
        </w:numPr>
        <w:tabs>
          <w:tab w:val="left" w:pos="684"/>
          <w:tab w:val="left" w:pos="685"/>
        </w:tabs>
        <w:spacing w:before="3"/>
        <w:ind w:right="227" w:hanging="566"/>
        <w:rPr>
          <w:lang w:val="sk-SK"/>
        </w:rPr>
      </w:pPr>
      <w:r w:rsidRPr="00507E09">
        <w:rPr>
          <w:lang w:val="sk-SK"/>
        </w:rPr>
        <w:t>kokcidioidomykóza u pacientov s ochorením refraktérnym na amfotericín B, itrakonazol alebo flukonazol alebo u pacientov, ktorí tieto lieky</w:t>
      </w:r>
      <w:r w:rsidRPr="00507E09">
        <w:rPr>
          <w:spacing w:val="-34"/>
          <w:lang w:val="sk-SK"/>
        </w:rPr>
        <w:t xml:space="preserve"> </w:t>
      </w:r>
      <w:r w:rsidRPr="00507E09">
        <w:rPr>
          <w:lang w:val="sk-SK"/>
        </w:rPr>
        <w:t>ne</w:t>
      </w:r>
      <w:r w:rsidR="009913A7">
        <w:rPr>
          <w:lang w:val="sk-SK"/>
        </w:rPr>
        <w:t>tolerujú</w:t>
      </w:r>
      <w:r w:rsidRPr="00507E09">
        <w:rPr>
          <w:lang w:val="sk-SK"/>
        </w:rPr>
        <w:t>.</w:t>
      </w:r>
    </w:p>
    <w:p w14:paraId="04C4C25E" w14:textId="77777777" w:rsidR="00F132B6" w:rsidRPr="00507E09" w:rsidRDefault="00F132B6">
      <w:pPr>
        <w:pStyle w:val="Zkladntext"/>
        <w:rPr>
          <w:lang w:val="sk-SK"/>
        </w:rPr>
      </w:pPr>
    </w:p>
    <w:p w14:paraId="0B613F5B" w14:textId="77777777" w:rsidR="00F132B6" w:rsidRPr="00507E09" w:rsidRDefault="00F132B6">
      <w:pPr>
        <w:pStyle w:val="Zkladntext"/>
        <w:ind w:left="118" w:right="142"/>
        <w:rPr>
          <w:lang w:val="sk-SK"/>
        </w:rPr>
      </w:pPr>
      <w:r w:rsidRPr="00507E09">
        <w:rPr>
          <w:lang w:val="sk-SK"/>
        </w:rPr>
        <w:t>Refraktérnosť je definovaná ako progresia infekcie alebo neúspešné potlačenie infekcie po minimálne 7 dňoch podávania terapeutických dávok účinnej antimykotickej liečby.</w:t>
      </w:r>
    </w:p>
    <w:p w14:paraId="2CC84A2B" w14:textId="77777777" w:rsidR="00F132B6" w:rsidRPr="00507E09" w:rsidRDefault="00F132B6">
      <w:pPr>
        <w:pStyle w:val="Zkladntext"/>
        <w:rPr>
          <w:lang w:val="sk-SK"/>
        </w:rPr>
      </w:pPr>
    </w:p>
    <w:p w14:paraId="1AD231BC" w14:textId="72ECD158" w:rsidR="00F132B6" w:rsidRPr="00507E09" w:rsidRDefault="00A3161E">
      <w:pPr>
        <w:pStyle w:val="Zkladntext"/>
        <w:spacing w:before="1"/>
        <w:ind w:left="118"/>
        <w:rPr>
          <w:lang w:val="sk-SK"/>
        </w:rPr>
      </w:pPr>
      <w:r>
        <w:rPr>
          <w:lang w:val="sk-SK"/>
        </w:rPr>
        <w:t>Posaconazole Sandoz</w:t>
      </w:r>
      <w:r w:rsidR="008544CA">
        <w:rPr>
          <w:lang w:val="sk-SK"/>
        </w:rPr>
        <w:t xml:space="preserve"> </w:t>
      </w:r>
      <w:r w:rsidR="005E107F">
        <w:rPr>
          <w:lang w:val="sk-SK"/>
        </w:rPr>
        <w:t>je</w:t>
      </w:r>
      <w:r w:rsidR="00F132B6" w:rsidRPr="00507E09">
        <w:rPr>
          <w:lang w:val="sk-SK"/>
        </w:rPr>
        <w:t xml:space="preserve"> tiež indikovan</w:t>
      </w:r>
      <w:r w:rsidR="005E107F">
        <w:rPr>
          <w:lang w:val="sk-SK"/>
        </w:rPr>
        <w:t>ý</w:t>
      </w:r>
      <w:r w:rsidR="00F132B6" w:rsidRPr="00507E09">
        <w:rPr>
          <w:lang w:val="sk-SK"/>
        </w:rPr>
        <w:t xml:space="preserve"> na profylaxiu invazívnych mykotických infekcií u nasledujúcich pacientov:</w:t>
      </w:r>
    </w:p>
    <w:p w14:paraId="0CCAB22C" w14:textId="77777777" w:rsidR="00F132B6" w:rsidRPr="00507E09" w:rsidRDefault="00F132B6" w:rsidP="00E13FB9">
      <w:pPr>
        <w:pStyle w:val="Odsekzoznamu"/>
        <w:numPr>
          <w:ilvl w:val="0"/>
          <w:numId w:val="14"/>
        </w:numPr>
        <w:tabs>
          <w:tab w:val="left" w:pos="684"/>
          <w:tab w:val="left" w:pos="685"/>
        </w:tabs>
        <w:ind w:right="316" w:hanging="566"/>
        <w:rPr>
          <w:lang w:val="sk-SK"/>
        </w:rPr>
      </w:pPr>
      <w:r w:rsidRPr="00507E09">
        <w:rPr>
          <w:lang w:val="sk-SK"/>
        </w:rPr>
        <w:t>pacienti, ktorí dostávajú remisnú indukčnú chemoterapiu pri akútnej myeloblastovej leukémii (</w:t>
      </w:r>
      <w:r w:rsidR="0007786B" w:rsidRPr="00076122">
        <w:t>acute myelogenous leukemia</w:t>
      </w:r>
      <w:r w:rsidR="0007786B">
        <w:t>,</w:t>
      </w:r>
      <w:r w:rsidR="0007786B" w:rsidRPr="00076122">
        <w:t xml:space="preserve"> </w:t>
      </w:r>
      <w:r w:rsidRPr="00507E09">
        <w:rPr>
          <w:lang w:val="sk-SK"/>
        </w:rPr>
        <w:t>AML) alebo myelodysplastických syndrómoch (</w:t>
      </w:r>
      <w:r w:rsidR="0007786B" w:rsidRPr="00076122">
        <w:t>myelodysplastic syndromes</w:t>
      </w:r>
      <w:r w:rsidR="0007786B">
        <w:t>,</w:t>
      </w:r>
      <w:r w:rsidR="0007786B" w:rsidRPr="00076122">
        <w:t xml:space="preserve"> </w:t>
      </w:r>
      <w:r w:rsidRPr="00507E09">
        <w:rPr>
          <w:lang w:val="sk-SK"/>
        </w:rPr>
        <w:t>MDS), u ktorých sa očakáva vývoj dlhotrvajúcej neutropénie a u ktorých je vysoké riziko vzniku invazívnych mykotických infekcií;</w:t>
      </w:r>
    </w:p>
    <w:p w14:paraId="5721F04A" w14:textId="022814C8" w:rsidR="00F132B6" w:rsidRPr="00507E09" w:rsidRDefault="00F132B6" w:rsidP="00E13FB9">
      <w:pPr>
        <w:pStyle w:val="Odsekzoznamu"/>
        <w:numPr>
          <w:ilvl w:val="0"/>
          <w:numId w:val="14"/>
        </w:numPr>
        <w:tabs>
          <w:tab w:val="left" w:pos="684"/>
          <w:tab w:val="left" w:pos="685"/>
        </w:tabs>
        <w:spacing w:before="2"/>
        <w:ind w:right="292" w:hanging="566"/>
        <w:rPr>
          <w:lang w:val="sk-SK"/>
        </w:rPr>
      </w:pPr>
      <w:r w:rsidRPr="00507E09">
        <w:rPr>
          <w:lang w:val="sk-SK"/>
        </w:rPr>
        <w:t>príjemcovia transplantátu hematopoetických kmeňových buniek (hematopoietic stem cell transplant, HSCT), ktorí podstupujú vysokodávkovú imunosupresívnu liečbu pre reakciu transplantátu proti príjemcovi  a u ktorých je vysoké riziko vzniku invazívnych mykotických</w:t>
      </w:r>
      <w:r w:rsidRPr="00507E09">
        <w:rPr>
          <w:spacing w:val="-24"/>
          <w:lang w:val="sk-SK"/>
        </w:rPr>
        <w:t xml:space="preserve"> </w:t>
      </w:r>
      <w:r w:rsidRPr="00507E09">
        <w:rPr>
          <w:lang w:val="sk-SK"/>
        </w:rPr>
        <w:lastRenderedPageBreak/>
        <w:t>infekcií.</w:t>
      </w:r>
    </w:p>
    <w:p w14:paraId="09C5DA12" w14:textId="77777777" w:rsidR="00F132B6" w:rsidRPr="00507E09" w:rsidRDefault="00F132B6" w:rsidP="00E13FB9">
      <w:pPr>
        <w:pStyle w:val="Zkladntext"/>
        <w:ind w:left="118" w:right="143"/>
        <w:rPr>
          <w:lang w:val="sk-SK"/>
        </w:rPr>
      </w:pPr>
      <w:r w:rsidRPr="00507E09">
        <w:rPr>
          <w:lang w:val="sk-SK"/>
        </w:rPr>
        <w:t xml:space="preserve">Pre použitie pri orofaryngeálnej kandidóze si, prosím, pozrite súhrn charakteristických vlastností perorálnej suspenzie </w:t>
      </w:r>
      <w:r w:rsidR="008B3EB1">
        <w:rPr>
          <w:lang w:val="sk-SK"/>
        </w:rPr>
        <w:t>posakonazolu</w:t>
      </w:r>
      <w:r w:rsidRPr="00507E09">
        <w:rPr>
          <w:lang w:val="sk-SK"/>
        </w:rPr>
        <w:t>.</w:t>
      </w:r>
    </w:p>
    <w:p w14:paraId="064B98EB" w14:textId="77777777" w:rsidR="00F132B6" w:rsidRPr="00507E09" w:rsidRDefault="00F132B6" w:rsidP="00C24721">
      <w:pPr>
        <w:pStyle w:val="Zkladntext"/>
        <w:spacing w:before="4"/>
        <w:rPr>
          <w:lang w:val="sk-SK"/>
        </w:rPr>
      </w:pPr>
    </w:p>
    <w:p w14:paraId="1D362193" w14:textId="77777777" w:rsidR="00F132B6" w:rsidRPr="00507E09" w:rsidRDefault="00F132B6" w:rsidP="00C24721">
      <w:pPr>
        <w:pStyle w:val="Nadpis1"/>
        <w:numPr>
          <w:ilvl w:val="1"/>
          <w:numId w:val="12"/>
        </w:numPr>
        <w:tabs>
          <w:tab w:val="left" w:pos="684"/>
          <w:tab w:val="left" w:pos="685"/>
        </w:tabs>
        <w:ind w:hanging="566"/>
        <w:rPr>
          <w:lang w:val="sk-SK"/>
        </w:rPr>
      </w:pPr>
      <w:r w:rsidRPr="00507E09">
        <w:rPr>
          <w:lang w:val="sk-SK"/>
        </w:rPr>
        <w:t>Dávkovanie a spôsob</w:t>
      </w:r>
      <w:r w:rsidRPr="00507E09">
        <w:rPr>
          <w:spacing w:val="-14"/>
          <w:lang w:val="sk-SK"/>
        </w:rPr>
        <w:t xml:space="preserve"> </w:t>
      </w:r>
      <w:r w:rsidRPr="00507E09">
        <w:rPr>
          <w:lang w:val="sk-SK"/>
        </w:rPr>
        <w:t>podávania</w:t>
      </w:r>
    </w:p>
    <w:p w14:paraId="40B2D2B4" w14:textId="77777777" w:rsidR="00F132B6" w:rsidRPr="00507E09" w:rsidRDefault="00F132B6" w:rsidP="00474F1E">
      <w:pPr>
        <w:pStyle w:val="Zkladntext"/>
        <w:spacing w:before="11"/>
        <w:rPr>
          <w:b/>
          <w:sz w:val="21"/>
          <w:lang w:val="sk-SK"/>
        </w:rPr>
      </w:pPr>
    </w:p>
    <w:p w14:paraId="274A161D" w14:textId="77777777" w:rsidR="00F132B6" w:rsidRPr="00507E09" w:rsidRDefault="00F132B6">
      <w:pPr>
        <w:ind w:left="118"/>
        <w:rPr>
          <w:b/>
          <w:lang w:val="sk-SK"/>
        </w:rPr>
      </w:pPr>
      <w:r w:rsidRPr="00507E09">
        <w:rPr>
          <w:b/>
          <w:lang w:val="sk-SK"/>
        </w:rPr>
        <w:t xml:space="preserve">Nezameniteľnosť medzi tabletami </w:t>
      </w:r>
      <w:r w:rsidR="008B3EB1">
        <w:rPr>
          <w:b/>
          <w:lang w:val="sk-SK"/>
        </w:rPr>
        <w:t>posakonazolu</w:t>
      </w:r>
      <w:r w:rsidRPr="00507E09">
        <w:rPr>
          <w:b/>
          <w:lang w:val="sk-SK"/>
        </w:rPr>
        <w:t xml:space="preserve"> a perorálnou suspenziou </w:t>
      </w:r>
      <w:r w:rsidR="008B3EB1">
        <w:rPr>
          <w:b/>
          <w:lang w:val="sk-SK"/>
        </w:rPr>
        <w:t>posakonazolu</w:t>
      </w:r>
    </w:p>
    <w:p w14:paraId="603F1E64" w14:textId="77777777" w:rsidR="00F132B6" w:rsidRPr="00507E09" w:rsidRDefault="00F132B6">
      <w:pPr>
        <w:pStyle w:val="Zkladntext"/>
        <w:spacing w:before="6"/>
        <w:rPr>
          <w:b/>
          <w:sz w:val="21"/>
          <w:lang w:val="sk-SK"/>
        </w:rPr>
      </w:pPr>
    </w:p>
    <w:p w14:paraId="707DC395" w14:textId="56B20137" w:rsidR="00EF78C7" w:rsidRDefault="00F132B6">
      <w:pPr>
        <w:pStyle w:val="Zkladntext"/>
        <w:spacing w:before="1"/>
        <w:ind w:left="118" w:right="445"/>
        <w:rPr>
          <w:lang w:val="sk-SK"/>
        </w:rPr>
      </w:pPr>
      <w:r w:rsidRPr="00507E09">
        <w:rPr>
          <w:lang w:val="sk-SK"/>
        </w:rPr>
        <w:t>Vzhľadom na rozdiely medzi týmito dvom</w:t>
      </w:r>
      <w:r w:rsidR="00074FE1">
        <w:rPr>
          <w:lang w:val="sk-SK"/>
        </w:rPr>
        <w:t>i</w:t>
      </w:r>
      <w:r w:rsidRPr="00507E09">
        <w:rPr>
          <w:lang w:val="sk-SK"/>
        </w:rPr>
        <w:t xml:space="preserve"> liekovými formami vo frekvencii dávkovania, užívaní s jedlom a dosiahnutej plazmatickej koncentrácii liečiva sa tableta a perorálna suspenzia nemajú zamieňať. Riaďte sa preto špecifickými odporúčaniami na dávkovanie pre každú liekovú formu.</w:t>
      </w:r>
    </w:p>
    <w:p w14:paraId="23C5227E" w14:textId="77777777" w:rsidR="00EF78C7" w:rsidRDefault="00EF78C7">
      <w:pPr>
        <w:pStyle w:val="Zkladntext"/>
        <w:spacing w:before="1"/>
        <w:ind w:left="118" w:right="445"/>
        <w:rPr>
          <w:lang w:val="sk-SK"/>
        </w:rPr>
      </w:pPr>
    </w:p>
    <w:p w14:paraId="5CC8FCE2" w14:textId="77777777" w:rsidR="00F132B6" w:rsidRPr="00507E09" w:rsidRDefault="00F132B6">
      <w:pPr>
        <w:pStyle w:val="Zkladntext"/>
        <w:spacing w:before="1"/>
        <w:ind w:left="118" w:right="445"/>
        <w:rPr>
          <w:lang w:val="sk-SK"/>
        </w:rPr>
      </w:pPr>
      <w:r w:rsidRPr="00507E09">
        <w:rPr>
          <w:lang w:val="sk-SK"/>
        </w:rPr>
        <w:t>Liečbu má začať lekár so skúsenosťami v liečbe mykotických infekcií alebo v podpornej liečbe vysokorizikových pacientov, u ktorých je posakonazol indikovaný ako profylaxia.</w:t>
      </w:r>
    </w:p>
    <w:p w14:paraId="259A6463" w14:textId="77777777" w:rsidR="00F132B6" w:rsidRPr="00507E09" w:rsidRDefault="00F132B6">
      <w:pPr>
        <w:pStyle w:val="Zkladntext"/>
        <w:rPr>
          <w:lang w:val="sk-SK"/>
        </w:rPr>
      </w:pPr>
    </w:p>
    <w:p w14:paraId="2F09EE3A" w14:textId="77777777" w:rsidR="00F132B6" w:rsidRDefault="00F132B6">
      <w:pPr>
        <w:pStyle w:val="Zkladntext"/>
        <w:ind w:left="142"/>
        <w:rPr>
          <w:u w:val="single"/>
          <w:lang w:val="sk-SK"/>
        </w:rPr>
      </w:pPr>
      <w:r w:rsidRPr="00507E09">
        <w:rPr>
          <w:u w:val="single"/>
          <w:lang w:val="sk-SK"/>
        </w:rPr>
        <w:t>Dávkovanie</w:t>
      </w:r>
    </w:p>
    <w:p w14:paraId="2B04ECC1" w14:textId="77777777" w:rsidR="006E5F0B" w:rsidRPr="00507E09" w:rsidRDefault="006E5F0B">
      <w:pPr>
        <w:pStyle w:val="Zkladntext"/>
        <w:ind w:left="142"/>
        <w:rPr>
          <w:lang w:val="sk-SK"/>
        </w:rPr>
      </w:pPr>
    </w:p>
    <w:p w14:paraId="76FB7F1A" w14:textId="77777777" w:rsidR="00F132B6" w:rsidRPr="00507E09" w:rsidRDefault="006E5F0B">
      <w:pPr>
        <w:pStyle w:val="Zkladntext"/>
        <w:spacing w:before="1"/>
        <w:ind w:left="142" w:right="304"/>
        <w:rPr>
          <w:lang w:val="sk-SK"/>
        </w:rPr>
      </w:pPr>
      <w:r>
        <w:rPr>
          <w:lang w:val="sk-SK"/>
        </w:rPr>
        <w:t>Posakonazol j</w:t>
      </w:r>
      <w:r w:rsidR="00F132B6" w:rsidRPr="00507E09">
        <w:rPr>
          <w:lang w:val="sk-SK"/>
        </w:rPr>
        <w:t xml:space="preserve">e tiež dostupný vo forme perorálnej suspenzie s koncentráciou 40 mg/ml a 300 mg infúzneho koncentrátu. </w:t>
      </w:r>
      <w:r>
        <w:rPr>
          <w:lang w:val="sk-SK"/>
        </w:rPr>
        <w:t>T</w:t>
      </w:r>
      <w:r w:rsidR="00F132B6" w:rsidRPr="00507E09">
        <w:rPr>
          <w:lang w:val="sk-SK"/>
        </w:rPr>
        <w:t xml:space="preserve">ablety </w:t>
      </w:r>
      <w:r>
        <w:rPr>
          <w:lang w:val="sk-SK"/>
        </w:rPr>
        <w:t xml:space="preserve">posakonazolu </w:t>
      </w:r>
      <w:r w:rsidR="00F132B6" w:rsidRPr="00507E09">
        <w:rPr>
          <w:lang w:val="sk-SK"/>
        </w:rPr>
        <w:t>sú uprednostňovanou liekovou formu na optimalizáciu plazmatických koncentrácií a vo všeobecnosti poskytujú vyšš</w:t>
      </w:r>
      <w:r>
        <w:rPr>
          <w:lang w:val="sk-SK"/>
        </w:rPr>
        <w:t>ie plazmatické expozície liečiva</w:t>
      </w:r>
      <w:r w:rsidR="00F132B6" w:rsidRPr="00507E09">
        <w:rPr>
          <w:lang w:val="sk-SK"/>
        </w:rPr>
        <w:t xml:space="preserve"> ako </w:t>
      </w:r>
      <w:r>
        <w:rPr>
          <w:lang w:val="sk-SK"/>
        </w:rPr>
        <w:t xml:space="preserve">posakonazol </w:t>
      </w:r>
      <w:r w:rsidR="00F132B6" w:rsidRPr="00507E09">
        <w:rPr>
          <w:lang w:val="sk-SK"/>
        </w:rPr>
        <w:t>perorálna suspenzia.</w:t>
      </w:r>
    </w:p>
    <w:p w14:paraId="2948043B" w14:textId="77777777" w:rsidR="00F132B6" w:rsidRPr="00507E09" w:rsidRDefault="00F132B6">
      <w:pPr>
        <w:pStyle w:val="Zkladntext"/>
        <w:ind w:left="142"/>
        <w:rPr>
          <w:lang w:val="sk-SK"/>
        </w:rPr>
      </w:pPr>
    </w:p>
    <w:p w14:paraId="4AD7019B" w14:textId="77777777" w:rsidR="00F132B6" w:rsidRPr="00507E09" w:rsidRDefault="00F132B6">
      <w:pPr>
        <w:pStyle w:val="Zkladntext"/>
        <w:ind w:left="142"/>
        <w:rPr>
          <w:lang w:val="sk-SK"/>
        </w:rPr>
      </w:pPr>
      <w:r w:rsidRPr="00507E09">
        <w:rPr>
          <w:lang w:val="sk-SK"/>
        </w:rPr>
        <w:t>Odporúčaná dávka je uvedená v tabuľke 1.</w:t>
      </w:r>
    </w:p>
    <w:p w14:paraId="35657DA9" w14:textId="77777777" w:rsidR="00F132B6" w:rsidRPr="00507E09" w:rsidRDefault="00F132B6">
      <w:pPr>
        <w:pStyle w:val="Zkladntext"/>
        <w:spacing w:before="9"/>
        <w:rPr>
          <w:sz w:val="21"/>
          <w:lang w:val="sk-SK"/>
        </w:rPr>
      </w:pPr>
    </w:p>
    <w:p w14:paraId="11929AE2" w14:textId="77777777" w:rsidR="00F132B6" w:rsidRPr="00507E09" w:rsidRDefault="00F132B6">
      <w:pPr>
        <w:spacing w:after="8"/>
        <w:ind w:left="218"/>
        <w:rPr>
          <w:lang w:val="sk-SK"/>
        </w:rPr>
      </w:pPr>
      <w:r w:rsidRPr="00507E09">
        <w:rPr>
          <w:b/>
          <w:lang w:val="sk-SK"/>
        </w:rPr>
        <w:t xml:space="preserve">Tabuľka 1. </w:t>
      </w:r>
      <w:r w:rsidRPr="00507E09">
        <w:rPr>
          <w:lang w:val="sk-SK"/>
        </w:rPr>
        <w:t>Odporúčaná dávka podľa indikácie</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6190"/>
      </w:tblGrid>
      <w:tr w:rsidR="00F132B6" w:rsidRPr="00507E09" w14:paraId="13E74290" w14:textId="77777777" w:rsidTr="009700BD">
        <w:trPr>
          <w:trHeight w:hRule="exact" w:val="516"/>
        </w:trPr>
        <w:tc>
          <w:tcPr>
            <w:tcW w:w="3096" w:type="dxa"/>
          </w:tcPr>
          <w:p w14:paraId="404C8573" w14:textId="77777777" w:rsidR="00F132B6" w:rsidRPr="00507E09" w:rsidRDefault="00F132B6" w:rsidP="00E13FB9">
            <w:pPr>
              <w:pStyle w:val="TableParagraph"/>
              <w:spacing w:line="252" w:lineRule="exact"/>
              <w:ind w:left="1077" w:right="1075"/>
              <w:rPr>
                <w:b/>
                <w:lang w:val="sk-SK"/>
              </w:rPr>
            </w:pPr>
            <w:r w:rsidRPr="00507E09">
              <w:rPr>
                <w:b/>
                <w:lang w:val="sk-SK"/>
              </w:rPr>
              <w:t>Indikácia</w:t>
            </w:r>
          </w:p>
        </w:tc>
        <w:tc>
          <w:tcPr>
            <w:tcW w:w="6190" w:type="dxa"/>
          </w:tcPr>
          <w:p w14:paraId="52A87334" w14:textId="77777777" w:rsidR="00F132B6" w:rsidRPr="00507E09" w:rsidRDefault="00F132B6" w:rsidP="00E13FB9">
            <w:pPr>
              <w:pStyle w:val="TableParagraph"/>
              <w:spacing w:line="249" w:lineRule="exact"/>
              <w:ind w:left="2015" w:right="2015"/>
              <w:rPr>
                <w:b/>
                <w:lang w:val="sk-SK"/>
              </w:rPr>
            </w:pPr>
            <w:r w:rsidRPr="00507E09">
              <w:rPr>
                <w:b/>
                <w:lang w:val="sk-SK"/>
              </w:rPr>
              <w:t>Dávka a trvanie liečby</w:t>
            </w:r>
          </w:p>
          <w:p w14:paraId="23587758" w14:textId="77777777" w:rsidR="00F132B6" w:rsidRPr="00507E09" w:rsidRDefault="00F132B6" w:rsidP="00E13FB9">
            <w:pPr>
              <w:pStyle w:val="TableParagraph"/>
              <w:spacing w:line="250" w:lineRule="exact"/>
              <w:ind w:left="2014" w:right="2015"/>
              <w:rPr>
                <w:lang w:val="sk-SK"/>
              </w:rPr>
            </w:pPr>
            <w:r w:rsidRPr="00507E09">
              <w:rPr>
                <w:lang w:val="sk-SK"/>
              </w:rPr>
              <w:t>(pozri časť 5.2)</w:t>
            </w:r>
          </w:p>
        </w:tc>
      </w:tr>
      <w:tr w:rsidR="00F132B6" w:rsidRPr="00507E09" w14:paraId="6F1EE58F" w14:textId="77777777" w:rsidTr="00E13FB9">
        <w:trPr>
          <w:trHeight w:hRule="exact" w:val="1583"/>
        </w:trPr>
        <w:tc>
          <w:tcPr>
            <w:tcW w:w="3096" w:type="dxa"/>
          </w:tcPr>
          <w:p w14:paraId="29F14EC1" w14:textId="05E57C8B" w:rsidR="00F132B6" w:rsidRPr="00507E09" w:rsidRDefault="00F132B6" w:rsidP="00B109FD">
            <w:pPr>
              <w:pStyle w:val="TableParagraph"/>
              <w:ind w:left="103" w:right="217"/>
              <w:rPr>
                <w:lang w:val="sk-SK"/>
              </w:rPr>
            </w:pPr>
            <w:r w:rsidRPr="00507E09">
              <w:rPr>
                <w:lang w:val="sk-SK"/>
              </w:rPr>
              <w:t>Refraktérne invazívne mykotické infekcie (invasive fungal infections, IFI)/pacienti s IFI s ne</w:t>
            </w:r>
            <w:r w:rsidR="00B109FD">
              <w:rPr>
                <w:lang w:val="sk-SK"/>
              </w:rPr>
              <w:t>toleranciou</w:t>
            </w:r>
            <w:r w:rsidRPr="00507E09">
              <w:rPr>
                <w:lang w:val="sk-SK"/>
              </w:rPr>
              <w:t xml:space="preserve"> liečby prvej línie</w:t>
            </w:r>
          </w:p>
        </w:tc>
        <w:tc>
          <w:tcPr>
            <w:tcW w:w="6190" w:type="dxa"/>
          </w:tcPr>
          <w:p w14:paraId="2966FDAF" w14:textId="4FE797A5" w:rsidR="00F132B6" w:rsidRPr="00507E09" w:rsidRDefault="00547950" w:rsidP="00B109FD">
            <w:pPr>
              <w:pStyle w:val="TableParagraph"/>
              <w:ind w:left="103" w:right="222"/>
              <w:rPr>
                <w:lang w:val="sk-SK"/>
              </w:rPr>
            </w:pPr>
            <w:r>
              <w:rPr>
                <w:lang w:val="sk-SK"/>
              </w:rPr>
              <w:t>Nasycovacia</w:t>
            </w:r>
            <w:r w:rsidR="00F132B6" w:rsidRPr="00507E09">
              <w:rPr>
                <w:lang w:val="sk-SK"/>
              </w:rPr>
              <w:t xml:space="preserve"> dávka 300 mg (tri 100 mg tablety) dvakrát denne v prvý deň, následne 300 mg (tri 100 mg tablety) jedenkrát denne. Každá dávka sa môže užívať bez ohľadu na príjem jedla. Trvanie liečby má byť založené na závažnosti základného ochorenia, zotavovaní sa z imunosupresie a klinickej odpovedi.</w:t>
            </w:r>
          </w:p>
        </w:tc>
      </w:tr>
      <w:tr w:rsidR="00F132B6" w:rsidRPr="00507E09" w14:paraId="0B14D996" w14:textId="77777777" w:rsidTr="00E13FB9">
        <w:trPr>
          <w:trHeight w:hRule="exact" w:val="2683"/>
        </w:trPr>
        <w:tc>
          <w:tcPr>
            <w:tcW w:w="3096" w:type="dxa"/>
          </w:tcPr>
          <w:p w14:paraId="0F5987A1" w14:textId="77777777" w:rsidR="00F132B6" w:rsidRPr="00507E09" w:rsidRDefault="00F132B6" w:rsidP="009258AC">
            <w:pPr>
              <w:pStyle w:val="TableParagraph"/>
              <w:spacing w:line="242" w:lineRule="auto"/>
              <w:ind w:left="103" w:right="916"/>
              <w:rPr>
                <w:lang w:val="sk-SK"/>
              </w:rPr>
            </w:pPr>
            <w:r w:rsidRPr="00507E09">
              <w:rPr>
                <w:lang w:val="sk-SK"/>
              </w:rPr>
              <w:t>Profylaxia invazívnych mykotických infekcií</w:t>
            </w:r>
          </w:p>
        </w:tc>
        <w:tc>
          <w:tcPr>
            <w:tcW w:w="6190" w:type="dxa"/>
          </w:tcPr>
          <w:p w14:paraId="78B4D585" w14:textId="02B162CC" w:rsidR="00F132B6" w:rsidRPr="00507E09" w:rsidRDefault="00736A50" w:rsidP="00736A50">
            <w:pPr>
              <w:pStyle w:val="TableParagraph"/>
              <w:ind w:left="103" w:right="119"/>
              <w:rPr>
                <w:lang w:val="sk-SK"/>
              </w:rPr>
            </w:pPr>
            <w:r>
              <w:rPr>
                <w:lang w:val="sk-SK"/>
              </w:rPr>
              <w:t>Nasycovacia</w:t>
            </w:r>
            <w:r w:rsidR="00F132B6" w:rsidRPr="00507E09">
              <w:rPr>
                <w:lang w:val="sk-SK"/>
              </w:rPr>
              <w:t xml:space="preserve"> dávka 300 mg (tri 100 mg tablety) dvakrát denne v prvý deň, následne 300 mg (tri 100 mg tablety) jedenkrát denne. Každá dávka sa môže užívať bez ohľadu na príjem jedla. Trvanie liečby je založené na zotavovaní sa z neutropénie alebo imunosupresie.</w:t>
            </w:r>
          </w:p>
          <w:p w14:paraId="4C704BB2" w14:textId="49C09752" w:rsidR="00F132B6" w:rsidRPr="00507E09" w:rsidRDefault="00F132B6" w:rsidP="00736A50">
            <w:pPr>
              <w:pStyle w:val="TableParagraph"/>
              <w:spacing w:before="7"/>
              <w:ind w:left="103" w:right="227"/>
              <w:rPr>
                <w:lang w:val="sk-SK"/>
              </w:rPr>
            </w:pPr>
            <w:r w:rsidRPr="00507E09">
              <w:rPr>
                <w:lang w:val="sk-SK"/>
              </w:rPr>
              <w:t xml:space="preserve">U pacientov s akútnou myeloblastovou leukémiou alebo myelodysplastickými syndrómami sa má s profylaxiou </w:t>
            </w:r>
            <w:r w:rsidR="009859C1">
              <w:rPr>
                <w:lang w:val="sk-SK"/>
              </w:rPr>
              <w:t>posa</w:t>
            </w:r>
            <w:r w:rsidR="004638C4">
              <w:rPr>
                <w:lang w:val="sk-SK"/>
              </w:rPr>
              <w:t>k</w:t>
            </w:r>
            <w:r w:rsidR="009859C1">
              <w:rPr>
                <w:lang w:val="sk-SK"/>
              </w:rPr>
              <w:t xml:space="preserve">onazolom </w:t>
            </w:r>
            <w:r w:rsidRPr="00507E09">
              <w:rPr>
                <w:lang w:val="sk-SK"/>
              </w:rPr>
              <w:t>začať niekoľko dní pred očakávaným nástupom neutropénie</w:t>
            </w:r>
            <w:r w:rsidR="009859C1">
              <w:rPr>
                <w:lang w:val="sk-SK"/>
              </w:rPr>
              <w:t xml:space="preserve"> </w:t>
            </w:r>
            <w:r w:rsidRPr="00507E09">
              <w:rPr>
                <w:lang w:val="sk-SK"/>
              </w:rPr>
              <w:t>a pokračovať v nej ešte 7 dní po tom, ako počet neutrofilov stúpne nad 500 buniek na mm</w:t>
            </w:r>
            <w:r w:rsidRPr="00E13FB9">
              <w:rPr>
                <w:vertAlign w:val="superscript"/>
                <w:lang w:val="sk-SK"/>
              </w:rPr>
              <w:t>3</w:t>
            </w:r>
            <w:r w:rsidRPr="00507E09">
              <w:rPr>
                <w:lang w:val="sk-SK"/>
              </w:rPr>
              <w:t>.</w:t>
            </w:r>
          </w:p>
        </w:tc>
      </w:tr>
    </w:tbl>
    <w:p w14:paraId="39EC14E0" w14:textId="77777777" w:rsidR="00F132B6" w:rsidRPr="00507E09" w:rsidRDefault="00F132B6" w:rsidP="009258AC">
      <w:pPr>
        <w:pStyle w:val="Zkladntext"/>
        <w:spacing w:before="4"/>
        <w:rPr>
          <w:sz w:val="21"/>
          <w:lang w:val="sk-SK"/>
        </w:rPr>
      </w:pPr>
    </w:p>
    <w:p w14:paraId="30E9B6DC" w14:textId="15240167" w:rsidR="00F132B6" w:rsidRPr="00507E09" w:rsidRDefault="00F132B6" w:rsidP="0025760D">
      <w:pPr>
        <w:pStyle w:val="Zkladntext"/>
        <w:ind w:left="218"/>
        <w:rPr>
          <w:lang w:val="sk-SK"/>
        </w:rPr>
      </w:pPr>
      <w:r w:rsidRPr="00507E09">
        <w:rPr>
          <w:u w:val="single"/>
          <w:lang w:val="sk-SK"/>
        </w:rPr>
        <w:t xml:space="preserve">Osobitné </w:t>
      </w:r>
      <w:r w:rsidR="001048F5">
        <w:rPr>
          <w:u w:val="single"/>
          <w:lang w:val="sk-SK"/>
        </w:rPr>
        <w:t>populácie</w:t>
      </w:r>
    </w:p>
    <w:p w14:paraId="1118D577" w14:textId="77777777" w:rsidR="00F132B6" w:rsidRPr="00507E09" w:rsidRDefault="00F132B6" w:rsidP="00474F1E">
      <w:pPr>
        <w:pStyle w:val="Zkladntext"/>
        <w:rPr>
          <w:sz w:val="14"/>
          <w:lang w:val="sk-SK"/>
        </w:rPr>
      </w:pPr>
    </w:p>
    <w:p w14:paraId="00C1EAE9" w14:textId="77777777" w:rsidR="00F132B6" w:rsidRPr="00507E09" w:rsidRDefault="00F132B6">
      <w:pPr>
        <w:spacing w:before="92"/>
        <w:ind w:left="218"/>
        <w:rPr>
          <w:i/>
          <w:lang w:val="sk-SK"/>
        </w:rPr>
      </w:pPr>
      <w:r w:rsidRPr="00507E09">
        <w:rPr>
          <w:i/>
          <w:lang w:val="sk-SK"/>
        </w:rPr>
        <w:t>Porucha funkcie obličiek</w:t>
      </w:r>
    </w:p>
    <w:p w14:paraId="2A5D945C" w14:textId="77777777" w:rsidR="00F132B6" w:rsidRPr="00507E09" w:rsidRDefault="00F132B6">
      <w:pPr>
        <w:pStyle w:val="Zkladntext"/>
        <w:spacing w:before="1"/>
        <w:ind w:left="218" w:right="421"/>
        <w:rPr>
          <w:lang w:val="sk-SK"/>
        </w:rPr>
      </w:pPr>
      <w:r w:rsidRPr="00507E09">
        <w:rPr>
          <w:lang w:val="sk-SK"/>
        </w:rPr>
        <w:t>Pri poruche funkcie obličiek sa neočakáva ovplyvnenie farmakokinetiky posakonazolu a neodporúča sa žiadna úprava dávky (pozri časť 5.2).</w:t>
      </w:r>
    </w:p>
    <w:p w14:paraId="63114B3D" w14:textId="77777777" w:rsidR="00F132B6" w:rsidRPr="00507E09" w:rsidRDefault="00F132B6">
      <w:pPr>
        <w:pStyle w:val="Zkladntext"/>
        <w:rPr>
          <w:lang w:val="sk-SK"/>
        </w:rPr>
      </w:pPr>
    </w:p>
    <w:p w14:paraId="298042E2" w14:textId="77777777" w:rsidR="00F132B6" w:rsidRPr="00507E09" w:rsidRDefault="00F132B6">
      <w:pPr>
        <w:spacing w:line="252" w:lineRule="exact"/>
        <w:ind w:left="218"/>
        <w:rPr>
          <w:i/>
          <w:lang w:val="sk-SK"/>
        </w:rPr>
      </w:pPr>
      <w:r w:rsidRPr="00507E09">
        <w:rPr>
          <w:i/>
          <w:lang w:val="sk-SK"/>
        </w:rPr>
        <w:t>Porucha funkcie pečene</w:t>
      </w:r>
    </w:p>
    <w:p w14:paraId="3892A07C" w14:textId="77777777" w:rsidR="00F132B6" w:rsidRPr="00507E09" w:rsidRDefault="00F132B6">
      <w:pPr>
        <w:pStyle w:val="Zkladntext"/>
        <w:ind w:left="218" w:right="354"/>
        <w:rPr>
          <w:lang w:val="sk-SK"/>
        </w:rPr>
      </w:pPr>
      <w:r w:rsidRPr="00507E09">
        <w:rPr>
          <w:lang w:val="sk-SK"/>
        </w:rPr>
        <w:t xml:space="preserve">Obmedzené údaje o vplyve poruchy funkcie pečene (vrátane triedy C klasifikácie chronického </w:t>
      </w:r>
      <w:r w:rsidRPr="00507E09">
        <w:rPr>
          <w:lang w:val="sk-SK"/>
        </w:rPr>
        <w:lastRenderedPageBreak/>
        <w:t>ochorenia pečene podľa Childa-Pugha) na farmakokinetiku posakonazolu poukazujú na zvýšenú plazmatickú expozíciu v porovnaní s osobami s normálnou funkciou pečene, ale nenaznačujú potrebu úpravy dávky (pozri časti 4.4 a 5.2). Z dôvodu možnej vyššej plazmatickej expozície sa odporúča opatrnosť.</w:t>
      </w:r>
    </w:p>
    <w:p w14:paraId="6C237A5A" w14:textId="77777777" w:rsidR="00F132B6" w:rsidRPr="00507E09" w:rsidRDefault="00F132B6">
      <w:pPr>
        <w:pStyle w:val="Zkladntext"/>
        <w:spacing w:before="1"/>
        <w:rPr>
          <w:lang w:val="sk-SK"/>
        </w:rPr>
      </w:pPr>
    </w:p>
    <w:p w14:paraId="2819CF93" w14:textId="77777777" w:rsidR="00F132B6" w:rsidRPr="00507E09" w:rsidRDefault="00F132B6">
      <w:pPr>
        <w:spacing w:line="252" w:lineRule="exact"/>
        <w:ind w:left="218"/>
        <w:rPr>
          <w:i/>
          <w:lang w:val="sk-SK"/>
        </w:rPr>
      </w:pPr>
      <w:r w:rsidRPr="00507E09">
        <w:rPr>
          <w:i/>
          <w:lang w:val="sk-SK"/>
        </w:rPr>
        <w:t>Pediatrická populácia</w:t>
      </w:r>
    </w:p>
    <w:p w14:paraId="013CFE11" w14:textId="77777777" w:rsidR="00F132B6" w:rsidRDefault="00F132B6">
      <w:pPr>
        <w:pStyle w:val="Zkladntext"/>
        <w:ind w:left="218" w:right="354"/>
        <w:rPr>
          <w:lang w:val="sk-SK"/>
        </w:rPr>
      </w:pPr>
      <w:r w:rsidRPr="00507E09">
        <w:rPr>
          <w:lang w:val="sk-SK"/>
        </w:rPr>
        <w:t xml:space="preserve">Bezpečnosť a účinnosť </w:t>
      </w:r>
      <w:r w:rsidR="009A01AD">
        <w:rPr>
          <w:lang w:val="sk-SK"/>
        </w:rPr>
        <w:t xml:space="preserve">posakonazolu </w:t>
      </w:r>
      <w:r w:rsidRPr="00507E09">
        <w:rPr>
          <w:lang w:val="sk-SK"/>
        </w:rPr>
        <w:t>u detí vo veku menej ako 18 rokov neboli stanovené. V súčasnosti dostupné údaje sú opísané v častiach 5.1 a 5.2, ale neumožňujú uviesť odporúčania na dávkovanie.</w:t>
      </w:r>
    </w:p>
    <w:p w14:paraId="1BEB867A" w14:textId="77777777" w:rsidR="009A01AD" w:rsidRPr="00507E09" w:rsidRDefault="009A01AD">
      <w:pPr>
        <w:pStyle w:val="Zkladntext"/>
        <w:ind w:left="218" w:right="538"/>
        <w:rPr>
          <w:lang w:val="sk-SK"/>
        </w:rPr>
      </w:pPr>
    </w:p>
    <w:p w14:paraId="3592C7EB" w14:textId="77777777" w:rsidR="009A01AD" w:rsidRDefault="00F132B6">
      <w:pPr>
        <w:pStyle w:val="Zkladntext"/>
        <w:ind w:left="218" w:right="354"/>
        <w:rPr>
          <w:lang w:val="sk-SK"/>
        </w:rPr>
      </w:pPr>
      <w:r w:rsidRPr="00507E09">
        <w:rPr>
          <w:lang w:val="sk-SK"/>
        </w:rPr>
        <w:t xml:space="preserve">Pre liekovú formu tablety nie sú k dispozícii žiadne údaje. </w:t>
      </w:r>
    </w:p>
    <w:p w14:paraId="5B0C604B" w14:textId="77777777" w:rsidR="009A01AD" w:rsidRDefault="009A01AD">
      <w:pPr>
        <w:pStyle w:val="Zkladntext"/>
        <w:ind w:left="218" w:right="538"/>
        <w:rPr>
          <w:lang w:val="sk-SK"/>
        </w:rPr>
      </w:pPr>
    </w:p>
    <w:p w14:paraId="04D6FE35" w14:textId="77777777" w:rsidR="00F132B6" w:rsidRPr="009A01AD" w:rsidRDefault="00F132B6">
      <w:pPr>
        <w:pStyle w:val="Zkladntext"/>
        <w:spacing w:before="1"/>
        <w:ind w:left="218" w:right="421"/>
        <w:rPr>
          <w:u w:val="single"/>
          <w:lang w:val="sk-SK"/>
        </w:rPr>
      </w:pPr>
      <w:r w:rsidRPr="009A01AD">
        <w:rPr>
          <w:u w:val="single"/>
          <w:lang w:val="sk-SK"/>
        </w:rPr>
        <w:t>Spôsob podávania</w:t>
      </w:r>
    </w:p>
    <w:p w14:paraId="46E2EC61" w14:textId="77777777" w:rsidR="00F132B6" w:rsidRPr="00507E09" w:rsidRDefault="00F132B6">
      <w:pPr>
        <w:pStyle w:val="Zkladntext"/>
        <w:spacing w:before="1"/>
        <w:ind w:left="218" w:right="421"/>
        <w:rPr>
          <w:lang w:val="sk-SK"/>
        </w:rPr>
      </w:pPr>
      <w:r w:rsidRPr="00507E09">
        <w:rPr>
          <w:lang w:val="sk-SK"/>
        </w:rPr>
        <w:t>Na perorálne použitie.</w:t>
      </w:r>
    </w:p>
    <w:p w14:paraId="0A9316C4" w14:textId="77777777" w:rsidR="00F132B6" w:rsidRPr="00507E09" w:rsidRDefault="00F132B6">
      <w:pPr>
        <w:pStyle w:val="Zkladntext"/>
        <w:spacing w:before="9"/>
        <w:rPr>
          <w:sz w:val="21"/>
          <w:lang w:val="sk-SK"/>
        </w:rPr>
      </w:pPr>
    </w:p>
    <w:p w14:paraId="47DD024B" w14:textId="7C7A0A04" w:rsidR="009A01AD" w:rsidRDefault="009A01AD">
      <w:pPr>
        <w:pStyle w:val="Zkladntext"/>
        <w:ind w:left="142" w:right="398"/>
        <w:rPr>
          <w:lang w:val="sk-SK"/>
        </w:rPr>
      </w:pPr>
      <w:r>
        <w:rPr>
          <w:lang w:val="sk-SK"/>
        </w:rPr>
        <w:t>G</w:t>
      </w:r>
      <w:r w:rsidR="00F132B6" w:rsidRPr="00507E09">
        <w:rPr>
          <w:lang w:val="sk-SK"/>
        </w:rPr>
        <w:t xml:space="preserve">astrorezistentné tablety sa môžu užívať s jedlom alebo bez jedla (pozri časť 5.2). Tablety sa majú prehltnúť vcelku a zapiť vodou a nemajú sa drviť, žuvať ani </w:t>
      </w:r>
      <w:r w:rsidR="001048F5">
        <w:rPr>
          <w:lang w:val="sk-SK"/>
        </w:rPr>
        <w:t>lámať.</w:t>
      </w:r>
    </w:p>
    <w:p w14:paraId="04ADCDB8" w14:textId="77777777" w:rsidR="00DC34D0" w:rsidRDefault="00DC34D0">
      <w:pPr>
        <w:pStyle w:val="Zkladntext"/>
        <w:ind w:left="218" w:right="398"/>
        <w:rPr>
          <w:lang w:val="sk-SK"/>
        </w:rPr>
      </w:pPr>
    </w:p>
    <w:p w14:paraId="1AB9B07C"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Kontraindikácie</w:t>
      </w:r>
    </w:p>
    <w:p w14:paraId="60B45811" w14:textId="77777777" w:rsidR="00F132B6" w:rsidRPr="00507E09" w:rsidRDefault="00F132B6">
      <w:pPr>
        <w:pStyle w:val="Zkladntext"/>
        <w:spacing w:before="6"/>
        <w:rPr>
          <w:b/>
          <w:sz w:val="21"/>
          <w:lang w:val="sk-SK"/>
        </w:rPr>
      </w:pPr>
    </w:p>
    <w:p w14:paraId="01A367E9" w14:textId="77777777" w:rsidR="00F132B6" w:rsidRPr="00507E09" w:rsidRDefault="00F132B6" w:rsidP="00E13FB9">
      <w:pPr>
        <w:pStyle w:val="Zkladntext"/>
        <w:spacing w:line="480" w:lineRule="auto"/>
        <w:ind w:left="118" w:right="569"/>
        <w:rPr>
          <w:lang w:val="sk-SK"/>
        </w:rPr>
      </w:pPr>
      <w:r w:rsidRPr="00507E09">
        <w:rPr>
          <w:lang w:val="sk-SK"/>
        </w:rPr>
        <w:t>Precitlivenosť na liečivo alebo na ktorúkoľvek z pomocných látok uvedených v časti 6.1. Súbežné podávanie s námeľovými alkaloidmi (pozri časť 4.5).</w:t>
      </w:r>
    </w:p>
    <w:p w14:paraId="74D6000D" w14:textId="77777777" w:rsidR="00F132B6" w:rsidRPr="00507E09" w:rsidRDefault="00F132B6" w:rsidP="008943EE">
      <w:pPr>
        <w:pStyle w:val="Zkladntext"/>
        <w:spacing w:before="9"/>
        <w:ind w:left="118" w:right="212"/>
        <w:rPr>
          <w:lang w:val="sk-SK"/>
        </w:rPr>
      </w:pPr>
      <w:r w:rsidRPr="00507E09">
        <w:rPr>
          <w:lang w:val="sk-SK"/>
        </w:rPr>
        <w:t xml:space="preserve">Súbežné podávanie so substrátmi CYP3A4 terfenadínom, astemizolom, cisapridom, pimozidom, halofantrínom alebo chinidínom, pretože to môže viesť k zvýšeniu plazmatických koncentrácií týchto liekov, vedúcemu k predĺženiu QTc intervalu a zriedkavým prípadom </w:t>
      </w:r>
      <w:r w:rsidRPr="002814F9">
        <w:rPr>
          <w:lang w:val="sk-SK"/>
        </w:rPr>
        <w:t>torsades de pointes</w:t>
      </w:r>
      <w:r w:rsidRPr="00507E09">
        <w:rPr>
          <w:i/>
          <w:lang w:val="sk-SK"/>
        </w:rPr>
        <w:t xml:space="preserve"> </w:t>
      </w:r>
      <w:r w:rsidRPr="00507E09">
        <w:rPr>
          <w:lang w:val="sk-SK"/>
        </w:rPr>
        <w:t>(pozri časti 4.4 a 4.5).</w:t>
      </w:r>
    </w:p>
    <w:p w14:paraId="50CCEB95" w14:textId="77777777" w:rsidR="00F132B6" w:rsidRPr="00507E09" w:rsidRDefault="00F132B6" w:rsidP="00474F1E">
      <w:pPr>
        <w:pStyle w:val="Zkladntext"/>
        <w:rPr>
          <w:lang w:val="sk-SK"/>
        </w:rPr>
      </w:pPr>
    </w:p>
    <w:p w14:paraId="6076980E" w14:textId="77777777" w:rsidR="00F132B6" w:rsidRPr="00507E09" w:rsidRDefault="00F132B6">
      <w:pPr>
        <w:pStyle w:val="Zkladntext"/>
        <w:ind w:left="118" w:right="182"/>
        <w:rPr>
          <w:lang w:val="sk-SK"/>
        </w:rPr>
      </w:pPr>
      <w:r w:rsidRPr="00507E09">
        <w:rPr>
          <w:lang w:val="sk-SK"/>
        </w:rPr>
        <w:t>Súbežné podávanie s inhibítormi HMG-CoA reduktázy simvastatínom, lovastatínom a atorvastatínom (pozri časť 4.5).</w:t>
      </w:r>
    </w:p>
    <w:p w14:paraId="40B444A0" w14:textId="77777777" w:rsidR="00F132B6" w:rsidRPr="00507E09" w:rsidRDefault="00F132B6">
      <w:pPr>
        <w:pStyle w:val="Zkladntext"/>
        <w:spacing w:before="4"/>
        <w:rPr>
          <w:lang w:val="sk-SK"/>
        </w:rPr>
      </w:pPr>
    </w:p>
    <w:p w14:paraId="5EB98B69"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Osobitné upozornenia a opatrenia pri</w:t>
      </w:r>
      <w:r w:rsidRPr="00507E09">
        <w:rPr>
          <w:spacing w:val="-25"/>
          <w:lang w:val="sk-SK"/>
        </w:rPr>
        <w:t xml:space="preserve"> </w:t>
      </w:r>
      <w:r w:rsidRPr="00507E09">
        <w:rPr>
          <w:lang w:val="sk-SK"/>
        </w:rPr>
        <w:t>používaní</w:t>
      </w:r>
    </w:p>
    <w:p w14:paraId="0F261A75" w14:textId="77777777" w:rsidR="00F132B6" w:rsidRPr="00507E09" w:rsidRDefault="00F132B6">
      <w:pPr>
        <w:pStyle w:val="Zkladntext"/>
        <w:spacing w:before="7"/>
        <w:rPr>
          <w:b/>
          <w:sz w:val="21"/>
          <w:lang w:val="sk-SK"/>
        </w:rPr>
      </w:pPr>
    </w:p>
    <w:p w14:paraId="43D1AFC7" w14:textId="77777777" w:rsidR="00F132B6" w:rsidRPr="00507E09" w:rsidRDefault="00F132B6">
      <w:pPr>
        <w:pStyle w:val="Zkladntext"/>
        <w:spacing w:line="252" w:lineRule="exact"/>
        <w:ind w:left="118"/>
        <w:rPr>
          <w:lang w:val="sk-SK"/>
        </w:rPr>
      </w:pPr>
      <w:r w:rsidRPr="00507E09">
        <w:rPr>
          <w:u w:val="single"/>
          <w:lang w:val="sk-SK"/>
        </w:rPr>
        <w:t>Precitlivenosť</w:t>
      </w:r>
    </w:p>
    <w:p w14:paraId="5E5144C0" w14:textId="12AE153D" w:rsidR="00F132B6" w:rsidRPr="00507E09" w:rsidRDefault="00F132B6">
      <w:pPr>
        <w:pStyle w:val="Zkladntext"/>
        <w:ind w:left="118" w:right="745"/>
        <w:rPr>
          <w:lang w:val="sk-SK"/>
        </w:rPr>
      </w:pPr>
      <w:r w:rsidRPr="00507E09">
        <w:rPr>
          <w:lang w:val="sk-SK"/>
        </w:rPr>
        <w:t xml:space="preserve">Neexistujú informácie týkajúce sa skríženej citlivosti medzi posakonazolom a inými azolovými antimykotikami. Pri predpisovaní </w:t>
      </w:r>
      <w:r w:rsidR="00840F1B">
        <w:rPr>
          <w:lang w:val="sk-SK"/>
        </w:rPr>
        <w:t xml:space="preserve">posakonazolu </w:t>
      </w:r>
      <w:r w:rsidRPr="00507E09">
        <w:rPr>
          <w:lang w:val="sk-SK"/>
        </w:rPr>
        <w:t>pacientom s precitlivenosťou na iné azoly sa m</w:t>
      </w:r>
      <w:r w:rsidR="0090514E">
        <w:rPr>
          <w:lang w:val="sk-SK"/>
        </w:rPr>
        <w:t>á</w:t>
      </w:r>
      <w:r w:rsidRPr="00507E09">
        <w:rPr>
          <w:lang w:val="sk-SK"/>
        </w:rPr>
        <w:t xml:space="preserve"> postupovať opatrne.</w:t>
      </w:r>
    </w:p>
    <w:p w14:paraId="6EC76352" w14:textId="77777777" w:rsidR="00F132B6" w:rsidRPr="00507E09" w:rsidRDefault="00F132B6">
      <w:pPr>
        <w:pStyle w:val="Zkladntext"/>
        <w:spacing w:before="1"/>
        <w:rPr>
          <w:lang w:val="sk-SK"/>
        </w:rPr>
      </w:pPr>
    </w:p>
    <w:p w14:paraId="723A3E5E" w14:textId="77777777" w:rsidR="00F132B6" w:rsidRPr="00507E09" w:rsidRDefault="00F132B6">
      <w:pPr>
        <w:pStyle w:val="Zkladntext"/>
        <w:spacing w:line="252" w:lineRule="exact"/>
        <w:ind w:left="118"/>
        <w:rPr>
          <w:lang w:val="sk-SK"/>
        </w:rPr>
      </w:pPr>
      <w:r w:rsidRPr="00507E09">
        <w:rPr>
          <w:u w:val="single"/>
          <w:lang w:val="sk-SK"/>
        </w:rPr>
        <w:t>Hepatálna toxicita</w:t>
      </w:r>
    </w:p>
    <w:p w14:paraId="3F778679" w14:textId="0E9D6F51" w:rsidR="00F132B6" w:rsidRPr="00507E09" w:rsidRDefault="00F132B6">
      <w:pPr>
        <w:pStyle w:val="Zkladntext"/>
        <w:ind w:left="118" w:right="354"/>
        <w:rPr>
          <w:lang w:val="sk-SK"/>
        </w:rPr>
      </w:pPr>
      <w:r w:rsidRPr="00507E09">
        <w:rPr>
          <w:lang w:val="sk-SK"/>
        </w:rPr>
        <w:t xml:space="preserve">Počas liečby posakonazolom </w:t>
      </w:r>
      <w:r w:rsidR="0090514E">
        <w:rPr>
          <w:lang w:val="sk-SK"/>
        </w:rPr>
        <w:t>boli hlásené</w:t>
      </w:r>
      <w:r w:rsidRPr="00507E09">
        <w:rPr>
          <w:lang w:val="sk-SK"/>
        </w:rPr>
        <w:t xml:space="preserve"> hepatálne reakcie (napr. mierne až stredne závažné zvýšenia ALT, AST, alkalickej fosfatázy, celkového bilirubínu a/alebo klinická hepatitída). Zvýšené hodnoty výsledkov vyšetrení funkcie pečene boli všeobecne po ukončení liečby reverzibilné a v niektorých prípadoch sa tieto výsledky vyšetrení normalizovali aj bez prerušenia liečby. Zriedkavo </w:t>
      </w:r>
      <w:r w:rsidR="0090514E">
        <w:rPr>
          <w:lang w:val="sk-SK"/>
        </w:rPr>
        <w:t>boli hlásené</w:t>
      </w:r>
      <w:r w:rsidRPr="00507E09">
        <w:rPr>
          <w:lang w:val="sk-SK"/>
        </w:rPr>
        <w:t xml:space="preserve"> závažnejšie hepatálne reakcie s fatálnymi následkami.</w:t>
      </w:r>
    </w:p>
    <w:p w14:paraId="676EA034" w14:textId="77777777" w:rsidR="00F132B6" w:rsidRPr="00507E09" w:rsidRDefault="00F132B6" w:rsidP="00E13FB9">
      <w:pPr>
        <w:pStyle w:val="Zkladntext"/>
        <w:spacing w:before="2"/>
        <w:ind w:left="118" w:right="253"/>
        <w:rPr>
          <w:lang w:val="sk-SK"/>
        </w:rPr>
      </w:pPr>
      <w:r w:rsidRPr="00507E09">
        <w:rPr>
          <w:lang w:val="sk-SK"/>
        </w:rPr>
        <w:t>Posakonazol sa má používať opatrne u pacientov s poruchou funkcie pečene z dôvodu obmedzených klinických skúseností a možnosti, že plazmatické hladiny posakonazolu môžu byť u týchto pacientov vyššie (pozri časti 4.2 a 5.2).</w:t>
      </w:r>
    </w:p>
    <w:p w14:paraId="1A04D956" w14:textId="77777777" w:rsidR="00F132B6" w:rsidRPr="00507E09" w:rsidRDefault="00F132B6" w:rsidP="009258AC">
      <w:pPr>
        <w:pStyle w:val="Zkladntext"/>
        <w:rPr>
          <w:lang w:val="sk-SK"/>
        </w:rPr>
      </w:pPr>
    </w:p>
    <w:p w14:paraId="4712880A" w14:textId="77777777" w:rsidR="00F132B6" w:rsidRPr="00507E09" w:rsidRDefault="00F132B6" w:rsidP="00474F1E">
      <w:pPr>
        <w:pStyle w:val="Zkladntext"/>
        <w:ind w:left="118"/>
        <w:rPr>
          <w:lang w:val="sk-SK"/>
        </w:rPr>
      </w:pPr>
      <w:r w:rsidRPr="00507E09">
        <w:rPr>
          <w:u w:val="single"/>
          <w:lang w:val="sk-SK"/>
        </w:rPr>
        <w:t>Sledovanie funkcie pečene</w:t>
      </w:r>
    </w:p>
    <w:p w14:paraId="2CF9D2A2" w14:textId="48C42E66" w:rsidR="00F132B6" w:rsidRPr="00507E09" w:rsidRDefault="00F132B6">
      <w:pPr>
        <w:pStyle w:val="Zkladntext"/>
        <w:spacing w:before="1"/>
        <w:ind w:left="118" w:right="98"/>
        <w:rPr>
          <w:lang w:val="sk-SK"/>
        </w:rPr>
      </w:pPr>
      <w:r w:rsidRPr="00507E09">
        <w:rPr>
          <w:lang w:val="sk-SK"/>
        </w:rPr>
        <w:t xml:space="preserve">Na začiatku liečby a počas liečby posakonazolom sa majú vyhodnocovať výsledky vyšetrenia funkcie pečene. Pacienti, u ktorých sa počas liečby </w:t>
      </w:r>
      <w:r w:rsidR="00840F1B">
        <w:rPr>
          <w:lang w:val="sk-SK"/>
        </w:rPr>
        <w:t xml:space="preserve">posakonazolom </w:t>
      </w:r>
      <w:r w:rsidRPr="00507E09">
        <w:rPr>
          <w:lang w:val="sk-SK"/>
        </w:rPr>
        <w:t xml:space="preserve">objavia abnormálne hodnoty výsledkov vyšetrení funkcie pečene, musia byť pravidelne sledovaní kvôli vzniku závažnejšieho poškodenia </w:t>
      </w:r>
      <w:r w:rsidRPr="00507E09">
        <w:rPr>
          <w:lang w:val="sk-SK"/>
        </w:rPr>
        <w:lastRenderedPageBreak/>
        <w:t>pečene. Starostlivosť o pacienta m</w:t>
      </w:r>
      <w:r w:rsidR="004155BC">
        <w:rPr>
          <w:lang w:val="sk-SK"/>
        </w:rPr>
        <w:t>á</w:t>
      </w:r>
      <w:r w:rsidRPr="00507E09">
        <w:rPr>
          <w:lang w:val="sk-SK"/>
        </w:rPr>
        <w:t xml:space="preserve"> zahŕňať laboratórne vyšetrenie funkcie pečene (zvlášť vyšetrenia funkcie pečene a bilirubín). Ak klinické prejavy a príznaky zodpovedajú vznikajúcemu ochoreniu pečene, má sa zvážiť ukončenie liečby </w:t>
      </w:r>
      <w:r w:rsidR="00F7121F">
        <w:rPr>
          <w:lang w:val="sk-SK"/>
        </w:rPr>
        <w:t>posakonazolom</w:t>
      </w:r>
      <w:r w:rsidRPr="00507E09">
        <w:rPr>
          <w:lang w:val="sk-SK"/>
        </w:rPr>
        <w:t>.</w:t>
      </w:r>
    </w:p>
    <w:p w14:paraId="07125304" w14:textId="77777777" w:rsidR="00F132B6" w:rsidRPr="00507E09" w:rsidRDefault="00F132B6">
      <w:pPr>
        <w:pStyle w:val="Zkladntext"/>
        <w:spacing w:before="9"/>
        <w:rPr>
          <w:sz w:val="21"/>
          <w:lang w:val="sk-SK"/>
        </w:rPr>
      </w:pPr>
    </w:p>
    <w:p w14:paraId="650782D6" w14:textId="77777777" w:rsidR="00F132B6" w:rsidRPr="00507E09" w:rsidRDefault="00F132B6">
      <w:pPr>
        <w:pStyle w:val="Zkladntext"/>
        <w:ind w:left="118"/>
        <w:rPr>
          <w:lang w:val="sk-SK"/>
        </w:rPr>
      </w:pPr>
      <w:r w:rsidRPr="00507E09">
        <w:rPr>
          <w:u w:val="single"/>
          <w:lang w:val="sk-SK"/>
        </w:rPr>
        <w:t>Predĺženie QTc intervalu</w:t>
      </w:r>
    </w:p>
    <w:p w14:paraId="6C334965" w14:textId="77777777" w:rsidR="00F132B6" w:rsidRPr="00507E09" w:rsidRDefault="00F132B6">
      <w:pPr>
        <w:pStyle w:val="Zkladntext"/>
        <w:spacing w:before="1"/>
        <w:ind w:left="118" w:right="370"/>
        <w:rPr>
          <w:lang w:val="sk-SK"/>
        </w:rPr>
      </w:pPr>
      <w:r w:rsidRPr="00507E09">
        <w:rPr>
          <w:lang w:val="sk-SK"/>
        </w:rPr>
        <w:t xml:space="preserve">Liečba niektorými azolmi sa spája s predĺžením QTc intervalu. </w:t>
      </w:r>
      <w:r w:rsidR="007248A4">
        <w:rPr>
          <w:lang w:val="sk-SK"/>
        </w:rPr>
        <w:t xml:space="preserve">Posakonazol </w:t>
      </w:r>
      <w:r w:rsidRPr="00507E09">
        <w:rPr>
          <w:lang w:val="sk-SK"/>
        </w:rPr>
        <w:t>sa nesmie podávať s liekmi, ktoré sú substrátmi CYP3A4 a je o nich známe, že predlžujú QTc interval (pozri časti 4.3 a 4.5).</w:t>
      </w:r>
      <w:r w:rsidR="007248A4">
        <w:rPr>
          <w:lang w:val="sk-SK"/>
        </w:rPr>
        <w:t xml:space="preserve"> Posakonazol </w:t>
      </w:r>
      <w:r w:rsidRPr="00507E09">
        <w:rPr>
          <w:lang w:val="sk-SK"/>
        </w:rPr>
        <w:t>sa má podávať opatrne pacientom s proarytmickými stavmi, ako sú:</w:t>
      </w:r>
    </w:p>
    <w:p w14:paraId="069398FD" w14:textId="77777777" w:rsidR="00F132B6" w:rsidRPr="00507E09" w:rsidRDefault="00F132B6" w:rsidP="00E13FB9">
      <w:pPr>
        <w:pStyle w:val="Odsekzoznamu"/>
        <w:numPr>
          <w:ilvl w:val="0"/>
          <w:numId w:val="13"/>
        </w:numPr>
        <w:tabs>
          <w:tab w:val="left" w:pos="684"/>
          <w:tab w:val="left" w:pos="685"/>
        </w:tabs>
        <w:spacing w:line="261" w:lineRule="exact"/>
        <w:ind w:hanging="566"/>
        <w:rPr>
          <w:lang w:val="sk-SK"/>
        </w:rPr>
      </w:pPr>
      <w:r w:rsidRPr="00507E09">
        <w:rPr>
          <w:lang w:val="sk-SK"/>
        </w:rPr>
        <w:t>vrodené alebo získané predĺženie QTc</w:t>
      </w:r>
      <w:r w:rsidRPr="00507E09">
        <w:rPr>
          <w:spacing w:val="-27"/>
          <w:lang w:val="sk-SK"/>
        </w:rPr>
        <w:t xml:space="preserve"> </w:t>
      </w:r>
      <w:r w:rsidRPr="00507E09">
        <w:rPr>
          <w:lang w:val="sk-SK"/>
        </w:rPr>
        <w:t>intervalu;</w:t>
      </w:r>
    </w:p>
    <w:p w14:paraId="6760C799"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lang w:val="sk-SK"/>
        </w:rPr>
        <w:t>kardiomyopatia, zvlášť v spojení so zlyhávaním</w:t>
      </w:r>
      <w:r w:rsidRPr="00507E09">
        <w:rPr>
          <w:spacing w:val="-33"/>
          <w:lang w:val="sk-SK"/>
        </w:rPr>
        <w:t xml:space="preserve"> </w:t>
      </w:r>
      <w:r w:rsidRPr="00507E09">
        <w:rPr>
          <w:lang w:val="sk-SK"/>
        </w:rPr>
        <w:t>srdca;</w:t>
      </w:r>
    </w:p>
    <w:p w14:paraId="06D62070"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lang w:val="sk-SK"/>
        </w:rPr>
        <w:t>sínusová</w:t>
      </w:r>
      <w:r w:rsidRPr="00507E09">
        <w:rPr>
          <w:spacing w:val="-14"/>
          <w:lang w:val="sk-SK"/>
        </w:rPr>
        <w:t xml:space="preserve"> </w:t>
      </w:r>
      <w:r w:rsidRPr="00507E09">
        <w:rPr>
          <w:lang w:val="sk-SK"/>
        </w:rPr>
        <w:t>bradykardia;</w:t>
      </w:r>
    </w:p>
    <w:p w14:paraId="5FA712B8" w14:textId="77777777" w:rsidR="00F132B6" w:rsidRPr="00507E09" w:rsidRDefault="00F132B6" w:rsidP="00E13FB9">
      <w:pPr>
        <w:pStyle w:val="Odsekzoznamu"/>
        <w:numPr>
          <w:ilvl w:val="0"/>
          <w:numId w:val="13"/>
        </w:numPr>
        <w:tabs>
          <w:tab w:val="left" w:pos="684"/>
          <w:tab w:val="left" w:pos="685"/>
        </w:tabs>
        <w:spacing w:line="259" w:lineRule="exact"/>
        <w:ind w:hanging="566"/>
        <w:rPr>
          <w:lang w:val="sk-SK"/>
        </w:rPr>
      </w:pPr>
      <w:r w:rsidRPr="00507E09">
        <w:rPr>
          <w:lang w:val="sk-SK"/>
        </w:rPr>
        <w:t>existujúce symptomatické</w:t>
      </w:r>
      <w:r w:rsidRPr="00507E09">
        <w:rPr>
          <w:spacing w:val="-17"/>
          <w:lang w:val="sk-SK"/>
        </w:rPr>
        <w:t xml:space="preserve"> </w:t>
      </w:r>
      <w:r w:rsidRPr="00507E09">
        <w:rPr>
          <w:lang w:val="sk-SK"/>
        </w:rPr>
        <w:t>arytmie;</w:t>
      </w:r>
    </w:p>
    <w:p w14:paraId="2786193A" w14:textId="2934CCD5" w:rsidR="00F132B6" w:rsidRPr="00507E09" w:rsidRDefault="00F132B6" w:rsidP="00E13FB9">
      <w:pPr>
        <w:pStyle w:val="Odsekzoznamu"/>
        <w:numPr>
          <w:ilvl w:val="0"/>
          <w:numId w:val="13"/>
        </w:numPr>
        <w:tabs>
          <w:tab w:val="left" w:pos="684"/>
          <w:tab w:val="left" w:pos="685"/>
        </w:tabs>
        <w:spacing w:line="247" w:lineRule="auto"/>
        <w:ind w:right="309" w:hanging="566"/>
        <w:rPr>
          <w:lang w:val="sk-SK"/>
        </w:rPr>
      </w:pPr>
      <w:r w:rsidRPr="00507E09">
        <w:rPr>
          <w:lang w:val="sk-SK"/>
        </w:rPr>
        <w:t>súbežné užívanie s liekmi, o ktorých je známe, že predlžujú QTc interval (iné ako sú uvedené v časti</w:t>
      </w:r>
      <w:r w:rsidRPr="00507E09">
        <w:rPr>
          <w:spacing w:val="-4"/>
          <w:lang w:val="sk-SK"/>
        </w:rPr>
        <w:t xml:space="preserve"> </w:t>
      </w:r>
      <w:r w:rsidRPr="00507E09">
        <w:rPr>
          <w:lang w:val="sk-SK"/>
        </w:rPr>
        <w:t>4.3).</w:t>
      </w:r>
    </w:p>
    <w:p w14:paraId="5E828DA0" w14:textId="77777777" w:rsidR="00F132B6" w:rsidRPr="00507E09" w:rsidRDefault="00F132B6">
      <w:pPr>
        <w:pStyle w:val="Zkladntext"/>
        <w:ind w:left="118" w:right="767"/>
        <w:rPr>
          <w:lang w:val="sk-SK"/>
        </w:rPr>
      </w:pPr>
      <w:r w:rsidRPr="00507E09">
        <w:rPr>
          <w:lang w:val="sk-SK"/>
        </w:rPr>
        <w:t>Poruchy elektrolytov, zvlášť tie, ktoré sa týkajú hladín draslíka, horčíka alebo vápnika, sa majú sledovať a podľa potreby upraviť pred a počas liečby posakonazolom.</w:t>
      </w:r>
    </w:p>
    <w:p w14:paraId="51801EDF" w14:textId="77777777" w:rsidR="00F132B6" w:rsidRPr="00507E09" w:rsidRDefault="00F132B6">
      <w:pPr>
        <w:pStyle w:val="Zkladntext"/>
        <w:spacing w:before="5"/>
        <w:rPr>
          <w:lang w:val="sk-SK"/>
        </w:rPr>
      </w:pPr>
    </w:p>
    <w:p w14:paraId="3B2D327E" w14:textId="77777777" w:rsidR="00F132B6" w:rsidRPr="00507E09" w:rsidRDefault="00F132B6">
      <w:pPr>
        <w:pStyle w:val="Zkladntext"/>
        <w:ind w:left="118"/>
        <w:rPr>
          <w:lang w:val="sk-SK"/>
        </w:rPr>
      </w:pPr>
      <w:r w:rsidRPr="00507E09">
        <w:rPr>
          <w:u w:val="single"/>
          <w:lang w:val="sk-SK"/>
        </w:rPr>
        <w:t>Liekové interakcie</w:t>
      </w:r>
    </w:p>
    <w:p w14:paraId="4FF6F1AD" w14:textId="77777777" w:rsidR="007248A4" w:rsidRDefault="00F132B6">
      <w:pPr>
        <w:pStyle w:val="Zkladntext"/>
        <w:spacing w:before="1"/>
        <w:ind w:left="118" w:right="1380"/>
        <w:rPr>
          <w:lang w:val="sk-SK"/>
        </w:rPr>
      </w:pPr>
      <w:r w:rsidRPr="00507E09">
        <w:rPr>
          <w:lang w:val="sk-SK"/>
        </w:rPr>
        <w:t>Posakonazol je inhibítorom CYP3A4 a počas liečby inými liekmi, ktoré sa metabolizujú prostredníctvom CYP3A4, sa má používať len za osobitných okolností (pozri časť 4.5)</w:t>
      </w:r>
      <w:r w:rsidR="007248A4">
        <w:rPr>
          <w:lang w:val="sk-SK"/>
        </w:rPr>
        <w:t>.</w:t>
      </w:r>
    </w:p>
    <w:p w14:paraId="4FA254E3" w14:textId="77777777" w:rsidR="007248A4" w:rsidRDefault="007248A4">
      <w:pPr>
        <w:pStyle w:val="Zkladntext"/>
        <w:spacing w:before="1"/>
        <w:ind w:left="118" w:right="1380"/>
        <w:rPr>
          <w:lang w:val="sk-SK"/>
        </w:rPr>
      </w:pPr>
    </w:p>
    <w:p w14:paraId="219F568B" w14:textId="77777777" w:rsidR="00F132B6" w:rsidRPr="00507E09" w:rsidRDefault="00F132B6">
      <w:pPr>
        <w:pStyle w:val="Zkladntext"/>
        <w:spacing w:before="1"/>
        <w:ind w:left="118" w:right="1380"/>
        <w:rPr>
          <w:lang w:val="sk-SK"/>
        </w:rPr>
      </w:pPr>
      <w:r w:rsidRPr="00507E09">
        <w:rPr>
          <w:u w:val="single"/>
          <w:lang w:val="sk-SK"/>
        </w:rPr>
        <w:t>Midazolam a iné benzodiazepíny</w:t>
      </w:r>
    </w:p>
    <w:p w14:paraId="78C7D04F" w14:textId="77777777" w:rsidR="00F132B6" w:rsidRPr="00507E09" w:rsidRDefault="00F132B6">
      <w:pPr>
        <w:pStyle w:val="Zkladntext"/>
        <w:spacing w:before="1"/>
        <w:ind w:left="118" w:right="113"/>
        <w:rPr>
          <w:lang w:val="sk-SK"/>
        </w:rPr>
      </w:pPr>
      <w:r w:rsidRPr="00507E09">
        <w:rPr>
          <w:lang w:val="sk-SK"/>
        </w:rPr>
        <w:t>Vzhľadom na riziko predĺženého sedatívneho účinku a možnej respiračnej depresie sa má súbežné podávanie posakonazolu s akýmikoľvek benzodiazepínmi, ktoré sa metabolizujú prostredníctvom CYP3A4 (napr. midazolam, triazolam, alprazolam), zvážiť len v prípade, keď je to jednoznačne nutné. Má sa zvážiť úprava dávky benzodiazepínov metabolizovaných prostredníctvom CYP3A4 (pozri časť 4.5).</w:t>
      </w:r>
    </w:p>
    <w:p w14:paraId="248F6149" w14:textId="77777777" w:rsidR="00F132B6" w:rsidRPr="00507E09" w:rsidRDefault="00F132B6">
      <w:pPr>
        <w:pStyle w:val="Zkladntext"/>
        <w:spacing w:before="9"/>
        <w:rPr>
          <w:sz w:val="21"/>
          <w:lang w:val="sk-SK"/>
        </w:rPr>
      </w:pPr>
    </w:p>
    <w:p w14:paraId="2B93E74A" w14:textId="77777777" w:rsidR="00F132B6" w:rsidRPr="00507E09" w:rsidRDefault="00F132B6">
      <w:pPr>
        <w:pStyle w:val="Zkladntext"/>
        <w:ind w:left="118"/>
        <w:rPr>
          <w:lang w:val="sk-SK"/>
        </w:rPr>
      </w:pPr>
      <w:r w:rsidRPr="00507E09">
        <w:rPr>
          <w:u w:val="single"/>
          <w:lang w:val="sk-SK"/>
        </w:rPr>
        <w:t>Toxicita vinkristínu</w:t>
      </w:r>
    </w:p>
    <w:p w14:paraId="641CDD71" w14:textId="77777777" w:rsidR="00F132B6" w:rsidRPr="00507E09" w:rsidRDefault="00F132B6">
      <w:pPr>
        <w:pStyle w:val="Zkladntext"/>
        <w:spacing w:line="252" w:lineRule="exact"/>
        <w:ind w:left="118"/>
        <w:rPr>
          <w:lang w:val="sk-SK"/>
        </w:rPr>
      </w:pPr>
      <w:r w:rsidRPr="00507E09">
        <w:rPr>
          <w:lang w:val="sk-SK"/>
        </w:rPr>
        <w:t>Súbežné podávanie azolových antimykotík, vrátane posakonazolu, s vinkristínom sa spája</w:t>
      </w:r>
    </w:p>
    <w:p w14:paraId="426836E8" w14:textId="77777777" w:rsidR="00F132B6" w:rsidRPr="00507E09" w:rsidRDefault="00F132B6">
      <w:pPr>
        <w:pStyle w:val="Zkladntext"/>
        <w:ind w:left="118" w:right="285"/>
        <w:rPr>
          <w:lang w:val="sk-SK"/>
        </w:rPr>
      </w:pPr>
      <w:r w:rsidRPr="00507E09">
        <w:rPr>
          <w:lang w:val="sk-SK"/>
        </w:rPr>
        <w:t xml:space="preserve">s neurotoxicitou a ďalšími závažnými nežiaducimi reakciami, vrátane záchvatov kŕčov, periférnej neuropatie, syndrómu neprimeranej sekrécie antidiuretického hormónu a paralytického ilea. Použitie azolových antimykotík, vrátane posakonazolu, vyhraďte pre pacientov dostávajúcich alkaloid z rodu </w:t>
      </w:r>
      <w:r w:rsidR="002814F9">
        <w:rPr>
          <w:lang w:val="sk-SK"/>
        </w:rPr>
        <w:t>v</w:t>
      </w:r>
      <w:r w:rsidRPr="002814F9">
        <w:rPr>
          <w:lang w:val="sk-SK"/>
        </w:rPr>
        <w:t>inca,</w:t>
      </w:r>
      <w:r w:rsidRPr="00507E09">
        <w:rPr>
          <w:lang w:val="sk-SK"/>
        </w:rPr>
        <w:t xml:space="preserve"> vrátane vinkristínu, u ktorých nie je žiadna alternatívna možnosť antimykotickej liečby (pozri časť 4.5).</w:t>
      </w:r>
    </w:p>
    <w:p w14:paraId="330F299D" w14:textId="77777777" w:rsidR="00F132B6" w:rsidRPr="00507E09" w:rsidRDefault="00F132B6">
      <w:pPr>
        <w:pStyle w:val="Zkladntext"/>
        <w:spacing w:before="1"/>
        <w:rPr>
          <w:lang w:val="sk-SK"/>
        </w:rPr>
      </w:pPr>
    </w:p>
    <w:p w14:paraId="67BC42E0" w14:textId="77777777" w:rsidR="00F132B6" w:rsidRPr="00507E09" w:rsidRDefault="00F132B6" w:rsidP="00E13FB9">
      <w:pPr>
        <w:pStyle w:val="Zkladntext"/>
        <w:ind w:left="118" w:right="143"/>
        <w:rPr>
          <w:lang w:val="sk-SK"/>
        </w:rPr>
      </w:pPr>
      <w:r w:rsidRPr="00507E09">
        <w:rPr>
          <w:u w:val="single"/>
          <w:lang w:val="sk-SK"/>
        </w:rPr>
        <w:t>Rifamycínové antibiotiká (rifampicín, rifabutín), niektoré antikonvulzíva (fenytoín, karbamazepín, fenobarbital, primidón) a efavirenz</w:t>
      </w:r>
    </w:p>
    <w:p w14:paraId="3C5E7938" w14:textId="77777777" w:rsidR="00F132B6" w:rsidRPr="00507E09" w:rsidRDefault="00F132B6" w:rsidP="00E13FB9">
      <w:pPr>
        <w:pStyle w:val="Zkladntext"/>
        <w:ind w:left="118" w:right="291"/>
        <w:rPr>
          <w:lang w:val="sk-SK"/>
        </w:rPr>
      </w:pPr>
      <w:r w:rsidRPr="00507E09">
        <w:rPr>
          <w:lang w:val="sk-SK"/>
        </w:rPr>
        <w:t>V kombinácii s nimi sa môžu koncentrácie posakonazolu významne znížiť; preto je potrebné vyhnúť sa ich súbežnému použitiu s posakonazolom, pokiaľ prínos pre pacienta nepreváži riziko (pozri časť 4.5).</w:t>
      </w:r>
    </w:p>
    <w:p w14:paraId="0F5D3E20" w14:textId="77777777" w:rsidR="00F132B6" w:rsidRPr="00507E09" w:rsidRDefault="00F132B6" w:rsidP="009258AC">
      <w:pPr>
        <w:pStyle w:val="Zkladntext"/>
        <w:spacing w:before="2"/>
        <w:rPr>
          <w:lang w:val="sk-SK"/>
        </w:rPr>
      </w:pPr>
    </w:p>
    <w:p w14:paraId="072510DE" w14:textId="77777777" w:rsidR="00F132B6" w:rsidRPr="00507E09" w:rsidRDefault="00F132B6" w:rsidP="00474F1E">
      <w:pPr>
        <w:pStyle w:val="Zkladntext"/>
        <w:spacing w:line="252" w:lineRule="exact"/>
        <w:ind w:left="118"/>
        <w:rPr>
          <w:lang w:val="sk-SK"/>
        </w:rPr>
      </w:pPr>
      <w:r w:rsidRPr="00507E09">
        <w:rPr>
          <w:u w:val="single"/>
          <w:lang w:val="sk-SK"/>
        </w:rPr>
        <w:t>Plazmatická expozícia</w:t>
      </w:r>
    </w:p>
    <w:p w14:paraId="3404D3D0" w14:textId="77777777" w:rsidR="00F132B6" w:rsidRPr="00507E09" w:rsidRDefault="00F132B6">
      <w:pPr>
        <w:pStyle w:val="Zkladntext"/>
        <w:ind w:left="118" w:right="244"/>
        <w:rPr>
          <w:lang w:val="sk-SK"/>
        </w:rPr>
      </w:pPr>
      <w:r w:rsidRPr="00507E09">
        <w:rPr>
          <w:lang w:val="sk-SK"/>
        </w:rPr>
        <w:t>Plazmatické koncentrácie posakonazolu po podaní posakonazolu vo forme tabliet sú vo všeobecnosti vyššie ako koncentrácie dosiahnuté pri perorálnej suspenzii posakonazolu. U niektorých pacientov sa môžu plazmatické koncentrácie posakonazolu po podaní posakonazolu vo forme tabliet v priebehu času zvýšiť (pozri časť 5.2). Údaje o bezpečnosti pri vyšších hladinách expozície dosiahnutých pri posakonazole vo forme tabliet sú v súčasnosti obmedzené.</w:t>
      </w:r>
    </w:p>
    <w:p w14:paraId="383EB11F" w14:textId="77777777" w:rsidR="00F132B6" w:rsidRPr="00507E09" w:rsidRDefault="00F132B6">
      <w:pPr>
        <w:pStyle w:val="Zkladntext"/>
        <w:rPr>
          <w:lang w:val="sk-SK"/>
        </w:rPr>
      </w:pPr>
    </w:p>
    <w:p w14:paraId="581DD4F1" w14:textId="77777777" w:rsidR="00F132B6" w:rsidRPr="00507E09" w:rsidRDefault="00F132B6">
      <w:pPr>
        <w:pStyle w:val="Zkladntext"/>
        <w:spacing w:before="1" w:line="252" w:lineRule="exact"/>
        <w:ind w:left="118"/>
        <w:rPr>
          <w:lang w:val="sk-SK"/>
        </w:rPr>
      </w:pPr>
      <w:r w:rsidRPr="00507E09">
        <w:rPr>
          <w:u w:val="single"/>
          <w:lang w:val="sk-SK"/>
        </w:rPr>
        <w:t>Dysfunkcia gastrointestinálneho traktu</w:t>
      </w:r>
    </w:p>
    <w:p w14:paraId="0B7F03DC" w14:textId="26065148" w:rsidR="00F132B6" w:rsidRDefault="00F132B6">
      <w:pPr>
        <w:pStyle w:val="Zkladntext"/>
        <w:ind w:left="118" w:right="513"/>
        <w:rPr>
          <w:lang w:val="sk-SK"/>
        </w:rPr>
      </w:pPr>
      <w:r w:rsidRPr="00507E09">
        <w:rPr>
          <w:lang w:val="sk-SK"/>
        </w:rPr>
        <w:t xml:space="preserve">U pacientov so závažnou gastrointestinálnou dysfunkciou (ako je </w:t>
      </w:r>
      <w:r w:rsidR="001D2F2F">
        <w:rPr>
          <w:lang w:val="sk-SK"/>
        </w:rPr>
        <w:t>závažná</w:t>
      </w:r>
      <w:r w:rsidRPr="00507E09">
        <w:rPr>
          <w:lang w:val="sk-SK"/>
        </w:rPr>
        <w:t xml:space="preserve"> hnačka) sú obmedzené farmakokinetické údaje. Pacientov, ktorí majú </w:t>
      </w:r>
      <w:r w:rsidR="001D2F2F">
        <w:rPr>
          <w:lang w:val="sk-SK"/>
        </w:rPr>
        <w:t>závažnú</w:t>
      </w:r>
      <w:r w:rsidRPr="00507E09">
        <w:rPr>
          <w:lang w:val="sk-SK"/>
        </w:rPr>
        <w:t xml:space="preserve"> hnačku alebo vracanie, je potrebné starostlivo sledovať kvôli vzniku prielomových mykotických infekcií.</w:t>
      </w:r>
    </w:p>
    <w:p w14:paraId="4CD18009" w14:textId="5B68EF6D" w:rsidR="00FA6154" w:rsidRPr="00FA6154" w:rsidRDefault="00FA6154">
      <w:pPr>
        <w:pStyle w:val="Zkladntext"/>
        <w:ind w:left="118" w:right="513"/>
        <w:rPr>
          <w:u w:val="single"/>
          <w:lang w:val="sk-SK"/>
        </w:rPr>
      </w:pPr>
      <w:r w:rsidRPr="00FA6154">
        <w:rPr>
          <w:u w:val="single"/>
          <w:lang w:val="sk-SK"/>
        </w:rPr>
        <w:lastRenderedPageBreak/>
        <w:t>Posaconazole Sandoz obsahuje sodík</w:t>
      </w:r>
      <w:r w:rsidR="001D2F2F">
        <w:rPr>
          <w:u w:val="single"/>
          <w:lang w:val="sk-SK"/>
        </w:rPr>
        <w:t>:</w:t>
      </w:r>
    </w:p>
    <w:p w14:paraId="1C29AB78" w14:textId="77777777" w:rsidR="00FA6154" w:rsidRPr="00507E09" w:rsidRDefault="00FA6154">
      <w:pPr>
        <w:pStyle w:val="Zkladntext"/>
        <w:ind w:left="118" w:right="513"/>
        <w:rPr>
          <w:lang w:val="sk-SK"/>
        </w:rPr>
      </w:pPr>
      <w:r>
        <w:rPr>
          <w:lang w:val="sk-SK"/>
        </w:rPr>
        <w:t>Tento liek obsahuje menej ako 1 mmol sodíka (23 mg) v jednej tablete, t.j. v podstate zanedbateľné množstvo sodíka.</w:t>
      </w:r>
    </w:p>
    <w:p w14:paraId="05A3D80A" w14:textId="77777777" w:rsidR="00F132B6" w:rsidRPr="00507E09" w:rsidRDefault="00F132B6">
      <w:pPr>
        <w:pStyle w:val="Zkladntext"/>
        <w:spacing w:before="5"/>
        <w:rPr>
          <w:lang w:val="sk-SK"/>
        </w:rPr>
      </w:pPr>
    </w:p>
    <w:p w14:paraId="79A3A902"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Liekové a iné</w:t>
      </w:r>
      <w:r w:rsidRPr="00507E09">
        <w:rPr>
          <w:spacing w:val="-13"/>
          <w:lang w:val="sk-SK"/>
        </w:rPr>
        <w:t xml:space="preserve"> </w:t>
      </w:r>
      <w:r w:rsidRPr="00507E09">
        <w:rPr>
          <w:lang w:val="sk-SK"/>
        </w:rPr>
        <w:t>interakcie</w:t>
      </w:r>
    </w:p>
    <w:p w14:paraId="1697A678" w14:textId="77777777" w:rsidR="00F132B6" w:rsidRPr="00507E09" w:rsidRDefault="00F132B6">
      <w:pPr>
        <w:pStyle w:val="Zkladntext"/>
        <w:spacing w:before="6"/>
        <w:rPr>
          <w:b/>
          <w:sz w:val="21"/>
          <w:lang w:val="sk-SK"/>
        </w:rPr>
      </w:pPr>
    </w:p>
    <w:p w14:paraId="52D9FD12" w14:textId="77777777" w:rsidR="00F132B6" w:rsidRPr="00507E09" w:rsidRDefault="00F132B6">
      <w:pPr>
        <w:pStyle w:val="Zkladntext"/>
        <w:spacing w:line="252" w:lineRule="exact"/>
        <w:ind w:left="118"/>
        <w:rPr>
          <w:lang w:val="sk-SK"/>
        </w:rPr>
      </w:pPr>
      <w:r w:rsidRPr="00507E09">
        <w:rPr>
          <w:u w:val="single"/>
          <w:lang w:val="sk-SK"/>
        </w:rPr>
        <w:t>Vplyv iných liekov na posakonazol</w:t>
      </w:r>
    </w:p>
    <w:p w14:paraId="0FCE6D37" w14:textId="77777777" w:rsidR="00F132B6" w:rsidRPr="00507E09" w:rsidRDefault="00F132B6">
      <w:pPr>
        <w:pStyle w:val="Zkladntext"/>
        <w:ind w:left="118" w:right="130"/>
        <w:rPr>
          <w:lang w:val="sk-SK"/>
        </w:rPr>
      </w:pPr>
      <w:r w:rsidRPr="00507E09">
        <w:rPr>
          <w:lang w:val="sk-SK"/>
        </w:rPr>
        <w:t xml:space="preserve">Posakonazol je metabolizovaný prostredníctvom UDP glukuronidácie (enzýmy fázy 2) a </w:t>
      </w:r>
      <w:r w:rsidRPr="00507E09">
        <w:rPr>
          <w:i/>
          <w:lang w:val="sk-SK"/>
        </w:rPr>
        <w:t xml:space="preserve">in vitro </w:t>
      </w:r>
      <w:r w:rsidRPr="00507E09">
        <w:rPr>
          <w:lang w:val="sk-SK"/>
        </w:rPr>
        <w:t>je substrátom pre eflux sprostredkovaný p-glykoproteínom (P-gp). Inhibítory (napr. verapamil, cyklosporín, chinidín, klaritromycín, erytromycín atď.) týchto klírensových ciest môžu preto zvyšovať koncentrácie posakonazolu v plazme a induktory (napr. rifampicín, rifabutín, niektoré antikonvulzíva atď.) týchto ciest ich môžu znižovať.</w:t>
      </w:r>
    </w:p>
    <w:p w14:paraId="7D408A01" w14:textId="77777777" w:rsidR="00F132B6" w:rsidRPr="00507E09" w:rsidRDefault="00F132B6">
      <w:pPr>
        <w:pStyle w:val="Zkladntext"/>
        <w:spacing w:before="1"/>
        <w:rPr>
          <w:lang w:val="sk-SK"/>
        </w:rPr>
      </w:pPr>
    </w:p>
    <w:p w14:paraId="2FFB3CF4" w14:textId="77777777" w:rsidR="00F132B6" w:rsidRPr="00507E09" w:rsidRDefault="00F132B6">
      <w:pPr>
        <w:spacing w:line="252" w:lineRule="exact"/>
        <w:ind w:left="118"/>
        <w:rPr>
          <w:i/>
          <w:lang w:val="sk-SK"/>
        </w:rPr>
      </w:pPr>
      <w:r w:rsidRPr="00507E09">
        <w:rPr>
          <w:i/>
          <w:lang w:val="sk-SK"/>
        </w:rPr>
        <w:t>Rifabutín</w:t>
      </w:r>
    </w:p>
    <w:p w14:paraId="545E2864" w14:textId="77777777" w:rsidR="00F132B6" w:rsidRPr="00507E09" w:rsidRDefault="00F132B6">
      <w:pPr>
        <w:pStyle w:val="Zkladntext"/>
        <w:spacing w:before="1" w:line="237" w:lineRule="auto"/>
        <w:ind w:left="118" w:right="131"/>
        <w:rPr>
          <w:lang w:val="sk-SK"/>
        </w:rPr>
      </w:pPr>
      <w:r w:rsidRPr="00507E09">
        <w:rPr>
          <w:lang w:val="sk-SK"/>
        </w:rPr>
        <w:t>Rifabutín (300 mg jedenkrát denne) znížil C</w:t>
      </w:r>
      <w:r w:rsidRPr="00507E09">
        <w:rPr>
          <w:position w:val="-2"/>
          <w:sz w:val="14"/>
          <w:lang w:val="sk-SK"/>
        </w:rPr>
        <w:t xml:space="preserve">max </w:t>
      </w:r>
      <w:r w:rsidRPr="00507E09">
        <w:rPr>
          <w:lang w:val="sk-SK"/>
        </w:rPr>
        <w:t>(maximálna plazmatická koncentrácia) posakonazolu na 57 % a AUC (plocha pod krivkou plazmatickej koncentrácie podľa času) na 51 %. Je potrebné vyhnúť sa súbežnému použitiu posakonazolu a rifabutínu a podobných induktorov (napr. rifampicín), pokiaľ prínos pre pacienta nepreváži riziko. Pozri aj nižšie uvedené informácie o účinku posakonazolu na plazmatické hladiny rifabutínu.</w:t>
      </w:r>
    </w:p>
    <w:p w14:paraId="3B4076AB" w14:textId="77777777" w:rsidR="00F132B6" w:rsidRPr="00507E09" w:rsidRDefault="00F132B6">
      <w:pPr>
        <w:pStyle w:val="Zkladntext"/>
        <w:spacing w:before="9"/>
        <w:rPr>
          <w:sz w:val="21"/>
          <w:lang w:val="sk-SK"/>
        </w:rPr>
      </w:pPr>
    </w:p>
    <w:p w14:paraId="33155F01" w14:textId="77777777" w:rsidR="00F132B6" w:rsidRPr="00507E09" w:rsidRDefault="00F132B6">
      <w:pPr>
        <w:spacing w:before="1"/>
        <w:ind w:left="118"/>
        <w:rPr>
          <w:i/>
          <w:lang w:val="sk-SK"/>
        </w:rPr>
      </w:pPr>
      <w:r w:rsidRPr="00507E09">
        <w:rPr>
          <w:i/>
          <w:lang w:val="sk-SK"/>
        </w:rPr>
        <w:t>Efavirenz</w:t>
      </w:r>
    </w:p>
    <w:p w14:paraId="55EA7DE2" w14:textId="77777777" w:rsidR="00F132B6" w:rsidRPr="00507E09" w:rsidRDefault="00F132B6">
      <w:pPr>
        <w:pStyle w:val="Zkladntext"/>
        <w:spacing w:before="5" w:line="252" w:lineRule="exact"/>
        <w:ind w:left="118" w:right="98"/>
        <w:rPr>
          <w:lang w:val="sk-SK"/>
        </w:rPr>
      </w:pPr>
      <w:r w:rsidRPr="00507E09">
        <w:rPr>
          <w:lang w:val="sk-SK"/>
        </w:rPr>
        <w:t>Efavirenz (400 mg jedenkrát denne) znížil C</w:t>
      </w:r>
      <w:r w:rsidRPr="00507E09">
        <w:rPr>
          <w:position w:val="-2"/>
          <w:sz w:val="14"/>
          <w:lang w:val="sk-SK"/>
        </w:rPr>
        <w:t xml:space="preserve">max </w:t>
      </w:r>
      <w:r w:rsidRPr="00507E09">
        <w:rPr>
          <w:lang w:val="sk-SK"/>
        </w:rPr>
        <w:t>posakonazolu o 45 % a AUC o 50 %. Je potrebné vyhnúť sa súbežnému použitiu posakonazolu a efavirenzu, pokiaľ prínos pre pacienta nepreváži riziko.</w:t>
      </w:r>
    </w:p>
    <w:p w14:paraId="1FEC1CBF" w14:textId="77777777" w:rsidR="00F132B6" w:rsidRPr="00507E09" w:rsidRDefault="00F132B6">
      <w:pPr>
        <w:pStyle w:val="Zkladntext"/>
        <w:spacing w:before="8"/>
        <w:rPr>
          <w:sz w:val="21"/>
          <w:lang w:val="sk-SK"/>
        </w:rPr>
      </w:pPr>
    </w:p>
    <w:p w14:paraId="40179677" w14:textId="77777777" w:rsidR="00F132B6" w:rsidRPr="00507E09" w:rsidRDefault="00F132B6">
      <w:pPr>
        <w:ind w:left="118"/>
        <w:rPr>
          <w:i/>
          <w:lang w:val="sk-SK"/>
        </w:rPr>
      </w:pPr>
      <w:r w:rsidRPr="00507E09">
        <w:rPr>
          <w:i/>
          <w:lang w:val="sk-SK"/>
        </w:rPr>
        <w:t>Fosamprenavir</w:t>
      </w:r>
    </w:p>
    <w:p w14:paraId="63F42D38" w14:textId="77777777" w:rsidR="00F132B6" w:rsidRPr="00507E09" w:rsidRDefault="00F132B6">
      <w:pPr>
        <w:pStyle w:val="Zkladntext"/>
        <w:ind w:left="118" w:right="207"/>
        <w:rPr>
          <w:lang w:val="sk-SK"/>
        </w:rPr>
      </w:pPr>
      <w:r w:rsidRPr="00507E09">
        <w:rPr>
          <w:lang w:val="sk-SK"/>
        </w:rPr>
        <w:t>Kombinovanie fosamprenaviru s posakonazolom môže viesť k zníženiu plazmatických koncentrácií posakonazolu. Ak je súbežné podávanie nevyhnutné, odporúča sa starostlivé sledovanie kvôli vzniku prielomových mykotických infekcií. Podávanie opakovaných dávok fosamprenaviru (700 mg dvakrát</w:t>
      </w:r>
      <w:r w:rsidR="00642424">
        <w:rPr>
          <w:lang w:val="sk-SK"/>
        </w:rPr>
        <w:t xml:space="preserve"> </w:t>
      </w:r>
      <w:r w:rsidRPr="00507E09">
        <w:rPr>
          <w:lang w:val="sk-SK"/>
        </w:rPr>
        <w:t>denne počas 10 dní) znížilo C</w:t>
      </w:r>
      <w:r w:rsidRPr="00507E09">
        <w:rPr>
          <w:position w:val="-2"/>
          <w:sz w:val="14"/>
          <w:lang w:val="sk-SK"/>
        </w:rPr>
        <w:t xml:space="preserve">max </w:t>
      </w:r>
      <w:r w:rsidRPr="00507E09">
        <w:rPr>
          <w:lang w:val="sk-SK"/>
        </w:rPr>
        <w:t>posakonazolu vo forme perorálnej suspenzie (prvý deň 200 mg jedenkrát denne, druhý deň 200 mg dvakrát denne, potom 400 mg dvakrát denne počas 8 dní) o 21 % a AUC o 23 %. Nie je známy účinok posakonazolu na hladiny fosamprenaviru, keď sa fosamprenavir podáva s ritonavirom.</w:t>
      </w:r>
    </w:p>
    <w:p w14:paraId="29779CF4" w14:textId="77777777" w:rsidR="00F132B6" w:rsidRPr="00507E09" w:rsidRDefault="00F132B6">
      <w:pPr>
        <w:pStyle w:val="Zkladntext"/>
        <w:rPr>
          <w:lang w:val="sk-SK"/>
        </w:rPr>
      </w:pPr>
    </w:p>
    <w:p w14:paraId="6CCD0DC9" w14:textId="77777777" w:rsidR="00F132B6" w:rsidRPr="00507E09" w:rsidRDefault="00F132B6">
      <w:pPr>
        <w:spacing w:line="252" w:lineRule="exact"/>
        <w:ind w:left="118"/>
        <w:rPr>
          <w:i/>
          <w:lang w:val="sk-SK"/>
        </w:rPr>
      </w:pPr>
      <w:r w:rsidRPr="00507E09">
        <w:rPr>
          <w:i/>
          <w:lang w:val="sk-SK"/>
        </w:rPr>
        <w:t>Fenytoín</w:t>
      </w:r>
    </w:p>
    <w:p w14:paraId="1196CD5C" w14:textId="77777777" w:rsidR="00F132B6" w:rsidRPr="00507E09" w:rsidRDefault="00F132B6">
      <w:pPr>
        <w:pStyle w:val="Zkladntext"/>
        <w:spacing w:before="3" w:line="235" w:lineRule="auto"/>
        <w:ind w:left="118" w:right="398"/>
        <w:rPr>
          <w:lang w:val="sk-SK"/>
        </w:rPr>
      </w:pPr>
      <w:r w:rsidRPr="00507E09">
        <w:rPr>
          <w:lang w:val="sk-SK"/>
        </w:rPr>
        <w:t>Fenytoín (200 mg jedenkrát denne) znížil C</w:t>
      </w:r>
      <w:r w:rsidRPr="00507E09">
        <w:rPr>
          <w:position w:val="-2"/>
          <w:sz w:val="14"/>
          <w:lang w:val="sk-SK"/>
        </w:rPr>
        <w:t xml:space="preserve">max </w:t>
      </w:r>
      <w:r w:rsidRPr="00507E09">
        <w:rPr>
          <w:lang w:val="sk-SK"/>
        </w:rPr>
        <w:t>posakonazolu o 41 % a AUC o 50 %. Je potrebné vyhnúť sa súbežnému použitiu posakonazolu a fenytoínu a podobných induktorov (napr. karbamazepín, fenobarbital, primidón), pokiaľ prínos pre pacienta nepreváži riziko.</w:t>
      </w:r>
    </w:p>
    <w:p w14:paraId="61510747" w14:textId="77777777" w:rsidR="00F132B6" w:rsidRPr="00507E09" w:rsidRDefault="00F132B6">
      <w:pPr>
        <w:pStyle w:val="Zkladntext"/>
        <w:rPr>
          <w:sz w:val="20"/>
          <w:lang w:val="sk-SK"/>
        </w:rPr>
      </w:pPr>
    </w:p>
    <w:p w14:paraId="7C912C38" w14:textId="77777777" w:rsidR="00F132B6" w:rsidRPr="00507E09" w:rsidRDefault="00F132B6">
      <w:pPr>
        <w:spacing w:line="259" w:lineRule="exact"/>
        <w:ind w:left="118"/>
        <w:rPr>
          <w:i/>
          <w:lang w:val="sk-SK"/>
        </w:rPr>
      </w:pPr>
      <w:r w:rsidRPr="00507E09">
        <w:rPr>
          <w:i/>
          <w:lang w:val="sk-SK"/>
        </w:rPr>
        <w:t>Antagonisty H</w:t>
      </w:r>
      <w:r w:rsidRPr="00507E09">
        <w:rPr>
          <w:i/>
          <w:position w:val="-2"/>
          <w:sz w:val="14"/>
          <w:lang w:val="sk-SK"/>
        </w:rPr>
        <w:t>2</w:t>
      </w:r>
      <w:r w:rsidRPr="00507E09">
        <w:rPr>
          <w:i/>
          <w:lang w:val="sk-SK"/>
        </w:rPr>
        <w:t>-receptorov a inhibítory protónovej pumpy</w:t>
      </w:r>
    </w:p>
    <w:p w14:paraId="685A6317" w14:textId="77777777" w:rsidR="00F132B6" w:rsidRPr="00507E09" w:rsidRDefault="00F132B6">
      <w:pPr>
        <w:pStyle w:val="Zkladntext"/>
        <w:spacing w:line="253" w:lineRule="exact"/>
        <w:ind w:left="118"/>
        <w:rPr>
          <w:lang w:val="sk-SK"/>
        </w:rPr>
      </w:pPr>
      <w:r w:rsidRPr="00507E09">
        <w:rPr>
          <w:lang w:val="sk-SK"/>
        </w:rPr>
        <w:t>Pri súbežnom užívaní posakonazolu vo forme tabliet s antacidami, antagonistami H</w:t>
      </w:r>
      <w:r w:rsidRPr="00507E09">
        <w:rPr>
          <w:position w:val="-2"/>
          <w:sz w:val="14"/>
          <w:lang w:val="sk-SK"/>
        </w:rPr>
        <w:t>2</w:t>
      </w:r>
      <w:r w:rsidRPr="00507E09">
        <w:rPr>
          <w:lang w:val="sk-SK"/>
        </w:rPr>
        <w:t>-receptorov</w:t>
      </w:r>
    </w:p>
    <w:p w14:paraId="6E986835" w14:textId="77777777" w:rsidR="00F132B6" w:rsidRPr="00507E09" w:rsidRDefault="00F132B6">
      <w:pPr>
        <w:pStyle w:val="Zkladntext"/>
        <w:spacing w:line="235" w:lineRule="auto"/>
        <w:ind w:left="118" w:right="561"/>
        <w:rPr>
          <w:lang w:val="sk-SK"/>
        </w:rPr>
      </w:pPr>
      <w:r w:rsidRPr="00507E09">
        <w:rPr>
          <w:lang w:val="sk-SK"/>
        </w:rPr>
        <w:t>a inhibítormi protónovej pumpy sa nepozorovali žiadne klinicky významné účinky. Pri súbežnom užívaní posakonazolu vo forme tabliet s antacidami, antagonistami H</w:t>
      </w:r>
      <w:r w:rsidRPr="00507E09">
        <w:rPr>
          <w:position w:val="-2"/>
          <w:sz w:val="14"/>
          <w:lang w:val="sk-SK"/>
        </w:rPr>
        <w:t>2</w:t>
      </w:r>
      <w:r w:rsidRPr="00507E09">
        <w:rPr>
          <w:lang w:val="sk-SK"/>
        </w:rPr>
        <w:t>-receptorov a inhibítormi protónovej pumpy sa nevyžaduje žiadna úprava dávkovania.</w:t>
      </w:r>
    </w:p>
    <w:p w14:paraId="67E2A6F2" w14:textId="77777777" w:rsidR="00F132B6" w:rsidRPr="00507E09" w:rsidRDefault="00F132B6">
      <w:pPr>
        <w:pStyle w:val="Zkladntext"/>
        <w:rPr>
          <w:lang w:val="sk-SK"/>
        </w:rPr>
      </w:pPr>
    </w:p>
    <w:p w14:paraId="7D2B8F1E" w14:textId="77777777" w:rsidR="00F132B6" w:rsidRPr="00507E09" w:rsidRDefault="00F132B6">
      <w:pPr>
        <w:pStyle w:val="Zkladntext"/>
        <w:ind w:left="118"/>
        <w:rPr>
          <w:lang w:val="sk-SK"/>
        </w:rPr>
      </w:pPr>
      <w:r w:rsidRPr="00507E09">
        <w:rPr>
          <w:u w:val="single"/>
          <w:lang w:val="sk-SK"/>
        </w:rPr>
        <w:t>Vplyv posakonazolu na iné lieky</w:t>
      </w:r>
    </w:p>
    <w:p w14:paraId="0B1E5FBF" w14:textId="5AE6D912" w:rsidR="00F132B6" w:rsidRPr="00507E09" w:rsidRDefault="00F132B6" w:rsidP="00E13FB9">
      <w:pPr>
        <w:pStyle w:val="Zkladntext"/>
        <w:spacing w:before="1"/>
        <w:ind w:left="118" w:right="285"/>
        <w:rPr>
          <w:lang w:val="sk-SK"/>
        </w:rPr>
      </w:pPr>
      <w:r w:rsidRPr="00507E09">
        <w:rPr>
          <w:lang w:val="sk-SK"/>
        </w:rPr>
        <w:t xml:space="preserve">Posakonazol je silným inhibítorom CYP3A4. Súbežné podávanie posakonazolu so substrátmi CYP3A4 môže viesť k výraznému zvýšeniu expozícií substrátom CYP3A4, ako to ďalej dokazujú účinky na takrolimus, sirolimus, atazanavir a midazolam. Počas súbežného podávania posakonazolu a intravenózne podávaných substrátov CYP3A4 sa odporúča postupovať opatrne a dávku substrátu CYP3A4 bude možno treba znížiť. Ak sa posakonazol používa súbežne so substrátmi CYP3A4 podávanými perorálne, ktorých zvýšené plazmatické koncentrácie môžu byť spojené s neprijateľnými nežiaducimi reakciami, je potrebné starostlivo sledovať plazmatické koncentrácie substrátu CYP3A4 a/alebo nežiaduce reakcie a podľa potreby upraviť dávku. Niektoré interakčné štúdie sa </w:t>
      </w:r>
      <w:r w:rsidR="00474F1E">
        <w:rPr>
          <w:lang w:val="sk-SK"/>
        </w:rPr>
        <w:t xml:space="preserve"> </w:t>
      </w:r>
      <w:r w:rsidR="00474F1E" w:rsidRPr="00507E09">
        <w:rPr>
          <w:lang w:val="sk-SK"/>
        </w:rPr>
        <w:t>uskutočnili u</w:t>
      </w:r>
      <w:r w:rsidRPr="00507E09">
        <w:rPr>
          <w:lang w:val="sk-SK"/>
        </w:rPr>
        <w:t xml:space="preserve"> </w:t>
      </w:r>
      <w:r w:rsidRPr="00507E09">
        <w:rPr>
          <w:lang w:val="sk-SK"/>
        </w:rPr>
        <w:lastRenderedPageBreak/>
        <w:t>zdravých dobrovoľníkov, u ktorých sa pozorovala vyššia expozícia posakonazolu v porovnaní s pacientmi, ktorým sa podávala rovnaká dávka. Účinok posakonazolu na substráty CYP3A4 by</w:t>
      </w:r>
      <w:r w:rsidR="00474F1E">
        <w:rPr>
          <w:lang w:val="sk-SK"/>
        </w:rPr>
        <w:t xml:space="preserve"> </w:t>
      </w:r>
      <w:r w:rsidRPr="00507E09">
        <w:rPr>
          <w:lang w:val="sk-SK"/>
        </w:rPr>
        <w:t>u pacientov mohol byť trochu nižší ako účinok pozorovaný u zdravých dobrovoľníkov, pričom sa očakáva, že medzi jednotlivými pacientmi sa bude líšiť v dôsledku variabilnej expozície posakonazolu u pacientov. Účinok súbežného podávania posakonazolu na plazmatické hladiny substrátov CYP3A4 sa tiež môže líšiť u jednotlivého pacienta.</w:t>
      </w:r>
    </w:p>
    <w:p w14:paraId="274BE0F4" w14:textId="77777777" w:rsidR="00F132B6" w:rsidRPr="00507E09" w:rsidRDefault="00F132B6" w:rsidP="00474F1E">
      <w:pPr>
        <w:pStyle w:val="Zkladntext"/>
        <w:rPr>
          <w:lang w:val="sk-SK"/>
        </w:rPr>
      </w:pPr>
    </w:p>
    <w:p w14:paraId="2501BDD2" w14:textId="77777777" w:rsidR="00F132B6" w:rsidRPr="00507E09" w:rsidRDefault="00F132B6">
      <w:pPr>
        <w:spacing w:line="252" w:lineRule="exact"/>
        <w:ind w:left="118"/>
        <w:rPr>
          <w:i/>
          <w:lang w:val="sk-SK"/>
        </w:rPr>
      </w:pPr>
      <w:r w:rsidRPr="00507E09">
        <w:rPr>
          <w:i/>
          <w:lang w:val="sk-SK"/>
        </w:rPr>
        <w:t>Terfenadín, astemizol, cisaprid, pimozid, halofantrín a chinidín (substráty CYP3A4)</w:t>
      </w:r>
    </w:p>
    <w:p w14:paraId="4EDBD836" w14:textId="77777777" w:rsidR="00F132B6" w:rsidRPr="00507E09" w:rsidRDefault="00F132B6">
      <w:pPr>
        <w:pStyle w:val="Zkladntext"/>
        <w:ind w:left="118" w:right="181"/>
        <w:rPr>
          <w:lang w:val="sk-SK"/>
        </w:rPr>
      </w:pPr>
      <w:r w:rsidRPr="00507E09">
        <w:rPr>
          <w:lang w:val="sk-SK"/>
        </w:rPr>
        <w:t xml:space="preserve">Súbežné podávanie posakonazolu a terfenadínu, astemizolu, cisapridu, pimozidu, halofantrínu alebo chinidínu je kontraindikované. Súbežné podávanie môže viesť k zvýšeniu plazmatických koncentrácií týchto liekov, vedúcemu k predĺženiu QTc intervalu a k zriedkavým </w:t>
      </w:r>
      <w:r w:rsidRPr="004C60E5">
        <w:rPr>
          <w:lang w:val="sk-SK"/>
        </w:rPr>
        <w:t>prípadom torsades de pointes</w:t>
      </w:r>
      <w:r w:rsidRPr="00507E09">
        <w:rPr>
          <w:i/>
          <w:lang w:val="sk-SK"/>
        </w:rPr>
        <w:t xml:space="preserve"> </w:t>
      </w:r>
      <w:r w:rsidRPr="00507E09">
        <w:rPr>
          <w:lang w:val="sk-SK"/>
        </w:rPr>
        <w:t>(pozri časť 4.3).</w:t>
      </w:r>
    </w:p>
    <w:p w14:paraId="63026EED" w14:textId="77777777" w:rsidR="00F132B6" w:rsidRPr="00507E09" w:rsidRDefault="00F132B6">
      <w:pPr>
        <w:pStyle w:val="Zkladntext"/>
        <w:spacing w:before="10"/>
        <w:rPr>
          <w:sz w:val="21"/>
          <w:lang w:val="sk-SK"/>
        </w:rPr>
      </w:pPr>
    </w:p>
    <w:p w14:paraId="6F6655BB" w14:textId="77777777" w:rsidR="00F132B6" w:rsidRPr="00507E09" w:rsidRDefault="00F132B6">
      <w:pPr>
        <w:ind w:left="118"/>
        <w:rPr>
          <w:i/>
          <w:lang w:val="sk-SK"/>
        </w:rPr>
      </w:pPr>
      <w:r w:rsidRPr="00507E09">
        <w:rPr>
          <w:i/>
          <w:lang w:val="sk-SK"/>
        </w:rPr>
        <w:t>Námeľové alkaloidy</w:t>
      </w:r>
    </w:p>
    <w:p w14:paraId="43F3ECC1" w14:textId="77777777" w:rsidR="00F132B6" w:rsidRPr="00507E09" w:rsidRDefault="00F132B6">
      <w:pPr>
        <w:pStyle w:val="Zkladntext"/>
        <w:spacing w:before="1" w:line="252" w:lineRule="exact"/>
        <w:ind w:left="118"/>
        <w:rPr>
          <w:lang w:val="sk-SK"/>
        </w:rPr>
      </w:pPr>
      <w:r w:rsidRPr="00507E09">
        <w:rPr>
          <w:lang w:val="sk-SK"/>
        </w:rPr>
        <w:t>Posakonazol môže zvýšiť plazmatickú koncentráciu námeľových alkaloidov (ergotamín</w:t>
      </w:r>
    </w:p>
    <w:p w14:paraId="7FCE91D5" w14:textId="77777777" w:rsidR="00F132B6" w:rsidRPr="00507E09" w:rsidRDefault="00F132B6">
      <w:pPr>
        <w:pStyle w:val="Zkladntext"/>
        <w:ind w:left="118" w:right="495"/>
        <w:rPr>
          <w:lang w:val="sk-SK"/>
        </w:rPr>
      </w:pPr>
      <w:r w:rsidRPr="00507E09">
        <w:rPr>
          <w:lang w:val="sk-SK"/>
        </w:rPr>
        <w:t>a dihydroergotamín), čo môže viesť k ergotizmu. Súbežné podávanie posakonazolu a námeľových alkaloidov je kontraindikované (pozri časť 4.3).</w:t>
      </w:r>
    </w:p>
    <w:p w14:paraId="32BDA3E6" w14:textId="77777777" w:rsidR="00F132B6" w:rsidRPr="00507E09" w:rsidRDefault="00F132B6">
      <w:pPr>
        <w:pStyle w:val="Zkladntext"/>
        <w:spacing w:before="11"/>
        <w:rPr>
          <w:sz w:val="19"/>
          <w:lang w:val="sk-SK"/>
        </w:rPr>
      </w:pPr>
    </w:p>
    <w:p w14:paraId="30456A6C" w14:textId="77777777" w:rsidR="00F132B6" w:rsidRPr="00507E09" w:rsidRDefault="00F132B6">
      <w:pPr>
        <w:ind w:left="118" w:right="884"/>
        <w:rPr>
          <w:i/>
          <w:lang w:val="sk-SK"/>
        </w:rPr>
      </w:pPr>
      <w:r w:rsidRPr="00507E09">
        <w:rPr>
          <w:i/>
          <w:lang w:val="sk-SK"/>
        </w:rPr>
        <w:t>Inhibítory HMG-CoA reduktázy metabolizované prostredníctvom CYP3A4 (napr. simvastatín, lovastatín a atorvastatín)</w:t>
      </w:r>
    </w:p>
    <w:p w14:paraId="72109017" w14:textId="77777777" w:rsidR="00F132B6" w:rsidRPr="00507E09" w:rsidRDefault="00F132B6">
      <w:pPr>
        <w:pStyle w:val="Zkladntext"/>
        <w:spacing w:before="1"/>
        <w:ind w:left="118" w:right="174"/>
        <w:rPr>
          <w:lang w:val="sk-SK"/>
        </w:rPr>
      </w:pPr>
      <w:r w:rsidRPr="00507E09">
        <w:rPr>
          <w:lang w:val="sk-SK"/>
        </w:rPr>
        <w:t>Posakonazol môže podstatne zvýšiť plazmatické hladiny inhibítorov HMG-CoA reduktázy, ktoré sú metabolizované prostredníctvom CYP3A4. Počas liečby posakonazolom sa musí liečba týmito inhibítormi HMG-CoA reduktázy ukončiť, pretože zvýšené hladiny sa spájali s rabdomyolýzou (pozri časť 4.3).</w:t>
      </w:r>
    </w:p>
    <w:p w14:paraId="0074C0EA" w14:textId="77777777" w:rsidR="00F132B6" w:rsidRPr="00507E09" w:rsidRDefault="00F132B6">
      <w:pPr>
        <w:pStyle w:val="Zkladntext"/>
        <w:rPr>
          <w:lang w:val="sk-SK"/>
        </w:rPr>
      </w:pPr>
    </w:p>
    <w:p w14:paraId="1A197C8B" w14:textId="77777777" w:rsidR="00F132B6" w:rsidRPr="00507E09" w:rsidRDefault="00F132B6">
      <w:pPr>
        <w:spacing w:line="252" w:lineRule="exact"/>
        <w:ind w:left="118"/>
        <w:rPr>
          <w:i/>
          <w:lang w:val="sk-SK"/>
        </w:rPr>
      </w:pPr>
      <w:r w:rsidRPr="00507E09">
        <w:rPr>
          <w:i/>
          <w:lang w:val="sk-SK"/>
        </w:rPr>
        <w:t>Alkaloidy z rodu Vinca</w:t>
      </w:r>
    </w:p>
    <w:p w14:paraId="5ECBA86D" w14:textId="77777777" w:rsidR="008C57C7" w:rsidRDefault="00F132B6" w:rsidP="00E13FB9">
      <w:pPr>
        <w:pStyle w:val="Zkladntext"/>
        <w:ind w:left="118" w:right="94"/>
        <w:rPr>
          <w:lang w:val="sk-SK"/>
        </w:rPr>
      </w:pPr>
      <w:r w:rsidRPr="00507E09">
        <w:rPr>
          <w:lang w:val="sk-SK"/>
        </w:rPr>
        <w:t xml:space="preserve">Väčšina alkaloidov z </w:t>
      </w:r>
      <w:r w:rsidRPr="006E104C">
        <w:rPr>
          <w:lang w:val="sk-SK"/>
        </w:rPr>
        <w:t>rodu Vinca</w:t>
      </w:r>
      <w:r w:rsidRPr="00507E09">
        <w:rPr>
          <w:i/>
          <w:lang w:val="sk-SK"/>
        </w:rPr>
        <w:t xml:space="preserve"> </w:t>
      </w:r>
      <w:r w:rsidRPr="00507E09">
        <w:rPr>
          <w:lang w:val="sk-SK"/>
        </w:rPr>
        <w:t xml:space="preserve">(napr. vinkristín a vinblastín) sú substrátmi CYP3A4. Súbežné podávanie azolových antimykotík, vrátane posakonazolu, s vinkristínom sa spája so závažnými nežiaducimi reakciami (pozri časť 4.4). Posakonazol môže zvýšiť plazmatické koncentrácie alkaloidov z rodu </w:t>
      </w:r>
      <w:r w:rsidRPr="006E104C">
        <w:rPr>
          <w:lang w:val="sk-SK"/>
        </w:rPr>
        <w:t>Vinca</w:t>
      </w:r>
      <w:r w:rsidRPr="00507E09">
        <w:rPr>
          <w:lang w:val="sk-SK"/>
        </w:rPr>
        <w:t>, čo môže viesť k neurotoxicite a ďalším závažným nežiaducim reakciám. Použitie azolových antimykotík, vrátane posakonazolu, preto vyhraďte pre pacientov dostávajúcich alkaloid</w:t>
      </w:r>
      <w:r w:rsidR="00A65B36">
        <w:rPr>
          <w:lang w:val="sk-SK"/>
        </w:rPr>
        <w:t xml:space="preserve"> </w:t>
      </w:r>
      <w:r w:rsidRPr="00507E09">
        <w:rPr>
          <w:lang w:val="sk-SK"/>
        </w:rPr>
        <w:t xml:space="preserve">z rodu </w:t>
      </w:r>
      <w:r w:rsidRPr="006E104C">
        <w:rPr>
          <w:lang w:val="sk-SK"/>
        </w:rPr>
        <w:t>Vinca</w:t>
      </w:r>
      <w:r w:rsidRPr="00507E09">
        <w:rPr>
          <w:lang w:val="sk-SK"/>
        </w:rPr>
        <w:t>, vrátane vinkristínu, u ktorých nie je žiadna alternatívna možnosť antimykotickej liečby.</w:t>
      </w:r>
    </w:p>
    <w:p w14:paraId="46095153" w14:textId="77777777" w:rsidR="008C57C7" w:rsidRDefault="008C57C7">
      <w:pPr>
        <w:pStyle w:val="Zkladntext"/>
        <w:spacing w:before="1" w:line="252" w:lineRule="exact"/>
        <w:ind w:left="118"/>
        <w:rPr>
          <w:lang w:val="sk-SK"/>
        </w:rPr>
      </w:pPr>
    </w:p>
    <w:p w14:paraId="6E81B8B6" w14:textId="77777777" w:rsidR="00F132B6" w:rsidRPr="00507E09" w:rsidRDefault="00F132B6">
      <w:pPr>
        <w:pStyle w:val="Zkladntext"/>
        <w:spacing w:before="1" w:line="252" w:lineRule="exact"/>
        <w:ind w:left="118"/>
        <w:rPr>
          <w:i/>
          <w:lang w:val="sk-SK"/>
        </w:rPr>
      </w:pPr>
      <w:r w:rsidRPr="00507E09">
        <w:rPr>
          <w:i/>
          <w:lang w:val="sk-SK"/>
        </w:rPr>
        <w:t>Rifabutín</w:t>
      </w:r>
    </w:p>
    <w:p w14:paraId="01981CFA" w14:textId="77777777" w:rsidR="00F132B6" w:rsidRPr="00507E09" w:rsidRDefault="00F132B6">
      <w:pPr>
        <w:pStyle w:val="Zkladntext"/>
        <w:spacing w:before="1" w:line="237" w:lineRule="auto"/>
        <w:ind w:left="118"/>
        <w:rPr>
          <w:lang w:val="sk-SK"/>
        </w:rPr>
      </w:pPr>
      <w:r w:rsidRPr="00507E09">
        <w:rPr>
          <w:lang w:val="sk-SK"/>
        </w:rPr>
        <w:t>Posakonazol zvýšil C</w:t>
      </w:r>
      <w:r w:rsidRPr="00507E09">
        <w:rPr>
          <w:position w:val="-2"/>
          <w:sz w:val="14"/>
          <w:lang w:val="sk-SK"/>
        </w:rPr>
        <w:t xml:space="preserve">max </w:t>
      </w:r>
      <w:r w:rsidRPr="00507E09">
        <w:rPr>
          <w:lang w:val="sk-SK"/>
        </w:rPr>
        <w:t>rifabutínu o 31 % a AUC o 72 %. Je potrebné vyhnúť sa súbežnému použitiu posakonazolu a rifabutínu, pokiaľ prínos pre pacienta nepreváži riziko (pozri aj vyššie uvedené informácie o účinku rifabutínu na plazmatické hladiny posakonazolu). Ak sa tieto lieky podávajú súbežne, odporúča sa starostlivé sledovanie kompletného krvného obrazu a nežiaducich reakcií súvisiacich so zvýšenými hladinami rifabutínu (napr. uveitída).</w:t>
      </w:r>
    </w:p>
    <w:p w14:paraId="439C43DD" w14:textId="77777777" w:rsidR="00F132B6" w:rsidRPr="00507E09" w:rsidRDefault="00F132B6">
      <w:pPr>
        <w:pStyle w:val="Zkladntext"/>
        <w:rPr>
          <w:lang w:val="sk-SK"/>
        </w:rPr>
      </w:pPr>
    </w:p>
    <w:p w14:paraId="5CE45318" w14:textId="77777777" w:rsidR="00F132B6" w:rsidRPr="00507E09" w:rsidRDefault="00F132B6">
      <w:pPr>
        <w:spacing w:line="252" w:lineRule="exact"/>
        <w:ind w:left="118"/>
        <w:rPr>
          <w:i/>
          <w:lang w:val="sk-SK"/>
        </w:rPr>
      </w:pPr>
      <w:r w:rsidRPr="00507E09">
        <w:rPr>
          <w:i/>
          <w:lang w:val="sk-SK"/>
        </w:rPr>
        <w:t>Sirolimus</w:t>
      </w:r>
    </w:p>
    <w:p w14:paraId="3E54B4E8" w14:textId="74D8E292" w:rsidR="00F132B6" w:rsidRPr="00507E09" w:rsidRDefault="00F132B6" w:rsidP="00E13FB9">
      <w:pPr>
        <w:pStyle w:val="Zkladntext"/>
        <w:spacing w:before="3" w:line="235" w:lineRule="auto"/>
        <w:ind w:left="118" w:right="328"/>
        <w:rPr>
          <w:lang w:val="sk-SK"/>
        </w:rPr>
      </w:pPr>
      <w:r w:rsidRPr="00507E09">
        <w:rPr>
          <w:lang w:val="sk-SK"/>
        </w:rPr>
        <w:t>Podávanie opakovaných dávok posakonazolu vo forme perorálnej suspenzie (400 mg dvakrát denne počas 16 dní) zdravým osobám zvýšilo C</w:t>
      </w:r>
      <w:r w:rsidRPr="00507E09">
        <w:rPr>
          <w:position w:val="-2"/>
          <w:sz w:val="14"/>
          <w:lang w:val="sk-SK"/>
        </w:rPr>
        <w:t xml:space="preserve">max </w:t>
      </w:r>
      <w:r w:rsidRPr="00507E09">
        <w:rPr>
          <w:lang w:val="sk-SK"/>
        </w:rPr>
        <w:t>sirolimu (jednorazová dávka 2 mg) priemerne 6,7-násobne a AUC 8,9-násobne (rozsah 3,1 až 17,5-násobok). Účinok posakonazolu na sirolimus</w:t>
      </w:r>
      <w:r w:rsidR="002B12A3">
        <w:rPr>
          <w:lang w:val="sk-SK"/>
        </w:rPr>
        <w:t xml:space="preserve"> </w:t>
      </w:r>
      <w:r w:rsidRPr="00507E09">
        <w:rPr>
          <w:lang w:val="sk-SK"/>
        </w:rPr>
        <w:t xml:space="preserve">u pacientov nie je známy, ale očakáva sa, že bude variabilný v dôsledku variabilnej expozície posakonazolu u pacientov. Súbežné podávanie posakonazolu so sirolimom sa neodporúča a treba sa mu vyhnúť vždy, keď je to možné. Ak sa súbežné podávanie považuje za nevyhnutné, potom sa odporúča dávku sirolimu na začiatku liečby posakonazolom značne znížiť a veľmi často sledovať minimálne koncentrácie sirolimu v </w:t>
      </w:r>
      <w:r w:rsidR="0000482F">
        <w:rPr>
          <w:lang w:val="sk-SK"/>
        </w:rPr>
        <w:t>celej</w:t>
      </w:r>
      <w:r w:rsidRPr="00507E09">
        <w:rPr>
          <w:lang w:val="sk-SK"/>
        </w:rPr>
        <w:t xml:space="preserve"> krvi. Koncentrácie sirolimu sa majú merať na začiatku, počas súbežného podávania a po ukončení liečby posakonazolom, pričom treba primerane upraviť dávky sirolimu. Je potrebné si uvedomiť, že počas súbežného podávania s posakonazolom sa mení vzťah medzi minimálnou koncentráciou a AUC sirolimu. V dôsledku toho môžu minimálne koncentrácie sirolimu, ktoré spadajú do zvyčajného terapeutického rozmedzia, vyústiť do </w:t>
      </w:r>
      <w:r w:rsidRPr="00507E09">
        <w:rPr>
          <w:lang w:val="sk-SK"/>
        </w:rPr>
        <w:lastRenderedPageBreak/>
        <w:t>subterapeutických hladín. Preto je potrebné docieliť, aby sa minimálne koncentrácie sirolimu nachádzali v hornej časti zvyčajného terapeutického rozmedzia a má sa venovať zvýšená pozornosť klinickým prejavom</w:t>
      </w:r>
      <w:r w:rsidR="0000482F">
        <w:rPr>
          <w:lang w:val="sk-SK"/>
        </w:rPr>
        <w:t xml:space="preserve"> </w:t>
      </w:r>
      <w:r w:rsidRPr="00507E09">
        <w:rPr>
          <w:lang w:val="sk-SK"/>
        </w:rPr>
        <w:t>a príznakom, laboratórnym hodnotám a biopsiám tkanív.</w:t>
      </w:r>
    </w:p>
    <w:p w14:paraId="52AD056B" w14:textId="77777777" w:rsidR="00F132B6" w:rsidRPr="00507E09" w:rsidRDefault="00F132B6">
      <w:pPr>
        <w:pStyle w:val="Zkladntext"/>
        <w:spacing w:before="11"/>
        <w:rPr>
          <w:sz w:val="21"/>
          <w:lang w:val="sk-SK"/>
        </w:rPr>
      </w:pPr>
    </w:p>
    <w:p w14:paraId="52B5AB3E" w14:textId="77777777" w:rsidR="00F132B6" w:rsidRPr="00507E09" w:rsidRDefault="00F132B6">
      <w:pPr>
        <w:spacing w:line="252" w:lineRule="exact"/>
        <w:ind w:left="118"/>
        <w:rPr>
          <w:i/>
          <w:lang w:val="sk-SK"/>
        </w:rPr>
      </w:pPr>
      <w:r w:rsidRPr="00507E09">
        <w:rPr>
          <w:i/>
          <w:lang w:val="sk-SK"/>
        </w:rPr>
        <w:t>Cyklosporín</w:t>
      </w:r>
    </w:p>
    <w:p w14:paraId="1E774D68" w14:textId="3F78DEFE" w:rsidR="00F132B6" w:rsidRPr="00507E09" w:rsidRDefault="00F132B6" w:rsidP="00E13FB9">
      <w:pPr>
        <w:pStyle w:val="Zkladntext"/>
        <w:ind w:left="118" w:right="285"/>
        <w:rPr>
          <w:lang w:val="sk-SK"/>
        </w:rPr>
      </w:pPr>
      <w:r w:rsidRPr="00507E09">
        <w:rPr>
          <w:lang w:val="sk-SK"/>
        </w:rPr>
        <w:t xml:space="preserve">U pacientov po transplantácii srdca na stabilnej dávke cyklosporínu, 200 mg posakonazolu vo forme perorálnej suspenzie jedenkrát denne zvýšilo koncentrácie cyklosporínu, čo vyžadovalo zníženie dávky. V štúdiách klinickej účinnosti </w:t>
      </w:r>
      <w:r w:rsidR="00A046F5">
        <w:rPr>
          <w:lang w:val="sk-SK"/>
        </w:rPr>
        <w:t xml:space="preserve">boli hlásené </w:t>
      </w:r>
      <w:r w:rsidRPr="00507E09">
        <w:rPr>
          <w:lang w:val="sk-SK"/>
        </w:rPr>
        <w:t xml:space="preserve"> prípady zvýšenia hladín cyklosporínu vedúce</w:t>
      </w:r>
      <w:r w:rsidR="00A046F5">
        <w:rPr>
          <w:lang w:val="sk-SK"/>
        </w:rPr>
        <w:t xml:space="preserve"> </w:t>
      </w:r>
      <w:r w:rsidRPr="00507E09">
        <w:rPr>
          <w:lang w:val="sk-SK"/>
        </w:rPr>
        <w:t>k závažným nežiaducim reakciám, vrátane nefrotoxicity a jedného fatálneho prípadu leukoencefalopatie. Keď sa s liečbou posakonazolom začína u pacientov, ktorí už dostávajú cyklosporín, dávka cyklosporínu sa má znížiť (napr. na asi tri štvrtiny súčasnej dávky). Následne je potrebné starostlivo sledovať hladiny cyklosporínu v krvi, a to počas súbežného podávania a po ukončení liečby posakonazolom, a dávku cyklosporínu upraviť podľa potreby.</w:t>
      </w:r>
    </w:p>
    <w:p w14:paraId="61E14720" w14:textId="77777777" w:rsidR="00F132B6" w:rsidRPr="00507E09" w:rsidRDefault="00F132B6" w:rsidP="00D1498D">
      <w:pPr>
        <w:pStyle w:val="Zkladntext"/>
        <w:rPr>
          <w:lang w:val="sk-SK"/>
        </w:rPr>
      </w:pPr>
    </w:p>
    <w:p w14:paraId="1A72873F" w14:textId="77777777" w:rsidR="00F132B6" w:rsidRPr="00507E09" w:rsidRDefault="00F132B6" w:rsidP="00D1498D">
      <w:pPr>
        <w:spacing w:line="252" w:lineRule="exact"/>
        <w:ind w:left="118"/>
        <w:rPr>
          <w:i/>
          <w:lang w:val="sk-SK"/>
        </w:rPr>
      </w:pPr>
      <w:r w:rsidRPr="00E80A5D">
        <w:rPr>
          <w:i/>
          <w:lang w:val="sk-SK"/>
        </w:rPr>
        <w:t>Takrolimus</w:t>
      </w:r>
    </w:p>
    <w:p w14:paraId="36BB2F97" w14:textId="77777777" w:rsidR="00F132B6" w:rsidRPr="00507E09" w:rsidRDefault="00F132B6" w:rsidP="00136563">
      <w:pPr>
        <w:pStyle w:val="Zkladntext"/>
        <w:spacing w:line="260" w:lineRule="exact"/>
        <w:ind w:left="118"/>
        <w:rPr>
          <w:lang w:val="sk-SK"/>
        </w:rPr>
      </w:pPr>
      <w:r w:rsidRPr="00507E09">
        <w:rPr>
          <w:lang w:val="sk-SK"/>
        </w:rPr>
        <w:t>Posakonazol zvýšil C</w:t>
      </w:r>
      <w:r w:rsidRPr="00507E09">
        <w:rPr>
          <w:position w:val="-2"/>
          <w:sz w:val="14"/>
          <w:lang w:val="sk-SK"/>
        </w:rPr>
        <w:t xml:space="preserve">max </w:t>
      </w:r>
      <w:r w:rsidRPr="00507E09">
        <w:rPr>
          <w:lang w:val="sk-SK"/>
        </w:rPr>
        <w:t>takrolimu (jednorazová dávka 0,05 mg/kg telesnej hmotnosti) o 121 %</w:t>
      </w:r>
    </w:p>
    <w:p w14:paraId="461D7412" w14:textId="1B0F9C1B" w:rsidR="00F132B6" w:rsidRPr="00507E09" w:rsidRDefault="00F132B6" w:rsidP="00E13FB9">
      <w:pPr>
        <w:pStyle w:val="Zkladntext"/>
        <w:ind w:left="118" w:right="376"/>
        <w:rPr>
          <w:lang w:val="sk-SK"/>
        </w:rPr>
      </w:pPr>
      <w:r w:rsidRPr="00507E09">
        <w:rPr>
          <w:lang w:val="sk-SK"/>
        </w:rPr>
        <w:t xml:space="preserve">a AUC o 358 %. V štúdiách klinickej účinnosti </w:t>
      </w:r>
      <w:r w:rsidR="00136563">
        <w:rPr>
          <w:lang w:val="sk-SK"/>
        </w:rPr>
        <w:t xml:space="preserve">boli hlásené </w:t>
      </w:r>
      <w:r w:rsidRPr="00507E09">
        <w:rPr>
          <w:lang w:val="sk-SK"/>
        </w:rPr>
        <w:t xml:space="preserve"> klinicky významné interakcie, ktoré viedli k hospitalizácii a/alebo ukončeniu liečby posakonazolom. Keď sa s liečbou posakonazolom začína u pacientov, ktorí už dostávajú takrolimus, dávka takrolimu sa má znížiť (napr. na asi jednu tretinu súčasnej dávky). Následne je potrebné starostlivo sledovať hladiny takrolimu v krvi, a to počas</w:t>
      </w:r>
      <w:r w:rsidR="00136563">
        <w:rPr>
          <w:lang w:val="sk-SK"/>
        </w:rPr>
        <w:t xml:space="preserve"> </w:t>
      </w:r>
      <w:r w:rsidRPr="00507E09">
        <w:rPr>
          <w:lang w:val="sk-SK"/>
        </w:rPr>
        <w:t>súbežného podávania a po ukončení liečby posakonazolom, a dávku takrolimu upraviť podľa potreby.</w:t>
      </w:r>
    </w:p>
    <w:p w14:paraId="72FAA390" w14:textId="77777777" w:rsidR="00F132B6" w:rsidRPr="00507E09" w:rsidRDefault="00F132B6">
      <w:pPr>
        <w:pStyle w:val="Zkladntext"/>
        <w:rPr>
          <w:lang w:val="sk-SK"/>
        </w:rPr>
      </w:pPr>
    </w:p>
    <w:p w14:paraId="1461C107" w14:textId="77777777" w:rsidR="00F132B6" w:rsidRPr="00507E09" w:rsidRDefault="00F132B6">
      <w:pPr>
        <w:spacing w:line="252" w:lineRule="exact"/>
        <w:ind w:left="118"/>
        <w:rPr>
          <w:i/>
          <w:lang w:val="sk-SK"/>
        </w:rPr>
      </w:pPr>
      <w:r w:rsidRPr="00507E09">
        <w:rPr>
          <w:i/>
          <w:lang w:val="sk-SK"/>
        </w:rPr>
        <w:t>Inhibítory HIV proteázy</w:t>
      </w:r>
    </w:p>
    <w:p w14:paraId="0536EACF" w14:textId="77777777" w:rsidR="00F132B6" w:rsidRPr="00507E09" w:rsidRDefault="00F132B6" w:rsidP="00E13FB9">
      <w:pPr>
        <w:pStyle w:val="Zkladntext"/>
        <w:ind w:left="118" w:right="497"/>
        <w:rPr>
          <w:lang w:val="sk-SK"/>
        </w:rPr>
      </w:pPr>
      <w:r w:rsidRPr="00507E09">
        <w:rPr>
          <w:lang w:val="sk-SK"/>
        </w:rPr>
        <w:t>Keďže inhibítory HIV proteázy sú substrátmi CYP3A4, predpokladá sa, že posakonazol bude zvyšovať plazmatické hladiny týchto antiretrovírusových liečiv. V dôsledku súbežného podávania posakonazolu vo forme perorálnej suspenzie (400 mg dvakrát denne) s atazanavirom (300 mg jedenkrát denne) počas 7 dní sa C</w:t>
      </w:r>
      <w:r w:rsidRPr="00507E09">
        <w:rPr>
          <w:position w:val="-2"/>
          <w:sz w:val="14"/>
          <w:lang w:val="sk-SK"/>
        </w:rPr>
        <w:t xml:space="preserve">max </w:t>
      </w:r>
      <w:r w:rsidRPr="00507E09">
        <w:rPr>
          <w:lang w:val="sk-SK"/>
        </w:rPr>
        <w:t>atazanaviru u zdravých osôb zvýšila priemerne 2,6-násobne</w:t>
      </w:r>
      <w:r w:rsidR="00220749">
        <w:rPr>
          <w:lang w:val="sk-SK"/>
        </w:rPr>
        <w:t xml:space="preserve"> </w:t>
      </w:r>
      <w:r w:rsidRPr="00507E09">
        <w:rPr>
          <w:lang w:val="sk-SK"/>
        </w:rPr>
        <w:t>a AUC 3,7-násobne (rozsah 1,2 až 26-násobok). V dôsledku súbežného podávania posakonazolu vo forme perorálnej suspenzie (400 mg dvakrát denne) s atazanavirom a ritonavirom (300/100 mg jedenkrát denne) počas 7 dní sa C</w:t>
      </w:r>
      <w:r w:rsidRPr="00507E09">
        <w:rPr>
          <w:position w:val="-2"/>
          <w:sz w:val="14"/>
          <w:lang w:val="sk-SK"/>
        </w:rPr>
        <w:t xml:space="preserve">max </w:t>
      </w:r>
      <w:r w:rsidRPr="00507E09">
        <w:rPr>
          <w:lang w:val="sk-SK"/>
        </w:rPr>
        <w:t>atazanaviru u zdravých osôb zvýšila priemerne 1,5-násobne</w:t>
      </w:r>
      <w:r w:rsidR="00220749">
        <w:rPr>
          <w:lang w:val="sk-SK"/>
        </w:rPr>
        <w:t xml:space="preserve"> </w:t>
      </w:r>
      <w:r w:rsidRPr="00507E09">
        <w:rPr>
          <w:lang w:val="sk-SK"/>
        </w:rPr>
        <w:t>a AUC 2,5-násobne (rozsah 0,9 až 4,1-násobok). Pridanie posakonazolu k liečbe atazanavirom alebo atazanavirom plus ritonavirom sa spájalo so zvýšením plazmatických hladín bilirubínu. Počas súbežného podávania s posakonazolom sa odporúča často sledovať nežiaduce reakcie a toxicitu spojenú s antiretrovírusovými liečivami, ktoré sú substrátmi CYP3A4.</w:t>
      </w:r>
    </w:p>
    <w:p w14:paraId="26DAC2B2" w14:textId="77777777" w:rsidR="00F132B6" w:rsidRPr="00507E09" w:rsidRDefault="00F132B6">
      <w:pPr>
        <w:spacing w:before="70"/>
        <w:ind w:left="118"/>
        <w:rPr>
          <w:i/>
          <w:lang w:val="sk-SK"/>
        </w:rPr>
      </w:pPr>
      <w:r w:rsidRPr="00507E09">
        <w:rPr>
          <w:i/>
          <w:lang w:val="sk-SK"/>
        </w:rPr>
        <w:t>Midazolam a iné benzodiazepíny metabolizované prostredníctvom CYP3A4</w:t>
      </w:r>
    </w:p>
    <w:p w14:paraId="316BE2AF" w14:textId="77777777" w:rsidR="00F132B6" w:rsidRPr="00507E09" w:rsidRDefault="00F132B6">
      <w:pPr>
        <w:pStyle w:val="Zkladntext"/>
        <w:spacing w:before="3" w:line="237" w:lineRule="auto"/>
        <w:ind w:left="118" w:right="227"/>
        <w:rPr>
          <w:lang w:val="sk-SK"/>
        </w:rPr>
      </w:pPr>
      <w:r w:rsidRPr="00507E09">
        <w:rPr>
          <w:lang w:val="sk-SK"/>
        </w:rPr>
        <w:t xml:space="preserve">V štúdii u zdravých dobrovoľníkov zvýšil posakonazol vo forme perorálnej suspenzie (200 </w:t>
      </w:r>
      <w:r w:rsidRPr="00507E09">
        <w:rPr>
          <w:spacing w:val="-4"/>
          <w:lang w:val="sk-SK"/>
        </w:rPr>
        <w:t xml:space="preserve">mg </w:t>
      </w:r>
      <w:r w:rsidRPr="00507E09">
        <w:rPr>
          <w:lang w:val="sk-SK"/>
        </w:rPr>
        <w:t>jedenkrát denne počas 10 dní) expozíciu (AUC) intravenózneho midazolamu (0,05 mg/kg) o 83 %. V ďalšej štúdii u zdravých dobrovoľníkov zvýšilo podávanie opakovanej dávky posakonazolu vo forme perorálnej suspenzie (200 mg dvakrát denne počas 7 dní) C</w:t>
      </w:r>
      <w:r w:rsidRPr="00507E09">
        <w:rPr>
          <w:position w:val="-2"/>
          <w:sz w:val="14"/>
          <w:lang w:val="sk-SK"/>
        </w:rPr>
        <w:t xml:space="preserve">max </w:t>
      </w:r>
      <w:r w:rsidRPr="00507E09">
        <w:rPr>
          <w:lang w:val="sk-SK"/>
        </w:rPr>
        <w:t>intravenózneho midazolamu (jednorazová</w:t>
      </w:r>
      <w:r w:rsidRPr="00507E09">
        <w:rPr>
          <w:spacing w:val="-5"/>
          <w:lang w:val="sk-SK"/>
        </w:rPr>
        <w:t xml:space="preserve"> </w:t>
      </w:r>
      <w:r w:rsidRPr="00507E09">
        <w:rPr>
          <w:lang w:val="sk-SK"/>
        </w:rPr>
        <w:t>dávka</w:t>
      </w:r>
      <w:r w:rsidRPr="00507E09">
        <w:rPr>
          <w:spacing w:val="-5"/>
          <w:lang w:val="sk-SK"/>
        </w:rPr>
        <w:t xml:space="preserve"> </w:t>
      </w:r>
      <w:r w:rsidRPr="00507E09">
        <w:rPr>
          <w:lang w:val="sk-SK"/>
        </w:rPr>
        <w:t>0,4</w:t>
      </w:r>
      <w:r w:rsidRPr="00507E09">
        <w:rPr>
          <w:spacing w:val="-4"/>
          <w:lang w:val="sk-SK"/>
        </w:rPr>
        <w:t xml:space="preserve"> </w:t>
      </w:r>
      <w:r w:rsidRPr="00507E09">
        <w:rPr>
          <w:lang w:val="sk-SK"/>
        </w:rPr>
        <w:t>mg)</w:t>
      </w:r>
      <w:r w:rsidRPr="00507E09">
        <w:rPr>
          <w:spacing w:val="-5"/>
          <w:lang w:val="sk-SK"/>
        </w:rPr>
        <w:t xml:space="preserve"> </w:t>
      </w:r>
      <w:r w:rsidRPr="00507E09">
        <w:rPr>
          <w:lang w:val="sk-SK"/>
        </w:rPr>
        <w:t>priemerne</w:t>
      </w:r>
      <w:r w:rsidRPr="00507E09">
        <w:rPr>
          <w:spacing w:val="-5"/>
          <w:lang w:val="sk-SK"/>
        </w:rPr>
        <w:t xml:space="preserve"> </w:t>
      </w:r>
      <w:r w:rsidRPr="00507E09">
        <w:rPr>
          <w:lang w:val="sk-SK"/>
        </w:rPr>
        <w:t>1,3-násobne</w:t>
      </w:r>
      <w:r w:rsidRPr="00507E09">
        <w:rPr>
          <w:spacing w:val="-5"/>
          <w:lang w:val="sk-SK"/>
        </w:rPr>
        <w:t xml:space="preserve"> </w:t>
      </w:r>
      <w:r w:rsidRPr="00507E09">
        <w:rPr>
          <w:lang w:val="sk-SK"/>
        </w:rPr>
        <w:t>a</w:t>
      </w:r>
      <w:r w:rsidRPr="00507E09">
        <w:rPr>
          <w:spacing w:val="-6"/>
          <w:lang w:val="sk-SK"/>
        </w:rPr>
        <w:t xml:space="preserve"> </w:t>
      </w:r>
      <w:r w:rsidRPr="00507E09">
        <w:rPr>
          <w:lang w:val="sk-SK"/>
        </w:rPr>
        <w:t>AUC</w:t>
      </w:r>
      <w:r w:rsidRPr="00507E09">
        <w:rPr>
          <w:spacing w:val="-5"/>
          <w:lang w:val="sk-SK"/>
        </w:rPr>
        <w:t xml:space="preserve"> </w:t>
      </w:r>
      <w:r w:rsidRPr="00507E09">
        <w:rPr>
          <w:lang w:val="sk-SK"/>
        </w:rPr>
        <w:t>4,6-násobne</w:t>
      </w:r>
      <w:r w:rsidRPr="00507E09">
        <w:rPr>
          <w:spacing w:val="-5"/>
          <w:lang w:val="sk-SK"/>
        </w:rPr>
        <w:t xml:space="preserve"> </w:t>
      </w:r>
      <w:r w:rsidRPr="00507E09">
        <w:rPr>
          <w:lang w:val="sk-SK"/>
        </w:rPr>
        <w:t>(rozsah</w:t>
      </w:r>
      <w:r w:rsidRPr="00507E09">
        <w:rPr>
          <w:spacing w:val="-5"/>
          <w:lang w:val="sk-SK"/>
        </w:rPr>
        <w:t xml:space="preserve"> </w:t>
      </w:r>
      <w:r w:rsidRPr="00507E09">
        <w:rPr>
          <w:lang w:val="sk-SK"/>
        </w:rPr>
        <w:t>1,7</w:t>
      </w:r>
      <w:r w:rsidRPr="00507E09">
        <w:rPr>
          <w:spacing w:val="-5"/>
          <w:lang w:val="sk-SK"/>
        </w:rPr>
        <w:t xml:space="preserve"> </w:t>
      </w:r>
      <w:r w:rsidRPr="00507E09">
        <w:rPr>
          <w:lang w:val="sk-SK"/>
        </w:rPr>
        <w:t>až</w:t>
      </w:r>
      <w:r w:rsidRPr="00507E09">
        <w:rPr>
          <w:spacing w:val="-5"/>
          <w:lang w:val="sk-SK"/>
        </w:rPr>
        <w:t xml:space="preserve"> </w:t>
      </w:r>
      <w:r w:rsidRPr="00507E09">
        <w:rPr>
          <w:lang w:val="sk-SK"/>
        </w:rPr>
        <w:t>6,4-násobok).</w:t>
      </w:r>
    </w:p>
    <w:p w14:paraId="12E41A03" w14:textId="15174B27" w:rsidR="00F132B6" w:rsidRPr="00507E09" w:rsidRDefault="00F132B6">
      <w:pPr>
        <w:pStyle w:val="Zkladntext"/>
        <w:spacing w:before="3" w:line="235" w:lineRule="auto"/>
        <w:ind w:left="118" w:right="91"/>
        <w:rPr>
          <w:lang w:val="sk-SK"/>
        </w:rPr>
      </w:pPr>
      <w:r w:rsidRPr="00507E09">
        <w:rPr>
          <w:lang w:val="sk-SK"/>
        </w:rPr>
        <w:t>Posakonazol vo forme perorálnej suspenzie v dávke 400 mg dvakrát denne počas 7 dní zvýšil C</w:t>
      </w:r>
      <w:r w:rsidRPr="00507E09">
        <w:rPr>
          <w:position w:val="-2"/>
          <w:sz w:val="14"/>
          <w:lang w:val="sk-SK"/>
        </w:rPr>
        <w:t xml:space="preserve">max </w:t>
      </w:r>
      <w:r w:rsidRPr="00507E09">
        <w:rPr>
          <w:lang w:val="sk-SK"/>
        </w:rPr>
        <w:t>intravenózneho midazolamu 1,6-násobne a AUC 6,2-násobne (rozsah 1,6 až 7,6-násobok). Obe dávky posakonazolu zvýšili C</w:t>
      </w:r>
      <w:r w:rsidRPr="00507E09">
        <w:rPr>
          <w:position w:val="-2"/>
          <w:sz w:val="14"/>
          <w:lang w:val="sk-SK"/>
        </w:rPr>
        <w:t xml:space="preserve">max  </w:t>
      </w:r>
      <w:r w:rsidRPr="00507E09">
        <w:rPr>
          <w:lang w:val="sk-SK"/>
        </w:rPr>
        <w:t xml:space="preserve">perorálneho midazolamu (jednorazová perorálna dávka 2 mg) 2,2-násobne a AUC 4,5-násobne. Posakonazol vo forme perorálnej suspenzie (200 mg alebo 400 mg) počas súbežného podávania okrem toho predĺžil priemerný terminálny polčas midazolamu z približne 3 </w:t>
      </w:r>
      <w:r w:rsidR="00244E83">
        <w:rPr>
          <w:lang w:val="sk-SK"/>
        </w:rPr>
        <w:t>-</w:t>
      </w:r>
      <w:r w:rsidRPr="00507E09">
        <w:rPr>
          <w:lang w:val="sk-SK"/>
        </w:rPr>
        <w:t xml:space="preserve"> 4 hodín na 8 </w:t>
      </w:r>
      <w:r w:rsidR="00244E83">
        <w:rPr>
          <w:lang w:val="sk-SK"/>
        </w:rPr>
        <w:t>-</w:t>
      </w:r>
      <w:r w:rsidRPr="00507E09">
        <w:rPr>
          <w:lang w:val="sk-SK"/>
        </w:rPr>
        <w:t xml:space="preserve"> 10 hodín.</w:t>
      </w:r>
    </w:p>
    <w:p w14:paraId="53C68EAD" w14:textId="77777777" w:rsidR="00F132B6" w:rsidRPr="00507E09" w:rsidRDefault="00F132B6">
      <w:pPr>
        <w:pStyle w:val="Zkladntext"/>
        <w:ind w:left="118" w:right="99"/>
        <w:rPr>
          <w:lang w:val="sk-SK"/>
        </w:rPr>
      </w:pPr>
      <w:r w:rsidRPr="00507E09">
        <w:rPr>
          <w:lang w:val="sk-SK"/>
        </w:rPr>
        <w:t>Vzhľadom na riziko predĺženého sedatívneho účinku sa odporúča zvážiť úpravu dávky, keď sa posakonazol podáva súbežne s akýmkoľvek benzodiazepínom, ktorý sa metabolizuje prostredníctvom CYP3A4 (napr. midazolam, triazolam, alprazolam) (pozri časť 4.4).</w:t>
      </w:r>
    </w:p>
    <w:p w14:paraId="035C556C" w14:textId="77777777" w:rsidR="00F132B6" w:rsidRPr="00507E09" w:rsidRDefault="00F132B6">
      <w:pPr>
        <w:pStyle w:val="Zkladntext"/>
        <w:spacing w:before="1"/>
        <w:rPr>
          <w:lang w:val="sk-SK"/>
        </w:rPr>
      </w:pPr>
    </w:p>
    <w:p w14:paraId="0845CA28" w14:textId="77777777" w:rsidR="00F132B6" w:rsidRPr="00507E09" w:rsidRDefault="00F132B6">
      <w:pPr>
        <w:ind w:left="118" w:right="279"/>
        <w:rPr>
          <w:i/>
          <w:lang w:val="sk-SK"/>
        </w:rPr>
      </w:pPr>
      <w:r w:rsidRPr="00507E09">
        <w:rPr>
          <w:i/>
          <w:lang w:val="sk-SK"/>
        </w:rPr>
        <w:t>Blokátory kalciového kanála metabolizované prostredníctvom CYP3A4 (napr. diltiazem, verapamil, nifedipín, nizoldipín)</w:t>
      </w:r>
    </w:p>
    <w:p w14:paraId="786923AA" w14:textId="77777777" w:rsidR="00F132B6" w:rsidRPr="00507E09" w:rsidRDefault="00F132B6">
      <w:pPr>
        <w:pStyle w:val="Zkladntext"/>
        <w:spacing w:before="1" w:line="252" w:lineRule="exact"/>
        <w:ind w:left="118"/>
        <w:rPr>
          <w:lang w:val="sk-SK"/>
        </w:rPr>
      </w:pPr>
      <w:r w:rsidRPr="00507E09">
        <w:rPr>
          <w:lang w:val="sk-SK"/>
        </w:rPr>
        <w:lastRenderedPageBreak/>
        <w:t>Počas súbežného podávania s posakonazolom sa odporúča časté sledovanie nežiaducich reakcií</w:t>
      </w:r>
    </w:p>
    <w:p w14:paraId="748A275E" w14:textId="77777777" w:rsidR="00F132B6" w:rsidRPr="00507E09" w:rsidRDefault="00F132B6">
      <w:pPr>
        <w:pStyle w:val="Zkladntext"/>
        <w:ind w:left="118" w:right="345"/>
        <w:rPr>
          <w:lang w:val="sk-SK"/>
        </w:rPr>
      </w:pPr>
      <w:r w:rsidRPr="00507E09">
        <w:rPr>
          <w:lang w:val="sk-SK"/>
        </w:rPr>
        <w:t>a toxicity súvisiacich s blokátormi kalciového kanála. Môže byť potrebná úprava dávky blokátorov kalciového kanála.</w:t>
      </w:r>
    </w:p>
    <w:p w14:paraId="73152FAA" w14:textId="77777777" w:rsidR="00F132B6" w:rsidRPr="00507E09" w:rsidRDefault="00F132B6">
      <w:pPr>
        <w:pStyle w:val="Zkladntext"/>
        <w:spacing w:before="10"/>
        <w:rPr>
          <w:sz w:val="21"/>
          <w:lang w:val="sk-SK"/>
        </w:rPr>
      </w:pPr>
    </w:p>
    <w:p w14:paraId="0ED289F7" w14:textId="77777777" w:rsidR="00F132B6" w:rsidRPr="00507E09" w:rsidRDefault="00F132B6">
      <w:pPr>
        <w:ind w:left="118"/>
        <w:rPr>
          <w:i/>
          <w:lang w:val="sk-SK"/>
        </w:rPr>
      </w:pPr>
      <w:r w:rsidRPr="00507E09">
        <w:rPr>
          <w:i/>
          <w:lang w:val="sk-SK"/>
        </w:rPr>
        <w:t>Digoxín</w:t>
      </w:r>
    </w:p>
    <w:p w14:paraId="3E03904A" w14:textId="77777777" w:rsidR="00F132B6" w:rsidRPr="00507E09" w:rsidRDefault="00F132B6">
      <w:pPr>
        <w:pStyle w:val="Zkladntext"/>
        <w:spacing w:before="1"/>
        <w:ind w:left="118" w:right="503"/>
        <w:rPr>
          <w:lang w:val="sk-SK"/>
        </w:rPr>
      </w:pPr>
      <w:r w:rsidRPr="00507E09">
        <w:rPr>
          <w:lang w:val="sk-SK"/>
        </w:rPr>
        <w:t>Podávanie iných azolov sa spájalo so zvýšením hladín digoxínu. Posakonazol preto môže zvýšiť plazmatickú koncentráciu digoxínu, a je potrebné sledovať hladiny digoxínu, keď sa začína alebo ukončuje liečba posakonazolom.</w:t>
      </w:r>
    </w:p>
    <w:p w14:paraId="29C32C45" w14:textId="77777777" w:rsidR="00F132B6" w:rsidRPr="00507E09" w:rsidRDefault="00F132B6">
      <w:pPr>
        <w:pStyle w:val="Zkladntext"/>
        <w:rPr>
          <w:lang w:val="sk-SK"/>
        </w:rPr>
      </w:pPr>
    </w:p>
    <w:p w14:paraId="3F860E2F" w14:textId="77777777" w:rsidR="00F132B6" w:rsidRPr="00507E09" w:rsidRDefault="00F132B6">
      <w:pPr>
        <w:spacing w:line="252" w:lineRule="exact"/>
        <w:ind w:left="118"/>
        <w:rPr>
          <w:i/>
          <w:lang w:val="sk-SK"/>
        </w:rPr>
      </w:pPr>
      <w:r w:rsidRPr="00507E09">
        <w:rPr>
          <w:i/>
          <w:lang w:val="sk-SK"/>
        </w:rPr>
        <w:t>Deriváty sulfonylmočoviny</w:t>
      </w:r>
    </w:p>
    <w:p w14:paraId="14DB06FB" w14:textId="77777777" w:rsidR="00F132B6" w:rsidRPr="00507E09" w:rsidRDefault="00F132B6">
      <w:pPr>
        <w:pStyle w:val="Zkladntext"/>
        <w:ind w:left="118" w:right="557"/>
        <w:rPr>
          <w:lang w:val="sk-SK"/>
        </w:rPr>
      </w:pPr>
      <w:r w:rsidRPr="00507E09">
        <w:rPr>
          <w:lang w:val="sk-SK"/>
        </w:rPr>
        <w:t>Pri súbežnom pod</w:t>
      </w:r>
      <w:r w:rsidR="00023562">
        <w:rPr>
          <w:lang w:val="sk-SK"/>
        </w:rPr>
        <w:t>áv</w:t>
      </w:r>
      <w:r w:rsidRPr="00507E09">
        <w:rPr>
          <w:lang w:val="sk-SK"/>
        </w:rPr>
        <w:t>aní glipizidu s posakonazolom sa u niektorých zdravých dobrovoľníkov znížili koncentrácie glukózy. U diabetických pacientov sa odporúča sledovať koncentrácie glukózy.</w:t>
      </w:r>
    </w:p>
    <w:p w14:paraId="31A77FDC" w14:textId="77777777" w:rsidR="00F132B6" w:rsidRPr="00507E09" w:rsidRDefault="00F132B6">
      <w:pPr>
        <w:pStyle w:val="Zkladntext"/>
        <w:spacing w:before="1"/>
        <w:rPr>
          <w:lang w:val="sk-SK"/>
        </w:rPr>
      </w:pPr>
    </w:p>
    <w:p w14:paraId="01E0E900" w14:textId="77777777" w:rsidR="00F132B6" w:rsidRPr="00507E09" w:rsidRDefault="00F132B6">
      <w:pPr>
        <w:pStyle w:val="Zkladntext"/>
        <w:ind w:left="118"/>
        <w:rPr>
          <w:lang w:val="sk-SK"/>
        </w:rPr>
      </w:pPr>
      <w:r w:rsidRPr="00507E09">
        <w:rPr>
          <w:u w:val="single"/>
          <w:lang w:val="sk-SK"/>
        </w:rPr>
        <w:t>Pediatrická populácia</w:t>
      </w:r>
    </w:p>
    <w:p w14:paraId="2C5762D1" w14:textId="77777777" w:rsidR="00F132B6" w:rsidRPr="00507E09" w:rsidRDefault="00F132B6">
      <w:pPr>
        <w:pStyle w:val="Zkladntext"/>
        <w:spacing w:before="1"/>
        <w:ind w:left="118"/>
        <w:rPr>
          <w:lang w:val="sk-SK"/>
        </w:rPr>
      </w:pPr>
      <w:r w:rsidRPr="00507E09">
        <w:rPr>
          <w:lang w:val="sk-SK"/>
        </w:rPr>
        <w:t>Interakčné štúdie sa uskutočnili len u dospelých.</w:t>
      </w:r>
    </w:p>
    <w:p w14:paraId="2F76C026" w14:textId="77777777" w:rsidR="00F132B6" w:rsidRPr="00507E09" w:rsidRDefault="00F132B6">
      <w:pPr>
        <w:pStyle w:val="Zkladntext"/>
        <w:spacing w:before="2"/>
        <w:rPr>
          <w:lang w:val="sk-SK"/>
        </w:rPr>
      </w:pPr>
    </w:p>
    <w:p w14:paraId="79B64293"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Fertilita, gravidita a</w:t>
      </w:r>
      <w:r w:rsidRPr="00507E09">
        <w:rPr>
          <w:spacing w:val="-21"/>
          <w:lang w:val="sk-SK"/>
        </w:rPr>
        <w:t xml:space="preserve"> </w:t>
      </w:r>
      <w:r w:rsidRPr="00507E09">
        <w:rPr>
          <w:lang w:val="sk-SK"/>
        </w:rPr>
        <w:t>laktácia</w:t>
      </w:r>
    </w:p>
    <w:p w14:paraId="6024FA43" w14:textId="77777777" w:rsidR="00F132B6" w:rsidRPr="00507E09" w:rsidRDefault="00F132B6">
      <w:pPr>
        <w:pStyle w:val="Zkladntext"/>
        <w:spacing w:before="6"/>
        <w:rPr>
          <w:b/>
          <w:sz w:val="21"/>
          <w:lang w:val="sk-SK"/>
        </w:rPr>
      </w:pPr>
    </w:p>
    <w:p w14:paraId="05A1B5BC" w14:textId="77777777" w:rsidR="00F132B6" w:rsidRPr="00507E09" w:rsidRDefault="00F132B6">
      <w:pPr>
        <w:pStyle w:val="Zkladntext"/>
        <w:ind w:left="118"/>
        <w:rPr>
          <w:lang w:val="sk-SK"/>
        </w:rPr>
      </w:pPr>
      <w:r w:rsidRPr="00507E09">
        <w:rPr>
          <w:u w:val="single"/>
          <w:lang w:val="sk-SK"/>
        </w:rPr>
        <w:t>Gravidita</w:t>
      </w:r>
    </w:p>
    <w:p w14:paraId="27C59529" w14:textId="39AAD49C" w:rsidR="00F132B6" w:rsidRPr="00507E09" w:rsidRDefault="00F132B6">
      <w:pPr>
        <w:pStyle w:val="Zkladntext"/>
        <w:spacing w:before="1"/>
        <w:ind w:left="118" w:right="494"/>
        <w:rPr>
          <w:lang w:val="sk-SK"/>
        </w:rPr>
      </w:pPr>
      <w:r w:rsidRPr="00507E09">
        <w:rPr>
          <w:lang w:val="sk-SK"/>
        </w:rPr>
        <w:t xml:space="preserve">Neexistujú dostatočné informácie o použití posakonazolu u gravidných žien. Štúdie na zvieratách preukázali reprodukčnú toxicitu (pozri časť 5.3). Možné riziko </w:t>
      </w:r>
      <w:r w:rsidR="00023562">
        <w:rPr>
          <w:lang w:val="sk-SK"/>
        </w:rPr>
        <w:t>pre</w:t>
      </w:r>
      <w:r w:rsidRPr="00507E09">
        <w:rPr>
          <w:lang w:val="sk-SK"/>
        </w:rPr>
        <w:t xml:space="preserve"> ľudí nie je známe.</w:t>
      </w:r>
    </w:p>
    <w:p w14:paraId="61F811A5" w14:textId="77777777" w:rsidR="00F132B6" w:rsidRPr="00507E09" w:rsidRDefault="00F132B6">
      <w:pPr>
        <w:pStyle w:val="Zkladntext"/>
        <w:rPr>
          <w:lang w:val="sk-SK"/>
        </w:rPr>
      </w:pPr>
    </w:p>
    <w:p w14:paraId="04C9D949" w14:textId="77777777" w:rsidR="00F132B6" w:rsidRPr="00507E09" w:rsidRDefault="00F132B6">
      <w:pPr>
        <w:pStyle w:val="Zkladntext"/>
        <w:ind w:left="118" w:right="333"/>
        <w:rPr>
          <w:lang w:val="sk-SK"/>
        </w:rPr>
      </w:pPr>
      <w:r w:rsidRPr="00507E09">
        <w:rPr>
          <w:lang w:val="sk-SK"/>
        </w:rPr>
        <w:t>Ženy vo fertilnom veku musia počas liečby používať účinnú antikoncepciu. Posakonazol sa nesmie užívať počas gravidity, pokiaľ prínos pre matku jednoznačne nepreváži možné riziko pre plod.</w:t>
      </w:r>
    </w:p>
    <w:p w14:paraId="4EA1800A" w14:textId="77777777" w:rsidR="00F132B6" w:rsidRPr="00507E09" w:rsidRDefault="00F132B6">
      <w:pPr>
        <w:pStyle w:val="Zkladntext"/>
        <w:spacing w:before="11"/>
        <w:rPr>
          <w:sz w:val="21"/>
          <w:lang w:val="sk-SK"/>
        </w:rPr>
      </w:pPr>
    </w:p>
    <w:p w14:paraId="24B9D427" w14:textId="77777777" w:rsidR="00F132B6" w:rsidRPr="00507E09" w:rsidRDefault="00F132B6">
      <w:pPr>
        <w:pStyle w:val="Zkladntext"/>
        <w:spacing w:line="252" w:lineRule="exact"/>
        <w:ind w:left="118"/>
        <w:rPr>
          <w:lang w:val="sk-SK"/>
        </w:rPr>
      </w:pPr>
      <w:r w:rsidRPr="00507E09">
        <w:rPr>
          <w:u w:val="single"/>
          <w:lang w:val="sk-SK"/>
        </w:rPr>
        <w:t>Dojčenie</w:t>
      </w:r>
    </w:p>
    <w:p w14:paraId="080CB1D1" w14:textId="69AB3C69" w:rsidR="00F132B6" w:rsidRPr="00507E09" w:rsidRDefault="00F132B6">
      <w:pPr>
        <w:pStyle w:val="Zkladntext"/>
        <w:ind w:left="118" w:right="235"/>
        <w:rPr>
          <w:lang w:val="sk-SK"/>
        </w:rPr>
      </w:pPr>
      <w:r w:rsidRPr="00507E09">
        <w:rPr>
          <w:lang w:val="sk-SK"/>
        </w:rPr>
        <w:t xml:space="preserve">Posakonazol sa vylučuje do mlieka </w:t>
      </w:r>
      <w:r w:rsidR="00023562">
        <w:rPr>
          <w:lang w:val="sk-SK"/>
        </w:rPr>
        <w:t>laktujúcich</w:t>
      </w:r>
      <w:r w:rsidRPr="00507E09">
        <w:rPr>
          <w:lang w:val="sk-SK"/>
        </w:rPr>
        <w:t xml:space="preserve"> potkanov (pozri časť 5.3). Vylučovanie posakonazolu do materského mlieka u ľudí sa neskúmalo. Dojčenie sa musí na začiatku liečby posakonazolom zastaviť.</w:t>
      </w:r>
    </w:p>
    <w:p w14:paraId="6A0E43A3" w14:textId="77777777" w:rsidR="00F132B6" w:rsidRPr="00507E09" w:rsidRDefault="00F132B6">
      <w:pPr>
        <w:pStyle w:val="Zkladntext"/>
        <w:spacing w:before="1"/>
        <w:rPr>
          <w:lang w:val="sk-SK"/>
        </w:rPr>
      </w:pPr>
    </w:p>
    <w:p w14:paraId="4045C491" w14:textId="77777777" w:rsidR="00F132B6" w:rsidRPr="00507E09" w:rsidRDefault="00F132B6">
      <w:pPr>
        <w:pStyle w:val="Zkladntext"/>
        <w:spacing w:line="252" w:lineRule="exact"/>
        <w:ind w:left="118"/>
        <w:rPr>
          <w:lang w:val="sk-SK"/>
        </w:rPr>
      </w:pPr>
      <w:r w:rsidRPr="00507E09">
        <w:rPr>
          <w:u w:val="single"/>
          <w:lang w:val="sk-SK"/>
        </w:rPr>
        <w:t>Fertilita</w:t>
      </w:r>
    </w:p>
    <w:p w14:paraId="4F92CE49" w14:textId="69397CE1" w:rsidR="00F132B6" w:rsidRDefault="00F132B6" w:rsidP="00E13FB9">
      <w:pPr>
        <w:pStyle w:val="Zkladntext"/>
        <w:ind w:left="118" w:right="488"/>
        <w:rPr>
          <w:lang w:val="sk-SK"/>
        </w:rPr>
      </w:pPr>
      <w:r w:rsidRPr="00507E09">
        <w:rPr>
          <w:lang w:val="sk-SK"/>
        </w:rPr>
        <w:t>Posakonazol nemal žiadny vplyv na fertilitu samcov potkanov pri dávkach až do 180 mg/kg (3,4-násobok dávkovania 300 mg tablety na základe plazmatických koncentrácií v rovnovážnom stave</w:t>
      </w:r>
      <w:r w:rsidR="00023562">
        <w:rPr>
          <w:lang w:val="sk-SK"/>
        </w:rPr>
        <w:t xml:space="preserve"> </w:t>
      </w:r>
      <w:r w:rsidRPr="00507E09">
        <w:rPr>
          <w:lang w:val="sk-SK"/>
        </w:rPr>
        <w:t>u pacientov) ani samíc potkanov pri dávke až do 45 mg/kg (2,6-násobok dávkovania 300 mg tablety na základe plazmatických koncentrácií v rovnovážnom stave u pacientov). K dispozícii nie je žiadna klinická skúsenosť, ktorá by stanovila vplyv posakonazolu na fertilitu ľudí.</w:t>
      </w:r>
    </w:p>
    <w:p w14:paraId="4E0097AB" w14:textId="77777777" w:rsidR="00F84229" w:rsidRPr="00507E09" w:rsidRDefault="00F84229" w:rsidP="00E13FB9">
      <w:pPr>
        <w:pStyle w:val="Zkladntext"/>
        <w:ind w:left="118" w:right="236"/>
        <w:rPr>
          <w:lang w:val="sk-SK"/>
        </w:rPr>
      </w:pPr>
    </w:p>
    <w:p w14:paraId="07C74A19" w14:textId="77777777" w:rsidR="00F132B6" w:rsidRPr="00507E09" w:rsidRDefault="00F132B6" w:rsidP="009258AC">
      <w:pPr>
        <w:pStyle w:val="Nadpis1"/>
        <w:numPr>
          <w:ilvl w:val="1"/>
          <w:numId w:val="12"/>
        </w:numPr>
        <w:tabs>
          <w:tab w:val="left" w:pos="684"/>
          <w:tab w:val="left" w:pos="685"/>
        </w:tabs>
        <w:spacing w:before="75"/>
        <w:ind w:hanging="566"/>
        <w:rPr>
          <w:lang w:val="sk-SK"/>
        </w:rPr>
      </w:pPr>
      <w:r w:rsidRPr="00507E09">
        <w:rPr>
          <w:lang w:val="sk-SK"/>
        </w:rPr>
        <w:t>Ovplyvnenie schopnosti viesť vozidlá a obsluhovať</w:t>
      </w:r>
      <w:r w:rsidRPr="00507E09">
        <w:rPr>
          <w:spacing w:val="-31"/>
          <w:lang w:val="sk-SK"/>
        </w:rPr>
        <w:t xml:space="preserve"> </w:t>
      </w:r>
      <w:r w:rsidRPr="00507E09">
        <w:rPr>
          <w:lang w:val="sk-SK"/>
        </w:rPr>
        <w:t>stroje</w:t>
      </w:r>
    </w:p>
    <w:p w14:paraId="037265CC" w14:textId="77777777" w:rsidR="00F132B6" w:rsidRPr="00507E09" w:rsidRDefault="00F132B6" w:rsidP="00474F1E">
      <w:pPr>
        <w:pStyle w:val="Zkladntext"/>
        <w:spacing w:before="6"/>
        <w:rPr>
          <w:b/>
          <w:sz w:val="21"/>
          <w:lang w:val="sk-SK"/>
        </w:rPr>
      </w:pPr>
    </w:p>
    <w:p w14:paraId="56B7E5E0" w14:textId="7CFC067A" w:rsidR="00F132B6" w:rsidRPr="00507E09" w:rsidRDefault="00F132B6" w:rsidP="00DC05DD">
      <w:pPr>
        <w:pStyle w:val="Zkladntext"/>
        <w:ind w:left="118" w:right="471"/>
        <w:rPr>
          <w:lang w:val="sk-SK"/>
        </w:rPr>
      </w:pPr>
      <w:r w:rsidRPr="00507E09">
        <w:rPr>
          <w:lang w:val="sk-SK"/>
        </w:rPr>
        <w:t xml:space="preserve">Keďže </w:t>
      </w:r>
      <w:r w:rsidR="00DC05DD">
        <w:rPr>
          <w:lang w:val="sk-SK"/>
        </w:rPr>
        <w:t>boli</w:t>
      </w:r>
      <w:r w:rsidRPr="00507E09">
        <w:rPr>
          <w:lang w:val="sk-SK"/>
        </w:rPr>
        <w:t xml:space="preserve"> pri používaní posakonazolu </w:t>
      </w:r>
      <w:r w:rsidR="00DC05DD">
        <w:rPr>
          <w:lang w:val="sk-SK"/>
        </w:rPr>
        <w:t>hlásené</w:t>
      </w:r>
      <w:r w:rsidRPr="00507E09">
        <w:rPr>
          <w:lang w:val="sk-SK"/>
        </w:rPr>
        <w:t xml:space="preserve"> niektoré nežiaduce reakcie (napr. závrat, somnolencia atď.), ktoré môžu potenciálne ovplyvniť vedenie vozidiel/obsluhu strojov, je potrebná opatrnosť.</w:t>
      </w:r>
    </w:p>
    <w:p w14:paraId="67FAA700" w14:textId="77777777" w:rsidR="00F132B6" w:rsidRPr="00507E09" w:rsidRDefault="00F132B6" w:rsidP="00DC05DD">
      <w:pPr>
        <w:pStyle w:val="Zkladntext"/>
        <w:spacing w:before="4"/>
        <w:rPr>
          <w:lang w:val="sk-SK"/>
        </w:rPr>
      </w:pPr>
    </w:p>
    <w:p w14:paraId="15E5A908" w14:textId="77777777" w:rsidR="00F132B6" w:rsidRPr="00E86807" w:rsidRDefault="00F132B6" w:rsidP="00DC05DD">
      <w:pPr>
        <w:pStyle w:val="Nadpis1"/>
        <w:numPr>
          <w:ilvl w:val="1"/>
          <w:numId w:val="12"/>
        </w:numPr>
        <w:tabs>
          <w:tab w:val="left" w:pos="684"/>
          <w:tab w:val="left" w:pos="685"/>
        </w:tabs>
        <w:ind w:hanging="566"/>
        <w:rPr>
          <w:lang w:val="sk-SK"/>
        </w:rPr>
      </w:pPr>
      <w:r w:rsidRPr="00DC05DD">
        <w:rPr>
          <w:lang w:val="sk-SK"/>
        </w:rPr>
        <w:t>Nežiaduce</w:t>
      </w:r>
      <w:r w:rsidRPr="00DC05DD">
        <w:rPr>
          <w:spacing w:val="-10"/>
          <w:lang w:val="sk-SK"/>
        </w:rPr>
        <w:t xml:space="preserve"> </w:t>
      </w:r>
      <w:r w:rsidRPr="00E86807">
        <w:rPr>
          <w:lang w:val="sk-SK"/>
        </w:rPr>
        <w:t>účinky</w:t>
      </w:r>
    </w:p>
    <w:p w14:paraId="26925F51" w14:textId="77777777" w:rsidR="00F132B6" w:rsidRPr="00507E09" w:rsidRDefault="00F132B6">
      <w:pPr>
        <w:pStyle w:val="Zkladntext"/>
        <w:spacing w:before="4"/>
        <w:rPr>
          <w:b/>
          <w:sz w:val="21"/>
          <w:lang w:val="sk-SK"/>
        </w:rPr>
      </w:pPr>
    </w:p>
    <w:p w14:paraId="585F5DDF" w14:textId="77777777" w:rsidR="00F132B6" w:rsidRPr="00507E09" w:rsidRDefault="00F132B6">
      <w:pPr>
        <w:pStyle w:val="Zkladntext"/>
        <w:ind w:left="118"/>
        <w:rPr>
          <w:lang w:val="sk-SK"/>
        </w:rPr>
      </w:pPr>
      <w:r w:rsidRPr="00507E09">
        <w:rPr>
          <w:lang w:val="sk-SK"/>
        </w:rPr>
        <w:t>Údaje o bezpečnosti sa získali najmä v štúdiách s perorálnou suspenziou.</w:t>
      </w:r>
    </w:p>
    <w:p w14:paraId="5DA11DBC" w14:textId="77777777" w:rsidR="00F132B6" w:rsidRPr="00507E09" w:rsidRDefault="00F132B6">
      <w:pPr>
        <w:pStyle w:val="Zkladntext"/>
        <w:rPr>
          <w:lang w:val="sk-SK"/>
        </w:rPr>
      </w:pPr>
    </w:p>
    <w:p w14:paraId="08FE9A74" w14:textId="77777777" w:rsidR="00F132B6" w:rsidRPr="00507E09" w:rsidRDefault="00F132B6">
      <w:pPr>
        <w:pStyle w:val="Zkladntext"/>
        <w:ind w:left="118" w:right="343"/>
        <w:rPr>
          <w:lang w:val="sk-SK"/>
        </w:rPr>
      </w:pPr>
      <w:r w:rsidRPr="00507E09">
        <w:rPr>
          <w:lang w:val="sk-SK"/>
        </w:rPr>
        <w:t xml:space="preserve">Lieková forma tablety sa skúmala iba u pacientov s AML a MDS a u tých pacientov po HSCT, ktorí mali alebo boli vysoko rizikoví z hľadiska GVHD. Maximálne </w:t>
      </w:r>
      <w:r w:rsidR="00990A7B">
        <w:rPr>
          <w:lang w:val="sk-SK"/>
        </w:rPr>
        <w:t>trvanie expozície liekovej formy</w:t>
      </w:r>
      <w:r w:rsidRPr="00507E09">
        <w:rPr>
          <w:lang w:val="sk-SK"/>
        </w:rPr>
        <w:t xml:space="preserve"> tablety bolo kratšie ako pri perorálnej suspenzii. Plazmatická expozícia, ktorá sa navodila liekovou formou tablety, bola vyššia ako plazmatická expozícia pozorovaná pri perorálnej suspenzii. Nie je možné vylúčiť vyšší výskyt nežiaducich reakcií.</w:t>
      </w:r>
    </w:p>
    <w:p w14:paraId="2A780FDC" w14:textId="77777777" w:rsidR="00F132B6" w:rsidRPr="00507E09" w:rsidRDefault="00F132B6">
      <w:pPr>
        <w:pStyle w:val="Zkladntext"/>
        <w:rPr>
          <w:lang w:val="sk-SK"/>
        </w:rPr>
      </w:pPr>
    </w:p>
    <w:p w14:paraId="5B053BD8" w14:textId="77777777" w:rsidR="00F132B6" w:rsidRPr="00507E09" w:rsidRDefault="00F132B6">
      <w:pPr>
        <w:pStyle w:val="Zkladntext"/>
        <w:ind w:left="118"/>
        <w:rPr>
          <w:lang w:val="sk-SK"/>
        </w:rPr>
      </w:pPr>
      <w:r w:rsidRPr="00507E09">
        <w:rPr>
          <w:u w:val="single"/>
          <w:lang w:val="sk-SK"/>
        </w:rPr>
        <w:lastRenderedPageBreak/>
        <w:t>Súhrn bezpečnostného profilu</w:t>
      </w:r>
    </w:p>
    <w:p w14:paraId="72D5ADE6" w14:textId="77777777" w:rsidR="00F132B6" w:rsidRPr="00507E09" w:rsidRDefault="00F132B6">
      <w:pPr>
        <w:pStyle w:val="Zkladntext"/>
        <w:spacing w:before="9"/>
        <w:rPr>
          <w:sz w:val="13"/>
          <w:lang w:val="sk-SK"/>
        </w:rPr>
      </w:pPr>
    </w:p>
    <w:p w14:paraId="0A7D47FE" w14:textId="77777777" w:rsidR="00F132B6" w:rsidRPr="00507E09" w:rsidRDefault="00F132B6">
      <w:pPr>
        <w:spacing w:before="92"/>
        <w:ind w:left="118"/>
        <w:rPr>
          <w:i/>
          <w:lang w:val="sk-SK"/>
        </w:rPr>
      </w:pPr>
      <w:r w:rsidRPr="00507E09">
        <w:rPr>
          <w:i/>
          <w:lang w:val="sk-SK"/>
        </w:rPr>
        <w:t>Posakonazol vo forme tabliet</w:t>
      </w:r>
    </w:p>
    <w:p w14:paraId="033FA36F" w14:textId="77777777" w:rsidR="00F132B6" w:rsidRPr="00507E09" w:rsidRDefault="00F132B6">
      <w:pPr>
        <w:pStyle w:val="Zkladntext"/>
        <w:spacing w:before="1"/>
        <w:ind w:left="118" w:right="209"/>
        <w:rPr>
          <w:lang w:val="sk-SK"/>
        </w:rPr>
      </w:pPr>
      <w:r w:rsidRPr="00507E09">
        <w:rPr>
          <w:lang w:val="sk-SK"/>
        </w:rPr>
        <w:t>Bezpečnosť posakonazolu vo forme tabliet sa hodnotila u 230 pacientov zaradených v pivotnej klinickej štúdii. Pacienti sa zaradili do nekomparatívneho skúšania farmakokinetiky a bezpečnosti posakonazolu vo forme tabliet pri ich podávaní ako antimykotickej profylaxie. Pacienti mali oslabený imunitný systém so základnými ochoreniami zahŕňajúcimi hematologické malignity, neutropéniu po chemoterapii, GVHD a stav po HSCT. Liečba posakonazolom sa podávala počas mediánu trvania 28 dní. Dvadsať pacientov dostávalo 200 mg dennú dávku a 210 pacientov dostávalo 300 mg dennú dávku (po dávkovaní dvakrát denne v 1. deň v každej skupine).</w:t>
      </w:r>
    </w:p>
    <w:p w14:paraId="3B6D89BA" w14:textId="77777777" w:rsidR="00F132B6" w:rsidRPr="00507E09" w:rsidRDefault="00F132B6">
      <w:pPr>
        <w:pStyle w:val="Zkladntext"/>
        <w:rPr>
          <w:lang w:val="sk-SK"/>
        </w:rPr>
      </w:pPr>
    </w:p>
    <w:p w14:paraId="74498B72" w14:textId="77777777" w:rsidR="00F132B6" w:rsidRPr="00507E09" w:rsidRDefault="00F132B6">
      <w:pPr>
        <w:ind w:left="118"/>
        <w:rPr>
          <w:i/>
          <w:lang w:val="sk-SK"/>
        </w:rPr>
      </w:pPr>
      <w:r w:rsidRPr="00507E09">
        <w:rPr>
          <w:i/>
          <w:lang w:val="sk-SK"/>
        </w:rPr>
        <w:t>Bezpečnosť posakonazolu vo forme tabliet a perorálnej suspenzie</w:t>
      </w:r>
    </w:p>
    <w:p w14:paraId="44779451" w14:textId="77777777" w:rsidR="00F132B6" w:rsidRPr="00507E09" w:rsidRDefault="00F132B6" w:rsidP="00E13FB9">
      <w:pPr>
        <w:pStyle w:val="Zkladntext"/>
        <w:spacing w:before="1"/>
        <w:ind w:left="118" w:right="184"/>
        <w:rPr>
          <w:lang w:val="sk-SK"/>
        </w:rPr>
      </w:pPr>
      <w:r w:rsidRPr="00507E09">
        <w:rPr>
          <w:lang w:val="sk-SK"/>
        </w:rPr>
        <w:t>Bezpečnosť posakonazolu vo forme perorálnej suspenzie sa hodnotila u &gt; 2 400 pacientov a zdravých dobrovoľníkov zaradených do klinických skúšaní a zo skúseností po uvedení lieku na trh. Najčastejšie hlásené závažné nežiaduce reakcie súvisiace s liekom zahŕňali nauzeu, vracanie, hnačku, horúčku</w:t>
      </w:r>
      <w:r w:rsidR="00384594">
        <w:rPr>
          <w:lang w:val="sk-SK"/>
        </w:rPr>
        <w:t xml:space="preserve"> </w:t>
      </w:r>
      <w:r w:rsidRPr="00507E09">
        <w:rPr>
          <w:lang w:val="sk-SK"/>
        </w:rPr>
        <w:t>a zvýšený bilirubín.</w:t>
      </w:r>
    </w:p>
    <w:p w14:paraId="3A81C3AA" w14:textId="77777777" w:rsidR="00F132B6" w:rsidRPr="00507E09" w:rsidRDefault="00F132B6" w:rsidP="009258AC">
      <w:pPr>
        <w:pStyle w:val="Zkladntext"/>
        <w:ind w:left="118" w:right="368"/>
        <w:rPr>
          <w:lang w:val="sk-SK"/>
        </w:rPr>
      </w:pPr>
      <w:r w:rsidRPr="00507E09">
        <w:rPr>
          <w:lang w:val="sk-SK"/>
        </w:rPr>
        <w:t>Bezpečnosť posakonazolu vo forme tabliet sa hodnotila u 336 pacientov a zdravých dobrovoľníkov zaradených do klinických skúšaní. Bezpečnostný profil tabliet bol podobný bezpečnostnému profilu perorálnej suspenzie.</w:t>
      </w:r>
    </w:p>
    <w:p w14:paraId="1F3C1B3D" w14:textId="77777777" w:rsidR="00F132B6" w:rsidRPr="00507E09" w:rsidRDefault="00F132B6" w:rsidP="00474F1E">
      <w:pPr>
        <w:pStyle w:val="Zkladntext"/>
        <w:spacing w:before="1"/>
        <w:rPr>
          <w:lang w:val="sk-SK"/>
        </w:rPr>
      </w:pPr>
    </w:p>
    <w:p w14:paraId="5FEDBBC4" w14:textId="77777777" w:rsidR="00F132B6" w:rsidRPr="00507E09" w:rsidRDefault="00F132B6" w:rsidP="00D32D1F">
      <w:pPr>
        <w:pStyle w:val="Zkladntext"/>
        <w:spacing w:line="252" w:lineRule="exact"/>
        <w:ind w:left="118"/>
        <w:rPr>
          <w:lang w:val="sk-SK"/>
        </w:rPr>
      </w:pPr>
      <w:r w:rsidRPr="003A01BB">
        <w:rPr>
          <w:u w:val="single"/>
          <w:lang w:val="sk-SK"/>
        </w:rPr>
        <w:t>Tabuľkový zoznam nežiaducich reakcií</w:t>
      </w:r>
    </w:p>
    <w:p w14:paraId="3E49286B" w14:textId="77777777" w:rsidR="00F132B6" w:rsidRPr="00507E09" w:rsidRDefault="00F132B6">
      <w:pPr>
        <w:pStyle w:val="Zkladntext"/>
        <w:spacing w:line="252" w:lineRule="exact"/>
        <w:ind w:left="118"/>
        <w:rPr>
          <w:lang w:val="sk-SK"/>
        </w:rPr>
      </w:pPr>
      <w:r w:rsidRPr="00507E09">
        <w:rPr>
          <w:lang w:val="sk-SK"/>
        </w:rPr>
        <w:t>V rámci tried orgánových systémov sú nežiaduce reakcie uvedené pod nadpisom frekvencie</w:t>
      </w:r>
    </w:p>
    <w:p w14:paraId="17A05F06" w14:textId="77777777" w:rsidR="00F132B6" w:rsidRPr="00507E09" w:rsidRDefault="00F132B6">
      <w:pPr>
        <w:pStyle w:val="Zkladntext"/>
        <w:spacing w:before="1" w:line="252" w:lineRule="exact"/>
        <w:ind w:left="118"/>
        <w:rPr>
          <w:lang w:val="sk-SK"/>
        </w:rPr>
      </w:pPr>
      <w:r w:rsidRPr="00507E09">
        <w:rPr>
          <w:lang w:val="sk-SK"/>
        </w:rPr>
        <w:t>s použitím nasledujúcich kategórií: veľmi časté (≥ 1/10); časté (≥ 1/100 až &lt; 1/10); menej časté</w:t>
      </w:r>
    </w:p>
    <w:p w14:paraId="7E6A2DF6" w14:textId="77777777" w:rsidR="00F132B6" w:rsidRPr="00507E09" w:rsidRDefault="00F132B6">
      <w:pPr>
        <w:pStyle w:val="Zkladntext"/>
        <w:spacing w:line="252" w:lineRule="exact"/>
        <w:ind w:left="118"/>
        <w:rPr>
          <w:lang w:val="sk-SK"/>
        </w:rPr>
      </w:pPr>
      <w:r w:rsidRPr="00507E09">
        <w:rPr>
          <w:lang w:val="sk-SK"/>
        </w:rPr>
        <w:t>(≥ 1/1 000 až &lt; 1/100); zriedkavé (≥ 1/10 000 až &lt; 1/1 000); veľmi zriedkavé (&lt; 1/10 000); neznáme.</w:t>
      </w:r>
    </w:p>
    <w:p w14:paraId="4A722CD4" w14:textId="77777777" w:rsidR="00F132B6" w:rsidRPr="00507E09" w:rsidRDefault="00F132B6">
      <w:pPr>
        <w:pStyle w:val="Zkladntext"/>
        <w:spacing w:before="1"/>
        <w:rPr>
          <w:lang w:val="sk-SK"/>
        </w:rPr>
      </w:pPr>
    </w:p>
    <w:p w14:paraId="192EA19A" w14:textId="77777777" w:rsidR="00F132B6" w:rsidRPr="00507E09" w:rsidRDefault="00F132B6">
      <w:pPr>
        <w:pStyle w:val="Zkladntext"/>
        <w:spacing w:after="5"/>
        <w:ind w:left="118"/>
        <w:rPr>
          <w:lang w:val="sk-SK"/>
        </w:rPr>
      </w:pPr>
      <w:r w:rsidRPr="00507E09">
        <w:rPr>
          <w:b/>
          <w:lang w:val="sk-SK"/>
        </w:rPr>
        <w:t xml:space="preserve">Tabuľka 2. </w:t>
      </w:r>
      <w:r w:rsidRPr="00507E09">
        <w:rPr>
          <w:lang w:val="sk-SK"/>
        </w:rPr>
        <w:t>Nežiaduce reakcie rozdelené podľa orgánových systémov a frekvencie*</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94"/>
        <w:gridCol w:w="5585"/>
      </w:tblGrid>
      <w:tr w:rsidR="00F132B6" w:rsidRPr="00507E09" w14:paraId="34D3FA38" w14:textId="77777777" w:rsidTr="009700BD">
        <w:trPr>
          <w:trHeight w:hRule="exact" w:val="2045"/>
        </w:trPr>
        <w:tc>
          <w:tcPr>
            <w:tcW w:w="3494" w:type="dxa"/>
            <w:tcBorders>
              <w:left w:val="single" w:sz="4" w:space="0" w:color="000000"/>
            </w:tcBorders>
          </w:tcPr>
          <w:p w14:paraId="2CFA4998" w14:textId="77777777" w:rsidR="00F132B6" w:rsidRPr="00507E09" w:rsidRDefault="00F132B6">
            <w:pPr>
              <w:pStyle w:val="TableParagraph"/>
              <w:spacing w:before="1"/>
              <w:ind w:right="778"/>
              <w:rPr>
                <w:b/>
                <w:lang w:val="sk-SK"/>
              </w:rPr>
            </w:pPr>
            <w:r w:rsidRPr="00507E09">
              <w:rPr>
                <w:b/>
                <w:lang w:val="sk-SK"/>
              </w:rPr>
              <w:t>Poruchy krvi a lymfatického systému</w:t>
            </w:r>
          </w:p>
          <w:p w14:paraId="18E60BFC" w14:textId="77777777" w:rsidR="00F132B6" w:rsidRPr="00507E09" w:rsidRDefault="00F132B6">
            <w:pPr>
              <w:pStyle w:val="TableParagraph"/>
              <w:spacing w:line="242" w:lineRule="auto"/>
              <w:ind w:right="2358"/>
              <w:rPr>
                <w:lang w:val="sk-SK"/>
              </w:rPr>
            </w:pPr>
            <w:r w:rsidRPr="00507E09">
              <w:rPr>
                <w:lang w:val="sk-SK"/>
              </w:rPr>
              <w:t>Časté: Menej</w:t>
            </w:r>
            <w:r w:rsidRPr="00507E09">
              <w:rPr>
                <w:spacing w:val="-7"/>
                <w:lang w:val="sk-SK"/>
              </w:rPr>
              <w:t xml:space="preserve"> </w:t>
            </w:r>
            <w:r w:rsidRPr="00507E09">
              <w:rPr>
                <w:lang w:val="sk-SK"/>
              </w:rPr>
              <w:t>časté:</w:t>
            </w:r>
          </w:p>
          <w:p w14:paraId="4C668C20" w14:textId="77777777" w:rsidR="00F132B6" w:rsidRPr="00507E09" w:rsidRDefault="00F132B6">
            <w:pPr>
              <w:pStyle w:val="TableParagraph"/>
              <w:spacing w:before="3"/>
              <w:ind w:left="0"/>
              <w:rPr>
                <w:lang w:val="sk-SK"/>
              </w:rPr>
            </w:pPr>
          </w:p>
          <w:p w14:paraId="151A8FB4" w14:textId="77777777" w:rsidR="00F132B6" w:rsidRPr="00507E09" w:rsidRDefault="00F132B6">
            <w:pPr>
              <w:pStyle w:val="TableParagraph"/>
              <w:rPr>
                <w:lang w:val="sk-SK"/>
              </w:rPr>
            </w:pPr>
            <w:r w:rsidRPr="00507E09">
              <w:rPr>
                <w:lang w:val="sk-SK"/>
              </w:rPr>
              <w:t>Zriedkavé:</w:t>
            </w:r>
          </w:p>
        </w:tc>
        <w:tc>
          <w:tcPr>
            <w:tcW w:w="5585" w:type="dxa"/>
            <w:tcBorders>
              <w:right w:val="single" w:sz="4" w:space="0" w:color="000000"/>
            </w:tcBorders>
          </w:tcPr>
          <w:p w14:paraId="3707AB55" w14:textId="77777777" w:rsidR="00F132B6" w:rsidRPr="00507E09" w:rsidRDefault="00F132B6">
            <w:pPr>
              <w:pStyle w:val="TableParagraph"/>
              <w:ind w:left="0"/>
              <w:rPr>
                <w:sz w:val="24"/>
                <w:lang w:val="sk-SK"/>
              </w:rPr>
            </w:pPr>
          </w:p>
          <w:p w14:paraId="3C44A589" w14:textId="77777777" w:rsidR="00F132B6" w:rsidRPr="00507E09" w:rsidRDefault="00F132B6">
            <w:pPr>
              <w:pStyle w:val="TableParagraph"/>
              <w:spacing w:before="5"/>
              <w:ind w:left="0"/>
              <w:rPr>
                <w:sz w:val="19"/>
                <w:lang w:val="sk-SK"/>
              </w:rPr>
            </w:pPr>
          </w:p>
          <w:p w14:paraId="308F4174" w14:textId="77777777" w:rsidR="00F132B6" w:rsidRPr="00507E09" w:rsidRDefault="00F132B6">
            <w:pPr>
              <w:pStyle w:val="TableParagraph"/>
              <w:ind w:left="-10"/>
              <w:rPr>
                <w:lang w:val="sk-SK"/>
              </w:rPr>
            </w:pPr>
            <w:r w:rsidRPr="00507E09">
              <w:rPr>
                <w:lang w:val="sk-SK"/>
              </w:rPr>
              <w:t>neutropénia</w:t>
            </w:r>
          </w:p>
          <w:p w14:paraId="02CEB9F7" w14:textId="77777777" w:rsidR="00F132B6" w:rsidRPr="00507E09" w:rsidRDefault="00F132B6">
            <w:pPr>
              <w:pStyle w:val="TableParagraph"/>
              <w:ind w:left="-10" w:right="1143"/>
              <w:rPr>
                <w:lang w:val="sk-SK"/>
              </w:rPr>
            </w:pPr>
            <w:r w:rsidRPr="00507E09">
              <w:rPr>
                <w:lang w:val="sk-SK"/>
              </w:rPr>
              <w:t>trombocytopénia, leukopénia, anémia, eozinofília, lymfadenopatia, infarkt sleziny</w:t>
            </w:r>
          </w:p>
          <w:p w14:paraId="4FC0DC65" w14:textId="77777777" w:rsidR="00F132B6" w:rsidRPr="00507E09" w:rsidRDefault="00F132B6">
            <w:pPr>
              <w:pStyle w:val="TableParagraph"/>
              <w:ind w:left="-10" w:right="538"/>
              <w:rPr>
                <w:lang w:val="sk-SK"/>
              </w:rPr>
            </w:pPr>
            <w:r w:rsidRPr="00507E09">
              <w:rPr>
                <w:lang w:val="sk-SK"/>
              </w:rPr>
              <w:t>hemolyticko-uremický syndróm, trombotická trombocytopenická purpura, pancytopénia, koagulopatia, hemorágia</w:t>
            </w:r>
          </w:p>
        </w:tc>
      </w:tr>
      <w:tr w:rsidR="00F132B6" w:rsidRPr="00507E09" w14:paraId="29E60F1D" w14:textId="77777777" w:rsidTr="009700BD">
        <w:trPr>
          <w:trHeight w:hRule="exact" w:val="780"/>
        </w:trPr>
        <w:tc>
          <w:tcPr>
            <w:tcW w:w="3494" w:type="dxa"/>
            <w:tcBorders>
              <w:left w:val="single" w:sz="4" w:space="0" w:color="000000"/>
            </w:tcBorders>
          </w:tcPr>
          <w:p w14:paraId="4332F38F" w14:textId="77777777" w:rsidR="00F132B6" w:rsidRPr="00507E09" w:rsidRDefault="00F132B6" w:rsidP="009258AC">
            <w:pPr>
              <w:pStyle w:val="TableParagraph"/>
              <w:spacing w:line="250" w:lineRule="exact"/>
              <w:rPr>
                <w:b/>
                <w:lang w:val="sk-SK"/>
              </w:rPr>
            </w:pPr>
            <w:r w:rsidRPr="00507E09">
              <w:rPr>
                <w:b/>
                <w:lang w:val="sk-SK"/>
              </w:rPr>
              <w:t>Poruchy imunitného systému</w:t>
            </w:r>
          </w:p>
          <w:p w14:paraId="14B69E27" w14:textId="77777777" w:rsidR="00F132B6" w:rsidRPr="00507E09" w:rsidRDefault="00F132B6" w:rsidP="00474F1E">
            <w:pPr>
              <w:pStyle w:val="TableParagraph"/>
              <w:ind w:right="2343"/>
              <w:rPr>
                <w:lang w:val="sk-SK"/>
              </w:rPr>
            </w:pPr>
            <w:r w:rsidRPr="00507E09">
              <w:rPr>
                <w:lang w:val="sk-SK"/>
              </w:rPr>
              <w:t>Menej časté: Zriedkavé:</w:t>
            </w:r>
          </w:p>
        </w:tc>
        <w:tc>
          <w:tcPr>
            <w:tcW w:w="5585" w:type="dxa"/>
            <w:tcBorders>
              <w:right w:val="single" w:sz="4" w:space="0" w:color="000000"/>
            </w:tcBorders>
          </w:tcPr>
          <w:p w14:paraId="3CDDF28B" w14:textId="77777777" w:rsidR="00F132B6" w:rsidRPr="00507E09" w:rsidRDefault="00F132B6">
            <w:pPr>
              <w:pStyle w:val="TableParagraph"/>
              <w:spacing w:before="6"/>
              <w:ind w:left="0"/>
              <w:rPr>
                <w:sz w:val="21"/>
                <w:lang w:val="sk-SK"/>
              </w:rPr>
            </w:pPr>
          </w:p>
          <w:p w14:paraId="29AE9710" w14:textId="77777777" w:rsidR="00F132B6" w:rsidRPr="00507E09" w:rsidRDefault="00F132B6">
            <w:pPr>
              <w:pStyle w:val="TableParagraph"/>
              <w:ind w:left="-10" w:right="3459"/>
              <w:rPr>
                <w:lang w:val="sk-SK"/>
              </w:rPr>
            </w:pPr>
            <w:r w:rsidRPr="00507E09">
              <w:rPr>
                <w:lang w:val="sk-SK"/>
              </w:rPr>
              <w:t>alergická reakcia reakcia z precitlivenosti</w:t>
            </w:r>
          </w:p>
        </w:tc>
      </w:tr>
      <w:tr w:rsidR="00F132B6" w:rsidRPr="00507E09" w14:paraId="083C4FC9" w14:textId="77777777" w:rsidTr="009700BD">
        <w:trPr>
          <w:trHeight w:hRule="exact" w:val="528"/>
        </w:trPr>
        <w:tc>
          <w:tcPr>
            <w:tcW w:w="3494" w:type="dxa"/>
            <w:tcBorders>
              <w:left w:val="single" w:sz="4" w:space="0" w:color="000000"/>
            </w:tcBorders>
          </w:tcPr>
          <w:p w14:paraId="79DE9E41" w14:textId="77777777" w:rsidR="00F132B6" w:rsidRPr="00507E09" w:rsidRDefault="00F132B6" w:rsidP="009258AC">
            <w:pPr>
              <w:pStyle w:val="TableParagraph"/>
              <w:spacing w:line="248" w:lineRule="exact"/>
              <w:rPr>
                <w:b/>
                <w:lang w:val="sk-SK"/>
              </w:rPr>
            </w:pPr>
            <w:r w:rsidRPr="00507E09">
              <w:rPr>
                <w:b/>
                <w:lang w:val="sk-SK"/>
              </w:rPr>
              <w:t>Poruchy endokrinného systému</w:t>
            </w:r>
          </w:p>
          <w:p w14:paraId="6C6A11D5" w14:textId="77777777" w:rsidR="00F132B6" w:rsidRPr="00507E09" w:rsidRDefault="00F132B6" w:rsidP="00474F1E">
            <w:pPr>
              <w:pStyle w:val="TableParagraph"/>
              <w:spacing w:line="250" w:lineRule="exact"/>
              <w:rPr>
                <w:lang w:val="sk-SK"/>
              </w:rPr>
            </w:pPr>
            <w:r w:rsidRPr="00507E09">
              <w:rPr>
                <w:lang w:val="sk-SK"/>
              </w:rPr>
              <w:t>Zriedkavé:</w:t>
            </w:r>
          </w:p>
        </w:tc>
        <w:tc>
          <w:tcPr>
            <w:tcW w:w="5585" w:type="dxa"/>
            <w:tcBorders>
              <w:right w:val="single" w:sz="4" w:space="0" w:color="000000"/>
            </w:tcBorders>
          </w:tcPr>
          <w:p w14:paraId="3C3AF9B6" w14:textId="77777777" w:rsidR="00F132B6" w:rsidRPr="00507E09" w:rsidRDefault="00F132B6">
            <w:pPr>
              <w:pStyle w:val="TableParagraph"/>
              <w:spacing w:before="3"/>
              <w:ind w:left="0"/>
              <w:rPr>
                <w:sz w:val="21"/>
                <w:lang w:val="sk-SK"/>
              </w:rPr>
            </w:pPr>
          </w:p>
          <w:p w14:paraId="3D8A9329" w14:textId="77777777" w:rsidR="00F132B6" w:rsidRPr="00507E09" w:rsidRDefault="00F132B6">
            <w:pPr>
              <w:pStyle w:val="TableParagraph"/>
              <w:ind w:left="-10"/>
              <w:rPr>
                <w:lang w:val="sk-SK"/>
              </w:rPr>
            </w:pPr>
            <w:r w:rsidRPr="00507E09">
              <w:rPr>
                <w:lang w:val="sk-SK"/>
              </w:rPr>
              <w:t>insuficiencia nadobličiek, pokles gonadotropínu v krvi</w:t>
            </w:r>
          </w:p>
        </w:tc>
      </w:tr>
      <w:tr w:rsidR="00F132B6" w:rsidRPr="00507E09" w14:paraId="51E65CE5" w14:textId="77777777" w:rsidTr="009700BD">
        <w:trPr>
          <w:trHeight w:hRule="exact" w:val="1032"/>
        </w:trPr>
        <w:tc>
          <w:tcPr>
            <w:tcW w:w="3494" w:type="dxa"/>
            <w:tcBorders>
              <w:left w:val="single" w:sz="4" w:space="0" w:color="000000"/>
            </w:tcBorders>
          </w:tcPr>
          <w:p w14:paraId="0CCD74DD" w14:textId="77777777" w:rsidR="00F132B6" w:rsidRPr="00507E09" w:rsidRDefault="00F132B6" w:rsidP="009258AC">
            <w:pPr>
              <w:pStyle w:val="TableParagraph"/>
              <w:spacing w:line="245" w:lineRule="exact"/>
              <w:rPr>
                <w:b/>
                <w:lang w:val="sk-SK"/>
              </w:rPr>
            </w:pPr>
            <w:r w:rsidRPr="00507E09">
              <w:rPr>
                <w:b/>
                <w:lang w:val="sk-SK"/>
              </w:rPr>
              <w:t>Poruchy metabolizmu a výživy</w:t>
            </w:r>
          </w:p>
          <w:p w14:paraId="41090785" w14:textId="77777777" w:rsidR="00F132B6" w:rsidRPr="00507E09" w:rsidRDefault="00F132B6" w:rsidP="00474F1E">
            <w:pPr>
              <w:pStyle w:val="TableParagraph"/>
              <w:spacing w:line="250" w:lineRule="exact"/>
              <w:rPr>
                <w:lang w:val="sk-SK"/>
              </w:rPr>
            </w:pPr>
            <w:r w:rsidRPr="00507E09">
              <w:rPr>
                <w:lang w:val="sk-SK"/>
              </w:rPr>
              <w:t>Časté:</w:t>
            </w:r>
          </w:p>
          <w:p w14:paraId="12724CDD" w14:textId="77777777" w:rsidR="00F132B6" w:rsidRPr="00507E09" w:rsidRDefault="00F132B6">
            <w:pPr>
              <w:pStyle w:val="TableParagraph"/>
              <w:ind w:left="0"/>
              <w:rPr>
                <w:lang w:val="sk-SK"/>
              </w:rPr>
            </w:pPr>
          </w:p>
          <w:p w14:paraId="45FB8211" w14:textId="77777777" w:rsidR="00F132B6" w:rsidRPr="00507E09" w:rsidRDefault="00F132B6">
            <w:pPr>
              <w:pStyle w:val="TableParagraph"/>
              <w:rPr>
                <w:lang w:val="sk-SK"/>
              </w:rPr>
            </w:pPr>
            <w:r w:rsidRPr="00507E09">
              <w:rPr>
                <w:lang w:val="sk-SK"/>
              </w:rPr>
              <w:t>Menej časté:</w:t>
            </w:r>
          </w:p>
        </w:tc>
        <w:tc>
          <w:tcPr>
            <w:tcW w:w="5585" w:type="dxa"/>
            <w:tcBorders>
              <w:right w:val="single" w:sz="4" w:space="0" w:color="000000"/>
            </w:tcBorders>
          </w:tcPr>
          <w:p w14:paraId="5CB9A077" w14:textId="77777777" w:rsidR="00F132B6" w:rsidRPr="00507E09" w:rsidRDefault="00F132B6">
            <w:pPr>
              <w:pStyle w:val="TableParagraph"/>
              <w:spacing w:before="1"/>
              <w:ind w:left="0"/>
              <w:rPr>
                <w:sz w:val="21"/>
                <w:lang w:val="sk-SK"/>
              </w:rPr>
            </w:pPr>
          </w:p>
          <w:p w14:paraId="584DCA59" w14:textId="77777777" w:rsidR="00F132B6" w:rsidRPr="00507E09" w:rsidRDefault="00F132B6">
            <w:pPr>
              <w:pStyle w:val="TableParagraph"/>
              <w:ind w:left="-10" w:right="377"/>
              <w:rPr>
                <w:lang w:val="sk-SK"/>
              </w:rPr>
            </w:pPr>
            <w:r w:rsidRPr="00507E09">
              <w:rPr>
                <w:lang w:val="sk-SK"/>
              </w:rPr>
              <w:t>nerovnováha elektrolytov, anorexia, znížená chuť do jedla, hypokaliémia, hypomagneziémia</w:t>
            </w:r>
          </w:p>
          <w:p w14:paraId="3B589F5C" w14:textId="77777777" w:rsidR="00F132B6" w:rsidRPr="00507E09" w:rsidRDefault="00F132B6">
            <w:pPr>
              <w:pStyle w:val="TableParagraph"/>
              <w:spacing w:line="252" w:lineRule="exact"/>
              <w:ind w:left="-10"/>
              <w:rPr>
                <w:lang w:val="sk-SK"/>
              </w:rPr>
            </w:pPr>
            <w:r w:rsidRPr="00507E09">
              <w:rPr>
                <w:lang w:val="sk-SK"/>
              </w:rPr>
              <w:t>hyperglykémia, hypoglykémia</w:t>
            </w:r>
          </w:p>
        </w:tc>
      </w:tr>
      <w:tr w:rsidR="00F132B6" w:rsidRPr="00507E09" w14:paraId="25E99759" w14:textId="77777777" w:rsidTr="009700BD">
        <w:trPr>
          <w:trHeight w:hRule="exact" w:val="778"/>
        </w:trPr>
        <w:tc>
          <w:tcPr>
            <w:tcW w:w="3494" w:type="dxa"/>
            <w:tcBorders>
              <w:left w:val="single" w:sz="4" w:space="0" w:color="000000"/>
            </w:tcBorders>
          </w:tcPr>
          <w:p w14:paraId="0D869A2E" w14:textId="77777777" w:rsidR="00F132B6" w:rsidRPr="00507E09" w:rsidRDefault="00F132B6" w:rsidP="009258AC">
            <w:pPr>
              <w:pStyle w:val="TableParagraph"/>
              <w:spacing w:line="237" w:lineRule="auto"/>
              <w:ind w:right="1694"/>
              <w:rPr>
                <w:lang w:val="sk-SK"/>
              </w:rPr>
            </w:pPr>
            <w:r w:rsidRPr="00507E09">
              <w:rPr>
                <w:b/>
                <w:lang w:val="sk-SK"/>
              </w:rPr>
              <w:t xml:space="preserve">Psychické poruchy </w:t>
            </w:r>
            <w:r w:rsidRPr="00507E09">
              <w:rPr>
                <w:lang w:val="sk-SK"/>
              </w:rPr>
              <w:t>Menej časté: Zriedkavé:</w:t>
            </w:r>
          </w:p>
        </w:tc>
        <w:tc>
          <w:tcPr>
            <w:tcW w:w="5585" w:type="dxa"/>
            <w:tcBorders>
              <w:right w:val="single" w:sz="4" w:space="0" w:color="000000"/>
            </w:tcBorders>
          </w:tcPr>
          <w:p w14:paraId="7FD59A25" w14:textId="77777777" w:rsidR="00F132B6" w:rsidRPr="00507E09" w:rsidRDefault="00F132B6" w:rsidP="00474F1E">
            <w:pPr>
              <w:pStyle w:val="TableParagraph"/>
              <w:spacing w:before="1"/>
              <w:ind w:left="0"/>
              <w:rPr>
                <w:sz w:val="21"/>
                <w:lang w:val="sk-SK"/>
              </w:rPr>
            </w:pPr>
          </w:p>
          <w:p w14:paraId="40876990" w14:textId="77777777" w:rsidR="00F132B6" w:rsidRPr="00507E09" w:rsidRDefault="00F132B6">
            <w:pPr>
              <w:pStyle w:val="TableParagraph"/>
              <w:ind w:left="-10" w:right="1192"/>
              <w:rPr>
                <w:lang w:val="sk-SK"/>
              </w:rPr>
            </w:pPr>
            <w:r w:rsidRPr="00507E09">
              <w:rPr>
                <w:lang w:val="sk-SK"/>
              </w:rPr>
              <w:t>abnormálne sny, stav zmätenosti, porucha spánku psychotická porucha, depresia</w:t>
            </w:r>
          </w:p>
        </w:tc>
      </w:tr>
      <w:tr w:rsidR="00F132B6" w:rsidRPr="00507E09" w14:paraId="408A76DF" w14:textId="77777777" w:rsidTr="009700BD">
        <w:trPr>
          <w:trHeight w:hRule="exact" w:val="1286"/>
        </w:trPr>
        <w:tc>
          <w:tcPr>
            <w:tcW w:w="3494" w:type="dxa"/>
            <w:tcBorders>
              <w:left w:val="single" w:sz="4" w:space="0" w:color="000000"/>
            </w:tcBorders>
          </w:tcPr>
          <w:p w14:paraId="0D60099A" w14:textId="77777777" w:rsidR="00F132B6" w:rsidRPr="00507E09" w:rsidRDefault="00F132B6" w:rsidP="009258AC">
            <w:pPr>
              <w:pStyle w:val="TableParagraph"/>
              <w:spacing w:line="248" w:lineRule="exact"/>
              <w:rPr>
                <w:b/>
                <w:lang w:val="sk-SK"/>
              </w:rPr>
            </w:pPr>
            <w:r w:rsidRPr="00507E09">
              <w:rPr>
                <w:b/>
                <w:lang w:val="sk-SK"/>
              </w:rPr>
              <w:t>Poruchy nervového systému</w:t>
            </w:r>
          </w:p>
          <w:p w14:paraId="385D0B5F" w14:textId="77777777" w:rsidR="00F132B6" w:rsidRPr="00507E09" w:rsidRDefault="00F132B6" w:rsidP="00474F1E">
            <w:pPr>
              <w:pStyle w:val="TableParagraph"/>
              <w:ind w:right="2358"/>
              <w:rPr>
                <w:lang w:val="sk-SK"/>
              </w:rPr>
            </w:pPr>
            <w:r w:rsidRPr="00507E09">
              <w:rPr>
                <w:lang w:val="sk-SK"/>
              </w:rPr>
              <w:t>Časté: Menej časté: Zriedkavé:</w:t>
            </w:r>
          </w:p>
        </w:tc>
        <w:tc>
          <w:tcPr>
            <w:tcW w:w="5585" w:type="dxa"/>
            <w:tcBorders>
              <w:right w:val="single" w:sz="4" w:space="0" w:color="000000"/>
            </w:tcBorders>
          </w:tcPr>
          <w:p w14:paraId="648A1EB7" w14:textId="77777777" w:rsidR="00F132B6" w:rsidRPr="00507E09" w:rsidRDefault="00F132B6">
            <w:pPr>
              <w:pStyle w:val="TableParagraph"/>
              <w:spacing w:before="3"/>
              <w:ind w:left="0"/>
              <w:rPr>
                <w:sz w:val="21"/>
                <w:lang w:val="sk-SK"/>
              </w:rPr>
            </w:pPr>
          </w:p>
          <w:p w14:paraId="21C93F34" w14:textId="77777777" w:rsidR="00F132B6" w:rsidRPr="00507E09" w:rsidRDefault="00F132B6">
            <w:pPr>
              <w:pStyle w:val="TableParagraph"/>
              <w:ind w:left="-10" w:right="-4"/>
              <w:rPr>
                <w:lang w:val="sk-SK"/>
              </w:rPr>
            </w:pPr>
            <w:r w:rsidRPr="00507E09">
              <w:rPr>
                <w:lang w:val="sk-SK"/>
              </w:rPr>
              <w:t>parestézia, závrat, somnolencia, bolesť hlavy, dysgeúzia konvulzie, neuropatia, hypestézia, tremor, afázia, insomnia cerebrovaskulárna príhoda, encefalopatia, periférna neuropatia, synkopa</w:t>
            </w:r>
          </w:p>
        </w:tc>
      </w:tr>
      <w:tr w:rsidR="00F132B6" w:rsidRPr="00507E09" w14:paraId="178C1158" w14:textId="77777777" w:rsidTr="009700BD">
        <w:trPr>
          <w:trHeight w:hRule="exact" w:val="778"/>
        </w:trPr>
        <w:tc>
          <w:tcPr>
            <w:tcW w:w="3494" w:type="dxa"/>
            <w:tcBorders>
              <w:left w:val="single" w:sz="4" w:space="0" w:color="000000"/>
            </w:tcBorders>
          </w:tcPr>
          <w:p w14:paraId="1AFF1FB5" w14:textId="77777777" w:rsidR="00F132B6" w:rsidRPr="00507E09" w:rsidRDefault="00F132B6" w:rsidP="009258AC">
            <w:pPr>
              <w:pStyle w:val="TableParagraph"/>
              <w:spacing w:line="237" w:lineRule="auto"/>
              <w:ind w:right="2269"/>
              <w:rPr>
                <w:lang w:val="sk-SK"/>
              </w:rPr>
            </w:pPr>
            <w:r w:rsidRPr="00507E09">
              <w:rPr>
                <w:b/>
                <w:lang w:val="sk-SK"/>
              </w:rPr>
              <w:lastRenderedPageBreak/>
              <w:t xml:space="preserve">Poruchy oka </w:t>
            </w:r>
            <w:r w:rsidRPr="00507E09">
              <w:rPr>
                <w:lang w:val="sk-SK"/>
              </w:rPr>
              <w:t>Menej časté: Zriedkavé:</w:t>
            </w:r>
          </w:p>
        </w:tc>
        <w:tc>
          <w:tcPr>
            <w:tcW w:w="5585" w:type="dxa"/>
            <w:tcBorders>
              <w:right w:val="single" w:sz="4" w:space="0" w:color="000000"/>
            </w:tcBorders>
          </w:tcPr>
          <w:p w14:paraId="48701C4C" w14:textId="77777777" w:rsidR="00F132B6" w:rsidRPr="00507E09" w:rsidRDefault="00F132B6" w:rsidP="00474F1E">
            <w:pPr>
              <w:pStyle w:val="TableParagraph"/>
              <w:spacing w:before="1"/>
              <w:ind w:left="0"/>
              <w:rPr>
                <w:sz w:val="21"/>
                <w:lang w:val="sk-SK"/>
              </w:rPr>
            </w:pPr>
          </w:p>
          <w:p w14:paraId="0FFA7CA2" w14:textId="77777777" w:rsidR="00F132B6" w:rsidRPr="00507E09" w:rsidRDefault="00F132B6">
            <w:pPr>
              <w:pStyle w:val="TableParagraph"/>
              <w:ind w:left="-10" w:right="781"/>
              <w:rPr>
                <w:lang w:val="sk-SK"/>
              </w:rPr>
            </w:pPr>
            <w:r w:rsidRPr="00507E09">
              <w:rPr>
                <w:lang w:val="sk-SK"/>
              </w:rPr>
              <w:t>rozmazané videnie, fotofóbia, znížená zraková ostrosť dvojité videnie, skotóm</w:t>
            </w:r>
          </w:p>
        </w:tc>
      </w:tr>
      <w:tr w:rsidR="00F132B6" w:rsidRPr="00507E09" w14:paraId="3273EC05" w14:textId="77777777" w:rsidTr="009700BD">
        <w:trPr>
          <w:trHeight w:hRule="exact" w:val="526"/>
        </w:trPr>
        <w:tc>
          <w:tcPr>
            <w:tcW w:w="3494" w:type="dxa"/>
            <w:tcBorders>
              <w:left w:val="single" w:sz="4" w:space="0" w:color="000000"/>
            </w:tcBorders>
          </w:tcPr>
          <w:p w14:paraId="7382232C" w14:textId="77777777" w:rsidR="00F132B6" w:rsidRPr="00507E09" w:rsidRDefault="00F132B6" w:rsidP="009258AC">
            <w:pPr>
              <w:pStyle w:val="TableParagraph"/>
              <w:spacing w:line="247" w:lineRule="exact"/>
              <w:rPr>
                <w:b/>
                <w:lang w:val="sk-SK"/>
              </w:rPr>
            </w:pPr>
            <w:r w:rsidRPr="00507E09">
              <w:rPr>
                <w:b/>
                <w:lang w:val="sk-SK"/>
              </w:rPr>
              <w:t>Poruchy ucha a labyrintu</w:t>
            </w:r>
          </w:p>
          <w:p w14:paraId="628C56C1" w14:textId="77777777" w:rsidR="00F132B6" w:rsidRPr="00507E09" w:rsidRDefault="00F132B6" w:rsidP="00474F1E">
            <w:pPr>
              <w:pStyle w:val="TableParagraph"/>
              <w:spacing w:line="251" w:lineRule="exact"/>
              <w:rPr>
                <w:lang w:val="sk-SK"/>
              </w:rPr>
            </w:pPr>
            <w:r w:rsidRPr="00507E09">
              <w:rPr>
                <w:lang w:val="sk-SK"/>
              </w:rPr>
              <w:t>Zriedkavé:</w:t>
            </w:r>
          </w:p>
        </w:tc>
        <w:tc>
          <w:tcPr>
            <w:tcW w:w="5585" w:type="dxa"/>
            <w:tcBorders>
              <w:right w:val="single" w:sz="4" w:space="0" w:color="000000"/>
            </w:tcBorders>
          </w:tcPr>
          <w:p w14:paraId="3CE9090C" w14:textId="77777777" w:rsidR="00F132B6" w:rsidRPr="00507E09" w:rsidRDefault="00F132B6">
            <w:pPr>
              <w:pStyle w:val="TableParagraph"/>
              <w:spacing w:before="3"/>
              <w:ind w:left="0"/>
              <w:rPr>
                <w:sz w:val="21"/>
                <w:lang w:val="sk-SK"/>
              </w:rPr>
            </w:pPr>
          </w:p>
          <w:p w14:paraId="530CF084" w14:textId="77777777" w:rsidR="00F132B6" w:rsidRPr="00507E09" w:rsidRDefault="00F132B6">
            <w:pPr>
              <w:pStyle w:val="TableParagraph"/>
              <w:ind w:left="-10"/>
              <w:rPr>
                <w:lang w:val="sk-SK"/>
              </w:rPr>
            </w:pPr>
            <w:r w:rsidRPr="00507E09">
              <w:rPr>
                <w:lang w:val="sk-SK"/>
              </w:rPr>
              <w:t>porucha sluchu</w:t>
            </w:r>
          </w:p>
        </w:tc>
      </w:tr>
      <w:tr w:rsidR="00F132B6" w:rsidRPr="00507E09" w14:paraId="3C6D2B21" w14:textId="77777777" w:rsidTr="009700BD">
        <w:trPr>
          <w:trHeight w:hRule="exact" w:val="1790"/>
        </w:trPr>
        <w:tc>
          <w:tcPr>
            <w:tcW w:w="3494" w:type="dxa"/>
            <w:tcBorders>
              <w:left w:val="single" w:sz="4" w:space="0" w:color="000000"/>
            </w:tcBorders>
          </w:tcPr>
          <w:p w14:paraId="24323D28" w14:textId="77777777" w:rsidR="00F132B6" w:rsidRPr="00507E09" w:rsidRDefault="00F132B6" w:rsidP="009258AC">
            <w:pPr>
              <w:pStyle w:val="TableParagraph"/>
              <w:spacing w:line="248" w:lineRule="exact"/>
              <w:rPr>
                <w:b/>
                <w:lang w:val="sk-SK"/>
              </w:rPr>
            </w:pPr>
            <w:r w:rsidRPr="00507E09">
              <w:rPr>
                <w:b/>
                <w:lang w:val="sk-SK"/>
              </w:rPr>
              <w:t>Poruchy srdca a srdcovej činnosti</w:t>
            </w:r>
          </w:p>
          <w:p w14:paraId="3660E9FE" w14:textId="77777777" w:rsidR="00F132B6" w:rsidRPr="00507E09" w:rsidRDefault="00F132B6" w:rsidP="00474F1E">
            <w:pPr>
              <w:pStyle w:val="TableParagraph"/>
              <w:spacing w:line="720" w:lineRule="auto"/>
              <w:ind w:right="2343"/>
              <w:rPr>
                <w:lang w:val="sk-SK"/>
              </w:rPr>
            </w:pPr>
            <w:r w:rsidRPr="00507E09">
              <w:rPr>
                <w:lang w:val="sk-SK"/>
              </w:rPr>
              <w:t>Menej časté: Zriedkavé:</w:t>
            </w:r>
          </w:p>
        </w:tc>
        <w:tc>
          <w:tcPr>
            <w:tcW w:w="5585" w:type="dxa"/>
            <w:tcBorders>
              <w:right w:val="single" w:sz="4" w:space="0" w:color="000000"/>
            </w:tcBorders>
          </w:tcPr>
          <w:p w14:paraId="3EFD9389" w14:textId="77777777" w:rsidR="00F132B6" w:rsidRPr="00507E09" w:rsidRDefault="00F132B6">
            <w:pPr>
              <w:pStyle w:val="TableParagraph"/>
              <w:spacing w:before="11"/>
              <w:ind w:left="0"/>
              <w:rPr>
                <w:sz w:val="19"/>
                <w:lang w:val="sk-SK"/>
              </w:rPr>
            </w:pPr>
          </w:p>
          <w:p w14:paraId="2111B594" w14:textId="77777777" w:rsidR="00F132B6" w:rsidRPr="00507E09" w:rsidRDefault="00F132B6" w:rsidP="00E13FB9">
            <w:pPr>
              <w:pStyle w:val="TableParagraph"/>
              <w:spacing w:line="228" w:lineRule="auto"/>
              <w:ind w:left="-10" w:right="1670"/>
              <w:rPr>
                <w:lang w:val="sk-SK"/>
              </w:rPr>
            </w:pPr>
            <w:r w:rsidRPr="00507E09">
              <w:rPr>
                <w:lang w:val="sk-SK"/>
              </w:rPr>
              <w:t>syndróm dlhého QT intervalu</w:t>
            </w:r>
            <w:r w:rsidRPr="00507E09">
              <w:rPr>
                <w:position w:val="10"/>
                <w:sz w:val="14"/>
                <w:lang w:val="sk-SK"/>
              </w:rPr>
              <w:t>§</w:t>
            </w:r>
            <w:r w:rsidRPr="00507E09">
              <w:rPr>
                <w:lang w:val="sk-SK"/>
              </w:rPr>
              <w:t>, abnormálny elektrokardiogram</w:t>
            </w:r>
            <w:r w:rsidRPr="00507E09">
              <w:rPr>
                <w:position w:val="10"/>
                <w:sz w:val="14"/>
                <w:lang w:val="sk-SK"/>
              </w:rPr>
              <w:t>§</w:t>
            </w:r>
            <w:r w:rsidRPr="00507E09">
              <w:rPr>
                <w:lang w:val="sk-SK"/>
              </w:rPr>
              <w:t>, palpitácie, bradykardia, supraventrikulárne extrasystoly, tachykardia</w:t>
            </w:r>
          </w:p>
          <w:p w14:paraId="3F6FBB31" w14:textId="77777777" w:rsidR="00F132B6" w:rsidRPr="00507E09" w:rsidRDefault="00F132B6" w:rsidP="009258AC">
            <w:pPr>
              <w:pStyle w:val="TableParagraph"/>
              <w:spacing w:before="1"/>
              <w:ind w:left="-10" w:right="743"/>
              <w:rPr>
                <w:lang w:val="sk-SK"/>
              </w:rPr>
            </w:pPr>
            <w:r w:rsidRPr="00507E09">
              <w:rPr>
                <w:i/>
                <w:lang w:val="sk-SK"/>
              </w:rPr>
              <w:t>torsade de pointes</w:t>
            </w:r>
            <w:r w:rsidRPr="00507E09">
              <w:rPr>
                <w:lang w:val="sk-SK"/>
              </w:rPr>
              <w:t>, náhla smrť, komorová tachykardia, kardiorespiračné zastavenie, zlyhávanie srdca, infarkt myokardu</w:t>
            </w:r>
          </w:p>
        </w:tc>
      </w:tr>
      <w:tr w:rsidR="00F132B6" w:rsidRPr="00507E09" w14:paraId="318D8DE3" w14:textId="77777777" w:rsidTr="009700BD">
        <w:trPr>
          <w:trHeight w:hRule="exact" w:val="1034"/>
        </w:trPr>
        <w:tc>
          <w:tcPr>
            <w:tcW w:w="3494" w:type="dxa"/>
            <w:tcBorders>
              <w:left w:val="single" w:sz="4" w:space="0" w:color="000000"/>
            </w:tcBorders>
          </w:tcPr>
          <w:p w14:paraId="431C7325" w14:textId="77777777" w:rsidR="00F132B6" w:rsidRPr="00507E09" w:rsidRDefault="00F132B6" w:rsidP="009258AC">
            <w:pPr>
              <w:pStyle w:val="TableParagraph"/>
              <w:spacing w:line="248" w:lineRule="exact"/>
              <w:rPr>
                <w:b/>
                <w:lang w:val="sk-SK"/>
              </w:rPr>
            </w:pPr>
            <w:r w:rsidRPr="00507E09">
              <w:rPr>
                <w:b/>
                <w:lang w:val="sk-SK"/>
              </w:rPr>
              <w:t>Poruchy ciev</w:t>
            </w:r>
          </w:p>
          <w:p w14:paraId="357A2A55" w14:textId="77777777" w:rsidR="00F132B6" w:rsidRPr="00507E09" w:rsidRDefault="00F132B6" w:rsidP="00474F1E">
            <w:pPr>
              <w:pStyle w:val="TableParagraph"/>
              <w:spacing w:line="242" w:lineRule="auto"/>
              <w:ind w:right="2358"/>
              <w:rPr>
                <w:lang w:val="sk-SK"/>
              </w:rPr>
            </w:pPr>
            <w:r w:rsidRPr="00507E09">
              <w:rPr>
                <w:lang w:val="sk-SK"/>
              </w:rPr>
              <w:t>Časté: Menej časté: Zriedkavé:</w:t>
            </w:r>
          </w:p>
        </w:tc>
        <w:tc>
          <w:tcPr>
            <w:tcW w:w="5585" w:type="dxa"/>
            <w:tcBorders>
              <w:right w:val="single" w:sz="4" w:space="0" w:color="000000"/>
            </w:tcBorders>
          </w:tcPr>
          <w:p w14:paraId="2AB6DB31" w14:textId="77777777" w:rsidR="00F132B6" w:rsidRPr="00507E09" w:rsidRDefault="00F132B6">
            <w:pPr>
              <w:pStyle w:val="TableParagraph"/>
              <w:spacing w:before="3"/>
              <w:ind w:left="0"/>
              <w:rPr>
                <w:sz w:val="21"/>
                <w:lang w:val="sk-SK"/>
              </w:rPr>
            </w:pPr>
          </w:p>
          <w:p w14:paraId="4403B83F" w14:textId="77777777" w:rsidR="00F132B6" w:rsidRPr="00507E09" w:rsidRDefault="00F132B6">
            <w:pPr>
              <w:pStyle w:val="TableParagraph"/>
              <w:ind w:left="-10" w:right="3534"/>
              <w:rPr>
                <w:lang w:val="sk-SK"/>
              </w:rPr>
            </w:pPr>
            <w:r w:rsidRPr="00507E09">
              <w:rPr>
                <w:lang w:val="sk-SK"/>
              </w:rPr>
              <w:t>hypertenzia hypotenzia, vaskulitída</w:t>
            </w:r>
          </w:p>
          <w:p w14:paraId="5DC033BC" w14:textId="77777777" w:rsidR="00F132B6" w:rsidRPr="00507E09" w:rsidRDefault="00F132B6">
            <w:pPr>
              <w:pStyle w:val="TableParagraph"/>
              <w:spacing w:before="1"/>
              <w:ind w:left="-10"/>
              <w:rPr>
                <w:lang w:val="sk-SK"/>
              </w:rPr>
            </w:pPr>
            <w:r w:rsidRPr="00507E09">
              <w:rPr>
                <w:lang w:val="sk-SK"/>
              </w:rPr>
              <w:t>pľúcna embólia, trombóza hĺbkových žíl</w:t>
            </w:r>
          </w:p>
        </w:tc>
      </w:tr>
      <w:tr w:rsidR="00F132B6" w:rsidRPr="00507E09" w14:paraId="0F00DAE4" w14:textId="77777777" w:rsidTr="009700BD">
        <w:trPr>
          <w:trHeight w:hRule="exact" w:val="1286"/>
        </w:trPr>
        <w:tc>
          <w:tcPr>
            <w:tcW w:w="3494" w:type="dxa"/>
            <w:tcBorders>
              <w:left w:val="single" w:sz="4" w:space="0" w:color="000000"/>
            </w:tcBorders>
          </w:tcPr>
          <w:p w14:paraId="1E890819" w14:textId="77777777" w:rsidR="00F132B6" w:rsidRPr="00507E09" w:rsidRDefault="00F132B6" w:rsidP="009258AC">
            <w:pPr>
              <w:pStyle w:val="TableParagraph"/>
              <w:spacing w:before="1" w:line="252" w:lineRule="exact"/>
              <w:ind w:right="38"/>
              <w:rPr>
                <w:b/>
                <w:lang w:val="sk-SK"/>
              </w:rPr>
            </w:pPr>
            <w:r w:rsidRPr="00507E09">
              <w:rPr>
                <w:b/>
                <w:lang w:val="sk-SK"/>
              </w:rPr>
              <w:t>Poruchy dýchacej sústavy, hrudníka a mediastína</w:t>
            </w:r>
          </w:p>
          <w:p w14:paraId="0A085744" w14:textId="77777777" w:rsidR="00F132B6" w:rsidRPr="00507E09" w:rsidRDefault="00F132B6" w:rsidP="00474F1E">
            <w:pPr>
              <w:pStyle w:val="TableParagraph"/>
              <w:spacing w:line="244" w:lineRule="exact"/>
              <w:rPr>
                <w:lang w:val="sk-SK"/>
              </w:rPr>
            </w:pPr>
            <w:r w:rsidRPr="00507E09">
              <w:rPr>
                <w:lang w:val="sk-SK"/>
              </w:rPr>
              <w:t>Menej časté:</w:t>
            </w:r>
          </w:p>
          <w:p w14:paraId="7D08774F" w14:textId="77777777" w:rsidR="00F132B6" w:rsidRPr="00507E09" w:rsidRDefault="00F132B6">
            <w:pPr>
              <w:pStyle w:val="TableParagraph"/>
              <w:spacing w:before="1"/>
              <w:ind w:left="0"/>
              <w:rPr>
                <w:lang w:val="sk-SK"/>
              </w:rPr>
            </w:pPr>
          </w:p>
          <w:p w14:paraId="48D606F6" w14:textId="77777777" w:rsidR="00F132B6" w:rsidRPr="00507E09" w:rsidRDefault="00F132B6">
            <w:pPr>
              <w:pStyle w:val="TableParagraph"/>
              <w:rPr>
                <w:lang w:val="sk-SK"/>
              </w:rPr>
            </w:pPr>
            <w:r w:rsidRPr="00507E09">
              <w:rPr>
                <w:lang w:val="sk-SK"/>
              </w:rPr>
              <w:t>Zriedkavé:</w:t>
            </w:r>
          </w:p>
        </w:tc>
        <w:tc>
          <w:tcPr>
            <w:tcW w:w="5585" w:type="dxa"/>
            <w:tcBorders>
              <w:right w:val="single" w:sz="4" w:space="0" w:color="000000"/>
            </w:tcBorders>
          </w:tcPr>
          <w:p w14:paraId="55D5EF8C" w14:textId="77777777" w:rsidR="00F132B6" w:rsidRPr="00507E09" w:rsidRDefault="00F132B6">
            <w:pPr>
              <w:pStyle w:val="TableParagraph"/>
              <w:ind w:left="0"/>
              <w:rPr>
                <w:sz w:val="24"/>
                <w:lang w:val="sk-SK"/>
              </w:rPr>
            </w:pPr>
          </w:p>
          <w:p w14:paraId="0B53A215" w14:textId="77777777" w:rsidR="00F132B6" w:rsidRPr="00507E09" w:rsidRDefault="00F132B6">
            <w:pPr>
              <w:pStyle w:val="TableParagraph"/>
              <w:spacing w:before="2"/>
              <w:ind w:left="0"/>
              <w:rPr>
                <w:sz w:val="19"/>
                <w:lang w:val="sk-SK"/>
              </w:rPr>
            </w:pPr>
          </w:p>
          <w:p w14:paraId="227DB967" w14:textId="77777777" w:rsidR="00F132B6" w:rsidRPr="00507E09" w:rsidRDefault="00F132B6">
            <w:pPr>
              <w:pStyle w:val="TableParagraph"/>
              <w:ind w:left="-10" w:right="516"/>
              <w:rPr>
                <w:lang w:val="sk-SK"/>
              </w:rPr>
            </w:pPr>
            <w:r w:rsidRPr="00507E09">
              <w:rPr>
                <w:lang w:val="sk-SK"/>
              </w:rPr>
              <w:t>kašeľ, epistaxa, štikútanie, nazálna kongescia, pleuritická bolesť, tachypnoe</w:t>
            </w:r>
          </w:p>
          <w:p w14:paraId="4C3E599E" w14:textId="77777777" w:rsidR="00F132B6" w:rsidRPr="00507E09" w:rsidRDefault="00F132B6">
            <w:pPr>
              <w:pStyle w:val="TableParagraph"/>
              <w:spacing w:line="252" w:lineRule="exact"/>
              <w:ind w:left="-10"/>
              <w:rPr>
                <w:lang w:val="sk-SK"/>
              </w:rPr>
            </w:pPr>
            <w:r w:rsidRPr="00507E09">
              <w:rPr>
                <w:lang w:val="sk-SK"/>
              </w:rPr>
              <w:t>pľúcna hypertenzia, intersticiálna pneumónia, pneumonitída</w:t>
            </w:r>
          </w:p>
        </w:tc>
      </w:tr>
      <w:tr w:rsidR="00F132B6" w:rsidRPr="00507E09" w14:paraId="5DC9AACD" w14:textId="77777777" w:rsidTr="009700BD">
        <w:trPr>
          <w:trHeight w:hRule="exact" w:val="2042"/>
        </w:trPr>
        <w:tc>
          <w:tcPr>
            <w:tcW w:w="3494" w:type="dxa"/>
            <w:tcBorders>
              <w:left w:val="single" w:sz="4" w:space="0" w:color="000000"/>
            </w:tcBorders>
          </w:tcPr>
          <w:p w14:paraId="2EDA2429" w14:textId="77777777" w:rsidR="00F132B6" w:rsidRPr="00507E09" w:rsidRDefault="00F132B6" w:rsidP="009258AC">
            <w:pPr>
              <w:pStyle w:val="TableParagraph"/>
              <w:spacing w:line="245" w:lineRule="exact"/>
              <w:rPr>
                <w:b/>
                <w:lang w:val="sk-SK"/>
              </w:rPr>
            </w:pPr>
            <w:r w:rsidRPr="00507E09">
              <w:rPr>
                <w:b/>
                <w:lang w:val="sk-SK"/>
              </w:rPr>
              <w:t>Poruchy gastrointestinálneho traktu</w:t>
            </w:r>
          </w:p>
          <w:p w14:paraId="01AA0FBE" w14:textId="77777777" w:rsidR="00F132B6" w:rsidRPr="00507E09" w:rsidRDefault="00F132B6" w:rsidP="00474F1E">
            <w:pPr>
              <w:pStyle w:val="TableParagraph"/>
              <w:spacing w:line="242" w:lineRule="auto"/>
              <w:ind w:right="2327"/>
              <w:rPr>
                <w:lang w:val="sk-SK"/>
              </w:rPr>
            </w:pPr>
            <w:r w:rsidRPr="00507E09">
              <w:rPr>
                <w:lang w:val="sk-SK"/>
              </w:rPr>
              <w:t>Veľmi časté: Časté:</w:t>
            </w:r>
          </w:p>
          <w:p w14:paraId="742A8D24" w14:textId="77777777" w:rsidR="00F132B6" w:rsidRPr="00507E09" w:rsidRDefault="00F132B6">
            <w:pPr>
              <w:pStyle w:val="TableParagraph"/>
              <w:ind w:left="0"/>
              <w:rPr>
                <w:lang w:val="sk-SK"/>
              </w:rPr>
            </w:pPr>
          </w:p>
          <w:p w14:paraId="1F7582DC" w14:textId="77777777" w:rsidR="00F132B6" w:rsidRPr="00507E09" w:rsidRDefault="00F132B6">
            <w:pPr>
              <w:pStyle w:val="TableParagraph"/>
              <w:spacing w:before="1"/>
              <w:rPr>
                <w:lang w:val="sk-SK"/>
              </w:rPr>
            </w:pPr>
            <w:r w:rsidRPr="00507E09">
              <w:rPr>
                <w:lang w:val="sk-SK"/>
              </w:rPr>
              <w:t>Menej časté:</w:t>
            </w:r>
          </w:p>
          <w:p w14:paraId="7A29FCC6" w14:textId="77777777" w:rsidR="00F132B6" w:rsidRPr="00507E09" w:rsidRDefault="00F132B6">
            <w:pPr>
              <w:pStyle w:val="TableParagraph"/>
              <w:ind w:left="0"/>
              <w:rPr>
                <w:sz w:val="24"/>
                <w:lang w:val="sk-SK"/>
              </w:rPr>
            </w:pPr>
          </w:p>
          <w:p w14:paraId="37D32361" w14:textId="77777777" w:rsidR="00F132B6" w:rsidRPr="00507E09" w:rsidRDefault="00F132B6">
            <w:pPr>
              <w:pStyle w:val="TableParagraph"/>
              <w:spacing w:before="11"/>
              <w:ind w:left="0"/>
              <w:rPr>
                <w:sz w:val="19"/>
                <w:lang w:val="sk-SK"/>
              </w:rPr>
            </w:pPr>
          </w:p>
          <w:p w14:paraId="3A0105FF" w14:textId="77777777" w:rsidR="00F132B6" w:rsidRPr="00507E09" w:rsidRDefault="00F132B6">
            <w:pPr>
              <w:pStyle w:val="TableParagraph"/>
              <w:rPr>
                <w:lang w:val="sk-SK"/>
              </w:rPr>
            </w:pPr>
            <w:r w:rsidRPr="00507E09">
              <w:rPr>
                <w:lang w:val="sk-SK"/>
              </w:rPr>
              <w:t>Zriedkavé:</w:t>
            </w:r>
          </w:p>
        </w:tc>
        <w:tc>
          <w:tcPr>
            <w:tcW w:w="5585" w:type="dxa"/>
            <w:tcBorders>
              <w:right w:val="single" w:sz="4" w:space="0" w:color="000000"/>
            </w:tcBorders>
          </w:tcPr>
          <w:p w14:paraId="544FE599" w14:textId="77777777" w:rsidR="00F132B6" w:rsidRPr="00507E09" w:rsidRDefault="00F132B6">
            <w:pPr>
              <w:pStyle w:val="TableParagraph"/>
              <w:spacing w:before="1"/>
              <w:ind w:left="0"/>
              <w:rPr>
                <w:sz w:val="21"/>
                <w:lang w:val="sk-SK"/>
              </w:rPr>
            </w:pPr>
          </w:p>
          <w:p w14:paraId="1827EFE2" w14:textId="77777777" w:rsidR="00F132B6" w:rsidRPr="00507E09" w:rsidRDefault="00F132B6" w:rsidP="00E13FB9">
            <w:pPr>
              <w:pStyle w:val="TableParagraph"/>
              <w:ind w:left="-10"/>
              <w:rPr>
                <w:lang w:val="sk-SK"/>
              </w:rPr>
            </w:pPr>
            <w:r w:rsidRPr="00507E09">
              <w:rPr>
                <w:lang w:val="sk-SK"/>
              </w:rPr>
              <w:t>nauzea</w:t>
            </w:r>
          </w:p>
          <w:p w14:paraId="4F2A67A6" w14:textId="77777777" w:rsidR="00F132B6" w:rsidRPr="00507E09" w:rsidRDefault="00F132B6" w:rsidP="00E13FB9">
            <w:pPr>
              <w:pStyle w:val="TableParagraph"/>
              <w:spacing w:before="1"/>
              <w:ind w:left="-10" w:right="336"/>
              <w:rPr>
                <w:lang w:val="sk-SK"/>
              </w:rPr>
            </w:pPr>
            <w:r w:rsidRPr="00507E09">
              <w:rPr>
                <w:lang w:val="sk-SK"/>
              </w:rPr>
              <w:t>vracanie, bolesť brucha, hnačka, dyspepsia, sucho v ústach, flatulencia, zápcha, anorektálny diskomfort</w:t>
            </w:r>
          </w:p>
          <w:p w14:paraId="28D72E23" w14:textId="77777777" w:rsidR="00F132B6" w:rsidRPr="00507E09" w:rsidRDefault="00F132B6" w:rsidP="00E13FB9">
            <w:pPr>
              <w:pStyle w:val="TableParagraph"/>
              <w:spacing w:before="1"/>
              <w:ind w:left="-10" w:right="327"/>
              <w:rPr>
                <w:lang w:val="sk-SK"/>
              </w:rPr>
            </w:pPr>
            <w:r w:rsidRPr="00507E09">
              <w:rPr>
                <w:lang w:val="sk-SK"/>
              </w:rPr>
              <w:t>pankreatitída, abdominálna distenzia, enteritída, diskomfort v epigastriu, eruktácia, gastroezofágová refluxová choroba, opuch úst</w:t>
            </w:r>
          </w:p>
          <w:p w14:paraId="6211BE98" w14:textId="77777777" w:rsidR="00F132B6" w:rsidRPr="00507E09" w:rsidRDefault="00F132B6" w:rsidP="00E13FB9">
            <w:pPr>
              <w:pStyle w:val="TableParagraph"/>
              <w:spacing w:before="1"/>
              <w:ind w:left="-10"/>
              <w:rPr>
                <w:lang w:val="sk-SK"/>
              </w:rPr>
            </w:pPr>
            <w:r w:rsidRPr="00507E09">
              <w:rPr>
                <w:lang w:val="sk-SK"/>
              </w:rPr>
              <w:t>gastrointestinálne krvácanie, ileus</w:t>
            </w:r>
          </w:p>
        </w:tc>
      </w:tr>
      <w:tr w:rsidR="00F132B6" w:rsidRPr="00507E09" w14:paraId="362D5EE6" w14:textId="77777777" w:rsidTr="009700BD">
        <w:trPr>
          <w:trHeight w:hRule="exact" w:val="2297"/>
        </w:trPr>
        <w:tc>
          <w:tcPr>
            <w:tcW w:w="3494" w:type="dxa"/>
            <w:tcBorders>
              <w:left w:val="single" w:sz="4" w:space="0" w:color="000000"/>
            </w:tcBorders>
          </w:tcPr>
          <w:p w14:paraId="1CAA75A8" w14:textId="77777777" w:rsidR="00F132B6" w:rsidRPr="00507E09" w:rsidRDefault="00F132B6" w:rsidP="009258AC">
            <w:pPr>
              <w:pStyle w:val="TableParagraph"/>
              <w:spacing w:line="248" w:lineRule="exact"/>
              <w:rPr>
                <w:b/>
                <w:lang w:val="sk-SK"/>
              </w:rPr>
            </w:pPr>
            <w:r w:rsidRPr="00507E09">
              <w:rPr>
                <w:b/>
                <w:lang w:val="sk-SK"/>
              </w:rPr>
              <w:t>Poruchy pečene a žlčových ciest</w:t>
            </w:r>
          </w:p>
          <w:p w14:paraId="5270792F" w14:textId="77777777" w:rsidR="00F132B6" w:rsidRPr="00507E09" w:rsidRDefault="00F132B6" w:rsidP="00474F1E">
            <w:pPr>
              <w:pStyle w:val="TableParagraph"/>
              <w:spacing w:line="720" w:lineRule="auto"/>
              <w:ind w:right="2358"/>
              <w:rPr>
                <w:lang w:val="sk-SK"/>
              </w:rPr>
            </w:pPr>
            <w:r w:rsidRPr="00507E09">
              <w:rPr>
                <w:lang w:val="sk-SK"/>
              </w:rPr>
              <w:t>Časté: Menej</w:t>
            </w:r>
            <w:r w:rsidRPr="00507E09">
              <w:rPr>
                <w:spacing w:val="-7"/>
                <w:lang w:val="sk-SK"/>
              </w:rPr>
              <w:t xml:space="preserve"> </w:t>
            </w:r>
            <w:r w:rsidRPr="00507E09">
              <w:rPr>
                <w:lang w:val="sk-SK"/>
              </w:rPr>
              <w:t>časté:</w:t>
            </w:r>
          </w:p>
          <w:p w14:paraId="3FE5E108" w14:textId="77777777" w:rsidR="00F132B6" w:rsidRPr="00507E09" w:rsidRDefault="00F132B6">
            <w:pPr>
              <w:pStyle w:val="TableParagraph"/>
              <w:spacing w:before="21"/>
              <w:rPr>
                <w:lang w:val="sk-SK"/>
              </w:rPr>
            </w:pPr>
            <w:r w:rsidRPr="00507E09">
              <w:rPr>
                <w:lang w:val="sk-SK"/>
              </w:rPr>
              <w:t>Zriedkavé:</w:t>
            </w:r>
          </w:p>
        </w:tc>
        <w:tc>
          <w:tcPr>
            <w:tcW w:w="5585" w:type="dxa"/>
            <w:tcBorders>
              <w:right w:val="single" w:sz="4" w:space="0" w:color="000000"/>
            </w:tcBorders>
          </w:tcPr>
          <w:p w14:paraId="70F6CB64" w14:textId="77777777" w:rsidR="00F132B6" w:rsidRPr="00507E09" w:rsidRDefault="00F132B6">
            <w:pPr>
              <w:pStyle w:val="TableParagraph"/>
              <w:spacing w:before="3"/>
              <w:ind w:left="0"/>
              <w:rPr>
                <w:sz w:val="21"/>
                <w:lang w:val="sk-SK"/>
              </w:rPr>
            </w:pPr>
          </w:p>
          <w:p w14:paraId="46E5B337" w14:textId="77777777" w:rsidR="00F132B6" w:rsidRPr="00507E09" w:rsidRDefault="00F132B6">
            <w:pPr>
              <w:pStyle w:val="TableParagraph"/>
              <w:ind w:left="-10" w:right="37"/>
              <w:rPr>
                <w:lang w:val="sk-SK"/>
              </w:rPr>
            </w:pPr>
            <w:r w:rsidRPr="00507E09">
              <w:rPr>
                <w:lang w:val="sk-SK"/>
              </w:rPr>
              <w:t>zvýšené hodnoty výsledkov vyšetrení funkcie pečene (zvýšená ALT, zvýšená AST, zvýšený bilirubín, zvýšená alkalická fosfatáza, zvýšená GGT)</w:t>
            </w:r>
          </w:p>
          <w:p w14:paraId="7519106E" w14:textId="77777777" w:rsidR="00F132B6" w:rsidRPr="00507E09" w:rsidRDefault="00F132B6">
            <w:pPr>
              <w:pStyle w:val="TableParagraph"/>
              <w:ind w:left="-10" w:right="435"/>
              <w:rPr>
                <w:lang w:val="sk-SK"/>
              </w:rPr>
            </w:pPr>
            <w:r w:rsidRPr="00507E09">
              <w:rPr>
                <w:lang w:val="sk-SK"/>
              </w:rPr>
              <w:t>hepatocelulárne poškodenie, hepatitída, žltačka, hepatomegália, cholestáza, hepatálna toxicita, abnormálna funkcia pečene</w:t>
            </w:r>
          </w:p>
          <w:p w14:paraId="5D9848CA" w14:textId="77777777" w:rsidR="00F132B6" w:rsidRPr="00507E09" w:rsidRDefault="00F132B6">
            <w:pPr>
              <w:pStyle w:val="TableParagraph"/>
              <w:ind w:left="-10" w:right="1342"/>
              <w:rPr>
                <w:lang w:val="sk-SK"/>
              </w:rPr>
            </w:pPr>
            <w:r w:rsidRPr="00507E09">
              <w:rPr>
                <w:lang w:val="sk-SK"/>
              </w:rPr>
              <w:t>zlyhávanie pečene, cholestatická hepatitída, hepatosplenomegália, citlivosť pečene, asterixis</w:t>
            </w:r>
          </w:p>
        </w:tc>
      </w:tr>
      <w:tr w:rsidR="00F132B6" w:rsidRPr="00507E09" w14:paraId="1A577D9F" w14:textId="77777777" w:rsidTr="005B30AA">
        <w:trPr>
          <w:trHeight w:hRule="exact" w:val="1022"/>
        </w:trPr>
        <w:tc>
          <w:tcPr>
            <w:tcW w:w="3494" w:type="dxa"/>
            <w:tcBorders>
              <w:left w:val="single" w:sz="4" w:space="0" w:color="000000"/>
              <w:bottom w:val="single" w:sz="4" w:space="0" w:color="auto"/>
            </w:tcBorders>
          </w:tcPr>
          <w:p w14:paraId="059E7E84" w14:textId="77777777" w:rsidR="00F132B6" w:rsidRPr="00507E09" w:rsidRDefault="00F132B6" w:rsidP="009258AC">
            <w:pPr>
              <w:pStyle w:val="TableParagraph"/>
              <w:spacing w:line="248" w:lineRule="exact"/>
              <w:rPr>
                <w:b/>
                <w:lang w:val="sk-SK"/>
              </w:rPr>
            </w:pPr>
            <w:r w:rsidRPr="00507E09">
              <w:rPr>
                <w:b/>
                <w:lang w:val="sk-SK"/>
              </w:rPr>
              <w:t>Poruchy kože a podkožného tkaniva</w:t>
            </w:r>
          </w:p>
          <w:p w14:paraId="2C684314" w14:textId="77777777" w:rsidR="00F132B6" w:rsidRPr="00507E09" w:rsidRDefault="00F132B6" w:rsidP="00474F1E">
            <w:pPr>
              <w:pStyle w:val="TableParagraph"/>
              <w:ind w:right="2358"/>
              <w:rPr>
                <w:lang w:val="sk-SK"/>
              </w:rPr>
            </w:pPr>
            <w:r w:rsidRPr="00507E09">
              <w:rPr>
                <w:lang w:val="sk-SK"/>
              </w:rPr>
              <w:t>Časté: Menej časté: Zriedkavé:</w:t>
            </w:r>
          </w:p>
        </w:tc>
        <w:tc>
          <w:tcPr>
            <w:tcW w:w="5585" w:type="dxa"/>
            <w:tcBorders>
              <w:bottom w:val="single" w:sz="4" w:space="0" w:color="auto"/>
              <w:right w:val="single" w:sz="4" w:space="0" w:color="000000"/>
            </w:tcBorders>
          </w:tcPr>
          <w:p w14:paraId="36E227CA" w14:textId="77777777" w:rsidR="00F132B6" w:rsidRPr="00507E09" w:rsidRDefault="00F132B6">
            <w:pPr>
              <w:pStyle w:val="TableParagraph"/>
              <w:spacing w:before="3"/>
              <w:ind w:left="0"/>
              <w:rPr>
                <w:sz w:val="21"/>
                <w:lang w:val="sk-SK"/>
              </w:rPr>
            </w:pPr>
          </w:p>
          <w:p w14:paraId="1D1D3BD7" w14:textId="77777777" w:rsidR="00F132B6" w:rsidRPr="00507E09" w:rsidRDefault="00F132B6">
            <w:pPr>
              <w:pStyle w:val="TableParagraph"/>
              <w:spacing w:line="252" w:lineRule="exact"/>
              <w:ind w:left="-10"/>
              <w:rPr>
                <w:lang w:val="sk-SK"/>
              </w:rPr>
            </w:pPr>
            <w:r w:rsidRPr="00507E09">
              <w:rPr>
                <w:lang w:val="sk-SK"/>
              </w:rPr>
              <w:t>vyrážka, pruritus</w:t>
            </w:r>
          </w:p>
          <w:p w14:paraId="058D5737" w14:textId="77777777" w:rsidR="00F132B6" w:rsidRPr="00507E09" w:rsidRDefault="00F132B6">
            <w:pPr>
              <w:pStyle w:val="TableParagraph"/>
              <w:ind w:left="-10" w:right="480"/>
              <w:rPr>
                <w:lang w:val="sk-SK"/>
              </w:rPr>
            </w:pPr>
            <w:r w:rsidRPr="00507E09">
              <w:rPr>
                <w:lang w:val="sk-SK"/>
              </w:rPr>
              <w:t>ulcerácia v ústach, alopécia, dermatitída, erytém, petéchie Stevensov-Johnsonov syndróm, vezikulárna vyrážka</w:t>
            </w:r>
          </w:p>
        </w:tc>
      </w:tr>
    </w:tbl>
    <w:p w14:paraId="297B0FC9" w14:textId="77777777" w:rsidR="00F132B6" w:rsidRPr="00507E09" w:rsidRDefault="00CA5794" w:rsidP="009258AC">
      <w:pPr>
        <w:pStyle w:val="Zkladntext"/>
        <w:rPr>
          <w:sz w:val="20"/>
          <w:lang w:val="sk-SK"/>
        </w:rPr>
      </w:pPr>
      <w:r w:rsidRPr="00507E09">
        <w:rPr>
          <w:noProof/>
          <w:lang w:val="sk-SK" w:eastAsia="sk-SK"/>
        </w:rPr>
        <mc:AlternateContent>
          <mc:Choice Requires="wps">
            <w:drawing>
              <wp:anchor distT="0" distB="0" distL="114300" distR="114300" simplePos="0" relativeHeight="251659264" behindDoc="0" locked="0" layoutInCell="1" allowOverlap="1" wp14:anchorId="0205F4BC" wp14:editId="398A6F8B">
                <wp:simplePos x="0" y="0"/>
                <wp:positionH relativeFrom="margin">
                  <wp:posOffset>19050</wp:posOffset>
                </wp:positionH>
                <wp:positionV relativeFrom="paragraph">
                  <wp:posOffset>37464</wp:posOffset>
                </wp:positionV>
                <wp:extent cx="5895975" cy="35528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55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F17F" w14:textId="77777777" w:rsidR="004638C4" w:rsidRDefault="004638C4" w:rsidP="00F132B6">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5F4BC" id="_x0000_t202" coordsize="21600,21600" o:spt="202" path="m,l,21600r21600,l21600,xe">
                <v:stroke joinstyle="miter"/>
                <v:path gradientshapeok="t" o:connecttype="rect"/>
              </v:shapetype>
              <v:shape id="Text Box 4" o:spid="_x0000_s1026" type="#_x0000_t202" style="position:absolute;margin-left:1.5pt;margin-top:2.95pt;width:464.25pt;height:27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P+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" filled="f" stroked="f">
                <v:textbox inset="0,0,0,0">
                  <w:txbxContent>
                    <w:p w14:paraId="581BF17F" w14:textId="77777777" w:rsidR="004638C4" w:rsidRDefault="004638C4" w:rsidP="00F132B6">
                      <w:pPr>
                        <w:pStyle w:val="Zkladntext"/>
                      </w:pPr>
                    </w:p>
                  </w:txbxContent>
                </v:textbox>
                <w10:wrap anchorx="margin"/>
              </v:shape>
            </w:pict>
          </mc:Fallback>
        </mc:AlternateContent>
      </w:r>
    </w:p>
    <w:p w14:paraId="71194F62" w14:textId="77777777" w:rsidR="00F132B6" w:rsidRPr="00507E09" w:rsidRDefault="00F132B6" w:rsidP="00474F1E">
      <w:pPr>
        <w:pStyle w:val="Zkladntext"/>
        <w:rPr>
          <w:sz w:val="20"/>
          <w:lang w:val="sk-SK"/>
        </w:rPr>
      </w:pPr>
    </w:p>
    <w:p w14:paraId="730759BC" w14:textId="77777777" w:rsidR="00F132B6" w:rsidRPr="00507E09" w:rsidRDefault="00F132B6">
      <w:pPr>
        <w:pStyle w:val="Zkladntext"/>
        <w:rPr>
          <w:sz w:val="20"/>
          <w:lang w:val="sk-SK"/>
        </w:rPr>
      </w:pPr>
    </w:p>
    <w:p w14:paraId="7C0A7A4D" w14:textId="77777777" w:rsidR="00F132B6" w:rsidRPr="00507E09" w:rsidRDefault="00F132B6">
      <w:pPr>
        <w:pStyle w:val="Zkladntext"/>
        <w:rPr>
          <w:sz w:val="20"/>
          <w:lang w:val="sk-SK"/>
        </w:rPr>
      </w:pPr>
    </w:p>
    <w:p w14:paraId="3902E9AA" w14:textId="77777777" w:rsidR="00F132B6" w:rsidRPr="00507E09" w:rsidRDefault="00F132B6">
      <w:pPr>
        <w:pStyle w:val="Zkladntext"/>
        <w:rPr>
          <w:sz w:val="20"/>
          <w:lang w:val="sk-SK"/>
        </w:rPr>
      </w:pPr>
    </w:p>
    <w:p w14:paraId="3FCAE4D1" w14:textId="77777777" w:rsidR="00F132B6" w:rsidRPr="00507E09" w:rsidRDefault="00F132B6">
      <w:pPr>
        <w:pStyle w:val="Zkladntext"/>
        <w:rPr>
          <w:sz w:val="20"/>
          <w:lang w:val="sk-SK"/>
        </w:rPr>
      </w:pPr>
    </w:p>
    <w:p w14:paraId="65B8F965" w14:textId="77777777" w:rsidR="00F132B6" w:rsidRPr="00507E09" w:rsidRDefault="00F132B6">
      <w:pPr>
        <w:pStyle w:val="Zkladntext"/>
        <w:rPr>
          <w:sz w:val="20"/>
          <w:lang w:val="sk-SK"/>
        </w:rPr>
      </w:pPr>
    </w:p>
    <w:p w14:paraId="04447EDF" w14:textId="77777777" w:rsidR="00F132B6" w:rsidRPr="00507E09" w:rsidRDefault="00F132B6">
      <w:pPr>
        <w:pStyle w:val="Zkladntext"/>
        <w:rPr>
          <w:sz w:val="20"/>
          <w:lang w:val="sk-SK"/>
        </w:rPr>
      </w:pPr>
    </w:p>
    <w:p w14:paraId="52C3E90F" w14:textId="77777777" w:rsidR="00F132B6" w:rsidRPr="00507E09" w:rsidRDefault="00F132B6">
      <w:pPr>
        <w:pStyle w:val="Zkladntext"/>
        <w:rPr>
          <w:sz w:val="20"/>
          <w:lang w:val="sk-SK"/>
        </w:rPr>
      </w:pPr>
    </w:p>
    <w:p w14:paraId="40D0B932" w14:textId="77777777" w:rsidR="00F132B6" w:rsidRPr="00507E09" w:rsidRDefault="00F132B6">
      <w:pPr>
        <w:pStyle w:val="Zkladntext"/>
        <w:rPr>
          <w:sz w:val="20"/>
          <w:lang w:val="sk-SK"/>
        </w:rPr>
      </w:pPr>
    </w:p>
    <w:p w14:paraId="225D775A" w14:textId="77777777" w:rsidR="00F132B6" w:rsidRPr="00507E09" w:rsidRDefault="00F132B6">
      <w:pPr>
        <w:pStyle w:val="Zkladntext"/>
        <w:rPr>
          <w:sz w:val="20"/>
          <w:lang w:val="sk-SK"/>
        </w:rPr>
      </w:pPr>
    </w:p>
    <w:tbl>
      <w:tblPr>
        <w:tblpPr w:leftFromText="141" w:rightFromText="141" w:vertAnchor="text" w:horzAnchor="margin" w:tblpY="53"/>
        <w:tblW w:w="9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94"/>
        <w:gridCol w:w="5715"/>
      </w:tblGrid>
      <w:tr w:rsidR="00AA501C" w14:paraId="321AFC98" w14:textId="77777777" w:rsidTr="00AA501C">
        <w:trPr>
          <w:trHeight w:hRule="exact" w:val="1032"/>
        </w:trPr>
        <w:tc>
          <w:tcPr>
            <w:tcW w:w="3494" w:type="dxa"/>
            <w:tcBorders>
              <w:left w:val="single" w:sz="4" w:space="0" w:color="000000"/>
            </w:tcBorders>
          </w:tcPr>
          <w:p w14:paraId="1E52E6D2" w14:textId="77777777" w:rsidR="00AA501C" w:rsidRDefault="00AA501C" w:rsidP="00AA501C">
            <w:pPr>
              <w:pStyle w:val="TableParagraph"/>
              <w:spacing w:before="1"/>
              <w:ind w:right="2"/>
              <w:rPr>
                <w:b/>
              </w:rPr>
            </w:pPr>
            <w:r>
              <w:rPr>
                <w:b/>
              </w:rPr>
              <w:lastRenderedPageBreak/>
              <w:t>Poruchy kostrovej a svalovej sústavy a spojivového tkaniva</w:t>
            </w:r>
          </w:p>
          <w:p w14:paraId="6D6DBE68" w14:textId="77777777" w:rsidR="00AA501C" w:rsidRDefault="00AA501C" w:rsidP="00AA501C">
            <w:pPr>
              <w:pStyle w:val="TableParagraph"/>
              <w:spacing w:line="250" w:lineRule="exact"/>
            </w:pPr>
            <w:r>
              <w:t>Menej časté:</w:t>
            </w:r>
          </w:p>
        </w:tc>
        <w:tc>
          <w:tcPr>
            <w:tcW w:w="5715" w:type="dxa"/>
            <w:tcBorders>
              <w:right w:val="single" w:sz="4" w:space="0" w:color="000000"/>
            </w:tcBorders>
          </w:tcPr>
          <w:p w14:paraId="262E9DDC" w14:textId="77777777" w:rsidR="00AA501C" w:rsidRDefault="00AA501C" w:rsidP="00AA501C">
            <w:pPr>
              <w:pStyle w:val="TableParagraph"/>
              <w:ind w:left="0"/>
              <w:rPr>
                <w:sz w:val="24"/>
              </w:rPr>
            </w:pPr>
          </w:p>
          <w:p w14:paraId="656AC0FC" w14:textId="77777777" w:rsidR="00AA501C" w:rsidRDefault="00AA501C" w:rsidP="00AA501C">
            <w:pPr>
              <w:pStyle w:val="TableParagraph"/>
              <w:spacing w:before="8"/>
              <w:ind w:left="0"/>
              <w:rPr>
                <w:sz w:val="19"/>
              </w:rPr>
            </w:pPr>
          </w:p>
          <w:p w14:paraId="4B7A6900" w14:textId="77777777" w:rsidR="00AA501C" w:rsidRDefault="00AA501C" w:rsidP="00AA501C">
            <w:pPr>
              <w:pStyle w:val="TableParagraph"/>
              <w:ind w:left="-10" w:right="241"/>
            </w:pPr>
            <w:r>
              <w:t>bolesť chrbta, bolesť krku, muskuloskeletálna bolesť, bolesť v končatine</w:t>
            </w:r>
          </w:p>
        </w:tc>
      </w:tr>
      <w:tr w:rsidR="00AA501C" w14:paraId="7EE683B3" w14:textId="77777777" w:rsidTr="00AA501C">
        <w:trPr>
          <w:trHeight w:hRule="exact" w:val="1032"/>
        </w:trPr>
        <w:tc>
          <w:tcPr>
            <w:tcW w:w="3494" w:type="dxa"/>
            <w:tcBorders>
              <w:left w:val="single" w:sz="4" w:space="0" w:color="000000"/>
            </w:tcBorders>
          </w:tcPr>
          <w:p w14:paraId="505913A8" w14:textId="77777777" w:rsidR="00AA501C" w:rsidRDefault="00AA501C" w:rsidP="00AA501C">
            <w:pPr>
              <w:pStyle w:val="TableParagraph"/>
              <w:spacing w:before="1" w:line="250" w:lineRule="exact"/>
              <w:rPr>
                <w:b/>
              </w:rPr>
            </w:pPr>
            <w:r>
              <w:rPr>
                <w:b/>
              </w:rPr>
              <w:t>Poruchy obličiek a močových ciest</w:t>
            </w:r>
          </w:p>
          <w:p w14:paraId="0453F5F7" w14:textId="77777777" w:rsidR="00AA501C" w:rsidRDefault="00AA501C" w:rsidP="00AA501C">
            <w:pPr>
              <w:pStyle w:val="TableParagraph"/>
              <w:spacing w:line="250" w:lineRule="exact"/>
            </w:pPr>
            <w:r>
              <w:t>Menej časté:</w:t>
            </w:r>
          </w:p>
          <w:p w14:paraId="240FC7B8" w14:textId="77777777" w:rsidR="00AA501C" w:rsidRDefault="00AA501C" w:rsidP="00AA501C">
            <w:pPr>
              <w:pStyle w:val="TableParagraph"/>
              <w:ind w:left="0"/>
            </w:pPr>
          </w:p>
          <w:p w14:paraId="0C6DA029" w14:textId="77777777" w:rsidR="00AA501C" w:rsidRDefault="00AA501C" w:rsidP="00AA501C">
            <w:pPr>
              <w:pStyle w:val="TableParagraph"/>
            </w:pPr>
            <w:r>
              <w:t>Zriedkavé:</w:t>
            </w:r>
          </w:p>
        </w:tc>
        <w:tc>
          <w:tcPr>
            <w:tcW w:w="5715" w:type="dxa"/>
            <w:tcBorders>
              <w:right w:val="single" w:sz="4" w:space="0" w:color="000000"/>
            </w:tcBorders>
          </w:tcPr>
          <w:p w14:paraId="64A5EEDA" w14:textId="77777777" w:rsidR="00AA501C" w:rsidRDefault="00AA501C" w:rsidP="00AA501C">
            <w:pPr>
              <w:pStyle w:val="TableParagraph"/>
              <w:spacing w:before="6"/>
              <w:ind w:left="0"/>
              <w:rPr>
                <w:sz w:val="21"/>
              </w:rPr>
            </w:pPr>
          </w:p>
          <w:p w14:paraId="4CC9169C" w14:textId="77777777" w:rsidR="00AA501C" w:rsidRDefault="00AA501C" w:rsidP="00AA501C">
            <w:pPr>
              <w:pStyle w:val="TableParagraph"/>
              <w:ind w:left="-10" w:right="270"/>
            </w:pPr>
            <w:r>
              <w:t>akútne zlyhanie obličiek, zlyhanie obličiek, zvýšená hladina kreatinínu v krvi</w:t>
            </w:r>
          </w:p>
          <w:p w14:paraId="59752A59" w14:textId="77777777" w:rsidR="00AA501C" w:rsidRDefault="00AA501C" w:rsidP="00AA501C">
            <w:pPr>
              <w:pStyle w:val="TableParagraph"/>
              <w:spacing w:line="252" w:lineRule="exact"/>
              <w:ind w:left="-10"/>
            </w:pPr>
            <w:r>
              <w:t>renálna tubulárna acidóza, intersticiálna nefritída</w:t>
            </w:r>
          </w:p>
        </w:tc>
      </w:tr>
      <w:tr w:rsidR="00AA501C" w14:paraId="207E4CEE" w14:textId="77777777" w:rsidTr="00AA501C">
        <w:trPr>
          <w:trHeight w:hRule="exact" w:val="1032"/>
        </w:trPr>
        <w:tc>
          <w:tcPr>
            <w:tcW w:w="3494" w:type="dxa"/>
            <w:tcBorders>
              <w:left w:val="single" w:sz="4" w:space="0" w:color="000000"/>
            </w:tcBorders>
          </w:tcPr>
          <w:p w14:paraId="6C577564" w14:textId="77777777" w:rsidR="00AA501C" w:rsidRDefault="00AA501C" w:rsidP="00AA501C">
            <w:pPr>
              <w:pStyle w:val="TableParagraph"/>
              <w:spacing w:before="1"/>
              <w:ind w:right="356"/>
              <w:rPr>
                <w:b/>
              </w:rPr>
            </w:pPr>
            <w:r>
              <w:rPr>
                <w:b/>
              </w:rPr>
              <w:t>Poruchy reprodukčného systému a prsníkov</w:t>
            </w:r>
          </w:p>
          <w:p w14:paraId="723F77D5" w14:textId="77777777" w:rsidR="00AA501C" w:rsidRDefault="00AA501C" w:rsidP="00AA501C">
            <w:pPr>
              <w:pStyle w:val="TableParagraph"/>
              <w:spacing w:line="252" w:lineRule="exact"/>
              <w:ind w:right="2343"/>
            </w:pPr>
            <w:r>
              <w:t>Menej časté: Zriedkavé:</w:t>
            </w:r>
          </w:p>
        </w:tc>
        <w:tc>
          <w:tcPr>
            <w:tcW w:w="5715" w:type="dxa"/>
            <w:tcBorders>
              <w:right w:val="single" w:sz="4" w:space="0" w:color="000000"/>
            </w:tcBorders>
          </w:tcPr>
          <w:p w14:paraId="07E525FC" w14:textId="77777777" w:rsidR="00AA501C" w:rsidRDefault="00AA501C" w:rsidP="00AA501C">
            <w:pPr>
              <w:pStyle w:val="TableParagraph"/>
              <w:ind w:left="0"/>
              <w:rPr>
                <w:sz w:val="24"/>
              </w:rPr>
            </w:pPr>
          </w:p>
          <w:p w14:paraId="7CEEF4E8" w14:textId="77777777" w:rsidR="00AA501C" w:rsidRDefault="00AA501C" w:rsidP="00AA501C">
            <w:pPr>
              <w:pStyle w:val="TableParagraph"/>
              <w:spacing w:before="8"/>
              <w:ind w:left="0"/>
              <w:rPr>
                <w:sz w:val="19"/>
              </w:rPr>
            </w:pPr>
          </w:p>
          <w:p w14:paraId="7636699B" w14:textId="77777777" w:rsidR="00AA501C" w:rsidRDefault="00AA501C" w:rsidP="00AA501C">
            <w:pPr>
              <w:pStyle w:val="TableParagraph"/>
              <w:ind w:left="-10" w:right="3734"/>
            </w:pPr>
            <w:r>
              <w:t>porucha menštruácie bolesť prsníka</w:t>
            </w:r>
          </w:p>
        </w:tc>
      </w:tr>
      <w:tr w:rsidR="00AA501C" w14:paraId="57D88F89" w14:textId="77777777" w:rsidTr="00AA501C">
        <w:trPr>
          <w:trHeight w:hRule="exact" w:val="1538"/>
        </w:trPr>
        <w:tc>
          <w:tcPr>
            <w:tcW w:w="3494" w:type="dxa"/>
            <w:tcBorders>
              <w:left w:val="single" w:sz="4" w:space="0" w:color="000000"/>
            </w:tcBorders>
          </w:tcPr>
          <w:p w14:paraId="285A1669" w14:textId="77777777" w:rsidR="00AA501C" w:rsidRDefault="00AA501C" w:rsidP="00AA501C">
            <w:pPr>
              <w:pStyle w:val="TableParagraph"/>
              <w:spacing w:before="1"/>
              <w:ind w:right="143"/>
              <w:rPr>
                <w:b/>
              </w:rPr>
            </w:pPr>
            <w:r>
              <w:rPr>
                <w:b/>
              </w:rPr>
              <w:t>Celkové poruchy a reakcie v mieste podania</w:t>
            </w:r>
          </w:p>
          <w:p w14:paraId="231A8CB8" w14:textId="77777777" w:rsidR="00AA501C" w:rsidRDefault="00AA501C" w:rsidP="00AA501C">
            <w:pPr>
              <w:pStyle w:val="TableParagraph"/>
              <w:spacing w:line="252" w:lineRule="exact"/>
              <w:ind w:right="2358"/>
            </w:pPr>
            <w:r>
              <w:t>Časté: Menej</w:t>
            </w:r>
            <w:r>
              <w:rPr>
                <w:spacing w:val="-7"/>
              </w:rPr>
              <w:t xml:space="preserve"> </w:t>
            </w:r>
            <w:r>
              <w:t>časté:</w:t>
            </w:r>
          </w:p>
          <w:p w14:paraId="4C9528C3" w14:textId="77777777" w:rsidR="00AA501C" w:rsidRDefault="00AA501C" w:rsidP="00AA501C">
            <w:pPr>
              <w:pStyle w:val="TableParagraph"/>
              <w:spacing w:before="8"/>
              <w:ind w:left="0"/>
              <w:rPr>
                <w:sz w:val="21"/>
              </w:rPr>
            </w:pPr>
          </w:p>
          <w:p w14:paraId="1149AA58" w14:textId="77777777" w:rsidR="00AA501C" w:rsidRDefault="00AA501C" w:rsidP="00AA501C">
            <w:pPr>
              <w:pStyle w:val="TableParagraph"/>
            </w:pPr>
            <w:r>
              <w:t>Zriedkavé:</w:t>
            </w:r>
          </w:p>
        </w:tc>
        <w:tc>
          <w:tcPr>
            <w:tcW w:w="5715" w:type="dxa"/>
            <w:tcBorders>
              <w:right w:val="single" w:sz="4" w:space="0" w:color="000000"/>
            </w:tcBorders>
          </w:tcPr>
          <w:p w14:paraId="52189BDA" w14:textId="77777777" w:rsidR="00AA501C" w:rsidRDefault="00AA501C" w:rsidP="00AA501C">
            <w:pPr>
              <w:pStyle w:val="TableParagraph"/>
              <w:ind w:left="0"/>
              <w:rPr>
                <w:sz w:val="24"/>
              </w:rPr>
            </w:pPr>
          </w:p>
          <w:p w14:paraId="151FE8A4" w14:textId="77777777" w:rsidR="00AA501C" w:rsidRDefault="00AA501C" w:rsidP="00AA501C">
            <w:pPr>
              <w:pStyle w:val="TableParagraph"/>
              <w:spacing w:before="8"/>
              <w:ind w:left="0"/>
              <w:rPr>
                <w:sz w:val="19"/>
              </w:rPr>
            </w:pPr>
          </w:p>
          <w:p w14:paraId="042CAB61" w14:textId="77777777" w:rsidR="00AA501C" w:rsidRDefault="00AA501C" w:rsidP="00AA501C">
            <w:pPr>
              <w:pStyle w:val="TableParagraph"/>
              <w:spacing w:line="252" w:lineRule="exact"/>
              <w:ind w:left="-10"/>
            </w:pPr>
            <w:r>
              <w:t>pyrexia (horúčka), asténia, únava</w:t>
            </w:r>
          </w:p>
          <w:p w14:paraId="40B76CDF" w14:textId="77777777" w:rsidR="00AA501C" w:rsidRDefault="00AA501C" w:rsidP="00AA501C">
            <w:pPr>
              <w:pStyle w:val="TableParagraph"/>
              <w:ind w:left="-10" w:right="547"/>
            </w:pPr>
            <w:r>
              <w:t>edém, bolesť, triaška, nevoľnosť, diskomfort v hrudníku, neznášanlivosť liečiva, pocit nervozity, zápal sliznice edém jazyka, edém tváre</w:t>
            </w:r>
          </w:p>
        </w:tc>
      </w:tr>
      <w:tr w:rsidR="00AA501C" w14:paraId="0BE2907E" w14:textId="77777777" w:rsidTr="00AA501C">
        <w:trPr>
          <w:trHeight w:hRule="exact" w:val="916"/>
        </w:trPr>
        <w:tc>
          <w:tcPr>
            <w:tcW w:w="3494" w:type="dxa"/>
            <w:tcBorders>
              <w:left w:val="single" w:sz="4" w:space="0" w:color="000000"/>
            </w:tcBorders>
          </w:tcPr>
          <w:p w14:paraId="2A076385" w14:textId="77777777" w:rsidR="00AA501C" w:rsidRDefault="00AA501C" w:rsidP="00AA501C">
            <w:pPr>
              <w:pStyle w:val="TableParagraph"/>
              <w:spacing w:before="1" w:line="250" w:lineRule="exact"/>
              <w:rPr>
                <w:b/>
              </w:rPr>
            </w:pPr>
            <w:r>
              <w:rPr>
                <w:b/>
              </w:rPr>
              <w:t>Laboratórne a funkčné vyšetrenia</w:t>
            </w:r>
          </w:p>
          <w:p w14:paraId="7881BC9B" w14:textId="77777777" w:rsidR="00AA501C" w:rsidRDefault="00AA501C" w:rsidP="00AA501C">
            <w:pPr>
              <w:pStyle w:val="TableParagraph"/>
              <w:spacing w:line="250" w:lineRule="exact"/>
            </w:pPr>
            <w:r>
              <w:t>Menej časté:</w:t>
            </w:r>
          </w:p>
        </w:tc>
        <w:tc>
          <w:tcPr>
            <w:tcW w:w="5715" w:type="dxa"/>
            <w:tcBorders>
              <w:right w:val="single" w:sz="4" w:space="0" w:color="000000"/>
            </w:tcBorders>
          </w:tcPr>
          <w:p w14:paraId="242D779A" w14:textId="77777777" w:rsidR="00AA501C" w:rsidRDefault="00AA501C" w:rsidP="00AA501C">
            <w:pPr>
              <w:pStyle w:val="TableParagraph"/>
              <w:spacing w:before="6"/>
              <w:ind w:left="0"/>
              <w:rPr>
                <w:sz w:val="21"/>
              </w:rPr>
            </w:pPr>
          </w:p>
          <w:p w14:paraId="7F521AFE" w14:textId="77777777" w:rsidR="00AA501C" w:rsidRDefault="00AA501C" w:rsidP="00AA501C">
            <w:pPr>
              <w:pStyle w:val="TableParagraph"/>
              <w:ind w:left="-10" w:right="996"/>
            </w:pPr>
            <w:r>
              <w:t>zmeny hladín lieku, zníženie hladiny fosforu v krvi, abnormálna röntgenová snímka hrudníka</w:t>
            </w:r>
          </w:p>
        </w:tc>
      </w:tr>
    </w:tbl>
    <w:p w14:paraId="462EF5F5" w14:textId="77777777" w:rsidR="00F132B6" w:rsidRPr="00507E09" w:rsidRDefault="00F132B6">
      <w:pPr>
        <w:spacing w:before="92"/>
        <w:ind w:left="118" w:right="950"/>
        <w:rPr>
          <w:sz w:val="18"/>
          <w:lang w:val="sk-SK"/>
        </w:rPr>
      </w:pPr>
      <w:r w:rsidRPr="00507E09">
        <w:rPr>
          <w:sz w:val="18"/>
          <w:lang w:val="sk-SK"/>
        </w:rPr>
        <w:t>* Na základe nežiaducich reakcií pozorovaných pri perorálnej suspenzii, gastrorezistentných tabletách a infúznom koncentráte.</w:t>
      </w:r>
    </w:p>
    <w:p w14:paraId="129E888E" w14:textId="77777777" w:rsidR="00F132B6" w:rsidRPr="00507E09" w:rsidRDefault="00F132B6">
      <w:pPr>
        <w:spacing w:line="245" w:lineRule="exact"/>
        <w:ind w:left="118"/>
        <w:rPr>
          <w:sz w:val="18"/>
          <w:lang w:val="sk-SK"/>
        </w:rPr>
      </w:pPr>
      <w:r w:rsidRPr="00507E09">
        <w:rPr>
          <w:position w:val="10"/>
          <w:sz w:val="14"/>
          <w:lang w:val="sk-SK"/>
        </w:rPr>
        <w:t xml:space="preserve">§ </w:t>
      </w:r>
      <w:r w:rsidRPr="00507E09">
        <w:rPr>
          <w:sz w:val="18"/>
          <w:lang w:val="sk-SK"/>
        </w:rPr>
        <w:t>Pozri časť 4.4.</w:t>
      </w:r>
    </w:p>
    <w:p w14:paraId="66E96D2D" w14:textId="77777777" w:rsidR="00F132B6" w:rsidRPr="00507E09" w:rsidRDefault="00F132B6">
      <w:pPr>
        <w:pStyle w:val="Zkladntext"/>
        <w:spacing w:before="7"/>
        <w:rPr>
          <w:lang w:val="sk-SK"/>
        </w:rPr>
      </w:pPr>
    </w:p>
    <w:p w14:paraId="240E3D07" w14:textId="77777777" w:rsidR="00F132B6" w:rsidRPr="00507E09" w:rsidRDefault="00F132B6">
      <w:pPr>
        <w:pStyle w:val="Zkladntext"/>
        <w:ind w:left="118"/>
        <w:rPr>
          <w:lang w:val="sk-SK"/>
        </w:rPr>
      </w:pPr>
      <w:r w:rsidRPr="00507E09">
        <w:rPr>
          <w:u w:val="single"/>
          <w:lang w:val="sk-SK"/>
        </w:rPr>
        <w:t>Popis vybraných nežiaducich reakcií</w:t>
      </w:r>
    </w:p>
    <w:p w14:paraId="5147FBAD" w14:textId="77777777" w:rsidR="00F132B6" w:rsidRPr="00507E09" w:rsidRDefault="00F132B6">
      <w:pPr>
        <w:spacing w:before="1" w:line="252" w:lineRule="exact"/>
        <w:ind w:left="118"/>
        <w:rPr>
          <w:i/>
          <w:lang w:val="sk-SK"/>
        </w:rPr>
      </w:pPr>
      <w:r w:rsidRPr="00507E09">
        <w:rPr>
          <w:i/>
          <w:lang w:val="sk-SK"/>
        </w:rPr>
        <w:t>Poruchy pečene a žlčových ciest</w:t>
      </w:r>
    </w:p>
    <w:p w14:paraId="518EF649" w14:textId="6B917E50" w:rsidR="00F132B6" w:rsidRPr="00507E09" w:rsidRDefault="00F132B6">
      <w:pPr>
        <w:pStyle w:val="Zkladntext"/>
        <w:ind w:left="118" w:right="454"/>
        <w:rPr>
          <w:lang w:val="sk-SK"/>
        </w:rPr>
      </w:pPr>
      <w:r w:rsidRPr="00507E09">
        <w:rPr>
          <w:lang w:val="sk-SK"/>
        </w:rPr>
        <w:t xml:space="preserve">Počas sledovania po uvedení posakonazolu vo forme perorálnej suspenzie na trh </w:t>
      </w:r>
      <w:r w:rsidR="008E2639">
        <w:rPr>
          <w:lang w:val="sk-SK"/>
        </w:rPr>
        <w:t xml:space="preserve">bolo hlásené </w:t>
      </w:r>
      <w:r w:rsidRPr="00507E09">
        <w:rPr>
          <w:lang w:val="sk-SK"/>
        </w:rPr>
        <w:t xml:space="preserve"> závažné poškodenie pečene s fatálnym následkom (pozri časť 4.4).</w:t>
      </w:r>
    </w:p>
    <w:p w14:paraId="748B3192" w14:textId="77777777" w:rsidR="00F132B6" w:rsidRPr="00507E09" w:rsidRDefault="00F132B6">
      <w:pPr>
        <w:pStyle w:val="Zkladntext"/>
        <w:spacing w:before="10"/>
        <w:rPr>
          <w:sz w:val="21"/>
          <w:lang w:val="sk-SK"/>
        </w:rPr>
      </w:pPr>
    </w:p>
    <w:p w14:paraId="1AF9B330" w14:textId="77777777" w:rsidR="00F132B6" w:rsidRPr="00507E09" w:rsidRDefault="00F132B6">
      <w:pPr>
        <w:pStyle w:val="Zkladntext"/>
        <w:ind w:left="118"/>
        <w:rPr>
          <w:lang w:val="sk-SK"/>
        </w:rPr>
      </w:pPr>
      <w:r w:rsidRPr="00507E09">
        <w:rPr>
          <w:u w:val="single"/>
          <w:lang w:val="sk-SK"/>
        </w:rPr>
        <w:t>Hlásenie podozrení na nežiaduce reakcie</w:t>
      </w:r>
    </w:p>
    <w:p w14:paraId="785C09BB" w14:textId="77777777" w:rsidR="00F132B6" w:rsidRPr="00507E09" w:rsidRDefault="00F132B6">
      <w:pPr>
        <w:pStyle w:val="Zkladntext"/>
        <w:spacing w:before="1"/>
        <w:ind w:left="118" w:right="191"/>
        <w:rPr>
          <w:lang w:val="sk-SK"/>
        </w:rPr>
      </w:pPr>
      <w:r w:rsidRPr="00507E09">
        <w:rPr>
          <w:noProof/>
          <w:lang w:val="sk-SK" w:eastAsia="sk-SK"/>
        </w:rPr>
        <mc:AlternateContent>
          <mc:Choice Requires="wps">
            <w:drawing>
              <wp:anchor distT="0" distB="0" distL="114300" distR="114300" simplePos="0" relativeHeight="251661312" behindDoc="1" locked="0" layoutInCell="1" allowOverlap="1" wp14:anchorId="323B57F5" wp14:editId="29AA16F1">
                <wp:simplePos x="0" y="0"/>
                <wp:positionH relativeFrom="page">
                  <wp:posOffset>5623560</wp:posOffset>
                </wp:positionH>
                <wp:positionV relativeFrom="paragraph">
                  <wp:posOffset>471170</wp:posOffset>
                </wp:positionV>
                <wp:extent cx="542290" cy="0"/>
                <wp:effectExtent l="13335" t="10795"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4583B6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8pt,37.1pt" to="48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ljKAIAAE4EAAAOAAAAZHJzL2Uyb0RvYy54bWysVMGO2jAQvVfqP1i+QxLIUo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" strokecolor="blue" strokeweight=".48pt">
                <w10:wrap anchorx="page"/>
              </v:line>
            </w:pict>
          </mc:Fallback>
        </mc:AlternateContent>
      </w:r>
      <w:r w:rsidRPr="00507E09">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507E09">
        <w:rPr>
          <w:shd w:val="clear" w:color="auto" w:fill="BFBFBF"/>
          <w:lang w:val="sk-SK"/>
        </w:rPr>
        <w:t xml:space="preserve">národné centrum hlásenia uvedené v </w:t>
      </w:r>
      <w:hyperlink r:id="rId7">
        <w:r w:rsidRPr="00E13FB9">
          <w:rPr>
            <w:color w:val="0000FF"/>
            <w:u w:val="single"/>
            <w:shd w:val="clear" w:color="auto" w:fill="BFBFBF"/>
            <w:lang w:val="sk-SK"/>
          </w:rPr>
          <w:t>Prílohe V</w:t>
        </w:r>
      </w:hyperlink>
      <w:r w:rsidRPr="00507E09">
        <w:rPr>
          <w:lang w:val="sk-SK"/>
        </w:rPr>
        <w:t>.</w:t>
      </w:r>
    </w:p>
    <w:p w14:paraId="7DEE4E34" w14:textId="77777777" w:rsidR="00F132B6" w:rsidRPr="00507E09" w:rsidRDefault="00F132B6">
      <w:pPr>
        <w:pStyle w:val="Zkladntext"/>
        <w:spacing w:before="3"/>
        <w:rPr>
          <w:sz w:val="14"/>
          <w:lang w:val="sk-SK"/>
        </w:rPr>
      </w:pPr>
    </w:p>
    <w:p w14:paraId="3A3B2A16" w14:textId="77777777" w:rsidR="00F132B6" w:rsidRPr="00507E09" w:rsidRDefault="00F132B6">
      <w:pPr>
        <w:pStyle w:val="Nadpis1"/>
        <w:numPr>
          <w:ilvl w:val="1"/>
          <w:numId w:val="12"/>
        </w:numPr>
        <w:tabs>
          <w:tab w:val="left" w:pos="684"/>
          <w:tab w:val="left" w:pos="685"/>
        </w:tabs>
        <w:spacing w:before="91"/>
        <w:ind w:hanging="566"/>
        <w:rPr>
          <w:lang w:val="sk-SK"/>
        </w:rPr>
      </w:pPr>
      <w:r w:rsidRPr="00507E09">
        <w:rPr>
          <w:lang w:val="sk-SK"/>
        </w:rPr>
        <w:t>Predávkovanie</w:t>
      </w:r>
    </w:p>
    <w:p w14:paraId="0ACA57F3" w14:textId="77777777" w:rsidR="00F132B6" w:rsidRPr="00507E09" w:rsidRDefault="00F132B6">
      <w:pPr>
        <w:pStyle w:val="Zkladntext"/>
        <w:spacing w:before="6"/>
        <w:rPr>
          <w:b/>
          <w:sz w:val="21"/>
          <w:lang w:val="sk-SK"/>
        </w:rPr>
      </w:pPr>
    </w:p>
    <w:p w14:paraId="0F9CC379" w14:textId="77777777" w:rsidR="00F132B6" w:rsidRPr="00507E09" w:rsidRDefault="00F132B6">
      <w:pPr>
        <w:pStyle w:val="Zkladntext"/>
        <w:ind w:left="118"/>
        <w:rPr>
          <w:lang w:val="sk-SK"/>
        </w:rPr>
      </w:pPr>
      <w:r w:rsidRPr="00507E09">
        <w:rPr>
          <w:lang w:val="sk-SK"/>
        </w:rPr>
        <w:t>Neexistujú žiadne skúsenosti s predávkovaním posakonazolom vo forme tabliet.</w:t>
      </w:r>
    </w:p>
    <w:p w14:paraId="0C03A34C" w14:textId="77777777" w:rsidR="00F132B6" w:rsidRPr="00507E09" w:rsidRDefault="00F132B6">
      <w:pPr>
        <w:pStyle w:val="Zkladntext"/>
        <w:spacing w:before="11"/>
        <w:rPr>
          <w:sz w:val="21"/>
          <w:lang w:val="sk-SK"/>
        </w:rPr>
      </w:pPr>
    </w:p>
    <w:p w14:paraId="32151909" w14:textId="08236EAA" w:rsidR="00F132B6" w:rsidRPr="00507E09" w:rsidRDefault="00F132B6" w:rsidP="00E13FB9">
      <w:pPr>
        <w:pStyle w:val="Zkladntext"/>
        <w:ind w:left="118" w:right="453"/>
        <w:rPr>
          <w:lang w:val="sk-SK"/>
        </w:rPr>
      </w:pPr>
      <w:r w:rsidRPr="00507E09">
        <w:rPr>
          <w:lang w:val="sk-SK"/>
        </w:rPr>
        <w:t xml:space="preserve">V klinických skúšaniach sa u pacientov, ktorí dostávali posakonazol vo forme perorálnej suspenzie v dávkach až do 1 600 mg/deň, nevyskytli žiadne iné nežiaduce reakcie ako tie, ktoré </w:t>
      </w:r>
      <w:r w:rsidR="00785D6E">
        <w:rPr>
          <w:lang w:val="sk-SK"/>
        </w:rPr>
        <w:t>boli hlásené</w:t>
      </w:r>
      <w:r w:rsidRPr="00507E09">
        <w:rPr>
          <w:lang w:val="sk-SK"/>
        </w:rPr>
        <w:t xml:space="preserve"> </w:t>
      </w:r>
      <w:r w:rsidR="00785D6E">
        <w:rPr>
          <w:lang w:val="sk-SK"/>
        </w:rPr>
        <w:t xml:space="preserve"> </w:t>
      </w:r>
      <w:r w:rsidRPr="00507E09">
        <w:rPr>
          <w:lang w:val="sk-SK"/>
        </w:rPr>
        <w:t>u pacientov dostávajúcich nižšie dávky. Náhodné predávkovanie sa zaznamenalo u jedného pacienta, ktorý užíval 1 200 mg posakonazolu vo forme perorálnej suspenzie dvakrát denne počas 3 dní.</w:t>
      </w:r>
      <w:r w:rsidR="00785D6E" w:rsidRPr="00507E09" w:rsidDel="00785D6E">
        <w:rPr>
          <w:lang w:val="sk-SK"/>
        </w:rPr>
        <w:t xml:space="preserve"> </w:t>
      </w:r>
      <w:r w:rsidRPr="00507E09">
        <w:rPr>
          <w:lang w:val="sk-SK"/>
        </w:rPr>
        <w:t>Skúšajúci nepozoroval žiadne nežiaduce reakcie.</w:t>
      </w:r>
    </w:p>
    <w:p w14:paraId="6E6E324D" w14:textId="77777777" w:rsidR="00F132B6" w:rsidRPr="00507E09" w:rsidRDefault="00F132B6">
      <w:pPr>
        <w:pStyle w:val="Zkladntext"/>
        <w:spacing w:before="11"/>
        <w:rPr>
          <w:sz w:val="21"/>
          <w:lang w:val="sk-SK"/>
        </w:rPr>
      </w:pPr>
    </w:p>
    <w:p w14:paraId="148CB17B" w14:textId="77777777" w:rsidR="00F132B6" w:rsidRPr="00507E09" w:rsidRDefault="00F132B6">
      <w:pPr>
        <w:pStyle w:val="Zkladntext"/>
        <w:ind w:left="118" w:right="1034"/>
        <w:rPr>
          <w:lang w:val="sk-SK"/>
        </w:rPr>
      </w:pPr>
      <w:r w:rsidRPr="00507E09">
        <w:rPr>
          <w:lang w:val="sk-SK"/>
        </w:rPr>
        <w:t>Posakonazol sa neodstraňuje hemodialýzou. V prípade predávkovania posakonazolom nie je k dispozícii žiadna špeciálna liečba. Môže sa zvážiť podporná starostlivosť.</w:t>
      </w:r>
    </w:p>
    <w:p w14:paraId="748178BF" w14:textId="77777777" w:rsidR="00F132B6" w:rsidRPr="00507E09" w:rsidRDefault="00F132B6">
      <w:pPr>
        <w:pStyle w:val="Zkladntext"/>
        <w:rPr>
          <w:sz w:val="24"/>
          <w:lang w:val="sk-SK"/>
        </w:rPr>
      </w:pPr>
    </w:p>
    <w:p w14:paraId="26023904" w14:textId="77777777" w:rsidR="00F132B6" w:rsidRPr="00507E09" w:rsidRDefault="00F132B6">
      <w:pPr>
        <w:pStyle w:val="Zkladntext"/>
        <w:spacing w:before="3"/>
        <w:rPr>
          <w:sz w:val="20"/>
          <w:lang w:val="sk-SK"/>
        </w:rPr>
      </w:pPr>
    </w:p>
    <w:p w14:paraId="3E520B38"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FARMAKOLOGICKÉ</w:t>
      </w:r>
      <w:r w:rsidRPr="00507E09">
        <w:rPr>
          <w:spacing w:val="-11"/>
          <w:lang w:val="sk-SK"/>
        </w:rPr>
        <w:t xml:space="preserve"> </w:t>
      </w:r>
      <w:r w:rsidRPr="00507E09">
        <w:rPr>
          <w:lang w:val="sk-SK"/>
        </w:rPr>
        <w:t>VLASTNOSTI</w:t>
      </w:r>
    </w:p>
    <w:p w14:paraId="6C854918" w14:textId="77777777" w:rsidR="00F132B6" w:rsidRPr="00507E09" w:rsidRDefault="00F132B6">
      <w:pPr>
        <w:pStyle w:val="Zkladntext"/>
        <w:spacing w:before="11"/>
        <w:rPr>
          <w:b/>
          <w:sz w:val="21"/>
          <w:lang w:val="sk-SK"/>
        </w:rPr>
      </w:pPr>
    </w:p>
    <w:p w14:paraId="5052112F" w14:textId="77777777" w:rsidR="00F132B6" w:rsidRPr="00507E09" w:rsidRDefault="00F132B6" w:rsidP="00E13FB9">
      <w:pPr>
        <w:pStyle w:val="Odsekzoznamu"/>
        <w:numPr>
          <w:ilvl w:val="1"/>
          <w:numId w:val="12"/>
        </w:numPr>
        <w:tabs>
          <w:tab w:val="left" w:pos="684"/>
          <w:tab w:val="left" w:pos="685"/>
        </w:tabs>
        <w:ind w:hanging="566"/>
        <w:rPr>
          <w:b/>
          <w:lang w:val="sk-SK"/>
        </w:rPr>
      </w:pPr>
      <w:r w:rsidRPr="00507E09">
        <w:rPr>
          <w:b/>
          <w:lang w:val="sk-SK"/>
        </w:rPr>
        <w:t>Farmakodynamické</w:t>
      </w:r>
      <w:r w:rsidRPr="00507E09">
        <w:rPr>
          <w:b/>
          <w:spacing w:val="-16"/>
          <w:lang w:val="sk-SK"/>
        </w:rPr>
        <w:t xml:space="preserve"> </w:t>
      </w:r>
      <w:r w:rsidRPr="00507E09">
        <w:rPr>
          <w:b/>
          <w:lang w:val="sk-SK"/>
        </w:rPr>
        <w:t>vlastnosti</w:t>
      </w:r>
    </w:p>
    <w:p w14:paraId="3AB9D5A1" w14:textId="77777777" w:rsidR="00F132B6" w:rsidRPr="00507E09" w:rsidRDefault="00F132B6">
      <w:pPr>
        <w:pStyle w:val="Zkladntext"/>
        <w:ind w:left="118" w:right="465"/>
        <w:rPr>
          <w:lang w:val="sk-SK"/>
        </w:rPr>
      </w:pPr>
      <w:r w:rsidRPr="00507E09">
        <w:rPr>
          <w:lang w:val="sk-SK"/>
        </w:rPr>
        <w:lastRenderedPageBreak/>
        <w:t>Farmakoterapeutická skupina: Antimykotiká na systémové použitie, triazolové deriváty, ATC kód: J02AC04.</w:t>
      </w:r>
    </w:p>
    <w:p w14:paraId="064558A2" w14:textId="77777777" w:rsidR="00F132B6" w:rsidRPr="00507E09" w:rsidRDefault="00F132B6">
      <w:pPr>
        <w:pStyle w:val="Zkladntext"/>
        <w:spacing w:before="70"/>
        <w:ind w:left="118"/>
        <w:rPr>
          <w:lang w:val="sk-SK"/>
        </w:rPr>
      </w:pPr>
      <w:r w:rsidRPr="00507E09">
        <w:rPr>
          <w:u w:val="single"/>
          <w:lang w:val="sk-SK"/>
        </w:rPr>
        <w:t>Mechanizmus účinku</w:t>
      </w:r>
    </w:p>
    <w:p w14:paraId="2D65FBD8" w14:textId="77777777" w:rsidR="00F132B6" w:rsidRPr="00507E09" w:rsidRDefault="00F132B6">
      <w:pPr>
        <w:pStyle w:val="Zkladntext"/>
        <w:spacing w:before="1"/>
        <w:ind w:left="118" w:right="470"/>
        <w:rPr>
          <w:lang w:val="sk-SK"/>
        </w:rPr>
      </w:pPr>
      <w:r w:rsidRPr="00507E09">
        <w:rPr>
          <w:lang w:val="sk-SK"/>
        </w:rPr>
        <w:t>Posakonazol inhibuje enzým lanosterol 14α-demetylázu (CYP51), ktorý katalyzuje podstatný krok biosyntézy ergosterolu.</w:t>
      </w:r>
    </w:p>
    <w:p w14:paraId="3C7B61C3" w14:textId="77777777" w:rsidR="00F132B6" w:rsidRPr="00507E09" w:rsidRDefault="00F132B6">
      <w:pPr>
        <w:pStyle w:val="Zkladntext"/>
        <w:rPr>
          <w:lang w:val="sk-SK"/>
        </w:rPr>
      </w:pPr>
    </w:p>
    <w:p w14:paraId="64625CF0" w14:textId="77777777" w:rsidR="00F132B6" w:rsidRPr="00507E09" w:rsidRDefault="00F132B6">
      <w:pPr>
        <w:pStyle w:val="Zkladntext"/>
        <w:ind w:left="118"/>
        <w:rPr>
          <w:lang w:val="sk-SK"/>
        </w:rPr>
      </w:pPr>
      <w:r w:rsidRPr="00507E09">
        <w:rPr>
          <w:u w:val="single"/>
          <w:lang w:val="sk-SK"/>
        </w:rPr>
        <w:t>Mikrobiológia</w:t>
      </w:r>
    </w:p>
    <w:p w14:paraId="2C9460FE" w14:textId="77777777" w:rsidR="00F132B6" w:rsidRPr="00507E09" w:rsidRDefault="00F132B6">
      <w:pPr>
        <w:ind w:left="118" w:right="540"/>
        <w:rPr>
          <w:i/>
          <w:lang w:val="sk-SK"/>
        </w:rPr>
      </w:pPr>
      <w:r w:rsidRPr="00507E09">
        <w:rPr>
          <w:lang w:val="sk-SK"/>
        </w:rPr>
        <w:t xml:space="preserve">Preukázalo sa, že posakonazol je </w:t>
      </w:r>
      <w:r w:rsidRPr="00507E09">
        <w:rPr>
          <w:i/>
          <w:lang w:val="sk-SK"/>
        </w:rPr>
        <w:t xml:space="preserve">in vitro </w:t>
      </w:r>
      <w:r w:rsidRPr="00507E09">
        <w:rPr>
          <w:lang w:val="sk-SK"/>
        </w:rPr>
        <w:t xml:space="preserve">účinný proti nasledujúcim mikroorganizmom: druhy </w:t>
      </w:r>
      <w:r w:rsidRPr="00507E09">
        <w:rPr>
          <w:i/>
          <w:lang w:val="sk-SK"/>
        </w:rPr>
        <w:t xml:space="preserve">Aspergillus </w:t>
      </w:r>
      <w:r w:rsidRPr="00507E09">
        <w:rPr>
          <w:lang w:val="sk-SK"/>
        </w:rPr>
        <w:t>(</w:t>
      </w:r>
      <w:r w:rsidRPr="00507E09">
        <w:rPr>
          <w:i/>
          <w:lang w:val="sk-SK"/>
        </w:rPr>
        <w:t>Aspergillus fumigatus</w:t>
      </w:r>
      <w:r w:rsidRPr="00507E09">
        <w:rPr>
          <w:lang w:val="sk-SK"/>
        </w:rPr>
        <w:t xml:space="preserve">, </w:t>
      </w:r>
      <w:r w:rsidRPr="00507E09">
        <w:rPr>
          <w:i/>
          <w:lang w:val="sk-SK"/>
        </w:rPr>
        <w:t>A. flavus</w:t>
      </w:r>
      <w:r w:rsidRPr="00507E09">
        <w:rPr>
          <w:lang w:val="sk-SK"/>
        </w:rPr>
        <w:t xml:space="preserve">, </w:t>
      </w:r>
      <w:r w:rsidRPr="00507E09">
        <w:rPr>
          <w:i/>
          <w:lang w:val="sk-SK"/>
        </w:rPr>
        <w:t>A. terreus</w:t>
      </w:r>
      <w:r w:rsidRPr="00507E09">
        <w:rPr>
          <w:lang w:val="sk-SK"/>
        </w:rPr>
        <w:t xml:space="preserve">, </w:t>
      </w:r>
      <w:r w:rsidRPr="00507E09">
        <w:rPr>
          <w:i/>
          <w:lang w:val="sk-SK"/>
        </w:rPr>
        <w:t>A. nidulans</w:t>
      </w:r>
      <w:r w:rsidRPr="00507E09">
        <w:rPr>
          <w:lang w:val="sk-SK"/>
        </w:rPr>
        <w:t xml:space="preserve">, </w:t>
      </w:r>
      <w:r w:rsidRPr="00507E09">
        <w:rPr>
          <w:i/>
          <w:lang w:val="sk-SK"/>
        </w:rPr>
        <w:t>A. niger</w:t>
      </w:r>
      <w:r w:rsidRPr="00507E09">
        <w:rPr>
          <w:lang w:val="sk-SK"/>
        </w:rPr>
        <w:t xml:space="preserve">, </w:t>
      </w:r>
      <w:r w:rsidRPr="00507E09">
        <w:rPr>
          <w:i/>
          <w:lang w:val="sk-SK"/>
        </w:rPr>
        <w:t>A. ustus</w:t>
      </w:r>
      <w:r w:rsidRPr="00507E09">
        <w:rPr>
          <w:lang w:val="sk-SK"/>
        </w:rPr>
        <w:t xml:space="preserve">), druhy </w:t>
      </w:r>
      <w:r w:rsidRPr="00507E09">
        <w:rPr>
          <w:i/>
          <w:lang w:val="sk-SK"/>
        </w:rPr>
        <w:t xml:space="preserve">Candida </w:t>
      </w:r>
      <w:r w:rsidRPr="00507E09">
        <w:rPr>
          <w:lang w:val="sk-SK"/>
        </w:rPr>
        <w:t>(</w:t>
      </w:r>
      <w:r w:rsidRPr="00507E09">
        <w:rPr>
          <w:i/>
          <w:lang w:val="sk-SK"/>
        </w:rPr>
        <w:t>Candida albicans, C. glabrata, C. krusei, C. parapsilosis, C. tropicalis, C. dubliniensis,</w:t>
      </w:r>
    </w:p>
    <w:p w14:paraId="5359C923" w14:textId="77777777" w:rsidR="00F132B6" w:rsidRPr="00507E09" w:rsidRDefault="00F132B6">
      <w:pPr>
        <w:ind w:left="118" w:right="315"/>
        <w:rPr>
          <w:lang w:val="sk-SK"/>
        </w:rPr>
      </w:pPr>
      <w:r w:rsidRPr="00507E09">
        <w:rPr>
          <w:i/>
          <w:lang w:val="sk-SK"/>
        </w:rPr>
        <w:t>C. famata, C. inconspicua, C. lipolytica, C. norvegensis, C. pseudotropicalis</w:t>
      </w:r>
      <w:r w:rsidRPr="00507E09">
        <w:rPr>
          <w:lang w:val="sk-SK"/>
        </w:rPr>
        <w:t xml:space="preserve">), </w:t>
      </w:r>
      <w:r w:rsidRPr="00507E09">
        <w:rPr>
          <w:i/>
          <w:lang w:val="sk-SK"/>
        </w:rPr>
        <w:t xml:space="preserve">Coccidioides immitis, Fonsecaea pedrosoi </w:t>
      </w:r>
      <w:r w:rsidRPr="00507E09">
        <w:rPr>
          <w:lang w:val="sk-SK"/>
        </w:rPr>
        <w:t xml:space="preserve">a druhy </w:t>
      </w:r>
      <w:r w:rsidRPr="00507E09">
        <w:rPr>
          <w:i/>
          <w:lang w:val="sk-SK"/>
        </w:rPr>
        <w:t xml:space="preserve">Fusarium, Rhizomucor, Mucor </w:t>
      </w:r>
      <w:r w:rsidRPr="00507E09">
        <w:rPr>
          <w:lang w:val="sk-SK"/>
        </w:rPr>
        <w:t xml:space="preserve">a </w:t>
      </w:r>
      <w:r w:rsidRPr="00507E09">
        <w:rPr>
          <w:i/>
          <w:lang w:val="sk-SK"/>
        </w:rPr>
        <w:t>Rhizopus</w:t>
      </w:r>
      <w:r w:rsidRPr="00507E09">
        <w:rPr>
          <w:lang w:val="sk-SK"/>
        </w:rPr>
        <w:t xml:space="preserve">. Mikrobiologické údaje naznačujú, že posakonazol je účinný proti druhom </w:t>
      </w:r>
      <w:r w:rsidRPr="00507E09">
        <w:rPr>
          <w:i/>
          <w:lang w:val="sk-SK"/>
        </w:rPr>
        <w:t xml:space="preserve">Rhizomucor, Mucor </w:t>
      </w:r>
      <w:r w:rsidRPr="00507E09">
        <w:rPr>
          <w:lang w:val="sk-SK"/>
        </w:rPr>
        <w:t xml:space="preserve">a </w:t>
      </w:r>
      <w:r w:rsidRPr="00507E09">
        <w:rPr>
          <w:i/>
          <w:lang w:val="sk-SK"/>
        </w:rPr>
        <w:t>Rhizopus</w:t>
      </w:r>
      <w:r w:rsidRPr="00507E09">
        <w:rPr>
          <w:lang w:val="sk-SK"/>
        </w:rPr>
        <w:t>; klinické údaje</w:t>
      </w:r>
    </w:p>
    <w:p w14:paraId="36862DE4" w14:textId="77777777" w:rsidR="00F132B6" w:rsidRPr="00507E09" w:rsidRDefault="00F132B6">
      <w:pPr>
        <w:pStyle w:val="Zkladntext"/>
        <w:ind w:left="118" w:right="361"/>
        <w:rPr>
          <w:lang w:val="sk-SK"/>
        </w:rPr>
      </w:pPr>
      <w:r w:rsidRPr="00507E09">
        <w:rPr>
          <w:lang w:val="sk-SK"/>
        </w:rPr>
        <w:t>v súčasnosti sú však príliš obmedzené na to, aby sa dala posúdiť účinnosť posakonazolu proti týmto vyvolávajúcim druhom.</w:t>
      </w:r>
    </w:p>
    <w:p w14:paraId="549B4610" w14:textId="77777777" w:rsidR="00F132B6" w:rsidRPr="00507E09" w:rsidRDefault="00F132B6">
      <w:pPr>
        <w:pStyle w:val="Zkladntext"/>
        <w:spacing w:before="2"/>
        <w:rPr>
          <w:lang w:val="sk-SK"/>
        </w:rPr>
      </w:pPr>
    </w:p>
    <w:p w14:paraId="63DBC387" w14:textId="77777777" w:rsidR="00F132B6" w:rsidRPr="00507E09" w:rsidRDefault="00F132B6">
      <w:pPr>
        <w:pStyle w:val="Zkladntext"/>
        <w:ind w:left="118"/>
        <w:rPr>
          <w:lang w:val="sk-SK"/>
        </w:rPr>
      </w:pPr>
      <w:r w:rsidRPr="00507E09">
        <w:rPr>
          <w:u w:val="single"/>
          <w:lang w:val="sk-SK"/>
        </w:rPr>
        <w:t>Rezistencia</w:t>
      </w:r>
    </w:p>
    <w:p w14:paraId="00E90B95" w14:textId="77777777" w:rsidR="00F132B6" w:rsidRPr="00507E09" w:rsidRDefault="00F132B6">
      <w:pPr>
        <w:pStyle w:val="Zkladntext"/>
        <w:spacing w:before="1"/>
        <w:ind w:left="118" w:right="559"/>
        <w:rPr>
          <w:lang w:val="sk-SK"/>
        </w:rPr>
      </w:pPr>
      <w:r w:rsidRPr="00507E09">
        <w:rPr>
          <w:lang w:val="sk-SK"/>
        </w:rPr>
        <w:t>Identifikovali sa klinické izoláty so zníženou citlivosťou na posakonazol. Základný mechanizmus rezistencie je získanie substitúcií v cieľovom proteíne, CYP51.</w:t>
      </w:r>
    </w:p>
    <w:p w14:paraId="076DF813" w14:textId="77777777" w:rsidR="00F132B6" w:rsidRPr="00507E09" w:rsidRDefault="00F132B6">
      <w:pPr>
        <w:pStyle w:val="Zkladntext"/>
        <w:rPr>
          <w:lang w:val="sk-SK"/>
        </w:rPr>
      </w:pPr>
    </w:p>
    <w:p w14:paraId="20D29313" w14:textId="77777777" w:rsidR="00F132B6" w:rsidRPr="00507E09" w:rsidRDefault="00F132B6">
      <w:pPr>
        <w:pStyle w:val="Zkladntext"/>
        <w:ind w:left="118" w:right="505"/>
        <w:rPr>
          <w:lang w:val="sk-SK"/>
        </w:rPr>
      </w:pPr>
      <w:r w:rsidRPr="00507E09">
        <w:rPr>
          <w:u w:val="single"/>
          <w:lang w:val="sk-SK"/>
        </w:rPr>
        <w:t>Epidemiologické kritické (</w:t>
      </w:r>
      <w:r w:rsidRPr="00507E09">
        <w:rPr>
          <w:i/>
          <w:u w:val="single"/>
          <w:lang w:val="sk-SK"/>
        </w:rPr>
        <w:t>Epidemiological Cut-off</w:t>
      </w:r>
      <w:r w:rsidRPr="00507E09">
        <w:rPr>
          <w:u w:val="single"/>
          <w:lang w:val="sk-SK"/>
        </w:rPr>
        <w:t xml:space="preserve">, ECOFF) hodnoty pre druhy </w:t>
      </w:r>
      <w:r w:rsidRPr="00507E09">
        <w:rPr>
          <w:i/>
          <w:u w:val="single"/>
          <w:lang w:val="sk-SK"/>
        </w:rPr>
        <w:t xml:space="preserve">Aspergillus </w:t>
      </w:r>
      <w:r w:rsidRPr="00507E09">
        <w:rPr>
          <w:lang w:val="sk-SK"/>
        </w:rPr>
        <w:t>ECOFF hodnoty pre posakonazol, ktoré odlišujú populáciu divokého typu od izolátov so získanou rezistenciou, sa určili metódami EUCAST.</w:t>
      </w:r>
    </w:p>
    <w:p w14:paraId="4960F849" w14:textId="77777777" w:rsidR="00F132B6" w:rsidRPr="00507E09" w:rsidRDefault="00F132B6">
      <w:pPr>
        <w:pStyle w:val="Zkladntext"/>
        <w:spacing w:before="9"/>
        <w:rPr>
          <w:sz w:val="21"/>
          <w:lang w:val="sk-SK"/>
        </w:rPr>
      </w:pPr>
    </w:p>
    <w:p w14:paraId="2821E971" w14:textId="77777777" w:rsidR="00F132B6" w:rsidRPr="00507E09" w:rsidRDefault="00F132B6">
      <w:pPr>
        <w:pStyle w:val="Zkladntext"/>
        <w:spacing w:line="251" w:lineRule="exact"/>
        <w:ind w:left="118"/>
        <w:rPr>
          <w:lang w:val="sk-SK"/>
        </w:rPr>
      </w:pPr>
      <w:r w:rsidRPr="00507E09">
        <w:rPr>
          <w:lang w:val="sk-SK"/>
        </w:rPr>
        <w:t>EUCAST ECOFF hodnoty:</w:t>
      </w:r>
    </w:p>
    <w:p w14:paraId="380558D6" w14:textId="77777777" w:rsidR="00F132B6" w:rsidRPr="00507E09" w:rsidRDefault="00F132B6" w:rsidP="00E13FB9">
      <w:pPr>
        <w:pStyle w:val="Odsekzoznamu"/>
        <w:numPr>
          <w:ilvl w:val="0"/>
          <w:numId w:val="13"/>
        </w:numPr>
        <w:tabs>
          <w:tab w:val="left" w:pos="684"/>
          <w:tab w:val="left" w:pos="685"/>
        </w:tabs>
        <w:spacing w:line="262" w:lineRule="exact"/>
        <w:ind w:hanging="566"/>
        <w:rPr>
          <w:lang w:val="sk-SK"/>
        </w:rPr>
      </w:pPr>
      <w:r w:rsidRPr="00507E09">
        <w:rPr>
          <w:i/>
          <w:lang w:val="sk-SK"/>
        </w:rPr>
        <w:t>Aspergillus flavus</w:t>
      </w:r>
      <w:r w:rsidRPr="00507E09">
        <w:rPr>
          <w:lang w:val="sk-SK"/>
        </w:rPr>
        <w:t>: 0,5</w:t>
      </w:r>
      <w:r w:rsidRPr="00507E09">
        <w:rPr>
          <w:spacing w:val="-17"/>
          <w:lang w:val="sk-SK"/>
        </w:rPr>
        <w:t xml:space="preserve"> </w:t>
      </w:r>
      <w:r w:rsidRPr="00507E09">
        <w:rPr>
          <w:lang w:val="sk-SK"/>
        </w:rPr>
        <w:t>mg/l</w:t>
      </w:r>
    </w:p>
    <w:p w14:paraId="402DD9D7"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i/>
          <w:lang w:val="sk-SK"/>
        </w:rPr>
        <w:t>Aspergillus fumigatus</w:t>
      </w:r>
      <w:r w:rsidRPr="00507E09">
        <w:rPr>
          <w:lang w:val="sk-SK"/>
        </w:rPr>
        <w:t>: 0,25</w:t>
      </w:r>
      <w:r w:rsidRPr="00507E09">
        <w:rPr>
          <w:spacing w:val="-18"/>
          <w:lang w:val="sk-SK"/>
        </w:rPr>
        <w:t xml:space="preserve"> </w:t>
      </w:r>
      <w:r w:rsidRPr="00507E09">
        <w:rPr>
          <w:lang w:val="sk-SK"/>
        </w:rPr>
        <w:t>mg/l</w:t>
      </w:r>
    </w:p>
    <w:p w14:paraId="3A0AED9D"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i/>
          <w:lang w:val="sk-SK"/>
        </w:rPr>
        <w:t>Aspergillus nidulans</w:t>
      </w:r>
      <w:r w:rsidRPr="00507E09">
        <w:rPr>
          <w:lang w:val="sk-SK"/>
        </w:rPr>
        <w:t>: 0,5</w:t>
      </w:r>
      <w:r w:rsidRPr="00507E09">
        <w:rPr>
          <w:spacing w:val="-16"/>
          <w:lang w:val="sk-SK"/>
        </w:rPr>
        <w:t xml:space="preserve"> </w:t>
      </w:r>
      <w:r w:rsidRPr="00507E09">
        <w:rPr>
          <w:lang w:val="sk-SK"/>
        </w:rPr>
        <w:t>mg/l</w:t>
      </w:r>
    </w:p>
    <w:p w14:paraId="504A7813" w14:textId="77777777" w:rsidR="00F132B6" w:rsidRPr="00507E09" w:rsidRDefault="00F132B6" w:rsidP="00E13FB9">
      <w:pPr>
        <w:pStyle w:val="Odsekzoznamu"/>
        <w:numPr>
          <w:ilvl w:val="0"/>
          <w:numId w:val="13"/>
        </w:numPr>
        <w:tabs>
          <w:tab w:val="left" w:pos="684"/>
          <w:tab w:val="left" w:pos="685"/>
        </w:tabs>
        <w:spacing w:line="259" w:lineRule="exact"/>
        <w:ind w:hanging="566"/>
        <w:rPr>
          <w:lang w:val="sk-SK"/>
        </w:rPr>
      </w:pPr>
      <w:r w:rsidRPr="00507E09">
        <w:rPr>
          <w:i/>
          <w:lang w:val="sk-SK"/>
        </w:rPr>
        <w:t>Aspergillus niger</w:t>
      </w:r>
      <w:r w:rsidRPr="00507E09">
        <w:rPr>
          <w:lang w:val="sk-SK"/>
        </w:rPr>
        <w:t>: 0,5</w:t>
      </w:r>
      <w:r w:rsidRPr="00507E09">
        <w:rPr>
          <w:spacing w:val="-16"/>
          <w:lang w:val="sk-SK"/>
        </w:rPr>
        <w:t xml:space="preserve"> </w:t>
      </w:r>
      <w:r w:rsidRPr="00507E09">
        <w:rPr>
          <w:lang w:val="sk-SK"/>
        </w:rPr>
        <w:t>mg/l</w:t>
      </w:r>
    </w:p>
    <w:p w14:paraId="53ED5B26" w14:textId="77777777" w:rsidR="00F132B6" w:rsidRPr="00507E09" w:rsidRDefault="00F132B6" w:rsidP="00E13FB9">
      <w:pPr>
        <w:pStyle w:val="Odsekzoznamu"/>
        <w:numPr>
          <w:ilvl w:val="0"/>
          <w:numId w:val="13"/>
        </w:numPr>
        <w:tabs>
          <w:tab w:val="left" w:pos="684"/>
          <w:tab w:val="left" w:pos="685"/>
        </w:tabs>
        <w:spacing w:line="264" w:lineRule="exact"/>
        <w:ind w:hanging="566"/>
        <w:rPr>
          <w:lang w:val="sk-SK"/>
        </w:rPr>
      </w:pPr>
      <w:r w:rsidRPr="00507E09">
        <w:rPr>
          <w:i/>
          <w:lang w:val="sk-SK"/>
        </w:rPr>
        <w:t>Aspergillus terreus</w:t>
      </w:r>
      <w:r w:rsidRPr="00507E09">
        <w:rPr>
          <w:lang w:val="sk-SK"/>
        </w:rPr>
        <w:t>: 0,25</w:t>
      </w:r>
      <w:r w:rsidRPr="00507E09">
        <w:rPr>
          <w:spacing w:val="-18"/>
          <w:lang w:val="sk-SK"/>
        </w:rPr>
        <w:t xml:space="preserve"> </w:t>
      </w:r>
      <w:r w:rsidRPr="00507E09">
        <w:rPr>
          <w:lang w:val="sk-SK"/>
        </w:rPr>
        <w:t>mg/l</w:t>
      </w:r>
    </w:p>
    <w:p w14:paraId="53CEB05F" w14:textId="77777777" w:rsidR="00F132B6" w:rsidRPr="00507E09" w:rsidRDefault="00F132B6">
      <w:pPr>
        <w:pStyle w:val="Zkladntext"/>
        <w:spacing w:before="9"/>
        <w:rPr>
          <w:sz w:val="21"/>
          <w:lang w:val="sk-SK"/>
        </w:rPr>
      </w:pPr>
    </w:p>
    <w:p w14:paraId="3B51181C" w14:textId="77777777" w:rsidR="00F132B6" w:rsidRPr="00507E09" w:rsidRDefault="00F132B6">
      <w:pPr>
        <w:pStyle w:val="Zkladntext"/>
        <w:ind w:left="118" w:right="91"/>
        <w:rPr>
          <w:lang w:val="sk-SK"/>
        </w:rPr>
      </w:pPr>
      <w:r w:rsidRPr="00507E09">
        <w:rPr>
          <w:lang w:val="sk-SK"/>
        </w:rPr>
        <w:t>Hodnoty ECOFF nie sú totožné s klinickými hraničnými hodnotami.</w:t>
      </w:r>
    </w:p>
    <w:p w14:paraId="3116BDB8" w14:textId="77777777" w:rsidR="00F132B6" w:rsidRPr="00507E09" w:rsidRDefault="00F132B6">
      <w:pPr>
        <w:pStyle w:val="Zkladntext"/>
        <w:rPr>
          <w:lang w:val="sk-SK"/>
        </w:rPr>
      </w:pPr>
    </w:p>
    <w:p w14:paraId="507903A0" w14:textId="77777777" w:rsidR="00F132B6" w:rsidRPr="00507E09" w:rsidRDefault="00F132B6">
      <w:pPr>
        <w:pStyle w:val="Zkladntext"/>
        <w:ind w:left="118"/>
        <w:rPr>
          <w:lang w:val="sk-SK"/>
        </w:rPr>
      </w:pPr>
      <w:r w:rsidRPr="00507E09">
        <w:rPr>
          <w:u w:val="single"/>
          <w:lang w:val="sk-SK"/>
        </w:rPr>
        <w:t>Hraničné hodnoty</w:t>
      </w:r>
    </w:p>
    <w:p w14:paraId="4D8CEB6A" w14:textId="77777777" w:rsidR="00F132B6" w:rsidRDefault="00F132B6">
      <w:pPr>
        <w:pStyle w:val="Zkladntext"/>
        <w:spacing w:before="1" w:line="249" w:lineRule="exact"/>
        <w:ind w:left="118"/>
        <w:rPr>
          <w:lang w:val="sk-SK"/>
        </w:rPr>
      </w:pPr>
      <w:r w:rsidRPr="00507E09">
        <w:rPr>
          <w:lang w:val="sk-SK"/>
        </w:rPr>
        <w:t>Hraničné hodnoty MIC pre posakonazol podľa EUCAST [citlivý (C); rezistentný (R)]:</w:t>
      </w:r>
    </w:p>
    <w:p w14:paraId="323016A1" w14:textId="52591B11" w:rsidR="00896674" w:rsidRPr="00AE29BF" w:rsidRDefault="00896674" w:rsidP="00E13FB9">
      <w:pPr>
        <w:pStyle w:val="Odsekzoznamu"/>
        <w:numPr>
          <w:ilvl w:val="0"/>
          <w:numId w:val="16"/>
        </w:numPr>
        <w:tabs>
          <w:tab w:val="left" w:pos="684"/>
          <w:tab w:val="left" w:pos="685"/>
        </w:tabs>
        <w:spacing w:before="4"/>
        <w:ind w:hanging="566"/>
        <w:rPr>
          <w:i/>
        </w:rPr>
      </w:pPr>
      <w:r w:rsidRPr="00AE29BF">
        <w:rPr>
          <w:i/>
        </w:rPr>
        <w:t>Aspergillus fumigatus</w:t>
      </w:r>
      <w:r w:rsidRPr="00AE29BF">
        <w:rPr>
          <w:vertAlign w:val="superscript"/>
        </w:rPr>
        <w:t>1,2</w:t>
      </w:r>
      <w:r w:rsidRPr="00AE29BF">
        <w:t>:</w:t>
      </w:r>
      <w:r>
        <w:t xml:space="preserve"> </w:t>
      </w:r>
      <w:r w:rsidR="009D0275">
        <w:t>C</w:t>
      </w:r>
      <w:r>
        <w:t xml:space="preserve"> ≤0,13 mg/l</w:t>
      </w:r>
      <w:r w:rsidRPr="00076122">
        <w:t>, R &gt;</w:t>
      </w:r>
      <w:r>
        <w:t>0,25</w:t>
      </w:r>
      <w:r w:rsidRPr="00076122">
        <w:rPr>
          <w:spacing w:val="-2"/>
        </w:rPr>
        <w:t xml:space="preserve"> </w:t>
      </w:r>
      <w:r>
        <w:t>mg/l</w:t>
      </w:r>
    </w:p>
    <w:p w14:paraId="79E0DF26" w14:textId="3F703491" w:rsidR="00896674" w:rsidRPr="007B5DAA" w:rsidRDefault="00896674" w:rsidP="00E13FB9">
      <w:pPr>
        <w:pStyle w:val="Odsekzoznamu"/>
        <w:numPr>
          <w:ilvl w:val="0"/>
          <w:numId w:val="16"/>
        </w:numPr>
        <w:tabs>
          <w:tab w:val="left" w:pos="684"/>
          <w:tab w:val="left" w:pos="685"/>
        </w:tabs>
        <w:spacing w:before="4"/>
        <w:ind w:hanging="566"/>
        <w:rPr>
          <w:i/>
        </w:rPr>
      </w:pPr>
      <w:r>
        <w:rPr>
          <w:i/>
        </w:rPr>
        <w:t>Aspergillus terreus</w:t>
      </w:r>
      <w:r w:rsidRPr="00AE29BF">
        <w:rPr>
          <w:vertAlign w:val="superscript"/>
        </w:rPr>
        <w:t>1,2</w:t>
      </w:r>
      <w:r w:rsidRPr="00AE29BF">
        <w:t>:</w:t>
      </w:r>
      <w:r>
        <w:t xml:space="preserve"> </w:t>
      </w:r>
      <w:r w:rsidR="009D0275">
        <w:t>C</w:t>
      </w:r>
      <w:r>
        <w:t xml:space="preserve"> ≤0,13 mg/l</w:t>
      </w:r>
      <w:r w:rsidRPr="00076122">
        <w:t>, R &gt;</w:t>
      </w:r>
      <w:r>
        <w:t>0,25</w:t>
      </w:r>
      <w:r w:rsidRPr="00076122">
        <w:rPr>
          <w:spacing w:val="-2"/>
        </w:rPr>
        <w:t xml:space="preserve"> </w:t>
      </w:r>
      <w:r>
        <w:t>mg/l</w:t>
      </w:r>
    </w:p>
    <w:p w14:paraId="42DDABA4" w14:textId="4E9D6CE6" w:rsidR="00896674" w:rsidRDefault="00896674" w:rsidP="00E13FB9">
      <w:pPr>
        <w:pStyle w:val="Odsekzoznamu"/>
        <w:numPr>
          <w:ilvl w:val="0"/>
          <w:numId w:val="16"/>
        </w:numPr>
        <w:tabs>
          <w:tab w:val="left" w:pos="684"/>
          <w:tab w:val="left" w:pos="685"/>
        </w:tabs>
        <w:spacing w:before="4"/>
        <w:ind w:hanging="566"/>
      </w:pPr>
      <w:r w:rsidRPr="00076122">
        <w:rPr>
          <w:i/>
        </w:rPr>
        <w:t>Candida albicans</w:t>
      </w:r>
      <w:r>
        <w:t xml:space="preserve">: </w:t>
      </w:r>
      <w:r w:rsidR="009D0275">
        <w:t>C</w:t>
      </w:r>
      <w:r>
        <w:t xml:space="preserve"> ≤0,06 mg/l, R &gt;0,</w:t>
      </w:r>
      <w:r w:rsidRPr="00076122">
        <w:t>06</w:t>
      </w:r>
      <w:r w:rsidRPr="00076122">
        <w:rPr>
          <w:spacing w:val="-2"/>
        </w:rPr>
        <w:t xml:space="preserve"> </w:t>
      </w:r>
      <w:r>
        <w:t>mg/l</w:t>
      </w:r>
    </w:p>
    <w:p w14:paraId="4D0E8FB7" w14:textId="0867A5AD" w:rsidR="00896674" w:rsidRDefault="00896674" w:rsidP="00E13FB9">
      <w:pPr>
        <w:pStyle w:val="Odsekzoznamu"/>
        <w:numPr>
          <w:ilvl w:val="0"/>
          <w:numId w:val="16"/>
        </w:numPr>
        <w:tabs>
          <w:tab w:val="left" w:pos="684"/>
          <w:tab w:val="left" w:pos="685"/>
        </w:tabs>
        <w:spacing w:before="4"/>
        <w:ind w:hanging="566"/>
      </w:pPr>
      <w:r w:rsidRPr="00AE29BF">
        <w:rPr>
          <w:i/>
        </w:rPr>
        <w:t>Candida</w:t>
      </w:r>
      <w:r>
        <w:t xml:space="preserve"> </w:t>
      </w:r>
      <w:r w:rsidRPr="007C1B7F">
        <w:rPr>
          <w:i/>
        </w:rPr>
        <w:t>dubliniensis</w:t>
      </w:r>
      <w:r>
        <w:rPr>
          <w:i/>
        </w:rPr>
        <w:t xml:space="preserve">: </w:t>
      </w:r>
      <w:r w:rsidR="009D0275" w:rsidRPr="00E13FB9">
        <w:t>C</w:t>
      </w:r>
      <w:r>
        <w:t xml:space="preserve"> ≤0,</w:t>
      </w:r>
      <w:r w:rsidRPr="00076122">
        <w:t xml:space="preserve">06 </w:t>
      </w:r>
      <w:r>
        <w:t>mg/l, R &gt;0,</w:t>
      </w:r>
      <w:r w:rsidRPr="00076122">
        <w:t>06</w:t>
      </w:r>
      <w:r w:rsidRPr="00076122">
        <w:rPr>
          <w:spacing w:val="-2"/>
        </w:rPr>
        <w:t xml:space="preserve"> </w:t>
      </w:r>
      <w:r>
        <w:t xml:space="preserve">mg/l </w:t>
      </w:r>
    </w:p>
    <w:p w14:paraId="42AC30DA" w14:textId="0B4B8377" w:rsidR="00896674" w:rsidRPr="00076122" w:rsidRDefault="00896674" w:rsidP="00E13FB9">
      <w:pPr>
        <w:pStyle w:val="Odsekzoznamu"/>
        <w:numPr>
          <w:ilvl w:val="0"/>
          <w:numId w:val="16"/>
        </w:numPr>
        <w:tabs>
          <w:tab w:val="left" w:pos="684"/>
          <w:tab w:val="left" w:pos="685"/>
        </w:tabs>
        <w:spacing w:before="4"/>
        <w:ind w:hanging="566"/>
      </w:pPr>
      <w:r w:rsidRPr="00496018">
        <w:rPr>
          <w:i/>
        </w:rPr>
        <w:t>Candida tropicalis</w:t>
      </w:r>
      <w:r>
        <w:t xml:space="preserve">: </w:t>
      </w:r>
      <w:r w:rsidR="009D0275">
        <w:t>C</w:t>
      </w:r>
      <w:r>
        <w:t xml:space="preserve"> ≤0,06 mg/l</w:t>
      </w:r>
      <w:r w:rsidRPr="00076122">
        <w:t>, R &gt;0.06</w:t>
      </w:r>
      <w:r w:rsidRPr="00496018">
        <w:rPr>
          <w:spacing w:val="-2"/>
        </w:rPr>
        <w:t xml:space="preserve"> </w:t>
      </w:r>
      <w:r>
        <w:t>mg/l</w:t>
      </w:r>
    </w:p>
    <w:p w14:paraId="62DAFF13" w14:textId="6AFF26BF" w:rsidR="00896674" w:rsidRPr="00076122" w:rsidRDefault="00896674" w:rsidP="00E13FB9">
      <w:pPr>
        <w:pStyle w:val="Odsekzoznamu"/>
        <w:numPr>
          <w:ilvl w:val="0"/>
          <w:numId w:val="16"/>
        </w:numPr>
        <w:tabs>
          <w:tab w:val="left" w:pos="684"/>
          <w:tab w:val="left" w:pos="685"/>
        </w:tabs>
        <w:spacing w:before="4"/>
        <w:ind w:hanging="566"/>
      </w:pPr>
      <w:r w:rsidRPr="00076122">
        <w:rPr>
          <w:i/>
        </w:rPr>
        <w:t>Candida parapsilosis</w:t>
      </w:r>
      <w:r>
        <w:t xml:space="preserve">: </w:t>
      </w:r>
      <w:r w:rsidR="009D0275">
        <w:t>C</w:t>
      </w:r>
      <w:r>
        <w:t xml:space="preserve"> ≤0,06 mg/l, R &gt;0,</w:t>
      </w:r>
      <w:r w:rsidRPr="00076122">
        <w:t>06</w:t>
      </w:r>
      <w:r w:rsidRPr="00076122">
        <w:rPr>
          <w:spacing w:val="-1"/>
        </w:rPr>
        <w:t xml:space="preserve"> </w:t>
      </w:r>
      <w:r>
        <w:t>mg/l</w:t>
      </w:r>
    </w:p>
    <w:p w14:paraId="06785A9E" w14:textId="77777777" w:rsidR="00F132B6" w:rsidRPr="00507E09" w:rsidRDefault="00F132B6">
      <w:pPr>
        <w:pStyle w:val="Zkladntext"/>
        <w:spacing w:before="6"/>
        <w:rPr>
          <w:sz w:val="21"/>
          <w:lang w:val="sk-SK"/>
        </w:rPr>
      </w:pPr>
    </w:p>
    <w:p w14:paraId="5239034A" w14:textId="77777777" w:rsidR="00454E2D" w:rsidRPr="00454E2D" w:rsidRDefault="00454E2D">
      <w:pPr>
        <w:pStyle w:val="Zkladntext"/>
        <w:ind w:left="118" w:right="453"/>
        <w:rPr>
          <w:lang w:val="sk-SK"/>
        </w:rPr>
      </w:pPr>
      <w:r w:rsidRPr="00454E2D">
        <w:rPr>
          <w:vertAlign w:val="superscript"/>
          <w:lang w:val="sk-SK"/>
        </w:rPr>
        <w:t>1</w:t>
      </w:r>
      <w:r w:rsidRPr="00454E2D">
        <w:rPr>
          <w:lang w:val="sk-SK"/>
        </w:rPr>
        <w:t xml:space="preserve"> U pacientov liečených na hubovú infekciu sa odporúča monitorovanie minimálnych koncentrácií azolu.</w:t>
      </w:r>
    </w:p>
    <w:p w14:paraId="704007F2" w14:textId="1222B533" w:rsidR="00896674" w:rsidRDefault="00454E2D">
      <w:pPr>
        <w:pStyle w:val="Zkladntext"/>
        <w:ind w:left="118" w:right="453"/>
        <w:rPr>
          <w:lang w:val="sk-SK"/>
        </w:rPr>
      </w:pPr>
      <w:r w:rsidRPr="00454E2D">
        <w:rPr>
          <w:vertAlign w:val="superscript"/>
          <w:lang w:val="sk-SK"/>
        </w:rPr>
        <w:t>2</w:t>
      </w:r>
      <w:r w:rsidRPr="00454E2D">
        <w:rPr>
          <w:lang w:val="sk-SK"/>
        </w:rPr>
        <w:t xml:space="preserve"> Za predpokladu, že bola pomocou terapeutického monitorovania liekov (TDM) potvrdená dostatočná expozícia lieku. Pokiaľ ide o medzné hodnoty koncentrácií posakonazolu, ktoré oddeľujú pacientov s vysokou pravdepodobnosťou klinického úspechu od pacientov s nízkou pravdepodobnosťou klinického úspechu, pretrváva určitá neistota</w:t>
      </w:r>
      <w:r w:rsidR="008A1E99">
        <w:rPr>
          <w:lang w:val="sk-SK"/>
        </w:rPr>
        <w:t>. Za určitých okolností (napr. u</w:t>
      </w:r>
      <w:r w:rsidRPr="00454E2D">
        <w:rPr>
          <w:lang w:val="sk-SK"/>
        </w:rPr>
        <w:t xml:space="preserve"> pacientov s pretrvávajúcou a hlbokou neutropéniou, veľkými léziami alebo u pacientov s inými znakmi spojenými so zlým klinickým výsledkom) </w:t>
      </w:r>
      <w:r w:rsidR="00812D12">
        <w:rPr>
          <w:lang w:val="sk-SK"/>
        </w:rPr>
        <w:t>sa má</w:t>
      </w:r>
      <w:r w:rsidRPr="00454E2D">
        <w:rPr>
          <w:lang w:val="sk-SK"/>
        </w:rPr>
        <w:t xml:space="preserve"> hľadať pomerne vysoká minimálna koncentrácia. Predklinické a klinické údaje naznačujú, že táto hodnota </w:t>
      </w:r>
      <w:r w:rsidR="00812D12">
        <w:rPr>
          <w:lang w:val="sk-SK"/>
        </w:rPr>
        <w:t>má</w:t>
      </w:r>
      <w:r w:rsidR="008A1E99">
        <w:rPr>
          <w:lang w:val="sk-SK"/>
        </w:rPr>
        <w:t xml:space="preserve"> byť v rovnovážnom stave</w:t>
      </w:r>
      <w:r w:rsidR="00812D12">
        <w:rPr>
          <w:lang w:val="sk-SK"/>
        </w:rPr>
        <w:t xml:space="preserve"> </w:t>
      </w:r>
      <w:r w:rsidR="008A1E99">
        <w:rPr>
          <w:lang w:val="sk-SK"/>
        </w:rPr>
        <w:t>&gt; 1 mg/</w:t>
      </w:r>
      <w:r w:rsidRPr="00454E2D">
        <w:rPr>
          <w:lang w:val="sk-SK"/>
        </w:rPr>
        <w:t xml:space="preserve">l. Pre iné skupiny pacientov môže byť prijateľná nižšia minimálna koncentrácia. Na </w:t>
      </w:r>
      <w:r w:rsidRPr="00454E2D">
        <w:rPr>
          <w:lang w:val="sk-SK"/>
        </w:rPr>
        <w:lastRenderedPageBreak/>
        <w:t>profylaxiu bola navrhnutá cieľová koncentrácia</w:t>
      </w:r>
      <w:r w:rsidR="008A1E99">
        <w:rPr>
          <w:lang w:val="sk-SK"/>
        </w:rPr>
        <w:t xml:space="preserve"> &gt; 0,7 mg/l (EUCAST k</w:t>
      </w:r>
      <w:r w:rsidRPr="00454E2D">
        <w:rPr>
          <w:lang w:val="sk-SK"/>
        </w:rPr>
        <w:t>linické hraničné hodnoty pre huby v9.0).</w:t>
      </w:r>
    </w:p>
    <w:p w14:paraId="637DB57D" w14:textId="77777777" w:rsidR="00454E2D" w:rsidRDefault="00454E2D">
      <w:pPr>
        <w:pStyle w:val="Zkladntext"/>
        <w:ind w:left="118" w:right="453"/>
        <w:rPr>
          <w:lang w:val="sk-SK"/>
        </w:rPr>
      </w:pPr>
    </w:p>
    <w:p w14:paraId="68A86FDF" w14:textId="77777777" w:rsidR="00F132B6" w:rsidRPr="00BA1907" w:rsidRDefault="00F132B6">
      <w:pPr>
        <w:pStyle w:val="Zkladntext"/>
        <w:ind w:left="118" w:right="453"/>
        <w:rPr>
          <w:lang w:val="sk-SK"/>
        </w:rPr>
      </w:pPr>
      <w:r w:rsidRPr="00507E09">
        <w:rPr>
          <w:lang w:val="sk-SK"/>
        </w:rPr>
        <w:t xml:space="preserve">V súčasnosti sú údaje na stanovenie klinických hraničných hodnôt pre iné druhy </w:t>
      </w:r>
      <w:r w:rsidRPr="00BA1907">
        <w:rPr>
          <w:lang w:val="sk-SK"/>
        </w:rPr>
        <w:t>Candida</w:t>
      </w:r>
      <w:r w:rsidR="00BA1907" w:rsidRPr="00BA1907">
        <w:rPr>
          <w:lang w:val="sk-SK"/>
        </w:rPr>
        <w:t xml:space="preserve"> alebo Aspergillus </w:t>
      </w:r>
      <w:r w:rsidRPr="00507E09">
        <w:rPr>
          <w:lang w:val="sk-SK"/>
        </w:rPr>
        <w:t>nedostatočné.</w:t>
      </w:r>
    </w:p>
    <w:p w14:paraId="20D8BAB2" w14:textId="77777777" w:rsidR="00F132B6" w:rsidRPr="00507E09" w:rsidRDefault="00F132B6">
      <w:pPr>
        <w:pStyle w:val="Zkladntext"/>
        <w:spacing w:before="11"/>
        <w:rPr>
          <w:sz w:val="21"/>
          <w:lang w:val="sk-SK"/>
        </w:rPr>
      </w:pPr>
    </w:p>
    <w:p w14:paraId="357EFBBB" w14:textId="77777777" w:rsidR="00F132B6" w:rsidRPr="00507E09" w:rsidRDefault="00F132B6">
      <w:pPr>
        <w:pStyle w:val="Zkladntext"/>
        <w:spacing w:line="252" w:lineRule="exact"/>
        <w:ind w:left="118"/>
        <w:rPr>
          <w:lang w:val="sk-SK"/>
        </w:rPr>
      </w:pPr>
      <w:r w:rsidRPr="00507E09">
        <w:rPr>
          <w:u w:val="single"/>
          <w:lang w:val="sk-SK"/>
        </w:rPr>
        <w:t>Kombinácia s inými antimykotickými liečivami</w:t>
      </w:r>
    </w:p>
    <w:p w14:paraId="638C1032" w14:textId="588E1927" w:rsidR="00F132B6" w:rsidRPr="00507E09" w:rsidRDefault="00F132B6">
      <w:pPr>
        <w:pStyle w:val="Zkladntext"/>
        <w:ind w:left="118" w:right="103"/>
        <w:rPr>
          <w:lang w:val="sk-SK"/>
        </w:rPr>
      </w:pPr>
      <w:r w:rsidRPr="00507E09">
        <w:rPr>
          <w:lang w:val="sk-SK"/>
        </w:rPr>
        <w:t xml:space="preserve">Používanie kombinovanej antimykotickej liečby </w:t>
      </w:r>
      <w:r w:rsidR="007B526E">
        <w:rPr>
          <w:lang w:val="sk-SK"/>
        </w:rPr>
        <w:t>nemá</w:t>
      </w:r>
      <w:r w:rsidRPr="00507E09">
        <w:rPr>
          <w:lang w:val="sk-SK"/>
        </w:rPr>
        <w:t xml:space="preserve"> znížiť účinnosť posakonazolu ani inej liečby; v súčasnosti však neexistujú žiadne klinické dôkazy, že kombinovaná liečba poskytuje zvýšený prínos.</w:t>
      </w:r>
    </w:p>
    <w:p w14:paraId="0F563126" w14:textId="77777777" w:rsidR="00F132B6" w:rsidRPr="00507E09" w:rsidRDefault="00F132B6">
      <w:pPr>
        <w:pStyle w:val="Zkladntext"/>
        <w:spacing w:before="1"/>
        <w:rPr>
          <w:lang w:val="sk-SK"/>
        </w:rPr>
      </w:pPr>
    </w:p>
    <w:p w14:paraId="78A83041" w14:textId="77777777" w:rsidR="00F132B6" w:rsidRPr="00507E09" w:rsidRDefault="00F132B6">
      <w:pPr>
        <w:pStyle w:val="Zkladntext"/>
        <w:ind w:left="118"/>
        <w:rPr>
          <w:lang w:val="sk-SK"/>
        </w:rPr>
      </w:pPr>
      <w:r w:rsidRPr="00507E09">
        <w:rPr>
          <w:u w:val="single"/>
          <w:lang w:val="sk-SK"/>
        </w:rPr>
        <w:t>Klinická skúsenosť</w:t>
      </w:r>
    </w:p>
    <w:p w14:paraId="67502951" w14:textId="77777777" w:rsidR="00F132B6" w:rsidRPr="00507E09" w:rsidRDefault="00F132B6">
      <w:pPr>
        <w:pStyle w:val="Zkladntext"/>
        <w:spacing w:before="10"/>
        <w:rPr>
          <w:sz w:val="13"/>
          <w:lang w:val="sk-SK"/>
        </w:rPr>
      </w:pPr>
    </w:p>
    <w:p w14:paraId="094E0470" w14:textId="77777777" w:rsidR="00F132B6" w:rsidRPr="00507E09" w:rsidRDefault="00F132B6">
      <w:pPr>
        <w:spacing w:before="91"/>
        <w:ind w:left="118"/>
        <w:rPr>
          <w:i/>
          <w:lang w:val="sk-SK"/>
        </w:rPr>
      </w:pPr>
      <w:r w:rsidRPr="00507E09">
        <w:rPr>
          <w:i/>
          <w:u w:val="single"/>
          <w:lang w:val="sk-SK"/>
        </w:rPr>
        <w:t>Súhrn premosťujúcej štúdie posakonazolu vo forme tabliet</w:t>
      </w:r>
    </w:p>
    <w:p w14:paraId="110CE168" w14:textId="77777777" w:rsidR="00F132B6" w:rsidRPr="00507E09" w:rsidRDefault="00F132B6">
      <w:pPr>
        <w:pStyle w:val="Zkladntext"/>
        <w:spacing w:before="1"/>
        <w:ind w:left="118" w:right="110"/>
        <w:rPr>
          <w:lang w:val="sk-SK"/>
        </w:rPr>
      </w:pPr>
      <w:r w:rsidRPr="00507E09">
        <w:rPr>
          <w:lang w:val="sk-SK"/>
        </w:rPr>
        <w:t>Štúdia 5 615 bola nekomparatívna multicentrická štúdia vykonaná na zhodnotenie farmakokinetických vlastností, bezpečnosti a znášanlivosti posakonazolu vo forme tabliet. Štúdia 5 615 sa vykonala</w:t>
      </w:r>
    </w:p>
    <w:p w14:paraId="36300668" w14:textId="77777777" w:rsidR="00AC71EF" w:rsidRDefault="00F132B6">
      <w:pPr>
        <w:pStyle w:val="Zkladntext"/>
        <w:spacing w:before="1"/>
        <w:ind w:left="118" w:right="317"/>
        <w:rPr>
          <w:lang w:val="sk-SK"/>
        </w:rPr>
      </w:pPr>
      <w:r w:rsidRPr="00507E09">
        <w:rPr>
          <w:lang w:val="sk-SK"/>
        </w:rPr>
        <w:t>v podobnej populácii pacientov, ako bola populácia, ktorá sa v minulosti skúmala v rámci pivotného klinického programu s posakonazolom vo forme perorálnej suspenzie. Údaje týkajúce sa farmakokinetiky a bezpečnosti zo štúdie 5 615 sa premostili na existujúce údaje (vrátane údajov týkajúcich sa účinnosti) pri perorálnej suspenzii.</w:t>
      </w:r>
      <w:r w:rsidR="00B73D72">
        <w:rPr>
          <w:lang w:val="sk-SK"/>
        </w:rPr>
        <w:t xml:space="preserve"> </w:t>
      </w:r>
    </w:p>
    <w:p w14:paraId="6B72A363" w14:textId="77777777" w:rsidR="00AC71EF" w:rsidRDefault="00AC71EF">
      <w:pPr>
        <w:pStyle w:val="Zkladntext"/>
        <w:spacing w:before="1"/>
        <w:ind w:left="118" w:right="317"/>
        <w:rPr>
          <w:lang w:val="sk-SK"/>
        </w:rPr>
      </w:pPr>
    </w:p>
    <w:p w14:paraId="27F3047A" w14:textId="77777777" w:rsidR="00F132B6" w:rsidRPr="00507E09" w:rsidRDefault="00F132B6">
      <w:pPr>
        <w:pStyle w:val="Zkladntext"/>
        <w:spacing w:before="1"/>
        <w:ind w:left="118" w:right="317"/>
        <w:rPr>
          <w:lang w:val="sk-SK"/>
        </w:rPr>
      </w:pPr>
      <w:r w:rsidRPr="00507E09">
        <w:rPr>
          <w:lang w:val="sk-SK"/>
        </w:rPr>
        <w:t>Populácia pacientov zahŕňala: 1) pacientov s AML alebo MDS, ktorí v nedávnej minulosti dostávali chemoterapiu a vyvinula sa u nich alebo sa očakávalo, že sa u nich vyvinie významná neutropénia, alebo 2) pacientov, ktorí podstúpili HSCT a dostávali imunosupresívnu liečbu na predchádzanie alebo liečbu GVHD. Vyhodnocovali sa dve rozdielne skupiny dávkovania: 200 mg dvakrát denne v 1. deň, po ktorých nasledovalo 200 mg jedenkrát denne (časť 1A) a 300 mg dvakrát denne v 1. deň, po ktorých nasledovalo 300 mg jedenkrát denne (časť 1B a časť 2).</w:t>
      </w:r>
    </w:p>
    <w:p w14:paraId="30FF8B5F" w14:textId="77777777" w:rsidR="00F132B6" w:rsidRPr="00507E09" w:rsidRDefault="00F132B6">
      <w:pPr>
        <w:pStyle w:val="Zkladntext"/>
        <w:spacing w:before="1"/>
        <w:rPr>
          <w:lang w:val="sk-SK"/>
        </w:rPr>
      </w:pPr>
    </w:p>
    <w:p w14:paraId="56928730" w14:textId="5E67CCC6" w:rsidR="00F132B6" w:rsidRPr="00507E09" w:rsidRDefault="00F132B6">
      <w:pPr>
        <w:pStyle w:val="Zkladntext"/>
        <w:spacing w:line="235" w:lineRule="auto"/>
        <w:ind w:left="118" w:right="206"/>
        <w:rPr>
          <w:lang w:val="sk-SK"/>
        </w:rPr>
      </w:pPr>
      <w:r w:rsidRPr="00507E09">
        <w:rPr>
          <w:lang w:val="sk-SK"/>
        </w:rPr>
        <w:t>U všetkých osôb v časti 1 a u osôb v podskupine časti 2 sa v 1. deň a v rovnovážnom stave v 8. deň odobrali sériové FK vzorky. Okrem toho, pri väčšej časti populácie pacientov sa v niekoľkých dňoch počas rovnovážneho stavu pred ďalšou dávkou (C</w:t>
      </w:r>
      <w:r w:rsidRPr="00507E09">
        <w:rPr>
          <w:position w:val="-2"/>
          <w:sz w:val="14"/>
          <w:lang w:val="sk-SK"/>
        </w:rPr>
        <w:t>min</w:t>
      </w:r>
      <w:r w:rsidRPr="00507E09">
        <w:rPr>
          <w:lang w:val="sk-SK"/>
        </w:rPr>
        <w:t>) odobrali občasné FK vzorky</w:t>
      </w:r>
      <w:r w:rsidR="00C90803">
        <w:rPr>
          <w:lang w:val="sk-SK"/>
        </w:rPr>
        <w:t>.</w:t>
      </w:r>
      <w:r w:rsidRPr="00507E09">
        <w:rPr>
          <w:lang w:val="sk-SK"/>
        </w:rPr>
        <w:t xml:space="preserve"> Na základe priemerných koncentrácií C</w:t>
      </w:r>
      <w:r w:rsidRPr="00507E09">
        <w:rPr>
          <w:position w:val="-2"/>
          <w:sz w:val="14"/>
          <w:lang w:val="sk-SK"/>
        </w:rPr>
        <w:t xml:space="preserve">min </w:t>
      </w:r>
      <w:r w:rsidRPr="00507E09">
        <w:rPr>
          <w:lang w:val="sk-SK"/>
        </w:rPr>
        <w:t>sa mohla vypočítať predpokladaná priemerná koncentrácia (Cav) u 186 osôb, ktorým sa podávala dávka 300 mg. Analýzou FK u pacientov s Cav sa zistilo, že 81 % osôb liečených 300 mg dávkou jedenkrát denne dosiahlo predpokladanú Cav v rovnovážnom stave v rozmedzí 500 – 2 500 ng/ml. Jedna osoba (&lt; 1 %) mala predpokladanú Cav pod 500</w:t>
      </w:r>
      <w:r w:rsidRPr="00507E09">
        <w:rPr>
          <w:spacing w:val="-37"/>
          <w:lang w:val="sk-SK"/>
        </w:rPr>
        <w:t xml:space="preserve"> </w:t>
      </w:r>
      <w:r w:rsidRPr="00507E09">
        <w:rPr>
          <w:lang w:val="sk-SK"/>
        </w:rPr>
        <w:t>ng/ml</w:t>
      </w:r>
    </w:p>
    <w:p w14:paraId="4E5927CF" w14:textId="77777777" w:rsidR="00F132B6" w:rsidRPr="00507E09" w:rsidRDefault="00F132B6">
      <w:pPr>
        <w:pStyle w:val="Zkladntext"/>
        <w:ind w:left="118" w:right="89"/>
        <w:rPr>
          <w:lang w:val="sk-SK"/>
        </w:rPr>
      </w:pPr>
      <w:r w:rsidRPr="00507E09">
        <w:rPr>
          <w:lang w:val="sk-SK"/>
        </w:rPr>
        <w:t>a 19 % osôb malo predpokladanú Cav nad 2 500 ng/ml. Priemerná predpokladaná Cav v rovnovážnom stave, ktorú dosiahli pacienti, bola 1 970 ng/ml.</w:t>
      </w:r>
    </w:p>
    <w:p w14:paraId="4D591534" w14:textId="77777777" w:rsidR="00F132B6" w:rsidRPr="00507E09" w:rsidRDefault="00F132B6">
      <w:pPr>
        <w:pStyle w:val="Zkladntext"/>
        <w:spacing w:before="10"/>
        <w:rPr>
          <w:sz w:val="21"/>
          <w:lang w:val="sk-SK"/>
        </w:rPr>
      </w:pPr>
    </w:p>
    <w:p w14:paraId="6D8F4008" w14:textId="77777777" w:rsidR="00F132B6" w:rsidRPr="00507E09" w:rsidRDefault="00F132B6">
      <w:pPr>
        <w:pStyle w:val="Zkladntext"/>
        <w:ind w:left="118"/>
        <w:rPr>
          <w:lang w:val="sk-SK"/>
        </w:rPr>
      </w:pPr>
      <w:r w:rsidRPr="00507E09">
        <w:rPr>
          <w:lang w:val="sk-SK"/>
        </w:rPr>
        <w:t>V tabuľke 3 je uvedené porovnanie expozície (Cav) po podaní posakonazolu vo forme tabliet</w:t>
      </w:r>
    </w:p>
    <w:p w14:paraId="2B987270" w14:textId="77777777" w:rsidR="00F132B6" w:rsidRPr="00507E09" w:rsidRDefault="00F132B6">
      <w:pPr>
        <w:pStyle w:val="Zkladntext"/>
        <w:spacing w:before="1"/>
        <w:ind w:left="118" w:right="250"/>
        <w:rPr>
          <w:lang w:val="sk-SK"/>
        </w:rPr>
      </w:pPr>
      <w:r w:rsidRPr="00507E09">
        <w:rPr>
          <w:lang w:val="sk-SK"/>
        </w:rPr>
        <w:t>a posakonazolu vo forme perorálnej suspenzie v terapeutických dávkach u pacientov znázornené ako kvartilová analýza. Expozície po podaní tablety sú vo všeobecnosti vyššie, ale prekrývajúce sa</w:t>
      </w:r>
    </w:p>
    <w:p w14:paraId="126AEC29" w14:textId="77777777" w:rsidR="00F132B6" w:rsidRPr="00507E09" w:rsidRDefault="00F132B6">
      <w:pPr>
        <w:pStyle w:val="Zkladntext"/>
        <w:spacing w:before="1"/>
        <w:ind w:left="118"/>
        <w:rPr>
          <w:lang w:val="sk-SK"/>
        </w:rPr>
      </w:pPr>
      <w:r w:rsidRPr="00507E09">
        <w:rPr>
          <w:lang w:val="sk-SK"/>
        </w:rPr>
        <w:t>s expozíciami po podaní posakonazolu vo forme perorálnej suspenzie.</w:t>
      </w:r>
    </w:p>
    <w:p w14:paraId="2AF2A096" w14:textId="77777777" w:rsidR="00F132B6" w:rsidRPr="00507E09" w:rsidRDefault="00F132B6">
      <w:pPr>
        <w:pStyle w:val="Zkladntext"/>
        <w:spacing w:before="9"/>
        <w:rPr>
          <w:sz w:val="21"/>
          <w:lang w:val="sk-SK"/>
        </w:rPr>
      </w:pPr>
    </w:p>
    <w:p w14:paraId="39075D1B" w14:textId="77777777" w:rsidR="00F132B6" w:rsidRPr="00507E09" w:rsidRDefault="00F132B6">
      <w:pPr>
        <w:pStyle w:val="Zkladntext"/>
        <w:spacing w:after="5"/>
        <w:ind w:left="118" w:right="535"/>
        <w:rPr>
          <w:lang w:val="sk-SK"/>
        </w:rPr>
      </w:pPr>
      <w:r w:rsidRPr="00507E09">
        <w:rPr>
          <w:b/>
          <w:lang w:val="sk-SK"/>
        </w:rPr>
        <w:t xml:space="preserve">Tabuľka 3. </w:t>
      </w:r>
      <w:r w:rsidRPr="00507E09">
        <w:rPr>
          <w:lang w:val="sk-SK"/>
        </w:rPr>
        <w:t>Kvartilové analýzy Cav u pacientov v pivotných štúdiách s posakonazolom vo forme tabliet a perorálnej suspenzie</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886"/>
        <w:gridCol w:w="1560"/>
        <w:gridCol w:w="1546"/>
        <w:gridCol w:w="2390"/>
      </w:tblGrid>
      <w:tr w:rsidR="00F132B6" w:rsidRPr="00507E09" w14:paraId="5593AEB4" w14:textId="77777777" w:rsidTr="009700BD">
        <w:trPr>
          <w:trHeight w:hRule="exact" w:val="516"/>
        </w:trPr>
        <w:tc>
          <w:tcPr>
            <w:tcW w:w="1529" w:type="dxa"/>
          </w:tcPr>
          <w:p w14:paraId="6A8B9AA4" w14:textId="77777777" w:rsidR="00F132B6" w:rsidRPr="00507E09" w:rsidRDefault="00F132B6">
            <w:pPr>
              <w:rPr>
                <w:lang w:val="sk-SK"/>
              </w:rPr>
            </w:pPr>
          </w:p>
        </w:tc>
        <w:tc>
          <w:tcPr>
            <w:tcW w:w="1886" w:type="dxa"/>
          </w:tcPr>
          <w:p w14:paraId="08B86A83" w14:textId="77777777" w:rsidR="00F132B6" w:rsidRPr="00507E09" w:rsidRDefault="00F132B6">
            <w:pPr>
              <w:pStyle w:val="TableParagraph"/>
              <w:ind w:left="326" w:right="198" w:hanging="116"/>
              <w:rPr>
                <w:b/>
                <w:lang w:val="sk-SK"/>
              </w:rPr>
            </w:pPr>
            <w:r w:rsidRPr="00507E09">
              <w:rPr>
                <w:b/>
                <w:lang w:val="sk-SK"/>
              </w:rPr>
              <w:t>Posakonazol vo forme tabliet</w:t>
            </w:r>
          </w:p>
        </w:tc>
        <w:tc>
          <w:tcPr>
            <w:tcW w:w="5496" w:type="dxa"/>
            <w:gridSpan w:val="3"/>
          </w:tcPr>
          <w:p w14:paraId="25DACA68" w14:textId="77777777" w:rsidR="00F132B6" w:rsidRPr="00507E09" w:rsidRDefault="00F132B6">
            <w:pPr>
              <w:pStyle w:val="TableParagraph"/>
              <w:spacing w:line="252" w:lineRule="exact"/>
              <w:ind w:left="712"/>
              <w:rPr>
                <w:b/>
                <w:lang w:val="sk-SK"/>
              </w:rPr>
            </w:pPr>
            <w:r w:rsidRPr="00507E09">
              <w:rPr>
                <w:b/>
                <w:lang w:val="sk-SK"/>
              </w:rPr>
              <w:t>Posakonazol vo forme perorálnej suspenzie</w:t>
            </w:r>
          </w:p>
        </w:tc>
      </w:tr>
      <w:tr w:rsidR="00F132B6" w:rsidRPr="00507E09" w14:paraId="4E4E225F" w14:textId="77777777" w:rsidTr="009700BD">
        <w:trPr>
          <w:trHeight w:hRule="exact" w:val="1022"/>
        </w:trPr>
        <w:tc>
          <w:tcPr>
            <w:tcW w:w="1529" w:type="dxa"/>
          </w:tcPr>
          <w:p w14:paraId="1DA20EB4" w14:textId="77777777" w:rsidR="00F132B6" w:rsidRPr="00507E09" w:rsidRDefault="00F132B6" w:rsidP="009258AC">
            <w:pPr>
              <w:rPr>
                <w:lang w:val="sk-SK"/>
              </w:rPr>
            </w:pPr>
          </w:p>
        </w:tc>
        <w:tc>
          <w:tcPr>
            <w:tcW w:w="1886" w:type="dxa"/>
          </w:tcPr>
          <w:p w14:paraId="6D1AC4AA" w14:textId="77777777" w:rsidR="00F132B6" w:rsidRPr="00507E09" w:rsidRDefault="00F132B6" w:rsidP="00474F1E">
            <w:pPr>
              <w:pStyle w:val="TableParagraph"/>
              <w:ind w:left="268" w:right="256" w:firstLine="9"/>
              <w:rPr>
                <w:b/>
                <w:lang w:val="sk-SK"/>
              </w:rPr>
            </w:pPr>
            <w:r w:rsidRPr="00507E09">
              <w:rPr>
                <w:b/>
                <w:lang w:val="sk-SK"/>
              </w:rPr>
              <w:t>Profylaxia pri AML a HSCT</w:t>
            </w:r>
          </w:p>
          <w:p w14:paraId="36F78D38" w14:textId="77777777" w:rsidR="00F132B6" w:rsidRPr="00507E09" w:rsidRDefault="00F132B6">
            <w:pPr>
              <w:pStyle w:val="TableParagraph"/>
              <w:spacing w:before="1" w:line="252" w:lineRule="exact"/>
              <w:ind w:left="371"/>
              <w:rPr>
                <w:b/>
                <w:lang w:val="sk-SK"/>
              </w:rPr>
            </w:pPr>
            <w:r w:rsidRPr="00507E09">
              <w:rPr>
                <w:b/>
                <w:lang w:val="sk-SK"/>
              </w:rPr>
              <w:t>štúdia 5 615</w:t>
            </w:r>
          </w:p>
        </w:tc>
        <w:tc>
          <w:tcPr>
            <w:tcW w:w="1560" w:type="dxa"/>
          </w:tcPr>
          <w:p w14:paraId="51F160B4" w14:textId="77777777" w:rsidR="00F132B6" w:rsidRPr="00507E09" w:rsidRDefault="00F132B6" w:rsidP="00E13FB9">
            <w:pPr>
              <w:pStyle w:val="TableParagraph"/>
              <w:ind w:left="117" w:right="115"/>
              <w:rPr>
                <w:b/>
                <w:lang w:val="sk-SK"/>
              </w:rPr>
            </w:pPr>
            <w:r w:rsidRPr="00507E09">
              <w:rPr>
                <w:b/>
                <w:lang w:val="sk-SK"/>
              </w:rPr>
              <w:t>Profylaxia pri GVHD</w:t>
            </w:r>
          </w:p>
          <w:p w14:paraId="3417BE8B" w14:textId="77777777" w:rsidR="00F132B6" w:rsidRPr="00507E09" w:rsidRDefault="00F132B6" w:rsidP="00E13FB9">
            <w:pPr>
              <w:pStyle w:val="TableParagraph"/>
              <w:spacing w:before="1" w:line="252" w:lineRule="exact"/>
              <w:ind w:left="117" w:right="115"/>
              <w:rPr>
                <w:b/>
                <w:lang w:val="sk-SK"/>
              </w:rPr>
            </w:pPr>
            <w:r w:rsidRPr="00507E09">
              <w:rPr>
                <w:b/>
                <w:lang w:val="sk-SK"/>
              </w:rPr>
              <w:t>štúdia 316</w:t>
            </w:r>
          </w:p>
        </w:tc>
        <w:tc>
          <w:tcPr>
            <w:tcW w:w="1546" w:type="dxa"/>
          </w:tcPr>
          <w:p w14:paraId="0DF5BC95" w14:textId="77777777" w:rsidR="00F132B6" w:rsidRPr="00507E09" w:rsidRDefault="00F132B6" w:rsidP="009258AC">
            <w:pPr>
              <w:pStyle w:val="TableParagraph"/>
              <w:ind w:left="203" w:right="93" w:hanging="94"/>
              <w:rPr>
                <w:b/>
                <w:lang w:val="sk-SK"/>
              </w:rPr>
            </w:pPr>
            <w:r w:rsidRPr="00507E09">
              <w:rPr>
                <w:b/>
                <w:lang w:val="sk-SK"/>
              </w:rPr>
              <w:t>Profylaxia pri neutropénii štúdia 1 899</w:t>
            </w:r>
          </w:p>
        </w:tc>
        <w:tc>
          <w:tcPr>
            <w:tcW w:w="2390" w:type="dxa"/>
          </w:tcPr>
          <w:p w14:paraId="27504AB1" w14:textId="77777777" w:rsidR="00F132B6" w:rsidRPr="00507E09" w:rsidRDefault="00F132B6" w:rsidP="00474F1E">
            <w:pPr>
              <w:pStyle w:val="TableParagraph"/>
              <w:ind w:left="652" w:right="312" w:hanging="327"/>
              <w:rPr>
                <w:b/>
                <w:lang w:val="sk-SK"/>
              </w:rPr>
            </w:pPr>
            <w:r w:rsidRPr="00507E09">
              <w:rPr>
                <w:b/>
                <w:lang w:val="sk-SK"/>
              </w:rPr>
              <w:t>Liečba - invazívna aspergilóza štúdia 0041</w:t>
            </w:r>
          </w:p>
        </w:tc>
      </w:tr>
      <w:tr w:rsidR="00F132B6" w:rsidRPr="00507E09" w14:paraId="2EF449B8" w14:textId="77777777" w:rsidTr="009700BD">
        <w:trPr>
          <w:trHeight w:hRule="exact" w:val="1274"/>
        </w:trPr>
        <w:tc>
          <w:tcPr>
            <w:tcW w:w="1529" w:type="dxa"/>
          </w:tcPr>
          <w:p w14:paraId="26896796" w14:textId="77777777" w:rsidR="00F132B6" w:rsidRPr="00507E09" w:rsidRDefault="00F132B6" w:rsidP="009258AC">
            <w:pPr>
              <w:rPr>
                <w:lang w:val="sk-SK"/>
              </w:rPr>
            </w:pPr>
          </w:p>
        </w:tc>
        <w:tc>
          <w:tcPr>
            <w:tcW w:w="1886" w:type="dxa"/>
          </w:tcPr>
          <w:p w14:paraId="0057AD81" w14:textId="77777777" w:rsidR="00F132B6" w:rsidRPr="00507E09" w:rsidRDefault="00F132B6" w:rsidP="00E13FB9">
            <w:pPr>
              <w:pStyle w:val="TableParagraph"/>
              <w:spacing w:line="252" w:lineRule="exact"/>
              <w:ind w:left="92" w:right="94"/>
              <w:rPr>
                <w:b/>
                <w:lang w:val="sk-SK"/>
              </w:rPr>
            </w:pPr>
            <w:r w:rsidRPr="00507E09">
              <w:rPr>
                <w:b/>
                <w:lang w:val="sk-SK"/>
              </w:rPr>
              <w:t>300 mg jedenkrát</w:t>
            </w:r>
          </w:p>
          <w:p w14:paraId="3EA7D055" w14:textId="77777777" w:rsidR="00F132B6" w:rsidRPr="00507E09" w:rsidRDefault="00F132B6" w:rsidP="00E13FB9">
            <w:pPr>
              <w:pStyle w:val="TableParagraph"/>
              <w:spacing w:before="1"/>
              <w:ind w:left="249" w:right="254"/>
              <w:rPr>
                <w:b/>
                <w:lang w:val="sk-SK"/>
              </w:rPr>
            </w:pPr>
            <w:r w:rsidRPr="00507E09">
              <w:rPr>
                <w:b/>
                <w:lang w:val="sk-SK"/>
              </w:rPr>
              <w:t>denne (300 mg dvakrát denne v 1. deň)*</w:t>
            </w:r>
          </w:p>
        </w:tc>
        <w:tc>
          <w:tcPr>
            <w:tcW w:w="1560" w:type="dxa"/>
          </w:tcPr>
          <w:p w14:paraId="46F015A3" w14:textId="77777777" w:rsidR="00F132B6" w:rsidRPr="00507E09" w:rsidRDefault="00F132B6" w:rsidP="009258AC">
            <w:pPr>
              <w:pStyle w:val="TableParagraph"/>
              <w:ind w:left="148" w:right="129" w:firstLine="285"/>
              <w:rPr>
                <w:b/>
                <w:lang w:val="sk-SK"/>
              </w:rPr>
            </w:pPr>
            <w:r w:rsidRPr="00507E09">
              <w:rPr>
                <w:b/>
                <w:lang w:val="sk-SK"/>
              </w:rPr>
              <w:t>200 mg trikrát denne</w:t>
            </w:r>
          </w:p>
        </w:tc>
        <w:tc>
          <w:tcPr>
            <w:tcW w:w="1546" w:type="dxa"/>
          </w:tcPr>
          <w:p w14:paraId="037ADE64" w14:textId="77777777" w:rsidR="00F132B6" w:rsidRPr="00507E09" w:rsidRDefault="00F132B6" w:rsidP="00474F1E">
            <w:pPr>
              <w:pStyle w:val="TableParagraph"/>
              <w:ind w:left="141" w:right="122" w:firstLine="285"/>
              <w:rPr>
                <w:b/>
                <w:lang w:val="sk-SK"/>
              </w:rPr>
            </w:pPr>
            <w:r w:rsidRPr="00507E09">
              <w:rPr>
                <w:b/>
                <w:lang w:val="sk-SK"/>
              </w:rPr>
              <w:t>200 mg trikrát denne</w:t>
            </w:r>
          </w:p>
        </w:tc>
        <w:tc>
          <w:tcPr>
            <w:tcW w:w="2390" w:type="dxa"/>
          </w:tcPr>
          <w:p w14:paraId="1BB26371" w14:textId="77777777" w:rsidR="00F132B6" w:rsidRPr="00507E09" w:rsidRDefault="00F132B6" w:rsidP="00E13FB9">
            <w:pPr>
              <w:pStyle w:val="TableParagraph"/>
              <w:ind w:left="405" w:right="405"/>
              <w:rPr>
                <w:b/>
                <w:lang w:val="sk-SK"/>
              </w:rPr>
            </w:pPr>
            <w:r w:rsidRPr="00507E09">
              <w:rPr>
                <w:b/>
                <w:lang w:val="sk-SK"/>
              </w:rPr>
              <w:t>200 mg štyrikrát denne</w:t>
            </w:r>
          </w:p>
          <w:p w14:paraId="259DB9F9" w14:textId="77777777" w:rsidR="00F132B6" w:rsidRPr="00507E09" w:rsidRDefault="00F132B6" w:rsidP="00E13FB9">
            <w:pPr>
              <w:pStyle w:val="TableParagraph"/>
              <w:ind w:left="119" w:right="122"/>
              <w:rPr>
                <w:b/>
                <w:lang w:val="sk-SK"/>
              </w:rPr>
            </w:pPr>
            <w:r w:rsidRPr="00507E09">
              <w:rPr>
                <w:b/>
                <w:lang w:val="sk-SK"/>
              </w:rPr>
              <w:t>(u hospitalizovaných), potom 400 mg dvakrát denne</w:t>
            </w:r>
          </w:p>
        </w:tc>
      </w:tr>
      <w:tr w:rsidR="00F132B6" w:rsidRPr="00507E09" w14:paraId="6D8E3A63" w14:textId="77777777" w:rsidTr="009700BD">
        <w:trPr>
          <w:trHeight w:hRule="exact" w:val="516"/>
        </w:trPr>
        <w:tc>
          <w:tcPr>
            <w:tcW w:w="1529" w:type="dxa"/>
          </w:tcPr>
          <w:p w14:paraId="6CBCDD86" w14:textId="77777777" w:rsidR="00F132B6" w:rsidRPr="00507E09" w:rsidRDefault="00F132B6" w:rsidP="009258AC">
            <w:pPr>
              <w:pStyle w:val="TableParagraph"/>
              <w:spacing w:line="252" w:lineRule="exact"/>
              <w:ind w:left="103"/>
              <w:rPr>
                <w:b/>
                <w:lang w:val="sk-SK"/>
              </w:rPr>
            </w:pPr>
            <w:r w:rsidRPr="00507E09">
              <w:rPr>
                <w:b/>
                <w:lang w:val="sk-SK"/>
              </w:rPr>
              <w:t>Kvartil</w:t>
            </w:r>
          </w:p>
        </w:tc>
        <w:tc>
          <w:tcPr>
            <w:tcW w:w="1886" w:type="dxa"/>
          </w:tcPr>
          <w:p w14:paraId="248B5B09" w14:textId="77777777" w:rsidR="00F132B6" w:rsidRPr="00507E09" w:rsidRDefault="00F132B6" w:rsidP="00474F1E">
            <w:pPr>
              <w:pStyle w:val="TableParagraph"/>
              <w:ind w:left="592" w:right="303" w:hanging="279"/>
              <w:rPr>
                <w:b/>
                <w:lang w:val="sk-SK"/>
              </w:rPr>
            </w:pPr>
            <w:r w:rsidRPr="00507E09">
              <w:rPr>
                <w:b/>
                <w:lang w:val="sk-SK"/>
              </w:rPr>
              <w:t>Rozsah pCav (ng/ml)</w:t>
            </w:r>
          </w:p>
        </w:tc>
        <w:tc>
          <w:tcPr>
            <w:tcW w:w="1560" w:type="dxa"/>
          </w:tcPr>
          <w:p w14:paraId="11303DC4" w14:textId="77777777" w:rsidR="00F132B6" w:rsidRPr="00507E09" w:rsidRDefault="00F132B6">
            <w:pPr>
              <w:pStyle w:val="TableParagraph"/>
              <w:ind w:left="431" w:right="197" w:hanging="216"/>
              <w:rPr>
                <w:b/>
                <w:lang w:val="sk-SK"/>
              </w:rPr>
            </w:pPr>
            <w:r w:rsidRPr="00507E09">
              <w:rPr>
                <w:b/>
                <w:lang w:val="sk-SK"/>
              </w:rPr>
              <w:t>Rozsah Cav (ng/ml)</w:t>
            </w:r>
          </w:p>
        </w:tc>
        <w:tc>
          <w:tcPr>
            <w:tcW w:w="1546" w:type="dxa"/>
          </w:tcPr>
          <w:p w14:paraId="02BE4559" w14:textId="77777777" w:rsidR="00F132B6" w:rsidRPr="00507E09" w:rsidRDefault="00F132B6">
            <w:pPr>
              <w:pStyle w:val="TableParagraph"/>
              <w:ind w:left="424" w:right="189" w:hanging="216"/>
              <w:rPr>
                <w:b/>
                <w:lang w:val="sk-SK"/>
              </w:rPr>
            </w:pPr>
            <w:r w:rsidRPr="00507E09">
              <w:rPr>
                <w:b/>
                <w:lang w:val="sk-SK"/>
              </w:rPr>
              <w:t>Rozsah Cav (ng/ml)</w:t>
            </w:r>
          </w:p>
        </w:tc>
        <w:tc>
          <w:tcPr>
            <w:tcW w:w="2390" w:type="dxa"/>
          </w:tcPr>
          <w:p w14:paraId="58772333" w14:textId="77777777" w:rsidR="00F132B6" w:rsidRPr="00507E09" w:rsidRDefault="00F132B6">
            <w:pPr>
              <w:pStyle w:val="TableParagraph"/>
              <w:ind w:left="847" w:right="614" w:hanging="219"/>
              <w:rPr>
                <w:b/>
                <w:lang w:val="sk-SK"/>
              </w:rPr>
            </w:pPr>
            <w:r w:rsidRPr="00507E09">
              <w:rPr>
                <w:b/>
                <w:lang w:val="sk-SK"/>
              </w:rPr>
              <w:t>Rozsah Cav (ng/ml)</w:t>
            </w:r>
          </w:p>
        </w:tc>
      </w:tr>
      <w:tr w:rsidR="00F132B6" w:rsidRPr="00507E09" w14:paraId="14F9250E" w14:textId="77777777" w:rsidTr="009700BD">
        <w:trPr>
          <w:trHeight w:hRule="exact" w:val="264"/>
        </w:trPr>
        <w:tc>
          <w:tcPr>
            <w:tcW w:w="1529" w:type="dxa"/>
          </w:tcPr>
          <w:p w14:paraId="0462D72A" w14:textId="77777777" w:rsidR="00F132B6" w:rsidRPr="00507E09" w:rsidRDefault="00F132B6" w:rsidP="009258AC">
            <w:pPr>
              <w:pStyle w:val="TableParagraph"/>
              <w:spacing w:line="252" w:lineRule="exact"/>
              <w:ind w:left="103"/>
              <w:rPr>
                <w:b/>
                <w:lang w:val="sk-SK"/>
              </w:rPr>
            </w:pPr>
            <w:r w:rsidRPr="00507E09">
              <w:rPr>
                <w:b/>
                <w:lang w:val="sk-SK"/>
              </w:rPr>
              <w:t>Q1</w:t>
            </w:r>
          </w:p>
        </w:tc>
        <w:tc>
          <w:tcPr>
            <w:tcW w:w="1886" w:type="dxa"/>
          </w:tcPr>
          <w:p w14:paraId="5EE508A6" w14:textId="77777777" w:rsidR="00F132B6" w:rsidRPr="00507E09" w:rsidRDefault="00F132B6" w:rsidP="00E13FB9">
            <w:pPr>
              <w:pStyle w:val="TableParagraph"/>
              <w:spacing w:line="247" w:lineRule="exact"/>
              <w:ind w:left="89" w:right="94"/>
              <w:rPr>
                <w:lang w:val="sk-SK"/>
              </w:rPr>
            </w:pPr>
            <w:r w:rsidRPr="00507E09">
              <w:rPr>
                <w:lang w:val="sk-SK"/>
              </w:rPr>
              <w:t>442 – 1 223</w:t>
            </w:r>
          </w:p>
        </w:tc>
        <w:tc>
          <w:tcPr>
            <w:tcW w:w="1560" w:type="dxa"/>
          </w:tcPr>
          <w:p w14:paraId="1389B075" w14:textId="77777777" w:rsidR="00F132B6" w:rsidRPr="00507E09" w:rsidRDefault="00F132B6" w:rsidP="00E13FB9">
            <w:pPr>
              <w:pStyle w:val="TableParagraph"/>
              <w:spacing w:line="247" w:lineRule="exact"/>
              <w:ind w:left="115" w:right="115"/>
              <w:rPr>
                <w:lang w:val="sk-SK"/>
              </w:rPr>
            </w:pPr>
            <w:r w:rsidRPr="00507E09">
              <w:rPr>
                <w:lang w:val="sk-SK"/>
              </w:rPr>
              <w:t>22 – 557</w:t>
            </w:r>
          </w:p>
        </w:tc>
        <w:tc>
          <w:tcPr>
            <w:tcW w:w="1546" w:type="dxa"/>
          </w:tcPr>
          <w:p w14:paraId="24433E6A" w14:textId="77777777" w:rsidR="00F132B6" w:rsidRPr="00507E09" w:rsidRDefault="00F132B6" w:rsidP="00E13FB9">
            <w:pPr>
              <w:pStyle w:val="TableParagraph"/>
              <w:spacing w:line="247" w:lineRule="exact"/>
              <w:ind w:left="225" w:right="225"/>
              <w:rPr>
                <w:lang w:val="sk-SK"/>
              </w:rPr>
            </w:pPr>
            <w:r w:rsidRPr="00507E09">
              <w:rPr>
                <w:lang w:val="sk-SK"/>
              </w:rPr>
              <w:t>90 – 322</w:t>
            </w:r>
          </w:p>
        </w:tc>
        <w:tc>
          <w:tcPr>
            <w:tcW w:w="2390" w:type="dxa"/>
          </w:tcPr>
          <w:p w14:paraId="42BE2E0B" w14:textId="77777777" w:rsidR="00F132B6" w:rsidRPr="00507E09" w:rsidRDefault="00F132B6" w:rsidP="00E13FB9">
            <w:pPr>
              <w:pStyle w:val="TableParagraph"/>
              <w:spacing w:line="247" w:lineRule="exact"/>
              <w:ind w:left="405" w:right="405"/>
              <w:rPr>
                <w:lang w:val="sk-SK"/>
              </w:rPr>
            </w:pPr>
            <w:r w:rsidRPr="00507E09">
              <w:rPr>
                <w:lang w:val="sk-SK"/>
              </w:rPr>
              <w:t>55 – 277</w:t>
            </w:r>
          </w:p>
        </w:tc>
      </w:tr>
      <w:tr w:rsidR="00F132B6" w:rsidRPr="00507E09" w14:paraId="01EFE77F" w14:textId="77777777" w:rsidTr="009700BD">
        <w:trPr>
          <w:trHeight w:hRule="exact" w:val="262"/>
        </w:trPr>
        <w:tc>
          <w:tcPr>
            <w:tcW w:w="1529" w:type="dxa"/>
          </w:tcPr>
          <w:p w14:paraId="350F4162" w14:textId="77777777" w:rsidR="00F132B6" w:rsidRPr="00507E09" w:rsidRDefault="00F132B6" w:rsidP="009258AC">
            <w:pPr>
              <w:pStyle w:val="TableParagraph"/>
              <w:spacing w:line="252" w:lineRule="exact"/>
              <w:ind w:left="103"/>
              <w:rPr>
                <w:b/>
                <w:lang w:val="sk-SK"/>
              </w:rPr>
            </w:pPr>
            <w:r w:rsidRPr="00507E09">
              <w:rPr>
                <w:b/>
                <w:lang w:val="sk-SK"/>
              </w:rPr>
              <w:t>Q2</w:t>
            </w:r>
          </w:p>
        </w:tc>
        <w:tc>
          <w:tcPr>
            <w:tcW w:w="1886" w:type="dxa"/>
          </w:tcPr>
          <w:p w14:paraId="254C2864" w14:textId="77777777" w:rsidR="00F132B6" w:rsidRPr="00507E09" w:rsidRDefault="00F132B6" w:rsidP="00E13FB9">
            <w:pPr>
              <w:pStyle w:val="TableParagraph"/>
              <w:spacing w:line="247" w:lineRule="exact"/>
              <w:ind w:left="92" w:right="93"/>
              <w:rPr>
                <w:lang w:val="sk-SK"/>
              </w:rPr>
            </w:pPr>
            <w:r w:rsidRPr="00507E09">
              <w:rPr>
                <w:lang w:val="sk-SK"/>
              </w:rPr>
              <w:t>1 240 – 1 710</w:t>
            </w:r>
          </w:p>
        </w:tc>
        <w:tc>
          <w:tcPr>
            <w:tcW w:w="1560" w:type="dxa"/>
          </w:tcPr>
          <w:p w14:paraId="75B64B5B" w14:textId="77777777" w:rsidR="00F132B6" w:rsidRPr="00507E09" w:rsidRDefault="00F132B6" w:rsidP="00E13FB9">
            <w:pPr>
              <w:pStyle w:val="TableParagraph"/>
              <w:spacing w:line="247" w:lineRule="exact"/>
              <w:ind w:left="115" w:right="115"/>
              <w:rPr>
                <w:lang w:val="sk-SK"/>
              </w:rPr>
            </w:pPr>
            <w:r w:rsidRPr="00507E09">
              <w:rPr>
                <w:lang w:val="sk-SK"/>
              </w:rPr>
              <w:t>557 – 915</w:t>
            </w:r>
          </w:p>
        </w:tc>
        <w:tc>
          <w:tcPr>
            <w:tcW w:w="1546" w:type="dxa"/>
          </w:tcPr>
          <w:p w14:paraId="6D75E9C0" w14:textId="77777777" w:rsidR="00F132B6" w:rsidRPr="00507E09" w:rsidRDefault="00F132B6" w:rsidP="00E13FB9">
            <w:pPr>
              <w:pStyle w:val="TableParagraph"/>
              <w:spacing w:line="247" w:lineRule="exact"/>
              <w:ind w:left="225" w:right="225"/>
              <w:rPr>
                <w:lang w:val="sk-SK"/>
              </w:rPr>
            </w:pPr>
            <w:r w:rsidRPr="00507E09">
              <w:rPr>
                <w:lang w:val="sk-SK"/>
              </w:rPr>
              <w:t>322 – 490</w:t>
            </w:r>
          </w:p>
        </w:tc>
        <w:tc>
          <w:tcPr>
            <w:tcW w:w="2390" w:type="dxa"/>
          </w:tcPr>
          <w:p w14:paraId="5F956927" w14:textId="77777777" w:rsidR="00F132B6" w:rsidRPr="00507E09" w:rsidRDefault="00F132B6" w:rsidP="00E13FB9">
            <w:pPr>
              <w:pStyle w:val="TableParagraph"/>
              <w:spacing w:line="247" w:lineRule="exact"/>
              <w:ind w:left="405" w:right="405"/>
              <w:rPr>
                <w:lang w:val="sk-SK"/>
              </w:rPr>
            </w:pPr>
            <w:r w:rsidRPr="00507E09">
              <w:rPr>
                <w:lang w:val="sk-SK"/>
              </w:rPr>
              <w:t>290 – 544</w:t>
            </w:r>
          </w:p>
        </w:tc>
      </w:tr>
      <w:tr w:rsidR="00F132B6" w:rsidRPr="00507E09" w14:paraId="4153F7BF" w14:textId="77777777" w:rsidTr="009700BD">
        <w:trPr>
          <w:trHeight w:hRule="exact" w:val="264"/>
        </w:trPr>
        <w:tc>
          <w:tcPr>
            <w:tcW w:w="1529" w:type="dxa"/>
          </w:tcPr>
          <w:p w14:paraId="6B909CF2" w14:textId="77777777" w:rsidR="00F132B6" w:rsidRPr="00507E09" w:rsidRDefault="00F132B6" w:rsidP="009258AC">
            <w:pPr>
              <w:pStyle w:val="TableParagraph"/>
              <w:spacing w:before="1"/>
              <w:ind w:left="103"/>
              <w:rPr>
                <w:b/>
                <w:lang w:val="sk-SK"/>
              </w:rPr>
            </w:pPr>
            <w:r w:rsidRPr="00507E09">
              <w:rPr>
                <w:b/>
                <w:lang w:val="sk-SK"/>
              </w:rPr>
              <w:t>Q3</w:t>
            </w:r>
          </w:p>
        </w:tc>
        <w:tc>
          <w:tcPr>
            <w:tcW w:w="1886" w:type="dxa"/>
          </w:tcPr>
          <w:p w14:paraId="25E1D765" w14:textId="77777777" w:rsidR="00F132B6" w:rsidRPr="00507E09" w:rsidRDefault="00F132B6" w:rsidP="00E13FB9">
            <w:pPr>
              <w:pStyle w:val="TableParagraph"/>
              <w:spacing w:line="249" w:lineRule="exact"/>
              <w:ind w:left="92" w:right="93"/>
              <w:rPr>
                <w:lang w:val="sk-SK"/>
              </w:rPr>
            </w:pPr>
            <w:r w:rsidRPr="00507E09">
              <w:rPr>
                <w:lang w:val="sk-SK"/>
              </w:rPr>
              <w:t>1 719 – 2 291</w:t>
            </w:r>
          </w:p>
        </w:tc>
        <w:tc>
          <w:tcPr>
            <w:tcW w:w="1560" w:type="dxa"/>
          </w:tcPr>
          <w:p w14:paraId="64110240" w14:textId="77777777" w:rsidR="00F132B6" w:rsidRPr="00507E09" w:rsidRDefault="00F132B6" w:rsidP="00E13FB9">
            <w:pPr>
              <w:pStyle w:val="TableParagraph"/>
              <w:spacing w:line="249" w:lineRule="exact"/>
              <w:ind w:left="114" w:right="115"/>
              <w:rPr>
                <w:lang w:val="sk-SK"/>
              </w:rPr>
            </w:pPr>
            <w:r w:rsidRPr="00507E09">
              <w:rPr>
                <w:lang w:val="sk-SK"/>
              </w:rPr>
              <w:t>915 – 1 563</w:t>
            </w:r>
          </w:p>
        </w:tc>
        <w:tc>
          <w:tcPr>
            <w:tcW w:w="1546" w:type="dxa"/>
          </w:tcPr>
          <w:p w14:paraId="7B9032CE" w14:textId="77777777" w:rsidR="00F132B6" w:rsidRPr="00507E09" w:rsidRDefault="00F132B6" w:rsidP="00E13FB9">
            <w:pPr>
              <w:pStyle w:val="TableParagraph"/>
              <w:spacing w:line="249" w:lineRule="exact"/>
              <w:ind w:left="225" w:right="225"/>
              <w:rPr>
                <w:lang w:val="sk-SK"/>
              </w:rPr>
            </w:pPr>
            <w:r w:rsidRPr="00507E09">
              <w:rPr>
                <w:lang w:val="sk-SK"/>
              </w:rPr>
              <w:t>490 – 734</w:t>
            </w:r>
          </w:p>
        </w:tc>
        <w:tc>
          <w:tcPr>
            <w:tcW w:w="2390" w:type="dxa"/>
          </w:tcPr>
          <w:p w14:paraId="65F9F5B4" w14:textId="77777777" w:rsidR="00F132B6" w:rsidRPr="00507E09" w:rsidRDefault="00F132B6" w:rsidP="00E13FB9">
            <w:pPr>
              <w:pStyle w:val="TableParagraph"/>
              <w:spacing w:line="249" w:lineRule="exact"/>
              <w:ind w:left="405" w:right="405"/>
              <w:rPr>
                <w:lang w:val="sk-SK"/>
              </w:rPr>
            </w:pPr>
            <w:r w:rsidRPr="00507E09">
              <w:rPr>
                <w:lang w:val="sk-SK"/>
              </w:rPr>
              <w:t>550 – 861</w:t>
            </w:r>
          </w:p>
        </w:tc>
      </w:tr>
      <w:tr w:rsidR="00F132B6" w:rsidRPr="00507E09" w14:paraId="54857B38" w14:textId="77777777" w:rsidTr="009700BD">
        <w:trPr>
          <w:trHeight w:hRule="exact" w:val="264"/>
        </w:trPr>
        <w:tc>
          <w:tcPr>
            <w:tcW w:w="1529" w:type="dxa"/>
          </w:tcPr>
          <w:p w14:paraId="4D542FCE" w14:textId="77777777" w:rsidR="00F132B6" w:rsidRPr="00507E09" w:rsidRDefault="00F132B6" w:rsidP="009258AC">
            <w:pPr>
              <w:pStyle w:val="TableParagraph"/>
              <w:spacing w:line="252" w:lineRule="exact"/>
              <w:ind w:left="103"/>
              <w:rPr>
                <w:b/>
                <w:lang w:val="sk-SK"/>
              </w:rPr>
            </w:pPr>
            <w:r w:rsidRPr="00507E09">
              <w:rPr>
                <w:b/>
                <w:lang w:val="sk-SK"/>
              </w:rPr>
              <w:t>Q4</w:t>
            </w:r>
          </w:p>
        </w:tc>
        <w:tc>
          <w:tcPr>
            <w:tcW w:w="1886" w:type="dxa"/>
          </w:tcPr>
          <w:p w14:paraId="31BACE60" w14:textId="77777777" w:rsidR="00F132B6" w:rsidRPr="00507E09" w:rsidRDefault="00F132B6" w:rsidP="00E13FB9">
            <w:pPr>
              <w:pStyle w:val="TableParagraph"/>
              <w:spacing w:line="247" w:lineRule="exact"/>
              <w:ind w:left="92" w:right="93"/>
              <w:rPr>
                <w:lang w:val="sk-SK"/>
              </w:rPr>
            </w:pPr>
            <w:r w:rsidRPr="00507E09">
              <w:rPr>
                <w:lang w:val="sk-SK"/>
              </w:rPr>
              <w:t>2 304 – 9 523</w:t>
            </w:r>
          </w:p>
        </w:tc>
        <w:tc>
          <w:tcPr>
            <w:tcW w:w="1560" w:type="dxa"/>
          </w:tcPr>
          <w:p w14:paraId="668BF8DD" w14:textId="77777777" w:rsidR="00F132B6" w:rsidRPr="00507E09" w:rsidRDefault="00F132B6" w:rsidP="00E13FB9">
            <w:pPr>
              <w:pStyle w:val="TableParagraph"/>
              <w:spacing w:line="247" w:lineRule="exact"/>
              <w:ind w:left="116" w:right="115"/>
              <w:rPr>
                <w:lang w:val="sk-SK"/>
              </w:rPr>
            </w:pPr>
            <w:r w:rsidRPr="00507E09">
              <w:rPr>
                <w:lang w:val="sk-SK"/>
              </w:rPr>
              <w:t>1 563 – 3 650</w:t>
            </w:r>
          </w:p>
        </w:tc>
        <w:tc>
          <w:tcPr>
            <w:tcW w:w="1546" w:type="dxa"/>
          </w:tcPr>
          <w:p w14:paraId="22D714C6" w14:textId="77777777" w:rsidR="00F132B6" w:rsidRPr="00507E09" w:rsidRDefault="00F132B6" w:rsidP="00E13FB9">
            <w:pPr>
              <w:pStyle w:val="TableParagraph"/>
              <w:spacing w:line="247" w:lineRule="exact"/>
              <w:ind w:left="225" w:right="226"/>
              <w:rPr>
                <w:lang w:val="sk-SK"/>
              </w:rPr>
            </w:pPr>
            <w:r w:rsidRPr="00507E09">
              <w:rPr>
                <w:lang w:val="sk-SK"/>
              </w:rPr>
              <w:t>734 – 2 200</w:t>
            </w:r>
          </w:p>
        </w:tc>
        <w:tc>
          <w:tcPr>
            <w:tcW w:w="2390" w:type="dxa"/>
          </w:tcPr>
          <w:p w14:paraId="3044A548" w14:textId="77777777" w:rsidR="00F132B6" w:rsidRPr="00507E09" w:rsidRDefault="00F132B6" w:rsidP="00E13FB9">
            <w:pPr>
              <w:pStyle w:val="TableParagraph"/>
              <w:spacing w:line="247" w:lineRule="exact"/>
              <w:ind w:left="404" w:right="405"/>
              <w:rPr>
                <w:lang w:val="sk-SK"/>
              </w:rPr>
            </w:pPr>
            <w:r w:rsidRPr="00507E09">
              <w:rPr>
                <w:lang w:val="sk-SK"/>
              </w:rPr>
              <w:t>877 – 2 010</w:t>
            </w:r>
          </w:p>
        </w:tc>
      </w:tr>
      <w:tr w:rsidR="00F132B6" w:rsidRPr="00507E09" w14:paraId="7F9424F1" w14:textId="77777777" w:rsidTr="009700BD">
        <w:trPr>
          <w:trHeight w:hRule="exact" w:val="631"/>
        </w:trPr>
        <w:tc>
          <w:tcPr>
            <w:tcW w:w="8911" w:type="dxa"/>
            <w:gridSpan w:val="5"/>
          </w:tcPr>
          <w:p w14:paraId="1FD4F8CD" w14:textId="77777777" w:rsidR="00F132B6" w:rsidRPr="00507E09" w:rsidRDefault="00F132B6" w:rsidP="009258AC">
            <w:pPr>
              <w:pStyle w:val="TableParagraph"/>
              <w:spacing w:line="202" w:lineRule="exact"/>
              <w:ind w:left="103"/>
              <w:rPr>
                <w:sz w:val="18"/>
                <w:lang w:val="sk-SK"/>
              </w:rPr>
            </w:pPr>
            <w:r w:rsidRPr="00507E09">
              <w:rPr>
                <w:sz w:val="18"/>
                <w:lang w:val="sk-SK"/>
              </w:rPr>
              <w:t>pCav: predpokladaná Cav</w:t>
            </w:r>
          </w:p>
          <w:p w14:paraId="485981B3" w14:textId="77777777" w:rsidR="00F132B6" w:rsidRPr="00507E09" w:rsidRDefault="00F132B6" w:rsidP="00474F1E">
            <w:pPr>
              <w:pStyle w:val="TableParagraph"/>
              <w:spacing w:line="206" w:lineRule="exact"/>
              <w:ind w:left="103"/>
              <w:rPr>
                <w:sz w:val="18"/>
                <w:lang w:val="sk-SK"/>
              </w:rPr>
            </w:pPr>
            <w:r w:rsidRPr="00507E09">
              <w:rPr>
                <w:sz w:val="18"/>
                <w:lang w:val="sk-SK"/>
              </w:rPr>
              <w:t>Cav = priemerná koncentrácia pri meraní v rovnovážnom stave</w:t>
            </w:r>
          </w:p>
          <w:p w14:paraId="2CD196D5" w14:textId="77777777" w:rsidR="00F132B6" w:rsidRPr="00507E09" w:rsidRDefault="00F132B6">
            <w:pPr>
              <w:pStyle w:val="TableParagraph"/>
              <w:spacing w:line="207" w:lineRule="exact"/>
              <w:ind w:left="103"/>
              <w:rPr>
                <w:sz w:val="18"/>
                <w:lang w:val="sk-SK"/>
              </w:rPr>
            </w:pPr>
            <w:r w:rsidRPr="00507E09">
              <w:rPr>
                <w:sz w:val="18"/>
                <w:lang w:val="sk-SK"/>
              </w:rPr>
              <w:t>*20 pacientov dostávalo 200 mg jedenkrát denne (200 mg dvakrát denne v 1. deň)</w:t>
            </w:r>
          </w:p>
        </w:tc>
      </w:tr>
    </w:tbl>
    <w:p w14:paraId="715A4143" w14:textId="77777777" w:rsidR="00F132B6" w:rsidRPr="00507E09" w:rsidRDefault="00F132B6" w:rsidP="009258AC">
      <w:pPr>
        <w:pStyle w:val="Zkladntext"/>
        <w:spacing w:before="4"/>
        <w:rPr>
          <w:sz w:val="21"/>
          <w:lang w:val="sk-SK"/>
        </w:rPr>
      </w:pPr>
    </w:p>
    <w:p w14:paraId="2E86902A" w14:textId="77777777" w:rsidR="00F132B6" w:rsidRPr="00507E09" w:rsidRDefault="00F132B6" w:rsidP="00474F1E">
      <w:pPr>
        <w:ind w:left="118"/>
        <w:rPr>
          <w:i/>
          <w:lang w:val="sk-SK"/>
        </w:rPr>
      </w:pPr>
      <w:r w:rsidRPr="00507E09">
        <w:rPr>
          <w:i/>
          <w:u w:val="single"/>
          <w:lang w:val="sk-SK"/>
        </w:rPr>
        <w:t>Súhrn štúdií posakonazolu vo forme perorálnej suspenzie</w:t>
      </w:r>
    </w:p>
    <w:p w14:paraId="7B557997" w14:textId="77777777" w:rsidR="00F132B6" w:rsidRPr="00507E09" w:rsidRDefault="00F132B6">
      <w:pPr>
        <w:spacing w:before="92" w:line="252" w:lineRule="exact"/>
        <w:ind w:left="118"/>
        <w:rPr>
          <w:i/>
          <w:lang w:val="sk-SK"/>
        </w:rPr>
      </w:pPr>
      <w:r w:rsidRPr="00507E09">
        <w:rPr>
          <w:i/>
          <w:lang w:val="sk-SK"/>
        </w:rPr>
        <w:t>Invazívna aspergilóza</w:t>
      </w:r>
    </w:p>
    <w:p w14:paraId="192689FF" w14:textId="77777777" w:rsidR="00F132B6" w:rsidRPr="00507E09" w:rsidRDefault="00F132B6">
      <w:pPr>
        <w:pStyle w:val="Zkladntext"/>
        <w:ind w:left="118" w:right="860"/>
        <w:rPr>
          <w:lang w:val="sk-SK"/>
        </w:rPr>
      </w:pPr>
      <w:r w:rsidRPr="00507E09">
        <w:rPr>
          <w:lang w:val="sk-SK"/>
        </w:rPr>
        <w:t>V nekomparatívnom skúšaní záchrannej liečby (štúdia 0041) sa hodnotila perorálna suspenzia posakonazolu 800 mg/deň v rozdelených dávkach v liečbe invazívnej aspergilózy u pacientov</w:t>
      </w:r>
    </w:p>
    <w:p w14:paraId="2515452E" w14:textId="5E47CE40" w:rsidR="00F132B6" w:rsidRPr="00507E09" w:rsidRDefault="00F132B6" w:rsidP="00E13FB9">
      <w:pPr>
        <w:pStyle w:val="Zkladntext"/>
        <w:ind w:left="118" w:right="555"/>
        <w:rPr>
          <w:lang w:val="sk-SK"/>
        </w:rPr>
      </w:pPr>
      <w:r w:rsidRPr="00507E09">
        <w:rPr>
          <w:lang w:val="sk-SK"/>
        </w:rPr>
        <w:t>s ochorením refraktérnym na amfotericín B (vrátane lipozomálnych formulácií) alebo itrakonazol alebo u pacientov, ktorí tieto lieky ne</w:t>
      </w:r>
      <w:r w:rsidR="00000182">
        <w:rPr>
          <w:lang w:val="sk-SK"/>
        </w:rPr>
        <w:t>tolerovali</w:t>
      </w:r>
      <w:r w:rsidRPr="00507E09">
        <w:rPr>
          <w:lang w:val="sk-SK"/>
        </w:rPr>
        <w:t>. Klinické výsledky sa porovnávali s</w:t>
      </w:r>
      <w:r w:rsidR="00000182">
        <w:rPr>
          <w:lang w:val="sk-SK"/>
        </w:rPr>
        <w:t> </w:t>
      </w:r>
      <w:r w:rsidRPr="00507E09">
        <w:rPr>
          <w:lang w:val="sk-SK"/>
        </w:rPr>
        <w:t>výsledkami</w:t>
      </w:r>
      <w:r w:rsidR="00000182">
        <w:rPr>
          <w:lang w:val="sk-SK"/>
        </w:rPr>
        <w:t xml:space="preserve"> </w:t>
      </w:r>
      <w:r w:rsidRPr="00507E09">
        <w:rPr>
          <w:lang w:val="sk-SK"/>
        </w:rPr>
        <w:t>z externej kontrolnej skupiny, získanými retrospektívnou revíziou zdravotných záznamov. Externá kontrolná skupina zahŕňala 86 pacientov liečených dostupnou liečbou (ako je uvedené vyššie) väčšinou v rovnakom čase a na rovnakých miestach, ako pacienti liečení posakonazolom. Väčšina prípadov aspergilózy sa považovala za refraktérne voči predchádzajúcej liečbe ako v</w:t>
      </w:r>
      <w:r w:rsidR="003936BC">
        <w:rPr>
          <w:lang w:val="sk-SK"/>
        </w:rPr>
        <w:t> </w:t>
      </w:r>
      <w:r w:rsidRPr="00507E09">
        <w:rPr>
          <w:lang w:val="sk-SK"/>
        </w:rPr>
        <w:t>skupine</w:t>
      </w:r>
      <w:r w:rsidR="003936BC">
        <w:rPr>
          <w:lang w:val="sk-SK"/>
        </w:rPr>
        <w:t xml:space="preserve"> </w:t>
      </w:r>
      <w:r w:rsidRPr="00507E09">
        <w:rPr>
          <w:lang w:val="sk-SK"/>
        </w:rPr>
        <w:t>s posakonazolom (88 %), tak aj v externej kontrolnej skupine (79 %).</w:t>
      </w:r>
    </w:p>
    <w:p w14:paraId="3C0BC7C2" w14:textId="77777777" w:rsidR="00F132B6" w:rsidRPr="00507E09" w:rsidRDefault="00F132B6">
      <w:pPr>
        <w:pStyle w:val="Zkladntext"/>
        <w:spacing w:before="65"/>
        <w:ind w:left="142" w:right="366"/>
        <w:rPr>
          <w:lang w:val="sk-SK"/>
        </w:rPr>
      </w:pPr>
      <w:r w:rsidRPr="00507E09">
        <w:rPr>
          <w:lang w:val="sk-SK"/>
        </w:rPr>
        <w:t>Ako je uvedené v tabuľke 4, úspešná odpoveď (úplná alebo čiastočná) na konci liečby sa pozorovala u 42 % pacientov liečených posakonazolom v porovnaní s 26 % v externej skupine. Toto však nebola prospektívna, randomizovaná, kontrolovaná štúdia, a preto sa na všetky porovnania s externou kontrolnou skupinou treba pozerať obozretne.</w:t>
      </w:r>
    </w:p>
    <w:p w14:paraId="2AFB3359" w14:textId="77777777" w:rsidR="00F132B6" w:rsidRPr="00507E09" w:rsidRDefault="00F132B6">
      <w:pPr>
        <w:pStyle w:val="Zkladntext"/>
        <w:rPr>
          <w:lang w:val="sk-SK"/>
        </w:rPr>
      </w:pPr>
    </w:p>
    <w:p w14:paraId="01ED96F5" w14:textId="77777777" w:rsidR="00F132B6" w:rsidRPr="00507E09" w:rsidRDefault="00F132B6">
      <w:pPr>
        <w:pStyle w:val="Zkladntext"/>
        <w:spacing w:after="7"/>
        <w:ind w:left="218" w:right="266"/>
        <w:rPr>
          <w:lang w:val="sk-SK"/>
        </w:rPr>
      </w:pPr>
      <w:r w:rsidRPr="00507E09">
        <w:rPr>
          <w:b/>
          <w:lang w:val="sk-SK"/>
        </w:rPr>
        <w:t xml:space="preserve">Tabuľka 4. </w:t>
      </w:r>
      <w:r w:rsidRPr="00507E09">
        <w:rPr>
          <w:lang w:val="sk-SK"/>
        </w:rPr>
        <w:t>Celková účinnosť posakonazolu vo forme perorálnej suspenzie na konci liečby invazívnej aspergilózy v porovnaní s externou kontrolnou skupinou</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1039"/>
        <w:gridCol w:w="1699"/>
        <w:gridCol w:w="1127"/>
        <w:gridCol w:w="1957"/>
      </w:tblGrid>
      <w:tr w:rsidR="00F132B6" w:rsidRPr="00507E09" w14:paraId="54E2453F" w14:textId="77777777" w:rsidTr="009700BD">
        <w:trPr>
          <w:trHeight w:hRule="exact" w:val="516"/>
        </w:trPr>
        <w:tc>
          <w:tcPr>
            <w:tcW w:w="3463" w:type="dxa"/>
          </w:tcPr>
          <w:p w14:paraId="12C4DC45" w14:textId="77777777" w:rsidR="00F132B6" w:rsidRPr="00507E09" w:rsidRDefault="00F132B6">
            <w:pPr>
              <w:rPr>
                <w:lang w:val="sk-SK"/>
              </w:rPr>
            </w:pPr>
          </w:p>
        </w:tc>
        <w:tc>
          <w:tcPr>
            <w:tcW w:w="2738" w:type="dxa"/>
            <w:gridSpan w:val="2"/>
          </w:tcPr>
          <w:p w14:paraId="2542FD71" w14:textId="77777777" w:rsidR="00F132B6" w:rsidRPr="00507E09" w:rsidRDefault="00F132B6">
            <w:pPr>
              <w:pStyle w:val="TableParagraph"/>
              <w:ind w:left="103" w:right="638"/>
              <w:rPr>
                <w:lang w:val="sk-SK"/>
              </w:rPr>
            </w:pPr>
            <w:r w:rsidRPr="00507E09">
              <w:rPr>
                <w:lang w:val="sk-SK"/>
              </w:rPr>
              <w:t>Posakonazol vo forme perorálnej suspenzie</w:t>
            </w:r>
          </w:p>
        </w:tc>
        <w:tc>
          <w:tcPr>
            <w:tcW w:w="3084" w:type="dxa"/>
            <w:gridSpan w:val="2"/>
          </w:tcPr>
          <w:p w14:paraId="16018F47" w14:textId="77777777" w:rsidR="00F132B6" w:rsidRPr="00507E09" w:rsidRDefault="00F132B6">
            <w:pPr>
              <w:pStyle w:val="TableParagraph"/>
              <w:spacing w:line="247" w:lineRule="exact"/>
              <w:ind w:left="103"/>
              <w:rPr>
                <w:lang w:val="sk-SK"/>
              </w:rPr>
            </w:pPr>
            <w:r w:rsidRPr="00507E09">
              <w:rPr>
                <w:lang w:val="sk-SK"/>
              </w:rPr>
              <w:t>Externá kontrolná skupina</w:t>
            </w:r>
          </w:p>
        </w:tc>
      </w:tr>
      <w:tr w:rsidR="00F132B6" w:rsidRPr="00507E09" w14:paraId="1FFC5662" w14:textId="77777777" w:rsidTr="009700BD">
        <w:trPr>
          <w:trHeight w:hRule="exact" w:val="262"/>
        </w:trPr>
        <w:tc>
          <w:tcPr>
            <w:tcW w:w="3463" w:type="dxa"/>
          </w:tcPr>
          <w:p w14:paraId="07877368" w14:textId="77777777" w:rsidR="00F132B6" w:rsidRPr="00507E09" w:rsidRDefault="00F132B6" w:rsidP="009258AC">
            <w:pPr>
              <w:pStyle w:val="TableParagraph"/>
              <w:spacing w:line="247" w:lineRule="exact"/>
              <w:ind w:left="103"/>
              <w:rPr>
                <w:lang w:val="sk-SK"/>
              </w:rPr>
            </w:pPr>
            <w:r w:rsidRPr="00507E09">
              <w:rPr>
                <w:lang w:val="sk-SK"/>
              </w:rPr>
              <w:t>Celková odpoveď</w:t>
            </w:r>
          </w:p>
        </w:tc>
        <w:tc>
          <w:tcPr>
            <w:tcW w:w="2738" w:type="dxa"/>
            <w:gridSpan w:val="2"/>
          </w:tcPr>
          <w:p w14:paraId="7263175F" w14:textId="77777777" w:rsidR="00F132B6" w:rsidRPr="00507E09" w:rsidRDefault="00F132B6" w:rsidP="00474F1E">
            <w:pPr>
              <w:pStyle w:val="TableParagraph"/>
              <w:spacing w:line="247" w:lineRule="exact"/>
              <w:ind w:left="103"/>
              <w:rPr>
                <w:lang w:val="sk-SK"/>
              </w:rPr>
            </w:pPr>
            <w:r w:rsidRPr="00507E09">
              <w:rPr>
                <w:lang w:val="sk-SK"/>
              </w:rPr>
              <w:t>45/107 (42 %)</w:t>
            </w:r>
          </w:p>
        </w:tc>
        <w:tc>
          <w:tcPr>
            <w:tcW w:w="3084" w:type="dxa"/>
            <w:gridSpan w:val="2"/>
          </w:tcPr>
          <w:p w14:paraId="5E84995C" w14:textId="77777777" w:rsidR="00F132B6" w:rsidRPr="00507E09" w:rsidRDefault="00F132B6">
            <w:pPr>
              <w:pStyle w:val="TableParagraph"/>
              <w:spacing w:line="247" w:lineRule="exact"/>
              <w:ind w:left="103"/>
              <w:rPr>
                <w:lang w:val="sk-SK"/>
              </w:rPr>
            </w:pPr>
            <w:r w:rsidRPr="00507E09">
              <w:rPr>
                <w:lang w:val="sk-SK"/>
              </w:rPr>
              <w:t>22/86 (26 %)</w:t>
            </w:r>
          </w:p>
        </w:tc>
      </w:tr>
      <w:tr w:rsidR="00F132B6" w:rsidRPr="00507E09" w14:paraId="5D9CC450" w14:textId="77777777" w:rsidTr="009700BD">
        <w:trPr>
          <w:trHeight w:hRule="exact" w:val="770"/>
        </w:trPr>
        <w:tc>
          <w:tcPr>
            <w:tcW w:w="3463" w:type="dxa"/>
          </w:tcPr>
          <w:p w14:paraId="2E8AC006" w14:textId="77777777" w:rsidR="00F132B6" w:rsidRPr="00507E09" w:rsidRDefault="00F132B6" w:rsidP="009258AC">
            <w:pPr>
              <w:pStyle w:val="TableParagraph"/>
              <w:spacing w:line="250" w:lineRule="exact"/>
              <w:ind w:left="103"/>
              <w:rPr>
                <w:b/>
                <w:lang w:val="sk-SK"/>
              </w:rPr>
            </w:pPr>
            <w:r w:rsidRPr="00507E09">
              <w:rPr>
                <w:b/>
                <w:lang w:val="sk-SK"/>
              </w:rPr>
              <w:t>Úspešnosť podľa druhu</w:t>
            </w:r>
          </w:p>
          <w:p w14:paraId="1BF57887" w14:textId="77777777" w:rsidR="00F132B6" w:rsidRPr="00507E09" w:rsidRDefault="00F132B6" w:rsidP="00474F1E">
            <w:pPr>
              <w:pStyle w:val="TableParagraph"/>
              <w:spacing w:before="2" w:line="252" w:lineRule="exact"/>
              <w:ind w:left="386" w:right="273"/>
              <w:rPr>
                <w:sz w:val="14"/>
                <w:lang w:val="sk-SK"/>
              </w:rPr>
            </w:pPr>
            <w:r w:rsidRPr="00507E09">
              <w:rPr>
                <w:lang w:val="sk-SK"/>
              </w:rPr>
              <w:t xml:space="preserve">Všetky mykologicky potvrdené druhy </w:t>
            </w:r>
            <w:r w:rsidRPr="00507E09">
              <w:rPr>
                <w:i/>
                <w:lang w:val="sk-SK"/>
              </w:rPr>
              <w:t>Aspergillus</w:t>
            </w:r>
            <w:hyperlink w:anchor="_bookmark1" w:history="1">
              <w:r w:rsidR="00AC7D6A">
                <w:rPr>
                  <w:position w:val="10"/>
                  <w:sz w:val="14"/>
                  <w:lang w:val="sk-SK"/>
                </w:rPr>
                <w:t>1</w:t>
              </w:r>
            </w:hyperlink>
          </w:p>
        </w:tc>
        <w:tc>
          <w:tcPr>
            <w:tcW w:w="1039" w:type="dxa"/>
            <w:tcBorders>
              <w:right w:val="nil"/>
            </w:tcBorders>
          </w:tcPr>
          <w:p w14:paraId="331D9E6C" w14:textId="77777777" w:rsidR="00F132B6" w:rsidRPr="00507E09" w:rsidRDefault="00F132B6">
            <w:pPr>
              <w:pStyle w:val="TableParagraph"/>
              <w:ind w:left="0"/>
              <w:rPr>
                <w:sz w:val="24"/>
                <w:lang w:val="sk-SK"/>
              </w:rPr>
            </w:pPr>
          </w:p>
          <w:p w14:paraId="125364BD" w14:textId="77777777" w:rsidR="00F132B6" w:rsidRPr="00507E09" w:rsidRDefault="00F132B6">
            <w:pPr>
              <w:pStyle w:val="TableParagraph"/>
              <w:spacing w:before="5"/>
              <w:ind w:left="0"/>
              <w:rPr>
                <w:sz w:val="19"/>
                <w:lang w:val="sk-SK"/>
              </w:rPr>
            </w:pPr>
          </w:p>
          <w:p w14:paraId="244C4F6C" w14:textId="77777777" w:rsidR="00F132B6" w:rsidRPr="00507E09" w:rsidRDefault="00F132B6">
            <w:pPr>
              <w:pStyle w:val="TableParagraph"/>
              <w:ind w:left="103"/>
              <w:rPr>
                <w:lang w:val="sk-SK"/>
              </w:rPr>
            </w:pPr>
            <w:r w:rsidRPr="00507E09">
              <w:rPr>
                <w:lang w:val="sk-SK"/>
              </w:rPr>
              <w:t>34/76</w:t>
            </w:r>
          </w:p>
        </w:tc>
        <w:tc>
          <w:tcPr>
            <w:tcW w:w="1699" w:type="dxa"/>
            <w:tcBorders>
              <w:left w:val="nil"/>
            </w:tcBorders>
          </w:tcPr>
          <w:p w14:paraId="1E8FB4E2" w14:textId="77777777" w:rsidR="00F132B6" w:rsidRPr="00507E09" w:rsidRDefault="00F132B6">
            <w:pPr>
              <w:pStyle w:val="TableParagraph"/>
              <w:ind w:left="0"/>
              <w:rPr>
                <w:sz w:val="24"/>
                <w:lang w:val="sk-SK"/>
              </w:rPr>
            </w:pPr>
          </w:p>
          <w:p w14:paraId="0A1B02FE" w14:textId="77777777" w:rsidR="00F132B6" w:rsidRPr="00507E09" w:rsidRDefault="00F132B6">
            <w:pPr>
              <w:pStyle w:val="TableParagraph"/>
              <w:spacing w:before="5"/>
              <w:ind w:left="0"/>
              <w:rPr>
                <w:sz w:val="19"/>
                <w:lang w:val="sk-SK"/>
              </w:rPr>
            </w:pPr>
          </w:p>
          <w:p w14:paraId="494E894A" w14:textId="77777777" w:rsidR="00F132B6" w:rsidRPr="00507E09" w:rsidRDefault="00F132B6">
            <w:pPr>
              <w:pStyle w:val="TableParagraph"/>
              <w:ind w:left="427"/>
              <w:rPr>
                <w:lang w:val="sk-SK"/>
              </w:rPr>
            </w:pPr>
            <w:r w:rsidRPr="00507E09">
              <w:rPr>
                <w:lang w:val="sk-SK"/>
              </w:rPr>
              <w:t>(45 %)</w:t>
            </w:r>
          </w:p>
        </w:tc>
        <w:tc>
          <w:tcPr>
            <w:tcW w:w="1127" w:type="dxa"/>
            <w:tcBorders>
              <w:right w:val="nil"/>
            </w:tcBorders>
          </w:tcPr>
          <w:p w14:paraId="64F5AC81" w14:textId="77777777" w:rsidR="00F132B6" w:rsidRPr="00507E09" w:rsidRDefault="00F132B6">
            <w:pPr>
              <w:pStyle w:val="TableParagraph"/>
              <w:ind w:left="0"/>
              <w:rPr>
                <w:sz w:val="24"/>
                <w:lang w:val="sk-SK"/>
              </w:rPr>
            </w:pPr>
          </w:p>
          <w:p w14:paraId="3FE7BBC9" w14:textId="77777777" w:rsidR="00F132B6" w:rsidRPr="00507E09" w:rsidRDefault="00F132B6">
            <w:pPr>
              <w:pStyle w:val="TableParagraph"/>
              <w:spacing w:before="5"/>
              <w:ind w:left="0"/>
              <w:rPr>
                <w:sz w:val="19"/>
                <w:lang w:val="sk-SK"/>
              </w:rPr>
            </w:pPr>
          </w:p>
          <w:p w14:paraId="381BEF94" w14:textId="77777777" w:rsidR="00F132B6" w:rsidRPr="00507E09" w:rsidRDefault="00F132B6">
            <w:pPr>
              <w:pStyle w:val="TableParagraph"/>
              <w:ind w:left="103"/>
              <w:rPr>
                <w:lang w:val="sk-SK"/>
              </w:rPr>
            </w:pPr>
            <w:r w:rsidRPr="00507E09">
              <w:rPr>
                <w:lang w:val="sk-SK"/>
              </w:rPr>
              <w:t>19/74</w:t>
            </w:r>
          </w:p>
        </w:tc>
        <w:tc>
          <w:tcPr>
            <w:tcW w:w="1957" w:type="dxa"/>
            <w:tcBorders>
              <w:left w:val="nil"/>
            </w:tcBorders>
          </w:tcPr>
          <w:p w14:paraId="22C2C746" w14:textId="77777777" w:rsidR="00F132B6" w:rsidRPr="00507E09" w:rsidRDefault="00F132B6">
            <w:pPr>
              <w:pStyle w:val="TableParagraph"/>
              <w:ind w:left="0"/>
              <w:rPr>
                <w:sz w:val="24"/>
                <w:lang w:val="sk-SK"/>
              </w:rPr>
            </w:pPr>
          </w:p>
          <w:p w14:paraId="25639F59" w14:textId="77777777" w:rsidR="00F132B6" w:rsidRPr="00507E09" w:rsidRDefault="00F132B6">
            <w:pPr>
              <w:pStyle w:val="TableParagraph"/>
              <w:spacing w:before="5"/>
              <w:ind w:left="0"/>
              <w:rPr>
                <w:sz w:val="19"/>
                <w:lang w:val="sk-SK"/>
              </w:rPr>
            </w:pPr>
          </w:p>
          <w:p w14:paraId="79E4E7C7" w14:textId="77777777" w:rsidR="00F132B6" w:rsidRPr="00507E09" w:rsidRDefault="00F132B6">
            <w:pPr>
              <w:pStyle w:val="TableParagraph"/>
              <w:ind w:left="514"/>
              <w:rPr>
                <w:lang w:val="sk-SK"/>
              </w:rPr>
            </w:pPr>
            <w:r w:rsidRPr="00507E09">
              <w:rPr>
                <w:lang w:val="sk-SK"/>
              </w:rPr>
              <w:t>(26 %)</w:t>
            </w:r>
          </w:p>
        </w:tc>
      </w:tr>
      <w:tr w:rsidR="00F132B6" w:rsidRPr="00507E09" w14:paraId="22408D85" w14:textId="77777777" w:rsidTr="009700BD">
        <w:trPr>
          <w:trHeight w:hRule="exact" w:val="262"/>
        </w:trPr>
        <w:tc>
          <w:tcPr>
            <w:tcW w:w="3463" w:type="dxa"/>
          </w:tcPr>
          <w:p w14:paraId="62241730" w14:textId="77777777" w:rsidR="00F132B6" w:rsidRPr="00507E09" w:rsidRDefault="00F132B6" w:rsidP="009258AC">
            <w:pPr>
              <w:pStyle w:val="TableParagraph"/>
              <w:spacing w:line="247" w:lineRule="exact"/>
              <w:ind w:left="386"/>
              <w:rPr>
                <w:i/>
                <w:lang w:val="sk-SK"/>
              </w:rPr>
            </w:pPr>
            <w:r w:rsidRPr="00507E09">
              <w:rPr>
                <w:i/>
                <w:lang w:val="sk-SK"/>
              </w:rPr>
              <w:t>A. fumigatus</w:t>
            </w:r>
          </w:p>
        </w:tc>
        <w:tc>
          <w:tcPr>
            <w:tcW w:w="1039" w:type="dxa"/>
            <w:tcBorders>
              <w:right w:val="nil"/>
            </w:tcBorders>
          </w:tcPr>
          <w:p w14:paraId="1D9A7C62" w14:textId="77777777" w:rsidR="00F132B6" w:rsidRPr="00507E09" w:rsidRDefault="00F132B6" w:rsidP="00474F1E">
            <w:pPr>
              <w:pStyle w:val="TableParagraph"/>
              <w:spacing w:line="247" w:lineRule="exact"/>
              <w:ind w:left="103"/>
              <w:rPr>
                <w:lang w:val="sk-SK"/>
              </w:rPr>
            </w:pPr>
            <w:r w:rsidRPr="00507E09">
              <w:rPr>
                <w:lang w:val="sk-SK"/>
              </w:rPr>
              <w:t>12/29</w:t>
            </w:r>
          </w:p>
        </w:tc>
        <w:tc>
          <w:tcPr>
            <w:tcW w:w="1699" w:type="dxa"/>
            <w:tcBorders>
              <w:left w:val="nil"/>
            </w:tcBorders>
          </w:tcPr>
          <w:p w14:paraId="4AA27D50" w14:textId="77777777" w:rsidR="00F132B6" w:rsidRPr="00507E09" w:rsidRDefault="00F132B6">
            <w:pPr>
              <w:pStyle w:val="TableParagraph"/>
              <w:spacing w:line="247" w:lineRule="exact"/>
              <w:ind w:left="427"/>
              <w:rPr>
                <w:lang w:val="sk-SK"/>
              </w:rPr>
            </w:pPr>
            <w:r w:rsidRPr="00507E09">
              <w:rPr>
                <w:lang w:val="sk-SK"/>
              </w:rPr>
              <w:t>(41 %)</w:t>
            </w:r>
          </w:p>
        </w:tc>
        <w:tc>
          <w:tcPr>
            <w:tcW w:w="1127" w:type="dxa"/>
            <w:tcBorders>
              <w:right w:val="nil"/>
            </w:tcBorders>
          </w:tcPr>
          <w:p w14:paraId="56AE4B5D" w14:textId="77777777" w:rsidR="00F132B6" w:rsidRPr="00507E09" w:rsidRDefault="00F132B6">
            <w:pPr>
              <w:pStyle w:val="TableParagraph"/>
              <w:spacing w:line="247" w:lineRule="exact"/>
              <w:ind w:left="103"/>
              <w:rPr>
                <w:lang w:val="sk-SK"/>
              </w:rPr>
            </w:pPr>
            <w:r w:rsidRPr="00507E09">
              <w:rPr>
                <w:lang w:val="sk-SK"/>
              </w:rPr>
              <w:t>12/34</w:t>
            </w:r>
          </w:p>
        </w:tc>
        <w:tc>
          <w:tcPr>
            <w:tcW w:w="1957" w:type="dxa"/>
            <w:tcBorders>
              <w:left w:val="nil"/>
            </w:tcBorders>
          </w:tcPr>
          <w:p w14:paraId="778E1ECD" w14:textId="77777777" w:rsidR="00F132B6" w:rsidRPr="00507E09" w:rsidRDefault="00F132B6">
            <w:pPr>
              <w:pStyle w:val="TableParagraph"/>
              <w:spacing w:line="247" w:lineRule="exact"/>
              <w:ind w:left="514"/>
              <w:rPr>
                <w:lang w:val="sk-SK"/>
              </w:rPr>
            </w:pPr>
            <w:r w:rsidRPr="00507E09">
              <w:rPr>
                <w:lang w:val="sk-SK"/>
              </w:rPr>
              <w:t>(35 %)</w:t>
            </w:r>
          </w:p>
        </w:tc>
      </w:tr>
      <w:tr w:rsidR="00F132B6" w:rsidRPr="00507E09" w14:paraId="482CB995" w14:textId="77777777" w:rsidTr="009700BD">
        <w:trPr>
          <w:trHeight w:hRule="exact" w:val="264"/>
        </w:trPr>
        <w:tc>
          <w:tcPr>
            <w:tcW w:w="3463" w:type="dxa"/>
          </w:tcPr>
          <w:p w14:paraId="2181E24A" w14:textId="77777777" w:rsidR="00F132B6" w:rsidRPr="00507E09" w:rsidRDefault="00F132B6" w:rsidP="009258AC">
            <w:pPr>
              <w:pStyle w:val="TableParagraph"/>
              <w:spacing w:line="247" w:lineRule="exact"/>
              <w:ind w:left="386"/>
              <w:rPr>
                <w:i/>
                <w:lang w:val="sk-SK"/>
              </w:rPr>
            </w:pPr>
            <w:r w:rsidRPr="00507E09">
              <w:rPr>
                <w:i/>
                <w:lang w:val="sk-SK"/>
              </w:rPr>
              <w:t>A. flavus</w:t>
            </w:r>
          </w:p>
        </w:tc>
        <w:tc>
          <w:tcPr>
            <w:tcW w:w="1039" w:type="dxa"/>
            <w:tcBorders>
              <w:right w:val="nil"/>
            </w:tcBorders>
          </w:tcPr>
          <w:p w14:paraId="0ED2E27D" w14:textId="77777777" w:rsidR="00F132B6" w:rsidRPr="00507E09" w:rsidRDefault="00F132B6" w:rsidP="00474F1E">
            <w:pPr>
              <w:pStyle w:val="TableParagraph"/>
              <w:spacing w:line="247" w:lineRule="exact"/>
              <w:ind w:left="103"/>
              <w:rPr>
                <w:lang w:val="sk-SK"/>
              </w:rPr>
            </w:pPr>
            <w:r w:rsidRPr="00507E09">
              <w:rPr>
                <w:lang w:val="sk-SK"/>
              </w:rPr>
              <w:t>10/19</w:t>
            </w:r>
          </w:p>
        </w:tc>
        <w:tc>
          <w:tcPr>
            <w:tcW w:w="1699" w:type="dxa"/>
            <w:tcBorders>
              <w:left w:val="nil"/>
            </w:tcBorders>
          </w:tcPr>
          <w:p w14:paraId="4B479254" w14:textId="77777777" w:rsidR="00F132B6" w:rsidRPr="00507E09" w:rsidRDefault="00F132B6">
            <w:pPr>
              <w:pStyle w:val="TableParagraph"/>
              <w:spacing w:line="247" w:lineRule="exact"/>
              <w:ind w:left="427"/>
              <w:rPr>
                <w:lang w:val="sk-SK"/>
              </w:rPr>
            </w:pPr>
            <w:r w:rsidRPr="00507E09">
              <w:rPr>
                <w:lang w:val="sk-SK"/>
              </w:rPr>
              <w:t>(53 %)</w:t>
            </w:r>
          </w:p>
        </w:tc>
        <w:tc>
          <w:tcPr>
            <w:tcW w:w="1127" w:type="dxa"/>
            <w:tcBorders>
              <w:right w:val="nil"/>
            </w:tcBorders>
          </w:tcPr>
          <w:p w14:paraId="13C56DD8" w14:textId="77777777" w:rsidR="00F132B6" w:rsidRPr="00507E09" w:rsidRDefault="00F132B6">
            <w:pPr>
              <w:pStyle w:val="TableParagraph"/>
              <w:spacing w:line="247" w:lineRule="exact"/>
              <w:ind w:left="103"/>
              <w:rPr>
                <w:lang w:val="sk-SK"/>
              </w:rPr>
            </w:pPr>
            <w:r w:rsidRPr="00507E09">
              <w:rPr>
                <w:lang w:val="sk-SK"/>
              </w:rPr>
              <w:t>3/16</w:t>
            </w:r>
          </w:p>
        </w:tc>
        <w:tc>
          <w:tcPr>
            <w:tcW w:w="1957" w:type="dxa"/>
            <w:tcBorders>
              <w:left w:val="nil"/>
            </w:tcBorders>
          </w:tcPr>
          <w:p w14:paraId="1813BC55" w14:textId="77777777" w:rsidR="00F132B6" w:rsidRPr="00507E09" w:rsidRDefault="00F132B6">
            <w:pPr>
              <w:pStyle w:val="TableParagraph"/>
              <w:spacing w:line="247" w:lineRule="exact"/>
              <w:ind w:left="514"/>
              <w:rPr>
                <w:lang w:val="sk-SK"/>
              </w:rPr>
            </w:pPr>
            <w:r w:rsidRPr="00507E09">
              <w:rPr>
                <w:lang w:val="sk-SK"/>
              </w:rPr>
              <w:t>(19 %)</w:t>
            </w:r>
          </w:p>
        </w:tc>
      </w:tr>
      <w:tr w:rsidR="00F132B6" w:rsidRPr="00507E09" w14:paraId="2682976B" w14:textId="77777777" w:rsidTr="009700BD">
        <w:trPr>
          <w:trHeight w:hRule="exact" w:val="262"/>
        </w:trPr>
        <w:tc>
          <w:tcPr>
            <w:tcW w:w="3463" w:type="dxa"/>
          </w:tcPr>
          <w:p w14:paraId="76D86583" w14:textId="77777777" w:rsidR="00F132B6" w:rsidRPr="00507E09" w:rsidRDefault="00F132B6" w:rsidP="009258AC">
            <w:pPr>
              <w:pStyle w:val="TableParagraph"/>
              <w:spacing w:line="247" w:lineRule="exact"/>
              <w:ind w:left="386"/>
              <w:rPr>
                <w:i/>
                <w:lang w:val="sk-SK"/>
              </w:rPr>
            </w:pPr>
            <w:r w:rsidRPr="00507E09">
              <w:rPr>
                <w:i/>
                <w:lang w:val="sk-SK"/>
              </w:rPr>
              <w:t>A. terreus</w:t>
            </w:r>
          </w:p>
        </w:tc>
        <w:tc>
          <w:tcPr>
            <w:tcW w:w="1039" w:type="dxa"/>
            <w:tcBorders>
              <w:right w:val="nil"/>
            </w:tcBorders>
          </w:tcPr>
          <w:p w14:paraId="66BB515E" w14:textId="77777777" w:rsidR="00F132B6" w:rsidRPr="00507E09" w:rsidRDefault="00F132B6" w:rsidP="00474F1E">
            <w:pPr>
              <w:pStyle w:val="TableParagraph"/>
              <w:spacing w:line="247" w:lineRule="exact"/>
              <w:ind w:left="103"/>
              <w:rPr>
                <w:lang w:val="sk-SK"/>
              </w:rPr>
            </w:pPr>
            <w:r w:rsidRPr="00507E09">
              <w:rPr>
                <w:lang w:val="sk-SK"/>
              </w:rPr>
              <w:t>4/14</w:t>
            </w:r>
          </w:p>
        </w:tc>
        <w:tc>
          <w:tcPr>
            <w:tcW w:w="1699" w:type="dxa"/>
            <w:tcBorders>
              <w:left w:val="nil"/>
            </w:tcBorders>
          </w:tcPr>
          <w:p w14:paraId="3B2D69E0" w14:textId="77777777" w:rsidR="00F132B6" w:rsidRPr="00507E09" w:rsidRDefault="00F132B6">
            <w:pPr>
              <w:pStyle w:val="TableParagraph"/>
              <w:spacing w:line="247" w:lineRule="exact"/>
              <w:ind w:left="427"/>
              <w:rPr>
                <w:lang w:val="sk-SK"/>
              </w:rPr>
            </w:pPr>
            <w:r w:rsidRPr="00507E09">
              <w:rPr>
                <w:lang w:val="sk-SK"/>
              </w:rPr>
              <w:t>(29 %)</w:t>
            </w:r>
          </w:p>
        </w:tc>
        <w:tc>
          <w:tcPr>
            <w:tcW w:w="1127" w:type="dxa"/>
            <w:tcBorders>
              <w:right w:val="nil"/>
            </w:tcBorders>
          </w:tcPr>
          <w:p w14:paraId="58439156" w14:textId="77777777" w:rsidR="00F132B6" w:rsidRPr="00507E09" w:rsidRDefault="00F132B6">
            <w:pPr>
              <w:pStyle w:val="TableParagraph"/>
              <w:spacing w:line="247" w:lineRule="exact"/>
              <w:ind w:left="103"/>
              <w:rPr>
                <w:lang w:val="sk-SK"/>
              </w:rPr>
            </w:pPr>
            <w:r w:rsidRPr="00507E09">
              <w:rPr>
                <w:lang w:val="sk-SK"/>
              </w:rPr>
              <w:t>2/13</w:t>
            </w:r>
          </w:p>
        </w:tc>
        <w:tc>
          <w:tcPr>
            <w:tcW w:w="1957" w:type="dxa"/>
            <w:tcBorders>
              <w:left w:val="nil"/>
            </w:tcBorders>
          </w:tcPr>
          <w:p w14:paraId="332B7DB7" w14:textId="77777777" w:rsidR="00F132B6" w:rsidRPr="00507E09" w:rsidRDefault="00F132B6">
            <w:pPr>
              <w:pStyle w:val="TableParagraph"/>
              <w:spacing w:line="247" w:lineRule="exact"/>
              <w:ind w:left="514"/>
              <w:rPr>
                <w:lang w:val="sk-SK"/>
              </w:rPr>
            </w:pPr>
            <w:r w:rsidRPr="00507E09">
              <w:rPr>
                <w:lang w:val="sk-SK"/>
              </w:rPr>
              <w:t>(15 %)</w:t>
            </w:r>
          </w:p>
        </w:tc>
      </w:tr>
      <w:tr w:rsidR="00F132B6" w:rsidRPr="00507E09" w14:paraId="3265B621" w14:textId="77777777" w:rsidTr="009700BD">
        <w:trPr>
          <w:trHeight w:hRule="exact" w:val="264"/>
        </w:trPr>
        <w:tc>
          <w:tcPr>
            <w:tcW w:w="3463" w:type="dxa"/>
          </w:tcPr>
          <w:p w14:paraId="7AF7B7B6" w14:textId="77777777" w:rsidR="00F132B6" w:rsidRPr="00507E09" w:rsidRDefault="00F132B6" w:rsidP="009258AC">
            <w:pPr>
              <w:pStyle w:val="TableParagraph"/>
              <w:spacing w:line="249" w:lineRule="exact"/>
              <w:ind w:left="386"/>
              <w:rPr>
                <w:i/>
                <w:lang w:val="sk-SK"/>
              </w:rPr>
            </w:pPr>
            <w:r w:rsidRPr="00507E09">
              <w:rPr>
                <w:i/>
                <w:lang w:val="sk-SK"/>
              </w:rPr>
              <w:t>A. niger</w:t>
            </w:r>
          </w:p>
        </w:tc>
        <w:tc>
          <w:tcPr>
            <w:tcW w:w="1039" w:type="dxa"/>
            <w:tcBorders>
              <w:right w:val="nil"/>
            </w:tcBorders>
          </w:tcPr>
          <w:p w14:paraId="0C4FCB23" w14:textId="77777777" w:rsidR="00F132B6" w:rsidRPr="00507E09" w:rsidRDefault="00F132B6" w:rsidP="00474F1E">
            <w:pPr>
              <w:pStyle w:val="TableParagraph"/>
              <w:spacing w:line="249" w:lineRule="exact"/>
              <w:ind w:left="103"/>
              <w:rPr>
                <w:lang w:val="sk-SK"/>
              </w:rPr>
            </w:pPr>
            <w:r w:rsidRPr="00507E09">
              <w:rPr>
                <w:lang w:val="sk-SK"/>
              </w:rPr>
              <w:t>3/5</w:t>
            </w:r>
          </w:p>
        </w:tc>
        <w:tc>
          <w:tcPr>
            <w:tcW w:w="1699" w:type="dxa"/>
            <w:tcBorders>
              <w:left w:val="nil"/>
            </w:tcBorders>
          </w:tcPr>
          <w:p w14:paraId="6C30C7AB" w14:textId="77777777" w:rsidR="00F132B6" w:rsidRPr="00507E09" w:rsidRDefault="00F132B6">
            <w:pPr>
              <w:pStyle w:val="TableParagraph"/>
              <w:spacing w:line="249" w:lineRule="exact"/>
              <w:ind w:left="427"/>
              <w:rPr>
                <w:lang w:val="sk-SK"/>
              </w:rPr>
            </w:pPr>
            <w:r w:rsidRPr="00507E09">
              <w:rPr>
                <w:lang w:val="sk-SK"/>
              </w:rPr>
              <w:t>(60 %)</w:t>
            </w:r>
          </w:p>
        </w:tc>
        <w:tc>
          <w:tcPr>
            <w:tcW w:w="1127" w:type="dxa"/>
            <w:tcBorders>
              <w:right w:val="nil"/>
            </w:tcBorders>
          </w:tcPr>
          <w:p w14:paraId="2668CFAD" w14:textId="77777777" w:rsidR="00F132B6" w:rsidRPr="00507E09" w:rsidRDefault="00F132B6">
            <w:pPr>
              <w:pStyle w:val="TableParagraph"/>
              <w:spacing w:line="249" w:lineRule="exact"/>
              <w:ind w:left="103"/>
              <w:rPr>
                <w:lang w:val="sk-SK"/>
              </w:rPr>
            </w:pPr>
            <w:r w:rsidRPr="00507E09">
              <w:rPr>
                <w:lang w:val="sk-SK"/>
              </w:rPr>
              <w:t>2/7</w:t>
            </w:r>
          </w:p>
        </w:tc>
        <w:tc>
          <w:tcPr>
            <w:tcW w:w="1957" w:type="dxa"/>
            <w:tcBorders>
              <w:left w:val="nil"/>
            </w:tcBorders>
          </w:tcPr>
          <w:p w14:paraId="1DF3F0B3" w14:textId="77777777" w:rsidR="00F132B6" w:rsidRPr="00507E09" w:rsidRDefault="00F132B6">
            <w:pPr>
              <w:pStyle w:val="TableParagraph"/>
              <w:spacing w:line="249" w:lineRule="exact"/>
              <w:ind w:left="514"/>
              <w:rPr>
                <w:lang w:val="sk-SK"/>
              </w:rPr>
            </w:pPr>
            <w:r w:rsidRPr="00507E09">
              <w:rPr>
                <w:lang w:val="sk-SK"/>
              </w:rPr>
              <w:t>(29 %)</w:t>
            </w:r>
          </w:p>
        </w:tc>
      </w:tr>
    </w:tbl>
    <w:p w14:paraId="0308E530" w14:textId="77777777" w:rsidR="00F132B6" w:rsidRPr="00507E09" w:rsidRDefault="00F132B6" w:rsidP="009258AC">
      <w:pPr>
        <w:pStyle w:val="Zkladntext"/>
        <w:spacing w:before="6"/>
        <w:rPr>
          <w:sz w:val="21"/>
          <w:lang w:val="sk-SK"/>
        </w:rPr>
      </w:pPr>
    </w:p>
    <w:p w14:paraId="074D03B6" w14:textId="77777777" w:rsidR="00F132B6" w:rsidRPr="00507E09" w:rsidRDefault="00F132B6" w:rsidP="00474F1E">
      <w:pPr>
        <w:spacing w:line="252" w:lineRule="exact"/>
        <w:ind w:left="218"/>
        <w:rPr>
          <w:i/>
          <w:lang w:val="sk-SK"/>
        </w:rPr>
      </w:pPr>
      <w:r w:rsidRPr="00507E09">
        <w:rPr>
          <w:lang w:val="sk-SK"/>
        </w:rPr>
        <w:t xml:space="preserve">Druhy </w:t>
      </w:r>
      <w:r w:rsidRPr="00507E09">
        <w:rPr>
          <w:i/>
          <w:lang w:val="sk-SK"/>
        </w:rPr>
        <w:t>Fusarium</w:t>
      </w:r>
    </w:p>
    <w:p w14:paraId="3094031C" w14:textId="03C05CBF" w:rsidR="00F132B6" w:rsidRPr="00507E09" w:rsidRDefault="00F132B6">
      <w:pPr>
        <w:pStyle w:val="Zkladntext"/>
        <w:ind w:left="218" w:right="244"/>
        <w:rPr>
          <w:lang w:val="sk-SK"/>
        </w:rPr>
      </w:pPr>
      <w:r w:rsidRPr="00507E09">
        <w:rPr>
          <w:lang w:val="sk-SK"/>
        </w:rPr>
        <w:t>11 z 24 pacientov s dokázanou alebo predpokladanou fuzariózou sa úspešne liečilo posakonazolom vo forme perorálnej suspenzie 800 mg/deň v rozdelených dávkach s mediánom podávania 124 dní a až do 212 dní. Zo skupiny osemnástich pacientov, ktorí ne</w:t>
      </w:r>
      <w:r w:rsidR="003E5BEF">
        <w:rPr>
          <w:lang w:val="sk-SK"/>
        </w:rPr>
        <w:t>tolerovali</w:t>
      </w:r>
      <w:r w:rsidRPr="00507E09">
        <w:rPr>
          <w:lang w:val="sk-SK"/>
        </w:rPr>
        <w:t xml:space="preserve"> liečbu amfotericínom B alebo itrakonazolom alebo mali infekcie refraktérne na tieto lieky, sa sedem pacientov klasifikovalo ako pacienti odpovedajúci na liečbu.</w:t>
      </w:r>
    </w:p>
    <w:p w14:paraId="3948172A" w14:textId="77777777" w:rsidR="00F132B6" w:rsidRPr="00507E09" w:rsidRDefault="00F132B6">
      <w:pPr>
        <w:pStyle w:val="Zkladntext"/>
        <w:spacing w:before="10"/>
        <w:rPr>
          <w:sz w:val="21"/>
          <w:lang w:val="sk-SK"/>
        </w:rPr>
      </w:pPr>
    </w:p>
    <w:p w14:paraId="1DAD7439" w14:textId="77777777" w:rsidR="00F132B6" w:rsidRPr="00507E09" w:rsidRDefault="00F132B6">
      <w:pPr>
        <w:ind w:left="218"/>
        <w:rPr>
          <w:i/>
          <w:lang w:val="sk-SK"/>
        </w:rPr>
      </w:pPr>
      <w:r w:rsidRPr="00507E09">
        <w:rPr>
          <w:i/>
          <w:lang w:val="sk-SK"/>
        </w:rPr>
        <w:t>Chromoblastomykóza/mycetóm</w:t>
      </w:r>
    </w:p>
    <w:p w14:paraId="2250754B" w14:textId="77777777" w:rsidR="00F132B6" w:rsidRPr="00507E09" w:rsidRDefault="00F132B6">
      <w:pPr>
        <w:pStyle w:val="Zkladntext"/>
        <w:spacing w:line="252" w:lineRule="exact"/>
        <w:ind w:left="218"/>
        <w:rPr>
          <w:lang w:val="sk-SK"/>
        </w:rPr>
      </w:pPr>
      <w:r w:rsidRPr="00507E09">
        <w:rPr>
          <w:lang w:val="sk-SK"/>
        </w:rPr>
        <w:lastRenderedPageBreak/>
        <w:t>9 z 11 pacientov sa úspešne liečilo posakonazolom vo forme perorálnej suspenzie 800 mg/deň</w:t>
      </w:r>
    </w:p>
    <w:p w14:paraId="03B075C6" w14:textId="77777777" w:rsidR="00F132B6" w:rsidRPr="00507E09" w:rsidRDefault="00F132B6">
      <w:pPr>
        <w:pStyle w:val="Zkladntext"/>
        <w:ind w:left="218" w:right="365"/>
        <w:rPr>
          <w:i/>
          <w:lang w:val="sk-SK"/>
        </w:rPr>
      </w:pPr>
      <w:r w:rsidRPr="00507E09">
        <w:rPr>
          <w:lang w:val="sk-SK"/>
        </w:rPr>
        <w:t xml:space="preserve">v rozdelených dávkach s mediánom podávania 268 dní a až do 377 dní. Piati z týchto pacientov mali chromoblastomykózu spôsobenú </w:t>
      </w:r>
      <w:r w:rsidRPr="00507E09">
        <w:rPr>
          <w:i/>
          <w:lang w:val="sk-SK"/>
        </w:rPr>
        <w:t xml:space="preserve">Fonsecaea pedrosoi </w:t>
      </w:r>
      <w:r w:rsidRPr="00507E09">
        <w:rPr>
          <w:lang w:val="sk-SK"/>
        </w:rPr>
        <w:t xml:space="preserve">a 4 mali mycetóm, väčšinou spôsobený druhmi </w:t>
      </w:r>
      <w:r w:rsidRPr="00507E09">
        <w:rPr>
          <w:i/>
          <w:lang w:val="sk-SK"/>
        </w:rPr>
        <w:t>Madurella.</w:t>
      </w:r>
    </w:p>
    <w:p w14:paraId="23A2D0E6" w14:textId="77777777" w:rsidR="00F132B6" w:rsidRPr="00507E09" w:rsidRDefault="00F132B6">
      <w:pPr>
        <w:pStyle w:val="Zkladntext"/>
        <w:spacing w:before="1"/>
        <w:rPr>
          <w:i/>
          <w:lang w:val="sk-SK"/>
        </w:rPr>
      </w:pPr>
    </w:p>
    <w:p w14:paraId="3834C239" w14:textId="77777777" w:rsidR="00F132B6" w:rsidRPr="00507E09" w:rsidRDefault="00F132B6">
      <w:pPr>
        <w:spacing w:line="252" w:lineRule="exact"/>
        <w:ind w:left="218"/>
        <w:rPr>
          <w:i/>
          <w:lang w:val="sk-SK"/>
        </w:rPr>
      </w:pPr>
      <w:r w:rsidRPr="00507E09">
        <w:rPr>
          <w:i/>
          <w:lang w:val="sk-SK"/>
        </w:rPr>
        <w:t>Kokcidioidomykóza</w:t>
      </w:r>
    </w:p>
    <w:p w14:paraId="5B0BE729" w14:textId="77777777" w:rsidR="00F132B6" w:rsidRPr="00507E09" w:rsidRDefault="00F132B6">
      <w:pPr>
        <w:pStyle w:val="Zkladntext"/>
        <w:spacing w:line="252" w:lineRule="exact"/>
        <w:ind w:left="218"/>
        <w:rPr>
          <w:lang w:val="sk-SK"/>
        </w:rPr>
      </w:pPr>
      <w:r w:rsidRPr="00507E09">
        <w:rPr>
          <w:lang w:val="sk-SK"/>
        </w:rPr>
        <w:t>11 zo 16 pacientov sa úspešne liečilo (na konci liečby úplné alebo čiastočné vymiznutie prejavov</w:t>
      </w:r>
    </w:p>
    <w:p w14:paraId="72B003A8" w14:textId="77777777" w:rsidR="00F132B6" w:rsidRPr="00507E09" w:rsidRDefault="00F132B6">
      <w:pPr>
        <w:pStyle w:val="Zkladntext"/>
        <w:spacing w:before="2"/>
        <w:ind w:left="218" w:right="226"/>
        <w:rPr>
          <w:lang w:val="sk-SK"/>
        </w:rPr>
      </w:pPr>
      <w:r w:rsidRPr="00507E09">
        <w:rPr>
          <w:lang w:val="sk-SK"/>
        </w:rPr>
        <w:t>a príznakov prítomných na začiatku liečby) posakonazolom vo forme perorálnej suspenzie 800 mg/deň v rozdelených dávkach s mediánom podávania 296 dní a až do 460 dní.</w:t>
      </w:r>
    </w:p>
    <w:p w14:paraId="65893638" w14:textId="77777777" w:rsidR="00F132B6" w:rsidRPr="00507E09" w:rsidRDefault="00F132B6">
      <w:pPr>
        <w:pStyle w:val="Zkladntext"/>
        <w:rPr>
          <w:lang w:val="sk-SK"/>
        </w:rPr>
      </w:pPr>
    </w:p>
    <w:p w14:paraId="5BF1FBA7" w14:textId="77777777" w:rsidR="00F132B6" w:rsidRPr="00507E09" w:rsidRDefault="00F132B6">
      <w:pPr>
        <w:spacing w:line="252" w:lineRule="exact"/>
        <w:ind w:left="218"/>
        <w:rPr>
          <w:i/>
          <w:lang w:val="sk-SK"/>
        </w:rPr>
      </w:pPr>
      <w:r w:rsidRPr="00507E09">
        <w:rPr>
          <w:i/>
          <w:lang w:val="sk-SK"/>
        </w:rPr>
        <w:t>Profylaxia invazívnych mykotických infekcií (IFI) (štúdie 316 a 1 899)</w:t>
      </w:r>
    </w:p>
    <w:p w14:paraId="6D50126D" w14:textId="77777777" w:rsidR="00F132B6" w:rsidRPr="00507E09" w:rsidRDefault="00F132B6">
      <w:pPr>
        <w:pStyle w:val="Zkladntext"/>
        <w:ind w:left="218" w:right="1330"/>
        <w:rPr>
          <w:lang w:val="sk-SK"/>
        </w:rPr>
      </w:pPr>
      <w:r w:rsidRPr="00507E09">
        <w:rPr>
          <w:lang w:val="sk-SK"/>
        </w:rPr>
        <w:t>U pacientov s vysokým rizikom vývoja invazívnych mykotických infekcií sa vykonali dve randomizované, kontrolované štúdie profylaxie.</w:t>
      </w:r>
    </w:p>
    <w:p w14:paraId="33DFDADB" w14:textId="77777777" w:rsidR="00F132B6" w:rsidRPr="00507E09" w:rsidRDefault="00F132B6">
      <w:pPr>
        <w:pStyle w:val="Zkladntext"/>
        <w:spacing w:before="1"/>
        <w:rPr>
          <w:lang w:val="sk-SK"/>
        </w:rPr>
      </w:pPr>
    </w:p>
    <w:p w14:paraId="2DDBD5C2" w14:textId="77777777" w:rsidR="00FD10E6" w:rsidRDefault="00F132B6">
      <w:pPr>
        <w:pStyle w:val="Zkladntext"/>
        <w:ind w:left="218" w:right="280"/>
        <w:rPr>
          <w:lang w:val="sk-SK"/>
        </w:rPr>
      </w:pPr>
      <w:r w:rsidRPr="00507E09">
        <w:rPr>
          <w:lang w:val="sk-SK"/>
        </w:rPr>
        <w:t xml:space="preserve">Štúdia 316 bola randomizované, dvojito zaslepené skúšanie posakonazolu vo forme perorálnej suspenzie (200 mg trikrát denne) v porovnaní s flukonazolom vo forme kapsúl (400 mg jedenkrát denne) u príjemcov alogénneho transplantátu hematopoetických kmeňových buniek s reakciou transplantátu proti príjemcovi (graft-versus-host disease, GVHD). Primárnym ukazovateľom účinnosti bola incidencia dokázaných/predpokladaných IFI v 16. týždni po randomizácii stanovená nezávislou, zaslepenou, externou odbornou komisiou. </w:t>
      </w:r>
    </w:p>
    <w:p w14:paraId="65A430EA" w14:textId="77777777" w:rsidR="00FD10E6" w:rsidRDefault="00FD10E6">
      <w:pPr>
        <w:pStyle w:val="Zkladntext"/>
        <w:ind w:left="218" w:right="280"/>
        <w:rPr>
          <w:lang w:val="sk-SK"/>
        </w:rPr>
      </w:pPr>
    </w:p>
    <w:p w14:paraId="66F57F1C" w14:textId="77777777" w:rsidR="00FD10E6" w:rsidRDefault="00FD10E6">
      <w:pPr>
        <w:spacing w:before="43"/>
        <w:ind w:left="218"/>
        <w:rPr>
          <w:sz w:val="18"/>
          <w:lang w:val="sk-SK"/>
        </w:rPr>
      </w:pPr>
      <w:r>
        <w:rPr>
          <w:position w:val="8"/>
          <w:sz w:val="12"/>
          <w:lang w:val="sk-SK"/>
        </w:rPr>
        <w:t>1</w:t>
      </w:r>
      <w:r w:rsidRPr="00507E09">
        <w:rPr>
          <w:position w:val="8"/>
          <w:sz w:val="12"/>
          <w:lang w:val="sk-SK"/>
        </w:rPr>
        <w:t xml:space="preserve">  </w:t>
      </w:r>
      <w:r w:rsidRPr="00507E09">
        <w:rPr>
          <w:sz w:val="18"/>
          <w:lang w:val="sk-SK"/>
        </w:rPr>
        <w:t>Zahŕňa iné, menej časté druhy alebo neznáme druhy</w:t>
      </w:r>
    </w:p>
    <w:p w14:paraId="731A49E8" w14:textId="77777777" w:rsidR="00FD10E6" w:rsidRDefault="00FD10E6">
      <w:pPr>
        <w:pStyle w:val="Zkladntext"/>
        <w:ind w:left="218" w:right="280"/>
        <w:rPr>
          <w:lang w:val="sk-SK"/>
        </w:rPr>
      </w:pPr>
    </w:p>
    <w:p w14:paraId="52924955" w14:textId="77777777" w:rsidR="00F132B6" w:rsidRPr="00507E09" w:rsidRDefault="00F132B6">
      <w:pPr>
        <w:pStyle w:val="Zkladntext"/>
        <w:ind w:left="218" w:right="280"/>
        <w:rPr>
          <w:lang w:val="sk-SK"/>
        </w:rPr>
      </w:pPr>
      <w:r w:rsidRPr="00507E09">
        <w:rPr>
          <w:lang w:val="sk-SK"/>
        </w:rPr>
        <w:t>Kľúčovým sekundárnym ukazovateľom bola incidencia dokázaných/predpokladaných IFI počas obdobia liečby (od prvej dávky po poslednú dávku skúšaného lieku + 7 dní). Väčšina (377/600, [63 %]) zaradených pacientov mala na začiatku štúdie akútnu GVHD stupňa 2 alebo 3 alebo chronickú extenzívnu GVHD (195/600, [32,5 %]). Priemerné trvanie liečby bolo 80 dní pre posakonazol a 77 dní pre</w:t>
      </w:r>
      <w:r w:rsidRPr="005B30AA">
        <w:rPr>
          <w:lang w:val="sk-SK"/>
        </w:rPr>
        <w:t xml:space="preserve"> </w:t>
      </w:r>
      <w:r w:rsidRPr="00507E09">
        <w:rPr>
          <w:lang w:val="sk-SK"/>
        </w:rPr>
        <w:t>flukonazol.</w:t>
      </w:r>
    </w:p>
    <w:p w14:paraId="51142C0D" w14:textId="77777777" w:rsidR="00F132B6" w:rsidRPr="00507E09" w:rsidRDefault="00F132B6">
      <w:pPr>
        <w:pStyle w:val="Zkladntext"/>
        <w:rPr>
          <w:lang w:val="sk-SK"/>
        </w:rPr>
      </w:pPr>
    </w:p>
    <w:p w14:paraId="0DEAD753" w14:textId="46953F3B" w:rsidR="00F132B6" w:rsidRPr="00507E09" w:rsidRDefault="00F132B6">
      <w:pPr>
        <w:pStyle w:val="Zkladntext"/>
        <w:ind w:left="218" w:right="244"/>
        <w:rPr>
          <w:lang w:val="sk-SK"/>
        </w:rPr>
      </w:pPr>
      <w:r w:rsidRPr="00507E09">
        <w:rPr>
          <w:lang w:val="sk-SK"/>
        </w:rPr>
        <w:t>Štúdia 1 899 bola randomizovaná štúdia so zaslepeným hodnotením posakonazolu vo forme perorálnej suspenzie (200 mg trikrát denne) oproti flukonazolu vo forme suspenzie (400 mg jedenkrát denne)</w:t>
      </w:r>
      <w:r w:rsidR="00597633">
        <w:rPr>
          <w:lang w:val="sk-SK"/>
        </w:rPr>
        <w:t xml:space="preserve"> </w:t>
      </w:r>
      <w:r w:rsidRPr="00507E09">
        <w:rPr>
          <w:lang w:val="sk-SK"/>
        </w:rPr>
        <w:t>alebo itrakonazolu vo forme perorálneho roztoku (200 mg dvakrát denne) u neutropenických pacientov, ktorí dostávali cytotoxickú chemoterapiu na liečbu akútnej myeloblastovej leukémie alebo myelodysplastických syndrómov. Primárnym ukazovateľom účinnosti bola incidencia dokázaných/predpokladaných IFI stanovená nezávislou, zaslepenou, externou odbornou komisiou počas obdobia liečby. Kľúčovým sekundárn</w:t>
      </w:r>
      <w:r w:rsidR="005D3CC3">
        <w:rPr>
          <w:lang w:val="sk-SK"/>
        </w:rPr>
        <w:t xml:space="preserve">ym ukazovateľom bola incidencia </w:t>
      </w:r>
      <w:r w:rsidRPr="00507E09">
        <w:rPr>
          <w:lang w:val="sk-SK"/>
        </w:rPr>
        <w:t>dokázaných/predpokladaných IFI 100 dní po randomizácii. Najčastejším základným ochorením bola novodiagnostikovaná akútna myeloblastová leukémia (435/602, [72 %]). Priemerné trvanie liečby bolo 29 dní pre posakonazol a 25 dní pre flukonazol/itrakonazol.</w:t>
      </w:r>
    </w:p>
    <w:p w14:paraId="05535483" w14:textId="77777777" w:rsidR="00F132B6" w:rsidRPr="00507E09" w:rsidRDefault="00F132B6">
      <w:pPr>
        <w:pStyle w:val="Zkladntext"/>
        <w:spacing w:before="11"/>
        <w:rPr>
          <w:sz w:val="21"/>
          <w:lang w:val="sk-SK"/>
        </w:rPr>
      </w:pPr>
    </w:p>
    <w:p w14:paraId="68DDD265" w14:textId="05B2C9A8" w:rsidR="00F132B6" w:rsidRPr="00507E09" w:rsidRDefault="00F132B6">
      <w:pPr>
        <w:pStyle w:val="Zkladntext"/>
        <w:ind w:left="178" w:right="348"/>
        <w:rPr>
          <w:lang w:val="sk-SK"/>
        </w:rPr>
      </w:pPr>
      <w:r w:rsidRPr="00507E09">
        <w:rPr>
          <w:lang w:val="sk-SK"/>
        </w:rPr>
        <w:t xml:space="preserve">V oboch štúdiách profylaxie bola najčastejšou prielomovou infekciou aspergilóza. Výsledky z oboch štúdií pozri v tabuľke 5 a 6. Prielomové infekcie spôsobené druhom </w:t>
      </w:r>
      <w:r w:rsidRPr="00507E09">
        <w:rPr>
          <w:i/>
          <w:lang w:val="sk-SK"/>
        </w:rPr>
        <w:t xml:space="preserve">Aspergillus </w:t>
      </w:r>
      <w:r w:rsidRPr="00507E09">
        <w:rPr>
          <w:lang w:val="sk-SK"/>
        </w:rPr>
        <w:t>boli menej časté</w:t>
      </w:r>
      <w:r w:rsidR="009700BD">
        <w:rPr>
          <w:lang w:val="sk-SK"/>
        </w:rPr>
        <w:t xml:space="preserve"> </w:t>
      </w:r>
      <w:r w:rsidRPr="00507E09">
        <w:rPr>
          <w:lang w:val="sk-SK"/>
        </w:rPr>
        <w:t>u pacientov, ktorí dostávali profylaktickú liečbu posakonazolom v porovnaní s pacientmi v kontrolnej skupine.</w:t>
      </w:r>
    </w:p>
    <w:p w14:paraId="20DD5E5C" w14:textId="77777777" w:rsidR="00F132B6" w:rsidRPr="00507E09" w:rsidRDefault="00F132B6">
      <w:pPr>
        <w:pStyle w:val="Zkladntext"/>
        <w:spacing w:before="1"/>
        <w:rPr>
          <w:lang w:val="sk-SK"/>
        </w:rPr>
      </w:pPr>
    </w:p>
    <w:p w14:paraId="6779B7F3" w14:textId="77777777" w:rsidR="00F132B6" w:rsidRPr="00507E09" w:rsidRDefault="00F132B6">
      <w:pPr>
        <w:pStyle w:val="Zkladntext"/>
        <w:spacing w:after="7"/>
        <w:ind w:left="178"/>
        <w:rPr>
          <w:lang w:val="sk-SK"/>
        </w:rPr>
      </w:pPr>
      <w:r w:rsidRPr="00507E09">
        <w:rPr>
          <w:b/>
          <w:lang w:val="sk-SK"/>
        </w:rPr>
        <w:t xml:space="preserve">Tabuľka 5. </w:t>
      </w:r>
      <w:r w:rsidRPr="00507E09">
        <w:rPr>
          <w:lang w:val="sk-SK"/>
        </w:rPr>
        <w:t>Výsledky klinických štúdií profylaxie invazívnych mykotických infekcií</w:t>
      </w:r>
    </w:p>
    <w:tbl>
      <w:tblPr>
        <w:tblW w:w="0" w:type="auto"/>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21"/>
        <w:gridCol w:w="2333"/>
        <w:gridCol w:w="2342"/>
        <w:gridCol w:w="2218"/>
      </w:tblGrid>
      <w:tr w:rsidR="00F132B6" w:rsidRPr="00507E09" w14:paraId="132EFC85" w14:textId="77777777" w:rsidTr="009700BD">
        <w:trPr>
          <w:trHeight w:hRule="exact" w:val="583"/>
        </w:trPr>
        <w:tc>
          <w:tcPr>
            <w:tcW w:w="2321" w:type="dxa"/>
            <w:tcBorders>
              <w:bottom w:val="double" w:sz="4" w:space="0" w:color="000000"/>
            </w:tcBorders>
          </w:tcPr>
          <w:p w14:paraId="4392DEE3" w14:textId="77777777" w:rsidR="00F132B6" w:rsidRPr="00507E09" w:rsidRDefault="00F132B6" w:rsidP="00E13FB9">
            <w:pPr>
              <w:pStyle w:val="TableParagraph"/>
              <w:spacing w:before="27"/>
              <w:ind w:left="833" w:right="831"/>
              <w:rPr>
                <w:b/>
                <w:lang w:val="sk-SK"/>
              </w:rPr>
            </w:pPr>
            <w:r w:rsidRPr="00507E09">
              <w:rPr>
                <w:b/>
                <w:lang w:val="sk-SK"/>
              </w:rPr>
              <w:t>Štúdia</w:t>
            </w:r>
          </w:p>
        </w:tc>
        <w:tc>
          <w:tcPr>
            <w:tcW w:w="2333" w:type="dxa"/>
            <w:tcBorders>
              <w:bottom w:val="double" w:sz="4" w:space="0" w:color="000000"/>
            </w:tcBorders>
          </w:tcPr>
          <w:p w14:paraId="747D7CBC" w14:textId="77777777" w:rsidR="00F132B6" w:rsidRPr="00507E09" w:rsidRDefault="00F132B6" w:rsidP="009258AC">
            <w:pPr>
              <w:pStyle w:val="TableParagraph"/>
              <w:spacing w:before="27"/>
              <w:ind w:left="191" w:right="116" w:hanging="65"/>
              <w:rPr>
                <w:b/>
                <w:lang w:val="sk-SK"/>
              </w:rPr>
            </w:pPr>
            <w:r w:rsidRPr="00507E09">
              <w:rPr>
                <w:b/>
                <w:lang w:val="sk-SK"/>
              </w:rPr>
              <w:t>Posakonazol vo forme perorálnej suspenzie</w:t>
            </w:r>
          </w:p>
        </w:tc>
        <w:tc>
          <w:tcPr>
            <w:tcW w:w="2342" w:type="dxa"/>
            <w:tcBorders>
              <w:bottom w:val="double" w:sz="4" w:space="0" w:color="000000"/>
            </w:tcBorders>
          </w:tcPr>
          <w:p w14:paraId="0D272313" w14:textId="77777777" w:rsidR="00F132B6" w:rsidRPr="00507E09" w:rsidRDefault="00F132B6" w:rsidP="00E13FB9">
            <w:pPr>
              <w:pStyle w:val="TableParagraph"/>
              <w:spacing w:before="2"/>
              <w:ind w:left="631" w:right="631"/>
              <w:rPr>
                <w:b/>
                <w:sz w:val="14"/>
                <w:lang w:val="sk-SK"/>
              </w:rPr>
            </w:pPr>
            <w:r w:rsidRPr="00507E09">
              <w:rPr>
                <w:b/>
                <w:lang w:val="sk-SK"/>
              </w:rPr>
              <w:t>Kontrola</w:t>
            </w:r>
            <w:r w:rsidRPr="00507E09">
              <w:rPr>
                <w:b/>
                <w:position w:val="10"/>
                <w:sz w:val="14"/>
                <w:lang w:val="sk-SK"/>
              </w:rPr>
              <w:t>a</w:t>
            </w:r>
          </w:p>
        </w:tc>
        <w:tc>
          <w:tcPr>
            <w:tcW w:w="2218" w:type="dxa"/>
            <w:tcBorders>
              <w:bottom w:val="double" w:sz="4" w:space="0" w:color="000000"/>
            </w:tcBorders>
          </w:tcPr>
          <w:p w14:paraId="31793D3C" w14:textId="77777777" w:rsidR="00F132B6" w:rsidRPr="00507E09" w:rsidRDefault="00F132B6" w:rsidP="00E13FB9">
            <w:pPr>
              <w:pStyle w:val="TableParagraph"/>
              <w:spacing w:before="27"/>
              <w:ind w:left="588" w:right="588"/>
              <w:rPr>
                <w:b/>
                <w:lang w:val="sk-SK"/>
              </w:rPr>
            </w:pPr>
            <w:r w:rsidRPr="00507E09">
              <w:rPr>
                <w:b/>
                <w:lang w:val="sk-SK"/>
              </w:rPr>
              <w:t>Hodnota p</w:t>
            </w:r>
          </w:p>
        </w:tc>
      </w:tr>
      <w:tr w:rsidR="00F132B6" w:rsidRPr="00507E09" w14:paraId="10B0A3DF" w14:textId="77777777" w:rsidTr="009700BD">
        <w:trPr>
          <w:trHeight w:hRule="exact" w:val="341"/>
        </w:trPr>
        <w:tc>
          <w:tcPr>
            <w:tcW w:w="9214" w:type="dxa"/>
            <w:gridSpan w:val="4"/>
            <w:tcBorders>
              <w:top w:val="double" w:sz="4" w:space="0" w:color="000000"/>
              <w:bottom w:val="double" w:sz="4" w:space="0" w:color="000000"/>
            </w:tcBorders>
          </w:tcPr>
          <w:p w14:paraId="0C9A2601" w14:textId="77777777" w:rsidR="00F132B6" w:rsidRPr="00507E09" w:rsidRDefault="00F132B6" w:rsidP="009258AC">
            <w:pPr>
              <w:pStyle w:val="TableParagraph"/>
              <w:spacing w:before="27"/>
              <w:ind w:left="2020"/>
              <w:rPr>
                <w:b/>
                <w:lang w:val="sk-SK"/>
              </w:rPr>
            </w:pPr>
            <w:r w:rsidRPr="00507E09">
              <w:rPr>
                <w:b/>
                <w:lang w:val="sk-SK"/>
              </w:rPr>
              <w:t>Podiel (%) pacientov s dokázanou/predpokladanou IFI</w:t>
            </w:r>
          </w:p>
        </w:tc>
      </w:tr>
      <w:tr w:rsidR="00F132B6" w:rsidRPr="00507E09" w14:paraId="74472379" w14:textId="77777777" w:rsidTr="009700BD">
        <w:trPr>
          <w:trHeight w:hRule="exact" w:val="331"/>
        </w:trPr>
        <w:tc>
          <w:tcPr>
            <w:tcW w:w="9214" w:type="dxa"/>
            <w:gridSpan w:val="4"/>
            <w:tcBorders>
              <w:top w:val="double" w:sz="4" w:space="0" w:color="000000"/>
            </w:tcBorders>
          </w:tcPr>
          <w:p w14:paraId="638B5BA1" w14:textId="77777777" w:rsidR="00F132B6" w:rsidRPr="00507E09" w:rsidRDefault="00F132B6" w:rsidP="00E13FB9">
            <w:pPr>
              <w:pStyle w:val="TableParagraph"/>
              <w:spacing w:before="4"/>
              <w:ind w:left="3549" w:right="3549"/>
              <w:rPr>
                <w:b/>
                <w:sz w:val="14"/>
                <w:lang w:val="sk-SK"/>
              </w:rPr>
            </w:pPr>
            <w:r w:rsidRPr="00507E09">
              <w:rPr>
                <w:b/>
                <w:lang w:val="sk-SK"/>
              </w:rPr>
              <w:t>Obdobie počas liečby</w:t>
            </w:r>
            <w:r w:rsidRPr="00507E09">
              <w:rPr>
                <w:b/>
                <w:position w:val="10"/>
                <w:sz w:val="14"/>
                <w:lang w:val="sk-SK"/>
              </w:rPr>
              <w:t>b</w:t>
            </w:r>
          </w:p>
        </w:tc>
      </w:tr>
      <w:tr w:rsidR="00F132B6" w:rsidRPr="00507E09" w14:paraId="0FC6E554" w14:textId="77777777" w:rsidTr="009700BD">
        <w:trPr>
          <w:trHeight w:hRule="exact" w:val="319"/>
        </w:trPr>
        <w:tc>
          <w:tcPr>
            <w:tcW w:w="2321" w:type="dxa"/>
          </w:tcPr>
          <w:p w14:paraId="6828E00D"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2333" w:type="dxa"/>
          </w:tcPr>
          <w:p w14:paraId="03283FBF" w14:textId="77777777" w:rsidR="00F132B6" w:rsidRPr="00507E09" w:rsidRDefault="00F132B6" w:rsidP="00E13FB9">
            <w:pPr>
              <w:pStyle w:val="TableParagraph"/>
              <w:spacing w:before="22"/>
              <w:ind w:left="680" w:right="683"/>
              <w:rPr>
                <w:lang w:val="sk-SK"/>
              </w:rPr>
            </w:pPr>
            <w:r w:rsidRPr="00507E09">
              <w:rPr>
                <w:lang w:val="sk-SK"/>
              </w:rPr>
              <w:t>7/304 (2)</w:t>
            </w:r>
          </w:p>
        </w:tc>
        <w:tc>
          <w:tcPr>
            <w:tcW w:w="2342" w:type="dxa"/>
          </w:tcPr>
          <w:p w14:paraId="3A2240E1" w14:textId="77777777" w:rsidR="00F132B6" w:rsidRPr="00507E09" w:rsidRDefault="00F132B6" w:rsidP="00E13FB9">
            <w:pPr>
              <w:pStyle w:val="TableParagraph"/>
              <w:spacing w:before="22"/>
              <w:ind w:left="632" w:right="631"/>
              <w:rPr>
                <w:lang w:val="sk-SK"/>
              </w:rPr>
            </w:pPr>
            <w:r w:rsidRPr="00507E09">
              <w:rPr>
                <w:lang w:val="sk-SK"/>
              </w:rPr>
              <w:t>25/298 (8)</w:t>
            </w:r>
          </w:p>
        </w:tc>
        <w:tc>
          <w:tcPr>
            <w:tcW w:w="2218" w:type="dxa"/>
          </w:tcPr>
          <w:p w14:paraId="4F1FBDF3" w14:textId="77777777" w:rsidR="00F132B6" w:rsidRPr="00507E09" w:rsidRDefault="00F132B6" w:rsidP="00E13FB9">
            <w:pPr>
              <w:pStyle w:val="TableParagraph"/>
              <w:spacing w:before="22"/>
              <w:ind w:left="588" w:right="588"/>
              <w:rPr>
                <w:lang w:val="sk-SK"/>
              </w:rPr>
            </w:pPr>
            <w:r w:rsidRPr="00507E09">
              <w:rPr>
                <w:lang w:val="sk-SK"/>
              </w:rPr>
              <w:t>0,0009</w:t>
            </w:r>
          </w:p>
        </w:tc>
      </w:tr>
      <w:tr w:rsidR="00F132B6" w:rsidRPr="00507E09" w14:paraId="6D805381" w14:textId="77777777" w:rsidTr="009700BD">
        <w:trPr>
          <w:trHeight w:hRule="exact" w:val="317"/>
        </w:trPr>
        <w:tc>
          <w:tcPr>
            <w:tcW w:w="2321" w:type="dxa"/>
          </w:tcPr>
          <w:p w14:paraId="5C587705" w14:textId="77777777" w:rsidR="00F132B6" w:rsidRPr="00507E09" w:rsidRDefault="00F132B6" w:rsidP="009258AC">
            <w:pPr>
              <w:pStyle w:val="TableParagraph"/>
              <w:spacing w:line="276" w:lineRule="exact"/>
              <w:ind w:left="69"/>
              <w:rPr>
                <w:b/>
                <w:sz w:val="14"/>
                <w:lang w:val="sk-SK"/>
              </w:rPr>
            </w:pPr>
            <w:r w:rsidRPr="00507E09">
              <w:rPr>
                <w:lang w:val="sk-SK"/>
              </w:rPr>
              <w:lastRenderedPageBreak/>
              <w:t>316</w:t>
            </w:r>
            <w:r w:rsidRPr="00507E09">
              <w:rPr>
                <w:b/>
                <w:position w:val="10"/>
                <w:sz w:val="14"/>
                <w:lang w:val="sk-SK"/>
              </w:rPr>
              <w:t>e</w:t>
            </w:r>
          </w:p>
        </w:tc>
        <w:tc>
          <w:tcPr>
            <w:tcW w:w="2333" w:type="dxa"/>
          </w:tcPr>
          <w:p w14:paraId="48DADACD" w14:textId="77777777" w:rsidR="00F132B6" w:rsidRPr="00507E09" w:rsidRDefault="00F132B6" w:rsidP="00E13FB9">
            <w:pPr>
              <w:pStyle w:val="TableParagraph"/>
              <w:spacing w:before="22"/>
              <w:ind w:left="680" w:right="683"/>
              <w:rPr>
                <w:lang w:val="sk-SK"/>
              </w:rPr>
            </w:pPr>
            <w:r w:rsidRPr="00507E09">
              <w:rPr>
                <w:lang w:val="sk-SK"/>
              </w:rPr>
              <w:t>7/291 (2)</w:t>
            </w:r>
          </w:p>
        </w:tc>
        <w:tc>
          <w:tcPr>
            <w:tcW w:w="2342" w:type="dxa"/>
          </w:tcPr>
          <w:p w14:paraId="0F08B81A" w14:textId="77777777" w:rsidR="00F132B6" w:rsidRPr="00507E09" w:rsidRDefault="00F132B6" w:rsidP="00E13FB9">
            <w:pPr>
              <w:pStyle w:val="TableParagraph"/>
              <w:spacing w:before="22"/>
              <w:ind w:left="632" w:right="631"/>
              <w:rPr>
                <w:lang w:val="sk-SK"/>
              </w:rPr>
            </w:pPr>
            <w:r w:rsidRPr="00507E09">
              <w:rPr>
                <w:lang w:val="sk-SK"/>
              </w:rPr>
              <w:t>22/288 (8)</w:t>
            </w:r>
          </w:p>
        </w:tc>
        <w:tc>
          <w:tcPr>
            <w:tcW w:w="2218" w:type="dxa"/>
          </w:tcPr>
          <w:p w14:paraId="5C8B77D0" w14:textId="77777777" w:rsidR="00F132B6" w:rsidRPr="00507E09" w:rsidRDefault="00F132B6" w:rsidP="00E13FB9">
            <w:pPr>
              <w:pStyle w:val="TableParagraph"/>
              <w:spacing w:before="22"/>
              <w:ind w:left="588" w:right="588"/>
              <w:rPr>
                <w:lang w:val="sk-SK"/>
              </w:rPr>
            </w:pPr>
            <w:r w:rsidRPr="00507E09">
              <w:rPr>
                <w:lang w:val="sk-SK"/>
              </w:rPr>
              <w:t>0,0038</w:t>
            </w:r>
          </w:p>
        </w:tc>
      </w:tr>
      <w:tr w:rsidR="00F132B6" w:rsidRPr="00507E09" w14:paraId="670FA2F0" w14:textId="77777777" w:rsidTr="009700BD">
        <w:trPr>
          <w:trHeight w:hRule="exact" w:val="319"/>
        </w:trPr>
        <w:tc>
          <w:tcPr>
            <w:tcW w:w="9214" w:type="dxa"/>
            <w:gridSpan w:val="4"/>
          </w:tcPr>
          <w:p w14:paraId="6F10801C" w14:textId="77777777" w:rsidR="00F132B6" w:rsidRPr="00507E09" w:rsidRDefault="00F132B6" w:rsidP="00E13FB9">
            <w:pPr>
              <w:pStyle w:val="TableParagraph"/>
              <w:spacing w:before="2"/>
              <w:ind w:left="3549" w:right="3548"/>
              <w:rPr>
                <w:b/>
                <w:sz w:val="14"/>
                <w:lang w:val="sk-SK"/>
              </w:rPr>
            </w:pPr>
            <w:r w:rsidRPr="00507E09">
              <w:rPr>
                <w:b/>
                <w:lang w:val="sk-SK"/>
              </w:rPr>
              <w:t>Fixné obdobie</w:t>
            </w:r>
            <w:r w:rsidRPr="00507E09">
              <w:rPr>
                <w:b/>
                <w:position w:val="10"/>
                <w:sz w:val="14"/>
                <w:lang w:val="sk-SK"/>
              </w:rPr>
              <w:t>c</w:t>
            </w:r>
          </w:p>
        </w:tc>
      </w:tr>
      <w:tr w:rsidR="00F132B6" w:rsidRPr="00507E09" w14:paraId="2F799886" w14:textId="77777777" w:rsidTr="009700BD">
        <w:trPr>
          <w:trHeight w:hRule="exact" w:val="317"/>
        </w:trPr>
        <w:tc>
          <w:tcPr>
            <w:tcW w:w="2321" w:type="dxa"/>
          </w:tcPr>
          <w:p w14:paraId="5DEAB943"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2333" w:type="dxa"/>
          </w:tcPr>
          <w:p w14:paraId="10D224A5" w14:textId="77777777" w:rsidR="00F132B6" w:rsidRPr="00507E09" w:rsidRDefault="00F132B6" w:rsidP="00E13FB9">
            <w:pPr>
              <w:pStyle w:val="TableParagraph"/>
              <w:spacing w:before="22"/>
              <w:ind w:left="682" w:right="683"/>
              <w:rPr>
                <w:lang w:val="sk-SK"/>
              </w:rPr>
            </w:pPr>
            <w:r w:rsidRPr="00507E09">
              <w:rPr>
                <w:lang w:val="sk-SK"/>
              </w:rPr>
              <w:t>14/304 (5)</w:t>
            </w:r>
          </w:p>
        </w:tc>
        <w:tc>
          <w:tcPr>
            <w:tcW w:w="2342" w:type="dxa"/>
          </w:tcPr>
          <w:p w14:paraId="68D49798" w14:textId="77777777" w:rsidR="00F132B6" w:rsidRPr="00507E09" w:rsidRDefault="00F132B6" w:rsidP="00E13FB9">
            <w:pPr>
              <w:pStyle w:val="TableParagraph"/>
              <w:spacing w:before="22"/>
              <w:ind w:left="632" w:right="631"/>
              <w:rPr>
                <w:lang w:val="sk-SK"/>
              </w:rPr>
            </w:pPr>
            <w:r w:rsidRPr="00507E09">
              <w:rPr>
                <w:lang w:val="sk-SK"/>
              </w:rPr>
              <w:t>33/298 (11)</w:t>
            </w:r>
          </w:p>
        </w:tc>
        <w:tc>
          <w:tcPr>
            <w:tcW w:w="2218" w:type="dxa"/>
          </w:tcPr>
          <w:p w14:paraId="3EC89143" w14:textId="77777777" w:rsidR="00F132B6" w:rsidRPr="00507E09" w:rsidRDefault="00F132B6" w:rsidP="00E13FB9">
            <w:pPr>
              <w:pStyle w:val="TableParagraph"/>
              <w:spacing w:before="22"/>
              <w:ind w:left="588" w:right="588"/>
              <w:rPr>
                <w:lang w:val="sk-SK"/>
              </w:rPr>
            </w:pPr>
            <w:r w:rsidRPr="00507E09">
              <w:rPr>
                <w:lang w:val="sk-SK"/>
              </w:rPr>
              <w:t>0,0031</w:t>
            </w:r>
          </w:p>
        </w:tc>
      </w:tr>
      <w:tr w:rsidR="00F132B6" w:rsidRPr="00507E09" w14:paraId="29EEC16C" w14:textId="77777777" w:rsidTr="009700BD">
        <w:trPr>
          <w:trHeight w:hRule="exact" w:val="331"/>
        </w:trPr>
        <w:tc>
          <w:tcPr>
            <w:tcW w:w="2321" w:type="dxa"/>
            <w:tcBorders>
              <w:bottom w:val="double" w:sz="4" w:space="0" w:color="000000"/>
            </w:tcBorders>
          </w:tcPr>
          <w:p w14:paraId="66DD16B5"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d</w:t>
            </w:r>
          </w:p>
        </w:tc>
        <w:tc>
          <w:tcPr>
            <w:tcW w:w="2333" w:type="dxa"/>
            <w:tcBorders>
              <w:bottom w:val="double" w:sz="4" w:space="0" w:color="000000"/>
            </w:tcBorders>
          </w:tcPr>
          <w:p w14:paraId="4ABD0947" w14:textId="77777777" w:rsidR="00F132B6" w:rsidRPr="00507E09" w:rsidRDefault="00F132B6" w:rsidP="00E13FB9">
            <w:pPr>
              <w:pStyle w:val="TableParagraph"/>
              <w:spacing w:before="22"/>
              <w:ind w:left="682" w:right="683"/>
              <w:rPr>
                <w:lang w:val="sk-SK"/>
              </w:rPr>
            </w:pPr>
            <w:r w:rsidRPr="00507E09">
              <w:rPr>
                <w:lang w:val="sk-SK"/>
              </w:rPr>
              <w:t>16/301 (5)</w:t>
            </w:r>
          </w:p>
        </w:tc>
        <w:tc>
          <w:tcPr>
            <w:tcW w:w="2342" w:type="dxa"/>
            <w:tcBorders>
              <w:bottom w:val="double" w:sz="4" w:space="0" w:color="000000"/>
            </w:tcBorders>
          </w:tcPr>
          <w:p w14:paraId="5119B55E" w14:textId="77777777" w:rsidR="00F132B6" w:rsidRPr="00507E09" w:rsidRDefault="00F132B6" w:rsidP="00E13FB9">
            <w:pPr>
              <w:pStyle w:val="TableParagraph"/>
              <w:spacing w:before="22"/>
              <w:ind w:left="632" w:right="631"/>
              <w:rPr>
                <w:lang w:val="sk-SK"/>
              </w:rPr>
            </w:pPr>
            <w:r w:rsidRPr="00507E09">
              <w:rPr>
                <w:lang w:val="sk-SK"/>
              </w:rPr>
              <w:t>27/299 (9)</w:t>
            </w:r>
          </w:p>
        </w:tc>
        <w:tc>
          <w:tcPr>
            <w:tcW w:w="2218" w:type="dxa"/>
            <w:tcBorders>
              <w:bottom w:val="double" w:sz="4" w:space="0" w:color="000000"/>
            </w:tcBorders>
          </w:tcPr>
          <w:p w14:paraId="624FC96A" w14:textId="77777777" w:rsidR="00F132B6" w:rsidRPr="00507E09" w:rsidRDefault="00F132B6" w:rsidP="00E13FB9">
            <w:pPr>
              <w:pStyle w:val="TableParagraph"/>
              <w:spacing w:before="22"/>
              <w:ind w:left="588" w:right="588"/>
              <w:rPr>
                <w:lang w:val="sk-SK"/>
              </w:rPr>
            </w:pPr>
            <w:r w:rsidRPr="00507E09">
              <w:rPr>
                <w:lang w:val="sk-SK"/>
              </w:rPr>
              <w:t>0,0740</w:t>
            </w:r>
          </w:p>
        </w:tc>
      </w:tr>
    </w:tbl>
    <w:p w14:paraId="477F24E0" w14:textId="77777777" w:rsidR="00F132B6" w:rsidRPr="00507E09" w:rsidRDefault="00F132B6" w:rsidP="009258AC">
      <w:pPr>
        <w:tabs>
          <w:tab w:val="left" w:pos="535"/>
        </w:tabs>
        <w:ind w:left="178" w:right="5002"/>
        <w:rPr>
          <w:sz w:val="18"/>
          <w:lang w:val="sk-SK"/>
        </w:rPr>
      </w:pPr>
      <w:r w:rsidRPr="00507E09">
        <w:rPr>
          <w:sz w:val="18"/>
          <w:lang w:val="sk-SK"/>
        </w:rPr>
        <w:t>FLU = fluko</w:t>
      </w:r>
      <w:r w:rsidR="000E273E">
        <w:rPr>
          <w:sz w:val="18"/>
          <w:lang w:val="sk-SK"/>
        </w:rPr>
        <w:t>nazol; ITZ = itrakonazol; POS=</w:t>
      </w:r>
      <w:r w:rsidRPr="00507E09">
        <w:rPr>
          <w:sz w:val="18"/>
          <w:lang w:val="sk-SK"/>
        </w:rPr>
        <w:t>posakonazol. a:</w:t>
      </w:r>
      <w:r w:rsidRPr="00507E09">
        <w:rPr>
          <w:sz w:val="18"/>
          <w:lang w:val="sk-SK"/>
        </w:rPr>
        <w:tab/>
        <w:t>FLU/ITZ (1 899); FLU</w:t>
      </w:r>
      <w:r w:rsidRPr="00507E09">
        <w:rPr>
          <w:spacing w:val="-9"/>
          <w:sz w:val="18"/>
          <w:lang w:val="sk-SK"/>
        </w:rPr>
        <w:t xml:space="preserve"> </w:t>
      </w:r>
      <w:r w:rsidRPr="00507E09">
        <w:rPr>
          <w:sz w:val="18"/>
          <w:lang w:val="sk-SK"/>
        </w:rPr>
        <w:t>(316)</w:t>
      </w:r>
    </w:p>
    <w:p w14:paraId="73B67AA4" w14:textId="77777777" w:rsidR="00F132B6" w:rsidRPr="00507E09" w:rsidRDefault="00F132B6" w:rsidP="00474F1E">
      <w:pPr>
        <w:tabs>
          <w:tab w:val="left" w:pos="535"/>
        </w:tabs>
        <w:ind w:left="535" w:right="221" w:hanging="358"/>
        <w:rPr>
          <w:sz w:val="18"/>
          <w:lang w:val="sk-SK"/>
        </w:rPr>
      </w:pPr>
      <w:r w:rsidRPr="00507E09">
        <w:rPr>
          <w:sz w:val="18"/>
          <w:lang w:val="sk-SK"/>
        </w:rPr>
        <w:t>b:</w:t>
      </w:r>
      <w:r w:rsidRPr="00507E09">
        <w:rPr>
          <w:sz w:val="18"/>
          <w:lang w:val="sk-SK"/>
        </w:rPr>
        <w:tab/>
        <w:t>V štúdii 1 899 to bola doba od randomizácie po poslednú dávku skúšaného lieku plus 7 dní; v štúdii 316 to bola</w:t>
      </w:r>
      <w:r w:rsidRPr="00507E09">
        <w:rPr>
          <w:spacing w:val="-7"/>
          <w:sz w:val="18"/>
          <w:lang w:val="sk-SK"/>
        </w:rPr>
        <w:t xml:space="preserve"> </w:t>
      </w:r>
      <w:r w:rsidRPr="00507E09">
        <w:rPr>
          <w:sz w:val="18"/>
          <w:lang w:val="sk-SK"/>
        </w:rPr>
        <w:t>doba od prvej dávky po poslednú dávku skúšaného lieku plus 7</w:t>
      </w:r>
      <w:r w:rsidRPr="00507E09">
        <w:rPr>
          <w:spacing w:val="-1"/>
          <w:sz w:val="18"/>
          <w:lang w:val="sk-SK"/>
        </w:rPr>
        <w:t xml:space="preserve"> </w:t>
      </w:r>
      <w:r w:rsidRPr="00507E09">
        <w:rPr>
          <w:sz w:val="18"/>
          <w:lang w:val="sk-SK"/>
        </w:rPr>
        <w:t>dní.</w:t>
      </w:r>
    </w:p>
    <w:p w14:paraId="3A8BDA8B" w14:textId="77777777" w:rsidR="00F132B6" w:rsidRPr="00507E09" w:rsidRDefault="00F132B6">
      <w:pPr>
        <w:tabs>
          <w:tab w:val="left" w:pos="535"/>
        </w:tabs>
        <w:ind w:left="535" w:right="227" w:hanging="358"/>
        <w:rPr>
          <w:sz w:val="18"/>
          <w:lang w:val="sk-SK"/>
        </w:rPr>
      </w:pPr>
      <w:r w:rsidRPr="00507E09">
        <w:rPr>
          <w:sz w:val="18"/>
          <w:lang w:val="sk-SK"/>
        </w:rPr>
        <w:t>c:</w:t>
      </w:r>
      <w:r w:rsidRPr="00507E09">
        <w:rPr>
          <w:sz w:val="18"/>
          <w:lang w:val="sk-SK"/>
        </w:rPr>
        <w:tab/>
        <w:t>V</w:t>
      </w:r>
      <w:r w:rsidRPr="00507E09">
        <w:rPr>
          <w:spacing w:val="-1"/>
          <w:sz w:val="18"/>
          <w:lang w:val="sk-SK"/>
        </w:rPr>
        <w:t xml:space="preserve"> </w:t>
      </w:r>
      <w:r w:rsidRPr="00507E09">
        <w:rPr>
          <w:sz w:val="18"/>
          <w:lang w:val="sk-SK"/>
        </w:rPr>
        <w:t>štúdii</w:t>
      </w:r>
      <w:r w:rsidRPr="00507E09">
        <w:rPr>
          <w:spacing w:val="-5"/>
          <w:sz w:val="18"/>
          <w:lang w:val="sk-SK"/>
        </w:rPr>
        <w:t xml:space="preserve"> </w:t>
      </w:r>
      <w:r w:rsidRPr="00507E09">
        <w:rPr>
          <w:sz w:val="18"/>
          <w:lang w:val="sk-SK"/>
        </w:rPr>
        <w:t>1</w:t>
      </w:r>
      <w:r w:rsidRPr="00507E09">
        <w:rPr>
          <w:spacing w:val="-4"/>
          <w:sz w:val="18"/>
          <w:lang w:val="sk-SK"/>
        </w:rPr>
        <w:t xml:space="preserve"> </w:t>
      </w:r>
      <w:r w:rsidRPr="00507E09">
        <w:rPr>
          <w:sz w:val="18"/>
          <w:lang w:val="sk-SK"/>
        </w:rPr>
        <w:t>899</w:t>
      </w:r>
      <w:r w:rsidRPr="00507E09">
        <w:rPr>
          <w:spacing w:val="-4"/>
          <w:sz w:val="18"/>
          <w:lang w:val="sk-SK"/>
        </w:rPr>
        <w:t xml:space="preserve"> </w:t>
      </w:r>
      <w:r w:rsidRPr="00507E09">
        <w:rPr>
          <w:sz w:val="18"/>
          <w:lang w:val="sk-SK"/>
        </w:rPr>
        <w:t>to</w:t>
      </w:r>
      <w:r w:rsidRPr="00507E09">
        <w:rPr>
          <w:spacing w:val="-4"/>
          <w:sz w:val="18"/>
          <w:lang w:val="sk-SK"/>
        </w:rPr>
        <w:t xml:space="preserve"> </w:t>
      </w:r>
      <w:r w:rsidRPr="00507E09">
        <w:rPr>
          <w:sz w:val="18"/>
          <w:lang w:val="sk-SK"/>
        </w:rPr>
        <w:t>bola</w:t>
      </w:r>
      <w:r w:rsidRPr="00507E09">
        <w:rPr>
          <w:spacing w:val="-4"/>
          <w:sz w:val="18"/>
          <w:lang w:val="sk-SK"/>
        </w:rPr>
        <w:t xml:space="preserve"> </w:t>
      </w:r>
      <w:r w:rsidRPr="00507E09">
        <w:rPr>
          <w:sz w:val="18"/>
          <w:lang w:val="sk-SK"/>
        </w:rPr>
        <w:t>doba</w:t>
      </w:r>
      <w:r w:rsidRPr="00507E09">
        <w:rPr>
          <w:spacing w:val="-4"/>
          <w:sz w:val="18"/>
          <w:lang w:val="sk-SK"/>
        </w:rPr>
        <w:t xml:space="preserve"> </w:t>
      </w:r>
      <w:r w:rsidRPr="00507E09">
        <w:rPr>
          <w:sz w:val="18"/>
          <w:lang w:val="sk-SK"/>
        </w:rPr>
        <w:t>od</w:t>
      </w:r>
      <w:r w:rsidRPr="00507E09">
        <w:rPr>
          <w:spacing w:val="-4"/>
          <w:sz w:val="18"/>
          <w:lang w:val="sk-SK"/>
        </w:rPr>
        <w:t xml:space="preserve"> </w:t>
      </w:r>
      <w:r w:rsidRPr="00507E09">
        <w:rPr>
          <w:sz w:val="18"/>
          <w:lang w:val="sk-SK"/>
        </w:rPr>
        <w:t>randomizácie</w:t>
      </w:r>
      <w:r w:rsidRPr="00507E09">
        <w:rPr>
          <w:spacing w:val="-4"/>
          <w:sz w:val="18"/>
          <w:lang w:val="sk-SK"/>
        </w:rPr>
        <w:t xml:space="preserve"> </w:t>
      </w:r>
      <w:r w:rsidRPr="00507E09">
        <w:rPr>
          <w:sz w:val="18"/>
          <w:lang w:val="sk-SK"/>
        </w:rPr>
        <w:t>po</w:t>
      </w:r>
      <w:r w:rsidRPr="00507E09">
        <w:rPr>
          <w:spacing w:val="-2"/>
          <w:sz w:val="18"/>
          <w:lang w:val="sk-SK"/>
        </w:rPr>
        <w:t xml:space="preserve"> </w:t>
      </w:r>
      <w:r w:rsidRPr="00507E09">
        <w:rPr>
          <w:sz w:val="18"/>
          <w:lang w:val="sk-SK"/>
        </w:rPr>
        <w:t>100.</w:t>
      </w:r>
      <w:r w:rsidRPr="00507E09">
        <w:rPr>
          <w:spacing w:val="-2"/>
          <w:sz w:val="18"/>
          <w:lang w:val="sk-SK"/>
        </w:rPr>
        <w:t xml:space="preserve"> </w:t>
      </w:r>
      <w:r w:rsidRPr="00507E09">
        <w:rPr>
          <w:sz w:val="18"/>
          <w:lang w:val="sk-SK"/>
        </w:rPr>
        <w:t>deň</w:t>
      </w:r>
      <w:r w:rsidRPr="00507E09">
        <w:rPr>
          <w:spacing w:val="-4"/>
          <w:sz w:val="18"/>
          <w:lang w:val="sk-SK"/>
        </w:rPr>
        <w:t xml:space="preserve"> </w:t>
      </w:r>
      <w:r w:rsidRPr="00507E09">
        <w:rPr>
          <w:sz w:val="18"/>
          <w:lang w:val="sk-SK"/>
        </w:rPr>
        <w:t>od</w:t>
      </w:r>
      <w:r w:rsidRPr="00507E09">
        <w:rPr>
          <w:spacing w:val="-2"/>
          <w:sz w:val="18"/>
          <w:lang w:val="sk-SK"/>
        </w:rPr>
        <w:t xml:space="preserve"> </w:t>
      </w:r>
      <w:r w:rsidRPr="00507E09">
        <w:rPr>
          <w:sz w:val="18"/>
          <w:lang w:val="sk-SK"/>
        </w:rPr>
        <w:t>randomizácie;</w:t>
      </w:r>
      <w:r w:rsidRPr="00507E09">
        <w:rPr>
          <w:spacing w:val="-3"/>
          <w:sz w:val="18"/>
          <w:lang w:val="sk-SK"/>
        </w:rPr>
        <w:t xml:space="preserve"> </w:t>
      </w:r>
      <w:r w:rsidRPr="00507E09">
        <w:rPr>
          <w:sz w:val="18"/>
          <w:lang w:val="sk-SK"/>
        </w:rPr>
        <w:t>v</w:t>
      </w:r>
      <w:r w:rsidRPr="00507E09">
        <w:rPr>
          <w:spacing w:val="-4"/>
          <w:sz w:val="18"/>
          <w:lang w:val="sk-SK"/>
        </w:rPr>
        <w:t xml:space="preserve"> </w:t>
      </w:r>
      <w:r w:rsidRPr="00507E09">
        <w:rPr>
          <w:sz w:val="18"/>
          <w:lang w:val="sk-SK"/>
        </w:rPr>
        <w:t>štúdii</w:t>
      </w:r>
      <w:r w:rsidRPr="00507E09">
        <w:rPr>
          <w:spacing w:val="-3"/>
          <w:sz w:val="18"/>
          <w:lang w:val="sk-SK"/>
        </w:rPr>
        <w:t xml:space="preserve"> </w:t>
      </w:r>
      <w:r w:rsidRPr="00507E09">
        <w:rPr>
          <w:sz w:val="18"/>
          <w:lang w:val="sk-SK"/>
        </w:rPr>
        <w:t>316</w:t>
      </w:r>
      <w:r w:rsidRPr="00507E09">
        <w:rPr>
          <w:spacing w:val="-3"/>
          <w:sz w:val="18"/>
          <w:lang w:val="sk-SK"/>
        </w:rPr>
        <w:t xml:space="preserve"> </w:t>
      </w:r>
      <w:r w:rsidRPr="00507E09">
        <w:rPr>
          <w:sz w:val="18"/>
          <w:lang w:val="sk-SK"/>
        </w:rPr>
        <w:t>to</w:t>
      </w:r>
      <w:r w:rsidRPr="00507E09">
        <w:rPr>
          <w:spacing w:val="-3"/>
          <w:sz w:val="18"/>
          <w:lang w:val="sk-SK"/>
        </w:rPr>
        <w:t xml:space="preserve"> </w:t>
      </w:r>
      <w:r w:rsidRPr="00507E09">
        <w:rPr>
          <w:sz w:val="18"/>
          <w:lang w:val="sk-SK"/>
        </w:rPr>
        <w:t>bola</w:t>
      </w:r>
      <w:r w:rsidRPr="00507E09">
        <w:rPr>
          <w:spacing w:val="-3"/>
          <w:sz w:val="18"/>
          <w:lang w:val="sk-SK"/>
        </w:rPr>
        <w:t xml:space="preserve"> </w:t>
      </w:r>
      <w:r w:rsidRPr="00507E09">
        <w:rPr>
          <w:sz w:val="18"/>
          <w:lang w:val="sk-SK"/>
        </w:rPr>
        <w:t>doba</w:t>
      </w:r>
      <w:r w:rsidRPr="00507E09">
        <w:rPr>
          <w:spacing w:val="-3"/>
          <w:sz w:val="18"/>
          <w:lang w:val="sk-SK"/>
        </w:rPr>
        <w:t xml:space="preserve"> </w:t>
      </w:r>
      <w:r w:rsidRPr="00507E09">
        <w:rPr>
          <w:sz w:val="18"/>
          <w:lang w:val="sk-SK"/>
        </w:rPr>
        <w:t>od</w:t>
      </w:r>
      <w:r w:rsidRPr="00507E09">
        <w:rPr>
          <w:spacing w:val="-2"/>
          <w:sz w:val="18"/>
          <w:lang w:val="sk-SK"/>
        </w:rPr>
        <w:t xml:space="preserve"> </w:t>
      </w:r>
      <w:r w:rsidRPr="00507E09">
        <w:rPr>
          <w:sz w:val="18"/>
          <w:lang w:val="sk-SK"/>
        </w:rPr>
        <w:t>východiskového</w:t>
      </w:r>
      <w:r w:rsidRPr="00507E09">
        <w:rPr>
          <w:spacing w:val="-1"/>
          <w:sz w:val="18"/>
          <w:lang w:val="sk-SK"/>
        </w:rPr>
        <w:t xml:space="preserve"> </w:t>
      </w:r>
      <w:r w:rsidRPr="00507E09">
        <w:rPr>
          <w:sz w:val="18"/>
          <w:lang w:val="sk-SK"/>
        </w:rPr>
        <w:t>dňa po 111. deň od východiskového</w:t>
      </w:r>
      <w:r w:rsidRPr="00507E09">
        <w:rPr>
          <w:spacing w:val="-20"/>
          <w:sz w:val="18"/>
          <w:lang w:val="sk-SK"/>
        </w:rPr>
        <w:t xml:space="preserve"> </w:t>
      </w:r>
      <w:r w:rsidRPr="00507E09">
        <w:rPr>
          <w:sz w:val="18"/>
          <w:lang w:val="sk-SK"/>
        </w:rPr>
        <w:t>dňa.</w:t>
      </w:r>
    </w:p>
    <w:p w14:paraId="224BCECE" w14:textId="77777777" w:rsidR="00F84229" w:rsidRDefault="00F132B6">
      <w:pPr>
        <w:tabs>
          <w:tab w:val="left" w:pos="535"/>
        </w:tabs>
        <w:ind w:left="535" w:right="221" w:hanging="358"/>
        <w:rPr>
          <w:sz w:val="18"/>
          <w:lang w:val="sk-SK"/>
        </w:rPr>
      </w:pPr>
      <w:r w:rsidRPr="00507E09">
        <w:rPr>
          <w:sz w:val="18"/>
          <w:lang w:val="sk-SK"/>
        </w:rPr>
        <w:t>d:</w:t>
      </w:r>
      <w:r w:rsidRPr="00507E09">
        <w:rPr>
          <w:sz w:val="18"/>
          <w:lang w:val="sk-SK"/>
        </w:rPr>
        <w:tab/>
        <w:t xml:space="preserve">Všetci randomizovaní pacienti </w:t>
      </w:r>
    </w:p>
    <w:p w14:paraId="5149732D" w14:textId="77777777" w:rsidR="00F132B6" w:rsidRPr="00507E09" w:rsidRDefault="00F132B6">
      <w:pPr>
        <w:tabs>
          <w:tab w:val="left" w:pos="535"/>
        </w:tabs>
        <w:spacing w:before="2"/>
        <w:ind w:left="178" w:right="6686"/>
        <w:rPr>
          <w:sz w:val="18"/>
          <w:lang w:val="sk-SK"/>
        </w:rPr>
      </w:pPr>
      <w:r w:rsidRPr="00507E09">
        <w:rPr>
          <w:sz w:val="18"/>
          <w:lang w:val="sk-SK"/>
        </w:rPr>
        <w:t>e:</w:t>
      </w:r>
      <w:r w:rsidRPr="00507E09">
        <w:rPr>
          <w:sz w:val="18"/>
          <w:lang w:val="sk-SK"/>
        </w:rPr>
        <w:tab/>
        <w:t>Všetci liečení pacienti</w:t>
      </w:r>
    </w:p>
    <w:p w14:paraId="09D463FC" w14:textId="77777777" w:rsidR="00F132B6" w:rsidRPr="00507E09" w:rsidRDefault="00F132B6">
      <w:pPr>
        <w:pStyle w:val="Zkladntext"/>
        <w:spacing w:before="11"/>
        <w:rPr>
          <w:sz w:val="21"/>
          <w:lang w:val="sk-SK"/>
        </w:rPr>
      </w:pPr>
    </w:p>
    <w:p w14:paraId="340C7DD5" w14:textId="77777777" w:rsidR="00F132B6" w:rsidRPr="00507E09" w:rsidRDefault="00F132B6">
      <w:pPr>
        <w:pStyle w:val="Zkladntext"/>
        <w:spacing w:after="5"/>
        <w:ind w:left="178"/>
        <w:rPr>
          <w:lang w:val="sk-SK"/>
        </w:rPr>
      </w:pPr>
      <w:r w:rsidRPr="00507E09">
        <w:rPr>
          <w:b/>
          <w:lang w:val="sk-SK"/>
        </w:rPr>
        <w:t xml:space="preserve">Tabuľka 6. </w:t>
      </w:r>
      <w:r w:rsidRPr="00507E09">
        <w:rPr>
          <w:lang w:val="sk-SK"/>
        </w:rPr>
        <w:t>Výsledky klinických štúdií profylaxie invazívnych mykotických infekcií</w:t>
      </w:r>
    </w:p>
    <w:tbl>
      <w:tblPr>
        <w:tblW w:w="0" w:type="auto"/>
        <w:tblInd w:w="17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072"/>
        <w:gridCol w:w="3070"/>
        <w:gridCol w:w="2926"/>
      </w:tblGrid>
      <w:tr w:rsidR="00F132B6" w:rsidRPr="00507E09" w14:paraId="69100E87" w14:textId="77777777" w:rsidTr="009700BD">
        <w:trPr>
          <w:trHeight w:hRule="exact" w:val="595"/>
        </w:trPr>
        <w:tc>
          <w:tcPr>
            <w:tcW w:w="3072" w:type="dxa"/>
            <w:tcBorders>
              <w:left w:val="single" w:sz="2" w:space="0" w:color="000000"/>
              <w:right w:val="single" w:sz="2" w:space="0" w:color="000000"/>
            </w:tcBorders>
          </w:tcPr>
          <w:p w14:paraId="5E443290" w14:textId="77777777" w:rsidR="00F132B6" w:rsidRPr="00507E09" w:rsidRDefault="00F132B6" w:rsidP="00E13FB9">
            <w:pPr>
              <w:pStyle w:val="TableParagraph"/>
              <w:spacing w:before="30"/>
              <w:ind w:left="1207" w:right="1207"/>
              <w:rPr>
                <w:b/>
                <w:lang w:val="sk-SK"/>
              </w:rPr>
            </w:pPr>
            <w:r w:rsidRPr="00507E09">
              <w:rPr>
                <w:b/>
                <w:lang w:val="sk-SK"/>
              </w:rPr>
              <w:t>Štúdia</w:t>
            </w:r>
          </w:p>
        </w:tc>
        <w:tc>
          <w:tcPr>
            <w:tcW w:w="3070" w:type="dxa"/>
            <w:tcBorders>
              <w:left w:val="single" w:sz="2" w:space="0" w:color="000000"/>
              <w:right w:val="single" w:sz="2" w:space="0" w:color="000000"/>
            </w:tcBorders>
          </w:tcPr>
          <w:p w14:paraId="7954A483" w14:textId="77777777" w:rsidR="00F132B6" w:rsidRPr="00507E09" w:rsidRDefault="00F132B6" w:rsidP="009258AC">
            <w:pPr>
              <w:pStyle w:val="TableParagraph"/>
              <w:spacing w:before="35" w:line="250" w:lineRule="exact"/>
              <w:ind w:left="561" w:right="486" w:hanging="68"/>
              <w:rPr>
                <w:b/>
                <w:lang w:val="sk-SK"/>
              </w:rPr>
            </w:pPr>
            <w:r w:rsidRPr="00507E09">
              <w:rPr>
                <w:b/>
                <w:lang w:val="sk-SK"/>
              </w:rPr>
              <w:t>Posakonazol vo forme perorálnej suspenzie</w:t>
            </w:r>
          </w:p>
        </w:tc>
        <w:tc>
          <w:tcPr>
            <w:tcW w:w="2926" w:type="dxa"/>
            <w:tcBorders>
              <w:left w:val="single" w:sz="2" w:space="0" w:color="000000"/>
              <w:right w:val="single" w:sz="2" w:space="0" w:color="000000"/>
            </w:tcBorders>
          </w:tcPr>
          <w:p w14:paraId="3F382C80" w14:textId="77777777" w:rsidR="00F132B6" w:rsidRPr="00507E09" w:rsidRDefault="00F132B6" w:rsidP="00E13FB9">
            <w:pPr>
              <w:pStyle w:val="TableParagraph"/>
              <w:spacing w:before="4"/>
              <w:ind w:left="978" w:right="976"/>
              <w:rPr>
                <w:b/>
                <w:sz w:val="14"/>
                <w:lang w:val="sk-SK"/>
              </w:rPr>
            </w:pPr>
            <w:r w:rsidRPr="00507E09">
              <w:rPr>
                <w:b/>
                <w:lang w:val="sk-SK"/>
              </w:rPr>
              <w:t>Kontrola</w:t>
            </w:r>
            <w:r w:rsidRPr="00507E09">
              <w:rPr>
                <w:b/>
                <w:position w:val="10"/>
                <w:sz w:val="14"/>
                <w:lang w:val="sk-SK"/>
              </w:rPr>
              <w:t>a</w:t>
            </w:r>
          </w:p>
        </w:tc>
      </w:tr>
      <w:tr w:rsidR="00F132B6" w:rsidRPr="00507E09" w14:paraId="2BED7150" w14:textId="77777777" w:rsidTr="009700BD">
        <w:trPr>
          <w:trHeight w:hRule="exact" w:val="343"/>
        </w:trPr>
        <w:tc>
          <w:tcPr>
            <w:tcW w:w="9067" w:type="dxa"/>
            <w:gridSpan w:val="3"/>
            <w:tcBorders>
              <w:left w:val="single" w:sz="2" w:space="0" w:color="000000"/>
              <w:right w:val="single" w:sz="2" w:space="0" w:color="000000"/>
            </w:tcBorders>
          </w:tcPr>
          <w:p w14:paraId="280A3DB1" w14:textId="77777777" w:rsidR="00F132B6" w:rsidRPr="00507E09" w:rsidRDefault="00F132B6" w:rsidP="009258AC">
            <w:pPr>
              <w:pStyle w:val="TableParagraph"/>
              <w:spacing w:before="30"/>
              <w:ind w:left="1507"/>
              <w:rPr>
                <w:b/>
                <w:lang w:val="sk-SK"/>
              </w:rPr>
            </w:pPr>
            <w:r w:rsidRPr="00507E09">
              <w:rPr>
                <w:b/>
                <w:lang w:val="sk-SK"/>
              </w:rPr>
              <w:t>Podiel (%) pacientov s dokázanou/predpokladanou aspergilózou</w:t>
            </w:r>
          </w:p>
        </w:tc>
      </w:tr>
      <w:tr w:rsidR="00F132B6" w:rsidRPr="00507E09" w14:paraId="3BF944E9" w14:textId="77777777" w:rsidTr="009700BD">
        <w:trPr>
          <w:trHeight w:hRule="exact" w:val="331"/>
        </w:trPr>
        <w:tc>
          <w:tcPr>
            <w:tcW w:w="9067" w:type="dxa"/>
            <w:gridSpan w:val="3"/>
            <w:tcBorders>
              <w:left w:val="single" w:sz="2" w:space="0" w:color="000000"/>
              <w:bottom w:val="single" w:sz="2" w:space="0" w:color="000000"/>
              <w:right w:val="single" w:sz="2" w:space="0" w:color="000000"/>
            </w:tcBorders>
          </w:tcPr>
          <w:p w14:paraId="4F20E4E0" w14:textId="77777777" w:rsidR="00F132B6" w:rsidRPr="00507E09" w:rsidRDefault="00F132B6" w:rsidP="00E13FB9">
            <w:pPr>
              <w:pStyle w:val="TableParagraph"/>
              <w:spacing w:before="4"/>
              <w:ind w:left="3475" w:right="3476"/>
              <w:rPr>
                <w:b/>
                <w:sz w:val="14"/>
                <w:lang w:val="sk-SK"/>
              </w:rPr>
            </w:pPr>
            <w:r w:rsidRPr="00507E09">
              <w:rPr>
                <w:b/>
                <w:lang w:val="sk-SK"/>
              </w:rPr>
              <w:t>Obdobie počas liečby</w:t>
            </w:r>
            <w:r w:rsidRPr="00507E09">
              <w:rPr>
                <w:b/>
                <w:position w:val="10"/>
                <w:sz w:val="14"/>
                <w:lang w:val="sk-SK"/>
              </w:rPr>
              <w:t>b</w:t>
            </w:r>
          </w:p>
        </w:tc>
      </w:tr>
      <w:tr w:rsidR="00F132B6" w:rsidRPr="00507E09" w14:paraId="015FFBA6" w14:textId="77777777" w:rsidTr="009700BD">
        <w:trPr>
          <w:trHeight w:hRule="exact" w:val="319"/>
        </w:trPr>
        <w:tc>
          <w:tcPr>
            <w:tcW w:w="3072" w:type="dxa"/>
            <w:tcBorders>
              <w:top w:val="single" w:sz="2" w:space="0" w:color="000000"/>
              <w:left w:val="single" w:sz="2" w:space="0" w:color="000000"/>
              <w:bottom w:val="single" w:sz="2" w:space="0" w:color="000000"/>
              <w:right w:val="single" w:sz="2" w:space="0" w:color="000000"/>
            </w:tcBorders>
          </w:tcPr>
          <w:p w14:paraId="64D568D2"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3070" w:type="dxa"/>
            <w:tcBorders>
              <w:top w:val="single" w:sz="2" w:space="0" w:color="000000"/>
              <w:left w:val="single" w:sz="2" w:space="0" w:color="000000"/>
              <w:bottom w:val="single" w:sz="2" w:space="0" w:color="000000"/>
              <w:right w:val="single" w:sz="2" w:space="0" w:color="000000"/>
            </w:tcBorders>
          </w:tcPr>
          <w:p w14:paraId="6A2339BF" w14:textId="77777777" w:rsidR="00F132B6" w:rsidRPr="00507E09" w:rsidRDefault="00F132B6" w:rsidP="00474F1E">
            <w:pPr>
              <w:pStyle w:val="TableParagraph"/>
              <w:spacing w:before="22"/>
              <w:ind w:left="1123"/>
              <w:rPr>
                <w:lang w:val="sk-SK"/>
              </w:rPr>
            </w:pPr>
            <w:r w:rsidRPr="00507E09">
              <w:rPr>
                <w:lang w:val="sk-SK"/>
              </w:rPr>
              <w:t>2/304 (1)</w:t>
            </w:r>
          </w:p>
        </w:tc>
        <w:tc>
          <w:tcPr>
            <w:tcW w:w="2926" w:type="dxa"/>
            <w:tcBorders>
              <w:top w:val="single" w:sz="2" w:space="0" w:color="000000"/>
              <w:left w:val="single" w:sz="2" w:space="0" w:color="000000"/>
              <w:bottom w:val="single" w:sz="2" w:space="0" w:color="000000"/>
              <w:right w:val="single" w:sz="2" w:space="0" w:color="000000"/>
            </w:tcBorders>
          </w:tcPr>
          <w:p w14:paraId="646B3F15" w14:textId="77777777" w:rsidR="00F132B6" w:rsidRPr="00507E09" w:rsidRDefault="00F132B6" w:rsidP="00E13FB9">
            <w:pPr>
              <w:pStyle w:val="TableParagraph"/>
              <w:spacing w:before="22"/>
              <w:ind w:left="978" w:right="975"/>
              <w:rPr>
                <w:lang w:val="sk-SK"/>
              </w:rPr>
            </w:pPr>
            <w:r w:rsidRPr="00507E09">
              <w:rPr>
                <w:lang w:val="sk-SK"/>
              </w:rPr>
              <w:t>20/298 (7)</w:t>
            </w:r>
          </w:p>
        </w:tc>
      </w:tr>
      <w:tr w:rsidR="00F132B6" w:rsidRPr="00507E09" w14:paraId="538CF2DD" w14:textId="77777777" w:rsidTr="009700BD">
        <w:trPr>
          <w:trHeight w:hRule="exact" w:val="317"/>
        </w:trPr>
        <w:tc>
          <w:tcPr>
            <w:tcW w:w="3072" w:type="dxa"/>
            <w:tcBorders>
              <w:top w:val="single" w:sz="2" w:space="0" w:color="000000"/>
              <w:left w:val="single" w:sz="2" w:space="0" w:color="000000"/>
              <w:bottom w:val="single" w:sz="2" w:space="0" w:color="000000"/>
              <w:right w:val="single" w:sz="2" w:space="0" w:color="000000"/>
            </w:tcBorders>
          </w:tcPr>
          <w:p w14:paraId="5A45BBD0"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e</w:t>
            </w:r>
          </w:p>
        </w:tc>
        <w:tc>
          <w:tcPr>
            <w:tcW w:w="3070" w:type="dxa"/>
            <w:tcBorders>
              <w:top w:val="single" w:sz="2" w:space="0" w:color="000000"/>
              <w:left w:val="single" w:sz="2" w:space="0" w:color="000000"/>
              <w:bottom w:val="single" w:sz="2" w:space="0" w:color="000000"/>
              <w:right w:val="single" w:sz="2" w:space="0" w:color="000000"/>
            </w:tcBorders>
          </w:tcPr>
          <w:p w14:paraId="4042F05B" w14:textId="77777777" w:rsidR="00F132B6" w:rsidRPr="00507E09" w:rsidRDefault="00F132B6" w:rsidP="00474F1E">
            <w:pPr>
              <w:pStyle w:val="TableParagraph"/>
              <w:spacing w:before="22"/>
              <w:ind w:left="1123"/>
              <w:rPr>
                <w:lang w:val="sk-SK"/>
              </w:rPr>
            </w:pPr>
            <w:r w:rsidRPr="00507E09">
              <w:rPr>
                <w:lang w:val="sk-SK"/>
              </w:rPr>
              <w:t>3/291 (1)</w:t>
            </w:r>
          </w:p>
        </w:tc>
        <w:tc>
          <w:tcPr>
            <w:tcW w:w="2926" w:type="dxa"/>
            <w:tcBorders>
              <w:top w:val="single" w:sz="2" w:space="0" w:color="000000"/>
              <w:left w:val="single" w:sz="2" w:space="0" w:color="000000"/>
              <w:bottom w:val="single" w:sz="2" w:space="0" w:color="000000"/>
              <w:right w:val="single" w:sz="2" w:space="0" w:color="000000"/>
            </w:tcBorders>
          </w:tcPr>
          <w:p w14:paraId="630BB789" w14:textId="77777777" w:rsidR="00F132B6" w:rsidRPr="00507E09" w:rsidRDefault="00F132B6" w:rsidP="00E13FB9">
            <w:pPr>
              <w:pStyle w:val="TableParagraph"/>
              <w:spacing w:before="22"/>
              <w:ind w:left="978" w:right="975"/>
              <w:rPr>
                <w:lang w:val="sk-SK"/>
              </w:rPr>
            </w:pPr>
            <w:r w:rsidRPr="00507E09">
              <w:rPr>
                <w:lang w:val="sk-SK"/>
              </w:rPr>
              <w:t>17/288 (6)</w:t>
            </w:r>
          </w:p>
        </w:tc>
      </w:tr>
      <w:tr w:rsidR="00F132B6" w:rsidRPr="00507E09" w14:paraId="0261C8E4" w14:textId="77777777" w:rsidTr="009700BD">
        <w:trPr>
          <w:trHeight w:hRule="exact" w:val="319"/>
        </w:trPr>
        <w:tc>
          <w:tcPr>
            <w:tcW w:w="9067" w:type="dxa"/>
            <w:gridSpan w:val="3"/>
            <w:tcBorders>
              <w:top w:val="single" w:sz="2" w:space="0" w:color="000000"/>
              <w:left w:val="single" w:sz="2" w:space="0" w:color="000000"/>
              <w:bottom w:val="single" w:sz="2" w:space="0" w:color="000000"/>
              <w:right w:val="single" w:sz="2" w:space="0" w:color="000000"/>
            </w:tcBorders>
          </w:tcPr>
          <w:p w14:paraId="614DD7EF" w14:textId="77777777" w:rsidR="00F132B6" w:rsidRPr="00507E09" w:rsidRDefault="00F132B6" w:rsidP="00E13FB9">
            <w:pPr>
              <w:pStyle w:val="TableParagraph"/>
              <w:spacing w:before="2"/>
              <w:ind w:left="3475" w:right="3475"/>
              <w:rPr>
                <w:b/>
                <w:sz w:val="14"/>
                <w:lang w:val="sk-SK"/>
              </w:rPr>
            </w:pPr>
            <w:r w:rsidRPr="00507E09">
              <w:rPr>
                <w:b/>
                <w:lang w:val="sk-SK"/>
              </w:rPr>
              <w:t>Fixné obdobie</w:t>
            </w:r>
            <w:r w:rsidRPr="00507E09">
              <w:rPr>
                <w:b/>
                <w:position w:val="10"/>
                <w:sz w:val="14"/>
                <w:lang w:val="sk-SK"/>
              </w:rPr>
              <w:t>c</w:t>
            </w:r>
          </w:p>
        </w:tc>
      </w:tr>
      <w:tr w:rsidR="00F132B6" w:rsidRPr="00507E09" w14:paraId="03679986" w14:textId="77777777" w:rsidTr="009700BD">
        <w:trPr>
          <w:trHeight w:hRule="exact" w:val="317"/>
        </w:trPr>
        <w:tc>
          <w:tcPr>
            <w:tcW w:w="3072" w:type="dxa"/>
            <w:tcBorders>
              <w:top w:val="single" w:sz="2" w:space="0" w:color="000000"/>
              <w:left w:val="single" w:sz="2" w:space="0" w:color="000000"/>
              <w:bottom w:val="single" w:sz="2" w:space="0" w:color="000000"/>
              <w:right w:val="single" w:sz="2" w:space="0" w:color="000000"/>
            </w:tcBorders>
          </w:tcPr>
          <w:p w14:paraId="7C6476DE"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3070" w:type="dxa"/>
            <w:tcBorders>
              <w:top w:val="single" w:sz="2" w:space="0" w:color="000000"/>
              <w:left w:val="single" w:sz="2" w:space="0" w:color="000000"/>
              <w:bottom w:val="single" w:sz="2" w:space="0" w:color="000000"/>
              <w:right w:val="single" w:sz="2" w:space="0" w:color="000000"/>
            </w:tcBorders>
          </w:tcPr>
          <w:p w14:paraId="35310AA7" w14:textId="77777777" w:rsidR="00F132B6" w:rsidRPr="00507E09" w:rsidRDefault="00F132B6" w:rsidP="00474F1E">
            <w:pPr>
              <w:pStyle w:val="TableParagraph"/>
              <w:spacing w:before="22"/>
              <w:ind w:left="1123"/>
              <w:rPr>
                <w:lang w:val="sk-SK"/>
              </w:rPr>
            </w:pPr>
            <w:r w:rsidRPr="00507E09">
              <w:rPr>
                <w:lang w:val="sk-SK"/>
              </w:rPr>
              <w:t>4/304 (1)</w:t>
            </w:r>
          </w:p>
        </w:tc>
        <w:tc>
          <w:tcPr>
            <w:tcW w:w="2926" w:type="dxa"/>
            <w:tcBorders>
              <w:top w:val="single" w:sz="2" w:space="0" w:color="000000"/>
              <w:left w:val="single" w:sz="2" w:space="0" w:color="000000"/>
              <w:bottom w:val="single" w:sz="2" w:space="0" w:color="000000"/>
              <w:right w:val="single" w:sz="2" w:space="0" w:color="000000"/>
            </w:tcBorders>
          </w:tcPr>
          <w:p w14:paraId="357277B8" w14:textId="77777777" w:rsidR="00F132B6" w:rsidRPr="00507E09" w:rsidRDefault="00F132B6" w:rsidP="00E13FB9">
            <w:pPr>
              <w:pStyle w:val="TableParagraph"/>
              <w:spacing w:before="22"/>
              <w:ind w:left="978" w:right="975"/>
              <w:rPr>
                <w:lang w:val="sk-SK"/>
              </w:rPr>
            </w:pPr>
            <w:r w:rsidRPr="00507E09">
              <w:rPr>
                <w:lang w:val="sk-SK"/>
              </w:rPr>
              <w:t>26/298 (9)</w:t>
            </w:r>
          </w:p>
        </w:tc>
      </w:tr>
      <w:tr w:rsidR="00F132B6" w:rsidRPr="00507E09" w14:paraId="6D0C9CD4" w14:textId="77777777" w:rsidTr="009700BD">
        <w:trPr>
          <w:trHeight w:hRule="exact" w:val="319"/>
        </w:trPr>
        <w:tc>
          <w:tcPr>
            <w:tcW w:w="3072" w:type="dxa"/>
            <w:tcBorders>
              <w:top w:val="single" w:sz="2" w:space="0" w:color="000000"/>
              <w:left w:val="single" w:sz="2" w:space="0" w:color="000000"/>
              <w:bottom w:val="single" w:sz="2" w:space="0" w:color="000000"/>
              <w:right w:val="single" w:sz="2" w:space="0" w:color="000000"/>
            </w:tcBorders>
          </w:tcPr>
          <w:p w14:paraId="38796EB0"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d</w:t>
            </w:r>
          </w:p>
        </w:tc>
        <w:tc>
          <w:tcPr>
            <w:tcW w:w="3070" w:type="dxa"/>
            <w:tcBorders>
              <w:top w:val="single" w:sz="2" w:space="0" w:color="000000"/>
              <w:left w:val="single" w:sz="2" w:space="0" w:color="000000"/>
              <w:bottom w:val="single" w:sz="2" w:space="0" w:color="000000"/>
              <w:right w:val="single" w:sz="2" w:space="0" w:color="000000"/>
            </w:tcBorders>
          </w:tcPr>
          <w:p w14:paraId="25983AF1" w14:textId="77777777" w:rsidR="00F132B6" w:rsidRPr="00507E09" w:rsidRDefault="00F132B6" w:rsidP="00474F1E">
            <w:pPr>
              <w:pStyle w:val="TableParagraph"/>
              <w:spacing w:before="22"/>
              <w:ind w:left="1123"/>
              <w:rPr>
                <w:lang w:val="sk-SK"/>
              </w:rPr>
            </w:pPr>
            <w:r w:rsidRPr="00507E09">
              <w:rPr>
                <w:lang w:val="sk-SK"/>
              </w:rPr>
              <w:t>7/301 (2)</w:t>
            </w:r>
          </w:p>
        </w:tc>
        <w:tc>
          <w:tcPr>
            <w:tcW w:w="2926" w:type="dxa"/>
            <w:tcBorders>
              <w:top w:val="single" w:sz="2" w:space="0" w:color="000000"/>
              <w:left w:val="single" w:sz="2" w:space="0" w:color="000000"/>
              <w:bottom w:val="single" w:sz="2" w:space="0" w:color="000000"/>
              <w:right w:val="single" w:sz="2" w:space="0" w:color="000000"/>
            </w:tcBorders>
          </w:tcPr>
          <w:p w14:paraId="5C1A03B2" w14:textId="77777777" w:rsidR="00F132B6" w:rsidRPr="00507E09" w:rsidRDefault="00F132B6" w:rsidP="00E13FB9">
            <w:pPr>
              <w:pStyle w:val="TableParagraph"/>
              <w:spacing w:before="22"/>
              <w:ind w:left="978" w:right="975"/>
              <w:rPr>
                <w:lang w:val="sk-SK"/>
              </w:rPr>
            </w:pPr>
            <w:r w:rsidRPr="00507E09">
              <w:rPr>
                <w:lang w:val="sk-SK"/>
              </w:rPr>
              <w:t>21/299 (7)</w:t>
            </w:r>
          </w:p>
        </w:tc>
      </w:tr>
    </w:tbl>
    <w:p w14:paraId="17E950B4" w14:textId="77777777" w:rsidR="00F132B6" w:rsidRPr="00507E09" w:rsidRDefault="00F132B6" w:rsidP="009258AC">
      <w:pPr>
        <w:tabs>
          <w:tab w:val="left" w:pos="535"/>
        </w:tabs>
        <w:ind w:left="178" w:right="5002"/>
        <w:rPr>
          <w:sz w:val="18"/>
          <w:lang w:val="sk-SK"/>
        </w:rPr>
      </w:pPr>
      <w:r w:rsidRPr="00507E09">
        <w:rPr>
          <w:sz w:val="18"/>
          <w:lang w:val="sk-SK"/>
        </w:rPr>
        <w:t>FLU = fluko</w:t>
      </w:r>
      <w:r w:rsidR="00E63549">
        <w:rPr>
          <w:sz w:val="18"/>
          <w:lang w:val="sk-SK"/>
        </w:rPr>
        <w:t>nazol; ITZ = itrakonazol; POS=</w:t>
      </w:r>
      <w:r w:rsidRPr="00507E09">
        <w:rPr>
          <w:sz w:val="18"/>
          <w:lang w:val="sk-SK"/>
        </w:rPr>
        <w:t>posakonazol. a:</w:t>
      </w:r>
      <w:r w:rsidRPr="00507E09">
        <w:rPr>
          <w:sz w:val="18"/>
          <w:lang w:val="sk-SK"/>
        </w:rPr>
        <w:tab/>
        <w:t>FLU/ITZ (1 899); FLU</w:t>
      </w:r>
      <w:r w:rsidRPr="00507E09">
        <w:rPr>
          <w:spacing w:val="-7"/>
          <w:sz w:val="18"/>
          <w:lang w:val="sk-SK"/>
        </w:rPr>
        <w:t xml:space="preserve"> </w:t>
      </w:r>
      <w:r w:rsidRPr="00507E09">
        <w:rPr>
          <w:sz w:val="18"/>
          <w:lang w:val="sk-SK"/>
        </w:rPr>
        <w:t>(316)</w:t>
      </w:r>
    </w:p>
    <w:p w14:paraId="6CC9BB37" w14:textId="77777777" w:rsidR="00F132B6" w:rsidRPr="00507E09" w:rsidRDefault="00F132B6" w:rsidP="00474F1E">
      <w:pPr>
        <w:tabs>
          <w:tab w:val="left" w:pos="535"/>
        </w:tabs>
        <w:ind w:left="535" w:right="221" w:hanging="358"/>
        <w:rPr>
          <w:sz w:val="18"/>
          <w:lang w:val="sk-SK"/>
        </w:rPr>
      </w:pPr>
      <w:r w:rsidRPr="00507E09">
        <w:rPr>
          <w:sz w:val="18"/>
          <w:lang w:val="sk-SK"/>
        </w:rPr>
        <w:t>b:</w:t>
      </w:r>
      <w:r w:rsidRPr="00507E09">
        <w:rPr>
          <w:sz w:val="18"/>
          <w:lang w:val="sk-SK"/>
        </w:rPr>
        <w:tab/>
        <w:t>V štúdii 1 899 to bola doba od randomizácie po poslednú dávku skúšaného lieku plus 7 dní; v štúdii 316 to bola</w:t>
      </w:r>
      <w:r w:rsidRPr="00507E09">
        <w:rPr>
          <w:spacing w:val="-7"/>
          <w:sz w:val="18"/>
          <w:lang w:val="sk-SK"/>
        </w:rPr>
        <w:t xml:space="preserve"> </w:t>
      </w:r>
      <w:r w:rsidRPr="00507E09">
        <w:rPr>
          <w:sz w:val="18"/>
          <w:lang w:val="sk-SK"/>
        </w:rPr>
        <w:t>doba od prvej dávky po poslednú dávku skúšaného lieku plus 7</w:t>
      </w:r>
      <w:r w:rsidRPr="00507E09">
        <w:rPr>
          <w:spacing w:val="-1"/>
          <w:sz w:val="18"/>
          <w:lang w:val="sk-SK"/>
        </w:rPr>
        <w:t xml:space="preserve"> </w:t>
      </w:r>
      <w:r w:rsidRPr="00507E09">
        <w:rPr>
          <w:sz w:val="18"/>
          <w:lang w:val="sk-SK"/>
        </w:rPr>
        <w:t>dní.</w:t>
      </w:r>
    </w:p>
    <w:p w14:paraId="1220252B" w14:textId="77777777" w:rsidR="00F132B6" w:rsidRPr="00507E09" w:rsidRDefault="00F132B6">
      <w:pPr>
        <w:tabs>
          <w:tab w:val="left" w:pos="535"/>
        </w:tabs>
        <w:spacing w:before="2"/>
        <w:ind w:left="535" w:right="227" w:hanging="358"/>
        <w:rPr>
          <w:sz w:val="18"/>
          <w:lang w:val="sk-SK"/>
        </w:rPr>
      </w:pPr>
      <w:r w:rsidRPr="00507E09">
        <w:rPr>
          <w:sz w:val="18"/>
          <w:lang w:val="sk-SK"/>
        </w:rPr>
        <w:t>c:</w:t>
      </w:r>
      <w:r w:rsidRPr="00507E09">
        <w:rPr>
          <w:sz w:val="18"/>
          <w:lang w:val="sk-SK"/>
        </w:rPr>
        <w:tab/>
        <w:t>V</w:t>
      </w:r>
      <w:r w:rsidRPr="00507E09">
        <w:rPr>
          <w:spacing w:val="-1"/>
          <w:sz w:val="18"/>
          <w:lang w:val="sk-SK"/>
        </w:rPr>
        <w:t xml:space="preserve"> </w:t>
      </w:r>
      <w:r w:rsidRPr="00507E09">
        <w:rPr>
          <w:sz w:val="18"/>
          <w:lang w:val="sk-SK"/>
        </w:rPr>
        <w:t>štúdii</w:t>
      </w:r>
      <w:r w:rsidRPr="00507E09">
        <w:rPr>
          <w:spacing w:val="-5"/>
          <w:sz w:val="18"/>
          <w:lang w:val="sk-SK"/>
        </w:rPr>
        <w:t xml:space="preserve"> </w:t>
      </w:r>
      <w:r w:rsidRPr="00507E09">
        <w:rPr>
          <w:sz w:val="18"/>
          <w:lang w:val="sk-SK"/>
        </w:rPr>
        <w:t>1</w:t>
      </w:r>
      <w:r w:rsidRPr="00507E09">
        <w:rPr>
          <w:spacing w:val="-4"/>
          <w:sz w:val="18"/>
          <w:lang w:val="sk-SK"/>
        </w:rPr>
        <w:t xml:space="preserve"> </w:t>
      </w:r>
      <w:r w:rsidRPr="00507E09">
        <w:rPr>
          <w:sz w:val="18"/>
          <w:lang w:val="sk-SK"/>
        </w:rPr>
        <w:t>899</w:t>
      </w:r>
      <w:r w:rsidRPr="00507E09">
        <w:rPr>
          <w:spacing w:val="-4"/>
          <w:sz w:val="18"/>
          <w:lang w:val="sk-SK"/>
        </w:rPr>
        <w:t xml:space="preserve"> </w:t>
      </w:r>
      <w:r w:rsidRPr="00507E09">
        <w:rPr>
          <w:sz w:val="18"/>
          <w:lang w:val="sk-SK"/>
        </w:rPr>
        <w:t>to</w:t>
      </w:r>
      <w:r w:rsidRPr="00507E09">
        <w:rPr>
          <w:spacing w:val="-4"/>
          <w:sz w:val="18"/>
          <w:lang w:val="sk-SK"/>
        </w:rPr>
        <w:t xml:space="preserve"> </w:t>
      </w:r>
      <w:r w:rsidRPr="00507E09">
        <w:rPr>
          <w:sz w:val="18"/>
          <w:lang w:val="sk-SK"/>
        </w:rPr>
        <w:t>bola</w:t>
      </w:r>
      <w:r w:rsidRPr="00507E09">
        <w:rPr>
          <w:spacing w:val="-4"/>
          <w:sz w:val="18"/>
          <w:lang w:val="sk-SK"/>
        </w:rPr>
        <w:t xml:space="preserve"> </w:t>
      </w:r>
      <w:r w:rsidRPr="00507E09">
        <w:rPr>
          <w:sz w:val="18"/>
          <w:lang w:val="sk-SK"/>
        </w:rPr>
        <w:t>doba</w:t>
      </w:r>
      <w:r w:rsidRPr="00507E09">
        <w:rPr>
          <w:spacing w:val="-4"/>
          <w:sz w:val="18"/>
          <w:lang w:val="sk-SK"/>
        </w:rPr>
        <w:t xml:space="preserve"> </w:t>
      </w:r>
      <w:r w:rsidRPr="00507E09">
        <w:rPr>
          <w:sz w:val="18"/>
          <w:lang w:val="sk-SK"/>
        </w:rPr>
        <w:t>od</w:t>
      </w:r>
      <w:r w:rsidRPr="00507E09">
        <w:rPr>
          <w:spacing w:val="-4"/>
          <w:sz w:val="18"/>
          <w:lang w:val="sk-SK"/>
        </w:rPr>
        <w:t xml:space="preserve"> </w:t>
      </w:r>
      <w:r w:rsidRPr="00507E09">
        <w:rPr>
          <w:sz w:val="18"/>
          <w:lang w:val="sk-SK"/>
        </w:rPr>
        <w:t>randomizácie</w:t>
      </w:r>
      <w:r w:rsidRPr="00507E09">
        <w:rPr>
          <w:spacing w:val="-4"/>
          <w:sz w:val="18"/>
          <w:lang w:val="sk-SK"/>
        </w:rPr>
        <w:t xml:space="preserve"> </w:t>
      </w:r>
      <w:r w:rsidRPr="00507E09">
        <w:rPr>
          <w:sz w:val="18"/>
          <w:lang w:val="sk-SK"/>
        </w:rPr>
        <w:t>po</w:t>
      </w:r>
      <w:r w:rsidRPr="00507E09">
        <w:rPr>
          <w:spacing w:val="-2"/>
          <w:sz w:val="18"/>
          <w:lang w:val="sk-SK"/>
        </w:rPr>
        <w:t xml:space="preserve"> </w:t>
      </w:r>
      <w:r w:rsidRPr="00507E09">
        <w:rPr>
          <w:sz w:val="18"/>
          <w:lang w:val="sk-SK"/>
        </w:rPr>
        <w:t>100.</w:t>
      </w:r>
      <w:r w:rsidRPr="00507E09">
        <w:rPr>
          <w:spacing w:val="-2"/>
          <w:sz w:val="18"/>
          <w:lang w:val="sk-SK"/>
        </w:rPr>
        <w:t xml:space="preserve"> </w:t>
      </w:r>
      <w:r w:rsidRPr="00507E09">
        <w:rPr>
          <w:sz w:val="18"/>
          <w:lang w:val="sk-SK"/>
        </w:rPr>
        <w:t>deň</w:t>
      </w:r>
      <w:r w:rsidRPr="00507E09">
        <w:rPr>
          <w:spacing w:val="-4"/>
          <w:sz w:val="18"/>
          <w:lang w:val="sk-SK"/>
        </w:rPr>
        <w:t xml:space="preserve"> </w:t>
      </w:r>
      <w:r w:rsidRPr="00507E09">
        <w:rPr>
          <w:sz w:val="18"/>
          <w:lang w:val="sk-SK"/>
        </w:rPr>
        <w:t>od</w:t>
      </w:r>
      <w:r w:rsidRPr="00507E09">
        <w:rPr>
          <w:spacing w:val="-2"/>
          <w:sz w:val="18"/>
          <w:lang w:val="sk-SK"/>
        </w:rPr>
        <w:t xml:space="preserve"> </w:t>
      </w:r>
      <w:r w:rsidRPr="00507E09">
        <w:rPr>
          <w:sz w:val="18"/>
          <w:lang w:val="sk-SK"/>
        </w:rPr>
        <w:t>randomizácie;</w:t>
      </w:r>
      <w:r w:rsidRPr="00507E09">
        <w:rPr>
          <w:spacing w:val="-3"/>
          <w:sz w:val="18"/>
          <w:lang w:val="sk-SK"/>
        </w:rPr>
        <w:t xml:space="preserve"> </w:t>
      </w:r>
      <w:r w:rsidRPr="00507E09">
        <w:rPr>
          <w:sz w:val="18"/>
          <w:lang w:val="sk-SK"/>
        </w:rPr>
        <w:t>v</w:t>
      </w:r>
      <w:r w:rsidRPr="00507E09">
        <w:rPr>
          <w:spacing w:val="-4"/>
          <w:sz w:val="18"/>
          <w:lang w:val="sk-SK"/>
        </w:rPr>
        <w:t xml:space="preserve"> </w:t>
      </w:r>
      <w:r w:rsidRPr="00507E09">
        <w:rPr>
          <w:sz w:val="18"/>
          <w:lang w:val="sk-SK"/>
        </w:rPr>
        <w:t>štúdii</w:t>
      </w:r>
      <w:r w:rsidRPr="00507E09">
        <w:rPr>
          <w:spacing w:val="-3"/>
          <w:sz w:val="18"/>
          <w:lang w:val="sk-SK"/>
        </w:rPr>
        <w:t xml:space="preserve"> </w:t>
      </w:r>
      <w:r w:rsidRPr="00507E09">
        <w:rPr>
          <w:sz w:val="18"/>
          <w:lang w:val="sk-SK"/>
        </w:rPr>
        <w:t>316</w:t>
      </w:r>
      <w:r w:rsidRPr="00507E09">
        <w:rPr>
          <w:spacing w:val="-3"/>
          <w:sz w:val="18"/>
          <w:lang w:val="sk-SK"/>
        </w:rPr>
        <w:t xml:space="preserve"> </w:t>
      </w:r>
      <w:r w:rsidRPr="00507E09">
        <w:rPr>
          <w:sz w:val="18"/>
          <w:lang w:val="sk-SK"/>
        </w:rPr>
        <w:t>to</w:t>
      </w:r>
      <w:r w:rsidRPr="00507E09">
        <w:rPr>
          <w:spacing w:val="-3"/>
          <w:sz w:val="18"/>
          <w:lang w:val="sk-SK"/>
        </w:rPr>
        <w:t xml:space="preserve"> </w:t>
      </w:r>
      <w:r w:rsidRPr="00507E09">
        <w:rPr>
          <w:sz w:val="18"/>
          <w:lang w:val="sk-SK"/>
        </w:rPr>
        <w:t>bola</w:t>
      </w:r>
      <w:r w:rsidRPr="00507E09">
        <w:rPr>
          <w:spacing w:val="-3"/>
          <w:sz w:val="18"/>
          <w:lang w:val="sk-SK"/>
        </w:rPr>
        <w:t xml:space="preserve"> </w:t>
      </w:r>
      <w:r w:rsidRPr="00507E09">
        <w:rPr>
          <w:sz w:val="18"/>
          <w:lang w:val="sk-SK"/>
        </w:rPr>
        <w:t>doba</w:t>
      </w:r>
      <w:r w:rsidRPr="00507E09">
        <w:rPr>
          <w:spacing w:val="-3"/>
          <w:sz w:val="18"/>
          <w:lang w:val="sk-SK"/>
        </w:rPr>
        <w:t xml:space="preserve"> </w:t>
      </w:r>
      <w:r w:rsidRPr="00507E09">
        <w:rPr>
          <w:sz w:val="18"/>
          <w:lang w:val="sk-SK"/>
        </w:rPr>
        <w:t>od</w:t>
      </w:r>
      <w:r w:rsidRPr="00507E09">
        <w:rPr>
          <w:spacing w:val="-2"/>
          <w:sz w:val="18"/>
          <w:lang w:val="sk-SK"/>
        </w:rPr>
        <w:t xml:space="preserve"> </w:t>
      </w:r>
      <w:r w:rsidRPr="00507E09">
        <w:rPr>
          <w:sz w:val="18"/>
          <w:lang w:val="sk-SK"/>
        </w:rPr>
        <w:t>východiskového</w:t>
      </w:r>
      <w:r w:rsidRPr="00507E09">
        <w:rPr>
          <w:spacing w:val="-1"/>
          <w:sz w:val="18"/>
          <w:lang w:val="sk-SK"/>
        </w:rPr>
        <w:t xml:space="preserve"> </w:t>
      </w:r>
      <w:r w:rsidRPr="00507E09">
        <w:rPr>
          <w:sz w:val="18"/>
          <w:lang w:val="sk-SK"/>
        </w:rPr>
        <w:t>dňa po 111. deň od východiskového</w:t>
      </w:r>
      <w:r w:rsidRPr="00507E09">
        <w:rPr>
          <w:spacing w:val="-16"/>
          <w:sz w:val="18"/>
          <w:lang w:val="sk-SK"/>
        </w:rPr>
        <w:t xml:space="preserve"> </w:t>
      </w:r>
      <w:r w:rsidRPr="00507E09">
        <w:rPr>
          <w:sz w:val="18"/>
          <w:lang w:val="sk-SK"/>
        </w:rPr>
        <w:t>dňa.</w:t>
      </w:r>
    </w:p>
    <w:p w14:paraId="763EA395" w14:textId="77777777" w:rsidR="00AE2554" w:rsidRDefault="00AE2554">
      <w:pPr>
        <w:tabs>
          <w:tab w:val="left" w:pos="535"/>
        </w:tabs>
        <w:ind w:left="535" w:right="221" w:hanging="358"/>
        <w:rPr>
          <w:sz w:val="18"/>
          <w:lang w:val="sk-SK"/>
        </w:rPr>
      </w:pPr>
      <w:r>
        <w:rPr>
          <w:sz w:val="18"/>
          <w:lang w:val="sk-SK"/>
        </w:rPr>
        <w:t>d:</w:t>
      </w:r>
      <w:r>
        <w:rPr>
          <w:sz w:val="18"/>
          <w:lang w:val="sk-SK"/>
        </w:rPr>
        <w:tab/>
        <w:t xml:space="preserve">Všetci randomizovaní </w:t>
      </w:r>
      <w:r w:rsidR="00F132B6" w:rsidRPr="00507E09">
        <w:rPr>
          <w:sz w:val="18"/>
          <w:lang w:val="sk-SK"/>
        </w:rPr>
        <w:t xml:space="preserve">pacienti </w:t>
      </w:r>
    </w:p>
    <w:p w14:paraId="5C167779" w14:textId="77777777" w:rsidR="00F132B6" w:rsidRPr="00507E09" w:rsidRDefault="00F132B6">
      <w:pPr>
        <w:tabs>
          <w:tab w:val="left" w:pos="535"/>
        </w:tabs>
        <w:ind w:left="178" w:right="6686"/>
        <w:rPr>
          <w:sz w:val="18"/>
          <w:lang w:val="sk-SK"/>
        </w:rPr>
      </w:pPr>
      <w:r w:rsidRPr="00507E09">
        <w:rPr>
          <w:sz w:val="18"/>
          <w:lang w:val="sk-SK"/>
        </w:rPr>
        <w:t>e:</w:t>
      </w:r>
      <w:r w:rsidRPr="00507E09">
        <w:rPr>
          <w:sz w:val="18"/>
          <w:lang w:val="sk-SK"/>
        </w:rPr>
        <w:tab/>
        <w:t>Všetci liečení pacienti</w:t>
      </w:r>
    </w:p>
    <w:p w14:paraId="64F24FF8" w14:textId="77777777" w:rsidR="00F132B6" w:rsidRPr="00507E09" w:rsidRDefault="00F132B6">
      <w:pPr>
        <w:pStyle w:val="Zkladntext"/>
        <w:rPr>
          <w:lang w:val="sk-SK"/>
        </w:rPr>
      </w:pPr>
    </w:p>
    <w:p w14:paraId="3EF2D654" w14:textId="77777777" w:rsidR="00F132B6" w:rsidRPr="00507E09" w:rsidRDefault="00F132B6">
      <w:pPr>
        <w:pStyle w:val="Zkladntext"/>
        <w:ind w:left="142" w:right="281"/>
        <w:rPr>
          <w:lang w:val="sk-SK"/>
        </w:rPr>
      </w:pPr>
      <w:r w:rsidRPr="00507E09">
        <w:rPr>
          <w:lang w:val="sk-SK"/>
        </w:rPr>
        <w:t>V štúdii 1 899 sa pozoroval významný pokles úmrtnosti zo všetkých príčin v prospech posakonazolu [POS 49/304 (16 %) oproti FLU/ITZ 67/298 (22 %); p = 0,048]. Na základe odhadov podľa Kaplana- Meiera bola pravdepodobnosť prežívania do 100. dňa od randomiz</w:t>
      </w:r>
      <w:r w:rsidR="00AE2554">
        <w:rPr>
          <w:lang w:val="sk-SK"/>
        </w:rPr>
        <w:t>ácie významne vyššia u</w:t>
      </w:r>
      <w:r w:rsidR="001714B5">
        <w:rPr>
          <w:lang w:val="sk-SK"/>
        </w:rPr>
        <w:t> </w:t>
      </w:r>
      <w:r w:rsidR="00AE2554">
        <w:rPr>
          <w:lang w:val="sk-SK"/>
        </w:rPr>
        <w:t>pacient</w:t>
      </w:r>
      <w:r w:rsidR="001714B5">
        <w:rPr>
          <w:lang w:val="sk-SK"/>
        </w:rPr>
        <w:t>ov l</w:t>
      </w:r>
      <w:r w:rsidRPr="00507E09">
        <w:rPr>
          <w:lang w:val="sk-SK"/>
        </w:rPr>
        <w:t>iečených posakonazolom; toto zlepšenie prežívania sa preukázalo, keď sa do analýzy zahrnuli všetky príčiny smrti (p = 0,0354) ako aj úmrtia súvisiace s IFI (p = 0,0209).</w:t>
      </w:r>
    </w:p>
    <w:p w14:paraId="05152A50" w14:textId="77777777" w:rsidR="00F132B6" w:rsidRPr="00507E09" w:rsidRDefault="00F132B6">
      <w:pPr>
        <w:pStyle w:val="Zkladntext"/>
        <w:spacing w:before="11"/>
        <w:rPr>
          <w:sz w:val="21"/>
          <w:lang w:val="sk-SK"/>
        </w:rPr>
      </w:pPr>
    </w:p>
    <w:p w14:paraId="1804F1B7" w14:textId="77777777" w:rsidR="00F132B6" w:rsidRPr="00507E09" w:rsidRDefault="00F132B6">
      <w:pPr>
        <w:pStyle w:val="Zkladntext"/>
        <w:ind w:left="142" w:right="270"/>
        <w:rPr>
          <w:lang w:val="sk-SK"/>
        </w:rPr>
      </w:pPr>
      <w:r w:rsidRPr="00507E09">
        <w:rPr>
          <w:lang w:val="sk-SK"/>
        </w:rPr>
        <w:t>V štúdii 316 bola celková úmrtnosť podobná (POS 25 %; FLU 28 %); podiel úmrtí súvisiacich s IFI bol však významne nižší v skupine s POS (4/301) v porovnaní so skupinou s FLU (12/299;</w:t>
      </w:r>
    </w:p>
    <w:p w14:paraId="10B9CB3B" w14:textId="77777777" w:rsidR="00F132B6" w:rsidRPr="00507E09" w:rsidRDefault="00F132B6">
      <w:pPr>
        <w:pStyle w:val="Zkladntext"/>
        <w:spacing w:before="1"/>
        <w:ind w:left="142"/>
        <w:rPr>
          <w:lang w:val="sk-SK"/>
        </w:rPr>
      </w:pPr>
      <w:r w:rsidRPr="00507E09">
        <w:rPr>
          <w:lang w:val="sk-SK"/>
        </w:rPr>
        <w:t>p = 0,0413).</w:t>
      </w:r>
    </w:p>
    <w:p w14:paraId="42B6506E" w14:textId="77777777" w:rsidR="00F132B6" w:rsidRPr="00507E09" w:rsidRDefault="00F132B6">
      <w:pPr>
        <w:pStyle w:val="Zkladntext"/>
        <w:spacing w:before="9"/>
        <w:rPr>
          <w:sz w:val="21"/>
          <w:lang w:val="sk-SK"/>
        </w:rPr>
      </w:pPr>
    </w:p>
    <w:p w14:paraId="67385610" w14:textId="77777777" w:rsidR="00F132B6" w:rsidRPr="00507E09" w:rsidRDefault="00F132B6">
      <w:pPr>
        <w:pStyle w:val="Zkladntext"/>
        <w:ind w:left="118"/>
        <w:rPr>
          <w:lang w:val="sk-SK"/>
        </w:rPr>
      </w:pPr>
      <w:r w:rsidRPr="00507E09">
        <w:rPr>
          <w:u w:val="single"/>
          <w:lang w:val="sk-SK"/>
        </w:rPr>
        <w:t>Pediatrická populácia</w:t>
      </w:r>
    </w:p>
    <w:p w14:paraId="774A964D" w14:textId="77777777" w:rsidR="00F132B6" w:rsidRPr="00507E09" w:rsidRDefault="00F132B6">
      <w:pPr>
        <w:pStyle w:val="Zkladntext"/>
        <w:spacing w:before="1"/>
        <w:ind w:left="118"/>
        <w:rPr>
          <w:lang w:val="sk-SK"/>
        </w:rPr>
      </w:pPr>
      <w:r w:rsidRPr="00507E09">
        <w:rPr>
          <w:lang w:val="sk-SK"/>
        </w:rPr>
        <w:t>Nie sú k dispozícii žiadne skúsenosti s posakonazolom vo forme tabliet v pediatrickej populácii.</w:t>
      </w:r>
    </w:p>
    <w:p w14:paraId="0374F6CC" w14:textId="77777777" w:rsidR="00F132B6" w:rsidRPr="00507E09" w:rsidRDefault="00F132B6">
      <w:pPr>
        <w:pStyle w:val="Zkladntext"/>
        <w:rPr>
          <w:lang w:val="sk-SK"/>
        </w:rPr>
      </w:pPr>
    </w:p>
    <w:p w14:paraId="392C9619" w14:textId="36EEE356" w:rsidR="00F132B6" w:rsidRPr="00507E09" w:rsidRDefault="00F132B6">
      <w:pPr>
        <w:pStyle w:val="Zkladntext"/>
        <w:ind w:left="118" w:right="96"/>
        <w:rPr>
          <w:lang w:val="sk-SK"/>
        </w:rPr>
      </w:pPr>
      <w:r w:rsidRPr="00507E09">
        <w:rPr>
          <w:lang w:val="sk-SK"/>
        </w:rPr>
        <w:t xml:space="preserve">Šestnásť pacientov vo veku 8 </w:t>
      </w:r>
      <w:r w:rsidR="00C62536">
        <w:rPr>
          <w:lang w:val="sk-SK"/>
        </w:rPr>
        <w:t>-</w:t>
      </w:r>
      <w:r w:rsidRPr="00507E09">
        <w:rPr>
          <w:lang w:val="sk-SK"/>
        </w:rPr>
        <w:t xml:space="preserve"> 17 rokov sa liečilo posakonazolom vo forme perorálnej suspenzie 800 mg/deň v štúdii invazívnych mykotických infekcií. Na základe dostupných údajov od 16 z týchto pediatrických pacientov sa bezpečnostný profil zdá byť podobný ako u pacientov vo veku ≥ 18 rokov.</w:t>
      </w:r>
    </w:p>
    <w:p w14:paraId="7E871A70" w14:textId="77777777" w:rsidR="00F132B6" w:rsidRPr="00507E09" w:rsidRDefault="00F132B6">
      <w:pPr>
        <w:pStyle w:val="Zkladntext"/>
        <w:spacing w:before="11"/>
        <w:rPr>
          <w:sz w:val="21"/>
          <w:lang w:val="sk-SK"/>
        </w:rPr>
      </w:pPr>
    </w:p>
    <w:p w14:paraId="200E4755" w14:textId="059421A7" w:rsidR="002C0377" w:rsidRDefault="00F132B6">
      <w:pPr>
        <w:pStyle w:val="Zkladntext"/>
        <w:ind w:left="118" w:right="195"/>
        <w:rPr>
          <w:lang w:val="sk-SK"/>
        </w:rPr>
      </w:pPr>
      <w:r w:rsidRPr="00507E09">
        <w:rPr>
          <w:lang w:val="sk-SK"/>
        </w:rPr>
        <w:t xml:space="preserve">Navyše, dvanásť pacientov vo veku 13 </w:t>
      </w:r>
      <w:r w:rsidR="00C62536">
        <w:rPr>
          <w:lang w:val="sk-SK"/>
        </w:rPr>
        <w:t>-</w:t>
      </w:r>
      <w:r w:rsidRPr="00507E09">
        <w:rPr>
          <w:lang w:val="sk-SK"/>
        </w:rPr>
        <w:t xml:space="preserve"> 17 rokov dostávalo posakonazol vo forme perorálnej suspenzie 600 mg/deň ako profylaxiu invazívnych mykotických infekcií (štúdie 316 a 1 899). Bezpečnostný profil u týchto pacientov vo veku &lt; 18 rokov sa zdá byť podobný bezpečnostnému </w:t>
      </w:r>
      <w:r w:rsidRPr="00507E09">
        <w:rPr>
          <w:lang w:val="sk-SK"/>
        </w:rPr>
        <w:lastRenderedPageBreak/>
        <w:t>profilu pozorovanému u dospelých. Na základe farmakokinetických údajov získaných od 10 z týchto pediatrických pacientov sa farmakokinetický profil zdá byť podobný ako u pacientov vo veku ≥ 18 rokov.</w:t>
      </w:r>
    </w:p>
    <w:p w14:paraId="5ED3391B" w14:textId="77777777" w:rsidR="00513D02" w:rsidRDefault="00F132B6">
      <w:pPr>
        <w:pStyle w:val="Zkladntext"/>
        <w:ind w:left="118" w:right="195"/>
        <w:rPr>
          <w:lang w:val="sk-SK"/>
        </w:rPr>
      </w:pPr>
      <w:r w:rsidRPr="00507E09">
        <w:rPr>
          <w:lang w:val="sk-SK"/>
        </w:rPr>
        <w:t xml:space="preserve">Bezpečnosť a účinnosť u pediatrických pacientov vo veku menej ako 18 rokov neboli stanovené. </w:t>
      </w:r>
    </w:p>
    <w:p w14:paraId="6842A79C" w14:textId="77777777" w:rsidR="00513D02" w:rsidRDefault="00513D02">
      <w:pPr>
        <w:pStyle w:val="Zkladntext"/>
        <w:ind w:left="118" w:right="195"/>
        <w:rPr>
          <w:lang w:val="sk-SK"/>
        </w:rPr>
      </w:pPr>
    </w:p>
    <w:p w14:paraId="6024ED9A" w14:textId="77777777" w:rsidR="00F132B6" w:rsidRPr="00507E09" w:rsidRDefault="00F132B6">
      <w:pPr>
        <w:pStyle w:val="Zkladntext"/>
        <w:ind w:left="118" w:right="195"/>
        <w:rPr>
          <w:lang w:val="sk-SK"/>
        </w:rPr>
      </w:pPr>
      <w:r w:rsidRPr="00507E09">
        <w:rPr>
          <w:u w:val="single"/>
          <w:lang w:val="sk-SK"/>
        </w:rPr>
        <w:t>Hodnotenie elektrokardiogramu</w:t>
      </w:r>
    </w:p>
    <w:p w14:paraId="03BC164C" w14:textId="77777777" w:rsidR="00F132B6" w:rsidRPr="00507E09" w:rsidRDefault="00F132B6">
      <w:pPr>
        <w:pStyle w:val="Zkladntext"/>
        <w:ind w:left="118" w:right="348"/>
        <w:rPr>
          <w:lang w:val="sk-SK"/>
        </w:rPr>
      </w:pPr>
      <w:r w:rsidRPr="00507E09">
        <w:rPr>
          <w:lang w:val="sk-SK"/>
        </w:rPr>
        <w:t>Viacnásobné, časovo zodpovedajúce EKG zozbierané počas 12-hodinového obdobia pred podaním posakonazolu vo forme perorálnej suspenzie a v priebehu jeho podávania (400 mg dvakrát denne</w:t>
      </w:r>
    </w:p>
    <w:p w14:paraId="61B023EB" w14:textId="77777777" w:rsidR="00F132B6" w:rsidRPr="00507E09" w:rsidRDefault="00F132B6">
      <w:pPr>
        <w:pStyle w:val="Zkladntext"/>
        <w:ind w:left="118" w:right="86"/>
        <w:rPr>
          <w:lang w:val="sk-SK"/>
        </w:rPr>
      </w:pPr>
      <w:r w:rsidRPr="00507E09">
        <w:rPr>
          <w:lang w:val="sk-SK"/>
        </w:rPr>
        <w:t>s jedlom s vysokým obsahom tuku) sa získali od 173 zdravých dobrovoľníkov, mužov a žien, vo veku od 18 do 85 rokov. Nepozorovali sa žiadne klinicky relevantné zmeny priemerného QTc (Fridericia) intervalu oproti východiskovým meraniam.</w:t>
      </w:r>
    </w:p>
    <w:p w14:paraId="3D5EE50F" w14:textId="77777777" w:rsidR="00F132B6" w:rsidRPr="00507E09" w:rsidRDefault="00F132B6">
      <w:pPr>
        <w:pStyle w:val="Zkladntext"/>
        <w:spacing w:before="5"/>
        <w:rPr>
          <w:lang w:val="sk-SK"/>
        </w:rPr>
      </w:pPr>
    </w:p>
    <w:p w14:paraId="7C863F7F" w14:textId="77777777" w:rsidR="00F132B6" w:rsidRPr="00EE2BFA" w:rsidRDefault="00F132B6">
      <w:pPr>
        <w:pStyle w:val="Nadpis1"/>
        <w:numPr>
          <w:ilvl w:val="1"/>
          <w:numId w:val="12"/>
        </w:numPr>
        <w:tabs>
          <w:tab w:val="left" w:pos="684"/>
          <w:tab w:val="left" w:pos="685"/>
        </w:tabs>
        <w:ind w:hanging="566"/>
        <w:rPr>
          <w:lang w:val="sk-SK"/>
        </w:rPr>
      </w:pPr>
      <w:r w:rsidRPr="00B22D01">
        <w:rPr>
          <w:lang w:val="sk-SK"/>
        </w:rPr>
        <w:t>Farmakokinetické</w:t>
      </w:r>
      <w:r w:rsidRPr="00EE2BFA">
        <w:rPr>
          <w:spacing w:val="-17"/>
          <w:lang w:val="sk-SK"/>
        </w:rPr>
        <w:t xml:space="preserve"> </w:t>
      </w:r>
      <w:r w:rsidRPr="00EE2BFA">
        <w:rPr>
          <w:lang w:val="sk-SK"/>
        </w:rPr>
        <w:t>vlastnosti</w:t>
      </w:r>
    </w:p>
    <w:p w14:paraId="453EDD2D" w14:textId="77777777" w:rsidR="00F132B6" w:rsidRPr="00507E09" w:rsidRDefault="00F132B6">
      <w:pPr>
        <w:pStyle w:val="Zkladntext"/>
        <w:spacing w:before="6"/>
        <w:rPr>
          <w:b/>
          <w:sz w:val="21"/>
          <w:lang w:val="sk-SK"/>
        </w:rPr>
      </w:pPr>
    </w:p>
    <w:p w14:paraId="17B7F2DF" w14:textId="77777777" w:rsidR="00F132B6" w:rsidRPr="00507E09" w:rsidRDefault="00F132B6">
      <w:pPr>
        <w:pStyle w:val="Zkladntext"/>
        <w:spacing w:before="1" w:line="252" w:lineRule="exact"/>
        <w:ind w:left="118"/>
        <w:rPr>
          <w:lang w:val="sk-SK"/>
        </w:rPr>
      </w:pPr>
      <w:r w:rsidRPr="00507E09">
        <w:rPr>
          <w:u w:val="single"/>
          <w:lang w:val="sk-SK"/>
        </w:rPr>
        <w:t>Farmakokinetický/farmakodynamický vzťah</w:t>
      </w:r>
    </w:p>
    <w:p w14:paraId="06ED2198" w14:textId="77777777" w:rsidR="00F132B6" w:rsidRPr="00507E09" w:rsidRDefault="00F132B6">
      <w:pPr>
        <w:pStyle w:val="Zkladntext"/>
        <w:ind w:left="118" w:right="121"/>
        <w:rPr>
          <w:lang w:val="sk-SK"/>
        </w:rPr>
      </w:pPr>
      <w:r w:rsidRPr="00507E09">
        <w:rPr>
          <w:lang w:val="sk-SK"/>
        </w:rPr>
        <w:t xml:space="preserve">Pozorovala sa korelácia medzi celkovou expozíciou lieku v pomere s MIC (AUC/MIC) a klinickým výsledkom. U osôb s infekciami spôsobenými druhmi </w:t>
      </w:r>
      <w:r w:rsidRPr="00507E09">
        <w:rPr>
          <w:i/>
          <w:lang w:val="sk-SK"/>
        </w:rPr>
        <w:t xml:space="preserve">Aspergillus </w:t>
      </w:r>
      <w:r w:rsidRPr="00507E09">
        <w:rPr>
          <w:lang w:val="sk-SK"/>
        </w:rPr>
        <w:t xml:space="preserve">bol kritický pomer ~ 200. Je zvlášť dôležité pokúsiť sa zabezpečiť, aby sa u pacientov infikovaných druhmi </w:t>
      </w:r>
      <w:r w:rsidRPr="00507E09">
        <w:rPr>
          <w:i/>
          <w:lang w:val="sk-SK"/>
        </w:rPr>
        <w:t xml:space="preserve">Aspergillus </w:t>
      </w:r>
      <w:r w:rsidRPr="00507E09">
        <w:rPr>
          <w:lang w:val="sk-SK"/>
        </w:rPr>
        <w:t>dosiahli maximálne plazmatické hladiny (odporúčané dávkovacie režimy, pozri časti 4.2 a 5.2).</w:t>
      </w:r>
    </w:p>
    <w:p w14:paraId="522E69C2" w14:textId="77777777" w:rsidR="00F132B6" w:rsidRPr="00507E09" w:rsidRDefault="00F132B6">
      <w:pPr>
        <w:pStyle w:val="Zkladntext"/>
        <w:rPr>
          <w:lang w:val="sk-SK"/>
        </w:rPr>
      </w:pPr>
    </w:p>
    <w:p w14:paraId="599C1164" w14:textId="77777777" w:rsidR="00F132B6" w:rsidRPr="00507E09" w:rsidRDefault="00F132B6">
      <w:pPr>
        <w:pStyle w:val="Zkladntext"/>
        <w:spacing w:line="252" w:lineRule="exact"/>
        <w:ind w:left="118"/>
        <w:rPr>
          <w:lang w:val="sk-SK"/>
        </w:rPr>
      </w:pPr>
      <w:r w:rsidRPr="00507E09">
        <w:rPr>
          <w:u w:val="single"/>
          <w:lang w:val="sk-SK"/>
        </w:rPr>
        <w:t>Absorpcia</w:t>
      </w:r>
    </w:p>
    <w:p w14:paraId="535401F8" w14:textId="77777777" w:rsidR="00F132B6" w:rsidRPr="00507E09" w:rsidRDefault="00F132B6">
      <w:pPr>
        <w:pStyle w:val="Zkladntext"/>
        <w:spacing w:before="1" w:line="254" w:lineRule="exact"/>
        <w:ind w:left="118" w:right="883"/>
        <w:rPr>
          <w:lang w:val="sk-SK"/>
        </w:rPr>
      </w:pPr>
      <w:r w:rsidRPr="00507E09">
        <w:rPr>
          <w:lang w:val="sk-SK"/>
        </w:rPr>
        <w:t>Posakonazol vo forme tabliet sa absorbuje s mediánom T</w:t>
      </w:r>
      <w:r w:rsidRPr="00507E09">
        <w:rPr>
          <w:position w:val="-2"/>
          <w:sz w:val="14"/>
          <w:lang w:val="sk-SK"/>
        </w:rPr>
        <w:t xml:space="preserve">max </w:t>
      </w:r>
      <w:r w:rsidRPr="00507E09">
        <w:rPr>
          <w:lang w:val="sk-SK"/>
        </w:rPr>
        <w:t>4 až 5 hodín a po jednorazovom a opakovanom dávkovaní až do 300 mg vykazuje dávke úmernú farmakokinetiku.</w:t>
      </w:r>
    </w:p>
    <w:p w14:paraId="58DC5C5C" w14:textId="77777777" w:rsidR="00F132B6" w:rsidRPr="00507E09" w:rsidRDefault="00F132B6">
      <w:pPr>
        <w:pStyle w:val="Zkladntext"/>
        <w:spacing w:before="8"/>
        <w:rPr>
          <w:sz w:val="21"/>
          <w:lang w:val="sk-SK"/>
        </w:rPr>
      </w:pPr>
    </w:p>
    <w:p w14:paraId="18D02A63" w14:textId="77777777" w:rsidR="00F132B6" w:rsidRPr="00507E09" w:rsidRDefault="00F132B6">
      <w:pPr>
        <w:pStyle w:val="Zkladntext"/>
        <w:spacing w:line="252" w:lineRule="exact"/>
        <w:ind w:left="118"/>
        <w:rPr>
          <w:lang w:val="sk-SK"/>
        </w:rPr>
      </w:pPr>
      <w:r w:rsidRPr="00507E09">
        <w:rPr>
          <w:lang w:val="sk-SK"/>
        </w:rPr>
        <w:t>Po podaní tabliet posakonazolu v jednorazovej dávke 300 mg po jedle s vysokým obsahom tuku</w:t>
      </w:r>
    </w:p>
    <w:p w14:paraId="04F6E033" w14:textId="77777777" w:rsidR="00F132B6" w:rsidRPr="00507E09" w:rsidRDefault="00F132B6">
      <w:pPr>
        <w:spacing w:before="2" w:line="252" w:lineRule="exact"/>
        <w:ind w:left="118" w:right="250"/>
        <w:rPr>
          <w:lang w:val="sk-SK"/>
        </w:rPr>
      </w:pPr>
      <w:r w:rsidRPr="00507E09">
        <w:rPr>
          <w:lang w:val="sk-SK"/>
        </w:rPr>
        <w:t>u zdravých dobrovoľníkov bola AUC</w:t>
      </w:r>
      <w:r w:rsidRPr="00507E09">
        <w:rPr>
          <w:position w:val="-2"/>
          <w:sz w:val="14"/>
          <w:lang w:val="sk-SK"/>
        </w:rPr>
        <w:t xml:space="preserve">0-72 hodín </w:t>
      </w:r>
      <w:r w:rsidRPr="00507E09">
        <w:rPr>
          <w:lang w:val="sk-SK"/>
        </w:rPr>
        <w:t>a C</w:t>
      </w:r>
      <w:r w:rsidRPr="00507E09">
        <w:rPr>
          <w:position w:val="-2"/>
          <w:sz w:val="14"/>
          <w:lang w:val="sk-SK"/>
        </w:rPr>
        <w:t xml:space="preserve">max </w:t>
      </w:r>
      <w:r w:rsidRPr="00507E09">
        <w:rPr>
          <w:lang w:val="sk-SK"/>
        </w:rPr>
        <w:t>vyššia v porovnaní s podaním nalačno (51 % pre AUC</w:t>
      </w:r>
      <w:r w:rsidRPr="00507E09">
        <w:rPr>
          <w:position w:val="-2"/>
          <w:sz w:val="14"/>
          <w:lang w:val="sk-SK"/>
        </w:rPr>
        <w:t xml:space="preserve">0-72 hodín </w:t>
      </w:r>
      <w:r w:rsidRPr="00507E09">
        <w:rPr>
          <w:lang w:val="sk-SK"/>
        </w:rPr>
        <w:t>a 16 % pre C</w:t>
      </w:r>
      <w:r w:rsidRPr="00507E09">
        <w:rPr>
          <w:position w:val="-2"/>
          <w:sz w:val="14"/>
          <w:lang w:val="sk-SK"/>
        </w:rPr>
        <w:t>max</w:t>
      </w:r>
      <w:r w:rsidRPr="00507E09">
        <w:rPr>
          <w:lang w:val="sk-SK"/>
        </w:rPr>
        <w:t>).</w:t>
      </w:r>
    </w:p>
    <w:p w14:paraId="0E03BBE7" w14:textId="77777777" w:rsidR="00F132B6" w:rsidRPr="00507E09" w:rsidRDefault="00F132B6">
      <w:pPr>
        <w:pStyle w:val="Zkladntext"/>
        <w:spacing w:before="8"/>
        <w:rPr>
          <w:sz w:val="21"/>
          <w:lang w:val="sk-SK"/>
        </w:rPr>
      </w:pPr>
    </w:p>
    <w:p w14:paraId="404C494F" w14:textId="77777777" w:rsidR="00F132B6" w:rsidRPr="00507E09" w:rsidRDefault="00F132B6">
      <w:pPr>
        <w:pStyle w:val="Zkladntext"/>
        <w:ind w:left="118"/>
        <w:rPr>
          <w:lang w:val="sk-SK"/>
        </w:rPr>
      </w:pPr>
      <w:r w:rsidRPr="00507E09">
        <w:rPr>
          <w:lang w:val="sk-SK"/>
        </w:rPr>
        <w:t>Plazmatické koncentrácie posakonazolu po podaní posakonazolu vo forme tabliet sa môžu</w:t>
      </w:r>
    </w:p>
    <w:p w14:paraId="49A544F9" w14:textId="77777777" w:rsidR="00F132B6" w:rsidRPr="00507E09" w:rsidRDefault="00F132B6">
      <w:pPr>
        <w:pStyle w:val="Zkladntext"/>
        <w:ind w:left="118"/>
        <w:rPr>
          <w:lang w:val="sk-SK"/>
        </w:rPr>
      </w:pPr>
      <w:r w:rsidRPr="00507E09">
        <w:rPr>
          <w:lang w:val="sk-SK"/>
        </w:rPr>
        <w:t>u niektorých pacientov v priebehu času zvýšiť. Príčina tejto časovej závislosti nie je úplne známa.</w:t>
      </w:r>
    </w:p>
    <w:p w14:paraId="6453E629" w14:textId="77777777" w:rsidR="00F132B6" w:rsidRPr="00507E09" w:rsidRDefault="00F132B6">
      <w:pPr>
        <w:pStyle w:val="Zkladntext"/>
        <w:spacing w:before="8"/>
        <w:rPr>
          <w:sz w:val="21"/>
          <w:lang w:val="sk-SK"/>
        </w:rPr>
      </w:pPr>
    </w:p>
    <w:p w14:paraId="01B1ADB5" w14:textId="77777777" w:rsidR="00F132B6" w:rsidRPr="00507E09" w:rsidRDefault="00F132B6">
      <w:pPr>
        <w:pStyle w:val="Zkladntext"/>
        <w:ind w:left="118"/>
        <w:rPr>
          <w:lang w:val="sk-SK"/>
        </w:rPr>
      </w:pPr>
      <w:r w:rsidRPr="00507E09">
        <w:rPr>
          <w:u w:val="single"/>
          <w:lang w:val="sk-SK"/>
        </w:rPr>
        <w:t>Distribúcia</w:t>
      </w:r>
    </w:p>
    <w:p w14:paraId="1861A111" w14:textId="77777777" w:rsidR="00F132B6" w:rsidRPr="00507E09" w:rsidRDefault="00F132B6">
      <w:pPr>
        <w:pStyle w:val="Zkladntext"/>
        <w:ind w:left="118" w:right="133"/>
        <w:rPr>
          <w:lang w:val="sk-SK"/>
        </w:rPr>
      </w:pPr>
      <w:r w:rsidRPr="00507E09">
        <w:rPr>
          <w:lang w:val="sk-SK"/>
        </w:rPr>
        <w:t>Priemerný zdanlivý distribučný objem posakonazolu po podaní tablety je 394 l (42 %), pohybujúci sa v rozmedzí 294 – 583 l v rámci štúdií u zdravých dobrovoľníkov.</w:t>
      </w:r>
    </w:p>
    <w:p w14:paraId="746CD860" w14:textId="77777777" w:rsidR="00F132B6" w:rsidRPr="00507E09" w:rsidRDefault="00F132B6">
      <w:pPr>
        <w:pStyle w:val="Zkladntext"/>
        <w:spacing w:before="11"/>
        <w:rPr>
          <w:sz w:val="21"/>
          <w:lang w:val="sk-SK"/>
        </w:rPr>
      </w:pPr>
    </w:p>
    <w:p w14:paraId="0EB5CB7F" w14:textId="77777777" w:rsidR="005A496E" w:rsidRDefault="00F132B6">
      <w:pPr>
        <w:pStyle w:val="Zkladntext"/>
        <w:ind w:left="118"/>
        <w:rPr>
          <w:lang w:val="sk-SK"/>
        </w:rPr>
      </w:pPr>
      <w:r w:rsidRPr="00507E09">
        <w:rPr>
          <w:lang w:val="sk-SK"/>
        </w:rPr>
        <w:t>Posakonazol sa vo vysokej miere viaže na bielkoviny (&gt; 98 %), predovšetkým na sérový albumín.</w:t>
      </w:r>
    </w:p>
    <w:p w14:paraId="6F4C7AE9" w14:textId="77777777" w:rsidR="005A496E" w:rsidRDefault="005A496E">
      <w:pPr>
        <w:pStyle w:val="Zkladntext"/>
        <w:ind w:left="118"/>
        <w:rPr>
          <w:lang w:val="sk-SK"/>
        </w:rPr>
      </w:pPr>
    </w:p>
    <w:p w14:paraId="64142A30" w14:textId="77777777" w:rsidR="00F132B6" w:rsidRPr="00507E09" w:rsidRDefault="00F132B6">
      <w:pPr>
        <w:pStyle w:val="Zkladntext"/>
        <w:ind w:left="118"/>
        <w:rPr>
          <w:lang w:val="sk-SK"/>
        </w:rPr>
      </w:pPr>
      <w:r w:rsidRPr="00507E09">
        <w:rPr>
          <w:u w:val="single"/>
          <w:lang w:val="sk-SK"/>
        </w:rPr>
        <w:t>Biotransformácia</w:t>
      </w:r>
    </w:p>
    <w:p w14:paraId="74A362DA" w14:textId="77777777" w:rsidR="00F132B6" w:rsidRPr="00507E09" w:rsidRDefault="00F132B6">
      <w:pPr>
        <w:pStyle w:val="Zkladntext"/>
        <w:spacing w:before="1"/>
        <w:ind w:left="118" w:right="275"/>
        <w:rPr>
          <w:lang w:val="sk-SK"/>
        </w:rPr>
      </w:pPr>
      <w:r w:rsidRPr="00507E09">
        <w:rPr>
          <w:lang w:val="sk-SK"/>
        </w:rPr>
        <w:t>Posakonazol nemá žiadne významné cirkulujúce metabolity a nie je pravdepodobné, že by inhibítory enzýmov CYP450 ovplyvňovali jeho koncentrácie. Z cirkulujúcich metabolitov väčšinu tvoria glukuronidové konjugáty posakonazolu s len malým pozorovaným množstvom oxidačných metabolitov (sprostredkovaných CYP450). Metabolity vylúčené močom a stolicou predstavujú približne 17 % podanej rádioaktívne značenej dávky.</w:t>
      </w:r>
    </w:p>
    <w:p w14:paraId="3B144938" w14:textId="77777777" w:rsidR="00F132B6" w:rsidRPr="00507E09" w:rsidRDefault="00F132B6">
      <w:pPr>
        <w:pStyle w:val="Zkladntext"/>
        <w:spacing w:before="9"/>
        <w:rPr>
          <w:sz w:val="21"/>
          <w:lang w:val="sk-SK"/>
        </w:rPr>
      </w:pPr>
    </w:p>
    <w:p w14:paraId="1449C549" w14:textId="77777777" w:rsidR="00F132B6" w:rsidRPr="00507E09" w:rsidRDefault="00F132B6">
      <w:pPr>
        <w:pStyle w:val="Zkladntext"/>
        <w:ind w:left="118"/>
        <w:rPr>
          <w:lang w:val="sk-SK"/>
        </w:rPr>
      </w:pPr>
      <w:r w:rsidRPr="00507E09">
        <w:rPr>
          <w:u w:val="single"/>
          <w:lang w:val="sk-SK"/>
        </w:rPr>
        <w:t>Eliminácia</w:t>
      </w:r>
    </w:p>
    <w:p w14:paraId="6D22301F" w14:textId="77777777" w:rsidR="00F132B6" w:rsidRPr="00507E09" w:rsidRDefault="00F132B6">
      <w:pPr>
        <w:pStyle w:val="Zkladntext"/>
        <w:spacing w:before="15" w:line="223" w:lineRule="auto"/>
        <w:ind w:left="118" w:right="322"/>
        <w:rPr>
          <w:lang w:val="sk-SK"/>
        </w:rPr>
      </w:pPr>
      <w:r w:rsidRPr="00507E09">
        <w:rPr>
          <w:lang w:val="sk-SK"/>
        </w:rPr>
        <w:t>Posakonazol sa po podaní tabliet eliminuje pomaly s priemerným polčasom (t</w:t>
      </w:r>
      <w:r w:rsidRPr="00507E09">
        <w:rPr>
          <w:position w:val="-2"/>
          <w:sz w:val="14"/>
          <w:lang w:val="sk-SK"/>
        </w:rPr>
        <w:t>½</w:t>
      </w:r>
      <w:r w:rsidRPr="00507E09">
        <w:rPr>
          <w:lang w:val="sk-SK"/>
        </w:rPr>
        <w:t xml:space="preserve">) 29 hodín (rozsah 26 až 31 hodín) a s priemerným zdanlivým klírensom v rozmedzí od 7,5 do 11 l/hod. Po podaní </w:t>
      </w:r>
      <w:r w:rsidRPr="00507E09">
        <w:rPr>
          <w:position w:val="10"/>
          <w:sz w:val="14"/>
          <w:lang w:val="sk-SK"/>
        </w:rPr>
        <w:t>14</w:t>
      </w:r>
      <w:r w:rsidRPr="00507E09">
        <w:rPr>
          <w:lang w:val="sk-SK"/>
        </w:rPr>
        <w:t>C- posakonazolu sa rádioaktívne značená dávka zachytila predovšetkým v stolici (77 % rádioaktívne</w:t>
      </w:r>
    </w:p>
    <w:p w14:paraId="539D14B7" w14:textId="1EDBBB1E" w:rsidR="00F132B6" w:rsidRPr="00507E09" w:rsidRDefault="00F132B6">
      <w:pPr>
        <w:pStyle w:val="Zkladntext"/>
        <w:spacing w:before="2"/>
        <w:ind w:left="118" w:right="391"/>
        <w:rPr>
          <w:lang w:val="sk-SK"/>
        </w:rPr>
      </w:pPr>
      <w:r w:rsidRPr="00507E09">
        <w:rPr>
          <w:lang w:val="sk-SK"/>
        </w:rPr>
        <w:t xml:space="preserve">značenej dávky), pričom hlavnou zložkou bola materská látka (66 % rádioaktívne značenej dávky). Vylučovanie obličkami je menej významnou cestou eliminácie, pričom 14 % rádioaktívne značenej dávky sa vylúčilo do moču (&lt; 0,2 % rádioaktívne značenej dávky je materská látka). Plazmatické koncentrácie rovnovážneho stavu sa dosiahnu v 6. deň pri dávke 300 mg (jedenkrát denne po </w:t>
      </w:r>
      <w:r w:rsidR="00EE2BFA">
        <w:rPr>
          <w:lang w:val="sk-SK"/>
        </w:rPr>
        <w:t>nasycovacej</w:t>
      </w:r>
      <w:r w:rsidRPr="00507E09">
        <w:rPr>
          <w:lang w:val="sk-SK"/>
        </w:rPr>
        <w:t xml:space="preserve"> dávke dvakrát denne v 1. deň).</w:t>
      </w:r>
    </w:p>
    <w:p w14:paraId="7D0EFF45" w14:textId="78BC9620" w:rsidR="00F132B6" w:rsidRPr="00507E09" w:rsidRDefault="00F132B6">
      <w:pPr>
        <w:pStyle w:val="Zkladntext"/>
        <w:ind w:left="118"/>
        <w:rPr>
          <w:lang w:val="sk-SK"/>
        </w:rPr>
      </w:pPr>
      <w:r w:rsidRPr="00507E09">
        <w:rPr>
          <w:u w:val="single"/>
          <w:lang w:val="sk-SK"/>
        </w:rPr>
        <w:lastRenderedPageBreak/>
        <w:t xml:space="preserve">Farmakokinetika v osobitných </w:t>
      </w:r>
      <w:r w:rsidR="00F62677">
        <w:rPr>
          <w:u w:val="single"/>
          <w:lang w:val="sk-SK"/>
        </w:rPr>
        <w:t>populáciách</w:t>
      </w:r>
    </w:p>
    <w:p w14:paraId="4363E6CA" w14:textId="77777777" w:rsidR="00F132B6" w:rsidRPr="00507E09" w:rsidRDefault="00F132B6">
      <w:pPr>
        <w:spacing w:before="1" w:line="252" w:lineRule="exact"/>
        <w:ind w:left="118"/>
        <w:rPr>
          <w:i/>
          <w:lang w:val="sk-SK"/>
        </w:rPr>
      </w:pPr>
      <w:r w:rsidRPr="00507E09">
        <w:rPr>
          <w:i/>
          <w:lang w:val="sk-SK"/>
        </w:rPr>
        <w:t>Deti (&lt; 18 rokov)</w:t>
      </w:r>
    </w:p>
    <w:p w14:paraId="6A999C70" w14:textId="77777777" w:rsidR="00F132B6" w:rsidRPr="00507E09" w:rsidRDefault="00F132B6">
      <w:pPr>
        <w:pStyle w:val="Zkladntext"/>
        <w:spacing w:line="252" w:lineRule="exact"/>
        <w:ind w:left="118"/>
        <w:rPr>
          <w:lang w:val="sk-SK"/>
        </w:rPr>
      </w:pPr>
      <w:r w:rsidRPr="00507E09">
        <w:rPr>
          <w:lang w:val="sk-SK"/>
        </w:rPr>
        <w:t>Pre posakonazol vo forme tabliet neexistujú žiadne skúsenosti u pediatrických pacientov.</w:t>
      </w:r>
    </w:p>
    <w:p w14:paraId="2213525A" w14:textId="03253C08" w:rsidR="00F132B6" w:rsidRPr="00507E09" w:rsidRDefault="00F132B6">
      <w:pPr>
        <w:pStyle w:val="Zkladntext"/>
        <w:spacing w:before="1"/>
        <w:ind w:left="118" w:right="170"/>
        <w:rPr>
          <w:lang w:val="sk-SK"/>
        </w:rPr>
      </w:pPr>
      <w:r w:rsidRPr="00507E09">
        <w:rPr>
          <w:lang w:val="sk-SK"/>
        </w:rPr>
        <w:t xml:space="preserve">U pediatrických pacientov sa hodnotila farmakokinetika posakonazolu vo forme perorálnej suspenzie. Po podaní posakonazolu vo forme perorálnej suspenzie 800 mg denne v rozdelených dávkach na liečbu invazívnych mykotických infekcií boli priemerné minimálne plazmatické koncentrácie u 12 pacientov vo veku 8 </w:t>
      </w:r>
      <w:r w:rsidR="00206C4C">
        <w:rPr>
          <w:lang w:val="sk-SK"/>
        </w:rPr>
        <w:t>-</w:t>
      </w:r>
      <w:r w:rsidRPr="00507E09">
        <w:rPr>
          <w:lang w:val="sk-SK"/>
        </w:rPr>
        <w:t xml:space="preserve"> 17 rokov (776 ng/ml) podobné koncentráciám u 194 pacientov vo veku 18 </w:t>
      </w:r>
      <w:r w:rsidR="00206C4C">
        <w:rPr>
          <w:lang w:val="sk-SK"/>
        </w:rPr>
        <w:t>-</w:t>
      </w:r>
      <w:r w:rsidRPr="00507E09">
        <w:rPr>
          <w:lang w:val="sk-SK"/>
        </w:rPr>
        <w:t xml:space="preserve"> 64 rokov (817 ng/ml). K dispozícii nie sú žiadne farmakokinetické údaje u pediatrických pacientov vo veku menej ako 8 rokov. Podobne v štúdiách profylaxie bola priemerná koncentrácia (average concentration, Cav) posakonazolu v rovnovážnom stave u desiatich dospievajúcich (vo veku 13 </w:t>
      </w:r>
      <w:r w:rsidR="00206C4C">
        <w:rPr>
          <w:lang w:val="sk-SK"/>
        </w:rPr>
        <w:t>-</w:t>
      </w:r>
      <w:r w:rsidRPr="00507E09">
        <w:rPr>
          <w:lang w:val="sk-SK"/>
        </w:rPr>
        <w:t xml:space="preserve"> 17 rokov) porovnateľná s Cav dosiahnutou u dospelých (≥ 18 rokov).</w:t>
      </w:r>
    </w:p>
    <w:p w14:paraId="5A4AFC1E" w14:textId="77777777" w:rsidR="00F132B6" w:rsidRPr="00507E09" w:rsidRDefault="00F132B6">
      <w:pPr>
        <w:pStyle w:val="Zkladntext"/>
        <w:spacing w:before="8"/>
        <w:rPr>
          <w:sz w:val="21"/>
          <w:lang w:val="sk-SK"/>
        </w:rPr>
      </w:pPr>
    </w:p>
    <w:p w14:paraId="09B6F84C" w14:textId="77777777" w:rsidR="00F132B6" w:rsidRPr="00507E09" w:rsidRDefault="00F132B6">
      <w:pPr>
        <w:spacing w:before="1"/>
        <w:ind w:left="118"/>
        <w:rPr>
          <w:i/>
          <w:lang w:val="sk-SK"/>
        </w:rPr>
      </w:pPr>
      <w:r w:rsidRPr="00507E09">
        <w:rPr>
          <w:i/>
          <w:lang w:val="sk-SK"/>
        </w:rPr>
        <w:t>Pohlavie</w:t>
      </w:r>
    </w:p>
    <w:p w14:paraId="4B603694" w14:textId="77777777" w:rsidR="00F132B6" w:rsidRPr="00507E09" w:rsidRDefault="00F132B6">
      <w:pPr>
        <w:pStyle w:val="Zkladntext"/>
        <w:spacing w:before="1"/>
        <w:ind w:left="118"/>
        <w:rPr>
          <w:lang w:val="sk-SK"/>
        </w:rPr>
      </w:pPr>
      <w:r w:rsidRPr="00507E09">
        <w:rPr>
          <w:lang w:val="sk-SK"/>
        </w:rPr>
        <w:t>Farmakokinetika posakonazolu vo forme tabliet je porovnateľná u mužov a žien.</w:t>
      </w:r>
    </w:p>
    <w:p w14:paraId="451AA3BB" w14:textId="77777777" w:rsidR="00F132B6" w:rsidRPr="00507E09" w:rsidRDefault="00F132B6">
      <w:pPr>
        <w:pStyle w:val="Zkladntext"/>
        <w:spacing w:before="11"/>
        <w:rPr>
          <w:sz w:val="21"/>
          <w:lang w:val="sk-SK"/>
        </w:rPr>
      </w:pPr>
    </w:p>
    <w:p w14:paraId="2A082037" w14:textId="77777777" w:rsidR="00F132B6" w:rsidRPr="00507E09" w:rsidRDefault="009700BD">
      <w:pPr>
        <w:spacing w:line="252" w:lineRule="exact"/>
        <w:ind w:left="118"/>
        <w:rPr>
          <w:i/>
          <w:lang w:val="sk-SK"/>
        </w:rPr>
      </w:pPr>
      <w:r>
        <w:rPr>
          <w:i/>
          <w:lang w:val="sk-SK"/>
        </w:rPr>
        <w:t>Starší ľudia</w:t>
      </w:r>
    </w:p>
    <w:p w14:paraId="14C8AB4F" w14:textId="77777777" w:rsidR="00F132B6" w:rsidRPr="00507E09" w:rsidRDefault="00F132B6">
      <w:pPr>
        <w:pStyle w:val="Zkladntext"/>
        <w:ind w:left="118" w:right="491"/>
        <w:rPr>
          <w:lang w:val="sk-SK"/>
        </w:rPr>
      </w:pPr>
      <w:r w:rsidRPr="00507E09">
        <w:rPr>
          <w:lang w:val="sk-SK"/>
        </w:rPr>
        <w:t>Farmakokinetika posakonazolu vo forme tabliet je porovn</w:t>
      </w:r>
      <w:r w:rsidR="009700BD">
        <w:rPr>
          <w:lang w:val="sk-SK"/>
        </w:rPr>
        <w:t>ateľná u mladých a starších ľudí</w:t>
      </w:r>
      <w:r w:rsidRPr="00507E09">
        <w:rPr>
          <w:lang w:val="sk-SK"/>
        </w:rPr>
        <w:t>. Medzi mladšími a geriatrickými pacientmi sa nepozorovali žiadne celkové rozdiely v bezpečnosti; pre geriatrických pacientov sa preto neodporúča žiadna úprava dávkovania.</w:t>
      </w:r>
    </w:p>
    <w:p w14:paraId="7160BA8E" w14:textId="77777777" w:rsidR="00F132B6" w:rsidRPr="00507E09" w:rsidRDefault="00F132B6">
      <w:pPr>
        <w:pStyle w:val="Zkladntext"/>
        <w:spacing w:before="1"/>
        <w:rPr>
          <w:lang w:val="sk-SK"/>
        </w:rPr>
      </w:pPr>
    </w:p>
    <w:p w14:paraId="26E1D705" w14:textId="77777777" w:rsidR="00F132B6" w:rsidRPr="00507E09" w:rsidRDefault="00F132B6">
      <w:pPr>
        <w:spacing w:line="252" w:lineRule="exact"/>
        <w:ind w:left="118"/>
        <w:rPr>
          <w:i/>
          <w:lang w:val="sk-SK"/>
        </w:rPr>
      </w:pPr>
      <w:r w:rsidRPr="00507E09">
        <w:rPr>
          <w:i/>
          <w:lang w:val="sk-SK"/>
        </w:rPr>
        <w:t>Rasa</w:t>
      </w:r>
    </w:p>
    <w:p w14:paraId="410290FD" w14:textId="467CAD36" w:rsidR="00F132B6" w:rsidRPr="00507E09" w:rsidRDefault="00F132B6">
      <w:pPr>
        <w:pStyle w:val="Zkladntext"/>
        <w:ind w:left="118" w:right="586"/>
        <w:rPr>
          <w:lang w:val="sk-SK"/>
        </w:rPr>
      </w:pPr>
      <w:r w:rsidRPr="00507E09">
        <w:rPr>
          <w:lang w:val="sk-SK"/>
        </w:rPr>
        <w:t xml:space="preserve">K dispozícii nie sú dostatočné údaje týkajúce sa posakonazolu vo forme tabliet </w:t>
      </w:r>
      <w:r w:rsidR="00A66945">
        <w:rPr>
          <w:lang w:val="sk-SK"/>
        </w:rPr>
        <w:t>medzi rôznymi rasami.</w:t>
      </w:r>
    </w:p>
    <w:p w14:paraId="1A812044" w14:textId="77777777" w:rsidR="00F132B6" w:rsidRPr="00507E09" w:rsidRDefault="00F132B6">
      <w:pPr>
        <w:pStyle w:val="Zkladntext"/>
        <w:spacing w:before="5"/>
        <w:rPr>
          <w:lang w:val="sk-SK"/>
        </w:rPr>
      </w:pPr>
    </w:p>
    <w:p w14:paraId="66BF88D3" w14:textId="77777777" w:rsidR="00F132B6" w:rsidRPr="00507E09" w:rsidRDefault="00F132B6">
      <w:pPr>
        <w:pStyle w:val="Zkladntext"/>
        <w:spacing w:line="235" w:lineRule="auto"/>
        <w:ind w:left="118" w:right="92"/>
        <w:rPr>
          <w:lang w:val="sk-SK"/>
        </w:rPr>
      </w:pPr>
      <w:r w:rsidRPr="00507E09">
        <w:rPr>
          <w:lang w:val="sk-SK"/>
        </w:rPr>
        <w:t>V porovnaní s osobami bielej rasy bol u osôb čiernej rasy mierny pokles (16 %) AUC a C</w:t>
      </w:r>
      <w:r w:rsidRPr="00507E09">
        <w:rPr>
          <w:position w:val="-2"/>
          <w:sz w:val="14"/>
          <w:lang w:val="sk-SK"/>
        </w:rPr>
        <w:t xml:space="preserve">max </w:t>
      </w:r>
      <w:r w:rsidRPr="00507E09">
        <w:rPr>
          <w:lang w:val="sk-SK"/>
        </w:rPr>
        <w:t>posakonazolu vo forme perorálnej suspenzie. Bezpečnostný profil posakonazolu u osôb čiernej a bielej rasy bol však podobný.</w:t>
      </w:r>
    </w:p>
    <w:p w14:paraId="5CF0E25D" w14:textId="77777777" w:rsidR="00F132B6" w:rsidRPr="00507E09" w:rsidRDefault="00F132B6">
      <w:pPr>
        <w:pStyle w:val="Zkladntext"/>
        <w:rPr>
          <w:lang w:val="sk-SK"/>
        </w:rPr>
      </w:pPr>
    </w:p>
    <w:p w14:paraId="2028F037" w14:textId="77777777" w:rsidR="00F132B6" w:rsidRPr="00507E09" w:rsidRDefault="00F132B6">
      <w:pPr>
        <w:spacing w:before="1" w:line="252" w:lineRule="exact"/>
        <w:ind w:left="118"/>
        <w:rPr>
          <w:i/>
          <w:lang w:val="sk-SK"/>
        </w:rPr>
      </w:pPr>
      <w:r w:rsidRPr="00507E09">
        <w:rPr>
          <w:i/>
          <w:lang w:val="sk-SK"/>
        </w:rPr>
        <w:t>Hmotnosť</w:t>
      </w:r>
    </w:p>
    <w:p w14:paraId="5D942D12" w14:textId="77777777" w:rsidR="00F132B6" w:rsidRPr="00507E09" w:rsidRDefault="00F132B6">
      <w:pPr>
        <w:pStyle w:val="Zkladntext"/>
        <w:spacing w:line="252" w:lineRule="exact"/>
        <w:ind w:left="118"/>
        <w:rPr>
          <w:lang w:val="sk-SK"/>
        </w:rPr>
      </w:pPr>
      <w:r w:rsidRPr="00507E09">
        <w:rPr>
          <w:lang w:val="sk-SK"/>
        </w:rPr>
        <w:t>Farmakokinetické modelovanie s liekovou formou perorálnych tabliet naznačuje, že u pacientov</w:t>
      </w:r>
    </w:p>
    <w:p w14:paraId="1891E322" w14:textId="380DD433" w:rsidR="00F132B6" w:rsidRPr="00507E09" w:rsidRDefault="00F132B6">
      <w:pPr>
        <w:pStyle w:val="Zkladntext"/>
        <w:spacing w:before="1"/>
        <w:ind w:left="118" w:right="159"/>
        <w:rPr>
          <w:lang w:val="sk-SK"/>
        </w:rPr>
      </w:pPr>
      <w:r w:rsidRPr="00507E09">
        <w:rPr>
          <w:lang w:val="sk-SK"/>
        </w:rPr>
        <w:t xml:space="preserve">s telesnou hmotnosťou viac ako 120 kg môže byť expozícia posakonazolu nižšia. Pacientov s telesnou hmotnosťou viac ako 120 kg sa preto odporúča pozorne sledovať </w:t>
      </w:r>
      <w:r w:rsidR="00D15ED1">
        <w:rPr>
          <w:lang w:val="sk-SK"/>
        </w:rPr>
        <w:t xml:space="preserve">kvôli výskytu </w:t>
      </w:r>
      <w:r w:rsidRPr="00507E09">
        <w:rPr>
          <w:lang w:val="sk-SK"/>
        </w:rPr>
        <w:t xml:space="preserve"> prielomových mykotických infekcií.</w:t>
      </w:r>
    </w:p>
    <w:p w14:paraId="2FC34FCB" w14:textId="77777777" w:rsidR="00F132B6" w:rsidRPr="00507E09" w:rsidRDefault="00F132B6">
      <w:pPr>
        <w:pStyle w:val="Zkladntext"/>
        <w:rPr>
          <w:lang w:val="sk-SK"/>
        </w:rPr>
      </w:pPr>
    </w:p>
    <w:p w14:paraId="72D8DA50" w14:textId="0592825F" w:rsidR="00F84229" w:rsidRDefault="00F132B6" w:rsidP="00E13FB9">
      <w:pPr>
        <w:pStyle w:val="Zkladntext"/>
        <w:ind w:left="118" w:right="407"/>
        <w:rPr>
          <w:lang w:val="sk-SK"/>
        </w:rPr>
      </w:pPr>
      <w:r w:rsidRPr="00507E09">
        <w:rPr>
          <w:lang w:val="sk-SK"/>
        </w:rPr>
        <w:t xml:space="preserve">U pacientov s nízkou telesnou hmotnosťou (&lt; 60 kg), najmä u tých, ktorí dostávajú posakonazol po HSCT, je vyššia pravdepodobnosť výskytu vyšších plazmatických koncentrácií posakonazolu a títo pacienti majú byť pozorne sledovaní </w:t>
      </w:r>
      <w:r w:rsidR="00C37750">
        <w:rPr>
          <w:lang w:val="sk-SK"/>
        </w:rPr>
        <w:t xml:space="preserve">kvôli </w:t>
      </w:r>
      <w:r w:rsidRPr="00507E09">
        <w:rPr>
          <w:lang w:val="sk-SK"/>
        </w:rPr>
        <w:t>výskyt</w:t>
      </w:r>
      <w:r w:rsidR="00C37750">
        <w:rPr>
          <w:lang w:val="sk-SK"/>
        </w:rPr>
        <w:t>u</w:t>
      </w:r>
      <w:r w:rsidRPr="00507E09">
        <w:rPr>
          <w:lang w:val="sk-SK"/>
        </w:rPr>
        <w:t xml:space="preserve"> nežiaducich udalostí.</w:t>
      </w:r>
    </w:p>
    <w:p w14:paraId="043C186A" w14:textId="77777777" w:rsidR="00F84229" w:rsidRDefault="00F84229" w:rsidP="00E13FB9">
      <w:pPr>
        <w:pStyle w:val="Zkladntext"/>
        <w:ind w:left="118" w:right="407"/>
        <w:rPr>
          <w:lang w:val="sk-SK"/>
        </w:rPr>
      </w:pPr>
    </w:p>
    <w:p w14:paraId="10815CF9" w14:textId="77777777" w:rsidR="00F132B6" w:rsidRPr="00507E09" w:rsidRDefault="00F132B6" w:rsidP="00E13FB9">
      <w:pPr>
        <w:pStyle w:val="Zkladntext"/>
        <w:ind w:left="118" w:right="407"/>
        <w:rPr>
          <w:i/>
          <w:lang w:val="sk-SK"/>
        </w:rPr>
      </w:pPr>
      <w:r w:rsidRPr="00D44D6A">
        <w:rPr>
          <w:i/>
          <w:lang w:val="sk-SK"/>
        </w:rPr>
        <w:t>Porucha funkcie obličiek</w:t>
      </w:r>
    </w:p>
    <w:p w14:paraId="03F48DDF" w14:textId="435D3770" w:rsidR="00F132B6" w:rsidRPr="00507E09" w:rsidRDefault="00F132B6" w:rsidP="00E13FB9">
      <w:pPr>
        <w:pStyle w:val="Zkladntext"/>
        <w:spacing w:before="17" w:line="220" w:lineRule="auto"/>
        <w:ind w:left="118" w:right="187"/>
        <w:rPr>
          <w:lang w:val="sk-SK"/>
        </w:rPr>
      </w:pPr>
      <w:r w:rsidRPr="00507E09">
        <w:rPr>
          <w:lang w:val="sk-SK"/>
        </w:rPr>
        <w:t xml:space="preserve">Po podaní jednorazovej dávky posakonazolu vo forme perorálnej suspenzie sa nepozoroval žiadny vplyv miernej a stredne </w:t>
      </w:r>
      <w:r w:rsidR="00D44D6A">
        <w:rPr>
          <w:lang w:val="sk-SK"/>
        </w:rPr>
        <w:t>závažnej</w:t>
      </w:r>
      <w:r w:rsidRPr="00507E09">
        <w:rPr>
          <w:lang w:val="sk-SK"/>
        </w:rPr>
        <w:t xml:space="preserve"> poruchy funkcie obličiek (n = 18, Cl</w:t>
      </w:r>
      <w:r w:rsidRPr="00507E09">
        <w:rPr>
          <w:position w:val="-2"/>
          <w:sz w:val="14"/>
          <w:lang w:val="sk-SK"/>
        </w:rPr>
        <w:t xml:space="preserve">cr </w:t>
      </w:r>
      <w:r w:rsidRPr="00507E09">
        <w:rPr>
          <w:lang w:val="sk-SK"/>
        </w:rPr>
        <w:t>≥ 20 ml/min/1,73 m</w:t>
      </w:r>
      <w:r w:rsidRPr="00507E09">
        <w:rPr>
          <w:position w:val="10"/>
          <w:sz w:val="14"/>
          <w:lang w:val="sk-SK"/>
        </w:rPr>
        <w:t>2</w:t>
      </w:r>
      <w:r w:rsidRPr="00507E09">
        <w:rPr>
          <w:lang w:val="sk-SK"/>
        </w:rPr>
        <w:t>) na farmakokinetiku posakonazolu; preto nie je potrebná žiadna úprava dávky. U osôb s</w:t>
      </w:r>
      <w:r w:rsidR="00D44D6A">
        <w:rPr>
          <w:lang w:val="sk-SK"/>
        </w:rPr>
        <w:t>o závažnou</w:t>
      </w:r>
      <w:r w:rsidRPr="00507E09">
        <w:rPr>
          <w:lang w:val="sk-SK"/>
        </w:rPr>
        <w:t xml:space="preserve">  poruchou funkcie obličiek (n = 6, Cl</w:t>
      </w:r>
      <w:r w:rsidRPr="00507E09">
        <w:rPr>
          <w:position w:val="-2"/>
          <w:sz w:val="14"/>
          <w:lang w:val="sk-SK"/>
        </w:rPr>
        <w:t xml:space="preserve">cr </w:t>
      </w:r>
      <w:r w:rsidRPr="00507E09">
        <w:rPr>
          <w:lang w:val="sk-SK"/>
        </w:rPr>
        <w:t>&lt; 20 ml/min/1,73 m</w:t>
      </w:r>
      <w:r w:rsidRPr="00507E09">
        <w:rPr>
          <w:position w:val="10"/>
          <w:sz w:val="14"/>
          <w:lang w:val="sk-SK"/>
        </w:rPr>
        <w:t>2</w:t>
      </w:r>
      <w:r w:rsidRPr="00507E09">
        <w:rPr>
          <w:lang w:val="sk-SK"/>
        </w:rPr>
        <w:t>) bola AUC posakonazolu veľmi variabilná [CV</w:t>
      </w:r>
      <w:r w:rsidR="00D44D6A">
        <w:rPr>
          <w:lang w:val="sk-SK"/>
        </w:rPr>
        <w:t xml:space="preserve"> </w:t>
      </w:r>
      <w:r w:rsidRPr="00507E09">
        <w:rPr>
          <w:lang w:val="sk-SK"/>
        </w:rPr>
        <w:t xml:space="preserve">&gt; 96 % (variačný koeficient)] v porovnaní s inými renálnymi skupinami [CV &lt; 40 %]. Keďže sa však posakonazol významne nevylučuje obličkami, neočakáva sa vplyv </w:t>
      </w:r>
      <w:r w:rsidR="00D44D6A">
        <w:rPr>
          <w:lang w:val="sk-SK"/>
        </w:rPr>
        <w:t>závažnej</w:t>
      </w:r>
      <w:r w:rsidRPr="00507E09">
        <w:rPr>
          <w:lang w:val="sk-SK"/>
        </w:rPr>
        <w:t xml:space="preserve"> poruchy funkcie obličiek na farmakokinetiku posakonazolu a neodporúča sa žiadna úprava dávky. Posakonazol sa neodstraňuje hemodialýzou.</w:t>
      </w:r>
    </w:p>
    <w:p w14:paraId="57F34A13" w14:textId="77777777" w:rsidR="00F132B6" w:rsidRPr="00507E09" w:rsidRDefault="00F132B6">
      <w:pPr>
        <w:pStyle w:val="Zkladntext"/>
        <w:spacing w:before="8"/>
        <w:rPr>
          <w:lang w:val="sk-SK"/>
        </w:rPr>
      </w:pPr>
    </w:p>
    <w:p w14:paraId="2B6D9F3C" w14:textId="77777777" w:rsidR="00F132B6" w:rsidRPr="00507E09" w:rsidRDefault="00F132B6">
      <w:pPr>
        <w:pStyle w:val="Zkladntext"/>
        <w:ind w:left="118" w:right="266"/>
        <w:rPr>
          <w:lang w:val="sk-SK"/>
        </w:rPr>
      </w:pPr>
      <w:r w:rsidRPr="00507E09">
        <w:rPr>
          <w:lang w:val="sk-SK"/>
        </w:rPr>
        <w:t>Podobné odporúčania sa vzťahujú na posakonazol vo forme tabliet; pre posakonazol vo forme tabliet sa však nevykonala špecifická štúdia.</w:t>
      </w:r>
    </w:p>
    <w:p w14:paraId="27827C97" w14:textId="77777777" w:rsidR="00F132B6" w:rsidRPr="00507E09" w:rsidRDefault="00F132B6">
      <w:pPr>
        <w:pStyle w:val="Zkladntext"/>
        <w:rPr>
          <w:lang w:val="sk-SK"/>
        </w:rPr>
      </w:pPr>
    </w:p>
    <w:p w14:paraId="53F284BF" w14:textId="77777777" w:rsidR="00F132B6" w:rsidRPr="00507E09" w:rsidRDefault="00F132B6">
      <w:pPr>
        <w:spacing w:line="252" w:lineRule="exact"/>
        <w:ind w:left="118"/>
        <w:rPr>
          <w:i/>
          <w:lang w:val="sk-SK"/>
        </w:rPr>
      </w:pPr>
      <w:r w:rsidRPr="00507E09">
        <w:rPr>
          <w:i/>
          <w:lang w:val="sk-SK"/>
        </w:rPr>
        <w:t>Porucha funkcie pečene</w:t>
      </w:r>
    </w:p>
    <w:p w14:paraId="1258F77A" w14:textId="63E4236C" w:rsidR="00F132B6" w:rsidRPr="00507E09" w:rsidRDefault="00F132B6" w:rsidP="00E13FB9">
      <w:pPr>
        <w:pStyle w:val="Zkladntext"/>
        <w:ind w:left="118" w:right="125"/>
        <w:rPr>
          <w:lang w:val="sk-SK"/>
        </w:rPr>
      </w:pPr>
      <w:r w:rsidRPr="00507E09">
        <w:rPr>
          <w:lang w:val="sk-SK"/>
        </w:rPr>
        <w:t xml:space="preserve">Po podaní jednorazovej perorálnej dávky 400 mg posakonazolu vo forme perorálnej suspenzie </w:t>
      </w:r>
      <w:r w:rsidRPr="00507E09">
        <w:rPr>
          <w:lang w:val="sk-SK"/>
        </w:rPr>
        <w:lastRenderedPageBreak/>
        <w:t xml:space="preserve">pacientom s miernou (Childovo-Pughovo skóre A), stredne </w:t>
      </w:r>
      <w:r w:rsidR="002C4E76">
        <w:rPr>
          <w:lang w:val="sk-SK"/>
        </w:rPr>
        <w:t>závažnou</w:t>
      </w:r>
      <w:r w:rsidRPr="00507E09">
        <w:rPr>
          <w:lang w:val="sk-SK"/>
        </w:rPr>
        <w:t xml:space="preserve"> (Childovo-Pughovo skóre B) alebo </w:t>
      </w:r>
      <w:r w:rsidR="002C4E76">
        <w:rPr>
          <w:lang w:val="sk-SK"/>
        </w:rPr>
        <w:t>závažnou</w:t>
      </w:r>
      <w:r w:rsidRPr="00507E09">
        <w:rPr>
          <w:lang w:val="sk-SK"/>
        </w:rPr>
        <w:t xml:space="preserve"> (Childovo-Pughovo skóre C) poruchou funkcie pečene (skupiny po šiestich pacientoch) bola priemerná AUC 1,3- až 1,6-násobne väčšia v porovnaní s AUC u zodpovedajúcich kontrolných osôb</w:t>
      </w:r>
      <w:r w:rsidR="002C4E76">
        <w:rPr>
          <w:lang w:val="sk-SK"/>
        </w:rPr>
        <w:t xml:space="preserve"> </w:t>
      </w:r>
      <w:r w:rsidRPr="00507E09">
        <w:rPr>
          <w:lang w:val="sk-SK"/>
        </w:rPr>
        <w:t>s normálnou funkciou pečene. Koncentrácie neviazaného liečiva sa nestanovili a nemožno vylúčiť, že dochádza k väčšiemu nárastu expozície neviazanému posakonazolu než pozorovaný 60</w:t>
      </w:r>
      <w:r w:rsidR="002C4E76">
        <w:rPr>
          <w:lang w:val="sk-SK"/>
        </w:rPr>
        <w:t xml:space="preserve"> </w:t>
      </w:r>
      <w:r w:rsidRPr="00507E09">
        <w:rPr>
          <w:lang w:val="sk-SK"/>
        </w:rPr>
        <w:t xml:space="preserve">% nárast celkovej AUC. Polčas eliminácie (t½) sa v príslušných skupinách predĺžil z približne 27 hodín až na ~ 43 hodín. U pacientov s miernou až </w:t>
      </w:r>
      <w:r w:rsidR="002C4E76">
        <w:rPr>
          <w:lang w:val="sk-SK"/>
        </w:rPr>
        <w:t>závažnou</w:t>
      </w:r>
      <w:r w:rsidRPr="00507E09">
        <w:rPr>
          <w:lang w:val="sk-SK"/>
        </w:rPr>
        <w:t xml:space="preserve"> poruchou funkcie pečene sa neodporúča žiadna úprava dávky, potrebná je však opatrnosť z dôvodu možnej vyššej plazmatickej expozície.</w:t>
      </w:r>
    </w:p>
    <w:p w14:paraId="7A1AC7CD" w14:textId="77777777" w:rsidR="00F132B6" w:rsidRPr="00507E09" w:rsidRDefault="00F132B6">
      <w:pPr>
        <w:pStyle w:val="Zkladntext"/>
        <w:rPr>
          <w:lang w:val="sk-SK"/>
        </w:rPr>
      </w:pPr>
    </w:p>
    <w:p w14:paraId="7070046C" w14:textId="77777777" w:rsidR="00F132B6" w:rsidRPr="00507E09" w:rsidRDefault="00F132B6">
      <w:pPr>
        <w:pStyle w:val="Zkladntext"/>
        <w:ind w:left="118" w:right="266"/>
        <w:rPr>
          <w:lang w:val="sk-SK"/>
        </w:rPr>
      </w:pPr>
      <w:r w:rsidRPr="00507E09">
        <w:rPr>
          <w:lang w:val="sk-SK"/>
        </w:rPr>
        <w:t>Podobné odporúčania sa vzťahujú na posakonazol vo forme tabliet; pre posakonazol vo forme tabliet sa však nevykonala špecifická štúdia.</w:t>
      </w:r>
    </w:p>
    <w:p w14:paraId="1466944E" w14:textId="77777777" w:rsidR="00F132B6" w:rsidRPr="00507E09" w:rsidRDefault="00F132B6">
      <w:pPr>
        <w:pStyle w:val="Zkladntext"/>
        <w:spacing w:before="5"/>
        <w:rPr>
          <w:lang w:val="sk-SK"/>
        </w:rPr>
      </w:pPr>
    </w:p>
    <w:p w14:paraId="3E542B8F"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Predklinické údaje o</w:t>
      </w:r>
      <w:r w:rsidRPr="00507E09">
        <w:rPr>
          <w:spacing w:val="-17"/>
          <w:lang w:val="sk-SK"/>
        </w:rPr>
        <w:t xml:space="preserve"> </w:t>
      </w:r>
      <w:r w:rsidRPr="00507E09">
        <w:rPr>
          <w:lang w:val="sk-SK"/>
        </w:rPr>
        <w:t>bezpečnosti</w:t>
      </w:r>
    </w:p>
    <w:p w14:paraId="3E17E1C5" w14:textId="77777777" w:rsidR="00F132B6" w:rsidRPr="00507E09" w:rsidRDefault="00F132B6">
      <w:pPr>
        <w:pStyle w:val="Zkladntext"/>
        <w:spacing w:before="4"/>
        <w:rPr>
          <w:b/>
          <w:sz w:val="21"/>
          <w:lang w:val="sk-SK"/>
        </w:rPr>
      </w:pPr>
    </w:p>
    <w:p w14:paraId="353D0DB8" w14:textId="5149FD64" w:rsidR="00F132B6" w:rsidRPr="00507E09" w:rsidRDefault="00F132B6">
      <w:pPr>
        <w:pStyle w:val="Zkladntext"/>
        <w:ind w:left="118" w:right="152"/>
        <w:rPr>
          <w:lang w:val="sk-SK"/>
        </w:rPr>
      </w:pPr>
      <w:r w:rsidRPr="00507E09">
        <w:rPr>
          <w:lang w:val="sk-SK"/>
        </w:rPr>
        <w:t xml:space="preserve">Rovnako ako pri iných azolových antimykotikách, v štúdiách toxicity po opakovanom podávaní posakonazolu sa pozorovali účinky súvisiace s inhibíciou syntézy steroidných hormónov. Tlmivé účinky na nadobličky sa pozorovali v štúdiách toxicity </w:t>
      </w:r>
      <w:r w:rsidR="00050BA8">
        <w:rPr>
          <w:lang w:val="sk-SK"/>
        </w:rPr>
        <w:t>na</w:t>
      </w:r>
      <w:r w:rsidRPr="00507E09">
        <w:rPr>
          <w:lang w:val="sk-SK"/>
        </w:rPr>
        <w:t xml:space="preserve"> potkano</w:t>
      </w:r>
      <w:r w:rsidR="00050BA8">
        <w:rPr>
          <w:lang w:val="sk-SK"/>
        </w:rPr>
        <w:t>ch</w:t>
      </w:r>
      <w:r w:rsidRPr="00507E09">
        <w:rPr>
          <w:lang w:val="sk-SK"/>
        </w:rPr>
        <w:t xml:space="preserve"> a </w:t>
      </w:r>
      <w:r w:rsidR="00050BA8">
        <w:rPr>
          <w:lang w:val="sk-SK"/>
        </w:rPr>
        <w:t>psoch</w:t>
      </w:r>
      <w:r w:rsidRPr="00507E09">
        <w:rPr>
          <w:lang w:val="sk-SK"/>
        </w:rPr>
        <w:t xml:space="preserve"> pri rovnakých alebo vyšších expozíciách, ako sa dosahujú po terapeutických dávkach u ľudí.</w:t>
      </w:r>
    </w:p>
    <w:p w14:paraId="02442CCE" w14:textId="77777777" w:rsidR="00F132B6" w:rsidRPr="00507E09" w:rsidRDefault="00F132B6">
      <w:pPr>
        <w:pStyle w:val="Zkladntext"/>
        <w:spacing w:before="9"/>
        <w:rPr>
          <w:sz w:val="21"/>
          <w:lang w:val="sk-SK"/>
        </w:rPr>
      </w:pPr>
    </w:p>
    <w:p w14:paraId="0C778FF7" w14:textId="66A1AF0D" w:rsidR="00F132B6" w:rsidRPr="00507E09" w:rsidRDefault="00F132B6">
      <w:pPr>
        <w:pStyle w:val="Zkladntext"/>
        <w:spacing w:before="1"/>
        <w:ind w:left="118" w:right="296"/>
        <w:rPr>
          <w:lang w:val="sk-SK"/>
        </w:rPr>
      </w:pPr>
      <w:r w:rsidRPr="00507E09">
        <w:rPr>
          <w:lang w:val="sk-SK"/>
        </w:rPr>
        <w:t xml:space="preserve">U psov, ktorým sa podávala po dobu </w:t>
      </w:r>
      <w:r w:rsidRPr="00507E09">
        <w:rPr>
          <w:rFonts w:ascii="Symbol" w:hAnsi="Symbol"/>
          <w:lang w:val="sk-SK"/>
        </w:rPr>
        <w:t></w:t>
      </w:r>
      <w:r w:rsidRPr="00507E09">
        <w:rPr>
          <w:lang w:val="sk-SK"/>
        </w:rPr>
        <w:t xml:space="preserve"> 3 mesiac</w:t>
      </w:r>
      <w:r w:rsidR="00485B8F">
        <w:rPr>
          <w:lang w:val="sk-SK"/>
        </w:rPr>
        <w:t>e</w:t>
      </w:r>
      <w:r w:rsidRPr="00507E09">
        <w:rPr>
          <w:lang w:val="sk-SK"/>
        </w:rPr>
        <w:t xml:space="preserve"> dávka vedúca k nižším systémovým expozíciám, ako sa dosahujú po terapeutických dávkach u ľudí, sa objavila neuronálna fosfolipidóza. Tento nález sa nepozoroval u opíc, ktorým sa posakonazol podával jeden rok. V dvanásťmesačných štúdiách neurotoxicity </w:t>
      </w:r>
      <w:r w:rsidR="00485B8F">
        <w:rPr>
          <w:lang w:val="sk-SK"/>
        </w:rPr>
        <w:t>na</w:t>
      </w:r>
      <w:r w:rsidRPr="00507E09">
        <w:rPr>
          <w:lang w:val="sk-SK"/>
        </w:rPr>
        <w:t xml:space="preserve"> pso</w:t>
      </w:r>
      <w:r w:rsidR="00485B8F">
        <w:rPr>
          <w:lang w:val="sk-SK"/>
        </w:rPr>
        <w:t>ch</w:t>
      </w:r>
      <w:r w:rsidRPr="00507E09">
        <w:rPr>
          <w:lang w:val="sk-SK"/>
        </w:rPr>
        <w:t xml:space="preserve"> a op</w:t>
      </w:r>
      <w:r w:rsidR="00485B8F">
        <w:rPr>
          <w:lang w:val="sk-SK"/>
        </w:rPr>
        <w:t>iciach</w:t>
      </w:r>
      <w:r w:rsidRPr="00507E09">
        <w:rPr>
          <w:lang w:val="sk-SK"/>
        </w:rPr>
        <w:t xml:space="preserve"> sa nepozorovali žiadne funkčné účinky na centrálny alebo periférny nervový systém pri systémových expozíciách vyšších, ako sa dosahujú po terapeutických dávkach.</w:t>
      </w:r>
    </w:p>
    <w:p w14:paraId="61DAA1E4" w14:textId="77777777" w:rsidR="00F132B6" w:rsidRPr="00507E09" w:rsidRDefault="00F132B6">
      <w:pPr>
        <w:pStyle w:val="Zkladntext"/>
        <w:rPr>
          <w:lang w:val="sk-SK"/>
        </w:rPr>
      </w:pPr>
    </w:p>
    <w:p w14:paraId="1B818A47" w14:textId="292EA39C" w:rsidR="00F132B6" w:rsidRPr="00507E09" w:rsidRDefault="00F132B6">
      <w:pPr>
        <w:pStyle w:val="Zkladntext"/>
        <w:ind w:left="118" w:right="124"/>
        <w:rPr>
          <w:lang w:val="sk-SK"/>
        </w:rPr>
      </w:pPr>
      <w:r w:rsidRPr="00507E09">
        <w:rPr>
          <w:lang w:val="sk-SK"/>
        </w:rPr>
        <w:t xml:space="preserve">V 2-ročnej štúdii </w:t>
      </w:r>
      <w:r w:rsidR="0060013A">
        <w:rPr>
          <w:lang w:val="sk-SK"/>
        </w:rPr>
        <w:t>na</w:t>
      </w:r>
      <w:r w:rsidRPr="00507E09">
        <w:rPr>
          <w:lang w:val="sk-SK"/>
        </w:rPr>
        <w:t xml:space="preserve"> potkano</w:t>
      </w:r>
      <w:r w:rsidR="0060013A">
        <w:rPr>
          <w:lang w:val="sk-SK"/>
        </w:rPr>
        <w:t>ch</w:t>
      </w:r>
      <w:r w:rsidRPr="00507E09">
        <w:rPr>
          <w:lang w:val="sk-SK"/>
        </w:rPr>
        <w:t xml:space="preserve"> sa pozorovala pľúcna fosfolipidóza vedúca k dilatácii a obštrukcii alveol. Tieto nálezy nie sú nevyhnutne ukazovateľom možných funkčných zmien u ľudí.</w:t>
      </w:r>
    </w:p>
    <w:p w14:paraId="53A283E8" w14:textId="77777777" w:rsidR="00F132B6" w:rsidRPr="00507E09" w:rsidRDefault="00F132B6">
      <w:pPr>
        <w:pStyle w:val="Zkladntext"/>
        <w:spacing w:before="11"/>
        <w:rPr>
          <w:sz w:val="21"/>
          <w:lang w:val="sk-SK"/>
        </w:rPr>
      </w:pPr>
    </w:p>
    <w:p w14:paraId="1CAB4B60" w14:textId="38872403" w:rsidR="00F132B6" w:rsidRPr="00507E09" w:rsidRDefault="00F132B6">
      <w:pPr>
        <w:pStyle w:val="Zkladntext"/>
        <w:ind w:left="118" w:right="651"/>
        <w:rPr>
          <w:lang w:val="sk-SK"/>
        </w:rPr>
      </w:pPr>
      <w:r w:rsidRPr="00507E09">
        <w:rPr>
          <w:lang w:val="sk-SK"/>
        </w:rPr>
        <w:t xml:space="preserve">Vo farmakologickej štúdii bezpečnosti po opakovanom podávaní </w:t>
      </w:r>
      <w:r w:rsidR="001221F3">
        <w:rPr>
          <w:lang w:val="sk-SK"/>
        </w:rPr>
        <w:t>na</w:t>
      </w:r>
      <w:r w:rsidRPr="00507E09">
        <w:rPr>
          <w:lang w:val="sk-SK"/>
        </w:rPr>
        <w:t xml:space="preserve"> op</w:t>
      </w:r>
      <w:r w:rsidR="001221F3">
        <w:rPr>
          <w:lang w:val="sk-SK"/>
        </w:rPr>
        <w:t>iciach</w:t>
      </w:r>
      <w:r w:rsidRPr="00507E09">
        <w:rPr>
          <w:lang w:val="sk-SK"/>
        </w:rPr>
        <w:t xml:space="preserve"> pri maximálnych plazmatických koncentráciách 8,5-násobne vyšších, ako sú koncentrácie, ktoré sa dosahujú po terapeutických dávkach u ľudí, sa nepozorovali žiadne účinky na elektrokardiogram, vrátane QT</w:t>
      </w:r>
    </w:p>
    <w:p w14:paraId="371B8994" w14:textId="6C979526" w:rsidR="00F132B6" w:rsidRPr="00507E09" w:rsidRDefault="00F132B6" w:rsidP="00E13FB9">
      <w:pPr>
        <w:pStyle w:val="Zkladntext"/>
        <w:ind w:left="118" w:right="155"/>
        <w:rPr>
          <w:lang w:val="sk-SK"/>
        </w:rPr>
      </w:pPr>
      <w:r w:rsidRPr="00507E09">
        <w:rPr>
          <w:lang w:val="sk-SK"/>
        </w:rPr>
        <w:t xml:space="preserve">a QTc intervalov. Vo farmakologickej štúdii bezpečnosti po opakovanom podávaní </w:t>
      </w:r>
      <w:r w:rsidR="001221F3">
        <w:rPr>
          <w:lang w:val="sk-SK"/>
        </w:rPr>
        <w:t>na</w:t>
      </w:r>
      <w:r w:rsidRPr="00507E09">
        <w:rPr>
          <w:lang w:val="sk-SK"/>
        </w:rPr>
        <w:t xml:space="preserve"> potkano</w:t>
      </w:r>
      <w:r w:rsidR="001221F3">
        <w:rPr>
          <w:lang w:val="sk-SK"/>
        </w:rPr>
        <w:t>ch</w:t>
      </w:r>
      <w:r w:rsidRPr="00507E09">
        <w:rPr>
          <w:lang w:val="sk-SK"/>
        </w:rPr>
        <w:t xml:space="preserve"> pri systémových expozíciách 2,1-násobne vyšších, ako sa dosahujú po terapeutických dávkach, echokardiografia neodhalila žiadny náznak srdcovej dekompenzácie. Zvýšený systolický a arteriálny krvný tlak (až do 29 mmHg) sa pozoroval u potkanov pri systémových expozíciách 2,1-násobne vyšších, ako sa dosahujú po terapeutických dávkach u ľudí, a u opíc pri systémových expozíciách 8,5- násobne vyšších.</w:t>
      </w:r>
      <w:r w:rsidR="004F7040">
        <w:rPr>
          <w:lang w:val="sk-SK"/>
        </w:rPr>
        <w:t xml:space="preserve"> </w:t>
      </w:r>
      <w:r w:rsidRPr="00507E09">
        <w:rPr>
          <w:lang w:val="sk-SK"/>
        </w:rPr>
        <w:t>Vykonali sa reprodukčné štúdie a štúdie perinatálneho a postnatálneho vývinu u potkanov. Pri expozíciách nižších, ako sa dosahujú po terapeutických dávkach u ľudí, spôsobil posakonazol kostrové zmeny a malformácie, dystokiu, predĺženie gestácie a zníženie priemerného počtu potomkov</w:t>
      </w:r>
      <w:r w:rsidR="001221F3">
        <w:rPr>
          <w:lang w:val="sk-SK"/>
        </w:rPr>
        <w:t xml:space="preserve"> </w:t>
      </w:r>
      <w:r w:rsidRPr="00507E09">
        <w:rPr>
          <w:lang w:val="sk-SK"/>
        </w:rPr>
        <w:t>a postnatálnej životaschopnosti. U králikov bol posakonazol embryotoxický pri expozíciách vyšších,</w:t>
      </w:r>
      <w:r w:rsidR="002B6430" w:rsidRPr="00507E09" w:rsidDel="002B6430">
        <w:rPr>
          <w:lang w:val="sk-SK"/>
        </w:rPr>
        <w:t xml:space="preserve"> </w:t>
      </w:r>
      <w:r w:rsidRPr="00507E09">
        <w:rPr>
          <w:lang w:val="sk-SK"/>
        </w:rPr>
        <w:t>ako sa dosahujú po terapeutických dávkach. Rovnako ako pri iných azolových antimykotikách, sa tieto účinky na reprodukciu považujú za spôsobené účinkom na steroidogenézu, ktorý súvisí s liečbou.</w:t>
      </w:r>
    </w:p>
    <w:p w14:paraId="3679C26A" w14:textId="77777777" w:rsidR="00F132B6" w:rsidRPr="00507E09" w:rsidRDefault="00F132B6">
      <w:pPr>
        <w:pStyle w:val="Zkladntext"/>
        <w:spacing w:before="11"/>
        <w:rPr>
          <w:sz w:val="21"/>
          <w:lang w:val="sk-SK"/>
        </w:rPr>
      </w:pPr>
    </w:p>
    <w:p w14:paraId="78243991" w14:textId="77777777" w:rsidR="00F132B6" w:rsidRPr="00507E09" w:rsidRDefault="00F132B6">
      <w:pPr>
        <w:pStyle w:val="Zkladntext"/>
        <w:ind w:left="118" w:right="403"/>
        <w:rPr>
          <w:lang w:val="sk-SK"/>
        </w:rPr>
      </w:pPr>
      <w:r w:rsidRPr="00507E09">
        <w:rPr>
          <w:lang w:val="sk-SK"/>
        </w:rPr>
        <w:t xml:space="preserve">Posakonazol nebol v </w:t>
      </w:r>
      <w:r w:rsidRPr="00507E09">
        <w:rPr>
          <w:i/>
          <w:lang w:val="sk-SK"/>
        </w:rPr>
        <w:t xml:space="preserve">in vitro </w:t>
      </w:r>
      <w:r w:rsidRPr="00507E09">
        <w:rPr>
          <w:lang w:val="sk-SK"/>
        </w:rPr>
        <w:t xml:space="preserve">a </w:t>
      </w:r>
      <w:r w:rsidRPr="00507E09">
        <w:rPr>
          <w:i/>
          <w:lang w:val="sk-SK"/>
        </w:rPr>
        <w:t xml:space="preserve">in vivo </w:t>
      </w:r>
      <w:r w:rsidRPr="00507E09">
        <w:rPr>
          <w:lang w:val="sk-SK"/>
        </w:rPr>
        <w:t>štúdiách genotoxický. Štúdie karcinogenity neodhalili žiadne osobitné riziko pre ľudí.</w:t>
      </w:r>
    </w:p>
    <w:p w14:paraId="20C16072" w14:textId="77777777" w:rsidR="00F132B6" w:rsidRPr="00507E09" w:rsidRDefault="00F132B6">
      <w:pPr>
        <w:pStyle w:val="Zkladntext"/>
        <w:rPr>
          <w:sz w:val="24"/>
          <w:lang w:val="sk-SK"/>
        </w:rPr>
      </w:pPr>
    </w:p>
    <w:p w14:paraId="359DB721" w14:textId="77777777" w:rsidR="00F132B6" w:rsidRPr="00507E09" w:rsidRDefault="00F132B6">
      <w:pPr>
        <w:pStyle w:val="Zkladntext"/>
        <w:spacing w:before="3"/>
        <w:rPr>
          <w:sz w:val="20"/>
          <w:lang w:val="sk-SK"/>
        </w:rPr>
      </w:pPr>
    </w:p>
    <w:p w14:paraId="7E872BED" w14:textId="77777777" w:rsidR="00F132B6" w:rsidRPr="00507E09" w:rsidRDefault="00F132B6">
      <w:pPr>
        <w:pStyle w:val="Nadpis1"/>
        <w:numPr>
          <w:ilvl w:val="0"/>
          <w:numId w:val="12"/>
        </w:numPr>
        <w:tabs>
          <w:tab w:val="left" w:pos="684"/>
          <w:tab w:val="left" w:pos="685"/>
        </w:tabs>
        <w:spacing w:before="1"/>
        <w:ind w:left="684" w:hanging="566"/>
        <w:rPr>
          <w:lang w:val="sk-SK"/>
        </w:rPr>
      </w:pPr>
      <w:r w:rsidRPr="00507E09">
        <w:rPr>
          <w:lang w:val="sk-SK"/>
        </w:rPr>
        <w:t>FARMACEUTICKÉ</w:t>
      </w:r>
      <w:r w:rsidRPr="00507E09">
        <w:rPr>
          <w:spacing w:val="-11"/>
          <w:lang w:val="sk-SK"/>
        </w:rPr>
        <w:t xml:space="preserve"> </w:t>
      </w:r>
      <w:r w:rsidRPr="00507E09">
        <w:rPr>
          <w:lang w:val="sk-SK"/>
        </w:rPr>
        <w:t>INFORMÁCIE</w:t>
      </w:r>
    </w:p>
    <w:p w14:paraId="22AD131E" w14:textId="77777777" w:rsidR="00F132B6" w:rsidRPr="00507E09" w:rsidRDefault="00F132B6">
      <w:pPr>
        <w:pStyle w:val="Zkladntext"/>
        <w:rPr>
          <w:b/>
          <w:lang w:val="sk-SK"/>
        </w:rPr>
      </w:pPr>
    </w:p>
    <w:p w14:paraId="64C32EA7" w14:textId="77777777" w:rsidR="00F132B6" w:rsidRPr="00507E09" w:rsidRDefault="00F132B6" w:rsidP="00E13FB9">
      <w:pPr>
        <w:pStyle w:val="Odsekzoznamu"/>
        <w:numPr>
          <w:ilvl w:val="1"/>
          <w:numId w:val="12"/>
        </w:numPr>
        <w:tabs>
          <w:tab w:val="left" w:pos="684"/>
          <w:tab w:val="left" w:pos="685"/>
        </w:tabs>
        <w:ind w:hanging="566"/>
        <w:rPr>
          <w:b/>
          <w:lang w:val="sk-SK"/>
        </w:rPr>
      </w:pPr>
      <w:r w:rsidRPr="00507E09">
        <w:rPr>
          <w:b/>
          <w:lang w:val="sk-SK"/>
        </w:rPr>
        <w:t>Zoznam pomocných</w:t>
      </w:r>
      <w:r w:rsidRPr="00507E09">
        <w:rPr>
          <w:b/>
          <w:spacing w:val="-12"/>
          <w:lang w:val="sk-SK"/>
        </w:rPr>
        <w:t xml:space="preserve"> </w:t>
      </w:r>
      <w:r w:rsidRPr="00507E09">
        <w:rPr>
          <w:b/>
          <w:lang w:val="sk-SK"/>
        </w:rPr>
        <w:t>látok</w:t>
      </w:r>
    </w:p>
    <w:p w14:paraId="5E0F8AE1" w14:textId="77777777" w:rsidR="00DE3B87" w:rsidRDefault="00DE3B87">
      <w:pPr>
        <w:pStyle w:val="Zkladntext"/>
        <w:spacing w:line="252" w:lineRule="exact"/>
        <w:ind w:left="118"/>
        <w:rPr>
          <w:u w:val="single"/>
          <w:lang w:val="sk-SK"/>
        </w:rPr>
      </w:pPr>
    </w:p>
    <w:p w14:paraId="217CD233" w14:textId="77777777" w:rsidR="00F132B6" w:rsidRPr="00507E09" w:rsidRDefault="00F132B6">
      <w:pPr>
        <w:pStyle w:val="Zkladntext"/>
        <w:spacing w:line="252" w:lineRule="exact"/>
        <w:ind w:left="118"/>
        <w:rPr>
          <w:lang w:val="sk-SK"/>
        </w:rPr>
      </w:pPr>
      <w:r w:rsidRPr="00507E09">
        <w:rPr>
          <w:u w:val="single"/>
          <w:lang w:val="sk-SK"/>
        </w:rPr>
        <w:t>Jadro tablety</w:t>
      </w:r>
    </w:p>
    <w:p w14:paraId="4C98B40F" w14:textId="154FB049" w:rsidR="00F36545" w:rsidRDefault="00F36545">
      <w:pPr>
        <w:pStyle w:val="Zkladntext"/>
        <w:ind w:left="118" w:right="98"/>
        <w:rPr>
          <w:lang w:val="sk-SK"/>
        </w:rPr>
      </w:pPr>
      <w:r w:rsidRPr="00E7486C">
        <w:rPr>
          <w:lang w:val="sk-SK"/>
        </w:rPr>
        <w:lastRenderedPageBreak/>
        <w:t>kyselin</w:t>
      </w:r>
      <w:r w:rsidR="00376F62">
        <w:rPr>
          <w:lang w:val="sk-SK"/>
        </w:rPr>
        <w:t>a</w:t>
      </w:r>
      <w:r w:rsidRPr="00E7486C">
        <w:rPr>
          <w:lang w:val="sk-SK"/>
        </w:rPr>
        <w:t xml:space="preserve"> metakrylov</w:t>
      </w:r>
      <w:r w:rsidR="00376F62">
        <w:rPr>
          <w:lang w:val="sk-SK"/>
        </w:rPr>
        <w:t>á s etylakrylátom</w:t>
      </w:r>
      <w:r w:rsidRPr="00E7486C">
        <w:rPr>
          <w:lang w:val="sk-SK"/>
        </w:rPr>
        <w:t xml:space="preserve"> 1</w:t>
      </w:r>
      <w:r w:rsidR="00376F62">
        <w:rPr>
          <w:lang w:val="sk-SK"/>
        </w:rPr>
        <w:t xml:space="preserve"> </w:t>
      </w:r>
      <w:r w:rsidRPr="00E7486C">
        <w:rPr>
          <w:lang w:val="sk-SK"/>
        </w:rPr>
        <w:t>: 1</w:t>
      </w:r>
      <w:r w:rsidR="00376F62">
        <w:rPr>
          <w:lang w:val="sk-SK"/>
        </w:rPr>
        <w:t>, kopolymér</w:t>
      </w:r>
      <w:r w:rsidRPr="00E7486C">
        <w:rPr>
          <w:lang w:val="sk-SK"/>
        </w:rPr>
        <w:t xml:space="preserve"> (typ B)</w:t>
      </w:r>
      <w:r>
        <w:rPr>
          <w:lang w:val="sk-SK"/>
        </w:rPr>
        <w:t xml:space="preserve"> </w:t>
      </w:r>
    </w:p>
    <w:p w14:paraId="194092DF" w14:textId="2D2A8C21" w:rsidR="00F36545" w:rsidRDefault="00F36545">
      <w:pPr>
        <w:pStyle w:val="Zkladntext"/>
        <w:ind w:left="118" w:right="98"/>
        <w:rPr>
          <w:lang w:val="sk-SK"/>
        </w:rPr>
      </w:pPr>
      <w:r w:rsidRPr="00E7486C">
        <w:rPr>
          <w:lang w:val="sk-SK"/>
        </w:rPr>
        <w:t xml:space="preserve">trietylcitrát </w:t>
      </w:r>
    </w:p>
    <w:p w14:paraId="5D4F2C4F" w14:textId="544E9CE3" w:rsidR="00F36545" w:rsidRDefault="00F36545">
      <w:pPr>
        <w:pStyle w:val="Zkladntext"/>
        <w:ind w:left="118" w:right="98"/>
        <w:rPr>
          <w:lang w:val="sk-SK"/>
        </w:rPr>
      </w:pPr>
      <w:r w:rsidRPr="00E7486C">
        <w:rPr>
          <w:lang w:val="sk-SK"/>
        </w:rPr>
        <w:t xml:space="preserve">xylitol </w:t>
      </w:r>
    </w:p>
    <w:p w14:paraId="4163AE7D" w14:textId="66E59491" w:rsidR="00F36545" w:rsidRDefault="00F36545">
      <w:pPr>
        <w:pStyle w:val="Zkladntext"/>
        <w:ind w:left="118" w:right="98"/>
        <w:rPr>
          <w:lang w:val="sk-SK"/>
        </w:rPr>
      </w:pPr>
      <w:r w:rsidRPr="00E7486C">
        <w:rPr>
          <w:lang w:val="sk-SK"/>
        </w:rPr>
        <w:t xml:space="preserve">hydroxypropylcelulóza </w:t>
      </w:r>
    </w:p>
    <w:p w14:paraId="2829B872" w14:textId="510A6523" w:rsidR="00F36545" w:rsidRDefault="00F36545">
      <w:pPr>
        <w:pStyle w:val="Zkladntext"/>
        <w:ind w:left="118" w:right="98"/>
        <w:rPr>
          <w:lang w:val="sk-SK"/>
        </w:rPr>
      </w:pPr>
      <w:r w:rsidRPr="00E7486C">
        <w:rPr>
          <w:lang w:val="sk-SK"/>
        </w:rPr>
        <w:t>propylgalát</w:t>
      </w:r>
    </w:p>
    <w:p w14:paraId="6395A861" w14:textId="16D6CAE8" w:rsidR="00F36545" w:rsidRDefault="00F36545">
      <w:pPr>
        <w:pStyle w:val="Zkladntext"/>
        <w:ind w:left="118" w:right="98"/>
        <w:rPr>
          <w:lang w:val="sk-SK"/>
        </w:rPr>
      </w:pPr>
      <w:r w:rsidRPr="00E7486C">
        <w:rPr>
          <w:lang w:val="sk-SK"/>
        </w:rPr>
        <w:t xml:space="preserve">mikrokryštalická celulóza </w:t>
      </w:r>
    </w:p>
    <w:p w14:paraId="7F698F90" w14:textId="4932DBEE" w:rsidR="00F36545" w:rsidRDefault="00F36545">
      <w:pPr>
        <w:pStyle w:val="Zkladntext"/>
        <w:ind w:left="118" w:right="98"/>
        <w:rPr>
          <w:lang w:val="sk-SK"/>
        </w:rPr>
      </w:pPr>
      <w:r w:rsidRPr="00E7486C">
        <w:rPr>
          <w:lang w:val="sk-SK"/>
        </w:rPr>
        <w:t xml:space="preserve">bezvodý koloidný oxid kremičitý </w:t>
      </w:r>
    </w:p>
    <w:p w14:paraId="0FB590F6" w14:textId="3F2C1566" w:rsidR="00F36545" w:rsidRDefault="00F36545">
      <w:pPr>
        <w:pStyle w:val="Zkladntext"/>
        <w:ind w:left="118" w:right="98"/>
        <w:rPr>
          <w:lang w:val="sk-SK"/>
        </w:rPr>
      </w:pPr>
      <w:r w:rsidRPr="00E7486C">
        <w:rPr>
          <w:lang w:val="sk-SK"/>
        </w:rPr>
        <w:t xml:space="preserve">sodná soľ kroskarmelózy </w:t>
      </w:r>
    </w:p>
    <w:p w14:paraId="4386D468" w14:textId="3511E426" w:rsidR="00F36545" w:rsidRPr="002120CE" w:rsidRDefault="00F36545">
      <w:pPr>
        <w:pStyle w:val="Zkladntext"/>
        <w:ind w:left="118" w:right="98"/>
        <w:rPr>
          <w:lang w:val="sk-SK"/>
        </w:rPr>
      </w:pPr>
      <w:r>
        <w:rPr>
          <w:lang w:val="sk-SK"/>
        </w:rPr>
        <w:t>stearylfumar</w:t>
      </w:r>
      <w:r w:rsidR="00376F62">
        <w:rPr>
          <w:lang w:val="sk-SK"/>
        </w:rPr>
        <w:t>an</w:t>
      </w:r>
      <w:r>
        <w:rPr>
          <w:lang w:val="sk-SK"/>
        </w:rPr>
        <w:t xml:space="preserve"> sodný </w:t>
      </w:r>
    </w:p>
    <w:p w14:paraId="268F659C" w14:textId="77777777" w:rsidR="00F132B6" w:rsidRPr="00507E09" w:rsidRDefault="00F132B6">
      <w:pPr>
        <w:pStyle w:val="Zkladntext"/>
        <w:rPr>
          <w:lang w:val="sk-SK"/>
        </w:rPr>
      </w:pPr>
    </w:p>
    <w:p w14:paraId="6639E49E" w14:textId="77777777" w:rsidR="00F132B6" w:rsidRPr="00507E09" w:rsidRDefault="00F132B6">
      <w:pPr>
        <w:pStyle w:val="Zkladntext"/>
        <w:ind w:left="118" w:right="7648"/>
        <w:rPr>
          <w:lang w:val="sk-SK"/>
        </w:rPr>
      </w:pPr>
      <w:r w:rsidRPr="00507E09">
        <w:rPr>
          <w:u w:val="single"/>
          <w:lang w:val="sk-SK"/>
        </w:rPr>
        <w:t xml:space="preserve">Obal tablety </w:t>
      </w:r>
    </w:p>
    <w:p w14:paraId="56045E29" w14:textId="77777777" w:rsidR="00F36545" w:rsidRDefault="009700BD">
      <w:pPr>
        <w:pStyle w:val="Zkladntext"/>
        <w:ind w:left="118" w:right="98"/>
        <w:rPr>
          <w:lang w:val="sk-SK"/>
        </w:rPr>
      </w:pPr>
      <w:r>
        <w:rPr>
          <w:lang w:val="sk-SK"/>
        </w:rPr>
        <w:t>p</w:t>
      </w:r>
      <w:r w:rsidR="00F36545">
        <w:rPr>
          <w:lang w:val="sk-SK"/>
        </w:rPr>
        <w:t>olyvinylalkohol</w:t>
      </w:r>
    </w:p>
    <w:p w14:paraId="009D1FCB" w14:textId="77777777" w:rsidR="00F36545" w:rsidRDefault="00F36545">
      <w:pPr>
        <w:pStyle w:val="Zkladntext"/>
        <w:ind w:left="118" w:right="98"/>
        <w:rPr>
          <w:lang w:val="sk-SK"/>
        </w:rPr>
      </w:pPr>
      <w:r>
        <w:rPr>
          <w:lang w:val="sk-SK"/>
        </w:rPr>
        <w:t>oxid titaničitý (E171)</w:t>
      </w:r>
    </w:p>
    <w:p w14:paraId="26D95A82" w14:textId="77777777" w:rsidR="00F36545" w:rsidRDefault="00F36545">
      <w:pPr>
        <w:pStyle w:val="Zkladntext"/>
        <w:ind w:left="118" w:right="98"/>
        <w:rPr>
          <w:lang w:val="sk-SK"/>
        </w:rPr>
      </w:pPr>
      <w:r>
        <w:rPr>
          <w:lang w:val="sk-SK"/>
        </w:rPr>
        <w:t>makrogol 3350</w:t>
      </w:r>
    </w:p>
    <w:p w14:paraId="7B71E3B3" w14:textId="77777777" w:rsidR="00F36545" w:rsidRDefault="00F36545">
      <w:pPr>
        <w:pStyle w:val="Zkladntext"/>
        <w:ind w:left="118" w:right="98"/>
        <w:rPr>
          <w:lang w:val="sk-SK"/>
        </w:rPr>
      </w:pPr>
      <w:r>
        <w:rPr>
          <w:lang w:val="sk-SK"/>
        </w:rPr>
        <w:t>mastenec</w:t>
      </w:r>
    </w:p>
    <w:p w14:paraId="5B393164" w14:textId="4BB59B37" w:rsidR="00F36545" w:rsidRPr="002120CE" w:rsidRDefault="00F36545">
      <w:pPr>
        <w:pStyle w:val="Zkladntext"/>
        <w:ind w:left="118" w:right="98"/>
        <w:rPr>
          <w:lang w:val="sk-SK"/>
        </w:rPr>
      </w:pPr>
      <w:r w:rsidRPr="00E7486C">
        <w:rPr>
          <w:lang w:val="sk-SK"/>
        </w:rPr>
        <w:t>žltý oxid železitý (E172)</w:t>
      </w:r>
    </w:p>
    <w:p w14:paraId="3C28A604" w14:textId="77777777" w:rsidR="00F132B6" w:rsidRPr="00507E09" w:rsidRDefault="00F132B6">
      <w:pPr>
        <w:pStyle w:val="Zkladntext"/>
        <w:spacing w:before="4"/>
        <w:rPr>
          <w:lang w:val="sk-SK"/>
        </w:rPr>
      </w:pPr>
    </w:p>
    <w:p w14:paraId="7E75B560"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Inkompatibility</w:t>
      </w:r>
    </w:p>
    <w:p w14:paraId="04BC207C" w14:textId="77777777" w:rsidR="00F132B6" w:rsidRPr="00507E09" w:rsidRDefault="00F132B6">
      <w:pPr>
        <w:pStyle w:val="Zkladntext"/>
        <w:spacing w:before="7"/>
        <w:rPr>
          <w:b/>
          <w:sz w:val="21"/>
          <w:lang w:val="sk-SK"/>
        </w:rPr>
      </w:pPr>
    </w:p>
    <w:p w14:paraId="4036EB38" w14:textId="77777777" w:rsidR="00F132B6" w:rsidRPr="00507E09" w:rsidRDefault="00F132B6">
      <w:pPr>
        <w:pStyle w:val="Zkladntext"/>
        <w:ind w:left="118"/>
        <w:rPr>
          <w:lang w:val="sk-SK"/>
        </w:rPr>
      </w:pPr>
      <w:r w:rsidRPr="00507E09">
        <w:rPr>
          <w:lang w:val="sk-SK"/>
        </w:rPr>
        <w:t>Neaplikovateľné.</w:t>
      </w:r>
    </w:p>
    <w:p w14:paraId="15EAA9B3" w14:textId="77777777" w:rsidR="00F132B6" w:rsidRPr="00507E09" w:rsidRDefault="00F132B6">
      <w:pPr>
        <w:pStyle w:val="Zkladntext"/>
        <w:spacing w:before="5"/>
        <w:rPr>
          <w:lang w:val="sk-SK"/>
        </w:rPr>
      </w:pPr>
    </w:p>
    <w:p w14:paraId="667CF026"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Čas</w:t>
      </w:r>
      <w:r w:rsidRPr="00507E09">
        <w:rPr>
          <w:spacing w:val="-11"/>
          <w:lang w:val="sk-SK"/>
        </w:rPr>
        <w:t xml:space="preserve"> </w:t>
      </w:r>
      <w:r w:rsidRPr="00507E09">
        <w:rPr>
          <w:lang w:val="sk-SK"/>
        </w:rPr>
        <w:t>použiteľnosti</w:t>
      </w:r>
    </w:p>
    <w:p w14:paraId="6215BD84" w14:textId="77777777" w:rsidR="00F132B6" w:rsidRPr="00507E09" w:rsidRDefault="00F132B6">
      <w:pPr>
        <w:pStyle w:val="Zkladntext"/>
        <w:spacing w:before="7"/>
        <w:rPr>
          <w:b/>
          <w:sz w:val="21"/>
          <w:lang w:val="sk-SK"/>
        </w:rPr>
      </w:pPr>
    </w:p>
    <w:p w14:paraId="77145761" w14:textId="77777777" w:rsidR="00F132B6" w:rsidRPr="00507E09" w:rsidRDefault="00F36545">
      <w:pPr>
        <w:pStyle w:val="Odsekzoznamu"/>
        <w:tabs>
          <w:tab w:val="left" w:pos="284"/>
        </w:tabs>
        <w:ind w:left="284" w:hanging="142"/>
        <w:rPr>
          <w:lang w:val="sk-SK"/>
        </w:rPr>
      </w:pPr>
      <w:r>
        <w:rPr>
          <w:lang w:val="sk-SK"/>
        </w:rPr>
        <w:t>24 mesiacov</w:t>
      </w:r>
    </w:p>
    <w:p w14:paraId="626909B0" w14:textId="77777777" w:rsidR="00F132B6" w:rsidRPr="00507E09" w:rsidRDefault="00F132B6">
      <w:pPr>
        <w:pStyle w:val="Zkladntext"/>
        <w:spacing w:before="2"/>
        <w:rPr>
          <w:lang w:val="sk-SK"/>
        </w:rPr>
      </w:pPr>
    </w:p>
    <w:p w14:paraId="72A5A30A"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Špeciálne upozornenia na</w:t>
      </w:r>
      <w:r w:rsidRPr="00507E09">
        <w:rPr>
          <w:spacing w:val="-21"/>
          <w:lang w:val="sk-SK"/>
        </w:rPr>
        <w:t xml:space="preserve"> </w:t>
      </w:r>
      <w:r w:rsidRPr="00507E09">
        <w:rPr>
          <w:lang w:val="sk-SK"/>
        </w:rPr>
        <w:t>uchovávanie</w:t>
      </w:r>
    </w:p>
    <w:p w14:paraId="576CAB5F" w14:textId="77777777" w:rsidR="00F132B6" w:rsidRPr="00507E09" w:rsidRDefault="00F132B6">
      <w:pPr>
        <w:pStyle w:val="Zkladntext"/>
        <w:spacing w:before="6"/>
        <w:rPr>
          <w:b/>
          <w:sz w:val="21"/>
          <w:lang w:val="sk-SK"/>
        </w:rPr>
      </w:pPr>
    </w:p>
    <w:p w14:paraId="7EF73559" w14:textId="77777777" w:rsidR="00F132B6" w:rsidRPr="00507E09" w:rsidRDefault="00F132B6">
      <w:pPr>
        <w:pStyle w:val="Zkladntext"/>
        <w:ind w:left="118"/>
        <w:rPr>
          <w:lang w:val="sk-SK"/>
        </w:rPr>
      </w:pPr>
      <w:r w:rsidRPr="00507E09">
        <w:rPr>
          <w:lang w:val="sk-SK"/>
        </w:rPr>
        <w:t>Tento liek nevyžaduje žiadne zvláštne podmienky na uchovávanie.</w:t>
      </w:r>
    </w:p>
    <w:p w14:paraId="6CC68F5D" w14:textId="77777777" w:rsidR="00F132B6" w:rsidRPr="00507E09" w:rsidRDefault="00F132B6">
      <w:pPr>
        <w:pStyle w:val="Zkladntext"/>
        <w:spacing w:before="4"/>
        <w:rPr>
          <w:lang w:val="sk-SK"/>
        </w:rPr>
      </w:pPr>
    </w:p>
    <w:p w14:paraId="1876E2B1"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Druh obalu a obsah</w:t>
      </w:r>
      <w:r w:rsidRPr="00507E09">
        <w:rPr>
          <w:spacing w:val="-14"/>
          <w:lang w:val="sk-SK"/>
        </w:rPr>
        <w:t xml:space="preserve"> </w:t>
      </w:r>
      <w:r w:rsidRPr="00507E09">
        <w:rPr>
          <w:lang w:val="sk-SK"/>
        </w:rPr>
        <w:t>balenia</w:t>
      </w:r>
    </w:p>
    <w:p w14:paraId="23E3562D" w14:textId="77777777" w:rsidR="00F132B6" w:rsidRPr="00507E09" w:rsidRDefault="00F132B6">
      <w:pPr>
        <w:pStyle w:val="Zkladntext"/>
        <w:spacing w:before="7"/>
        <w:rPr>
          <w:b/>
          <w:sz w:val="21"/>
          <w:lang w:val="sk-SK"/>
        </w:rPr>
      </w:pPr>
    </w:p>
    <w:p w14:paraId="636DC6D3" w14:textId="0A6A4619" w:rsidR="00F132B6" w:rsidRDefault="00F36545">
      <w:pPr>
        <w:pStyle w:val="Zkladntext"/>
        <w:ind w:left="118" w:right="944"/>
        <w:rPr>
          <w:lang w:val="sk-SK"/>
        </w:rPr>
      </w:pPr>
      <w:r>
        <w:rPr>
          <w:lang w:val="sk-SK"/>
        </w:rPr>
        <w:t>Tablety sú balené v</w:t>
      </w:r>
      <w:r w:rsidR="00B65873">
        <w:rPr>
          <w:lang w:val="sk-SK"/>
        </w:rPr>
        <w:t> Alu-</w:t>
      </w:r>
      <w:r>
        <w:rPr>
          <w:lang w:val="sk-SK"/>
        </w:rPr>
        <w:t xml:space="preserve">Alu blistroch </w:t>
      </w:r>
      <w:r w:rsidR="00376F62">
        <w:rPr>
          <w:lang w:val="sk-SK"/>
        </w:rPr>
        <w:t>-</w:t>
      </w:r>
      <w:r>
        <w:rPr>
          <w:lang w:val="sk-SK"/>
        </w:rPr>
        <w:t xml:space="preserve"> 24 alebo 96 gastrorezistentných tabliet </w:t>
      </w:r>
      <w:r w:rsidR="00B65873">
        <w:rPr>
          <w:lang w:val="sk-SK"/>
        </w:rPr>
        <w:t xml:space="preserve">v </w:t>
      </w:r>
      <w:r>
        <w:rPr>
          <w:lang w:val="sk-SK"/>
        </w:rPr>
        <w:t>neperforovaných blistroch a 24x1 a 96x1 tableta v</w:t>
      </w:r>
      <w:r w:rsidR="00B648F7">
        <w:rPr>
          <w:lang w:val="sk-SK"/>
        </w:rPr>
        <w:t xml:space="preserve"> perforovaných </w:t>
      </w:r>
      <w:r>
        <w:rPr>
          <w:lang w:val="sk-SK"/>
        </w:rPr>
        <w:t>jednodávkových blistroch.</w:t>
      </w:r>
    </w:p>
    <w:p w14:paraId="05717BA0" w14:textId="77777777" w:rsidR="00B65873" w:rsidRDefault="00B65873">
      <w:pPr>
        <w:pStyle w:val="Zkladntext"/>
        <w:ind w:left="118" w:right="944"/>
        <w:rPr>
          <w:lang w:val="sk-SK"/>
        </w:rPr>
      </w:pPr>
    </w:p>
    <w:p w14:paraId="6DA05CF9" w14:textId="77777777" w:rsidR="00B65873" w:rsidRDefault="00714B81">
      <w:pPr>
        <w:pStyle w:val="Zkladntext"/>
        <w:ind w:left="118" w:right="944"/>
        <w:rPr>
          <w:lang w:val="sk-SK"/>
        </w:rPr>
      </w:pPr>
      <w:r>
        <w:rPr>
          <w:lang w:val="sk-SK"/>
        </w:rPr>
        <w:t>Biele nepriehľadné</w:t>
      </w:r>
      <w:r w:rsidR="00B65873">
        <w:rPr>
          <w:lang w:val="sk-SK"/>
        </w:rPr>
        <w:t xml:space="preserve"> PVC/PCTFE-Alu blistre - 24 alebo 96 gastrorezistentných tabliet v neperforovaných blistroch a 24x1 a 96x1 tableta v</w:t>
      </w:r>
      <w:r w:rsidR="00B648F7">
        <w:rPr>
          <w:lang w:val="sk-SK"/>
        </w:rPr>
        <w:t xml:space="preserve"> perforovaných </w:t>
      </w:r>
      <w:r w:rsidR="00B65873">
        <w:rPr>
          <w:lang w:val="sk-SK"/>
        </w:rPr>
        <w:t>jednodávkových blistroch.</w:t>
      </w:r>
    </w:p>
    <w:p w14:paraId="3C1BB0F9" w14:textId="77777777" w:rsidR="00B65873" w:rsidRDefault="00B65873">
      <w:pPr>
        <w:pStyle w:val="Zkladntext"/>
        <w:ind w:left="118" w:right="944"/>
        <w:rPr>
          <w:lang w:val="sk-SK"/>
        </w:rPr>
      </w:pPr>
    </w:p>
    <w:p w14:paraId="0D610552" w14:textId="77777777" w:rsidR="00B65873" w:rsidRDefault="00B65873">
      <w:pPr>
        <w:pStyle w:val="Zkladntext"/>
        <w:ind w:left="118" w:right="944"/>
        <w:rPr>
          <w:lang w:val="sk-SK"/>
        </w:rPr>
      </w:pPr>
      <w:r>
        <w:rPr>
          <w:lang w:val="sk-SK"/>
        </w:rPr>
        <w:t>Bie</w:t>
      </w:r>
      <w:r w:rsidR="009700BD">
        <w:rPr>
          <w:lang w:val="sk-SK"/>
        </w:rPr>
        <w:t>le nepr</w:t>
      </w:r>
      <w:r w:rsidR="00714B81">
        <w:rPr>
          <w:lang w:val="sk-SK"/>
        </w:rPr>
        <w:t>i</w:t>
      </w:r>
      <w:r w:rsidR="009700BD">
        <w:rPr>
          <w:lang w:val="sk-SK"/>
        </w:rPr>
        <w:t>e</w:t>
      </w:r>
      <w:r w:rsidR="00714B81">
        <w:rPr>
          <w:lang w:val="sk-SK"/>
        </w:rPr>
        <w:t>hľadné</w:t>
      </w:r>
      <w:r>
        <w:rPr>
          <w:lang w:val="sk-SK"/>
        </w:rPr>
        <w:t xml:space="preserve"> PVC/PE/PVdC-Alu blistre - 24 alebo 96 gastrorezistentných tabliet v neperforovaných blistroch a 24x1 a 96x1 tableta v</w:t>
      </w:r>
      <w:r w:rsidR="00B648F7">
        <w:rPr>
          <w:lang w:val="sk-SK"/>
        </w:rPr>
        <w:t xml:space="preserve"> perforovaných </w:t>
      </w:r>
      <w:r>
        <w:rPr>
          <w:lang w:val="sk-SK"/>
        </w:rPr>
        <w:t>jednodávkových blistroch.</w:t>
      </w:r>
    </w:p>
    <w:p w14:paraId="5E15CB7E" w14:textId="77777777" w:rsidR="00B65873" w:rsidRDefault="00B65873">
      <w:pPr>
        <w:pStyle w:val="Zkladntext"/>
        <w:ind w:left="118" w:right="944"/>
        <w:rPr>
          <w:lang w:val="sk-SK"/>
        </w:rPr>
      </w:pPr>
    </w:p>
    <w:p w14:paraId="052C7D2A" w14:textId="2A0FDAB7" w:rsidR="00F36545" w:rsidRDefault="00F36545">
      <w:pPr>
        <w:pStyle w:val="Zkladntext"/>
        <w:ind w:left="118" w:right="651"/>
        <w:rPr>
          <w:lang w:val="sk-SK"/>
        </w:rPr>
      </w:pPr>
      <w:r>
        <w:rPr>
          <w:lang w:val="sk-SK"/>
        </w:rPr>
        <w:t xml:space="preserve">HDPE fľaše s polypropylénovým viečkom </w:t>
      </w:r>
      <w:r w:rsidR="00BC3499">
        <w:rPr>
          <w:lang w:val="sk-SK"/>
        </w:rPr>
        <w:t>-</w:t>
      </w:r>
      <w:r>
        <w:rPr>
          <w:lang w:val="sk-SK"/>
        </w:rPr>
        <w:t xml:space="preserve"> 60 gastrorezistetných tabliet.</w:t>
      </w:r>
    </w:p>
    <w:p w14:paraId="16CA6650" w14:textId="77777777" w:rsidR="00F36545" w:rsidRPr="00507E09" w:rsidRDefault="00F36545">
      <w:pPr>
        <w:pStyle w:val="Zkladntext"/>
        <w:ind w:left="118" w:right="651"/>
        <w:rPr>
          <w:lang w:val="sk-SK"/>
        </w:rPr>
      </w:pPr>
    </w:p>
    <w:p w14:paraId="6DC3CB6C" w14:textId="77777777" w:rsidR="00F132B6" w:rsidRPr="00507E09" w:rsidRDefault="00F132B6">
      <w:pPr>
        <w:pStyle w:val="Zkladntext"/>
        <w:ind w:left="118" w:right="651"/>
        <w:rPr>
          <w:lang w:val="sk-SK"/>
        </w:rPr>
      </w:pPr>
      <w:r w:rsidRPr="00507E09">
        <w:rPr>
          <w:lang w:val="sk-SK"/>
        </w:rPr>
        <w:t>Na trh nemusia byť uvedené všetky veľkosti balenia.</w:t>
      </w:r>
    </w:p>
    <w:p w14:paraId="0B5FEF90" w14:textId="77777777" w:rsidR="00F132B6" w:rsidRPr="00507E09" w:rsidRDefault="00F132B6">
      <w:pPr>
        <w:pStyle w:val="Zkladntext"/>
        <w:spacing w:before="4"/>
        <w:rPr>
          <w:lang w:val="sk-SK"/>
        </w:rPr>
      </w:pPr>
    </w:p>
    <w:p w14:paraId="7A762E91"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Špeciálne opatrenia na</w:t>
      </w:r>
      <w:r w:rsidRPr="00507E09">
        <w:rPr>
          <w:spacing w:val="-19"/>
          <w:lang w:val="sk-SK"/>
        </w:rPr>
        <w:t xml:space="preserve"> </w:t>
      </w:r>
      <w:r w:rsidRPr="00507E09">
        <w:rPr>
          <w:lang w:val="sk-SK"/>
        </w:rPr>
        <w:t>likvidáciu</w:t>
      </w:r>
    </w:p>
    <w:p w14:paraId="22E566EA" w14:textId="77777777" w:rsidR="00F132B6" w:rsidRPr="00507E09" w:rsidRDefault="00F132B6">
      <w:pPr>
        <w:pStyle w:val="Zkladntext"/>
        <w:spacing w:before="7"/>
        <w:rPr>
          <w:b/>
          <w:sz w:val="21"/>
          <w:lang w:val="sk-SK"/>
        </w:rPr>
      </w:pPr>
    </w:p>
    <w:p w14:paraId="55A9EAC2" w14:textId="77777777" w:rsidR="00F132B6" w:rsidRDefault="00F132B6">
      <w:pPr>
        <w:pStyle w:val="Zkladntext"/>
        <w:ind w:left="118" w:right="944"/>
        <w:rPr>
          <w:lang w:val="sk-SK"/>
        </w:rPr>
      </w:pPr>
      <w:r w:rsidRPr="00507E09">
        <w:rPr>
          <w:lang w:val="sk-SK"/>
        </w:rPr>
        <w:t>Všetok nepoužitý liek alebo odpad vzniknutý z lieku sa má zlikvidovať v súlade s národnými požiadavkami.</w:t>
      </w:r>
    </w:p>
    <w:p w14:paraId="72A006D0" w14:textId="77777777" w:rsidR="000C48BA" w:rsidRDefault="000C48BA">
      <w:pPr>
        <w:pStyle w:val="Zkladntext"/>
        <w:ind w:left="118" w:right="944"/>
        <w:rPr>
          <w:lang w:val="sk-SK"/>
        </w:rPr>
      </w:pPr>
    </w:p>
    <w:p w14:paraId="10F70FC8" w14:textId="77777777" w:rsidR="00131BE5" w:rsidRPr="00507E09" w:rsidRDefault="00131BE5">
      <w:pPr>
        <w:pStyle w:val="Zkladntext"/>
        <w:ind w:left="118" w:right="944"/>
        <w:rPr>
          <w:lang w:val="sk-SK"/>
        </w:rPr>
      </w:pPr>
    </w:p>
    <w:p w14:paraId="003260D0" w14:textId="77777777" w:rsidR="00F132B6" w:rsidRPr="00507E09" w:rsidRDefault="00F132B6">
      <w:pPr>
        <w:pStyle w:val="Nadpis1"/>
        <w:numPr>
          <w:ilvl w:val="0"/>
          <w:numId w:val="12"/>
        </w:numPr>
        <w:tabs>
          <w:tab w:val="left" w:pos="684"/>
          <w:tab w:val="left" w:pos="685"/>
        </w:tabs>
        <w:spacing w:before="75"/>
        <w:ind w:left="684" w:hanging="566"/>
        <w:rPr>
          <w:lang w:val="sk-SK"/>
        </w:rPr>
      </w:pPr>
      <w:r w:rsidRPr="00507E09">
        <w:rPr>
          <w:lang w:val="sk-SK"/>
        </w:rPr>
        <w:t>DRŽITEĽ ROZHODNUTIA O</w:t>
      </w:r>
      <w:r w:rsidRPr="00507E09">
        <w:rPr>
          <w:spacing w:val="-13"/>
          <w:lang w:val="sk-SK"/>
        </w:rPr>
        <w:t xml:space="preserve"> </w:t>
      </w:r>
      <w:r w:rsidRPr="00507E09">
        <w:rPr>
          <w:lang w:val="sk-SK"/>
        </w:rPr>
        <w:t>REGISTRÁCII</w:t>
      </w:r>
    </w:p>
    <w:p w14:paraId="27B8B9CC" w14:textId="77777777" w:rsidR="00F132B6" w:rsidRPr="00507E09" w:rsidRDefault="00F132B6">
      <w:pPr>
        <w:pStyle w:val="Zkladntext"/>
        <w:spacing w:before="6"/>
        <w:rPr>
          <w:b/>
          <w:sz w:val="21"/>
          <w:lang w:val="sk-SK"/>
        </w:rPr>
      </w:pPr>
    </w:p>
    <w:p w14:paraId="74BC7D5B" w14:textId="77777777" w:rsidR="003F562B" w:rsidRDefault="003F562B">
      <w:pPr>
        <w:pStyle w:val="Zkladntext"/>
        <w:ind w:left="142" w:right="6390"/>
        <w:rPr>
          <w:lang w:val="sk-SK"/>
        </w:rPr>
      </w:pPr>
      <w:r>
        <w:rPr>
          <w:lang w:val="sk-SK"/>
        </w:rPr>
        <w:t>Sandoz Pharmaceuticals d.d.</w:t>
      </w:r>
    </w:p>
    <w:p w14:paraId="7E2207C3" w14:textId="77777777" w:rsidR="00F132B6" w:rsidRPr="00507E09" w:rsidRDefault="003F562B">
      <w:pPr>
        <w:pStyle w:val="Zkladntext"/>
        <w:ind w:left="142" w:right="6390"/>
        <w:rPr>
          <w:lang w:val="sk-SK"/>
        </w:rPr>
      </w:pPr>
      <w:r>
        <w:rPr>
          <w:lang w:val="sk-SK"/>
        </w:rPr>
        <w:lastRenderedPageBreak/>
        <w:t>Verovškova 57</w:t>
      </w:r>
    </w:p>
    <w:p w14:paraId="7A90BFD8" w14:textId="77777777" w:rsidR="003F562B" w:rsidRDefault="003F562B">
      <w:pPr>
        <w:pStyle w:val="Zkladntext"/>
        <w:ind w:left="142" w:right="7319"/>
        <w:rPr>
          <w:lang w:val="sk-SK"/>
        </w:rPr>
      </w:pPr>
      <w:r>
        <w:rPr>
          <w:lang w:val="sk-SK"/>
        </w:rPr>
        <w:t>1000 Ľubľana</w:t>
      </w:r>
    </w:p>
    <w:p w14:paraId="1E1CB2FD" w14:textId="77777777" w:rsidR="00F132B6" w:rsidRPr="00507E09" w:rsidRDefault="003F562B">
      <w:pPr>
        <w:pStyle w:val="Zkladntext"/>
        <w:ind w:left="142" w:right="7319"/>
        <w:rPr>
          <w:lang w:val="sk-SK"/>
        </w:rPr>
      </w:pPr>
      <w:r>
        <w:rPr>
          <w:lang w:val="sk-SK"/>
        </w:rPr>
        <w:t>Slovinsko</w:t>
      </w:r>
    </w:p>
    <w:p w14:paraId="4E0B4E94" w14:textId="77777777" w:rsidR="00F132B6" w:rsidRPr="00C3399D" w:rsidRDefault="00F132B6">
      <w:pPr>
        <w:pStyle w:val="Zkladntext"/>
        <w:rPr>
          <w:lang w:val="sk-SK"/>
        </w:rPr>
      </w:pPr>
    </w:p>
    <w:p w14:paraId="22D26639" w14:textId="77777777" w:rsidR="00F132B6" w:rsidRPr="00C3399D" w:rsidRDefault="00F132B6">
      <w:pPr>
        <w:pStyle w:val="Zkladntext"/>
        <w:spacing w:before="5"/>
        <w:rPr>
          <w:lang w:val="sk-SK"/>
        </w:rPr>
      </w:pPr>
    </w:p>
    <w:p w14:paraId="7CA8661B" w14:textId="3D4669B5" w:rsidR="00F132B6" w:rsidRPr="00507E09" w:rsidRDefault="00F132B6">
      <w:pPr>
        <w:pStyle w:val="Nadpis1"/>
        <w:numPr>
          <w:ilvl w:val="0"/>
          <w:numId w:val="12"/>
        </w:numPr>
        <w:tabs>
          <w:tab w:val="left" w:pos="684"/>
          <w:tab w:val="left" w:pos="685"/>
        </w:tabs>
        <w:spacing w:before="1"/>
        <w:ind w:left="684" w:hanging="566"/>
        <w:rPr>
          <w:lang w:val="sk-SK"/>
        </w:rPr>
      </w:pPr>
      <w:r w:rsidRPr="00507E09">
        <w:rPr>
          <w:lang w:val="sk-SK"/>
        </w:rPr>
        <w:t>REGISTRAČNÉ</w:t>
      </w:r>
      <w:r w:rsidRPr="00507E09">
        <w:rPr>
          <w:spacing w:val="-8"/>
          <w:lang w:val="sk-SK"/>
        </w:rPr>
        <w:t xml:space="preserve"> </w:t>
      </w:r>
      <w:r w:rsidRPr="00507E09">
        <w:rPr>
          <w:lang w:val="sk-SK"/>
        </w:rPr>
        <w:t>ČÍSL</w:t>
      </w:r>
      <w:r w:rsidR="00BC3499">
        <w:rPr>
          <w:lang w:val="sk-SK"/>
        </w:rPr>
        <w:t>O</w:t>
      </w:r>
    </w:p>
    <w:p w14:paraId="63620BFF" w14:textId="77777777" w:rsidR="00F132B6" w:rsidRPr="00C3399D" w:rsidRDefault="00F132B6">
      <w:pPr>
        <w:pStyle w:val="Zkladntext"/>
        <w:spacing w:before="7"/>
        <w:rPr>
          <w:b/>
          <w:lang w:val="sk-SK"/>
        </w:rPr>
      </w:pPr>
    </w:p>
    <w:p w14:paraId="43732EF2" w14:textId="4C4876CB" w:rsidR="00F132B6" w:rsidRDefault="00C3399D" w:rsidP="00C3399D">
      <w:pPr>
        <w:pStyle w:val="Zkladntext"/>
        <w:ind w:left="142"/>
        <w:rPr>
          <w:lang w:val="sk-SK"/>
        </w:rPr>
      </w:pPr>
      <w:r w:rsidRPr="00C3399D">
        <w:rPr>
          <w:lang w:val="sk-SK"/>
        </w:rPr>
        <w:t>26/0395/19-S</w:t>
      </w:r>
    </w:p>
    <w:p w14:paraId="10351F81" w14:textId="77777777" w:rsidR="00C3399D" w:rsidRPr="00C3399D" w:rsidRDefault="00C3399D" w:rsidP="00C3399D">
      <w:pPr>
        <w:pStyle w:val="Zkladntext"/>
        <w:ind w:firstLine="142"/>
        <w:rPr>
          <w:lang w:val="sk-SK"/>
        </w:rPr>
      </w:pPr>
    </w:p>
    <w:p w14:paraId="34DCD6AD" w14:textId="77777777" w:rsidR="00F132B6" w:rsidRPr="00507E09" w:rsidRDefault="00F132B6">
      <w:pPr>
        <w:pStyle w:val="Zkladntext"/>
        <w:spacing w:before="4"/>
        <w:rPr>
          <w:sz w:val="20"/>
          <w:lang w:val="sk-SK"/>
        </w:rPr>
      </w:pPr>
    </w:p>
    <w:p w14:paraId="17247FBF"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DÁTUM PRVEJ REGISTRÁCIE/PREDĹŽENIA</w:t>
      </w:r>
      <w:r w:rsidRPr="00507E09">
        <w:rPr>
          <w:spacing w:val="-22"/>
          <w:lang w:val="sk-SK"/>
        </w:rPr>
        <w:t xml:space="preserve"> </w:t>
      </w:r>
      <w:r w:rsidRPr="00507E09">
        <w:rPr>
          <w:lang w:val="sk-SK"/>
        </w:rPr>
        <w:t>REGISTRÁCIE</w:t>
      </w:r>
    </w:p>
    <w:p w14:paraId="6E456E24" w14:textId="77777777" w:rsidR="00F132B6" w:rsidRPr="00507E09" w:rsidRDefault="00F132B6">
      <w:pPr>
        <w:pStyle w:val="Zkladntext"/>
        <w:spacing w:before="6"/>
        <w:rPr>
          <w:b/>
          <w:sz w:val="21"/>
          <w:lang w:val="sk-SK"/>
        </w:rPr>
      </w:pPr>
    </w:p>
    <w:p w14:paraId="789F5E46" w14:textId="77777777" w:rsidR="00F132B6" w:rsidRPr="00507E09" w:rsidRDefault="00F132B6">
      <w:pPr>
        <w:pStyle w:val="Zkladntext"/>
        <w:spacing w:line="252" w:lineRule="exact"/>
        <w:ind w:left="118"/>
        <w:rPr>
          <w:lang w:val="sk-SK"/>
        </w:rPr>
      </w:pPr>
      <w:r w:rsidRPr="00507E09">
        <w:rPr>
          <w:lang w:val="sk-SK"/>
        </w:rPr>
        <w:t>Dátum prv</w:t>
      </w:r>
      <w:r w:rsidR="003F562B">
        <w:rPr>
          <w:lang w:val="sk-SK"/>
        </w:rPr>
        <w:t xml:space="preserve">ej registrácie: </w:t>
      </w:r>
    </w:p>
    <w:p w14:paraId="6F12CBFA" w14:textId="77777777" w:rsidR="00F132B6" w:rsidRPr="00507E09" w:rsidRDefault="00F132B6">
      <w:pPr>
        <w:pStyle w:val="Zkladntext"/>
        <w:rPr>
          <w:sz w:val="24"/>
          <w:lang w:val="sk-SK"/>
        </w:rPr>
      </w:pPr>
    </w:p>
    <w:p w14:paraId="3F2815E1" w14:textId="77777777" w:rsidR="00F132B6" w:rsidRPr="00507E09" w:rsidRDefault="00F132B6">
      <w:pPr>
        <w:pStyle w:val="Zkladntext"/>
        <w:spacing w:before="7"/>
        <w:rPr>
          <w:sz w:val="20"/>
          <w:lang w:val="sk-SK"/>
        </w:rPr>
      </w:pPr>
    </w:p>
    <w:p w14:paraId="7FDC2D7B"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DÁTUM REVÍZIE</w:t>
      </w:r>
      <w:r w:rsidRPr="00507E09">
        <w:rPr>
          <w:spacing w:val="-9"/>
          <w:lang w:val="sk-SK"/>
        </w:rPr>
        <w:t xml:space="preserve"> </w:t>
      </w:r>
      <w:r w:rsidRPr="00507E09">
        <w:rPr>
          <w:lang w:val="sk-SK"/>
        </w:rPr>
        <w:t>TEXTU</w:t>
      </w:r>
    </w:p>
    <w:p w14:paraId="3CC9B23B" w14:textId="77777777" w:rsidR="00F132B6" w:rsidRPr="00507E09" w:rsidRDefault="00F132B6">
      <w:pPr>
        <w:pStyle w:val="Zkladntext"/>
        <w:spacing w:before="4"/>
        <w:rPr>
          <w:b/>
          <w:sz w:val="21"/>
          <w:lang w:val="sk-SK"/>
        </w:rPr>
      </w:pPr>
    </w:p>
    <w:p w14:paraId="20C766AA" w14:textId="58017AB0" w:rsidR="00F132B6" w:rsidRPr="00507E09" w:rsidRDefault="00BC3499">
      <w:pPr>
        <w:pStyle w:val="Zkladntext"/>
        <w:ind w:left="118" w:right="91"/>
        <w:rPr>
          <w:lang w:val="sk-SK"/>
        </w:rPr>
      </w:pPr>
      <w:r>
        <w:rPr>
          <w:lang w:val="sk-SK"/>
        </w:rPr>
        <w:t>12</w:t>
      </w:r>
      <w:r w:rsidR="003F562B">
        <w:rPr>
          <w:lang w:val="sk-SK"/>
        </w:rPr>
        <w:t>/2019</w:t>
      </w:r>
    </w:p>
    <w:p w14:paraId="1CBA4A72" w14:textId="77777777" w:rsidR="00FF5FC9" w:rsidRPr="00507E09" w:rsidRDefault="00FF5FC9">
      <w:pPr>
        <w:rPr>
          <w:lang w:val="sk-SK"/>
        </w:rPr>
      </w:pPr>
    </w:p>
    <w:sectPr w:rsidR="00FF5FC9" w:rsidRPr="00507E09" w:rsidSect="00B57391">
      <w:headerReference w:type="default" r:id="rId8"/>
      <w:footerReference w:type="default" r:id="rId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08B2" w14:textId="77777777" w:rsidR="004638C4" w:rsidRDefault="004638C4" w:rsidP="00F36545">
      <w:r>
        <w:separator/>
      </w:r>
    </w:p>
  </w:endnote>
  <w:endnote w:type="continuationSeparator" w:id="0">
    <w:p w14:paraId="096BEFD3" w14:textId="77777777" w:rsidR="004638C4" w:rsidRDefault="004638C4" w:rsidP="00F3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1AEC2" w14:textId="52717496" w:rsidR="004638C4" w:rsidRPr="008C57C7" w:rsidRDefault="004638C4">
    <w:pPr>
      <w:pStyle w:val="Pta"/>
      <w:tabs>
        <w:tab w:val="clear" w:pos="4703"/>
      </w:tabs>
      <w:jc w:val="center"/>
      <w:rPr>
        <w:caps/>
        <w:noProof/>
        <w:sz w:val="18"/>
        <w:szCs w:val="18"/>
      </w:rPr>
    </w:pPr>
    <w:r w:rsidRPr="008C57C7">
      <w:rPr>
        <w:caps/>
        <w:sz w:val="18"/>
        <w:szCs w:val="18"/>
      </w:rPr>
      <w:fldChar w:fldCharType="begin"/>
    </w:r>
    <w:r w:rsidRPr="008C57C7">
      <w:rPr>
        <w:caps/>
        <w:sz w:val="18"/>
        <w:szCs w:val="18"/>
      </w:rPr>
      <w:instrText xml:space="preserve"> PAGE   \* MERGEFORMAT </w:instrText>
    </w:r>
    <w:r w:rsidRPr="008C57C7">
      <w:rPr>
        <w:caps/>
        <w:sz w:val="18"/>
        <w:szCs w:val="18"/>
      </w:rPr>
      <w:fldChar w:fldCharType="separate"/>
    </w:r>
    <w:r w:rsidR="00B57391">
      <w:rPr>
        <w:caps/>
        <w:noProof/>
        <w:sz w:val="18"/>
        <w:szCs w:val="18"/>
      </w:rPr>
      <w:t>21</w:t>
    </w:r>
    <w:r w:rsidRPr="008C57C7">
      <w:rPr>
        <w:caps/>
        <w:noProof/>
        <w:sz w:val="18"/>
        <w:szCs w:val="18"/>
      </w:rPr>
      <w:fldChar w:fldCharType="end"/>
    </w:r>
  </w:p>
  <w:p w14:paraId="39AA1F3F" w14:textId="77777777" w:rsidR="004638C4" w:rsidRDefault="004638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6005" w14:textId="77777777" w:rsidR="004638C4" w:rsidRDefault="004638C4" w:rsidP="00F36545">
      <w:r>
        <w:separator/>
      </w:r>
    </w:p>
  </w:footnote>
  <w:footnote w:type="continuationSeparator" w:id="0">
    <w:p w14:paraId="4A9AF8D2" w14:textId="77777777" w:rsidR="004638C4" w:rsidRDefault="004638C4" w:rsidP="00F36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6989" w14:textId="4BCC9A2A" w:rsidR="004638C4" w:rsidRPr="005B30AA" w:rsidRDefault="004638C4">
    <w:pPr>
      <w:pStyle w:val="Hlavika"/>
      <w:rPr>
        <w:sz w:val="18"/>
        <w:szCs w:val="18"/>
      </w:rPr>
    </w:pPr>
    <w:r w:rsidRPr="005B30AA">
      <w:rPr>
        <w:sz w:val="18"/>
        <w:szCs w:val="18"/>
      </w:rPr>
      <w:t>Schválený text k rozhodnutiu o registrácii, ev.</w:t>
    </w:r>
    <w:r>
      <w:rPr>
        <w:sz w:val="18"/>
        <w:szCs w:val="18"/>
      </w:rPr>
      <w:t xml:space="preserve"> </w:t>
    </w:r>
    <w:r w:rsidRPr="005B30AA">
      <w:rPr>
        <w:sz w:val="18"/>
        <w:szCs w:val="18"/>
      </w:rPr>
      <w:t>č.:</w:t>
    </w:r>
    <w:r w:rsidRPr="002120CE">
      <w:rPr>
        <w:sz w:val="18"/>
        <w:szCs w:val="18"/>
        <w:lang w:val="sk-SK"/>
      </w:rPr>
      <w:t>2018/08182-REG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13D3"/>
    <w:multiLevelType w:val="multilevel"/>
    <w:tmpl w:val="5E766558"/>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numFmt w:val="bullet"/>
      <w:lvlText w:val="•"/>
      <w:lvlJc w:val="left"/>
      <w:pPr>
        <w:ind w:left="2393" w:hanging="567"/>
      </w:pPr>
      <w:rPr>
        <w:rFonts w:hint="default"/>
      </w:rPr>
    </w:lvl>
    <w:lvl w:ilvl="3">
      <w:numFmt w:val="bullet"/>
      <w:lvlText w:val="•"/>
      <w:lvlJc w:val="left"/>
      <w:pPr>
        <w:ind w:left="3249" w:hanging="567"/>
      </w:pPr>
      <w:rPr>
        <w:rFonts w:hint="default"/>
      </w:rPr>
    </w:lvl>
    <w:lvl w:ilvl="4">
      <w:numFmt w:val="bullet"/>
      <w:lvlText w:val="•"/>
      <w:lvlJc w:val="left"/>
      <w:pPr>
        <w:ind w:left="4106" w:hanging="567"/>
      </w:pPr>
      <w:rPr>
        <w:rFonts w:hint="default"/>
      </w:rPr>
    </w:lvl>
    <w:lvl w:ilvl="5">
      <w:numFmt w:val="bullet"/>
      <w:lvlText w:val="•"/>
      <w:lvlJc w:val="left"/>
      <w:pPr>
        <w:ind w:left="4962" w:hanging="567"/>
      </w:pPr>
      <w:rPr>
        <w:rFonts w:hint="default"/>
      </w:rPr>
    </w:lvl>
    <w:lvl w:ilvl="6">
      <w:numFmt w:val="bullet"/>
      <w:lvlText w:val="•"/>
      <w:lvlJc w:val="left"/>
      <w:pPr>
        <w:ind w:left="5819" w:hanging="567"/>
      </w:pPr>
      <w:rPr>
        <w:rFonts w:hint="default"/>
      </w:rPr>
    </w:lvl>
    <w:lvl w:ilvl="7">
      <w:numFmt w:val="bullet"/>
      <w:lvlText w:val="•"/>
      <w:lvlJc w:val="left"/>
      <w:pPr>
        <w:ind w:left="6675" w:hanging="567"/>
      </w:pPr>
      <w:rPr>
        <w:rFonts w:hint="default"/>
      </w:rPr>
    </w:lvl>
    <w:lvl w:ilvl="8">
      <w:numFmt w:val="bullet"/>
      <w:lvlText w:val="•"/>
      <w:lvlJc w:val="left"/>
      <w:pPr>
        <w:ind w:left="7532" w:hanging="567"/>
      </w:pPr>
      <w:rPr>
        <w:rFonts w:hint="default"/>
      </w:rPr>
    </w:lvl>
  </w:abstractNum>
  <w:abstractNum w:abstractNumId="1" w15:restartNumberingAfterBreak="0">
    <w:nsid w:val="0ED65F75"/>
    <w:multiLevelType w:val="hybridMultilevel"/>
    <w:tmpl w:val="9ACAA7EA"/>
    <w:lvl w:ilvl="0" w:tplc="6D0025BE">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3D787A80">
      <w:numFmt w:val="bullet"/>
      <w:lvlText w:val="•"/>
      <w:lvlJc w:val="left"/>
      <w:pPr>
        <w:ind w:left="1036" w:hanging="567"/>
      </w:pPr>
      <w:rPr>
        <w:rFonts w:hint="default"/>
      </w:rPr>
    </w:lvl>
    <w:lvl w:ilvl="2" w:tplc="249AB34E">
      <w:numFmt w:val="bullet"/>
      <w:lvlText w:val="•"/>
      <w:lvlJc w:val="left"/>
      <w:pPr>
        <w:ind w:left="1953" w:hanging="567"/>
      </w:pPr>
      <w:rPr>
        <w:rFonts w:hint="default"/>
      </w:rPr>
    </w:lvl>
    <w:lvl w:ilvl="3" w:tplc="2B42EDA4">
      <w:numFmt w:val="bullet"/>
      <w:lvlText w:val="•"/>
      <w:lvlJc w:val="left"/>
      <w:pPr>
        <w:ind w:left="2869" w:hanging="567"/>
      </w:pPr>
      <w:rPr>
        <w:rFonts w:hint="default"/>
      </w:rPr>
    </w:lvl>
    <w:lvl w:ilvl="4" w:tplc="561834B8">
      <w:numFmt w:val="bullet"/>
      <w:lvlText w:val="•"/>
      <w:lvlJc w:val="left"/>
      <w:pPr>
        <w:ind w:left="3786" w:hanging="567"/>
      </w:pPr>
      <w:rPr>
        <w:rFonts w:hint="default"/>
      </w:rPr>
    </w:lvl>
    <w:lvl w:ilvl="5" w:tplc="BD364A40">
      <w:numFmt w:val="bullet"/>
      <w:lvlText w:val="•"/>
      <w:lvlJc w:val="left"/>
      <w:pPr>
        <w:ind w:left="4702" w:hanging="567"/>
      </w:pPr>
      <w:rPr>
        <w:rFonts w:hint="default"/>
      </w:rPr>
    </w:lvl>
    <w:lvl w:ilvl="6" w:tplc="C92ACE7C">
      <w:numFmt w:val="bullet"/>
      <w:lvlText w:val="•"/>
      <w:lvlJc w:val="left"/>
      <w:pPr>
        <w:ind w:left="5619" w:hanging="567"/>
      </w:pPr>
      <w:rPr>
        <w:rFonts w:hint="default"/>
      </w:rPr>
    </w:lvl>
    <w:lvl w:ilvl="7" w:tplc="FB6CEFE0">
      <w:numFmt w:val="bullet"/>
      <w:lvlText w:val="•"/>
      <w:lvlJc w:val="left"/>
      <w:pPr>
        <w:ind w:left="6535" w:hanging="567"/>
      </w:pPr>
      <w:rPr>
        <w:rFonts w:hint="default"/>
      </w:rPr>
    </w:lvl>
    <w:lvl w:ilvl="8" w:tplc="FE688EC6">
      <w:numFmt w:val="bullet"/>
      <w:lvlText w:val="•"/>
      <w:lvlJc w:val="left"/>
      <w:pPr>
        <w:ind w:left="7452" w:hanging="567"/>
      </w:pPr>
      <w:rPr>
        <w:rFonts w:hint="default"/>
      </w:rPr>
    </w:lvl>
  </w:abstractNum>
  <w:abstractNum w:abstractNumId="2" w15:restartNumberingAfterBreak="0">
    <w:nsid w:val="11A944FA"/>
    <w:multiLevelType w:val="multilevel"/>
    <w:tmpl w:val="81C03A9A"/>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1631" w:hanging="567"/>
      </w:pPr>
      <w:rPr>
        <w:rFonts w:hint="default"/>
      </w:rPr>
    </w:lvl>
    <w:lvl w:ilvl="3">
      <w:numFmt w:val="bullet"/>
      <w:lvlText w:val="•"/>
      <w:lvlJc w:val="left"/>
      <w:pPr>
        <w:ind w:left="2583" w:hanging="567"/>
      </w:pPr>
      <w:rPr>
        <w:rFonts w:hint="default"/>
      </w:rPr>
    </w:lvl>
    <w:lvl w:ilvl="4">
      <w:numFmt w:val="bullet"/>
      <w:lvlText w:val="•"/>
      <w:lvlJc w:val="left"/>
      <w:pPr>
        <w:ind w:left="3535" w:hanging="567"/>
      </w:pPr>
      <w:rPr>
        <w:rFonts w:hint="default"/>
      </w:rPr>
    </w:lvl>
    <w:lvl w:ilvl="5">
      <w:numFmt w:val="bullet"/>
      <w:lvlText w:val="•"/>
      <w:lvlJc w:val="left"/>
      <w:pPr>
        <w:ind w:left="4486" w:hanging="567"/>
      </w:pPr>
      <w:rPr>
        <w:rFonts w:hint="default"/>
      </w:rPr>
    </w:lvl>
    <w:lvl w:ilvl="6">
      <w:numFmt w:val="bullet"/>
      <w:lvlText w:val="•"/>
      <w:lvlJc w:val="left"/>
      <w:pPr>
        <w:ind w:left="5438" w:hanging="567"/>
      </w:pPr>
      <w:rPr>
        <w:rFonts w:hint="default"/>
      </w:rPr>
    </w:lvl>
    <w:lvl w:ilvl="7">
      <w:numFmt w:val="bullet"/>
      <w:lvlText w:val="•"/>
      <w:lvlJc w:val="left"/>
      <w:pPr>
        <w:ind w:left="6390" w:hanging="567"/>
      </w:pPr>
      <w:rPr>
        <w:rFonts w:hint="default"/>
      </w:rPr>
    </w:lvl>
    <w:lvl w:ilvl="8">
      <w:numFmt w:val="bullet"/>
      <w:lvlText w:val="•"/>
      <w:lvlJc w:val="left"/>
      <w:pPr>
        <w:ind w:left="7342" w:hanging="567"/>
      </w:pPr>
      <w:rPr>
        <w:rFonts w:hint="default"/>
      </w:rPr>
    </w:lvl>
  </w:abstractNum>
  <w:abstractNum w:abstractNumId="3" w15:restartNumberingAfterBreak="0">
    <w:nsid w:val="19A9302B"/>
    <w:multiLevelType w:val="hybridMultilevel"/>
    <w:tmpl w:val="401CC32A"/>
    <w:lvl w:ilvl="0" w:tplc="970E8FF4">
      <w:start w:val="1"/>
      <w:numFmt w:val="decimal"/>
      <w:lvlText w:val="%1."/>
      <w:lvlJc w:val="left"/>
      <w:pPr>
        <w:ind w:left="684" w:hanging="567"/>
      </w:pPr>
      <w:rPr>
        <w:rFonts w:ascii="Times New Roman" w:eastAsia="Times New Roman" w:hAnsi="Times New Roman" w:cs="Times New Roman" w:hint="default"/>
        <w:w w:val="100"/>
        <w:sz w:val="22"/>
        <w:szCs w:val="22"/>
      </w:rPr>
    </w:lvl>
    <w:lvl w:ilvl="1" w:tplc="F9E2DDF6">
      <w:numFmt w:val="bullet"/>
      <w:lvlText w:val="•"/>
      <w:lvlJc w:val="left"/>
      <w:pPr>
        <w:ind w:left="1542" w:hanging="567"/>
      </w:pPr>
      <w:rPr>
        <w:rFonts w:hint="default"/>
      </w:rPr>
    </w:lvl>
    <w:lvl w:ilvl="2" w:tplc="DBC804CC">
      <w:numFmt w:val="bullet"/>
      <w:lvlText w:val="•"/>
      <w:lvlJc w:val="left"/>
      <w:pPr>
        <w:ind w:left="2405" w:hanging="567"/>
      </w:pPr>
      <w:rPr>
        <w:rFonts w:hint="default"/>
      </w:rPr>
    </w:lvl>
    <w:lvl w:ilvl="3" w:tplc="4B34570A">
      <w:numFmt w:val="bullet"/>
      <w:lvlText w:val="•"/>
      <w:lvlJc w:val="left"/>
      <w:pPr>
        <w:ind w:left="3267" w:hanging="567"/>
      </w:pPr>
      <w:rPr>
        <w:rFonts w:hint="default"/>
      </w:rPr>
    </w:lvl>
    <w:lvl w:ilvl="4" w:tplc="967EE820">
      <w:numFmt w:val="bullet"/>
      <w:lvlText w:val="•"/>
      <w:lvlJc w:val="left"/>
      <w:pPr>
        <w:ind w:left="4130" w:hanging="567"/>
      </w:pPr>
      <w:rPr>
        <w:rFonts w:hint="default"/>
      </w:rPr>
    </w:lvl>
    <w:lvl w:ilvl="5" w:tplc="CE1699CE">
      <w:numFmt w:val="bullet"/>
      <w:lvlText w:val="•"/>
      <w:lvlJc w:val="left"/>
      <w:pPr>
        <w:ind w:left="4992" w:hanging="567"/>
      </w:pPr>
      <w:rPr>
        <w:rFonts w:hint="default"/>
      </w:rPr>
    </w:lvl>
    <w:lvl w:ilvl="6" w:tplc="18FCEC92">
      <w:numFmt w:val="bullet"/>
      <w:lvlText w:val="•"/>
      <w:lvlJc w:val="left"/>
      <w:pPr>
        <w:ind w:left="5855" w:hanging="567"/>
      </w:pPr>
      <w:rPr>
        <w:rFonts w:hint="default"/>
      </w:rPr>
    </w:lvl>
    <w:lvl w:ilvl="7" w:tplc="4F062526">
      <w:numFmt w:val="bullet"/>
      <w:lvlText w:val="•"/>
      <w:lvlJc w:val="left"/>
      <w:pPr>
        <w:ind w:left="6717" w:hanging="567"/>
      </w:pPr>
      <w:rPr>
        <w:rFonts w:hint="default"/>
      </w:rPr>
    </w:lvl>
    <w:lvl w:ilvl="8" w:tplc="A1AA7E4C">
      <w:numFmt w:val="bullet"/>
      <w:lvlText w:val="•"/>
      <w:lvlJc w:val="left"/>
      <w:pPr>
        <w:ind w:left="7580" w:hanging="567"/>
      </w:pPr>
      <w:rPr>
        <w:rFonts w:hint="default"/>
      </w:rPr>
    </w:lvl>
  </w:abstractNum>
  <w:abstractNum w:abstractNumId="4" w15:restartNumberingAfterBreak="0">
    <w:nsid w:val="26722731"/>
    <w:multiLevelType w:val="multilevel"/>
    <w:tmpl w:val="7E66A9C6"/>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numFmt w:val="bullet"/>
      <w:lvlText w:val="•"/>
      <w:lvlJc w:val="left"/>
      <w:pPr>
        <w:ind w:left="1631" w:hanging="567"/>
      </w:pPr>
      <w:rPr>
        <w:rFonts w:hint="default"/>
      </w:rPr>
    </w:lvl>
    <w:lvl w:ilvl="3">
      <w:numFmt w:val="bullet"/>
      <w:lvlText w:val="•"/>
      <w:lvlJc w:val="left"/>
      <w:pPr>
        <w:ind w:left="2583" w:hanging="567"/>
      </w:pPr>
      <w:rPr>
        <w:rFonts w:hint="default"/>
      </w:rPr>
    </w:lvl>
    <w:lvl w:ilvl="4">
      <w:numFmt w:val="bullet"/>
      <w:lvlText w:val="•"/>
      <w:lvlJc w:val="left"/>
      <w:pPr>
        <w:ind w:left="3535" w:hanging="567"/>
      </w:pPr>
      <w:rPr>
        <w:rFonts w:hint="default"/>
      </w:rPr>
    </w:lvl>
    <w:lvl w:ilvl="5">
      <w:numFmt w:val="bullet"/>
      <w:lvlText w:val="•"/>
      <w:lvlJc w:val="left"/>
      <w:pPr>
        <w:ind w:left="4486" w:hanging="567"/>
      </w:pPr>
      <w:rPr>
        <w:rFonts w:hint="default"/>
      </w:rPr>
    </w:lvl>
    <w:lvl w:ilvl="6">
      <w:numFmt w:val="bullet"/>
      <w:lvlText w:val="•"/>
      <w:lvlJc w:val="left"/>
      <w:pPr>
        <w:ind w:left="5438" w:hanging="567"/>
      </w:pPr>
      <w:rPr>
        <w:rFonts w:hint="default"/>
      </w:rPr>
    </w:lvl>
    <w:lvl w:ilvl="7">
      <w:numFmt w:val="bullet"/>
      <w:lvlText w:val="•"/>
      <w:lvlJc w:val="left"/>
      <w:pPr>
        <w:ind w:left="6390" w:hanging="567"/>
      </w:pPr>
      <w:rPr>
        <w:rFonts w:hint="default"/>
      </w:rPr>
    </w:lvl>
    <w:lvl w:ilvl="8">
      <w:numFmt w:val="bullet"/>
      <w:lvlText w:val="•"/>
      <w:lvlJc w:val="left"/>
      <w:pPr>
        <w:ind w:left="7342" w:hanging="567"/>
      </w:pPr>
      <w:rPr>
        <w:rFonts w:hint="default"/>
      </w:rPr>
    </w:lvl>
  </w:abstractNum>
  <w:abstractNum w:abstractNumId="5" w15:restartNumberingAfterBreak="0">
    <w:nsid w:val="28074A8F"/>
    <w:multiLevelType w:val="hybridMultilevel"/>
    <w:tmpl w:val="1916B850"/>
    <w:lvl w:ilvl="0" w:tplc="44389CDE">
      <w:numFmt w:val="bullet"/>
      <w:lvlText w:val=""/>
      <w:lvlJc w:val="left"/>
      <w:pPr>
        <w:ind w:left="684" w:hanging="567"/>
      </w:pPr>
      <w:rPr>
        <w:rFonts w:ascii="Symbol" w:eastAsia="Symbol" w:hAnsi="Symbol" w:cs="Symbol" w:hint="default"/>
        <w:w w:val="100"/>
        <w:sz w:val="22"/>
        <w:szCs w:val="22"/>
      </w:rPr>
    </w:lvl>
    <w:lvl w:ilvl="1" w:tplc="58FC56AA">
      <w:numFmt w:val="bullet"/>
      <w:lvlText w:val="•"/>
      <w:lvlJc w:val="left"/>
      <w:pPr>
        <w:ind w:left="1540" w:hanging="567"/>
      </w:pPr>
      <w:rPr>
        <w:rFonts w:hint="default"/>
      </w:rPr>
    </w:lvl>
    <w:lvl w:ilvl="2" w:tplc="22D6C292">
      <w:numFmt w:val="bullet"/>
      <w:lvlText w:val="•"/>
      <w:lvlJc w:val="left"/>
      <w:pPr>
        <w:ind w:left="2401" w:hanging="567"/>
      </w:pPr>
      <w:rPr>
        <w:rFonts w:hint="default"/>
      </w:rPr>
    </w:lvl>
    <w:lvl w:ilvl="3" w:tplc="E98AED54">
      <w:numFmt w:val="bullet"/>
      <w:lvlText w:val="•"/>
      <w:lvlJc w:val="left"/>
      <w:pPr>
        <w:ind w:left="3261" w:hanging="567"/>
      </w:pPr>
      <w:rPr>
        <w:rFonts w:hint="default"/>
      </w:rPr>
    </w:lvl>
    <w:lvl w:ilvl="4" w:tplc="69E2776C">
      <w:numFmt w:val="bullet"/>
      <w:lvlText w:val="•"/>
      <w:lvlJc w:val="left"/>
      <w:pPr>
        <w:ind w:left="4122" w:hanging="567"/>
      </w:pPr>
      <w:rPr>
        <w:rFonts w:hint="default"/>
      </w:rPr>
    </w:lvl>
    <w:lvl w:ilvl="5" w:tplc="CF56D0F6">
      <w:numFmt w:val="bullet"/>
      <w:lvlText w:val="•"/>
      <w:lvlJc w:val="left"/>
      <w:pPr>
        <w:ind w:left="4982" w:hanging="567"/>
      </w:pPr>
      <w:rPr>
        <w:rFonts w:hint="default"/>
      </w:rPr>
    </w:lvl>
    <w:lvl w:ilvl="6" w:tplc="2354BA8C">
      <w:numFmt w:val="bullet"/>
      <w:lvlText w:val="•"/>
      <w:lvlJc w:val="left"/>
      <w:pPr>
        <w:ind w:left="5843" w:hanging="567"/>
      </w:pPr>
      <w:rPr>
        <w:rFonts w:hint="default"/>
      </w:rPr>
    </w:lvl>
    <w:lvl w:ilvl="7" w:tplc="1854BBCC">
      <w:numFmt w:val="bullet"/>
      <w:lvlText w:val="•"/>
      <w:lvlJc w:val="left"/>
      <w:pPr>
        <w:ind w:left="6703" w:hanging="567"/>
      </w:pPr>
      <w:rPr>
        <w:rFonts w:hint="default"/>
      </w:rPr>
    </w:lvl>
    <w:lvl w:ilvl="8" w:tplc="2DCAFA1A">
      <w:numFmt w:val="bullet"/>
      <w:lvlText w:val="•"/>
      <w:lvlJc w:val="left"/>
      <w:pPr>
        <w:ind w:left="7564" w:hanging="567"/>
      </w:pPr>
      <w:rPr>
        <w:rFonts w:hint="default"/>
      </w:rPr>
    </w:lvl>
  </w:abstractNum>
  <w:abstractNum w:abstractNumId="6" w15:restartNumberingAfterBreak="0">
    <w:nsid w:val="2FB975F4"/>
    <w:multiLevelType w:val="hybridMultilevel"/>
    <w:tmpl w:val="BC7465E0"/>
    <w:lvl w:ilvl="0" w:tplc="9CF6272C">
      <w:numFmt w:val="bullet"/>
      <w:lvlText w:val="-"/>
      <w:lvlJc w:val="left"/>
      <w:pPr>
        <w:ind w:left="684" w:hanging="567"/>
      </w:pPr>
      <w:rPr>
        <w:rFonts w:ascii="Times New Roman" w:eastAsia="Times New Roman" w:hAnsi="Times New Roman" w:cs="Times New Roman" w:hint="default"/>
        <w:w w:val="100"/>
        <w:sz w:val="22"/>
        <w:szCs w:val="22"/>
      </w:rPr>
    </w:lvl>
    <w:lvl w:ilvl="1" w:tplc="1FF8D33C">
      <w:numFmt w:val="bullet"/>
      <w:lvlText w:val="•"/>
      <w:lvlJc w:val="left"/>
      <w:pPr>
        <w:ind w:left="1536" w:hanging="567"/>
      </w:pPr>
      <w:rPr>
        <w:rFonts w:hint="default"/>
      </w:rPr>
    </w:lvl>
    <w:lvl w:ilvl="2" w:tplc="57D2A22E">
      <w:numFmt w:val="bullet"/>
      <w:lvlText w:val="•"/>
      <w:lvlJc w:val="left"/>
      <w:pPr>
        <w:ind w:left="2393" w:hanging="567"/>
      </w:pPr>
      <w:rPr>
        <w:rFonts w:hint="default"/>
      </w:rPr>
    </w:lvl>
    <w:lvl w:ilvl="3" w:tplc="474E038C">
      <w:numFmt w:val="bullet"/>
      <w:lvlText w:val="•"/>
      <w:lvlJc w:val="left"/>
      <w:pPr>
        <w:ind w:left="3249" w:hanging="567"/>
      </w:pPr>
      <w:rPr>
        <w:rFonts w:hint="default"/>
      </w:rPr>
    </w:lvl>
    <w:lvl w:ilvl="4" w:tplc="89A4D59A">
      <w:numFmt w:val="bullet"/>
      <w:lvlText w:val="•"/>
      <w:lvlJc w:val="left"/>
      <w:pPr>
        <w:ind w:left="4106" w:hanging="567"/>
      </w:pPr>
      <w:rPr>
        <w:rFonts w:hint="default"/>
      </w:rPr>
    </w:lvl>
    <w:lvl w:ilvl="5" w:tplc="07164A36">
      <w:numFmt w:val="bullet"/>
      <w:lvlText w:val="•"/>
      <w:lvlJc w:val="left"/>
      <w:pPr>
        <w:ind w:left="4962" w:hanging="567"/>
      </w:pPr>
      <w:rPr>
        <w:rFonts w:hint="default"/>
      </w:rPr>
    </w:lvl>
    <w:lvl w:ilvl="6" w:tplc="927AF61C">
      <w:numFmt w:val="bullet"/>
      <w:lvlText w:val="•"/>
      <w:lvlJc w:val="left"/>
      <w:pPr>
        <w:ind w:left="5819" w:hanging="567"/>
      </w:pPr>
      <w:rPr>
        <w:rFonts w:hint="default"/>
      </w:rPr>
    </w:lvl>
    <w:lvl w:ilvl="7" w:tplc="10329594">
      <w:numFmt w:val="bullet"/>
      <w:lvlText w:val="•"/>
      <w:lvlJc w:val="left"/>
      <w:pPr>
        <w:ind w:left="6675" w:hanging="567"/>
      </w:pPr>
      <w:rPr>
        <w:rFonts w:hint="default"/>
      </w:rPr>
    </w:lvl>
    <w:lvl w:ilvl="8" w:tplc="BCEA09BE">
      <w:numFmt w:val="bullet"/>
      <w:lvlText w:val="•"/>
      <w:lvlJc w:val="left"/>
      <w:pPr>
        <w:ind w:left="7532" w:hanging="567"/>
      </w:pPr>
      <w:rPr>
        <w:rFonts w:hint="default"/>
      </w:rPr>
    </w:lvl>
  </w:abstractNum>
  <w:abstractNum w:abstractNumId="7" w15:restartNumberingAfterBreak="0">
    <w:nsid w:val="3C316E2F"/>
    <w:multiLevelType w:val="hybridMultilevel"/>
    <w:tmpl w:val="C1C07978"/>
    <w:lvl w:ilvl="0" w:tplc="5A40E488">
      <w:start w:val="1"/>
      <w:numFmt w:val="upperLetter"/>
      <w:lvlText w:val="%1."/>
      <w:lvlJc w:val="left"/>
      <w:pPr>
        <w:ind w:left="1440" w:hanging="569"/>
      </w:pPr>
      <w:rPr>
        <w:rFonts w:ascii="Times New Roman" w:eastAsia="Times New Roman" w:hAnsi="Times New Roman" w:cs="Times New Roman" w:hint="default"/>
        <w:b/>
        <w:bCs/>
        <w:spacing w:val="-2"/>
        <w:w w:val="100"/>
        <w:sz w:val="22"/>
        <w:szCs w:val="22"/>
      </w:rPr>
    </w:lvl>
    <w:lvl w:ilvl="1" w:tplc="D480AC8A">
      <w:numFmt w:val="bullet"/>
      <w:lvlText w:val="•"/>
      <w:lvlJc w:val="left"/>
      <w:pPr>
        <w:ind w:left="2150" w:hanging="569"/>
      </w:pPr>
      <w:rPr>
        <w:rFonts w:hint="default"/>
      </w:rPr>
    </w:lvl>
    <w:lvl w:ilvl="2" w:tplc="B17A1A70">
      <w:numFmt w:val="bullet"/>
      <w:lvlText w:val="•"/>
      <w:lvlJc w:val="left"/>
      <w:pPr>
        <w:ind w:left="2861" w:hanging="569"/>
      </w:pPr>
      <w:rPr>
        <w:rFonts w:hint="default"/>
      </w:rPr>
    </w:lvl>
    <w:lvl w:ilvl="3" w:tplc="8A7E6572">
      <w:numFmt w:val="bullet"/>
      <w:lvlText w:val="•"/>
      <w:lvlJc w:val="left"/>
      <w:pPr>
        <w:ind w:left="3571" w:hanging="569"/>
      </w:pPr>
      <w:rPr>
        <w:rFonts w:hint="default"/>
      </w:rPr>
    </w:lvl>
    <w:lvl w:ilvl="4" w:tplc="47EEFB60">
      <w:numFmt w:val="bullet"/>
      <w:lvlText w:val="•"/>
      <w:lvlJc w:val="left"/>
      <w:pPr>
        <w:ind w:left="4282" w:hanging="569"/>
      </w:pPr>
      <w:rPr>
        <w:rFonts w:hint="default"/>
      </w:rPr>
    </w:lvl>
    <w:lvl w:ilvl="5" w:tplc="341CA56C">
      <w:numFmt w:val="bullet"/>
      <w:lvlText w:val="•"/>
      <w:lvlJc w:val="left"/>
      <w:pPr>
        <w:ind w:left="4992" w:hanging="569"/>
      </w:pPr>
      <w:rPr>
        <w:rFonts w:hint="default"/>
      </w:rPr>
    </w:lvl>
    <w:lvl w:ilvl="6" w:tplc="C7F6BC62">
      <w:numFmt w:val="bullet"/>
      <w:lvlText w:val="•"/>
      <w:lvlJc w:val="left"/>
      <w:pPr>
        <w:ind w:left="5703" w:hanging="569"/>
      </w:pPr>
      <w:rPr>
        <w:rFonts w:hint="default"/>
      </w:rPr>
    </w:lvl>
    <w:lvl w:ilvl="7" w:tplc="6B2E63B0">
      <w:numFmt w:val="bullet"/>
      <w:lvlText w:val="•"/>
      <w:lvlJc w:val="left"/>
      <w:pPr>
        <w:ind w:left="6413" w:hanging="569"/>
      </w:pPr>
      <w:rPr>
        <w:rFonts w:hint="default"/>
      </w:rPr>
    </w:lvl>
    <w:lvl w:ilvl="8" w:tplc="D6923694">
      <w:numFmt w:val="bullet"/>
      <w:lvlText w:val="•"/>
      <w:lvlJc w:val="left"/>
      <w:pPr>
        <w:ind w:left="7124" w:hanging="569"/>
      </w:pPr>
      <w:rPr>
        <w:rFonts w:hint="default"/>
      </w:rPr>
    </w:lvl>
  </w:abstractNum>
  <w:abstractNum w:abstractNumId="8" w15:restartNumberingAfterBreak="0">
    <w:nsid w:val="407336E1"/>
    <w:multiLevelType w:val="hybridMultilevel"/>
    <w:tmpl w:val="4C9ED8BE"/>
    <w:lvl w:ilvl="0" w:tplc="7CECF726">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342E2E78">
      <w:start w:val="1"/>
      <w:numFmt w:val="upperLetter"/>
      <w:lvlText w:val="%2."/>
      <w:lvlJc w:val="left"/>
      <w:pPr>
        <w:ind w:left="3321" w:hanging="269"/>
        <w:jc w:val="right"/>
      </w:pPr>
      <w:rPr>
        <w:rFonts w:ascii="Times New Roman" w:eastAsia="Times New Roman" w:hAnsi="Times New Roman" w:cs="Times New Roman" w:hint="default"/>
        <w:b/>
        <w:bCs/>
        <w:spacing w:val="-1"/>
        <w:w w:val="100"/>
        <w:sz w:val="22"/>
        <w:szCs w:val="22"/>
      </w:rPr>
    </w:lvl>
    <w:lvl w:ilvl="2" w:tplc="FD703884">
      <w:numFmt w:val="bullet"/>
      <w:lvlText w:val="•"/>
      <w:lvlJc w:val="left"/>
      <w:pPr>
        <w:ind w:left="3900" w:hanging="269"/>
      </w:pPr>
      <w:rPr>
        <w:rFonts w:hint="default"/>
      </w:rPr>
    </w:lvl>
    <w:lvl w:ilvl="3" w:tplc="7AA23508">
      <w:numFmt w:val="bullet"/>
      <w:lvlText w:val="•"/>
      <w:lvlJc w:val="left"/>
      <w:pPr>
        <w:ind w:left="4481" w:hanging="269"/>
      </w:pPr>
      <w:rPr>
        <w:rFonts w:hint="default"/>
      </w:rPr>
    </w:lvl>
    <w:lvl w:ilvl="4" w:tplc="F36051B6">
      <w:numFmt w:val="bullet"/>
      <w:lvlText w:val="•"/>
      <w:lvlJc w:val="left"/>
      <w:pPr>
        <w:ind w:left="5061" w:hanging="269"/>
      </w:pPr>
      <w:rPr>
        <w:rFonts w:hint="default"/>
      </w:rPr>
    </w:lvl>
    <w:lvl w:ilvl="5" w:tplc="21669D82">
      <w:numFmt w:val="bullet"/>
      <w:lvlText w:val="•"/>
      <w:lvlJc w:val="left"/>
      <w:pPr>
        <w:ind w:left="5642" w:hanging="269"/>
      </w:pPr>
      <w:rPr>
        <w:rFonts w:hint="default"/>
      </w:rPr>
    </w:lvl>
    <w:lvl w:ilvl="6" w:tplc="18B427FE">
      <w:numFmt w:val="bullet"/>
      <w:lvlText w:val="•"/>
      <w:lvlJc w:val="left"/>
      <w:pPr>
        <w:ind w:left="6223" w:hanging="269"/>
      </w:pPr>
      <w:rPr>
        <w:rFonts w:hint="default"/>
      </w:rPr>
    </w:lvl>
    <w:lvl w:ilvl="7" w:tplc="B5868964">
      <w:numFmt w:val="bullet"/>
      <w:lvlText w:val="•"/>
      <w:lvlJc w:val="left"/>
      <w:pPr>
        <w:ind w:left="6803" w:hanging="269"/>
      </w:pPr>
      <w:rPr>
        <w:rFonts w:hint="default"/>
      </w:rPr>
    </w:lvl>
    <w:lvl w:ilvl="8" w:tplc="6522367A">
      <w:numFmt w:val="bullet"/>
      <w:lvlText w:val="•"/>
      <w:lvlJc w:val="left"/>
      <w:pPr>
        <w:ind w:left="7384" w:hanging="269"/>
      </w:pPr>
      <w:rPr>
        <w:rFonts w:hint="default"/>
      </w:rPr>
    </w:lvl>
  </w:abstractNum>
  <w:abstractNum w:abstractNumId="9" w15:restartNumberingAfterBreak="0">
    <w:nsid w:val="431B140B"/>
    <w:multiLevelType w:val="hybridMultilevel"/>
    <w:tmpl w:val="35CC3580"/>
    <w:lvl w:ilvl="0" w:tplc="C430DF38">
      <w:numFmt w:val="bullet"/>
      <w:lvlText w:val="-"/>
      <w:lvlJc w:val="left"/>
      <w:pPr>
        <w:ind w:left="684" w:hanging="567"/>
      </w:pPr>
      <w:rPr>
        <w:rFonts w:ascii="Times New Roman" w:eastAsia="Times New Roman" w:hAnsi="Times New Roman" w:cs="Times New Roman" w:hint="default"/>
        <w:w w:val="100"/>
        <w:sz w:val="22"/>
        <w:szCs w:val="22"/>
      </w:rPr>
    </w:lvl>
    <w:lvl w:ilvl="1" w:tplc="15C81B32">
      <w:numFmt w:val="bullet"/>
      <w:lvlText w:val="•"/>
      <w:lvlJc w:val="left"/>
      <w:pPr>
        <w:ind w:left="1540" w:hanging="567"/>
      </w:pPr>
      <w:rPr>
        <w:rFonts w:hint="default"/>
      </w:rPr>
    </w:lvl>
    <w:lvl w:ilvl="2" w:tplc="C9181396">
      <w:numFmt w:val="bullet"/>
      <w:lvlText w:val="•"/>
      <w:lvlJc w:val="left"/>
      <w:pPr>
        <w:ind w:left="2401" w:hanging="567"/>
      </w:pPr>
      <w:rPr>
        <w:rFonts w:hint="default"/>
      </w:rPr>
    </w:lvl>
    <w:lvl w:ilvl="3" w:tplc="D95AEC46">
      <w:numFmt w:val="bullet"/>
      <w:lvlText w:val="•"/>
      <w:lvlJc w:val="left"/>
      <w:pPr>
        <w:ind w:left="3261" w:hanging="567"/>
      </w:pPr>
      <w:rPr>
        <w:rFonts w:hint="default"/>
      </w:rPr>
    </w:lvl>
    <w:lvl w:ilvl="4" w:tplc="BE289FCA">
      <w:numFmt w:val="bullet"/>
      <w:lvlText w:val="•"/>
      <w:lvlJc w:val="left"/>
      <w:pPr>
        <w:ind w:left="4122" w:hanging="567"/>
      </w:pPr>
      <w:rPr>
        <w:rFonts w:hint="default"/>
      </w:rPr>
    </w:lvl>
    <w:lvl w:ilvl="5" w:tplc="851C1FD2">
      <w:numFmt w:val="bullet"/>
      <w:lvlText w:val="•"/>
      <w:lvlJc w:val="left"/>
      <w:pPr>
        <w:ind w:left="4982" w:hanging="567"/>
      </w:pPr>
      <w:rPr>
        <w:rFonts w:hint="default"/>
      </w:rPr>
    </w:lvl>
    <w:lvl w:ilvl="6" w:tplc="12A23CB0">
      <w:numFmt w:val="bullet"/>
      <w:lvlText w:val="•"/>
      <w:lvlJc w:val="left"/>
      <w:pPr>
        <w:ind w:left="5843" w:hanging="567"/>
      </w:pPr>
      <w:rPr>
        <w:rFonts w:hint="default"/>
      </w:rPr>
    </w:lvl>
    <w:lvl w:ilvl="7" w:tplc="BBB6C742">
      <w:numFmt w:val="bullet"/>
      <w:lvlText w:val="•"/>
      <w:lvlJc w:val="left"/>
      <w:pPr>
        <w:ind w:left="6703" w:hanging="567"/>
      </w:pPr>
      <w:rPr>
        <w:rFonts w:hint="default"/>
      </w:rPr>
    </w:lvl>
    <w:lvl w:ilvl="8" w:tplc="C09A71DA">
      <w:numFmt w:val="bullet"/>
      <w:lvlText w:val="•"/>
      <w:lvlJc w:val="left"/>
      <w:pPr>
        <w:ind w:left="7564" w:hanging="567"/>
      </w:pPr>
      <w:rPr>
        <w:rFonts w:hint="default"/>
      </w:rPr>
    </w:lvl>
  </w:abstractNum>
  <w:abstractNum w:abstractNumId="10" w15:restartNumberingAfterBreak="0">
    <w:nsid w:val="43722108"/>
    <w:multiLevelType w:val="hybridMultilevel"/>
    <w:tmpl w:val="E8DE3478"/>
    <w:lvl w:ilvl="0" w:tplc="5D888984">
      <w:start w:val="1"/>
      <w:numFmt w:val="decimal"/>
      <w:lvlText w:val="%1."/>
      <w:lvlJc w:val="left"/>
      <w:pPr>
        <w:ind w:left="684" w:hanging="567"/>
      </w:pPr>
      <w:rPr>
        <w:rFonts w:ascii="Times New Roman" w:eastAsia="Times New Roman" w:hAnsi="Times New Roman" w:cs="Times New Roman" w:hint="default"/>
        <w:w w:val="100"/>
        <w:sz w:val="22"/>
        <w:szCs w:val="22"/>
      </w:rPr>
    </w:lvl>
    <w:lvl w:ilvl="1" w:tplc="1C4E3750">
      <w:numFmt w:val="bullet"/>
      <w:lvlText w:val="•"/>
      <w:lvlJc w:val="left"/>
      <w:pPr>
        <w:ind w:left="1540" w:hanging="567"/>
      </w:pPr>
      <w:rPr>
        <w:rFonts w:hint="default"/>
      </w:rPr>
    </w:lvl>
    <w:lvl w:ilvl="2" w:tplc="68AE5C00">
      <w:numFmt w:val="bullet"/>
      <w:lvlText w:val="•"/>
      <w:lvlJc w:val="left"/>
      <w:pPr>
        <w:ind w:left="2401" w:hanging="567"/>
      </w:pPr>
      <w:rPr>
        <w:rFonts w:hint="default"/>
      </w:rPr>
    </w:lvl>
    <w:lvl w:ilvl="3" w:tplc="D9EEFFB8">
      <w:numFmt w:val="bullet"/>
      <w:lvlText w:val="•"/>
      <w:lvlJc w:val="left"/>
      <w:pPr>
        <w:ind w:left="3261" w:hanging="567"/>
      </w:pPr>
      <w:rPr>
        <w:rFonts w:hint="default"/>
      </w:rPr>
    </w:lvl>
    <w:lvl w:ilvl="4" w:tplc="CA76A41A">
      <w:numFmt w:val="bullet"/>
      <w:lvlText w:val="•"/>
      <w:lvlJc w:val="left"/>
      <w:pPr>
        <w:ind w:left="4122" w:hanging="567"/>
      </w:pPr>
      <w:rPr>
        <w:rFonts w:hint="default"/>
      </w:rPr>
    </w:lvl>
    <w:lvl w:ilvl="5" w:tplc="1CFEC3BC">
      <w:numFmt w:val="bullet"/>
      <w:lvlText w:val="•"/>
      <w:lvlJc w:val="left"/>
      <w:pPr>
        <w:ind w:left="4982" w:hanging="567"/>
      </w:pPr>
      <w:rPr>
        <w:rFonts w:hint="default"/>
      </w:rPr>
    </w:lvl>
    <w:lvl w:ilvl="6" w:tplc="A7CE0238">
      <w:numFmt w:val="bullet"/>
      <w:lvlText w:val="•"/>
      <w:lvlJc w:val="left"/>
      <w:pPr>
        <w:ind w:left="5843" w:hanging="567"/>
      </w:pPr>
      <w:rPr>
        <w:rFonts w:hint="default"/>
      </w:rPr>
    </w:lvl>
    <w:lvl w:ilvl="7" w:tplc="662AD218">
      <w:numFmt w:val="bullet"/>
      <w:lvlText w:val="•"/>
      <w:lvlJc w:val="left"/>
      <w:pPr>
        <w:ind w:left="6703" w:hanging="567"/>
      </w:pPr>
      <w:rPr>
        <w:rFonts w:hint="default"/>
      </w:rPr>
    </w:lvl>
    <w:lvl w:ilvl="8" w:tplc="73480DE6">
      <w:numFmt w:val="bullet"/>
      <w:lvlText w:val="•"/>
      <w:lvlJc w:val="left"/>
      <w:pPr>
        <w:ind w:left="7564" w:hanging="567"/>
      </w:pPr>
      <w:rPr>
        <w:rFonts w:hint="default"/>
      </w:rPr>
    </w:lvl>
  </w:abstractNum>
  <w:abstractNum w:abstractNumId="11" w15:restartNumberingAfterBreak="0">
    <w:nsid w:val="4B25067A"/>
    <w:multiLevelType w:val="hybridMultilevel"/>
    <w:tmpl w:val="3220758C"/>
    <w:lvl w:ilvl="0" w:tplc="05C4905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7FA2D9FE">
      <w:numFmt w:val="bullet"/>
      <w:lvlText w:val="•"/>
      <w:lvlJc w:val="left"/>
      <w:pPr>
        <w:ind w:left="1036" w:hanging="567"/>
      </w:pPr>
      <w:rPr>
        <w:rFonts w:hint="default"/>
      </w:rPr>
    </w:lvl>
    <w:lvl w:ilvl="2" w:tplc="7BD63BC8">
      <w:numFmt w:val="bullet"/>
      <w:lvlText w:val="•"/>
      <w:lvlJc w:val="left"/>
      <w:pPr>
        <w:ind w:left="1953" w:hanging="567"/>
      </w:pPr>
      <w:rPr>
        <w:rFonts w:hint="default"/>
      </w:rPr>
    </w:lvl>
    <w:lvl w:ilvl="3" w:tplc="F9AAB3C0">
      <w:numFmt w:val="bullet"/>
      <w:lvlText w:val="•"/>
      <w:lvlJc w:val="left"/>
      <w:pPr>
        <w:ind w:left="2869" w:hanging="567"/>
      </w:pPr>
      <w:rPr>
        <w:rFonts w:hint="default"/>
      </w:rPr>
    </w:lvl>
    <w:lvl w:ilvl="4" w:tplc="4902478C">
      <w:numFmt w:val="bullet"/>
      <w:lvlText w:val="•"/>
      <w:lvlJc w:val="left"/>
      <w:pPr>
        <w:ind w:left="3786" w:hanging="567"/>
      </w:pPr>
      <w:rPr>
        <w:rFonts w:hint="default"/>
      </w:rPr>
    </w:lvl>
    <w:lvl w:ilvl="5" w:tplc="21AAF392">
      <w:numFmt w:val="bullet"/>
      <w:lvlText w:val="•"/>
      <w:lvlJc w:val="left"/>
      <w:pPr>
        <w:ind w:left="4702" w:hanging="567"/>
      </w:pPr>
      <w:rPr>
        <w:rFonts w:hint="default"/>
      </w:rPr>
    </w:lvl>
    <w:lvl w:ilvl="6" w:tplc="ED7EA634">
      <w:numFmt w:val="bullet"/>
      <w:lvlText w:val="•"/>
      <w:lvlJc w:val="left"/>
      <w:pPr>
        <w:ind w:left="5619" w:hanging="567"/>
      </w:pPr>
      <w:rPr>
        <w:rFonts w:hint="default"/>
      </w:rPr>
    </w:lvl>
    <w:lvl w:ilvl="7" w:tplc="96C6999E">
      <w:numFmt w:val="bullet"/>
      <w:lvlText w:val="•"/>
      <w:lvlJc w:val="left"/>
      <w:pPr>
        <w:ind w:left="6535" w:hanging="567"/>
      </w:pPr>
      <w:rPr>
        <w:rFonts w:hint="default"/>
      </w:rPr>
    </w:lvl>
    <w:lvl w:ilvl="8" w:tplc="CE9A7F20">
      <w:numFmt w:val="bullet"/>
      <w:lvlText w:val="•"/>
      <w:lvlJc w:val="left"/>
      <w:pPr>
        <w:ind w:left="7452" w:hanging="567"/>
      </w:pPr>
      <w:rPr>
        <w:rFonts w:hint="default"/>
      </w:rPr>
    </w:lvl>
  </w:abstractNum>
  <w:abstractNum w:abstractNumId="12" w15:restartNumberingAfterBreak="0">
    <w:nsid w:val="515E425E"/>
    <w:multiLevelType w:val="hybridMultilevel"/>
    <w:tmpl w:val="A32C5358"/>
    <w:lvl w:ilvl="0" w:tplc="C6540006">
      <w:numFmt w:val="bullet"/>
      <w:lvlText w:val=""/>
      <w:lvlJc w:val="left"/>
      <w:pPr>
        <w:ind w:left="684" w:hanging="567"/>
      </w:pPr>
      <w:rPr>
        <w:rFonts w:ascii="Symbol" w:eastAsia="Symbol" w:hAnsi="Symbol" w:cs="Symbol" w:hint="default"/>
        <w:w w:val="100"/>
        <w:sz w:val="22"/>
        <w:szCs w:val="22"/>
      </w:rPr>
    </w:lvl>
    <w:lvl w:ilvl="1" w:tplc="2E10A5F2">
      <w:numFmt w:val="bullet"/>
      <w:lvlText w:val="•"/>
      <w:lvlJc w:val="left"/>
      <w:pPr>
        <w:ind w:left="1536" w:hanging="567"/>
      </w:pPr>
      <w:rPr>
        <w:rFonts w:hint="default"/>
      </w:rPr>
    </w:lvl>
    <w:lvl w:ilvl="2" w:tplc="BFF242B6">
      <w:numFmt w:val="bullet"/>
      <w:lvlText w:val="•"/>
      <w:lvlJc w:val="left"/>
      <w:pPr>
        <w:ind w:left="2393" w:hanging="567"/>
      </w:pPr>
      <w:rPr>
        <w:rFonts w:hint="default"/>
      </w:rPr>
    </w:lvl>
    <w:lvl w:ilvl="3" w:tplc="C06EC1A4">
      <w:numFmt w:val="bullet"/>
      <w:lvlText w:val="•"/>
      <w:lvlJc w:val="left"/>
      <w:pPr>
        <w:ind w:left="3249" w:hanging="567"/>
      </w:pPr>
      <w:rPr>
        <w:rFonts w:hint="default"/>
      </w:rPr>
    </w:lvl>
    <w:lvl w:ilvl="4" w:tplc="3A8A3872">
      <w:numFmt w:val="bullet"/>
      <w:lvlText w:val="•"/>
      <w:lvlJc w:val="left"/>
      <w:pPr>
        <w:ind w:left="4106" w:hanging="567"/>
      </w:pPr>
      <w:rPr>
        <w:rFonts w:hint="default"/>
      </w:rPr>
    </w:lvl>
    <w:lvl w:ilvl="5" w:tplc="CCE89C5A">
      <w:numFmt w:val="bullet"/>
      <w:lvlText w:val="•"/>
      <w:lvlJc w:val="left"/>
      <w:pPr>
        <w:ind w:left="4962" w:hanging="567"/>
      </w:pPr>
      <w:rPr>
        <w:rFonts w:hint="default"/>
      </w:rPr>
    </w:lvl>
    <w:lvl w:ilvl="6" w:tplc="C0AC3C92">
      <w:numFmt w:val="bullet"/>
      <w:lvlText w:val="•"/>
      <w:lvlJc w:val="left"/>
      <w:pPr>
        <w:ind w:left="5819" w:hanging="567"/>
      </w:pPr>
      <w:rPr>
        <w:rFonts w:hint="default"/>
      </w:rPr>
    </w:lvl>
    <w:lvl w:ilvl="7" w:tplc="404E574A">
      <w:numFmt w:val="bullet"/>
      <w:lvlText w:val="•"/>
      <w:lvlJc w:val="left"/>
      <w:pPr>
        <w:ind w:left="6675" w:hanging="567"/>
      </w:pPr>
      <w:rPr>
        <w:rFonts w:hint="default"/>
      </w:rPr>
    </w:lvl>
    <w:lvl w:ilvl="8" w:tplc="0FDCAFC2">
      <w:numFmt w:val="bullet"/>
      <w:lvlText w:val="•"/>
      <w:lvlJc w:val="left"/>
      <w:pPr>
        <w:ind w:left="7532" w:hanging="567"/>
      </w:pPr>
      <w:rPr>
        <w:rFonts w:hint="default"/>
      </w:rPr>
    </w:lvl>
  </w:abstractNum>
  <w:abstractNum w:abstractNumId="13" w15:restartNumberingAfterBreak="0">
    <w:nsid w:val="5C86476F"/>
    <w:multiLevelType w:val="hybridMultilevel"/>
    <w:tmpl w:val="6A0254F0"/>
    <w:lvl w:ilvl="0" w:tplc="161C955C">
      <w:start w:val="1"/>
      <w:numFmt w:val="decimal"/>
      <w:lvlText w:val="%1."/>
      <w:lvlJc w:val="left"/>
      <w:pPr>
        <w:ind w:left="684" w:hanging="567"/>
      </w:pPr>
      <w:rPr>
        <w:rFonts w:ascii="Times New Roman" w:eastAsia="Times New Roman" w:hAnsi="Times New Roman" w:cs="Times New Roman" w:hint="default"/>
        <w:w w:val="100"/>
        <w:sz w:val="22"/>
        <w:szCs w:val="22"/>
      </w:rPr>
    </w:lvl>
    <w:lvl w:ilvl="1" w:tplc="86DC3154">
      <w:numFmt w:val="bullet"/>
      <w:lvlText w:val="•"/>
      <w:lvlJc w:val="left"/>
      <w:pPr>
        <w:ind w:left="1540" w:hanging="567"/>
      </w:pPr>
      <w:rPr>
        <w:rFonts w:hint="default"/>
      </w:rPr>
    </w:lvl>
    <w:lvl w:ilvl="2" w:tplc="B6DC93EA">
      <w:numFmt w:val="bullet"/>
      <w:lvlText w:val="•"/>
      <w:lvlJc w:val="left"/>
      <w:pPr>
        <w:ind w:left="2401" w:hanging="567"/>
      </w:pPr>
      <w:rPr>
        <w:rFonts w:hint="default"/>
      </w:rPr>
    </w:lvl>
    <w:lvl w:ilvl="3" w:tplc="EEF01044">
      <w:numFmt w:val="bullet"/>
      <w:lvlText w:val="•"/>
      <w:lvlJc w:val="left"/>
      <w:pPr>
        <w:ind w:left="3261" w:hanging="567"/>
      </w:pPr>
      <w:rPr>
        <w:rFonts w:hint="default"/>
      </w:rPr>
    </w:lvl>
    <w:lvl w:ilvl="4" w:tplc="782EF4B6">
      <w:numFmt w:val="bullet"/>
      <w:lvlText w:val="•"/>
      <w:lvlJc w:val="left"/>
      <w:pPr>
        <w:ind w:left="4122" w:hanging="567"/>
      </w:pPr>
      <w:rPr>
        <w:rFonts w:hint="default"/>
      </w:rPr>
    </w:lvl>
    <w:lvl w:ilvl="5" w:tplc="93689C72">
      <w:numFmt w:val="bullet"/>
      <w:lvlText w:val="•"/>
      <w:lvlJc w:val="left"/>
      <w:pPr>
        <w:ind w:left="4982" w:hanging="567"/>
      </w:pPr>
      <w:rPr>
        <w:rFonts w:hint="default"/>
      </w:rPr>
    </w:lvl>
    <w:lvl w:ilvl="6" w:tplc="63F2D2D0">
      <w:numFmt w:val="bullet"/>
      <w:lvlText w:val="•"/>
      <w:lvlJc w:val="left"/>
      <w:pPr>
        <w:ind w:left="5843" w:hanging="567"/>
      </w:pPr>
      <w:rPr>
        <w:rFonts w:hint="default"/>
      </w:rPr>
    </w:lvl>
    <w:lvl w:ilvl="7" w:tplc="2DFCAC8A">
      <w:numFmt w:val="bullet"/>
      <w:lvlText w:val="•"/>
      <w:lvlJc w:val="left"/>
      <w:pPr>
        <w:ind w:left="6703" w:hanging="567"/>
      </w:pPr>
      <w:rPr>
        <w:rFonts w:hint="default"/>
      </w:rPr>
    </w:lvl>
    <w:lvl w:ilvl="8" w:tplc="CAB29E32">
      <w:numFmt w:val="bullet"/>
      <w:lvlText w:val="•"/>
      <w:lvlJc w:val="left"/>
      <w:pPr>
        <w:ind w:left="7564" w:hanging="567"/>
      </w:pPr>
      <w:rPr>
        <w:rFonts w:hint="default"/>
      </w:rPr>
    </w:lvl>
  </w:abstractNum>
  <w:abstractNum w:abstractNumId="14" w15:restartNumberingAfterBreak="0">
    <w:nsid w:val="65955FA0"/>
    <w:multiLevelType w:val="hybridMultilevel"/>
    <w:tmpl w:val="6D609B64"/>
    <w:lvl w:ilvl="0" w:tplc="C3F08B72">
      <w:start w:val="2"/>
      <w:numFmt w:val="decimal"/>
      <w:lvlText w:val="%1"/>
      <w:lvlJc w:val="left"/>
      <w:pPr>
        <w:ind w:left="284" w:hanging="166"/>
      </w:pPr>
      <w:rPr>
        <w:rFonts w:ascii="Times New Roman" w:eastAsia="Times New Roman" w:hAnsi="Times New Roman" w:cs="Times New Roman" w:hint="default"/>
        <w:w w:val="100"/>
        <w:sz w:val="22"/>
        <w:szCs w:val="22"/>
      </w:rPr>
    </w:lvl>
    <w:lvl w:ilvl="1" w:tplc="2E3062B6">
      <w:numFmt w:val="bullet"/>
      <w:lvlText w:val="•"/>
      <w:lvlJc w:val="left"/>
      <w:pPr>
        <w:ind w:left="280" w:hanging="166"/>
      </w:pPr>
      <w:rPr>
        <w:rFonts w:hint="default"/>
      </w:rPr>
    </w:lvl>
    <w:lvl w:ilvl="2" w:tplc="4AA8693E">
      <w:numFmt w:val="bullet"/>
      <w:lvlText w:val="•"/>
      <w:lvlJc w:val="left"/>
      <w:pPr>
        <w:ind w:left="600" w:hanging="166"/>
      </w:pPr>
      <w:rPr>
        <w:rFonts w:hint="default"/>
      </w:rPr>
    </w:lvl>
    <w:lvl w:ilvl="3" w:tplc="CF6E27F6">
      <w:numFmt w:val="bullet"/>
      <w:lvlText w:val="•"/>
      <w:lvlJc w:val="left"/>
      <w:pPr>
        <w:ind w:left="1685" w:hanging="166"/>
      </w:pPr>
      <w:rPr>
        <w:rFonts w:hint="default"/>
      </w:rPr>
    </w:lvl>
    <w:lvl w:ilvl="4" w:tplc="72C8F7BC">
      <w:numFmt w:val="bullet"/>
      <w:lvlText w:val="•"/>
      <w:lvlJc w:val="left"/>
      <w:pPr>
        <w:ind w:left="2771" w:hanging="166"/>
      </w:pPr>
      <w:rPr>
        <w:rFonts w:hint="default"/>
      </w:rPr>
    </w:lvl>
    <w:lvl w:ilvl="5" w:tplc="83F0F4B2">
      <w:numFmt w:val="bullet"/>
      <w:lvlText w:val="•"/>
      <w:lvlJc w:val="left"/>
      <w:pPr>
        <w:ind w:left="3857" w:hanging="166"/>
      </w:pPr>
      <w:rPr>
        <w:rFonts w:hint="default"/>
      </w:rPr>
    </w:lvl>
    <w:lvl w:ilvl="6" w:tplc="09FA102A">
      <w:numFmt w:val="bullet"/>
      <w:lvlText w:val="•"/>
      <w:lvlJc w:val="left"/>
      <w:pPr>
        <w:ind w:left="4942" w:hanging="166"/>
      </w:pPr>
      <w:rPr>
        <w:rFonts w:hint="default"/>
      </w:rPr>
    </w:lvl>
    <w:lvl w:ilvl="7" w:tplc="752A4D80">
      <w:numFmt w:val="bullet"/>
      <w:lvlText w:val="•"/>
      <w:lvlJc w:val="left"/>
      <w:pPr>
        <w:ind w:left="6028" w:hanging="166"/>
      </w:pPr>
      <w:rPr>
        <w:rFonts w:hint="default"/>
      </w:rPr>
    </w:lvl>
    <w:lvl w:ilvl="8" w:tplc="9BD0F120">
      <w:numFmt w:val="bullet"/>
      <w:lvlText w:val="•"/>
      <w:lvlJc w:val="left"/>
      <w:pPr>
        <w:ind w:left="7114" w:hanging="166"/>
      </w:pPr>
      <w:rPr>
        <w:rFonts w:hint="default"/>
      </w:rPr>
    </w:lvl>
  </w:abstractNum>
  <w:abstractNum w:abstractNumId="15" w15:restartNumberingAfterBreak="0">
    <w:nsid w:val="76E46BA7"/>
    <w:multiLevelType w:val="hybridMultilevel"/>
    <w:tmpl w:val="6282A100"/>
    <w:lvl w:ilvl="0" w:tplc="0EB481E8">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A8482DE">
      <w:numFmt w:val="bullet"/>
      <w:lvlText w:val="•"/>
      <w:lvlJc w:val="left"/>
      <w:pPr>
        <w:ind w:left="1038" w:hanging="567"/>
      </w:pPr>
      <w:rPr>
        <w:rFonts w:hint="default"/>
      </w:rPr>
    </w:lvl>
    <w:lvl w:ilvl="2" w:tplc="E80A83C2">
      <w:numFmt w:val="bullet"/>
      <w:lvlText w:val="•"/>
      <w:lvlJc w:val="left"/>
      <w:pPr>
        <w:ind w:left="1957" w:hanging="567"/>
      </w:pPr>
      <w:rPr>
        <w:rFonts w:hint="default"/>
      </w:rPr>
    </w:lvl>
    <w:lvl w:ilvl="3" w:tplc="312CEDC6">
      <w:numFmt w:val="bullet"/>
      <w:lvlText w:val="•"/>
      <w:lvlJc w:val="left"/>
      <w:pPr>
        <w:ind w:left="2875" w:hanging="567"/>
      </w:pPr>
      <w:rPr>
        <w:rFonts w:hint="default"/>
      </w:rPr>
    </w:lvl>
    <w:lvl w:ilvl="4" w:tplc="7E085D88">
      <w:numFmt w:val="bullet"/>
      <w:lvlText w:val="•"/>
      <w:lvlJc w:val="left"/>
      <w:pPr>
        <w:ind w:left="3794" w:hanging="567"/>
      </w:pPr>
      <w:rPr>
        <w:rFonts w:hint="default"/>
      </w:rPr>
    </w:lvl>
    <w:lvl w:ilvl="5" w:tplc="B3229E7C">
      <w:numFmt w:val="bullet"/>
      <w:lvlText w:val="•"/>
      <w:lvlJc w:val="left"/>
      <w:pPr>
        <w:ind w:left="4712" w:hanging="567"/>
      </w:pPr>
      <w:rPr>
        <w:rFonts w:hint="default"/>
      </w:rPr>
    </w:lvl>
    <w:lvl w:ilvl="6" w:tplc="7B722792">
      <w:numFmt w:val="bullet"/>
      <w:lvlText w:val="•"/>
      <w:lvlJc w:val="left"/>
      <w:pPr>
        <w:ind w:left="5631" w:hanging="567"/>
      </w:pPr>
      <w:rPr>
        <w:rFonts w:hint="default"/>
      </w:rPr>
    </w:lvl>
    <w:lvl w:ilvl="7" w:tplc="56008F08">
      <w:numFmt w:val="bullet"/>
      <w:lvlText w:val="•"/>
      <w:lvlJc w:val="left"/>
      <w:pPr>
        <w:ind w:left="6549" w:hanging="567"/>
      </w:pPr>
      <w:rPr>
        <w:rFonts w:hint="default"/>
      </w:rPr>
    </w:lvl>
    <w:lvl w:ilvl="8" w:tplc="B4603FA6">
      <w:numFmt w:val="bullet"/>
      <w:lvlText w:val="•"/>
      <w:lvlJc w:val="left"/>
      <w:pPr>
        <w:ind w:left="7468" w:hanging="567"/>
      </w:pPr>
      <w:rPr>
        <w:rFonts w:hint="default"/>
      </w:rPr>
    </w:lvl>
  </w:abstractNum>
  <w:num w:numId="1">
    <w:abstractNumId w:val="15"/>
  </w:num>
  <w:num w:numId="2">
    <w:abstractNumId w:val="3"/>
  </w:num>
  <w:num w:numId="3">
    <w:abstractNumId w:val="11"/>
  </w:num>
  <w:num w:numId="4">
    <w:abstractNumId w:val="10"/>
  </w:num>
  <w:num w:numId="5">
    <w:abstractNumId w:val="9"/>
  </w:num>
  <w:num w:numId="6">
    <w:abstractNumId w:val="1"/>
  </w:num>
  <w:num w:numId="7">
    <w:abstractNumId w:val="13"/>
  </w:num>
  <w:num w:numId="8">
    <w:abstractNumId w:val="8"/>
  </w:num>
  <w:num w:numId="9">
    <w:abstractNumId w:val="7"/>
  </w:num>
  <w:num w:numId="10">
    <w:abstractNumId w:val="4"/>
  </w:num>
  <w:num w:numId="11">
    <w:abstractNumId w:val="14"/>
  </w:num>
  <w:num w:numId="12">
    <w:abstractNumId w:val="2"/>
  </w:num>
  <w:num w:numId="13">
    <w:abstractNumId w:val="5"/>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B6"/>
    <w:rsid w:val="00000182"/>
    <w:rsid w:val="0000482F"/>
    <w:rsid w:val="000076D5"/>
    <w:rsid w:val="00017DA6"/>
    <w:rsid w:val="00023562"/>
    <w:rsid w:val="000411B5"/>
    <w:rsid w:val="00050BA8"/>
    <w:rsid w:val="00074FE1"/>
    <w:rsid w:val="0007786B"/>
    <w:rsid w:val="000A31A7"/>
    <w:rsid w:val="000A4AEE"/>
    <w:rsid w:val="000C48BA"/>
    <w:rsid w:val="000D6F01"/>
    <w:rsid w:val="000E1743"/>
    <w:rsid w:val="000E273E"/>
    <w:rsid w:val="000E481C"/>
    <w:rsid w:val="001048F5"/>
    <w:rsid w:val="001221F3"/>
    <w:rsid w:val="00124894"/>
    <w:rsid w:val="00131BE5"/>
    <w:rsid w:val="0013355E"/>
    <w:rsid w:val="00136563"/>
    <w:rsid w:val="00140AFD"/>
    <w:rsid w:val="001564C7"/>
    <w:rsid w:val="001714B5"/>
    <w:rsid w:val="00181962"/>
    <w:rsid w:val="001A045B"/>
    <w:rsid w:val="001B3279"/>
    <w:rsid w:val="001D2F2F"/>
    <w:rsid w:val="00206C4C"/>
    <w:rsid w:val="00220749"/>
    <w:rsid w:val="00244E83"/>
    <w:rsid w:val="0025760D"/>
    <w:rsid w:val="0026572B"/>
    <w:rsid w:val="00280FBA"/>
    <w:rsid w:val="002814F9"/>
    <w:rsid w:val="002A06FF"/>
    <w:rsid w:val="002A1B3F"/>
    <w:rsid w:val="002B12A3"/>
    <w:rsid w:val="002B6430"/>
    <w:rsid w:val="002C0377"/>
    <w:rsid w:val="002C4E76"/>
    <w:rsid w:val="002C7375"/>
    <w:rsid w:val="002D5BC6"/>
    <w:rsid w:val="003315B6"/>
    <w:rsid w:val="00347E74"/>
    <w:rsid w:val="00353610"/>
    <w:rsid w:val="00355B5A"/>
    <w:rsid w:val="00374540"/>
    <w:rsid w:val="00376F62"/>
    <w:rsid w:val="00384594"/>
    <w:rsid w:val="0039264E"/>
    <w:rsid w:val="003936BC"/>
    <w:rsid w:val="003A004E"/>
    <w:rsid w:val="003A01BB"/>
    <w:rsid w:val="003A10FC"/>
    <w:rsid w:val="003B4FBB"/>
    <w:rsid w:val="003E2CA6"/>
    <w:rsid w:val="003E3019"/>
    <w:rsid w:val="003E5BEF"/>
    <w:rsid w:val="003F0576"/>
    <w:rsid w:val="003F53CE"/>
    <w:rsid w:val="003F562B"/>
    <w:rsid w:val="0040174E"/>
    <w:rsid w:val="00403F15"/>
    <w:rsid w:val="00410AA2"/>
    <w:rsid w:val="0041116E"/>
    <w:rsid w:val="004155BC"/>
    <w:rsid w:val="004226C9"/>
    <w:rsid w:val="00425EBC"/>
    <w:rsid w:val="004351B8"/>
    <w:rsid w:val="0044295C"/>
    <w:rsid w:val="00454E2D"/>
    <w:rsid w:val="004638C4"/>
    <w:rsid w:val="0046673E"/>
    <w:rsid w:val="00466A4C"/>
    <w:rsid w:val="00474F1E"/>
    <w:rsid w:val="00482038"/>
    <w:rsid w:val="00485B8F"/>
    <w:rsid w:val="004B3CA8"/>
    <w:rsid w:val="004C60E5"/>
    <w:rsid w:val="004D0E76"/>
    <w:rsid w:val="004F7040"/>
    <w:rsid w:val="00507E09"/>
    <w:rsid w:val="00513D02"/>
    <w:rsid w:val="00545D73"/>
    <w:rsid w:val="00547950"/>
    <w:rsid w:val="00554D42"/>
    <w:rsid w:val="00597633"/>
    <w:rsid w:val="005A15F1"/>
    <w:rsid w:val="005A496E"/>
    <w:rsid w:val="005B30AA"/>
    <w:rsid w:val="005D3CC3"/>
    <w:rsid w:val="005E107F"/>
    <w:rsid w:val="005E5975"/>
    <w:rsid w:val="0060013A"/>
    <w:rsid w:val="006044D7"/>
    <w:rsid w:val="00642424"/>
    <w:rsid w:val="006A0762"/>
    <w:rsid w:val="006D2B79"/>
    <w:rsid w:val="006E104C"/>
    <w:rsid w:val="006E5F0B"/>
    <w:rsid w:val="006E67E5"/>
    <w:rsid w:val="00714B81"/>
    <w:rsid w:val="00723FB3"/>
    <w:rsid w:val="007248A4"/>
    <w:rsid w:val="00736A50"/>
    <w:rsid w:val="00755292"/>
    <w:rsid w:val="00785D6E"/>
    <w:rsid w:val="007A3688"/>
    <w:rsid w:val="007A3A1A"/>
    <w:rsid w:val="007B0530"/>
    <w:rsid w:val="007B526E"/>
    <w:rsid w:val="00812D12"/>
    <w:rsid w:val="00813716"/>
    <w:rsid w:val="008371F2"/>
    <w:rsid w:val="00840F1B"/>
    <w:rsid w:val="008544CA"/>
    <w:rsid w:val="008943EE"/>
    <w:rsid w:val="00896674"/>
    <w:rsid w:val="008A1E99"/>
    <w:rsid w:val="008B3EB1"/>
    <w:rsid w:val="008C57C7"/>
    <w:rsid w:val="008E2639"/>
    <w:rsid w:val="008F60B4"/>
    <w:rsid w:val="0090514E"/>
    <w:rsid w:val="00912C25"/>
    <w:rsid w:val="009258AC"/>
    <w:rsid w:val="00931466"/>
    <w:rsid w:val="009363A3"/>
    <w:rsid w:val="009621BA"/>
    <w:rsid w:val="009700BD"/>
    <w:rsid w:val="009859C1"/>
    <w:rsid w:val="00990A7B"/>
    <w:rsid w:val="009913A7"/>
    <w:rsid w:val="009A01AD"/>
    <w:rsid w:val="009A19D8"/>
    <w:rsid w:val="009B76DC"/>
    <w:rsid w:val="009D0275"/>
    <w:rsid w:val="009D2017"/>
    <w:rsid w:val="009E58FB"/>
    <w:rsid w:val="009E7148"/>
    <w:rsid w:val="009F61DD"/>
    <w:rsid w:val="00A046F5"/>
    <w:rsid w:val="00A3161E"/>
    <w:rsid w:val="00A55C17"/>
    <w:rsid w:val="00A65587"/>
    <w:rsid w:val="00A65B36"/>
    <w:rsid w:val="00A66945"/>
    <w:rsid w:val="00A863E6"/>
    <w:rsid w:val="00A86926"/>
    <w:rsid w:val="00A96A70"/>
    <w:rsid w:val="00AA322C"/>
    <w:rsid w:val="00AA501C"/>
    <w:rsid w:val="00AC71EF"/>
    <w:rsid w:val="00AC7D6A"/>
    <w:rsid w:val="00AE2554"/>
    <w:rsid w:val="00AF22C1"/>
    <w:rsid w:val="00B109FD"/>
    <w:rsid w:val="00B13961"/>
    <w:rsid w:val="00B22D01"/>
    <w:rsid w:val="00B3048F"/>
    <w:rsid w:val="00B31ECF"/>
    <w:rsid w:val="00B41836"/>
    <w:rsid w:val="00B57391"/>
    <w:rsid w:val="00B648F7"/>
    <w:rsid w:val="00B65873"/>
    <w:rsid w:val="00B73D72"/>
    <w:rsid w:val="00B80675"/>
    <w:rsid w:val="00B83938"/>
    <w:rsid w:val="00B8561D"/>
    <w:rsid w:val="00BA1177"/>
    <w:rsid w:val="00BA1907"/>
    <w:rsid w:val="00BB768D"/>
    <w:rsid w:val="00BC3499"/>
    <w:rsid w:val="00BF52F2"/>
    <w:rsid w:val="00C24721"/>
    <w:rsid w:val="00C3399D"/>
    <w:rsid w:val="00C37750"/>
    <w:rsid w:val="00C431D8"/>
    <w:rsid w:val="00C62536"/>
    <w:rsid w:val="00C62806"/>
    <w:rsid w:val="00C824F7"/>
    <w:rsid w:val="00C90803"/>
    <w:rsid w:val="00C94D9B"/>
    <w:rsid w:val="00CA5794"/>
    <w:rsid w:val="00CB1A7A"/>
    <w:rsid w:val="00CD7E8D"/>
    <w:rsid w:val="00CE1700"/>
    <w:rsid w:val="00D1498D"/>
    <w:rsid w:val="00D15ED1"/>
    <w:rsid w:val="00D32D1F"/>
    <w:rsid w:val="00D44D6A"/>
    <w:rsid w:val="00D455CA"/>
    <w:rsid w:val="00D50FEB"/>
    <w:rsid w:val="00D6118A"/>
    <w:rsid w:val="00DC05DD"/>
    <w:rsid w:val="00DC34D0"/>
    <w:rsid w:val="00DE3B87"/>
    <w:rsid w:val="00E0104A"/>
    <w:rsid w:val="00E13FB9"/>
    <w:rsid w:val="00E26604"/>
    <w:rsid w:val="00E37BB1"/>
    <w:rsid w:val="00E44AA9"/>
    <w:rsid w:val="00E63549"/>
    <w:rsid w:val="00E64A7D"/>
    <w:rsid w:val="00E80A5D"/>
    <w:rsid w:val="00E86807"/>
    <w:rsid w:val="00E977B1"/>
    <w:rsid w:val="00EE2BFA"/>
    <w:rsid w:val="00EF78C7"/>
    <w:rsid w:val="00F132B6"/>
    <w:rsid w:val="00F213D1"/>
    <w:rsid w:val="00F31F85"/>
    <w:rsid w:val="00F31FD0"/>
    <w:rsid w:val="00F36545"/>
    <w:rsid w:val="00F60272"/>
    <w:rsid w:val="00F62677"/>
    <w:rsid w:val="00F7121F"/>
    <w:rsid w:val="00F84229"/>
    <w:rsid w:val="00FA6154"/>
    <w:rsid w:val="00FD10E6"/>
    <w:rsid w:val="00FD6297"/>
    <w:rsid w:val="00FE277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DE06"/>
  <w15:chartTrackingRefBased/>
  <w15:docId w15:val="{BA5932D2-721A-4B74-A590-30B1BB70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132B6"/>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F132B6"/>
    <w:pPr>
      <w:ind w:left="118"/>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F132B6"/>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F132B6"/>
  </w:style>
  <w:style w:type="character" w:customStyle="1" w:styleId="ZkladntextChar">
    <w:name w:val="Základný text Char"/>
    <w:basedOn w:val="Predvolenpsmoodseku"/>
    <w:link w:val="Zkladntext"/>
    <w:uiPriority w:val="1"/>
    <w:rsid w:val="00F132B6"/>
    <w:rPr>
      <w:rFonts w:ascii="Times New Roman" w:eastAsia="Times New Roman" w:hAnsi="Times New Roman" w:cs="Times New Roman"/>
      <w:sz w:val="22"/>
      <w:szCs w:val="22"/>
    </w:rPr>
  </w:style>
  <w:style w:type="paragraph" w:styleId="Odsekzoznamu">
    <w:name w:val="List Paragraph"/>
    <w:basedOn w:val="Normlny"/>
    <w:uiPriority w:val="1"/>
    <w:qFormat/>
    <w:rsid w:val="00F132B6"/>
    <w:pPr>
      <w:ind w:left="684" w:hanging="566"/>
    </w:pPr>
  </w:style>
  <w:style w:type="paragraph" w:customStyle="1" w:styleId="TableParagraph">
    <w:name w:val="Table Paragraph"/>
    <w:basedOn w:val="Normlny"/>
    <w:uiPriority w:val="1"/>
    <w:qFormat/>
    <w:rsid w:val="00F132B6"/>
    <w:pPr>
      <w:ind w:left="-1"/>
    </w:pPr>
  </w:style>
  <w:style w:type="paragraph" w:styleId="Hlavika">
    <w:name w:val="header"/>
    <w:basedOn w:val="Normlny"/>
    <w:link w:val="HlavikaChar"/>
    <w:uiPriority w:val="99"/>
    <w:unhideWhenUsed/>
    <w:rsid w:val="00F36545"/>
    <w:pPr>
      <w:tabs>
        <w:tab w:val="center" w:pos="4703"/>
        <w:tab w:val="right" w:pos="9406"/>
      </w:tabs>
    </w:pPr>
  </w:style>
  <w:style w:type="character" w:customStyle="1" w:styleId="HlavikaChar">
    <w:name w:val="Hlavička Char"/>
    <w:basedOn w:val="Predvolenpsmoodseku"/>
    <w:link w:val="Hlavika"/>
    <w:uiPriority w:val="99"/>
    <w:rsid w:val="00F36545"/>
    <w:rPr>
      <w:rFonts w:ascii="Times New Roman" w:eastAsia="Times New Roman" w:hAnsi="Times New Roman" w:cs="Times New Roman"/>
      <w:sz w:val="22"/>
      <w:szCs w:val="22"/>
    </w:rPr>
  </w:style>
  <w:style w:type="paragraph" w:styleId="Pta">
    <w:name w:val="footer"/>
    <w:basedOn w:val="Normlny"/>
    <w:link w:val="PtaChar"/>
    <w:uiPriority w:val="99"/>
    <w:unhideWhenUsed/>
    <w:rsid w:val="00F36545"/>
    <w:pPr>
      <w:tabs>
        <w:tab w:val="center" w:pos="4703"/>
        <w:tab w:val="right" w:pos="9406"/>
      </w:tabs>
    </w:pPr>
  </w:style>
  <w:style w:type="character" w:customStyle="1" w:styleId="PtaChar">
    <w:name w:val="Päta Char"/>
    <w:basedOn w:val="Predvolenpsmoodseku"/>
    <w:link w:val="Pta"/>
    <w:uiPriority w:val="99"/>
    <w:rsid w:val="00F36545"/>
    <w:rPr>
      <w:rFonts w:ascii="Times New Roman" w:eastAsia="Times New Roman" w:hAnsi="Times New Roman" w:cs="Times New Roman"/>
      <w:sz w:val="22"/>
      <w:szCs w:val="22"/>
    </w:rPr>
  </w:style>
  <w:style w:type="paragraph" w:styleId="PredformtovanHTML">
    <w:name w:val="HTML Preformatted"/>
    <w:basedOn w:val="Normlny"/>
    <w:link w:val="PredformtovanHTMLChar"/>
    <w:uiPriority w:val="99"/>
    <w:semiHidden/>
    <w:unhideWhenUsed/>
    <w:rsid w:val="00454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454E2D"/>
    <w:rPr>
      <w:rFonts w:ascii="Courier New" w:eastAsia="Times New Roman" w:hAnsi="Courier New" w:cs="Courier New"/>
    </w:rPr>
  </w:style>
  <w:style w:type="paragraph" w:styleId="Textbubliny">
    <w:name w:val="Balloon Text"/>
    <w:basedOn w:val="Normlny"/>
    <w:link w:val="TextbublinyChar"/>
    <w:uiPriority w:val="99"/>
    <w:semiHidden/>
    <w:unhideWhenUsed/>
    <w:rsid w:val="00912C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2C25"/>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9264E"/>
    <w:rPr>
      <w:sz w:val="16"/>
      <w:szCs w:val="16"/>
    </w:rPr>
  </w:style>
  <w:style w:type="paragraph" w:styleId="Textkomentra">
    <w:name w:val="annotation text"/>
    <w:basedOn w:val="Normlny"/>
    <w:link w:val="TextkomentraChar"/>
    <w:uiPriority w:val="99"/>
    <w:semiHidden/>
    <w:unhideWhenUsed/>
    <w:rsid w:val="0039264E"/>
    <w:rPr>
      <w:sz w:val="20"/>
      <w:szCs w:val="20"/>
    </w:rPr>
  </w:style>
  <w:style w:type="character" w:customStyle="1" w:styleId="TextkomentraChar">
    <w:name w:val="Text komentára Char"/>
    <w:basedOn w:val="Predvolenpsmoodseku"/>
    <w:link w:val="Textkomentra"/>
    <w:uiPriority w:val="99"/>
    <w:semiHidden/>
    <w:rsid w:val="0039264E"/>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39264E"/>
    <w:rPr>
      <w:b/>
      <w:bCs/>
    </w:rPr>
  </w:style>
  <w:style w:type="character" w:customStyle="1" w:styleId="PredmetkomentraChar">
    <w:name w:val="Predmet komentára Char"/>
    <w:basedOn w:val="TextkomentraChar"/>
    <w:link w:val="Predmetkomentra"/>
    <w:uiPriority w:val="99"/>
    <w:semiHidden/>
    <w:rsid w:val="0039264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160811">
      <w:bodyDiv w:val="1"/>
      <w:marLeft w:val="0"/>
      <w:marRight w:val="0"/>
      <w:marTop w:val="0"/>
      <w:marBottom w:val="0"/>
      <w:divBdr>
        <w:top w:val="none" w:sz="0" w:space="0" w:color="auto"/>
        <w:left w:val="none" w:sz="0" w:space="0" w:color="auto"/>
        <w:bottom w:val="none" w:sz="0" w:space="0" w:color="auto"/>
        <w:right w:val="none" w:sz="0" w:space="0" w:color="auto"/>
      </w:divBdr>
      <w:divsChild>
        <w:div w:id="1155222673">
          <w:marLeft w:val="0"/>
          <w:marRight w:val="0"/>
          <w:marTop w:val="0"/>
          <w:marBottom w:val="0"/>
          <w:divBdr>
            <w:top w:val="none" w:sz="0" w:space="0" w:color="auto"/>
            <w:left w:val="none" w:sz="0" w:space="0" w:color="auto"/>
            <w:bottom w:val="none" w:sz="0" w:space="0" w:color="auto"/>
            <w:right w:val="none" w:sz="0" w:space="0" w:color="auto"/>
          </w:divBdr>
          <w:divsChild>
            <w:div w:id="1358310615">
              <w:marLeft w:val="0"/>
              <w:marRight w:val="0"/>
              <w:marTop w:val="0"/>
              <w:marBottom w:val="0"/>
              <w:divBdr>
                <w:top w:val="none" w:sz="0" w:space="0" w:color="auto"/>
                <w:left w:val="none" w:sz="0" w:space="0" w:color="auto"/>
                <w:bottom w:val="none" w:sz="0" w:space="0" w:color="auto"/>
                <w:right w:val="none" w:sz="0" w:space="0" w:color="auto"/>
              </w:divBdr>
              <w:divsChild>
                <w:div w:id="1328678177">
                  <w:marLeft w:val="0"/>
                  <w:marRight w:val="0"/>
                  <w:marTop w:val="0"/>
                  <w:marBottom w:val="0"/>
                  <w:divBdr>
                    <w:top w:val="none" w:sz="0" w:space="0" w:color="auto"/>
                    <w:left w:val="none" w:sz="0" w:space="0" w:color="auto"/>
                    <w:bottom w:val="none" w:sz="0" w:space="0" w:color="auto"/>
                    <w:right w:val="none" w:sz="0" w:space="0" w:color="auto"/>
                  </w:divBdr>
                  <w:divsChild>
                    <w:div w:id="767044940">
                      <w:marLeft w:val="0"/>
                      <w:marRight w:val="0"/>
                      <w:marTop w:val="0"/>
                      <w:marBottom w:val="0"/>
                      <w:divBdr>
                        <w:top w:val="none" w:sz="0" w:space="0" w:color="auto"/>
                        <w:left w:val="none" w:sz="0" w:space="0" w:color="auto"/>
                        <w:bottom w:val="none" w:sz="0" w:space="0" w:color="auto"/>
                        <w:right w:val="none" w:sz="0" w:space="0" w:color="auto"/>
                      </w:divBdr>
                      <w:divsChild>
                        <w:div w:id="840975646">
                          <w:marLeft w:val="0"/>
                          <w:marRight w:val="0"/>
                          <w:marTop w:val="0"/>
                          <w:marBottom w:val="0"/>
                          <w:divBdr>
                            <w:top w:val="none" w:sz="0" w:space="0" w:color="auto"/>
                            <w:left w:val="none" w:sz="0" w:space="0" w:color="auto"/>
                            <w:bottom w:val="none" w:sz="0" w:space="0" w:color="auto"/>
                            <w:right w:val="none" w:sz="0" w:space="0" w:color="auto"/>
                          </w:divBdr>
                          <w:divsChild>
                            <w:div w:id="306207218">
                              <w:marLeft w:val="2070"/>
                              <w:marRight w:val="3960"/>
                              <w:marTop w:val="0"/>
                              <w:marBottom w:val="0"/>
                              <w:divBdr>
                                <w:top w:val="none" w:sz="0" w:space="0" w:color="auto"/>
                                <w:left w:val="none" w:sz="0" w:space="0" w:color="auto"/>
                                <w:bottom w:val="none" w:sz="0" w:space="0" w:color="auto"/>
                                <w:right w:val="none" w:sz="0" w:space="0" w:color="auto"/>
                              </w:divBdr>
                              <w:divsChild>
                                <w:div w:id="617948990">
                                  <w:marLeft w:val="0"/>
                                  <w:marRight w:val="0"/>
                                  <w:marTop w:val="0"/>
                                  <w:marBottom w:val="0"/>
                                  <w:divBdr>
                                    <w:top w:val="none" w:sz="0" w:space="0" w:color="auto"/>
                                    <w:left w:val="none" w:sz="0" w:space="0" w:color="auto"/>
                                    <w:bottom w:val="none" w:sz="0" w:space="0" w:color="auto"/>
                                    <w:right w:val="none" w:sz="0" w:space="0" w:color="auto"/>
                                  </w:divBdr>
                                  <w:divsChild>
                                    <w:div w:id="909342993">
                                      <w:marLeft w:val="0"/>
                                      <w:marRight w:val="0"/>
                                      <w:marTop w:val="0"/>
                                      <w:marBottom w:val="0"/>
                                      <w:divBdr>
                                        <w:top w:val="none" w:sz="0" w:space="0" w:color="auto"/>
                                        <w:left w:val="none" w:sz="0" w:space="0" w:color="auto"/>
                                        <w:bottom w:val="none" w:sz="0" w:space="0" w:color="auto"/>
                                        <w:right w:val="none" w:sz="0" w:space="0" w:color="auto"/>
                                      </w:divBdr>
                                      <w:divsChild>
                                        <w:div w:id="200870747">
                                          <w:marLeft w:val="0"/>
                                          <w:marRight w:val="0"/>
                                          <w:marTop w:val="0"/>
                                          <w:marBottom w:val="0"/>
                                          <w:divBdr>
                                            <w:top w:val="none" w:sz="0" w:space="0" w:color="auto"/>
                                            <w:left w:val="none" w:sz="0" w:space="0" w:color="auto"/>
                                            <w:bottom w:val="none" w:sz="0" w:space="0" w:color="auto"/>
                                            <w:right w:val="none" w:sz="0" w:space="0" w:color="auto"/>
                                          </w:divBdr>
                                          <w:divsChild>
                                            <w:div w:id="21370768">
                                              <w:marLeft w:val="0"/>
                                              <w:marRight w:val="0"/>
                                              <w:marTop w:val="90"/>
                                              <w:marBottom w:val="0"/>
                                              <w:divBdr>
                                                <w:top w:val="none" w:sz="0" w:space="0" w:color="auto"/>
                                                <w:left w:val="none" w:sz="0" w:space="0" w:color="auto"/>
                                                <w:bottom w:val="none" w:sz="0" w:space="0" w:color="auto"/>
                                                <w:right w:val="none" w:sz="0" w:space="0" w:color="auto"/>
                                              </w:divBdr>
                                              <w:divsChild>
                                                <w:div w:id="723674082">
                                                  <w:marLeft w:val="0"/>
                                                  <w:marRight w:val="0"/>
                                                  <w:marTop w:val="0"/>
                                                  <w:marBottom w:val="0"/>
                                                  <w:divBdr>
                                                    <w:top w:val="none" w:sz="0" w:space="0" w:color="auto"/>
                                                    <w:left w:val="none" w:sz="0" w:space="0" w:color="auto"/>
                                                    <w:bottom w:val="none" w:sz="0" w:space="0" w:color="auto"/>
                                                    <w:right w:val="none" w:sz="0" w:space="0" w:color="auto"/>
                                                  </w:divBdr>
                                                  <w:divsChild>
                                                    <w:div w:id="883834882">
                                                      <w:marLeft w:val="0"/>
                                                      <w:marRight w:val="0"/>
                                                      <w:marTop w:val="0"/>
                                                      <w:marBottom w:val="405"/>
                                                      <w:divBdr>
                                                        <w:top w:val="none" w:sz="0" w:space="0" w:color="auto"/>
                                                        <w:left w:val="none" w:sz="0" w:space="0" w:color="auto"/>
                                                        <w:bottom w:val="none" w:sz="0" w:space="0" w:color="auto"/>
                                                        <w:right w:val="none" w:sz="0" w:space="0" w:color="auto"/>
                                                      </w:divBdr>
                                                      <w:divsChild>
                                                        <w:div w:id="93786868">
                                                          <w:marLeft w:val="0"/>
                                                          <w:marRight w:val="0"/>
                                                          <w:marTop w:val="0"/>
                                                          <w:marBottom w:val="0"/>
                                                          <w:divBdr>
                                                            <w:top w:val="none" w:sz="0" w:space="0" w:color="auto"/>
                                                            <w:left w:val="none" w:sz="0" w:space="0" w:color="auto"/>
                                                            <w:bottom w:val="none" w:sz="0" w:space="0" w:color="auto"/>
                                                            <w:right w:val="none" w:sz="0" w:space="0" w:color="auto"/>
                                                          </w:divBdr>
                                                          <w:divsChild>
                                                            <w:div w:id="1640913056">
                                                              <w:marLeft w:val="0"/>
                                                              <w:marRight w:val="0"/>
                                                              <w:marTop w:val="0"/>
                                                              <w:marBottom w:val="0"/>
                                                              <w:divBdr>
                                                                <w:top w:val="none" w:sz="0" w:space="0" w:color="auto"/>
                                                                <w:left w:val="none" w:sz="0" w:space="0" w:color="auto"/>
                                                                <w:bottom w:val="none" w:sz="0" w:space="0" w:color="auto"/>
                                                                <w:right w:val="none" w:sz="0" w:space="0" w:color="auto"/>
                                                              </w:divBdr>
                                                              <w:divsChild>
                                                                <w:div w:id="1957709258">
                                                                  <w:marLeft w:val="0"/>
                                                                  <w:marRight w:val="0"/>
                                                                  <w:marTop w:val="0"/>
                                                                  <w:marBottom w:val="0"/>
                                                                  <w:divBdr>
                                                                    <w:top w:val="none" w:sz="0" w:space="0" w:color="auto"/>
                                                                    <w:left w:val="none" w:sz="0" w:space="0" w:color="auto"/>
                                                                    <w:bottom w:val="none" w:sz="0" w:space="0" w:color="auto"/>
                                                                    <w:right w:val="none" w:sz="0" w:space="0" w:color="auto"/>
                                                                  </w:divBdr>
                                                                  <w:divsChild>
                                                                    <w:div w:id="776024948">
                                                                      <w:marLeft w:val="0"/>
                                                                      <w:marRight w:val="0"/>
                                                                      <w:marTop w:val="0"/>
                                                                      <w:marBottom w:val="0"/>
                                                                      <w:divBdr>
                                                                        <w:top w:val="none" w:sz="0" w:space="0" w:color="auto"/>
                                                                        <w:left w:val="none" w:sz="0" w:space="0" w:color="auto"/>
                                                                        <w:bottom w:val="none" w:sz="0" w:space="0" w:color="auto"/>
                                                                        <w:right w:val="none" w:sz="0" w:space="0" w:color="auto"/>
                                                                      </w:divBdr>
                                                                      <w:divsChild>
                                                                        <w:div w:id="191698056">
                                                                          <w:marLeft w:val="0"/>
                                                                          <w:marRight w:val="0"/>
                                                                          <w:marTop w:val="0"/>
                                                                          <w:marBottom w:val="0"/>
                                                                          <w:divBdr>
                                                                            <w:top w:val="none" w:sz="0" w:space="0" w:color="auto"/>
                                                                            <w:left w:val="none" w:sz="0" w:space="0" w:color="auto"/>
                                                                            <w:bottom w:val="none" w:sz="0" w:space="0" w:color="auto"/>
                                                                            <w:right w:val="none" w:sz="0" w:space="0" w:color="auto"/>
                                                                          </w:divBdr>
                                                                          <w:divsChild>
                                                                            <w:div w:id="2144495683">
                                                                              <w:marLeft w:val="0"/>
                                                                              <w:marRight w:val="0"/>
                                                                              <w:marTop w:val="0"/>
                                                                              <w:marBottom w:val="0"/>
                                                                              <w:divBdr>
                                                                                <w:top w:val="none" w:sz="0" w:space="0" w:color="auto"/>
                                                                                <w:left w:val="none" w:sz="0" w:space="0" w:color="auto"/>
                                                                                <w:bottom w:val="none" w:sz="0" w:space="0" w:color="auto"/>
                                                                                <w:right w:val="none" w:sz="0" w:space="0" w:color="auto"/>
                                                                              </w:divBdr>
                                                                              <w:divsChild>
                                                                                <w:div w:id="2094006535">
                                                                                  <w:marLeft w:val="0"/>
                                                                                  <w:marRight w:val="0"/>
                                                                                  <w:marTop w:val="0"/>
                                                                                  <w:marBottom w:val="0"/>
                                                                                  <w:divBdr>
                                                                                    <w:top w:val="none" w:sz="0" w:space="0" w:color="auto"/>
                                                                                    <w:left w:val="none" w:sz="0" w:space="0" w:color="auto"/>
                                                                                    <w:bottom w:val="none" w:sz="0" w:space="0" w:color="auto"/>
                                                                                    <w:right w:val="none" w:sz="0" w:space="0" w:color="auto"/>
                                                                                  </w:divBdr>
                                                                                  <w:divsChild>
                                                                                    <w:div w:id="1633899846">
                                                                                      <w:marLeft w:val="0"/>
                                                                                      <w:marRight w:val="0"/>
                                                                                      <w:marTop w:val="0"/>
                                                                                      <w:marBottom w:val="0"/>
                                                                                      <w:divBdr>
                                                                                        <w:top w:val="none" w:sz="0" w:space="0" w:color="auto"/>
                                                                                        <w:left w:val="none" w:sz="0" w:space="0" w:color="auto"/>
                                                                                        <w:bottom w:val="none" w:sz="0" w:space="0" w:color="auto"/>
                                                                                        <w:right w:val="none" w:sz="0" w:space="0" w:color="auto"/>
                                                                                      </w:divBdr>
                                                                                      <w:divsChild>
                                                                                        <w:div w:id="1050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21</Pages>
  <Words>8522</Words>
  <Characters>48582</Characters>
  <Application>Microsoft Office Word</Application>
  <DocSecurity>0</DocSecurity>
  <Lines>404</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Zemberova, Dominika</dc:creator>
  <cp:keywords/>
  <dc:description/>
  <cp:lastModifiedBy>Bezeková, Kamila</cp:lastModifiedBy>
  <cp:revision>254</cp:revision>
  <cp:lastPrinted>2019-12-16T10:27:00Z</cp:lastPrinted>
  <dcterms:created xsi:type="dcterms:W3CDTF">2019-10-08T07:23:00Z</dcterms:created>
  <dcterms:modified xsi:type="dcterms:W3CDTF">2019-12-16T10:32:00Z</dcterms:modified>
</cp:coreProperties>
</file>